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EB699F" w:rsidRPr="00621B7F" w:rsidP="00241F10">
      <w:pPr>
        <w:snapToGrid w:val="0"/>
        <w:spacing w:line="360" w:lineRule="auto"/>
        <w:ind w:firstLine="881"/>
        <w:jc w:val="center"/>
        <w:rPr>
          <w:rFonts w:asciiTheme="minorEastAsia" w:eastAsiaTheme="minorEastAsia" w:hAnsiTheme="minorEastAsia"/>
          <w:b/>
          <w:color w:val="000000" w:themeColor="text1"/>
          <w:sz w:val="44"/>
        </w:rPr>
      </w:pPr>
    </w:p>
    <w:p w:rsidR="002F4BEA" w:rsidRPr="00621B7F" w:rsidP="00241F10">
      <w:pPr>
        <w:snapToGrid w:val="0"/>
        <w:spacing w:line="360" w:lineRule="auto"/>
        <w:ind w:firstLine="881"/>
        <w:jc w:val="center"/>
        <w:rPr>
          <w:rFonts w:asciiTheme="minorEastAsia" w:eastAsiaTheme="minorEastAsia" w:hAnsiTheme="minorEastAsia"/>
          <w:b/>
          <w:color w:val="000000" w:themeColor="text1"/>
          <w:sz w:val="44"/>
        </w:rPr>
      </w:pPr>
    </w:p>
    <w:p w:rsidR="00EB699F" w:rsidRPr="00621B7F" w:rsidP="00241F10">
      <w:pPr>
        <w:snapToGrid w:val="0"/>
        <w:spacing w:line="360" w:lineRule="auto"/>
        <w:ind w:firstLine="881"/>
        <w:jc w:val="center"/>
        <w:rPr>
          <w:rFonts w:asciiTheme="minorEastAsia" w:eastAsiaTheme="minorEastAsia" w:hAnsiTheme="minorEastAsia"/>
          <w:b/>
          <w:color w:val="000000" w:themeColor="text1"/>
          <w:sz w:val="44"/>
        </w:rPr>
      </w:pPr>
    </w:p>
    <w:p w:rsidR="00EB699F" w:rsidRPr="00621B7F" w:rsidP="00241F10">
      <w:pPr>
        <w:snapToGrid w:val="0"/>
        <w:spacing w:line="360" w:lineRule="auto"/>
        <w:ind w:firstLine="881"/>
        <w:jc w:val="center"/>
        <w:rPr>
          <w:rFonts w:asciiTheme="minorEastAsia" w:eastAsiaTheme="minorEastAsia" w:hAnsiTheme="minorEastAsia"/>
          <w:b/>
          <w:color w:val="000000" w:themeColor="text1"/>
          <w:sz w:val="44"/>
        </w:rPr>
      </w:pPr>
    </w:p>
    <w:p w:rsidR="00241F10" w:rsidRPr="00621B7F" w:rsidP="00241F10">
      <w:pPr>
        <w:snapToGrid w:val="0"/>
        <w:spacing w:line="360" w:lineRule="auto"/>
        <w:jc w:val="center"/>
        <w:rPr>
          <w:rFonts w:asciiTheme="minorEastAsia" w:eastAsiaTheme="minorEastAsia" w:hAnsiTheme="minorEastAsia"/>
          <w:b/>
          <w:color w:val="000000" w:themeColor="text1"/>
          <w:sz w:val="44"/>
          <w:szCs w:val="44"/>
        </w:rPr>
      </w:pPr>
      <w:r w:rsidRPr="00621B7F">
        <w:rPr>
          <w:rFonts w:asciiTheme="minorEastAsia" w:eastAsiaTheme="minorEastAsia" w:hAnsiTheme="minorEastAsia" w:hint="eastAsia"/>
          <w:b/>
          <w:color w:val="000000" w:themeColor="text1"/>
          <w:sz w:val="44"/>
          <w:szCs w:val="44"/>
        </w:rPr>
        <w:t>易方达上证中盘交易型开放式指数</w:t>
      </w:r>
    </w:p>
    <w:p w:rsidR="00266A27" w:rsidRPr="00621B7F" w:rsidP="00241F10">
      <w:pPr>
        <w:snapToGrid w:val="0"/>
        <w:spacing w:line="360" w:lineRule="auto"/>
        <w:jc w:val="center"/>
        <w:rPr>
          <w:rFonts w:asciiTheme="minorEastAsia" w:eastAsiaTheme="minorEastAsia" w:hAnsiTheme="minorEastAsia"/>
          <w:b/>
          <w:color w:val="000000" w:themeColor="text1"/>
          <w:sz w:val="44"/>
          <w:szCs w:val="44"/>
        </w:rPr>
      </w:pPr>
      <w:r w:rsidRPr="00621B7F">
        <w:rPr>
          <w:rFonts w:asciiTheme="minorEastAsia" w:eastAsiaTheme="minorEastAsia" w:hAnsiTheme="minorEastAsia" w:hint="eastAsia"/>
          <w:b/>
          <w:color w:val="000000" w:themeColor="text1"/>
          <w:sz w:val="44"/>
          <w:szCs w:val="44"/>
        </w:rPr>
        <w:t>证券投资基金联接基金</w:t>
      </w:r>
      <w:r w:rsidRPr="00621B7F" w:rsidR="000C5026">
        <w:rPr>
          <w:rFonts w:asciiTheme="minorEastAsia" w:eastAsiaTheme="minorEastAsia" w:hAnsiTheme="minorEastAsia" w:hint="eastAsia"/>
          <w:b/>
          <w:color w:val="000000" w:themeColor="text1"/>
          <w:sz w:val="44"/>
          <w:szCs w:val="44"/>
        </w:rPr>
        <w:t>更新的</w:t>
      </w:r>
      <w:r w:rsidRPr="00621B7F">
        <w:rPr>
          <w:rFonts w:asciiTheme="minorEastAsia" w:eastAsiaTheme="minorEastAsia" w:hAnsiTheme="minorEastAsia" w:hint="eastAsia"/>
          <w:b/>
          <w:color w:val="000000" w:themeColor="text1"/>
          <w:sz w:val="44"/>
          <w:szCs w:val="44"/>
        </w:rPr>
        <w:t>招募说明书</w:t>
      </w:r>
    </w:p>
    <w:p w:rsidR="00266A27" w:rsidRPr="00621B7F" w:rsidP="00241F10">
      <w:pPr>
        <w:snapToGrid w:val="0"/>
        <w:spacing w:line="360" w:lineRule="auto"/>
        <w:jc w:val="center"/>
        <w:rPr>
          <w:rFonts w:asciiTheme="minorEastAsia" w:eastAsiaTheme="minorEastAsia" w:hAnsiTheme="minorEastAsia"/>
          <w:b/>
          <w:color w:val="000000" w:themeColor="text1"/>
          <w:sz w:val="44"/>
        </w:rPr>
      </w:pPr>
    </w:p>
    <w:p w:rsidR="00266A27" w:rsidRPr="00621B7F" w:rsidP="00241F10">
      <w:pPr>
        <w:snapToGrid w:val="0"/>
        <w:spacing w:line="360" w:lineRule="auto"/>
        <w:ind w:left="360" w:right="26"/>
        <w:jc w:val="center"/>
        <w:rPr>
          <w:rFonts w:asciiTheme="minorEastAsia" w:eastAsiaTheme="minorEastAsia" w:hAnsiTheme="minorEastAsia"/>
          <w:b/>
          <w:color w:val="000000" w:themeColor="text1"/>
          <w:sz w:val="44"/>
        </w:rPr>
      </w:pPr>
    </w:p>
    <w:p w:rsidR="00266A27" w:rsidRPr="00621B7F" w:rsidP="00241F10">
      <w:pPr>
        <w:snapToGrid w:val="0"/>
        <w:spacing w:line="360" w:lineRule="auto"/>
        <w:ind w:firstLine="600"/>
        <w:jc w:val="center"/>
        <w:rPr>
          <w:rFonts w:asciiTheme="minorEastAsia" w:eastAsiaTheme="minorEastAsia" w:hAnsiTheme="minorEastAsia"/>
          <w:color w:val="000000" w:themeColor="text1"/>
          <w:sz w:val="24"/>
        </w:rPr>
      </w:pPr>
    </w:p>
    <w:p w:rsidR="00266A27" w:rsidRPr="00621B7F" w:rsidP="00241F10">
      <w:pPr>
        <w:snapToGrid w:val="0"/>
        <w:spacing w:line="360" w:lineRule="auto"/>
        <w:ind w:left="1680" w:leftChars="800"/>
        <w:rPr>
          <w:rFonts w:asciiTheme="minorEastAsia" w:eastAsiaTheme="minorEastAsia" w:hAnsiTheme="minorEastAsia"/>
          <w:color w:val="000000" w:themeColor="text1"/>
          <w:sz w:val="30"/>
          <w:szCs w:val="30"/>
        </w:rPr>
      </w:pPr>
    </w:p>
    <w:p w:rsidR="00266A27" w:rsidRPr="00621B7F" w:rsidP="00241F10">
      <w:pPr>
        <w:snapToGrid w:val="0"/>
        <w:spacing w:line="360" w:lineRule="auto"/>
        <w:ind w:left="1680" w:leftChars="800"/>
        <w:rPr>
          <w:rFonts w:asciiTheme="minorEastAsia" w:eastAsiaTheme="minorEastAsia" w:hAnsiTheme="minorEastAsia"/>
          <w:color w:val="000000" w:themeColor="text1"/>
          <w:sz w:val="30"/>
          <w:szCs w:val="30"/>
        </w:rPr>
      </w:pPr>
    </w:p>
    <w:p w:rsidR="00266A27" w:rsidRPr="00621B7F" w:rsidP="00241F10">
      <w:pPr>
        <w:snapToGrid w:val="0"/>
        <w:spacing w:line="360" w:lineRule="auto"/>
        <w:ind w:left="1680" w:leftChars="800"/>
        <w:rPr>
          <w:rFonts w:asciiTheme="minorEastAsia" w:eastAsiaTheme="minorEastAsia" w:hAnsiTheme="minorEastAsia"/>
          <w:color w:val="000000" w:themeColor="text1"/>
          <w:sz w:val="30"/>
          <w:szCs w:val="30"/>
        </w:rPr>
      </w:pPr>
    </w:p>
    <w:p w:rsidR="00266A27" w:rsidRPr="00621B7F" w:rsidP="00241F10">
      <w:pPr>
        <w:snapToGrid w:val="0"/>
        <w:spacing w:line="360" w:lineRule="auto"/>
        <w:ind w:left="1680" w:leftChars="800"/>
        <w:rPr>
          <w:rFonts w:asciiTheme="minorEastAsia" w:eastAsiaTheme="minorEastAsia" w:hAnsiTheme="minorEastAsia"/>
          <w:color w:val="000000" w:themeColor="text1"/>
          <w:sz w:val="30"/>
          <w:szCs w:val="30"/>
        </w:rPr>
      </w:pPr>
    </w:p>
    <w:p w:rsidR="00241F10" w:rsidRPr="00621B7F" w:rsidP="00241F10">
      <w:pPr>
        <w:snapToGrid w:val="0"/>
        <w:spacing w:line="360" w:lineRule="auto"/>
        <w:ind w:left="1680" w:leftChars="800"/>
        <w:rPr>
          <w:rFonts w:asciiTheme="minorEastAsia" w:eastAsiaTheme="minorEastAsia" w:hAnsiTheme="minorEastAsia"/>
          <w:color w:val="000000" w:themeColor="text1"/>
          <w:sz w:val="30"/>
          <w:szCs w:val="30"/>
        </w:rPr>
      </w:pPr>
    </w:p>
    <w:p w:rsidR="00241F10" w:rsidRPr="00621B7F" w:rsidP="00241F10">
      <w:pPr>
        <w:snapToGrid w:val="0"/>
        <w:spacing w:line="360" w:lineRule="auto"/>
        <w:ind w:left="1680" w:leftChars="800"/>
        <w:rPr>
          <w:rFonts w:asciiTheme="minorEastAsia" w:eastAsiaTheme="minorEastAsia" w:hAnsiTheme="minorEastAsia"/>
          <w:color w:val="000000" w:themeColor="text1"/>
          <w:sz w:val="30"/>
          <w:szCs w:val="30"/>
        </w:rPr>
      </w:pPr>
    </w:p>
    <w:p w:rsidR="00266A27" w:rsidRPr="00621B7F" w:rsidP="00241F10">
      <w:pPr>
        <w:snapToGrid w:val="0"/>
        <w:spacing w:line="360" w:lineRule="auto"/>
        <w:jc w:val="center"/>
        <w:rPr>
          <w:rFonts w:asciiTheme="minorEastAsia" w:eastAsiaTheme="minorEastAsia" w:hAnsiTheme="minorEastAsia"/>
          <w:color w:val="000000" w:themeColor="text1"/>
          <w:sz w:val="32"/>
          <w:szCs w:val="32"/>
        </w:rPr>
      </w:pPr>
      <w:r w:rsidRPr="00621B7F">
        <w:rPr>
          <w:rFonts w:asciiTheme="minorEastAsia" w:eastAsiaTheme="minorEastAsia" w:hAnsiTheme="minorEastAsia" w:hint="eastAsia"/>
          <w:color w:val="000000" w:themeColor="text1"/>
          <w:sz w:val="32"/>
          <w:szCs w:val="32"/>
        </w:rPr>
        <w:t>基金管理人：易方达基金管理有限公司</w:t>
      </w:r>
    </w:p>
    <w:p w:rsidR="00266A27" w:rsidRPr="00621B7F" w:rsidP="00241F10">
      <w:pPr>
        <w:snapToGrid w:val="0"/>
        <w:spacing w:line="360" w:lineRule="auto"/>
        <w:jc w:val="center"/>
        <w:rPr>
          <w:rFonts w:asciiTheme="minorEastAsia" w:eastAsiaTheme="minorEastAsia" w:hAnsiTheme="minorEastAsia"/>
          <w:color w:val="000000" w:themeColor="text1"/>
          <w:sz w:val="32"/>
          <w:szCs w:val="32"/>
        </w:rPr>
      </w:pPr>
      <w:r w:rsidRPr="00621B7F">
        <w:rPr>
          <w:rFonts w:asciiTheme="minorEastAsia" w:eastAsiaTheme="minorEastAsia" w:hAnsiTheme="minorEastAsia" w:hint="eastAsia"/>
          <w:color w:val="000000" w:themeColor="text1"/>
          <w:sz w:val="32"/>
          <w:szCs w:val="32"/>
        </w:rPr>
        <w:t>基金托管人：中国工商银行股份有限公司</w:t>
      </w:r>
    </w:p>
    <w:p w:rsidR="00266A27" w:rsidRPr="00621B7F" w:rsidP="00241F10">
      <w:pPr>
        <w:snapToGrid w:val="0"/>
        <w:spacing w:line="360" w:lineRule="auto"/>
        <w:ind w:firstLine="561"/>
        <w:rPr>
          <w:rFonts w:asciiTheme="minorEastAsia" w:eastAsiaTheme="minorEastAsia" w:hAnsiTheme="minorEastAsia"/>
          <w:b/>
          <w:color w:val="000000" w:themeColor="text1"/>
          <w:sz w:val="32"/>
          <w:szCs w:val="32"/>
        </w:rPr>
      </w:pPr>
    </w:p>
    <w:p w:rsidR="006C4BC4" w:rsidRPr="00621B7F" w:rsidP="00241F10">
      <w:pPr>
        <w:snapToGrid w:val="0"/>
        <w:spacing w:line="360" w:lineRule="auto"/>
        <w:jc w:val="center"/>
        <w:rPr>
          <w:rFonts w:asciiTheme="minorEastAsia" w:eastAsiaTheme="minorEastAsia" w:hAnsiTheme="minorEastAsia"/>
          <w:color w:val="000000" w:themeColor="text1"/>
          <w:sz w:val="32"/>
          <w:szCs w:val="32"/>
        </w:rPr>
      </w:pPr>
      <w:r>
        <w:rPr>
          <w:sz w:val="32"/>
        </w:rPr>
        <w:t>二〇二一年十二月</w:t>
      </w:r>
    </w:p>
    <w:p w:rsidR="00266A27" w:rsidRPr="00621B7F" w:rsidP="00241F10">
      <w:pPr>
        <w:snapToGrid w:val="0"/>
        <w:spacing w:line="360" w:lineRule="auto"/>
        <w:jc w:val="center"/>
        <w:rPr>
          <w:rFonts w:asciiTheme="minorEastAsia" w:eastAsiaTheme="minorEastAsia" w:hAnsiTheme="minorEastAsia"/>
          <w:b/>
          <w:color w:val="000000" w:themeColor="text1"/>
          <w:sz w:val="28"/>
          <w:szCs w:val="28"/>
        </w:rPr>
      </w:pPr>
      <w:r w:rsidRPr="00621B7F">
        <w:rPr>
          <w:rFonts w:asciiTheme="minorEastAsia" w:eastAsiaTheme="minorEastAsia" w:hAnsiTheme="minorEastAsia"/>
          <w:b/>
          <w:color w:val="000000" w:themeColor="text1"/>
          <w:sz w:val="24"/>
        </w:rPr>
        <w:br w:type="page"/>
      </w:r>
      <w:r w:rsidRPr="00621B7F">
        <w:rPr>
          <w:rFonts w:asciiTheme="minorEastAsia" w:eastAsiaTheme="minorEastAsia" w:hAnsiTheme="minorEastAsia" w:hint="eastAsia"/>
          <w:b/>
          <w:color w:val="000000" w:themeColor="text1"/>
          <w:sz w:val="28"/>
          <w:szCs w:val="28"/>
        </w:rPr>
        <w:t>重要提示</w:t>
      </w:r>
    </w:p>
    <w:p w:rsidR="00E7064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本基金根据2009年12月31日中国证券监督管理委员会《关于核准易方达上证中盘交易型开放式指数证券投资基金及其联接基金募集的批复》（证监许可【2009】1498号）和2010年2月11日《关于易方达上证中盘交易型开放式指数证券投资基金及其联接基金募集时间安排的确认函》（基金部函[2010]79号）的核准，进行募集。本基金的基金合同于2010年3月31日正式生效。</w:t>
      </w:r>
    </w:p>
    <w:p w:rsidR="00564DD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AA30C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基金管理人依照恪尽职守、诚实信用、谨慎勤勉的原则管理和运用基金</w:t>
      </w:r>
      <w:r w:rsidRPr="00621B7F">
        <w:rPr>
          <w:rFonts w:asciiTheme="minorEastAsia" w:eastAsiaTheme="minorEastAsia" w:hAnsiTheme="minorEastAsia" w:hint="eastAsia"/>
          <w:color w:val="000000" w:themeColor="text1"/>
          <w:szCs w:val="21"/>
        </w:rPr>
        <w:t>财产</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但</w:t>
      </w:r>
      <w:r w:rsidRPr="00621B7F">
        <w:rPr>
          <w:rFonts w:asciiTheme="minorEastAsia" w:eastAsiaTheme="minorEastAsia" w:hAnsiTheme="minorEastAsia"/>
          <w:color w:val="000000" w:themeColor="text1"/>
          <w:szCs w:val="21"/>
        </w:rPr>
        <w:t>不保证基金一定盈利，也不保证最低收益</w:t>
      </w:r>
      <w:r w:rsidRPr="00621B7F">
        <w:rPr>
          <w:rFonts w:asciiTheme="minorEastAsia" w:eastAsiaTheme="minorEastAsia" w:hAnsiTheme="minorEastAsia" w:hint="eastAsia"/>
          <w:color w:val="000000" w:themeColor="text1"/>
          <w:szCs w:val="21"/>
        </w:rPr>
        <w:t>。</w:t>
      </w:r>
    </w:p>
    <w:p w:rsidR="00BC1FEE" w:rsidRPr="00621B7F" w:rsidP="00BC1FEE">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本基金标的指数为</w:t>
      </w:r>
      <w:r w:rsidRPr="00621B7F" w:rsidR="00E73223">
        <w:rPr>
          <w:rFonts w:asciiTheme="minorEastAsia" w:eastAsiaTheme="minorEastAsia" w:hAnsiTheme="minorEastAsia" w:hint="eastAsia"/>
          <w:color w:val="000000" w:themeColor="text1"/>
          <w:szCs w:val="21"/>
        </w:rPr>
        <w:t>上证中盘</w:t>
      </w:r>
      <w:r w:rsidRPr="00621B7F">
        <w:rPr>
          <w:rFonts w:asciiTheme="minorEastAsia" w:eastAsiaTheme="minorEastAsia" w:hAnsiTheme="minorEastAsia" w:hint="eastAsia"/>
          <w:color w:val="000000" w:themeColor="text1"/>
          <w:szCs w:val="21"/>
        </w:rPr>
        <w:t>指数。</w:t>
      </w:r>
    </w:p>
    <w:p w:rsidR="00BC1FEE" w:rsidRPr="00621B7F" w:rsidP="00BC1FEE">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（1）指数样本空间</w:t>
      </w:r>
    </w:p>
    <w:p w:rsidR="00BC1FEE" w:rsidRPr="00621B7F" w:rsidP="00E73223">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同</w:t>
      </w:r>
      <w:r w:rsidRPr="00621B7F" w:rsidR="00E73223">
        <w:rPr>
          <w:rFonts w:asciiTheme="minorEastAsia" w:eastAsiaTheme="minorEastAsia" w:hAnsiTheme="minorEastAsia" w:hint="eastAsia"/>
          <w:color w:val="000000" w:themeColor="text1"/>
          <w:szCs w:val="21"/>
        </w:rPr>
        <w:t>上证</w:t>
      </w:r>
      <w:r w:rsidRPr="00621B7F" w:rsidR="00E73223">
        <w:rPr>
          <w:rFonts w:asciiTheme="minorEastAsia" w:eastAsiaTheme="minorEastAsia" w:hAnsiTheme="minorEastAsia"/>
          <w:color w:val="000000" w:themeColor="text1"/>
          <w:szCs w:val="21"/>
        </w:rPr>
        <w:t>180</w:t>
      </w:r>
      <w:r w:rsidRPr="00621B7F">
        <w:rPr>
          <w:rFonts w:asciiTheme="minorEastAsia" w:eastAsiaTheme="minorEastAsia" w:hAnsiTheme="minorEastAsia" w:hint="eastAsia"/>
          <w:color w:val="000000" w:themeColor="text1"/>
          <w:szCs w:val="21"/>
        </w:rPr>
        <w:t>指数的样本空间。</w:t>
      </w:r>
    </w:p>
    <w:p w:rsidR="00BC1FEE" w:rsidRPr="00621B7F" w:rsidP="00BC1FEE">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（2）选样方法</w:t>
      </w:r>
    </w:p>
    <w:p w:rsidR="00BC1FEE" w:rsidRPr="00621B7F" w:rsidP="00BC1FEE">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上证中盘指数样本由上证180指数样本中非上证50指数样本的130家上市公司证券构成。</w:t>
      </w:r>
    </w:p>
    <w:p w:rsidR="00BC1FEE" w:rsidRPr="00621B7F" w:rsidP="00BC1FEE">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（3）指数计算</w:t>
      </w:r>
    </w:p>
    <w:p w:rsidR="00BC1FEE" w:rsidRPr="00621B7F" w:rsidP="00BC1FEE">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指数计算公式为：报告期指数=报告期样本的调整市值/除数×1000。其中，调整市值＝Σ（证券价格×调整股本数）。调整股本数的计算方法、除数修正方法参见计算与维护细则。</w:t>
      </w:r>
    </w:p>
    <w:p w:rsidR="00D6046E" w:rsidRPr="00621B7F" w:rsidP="00BC1FEE">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有关标的指数具体编制方案及成份股信息详见上海证券交易所网站，网址：</w:t>
      </w:r>
      <w:r w:rsidRPr="00621B7F">
        <w:rPr>
          <w:rFonts w:asciiTheme="minorEastAsia" w:eastAsiaTheme="minorEastAsia" w:hAnsiTheme="minorEastAsia"/>
          <w:color w:val="000000" w:themeColor="text1"/>
          <w:szCs w:val="21"/>
        </w:rPr>
        <w:t xml:space="preserve"> www.sse.com.cn</w:t>
      </w:r>
      <w:r w:rsidRPr="00621B7F">
        <w:rPr>
          <w:rFonts w:asciiTheme="minorEastAsia" w:eastAsiaTheme="minorEastAsia" w:hAnsiTheme="minorEastAsia" w:hint="eastAsia"/>
          <w:color w:val="000000" w:themeColor="text1"/>
          <w:szCs w:val="21"/>
        </w:rPr>
        <w:t>。</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为易方达上证中盘交易型开放式指数证券投资基金（以下简称目标ETF）的联接基金，其投资目标是紧密跟踪业绩比较基准，追求跟踪偏离度及跟踪误差的最小化。本基金投资于目标ETF的资产不低于基金资产净值的90%。</w:t>
      </w:r>
      <w:r w:rsidRPr="00621B7F" w:rsidR="005E4F8E">
        <w:rPr>
          <w:rFonts w:asciiTheme="minorEastAsia" w:eastAsiaTheme="minorEastAsia" w:hAnsiTheme="minorEastAsia" w:hint="eastAsia"/>
          <w:color w:val="000000" w:themeColor="text1"/>
          <w:szCs w:val="21"/>
        </w:rPr>
        <w:t>本基金投资于证券市场，基金净值会因为证券市场波动等因素产生波动，投资者在投资本基金前，请认真阅读本招募说明书，全面认识本基金产品的风险收益特征和产品特性，充分考虑自身的风险承受能力，理性判断市场，对认购（或申购）基金的意愿、时机、数量等投资行为作出独立决策，获得基金投资收益，亦承担基金投资中出现的各类风险。投资本基金可能遇到的风险包括：</w:t>
      </w:r>
      <w:r w:rsidRPr="00621B7F">
        <w:rPr>
          <w:rFonts w:asciiTheme="minorEastAsia" w:eastAsiaTheme="minorEastAsia" w:hAnsiTheme="minorEastAsia" w:hint="eastAsia"/>
          <w:color w:val="000000" w:themeColor="text1"/>
          <w:szCs w:val="21"/>
        </w:rPr>
        <w:t>本基金特有风险，主要包括指数波动的风险、指数编制机构发布数据错误的风险、基金收益率与业绩比较基准收益率偏离的风险</w:t>
      </w:r>
      <w:r w:rsidRPr="00621B7F" w:rsidR="00DD01DC">
        <w:rPr>
          <w:rFonts w:asciiTheme="minorEastAsia" w:eastAsiaTheme="minorEastAsia" w:hAnsiTheme="minorEastAsia" w:hint="eastAsia"/>
          <w:color w:val="000000" w:themeColor="text1"/>
          <w:szCs w:val="21"/>
        </w:rPr>
        <w:t>、</w:t>
      </w:r>
      <w:r w:rsidRPr="00621B7F" w:rsidR="00A60780">
        <w:rPr>
          <w:rFonts w:asciiTheme="minorEastAsia" w:eastAsiaTheme="minorEastAsia" w:hAnsiTheme="minorEastAsia" w:hint="eastAsia"/>
          <w:color w:val="000000" w:themeColor="text1"/>
          <w:szCs w:val="21"/>
        </w:rPr>
        <w:t>跟踪误差控制未达约定目标的风险、指数编制机构停止服务的风险、成份股停牌的风险、</w:t>
      </w:r>
      <w:r w:rsidRPr="00621B7F" w:rsidR="00DD01DC">
        <w:rPr>
          <w:rFonts w:asciiTheme="minorEastAsia" w:eastAsiaTheme="minorEastAsia" w:hAnsiTheme="minorEastAsia" w:hint="eastAsia"/>
          <w:color w:val="000000" w:themeColor="text1"/>
          <w:szCs w:val="21"/>
        </w:rPr>
        <w:t>可能具有与目标ETF不同的风险收益特征及净值增长率、目标ETF面临的风险可能直接或间接成为本基金的风险、投资存托凭证的特有风险</w:t>
      </w:r>
      <w:r w:rsidRPr="00621B7F">
        <w:rPr>
          <w:rFonts w:asciiTheme="minorEastAsia" w:eastAsiaTheme="minorEastAsia" w:hAnsiTheme="minorEastAsia" w:hint="eastAsia"/>
          <w:color w:val="000000" w:themeColor="text1"/>
          <w:szCs w:val="21"/>
        </w:rPr>
        <w:t>等；市场风险；流动性风险；</w:t>
      </w:r>
      <w:r w:rsidRPr="00621B7F" w:rsidR="0033182F">
        <w:rPr>
          <w:rFonts w:asciiTheme="minorEastAsia" w:eastAsiaTheme="minorEastAsia" w:hAnsiTheme="minorEastAsia" w:hint="eastAsia"/>
          <w:color w:val="000000" w:themeColor="text1"/>
          <w:szCs w:val="21"/>
        </w:rPr>
        <w:t>本基金法律文件中涉及基金风险特征的表述与销售机构对基金的风险评级可能不一致的风</w:t>
      </w:r>
      <w:r w:rsidRPr="00621B7F" w:rsidR="0033182F">
        <w:rPr>
          <w:rFonts w:asciiTheme="minorEastAsia" w:eastAsiaTheme="minorEastAsia" w:hAnsiTheme="minorEastAsia" w:hint="eastAsia"/>
          <w:color w:val="000000" w:themeColor="text1"/>
          <w:szCs w:val="21"/>
        </w:rPr>
        <w:t>险；</w:t>
      </w:r>
      <w:r w:rsidRPr="00621B7F">
        <w:rPr>
          <w:rFonts w:asciiTheme="minorEastAsia" w:eastAsiaTheme="minorEastAsia" w:hAnsiTheme="minorEastAsia" w:hint="eastAsia"/>
          <w:color w:val="000000" w:themeColor="text1"/>
          <w:szCs w:val="21"/>
        </w:rPr>
        <w:t>管理风险；其他风险；</w:t>
      </w:r>
      <w:r w:rsidRPr="00621B7F" w:rsidR="005E4F8E">
        <w:rPr>
          <w:rFonts w:asciiTheme="minorEastAsia" w:eastAsiaTheme="minorEastAsia" w:hAnsiTheme="minorEastAsia" w:hint="eastAsia"/>
          <w:color w:val="000000" w:themeColor="text1"/>
          <w:szCs w:val="21"/>
        </w:rPr>
        <w:t>等等。基金管理人提醒</w:t>
      </w:r>
      <w:r w:rsidRPr="00621B7F" w:rsidR="00192CE8">
        <w:rPr>
          <w:rFonts w:asciiTheme="minorEastAsia" w:eastAsiaTheme="minorEastAsia" w:hAnsiTheme="minorEastAsia" w:hint="eastAsia"/>
          <w:color w:val="000000" w:themeColor="text1"/>
          <w:szCs w:val="21"/>
        </w:rPr>
        <w:t>投资者</w:t>
      </w:r>
      <w:r w:rsidRPr="00621B7F" w:rsidR="005E4F8E">
        <w:rPr>
          <w:rFonts w:asciiTheme="minorEastAsia" w:eastAsiaTheme="minorEastAsia" w:hAnsiTheme="minorEastAsia" w:hint="eastAsia"/>
          <w:color w:val="000000" w:themeColor="text1"/>
          <w:szCs w:val="21"/>
        </w:rPr>
        <w:t>基金投资的“买者自负”原则，在</w:t>
      </w:r>
      <w:r w:rsidRPr="00621B7F" w:rsidR="00192CE8">
        <w:rPr>
          <w:rFonts w:asciiTheme="minorEastAsia" w:eastAsiaTheme="minorEastAsia" w:hAnsiTheme="minorEastAsia" w:hint="eastAsia"/>
          <w:color w:val="000000" w:themeColor="text1"/>
          <w:szCs w:val="21"/>
        </w:rPr>
        <w:t>投资者</w:t>
      </w:r>
      <w:r w:rsidRPr="00621B7F" w:rsidR="005E4F8E">
        <w:rPr>
          <w:rFonts w:asciiTheme="minorEastAsia" w:eastAsiaTheme="minorEastAsia" w:hAnsiTheme="minorEastAsia" w:hint="eastAsia"/>
          <w:color w:val="000000" w:themeColor="text1"/>
          <w:szCs w:val="21"/>
        </w:rPr>
        <w:t>作出投资决策后，基金运营状况与基金净值变化引致的投资风险，由</w:t>
      </w:r>
      <w:r w:rsidRPr="00621B7F" w:rsidR="00192CE8">
        <w:rPr>
          <w:rFonts w:asciiTheme="minorEastAsia" w:eastAsiaTheme="minorEastAsia" w:hAnsiTheme="minorEastAsia" w:hint="eastAsia"/>
          <w:color w:val="000000" w:themeColor="text1"/>
          <w:szCs w:val="21"/>
        </w:rPr>
        <w:t>投资者</w:t>
      </w:r>
      <w:r w:rsidRPr="00621B7F" w:rsidR="005E4F8E">
        <w:rPr>
          <w:rFonts w:asciiTheme="minorEastAsia" w:eastAsiaTheme="minorEastAsia" w:hAnsiTheme="minorEastAsia" w:hint="eastAsia"/>
          <w:color w:val="000000" w:themeColor="text1"/>
          <w:szCs w:val="21"/>
        </w:rPr>
        <w:t>自行负责。</w:t>
      </w:r>
    </w:p>
    <w:p w:rsidR="00D05CC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基金不同于银行储蓄</w:t>
      </w:r>
      <w:r w:rsidRPr="00621B7F" w:rsidR="00564DDD">
        <w:rPr>
          <w:rFonts w:asciiTheme="minorEastAsia" w:eastAsiaTheme="minorEastAsia" w:hAnsiTheme="minorEastAsia" w:hint="eastAsia"/>
          <w:color w:val="000000" w:themeColor="text1"/>
        </w:rPr>
        <w:t>，基金投资人有可能获得较高的收益，也有可能损失本金。</w:t>
      </w:r>
      <w:r w:rsidRPr="00621B7F" w:rsidR="005B7819">
        <w:rPr>
          <w:rFonts w:asciiTheme="minorEastAsia" w:eastAsiaTheme="minorEastAsia" w:hAnsiTheme="minorEastAsia"/>
          <w:color w:val="000000" w:themeColor="text1"/>
        </w:rPr>
        <w:t>投资有风险</w:t>
      </w:r>
      <w:r w:rsidRPr="00621B7F" w:rsidR="005B7819">
        <w:rPr>
          <w:rFonts w:asciiTheme="minorEastAsia" w:eastAsiaTheme="minorEastAsia" w:hAnsiTheme="minorEastAsia" w:hint="eastAsia"/>
          <w:color w:val="000000" w:themeColor="text1"/>
        </w:rPr>
        <w:t>，</w:t>
      </w:r>
      <w:r w:rsidRPr="00621B7F" w:rsidR="005B7819">
        <w:rPr>
          <w:rFonts w:asciiTheme="minorEastAsia" w:eastAsiaTheme="minorEastAsia" w:hAnsiTheme="minorEastAsia"/>
          <w:color w:val="000000" w:themeColor="text1"/>
        </w:rPr>
        <w:t>投资者</w:t>
      </w:r>
      <w:r w:rsidRPr="00621B7F" w:rsidR="005B7819">
        <w:rPr>
          <w:rFonts w:asciiTheme="minorEastAsia" w:eastAsiaTheme="minorEastAsia" w:hAnsiTheme="minorEastAsia" w:hint="eastAsia"/>
          <w:color w:val="000000" w:themeColor="text1"/>
        </w:rPr>
        <w:t>投资本</w:t>
      </w:r>
      <w:r w:rsidRPr="00621B7F" w:rsidR="005B7819">
        <w:rPr>
          <w:rFonts w:asciiTheme="minorEastAsia" w:eastAsiaTheme="minorEastAsia" w:hAnsiTheme="minorEastAsia"/>
          <w:color w:val="000000" w:themeColor="text1"/>
        </w:rPr>
        <w:t>基金时应认真阅读本</w:t>
      </w:r>
      <w:r w:rsidRPr="00621B7F" w:rsidR="00E70535">
        <w:rPr>
          <w:rFonts w:asciiTheme="minorEastAsia" w:eastAsiaTheme="minorEastAsia" w:hAnsiTheme="minorEastAsia" w:hint="eastAsia"/>
          <w:color w:val="000000" w:themeColor="text1"/>
        </w:rPr>
        <w:t>招募说明书、基金合同和基金产品资料概要等信息披露文件</w:t>
      </w:r>
      <w:r w:rsidRPr="00621B7F" w:rsidR="005B7819">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szCs w:val="21"/>
        </w:rPr>
        <w:t>基金的过往业绩并不预示其未来表现。</w:t>
      </w:r>
    </w:p>
    <w:p w:rsidR="00564DD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基金的过往业绩并不预示其未来表现。</w:t>
      </w:r>
    </w:p>
    <w:p w:rsidR="00D05CC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本基金与目标ETF的联系与区别</w:t>
      </w:r>
    </w:p>
    <w:p w:rsidR="00D05CC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本基金为上证中盘ETF的联接基金，二者既有联系也有区别：（1）在基金的投资方法方面，上证中盘ETF</w:t>
      </w:r>
      <w:r w:rsidRPr="00621B7F">
        <w:rPr>
          <w:rFonts w:asciiTheme="minorEastAsia" w:eastAsiaTheme="minorEastAsia" w:hAnsiTheme="minorEastAsia"/>
          <w:color w:val="000000" w:themeColor="text1"/>
          <w:szCs w:val="21"/>
        </w:rPr>
        <w:t>采取完全复制法</w:t>
      </w:r>
      <w:r w:rsidRPr="00621B7F">
        <w:rPr>
          <w:rFonts w:asciiTheme="minorEastAsia" w:eastAsiaTheme="minorEastAsia" w:hAnsiTheme="minorEastAsia" w:hint="eastAsia"/>
          <w:color w:val="000000" w:themeColor="text1"/>
          <w:szCs w:val="21"/>
        </w:rPr>
        <w:t>，直接投资于标的指数的成份股；而本基金则采取间接的方法，通过将绝大部分基金财产投资于上证中盘ETF，实现对业绩比较基准的紧密跟踪。（2）在交易方式方面，投资者既可以像股票一样在交易所市场买上证中盘ETF，也可以</w:t>
      </w:r>
      <w:r w:rsidRPr="00621B7F" w:rsidR="00C0039B">
        <w:rPr>
          <w:rFonts w:asciiTheme="minorEastAsia" w:eastAsiaTheme="minorEastAsia" w:hAnsiTheme="minorEastAsia" w:hint="eastAsia"/>
          <w:color w:val="000000" w:themeColor="text1"/>
          <w:szCs w:val="21"/>
        </w:rPr>
        <w:t>申购或赎回</w:t>
      </w:r>
      <w:r w:rsidRPr="00621B7F">
        <w:rPr>
          <w:rFonts w:asciiTheme="minorEastAsia" w:eastAsiaTheme="minorEastAsia" w:hAnsiTheme="minorEastAsia" w:hint="eastAsia"/>
          <w:color w:val="000000" w:themeColor="text1"/>
          <w:szCs w:val="21"/>
        </w:rPr>
        <w:t>上证中盘ETF；而本基金则像普通的开放式基金一样，通过基金</w:t>
      </w:r>
      <w:r w:rsidRPr="00621B7F" w:rsidR="001F2A17">
        <w:rPr>
          <w:rFonts w:asciiTheme="minorEastAsia" w:eastAsiaTheme="minorEastAsia" w:hAnsiTheme="minorEastAsia" w:hint="eastAsia"/>
          <w:color w:val="000000" w:themeColor="text1"/>
          <w:szCs w:val="21"/>
        </w:rPr>
        <w:t>销售</w:t>
      </w:r>
      <w:r w:rsidRPr="00621B7F">
        <w:rPr>
          <w:rFonts w:asciiTheme="minorEastAsia" w:eastAsiaTheme="minorEastAsia" w:hAnsiTheme="minorEastAsia" w:hint="eastAsia"/>
          <w:color w:val="000000" w:themeColor="text1"/>
          <w:szCs w:val="21"/>
        </w:rPr>
        <w:t>机构按未知价法进行基金的申购与赎回。</w:t>
      </w:r>
    </w:p>
    <w:p w:rsidR="00E70535" w:rsidRPr="00621B7F" w:rsidP="00DD01DC">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本基金与上证中盘ETF业绩表现可能出现差异。可能引发差异的因素主要包括：（1）法规对投资比例的要求。上证中盘ETF作为一种特殊的基金品种，可</w:t>
      </w:r>
      <w:r w:rsidRPr="00621B7F">
        <w:rPr>
          <w:rFonts w:asciiTheme="minorEastAsia" w:eastAsiaTheme="minorEastAsia" w:hAnsiTheme="minorEastAsia"/>
          <w:color w:val="000000" w:themeColor="text1"/>
          <w:szCs w:val="21"/>
        </w:rPr>
        <w:t>将全部或接近全部的基金资产</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用于跟踪标的指数的表现</w:t>
      </w:r>
      <w:r w:rsidRPr="00621B7F">
        <w:rPr>
          <w:rFonts w:asciiTheme="minorEastAsia" w:eastAsiaTheme="minorEastAsia" w:hAnsiTheme="minorEastAsia" w:hint="eastAsia"/>
          <w:color w:val="000000" w:themeColor="text1"/>
          <w:szCs w:val="21"/>
        </w:rPr>
        <w:t>；而本基金作为普通的开放式基金，仍需将不低于基金资产净值5%的资产投资于</w:t>
      </w:r>
      <w:r w:rsidRPr="00621B7F">
        <w:rPr>
          <w:rFonts w:asciiTheme="minorEastAsia" w:eastAsiaTheme="minorEastAsia" w:hAnsiTheme="minorEastAsia"/>
          <w:color w:val="000000" w:themeColor="text1"/>
          <w:szCs w:val="21"/>
        </w:rPr>
        <w:t>现金或者到期日在一年以内的政府债券</w:t>
      </w:r>
      <w:r w:rsidRPr="00621B7F">
        <w:rPr>
          <w:rFonts w:asciiTheme="minorEastAsia" w:eastAsiaTheme="minorEastAsia" w:hAnsiTheme="minorEastAsia" w:hint="eastAsia"/>
          <w:color w:val="000000" w:themeColor="text1"/>
          <w:szCs w:val="21"/>
        </w:rPr>
        <w:t>。（2）申购赎回的影响。上证中盘ETF</w:t>
      </w:r>
      <w:r w:rsidRPr="00621B7F" w:rsidR="00C0039B">
        <w:rPr>
          <w:rFonts w:asciiTheme="minorEastAsia" w:eastAsiaTheme="minorEastAsia" w:hAnsiTheme="minorEastAsia" w:hint="eastAsia"/>
          <w:color w:val="000000" w:themeColor="text1"/>
          <w:szCs w:val="21"/>
        </w:rPr>
        <w:t>场内申购、赎回</w:t>
      </w:r>
      <w:r w:rsidRPr="00621B7F">
        <w:rPr>
          <w:rFonts w:asciiTheme="minorEastAsia" w:eastAsiaTheme="minorEastAsia" w:hAnsiTheme="minorEastAsia" w:hint="eastAsia"/>
          <w:color w:val="000000" w:themeColor="text1"/>
          <w:szCs w:val="21"/>
        </w:rPr>
        <w:t>采取实物申赎的方式，申购赎回对基金净值影响较小；</w:t>
      </w:r>
      <w:r w:rsidRPr="00621B7F" w:rsidR="00C0039B">
        <w:rPr>
          <w:rFonts w:asciiTheme="minorEastAsia" w:eastAsiaTheme="minorEastAsia" w:hAnsiTheme="minorEastAsia" w:hint="eastAsia"/>
          <w:color w:val="000000" w:themeColor="text1"/>
          <w:szCs w:val="21"/>
        </w:rPr>
        <w:t>发生场外申购、赎回时，基金管理人可收取一定费用并归入基金资产作为场外现金申购、赎回对基金资产可能造成的影响的补偿，因此申购、赎回可能对基金净值影响较小。</w:t>
      </w:r>
      <w:r w:rsidRPr="00621B7F">
        <w:rPr>
          <w:rFonts w:asciiTheme="minorEastAsia" w:eastAsiaTheme="minorEastAsia" w:hAnsiTheme="minorEastAsia" w:hint="eastAsia"/>
          <w:color w:val="000000" w:themeColor="text1"/>
          <w:szCs w:val="21"/>
        </w:rPr>
        <w:t>而本基金申赎采取现金方式，</w:t>
      </w:r>
      <w:r w:rsidRPr="00621B7F" w:rsidR="009C712C">
        <w:rPr>
          <w:rFonts w:asciiTheme="minorEastAsia" w:eastAsiaTheme="minorEastAsia" w:hAnsiTheme="minorEastAsia" w:hint="eastAsia"/>
          <w:color w:val="000000" w:themeColor="text1"/>
          <w:szCs w:val="21"/>
        </w:rPr>
        <w:t>大额申赎可能会对基金净值产生一定影响，该影响可能无法得到补偿</w:t>
      </w:r>
      <w:r w:rsidRPr="00621B7F">
        <w:rPr>
          <w:rFonts w:asciiTheme="minorEastAsia" w:eastAsiaTheme="minorEastAsia" w:hAnsiTheme="minorEastAsia" w:hint="eastAsia"/>
          <w:color w:val="000000" w:themeColor="text1"/>
          <w:szCs w:val="21"/>
        </w:rPr>
        <w:t>。</w:t>
      </w:r>
    </w:p>
    <w:p w:rsidR="000C5026" w:rsidRPr="00621B7F" w:rsidP="00241F10">
      <w:pPr>
        <w:snapToGrid w:val="0"/>
        <w:spacing w:line="360" w:lineRule="auto"/>
        <w:ind w:firstLine="420" w:firstLineChars="200"/>
        <w:rPr>
          <w:rFonts w:asciiTheme="minorEastAsia" w:eastAsiaTheme="minorEastAsia" w:hAnsiTheme="minorEastAsia"/>
          <w:b/>
          <w:color w:val="000000" w:themeColor="text1"/>
          <w:szCs w:val="21"/>
        </w:rPr>
      </w:pPr>
      <w:r>
        <w:t>本基金有关财务数据截止日为</w:t>
      </w:r>
      <w:r>
        <w:t>2021</w:t>
      </w:r>
      <w:r>
        <w:t>年</w:t>
      </w:r>
      <w:r>
        <w:t>9</w:t>
      </w:r>
      <w:r>
        <w:t>月</w:t>
      </w:r>
      <w:r>
        <w:t>30</w:t>
      </w:r>
      <w:r>
        <w:t>日，净值表现截止日为</w:t>
      </w:r>
      <w:r>
        <w:t>2020</w:t>
      </w:r>
      <w:r>
        <w:t>年</w:t>
      </w:r>
      <w:r>
        <w:t>12</w:t>
      </w:r>
      <w:r>
        <w:t>月</w:t>
      </w:r>
      <w:r>
        <w:t>31</w:t>
      </w:r>
      <w:r>
        <w:t>日，主要人员情况截止日为</w:t>
      </w:r>
      <w:r>
        <w:t>2021</w:t>
      </w:r>
      <w:r>
        <w:t>年</w:t>
      </w:r>
      <w:r>
        <w:t>12</w:t>
      </w:r>
      <w:r>
        <w:t>月</w:t>
      </w:r>
      <w:r>
        <w:t>30</w:t>
      </w:r>
      <w:r>
        <w:t>日，除非另有说明，本招募说明书其他所载内容截止日为</w:t>
      </w:r>
      <w:r>
        <w:t>2021</w:t>
      </w:r>
      <w:r>
        <w:t>年</w:t>
      </w:r>
      <w:r>
        <w:t>11</w:t>
      </w:r>
      <w:r>
        <w:t>月</w:t>
      </w:r>
      <w:r>
        <w:t>16</w:t>
      </w:r>
      <w:r>
        <w:t>日。（本报告中财务数据未经审计）</w:t>
      </w:r>
    </w:p>
    <w:p w:rsidR="004D637B" w:rsidRPr="00621B7F" w:rsidP="00241F10">
      <w:pPr>
        <w:adjustRightInd w:val="0"/>
        <w:snapToGrid w:val="0"/>
        <w:spacing w:line="360" w:lineRule="auto"/>
        <w:jc w:val="center"/>
        <w:rPr>
          <w:rFonts w:asciiTheme="minorEastAsia" w:eastAsiaTheme="minorEastAsia" w:hAnsiTheme="minorEastAsia"/>
          <w:b/>
          <w:color w:val="000000" w:themeColor="text1"/>
          <w:szCs w:val="21"/>
        </w:rPr>
        <w:sectPr w:rsidSect="006B7524">
          <w:headerReference w:type="even" r:id="rId5"/>
          <w:headerReference w:type="default" r:id="rId6"/>
          <w:footerReference w:type="even" r:id="rId7"/>
          <w:footerReference w:type="default" r:id="rId8"/>
          <w:headerReference w:type="first" r:id="rId9"/>
          <w:footerReference w:type="first" r:id="rId10"/>
          <w:type w:val="continuous"/>
          <w:pgSz w:w="11907" w:h="16840" w:code="9"/>
          <w:pgMar w:top="1440" w:right="1800" w:bottom="1440" w:left="1800" w:header="1134" w:footer="1247" w:gutter="0"/>
          <w:pgNumType w:fmt="upperRoman" w:start="1"/>
          <w:cols w:space="425"/>
          <w:titlePg/>
          <w:docGrid w:type="lines" w:linePitch="447"/>
        </w:sectPr>
      </w:pPr>
    </w:p>
    <w:p w:rsidR="00266A27" w:rsidRPr="00621B7F" w:rsidP="00241F10">
      <w:pPr>
        <w:adjustRightInd w:val="0"/>
        <w:snapToGrid w:val="0"/>
        <w:spacing w:line="360" w:lineRule="auto"/>
        <w:jc w:val="center"/>
        <w:rPr>
          <w:rFonts w:asciiTheme="minorEastAsia" w:eastAsiaTheme="minorEastAsia" w:hAnsiTheme="minorEastAsia"/>
          <w:b/>
          <w:color w:val="000000" w:themeColor="text1"/>
          <w:sz w:val="28"/>
          <w:szCs w:val="28"/>
        </w:rPr>
      </w:pPr>
      <w:r w:rsidRPr="00621B7F">
        <w:rPr>
          <w:rFonts w:asciiTheme="minorEastAsia" w:eastAsiaTheme="minorEastAsia" w:hAnsiTheme="minorEastAsia" w:hint="eastAsia"/>
          <w:b/>
          <w:color w:val="000000" w:themeColor="text1"/>
          <w:sz w:val="28"/>
          <w:szCs w:val="28"/>
        </w:rPr>
        <w:t>目录</w:t>
      </w:r>
    </w:p>
    <w:p w:rsidR="000D49F4">
      <w:pPr>
        <w:pStyle w:val="TOC1"/>
        <w:rPr>
          <w:rFonts w:asciiTheme="minorHAnsi" w:eastAsiaTheme="minorEastAsia" w:hAnsiTheme="minorHAnsi" w:cstheme="minorBidi"/>
          <w:caps w:val="0"/>
          <w:sz w:val="21"/>
          <w:szCs w:val="22"/>
        </w:rPr>
      </w:pPr>
      <w:r w:rsidRPr="00621B7F">
        <w:rPr>
          <w:rFonts w:asciiTheme="minorEastAsia" w:eastAsiaTheme="minorEastAsia" w:hAnsiTheme="minorEastAsia"/>
          <w:b/>
          <w:caps w:val="0"/>
          <w:color w:val="000000" w:themeColor="text1"/>
          <w:szCs w:val="21"/>
        </w:rPr>
        <w:fldChar w:fldCharType="begin"/>
      </w:r>
      <w:r w:rsidRPr="00621B7F" w:rsidR="0066505B">
        <w:rPr>
          <w:rFonts w:asciiTheme="minorEastAsia" w:eastAsiaTheme="minorEastAsia" w:hAnsiTheme="minorEastAsia"/>
          <w:b/>
          <w:caps w:val="0"/>
          <w:color w:val="000000" w:themeColor="text1"/>
          <w:szCs w:val="21"/>
        </w:rPr>
        <w:instrText xml:space="preserve"> TOC \o "1-3" \h \z \u </w:instrText>
      </w:r>
      <w:r w:rsidRPr="00621B7F">
        <w:rPr>
          <w:rFonts w:asciiTheme="minorEastAsia" w:eastAsiaTheme="minorEastAsia" w:hAnsiTheme="minorEastAsia"/>
          <w:b/>
          <w:caps w:val="0"/>
          <w:color w:val="000000" w:themeColor="text1"/>
          <w:szCs w:val="21"/>
        </w:rPr>
        <w:fldChar w:fldCharType="separate"/>
      </w:r>
      <w:hyperlink w:anchor="_Toc91752012" w:history="1">
        <w:r w:rsidRPr="00020156">
          <w:rPr>
            <w:rStyle w:val="Hyperlink"/>
            <w:rFonts w:asciiTheme="minorEastAsia" w:hAnsiTheme="minorEastAsia" w:hint="eastAsia"/>
          </w:rPr>
          <w:t>一、绪言</w:t>
        </w:r>
        <w:r>
          <w:rPr>
            <w:webHidden/>
          </w:rPr>
          <w:tab/>
        </w:r>
        <w:r>
          <w:rPr>
            <w:webHidden/>
          </w:rPr>
          <w:fldChar w:fldCharType="begin"/>
        </w:r>
        <w:r>
          <w:rPr>
            <w:webHidden/>
          </w:rPr>
          <w:instrText xml:space="preserve"> PAGEREF _Toc91752012 \h </w:instrText>
        </w:r>
        <w:r>
          <w:rPr>
            <w:webHidden/>
          </w:rPr>
          <w:fldChar w:fldCharType="separate"/>
        </w:r>
        <w:r>
          <w:rPr>
            <w:webHidden/>
          </w:rPr>
          <w:t>1</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13" w:history="1">
        <w:r w:rsidRPr="00020156">
          <w:rPr>
            <w:rStyle w:val="Hyperlink"/>
            <w:rFonts w:asciiTheme="minorEastAsia" w:hAnsiTheme="minorEastAsia" w:hint="eastAsia"/>
          </w:rPr>
          <w:t>二、释义</w:t>
        </w:r>
        <w:r>
          <w:rPr>
            <w:webHidden/>
          </w:rPr>
          <w:tab/>
        </w:r>
        <w:r>
          <w:rPr>
            <w:webHidden/>
          </w:rPr>
          <w:fldChar w:fldCharType="begin"/>
        </w:r>
        <w:r>
          <w:rPr>
            <w:webHidden/>
          </w:rPr>
          <w:instrText xml:space="preserve"> PAGEREF _Toc91752013 \h </w:instrText>
        </w:r>
        <w:r>
          <w:rPr>
            <w:webHidden/>
          </w:rPr>
          <w:fldChar w:fldCharType="separate"/>
        </w:r>
        <w:r>
          <w:rPr>
            <w:webHidden/>
          </w:rPr>
          <w:t>2</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14" w:history="1">
        <w:r w:rsidRPr="00020156">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_Toc91752014 \h </w:instrText>
        </w:r>
        <w:r>
          <w:rPr>
            <w:webHidden/>
          </w:rPr>
          <w:fldChar w:fldCharType="separate"/>
        </w:r>
        <w:r>
          <w:rPr>
            <w:webHidden/>
          </w:rPr>
          <w:t>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15" w:history="1">
        <w:r w:rsidRPr="00020156">
          <w:rPr>
            <w:rStyle w:val="Hyperlink"/>
            <w:rFonts w:asciiTheme="minorEastAsia" w:hAnsiTheme="minorEastAsia" w:cs="仿宋_GB2312" w:hint="eastAsia"/>
            <w:bCs/>
            <w:kern w:val="0"/>
          </w:rPr>
          <w:t>（一）基金管理人基本情况</w:t>
        </w:r>
        <w:r>
          <w:rPr>
            <w:webHidden/>
          </w:rPr>
          <w:tab/>
        </w:r>
        <w:r>
          <w:rPr>
            <w:webHidden/>
          </w:rPr>
          <w:fldChar w:fldCharType="begin"/>
        </w:r>
        <w:r>
          <w:rPr>
            <w:webHidden/>
          </w:rPr>
          <w:instrText xml:space="preserve"> PAGEREF _Toc91752015 \h </w:instrText>
        </w:r>
        <w:r>
          <w:rPr>
            <w:webHidden/>
          </w:rPr>
          <w:fldChar w:fldCharType="separate"/>
        </w:r>
        <w:r>
          <w:rPr>
            <w:webHidden/>
          </w:rPr>
          <w:t>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16" w:history="1">
        <w:r w:rsidRPr="00020156">
          <w:rPr>
            <w:rStyle w:val="Hyperlink"/>
            <w:rFonts w:asciiTheme="minorEastAsia" w:hAnsiTheme="minorEastAsia" w:hint="eastAsia"/>
            <w:bCs/>
          </w:rPr>
          <w:t>（二）主要人员情况</w:t>
        </w:r>
        <w:r>
          <w:rPr>
            <w:webHidden/>
          </w:rPr>
          <w:tab/>
        </w:r>
        <w:r>
          <w:rPr>
            <w:webHidden/>
          </w:rPr>
          <w:fldChar w:fldCharType="begin"/>
        </w:r>
        <w:r>
          <w:rPr>
            <w:webHidden/>
          </w:rPr>
          <w:instrText xml:space="preserve"> PAGEREF _Toc91752016 \h </w:instrText>
        </w:r>
        <w:r>
          <w:rPr>
            <w:webHidden/>
          </w:rPr>
          <w:fldChar w:fldCharType="separate"/>
        </w:r>
        <w:r>
          <w:rPr>
            <w:webHidden/>
          </w:rPr>
          <w:t>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17" w:history="1">
        <w:r w:rsidRPr="00020156">
          <w:rPr>
            <w:rStyle w:val="Hyperlink"/>
            <w:rFonts w:asciiTheme="minorEastAsia" w:hAnsiTheme="minorEastAsia" w:hint="eastAsia"/>
            <w:bCs/>
          </w:rPr>
          <w:t>（三）基金管理人的职责</w:t>
        </w:r>
        <w:r>
          <w:rPr>
            <w:webHidden/>
          </w:rPr>
          <w:tab/>
        </w:r>
        <w:r>
          <w:rPr>
            <w:webHidden/>
          </w:rPr>
          <w:fldChar w:fldCharType="begin"/>
        </w:r>
        <w:r>
          <w:rPr>
            <w:webHidden/>
          </w:rPr>
          <w:instrText xml:space="preserve"> PAGEREF _Toc91752017 \h </w:instrText>
        </w:r>
        <w:r>
          <w:rPr>
            <w:webHidden/>
          </w:rPr>
          <w:fldChar w:fldCharType="separate"/>
        </w:r>
        <w:r>
          <w:rPr>
            <w:webHidden/>
          </w:rPr>
          <w:t>14</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18" w:history="1">
        <w:r w:rsidRPr="00020156">
          <w:rPr>
            <w:rStyle w:val="Hyperlink"/>
            <w:rFonts w:asciiTheme="minorEastAsia" w:hAnsiTheme="minorEastAsia" w:hint="eastAsia"/>
            <w:bCs/>
          </w:rPr>
          <w:t>（四）基金管理人的承诺</w:t>
        </w:r>
        <w:r>
          <w:rPr>
            <w:webHidden/>
          </w:rPr>
          <w:tab/>
        </w:r>
        <w:r>
          <w:rPr>
            <w:webHidden/>
          </w:rPr>
          <w:fldChar w:fldCharType="begin"/>
        </w:r>
        <w:r>
          <w:rPr>
            <w:webHidden/>
          </w:rPr>
          <w:instrText xml:space="preserve"> PAGEREF _Toc91752018 \h </w:instrText>
        </w:r>
        <w:r>
          <w:rPr>
            <w:webHidden/>
          </w:rPr>
          <w:fldChar w:fldCharType="separate"/>
        </w:r>
        <w:r>
          <w:rPr>
            <w:webHidden/>
          </w:rPr>
          <w:t>14</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19" w:history="1">
        <w:r w:rsidRPr="00020156">
          <w:rPr>
            <w:rStyle w:val="Hyperlink"/>
            <w:rFonts w:asciiTheme="minorEastAsia" w:hAnsiTheme="minorEastAsia" w:hint="eastAsia"/>
            <w:bCs/>
          </w:rPr>
          <w:t>（五）基金管理人的内部控制制度</w:t>
        </w:r>
        <w:r>
          <w:rPr>
            <w:webHidden/>
          </w:rPr>
          <w:tab/>
        </w:r>
        <w:r>
          <w:rPr>
            <w:webHidden/>
          </w:rPr>
          <w:fldChar w:fldCharType="begin"/>
        </w:r>
        <w:r>
          <w:rPr>
            <w:webHidden/>
          </w:rPr>
          <w:instrText xml:space="preserve"> PAGEREF _Toc91752019 \h </w:instrText>
        </w:r>
        <w:r>
          <w:rPr>
            <w:webHidden/>
          </w:rPr>
          <w:fldChar w:fldCharType="separate"/>
        </w:r>
        <w:r>
          <w:rPr>
            <w:webHidden/>
          </w:rPr>
          <w:t>15</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20" w:history="1">
        <w:r w:rsidRPr="00020156">
          <w:rPr>
            <w:rStyle w:val="Hyperlink"/>
            <w:rFonts w:asciiTheme="minorEastAsia" w:hAnsiTheme="minorEastAsia" w:hint="eastAsia"/>
            <w:bCs/>
          </w:rPr>
          <w:t>四、基金托管人</w:t>
        </w:r>
        <w:r>
          <w:rPr>
            <w:webHidden/>
          </w:rPr>
          <w:tab/>
        </w:r>
        <w:r>
          <w:rPr>
            <w:webHidden/>
          </w:rPr>
          <w:fldChar w:fldCharType="begin"/>
        </w:r>
        <w:r>
          <w:rPr>
            <w:webHidden/>
          </w:rPr>
          <w:instrText xml:space="preserve"> PAGEREF _Toc91752020 \h </w:instrText>
        </w:r>
        <w:r>
          <w:rPr>
            <w:webHidden/>
          </w:rPr>
          <w:fldChar w:fldCharType="separate"/>
        </w:r>
        <w:r>
          <w:rPr>
            <w:webHidden/>
          </w:rPr>
          <w:t>19</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21" w:history="1">
        <w:r w:rsidRPr="00020156">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_Toc91752021 \h </w:instrText>
        </w:r>
        <w:r>
          <w:rPr>
            <w:webHidden/>
          </w:rPr>
          <w:fldChar w:fldCharType="separate"/>
        </w:r>
        <w:r>
          <w:rPr>
            <w:webHidden/>
          </w:rPr>
          <w:t>23</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22" w:history="1">
        <w:r w:rsidRPr="00020156">
          <w:rPr>
            <w:rStyle w:val="Hyperlink"/>
            <w:rFonts w:asciiTheme="minorEastAsia" w:hAnsiTheme="minorEastAsia" w:hint="eastAsia"/>
            <w:bCs/>
          </w:rPr>
          <w:t>（一）基金份额销售机构</w:t>
        </w:r>
        <w:r>
          <w:rPr>
            <w:webHidden/>
          </w:rPr>
          <w:tab/>
        </w:r>
        <w:r>
          <w:rPr>
            <w:webHidden/>
          </w:rPr>
          <w:fldChar w:fldCharType="begin"/>
        </w:r>
        <w:r>
          <w:rPr>
            <w:webHidden/>
          </w:rPr>
          <w:instrText xml:space="preserve"> PAGEREF _Toc91752022 \h </w:instrText>
        </w:r>
        <w:r>
          <w:rPr>
            <w:webHidden/>
          </w:rPr>
          <w:fldChar w:fldCharType="separate"/>
        </w:r>
        <w:r>
          <w:rPr>
            <w:webHidden/>
          </w:rPr>
          <w:t>23</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23" w:history="1">
        <w:r w:rsidRPr="00020156">
          <w:rPr>
            <w:rStyle w:val="Hyperlink"/>
            <w:rFonts w:asciiTheme="minorEastAsia" w:hAnsiTheme="minorEastAsia" w:hint="eastAsia"/>
            <w:bCs/>
          </w:rPr>
          <w:t>（二）基金注册登记机构</w:t>
        </w:r>
        <w:r>
          <w:rPr>
            <w:webHidden/>
          </w:rPr>
          <w:tab/>
        </w:r>
        <w:r>
          <w:rPr>
            <w:webHidden/>
          </w:rPr>
          <w:fldChar w:fldCharType="begin"/>
        </w:r>
        <w:r>
          <w:rPr>
            <w:webHidden/>
          </w:rPr>
          <w:instrText xml:space="preserve"> PAGEREF _Toc91752023 \h </w:instrText>
        </w:r>
        <w:r>
          <w:rPr>
            <w:webHidden/>
          </w:rPr>
          <w:fldChar w:fldCharType="separate"/>
        </w:r>
        <w:r>
          <w:rPr>
            <w:webHidden/>
          </w:rPr>
          <w:t>23</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24" w:history="1">
        <w:r w:rsidRPr="00020156">
          <w:rPr>
            <w:rStyle w:val="Hyperlink"/>
            <w:rFonts w:asciiTheme="minorEastAsia" w:hAnsiTheme="minorEastAsia" w:hint="eastAsia"/>
            <w:bCs/>
          </w:rPr>
          <w:t>（三）律师事务所和经办律师</w:t>
        </w:r>
        <w:r>
          <w:rPr>
            <w:webHidden/>
          </w:rPr>
          <w:tab/>
        </w:r>
        <w:r>
          <w:rPr>
            <w:webHidden/>
          </w:rPr>
          <w:fldChar w:fldCharType="begin"/>
        </w:r>
        <w:r>
          <w:rPr>
            <w:webHidden/>
          </w:rPr>
          <w:instrText xml:space="preserve"> PAGEREF _Toc91752024 \h </w:instrText>
        </w:r>
        <w:r>
          <w:rPr>
            <w:webHidden/>
          </w:rPr>
          <w:fldChar w:fldCharType="separate"/>
        </w:r>
        <w:r>
          <w:rPr>
            <w:webHidden/>
          </w:rPr>
          <w:t>23</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25" w:history="1">
        <w:r w:rsidRPr="00020156">
          <w:rPr>
            <w:rStyle w:val="Hyperlink"/>
            <w:rFonts w:asciiTheme="minorEastAsia" w:hAnsiTheme="minorEastAsia" w:hint="eastAsia"/>
            <w:bCs/>
          </w:rPr>
          <w:t>（四）会计师事务所和经办注册会计师</w:t>
        </w:r>
        <w:r>
          <w:rPr>
            <w:webHidden/>
          </w:rPr>
          <w:tab/>
        </w:r>
        <w:r>
          <w:rPr>
            <w:webHidden/>
          </w:rPr>
          <w:fldChar w:fldCharType="begin"/>
        </w:r>
        <w:r>
          <w:rPr>
            <w:webHidden/>
          </w:rPr>
          <w:instrText xml:space="preserve"> PAGEREF _Toc91752025 \h </w:instrText>
        </w:r>
        <w:r>
          <w:rPr>
            <w:webHidden/>
          </w:rPr>
          <w:fldChar w:fldCharType="separate"/>
        </w:r>
        <w:r>
          <w:rPr>
            <w:webHidden/>
          </w:rPr>
          <w:t>24</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26" w:history="1">
        <w:r w:rsidRPr="00020156">
          <w:rPr>
            <w:rStyle w:val="Hyperlink"/>
            <w:rFonts w:asciiTheme="minorEastAsia" w:hAnsiTheme="minorEastAsia" w:hint="eastAsia"/>
            <w:bCs/>
          </w:rPr>
          <w:t>六、基金的募集</w:t>
        </w:r>
        <w:r>
          <w:rPr>
            <w:webHidden/>
          </w:rPr>
          <w:tab/>
        </w:r>
        <w:r>
          <w:rPr>
            <w:webHidden/>
          </w:rPr>
          <w:fldChar w:fldCharType="begin"/>
        </w:r>
        <w:r>
          <w:rPr>
            <w:webHidden/>
          </w:rPr>
          <w:instrText xml:space="preserve"> PAGEREF _Toc91752026 \h </w:instrText>
        </w:r>
        <w:r>
          <w:rPr>
            <w:webHidden/>
          </w:rPr>
          <w:fldChar w:fldCharType="separate"/>
        </w:r>
        <w:r>
          <w:rPr>
            <w:webHidden/>
          </w:rPr>
          <w:t>25</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27" w:history="1">
        <w:r w:rsidRPr="00020156">
          <w:rPr>
            <w:rStyle w:val="Hyperlink"/>
            <w:rFonts w:asciiTheme="minorEastAsia" w:hAnsiTheme="minorEastAsia" w:hint="eastAsia"/>
            <w:bCs/>
          </w:rPr>
          <w:t>七、基金合同的生效</w:t>
        </w:r>
        <w:r>
          <w:rPr>
            <w:webHidden/>
          </w:rPr>
          <w:tab/>
        </w:r>
        <w:r>
          <w:rPr>
            <w:webHidden/>
          </w:rPr>
          <w:fldChar w:fldCharType="begin"/>
        </w:r>
        <w:r>
          <w:rPr>
            <w:webHidden/>
          </w:rPr>
          <w:instrText xml:space="preserve"> PAGEREF _Toc91752027 \h </w:instrText>
        </w:r>
        <w:r>
          <w:rPr>
            <w:webHidden/>
          </w:rPr>
          <w:fldChar w:fldCharType="separate"/>
        </w:r>
        <w:r>
          <w:rPr>
            <w:webHidden/>
          </w:rPr>
          <w:t>26</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28" w:history="1">
        <w:r w:rsidRPr="00020156">
          <w:rPr>
            <w:rStyle w:val="Hyperlink"/>
            <w:rFonts w:asciiTheme="minorEastAsia" w:hAnsiTheme="minorEastAsia" w:hint="eastAsia"/>
          </w:rPr>
          <w:t>（一）基金合同的生效</w:t>
        </w:r>
        <w:r>
          <w:rPr>
            <w:webHidden/>
          </w:rPr>
          <w:tab/>
        </w:r>
        <w:r>
          <w:rPr>
            <w:webHidden/>
          </w:rPr>
          <w:fldChar w:fldCharType="begin"/>
        </w:r>
        <w:r>
          <w:rPr>
            <w:webHidden/>
          </w:rPr>
          <w:instrText xml:space="preserve"> PAGEREF _Toc91752028 \h </w:instrText>
        </w:r>
        <w:r>
          <w:rPr>
            <w:webHidden/>
          </w:rPr>
          <w:fldChar w:fldCharType="separate"/>
        </w:r>
        <w:r>
          <w:rPr>
            <w:webHidden/>
          </w:rPr>
          <w:t>26</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29" w:history="1">
        <w:r w:rsidRPr="00020156">
          <w:rPr>
            <w:rStyle w:val="Hyperlink"/>
            <w:rFonts w:asciiTheme="minorEastAsia" w:hAnsiTheme="minorEastAsia" w:hint="eastAsia"/>
          </w:rPr>
          <w:t>（二）基金存续期内的基金份额持有人数量和资产规模</w:t>
        </w:r>
        <w:r>
          <w:rPr>
            <w:webHidden/>
          </w:rPr>
          <w:tab/>
        </w:r>
        <w:r>
          <w:rPr>
            <w:webHidden/>
          </w:rPr>
          <w:fldChar w:fldCharType="begin"/>
        </w:r>
        <w:r>
          <w:rPr>
            <w:webHidden/>
          </w:rPr>
          <w:instrText xml:space="preserve"> PAGEREF _Toc91752029 \h </w:instrText>
        </w:r>
        <w:r>
          <w:rPr>
            <w:webHidden/>
          </w:rPr>
          <w:fldChar w:fldCharType="separate"/>
        </w:r>
        <w:r>
          <w:rPr>
            <w:webHidden/>
          </w:rPr>
          <w:t>26</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30" w:history="1">
        <w:r w:rsidRPr="00020156">
          <w:rPr>
            <w:rStyle w:val="Hyperlink"/>
            <w:rFonts w:asciiTheme="minorEastAsia" w:hAnsiTheme="minorEastAsia" w:hint="eastAsia"/>
            <w:bCs/>
          </w:rPr>
          <w:t>八、基金份额的申购、赎回</w:t>
        </w:r>
        <w:r>
          <w:rPr>
            <w:webHidden/>
          </w:rPr>
          <w:tab/>
        </w:r>
        <w:r>
          <w:rPr>
            <w:webHidden/>
          </w:rPr>
          <w:fldChar w:fldCharType="begin"/>
        </w:r>
        <w:r>
          <w:rPr>
            <w:webHidden/>
          </w:rPr>
          <w:instrText xml:space="preserve"> PAGEREF _Toc91752030 \h </w:instrText>
        </w:r>
        <w:r>
          <w:rPr>
            <w:webHidden/>
          </w:rPr>
          <w:fldChar w:fldCharType="separate"/>
        </w:r>
        <w:r>
          <w:rPr>
            <w:webHidden/>
          </w:rPr>
          <w:t>27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31" w:history="1">
        <w:r w:rsidRPr="00020156">
          <w:rPr>
            <w:rStyle w:val="Hyperlink"/>
            <w:rFonts w:asciiTheme="minorEastAsia" w:hAnsiTheme="minorEastAsia" w:hint="eastAsia"/>
          </w:rPr>
          <w:t>（一）基金投资者范围</w:t>
        </w:r>
        <w:r>
          <w:rPr>
            <w:webHidden/>
          </w:rPr>
          <w:tab/>
        </w:r>
        <w:r>
          <w:rPr>
            <w:webHidden/>
          </w:rPr>
          <w:fldChar w:fldCharType="begin"/>
        </w:r>
        <w:r>
          <w:rPr>
            <w:webHidden/>
          </w:rPr>
          <w:instrText xml:space="preserve"> PAGEREF _Toc91752031 \h </w:instrText>
        </w:r>
        <w:r>
          <w:rPr>
            <w:webHidden/>
          </w:rPr>
          <w:fldChar w:fldCharType="separate"/>
        </w:r>
        <w:r>
          <w:rPr>
            <w:webHidden/>
          </w:rPr>
          <w:t>27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32" w:history="1">
        <w:r w:rsidRPr="00020156">
          <w:rPr>
            <w:rStyle w:val="Hyperlink"/>
            <w:rFonts w:asciiTheme="minorEastAsia" w:hAnsiTheme="minorEastAsia" w:hint="eastAsia"/>
          </w:rPr>
          <w:t>（二）申购、赎回的场所</w:t>
        </w:r>
        <w:r>
          <w:rPr>
            <w:webHidden/>
          </w:rPr>
          <w:tab/>
        </w:r>
        <w:r>
          <w:rPr>
            <w:webHidden/>
          </w:rPr>
          <w:fldChar w:fldCharType="begin"/>
        </w:r>
        <w:r>
          <w:rPr>
            <w:webHidden/>
          </w:rPr>
          <w:instrText xml:space="preserve"> PAGEREF _Toc91752032 \h </w:instrText>
        </w:r>
        <w:r>
          <w:rPr>
            <w:webHidden/>
          </w:rPr>
          <w:fldChar w:fldCharType="separate"/>
        </w:r>
        <w:r>
          <w:rPr>
            <w:webHidden/>
          </w:rPr>
          <w:t>27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33" w:history="1">
        <w:r w:rsidRPr="00020156">
          <w:rPr>
            <w:rStyle w:val="Hyperlink"/>
            <w:rFonts w:asciiTheme="minorEastAsia" w:hAnsiTheme="minorEastAsia" w:hint="eastAsia"/>
          </w:rPr>
          <w:t>（三）申购、赎回的时间</w:t>
        </w:r>
        <w:r>
          <w:rPr>
            <w:webHidden/>
          </w:rPr>
          <w:tab/>
        </w:r>
        <w:r>
          <w:rPr>
            <w:webHidden/>
          </w:rPr>
          <w:fldChar w:fldCharType="begin"/>
        </w:r>
        <w:r>
          <w:rPr>
            <w:webHidden/>
          </w:rPr>
          <w:instrText xml:space="preserve"> PAGEREF _Toc91752033 \h </w:instrText>
        </w:r>
        <w:r>
          <w:rPr>
            <w:webHidden/>
          </w:rPr>
          <w:fldChar w:fldCharType="separate"/>
        </w:r>
        <w:r>
          <w:rPr>
            <w:webHidden/>
          </w:rPr>
          <w:t>27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34" w:history="1">
        <w:r w:rsidRPr="00020156">
          <w:rPr>
            <w:rStyle w:val="Hyperlink"/>
            <w:rFonts w:asciiTheme="minorEastAsia" w:hAnsiTheme="minorEastAsia" w:hint="eastAsia"/>
            <w:bCs/>
          </w:rPr>
          <w:t>（四）申购、赎回的原则</w:t>
        </w:r>
        <w:r>
          <w:rPr>
            <w:webHidden/>
          </w:rPr>
          <w:tab/>
        </w:r>
        <w:r>
          <w:rPr>
            <w:webHidden/>
          </w:rPr>
          <w:fldChar w:fldCharType="begin"/>
        </w:r>
        <w:r>
          <w:rPr>
            <w:webHidden/>
          </w:rPr>
          <w:instrText xml:space="preserve"> PAGEREF _Toc91752034 \h </w:instrText>
        </w:r>
        <w:r>
          <w:rPr>
            <w:webHidden/>
          </w:rPr>
          <w:fldChar w:fldCharType="separate"/>
        </w:r>
        <w:r>
          <w:rPr>
            <w:webHidden/>
          </w:rPr>
          <w:t>27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35" w:history="1">
        <w:r w:rsidRPr="00020156">
          <w:rPr>
            <w:rStyle w:val="Hyperlink"/>
            <w:rFonts w:asciiTheme="minorEastAsia" w:hAnsiTheme="minorEastAsia" w:hint="eastAsia"/>
          </w:rPr>
          <w:t>（五）申购、赎回的程序</w:t>
        </w:r>
        <w:r>
          <w:rPr>
            <w:webHidden/>
          </w:rPr>
          <w:tab/>
        </w:r>
        <w:r>
          <w:rPr>
            <w:webHidden/>
          </w:rPr>
          <w:fldChar w:fldCharType="begin"/>
        </w:r>
        <w:r>
          <w:rPr>
            <w:webHidden/>
          </w:rPr>
          <w:instrText xml:space="preserve"> PAGEREF _Toc91752035 \h </w:instrText>
        </w:r>
        <w:r>
          <w:rPr>
            <w:webHidden/>
          </w:rPr>
          <w:fldChar w:fldCharType="separate"/>
        </w:r>
        <w:r>
          <w:rPr>
            <w:webHidden/>
          </w:rPr>
          <w:t>28</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36" w:history="1">
        <w:r w:rsidRPr="00020156">
          <w:rPr>
            <w:rStyle w:val="Hyperlink"/>
            <w:rFonts w:asciiTheme="minorEastAsia" w:hAnsiTheme="minorEastAsia" w:hint="eastAsia"/>
          </w:rPr>
          <w:t>（六）申购、赎回的数额限制</w:t>
        </w:r>
        <w:r>
          <w:rPr>
            <w:webHidden/>
          </w:rPr>
          <w:tab/>
        </w:r>
        <w:r>
          <w:rPr>
            <w:webHidden/>
          </w:rPr>
          <w:fldChar w:fldCharType="begin"/>
        </w:r>
        <w:r>
          <w:rPr>
            <w:webHidden/>
          </w:rPr>
          <w:instrText xml:space="preserve"> PAGEREF _Toc91752036 \h </w:instrText>
        </w:r>
        <w:r>
          <w:rPr>
            <w:webHidden/>
          </w:rPr>
          <w:fldChar w:fldCharType="separate"/>
        </w:r>
        <w:r>
          <w:rPr>
            <w:webHidden/>
          </w:rPr>
          <w:t>28</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37" w:history="1">
        <w:r w:rsidRPr="00020156">
          <w:rPr>
            <w:rStyle w:val="Hyperlink"/>
            <w:rFonts w:asciiTheme="minorEastAsia" w:hAnsiTheme="minorEastAsia" w:hint="eastAsia"/>
          </w:rPr>
          <w:t>（七）申购、赎回的费率</w:t>
        </w:r>
        <w:r>
          <w:rPr>
            <w:webHidden/>
          </w:rPr>
          <w:tab/>
        </w:r>
        <w:r>
          <w:rPr>
            <w:webHidden/>
          </w:rPr>
          <w:fldChar w:fldCharType="begin"/>
        </w:r>
        <w:r>
          <w:rPr>
            <w:webHidden/>
          </w:rPr>
          <w:instrText xml:space="preserve"> PAGEREF _Toc91752037 \h </w:instrText>
        </w:r>
        <w:r>
          <w:rPr>
            <w:webHidden/>
          </w:rPr>
          <w:fldChar w:fldCharType="separate"/>
        </w:r>
        <w:r>
          <w:rPr>
            <w:webHidden/>
          </w:rPr>
          <w:t>29</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38" w:history="1">
        <w:r w:rsidRPr="00020156">
          <w:rPr>
            <w:rStyle w:val="Hyperlink"/>
            <w:rFonts w:asciiTheme="minorEastAsia" w:hAnsiTheme="minorEastAsia" w:hint="eastAsia"/>
          </w:rPr>
          <w:t>（八）申购份额、赎回金额的计算方式</w:t>
        </w:r>
        <w:r>
          <w:rPr>
            <w:webHidden/>
          </w:rPr>
          <w:tab/>
        </w:r>
        <w:r>
          <w:rPr>
            <w:webHidden/>
          </w:rPr>
          <w:fldChar w:fldCharType="begin"/>
        </w:r>
        <w:r>
          <w:rPr>
            <w:webHidden/>
          </w:rPr>
          <w:instrText xml:space="preserve"> PAGEREF _Toc91752038 \h </w:instrText>
        </w:r>
        <w:r>
          <w:rPr>
            <w:webHidden/>
          </w:rPr>
          <w:fldChar w:fldCharType="separate"/>
        </w:r>
        <w:r>
          <w:rPr>
            <w:webHidden/>
          </w:rPr>
          <w:t>30</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39" w:history="1">
        <w:r w:rsidRPr="00020156">
          <w:rPr>
            <w:rStyle w:val="Hyperlink"/>
            <w:rFonts w:asciiTheme="minorEastAsia" w:hAnsiTheme="minorEastAsia" w:hint="eastAsia"/>
          </w:rPr>
          <w:t>（九）申购、赎回的注册登记</w:t>
        </w:r>
        <w:r>
          <w:rPr>
            <w:webHidden/>
          </w:rPr>
          <w:tab/>
        </w:r>
        <w:r>
          <w:rPr>
            <w:webHidden/>
          </w:rPr>
          <w:fldChar w:fldCharType="begin"/>
        </w:r>
        <w:r>
          <w:rPr>
            <w:webHidden/>
          </w:rPr>
          <w:instrText xml:space="preserve"> PAGEREF _Toc91752039 \h </w:instrText>
        </w:r>
        <w:r>
          <w:rPr>
            <w:webHidden/>
          </w:rPr>
          <w:fldChar w:fldCharType="separate"/>
        </w:r>
        <w:r>
          <w:rPr>
            <w:webHidden/>
          </w:rPr>
          <w:t>32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40" w:history="1">
        <w:r w:rsidRPr="00020156">
          <w:rPr>
            <w:rStyle w:val="Hyperlink"/>
            <w:rFonts w:asciiTheme="minorEastAsia" w:hAnsiTheme="minorEastAsia" w:hint="eastAsia"/>
          </w:rPr>
          <w:t>（十）巨额赎回的认定及处理方式</w:t>
        </w:r>
        <w:r>
          <w:rPr>
            <w:webHidden/>
          </w:rPr>
          <w:tab/>
        </w:r>
        <w:r>
          <w:rPr>
            <w:webHidden/>
          </w:rPr>
          <w:fldChar w:fldCharType="begin"/>
        </w:r>
        <w:r>
          <w:rPr>
            <w:webHidden/>
          </w:rPr>
          <w:instrText xml:space="preserve"> PAGEREF _Toc91752040 \h </w:instrText>
        </w:r>
        <w:r>
          <w:rPr>
            <w:webHidden/>
          </w:rPr>
          <w:fldChar w:fldCharType="separate"/>
        </w:r>
        <w:r>
          <w:rPr>
            <w:webHidden/>
          </w:rPr>
          <w:t>32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41" w:history="1">
        <w:r w:rsidRPr="00020156">
          <w:rPr>
            <w:rStyle w:val="Hyperlink"/>
            <w:rFonts w:asciiTheme="minorEastAsia" w:hAnsiTheme="minorEastAsia" w:hint="eastAsia"/>
          </w:rPr>
          <w:t>（十一）</w:t>
        </w:r>
        <w:r w:rsidRPr="00020156">
          <w:rPr>
            <w:rStyle w:val="Hyperlink"/>
            <w:rFonts w:asciiTheme="minorEastAsia" w:hAnsiTheme="minorEastAsia" w:hint="eastAsia"/>
            <w:bCs/>
          </w:rPr>
          <w:t>拒绝或暂停申购、赎回的情形及处理方式</w:t>
        </w:r>
        <w:r>
          <w:rPr>
            <w:webHidden/>
          </w:rPr>
          <w:tab/>
        </w:r>
        <w:r>
          <w:rPr>
            <w:webHidden/>
          </w:rPr>
          <w:fldChar w:fldCharType="begin"/>
        </w:r>
        <w:r>
          <w:rPr>
            <w:webHidden/>
          </w:rPr>
          <w:instrText xml:space="preserve"> PAGEREF _Toc91752041 \h </w:instrText>
        </w:r>
        <w:r>
          <w:rPr>
            <w:webHidden/>
          </w:rPr>
          <w:fldChar w:fldCharType="separate"/>
        </w:r>
        <w:r>
          <w:rPr>
            <w:webHidden/>
          </w:rPr>
          <w:t>33</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42" w:history="1">
        <w:r w:rsidRPr="00020156">
          <w:rPr>
            <w:rStyle w:val="Hyperlink"/>
            <w:rFonts w:asciiTheme="minorEastAsia" w:hAnsiTheme="minorEastAsia" w:hint="eastAsia"/>
          </w:rPr>
          <w:t>九、基金转换</w:t>
        </w:r>
        <w:r>
          <w:rPr>
            <w:webHidden/>
          </w:rPr>
          <w:tab/>
        </w:r>
        <w:r>
          <w:rPr>
            <w:webHidden/>
          </w:rPr>
          <w:fldChar w:fldCharType="begin"/>
        </w:r>
        <w:r>
          <w:rPr>
            <w:webHidden/>
          </w:rPr>
          <w:instrText xml:space="preserve"> PAGEREF _Toc91752042 \h </w:instrText>
        </w:r>
        <w:r>
          <w:rPr>
            <w:webHidden/>
          </w:rPr>
          <w:fldChar w:fldCharType="separate"/>
        </w:r>
        <w:r>
          <w:rPr>
            <w:webHidden/>
          </w:rPr>
          <w:t>36</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43" w:history="1">
        <w:r w:rsidRPr="00020156">
          <w:rPr>
            <w:rStyle w:val="Hyperlink"/>
            <w:rFonts w:asciiTheme="minorEastAsia" w:hAnsiTheme="minorEastAsia" w:hint="eastAsia"/>
          </w:rPr>
          <w:t>（一）基金转换开始日及时间</w:t>
        </w:r>
        <w:r>
          <w:rPr>
            <w:webHidden/>
          </w:rPr>
          <w:tab/>
        </w:r>
        <w:r>
          <w:rPr>
            <w:webHidden/>
          </w:rPr>
          <w:fldChar w:fldCharType="begin"/>
        </w:r>
        <w:r>
          <w:rPr>
            <w:webHidden/>
          </w:rPr>
          <w:instrText xml:space="preserve"> PAGEREF _Toc91752043 \h </w:instrText>
        </w:r>
        <w:r>
          <w:rPr>
            <w:webHidden/>
          </w:rPr>
          <w:fldChar w:fldCharType="separate"/>
        </w:r>
        <w:r>
          <w:rPr>
            <w:webHidden/>
          </w:rPr>
          <w:t>36</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44" w:history="1">
        <w:r w:rsidRPr="00020156">
          <w:rPr>
            <w:rStyle w:val="Hyperlink"/>
            <w:rFonts w:asciiTheme="minorEastAsia" w:hAnsiTheme="minorEastAsia" w:hint="eastAsia"/>
          </w:rPr>
          <w:t>（二）基金转换的原则</w:t>
        </w:r>
        <w:r>
          <w:rPr>
            <w:webHidden/>
          </w:rPr>
          <w:tab/>
        </w:r>
        <w:r>
          <w:rPr>
            <w:webHidden/>
          </w:rPr>
          <w:fldChar w:fldCharType="begin"/>
        </w:r>
        <w:r>
          <w:rPr>
            <w:webHidden/>
          </w:rPr>
          <w:instrText xml:space="preserve"> PAGEREF _Toc91752044 \h </w:instrText>
        </w:r>
        <w:r>
          <w:rPr>
            <w:webHidden/>
          </w:rPr>
          <w:fldChar w:fldCharType="separate"/>
        </w:r>
        <w:r>
          <w:rPr>
            <w:webHidden/>
          </w:rPr>
          <w:t>36</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45" w:history="1">
        <w:r w:rsidRPr="00020156">
          <w:rPr>
            <w:rStyle w:val="Hyperlink"/>
            <w:rFonts w:asciiTheme="minorEastAsia" w:hAnsiTheme="minorEastAsia" w:hint="eastAsia"/>
          </w:rPr>
          <w:t>（三）基金转换的程序</w:t>
        </w:r>
        <w:r>
          <w:rPr>
            <w:webHidden/>
          </w:rPr>
          <w:tab/>
        </w:r>
        <w:r>
          <w:rPr>
            <w:webHidden/>
          </w:rPr>
          <w:fldChar w:fldCharType="begin"/>
        </w:r>
        <w:r>
          <w:rPr>
            <w:webHidden/>
          </w:rPr>
          <w:instrText xml:space="preserve"> PAGEREF _Toc91752045 \h </w:instrText>
        </w:r>
        <w:r>
          <w:rPr>
            <w:webHidden/>
          </w:rPr>
          <w:fldChar w:fldCharType="separate"/>
        </w:r>
        <w:r>
          <w:rPr>
            <w:webHidden/>
          </w:rPr>
          <w:t>36</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46" w:history="1">
        <w:r w:rsidRPr="00020156">
          <w:rPr>
            <w:rStyle w:val="Hyperlink"/>
            <w:rFonts w:asciiTheme="minorEastAsia" w:hAnsiTheme="minorEastAsia" w:hint="eastAsia"/>
          </w:rPr>
          <w:t>（四）基金转换的数额限制</w:t>
        </w:r>
        <w:r>
          <w:rPr>
            <w:webHidden/>
          </w:rPr>
          <w:tab/>
        </w:r>
        <w:r>
          <w:rPr>
            <w:webHidden/>
          </w:rPr>
          <w:fldChar w:fldCharType="begin"/>
        </w:r>
        <w:r>
          <w:rPr>
            <w:webHidden/>
          </w:rPr>
          <w:instrText xml:space="preserve"> PAGEREF _Toc91752046 \h </w:instrText>
        </w:r>
        <w:r>
          <w:rPr>
            <w:webHidden/>
          </w:rPr>
          <w:fldChar w:fldCharType="separate"/>
        </w:r>
        <w:r>
          <w:rPr>
            <w:webHidden/>
          </w:rPr>
          <w:t>37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47" w:history="1">
        <w:r w:rsidRPr="00020156">
          <w:rPr>
            <w:rStyle w:val="Hyperlink"/>
            <w:rFonts w:asciiTheme="minorEastAsia" w:hAnsiTheme="minorEastAsia" w:hint="eastAsia"/>
          </w:rPr>
          <w:t>（五）基金转换费率</w:t>
        </w:r>
        <w:r>
          <w:rPr>
            <w:webHidden/>
          </w:rPr>
          <w:tab/>
        </w:r>
        <w:r>
          <w:rPr>
            <w:webHidden/>
          </w:rPr>
          <w:fldChar w:fldCharType="begin"/>
        </w:r>
        <w:r>
          <w:rPr>
            <w:webHidden/>
          </w:rPr>
          <w:instrText xml:space="preserve"> PAGEREF _Toc91752047 \h </w:instrText>
        </w:r>
        <w:r>
          <w:rPr>
            <w:webHidden/>
          </w:rPr>
          <w:fldChar w:fldCharType="separate"/>
        </w:r>
        <w:r>
          <w:rPr>
            <w:webHidden/>
          </w:rPr>
          <w:t>37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48" w:history="1">
        <w:r w:rsidRPr="00020156">
          <w:rPr>
            <w:rStyle w:val="Hyperlink"/>
            <w:rFonts w:asciiTheme="minorEastAsia" w:hAnsiTheme="minorEastAsia" w:hint="eastAsia"/>
          </w:rPr>
          <w:t>（六）基金转换份额的计算方式</w:t>
        </w:r>
        <w:r>
          <w:rPr>
            <w:webHidden/>
          </w:rPr>
          <w:tab/>
        </w:r>
        <w:r>
          <w:rPr>
            <w:webHidden/>
          </w:rPr>
          <w:fldChar w:fldCharType="begin"/>
        </w:r>
        <w:r>
          <w:rPr>
            <w:webHidden/>
          </w:rPr>
          <w:instrText xml:space="preserve"> PAGEREF _Toc91752048 \h </w:instrText>
        </w:r>
        <w:r>
          <w:rPr>
            <w:webHidden/>
          </w:rPr>
          <w:fldChar w:fldCharType="separate"/>
        </w:r>
        <w:r>
          <w:rPr>
            <w:webHidden/>
          </w:rPr>
          <w:t>37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49" w:history="1">
        <w:r w:rsidRPr="00020156">
          <w:rPr>
            <w:rStyle w:val="Hyperlink"/>
            <w:rFonts w:asciiTheme="minorEastAsia" w:hAnsiTheme="minorEastAsia" w:hint="eastAsia"/>
          </w:rPr>
          <w:t>（七）基金转换的注册登记</w:t>
        </w:r>
        <w:r>
          <w:rPr>
            <w:webHidden/>
          </w:rPr>
          <w:tab/>
        </w:r>
        <w:r>
          <w:rPr>
            <w:webHidden/>
          </w:rPr>
          <w:fldChar w:fldCharType="begin"/>
        </w:r>
        <w:r>
          <w:rPr>
            <w:webHidden/>
          </w:rPr>
          <w:instrText xml:space="preserve"> PAGEREF _Toc91752049 \h </w:instrText>
        </w:r>
        <w:r>
          <w:rPr>
            <w:webHidden/>
          </w:rPr>
          <w:fldChar w:fldCharType="separate"/>
        </w:r>
        <w:r>
          <w:rPr>
            <w:webHidden/>
          </w:rPr>
          <w:t>39</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50" w:history="1">
        <w:r w:rsidRPr="00020156">
          <w:rPr>
            <w:rStyle w:val="Hyperlink"/>
            <w:rFonts w:asciiTheme="minorEastAsia" w:hAnsiTheme="minorEastAsia" w:hint="eastAsia"/>
          </w:rPr>
          <w:t>（八）基金转换与巨额赎回</w:t>
        </w:r>
        <w:r>
          <w:rPr>
            <w:webHidden/>
          </w:rPr>
          <w:tab/>
        </w:r>
        <w:r>
          <w:rPr>
            <w:webHidden/>
          </w:rPr>
          <w:fldChar w:fldCharType="begin"/>
        </w:r>
        <w:r>
          <w:rPr>
            <w:webHidden/>
          </w:rPr>
          <w:instrText xml:space="preserve"> PAGEREF _Toc91752050 \h </w:instrText>
        </w:r>
        <w:r>
          <w:rPr>
            <w:webHidden/>
          </w:rPr>
          <w:fldChar w:fldCharType="separate"/>
        </w:r>
        <w:r>
          <w:rPr>
            <w:webHidden/>
          </w:rPr>
          <w:t>39</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51" w:history="1">
        <w:r w:rsidRPr="00020156">
          <w:rPr>
            <w:rStyle w:val="Hyperlink"/>
            <w:rFonts w:asciiTheme="minorEastAsia" w:hAnsiTheme="minorEastAsia" w:hint="eastAsia"/>
          </w:rPr>
          <w:t>（九）拒绝或暂停基金转换的情形</w:t>
        </w:r>
        <w:r>
          <w:rPr>
            <w:webHidden/>
          </w:rPr>
          <w:tab/>
        </w:r>
        <w:r>
          <w:rPr>
            <w:webHidden/>
          </w:rPr>
          <w:fldChar w:fldCharType="begin"/>
        </w:r>
        <w:r>
          <w:rPr>
            <w:webHidden/>
          </w:rPr>
          <w:instrText xml:space="preserve"> PAGEREF _Toc91752051 \h </w:instrText>
        </w:r>
        <w:r>
          <w:rPr>
            <w:webHidden/>
          </w:rPr>
          <w:fldChar w:fldCharType="separate"/>
        </w:r>
        <w:r>
          <w:rPr>
            <w:webHidden/>
          </w:rPr>
          <w:t>39</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52" w:history="1">
        <w:r w:rsidRPr="00020156">
          <w:rPr>
            <w:rStyle w:val="Hyperlink"/>
            <w:rFonts w:asciiTheme="minorEastAsia" w:hAnsiTheme="minorEastAsia" w:hint="eastAsia"/>
          </w:rPr>
          <w:t>十、基金的非交易过户、转托管及</w:t>
        </w:r>
        <w:r w:rsidRPr="00020156">
          <w:rPr>
            <w:rStyle w:val="Hyperlink"/>
            <w:rFonts w:asciiTheme="minorEastAsia" w:hAnsiTheme="minorEastAsia" w:hint="eastAsia"/>
            <w:bCs/>
          </w:rPr>
          <w:t>冻结与解冻</w:t>
        </w:r>
        <w:r>
          <w:rPr>
            <w:webHidden/>
          </w:rPr>
          <w:tab/>
        </w:r>
        <w:r>
          <w:rPr>
            <w:webHidden/>
          </w:rPr>
          <w:fldChar w:fldCharType="begin"/>
        </w:r>
        <w:r>
          <w:rPr>
            <w:webHidden/>
          </w:rPr>
          <w:instrText xml:space="preserve"> PAGEREF _Toc91752052 \h </w:instrText>
        </w:r>
        <w:r>
          <w:rPr>
            <w:webHidden/>
          </w:rPr>
          <w:fldChar w:fldCharType="separate"/>
        </w:r>
        <w:r>
          <w:rPr>
            <w:webHidden/>
          </w:rPr>
          <w:t>41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53" w:history="1">
        <w:r w:rsidRPr="00020156">
          <w:rPr>
            <w:rStyle w:val="Hyperlink"/>
            <w:rFonts w:asciiTheme="minorEastAsia" w:hAnsiTheme="minorEastAsia" w:hint="eastAsia"/>
          </w:rPr>
          <w:t>（一）基金的非交易过户</w:t>
        </w:r>
        <w:r>
          <w:rPr>
            <w:webHidden/>
          </w:rPr>
          <w:tab/>
        </w:r>
        <w:r>
          <w:rPr>
            <w:webHidden/>
          </w:rPr>
          <w:fldChar w:fldCharType="begin"/>
        </w:r>
        <w:r>
          <w:rPr>
            <w:webHidden/>
          </w:rPr>
          <w:instrText xml:space="preserve"> PAGEREF _Toc91752053 \h </w:instrText>
        </w:r>
        <w:r>
          <w:rPr>
            <w:webHidden/>
          </w:rPr>
          <w:fldChar w:fldCharType="separate"/>
        </w:r>
        <w:r>
          <w:rPr>
            <w:webHidden/>
          </w:rPr>
          <w:t>41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54" w:history="1">
        <w:r w:rsidRPr="00020156">
          <w:rPr>
            <w:rStyle w:val="Hyperlink"/>
            <w:rFonts w:asciiTheme="minorEastAsia" w:hAnsiTheme="minorEastAsia" w:hint="eastAsia"/>
          </w:rPr>
          <w:t>（二）转托管</w:t>
        </w:r>
        <w:r>
          <w:rPr>
            <w:webHidden/>
          </w:rPr>
          <w:tab/>
        </w:r>
        <w:r>
          <w:rPr>
            <w:webHidden/>
          </w:rPr>
          <w:fldChar w:fldCharType="begin"/>
        </w:r>
        <w:r>
          <w:rPr>
            <w:webHidden/>
          </w:rPr>
          <w:instrText xml:space="preserve"> PAGEREF _Toc91752054 \h </w:instrText>
        </w:r>
        <w:r>
          <w:rPr>
            <w:webHidden/>
          </w:rPr>
          <w:fldChar w:fldCharType="separate"/>
        </w:r>
        <w:r>
          <w:rPr>
            <w:webHidden/>
          </w:rPr>
          <w:t>41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55" w:history="1">
        <w:r w:rsidRPr="00020156">
          <w:rPr>
            <w:rStyle w:val="Hyperlink"/>
            <w:rFonts w:asciiTheme="minorEastAsia" w:hAnsiTheme="minorEastAsia" w:hint="eastAsia"/>
          </w:rPr>
          <w:t>（三）基金的冻结与解冻</w:t>
        </w:r>
        <w:r>
          <w:rPr>
            <w:webHidden/>
          </w:rPr>
          <w:tab/>
        </w:r>
        <w:r>
          <w:rPr>
            <w:webHidden/>
          </w:rPr>
          <w:fldChar w:fldCharType="begin"/>
        </w:r>
        <w:r>
          <w:rPr>
            <w:webHidden/>
          </w:rPr>
          <w:instrText xml:space="preserve"> PAGEREF _Toc91752055 \h </w:instrText>
        </w:r>
        <w:r>
          <w:rPr>
            <w:webHidden/>
          </w:rPr>
          <w:fldChar w:fldCharType="separate"/>
        </w:r>
        <w:r>
          <w:rPr>
            <w:webHidden/>
          </w:rPr>
          <w:t>41</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56" w:history="1">
        <w:r w:rsidRPr="00020156">
          <w:rPr>
            <w:rStyle w:val="Hyperlink"/>
            <w:rFonts w:asciiTheme="minorEastAsia" w:hAnsiTheme="minorEastAsia" w:hint="eastAsia"/>
            <w:bCs/>
          </w:rPr>
          <w:t>十一、基金的投资</w:t>
        </w:r>
        <w:r>
          <w:rPr>
            <w:webHidden/>
          </w:rPr>
          <w:tab/>
        </w:r>
        <w:r>
          <w:rPr>
            <w:webHidden/>
          </w:rPr>
          <w:fldChar w:fldCharType="begin"/>
        </w:r>
        <w:r>
          <w:rPr>
            <w:webHidden/>
          </w:rPr>
          <w:instrText xml:space="preserve"> PAGEREF _Toc91752056 \h </w:instrText>
        </w:r>
        <w:r>
          <w:rPr>
            <w:webHidden/>
          </w:rPr>
          <w:fldChar w:fldCharType="separate"/>
        </w:r>
        <w:r>
          <w:rPr>
            <w:webHidden/>
          </w:rPr>
          <w:t>42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57" w:history="1">
        <w:r w:rsidRPr="00020156">
          <w:rPr>
            <w:rStyle w:val="Hyperlink"/>
            <w:rFonts w:asciiTheme="minorEastAsia" w:hAnsiTheme="minorEastAsia" w:hint="eastAsia"/>
          </w:rPr>
          <w:t>（一）投资目标</w:t>
        </w:r>
        <w:r>
          <w:rPr>
            <w:webHidden/>
          </w:rPr>
          <w:tab/>
        </w:r>
        <w:r>
          <w:rPr>
            <w:webHidden/>
          </w:rPr>
          <w:fldChar w:fldCharType="begin"/>
        </w:r>
        <w:r>
          <w:rPr>
            <w:webHidden/>
          </w:rPr>
          <w:instrText xml:space="preserve"> PAGEREF _Toc91752057 \h </w:instrText>
        </w:r>
        <w:r>
          <w:rPr>
            <w:webHidden/>
          </w:rPr>
          <w:fldChar w:fldCharType="separate"/>
        </w:r>
        <w:r>
          <w:rPr>
            <w:webHidden/>
          </w:rPr>
          <w:t>42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58" w:history="1">
        <w:r w:rsidRPr="00020156">
          <w:rPr>
            <w:rStyle w:val="Hyperlink"/>
            <w:rFonts w:asciiTheme="minorEastAsia" w:hAnsiTheme="minorEastAsia" w:hint="eastAsia"/>
          </w:rPr>
          <w:t>（</w:t>
        </w:r>
        <w:r w:rsidRPr="00020156">
          <w:rPr>
            <w:rStyle w:val="Hyperlink"/>
            <w:rFonts w:asciiTheme="minorEastAsia" w:hAnsiTheme="minorEastAsia" w:hint="eastAsia"/>
            <w:bCs/>
          </w:rPr>
          <w:t>二</w:t>
        </w:r>
        <w:r w:rsidRPr="00020156">
          <w:rPr>
            <w:rStyle w:val="Hyperlink"/>
            <w:rFonts w:asciiTheme="minorEastAsia" w:hAnsiTheme="minorEastAsia" w:hint="eastAsia"/>
          </w:rPr>
          <w:t>）</w:t>
        </w:r>
        <w:r w:rsidRPr="00020156">
          <w:rPr>
            <w:rStyle w:val="Hyperlink"/>
            <w:rFonts w:asciiTheme="minorEastAsia" w:hAnsiTheme="minorEastAsia" w:hint="eastAsia"/>
            <w:bCs/>
          </w:rPr>
          <w:t>投资范围</w:t>
        </w:r>
        <w:r>
          <w:rPr>
            <w:webHidden/>
          </w:rPr>
          <w:tab/>
        </w:r>
        <w:r>
          <w:rPr>
            <w:webHidden/>
          </w:rPr>
          <w:fldChar w:fldCharType="begin"/>
        </w:r>
        <w:r>
          <w:rPr>
            <w:webHidden/>
          </w:rPr>
          <w:instrText xml:space="preserve"> PAGEREF _Toc91752058 \h </w:instrText>
        </w:r>
        <w:r>
          <w:rPr>
            <w:webHidden/>
          </w:rPr>
          <w:fldChar w:fldCharType="separate"/>
        </w:r>
        <w:r>
          <w:rPr>
            <w:webHidden/>
          </w:rPr>
          <w:t>42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59" w:history="1">
        <w:r w:rsidRPr="00020156">
          <w:rPr>
            <w:rStyle w:val="Hyperlink"/>
            <w:rFonts w:asciiTheme="minorEastAsia" w:hAnsiTheme="minorEastAsia" w:hint="eastAsia"/>
            <w:bCs/>
          </w:rPr>
          <w:t>（三）投资理念</w:t>
        </w:r>
        <w:r>
          <w:rPr>
            <w:webHidden/>
          </w:rPr>
          <w:tab/>
        </w:r>
        <w:r>
          <w:rPr>
            <w:webHidden/>
          </w:rPr>
          <w:fldChar w:fldCharType="begin"/>
        </w:r>
        <w:r>
          <w:rPr>
            <w:webHidden/>
          </w:rPr>
          <w:instrText xml:space="preserve"> PAGEREF _Toc91752059 \h </w:instrText>
        </w:r>
        <w:r>
          <w:rPr>
            <w:webHidden/>
          </w:rPr>
          <w:fldChar w:fldCharType="separate"/>
        </w:r>
        <w:r>
          <w:rPr>
            <w:webHidden/>
          </w:rPr>
          <w:t>42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60" w:history="1">
        <w:r w:rsidRPr="00020156">
          <w:rPr>
            <w:rStyle w:val="Hyperlink"/>
            <w:rFonts w:asciiTheme="minorEastAsia" w:hAnsiTheme="minorEastAsia" w:hint="eastAsia"/>
            <w:bCs/>
          </w:rPr>
          <w:t>（四）投资策略</w:t>
        </w:r>
        <w:r>
          <w:rPr>
            <w:webHidden/>
          </w:rPr>
          <w:tab/>
        </w:r>
        <w:r>
          <w:rPr>
            <w:webHidden/>
          </w:rPr>
          <w:fldChar w:fldCharType="begin"/>
        </w:r>
        <w:r>
          <w:rPr>
            <w:webHidden/>
          </w:rPr>
          <w:instrText xml:space="preserve"> PAGEREF _Toc91752060 \h </w:instrText>
        </w:r>
        <w:r>
          <w:rPr>
            <w:webHidden/>
          </w:rPr>
          <w:fldChar w:fldCharType="separate"/>
        </w:r>
        <w:r>
          <w:rPr>
            <w:webHidden/>
          </w:rPr>
          <w:t>42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61" w:history="1">
        <w:r w:rsidRPr="00020156">
          <w:rPr>
            <w:rStyle w:val="Hyperlink"/>
            <w:rFonts w:asciiTheme="minorEastAsia" w:hAnsiTheme="minorEastAsia" w:hint="eastAsia"/>
            <w:bCs/>
          </w:rPr>
          <w:t>（五）业绩比较基准</w:t>
        </w:r>
        <w:r>
          <w:rPr>
            <w:webHidden/>
          </w:rPr>
          <w:tab/>
        </w:r>
        <w:r>
          <w:rPr>
            <w:webHidden/>
          </w:rPr>
          <w:fldChar w:fldCharType="begin"/>
        </w:r>
        <w:r>
          <w:rPr>
            <w:webHidden/>
          </w:rPr>
          <w:instrText xml:space="preserve"> PAGEREF _Toc91752061 \h </w:instrText>
        </w:r>
        <w:r>
          <w:rPr>
            <w:webHidden/>
          </w:rPr>
          <w:fldChar w:fldCharType="separate"/>
        </w:r>
        <w:r>
          <w:rPr>
            <w:webHidden/>
          </w:rPr>
          <w:t>42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62" w:history="1">
        <w:r w:rsidRPr="00020156">
          <w:rPr>
            <w:rStyle w:val="Hyperlink"/>
            <w:rFonts w:asciiTheme="minorEastAsia" w:hAnsiTheme="minorEastAsia" w:hint="eastAsia"/>
            <w:bCs/>
          </w:rPr>
          <w:t>（六）风险收益特征</w:t>
        </w:r>
        <w:r>
          <w:rPr>
            <w:webHidden/>
          </w:rPr>
          <w:tab/>
        </w:r>
        <w:r>
          <w:rPr>
            <w:webHidden/>
          </w:rPr>
          <w:fldChar w:fldCharType="begin"/>
        </w:r>
        <w:r>
          <w:rPr>
            <w:webHidden/>
          </w:rPr>
          <w:instrText xml:space="preserve"> PAGEREF _Toc91752062 \h </w:instrText>
        </w:r>
        <w:r>
          <w:rPr>
            <w:webHidden/>
          </w:rPr>
          <w:fldChar w:fldCharType="separate"/>
        </w:r>
        <w:r>
          <w:rPr>
            <w:webHidden/>
          </w:rPr>
          <w:t>43</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63" w:history="1">
        <w:r w:rsidRPr="00020156">
          <w:rPr>
            <w:rStyle w:val="Hyperlink"/>
            <w:rFonts w:asciiTheme="minorEastAsia" w:hAnsiTheme="minorEastAsia" w:hint="eastAsia"/>
            <w:bCs/>
          </w:rPr>
          <w:t>（七）投资决策</w:t>
        </w:r>
        <w:r>
          <w:rPr>
            <w:webHidden/>
          </w:rPr>
          <w:tab/>
        </w:r>
        <w:r>
          <w:rPr>
            <w:webHidden/>
          </w:rPr>
          <w:fldChar w:fldCharType="begin"/>
        </w:r>
        <w:r>
          <w:rPr>
            <w:webHidden/>
          </w:rPr>
          <w:instrText xml:space="preserve"> PAGEREF _Toc91752063 \h </w:instrText>
        </w:r>
        <w:r>
          <w:rPr>
            <w:webHidden/>
          </w:rPr>
          <w:fldChar w:fldCharType="separate"/>
        </w:r>
        <w:r>
          <w:rPr>
            <w:webHidden/>
          </w:rPr>
          <w:t>43</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64" w:history="1">
        <w:r w:rsidRPr="00020156">
          <w:rPr>
            <w:rStyle w:val="Hyperlink"/>
            <w:rFonts w:asciiTheme="minorEastAsia" w:hAnsiTheme="minorEastAsia" w:hint="eastAsia"/>
            <w:bCs/>
          </w:rPr>
          <w:t>（八）投资限制</w:t>
        </w:r>
        <w:r>
          <w:rPr>
            <w:webHidden/>
          </w:rPr>
          <w:tab/>
        </w:r>
        <w:r>
          <w:rPr>
            <w:webHidden/>
          </w:rPr>
          <w:fldChar w:fldCharType="begin"/>
        </w:r>
        <w:r>
          <w:rPr>
            <w:webHidden/>
          </w:rPr>
          <w:instrText xml:space="preserve"> PAGEREF _Toc91752064 \h </w:instrText>
        </w:r>
        <w:r>
          <w:rPr>
            <w:webHidden/>
          </w:rPr>
          <w:fldChar w:fldCharType="separate"/>
        </w:r>
        <w:r>
          <w:rPr>
            <w:webHidden/>
          </w:rPr>
          <w:t>43</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65" w:history="1">
        <w:r w:rsidRPr="00020156">
          <w:rPr>
            <w:rStyle w:val="Hyperlink"/>
            <w:rFonts w:asciiTheme="minorEastAsia" w:hAnsiTheme="minorEastAsia" w:hint="eastAsia"/>
            <w:bCs/>
          </w:rPr>
          <w:t>（九）禁止行为</w:t>
        </w:r>
        <w:r>
          <w:rPr>
            <w:webHidden/>
          </w:rPr>
          <w:tab/>
        </w:r>
        <w:r>
          <w:rPr>
            <w:webHidden/>
          </w:rPr>
          <w:fldChar w:fldCharType="begin"/>
        </w:r>
        <w:r>
          <w:rPr>
            <w:webHidden/>
          </w:rPr>
          <w:instrText xml:space="preserve"> PAGEREF _Toc91752065 \h </w:instrText>
        </w:r>
        <w:r>
          <w:rPr>
            <w:webHidden/>
          </w:rPr>
          <w:fldChar w:fldCharType="separate"/>
        </w:r>
        <w:r>
          <w:rPr>
            <w:webHidden/>
          </w:rPr>
          <w:t>44</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66" w:history="1">
        <w:r w:rsidRPr="00020156">
          <w:rPr>
            <w:rStyle w:val="Hyperlink"/>
            <w:rFonts w:asciiTheme="minorEastAsia" w:hAnsiTheme="minorEastAsia" w:hint="eastAsia"/>
            <w:bCs/>
          </w:rPr>
          <w:t>（十）</w:t>
        </w:r>
        <w:r w:rsidRPr="00020156">
          <w:rPr>
            <w:rStyle w:val="Hyperlink"/>
            <w:rFonts w:asciiTheme="minorEastAsia" w:hAnsiTheme="minorEastAsia" w:hint="eastAsia"/>
            <w:bCs/>
            <w:spacing w:val="-6"/>
          </w:rPr>
          <w:t>基金管理人代表基金行使所投资证券产生权利的处理原则及方法</w:t>
        </w:r>
        <w:r>
          <w:rPr>
            <w:webHidden/>
          </w:rPr>
          <w:tab/>
        </w:r>
        <w:r>
          <w:rPr>
            <w:webHidden/>
          </w:rPr>
          <w:fldChar w:fldCharType="begin"/>
        </w:r>
        <w:r>
          <w:rPr>
            <w:webHidden/>
          </w:rPr>
          <w:instrText xml:space="preserve"> PAGEREF _Toc91752066 \h </w:instrText>
        </w:r>
        <w:r>
          <w:rPr>
            <w:webHidden/>
          </w:rPr>
          <w:fldChar w:fldCharType="separate"/>
        </w:r>
        <w:r>
          <w:rPr>
            <w:webHidden/>
          </w:rPr>
          <w:t>44</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67" w:history="1">
        <w:r w:rsidRPr="00020156">
          <w:rPr>
            <w:rStyle w:val="Hyperlink"/>
            <w:rFonts w:asciiTheme="minorEastAsia" w:hAnsiTheme="minorEastAsia" w:hint="eastAsia"/>
            <w:bCs/>
          </w:rPr>
          <w:t>（十</w:t>
        </w:r>
        <w:r w:rsidRPr="00020156">
          <w:rPr>
            <w:rStyle w:val="Hyperlink"/>
            <w:rFonts w:asciiTheme="minorEastAsia" w:hAnsiTheme="minorEastAsia" w:hint="eastAsia"/>
          </w:rPr>
          <w:t>一</w:t>
        </w:r>
        <w:r w:rsidRPr="00020156">
          <w:rPr>
            <w:rStyle w:val="Hyperlink"/>
            <w:rFonts w:asciiTheme="minorEastAsia" w:hAnsiTheme="minorEastAsia" w:hint="eastAsia"/>
            <w:bCs/>
          </w:rPr>
          <w:t>）基金的融资、转融通</w:t>
        </w:r>
        <w:r>
          <w:rPr>
            <w:webHidden/>
          </w:rPr>
          <w:tab/>
        </w:r>
        <w:r>
          <w:rPr>
            <w:webHidden/>
          </w:rPr>
          <w:fldChar w:fldCharType="begin"/>
        </w:r>
        <w:r>
          <w:rPr>
            <w:webHidden/>
          </w:rPr>
          <w:instrText xml:space="preserve"> PAGEREF _Toc91752067 \h </w:instrText>
        </w:r>
        <w:r>
          <w:rPr>
            <w:webHidden/>
          </w:rPr>
          <w:fldChar w:fldCharType="separate"/>
        </w:r>
        <w:r>
          <w:rPr>
            <w:webHidden/>
          </w:rPr>
          <w:t>44</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68" w:history="1">
        <w:r w:rsidRPr="00020156">
          <w:rPr>
            <w:rStyle w:val="Hyperlink"/>
            <w:rFonts w:asciiTheme="minorEastAsia" w:hAnsiTheme="minorEastAsia" w:hint="eastAsia"/>
            <w:bCs/>
          </w:rPr>
          <w:t>（十二）基金投资组合报告</w:t>
        </w:r>
        <w:r w:rsidRPr="00020156">
          <w:rPr>
            <w:rStyle w:val="Hyperlink"/>
            <w:rFonts w:asciiTheme="minorEastAsia" w:hAnsiTheme="minorEastAsia"/>
            <w:bCs/>
          </w:rPr>
          <w:t>(</w:t>
        </w:r>
        <w:r w:rsidRPr="00020156">
          <w:rPr>
            <w:rStyle w:val="Hyperlink"/>
            <w:rFonts w:asciiTheme="minorEastAsia" w:hAnsiTheme="minorEastAsia" w:hint="eastAsia"/>
            <w:bCs/>
          </w:rPr>
          <w:t>未经审计</w:t>
        </w:r>
        <w:r w:rsidRPr="00020156">
          <w:rPr>
            <w:rStyle w:val="Hyperlink"/>
            <w:rFonts w:asciiTheme="minorEastAsia" w:hAnsiTheme="minorEastAsia"/>
            <w:bCs/>
          </w:rPr>
          <w:t>)</w:t>
        </w:r>
        <w:r>
          <w:rPr>
            <w:webHidden/>
          </w:rPr>
          <w:tab/>
        </w:r>
        <w:r>
          <w:rPr>
            <w:webHidden/>
          </w:rPr>
          <w:fldChar w:fldCharType="begin"/>
        </w:r>
        <w:r>
          <w:rPr>
            <w:webHidden/>
          </w:rPr>
          <w:instrText xml:space="preserve"> PAGEREF _Toc91752068 \h </w:instrText>
        </w:r>
        <w:r>
          <w:rPr>
            <w:webHidden/>
          </w:rPr>
          <w:fldChar w:fldCharType="separate"/>
        </w:r>
        <w:r>
          <w:rPr>
            <w:webHidden/>
          </w:rPr>
          <w:t>45</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69" w:history="1">
        <w:r w:rsidRPr="00020156">
          <w:rPr>
            <w:rStyle w:val="Hyperlink"/>
            <w:rFonts w:asciiTheme="minorEastAsia" w:hAnsiTheme="minorEastAsia" w:hint="eastAsia"/>
            <w:bCs/>
          </w:rPr>
          <w:t>十二、基金的业绩</w:t>
        </w:r>
        <w:r>
          <w:rPr>
            <w:webHidden/>
          </w:rPr>
          <w:tab/>
        </w:r>
        <w:r>
          <w:rPr>
            <w:webHidden/>
          </w:rPr>
          <w:fldChar w:fldCharType="begin"/>
        </w:r>
        <w:r>
          <w:rPr>
            <w:webHidden/>
          </w:rPr>
          <w:instrText xml:space="preserve"> PAGEREF _Toc91752069 \h </w:instrText>
        </w:r>
        <w:r>
          <w:rPr>
            <w:webHidden/>
          </w:rPr>
          <w:fldChar w:fldCharType="separate"/>
        </w:r>
        <w:r>
          <w:rPr>
            <w:webHidden/>
          </w:rPr>
          <w:t>48</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70" w:history="1">
        <w:r w:rsidRPr="00020156">
          <w:rPr>
            <w:rStyle w:val="Hyperlink"/>
            <w:rFonts w:asciiTheme="minorEastAsia" w:hAnsiTheme="minorEastAsia" w:hint="eastAsia"/>
            <w:bCs/>
          </w:rPr>
          <w:t>十三、基金的财产</w:t>
        </w:r>
        <w:r>
          <w:rPr>
            <w:webHidden/>
          </w:rPr>
          <w:tab/>
        </w:r>
        <w:r>
          <w:rPr>
            <w:webHidden/>
          </w:rPr>
          <w:fldChar w:fldCharType="begin"/>
        </w:r>
        <w:r>
          <w:rPr>
            <w:webHidden/>
          </w:rPr>
          <w:instrText xml:space="preserve"> PAGEREF _Toc91752070 \h </w:instrText>
        </w:r>
        <w:r>
          <w:rPr>
            <w:webHidden/>
          </w:rPr>
          <w:fldChar w:fldCharType="separate"/>
        </w:r>
        <w:r>
          <w:rPr>
            <w:webHidden/>
          </w:rPr>
          <w:t>50</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71" w:history="1">
        <w:r w:rsidRPr="00020156">
          <w:rPr>
            <w:rStyle w:val="Hyperlink"/>
            <w:rFonts w:asciiTheme="minorEastAsia" w:hAnsiTheme="minorEastAsia" w:hint="eastAsia"/>
            <w:bCs/>
          </w:rPr>
          <w:t>（一）基金资产总值</w:t>
        </w:r>
        <w:r>
          <w:rPr>
            <w:webHidden/>
          </w:rPr>
          <w:tab/>
        </w:r>
        <w:r>
          <w:rPr>
            <w:webHidden/>
          </w:rPr>
          <w:fldChar w:fldCharType="begin"/>
        </w:r>
        <w:r>
          <w:rPr>
            <w:webHidden/>
          </w:rPr>
          <w:instrText xml:space="preserve"> PAGEREF _Toc91752071 \h </w:instrText>
        </w:r>
        <w:r>
          <w:rPr>
            <w:webHidden/>
          </w:rPr>
          <w:fldChar w:fldCharType="separate"/>
        </w:r>
        <w:r>
          <w:rPr>
            <w:webHidden/>
          </w:rPr>
          <w:t>50</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72" w:history="1">
        <w:r w:rsidRPr="00020156">
          <w:rPr>
            <w:rStyle w:val="Hyperlink"/>
            <w:rFonts w:asciiTheme="minorEastAsia" w:hAnsiTheme="minorEastAsia" w:hint="eastAsia"/>
          </w:rPr>
          <w:t>（二）基金资产净值</w:t>
        </w:r>
        <w:r>
          <w:rPr>
            <w:webHidden/>
          </w:rPr>
          <w:tab/>
        </w:r>
        <w:r>
          <w:rPr>
            <w:webHidden/>
          </w:rPr>
          <w:fldChar w:fldCharType="begin"/>
        </w:r>
        <w:r>
          <w:rPr>
            <w:webHidden/>
          </w:rPr>
          <w:instrText xml:space="preserve"> PAGEREF _Toc91752072 \h </w:instrText>
        </w:r>
        <w:r>
          <w:rPr>
            <w:webHidden/>
          </w:rPr>
          <w:fldChar w:fldCharType="separate"/>
        </w:r>
        <w:r>
          <w:rPr>
            <w:webHidden/>
          </w:rPr>
          <w:t>50</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73" w:history="1">
        <w:r w:rsidRPr="00020156">
          <w:rPr>
            <w:rStyle w:val="Hyperlink"/>
            <w:rFonts w:asciiTheme="minorEastAsia" w:hAnsiTheme="minorEastAsia" w:hint="eastAsia"/>
          </w:rPr>
          <w:t>（三）基金财产的账户</w:t>
        </w:r>
        <w:r>
          <w:rPr>
            <w:webHidden/>
          </w:rPr>
          <w:tab/>
        </w:r>
        <w:r>
          <w:rPr>
            <w:webHidden/>
          </w:rPr>
          <w:fldChar w:fldCharType="begin"/>
        </w:r>
        <w:r>
          <w:rPr>
            <w:webHidden/>
          </w:rPr>
          <w:instrText xml:space="preserve"> PAGEREF _Toc91752073 \h </w:instrText>
        </w:r>
        <w:r>
          <w:rPr>
            <w:webHidden/>
          </w:rPr>
          <w:fldChar w:fldCharType="separate"/>
        </w:r>
        <w:r>
          <w:rPr>
            <w:webHidden/>
          </w:rPr>
          <w:t>50</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74" w:history="1">
        <w:r w:rsidRPr="00020156">
          <w:rPr>
            <w:rStyle w:val="Hyperlink"/>
            <w:rFonts w:asciiTheme="minorEastAsia" w:hAnsiTheme="minorEastAsia" w:hint="eastAsia"/>
          </w:rPr>
          <w:t>（四）基金财产的保管和处分</w:t>
        </w:r>
        <w:r>
          <w:rPr>
            <w:webHidden/>
          </w:rPr>
          <w:tab/>
        </w:r>
        <w:r>
          <w:rPr>
            <w:webHidden/>
          </w:rPr>
          <w:fldChar w:fldCharType="begin"/>
        </w:r>
        <w:r>
          <w:rPr>
            <w:webHidden/>
          </w:rPr>
          <w:instrText xml:space="preserve"> PAGEREF _Toc91752074 \h </w:instrText>
        </w:r>
        <w:r>
          <w:rPr>
            <w:webHidden/>
          </w:rPr>
          <w:fldChar w:fldCharType="separate"/>
        </w:r>
        <w:r>
          <w:rPr>
            <w:webHidden/>
          </w:rPr>
          <w:t>50</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75" w:history="1">
        <w:r w:rsidRPr="00020156">
          <w:rPr>
            <w:rStyle w:val="Hyperlink"/>
            <w:rFonts w:asciiTheme="minorEastAsia" w:hAnsiTheme="minorEastAsia" w:hint="eastAsia"/>
            <w:bCs/>
          </w:rPr>
          <w:t>十四、基金资产估值</w:t>
        </w:r>
        <w:r>
          <w:rPr>
            <w:webHidden/>
          </w:rPr>
          <w:tab/>
        </w:r>
        <w:r>
          <w:rPr>
            <w:webHidden/>
          </w:rPr>
          <w:fldChar w:fldCharType="begin"/>
        </w:r>
        <w:r>
          <w:rPr>
            <w:webHidden/>
          </w:rPr>
          <w:instrText xml:space="preserve"> PAGEREF _Toc91752075 \h </w:instrText>
        </w:r>
        <w:r>
          <w:rPr>
            <w:webHidden/>
          </w:rPr>
          <w:fldChar w:fldCharType="separate"/>
        </w:r>
        <w:r>
          <w:rPr>
            <w:webHidden/>
          </w:rPr>
          <w:t>51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76" w:history="1">
        <w:r w:rsidRPr="00020156">
          <w:rPr>
            <w:rStyle w:val="Hyperlink"/>
            <w:rFonts w:asciiTheme="minorEastAsia" w:hAnsiTheme="minorEastAsia" w:hint="eastAsia"/>
          </w:rPr>
          <w:t>（一）估值目的</w:t>
        </w:r>
        <w:r>
          <w:rPr>
            <w:webHidden/>
          </w:rPr>
          <w:tab/>
        </w:r>
        <w:r>
          <w:rPr>
            <w:webHidden/>
          </w:rPr>
          <w:fldChar w:fldCharType="begin"/>
        </w:r>
        <w:r>
          <w:rPr>
            <w:webHidden/>
          </w:rPr>
          <w:instrText xml:space="preserve"> PAGEREF _Toc91752076 \h </w:instrText>
        </w:r>
        <w:r>
          <w:rPr>
            <w:webHidden/>
          </w:rPr>
          <w:fldChar w:fldCharType="separate"/>
        </w:r>
        <w:r>
          <w:rPr>
            <w:webHidden/>
          </w:rPr>
          <w:t>51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77" w:history="1">
        <w:r w:rsidRPr="00020156">
          <w:rPr>
            <w:rStyle w:val="Hyperlink"/>
            <w:rFonts w:asciiTheme="minorEastAsia" w:hAnsiTheme="minorEastAsia" w:hint="eastAsia"/>
          </w:rPr>
          <w:t>（二）估值日</w:t>
        </w:r>
        <w:r>
          <w:rPr>
            <w:webHidden/>
          </w:rPr>
          <w:tab/>
        </w:r>
        <w:r>
          <w:rPr>
            <w:webHidden/>
          </w:rPr>
          <w:fldChar w:fldCharType="begin"/>
        </w:r>
        <w:r>
          <w:rPr>
            <w:webHidden/>
          </w:rPr>
          <w:instrText xml:space="preserve"> PAGEREF _Toc91752077 \h </w:instrText>
        </w:r>
        <w:r>
          <w:rPr>
            <w:webHidden/>
          </w:rPr>
          <w:fldChar w:fldCharType="separate"/>
        </w:r>
        <w:r>
          <w:rPr>
            <w:webHidden/>
          </w:rPr>
          <w:t>51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78" w:history="1">
        <w:r w:rsidRPr="00020156">
          <w:rPr>
            <w:rStyle w:val="Hyperlink"/>
            <w:rFonts w:asciiTheme="minorEastAsia" w:hAnsiTheme="minorEastAsia" w:hint="eastAsia"/>
          </w:rPr>
          <w:t>（三）估值对象</w:t>
        </w:r>
        <w:r>
          <w:rPr>
            <w:webHidden/>
          </w:rPr>
          <w:tab/>
        </w:r>
        <w:r>
          <w:rPr>
            <w:webHidden/>
          </w:rPr>
          <w:fldChar w:fldCharType="begin"/>
        </w:r>
        <w:r>
          <w:rPr>
            <w:webHidden/>
          </w:rPr>
          <w:instrText xml:space="preserve"> PAGEREF _Toc91752078 \h </w:instrText>
        </w:r>
        <w:r>
          <w:rPr>
            <w:webHidden/>
          </w:rPr>
          <w:fldChar w:fldCharType="separate"/>
        </w:r>
        <w:r>
          <w:rPr>
            <w:webHidden/>
          </w:rPr>
          <w:t>51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79" w:history="1">
        <w:r w:rsidRPr="00020156">
          <w:rPr>
            <w:rStyle w:val="Hyperlink"/>
            <w:rFonts w:asciiTheme="minorEastAsia" w:hAnsiTheme="minorEastAsia" w:hint="eastAsia"/>
          </w:rPr>
          <w:t>（四）估值程序</w:t>
        </w:r>
        <w:r>
          <w:rPr>
            <w:webHidden/>
          </w:rPr>
          <w:tab/>
        </w:r>
        <w:r>
          <w:rPr>
            <w:webHidden/>
          </w:rPr>
          <w:fldChar w:fldCharType="begin"/>
        </w:r>
        <w:r>
          <w:rPr>
            <w:webHidden/>
          </w:rPr>
          <w:instrText xml:space="preserve"> PAGEREF _Toc91752079 \h </w:instrText>
        </w:r>
        <w:r>
          <w:rPr>
            <w:webHidden/>
          </w:rPr>
          <w:fldChar w:fldCharType="separate"/>
        </w:r>
        <w:r>
          <w:rPr>
            <w:webHidden/>
          </w:rPr>
          <w:t>51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80" w:history="1">
        <w:r w:rsidRPr="00020156">
          <w:rPr>
            <w:rStyle w:val="Hyperlink"/>
            <w:rFonts w:asciiTheme="minorEastAsia" w:hAnsiTheme="minorEastAsia" w:hint="eastAsia"/>
          </w:rPr>
          <w:t>（五）估值方法</w:t>
        </w:r>
        <w:r>
          <w:rPr>
            <w:webHidden/>
          </w:rPr>
          <w:tab/>
        </w:r>
        <w:r>
          <w:rPr>
            <w:webHidden/>
          </w:rPr>
          <w:fldChar w:fldCharType="begin"/>
        </w:r>
        <w:r>
          <w:rPr>
            <w:webHidden/>
          </w:rPr>
          <w:instrText xml:space="preserve"> PAGEREF _Toc91752080 \h </w:instrText>
        </w:r>
        <w:r>
          <w:rPr>
            <w:webHidden/>
          </w:rPr>
          <w:fldChar w:fldCharType="separate"/>
        </w:r>
        <w:r>
          <w:rPr>
            <w:webHidden/>
          </w:rPr>
          <w:t>51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81" w:history="1">
        <w:r w:rsidRPr="00020156">
          <w:rPr>
            <w:rStyle w:val="Hyperlink"/>
            <w:rFonts w:asciiTheme="minorEastAsia" w:hAnsiTheme="minorEastAsia" w:hint="eastAsia"/>
          </w:rPr>
          <w:t>（六）基金份额净值的确认和估值错误的处理</w:t>
        </w:r>
        <w:r>
          <w:rPr>
            <w:webHidden/>
          </w:rPr>
          <w:tab/>
        </w:r>
        <w:r>
          <w:rPr>
            <w:webHidden/>
          </w:rPr>
          <w:fldChar w:fldCharType="begin"/>
        </w:r>
        <w:r>
          <w:rPr>
            <w:webHidden/>
          </w:rPr>
          <w:instrText xml:space="preserve"> PAGEREF _Toc91752081 \h </w:instrText>
        </w:r>
        <w:r>
          <w:rPr>
            <w:webHidden/>
          </w:rPr>
          <w:fldChar w:fldCharType="separate"/>
        </w:r>
        <w:r>
          <w:rPr>
            <w:webHidden/>
          </w:rPr>
          <w:t>52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82" w:history="1">
        <w:r w:rsidRPr="00020156">
          <w:rPr>
            <w:rStyle w:val="Hyperlink"/>
            <w:rFonts w:asciiTheme="minorEastAsia" w:hAnsiTheme="minorEastAsia" w:hint="eastAsia"/>
          </w:rPr>
          <w:t>（七）暂停估值的情形</w:t>
        </w:r>
        <w:r>
          <w:rPr>
            <w:webHidden/>
          </w:rPr>
          <w:tab/>
        </w:r>
        <w:r>
          <w:rPr>
            <w:webHidden/>
          </w:rPr>
          <w:fldChar w:fldCharType="begin"/>
        </w:r>
        <w:r>
          <w:rPr>
            <w:webHidden/>
          </w:rPr>
          <w:instrText xml:space="preserve"> PAGEREF _Toc91752082 \h </w:instrText>
        </w:r>
        <w:r>
          <w:rPr>
            <w:webHidden/>
          </w:rPr>
          <w:fldChar w:fldCharType="separate"/>
        </w:r>
        <w:r>
          <w:rPr>
            <w:webHidden/>
          </w:rPr>
          <w:t>54</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83" w:history="1">
        <w:r w:rsidRPr="00020156">
          <w:rPr>
            <w:rStyle w:val="Hyperlink"/>
            <w:rFonts w:asciiTheme="minorEastAsia" w:hAnsiTheme="minorEastAsia" w:hint="eastAsia"/>
          </w:rPr>
          <w:t>（八）特殊情形的处理</w:t>
        </w:r>
        <w:r>
          <w:rPr>
            <w:webHidden/>
          </w:rPr>
          <w:tab/>
        </w:r>
        <w:r>
          <w:rPr>
            <w:webHidden/>
          </w:rPr>
          <w:fldChar w:fldCharType="begin"/>
        </w:r>
        <w:r>
          <w:rPr>
            <w:webHidden/>
          </w:rPr>
          <w:instrText xml:space="preserve"> PAGEREF _Toc91752083 \h </w:instrText>
        </w:r>
        <w:r>
          <w:rPr>
            <w:webHidden/>
          </w:rPr>
          <w:fldChar w:fldCharType="separate"/>
        </w:r>
        <w:r>
          <w:rPr>
            <w:webHidden/>
          </w:rPr>
          <w:t>54</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84" w:history="1">
        <w:r w:rsidRPr="00020156">
          <w:rPr>
            <w:rStyle w:val="Hyperlink"/>
            <w:rFonts w:asciiTheme="minorEastAsia" w:hAnsiTheme="minorEastAsia" w:hint="eastAsia"/>
            <w:bCs/>
          </w:rPr>
          <w:t>十五、基金的收益与分配</w:t>
        </w:r>
        <w:r>
          <w:rPr>
            <w:webHidden/>
          </w:rPr>
          <w:tab/>
        </w:r>
        <w:r>
          <w:rPr>
            <w:webHidden/>
          </w:rPr>
          <w:fldChar w:fldCharType="begin"/>
        </w:r>
        <w:r>
          <w:rPr>
            <w:webHidden/>
          </w:rPr>
          <w:instrText xml:space="preserve"> PAGEREF _Toc91752084 \h </w:instrText>
        </w:r>
        <w:r>
          <w:rPr>
            <w:webHidden/>
          </w:rPr>
          <w:fldChar w:fldCharType="separate"/>
        </w:r>
        <w:r>
          <w:rPr>
            <w:webHidden/>
          </w:rPr>
          <w:t>55</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85" w:history="1">
        <w:r w:rsidRPr="00020156">
          <w:rPr>
            <w:rStyle w:val="Hyperlink"/>
            <w:rFonts w:asciiTheme="minorEastAsia" w:hAnsiTheme="minorEastAsia" w:hint="eastAsia"/>
          </w:rPr>
          <w:t>（一）基金利润的构成</w:t>
        </w:r>
        <w:r>
          <w:rPr>
            <w:webHidden/>
          </w:rPr>
          <w:tab/>
        </w:r>
        <w:r>
          <w:rPr>
            <w:webHidden/>
          </w:rPr>
          <w:fldChar w:fldCharType="begin"/>
        </w:r>
        <w:r>
          <w:rPr>
            <w:webHidden/>
          </w:rPr>
          <w:instrText xml:space="preserve"> PAGEREF _Toc91752085 \h </w:instrText>
        </w:r>
        <w:r>
          <w:rPr>
            <w:webHidden/>
          </w:rPr>
          <w:fldChar w:fldCharType="separate"/>
        </w:r>
        <w:r>
          <w:rPr>
            <w:webHidden/>
          </w:rPr>
          <w:t>55</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86" w:history="1">
        <w:r w:rsidRPr="00020156">
          <w:rPr>
            <w:rStyle w:val="Hyperlink"/>
            <w:rFonts w:asciiTheme="minorEastAsia" w:hAnsiTheme="minorEastAsia" w:hint="eastAsia"/>
          </w:rPr>
          <w:t>（二）基金可供分配利润</w:t>
        </w:r>
        <w:r>
          <w:rPr>
            <w:webHidden/>
          </w:rPr>
          <w:tab/>
        </w:r>
        <w:r>
          <w:rPr>
            <w:webHidden/>
          </w:rPr>
          <w:fldChar w:fldCharType="begin"/>
        </w:r>
        <w:r>
          <w:rPr>
            <w:webHidden/>
          </w:rPr>
          <w:instrText xml:space="preserve"> PAGEREF _Toc91752086 \h </w:instrText>
        </w:r>
        <w:r>
          <w:rPr>
            <w:webHidden/>
          </w:rPr>
          <w:fldChar w:fldCharType="separate"/>
        </w:r>
        <w:r>
          <w:rPr>
            <w:webHidden/>
          </w:rPr>
          <w:t>55</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87" w:history="1">
        <w:r w:rsidRPr="00020156">
          <w:rPr>
            <w:rStyle w:val="Hyperlink"/>
            <w:rFonts w:asciiTheme="minorEastAsia" w:hAnsiTheme="minorEastAsia" w:hint="eastAsia"/>
          </w:rPr>
          <w:t>（三）收益分配原则</w:t>
        </w:r>
        <w:r>
          <w:rPr>
            <w:webHidden/>
          </w:rPr>
          <w:tab/>
        </w:r>
        <w:r>
          <w:rPr>
            <w:webHidden/>
          </w:rPr>
          <w:fldChar w:fldCharType="begin"/>
        </w:r>
        <w:r>
          <w:rPr>
            <w:webHidden/>
          </w:rPr>
          <w:instrText xml:space="preserve"> PAGEREF _Toc91752087 \h </w:instrText>
        </w:r>
        <w:r>
          <w:rPr>
            <w:webHidden/>
          </w:rPr>
          <w:fldChar w:fldCharType="separate"/>
        </w:r>
        <w:r>
          <w:rPr>
            <w:webHidden/>
          </w:rPr>
          <w:t>55</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88" w:history="1">
        <w:r w:rsidRPr="00020156">
          <w:rPr>
            <w:rStyle w:val="Hyperlink"/>
            <w:rFonts w:asciiTheme="minorEastAsia" w:hAnsiTheme="minorEastAsia" w:hint="eastAsia"/>
          </w:rPr>
          <w:t>（四）收益分配方案</w:t>
        </w:r>
        <w:r>
          <w:rPr>
            <w:webHidden/>
          </w:rPr>
          <w:tab/>
        </w:r>
        <w:r>
          <w:rPr>
            <w:webHidden/>
          </w:rPr>
          <w:fldChar w:fldCharType="begin"/>
        </w:r>
        <w:r>
          <w:rPr>
            <w:webHidden/>
          </w:rPr>
          <w:instrText xml:space="preserve"> PAGEREF _Toc91752088 \h </w:instrText>
        </w:r>
        <w:r>
          <w:rPr>
            <w:webHidden/>
          </w:rPr>
          <w:fldChar w:fldCharType="separate"/>
        </w:r>
        <w:r>
          <w:rPr>
            <w:webHidden/>
          </w:rPr>
          <w:t>55</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89" w:history="1">
        <w:r w:rsidRPr="00020156">
          <w:rPr>
            <w:rStyle w:val="Hyperlink"/>
            <w:rFonts w:asciiTheme="minorEastAsia" w:hAnsiTheme="minorEastAsia" w:hint="eastAsia"/>
          </w:rPr>
          <w:t>（五）收益分配方案的确定、公告与实施</w:t>
        </w:r>
        <w:r>
          <w:rPr>
            <w:webHidden/>
          </w:rPr>
          <w:tab/>
        </w:r>
        <w:r>
          <w:rPr>
            <w:webHidden/>
          </w:rPr>
          <w:fldChar w:fldCharType="begin"/>
        </w:r>
        <w:r>
          <w:rPr>
            <w:webHidden/>
          </w:rPr>
          <w:instrText xml:space="preserve"> PAGEREF _Toc91752089 \h </w:instrText>
        </w:r>
        <w:r>
          <w:rPr>
            <w:webHidden/>
          </w:rPr>
          <w:fldChar w:fldCharType="separate"/>
        </w:r>
        <w:r>
          <w:rPr>
            <w:webHidden/>
          </w:rPr>
          <w:t>55</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90" w:history="1">
        <w:r w:rsidRPr="00020156">
          <w:rPr>
            <w:rStyle w:val="Hyperlink"/>
            <w:rFonts w:asciiTheme="minorEastAsia" w:hAnsiTheme="minorEastAsia" w:hint="eastAsia"/>
          </w:rPr>
          <w:t>（六）基金收益分配中发生的费用</w:t>
        </w:r>
        <w:r>
          <w:rPr>
            <w:webHidden/>
          </w:rPr>
          <w:tab/>
        </w:r>
        <w:r>
          <w:rPr>
            <w:webHidden/>
          </w:rPr>
          <w:fldChar w:fldCharType="begin"/>
        </w:r>
        <w:r>
          <w:rPr>
            <w:webHidden/>
          </w:rPr>
          <w:instrText xml:space="preserve"> PAGEREF _Toc91752090 \h </w:instrText>
        </w:r>
        <w:r>
          <w:rPr>
            <w:webHidden/>
          </w:rPr>
          <w:fldChar w:fldCharType="separate"/>
        </w:r>
        <w:r>
          <w:rPr>
            <w:webHidden/>
          </w:rPr>
          <w:t>55</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91" w:history="1">
        <w:r w:rsidRPr="00020156">
          <w:rPr>
            <w:rStyle w:val="Hyperlink"/>
            <w:rFonts w:asciiTheme="minorEastAsia" w:hAnsiTheme="minorEastAsia" w:hint="eastAsia"/>
            <w:bCs/>
          </w:rPr>
          <w:t>十六、基金的费用与税收</w:t>
        </w:r>
        <w:r>
          <w:rPr>
            <w:webHidden/>
          </w:rPr>
          <w:tab/>
        </w:r>
        <w:r>
          <w:rPr>
            <w:webHidden/>
          </w:rPr>
          <w:fldChar w:fldCharType="begin"/>
        </w:r>
        <w:r>
          <w:rPr>
            <w:webHidden/>
          </w:rPr>
          <w:instrText xml:space="preserve"> PAGEREF _Toc91752091 \h </w:instrText>
        </w:r>
        <w:r>
          <w:rPr>
            <w:webHidden/>
          </w:rPr>
          <w:fldChar w:fldCharType="separate"/>
        </w:r>
        <w:r>
          <w:rPr>
            <w:webHidden/>
          </w:rPr>
          <w:t>56</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92" w:history="1">
        <w:r w:rsidRPr="00020156">
          <w:rPr>
            <w:rStyle w:val="Hyperlink"/>
            <w:rFonts w:asciiTheme="minorEastAsia" w:hAnsiTheme="minorEastAsia" w:hint="eastAsia"/>
          </w:rPr>
          <w:t>（一）与基金运作相关的费用</w:t>
        </w:r>
        <w:r>
          <w:rPr>
            <w:webHidden/>
          </w:rPr>
          <w:tab/>
        </w:r>
        <w:r>
          <w:rPr>
            <w:webHidden/>
          </w:rPr>
          <w:fldChar w:fldCharType="begin"/>
        </w:r>
        <w:r>
          <w:rPr>
            <w:webHidden/>
          </w:rPr>
          <w:instrText xml:space="preserve"> PAGEREF _Toc91752092 \h </w:instrText>
        </w:r>
        <w:r>
          <w:rPr>
            <w:webHidden/>
          </w:rPr>
          <w:fldChar w:fldCharType="separate"/>
        </w:r>
        <w:r>
          <w:rPr>
            <w:webHidden/>
          </w:rPr>
          <w:t>56</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93" w:history="1">
        <w:r w:rsidRPr="00020156">
          <w:rPr>
            <w:rStyle w:val="Hyperlink"/>
            <w:rFonts w:asciiTheme="minorEastAsia" w:hAnsiTheme="minorEastAsia" w:hint="eastAsia"/>
          </w:rPr>
          <w:t>（二）与基金销售有关的费用</w:t>
        </w:r>
        <w:r>
          <w:rPr>
            <w:webHidden/>
          </w:rPr>
          <w:tab/>
        </w:r>
        <w:r>
          <w:rPr>
            <w:webHidden/>
          </w:rPr>
          <w:fldChar w:fldCharType="begin"/>
        </w:r>
        <w:r>
          <w:rPr>
            <w:webHidden/>
          </w:rPr>
          <w:instrText xml:space="preserve"> PAGEREF _Toc91752093 \h </w:instrText>
        </w:r>
        <w:r>
          <w:rPr>
            <w:webHidden/>
          </w:rPr>
          <w:fldChar w:fldCharType="separate"/>
        </w:r>
        <w:r>
          <w:rPr>
            <w:webHidden/>
          </w:rPr>
          <w:t>57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94" w:history="1">
        <w:r w:rsidRPr="00020156">
          <w:rPr>
            <w:rStyle w:val="Hyperlink"/>
            <w:rFonts w:asciiTheme="minorEastAsia" w:hAnsiTheme="minorEastAsia" w:hint="eastAsia"/>
          </w:rPr>
          <w:t>（三）基金税收</w:t>
        </w:r>
        <w:r>
          <w:rPr>
            <w:webHidden/>
          </w:rPr>
          <w:tab/>
        </w:r>
        <w:r>
          <w:rPr>
            <w:webHidden/>
          </w:rPr>
          <w:fldChar w:fldCharType="begin"/>
        </w:r>
        <w:r>
          <w:rPr>
            <w:webHidden/>
          </w:rPr>
          <w:instrText xml:space="preserve"> PAGEREF _Toc91752094 \h </w:instrText>
        </w:r>
        <w:r>
          <w:rPr>
            <w:webHidden/>
          </w:rPr>
          <w:fldChar w:fldCharType="separate"/>
        </w:r>
        <w:r>
          <w:rPr>
            <w:webHidden/>
          </w:rPr>
          <w:t>58</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95" w:history="1">
        <w:r w:rsidRPr="00020156">
          <w:rPr>
            <w:rStyle w:val="Hyperlink"/>
            <w:rFonts w:asciiTheme="minorEastAsia" w:hAnsiTheme="minorEastAsia" w:hint="eastAsia"/>
            <w:bCs/>
          </w:rPr>
          <w:t>十七、基金的会计与审计</w:t>
        </w:r>
        <w:r>
          <w:rPr>
            <w:webHidden/>
          </w:rPr>
          <w:tab/>
        </w:r>
        <w:r>
          <w:rPr>
            <w:webHidden/>
          </w:rPr>
          <w:fldChar w:fldCharType="begin"/>
        </w:r>
        <w:r>
          <w:rPr>
            <w:webHidden/>
          </w:rPr>
          <w:instrText xml:space="preserve"> PAGEREF _Toc91752095 \h </w:instrText>
        </w:r>
        <w:r>
          <w:rPr>
            <w:webHidden/>
          </w:rPr>
          <w:fldChar w:fldCharType="separate"/>
        </w:r>
        <w:r>
          <w:rPr>
            <w:webHidden/>
          </w:rPr>
          <w:t>59</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96" w:history="1">
        <w:r w:rsidRPr="00020156">
          <w:rPr>
            <w:rStyle w:val="Hyperlink"/>
            <w:rFonts w:asciiTheme="minorEastAsia" w:hAnsiTheme="minorEastAsia" w:hint="eastAsia"/>
          </w:rPr>
          <w:t>（一）基金会计政策</w:t>
        </w:r>
        <w:r>
          <w:rPr>
            <w:webHidden/>
          </w:rPr>
          <w:tab/>
        </w:r>
        <w:r>
          <w:rPr>
            <w:webHidden/>
          </w:rPr>
          <w:fldChar w:fldCharType="begin"/>
        </w:r>
        <w:r>
          <w:rPr>
            <w:webHidden/>
          </w:rPr>
          <w:instrText xml:space="preserve"> PAGEREF _Toc91752096 \h </w:instrText>
        </w:r>
        <w:r>
          <w:rPr>
            <w:webHidden/>
          </w:rPr>
          <w:fldChar w:fldCharType="separate"/>
        </w:r>
        <w:r>
          <w:rPr>
            <w:webHidden/>
          </w:rPr>
          <w:t>59</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097" w:history="1">
        <w:r w:rsidRPr="00020156">
          <w:rPr>
            <w:rStyle w:val="Hyperlink"/>
            <w:rFonts w:asciiTheme="minorEastAsia" w:hAnsiTheme="minorEastAsia" w:hint="eastAsia"/>
          </w:rPr>
          <w:t>（二）基金年度审计</w:t>
        </w:r>
        <w:r>
          <w:rPr>
            <w:webHidden/>
          </w:rPr>
          <w:tab/>
        </w:r>
        <w:r>
          <w:rPr>
            <w:webHidden/>
          </w:rPr>
          <w:fldChar w:fldCharType="begin"/>
        </w:r>
        <w:r>
          <w:rPr>
            <w:webHidden/>
          </w:rPr>
          <w:instrText xml:space="preserve"> PAGEREF _Toc91752097 \h </w:instrText>
        </w:r>
        <w:r>
          <w:rPr>
            <w:webHidden/>
          </w:rPr>
          <w:fldChar w:fldCharType="separate"/>
        </w:r>
        <w:r>
          <w:rPr>
            <w:webHidden/>
          </w:rPr>
          <w:t>59</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98" w:history="1">
        <w:r w:rsidRPr="00020156">
          <w:rPr>
            <w:rStyle w:val="Hyperlink"/>
            <w:rFonts w:asciiTheme="minorEastAsia" w:hAnsiTheme="minorEastAsia" w:hint="eastAsia"/>
            <w:bCs/>
          </w:rPr>
          <w:t>十八、基金的信息披露</w:t>
        </w:r>
        <w:r>
          <w:rPr>
            <w:webHidden/>
          </w:rPr>
          <w:tab/>
        </w:r>
        <w:r>
          <w:rPr>
            <w:webHidden/>
          </w:rPr>
          <w:fldChar w:fldCharType="begin"/>
        </w:r>
        <w:r>
          <w:rPr>
            <w:webHidden/>
          </w:rPr>
          <w:instrText xml:space="preserve"> PAGEREF _Toc91752098 \h </w:instrText>
        </w:r>
        <w:r>
          <w:rPr>
            <w:webHidden/>
          </w:rPr>
          <w:fldChar w:fldCharType="separate"/>
        </w:r>
        <w:r>
          <w:rPr>
            <w:webHidden/>
          </w:rPr>
          <w:t>60</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099" w:history="1">
        <w:r w:rsidRPr="00020156">
          <w:rPr>
            <w:rStyle w:val="Hyperlink"/>
            <w:rFonts w:asciiTheme="minorEastAsia" w:hAnsiTheme="minorEastAsia" w:hint="eastAsia"/>
            <w:bCs/>
          </w:rPr>
          <w:t>十九、风险揭示</w:t>
        </w:r>
        <w:r>
          <w:rPr>
            <w:webHidden/>
          </w:rPr>
          <w:tab/>
        </w:r>
        <w:r>
          <w:rPr>
            <w:webHidden/>
          </w:rPr>
          <w:fldChar w:fldCharType="begin"/>
        </w:r>
        <w:r>
          <w:rPr>
            <w:webHidden/>
          </w:rPr>
          <w:instrText xml:space="preserve"> PAGEREF _Toc91752099 \h </w:instrText>
        </w:r>
        <w:r>
          <w:rPr>
            <w:webHidden/>
          </w:rPr>
          <w:fldChar w:fldCharType="separate"/>
        </w:r>
        <w:r>
          <w:rPr>
            <w:webHidden/>
          </w:rPr>
          <w:t>65</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00" w:history="1">
        <w:r w:rsidRPr="00020156">
          <w:rPr>
            <w:rStyle w:val="Hyperlink"/>
            <w:rFonts w:asciiTheme="minorEastAsia" w:hAnsiTheme="minorEastAsia" w:hint="eastAsia"/>
          </w:rPr>
          <w:t>（一）本基金特有的风险</w:t>
        </w:r>
        <w:r>
          <w:rPr>
            <w:webHidden/>
          </w:rPr>
          <w:tab/>
        </w:r>
        <w:r>
          <w:rPr>
            <w:webHidden/>
          </w:rPr>
          <w:fldChar w:fldCharType="begin"/>
        </w:r>
        <w:r>
          <w:rPr>
            <w:webHidden/>
          </w:rPr>
          <w:instrText xml:space="preserve"> PAGEREF _Toc91752100 \h </w:instrText>
        </w:r>
        <w:r>
          <w:rPr>
            <w:webHidden/>
          </w:rPr>
          <w:fldChar w:fldCharType="separate"/>
        </w:r>
        <w:r>
          <w:rPr>
            <w:webHidden/>
          </w:rPr>
          <w:t>65</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01" w:history="1">
        <w:r w:rsidRPr="00020156">
          <w:rPr>
            <w:rStyle w:val="Hyperlink"/>
            <w:rFonts w:asciiTheme="minorEastAsia" w:hAnsiTheme="minorEastAsia" w:hint="eastAsia"/>
          </w:rPr>
          <w:t>（二）市场风险</w:t>
        </w:r>
        <w:r>
          <w:rPr>
            <w:webHidden/>
          </w:rPr>
          <w:tab/>
        </w:r>
        <w:r>
          <w:rPr>
            <w:webHidden/>
          </w:rPr>
          <w:fldChar w:fldCharType="begin"/>
        </w:r>
        <w:r>
          <w:rPr>
            <w:webHidden/>
          </w:rPr>
          <w:instrText xml:space="preserve"> PAGEREF _Toc91752101 \h </w:instrText>
        </w:r>
        <w:r>
          <w:rPr>
            <w:webHidden/>
          </w:rPr>
          <w:fldChar w:fldCharType="separate"/>
        </w:r>
        <w:r>
          <w:rPr>
            <w:webHidden/>
          </w:rPr>
          <w:t>66</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02" w:history="1">
        <w:r w:rsidRPr="00020156">
          <w:rPr>
            <w:rStyle w:val="Hyperlink"/>
            <w:rFonts w:asciiTheme="minorEastAsia" w:hAnsiTheme="minorEastAsia" w:hint="eastAsia"/>
          </w:rPr>
          <w:t>（三）流动性风险</w:t>
        </w:r>
        <w:r>
          <w:rPr>
            <w:webHidden/>
          </w:rPr>
          <w:tab/>
        </w:r>
        <w:r>
          <w:rPr>
            <w:webHidden/>
          </w:rPr>
          <w:fldChar w:fldCharType="begin"/>
        </w:r>
        <w:r>
          <w:rPr>
            <w:webHidden/>
          </w:rPr>
          <w:instrText xml:space="preserve"> PAGEREF _Toc91752102 \h </w:instrText>
        </w:r>
        <w:r>
          <w:rPr>
            <w:webHidden/>
          </w:rPr>
          <w:fldChar w:fldCharType="separate"/>
        </w:r>
        <w:r>
          <w:rPr>
            <w:webHidden/>
          </w:rPr>
          <w:t>67</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03" w:history="1">
        <w:r w:rsidRPr="00020156">
          <w:rPr>
            <w:rStyle w:val="Hyperlink"/>
            <w:rFonts w:asciiTheme="minorEastAsia" w:hAnsiTheme="minorEastAsia" w:hint="eastAsia"/>
          </w:rPr>
          <w:t>（四）本基金法律文件中涉及基金风险特征的表述与销售机构对基金的风险评级可能不一致的风险</w:t>
        </w:r>
        <w:r>
          <w:rPr>
            <w:webHidden/>
          </w:rPr>
          <w:tab/>
        </w:r>
        <w:r>
          <w:rPr>
            <w:webHidden/>
          </w:rPr>
          <w:fldChar w:fldCharType="begin"/>
        </w:r>
        <w:r>
          <w:rPr>
            <w:webHidden/>
          </w:rPr>
          <w:instrText xml:space="preserve"> PAGEREF _Toc91752103 \h </w:instrText>
        </w:r>
        <w:r>
          <w:rPr>
            <w:webHidden/>
          </w:rPr>
          <w:fldChar w:fldCharType="separate"/>
        </w:r>
        <w:r>
          <w:rPr>
            <w:webHidden/>
          </w:rPr>
          <w:t>68</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04" w:history="1">
        <w:r w:rsidRPr="00020156">
          <w:rPr>
            <w:rStyle w:val="Hyperlink"/>
            <w:rFonts w:asciiTheme="minorEastAsia" w:hAnsiTheme="minorEastAsia" w:hint="eastAsia"/>
          </w:rPr>
          <w:t>（五）管理风险</w:t>
        </w:r>
        <w:r>
          <w:rPr>
            <w:webHidden/>
          </w:rPr>
          <w:tab/>
        </w:r>
        <w:r>
          <w:rPr>
            <w:webHidden/>
          </w:rPr>
          <w:fldChar w:fldCharType="begin"/>
        </w:r>
        <w:r>
          <w:rPr>
            <w:webHidden/>
          </w:rPr>
          <w:instrText xml:space="preserve"> PAGEREF _Toc91752104 \h </w:instrText>
        </w:r>
        <w:r>
          <w:rPr>
            <w:webHidden/>
          </w:rPr>
          <w:fldChar w:fldCharType="separate"/>
        </w:r>
        <w:r>
          <w:rPr>
            <w:webHidden/>
          </w:rPr>
          <w:t>68</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05" w:history="1">
        <w:r w:rsidRPr="00020156">
          <w:rPr>
            <w:rStyle w:val="Hyperlink"/>
            <w:rFonts w:asciiTheme="minorEastAsia" w:hAnsiTheme="minorEastAsia" w:hint="eastAsia"/>
          </w:rPr>
          <w:t>（六）其他风险</w:t>
        </w:r>
        <w:r>
          <w:rPr>
            <w:webHidden/>
          </w:rPr>
          <w:tab/>
        </w:r>
        <w:r>
          <w:rPr>
            <w:webHidden/>
          </w:rPr>
          <w:fldChar w:fldCharType="begin"/>
        </w:r>
        <w:r>
          <w:rPr>
            <w:webHidden/>
          </w:rPr>
          <w:instrText xml:space="preserve"> PAGEREF _Toc91752105 \h </w:instrText>
        </w:r>
        <w:r>
          <w:rPr>
            <w:webHidden/>
          </w:rPr>
          <w:fldChar w:fldCharType="separate"/>
        </w:r>
        <w:r>
          <w:rPr>
            <w:webHidden/>
          </w:rPr>
          <w:t>68</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106" w:history="1">
        <w:r w:rsidRPr="00020156">
          <w:rPr>
            <w:rStyle w:val="Hyperlink"/>
            <w:rFonts w:asciiTheme="minorEastAsia" w:hAnsiTheme="minorEastAsia" w:hint="eastAsia"/>
            <w:bCs/>
          </w:rPr>
          <w:t>二十、基金合同的变更、终止与基金财产的清算</w:t>
        </w:r>
        <w:r>
          <w:rPr>
            <w:webHidden/>
          </w:rPr>
          <w:tab/>
        </w:r>
        <w:r>
          <w:rPr>
            <w:webHidden/>
          </w:rPr>
          <w:fldChar w:fldCharType="begin"/>
        </w:r>
        <w:r>
          <w:rPr>
            <w:webHidden/>
          </w:rPr>
          <w:instrText xml:space="preserve"> PAGEREF _Toc91752106 \h </w:instrText>
        </w:r>
        <w:r>
          <w:rPr>
            <w:webHidden/>
          </w:rPr>
          <w:fldChar w:fldCharType="separate"/>
        </w:r>
        <w:r>
          <w:rPr>
            <w:webHidden/>
          </w:rPr>
          <w:t>69</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07" w:history="1">
        <w:r w:rsidRPr="00020156">
          <w:rPr>
            <w:rStyle w:val="Hyperlink"/>
            <w:rFonts w:asciiTheme="minorEastAsia" w:hAnsiTheme="minorEastAsia" w:hint="eastAsia"/>
            <w:bCs/>
          </w:rPr>
          <w:t>（一）基金合同的变更</w:t>
        </w:r>
        <w:r>
          <w:rPr>
            <w:webHidden/>
          </w:rPr>
          <w:tab/>
        </w:r>
        <w:r>
          <w:rPr>
            <w:webHidden/>
          </w:rPr>
          <w:fldChar w:fldCharType="begin"/>
        </w:r>
        <w:r>
          <w:rPr>
            <w:webHidden/>
          </w:rPr>
          <w:instrText xml:space="preserve"> PAGEREF _Toc91752107 \h </w:instrText>
        </w:r>
        <w:r>
          <w:rPr>
            <w:webHidden/>
          </w:rPr>
          <w:fldChar w:fldCharType="separate"/>
        </w:r>
        <w:r>
          <w:rPr>
            <w:webHidden/>
          </w:rPr>
          <w:t>69</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08" w:history="1">
        <w:r w:rsidRPr="00020156">
          <w:rPr>
            <w:rStyle w:val="Hyperlink"/>
            <w:rFonts w:asciiTheme="minorEastAsia" w:hAnsiTheme="minorEastAsia" w:hint="eastAsia"/>
            <w:bCs/>
          </w:rPr>
          <w:t>（二）基金合同的终止</w:t>
        </w:r>
        <w:r>
          <w:rPr>
            <w:webHidden/>
          </w:rPr>
          <w:tab/>
        </w:r>
        <w:r>
          <w:rPr>
            <w:webHidden/>
          </w:rPr>
          <w:fldChar w:fldCharType="begin"/>
        </w:r>
        <w:r>
          <w:rPr>
            <w:webHidden/>
          </w:rPr>
          <w:instrText xml:space="preserve"> PAGEREF _Toc91752108 \h </w:instrText>
        </w:r>
        <w:r>
          <w:rPr>
            <w:webHidden/>
          </w:rPr>
          <w:fldChar w:fldCharType="separate"/>
        </w:r>
        <w:r>
          <w:rPr>
            <w:webHidden/>
          </w:rPr>
          <w:t>69</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09" w:history="1">
        <w:r w:rsidRPr="00020156">
          <w:rPr>
            <w:rStyle w:val="Hyperlink"/>
            <w:rFonts w:asciiTheme="minorEastAsia" w:hAnsiTheme="minorEastAsia" w:hint="eastAsia"/>
            <w:bCs/>
          </w:rPr>
          <w:t>（三）基金财产的清算</w:t>
        </w:r>
        <w:r>
          <w:rPr>
            <w:webHidden/>
          </w:rPr>
          <w:tab/>
        </w:r>
        <w:r>
          <w:rPr>
            <w:webHidden/>
          </w:rPr>
          <w:fldChar w:fldCharType="begin"/>
        </w:r>
        <w:r>
          <w:rPr>
            <w:webHidden/>
          </w:rPr>
          <w:instrText xml:space="preserve"> PAGEREF _Toc91752109 \h </w:instrText>
        </w:r>
        <w:r>
          <w:rPr>
            <w:webHidden/>
          </w:rPr>
          <w:fldChar w:fldCharType="separate"/>
        </w:r>
        <w:r>
          <w:rPr>
            <w:webHidden/>
          </w:rPr>
          <w:t>69</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10" w:history="1">
        <w:r w:rsidRPr="00020156">
          <w:rPr>
            <w:rStyle w:val="Hyperlink"/>
            <w:rFonts w:asciiTheme="minorEastAsia" w:hAnsiTheme="minorEastAsia" w:hint="eastAsia"/>
            <w:bCs/>
          </w:rPr>
          <w:t>（四）清算费用</w:t>
        </w:r>
        <w:r>
          <w:rPr>
            <w:webHidden/>
          </w:rPr>
          <w:tab/>
        </w:r>
        <w:r>
          <w:rPr>
            <w:webHidden/>
          </w:rPr>
          <w:fldChar w:fldCharType="begin"/>
        </w:r>
        <w:r>
          <w:rPr>
            <w:webHidden/>
          </w:rPr>
          <w:instrText xml:space="preserve"> PAGEREF _Toc91752110 \h </w:instrText>
        </w:r>
        <w:r>
          <w:rPr>
            <w:webHidden/>
          </w:rPr>
          <w:fldChar w:fldCharType="separate"/>
        </w:r>
        <w:r>
          <w:rPr>
            <w:webHidden/>
          </w:rPr>
          <w:t>70</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11" w:history="1">
        <w:r w:rsidRPr="00020156">
          <w:rPr>
            <w:rStyle w:val="Hyperlink"/>
            <w:rFonts w:asciiTheme="minorEastAsia" w:hAnsiTheme="minorEastAsia" w:hint="eastAsia"/>
            <w:bCs/>
          </w:rPr>
          <w:t>（五）基金财产清算剩余资产的分配</w:t>
        </w:r>
        <w:r>
          <w:rPr>
            <w:webHidden/>
          </w:rPr>
          <w:tab/>
        </w:r>
        <w:r>
          <w:rPr>
            <w:webHidden/>
          </w:rPr>
          <w:fldChar w:fldCharType="begin"/>
        </w:r>
        <w:r>
          <w:rPr>
            <w:webHidden/>
          </w:rPr>
          <w:instrText xml:space="preserve"> PAGEREF _Toc91752111 \h </w:instrText>
        </w:r>
        <w:r>
          <w:rPr>
            <w:webHidden/>
          </w:rPr>
          <w:fldChar w:fldCharType="separate"/>
        </w:r>
        <w:r>
          <w:rPr>
            <w:webHidden/>
          </w:rPr>
          <w:t>70</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12" w:history="1">
        <w:r w:rsidRPr="00020156">
          <w:rPr>
            <w:rStyle w:val="Hyperlink"/>
            <w:rFonts w:asciiTheme="minorEastAsia" w:hAnsiTheme="minorEastAsia" w:hint="eastAsia"/>
            <w:bCs/>
          </w:rPr>
          <w:t>（六）基金财产清算的公告</w:t>
        </w:r>
        <w:r>
          <w:rPr>
            <w:webHidden/>
          </w:rPr>
          <w:tab/>
        </w:r>
        <w:r>
          <w:rPr>
            <w:webHidden/>
          </w:rPr>
          <w:fldChar w:fldCharType="begin"/>
        </w:r>
        <w:r>
          <w:rPr>
            <w:webHidden/>
          </w:rPr>
          <w:instrText xml:space="preserve"> PAGEREF _Toc91752112 \h </w:instrText>
        </w:r>
        <w:r>
          <w:rPr>
            <w:webHidden/>
          </w:rPr>
          <w:fldChar w:fldCharType="separate"/>
        </w:r>
        <w:r>
          <w:rPr>
            <w:webHidden/>
          </w:rPr>
          <w:t>70</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13" w:history="1">
        <w:r w:rsidRPr="00020156">
          <w:rPr>
            <w:rStyle w:val="Hyperlink"/>
            <w:rFonts w:asciiTheme="minorEastAsia" w:hAnsiTheme="minorEastAsia" w:hint="eastAsia"/>
            <w:bCs/>
          </w:rPr>
          <w:t>（七）基金财产清算账册及文件的保存</w:t>
        </w:r>
        <w:r>
          <w:rPr>
            <w:webHidden/>
          </w:rPr>
          <w:tab/>
        </w:r>
        <w:r>
          <w:rPr>
            <w:webHidden/>
          </w:rPr>
          <w:fldChar w:fldCharType="begin"/>
        </w:r>
        <w:r>
          <w:rPr>
            <w:webHidden/>
          </w:rPr>
          <w:instrText xml:space="preserve"> PAGEREF _Toc91752113 \h </w:instrText>
        </w:r>
        <w:r>
          <w:rPr>
            <w:webHidden/>
          </w:rPr>
          <w:fldChar w:fldCharType="separate"/>
        </w:r>
        <w:r>
          <w:rPr>
            <w:webHidden/>
          </w:rPr>
          <w:t>70</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114" w:history="1">
        <w:r w:rsidRPr="00020156">
          <w:rPr>
            <w:rStyle w:val="Hyperlink"/>
            <w:rFonts w:asciiTheme="minorEastAsia" w:hAnsiTheme="minorEastAsia" w:hint="eastAsia"/>
            <w:bCs/>
          </w:rPr>
          <w:t>二十一、基金合同内容摘要</w:t>
        </w:r>
        <w:r>
          <w:rPr>
            <w:webHidden/>
          </w:rPr>
          <w:tab/>
        </w:r>
        <w:r>
          <w:rPr>
            <w:webHidden/>
          </w:rPr>
          <w:fldChar w:fldCharType="begin"/>
        </w:r>
        <w:r>
          <w:rPr>
            <w:webHidden/>
          </w:rPr>
          <w:instrText xml:space="preserve"> PAGEREF _Toc91752114 \h </w:instrText>
        </w:r>
        <w:r>
          <w:rPr>
            <w:webHidden/>
          </w:rPr>
          <w:fldChar w:fldCharType="separate"/>
        </w:r>
        <w:r>
          <w:rPr>
            <w:webHidden/>
          </w:rPr>
          <w:t>71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15" w:history="1">
        <w:r w:rsidRPr="00020156">
          <w:rPr>
            <w:rStyle w:val="Hyperlink"/>
            <w:rFonts w:asciiTheme="minorEastAsia" w:hAnsiTheme="minorEastAsia" w:hint="eastAsia"/>
            <w:bCs/>
          </w:rPr>
          <w:t>（一）基金管理人的权利与义务</w:t>
        </w:r>
        <w:r>
          <w:rPr>
            <w:webHidden/>
          </w:rPr>
          <w:tab/>
        </w:r>
        <w:r>
          <w:rPr>
            <w:webHidden/>
          </w:rPr>
          <w:fldChar w:fldCharType="begin"/>
        </w:r>
        <w:r>
          <w:rPr>
            <w:webHidden/>
          </w:rPr>
          <w:instrText xml:space="preserve"> PAGEREF _Toc91752115 \h </w:instrText>
        </w:r>
        <w:r>
          <w:rPr>
            <w:webHidden/>
          </w:rPr>
          <w:fldChar w:fldCharType="separate"/>
        </w:r>
        <w:r>
          <w:rPr>
            <w:webHidden/>
          </w:rPr>
          <w:t>71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16" w:history="1">
        <w:r w:rsidRPr="00020156">
          <w:rPr>
            <w:rStyle w:val="Hyperlink"/>
            <w:rFonts w:asciiTheme="minorEastAsia" w:hAnsiTheme="minorEastAsia" w:hint="eastAsia"/>
            <w:bCs/>
          </w:rPr>
          <w:t>（二）基金托管人的权利与义务</w:t>
        </w:r>
        <w:r>
          <w:rPr>
            <w:webHidden/>
          </w:rPr>
          <w:tab/>
        </w:r>
        <w:r>
          <w:rPr>
            <w:webHidden/>
          </w:rPr>
          <w:fldChar w:fldCharType="begin"/>
        </w:r>
        <w:r>
          <w:rPr>
            <w:webHidden/>
          </w:rPr>
          <w:instrText xml:space="preserve"> PAGEREF _Toc91752116 \h </w:instrText>
        </w:r>
        <w:r>
          <w:rPr>
            <w:webHidden/>
          </w:rPr>
          <w:fldChar w:fldCharType="separate"/>
        </w:r>
        <w:r>
          <w:rPr>
            <w:webHidden/>
          </w:rPr>
          <w:t>73</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17" w:history="1">
        <w:r w:rsidRPr="00020156">
          <w:rPr>
            <w:rStyle w:val="Hyperlink"/>
            <w:rFonts w:asciiTheme="minorEastAsia" w:hAnsiTheme="minorEastAsia" w:hint="eastAsia"/>
            <w:bCs/>
          </w:rPr>
          <w:t>（三）基金份额持有人的权利与义务</w:t>
        </w:r>
        <w:r>
          <w:rPr>
            <w:webHidden/>
          </w:rPr>
          <w:tab/>
        </w:r>
        <w:r>
          <w:rPr>
            <w:webHidden/>
          </w:rPr>
          <w:fldChar w:fldCharType="begin"/>
        </w:r>
        <w:r>
          <w:rPr>
            <w:webHidden/>
          </w:rPr>
          <w:instrText xml:space="preserve"> PAGEREF _Toc91752117 \h </w:instrText>
        </w:r>
        <w:r>
          <w:rPr>
            <w:webHidden/>
          </w:rPr>
          <w:fldChar w:fldCharType="separate"/>
        </w:r>
        <w:r>
          <w:rPr>
            <w:webHidden/>
          </w:rPr>
          <w:t>75</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18" w:history="1">
        <w:r w:rsidRPr="00020156">
          <w:rPr>
            <w:rStyle w:val="Hyperlink"/>
            <w:rFonts w:asciiTheme="minorEastAsia" w:hAnsiTheme="minorEastAsia" w:hint="eastAsia"/>
            <w:bCs/>
          </w:rPr>
          <w:t>（四）基金份额持有人大会</w:t>
        </w:r>
        <w:r>
          <w:rPr>
            <w:webHidden/>
          </w:rPr>
          <w:tab/>
        </w:r>
        <w:r>
          <w:rPr>
            <w:webHidden/>
          </w:rPr>
          <w:fldChar w:fldCharType="begin"/>
        </w:r>
        <w:r>
          <w:rPr>
            <w:webHidden/>
          </w:rPr>
          <w:instrText xml:space="preserve"> PAGEREF _Toc91752118 \h </w:instrText>
        </w:r>
        <w:r>
          <w:rPr>
            <w:webHidden/>
          </w:rPr>
          <w:fldChar w:fldCharType="separate"/>
        </w:r>
        <w:r>
          <w:rPr>
            <w:webHidden/>
          </w:rPr>
          <w:t>75</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19" w:history="1">
        <w:r w:rsidRPr="00020156">
          <w:rPr>
            <w:rStyle w:val="Hyperlink"/>
            <w:rFonts w:asciiTheme="minorEastAsia" w:hAnsiTheme="minorEastAsia" w:hint="eastAsia"/>
            <w:bCs/>
          </w:rPr>
          <w:t>（五）基金合同的变更</w:t>
        </w:r>
        <w:r>
          <w:rPr>
            <w:webHidden/>
          </w:rPr>
          <w:tab/>
        </w:r>
        <w:r>
          <w:rPr>
            <w:webHidden/>
          </w:rPr>
          <w:fldChar w:fldCharType="begin"/>
        </w:r>
        <w:r>
          <w:rPr>
            <w:webHidden/>
          </w:rPr>
          <w:instrText xml:space="preserve"> PAGEREF _Toc91752119 \h </w:instrText>
        </w:r>
        <w:r>
          <w:rPr>
            <w:webHidden/>
          </w:rPr>
          <w:fldChar w:fldCharType="separate"/>
        </w:r>
        <w:r>
          <w:rPr>
            <w:webHidden/>
          </w:rPr>
          <w:t>81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20" w:history="1">
        <w:r w:rsidRPr="00020156">
          <w:rPr>
            <w:rStyle w:val="Hyperlink"/>
            <w:rFonts w:asciiTheme="minorEastAsia" w:hAnsiTheme="minorEastAsia" w:hint="eastAsia"/>
            <w:bCs/>
          </w:rPr>
          <w:t>（六）基金合同的终止</w:t>
        </w:r>
        <w:r>
          <w:rPr>
            <w:webHidden/>
          </w:rPr>
          <w:tab/>
        </w:r>
        <w:r>
          <w:rPr>
            <w:webHidden/>
          </w:rPr>
          <w:fldChar w:fldCharType="begin"/>
        </w:r>
        <w:r>
          <w:rPr>
            <w:webHidden/>
          </w:rPr>
          <w:instrText xml:space="preserve"> PAGEREF _Toc91752120 \h </w:instrText>
        </w:r>
        <w:r>
          <w:rPr>
            <w:webHidden/>
          </w:rPr>
          <w:fldChar w:fldCharType="separate"/>
        </w:r>
        <w:r>
          <w:rPr>
            <w:webHidden/>
          </w:rPr>
          <w:t>82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21" w:history="1">
        <w:r w:rsidRPr="00020156">
          <w:rPr>
            <w:rStyle w:val="Hyperlink"/>
            <w:rFonts w:asciiTheme="minorEastAsia" w:hAnsiTheme="minorEastAsia" w:hint="eastAsia"/>
            <w:bCs/>
          </w:rPr>
          <w:t>（七）争议的处理和适用的法律</w:t>
        </w:r>
        <w:r>
          <w:rPr>
            <w:webHidden/>
          </w:rPr>
          <w:tab/>
        </w:r>
        <w:r>
          <w:rPr>
            <w:webHidden/>
          </w:rPr>
          <w:fldChar w:fldCharType="begin"/>
        </w:r>
        <w:r>
          <w:rPr>
            <w:webHidden/>
          </w:rPr>
          <w:instrText xml:space="preserve"> PAGEREF _Toc91752121 \h </w:instrText>
        </w:r>
        <w:r>
          <w:rPr>
            <w:webHidden/>
          </w:rPr>
          <w:fldChar w:fldCharType="separate"/>
        </w:r>
        <w:r>
          <w:rPr>
            <w:webHidden/>
          </w:rPr>
          <w:t>82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22" w:history="1">
        <w:r w:rsidRPr="00020156">
          <w:rPr>
            <w:rStyle w:val="Hyperlink"/>
            <w:rFonts w:asciiTheme="minorEastAsia" w:hAnsiTheme="minorEastAsia" w:hint="eastAsia"/>
            <w:bCs/>
          </w:rPr>
          <w:t>（八）基金合同的存放及查阅方式</w:t>
        </w:r>
        <w:r>
          <w:rPr>
            <w:webHidden/>
          </w:rPr>
          <w:tab/>
        </w:r>
        <w:r>
          <w:rPr>
            <w:webHidden/>
          </w:rPr>
          <w:fldChar w:fldCharType="begin"/>
        </w:r>
        <w:r>
          <w:rPr>
            <w:webHidden/>
          </w:rPr>
          <w:instrText xml:space="preserve"> PAGEREF _Toc91752122 \h </w:instrText>
        </w:r>
        <w:r>
          <w:rPr>
            <w:webHidden/>
          </w:rPr>
          <w:fldChar w:fldCharType="separate"/>
        </w:r>
        <w:r>
          <w:rPr>
            <w:webHidden/>
          </w:rPr>
          <w:t>82</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123" w:history="1">
        <w:r w:rsidRPr="00020156">
          <w:rPr>
            <w:rStyle w:val="Hyperlink"/>
            <w:rFonts w:asciiTheme="minorEastAsia" w:hAnsiTheme="minorEastAsia" w:hint="eastAsia"/>
            <w:bCs/>
          </w:rPr>
          <w:t>二十二、基金托管协议的内容摘要</w:t>
        </w:r>
        <w:r>
          <w:rPr>
            <w:webHidden/>
          </w:rPr>
          <w:tab/>
        </w:r>
        <w:r>
          <w:rPr>
            <w:webHidden/>
          </w:rPr>
          <w:fldChar w:fldCharType="begin"/>
        </w:r>
        <w:r>
          <w:rPr>
            <w:webHidden/>
          </w:rPr>
          <w:instrText xml:space="preserve"> PAGEREF _Toc91752123 \h </w:instrText>
        </w:r>
        <w:r>
          <w:rPr>
            <w:webHidden/>
          </w:rPr>
          <w:fldChar w:fldCharType="separate"/>
        </w:r>
        <w:r>
          <w:rPr>
            <w:webHidden/>
          </w:rPr>
          <w:t>83</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24" w:history="1">
        <w:r w:rsidRPr="00020156">
          <w:rPr>
            <w:rStyle w:val="Hyperlink"/>
            <w:rFonts w:asciiTheme="minorEastAsia" w:hAnsiTheme="minorEastAsia" w:hint="eastAsia"/>
            <w:bCs/>
          </w:rPr>
          <w:t>（一）托管协议当事人</w:t>
        </w:r>
        <w:r>
          <w:rPr>
            <w:webHidden/>
          </w:rPr>
          <w:tab/>
        </w:r>
        <w:r>
          <w:rPr>
            <w:webHidden/>
          </w:rPr>
          <w:fldChar w:fldCharType="begin"/>
        </w:r>
        <w:r>
          <w:rPr>
            <w:webHidden/>
          </w:rPr>
          <w:instrText xml:space="preserve"> PAGEREF _Toc91752124 \h </w:instrText>
        </w:r>
        <w:r>
          <w:rPr>
            <w:webHidden/>
          </w:rPr>
          <w:fldChar w:fldCharType="separate"/>
        </w:r>
        <w:r>
          <w:rPr>
            <w:webHidden/>
          </w:rPr>
          <w:t>83</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25" w:history="1">
        <w:r w:rsidRPr="00020156">
          <w:rPr>
            <w:rStyle w:val="Hyperlink"/>
            <w:rFonts w:asciiTheme="minorEastAsia" w:hAnsiTheme="minorEastAsia" w:hint="eastAsia"/>
            <w:bCs/>
          </w:rPr>
          <w:t>（二）基金托管人对基金管理人的业务监督和核查</w:t>
        </w:r>
        <w:r>
          <w:rPr>
            <w:webHidden/>
          </w:rPr>
          <w:tab/>
        </w:r>
        <w:r>
          <w:rPr>
            <w:webHidden/>
          </w:rPr>
          <w:fldChar w:fldCharType="begin"/>
        </w:r>
        <w:r>
          <w:rPr>
            <w:webHidden/>
          </w:rPr>
          <w:instrText xml:space="preserve"> PAGEREF _Toc91752125 \h </w:instrText>
        </w:r>
        <w:r>
          <w:rPr>
            <w:webHidden/>
          </w:rPr>
          <w:fldChar w:fldCharType="separate"/>
        </w:r>
        <w:r>
          <w:rPr>
            <w:webHidden/>
          </w:rPr>
          <w:t>84</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26" w:history="1">
        <w:r w:rsidRPr="00020156">
          <w:rPr>
            <w:rStyle w:val="Hyperlink"/>
            <w:rFonts w:asciiTheme="minorEastAsia" w:hAnsiTheme="minorEastAsia" w:hint="eastAsia"/>
            <w:bCs/>
          </w:rPr>
          <w:t>（三）基金管理人对基金托管人的业务核查</w:t>
        </w:r>
        <w:r>
          <w:rPr>
            <w:webHidden/>
          </w:rPr>
          <w:tab/>
        </w:r>
        <w:r>
          <w:rPr>
            <w:webHidden/>
          </w:rPr>
          <w:fldChar w:fldCharType="begin"/>
        </w:r>
        <w:r>
          <w:rPr>
            <w:webHidden/>
          </w:rPr>
          <w:instrText xml:space="preserve"> PAGEREF _Toc91752126 \h </w:instrText>
        </w:r>
        <w:r>
          <w:rPr>
            <w:webHidden/>
          </w:rPr>
          <w:fldChar w:fldCharType="separate"/>
        </w:r>
        <w:r>
          <w:rPr>
            <w:webHidden/>
          </w:rPr>
          <w:t>88</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27" w:history="1">
        <w:r w:rsidRPr="00020156">
          <w:rPr>
            <w:rStyle w:val="Hyperlink"/>
            <w:rFonts w:asciiTheme="minorEastAsia" w:hAnsiTheme="minorEastAsia" w:hint="eastAsia"/>
            <w:bCs/>
          </w:rPr>
          <w:t>（四）基金财产保管</w:t>
        </w:r>
        <w:r>
          <w:rPr>
            <w:webHidden/>
          </w:rPr>
          <w:tab/>
        </w:r>
        <w:r>
          <w:rPr>
            <w:webHidden/>
          </w:rPr>
          <w:fldChar w:fldCharType="begin"/>
        </w:r>
        <w:r>
          <w:rPr>
            <w:webHidden/>
          </w:rPr>
          <w:instrText xml:space="preserve"> PAGEREF _Toc91752127 \h </w:instrText>
        </w:r>
        <w:r>
          <w:rPr>
            <w:webHidden/>
          </w:rPr>
          <w:fldChar w:fldCharType="separate"/>
        </w:r>
        <w:r>
          <w:rPr>
            <w:webHidden/>
          </w:rPr>
          <w:t>89</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28" w:history="1">
        <w:r w:rsidRPr="00020156">
          <w:rPr>
            <w:rStyle w:val="Hyperlink"/>
            <w:rFonts w:asciiTheme="minorEastAsia" w:hAnsiTheme="minorEastAsia" w:hint="eastAsia"/>
            <w:bCs/>
          </w:rPr>
          <w:t>（五）基金资产净值计算与复核</w:t>
        </w:r>
        <w:r>
          <w:rPr>
            <w:webHidden/>
          </w:rPr>
          <w:tab/>
        </w:r>
        <w:r>
          <w:rPr>
            <w:webHidden/>
          </w:rPr>
          <w:fldChar w:fldCharType="begin"/>
        </w:r>
        <w:r>
          <w:rPr>
            <w:webHidden/>
          </w:rPr>
          <w:instrText xml:space="preserve"> PAGEREF _Toc91752128 \h </w:instrText>
        </w:r>
        <w:r>
          <w:rPr>
            <w:webHidden/>
          </w:rPr>
          <w:fldChar w:fldCharType="separate"/>
        </w:r>
        <w:r>
          <w:rPr>
            <w:webHidden/>
          </w:rPr>
          <w:t>91</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29" w:history="1">
        <w:r w:rsidRPr="00020156">
          <w:rPr>
            <w:rStyle w:val="Hyperlink"/>
            <w:rFonts w:asciiTheme="minorEastAsia" w:hAnsiTheme="minorEastAsia" w:hint="eastAsia"/>
            <w:bCs/>
          </w:rPr>
          <w:t>（六）基金份额持有人名册的保管</w:t>
        </w:r>
        <w:r>
          <w:rPr>
            <w:webHidden/>
          </w:rPr>
          <w:tab/>
        </w:r>
        <w:r>
          <w:rPr>
            <w:webHidden/>
          </w:rPr>
          <w:fldChar w:fldCharType="begin"/>
        </w:r>
        <w:r>
          <w:rPr>
            <w:webHidden/>
          </w:rPr>
          <w:instrText xml:space="preserve"> PAGEREF _Toc91752129 \h </w:instrText>
        </w:r>
        <w:r>
          <w:rPr>
            <w:webHidden/>
          </w:rPr>
          <w:fldChar w:fldCharType="separate"/>
        </w:r>
        <w:r>
          <w:rPr>
            <w:webHidden/>
          </w:rPr>
          <w:t>92</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30" w:history="1">
        <w:r w:rsidRPr="00020156">
          <w:rPr>
            <w:rStyle w:val="Hyperlink"/>
            <w:rFonts w:asciiTheme="minorEastAsia" w:hAnsiTheme="minorEastAsia" w:hint="eastAsia"/>
            <w:bCs/>
          </w:rPr>
          <w:t>（七）争议解决方式</w:t>
        </w:r>
        <w:r>
          <w:rPr>
            <w:webHidden/>
          </w:rPr>
          <w:tab/>
        </w:r>
        <w:r>
          <w:rPr>
            <w:webHidden/>
          </w:rPr>
          <w:fldChar w:fldCharType="begin"/>
        </w:r>
        <w:r>
          <w:rPr>
            <w:webHidden/>
          </w:rPr>
          <w:instrText xml:space="preserve"> PAGEREF _Toc91752130 \h </w:instrText>
        </w:r>
        <w:r>
          <w:rPr>
            <w:webHidden/>
          </w:rPr>
          <w:fldChar w:fldCharType="separate"/>
        </w:r>
        <w:r>
          <w:rPr>
            <w:webHidden/>
          </w:rPr>
          <w:t>93</w:t>
        </w:r>
        <w:r>
          <w:rPr>
            <w:webHidden/>
          </w:rPr>
          <w:fldChar w:fldCharType="end"/>
        </w:r>
      </w:hyperlink>
    </w:p>
    <w:p w:rsidR="000D49F4">
      <w:pPr>
        <w:pStyle w:val="TOC2"/>
        <w:rPr>
          <w:rFonts w:asciiTheme="minorHAnsi" w:eastAsiaTheme="minorEastAsia" w:hAnsiTheme="minorHAnsi" w:cstheme="minorBidi"/>
          <w:smallCaps w:val="0"/>
          <w:szCs w:val="22"/>
        </w:rPr>
      </w:pPr>
      <w:hyperlink w:anchor="_Toc91752131" w:history="1">
        <w:r w:rsidRPr="00020156">
          <w:rPr>
            <w:rStyle w:val="Hyperlink"/>
            <w:rFonts w:asciiTheme="minorEastAsia" w:hAnsiTheme="minorEastAsia" w:hint="eastAsia"/>
            <w:bCs/>
          </w:rPr>
          <w:t>（八）托管协议的变更与终止</w:t>
        </w:r>
        <w:r>
          <w:rPr>
            <w:webHidden/>
          </w:rPr>
          <w:tab/>
        </w:r>
        <w:r>
          <w:rPr>
            <w:webHidden/>
          </w:rPr>
          <w:fldChar w:fldCharType="begin"/>
        </w:r>
        <w:r>
          <w:rPr>
            <w:webHidden/>
          </w:rPr>
          <w:instrText xml:space="preserve"> PAGEREF _Toc91752131 \h </w:instrText>
        </w:r>
        <w:r>
          <w:rPr>
            <w:webHidden/>
          </w:rPr>
          <w:fldChar w:fldCharType="separate"/>
        </w:r>
        <w:r>
          <w:rPr>
            <w:webHidden/>
          </w:rPr>
          <w:t>93</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132" w:history="1">
        <w:r w:rsidRPr="00020156">
          <w:rPr>
            <w:rStyle w:val="Hyperlink"/>
            <w:rFonts w:asciiTheme="minorEastAsia" w:hAnsiTheme="minorEastAsia" w:hint="eastAsia"/>
            <w:bCs/>
          </w:rPr>
          <w:t>二十三、对基金份额持有人的服务</w:t>
        </w:r>
        <w:r>
          <w:rPr>
            <w:webHidden/>
          </w:rPr>
          <w:tab/>
        </w:r>
        <w:r>
          <w:rPr>
            <w:webHidden/>
          </w:rPr>
          <w:fldChar w:fldCharType="begin"/>
        </w:r>
        <w:r>
          <w:rPr>
            <w:webHidden/>
          </w:rPr>
          <w:instrText xml:space="preserve"> PAGEREF _Toc91752132 \h </w:instrText>
        </w:r>
        <w:r>
          <w:rPr>
            <w:webHidden/>
          </w:rPr>
          <w:fldChar w:fldCharType="separate"/>
        </w:r>
        <w:r>
          <w:rPr>
            <w:webHidden/>
          </w:rPr>
          <w:t>94</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133" w:history="1">
        <w:r w:rsidRPr="00020156">
          <w:rPr>
            <w:rStyle w:val="Hyperlink"/>
            <w:rFonts w:asciiTheme="minorEastAsia" w:hAnsiTheme="minorEastAsia" w:hint="eastAsia"/>
            <w:bCs/>
          </w:rPr>
          <w:t>二十四、其他应披露事项</w:t>
        </w:r>
        <w:r>
          <w:rPr>
            <w:webHidden/>
          </w:rPr>
          <w:tab/>
        </w:r>
        <w:r>
          <w:rPr>
            <w:webHidden/>
          </w:rPr>
          <w:fldChar w:fldCharType="begin"/>
        </w:r>
        <w:r>
          <w:rPr>
            <w:webHidden/>
          </w:rPr>
          <w:instrText xml:space="preserve"> PAGEREF _Toc91752133 \h </w:instrText>
        </w:r>
        <w:r>
          <w:rPr>
            <w:webHidden/>
          </w:rPr>
          <w:fldChar w:fldCharType="separate"/>
        </w:r>
        <w:r>
          <w:rPr>
            <w:webHidden/>
          </w:rPr>
          <w:t>95</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134" w:history="1">
        <w:r w:rsidRPr="00020156">
          <w:rPr>
            <w:rStyle w:val="Hyperlink"/>
            <w:rFonts w:asciiTheme="minorEastAsia" w:hAnsiTheme="minorEastAsia" w:hint="eastAsia"/>
            <w:bCs/>
          </w:rPr>
          <w:t>二十五、招募说明书存放及查阅方式</w:t>
        </w:r>
        <w:r>
          <w:rPr>
            <w:webHidden/>
          </w:rPr>
          <w:tab/>
        </w:r>
        <w:r>
          <w:rPr>
            <w:webHidden/>
          </w:rPr>
          <w:fldChar w:fldCharType="begin"/>
        </w:r>
        <w:r>
          <w:rPr>
            <w:webHidden/>
          </w:rPr>
          <w:instrText xml:space="preserve"> PAGEREF _Toc91752134 \h </w:instrText>
        </w:r>
        <w:r>
          <w:rPr>
            <w:webHidden/>
          </w:rPr>
          <w:fldChar w:fldCharType="separate"/>
        </w:r>
        <w:r>
          <w:rPr>
            <w:webHidden/>
          </w:rPr>
          <w:t>96</w:t>
        </w:r>
        <w:r>
          <w:rPr>
            <w:webHidden/>
          </w:rPr>
          <w:fldChar w:fldCharType="end"/>
        </w:r>
      </w:hyperlink>
    </w:p>
    <w:p w:rsidR="000D49F4">
      <w:pPr>
        <w:pStyle w:val="TOC1"/>
        <w:rPr>
          <w:rFonts w:asciiTheme="minorHAnsi" w:eastAsiaTheme="minorEastAsia" w:hAnsiTheme="minorHAnsi" w:cstheme="minorBidi"/>
          <w:caps w:val="0"/>
          <w:sz w:val="21"/>
          <w:szCs w:val="22"/>
        </w:rPr>
      </w:pPr>
      <w:hyperlink w:anchor="_Toc91752135" w:history="1">
        <w:r w:rsidRPr="00020156">
          <w:rPr>
            <w:rStyle w:val="Hyperlink"/>
            <w:rFonts w:asciiTheme="minorEastAsia" w:hAnsiTheme="minorEastAsia" w:hint="eastAsia"/>
          </w:rPr>
          <w:t>二十六、备查文件</w:t>
        </w:r>
        <w:r>
          <w:rPr>
            <w:webHidden/>
          </w:rPr>
          <w:tab/>
        </w:r>
        <w:r>
          <w:rPr>
            <w:webHidden/>
          </w:rPr>
          <w:fldChar w:fldCharType="begin"/>
        </w:r>
        <w:r>
          <w:rPr>
            <w:webHidden/>
          </w:rPr>
          <w:instrText xml:space="preserve"> PAGEREF _Toc91752135 \h </w:instrText>
        </w:r>
        <w:r>
          <w:rPr>
            <w:webHidden/>
          </w:rPr>
          <w:fldChar w:fldCharType="separate"/>
        </w:r>
        <w:r>
          <w:rPr>
            <w:webHidden/>
          </w:rPr>
          <w:t>97</w:t>
        </w:r>
        <w:r>
          <w:rPr>
            <w:webHidden/>
          </w:rPr>
          <w:fldChar w:fldCharType="end"/>
        </w:r>
      </w:hyperlink>
    </w:p>
    <w:p w:rsidR="00266A27" w:rsidRPr="00621B7F" w:rsidP="00241F10">
      <w:pPr>
        <w:snapToGrid w:val="0"/>
        <w:spacing w:line="360" w:lineRule="auto"/>
        <w:ind w:firstLine="560"/>
        <w:jc w:val="center"/>
        <w:rPr>
          <w:rFonts w:asciiTheme="minorEastAsia" w:eastAsiaTheme="minorEastAsia" w:hAnsiTheme="minorEastAsia"/>
          <w:color w:val="000000" w:themeColor="text1"/>
          <w:szCs w:val="21"/>
        </w:rPr>
        <w:sectPr w:rsidSect="006B7524">
          <w:footerReference w:type="default" r:id="rId11"/>
          <w:footerReference w:type="first" r:id="rId12"/>
          <w:pgSz w:w="11907" w:h="16840" w:code="9"/>
          <w:pgMar w:top="1440" w:right="1800" w:bottom="1440" w:left="1800" w:header="1134" w:footer="1247" w:gutter="0"/>
          <w:pgNumType w:fmt="upperRoman" w:start="1"/>
          <w:cols w:space="425"/>
          <w:titlePg/>
          <w:docGrid w:type="lines" w:linePitch="447"/>
        </w:sectPr>
      </w:pPr>
      <w:r w:rsidRPr="00621B7F">
        <w:rPr>
          <w:rFonts w:asciiTheme="minorEastAsia" w:eastAsiaTheme="minorEastAsia" w:hAnsiTheme="minorEastAsia"/>
          <w:b/>
          <w:caps/>
          <w:noProof/>
          <w:color w:val="000000" w:themeColor="text1"/>
          <w:sz w:val="24"/>
          <w:szCs w:val="21"/>
        </w:rPr>
        <w:fldChar w:fldCharType="end"/>
      </w:r>
    </w:p>
    <w:p w:rsidR="00266A27" w:rsidRPr="00621B7F" w:rsidP="00241F10">
      <w:pPr>
        <w:pStyle w:val="1"/>
        <w:snapToGrid w:val="0"/>
        <w:spacing w:beforeLines="0" w:afterLines="0" w:line="360" w:lineRule="auto"/>
        <w:ind w:firstLine="0" w:firstLineChars="0"/>
        <w:rPr>
          <w:rFonts w:asciiTheme="minorEastAsia" w:eastAsiaTheme="minorEastAsia" w:hAnsiTheme="minorEastAsia"/>
          <w:b w:val="0"/>
          <w:color w:val="000000" w:themeColor="text1"/>
        </w:rPr>
      </w:pPr>
      <w:bookmarkStart w:id="0" w:name="_Toc38432421"/>
      <w:bookmarkStart w:id="1" w:name="_Toc91752012"/>
      <w:r w:rsidRPr="00621B7F">
        <w:rPr>
          <w:rFonts w:asciiTheme="minorEastAsia" w:eastAsiaTheme="minorEastAsia" w:hAnsiTheme="minorEastAsia" w:hint="eastAsia"/>
          <w:b w:val="0"/>
          <w:color w:val="000000" w:themeColor="text1"/>
        </w:rPr>
        <w:t>一、绪言</w:t>
      </w:r>
      <w:bookmarkEnd w:id="0"/>
      <w:bookmarkEnd w:id="1"/>
    </w:p>
    <w:p w:rsidR="00266A27" w:rsidRPr="00621B7F" w:rsidP="00241F10">
      <w:pPr>
        <w:snapToGrid w:val="0"/>
        <w:spacing w:line="360" w:lineRule="auto"/>
        <w:ind w:firstLine="48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本《招募说明书》依据《中华人民共和国证券投资基金法》（以下简称《基金法》）、《证券投资基金运作管理办法》（以下简称《运作办法》）、《证券投资基金销售管理办法》（以下简称《销售办法》）、《</w:t>
      </w:r>
      <w:r w:rsidRPr="00621B7F" w:rsidR="0033182F">
        <w:rPr>
          <w:rFonts w:asciiTheme="minorEastAsia" w:eastAsiaTheme="minorEastAsia" w:hAnsiTheme="minorEastAsia" w:hint="eastAsia"/>
          <w:color w:val="000000" w:themeColor="text1"/>
          <w:szCs w:val="21"/>
        </w:rPr>
        <w:t>公开募集</w:t>
      </w:r>
      <w:r w:rsidRPr="00621B7F">
        <w:rPr>
          <w:rFonts w:asciiTheme="minorEastAsia" w:eastAsiaTheme="minorEastAsia" w:hAnsiTheme="minorEastAsia" w:hint="eastAsia"/>
          <w:color w:val="000000" w:themeColor="text1"/>
          <w:szCs w:val="21"/>
        </w:rPr>
        <w:t>证券投资基金信息披露管理办法》（以下简称《信息披露办法》）、</w:t>
      </w:r>
      <w:r w:rsidRPr="00621B7F">
        <w:rPr>
          <w:rFonts w:asciiTheme="minorEastAsia" w:eastAsiaTheme="minorEastAsia" w:hAnsiTheme="minorEastAsia" w:hint="eastAsia"/>
          <w:color w:val="000000" w:themeColor="text1"/>
        </w:rPr>
        <w:t>《证券投资基金信息披露内容与格式准则第</w:t>
      </w:r>
      <w:r w:rsidRPr="00621B7F">
        <w:rPr>
          <w:rFonts w:asciiTheme="minorEastAsia" w:eastAsiaTheme="minorEastAsia" w:hAnsiTheme="minorEastAsia"/>
          <w:color w:val="000000" w:themeColor="text1"/>
        </w:rPr>
        <w:t>5</w:t>
      </w:r>
      <w:r w:rsidRPr="00621B7F">
        <w:rPr>
          <w:rFonts w:asciiTheme="minorEastAsia" w:eastAsiaTheme="minorEastAsia" w:hAnsiTheme="minorEastAsia" w:hint="eastAsia"/>
          <w:color w:val="000000" w:themeColor="text1"/>
        </w:rPr>
        <w:t>号</w:t>
      </w:r>
      <w:r w:rsidRPr="00621B7F">
        <w:rPr>
          <w:rFonts w:asciiTheme="minorEastAsia" w:eastAsiaTheme="minorEastAsia" w:hAnsiTheme="minorEastAsia"/>
          <w:color w:val="000000" w:themeColor="text1"/>
        </w:rPr>
        <w:t>&lt;</w:t>
      </w:r>
      <w:r w:rsidRPr="00621B7F">
        <w:rPr>
          <w:rFonts w:asciiTheme="minorEastAsia" w:eastAsiaTheme="minorEastAsia" w:hAnsiTheme="minorEastAsia" w:hint="eastAsia"/>
          <w:color w:val="000000" w:themeColor="text1"/>
        </w:rPr>
        <w:t>招募说明书的内容与格式</w:t>
      </w:r>
      <w:r w:rsidRPr="00621B7F">
        <w:rPr>
          <w:rFonts w:asciiTheme="minorEastAsia" w:eastAsiaTheme="minorEastAsia" w:hAnsiTheme="minorEastAsia"/>
          <w:color w:val="000000" w:themeColor="text1"/>
        </w:rPr>
        <w:t>&gt;</w:t>
      </w:r>
      <w:r w:rsidRPr="00621B7F">
        <w:rPr>
          <w:rFonts w:asciiTheme="minorEastAsia" w:eastAsiaTheme="minorEastAsia" w:hAnsiTheme="minorEastAsia" w:hint="eastAsia"/>
          <w:color w:val="000000" w:themeColor="text1"/>
        </w:rPr>
        <w:t>》</w:t>
      </w:r>
      <w:r w:rsidRPr="00621B7F" w:rsidR="007A11B4">
        <w:rPr>
          <w:rFonts w:asciiTheme="minorEastAsia" w:eastAsiaTheme="minorEastAsia" w:hAnsiTheme="minorEastAsia" w:hint="eastAsia"/>
          <w:color w:val="000000" w:themeColor="text1"/>
        </w:rPr>
        <w:t>、</w:t>
      </w:r>
      <w:r w:rsidRPr="00621B7F" w:rsidR="00573D9E">
        <w:rPr>
          <w:rFonts w:asciiTheme="minorEastAsia" w:eastAsiaTheme="minorEastAsia" w:hAnsiTheme="minorEastAsia" w:hint="eastAsia"/>
          <w:color w:val="000000" w:themeColor="text1"/>
        </w:rPr>
        <w:t>《公开募集开放式证券投资基金流动性风险管理规定》（以下简称“《管理规定》”）、《公开募集证券投资基金运作指引第3号——指数基金指引》（以下简称“《指数基金指引》”）</w:t>
      </w:r>
      <w:r w:rsidRPr="00621B7F">
        <w:rPr>
          <w:rFonts w:asciiTheme="minorEastAsia" w:eastAsiaTheme="minorEastAsia" w:hAnsiTheme="minorEastAsia" w:hint="eastAsia"/>
          <w:color w:val="000000" w:themeColor="text1"/>
          <w:szCs w:val="21"/>
        </w:rPr>
        <w:t>等有关法律法规以及《</w:t>
      </w:r>
      <w:r w:rsidRPr="00621B7F" w:rsidR="00DA4AC8">
        <w:rPr>
          <w:rFonts w:asciiTheme="minorEastAsia" w:eastAsiaTheme="minorEastAsia" w:hAnsiTheme="minorEastAsia" w:cs="宋体" w:hint="eastAsia"/>
          <w:color w:val="000000" w:themeColor="text1"/>
          <w:szCs w:val="21"/>
        </w:rPr>
        <w:t>易方达上证中盘交易型开放式指数证券投资基金联接基金</w:t>
      </w:r>
      <w:r w:rsidRPr="00621B7F">
        <w:rPr>
          <w:rFonts w:asciiTheme="minorEastAsia" w:eastAsiaTheme="minorEastAsia" w:hAnsiTheme="minorEastAsia" w:hint="eastAsia"/>
          <w:color w:val="000000" w:themeColor="text1"/>
          <w:szCs w:val="21"/>
        </w:rPr>
        <w:t>基金合同》编写。</w:t>
      </w:r>
    </w:p>
    <w:p w:rsidR="00266A27" w:rsidRPr="00621B7F" w:rsidP="00241F10">
      <w:pPr>
        <w:snapToGrid w:val="0"/>
        <w:spacing w:line="360" w:lineRule="auto"/>
        <w:ind w:firstLine="482"/>
        <w:rPr>
          <w:rStyle w:val="da"/>
          <w:rFonts w:asciiTheme="minorEastAsia" w:eastAsiaTheme="minorEastAsia" w:hAnsiTheme="minorEastAsia"/>
          <w:color w:val="000000" w:themeColor="text1"/>
        </w:rPr>
      </w:pPr>
      <w:r w:rsidRPr="00621B7F">
        <w:rPr>
          <w:rStyle w:val="da"/>
          <w:rFonts w:asciiTheme="minorEastAsia" w:eastAsiaTheme="minorEastAsia" w:hAnsiTheme="minor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621B7F">
        <w:rPr>
          <w:rStyle w:val="da"/>
          <w:rFonts w:asciiTheme="minorEastAsia" w:eastAsiaTheme="minorEastAsia" w:hAnsiTheme="minorEastAsia" w:hint="eastAsia"/>
          <w:color w:val="000000" w:themeColor="text1"/>
        </w:rPr>
        <w:t>，</w:t>
      </w:r>
      <w:r w:rsidRPr="00621B7F">
        <w:rPr>
          <w:rStyle w:val="da"/>
          <w:rFonts w:asciiTheme="minorEastAsia" w:eastAsiaTheme="minorEastAsia" w:hAnsiTheme="minorEastAsia"/>
          <w:color w:val="000000" w:themeColor="text1"/>
        </w:rPr>
        <w:t>或对本招募说明书作任何解释或者说明。</w:t>
      </w:r>
    </w:p>
    <w:p w:rsidR="00266A27" w:rsidRPr="00621B7F" w:rsidP="00241F10">
      <w:pPr>
        <w:snapToGrid w:val="0"/>
        <w:spacing w:line="360" w:lineRule="auto"/>
        <w:ind w:firstLine="482"/>
        <w:rPr>
          <w:rStyle w:val="da"/>
          <w:rFonts w:asciiTheme="minorEastAsia" w:eastAsiaTheme="minorEastAsia" w:hAnsiTheme="minorEastAsia"/>
          <w:color w:val="000000" w:themeColor="text1"/>
        </w:rPr>
      </w:pPr>
      <w:r w:rsidRPr="00621B7F">
        <w:rPr>
          <w:rStyle w:val="da"/>
          <w:rFonts w:asciiTheme="minorEastAsia" w:eastAsiaTheme="minorEastAsia" w:hAnsiTheme="minorEastAsia"/>
          <w:color w:val="000000" w:themeColor="text1"/>
        </w:rPr>
        <w:t>本招募说明书根据本基金的基金合同编写</w:t>
      </w:r>
      <w:r w:rsidRPr="00621B7F">
        <w:rPr>
          <w:rStyle w:val="da"/>
          <w:rFonts w:asciiTheme="minorEastAsia" w:eastAsiaTheme="minorEastAsia" w:hAnsiTheme="minorEastAsia" w:hint="eastAsia"/>
          <w:color w:val="000000" w:themeColor="text1"/>
        </w:rPr>
        <w:t>，</w:t>
      </w:r>
      <w:r w:rsidRPr="00621B7F">
        <w:rPr>
          <w:rStyle w:val="da"/>
          <w:rFonts w:asciiTheme="minorEastAsia" w:eastAsiaTheme="minorEastAsia" w:hAnsiTheme="minorEastAsia"/>
          <w:color w:val="000000" w:themeColor="text1"/>
        </w:rPr>
        <w:t>并经中国证监会核准。基金合同是约定基金当事人之间权利、义务的法律文件。基金</w:t>
      </w:r>
      <w:r w:rsidRPr="00621B7F" w:rsidR="00192CE8">
        <w:rPr>
          <w:rStyle w:val="da"/>
          <w:rFonts w:asciiTheme="minorEastAsia" w:eastAsiaTheme="minorEastAsia" w:hAnsiTheme="minorEastAsia"/>
          <w:color w:val="000000" w:themeColor="text1"/>
        </w:rPr>
        <w:t>投资者</w:t>
      </w:r>
      <w:r w:rsidRPr="00621B7F">
        <w:rPr>
          <w:rStyle w:val="da"/>
          <w:rFonts w:asciiTheme="minorEastAsia" w:eastAsiaTheme="minorEastAsia" w:hAnsiTheme="minorEastAsia"/>
          <w:color w:val="000000" w:themeColor="text1"/>
        </w:rPr>
        <w:t>自依基金合同取得基金份额</w:t>
      </w:r>
      <w:r w:rsidRPr="00621B7F">
        <w:rPr>
          <w:rStyle w:val="da"/>
          <w:rFonts w:asciiTheme="minorEastAsia" w:eastAsiaTheme="minorEastAsia" w:hAnsiTheme="minorEastAsia" w:hint="eastAsia"/>
          <w:color w:val="000000" w:themeColor="text1"/>
        </w:rPr>
        <w:t>，</w:t>
      </w:r>
      <w:r w:rsidRPr="00621B7F">
        <w:rPr>
          <w:rStyle w:val="da"/>
          <w:rFonts w:asciiTheme="minorEastAsia" w:eastAsiaTheme="minorEastAsia" w:hAnsiTheme="minorEastAsia"/>
          <w:color w:val="000000" w:themeColor="text1"/>
        </w:rPr>
        <w:t>即成为基金份额持有人和</w:t>
      </w:r>
      <w:r w:rsidRPr="00621B7F" w:rsidR="00F51C42">
        <w:rPr>
          <w:rStyle w:val="da"/>
          <w:rFonts w:asciiTheme="minorEastAsia" w:eastAsiaTheme="minorEastAsia" w:hAnsiTheme="minorEastAsia"/>
          <w:color w:val="000000" w:themeColor="text1"/>
        </w:rPr>
        <w:t>基金合同</w:t>
      </w:r>
      <w:r w:rsidRPr="00621B7F">
        <w:rPr>
          <w:rStyle w:val="da"/>
          <w:rFonts w:asciiTheme="minorEastAsia" w:eastAsiaTheme="minorEastAsia" w:hAnsiTheme="minorEastAsia"/>
          <w:color w:val="000000" w:themeColor="text1"/>
        </w:rPr>
        <w:t>的当事人</w:t>
      </w:r>
      <w:r w:rsidRPr="00621B7F">
        <w:rPr>
          <w:rStyle w:val="da"/>
          <w:rFonts w:asciiTheme="minorEastAsia" w:eastAsiaTheme="minorEastAsia" w:hAnsiTheme="minorEastAsia" w:hint="eastAsia"/>
          <w:color w:val="000000" w:themeColor="text1"/>
        </w:rPr>
        <w:t>，</w:t>
      </w:r>
      <w:r w:rsidRPr="00621B7F">
        <w:rPr>
          <w:rStyle w:val="da"/>
          <w:rFonts w:asciiTheme="minorEastAsia" w:eastAsiaTheme="minorEastAsia" w:hAnsiTheme="minorEastAsia"/>
          <w:color w:val="000000" w:themeColor="text1"/>
        </w:rPr>
        <w:t>其持有基金份额的行为本身即表明其对基金合同的承认和接受</w:t>
      </w:r>
      <w:r w:rsidRPr="00621B7F">
        <w:rPr>
          <w:rStyle w:val="da"/>
          <w:rFonts w:asciiTheme="minorEastAsia" w:eastAsiaTheme="minorEastAsia" w:hAnsiTheme="minorEastAsia" w:hint="eastAsia"/>
          <w:color w:val="000000" w:themeColor="text1"/>
        </w:rPr>
        <w:t>，</w:t>
      </w:r>
      <w:r w:rsidRPr="00621B7F">
        <w:rPr>
          <w:rStyle w:val="da"/>
          <w:rFonts w:asciiTheme="minorEastAsia" w:eastAsiaTheme="minorEastAsia" w:hAnsiTheme="minorEastAsia"/>
          <w:color w:val="000000" w:themeColor="text1"/>
        </w:rPr>
        <w:t>并按照《基金法》、基金合同及其他有关规定享有权利、承担义务。基金</w:t>
      </w:r>
      <w:r w:rsidRPr="00621B7F" w:rsidR="00192CE8">
        <w:rPr>
          <w:rStyle w:val="da"/>
          <w:rFonts w:asciiTheme="minorEastAsia" w:eastAsiaTheme="minorEastAsia" w:hAnsiTheme="minorEastAsia"/>
          <w:color w:val="000000" w:themeColor="text1"/>
        </w:rPr>
        <w:t>投资者</w:t>
      </w:r>
      <w:r w:rsidRPr="00621B7F">
        <w:rPr>
          <w:rStyle w:val="da"/>
          <w:rFonts w:asciiTheme="minorEastAsia" w:eastAsiaTheme="minorEastAsia" w:hAnsiTheme="minorEastAsia"/>
          <w:color w:val="000000" w:themeColor="text1"/>
        </w:rPr>
        <w:t>欲了解基金份额持有人的权利和义务</w:t>
      </w:r>
      <w:r w:rsidRPr="00621B7F">
        <w:rPr>
          <w:rStyle w:val="da"/>
          <w:rFonts w:asciiTheme="minorEastAsia" w:eastAsiaTheme="minorEastAsia" w:hAnsiTheme="minorEastAsia" w:hint="eastAsia"/>
          <w:color w:val="000000" w:themeColor="text1"/>
        </w:rPr>
        <w:t>，</w:t>
      </w:r>
      <w:r w:rsidRPr="00621B7F">
        <w:rPr>
          <w:rStyle w:val="da"/>
          <w:rFonts w:asciiTheme="minorEastAsia" w:eastAsiaTheme="minorEastAsia" w:hAnsiTheme="minorEastAsia"/>
          <w:color w:val="000000" w:themeColor="text1"/>
        </w:rPr>
        <w:t>应详细查阅基金合同</w:t>
      </w:r>
      <w:r w:rsidRPr="00621B7F">
        <w:rPr>
          <w:rStyle w:val="da"/>
          <w:rFonts w:asciiTheme="minorEastAsia" w:eastAsiaTheme="minorEastAsia" w:hAnsiTheme="minorEastAsia" w:hint="eastAsia"/>
          <w:color w:val="000000" w:themeColor="text1"/>
        </w:rPr>
        <w:t>。</w:t>
      </w:r>
    </w:p>
    <w:p w:rsidR="00266A27" w:rsidRPr="00621B7F" w:rsidP="00241F10">
      <w:pPr>
        <w:snapToGrid w:val="0"/>
        <w:spacing w:line="360" w:lineRule="auto"/>
        <w:ind w:firstLine="482"/>
        <w:rPr>
          <w:rFonts w:asciiTheme="minorEastAsia" w:eastAsiaTheme="minorEastAsia" w:hAnsiTheme="minorEastAsia"/>
          <w:color w:val="000000" w:themeColor="text1"/>
          <w:szCs w:val="21"/>
        </w:rPr>
      </w:pPr>
    </w:p>
    <w:p w:rsidR="00266A27" w:rsidRPr="00621B7F" w:rsidP="00241F10">
      <w:pPr>
        <w:snapToGrid w:val="0"/>
        <w:spacing w:line="360" w:lineRule="auto"/>
        <w:ind w:firstLine="482"/>
        <w:rPr>
          <w:rFonts w:asciiTheme="minorEastAsia" w:eastAsiaTheme="minorEastAsia" w:hAnsiTheme="minorEastAsia"/>
          <w:color w:val="000000" w:themeColor="text1"/>
          <w:szCs w:val="21"/>
        </w:rPr>
      </w:pPr>
    </w:p>
    <w:p w:rsidR="00266A27" w:rsidRPr="00621B7F" w:rsidP="00241F10">
      <w:pPr>
        <w:snapToGrid w:val="0"/>
        <w:spacing w:line="360" w:lineRule="auto"/>
        <w:ind w:firstLine="482"/>
        <w:rPr>
          <w:rFonts w:asciiTheme="minorEastAsia" w:eastAsiaTheme="minorEastAsia" w:hAnsiTheme="minorEastAsia"/>
          <w:color w:val="000000" w:themeColor="text1"/>
          <w:szCs w:val="21"/>
        </w:rPr>
      </w:pPr>
    </w:p>
    <w:p w:rsidR="00266A27" w:rsidRPr="00621B7F" w:rsidP="00241F10">
      <w:pPr>
        <w:snapToGrid w:val="0"/>
        <w:spacing w:line="360" w:lineRule="auto"/>
        <w:ind w:firstLine="482"/>
        <w:rPr>
          <w:rFonts w:asciiTheme="minorEastAsia" w:eastAsiaTheme="minorEastAsia" w:hAnsiTheme="minorEastAsia"/>
          <w:color w:val="000000" w:themeColor="text1"/>
          <w:szCs w:val="21"/>
        </w:rPr>
      </w:pPr>
    </w:p>
    <w:p w:rsidR="00266A27" w:rsidRPr="00621B7F" w:rsidP="00241F10">
      <w:pPr>
        <w:snapToGrid w:val="0"/>
        <w:spacing w:line="360" w:lineRule="auto"/>
        <w:ind w:firstLine="482"/>
        <w:rPr>
          <w:rFonts w:asciiTheme="minorEastAsia" w:eastAsiaTheme="minorEastAsia" w:hAnsiTheme="minorEastAsia"/>
          <w:color w:val="000000" w:themeColor="text1"/>
          <w:szCs w:val="21"/>
        </w:rPr>
      </w:pPr>
    </w:p>
    <w:p w:rsidR="00266A27" w:rsidRPr="00621B7F" w:rsidP="00241F10">
      <w:pPr>
        <w:pStyle w:val="111"/>
        <w:snapToGrid w:val="0"/>
        <w:spacing w:beforeLines="0" w:afterLines="0" w:line="360" w:lineRule="auto"/>
        <w:ind w:firstLine="0" w:firstLineChars="0"/>
        <w:rPr>
          <w:rFonts w:asciiTheme="minorEastAsia" w:eastAsiaTheme="minorEastAsia" w:hAnsiTheme="minorEastAsia"/>
          <w:color w:val="000000" w:themeColor="text1"/>
          <w:szCs w:val="32"/>
        </w:rPr>
      </w:pPr>
      <w:bookmarkStart w:id="2" w:name="_Toc38432422"/>
      <w:bookmarkStart w:id="3" w:name="_Toc91752013"/>
      <w:r w:rsidRPr="00621B7F">
        <w:rPr>
          <w:rFonts w:asciiTheme="minorEastAsia" w:eastAsiaTheme="minorEastAsia" w:hAnsiTheme="minorEastAsia" w:hint="eastAsia"/>
          <w:color w:val="000000" w:themeColor="text1"/>
          <w:szCs w:val="32"/>
        </w:rPr>
        <w:t>二、释义</w:t>
      </w:r>
      <w:bookmarkEnd w:id="2"/>
      <w:bookmarkEnd w:id="3"/>
    </w:p>
    <w:p w:rsidR="00266A27" w:rsidRPr="00621B7F" w:rsidP="00241F10">
      <w:pPr>
        <w:snapToGrid w:val="0"/>
        <w:spacing w:line="360" w:lineRule="auto"/>
        <w:ind w:firstLine="48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本《招募说明书》中除非文意另有所指</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下列词语有如下含义：</w:t>
      </w:r>
    </w:p>
    <w:p w:rsidR="00266A27" w:rsidRPr="00621B7F" w:rsidP="00241F10">
      <w:pPr>
        <w:snapToGrid w:val="0"/>
        <w:spacing w:line="360" w:lineRule="auto"/>
        <w:ind w:firstLine="480"/>
        <w:jc w:val="center"/>
        <w:rPr>
          <w:rFonts w:asciiTheme="minorEastAsia" w:eastAsiaTheme="minorEastAsia" w:hAnsiTheme="minorEastAsia"/>
          <w:color w:val="000000" w:themeColor="text1"/>
          <w:szCs w:val="21"/>
        </w:rPr>
      </w:pP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《基金合同》</w:t>
      </w:r>
      <w:r w:rsidRPr="00621B7F">
        <w:rPr>
          <w:rFonts w:asciiTheme="minorEastAsia" w:eastAsiaTheme="minorEastAsia" w:hAnsiTheme="minorEastAsia" w:hint="eastAsia"/>
          <w:color w:val="000000" w:themeColor="text1"/>
          <w:szCs w:val="21"/>
        </w:rPr>
        <w:tab/>
        <w:t>指《</w:t>
      </w:r>
      <w:r w:rsidRPr="00621B7F" w:rsidR="00DA4AC8">
        <w:rPr>
          <w:rFonts w:asciiTheme="minorEastAsia" w:eastAsiaTheme="minorEastAsia" w:hAnsiTheme="minorEastAsia" w:cs="宋体" w:hint="eastAsia"/>
          <w:color w:val="000000" w:themeColor="text1"/>
          <w:szCs w:val="21"/>
        </w:rPr>
        <w:t>易方达上证中盘交易型开放式指数证券投资基金联接基金</w:t>
      </w:r>
      <w:r w:rsidRPr="00621B7F">
        <w:rPr>
          <w:rFonts w:asciiTheme="minorEastAsia" w:eastAsiaTheme="minorEastAsia" w:hAnsiTheme="minorEastAsia" w:hint="eastAsia"/>
          <w:color w:val="000000" w:themeColor="text1"/>
          <w:szCs w:val="21"/>
        </w:rPr>
        <w:t>基金合同》及对</w:t>
      </w:r>
      <w:r w:rsidRPr="00621B7F" w:rsidR="00F51C42">
        <w:rPr>
          <w:rFonts w:asciiTheme="minorEastAsia" w:eastAsiaTheme="minorEastAsia" w:hAnsiTheme="minorEastAsia" w:hint="eastAsia"/>
          <w:color w:val="000000" w:themeColor="text1"/>
          <w:szCs w:val="21"/>
        </w:rPr>
        <w:t>基金合同</w:t>
      </w:r>
      <w:r w:rsidRPr="00621B7F">
        <w:rPr>
          <w:rFonts w:asciiTheme="minorEastAsia" w:eastAsiaTheme="minorEastAsia" w:hAnsiTheme="minorEastAsia" w:hint="eastAsia"/>
          <w:color w:val="000000" w:themeColor="text1"/>
          <w:szCs w:val="21"/>
        </w:rPr>
        <w:t>的任何有效的修订和补充</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中国</w:t>
      </w:r>
      <w:r w:rsidRPr="00621B7F">
        <w:rPr>
          <w:rFonts w:asciiTheme="minorEastAsia" w:eastAsiaTheme="minorEastAsia" w:hAnsiTheme="minorEastAsia" w:hint="eastAsia"/>
          <w:color w:val="000000" w:themeColor="text1"/>
          <w:szCs w:val="21"/>
        </w:rPr>
        <w:tab/>
        <w:t>指中华人民共和国</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仅为《基金合同》目的不包括香港特别行政区、澳门特别行政区及台湾地区</w:t>
      </w:r>
      <w:r w:rsidRPr="00621B7F">
        <w:rPr>
          <w:rFonts w:asciiTheme="minorEastAsia" w:eastAsiaTheme="minorEastAsia" w:hAnsiTheme="minorEastAsia"/>
          <w:color w:val="000000" w:themeColor="text1"/>
          <w:szCs w:val="21"/>
        </w:rPr>
        <w:t>)</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法律法规</w:t>
      </w:r>
      <w:r w:rsidRPr="00621B7F">
        <w:rPr>
          <w:rFonts w:asciiTheme="minorEastAsia" w:eastAsiaTheme="minorEastAsia" w:hAnsiTheme="minorEastAsia" w:hint="eastAsia"/>
          <w:color w:val="000000" w:themeColor="text1"/>
          <w:szCs w:val="21"/>
        </w:rPr>
        <w:tab/>
        <w:t>指中国现时有效并公布实施的法律、行政法规、部门规章及规范性文件</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《基金法》</w:t>
      </w:r>
      <w:r w:rsidRPr="00621B7F">
        <w:rPr>
          <w:rFonts w:asciiTheme="minorEastAsia" w:eastAsiaTheme="minorEastAsia" w:hAnsiTheme="minorEastAsia" w:hint="eastAsia"/>
          <w:color w:val="000000" w:themeColor="text1"/>
          <w:szCs w:val="21"/>
        </w:rPr>
        <w:tab/>
        <w:t>指《中华人民共和国证券投资基金法》</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《销售办法》</w:t>
      </w:r>
      <w:r w:rsidRPr="00621B7F">
        <w:rPr>
          <w:rFonts w:asciiTheme="minorEastAsia" w:eastAsiaTheme="minorEastAsia" w:hAnsiTheme="minorEastAsia" w:hint="eastAsia"/>
          <w:color w:val="000000" w:themeColor="text1"/>
          <w:szCs w:val="21"/>
        </w:rPr>
        <w:tab/>
        <w:t>指《证券投资基金销售管理办法》</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《运作办法》</w:t>
      </w:r>
      <w:r w:rsidRPr="00621B7F">
        <w:rPr>
          <w:rFonts w:asciiTheme="minorEastAsia" w:eastAsiaTheme="minorEastAsia" w:hAnsiTheme="minorEastAsia" w:hint="eastAsia"/>
          <w:color w:val="000000" w:themeColor="text1"/>
          <w:szCs w:val="21"/>
        </w:rPr>
        <w:tab/>
        <w:t>指《证券投资基金运作管理办法》</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《信息披露办法》</w:t>
      </w:r>
      <w:r w:rsidRPr="00621B7F">
        <w:rPr>
          <w:rFonts w:asciiTheme="minorEastAsia" w:eastAsiaTheme="minorEastAsia" w:hAnsiTheme="minorEastAsia" w:hint="eastAsia"/>
          <w:color w:val="000000" w:themeColor="text1"/>
          <w:szCs w:val="21"/>
        </w:rPr>
        <w:tab/>
      </w:r>
      <w:r w:rsidRPr="00621B7F" w:rsidR="0033182F">
        <w:rPr>
          <w:rFonts w:asciiTheme="minorEastAsia" w:eastAsiaTheme="minorEastAsia" w:hAnsiTheme="minorEastAsia" w:hint="eastAsia"/>
          <w:color w:val="000000" w:themeColor="text1"/>
          <w:szCs w:val="21"/>
        </w:rPr>
        <w:t>指中国证监会2019年7月26日颁布、同年9月1日实施的《公开募集证券投资基金信息披露管理办法》及颁布机关对其不时做出的修订</w:t>
      </w:r>
    </w:p>
    <w:p w:rsidR="00573D9E"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《管理规定》</w:t>
      </w:r>
      <w:r w:rsidRPr="00621B7F" w:rsidR="00E04F98">
        <w:rPr>
          <w:rFonts w:asciiTheme="minorEastAsia" w:eastAsiaTheme="minorEastAsia" w:hAnsiTheme="minorEastAsia" w:hint="eastAsia"/>
          <w:color w:val="000000" w:themeColor="text1"/>
          <w:szCs w:val="21"/>
        </w:rPr>
        <w:tab/>
      </w:r>
      <w:r w:rsidRPr="00621B7F">
        <w:rPr>
          <w:rFonts w:asciiTheme="minorEastAsia" w:eastAsiaTheme="minorEastAsia" w:hAnsiTheme="minorEastAsia" w:hint="eastAsia"/>
          <w:color w:val="000000" w:themeColor="text1"/>
          <w:szCs w:val="21"/>
        </w:rPr>
        <w:t>指中国证监会2017年8月31日颁布、同年10月1日实施的《公开募集开放式证券投资基金流动性风险管理规定》及颁布机关对其不时做出的修订</w:t>
      </w:r>
    </w:p>
    <w:p w:rsidR="007A11B4"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《指数基金指引》</w:t>
      </w:r>
      <w:r w:rsidRPr="00621B7F" w:rsidR="00E14DFE">
        <w:rPr>
          <w:rFonts w:asciiTheme="minorEastAsia" w:eastAsiaTheme="minorEastAsia" w:hAnsiTheme="minorEastAsia" w:hint="eastAsia"/>
          <w:color w:val="000000" w:themeColor="text1"/>
          <w:szCs w:val="21"/>
        </w:rPr>
        <w:t xml:space="preserve"> </w:t>
      </w:r>
      <w:r w:rsidRPr="00621B7F" w:rsidR="00E14DFE">
        <w:rPr>
          <w:rFonts w:asciiTheme="minorEastAsia" w:eastAsiaTheme="minorEastAsia" w:hAnsiTheme="minorEastAsia"/>
          <w:color w:val="000000" w:themeColor="text1"/>
          <w:szCs w:val="21"/>
        </w:rPr>
        <w:t xml:space="preserve">      </w:t>
      </w:r>
      <w:r w:rsidRPr="00621B7F">
        <w:rPr>
          <w:rFonts w:asciiTheme="minorEastAsia" w:eastAsiaTheme="minorEastAsia" w:hAnsiTheme="minorEastAsia" w:hint="eastAsia"/>
          <w:color w:val="000000" w:themeColor="text1"/>
          <w:szCs w:val="21"/>
        </w:rPr>
        <w:t>指中国证监会2021年1月22日颁布、同年2月1日实施的《公开募集证券投资基金运作指引第3号——指数基金指引》及颁布机关对其不时做出的修订</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元</w:t>
      </w:r>
      <w:r w:rsidRPr="00621B7F">
        <w:rPr>
          <w:rFonts w:asciiTheme="minorEastAsia" w:eastAsiaTheme="minorEastAsia" w:hAnsiTheme="minorEastAsia" w:hint="eastAsia"/>
          <w:color w:val="000000" w:themeColor="text1"/>
          <w:szCs w:val="21"/>
        </w:rPr>
        <w:tab/>
        <w:t>指中国法定货币人民币元</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基金或本基金</w:t>
      </w:r>
      <w:r w:rsidRPr="00621B7F">
        <w:rPr>
          <w:rFonts w:asciiTheme="minorEastAsia" w:eastAsiaTheme="minorEastAsia" w:hAnsiTheme="minorEastAsia" w:hint="eastAsia"/>
          <w:color w:val="000000" w:themeColor="text1"/>
          <w:szCs w:val="21"/>
        </w:rPr>
        <w:tab/>
        <w:t>指依据《基金合同》所募集的</w:t>
      </w:r>
      <w:r w:rsidRPr="00621B7F" w:rsidR="00DA4AC8">
        <w:rPr>
          <w:rFonts w:asciiTheme="minorEastAsia" w:eastAsiaTheme="minorEastAsia" w:hAnsiTheme="minorEastAsia" w:cs="宋体" w:hint="eastAsia"/>
          <w:color w:val="000000" w:themeColor="text1"/>
          <w:szCs w:val="21"/>
        </w:rPr>
        <w:t>易方达上证中盘交易型开放式指数证券投资基金联接基金</w:t>
      </w:r>
    </w:p>
    <w:p w:rsidR="0035303E"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目标ETF、上证中盘ETF</w:t>
      </w:r>
      <w:r w:rsidRPr="00621B7F">
        <w:rPr>
          <w:rFonts w:asciiTheme="minorEastAsia" w:eastAsiaTheme="minorEastAsia" w:hAnsiTheme="minorEastAsia" w:hint="eastAsia"/>
          <w:color w:val="000000" w:themeColor="text1"/>
          <w:szCs w:val="21"/>
        </w:rPr>
        <w:tab/>
        <w:t>指上证中盘交易型开放式指数证券投资基金</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招募说明书</w:t>
      </w:r>
      <w:r w:rsidRPr="00621B7F">
        <w:rPr>
          <w:rFonts w:asciiTheme="minorEastAsia" w:eastAsiaTheme="minorEastAsia" w:hAnsiTheme="minorEastAsia" w:hint="eastAsia"/>
          <w:color w:val="000000" w:themeColor="text1"/>
          <w:szCs w:val="21"/>
        </w:rPr>
        <w:tab/>
        <w:t>指《</w:t>
      </w:r>
      <w:r w:rsidRPr="00621B7F" w:rsidR="00DA4AC8">
        <w:rPr>
          <w:rFonts w:asciiTheme="minorEastAsia" w:eastAsiaTheme="minorEastAsia" w:hAnsiTheme="minorEastAsia" w:cs="宋体" w:hint="eastAsia"/>
          <w:color w:val="000000" w:themeColor="text1"/>
          <w:szCs w:val="21"/>
        </w:rPr>
        <w:t>易方达上证中盘交易型开放式指数证券投资基金联接基金</w:t>
      </w:r>
      <w:r w:rsidRPr="00621B7F">
        <w:rPr>
          <w:rFonts w:asciiTheme="minorEastAsia" w:eastAsiaTheme="minorEastAsia" w:hAnsiTheme="minorEastAsia" w:hint="eastAsia"/>
          <w:color w:val="000000" w:themeColor="text1"/>
          <w:szCs w:val="21"/>
        </w:rPr>
        <w:t>招募说明书》，即用于公开披露本基金的基金管理人及基金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w:t>
      </w:r>
    </w:p>
    <w:p w:rsidR="0033182F"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基金产品资料概要：指《易方达上证中盘交易型开放式指数证券投资基金联接基金基金产品资料概要》及其更新</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托管协议</w:t>
      </w:r>
      <w:r w:rsidRPr="00621B7F">
        <w:rPr>
          <w:rFonts w:asciiTheme="minorEastAsia" w:eastAsiaTheme="minorEastAsia" w:hAnsiTheme="minorEastAsia" w:hint="eastAsia"/>
          <w:color w:val="000000" w:themeColor="text1"/>
          <w:szCs w:val="21"/>
        </w:rPr>
        <w:tab/>
        <w:t>指基金管理人与基金托管人签订的《</w:t>
      </w:r>
      <w:r w:rsidRPr="00621B7F" w:rsidR="00DA4AC8">
        <w:rPr>
          <w:rFonts w:asciiTheme="minorEastAsia" w:eastAsiaTheme="minorEastAsia" w:hAnsiTheme="minorEastAsia" w:cs="宋体" w:hint="eastAsia"/>
          <w:color w:val="000000" w:themeColor="text1"/>
          <w:szCs w:val="21"/>
        </w:rPr>
        <w:t>易方达上证中盘交易型开放式指数证券投资基金联接基金</w:t>
      </w:r>
      <w:r w:rsidRPr="00621B7F">
        <w:rPr>
          <w:rFonts w:asciiTheme="minorEastAsia" w:eastAsiaTheme="minorEastAsia" w:hAnsiTheme="minorEastAsia" w:hint="eastAsia"/>
          <w:color w:val="000000" w:themeColor="text1"/>
          <w:szCs w:val="21"/>
        </w:rPr>
        <w:t>托管协议》及其任何有效修订和补充</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发售公告</w:t>
      </w:r>
      <w:r w:rsidRPr="00621B7F">
        <w:rPr>
          <w:rFonts w:asciiTheme="minorEastAsia" w:eastAsiaTheme="minorEastAsia" w:hAnsiTheme="minorEastAsia" w:hint="eastAsia"/>
          <w:color w:val="000000" w:themeColor="text1"/>
          <w:szCs w:val="21"/>
        </w:rPr>
        <w:tab/>
        <w:t>指《</w:t>
      </w:r>
      <w:r w:rsidRPr="00621B7F" w:rsidR="00DA4AC8">
        <w:rPr>
          <w:rFonts w:asciiTheme="minorEastAsia" w:eastAsiaTheme="minorEastAsia" w:hAnsiTheme="minorEastAsia" w:cs="宋体" w:hint="eastAsia"/>
          <w:color w:val="000000" w:themeColor="text1"/>
          <w:szCs w:val="21"/>
        </w:rPr>
        <w:t>易方达上证中盘交易型开放式指数证券投资基金联接基金</w:t>
      </w:r>
      <w:r w:rsidRPr="00621B7F">
        <w:rPr>
          <w:rFonts w:asciiTheme="minorEastAsia" w:eastAsiaTheme="minorEastAsia" w:hAnsiTheme="minorEastAsia" w:hint="eastAsia"/>
          <w:color w:val="000000" w:themeColor="text1"/>
          <w:szCs w:val="21"/>
        </w:rPr>
        <w:t>基金份额发售公告》</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《业务规则》</w:t>
      </w:r>
      <w:r w:rsidRPr="00621B7F">
        <w:rPr>
          <w:rFonts w:asciiTheme="minorEastAsia" w:eastAsiaTheme="minorEastAsia" w:hAnsiTheme="minorEastAsia" w:hint="eastAsia"/>
          <w:color w:val="000000" w:themeColor="text1"/>
          <w:szCs w:val="21"/>
        </w:rPr>
        <w:tab/>
        <w:t>指</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易方达基金管理有限公司开放式基金业务规则</w:t>
      </w:r>
      <w:r w:rsidRPr="00621B7F">
        <w:rPr>
          <w:rFonts w:asciiTheme="minorEastAsia" w:eastAsiaTheme="minorEastAsia" w:hAnsiTheme="minorEastAsia"/>
          <w:color w:val="000000" w:themeColor="text1"/>
          <w:szCs w:val="21"/>
        </w:rPr>
        <w:t>》</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中国证监会</w:t>
      </w:r>
      <w:r w:rsidRPr="00621B7F">
        <w:rPr>
          <w:rFonts w:asciiTheme="minorEastAsia" w:eastAsiaTheme="minorEastAsia" w:hAnsiTheme="minorEastAsia" w:hint="eastAsia"/>
          <w:color w:val="000000" w:themeColor="text1"/>
          <w:szCs w:val="21"/>
        </w:rPr>
        <w:tab/>
        <w:t>指中国证券监督管理委员会</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银行监管机构</w:t>
      </w:r>
      <w:r w:rsidRPr="00621B7F">
        <w:rPr>
          <w:rFonts w:asciiTheme="minorEastAsia" w:eastAsiaTheme="minorEastAsia" w:hAnsiTheme="minorEastAsia" w:hint="eastAsia"/>
          <w:color w:val="000000" w:themeColor="text1"/>
          <w:szCs w:val="21"/>
        </w:rPr>
        <w:tab/>
        <w:t>指</w:t>
      </w:r>
      <w:r w:rsidRPr="00621B7F" w:rsidR="00E013F5">
        <w:rPr>
          <w:rFonts w:asciiTheme="minorEastAsia" w:eastAsiaTheme="minorEastAsia" w:hAnsiTheme="minorEastAsia" w:hint="eastAsia"/>
          <w:color w:val="000000" w:themeColor="text1"/>
        </w:rPr>
        <w:t>中国银行保险监督管理委员会</w:t>
      </w:r>
      <w:r w:rsidRPr="00621B7F">
        <w:rPr>
          <w:rFonts w:asciiTheme="minorEastAsia" w:eastAsiaTheme="minorEastAsia" w:hAnsiTheme="minorEastAsia" w:hint="eastAsia"/>
          <w:color w:val="000000" w:themeColor="text1"/>
          <w:szCs w:val="21"/>
        </w:rPr>
        <w:t>或其他经国务院授权的机构</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w:t>
      </w:r>
      <w:r w:rsidRPr="00621B7F">
        <w:rPr>
          <w:rFonts w:asciiTheme="minorEastAsia" w:eastAsiaTheme="minorEastAsia" w:hAnsiTheme="minorEastAsia" w:hint="eastAsia"/>
          <w:color w:val="000000" w:themeColor="text1"/>
          <w:szCs w:val="21"/>
        </w:rPr>
        <w:tab/>
        <w:t>指易方达基金管理有限公司</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w:t>
      </w:r>
      <w:r w:rsidRPr="00621B7F">
        <w:rPr>
          <w:rFonts w:asciiTheme="minorEastAsia" w:eastAsiaTheme="minorEastAsia" w:hAnsiTheme="minorEastAsia" w:hint="eastAsia"/>
          <w:color w:val="000000" w:themeColor="text1"/>
          <w:szCs w:val="21"/>
        </w:rPr>
        <w:tab/>
        <w:t>指中国工商银行股份有限公司</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Style w:val="read"/>
          <w:rFonts w:asciiTheme="minorEastAsia" w:eastAsiaTheme="minorEastAsia" w:hAnsiTheme="minorEastAsia" w:hint="eastAsia"/>
          <w:color w:val="000000" w:themeColor="text1"/>
          <w:szCs w:val="21"/>
        </w:rPr>
        <w:t>基金份额持有人</w:t>
      </w:r>
      <w:r w:rsidRPr="00621B7F">
        <w:rPr>
          <w:rStyle w:val="read"/>
          <w:rFonts w:asciiTheme="minorEastAsia" w:eastAsiaTheme="minorEastAsia" w:hAnsiTheme="minorEastAsia" w:hint="eastAsia"/>
          <w:color w:val="000000" w:themeColor="text1"/>
          <w:szCs w:val="21"/>
        </w:rPr>
        <w:tab/>
        <w:t>指根据《基金合同》及相关文件合法取得本基金基金份额的投资者；</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w:t>
      </w:r>
      <w:r w:rsidRPr="00621B7F" w:rsidR="001F2A17">
        <w:rPr>
          <w:rFonts w:asciiTheme="minorEastAsia" w:eastAsiaTheme="minorEastAsia" w:hAnsiTheme="minorEastAsia" w:hint="eastAsia"/>
          <w:color w:val="000000" w:themeColor="text1"/>
          <w:szCs w:val="21"/>
        </w:rPr>
        <w:t>非直销销售</w:t>
      </w:r>
      <w:r w:rsidRPr="00621B7F">
        <w:rPr>
          <w:rFonts w:asciiTheme="minorEastAsia" w:eastAsiaTheme="minorEastAsia" w:hAnsiTheme="minorEastAsia" w:hint="eastAsia"/>
          <w:color w:val="000000" w:themeColor="text1"/>
          <w:szCs w:val="21"/>
        </w:rPr>
        <w:t>机构</w:t>
      </w:r>
      <w:r w:rsidRPr="00621B7F">
        <w:rPr>
          <w:rFonts w:asciiTheme="minorEastAsia" w:eastAsiaTheme="minorEastAsia" w:hAnsiTheme="minorEastAsia" w:hint="eastAsia"/>
          <w:color w:val="000000" w:themeColor="text1"/>
          <w:szCs w:val="21"/>
        </w:rPr>
        <w:tab/>
        <w:t>指符合《销售办法》和中国证监会规定的其他条件，取得基金</w:t>
      </w:r>
      <w:r w:rsidRPr="00621B7F" w:rsidR="001F2A17">
        <w:rPr>
          <w:rFonts w:asciiTheme="minorEastAsia" w:eastAsiaTheme="minorEastAsia" w:hAnsiTheme="minorEastAsia" w:hint="eastAsia"/>
          <w:color w:val="000000" w:themeColor="text1"/>
          <w:szCs w:val="21"/>
        </w:rPr>
        <w:t>销售</w:t>
      </w:r>
      <w:r w:rsidRPr="00621B7F">
        <w:rPr>
          <w:rFonts w:asciiTheme="minorEastAsia" w:eastAsiaTheme="minorEastAsia" w:hAnsiTheme="minorEastAsia" w:hint="eastAsia"/>
          <w:color w:val="000000" w:themeColor="text1"/>
          <w:szCs w:val="21"/>
        </w:rPr>
        <w:t>业务资格，并与基金管理人签订基金销售服务协议，办理</w:t>
      </w:r>
      <w:r w:rsidRPr="00621B7F" w:rsidR="001F2A17">
        <w:rPr>
          <w:rStyle w:val="da"/>
          <w:rFonts w:asciiTheme="minorEastAsia" w:eastAsiaTheme="minorEastAsia" w:hAnsiTheme="minorEastAsia" w:hint="eastAsia"/>
          <w:color w:val="000000" w:themeColor="text1"/>
        </w:rPr>
        <w:t>基金销售业务的机构</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销售机构</w:t>
      </w:r>
      <w:r w:rsidRPr="00621B7F">
        <w:rPr>
          <w:rFonts w:asciiTheme="minorEastAsia" w:eastAsiaTheme="minorEastAsia" w:hAnsiTheme="minorEastAsia" w:hint="eastAsia"/>
          <w:color w:val="000000" w:themeColor="text1"/>
          <w:szCs w:val="21"/>
        </w:rPr>
        <w:tab/>
        <w:t>指基金管理人及基金</w:t>
      </w:r>
      <w:r w:rsidRPr="00621B7F" w:rsidR="001F2A17">
        <w:rPr>
          <w:rFonts w:asciiTheme="minorEastAsia" w:eastAsiaTheme="minorEastAsia" w:hAnsiTheme="minorEastAsia" w:hint="eastAsia"/>
          <w:color w:val="000000" w:themeColor="text1"/>
          <w:szCs w:val="21"/>
        </w:rPr>
        <w:t>非直销销售</w:t>
      </w:r>
      <w:r w:rsidRPr="00621B7F">
        <w:rPr>
          <w:rFonts w:asciiTheme="minorEastAsia" w:eastAsiaTheme="minorEastAsia" w:hAnsiTheme="minorEastAsia" w:hint="eastAsia"/>
          <w:color w:val="000000" w:themeColor="text1"/>
          <w:szCs w:val="21"/>
        </w:rPr>
        <w:t>机构</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基金销售网点</w:t>
      </w:r>
      <w:r w:rsidRPr="00621B7F">
        <w:rPr>
          <w:rFonts w:asciiTheme="minorEastAsia" w:eastAsiaTheme="minorEastAsia" w:hAnsiTheme="minorEastAsia" w:hint="eastAsia"/>
          <w:color w:val="000000" w:themeColor="text1"/>
          <w:szCs w:val="21"/>
        </w:rPr>
        <w:tab/>
        <w:t>指基金管理人的直销网点及基金</w:t>
      </w:r>
      <w:r w:rsidRPr="00621B7F" w:rsidR="001F2A17">
        <w:rPr>
          <w:rFonts w:asciiTheme="minorEastAsia" w:eastAsiaTheme="minorEastAsia" w:hAnsiTheme="minorEastAsia" w:hint="eastAsia"/>
          <w:color w:val="000000" w:themeColor="text1"/>
          <w:szCs w:val="21"/>
        </w:rPr>
        <w:t>非直销销售</w:t>
      </w:r>
      <w:r w:rsidRPr="00621B7F">
        <w:rPr>
          <w:rFonts w:asciiTheme="minorEastAsia" w:eastAsiaTheme="minorEastAsia" w:hAnsiTheme="minorEastAsia" w:hint="eastAsia"/>
          <w:color w:val="000000" w:themeColor="text1"/>
          <w:szCs w:val="21"/>
        </w:rPr>
        <w:t>机构的</w:t>
      </w:r>
      <w:r w:rsidRPr="00621B7F" w:rsidR="001F2A17">
        <w:rPr>
          <w:rFonts w:asciiTheme="minorEastAsia" w:eastAsiaTheme="minorEastAsia" w:hAnsiTheme="minorEastAsia" w:hint="eastAsia"/>
          <w:color w:val="000000" w:themeColor="text1"/>
          <w:szCs w:val="21"/>
        </w:rPr>
        <w:t>销售</w:t>
      </w:r>
      <w:r w:rsidRPr="00621B7F">
        <w:rPr>
          <w:rFonts w:asciiTheme="minorEastAsia" w:eastAsiaTheme="minorEastAsia" w:hAnsiTheme="minorEastAsia" w:hint="eastAsia"/>
          <w:color w:val="000000" w:themeColor="text1"/>
          <w:szCs w:val="21"/>
        </w:rPr>
        <w:t>网点</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注册登记业务</w:t>
      </w:r>
      <w:r w:rsidRPr="00621B7F">
        <w:rPr>
          <w:rFonts w:asciiTheme="minorEastAsia" w:eastAsiaTheme="minorEastAsia" w:hAnsiTheme="minorEastAsia" w:hint="eastAsia"/>
          <w:color w:val="000000" w:themeColor="text1"/>
          <w:szCs w:val="21"/>
        </w:rPr>
        <w:tab/>
        <w:t>指基金登记、存管、清算和交收业务，具体内容包括投资者基金账户管理、基金份额注册登记、清算及基金交易确认、发放红利、建立并保管基金份额持有人名册等</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基金注册登记机构</w:t>
      </w:r>
      <w:r w:rsidRPr="00621B7F">
        <w:rPr>
          <w:rFonts w:asciiTheme="minorEastAsia" w:eastAsiaTheme="minorEastAsia" w:hAnsiTheme="minorEastAsia" w:hint="eastAsia"/>
          <w:color w:val="000000" w:themeColor="text1"/>
          <w:szCs w:val="21"/>
        </w:rPr>
        <w:tab/>
        <w:t>指易方达基金管理有限公司或其委托的其他符合条件的办理基金注册登记业务的机构</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《基金合同》当事人</w:t>
      </w:r>
      <w:r w:rsidRPr="00621B7F">
        <w:rPr>
          <w:rFonts w:asciiTheme="minorEastAsia" w:eastAsiaTheme="minorEastAsia" w:hAnsiTheme="minorEastAsia" w:hint="eastAsia"/>
          <w:color w:val="000000" w:themeColor="text1"/>
          <w:szCs w:val="21"/>
        </w:rPr>
        <w:tab/>
        <w:t>指受《基金合同》约束，根据《基金合同》享受权利并承担义务的法律主体，包括基金管理人、基金托管人和基金份额持有人</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个人投资者</w:t>
      </w:r>
      <w:r w:rsidRPr="00621B7F">
        <w:rPr>
          <w:rFonts w:asciiTheme="minorEastAsia" w:eastAsiaTheme="minorEastAsia" w:hAnsiTheme="minorEastAsia" w:hint="eastAsia"/>
          <w:color w:val="000000" w:themeColor="text1"/>
          <w:szCs w:val="21"/>
        </w:rPr>
        <w:tab/>
        <w:t>指符合法律法规规定的条件可以投资开放式证券投资基金的自然人</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机构投资者</w:t>
      </w:r>
      <w:r w:rsidRPr="00621B7F">
        <w:rPr>
          <w:rFonts w:asciiTheme="minorEastAsia" w:eastAsiaTheme="minorEastAsia" w:hAnsiTheme="minorEastAsia" w:hint="eastAsia"/>
          <w:color w:val="000000" w:themeColor="text1"/>
          <w:szCs w:val="21"/>
        </w:rPr>
        <w:tab/>
        <w:t>指符合法律法规规定可以投资开放式证券投资基金的在中国合法注册登记并存续或经政府有关部门批准设立的并存续的企业法人、事业法人、社会团体和其他组织</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合格境外机构投资者</w:t>
      </w:r>
      <w:r w:rsidRPr="00621B7F">
        <w:rPr>
          <w:rFonts w:asciiTheme="minorEastAsia" w:eastAsiaTheme="minorEastAsia" w:hAnsiTheme="minorEastAsia" w:hint="eastAsia"/>
          <w:color w:val="000000" w:themeColor="text1"/>
          <w:szCs w:val="21"/>
        </w:rPr>
        <w:tab/>
        <w:t>指符合《合格境外机构投资者境内证券投资管理办法》及相关法律法规规定的可投资于中国境内合法募集的证券投资基金的中国境外的</w:t>
      </w:r>
      <w:r w:rsidRPr="00621B7F">
        <w:rPr>
          <w:rFonts w:asciiTheme="minorEastAsia" w:eastAsiaTheme="minorEastAsia" w:hAnsiTheme="minorEastAsia"/>
          <w:color w:val="000000" w:themeColor="text1"/>
          <w:szCs w:val="21"/>
        </w:rPr>
        <w:t>基金管理机构、保险公司、证券公司以及其他资产管理机构</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投资者</w:t>
      </w:r>
      <w:r w:rsidRPr="00621B7F">
        <w:rPr>
          <w:rFonts w:asciiTheme="minorEastAsia" w:eastAsiaTheme="minorEastAsia" w:hAnsiTheme="minorEastAsia" w:hint="eastAsia"/>
          <w:color w:val="000000" w:themeColor="text1"/>
          <w:szCs w:val="21"/>
        </w:rPr>
        <w:tab/>
        <w:t>指个人投资者、机构投资者、合格境外机构投资者和法律法规或中国证监会允许购买开放式证券投资基金的其他投资者的总称</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基金合同生效日</w:t>
      </w:r>
      <w:r w:rsidRPr="00621B7F">
        <w:rPr>
          <w:rFonts w:asciiTheme="minorEastAsia" w:eastAsiaTheme="minorEastAsia" w:hAnsiTheme="minorEastAsia" w:hint="eastAsia"/>
          <w:color w:val="000000" w:themeColor="text1"/>
          <w:szCs w:val="21"/>
        </w:rPr>
        <w:tab/>
      </w:r>
      <w:r w:rsidRPr="00621B7F">
        <w:rPr>
          <w:rFonts w:asciiTheme="minorEastAsia" w:eastAsiaTheme="minorEastAsia" w:hAnsiTheme="minorEastAsia"/>
          <w:color w:val="000000" w:themeColor="text1"/>
          <w:szCs w:val="21"/>
        </w:rPr>
        <w:t>基金</w:t>
      </w:r>
      <w:r w:rsidRPr="00621B7F">
        <w:rPr>
          <w:rFonts w:asciiTheme="minorEastAsia" w:eastAsiaTheme="minorEastAsia" w:hAnsiTheme="minorEastAsia" w:hint="eastAsia"/>
          <w:color w:val="000000" w:themeColor="text1"/>
          <w:szCs w:val="21"/>
        </w:rPr>
        <w:t>募集</w:t>
      </w:r>
      <w:r w:rsidRPr="00621B7F">
        <w:rPr>
          <w:rFonts w:asciiTheme="minorEastAsia" w:eastAsiaTheme="minorEastAsia" w:hAnsiTheme="minorEastAsia"/>
          <w:color w:val="000000" w:themeColor="text1"/>
          <w:szCs w:val="21"/>
        </w:rPr>
        <w:t>达到法律规定及</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基金合同</w:t>
      </w:r>
      <w:r w:rsidRPr="00621B7F">
        <w:rPr>
          <w:rFonts w:asciiTheme="minorEastAsia" w:eastAsiaTheme="minorEastAsia" w:hAnsiTheme="minorEastAsia" w:hint="eastAsia"/>
          <w:color w:val="000000" w:themeColor="text1"/>
          <w:szCs w:val="21"/>
        </w:rPr>
        <w:t>》约定</w:t>
      </w:r>
      <w:r w:rsidRPr="00621B7F">
        <w:rPr>
          <w:rFonts w:asciiTheme="minorEastAsia" w:eastAsiaTheme="minorEastAsia" w:hAnsiTheme="minorEastAsia"/>
          <w:color w:val="000000" w:themeColor="text1"/>
          <w:szCs w:val="21"/>
        </w:rPr>
        <w:t>的条件，</w:t>
      </w:r>
      <w:r w:rsidRPr="00621B7F">
        <w:rPr>
          <w:rFonts w:asciiTheme="minorEastAsia" w:eastAsiaTheme="minorEastAsia" w:hAnsiTheme="minorEastAsia" w:hint="eastAsia"/>
          <w:color w:val="000000" w:themeColor="text1"/>
          <w:szCs w:val="21"/>
        </w:rPr>
        <w:t>基金管理人聘请法定机构验资并办理完毕基金备案手续，获得中国证监会书面确认之日</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募集期</w:t>
      </w:r>
      <w:r w:rsidRPr="00621B7F">
        <w:rPr>
          <w:rFonts w:asciiTheme="minorEastAsia" w:eastAsiaTheme="minorEastAsia" w:hAnsiTheme="minorEastAsia" w:hint="eastAsia"/>
          <w:color w:val="000000" w:themeColor="text1"/>
          <w:szCs w:val="21"/>
        </w:rPr>
        <w:tab/>
        <w:t>指自基金份额发售之日起不超过3个月的期限</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基金存续期</w:t>
      </w:r>
      <w:r w:rsidRPr="00621B7F">
        <w:rPr>
          <w:rFonts w:asciiTheme="minorEastAsia" w:eastAsiaTheme="minorEastAsia" w:hAnsiTheme="minorEastAsia" w:hint="eastAsia"/>
          <w:color w:val="000000" w:themeColor="text1"/>
          <w:szCs w:val="21"/>
        </w:rPr>
        <w:tab/>
        <w:t>指《基金合同》生效后合法存续的不定期之期间</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日/天</w:t>
      </w:r>
      <w:r w:rsidRPr="00621B7F">
        <w:rPr>
          <w:rFonts w:asciiTheme="minorEastAsia" w:eastAsiaTheme="minorEastAsia" w:hAnsiTheme="minorEastAsia" w:hint="eastAsia"/>
          <w:color w:val="000000" w:themeColor="text1"/>
          <w:szCs w:val="21"/>
        </w:rPr>
        <w:tab/>
        <w:t>指公历日</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月</w:t>
      </w:r>
      <w:r w:rsidRPr="00621B7F">
        <w:rPr>
          <w:rFonts w:asciiTheme="minorEastAsia" w:eastAsiaTheme="minorEastAsia" w:hAnsiTheme="minorEastAsia" w:hint="eastAsia"/>
          <w:color w:val="000000" w:themeColor="text1"/>
          <w:szCs w:val="21"/>
        </w:rPr>
        <w:tab/>
        <w:t>指公历月</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工作日</w:t>
      </w:r>
      <w:r w:rsidRPr="00621B7F">
        <w:rPr>
          <w:rFonts w:asciiTheme="minorEastAsia" w:eastAsiaTheme="minorEastAsia" w:hAnsiTheme="minorEastAsia" w:hint="eastAsia"/>
          <w:color w:val="000000" w:themeColor="text1"/>
          <w:szCs w:val="21"/>
        </w:rPr>
        <w:tab/>
        <w:t>指上海证券交易所和深圳证券交易所的正常交易日</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开放日</w:t>
      </w:r>
      <w:r w:rsidRPr="00621B7F">
        <w:rPr>
          <w:rFonts w:asciiTheme="minorEastAsia" w:eastAsiaTheme="minorEastAsia" w:hAnsiTheme="minorEastAsia" w:hint="eastAsia"/>
          <w:color w:val="000000" w:themeColor="text1"/>
          <w:szCs w:val="21"/>
        </w:rPr>
        <w:tab/>
        <w:t>指销售机构办理本基金份额申购、赎回等业务的工作日</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T日</w:t>
      </w:r>
      <w:r w:rsidRPr="00621B7F">
        <w:rPr>
          <w:rFonts w:asciiTheme="minorEastAsia" w:eastAsiaTheme="minorEastAsia" w:hAnsiTheme="minorEastAsia" w:hint="eastAsia"/>
          <w:color w:val="000000" w:themeColor="text1"/>
          <w:szCs w:val="21"/>
        </w:rPr>
        <w:tab/>
        <w:t>指申购、赎回或办理其他基金业务的申请日</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T+</w:t>
      </w:r>
      <w:r w:rsidRPr="00621B7F">
        <w:rPr>
          <w:rFonts w:asciiTheme="minorEastAsia" w:eastAsiaTheme="minorEastAsia" w:hAnsiTheme="minorEastAsia"/>
          <w:color w:val="000000" w:themeColor="text1"/>
          <w:szCs w:val="21"/>
        </w:rPr>
        <w:t>n</w:t>
      </w:r>
      <w:r w:rsidRPr="00621B7F">
        <w:rPr>
          <w:rFonts w:asciiTheme="minorEastAsia" w:eastAsiaTheme="minorEastAsia" w:hAnsiTheme="minorEastAsia" w:hint="eastAsia"/>
          <w:color w:val="000000" w:themeColor="text1"/>
          <w:szCs w:val="21"/>
        </w:rPr>
        <w:t>日</w:t>
      </w:r>
      <w:r w:rsidRPr="00621B7F">
        <w:rPr>
          <w:rFonts w:asciiTheme="minorEastAsia" w:eastAsiaTheme="minorEastAsia" w:hAnsiTheme="minorEastAsia" w:hint="eastAsia"/>
          <w:color w:val="000000" w:themeColor="text1"/>
          <w:szCs w:val="21"/>
        </w:rPr>
        <w:tab/>
        <w:t>指自T日起第</w:t>
      </w:r>
      <w:r w:rsidRPr="00621B7F">
        <w:rPr>
          <w:rFonts w:asciiTheme="minorEastAsia" w:eastAsiaTheme="minorEastAsia" w:hAnsiTheme="minorEastAsia"/>
          <w:color w:val="000000" w:themeColor="text1"/>
          <w:szCs w:val="21"/>
        </w:rPr>
        <w:t>n</w:t>
      </w:r>
      <w:r w:rsidRPr="00621B7F">
        <w:rPr>
          <w:rFonts w:asciiTheme="minorEastAsia" w:eastAsiaTheme="minorEastAsia" w:hAnsiTheme="minorEastAsia" w:hint="eastAsia"/>
          <w:color w:val="000000" w:themeColor="text1"/>
          <w:szCs w:val="21"/>
        </w:rPr>
        <w:t>个工作日（不包含T日）</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认购</w:t>
      </w:r>
      <w:r w:rsidRPr="00621B7F">
        <w:rPr>
          <w:rFonts w:asciiTheme="minorEastAsia" w:eastAsiaTheme="minorEastAsia" w:hAnsiTheme="minorEastAsia" w:hint="eastAsia"/>
          <w:color w:val="000000" w:themeColor="text1"/>
          <w:szCs w:val="21"/>
        </w:rPr>
        <w:tab/>
        <w:t>指在本基金募集期内投资者购买本基金基金份额的行为</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发售</w:t>
      </w:r>
      <w:r w:rsidRPr="00621B7F">
        <w:rPr>
          <w:rFonts w:asciiTheme="minorEastAsia" w:eastAsiaTheme="minorEastAsia" w:hAnsiTheme="minorEastAsia" w:hint="eastAsia"/>
          <w:color w:val="000000" w:themeColor="text1"/>
          <w:szCs w:val="21"/>
        </w:rPr>
        <w:tab/>
        <w:t>指在本基金募集期内，销售机构向投资者销售本基金份额的行为</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申购</w:t>
      </w:r>
      <w:r w:rsidRPr="00621B7F">
        <w:rPr>
          <w:rFonts w:asciiTheme="minorEastAsia" w:eastAsiaTheme="minorEastAsia" w:hAnsiTheme="minorEastAsia" w:hint="eastAsia"/>
          <w:color w:val="000000" w:themeColor="text1"/>
          <w:szCs w:val="21"/>
        </w:rPr>
        <w:tab/>
        <w:t>指基金投资者根据基金销售网点规定的手续，向基金管理人购买基金份额的行为。本基金的日常申购自《基金合同》生效后不超过3个月的时间开始办理</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赎回</w:t>
      </w:r>
      <w:r w:rsidRPr="00621B7F">
        <w:rPr>
          <w:rFonts w:asciiTheme="minorEastAsia" w:eastAsiaTheme="minorEastAsia" w:hAnsiTheme="minorEastAsia" w:hint="eastAsia"/>
          <w:color w:val="000000" w:themeColor="text1"/>
          <w:szCs w:val="21"/>
        </w:rPr>
        <w:tab/>
        <w:t>指基金投资者根据基金销售网点规定的手续，向基金管理人卖出基金份额的行为。本基金的日常赎回自《基金合同》生效后不超过3个月的时间开始办理</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巨额赎回</w:t>
      </w:r>
      <w:r w:rsidRPr="00621B7F">
        <w:rPr>
          <w:rFonts w:asciiTheme="minorEastAsia" w:eastAsiaTheme="minorEastAsia" w:hAnsiTheme="minorEastAsia" w:hint="eastAsia"/>
          <w:color w:val="000000" w:themeColor="text1"/>
          <w:szCs w:val="21"/>
        </w:rPr>
        <w:tab/>
        <w:t>指在单个开放日，本基金的基金份额净赎回申请（赎回申请总数加上基金转换中转出申请份额总数后扣除申购申请总数及基金转换中转入申请份额总数后的余额）超过上一日本基金总份额的</w:t>
      </w:r>
      <w:r w:rsidRPr="00621B7F">
        <w:rPr>
          <w:rFonts w:asciiTheme="minorEastAsia" w:eastAsiaTheme="minorEastAsia" w:hAnsiTheme="minorEastAsia"/>
          <w:color w:val="000000" w:themeColor="text1"/>
          <w:szCs w:val="21"/>
        </w:rPr>
        <w:t>10%</w:t>
      </w:r>
      <w:r w:rsidRPr="00621B7F">
        <w:rPr>
          <w:rFonts w:asciiTheme="minorEastAsia" w:eastAsiaTheme="minorEastAsia" w:hAnsiTheme="minorEastAsia" w:hint="eastAsia"/>
          <w:color w:val="000000" w:themeColor="text1"/>
          <w:szCs w:val="21"/>
        </w:rPr>
        <w:t>时的情形</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基金账户</w:t>
      </w:r>
      <w:r w:rsidRPr="00621B7F">
        <w:rPr>
          <w:rFonts w:asciiTheme="minorEastAsia" w:eastAsiaTheme="minorEastAsia" w:hAnsiTheme="minorEastAsia" w:hint="eastAsia"/>
          <w:color w:val="000000" w:themeColor="text1"/>
          <w:szCs w:val="21"/>
        </w:rPr>
        <w:tab/>
        <w:t>指基金注册登记机构给投资者开立的用于记录投资者持有基金管理人管理的开放式基金份额情况的账户</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交易账户</w:t>
      </w:r>
      <w:r w:rsidRPr="00621B7F">
        <w:rPr>
          <w:rFonts w:asciiTheme="minorEastAsia" w:eastAsiaTheme="minorEastAsia" w:hAnsiTheme="minorEastAsia" w:hint="eastAsia"/>
          <w:color w:val="000000" w:themeColor="text1"/>
          <w:szCs w:val="21"/>
        </w:rPr>
        <w:tab/>
        <w:t>指各销售机构为投资者开立的记录投资者通过该销售机构办理基金交易所引起的基金份额的变动及结余情况的账户</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转托管</w:t>
      </w:r>
      <w:r w:rsidRPr="00621B7F">
        <w:rPr>
          <w:rFonts w:asciiTheme="minorEastAsia" w:eastAsiaTheme="minorEastAsia" w:hAnsiTheme="minorEastAsia" w:hint="eastAsia"/>
          <w:color w:val="000000" w:themeColor="text1"/>
          <w:szCs w:val="21"/>
        </w:rPr>
        <w:tab/>
      </w:r>
      <w:r w:rsidRPr="00621B7F">
        <w:rPr>
          <w:rFonts w:asciiTheme="minorEastAsia" w:eastAsiaTheme="minorEastAsia" w:hAnsiTheme="minorEastAsia"/>
          <w:color w:val="000000" w:themeColor="text1"/>
          <w:szCs w:val="21"/>
        </w:rPr>
        <w:t>指投资者将其持有的同一基金账户下的基金份额从某一交易账户转入另一交易账户的业务</w:t>
      </w:r>
    </w:p>
    <w:p w:rsidR="00566B7D"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基金转换</w:t>
      </w:r>
      <w:r w:rsidRPr="00621B7F">
        <w:rPr>
          <w:rFonts w:asciiTheme="minorEastAsia" w:eastAsiaTheme="minorEastAsia" w:hAnsiTheme="minorEastAsia" w:hint="eastAsia"/>
          <w:color w:val="000000" w:themeColor="text1"/>
          <w:szCs w:val="21"/>
        </w:rPr>
        <w:tab/>
        <w:t>指基金份额持有人按照</w:t>
      </w:r>
      <w:r w:rsidRPr="00621B7F" w:rsidR="00F51C42">
        <w:rPr>
          <w:rFonts w:asciiTheme="minorEastAsia" w:eastAsiaTheme="minorEastAsia" w:hAnsiTheme="minorEastAsia" w:hint="eastAsia"/>
          <w:color w:val="000000" w:themeColor="text1"/>
          <w:szCs w:val="21"/>
        </w:rPr>
        <w:t>基金合同</w:t>
      </w:r>
      <w:r w:rsidRPr="00621B7F">
        <w:rPr>
          <w:rFonts w:asciiTheme="minorEastAsia" w:eastAsiaTheme="minorEastAsia" w:hAnsiTheme="minorEastAsia" w:hint="eastAsia"/>
          <w:color w:val="000000" w:themeColor="text1"/>
          <w:szCs w:val="21"/>
        </w:rPr>
        <w:t>和基金管理人届时有效公告规定的条件，申请将其持有基金管理人管理的、某一基金的基金份额转换为基金管理人管</w:t>
      </w:r>
      <w:r w:rsidRPr="00621B7F" w:rsidR="007E6912">
        <w:rPr>
          <w:rFonts w:asciiTheme="minorEastAsia" w:eastAsiaTheme="minorEastAsia" w:hAnsiTheme="minorEastAsia" w:hint="eastAsia"/>
          <w:color w:val="000000" w:themeColor="text1"/>
          <w:szCs w:val="21"/>
        </w:rPr>
        <w:t>理的、且由同一注册登记机构办理注册登记的其他基金基金份额的行为</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定期定额投资计划</w:t>
      </w:r>
      <w:r w:rsidRPr="00621B7F">
        <w:rPr>
          <w:rFonts w:asciiTheme="minorEastAsia" w:eastAsiaTheme="minorEastAsia" w:hAnsiTheme="minorEastAsia" w:hint="eastAsia"/>
          <w:color w:val="000000" w:themeColor="text1"/>
          <w:szCs w:val="21"/>
        </w:rPr>
        <w:tab/>
        <w:t>指投资者通过有关销售机构提出申请，约定每期扣款日、扣款金额及扣款方式，由销售机构于每期约定扣款日在投资者指定银行账户内自动完成扣款及基金申购申请的一种投资方式</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w:t>
      </w:r>
      <w:r w:rsidRPr="00621B7F" w:rsidR="00CE14FC">
        <w:rPr>
          <w:rFonts w:asciiTheme="minorEastAsia" w:eastAsiaTheme="minorEastAsia" w:hAnsiTheme="minorEastAsia" w:hint="eastAsia"/>
          <w:color w:val="000000" w:themeColor="text1"/>
          <w:szCs w:val="21"/>
        </w:rPr>
        <w:t>利润</w:t>
      </w:r>
      <w:r w:rsidRPr="00621B7F">
        <w:rPr>
          <w:rFonts w:asciiTheme="minorEastAsia" w:eastAsiaTheme="minorEastAsia" w:hAnsiTheme="minorEastAsia" w:hint="eastAsia"/>
          <w:color w:val="000000" w:themeColor="text1"/>
          <w:szCs w:val="21"/>
        </w:rPr>
        <w:tab/>
      </w:r>
      <w:r w:rsidRPr="00621B7F" w:rsidR="00CE14FC">
        <w:rPr>
          <w:rFonts w:asciiTheme="minorEastAsia" w:eastAsiaTheme="minorEastAsia" w:hAnsiTheme="minorEastAsia" w:hint="eastAsia"/>
          <w:color w:val="000000" w:themeColor="text1"/>
          <w:szCs w:val="21"/>
        </w:rPr>
        <w:t>指基金利息收入、投资收益、公允价值变动收益和其他收入扣除相关费用后的余额</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基金资产总值</w:t>
      </w:r>
      <w:r w:rsidRPr="00621B7F">
        <w:rPr>
          <w:rFonts w:asciiTheme="minorEastAsia" w:eastAsiaTheme="minorEastAsia" w:hAnsiTheme="minorEastAsia" w:hint="eastAsia"/>
          <w:color w:val="000000" w:themeColor="text1"/>
          <w:szCs w:val="21"/>
        </w:rPr>
        <w:tab/>
        <w:t>指基金所拥有的各类证券及票据价值、银行存款本息和本基金应收的申购基金款以及其他投资所形成的价值总和</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基金资产净值</w:t>
      </w:r>
      <w:r w:rsidRPr="00621B7F">
        <w:rPr>
          <w:rFonts w:asciiTheme="minorEastAsia" w:eastAsiaTheme="minorEastAsia" w:hAnsiTheme="minorEastAsia" w:hint="eastAsia"/>
          <w:color w:val="000000" w:themeColor="text1"/>
          <w:szCs w:val="21"/>
        </w:rPr>
        <w:tab/>
        <w:t>指基金资产总值</w:t>
      </w:r>
      <w:r w:rsidRPr="00621B7F" w:rsidR="00523809">
        <w:rPr>
          <w:rFonts w:asciiTheme="minorEastAsia" w:eastAsiaTheme="minorEastAsia" w:hAnsiTheme="minorEastAsia" w:hint="eastAsia"/>
          <w:color w:val="000000" w:themeColor="text1"/>
          <w:szCs w:val="21"/>
        </w:rPr>
        <w:t>减去基金</w:t>
      </w:r>
      <w:r w:rsidRPr="00621B7F">
        <w:rPr>
          <w:rFonts w:asciiTheme="minorEastAsia" w:eastAsiaTheme="minorEastAsia" w:hAnsiTheme="minorEastAsia" w:hint="eastAsia"/>
          <w:color w:val="000000" w:themeColor="text1"/>
          <w:szCs w:val="21"/>
        </w:rPr>
        <w:t>负债后的</w:t>
      </w:r>
      <w:r w:rsidRPr="00621B7F" w:rsidR="00523809">
        <w:rPr>
          <w:rFonts w:asciiTheme="minorEastAsia" w:eastAsiaTheme="minorEastAsia" w:hAnsiTheme="minorEastAsia" w:hint="eastAsia"/>
          <w:color w:val="000000" w:themeColor="text1"/>
          <w:szCs w:val="21"/>
        </w:rPr>
        <w:t>价值</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基金资产估值</w:t>
      </w:r>
      <w:r w:rsidRPr="00621B7F">
        <w:rPr>
          <w:rFonts w:asciiTheme="minorEastAsia" w:eastAsiaTheme="minorEastAsia" w:hAnsiTheme="minorEastAsia" w:hint="eastAsia"/>
          <w:color w:val="000000" w:themeColor="text1"/>
          <w:szCs w:val="21"/>
        </w:rPr>
        <w:tab/>
        <w:t>指计算评估基金资产和负债的价值，以确定基金资产净值的过程</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货币市场工具</w:t>
      </w:r>
      <w:r w:rsidRPr="00621B7F">
        <w:rPr>
          <w:rFonts w:asciiTheme="minorEastAsia" w:eastAsiaTheme="minorEastAsia" w:hAnsiTheme="minorEastAsia" w:hint="eastAsia"/>
          <w:color w:val="000000" w:themeColor="text1"/>
          <w:szCs w:val="21"/>
        </w:rPr>
        <w:tab/>
        <w:t>指现金；</w:t>
      </w:r>
      <w:r w:rsidRPr="00621B7F">
        <w:rPr>
          <w:rFonts w:asciiTheme="minorEastAsia" w:eastAsiaTheme="minorEastAsia" w:hAnsiTheme="minorEastAsia"/>
          <w:color w:val="000000" w:themeColor="text1"/>
          <w:szCs w:val="21"/>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sidRPr="00621B7F">
        <w:rPr>
          <w:rFonts w:asciiTheme="minorEastAsia" w:eastAsiaTheme="minorEastAsia" w:hAnsiTheme="minorEastAsia" w:hint="eastAsia"/>
          <w:color w:val="000000" w:themeColor="text1"/>
          <w:szCs w:val="21"/>
        </w:rPr>
        <w:t>金融</w:t>
      </w:r>
      <w:r w:rsidRPr="00621B7F">
        <w:rPr>
          <w:rFonts w:asciiTheme="minorEastAsia" w:eastAsiaTheme="minorEastAsia" w:hAnsiTheme="minorEastAsia"/>
          <w:color w:val="000000" w:themeColor="text1"/>
          <w:szCs w:val="21"/>
        </w:rPr>
        <w:t>工具</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ab/>
        <w:t>指中国证监会指定的用以进行信息披露的全国性报刊及指定互联网网站（包括基金管理人网站、基金托管人网站、中国证监会基金电子披露网站）等媒介</w:t>
      </w:r>
    </w:p>
    <w:p w:rsidR="00726847" w:rsidRPr="00621B7F" w:rsidP="00241F10">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不可抗力指</w:t>
      </w:r>
      <w:r w:rsidRPr="00621B7F" w:rsidR="00F51C42">
        <w:rPr>
          <w:rFonts w:asciiTheme="minorEastAsia" w:eastAsiaTheme="minorEastAsia" w:hAnsiTheme="minorEastAsia" w:hint="eastAsia"/>
          <w:color w:val="000000" w:themeColor="text1"/>
          <w:szCs w:val="21"/>
        </w:rPr>
        <w:t>基金合同</w:t>
      </w:r>
      <w:r w:rsidRPr="00621B7F">
        <w:rPr>
          <w:rFonts w:asciiTheme="minorEastAsia" w:eastAsiaTheme="minorEastAsia" w:hAnsiTheme="minorEastAsia" w:hint="eastAsia"/>
          <w:color w:val="000000" w:themeColor="text1"/>
          <w:szCs w:val="21"/>
        </w:rPr>
        <w:t>当事人不能预见、不能避免且不能克服的客观事件</w:t>
      </w:r>
    </w:p>
    <w:p w:rsidR="0019552C" w:rsidRPr="00621B7F" w:rsidP="0019552C">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A类基金份额</w:t>
      </w:r>
      <w:r w:rsidRPr="00621B7F">
        <w:rPr>
          <w:rFonts w:asciiTheme="minorEastAsia" w:eastAsiaTheme="minorEastAsia" w:hAnsiTheme="minorEastAsia" w:hint="eastAsia"/>
          <w:color w:val="000000" w:themeColor="text1"/>
          <w:szCs w:val="21"/>
        </w:rPr>
        <w:tab/>
        <w:t>在投资人申购基金时收取申购费用，并不再从本类别基金资产中计提销售服务费的基金份额，称为A类基金份额</w:t>
      </w:r>
    </w:p>
    <w:p w:rsidR="0019552C" w:rsidRPr="00621B7F" w:rsidP="0019552C">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C类基金份额</w:t>
      </w:r>
      <w:r w:rsidRPr="00621B7F">
        <w:rPr>
          <w:rFonts w:asciiTheme="minorEastAsia" w:eastAsiaTheme="minorEastAsia" w:hAnsiTheme="minorEastAsia" w:hint="eastAsia"/>
          <w:color w:val="000000" w:themeColor="text1"/>
          <w:szCs w:val="21"/>
        </w:rPr>
        <w:tab/>
        <w:t>从本类基金资产中计提销售服务费，并不收取申购费用的基金份额，称为C类份额</w:t>
      </w:r>
    </w:p>
    <w:p w:rsidR="007A11B4" w:rsidRPr="00621B7F" w:rsidP="0019552C">
      <w:pPr>
        <w:snapToGrid w:val="0"/>
        <w:spacing w:line="360" w:lineRule="auto"/>
        <w:ind w:left="2730" w:hanging="2310" w:leftChars="200" w:hangingChars="1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621B7F" w:rsidP="00241F10">
      <w:pPr>
        <w:snapToGrid w:val="0"/>
        <w:spacing w:line="360" w:lineRule="auto"/>
        <w:rPr>
          <w:rFonts w:asciiTheme="minorEastAsia" w:eastAsiaTheme="minorEastAsia" w:hAnsiTheme="minorEastAsia"/>
          <w:color w:val="000000" w:themeColor="text1"/>
        </w:rPr>
      </w:pPr>
    </w:p>
    <w:p w:rsidR="00621B7F" w:rsidRPr="00621B7F" w:rsidP="00621B7F">
      <w:pPr>
        <w:rPr>
          <w:rFonts w:asciiTheme="minorEastAsia" w:eastAsiaTheme="minorEastAsia" w:hAnsiTheme="minorEastAsia"/>
        </w:rPr>
      </w:pPr>
    </w:p>
    <w:p w:rsidR="00621B7F" w:rsidRPr="00621B7F" w:rsidP="00621B7F">
      <w:pPr>
        <w:rPr>
          <w:rFonts w:asciiTheme="minorEastAsia" w:eastAsiaTheme="minorEastAsia" w:hAnsiTheme="minorEastAsia"/>
        </w:rPr>
      </w:pPr>
    </w:p>
    <w:p w:rsidR="00621B7F" w:rsidRPr="00621B7F" w:rsidP="00621B7F">
      <w:pPr>
        <w:rPr>
          <w:rFonts w:asciiTheme="minorEastAsia" w:eastAsiaTheme="minorEastAsia" w:hAnsiTheme="minorEastAsia"/>
        </w:rPr>
      </w:pPr>
    </w:p>
    <w:p w:rsidR="00621B7F" w:rsidRPr="00621B7F" w:rsidP="00621B7F">
      <w:pPr>
        <w:rPr>
          <w:rFonts w:asciiTheme="minorEastAsia" w:eastAsiaTheme="minorEastAsia" w:hAnsiTheme="minorEastAsia"/>
        </w:rPr>
      </w:pPr>
    </w:p>
    <w:p w:rsidR="00621B7F" w:rsidRPr="00621B7F" w:rsidP="00621B7F">
      <w:pPr>
        <w:rPr>
          <w:rFonts w:asciiTheme="minorEastAsia" w:eastAsiaTheme="minorEastAsia" w:hAnsiTheme="minorEastAsia"/>
        </w:rPr>
      </w:pPr>
    </w:p>
    <w:p w:rsidR="00621B7F" w:rsidRPr="00621B7F" w:rsidP="00621B7F">
      <w:pPr>
        <w:rPr>
          <w:rFonts w:asciiTheme="minorEastAsia" w:eastAsiaTheme="minorEastAsia" w:hAnsiTheme="minorEastAsia"/>
        </w:rPr>
      </w:pPr>
    </w:p>
    <w:p w:rsidR="004B7DBE" w:rsidRPr="00621B7F" w:rsidP="00621B7F">
      <w:pPr>
        <w:rPr>
          <w:rFonts w:asciiTheme="minorEastAsia" w:eastAsiaTheme="minorEastAsia" w:hAnsiTheme="minorEastAsia"/>
        </w:rPr>
        <w:sectPr w:rsidSect="006B7524">
          <w:footerReference w:type="default" r:id="rId13"/>
          <w:pgSz w:w="11907" w:h="16840" w:code="9"/>
          <w:pgMar w:top="1440" w:right="1800" w:bottom="1440" w:left="1800" w:header="851" w:footer="992" w:gutter="0"/>
          <w:pgNumType w:start="1"/>
          <w:cols w:space="425"/>
          <w:docGrid w:type="lines" w:linePitch="312"/>
        </w:sectPr>
      </w:pPr>
    </w:p>
    <w:p w:rsidR="00266A27" w:rsidRPr="00621B7F" w:rsidP="00241F10">
      <w:pPr>
        <w:pStyle w:val="111"/>
        <w:snapToGrid w:val="0"/>
        <w:spacing w:beforeLines="0" w:afterLines="0" w:line="360" w:lineRule="auto"/>
        <w:ind w:firstLine="0" w:firstLineChars="0"/>
        <w:rPr>
          <w:rFonts w:asciiTheme="minorEastAsia" w:eastAsiaTheme="minorEastAsia" w:hAnsiTheme="minorEastAsia"/>
          <w:color w:val="000000" w:themeColor="text1"/>
          <w:szCs w:val="32"/>
        </w:rPr>
      </w:pPr>
      <w:bookmarkStart w:id="4" w:name="_Toc91752014"/>
      <w:r w:rsidRPr="00621B7F">
        <w:rPr>
          <w:rFonts w:asciiTheme="minorEastAsia" w:eastAsiaTheme="minorEastAsia" w:hAnsiTheme="minorEastAsia" w:hint="eastAsia"/>
          <w:color w:val="000000" w:themeColor="text1"/>
          <w:szCs w:val="32"/>
        </w:rPr>
        <w:t>三、基金管理人</w:t>
      </w:r>
      <w:bookmarkEnd w:id="4"/>
    </w:p>
    <w:p w:rsidR="00394FFF" w:rsidRPr="00621B7F" w:rsidP="00A32B85">
      <w:pPr>
        <w:pStyle w:val="Heading2"/>
        <w:snapToGrid w:val="0"/>
        <w:spacing w:beforeLines="0" w:afterLines="0" w:line="360" w:lineRule="auto"/>
        <w:ind w:firstLine="0" w:firstLineChars="0"/>
        <w:rPr>
          <w:rFonts w:asciiTheme="minorEastAsia" w:eastAsiaTheme="minorEastAsia" w:hAnsiTheme="minorEastAsia"/>
          <w:color w:val="000000" w:themeColor="text1"/>
          <w:sz w:val="21"/>
        </w:rPr>
      </w:pPr>
      <w:bookmarkStart w:id="5" w:name="_Toc133292563"/>
      <w:bookmarkStart w:id="6" w:name="_Toc163189520"/>
      <w:bookmarkStart w:id="7" w:name="_Toc91752015"/>
      <w:r w:rsidRPr="00621B7F">
        <w:rPr>
          <w:rFonts w:asciiTheme="minorEastAsia" w:eastAsiaTheme="minorEastAsia" w:hAnsiTheme="minorEastAsia" w:cs="仿宋_GB2312" w:hint="eastAsia"/>
          <w:b w:val="0"/>
          <w:bCs/>
          <w:color w:val="000000" w:themeColor="text1"/>
          <w:kern w:val="0"/>
          <w:szCs w:val="24"/>
        </w:rPr>
        <w:t>（一）</w:t>
      </w:r>
      <w:r w:rsidRPr="00621B7F">
        <w:rPr>
          <w:rFonts w:asciiTheme="minorEastAsia" w:eastAsiaTheme="minorEastAsia" w:hAnsiTheme="minorEastAsia" w:cs="仿宋_GB2312"/>
          <w:b w:val="0"/>
          <w:bCs/>
          <w:color w:val="000000" w:themeColor="text1"/>
          <w:kern w:val="0"/>
          <w:szCs w:val="24"/>
        </w:rPr>
        <w:t>基金管理人</w:t>
      </w:r>
      <w:r w:rsidRPr="00621B7F">
        <w:rPr>
          <w:rFonts w:asciiTheme="minorEastAsia" w:eastAsiaTheme="minorEastAsia" w:hAnsiTheme="minorEastAsia" w:cs="仿宋_GB2312" w:hint="eastAsia"/>
          <w:b w:val="0"/>
          <w:bCs/>
          <w:color w:val="000000" w:themeColor="text1"/>
          <w:kern w:val="0"/>
          <w:szCs w:val="24"/>
        </w:rPr>
        <w:t>基本情况</w:t>
      </w:r>
      <w:bookmarkEnd w:id="5"/>
      <w:bookmarkEnd w:id="6"/>
      <w:bookmarkEnd w:id="7"/>
    </w:p>
    <w:p w:rsidR="00B76953" w:rsidRPr="00621B7F" w:rsidP="00241F10">
      <w:pPr>
        <w:snapToGrid w:val="0"/>
        <w:spacing w:line="360" w:lineRule="auto"/>
        <w:ind w:firstLine="420"/>
        <w:rPr>
          <w:rFonts w:asciiTheme="minorEastAsia" w:eastAsiaTheme="minorEastAsia" w:hAnsiTheme="minorEastAsia" w:cs="仿宋_GB2312"/>
          <w:color w:val="000000" w:themeColor="text1"/>
          <w:kern w:val="0"/>
        </w:rPr>
      </w:pPr>
      <w:r w:rsidRPr="00621B7F">
        <w:rPr>
          <w:rFonts w:asciiTheme="minorEastAsia" w:eastAsiaTheme="minorEastAsia" w:hAnsiTheme="minorEastAsia" w:cs="仿宋_GB2312" w:hint="eastAsia"/>
          <w:color w:val="000000" w:themeColor="text1"/>
          <w:kern w:val="0"/>
        </w:rPr>
        <w:t>1、基金管理人：易方达基金管理有限公司</w:t>
      </w:r>
    </w:p>
    <w:p w:rsidR="00B76953" w:rsidRPr="00621B7F" w:rsidP="00241F10">
      <w:pPr>
        <w:snapToGrid w:val="0"/>
        <w:spacing w:line="360" w:lineRule="auto"/>
        <w:ind w:firstLine="420"/>
        <w:rPr>
          <w:rFonts w:asciiTheme="minorEastAsia" w:eastAsiaTheme="minorEastAsia" w:hAnsiTheme="minorEastAsia" w:cs="仿宋_GB2312"/>
          <w:color w:val="000000" w:themeColor="text1"/>
          <w:kern w:val="0"/>
        </w:rPr>
      </w:pPr>
      <w:r w:rsidRPr="00621B7F">
        <w:rPr>
          <w:rFonts w:asciiTheme="minorEastAsia" w:eastAsiaTheme="minorEastAsia" w:hAnsiTheme="minorEastAsia" w:cs="仿宋_GB2312" w:hint="eastAsia"/>
          <w:color w:val="000000" w:themeColor="text1"/>
          <w:kern w:val="0"/>
        </w:rPr>
        <w:t>注册地址：</w:t>
      </w:r>
      <w:r w:rsidRPr="00621B7F" w:rsidR="004D69CA">
        <w:rPr>
          <w:rFonts w:asciiTheme="minorEastAsia" w:eastAsiaTheme="minorEastAsia" w:hAnsiTheme="minorEastAsia" w:cs="仿宋_GB2312" w:hint="eastAsia"/>
          <w:color w:val="000000" w:themeColor="text1"/>
          <w:kern w:val="0"/>
        </w:rPr>
        <w:t>广东省珠海市横琴新区宝华路6号105室－42891（集中办公区）</w:t>
      </w:r>
    </w:p>
    <w:p w:rsidR="00B76953" w:rsidRPr="00621B7F" w:rsidP="00241F10">
      <w:pPr>
        <w:snapToGrid w:val="0"/>
        <w:spacing w:line="360" w:lineRule="auto"/>
        <w:ind w:firstLine="420"/>
        <w:rPr>
          <w:rFonts w:asciiTheme="minorEastAsia" w:eastAsiaTheme="minorEastAsia" w:hAnsiTheme="minorEastAsia" w:cs="仿宋_GB2312"/>
          <w:color w:val="000000" w:themeColor="text1"/>
          <w:kern w:val="0"/>
        </w:rPr>
      </w:pPr>
      <w:r w:rsidRPr="00621B7F">
        <w:rPr>
          <w:rFonts w:asciiTheme="minorEastAsia" w:eastAsiaTheme="minorEastAsia" w:hAnsiTheme="minorEastAsia" w:cs="仿宋_GB2312" w:hint="eastAsia"/>
          <w:color w:val="000000" w:themeColor="text1"/>
          <w:kern w:val="0"/>
        </w:rPr>
        <w:t>办公地址：广州市</w:t>
      </w:r>
      <w:r w:rsidRPr="00621B7F" w:rsidR="00787B98">
        <w:rPr>
          <w:rFonts w:asciiTheme="minorEastAsia" w:eastAsiaTheme="minorEastAsia" w:hAnsiTheme="minorEastAsia" w:cs="仿宋_GB2312" w:hint="eastAsia"/>
          <w:color w:val="000000" w:themeColor="text1"/>
          <w:kern w:val="0"/>
        </w:rPr>
        <w:t>天河区珠江新城珠江东路30号广州银行大厦40-43楼</w:t>
      </w:r>
    </w:p>
    <w:p w:rsidR="00B76953" w:rsidRPr="00621B7F" w:rsidP="00241F10">
      <w:pPr>
        <w:snapToGrid w:val="0"/>
        <w:spacing w:line="360" w:lineRule="auto"/>
        <w:ind w:firstLine="420"/>
        <w:rPr>
          <w:rFonts w:asciiTheme="minorEastAsia" w:eastAsiaTheme="minorEastAsia" w:hAnsiTheme="minorEastAsia" w:cs="仿宋_GB2312"/>
          <w:color w:val="000000" w:themeColor="text1"/>
          <w:kern w:val="0"/>
        </w:rPr>
      </w:pPr>
      <w:r w:rsidRPr="00621B7F">
        <w:rPr>
          <w:rFonts w:asciiTheme="minorEastAsia" w:eastAsiaTheme="minorEastAsia" w:hAnsiTheme="minorEastAsia" w:cs="仿宋_GB2312" w:hint="eastAsia"/>
          <w:color w:val="000000" w:themeColor="text1"/>
          <w:kern w:val="0"/>
        </w:rPr>
        <w:t>设立日期：2001年4月17日</w:t>
      </w:r>
    </w:p>
    <w:p w:rsidR="009B33C4" w:rsidRPr="00621B7F" w:rsidP="00241F10">
      <w:pPr>
        <w:snapToGrid w:val="0"/>
        <w:spacing w:line="360" w:lineRule="auto"/>
        <w:ind w:firstLine="420"/>
        <w:jc w:val="left"/>
        <w:rPr>
          <w:rFonts w:asciiTheme="minorEastAsia" w:eastAsiaTheme="minorEastAsia" w:hAnsiTheme="minorEastAsia" w:cs="仿宋_GB2312"/>
          <w:color w:val="000000" w:themeColor="text1"/>
          <w:kern w:val="0"/>
        </w:rPr>
      </w:pPr>
      <w:r w:rsidRPr="00621B7F">
        <w:rPr>
          <w:rFonts w:asciiTheme="minorEastAsia" w:eastAsiaTheme="minorEastAsia" w:hAnsiTheme="minorEastAsia" w:cs="仿宋_GB2312" w:hint="eastAsia"/>
          <w:color w:val="000000" w:themeColor="text1"/>
          <w:kern w:val="0"/>
        </w:rPr>
        <w:t>法定代表人：</w:t>
      </w:r>
      <w:r w:rsidRPr="00621B7F" w:rsidR="00A56DEA">
        <w:rPr>
          <w:rFonts w:asciiTheme="minorEastAsia" w:eastAsiaTheme="minorEastAsia" w:hAnsiTheme="minorEastAsia" w:cs="仿宋_GB2312" w:hint="eastAsia"/>
          <w:color w:val="000000" w:themeColor="text1"/>
          <w:kern w:val="0"/>
        </w:rPr>
        <w:t>刘晓艳</w:t>
      </w:r>
    </w:p>
    <w:p w:rsidR="00B76953" w:rsidRPr="00621B7F" w:rsidP="00241F10">
      <w:pPr>
        <w:snapToGrid w:val="0"/>
        <w:spacing w:line="360" w:lineRule="auto"/>
        <w:ind w:firstLine="420"/>
        <w:rPr>
          <w:rFonts w:asciiTheme="minorEastAsia" w:eastAsiaTheme="minorEastAsia" w:hAnsiTheme="minorEastAsia" w:cs="仿宋_GB2312"/>
          <w:color w:val="000000" w:themeColor="text1"/>
          <w:kern w:val="0"/>
        </w:rPr>
      </w:pPr>
      <w:r w:rsidRPr="00621B7F">
        <w:rPr>
          <w:rFonts w:asciiTheme="minorEastAsia" w:eastAsiaTheme="minorEastAsia" w:hAnsiTheme="minorEastAsia" w:cs="仿宋_GB2312" w:hint="eastAsia"/>
          <w:color w:val="000000" w:themeColor="text1"/>
          <w:kern w:val="0"/>
        </w:rPr>
        <w:t>联系电话：4008818088</w:t>
      </w:r>
    </w:p>
    <w:p w:rsidR="00B76953" w:rsidRPr="00621B7F" w:rsidP="00241F10">
      <w:pPr>
        <w:snapToGrid w:val="0"/>
        <w:spacing w:line="360" w:lineRule="auto"/>
        <w:ind w:firstLine="420"/>
        <w:rPr>
          <w:rFonts w:asciiTheme="minorEastAsia" w:eastAsiaTheme="minorEastAsia" w:hAnsiTheme="minorEastAsia" w:cs="仿宋_GB2312"/>
          <w:color w:val="000000" w:themeColor="text1"/>
          <w:kern w:val="0"/>
        </w:rPr>
      </w:pPr>
      <w:r w:rsidRPr="00621B7F">
        <w:rPr>
          <w:rFonts w:asciiTheme="minorEastAsia" w:eastAsiaTheme="minorEastAsia" w:hAnsiTheme="minorEastAsia" w:cs="仿宋_GB2312" w:hint="eastAsia"/>
          <w:color w:val="000000" w:themeColor="text1"/>
          <w:kern w:val="0"/>
        </w:rPr>
        <w:t>联系人：李红枫</w:t>
      </w:r>
    </w:p>
    <w:p w:rsidR="008460CC" w:rsidRPr="00621B7F" w:rsidP="00241F10">
      <w:pPr>
        <w:snapToGrid w:val="0"/>
        <w:spacing w:line="360" w:lineRule="auto"/>
        <w:ind w:firstLine="420"/>
        <w:rPr>
          <w:rFonts w:asciiTheme="minorEastAsia" w:eastAsiaTheme="minorEastAsia" w:hAnsiTheme="minorEastAsia" w:cs="仿宋_GB2312"/>
          <w:color w:val="000000" w:themeColor="text1"/>
          <w:kern w:val="0"/>
        </w:rPr>
      </w:pPr>
      <w:r w:rsidRPr="00621B7F">
        <w:rPr>
          <w:rFonts w:asciiTheme="minorEastAsia" w:eastAsiaTheme="minorEastAsia" w:hAnsiTheme="minorEastAsia" w:cs="仿宋_GB2312" w:hint="eastAsia"/>
          <w:color w:val="000000" w:themeColor="text1"/>
          <w:kern w:val="0"/>
        </w:rPr>
        <w:t>注册资本：13,244.2万元人民币</w:t>
      </w:r>
    </w:p>
    <w:p w:rsidR="00DE6671"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批准设立机关及文号：中国证券监督管理委员会，证监基金字[2001]4号</w:t>
      </w:r>
    </w:p>
    <w:p w:rsidR="00241F10"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经营范围：</w:t>
      </w:r>
      <w:r w:rsidRPr="00621B7F" w:rsidR="004D69CA">
        <w:rPr>
          <w:rFonts w:asciiTheme="minorEastAsia" w:eastAsiaTheme="minorEastAsia" w:hAnsiTheme="minorEastAsia" w:hint="eastAsia"/>
          <w:color w:val="000000" w:themeColor="text1"/>
        </w:rPr>
        <w:t>公开募集证券投资基金管理、基金销售、特定客户资产管理</w:t>
      </w:r>
    </w:p>
    <w:p w:rsidR="008460CC" w:rsidRPr="00621B7F" w:rsidP="00241F10">
      <w:pPr>
        <w:snapToGrid w:val="0"/>
        <w:spacing w:line="360" w:lineRule="auto"/>
        <w:ind w:firstLine="420"/>
        <w:rPr>
          <w:rFonts w:asciiTheme="minorEastAsia" w:eastAsiaTheme="minorEastAsia" w:hAnsiTheme="minorEastAsia" w:cs="仿宋_GB2312"/>
          <w:color w:val="000000" w:themeColor="text1"/>
          <w:kern w:val="0"/>
        </w:rPr>
      </w:pPr>
      <w:r w:rsidRPr="00621B7F">
        <w:rPr>
          <w:rFonts w:asciiTheme="minorEastAsia" w:eastAsiaTheme="minorEastAsia" w:hAnsiTheme="minorEastAsia" w:cs="仿宋_GB2312" w:hint="eastAsia"/>
          <w:color w:val="000000" w:themeColor="text1"/>
          <w:kern w:val="0"/>
        </w:rPr>
        <w:t>2、股权结构：</w:t>
      </w:r>
    </w:p>
    <w:tbl>
      <w:tblPr>
        <w:tblW w:w="6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0"/>
        <w:gridCol w:w="1837"/>
      </w:tblGrid>
      <w:tr w:rsidTr="007E18B1">
        <w:tblPrEx>
          <w:tblW w:w="6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630" w:type="dxa"/>
            <w:vAlign w:val="center"/>
          </w:tcPr>
          <w:p w:rsidR="008460CC" w:rsidRPr="00621B7F" w:rsidP="00241F10">
            <w:pPr>
              <w:snapToGrid w:val="0"/>
              <w:spacing w:line="360" w:lineRule="auto"/>
              <w:ind w:firstLine="420"/>
              <w:jc w:val="center"/>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股东名称</w:t>
            </w:r>
          </w:p>
        </w:tc>
        <w:tc>
          <w:tcPr>
            <w:tcW w:w="1837" w:type="dxa"/>
            <w:vAlign w:val="center"/>
          </w:tcPr>
          <w:p w:rsidR="008460CC" w:rsidRPr="00621B7F" w:rsidP="00241F10">
            <w:pPr>
              <w:snapToGrid w:val="0"/>
              <w:spacing w:line="360" w:lineRule="auto"/>
              <w:ind w:firstLine="420"/>
              <w:jc w:val="center"/>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出资比例</w:t>
            </w:r>
          </w:p>
        </w:tc>
      </w:tr>
      <w:tr>
        <w:tblPrEx>
          <w:tblW w:w="6467" w:type="dxa"/>
          <w:jc w:val="center"/>
          <w:tblLayout w:type="fixed"/>
          <w:tblLook w:val="0000"/>
        </w:tblPrEx>
        <w:trPr>
          <w:jc w:val="center"/>
        </w:trPr>
        <w:tc>
          <w:tcPr>
            <w:tcW w:w="4630" w:type="dxa"/>
          </w:tcPr>
          <w:p w:rsidR="00595880">
            <w:pPr>
              <w:jc w:val="center"/>
            </w:pPr>
            <w:r>
              <w:t>广东粤财信托有限公司</w:t>
            </w:r>
          </w:p>
        </w:tc>
        <w:tc>
          <w:tcPr>
            <w:tcW w:w="1837" w:type="dxa"/>
          </w:tcPr>
          <w:p w:rsidR="00595880">
            <w:pPr>
              <w:jc w:val="center"/>
            </w:pPr>
            <w:r>
              <w:t>22.6514</w:t>
            </w:r>
            <w:r>
              <w:t>％</w:t>
            </w:r>
          </w:p>
        </w:tc>
      </w:tr>
      <w:tr>
        <w:tblPrEx>
          <w:tblW w:w="6467" w:type="dxa"/>
          <w:jc w:val="center"/>
          <w:tblLayout w:type="fixed"/>
          <w:tblLook w:val="0000"/>
        </w:tblPrEx>
        <w:trPr>
          <w:jc w:val="center"/>
        </w:trPr>
        <w:tc>
          <w:tcPr>
            <w:tcW w:w="4630" w:type="dxa"/>
          </w:tcPr>
          <w:p w:rsidR="00595880">
            <w:pPr>
              <w:jc w:val="center"/>
            </w:pPr>
            <w:r>
              <w:t>广发证券股份有限公司</w:t>
            </w:r>
          </w:p>
        </w:tc>
        <w:tc>
          <w:tcPr>
            <w:tcW w:w="1837" w:type="dxa"/>
          </w:tcPr>
          <w:p w:rsidR="00595880">
            <w:pPr>
              <w:jc w:val="center"/>
            </w:pPr>
            <w:r>
              <w:t>22.6514</w:t>
            </w:r>
            <w:r>
              <w:t>％</w:t>
            </w:r>
          </w:p>
        </w:tc>
      </w:tr>
      <w:tr>
        <w:tblPrEx>
          <w:tblW w:w="6467" w:type="dxa"/>
          <w:jc w:val="center"/>
          <w:tblLayout w:type="fixed"/>
          <w:tblLook w:val="0000"/>
        </w:tblPrEx>
        <w:trPr>
          <w:jc w:val="center"/>
        </w:trPr>
        <w:tc>
          <w:tcPr>
            <w:tcW w:w="4630" w:type="dxa"/>
          </w:tcPr>
          <w:p w:rsidR="00595880">
            <w:pPr>
              <w:jc w:val="center"/>
            </w:pPr>
            <w:r>
              <w:t>盈峰集团有限公司</w:t>
            </w:r>
          </w:p>
        </w:tc>
        <w:tc>
          <w:tcPr>
            <w:tcW w:w="1837" w:type="dxa"/>
          </w:tcPr>
          <w:p w:rsidR="00595880">
            <w:pPr>
              <w:jc w:val="center"/>
            </w:pPr>
            <w:r>
              <w:t>22.6514</w:t>
            </w:r>
            <w:r>
              <w:t>％</w:t>
            </w:r>
          </w:p>
        </w:tc>
      </w:tr>
      <w:tr>
        <w:tblPrEx>
          <w:tblW w:w="6467" w:type="dxa"/>
          <w:jc w:val="center"/>
          <w:tblLayout w:type="fixed"/>
          <w:tblLook w:val="0000"/>
        </w:tblPrEx>
        <w:trPr>
          <w:jc w:val="center"/>
        </w:trPr>
        <w:tc>
          <w:tcPr>
            <w:tcW w:w="4630" w:type="dxa"/>
          </w:tcPr>
          <w:p w:rsidR="00595880">
            <w:pPr>
              <w:jc w:val="center"/>
            </w:pPr>
            <w:r>
              <w:t>广东省广晟控股集团有限公司</w:t>
            </w:r>
          </w:p>
        </w:tc>
        <w:tc>
          <w:tcPr>
            <w:tcW w:w="1837" w:type="dxa"/>
          </w:tcPr>
          <w:p w:rsidR="00595880">
            <w:pPr>
              <w:jc w:val="center"/>
            </w:pPr>
            <w:r>
              <w:t>15.1010</w:t>
            </w:r>
            <w:r>
              <w:t>％</w:t>
            </w:r>
          </w:p>
        </w:tc>
      </w:tr>
      <w:tr>
        <w:tblPrEx>
          <w:tblW w:w="6467" w:type="dxa"/>
          <w:jc w:val="center"/>
          <w:tblLayout w:type="fixed"/>
          <w:tblLook w:val="0000"/>
        </w:tblPrEx>
        <w:trPr>
          <w:jc w:val="center"/>
        </w:trPr>
        <w:tc>
          <w:tcPr>
            <w:tcW w:w="4630" w:type="dxa"/>
          </w:tcPr>
          <w:p w:rsidR="00595880">
            <w:pPr>
              <w:jc w:val="center"/>
            </w:pPr>
            <w:r>
              <w:t>广州市广永国有资产经营有限公司</w:t>
            </w:r>
          </w:p>
        </w:tc>
        <w:tc>
          <w:tcPr>
            <w:tcW w:w="1837" w:type="dxa"/>
          </w:tcPr>
          <w:p w:rsidR="00595880">
            <w:pPr>
              <w:jc w:val="center"/>
            </w:pPr>
            <w:r>
              <w:t>7.5505</w:t>
            </w:r>
            <w:r>
              <w:t>％</w:t>
            </w:r>
          </w:p>
        </w:tc>
      </w:tr>
      <w:tr>
        <w:tblPrEx>
          <w:tblW w:w="6467" w:type="dxa"/>
          <w:jc w:val="center"/>
          <w:tblLayout w:type="fixed"/>
          <w:tblLook w:val="0000"/>
        </w:tblPrEx>
        <w:trPr>
          <w:jc w:val="center"/>
        </w:trPr>
        <w:tc>
          <w:tcPr>
            <w:tcW w:w="4630" w:type="dxa"/>
          </w:tcPr>
          <w:p w:rsidR="00595880">
            <w:pPr>
              <w:jc w:val="center"/>
            </w:pPr>
            <w:r>
              <w:t>珠海祺荣宝股权投资合伙企业（有限合伙）</w:t>
            </w:r>
          </w:p>
        </w:tc>
        <w:tc>
          <w:tcPr>
            <w:tcW w:w="1837" w:type="dxa"/>
          </w:tcPr>
          <w:p w:rsidR="00595880">
            <w:pPr>
              <w:jc w:val="center"/>
            </w:pPr>
            <w:r>
              <w:t>1.5087</w:t>
            </w:r>
            <w:r>
              <w:t>％</w:t>
            </w:r>
          </w:p>
        </w:tc>
      </w:tr>
      <w:tr>
        <w:tblPrEx>
          <w:tblW w:w="6467" w:type="dxa"/>
          <w:jc w:val="center"/>
          <w:tblLayout w:type="fixed"/>
          <w:tblLook w:val="0000"/>
        </w:tblPrEx>
        <w:trPr>
          <w:jc w:val="center"/>
        </w:trPr>
        <w:tc>
          <w:tcPr>
            <w:tcW w:w="4630" w:type="dxa"/>
          </w:tcPr>
          <w:p w:rsidR="00595880">
            <w:pPr>
              <w:jc w:val="center"/>
            </w:pPr>
            <w:r>
              <w:t>珠海祺泰宝股权投资合伙企业（有限合伙）</w:t>
            </w:r>
          </w:p>
        </w:tc>
        <w:tc>
          <w:tcPr>
            <w:tcW w:w="1837" w:type="dxa"/>
          </w:tcPr>
          <w:p w:rsidR="00595880">
            <w:pPr>
              <w:jc w:val="center"/>
            </w:pPr>
            <w:r>
              <w:t>1.6205</w:t>
            </w:r>
            <w:r>
              <w:t>％</w:t>
            </w:r>
          </w:p>
        </w:tc>
      </w:tr>
      <w:tr>
        <w:tblPrEx>
          <w:tblW w:w="6467" w:type="dxa"/>
          <w:jc w:val="center"/>
          <w:tblLayout w:type="fixed"/>
          <w:tblLook w:val="0000"/>
        </w:tblPrEx>
        <w:trPr>
          <w:jc w:val="center"/>
        </w:trPr>
        <w:tc>
          <w:tcPr>
            <w:tcW w:w="4630" w:type="dxa"/>
          </w:tcPr>
          <w:p w:rsidR="00595880">
            <w:pPr>
              <w:jc w:val="center"/>
            </w:pPr>
            <w:r>
              <w:t>珠海祺丰宝股权投资合伙企业（有限合伙）</w:t>
            </w:r>
          </w:p>
        </w:tc>
        <w:tc>
          <w:tcPr>
            <w:tcW w:w="1837" w:type="dxa"/>
          </w:tcPr>
          <w:p w:rsidR="00595880">
            <w:pPr>
              <w:jc w:val="center"/>
            </w:pPr>
            <w:r>
              <w:t>1.5309</w:t>
            </w:r>
            <w:r>
              <w:t>％</w:t>
            </w:r>
          </w:p>
        </w:tc>
      </w:tr>
      <w:tr>
        <w:tblPrEx>
          <w:tblW w:w="6467" w:type="dxa"/>
          <w:jc w:val="center"/>
          <w:tblLayout w:type="fixed"/>
          <w:tblLook w:val="0000"/>
        </w:tblPrEx>
        <w:trPr>
          <w:jc w:val="center"/>
        </w:trPr>
        <w:tc>
          <w:tcPr>
            <w:tcW w:w="4630" w:type="dxa"/>
          </w:tcPr>
          <w:p w:rsidR="00595880">
            <w:pPr>
              <w:jc w:val="center"/>
            </w:pPr>
            <w:r>
              <w:t>珠海聚莱康股权投资合伙企业（有限合伙）</w:t>
            </w:r>
          </w:p>
        </w:tc>
        <w:tc>
          <w:tcPr>
            <w:tcW w:w="1837" w:type="dxa"/>
          </w:tcPr>
          <w:p w:rsidR="00595880">
            <w:pPr>
              <w:jc w:val="center"/>
            </w:pPr>
            <w:r>
              <w:t>1.7558</w:t>
            </w:r>
            <w:r>
              <w:t>％</w:t>
            </w:r>
          </w:p>
        </w:tc>
      </w:tr>
      <w:tr>
        <w:tblPrEx>
          <w:tblW w:w="6467" w:type="dxa"/>
          <w:jc w:val="center"/>
          <w:tblLayout w:type="fixed"/>
          <w:tblLook w:val="0000"/>
        </w:tblPrEx>
        <w:trPr>
          <w:jc w:val="center"/>
        </w:trPr>
        <w:tc>
          <w:tcPr>
            <w:tcW w:w="4630" w:type="dxa"/>
          </w:tcPr>
          <w:p w:rsidR="00595880">
            <w:pPr>
              <w:jc w:val="center"/>
            </w:pPr>
            <w:r>
              <w:t>珠海聚宁康股权投资合伙企业（有限合伙）</w:t>
            </w:r>
          </w:p>
        </w:tc>
        <w:tc>
          <w:tcPr>
            <w:tcW w:w="1837" w:type="dxa"/>
          </w:tcPr>
          <w:p w:rsidR="00595880">
            <w:pPr>
              <w:jc w:val="center"/>
            </w:pPr>
            <w:r>
              <w:t>1.4396</w:t>
            </w:r>
            <w:r>
              <w:t>％</w:t>
            </w:r>
          </w:p>
        </w:tc>
      </w:tr>
      <w:tr w:rsidTr="000D49F4">
        <w:tblPrEx>
          <w:tblW w:w="6467" w:type="dxa"/>
          <w:jc w:val="center"/>
          <w:tblLayout w:type="fixed"/>
          <w:tblLook w:val="0000"/>
        </w:tblPrEx>
        <w:trPr>
          <w:jc w:val="center"/>
        </w:trPr>
        <w:tc>
          <w:tcPr>
            <w:tcW w:w="4630" w:type="dxa"/>
            <w:tcBorders>
              <w:bottom w:val="single" w:sz="4" w:space="0" w:color="auto"/>
            </w:tcBorders>
          </w:tcPr>
          <w:p w:rsidR="00595880">
            <w:pPr>
              <w:jc w:val="center"/>
            </w:pPr>
            <w:r>
              <w:t>珠海聚弘康股权投资合伙企业（有限合伙）</w:t>
            </w:r>
          </w:p>
        </w:tc>
        <w:tc>
          <w:tcPr>
            <w:tcW w:w="1837" w:type="dxa"/>
            <w:tcBorders>
              <w:bottom w:val="single" w:sz="4" w:space="0" w:color="auto"/>
            </w:tcBorders>
          </w:tcPr>
          <w:p w:rsidR="00595880">
            <w:pPr>
              <w:jc w:val="center"/>
            </w:pPr>
            <w:r>
              <w:t>1.5388</w:t>
            </w:r>
            <w:r>
              <w:t>％</w:t>
            </w:r>
          </w:p>
        </w:tc>
      </w:tr>
      <w:tr w:rsidTr="000D49F4">
        <w:tblPrEx>
          <w:tblW w:w="6467" w:type="dxa"/>
          <w:jc w:val="center"/>
          <w:tblLayout w:type="fixed"/>
          <w:tblLook w:val="0000"/>
        </w:tblPrEx>
        <w:trPr>
          <w:jc w:val="center"/>
        </w:trPr>
        <w:tc>
          <w:tcPr>
            <w:tcW w:w="4630" w:type="dxa"/>
            <w:tcBorders>
              <w:top w:val="single" w:sz="4" w:space="0" w:color="auto"/>
              <w:left w:val="single" w:sz="4" w:space="0" w:color="auto"/>
              <w:bottom w:val="single" w:sz="4" w:space="0" w:color="auto"/>
              <w:right w:val="single" w:sz="4" w:space="0" w:color="auto"/>
            </w:tcBorders>
          </w:tcPr>
          <w:p w:rsidR="00595880">
            <w:pPr>
              <w:jc w:val="center"/>
            </w:pPr>
            <w:r>
              <w:t>总</w:t>
            </w:r>
            <w:r>
              <w:t xml:space="preserve">   </w:t>
            </w:r>
            <w:r>
              <w:t>计</w:t>
            </w:r>
          </w:p>
        </w:tc>
        <w:tc>
          <w:tcPr>
            <w:tcW w:w="1837" w:type="dxa"/>
            <w:tcBorders>
              <w:top w:val="single" w:sz="4" w:space="0" w:color="auto"/>
              <w:left w:val="single" w:sz="4" w:space="0" w:color="auto"/>
              <w:bottom w:val="single" w:sz="4" w:space="0" w:color="auto"/>
              <w:right w:val="single" w:sz="4" w:space="0" w:color="auto"/>
            </w:tcBorders>
          </w:tcPr>
          <w:p w:rsidR="00595880">
            <w:pPr>
              <w:jc w:val="center"/>
            </w:pPr>
            <w:r>
              <w:t>100%</w:t>
            </w:r>
          </w:p>
        </w:tc>
      </w:tr>
    </w:tbl>
    <w:p w:rsidR="0061694E" w:rsidRPr="000D49F4" w:rsidP="000D49F4">
      <w:pPr>
        <w:rPr>
          <w:b/>
        </w:rPr>
      </w:pPr>
      <w:bookmarkStart w:id="8" w:name="_Toc133292564"/>
      <w:bookmarkStart w:id="9" w:name="_Toc163189521"/>
    </w:p>
    <w:p w:rsidR="00394FFF" w:rsidRPr="00621B7F" w:rsidP="00241F10">
      <w:pPr>
        <w:pStyle w:val="Heading2"/>
        <w:snapToGrid w:val="0"/>
        <w:spacing w:beforeLines="0" w:afterLines="0" w:line="360" w:lineRule="auto"/>
        <w:ind w:firstLine="0" w:firstLineChars="0"/>
        <w:rPr>
          <w:rFonts w:asciiTheme="minorEastAsia" w:eastAsiaTheme="minorEastAsia" w:hAnsiTheme="minorEastAsia" w:cs="仿宋_GB2312"/>
          <w:b w:val="0"/>
          <w:bCs/>
          <w:color w:val="000000" w:themeColor="text1"/>
          <w:kern w:val="0"/>
          <w:szCs w:val="24"/>
        </w:rPr>
      </w:pPr>
      <w:bookmarkStart w:id="10" w:name="_Toc91752016"/>
      <w:r w:rsidRPr="00621B7F">
        <w:rPr>
          <w:rFonts w:asciiTheme="minorEastAsia" w:eastAsiaTheme="minorEastAsia" w:hAnsiTheme="minorEastAsia" w:hint="eastAsia"/>
          <w:b w:val="0"/>
          <w:bCs/>
          <w:color w:val="000000" w:themeColor="text1"/>
          <w:szCs w:val="21"/>
        </w:rPr>
        <w:t>（二）</w:t>
      </w:r>
      <w:r w:rsidRPr="00621B7F">
        <w:rPr>
          <w:rFonts w:asciiTheme="minorEastAsia" w:eastAsiaTheme="minorEastAsia" w:hAnsiTheme="minorEastAsia"/>
          <w:b w:val="0"/>
          <w:bCs/>
          <w:color w:val="000000" w:themeColor="text1"/>
          <w:szCs w:val="21"/>
        </w:rPr>
        <w:t>主要人员情况</w:t>
      </w:r>
      <w:bookmarkEnd w:id="8"/>
      <w:bookmarkEnd w:id="9"/>
      <w:bookmarkEnd w:id="10"/>
    </w:p>
    <w:p w:rsidR="00394FFF" w:rsidRPr="00621B7F" w:rsidP="006B7524">
      <w:pPr>
        <w:pStyle w:val="HTMLPreformatted"/>
        <w:shd w:val="clear" w:color="auto" w:fill="FFFFFF"/>
        <w:spacing w:line="360" w:lineRule="auto"/>
        <w:ind w:firstLine="420"/>
        <w:rPr>
          <w:rFonts w:asciiTheme="minorEastAsia" w:eastAsiaTheme="minorEastAsia" w:hAnsiTheme="minorEastAsia" w:cs="Times New Roman"/>
          <w:color w:val="000000" w:themeColor="text1"/>
          <w:sz w:val="21"/>
          <w:szCs w:val="24"/>
        </w:rPr>
      </w:pPr>
      <w:r w:rsidRPr="00621B7F">
        <w:rPr>
          <w:rFonts w:asciiTheme="minorEastAsia" w:eastAsiaTheme="minorEastAsia" w:hAnsiTheme="minorEastAsia" w:cs="Times New Roman" w:hint="eastAsia"/>
          <w:color w:val="000000" w:themeColor="text1"/>
          <w:sz w:val="21"/>
          <w:szCs w:val="24"/>
        </w:rPr>
        <w:t>1</w:t>
      </w:r>
      <w:r w:rsidRPr="00621B7F" w:rsidR="00241F10">
        <w:rPr>
          <w:rFonts w:asciiTheme="minorEastAsia" w:eastAsiaTheme="minorEastAsia" w:hAnsiTheme="minorEastAsia" w:cs="Times New Roman" w:hint="eastAsia"/>
          <w:color w:val="000000" w:themeColor="text1"/>
          <w:sz w:val="21"/>
          <w:szCs w:val="24"/>
        </w:rPr>
        <w:t>、</w:t>
      </w:r>
      <w:r w:rsidRPr="00621B7F">
        <w:rPr>
          <w:rFonts w:asciiTheme="minorEastAsia" w:eastAsiaTheme="minorEastAsia" w:hAnsiTheme="minorEastAsia" w:cs="Times New Roman" w:hint="eastAsia"/>
          <w:color w:val="000000" w:themeColor="text1"/>
          <w:sz w:val="21"/>
          <w:szCs w:val="24"/>
        </w:rPr>
        <w:t>董事、监事及高级管理人员</w:t>
      </w:r>
    </w:p>
    <w:p w:rsidR="0046461A" w:rsidRPr="008C1942" w:rsidP="000D49F4">
      <w:pPr>
        <w:spacing w:line="360" w:lineRule="auto"/>
        <w:ind w:firstLine="420"/>
      </w:pPr>
      <w:r w:rsidRPr="00762CA9">
        <w:rPr>
          <w:rFonts w:hint="eastAsia"/>
        </w:rPr>
        <w:t>詹</w:t>
      </w:r>
      <w:r w:rsidRPr="00AF4220">
        <w:rPr>
          <w:rFonts w:hint="eastAsia"/>
        </w:rPr>
        <w:t>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46461A" w:rsidP="000D49F4">
      <w:pPr>
        <w:spacing w:line="360" w:lineRule="auto"/>
        <w:ind w:firstLine="420"/>
      </w:pPr>
      <w:r w:rsidRPr="00762CA9">
        <w:rPr>
          <w:rFonts w:hint="eastAsia"/>
        </w:rPr>
        <w:t>刘</w:t>
      </w:r>
      <w:r w:rsidRPr="00AF4220">
        <w:rPr>
          <w:rFonts w:hint="eastAsia"/>
        </w:rPr>
        <w:t>晓艳女士，经济学博士</w:t>
      </w:r>
      <w:r w:rsidRPr="0011043B">
        <w:rPr>
          <w:rFonts w:hint="eastAsia"/>
        </w:rPr>
        <w:t>、工商管理博士</w:t>
      </w:r>
      <w:r w:rsidRPr="00AF4220">
        <w:rPr>
          <w:rFonts w:hint="eastAsia"/>
        </w:rPr>
        <w:t>。现任易方达基金管理有限公司副董事长、总裁，易方达国际控股有限公司董事。曾任广发证券有限责任公司投资理财部副经理、基金经理</w:t>
      </w:r>
      <w:r w:rsidRPr="00AF4220">
        <w:t>、</w:t>
      </w:r>
      <w:r w:rsidRPr="00AF4220">
        <w:rPr>
          <w:rFonts w:hint="eastAsia"/>
        </w:rPr>
        <w:t>基金投资理财部副总经理，易方达基金管理有限公司督察员、监察部总经理、市场部总经理、总裁助理、副总裁、常务副总裁，易方达资产管理有限公司董事，易方达资产管理</w:t>
      </w:r>
      <w:r>
        <w:rPr>
          <w:rFonts w:hint="eastAsia"/>
        </w:rPr>
        <w:t>（香港）</w:t>
      </w:r>
      <w:r w:rsidRPr="00AF4220">
        <w:rPr>
          <w:rFonts w:hint="eastAsia"/>
        </w:rPr>
        <w:t>有限公司董事</w:t>
      </w:r>
      <w:r>
        <w:rPr>
          <w:rFonts w:hint="eastAsia"/>
        </w:rPr>
        <w:t>长</w:t>
      </w:r>
      <w:r w:rsidRPr="00AF4220">
        <w:rPr>
          <w:rFonts w:hint="eastAsia"/>
        </w:rPr>
        <w:t>。</w:t>
      </w:r>
    </w:p>
    <w:p w:rsidR="0046461A" w:rsidRPr="001947A3" w:rsidP="000D49F4">
      <w:pPr>
        <w:spacing w:line="360" w:lineRule="auto"/>
        <w:ind w:firstLine="420"/>
      </w:pPr>
      <w:r w:rsidRPr="001947A3">
        <w:rPr>
          <w:rFonts w:hint="eastAsia"/>
        </w:rPr>
        <w:t>周泽群先生，高级管理人员工商管理硕士（</w:t>
      </w:r>
      <w:r w:rsidRPr="001947A3">
        <w:rPr>
          <w:rFonts w:hint="eastAsia"/>
        </w:rPr>
        <w:t>EMBA</w:t>
      </w:r>
      <w:r w:rsidRPr="001947A3">
        <w:rPr>
          <w:rFonts w:hint="eastAsia"/>
        </w:rPr>
        <w:t>）。现任</w:t>
      </w:r>
      <w:r w:rsidRPr="00F24F85">
        <w:rPr>
          <w:rFonts w:hint="eastAsia"/>
        </w:rPr>
        <w:t>易方达</w:t>
      </w:r>
      <w:r w:rsidRPr="0076351E">
        <w:rPr>
          <w:rFonts w:hint="eastAsia"/>
        </w:rPr>
        <w:t>基金管理有限公司董事</w:t>
      </w:r>
      <w:r>
        <w:rPr>
          <w:rFonts w:hint="eastAsia"/>
        </w:rPr>
        <w:t>，</w:t>
      </w:r>
      <w:r w:rsidRPr="001947A3">
        <w:rPr>
          <w:rFonts w:hint="eastAsia"/>
        </w:rPr>
        <w:t>广东粤财投资控股有限公司董事、总经理</w:t>
      </w:r>
      <w:r>
        <w:rPr>
          <w:rFonts w:hint="eastAsia"/>
        </w:rPr>
        <w:t>，</w:t>
      </w:r>
      <w:r w:rsidRPr="00D67EF8">
        <w:rPr>
          <w:rFonts w:hint="eastAsia"/>
        </w:rPr>
        <w:t>中航通用飞机有限责任公司副董事长</w:t>
      </w:r>
      <w:r w:rsidRPr="001947A3">
        <w:rPr>
          <w:rFonts w:hint="eastAsia"/>
        </w:rPr>
        <w:t>。曾任珠海粤财实业有限公司董事长</w:t>
      </w:r>
      <w:r>
        <w:rPr>
          <w:rFonts w:hint="eastAsia"/>
        </w:rPr>
        <w:t>，</w:t>
      </w:r>
      <w:r w:rsidRPr="001947A3">
        <w:rPr>
          <w:rFonts w:hint="eastAsia"/>
        </w:rPr>
        <w:t>粤财控股（北京）有限公司总经理、董事长</w:t>
      </w:r>
      <w:r>
        <w:rPr>
          <w:rFonts w:hint="eastAsia"/>
        </w:rPr>
        <w:t>，</w:t>
      </w:r>
      <w:r w:rsidRPr="001947A3">
        <w:rPr>
          <w:rFonts w:hint="eastAsia"/>
        </w:rPr>
        <w:t>广东粤财投资控股有限公司总经理助理</w:t>
      </w:r>
      <w:r w:rsidRPr="004D1CDE">
        <w:rPr>
          <w:rFonts w:hint="eastAsia"/>
        </w:rPr>
        <w:t>、</w:t>
      </w:r>
      <w:r w:rsidRPr="001947A3">
        <w:rPr>
          <w:rFonts w:hint="eastAsia"/>
        </w:rPr>
        <w:t>办公室主任</w:t>
      </w:r>
      <w:r>
        <w:rPr>
          <w:rFonts w:hint="eastAsia"/>
        </w:rPr>
        <w:t>，</w:t>
      </w:r>
      <w:r w:rsidRPr="004D1CDE">
        <w:rPr>
          <w:rFonts w:hint="eastAsia"/>
        </w:rPr>
        <w:t>广东粤财投资控股有限公司</w:t>
      </w:r>
      <w:r w:rsidRPr="001947A3">
        <w:rPr>
          <w:rFonts w:hint="eastAsia"/>
        </w:rPr>
        <w:t>副总经理。</w:t>
      </w:r>
    </w:p>
    <w:p w:rsidR="0046461A" w:rsidRPr="000D49F4" w:rsidP="000D49F4">
      <w:pPr>
        <w:spacing w:line="360" w:lineRule="auto"/>
        <w:ind w:firstLine="420"/>
        <w:rPr>
          <w:sz w:val="20"/>
          <w:szCs w:val="20"/>
        </w:rPr>
      </w:pPr>
      <w:r w:rsidRPr="000D49F4">
        <w:rPr>
          <w:rFonts w:hint="eastAsia"/>
        </w:rPr>
        <w:t>秦力先生，经济学博士。现任易方达基金管理有限公司董事，广发证券股份有限公司执行董事、公司总监。曾任广发证券投资银行部常务副总经理、投资理财部总经理、资金营运部总经理、规划管理部总经理、投资部总经理、公司总经理助理、副总经理、常务副总经理，广东金融高新区股权交易中心有限公司董事长，广发证券资产管理（广东）有限公司董事长，广发控股（香港）有限公司董事长。</w:t>
      </w:r>
    </w:p>
    <w:p w:rsidR="0046461A" w:rsidRPr="000D49F4" w:rsidP="000D49F4">
      <w:pPr>
        <w:spacing w:line="360" w:lineRule="auto"/>
        <w:ind w:firstLine="420"/>
        <w:rPr>
          <w:sz w:val="20"/>
          <w:szCs w:val="20"/>
        </w:rPr>
      </w:pPr>
      <w:r w:rsidRPr="000D49F4">
        <w:rPr>
          <w:rFonts w:hint="eastAsia"/>
        </w:rPr>
        <w:t>苏斌先生，管理学硕士。现任易方达基金管理有限公司董事，盈峰集团有限公司董事、副总裁，盈合（深圳）机器人与自动化科技有限公司董事长，广东民营投资股份有限公司董事，宁波盈峰股权投资基金管理有限公司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w:t>
      </w:r>
    </w:p>
    <w:p w:rsidR="0046461A" w:rsidRPr="000D49F4" w:rsidP="000D49F4">
      <w:pPr>
        <w:spacing w:line="360" w:lineRule="auto"/>
        <w:ind w:firstLine="420"/>
        <w:rPr>
          <w:sz w:val="20"/>
          <w:szCs w:val="20"/>
        </w:rPr>
      </w:pPr>
      <w:r w:rsidRPr="000D49F4">
        <w:rPr>
          <w:rFonts w:hint="eastAsia"/>
        </w:rPr>
        <w:t>潘文皓先生，经济学硕士。现任易方达基金管理有限公司董事，广东省广晟控股集团有限公司资本运营部副部长（主持工作），广东南粤银行股份有限公司董事，澳大利亚泛澳公司董事，广东省广晟财务有限公司董事。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w:t>
      </w:r>
    </w:p>
    <w:p w:rsidR="0046461A" w:rsidRPr="000D49F4" w:rsidP="000D49F4">
      <w:pPr>
        <w:spacing w:line="360" w:lineRule="auto"/>
        <w:ind w:firstLine="420"/>
        <w:rPr>
          <w:sz w:val="20"/>
          <w:szCs w:val="20"/>
        </w:rPr>
      </w:pPr>
      <w:r w:rsidRPr="000D49F4">
        <w:rPr>
          <w:rFonts w:hint="eastAsia"/>
        </w:rPr>
        <w:t>忻榕女士，工商行政管理博士。现任易方达基金管理有限公司独立董事，中欧国际工商学院教授，复星旅游文化集团（开曼）有限公司独立董事，上海汇招信息技术有限公司董事，上海卡恩文化传播股份有限公司独立董事，上海智篆文化传播有限公司董事。曾任中科院研究生院讲师，美国加州高温橡胶公司市场部经理，美国加州大学讲师，美国南加州大学助理教授，香港科技大学副教授，中欧国际工商学院教授，瑞士洛桑管理学院教授。</w:t>
      </w:r>
    </w:p>
    <w:p w:rsidR="0046461A" w:rsidRPr="000D49F4" w:rsidP="000D49F4">
      <w:pPr>
        <w:spacing w:line="360" w:lineRule="auto"/>
        <w:ind w:firstLine="420"/>
        <w:rPr>
          <w:sz w:val="20"/>
          <w:szCs w:val="20"/>
        </w:rPr>
      </w:pPr>
      <w:r w:rsidRPr="000D49F4">
        <w:rPr>
          <w:rFonts w:hint="eastAsia"/>
        </w:rPr>
        <w:t>谭劲松先生，管理学博士（会计学）。现任易方达基金管理有限公司独立董事，中山大学管理学院教授，中远海运特种运输股份有限公司独立董事，上海莱士血液制品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数字广东网络建设有限公司独立董事，广州农村商业银行股份有限公司独立董事，广州港集团有限公司外部董事。曾任邵阳市财会学校教师，中山大学管理学院助教、讲师、副教授，广州恒运企业集团股份有限公司独立董事，中国南方航空股份有限公司独立董事，珠海华发实业股份有限公司独立董事。</w:t>
      </w:r>
    </w:p>
    <w:p w:rsidR="0046461A" w:rsidRPr="000D49F4" w:rsidP="000D49F4">
      <w:pPr>
        <w:spacing w:line="360" w:lineRule="auto"/>
        <w:ind w:firstLine="420"/>
        <w:rPr>
          <w:sz w:val="20"/>
          <w:szCs w:val="20"/>
        </w:rPr>
      </w:pPr>
      <w:r w:rsidRPr="000D49F4">
        <w:rPr>
          <w:rFonts w:hint="eastAsia"/>
        </w:rPr>
        <w:t>王承志先生，法学博士。现任易方达基金管理有限公司独立董事，中山大学法学院副教授、博士生导师，广东省法学会国际法学研究会秘书长，中国国际私法学会理事，江苏凯强医学检验有限公司董事，广州茉莉数字科技集团股份有限公司独立董事，广东神朗律师事务所兼职律师，深圳市美之高科技股份有限公司独立董事。曾任美国天普大学法学院访问副教授。</w:t>
      </w:r>
    </w:p>
    <w:p w:rsidR="0046461A" w:rsidRPr="000D49F4" w:rsidP="000D49F4">
      <w:pPr>
        <w:spacing w:line="360" w:lineRule="auto"/>
        <w:ind w:firstLine="420"/>
        <w:rPr>
          <w:sz w:val="20"/>
          <w:szCs w:val="20"/>
        </w:rPr>
      </w:pPr>
      <w:r w:rsidRPr="000D49F4">
        <w:rPr>
          <w:rFonts w:hint="eastAsia"/>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46461A" w:rsidRPr="000D49F4" w:rsidP="000D49F4">
      <w:pPr>
        <w:spacing w:line="360" w:lineRule="auto"/>
        <w:ind w:firstLine="420"/>
        <w:rPr>
          <w:sz w:val="20"/>
          <w:szCs w:val="20"/>
        </w:rPr>
      </w:pPr>
      <w:r w:rsidRPr="000D49F4">
        <w:rPr>
          <w:rFonts w:hint="eastAsia"/>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46461A" w:rsidRPr="000D49F4" w:rsidP="000D49F4">
      <w:pPr>
        <w:spacing w:line="360" w:lineRule="auto"/>
        <w:ind w:firstLine="420"/>
        <w:rPr>
          <w:sz w:val="20"/>
          <w:szCs w:val="20"/>
        </w:rPr>
      </w:pPr>
      <w:r w:rsidRPr="000D49F4">
        <w:rPr>
          <w:rFonts w:hint="eastAsia"/>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46461A" w:rsidRPr="000D49F4" w:rsidP="000D49F4">
      <w:pPr>
        <w:spacing w:line="360" w:lineRule="auto"/>
        <w:ind w:firstLine="420"/>
        <w:rPr>
          <w:sz w:val="20"/>
          <w:szCs w:val="20"/>
        </w:rPr>
      </w:pPr>
      <w:r w:rsidRPr="000D49F4">
        <w:rPr>
          <w:rFonts w:hint="eastAsia"/>
        </w:rPr>
        <w:t>邓志盛先生，经济学研究生。现任易方达基金管理有限公司监事、行政总监、党群工作部总经理。曾任广东证监会信息部部长，中国证监会广州证管办机构二处处长，金鹰基金管理有限公司副总经理，易方达基金管理有限公司综合管理部总经理、董事会秘书。</w:t>
      </w:r>
    </w:p>
    <w:p w:rsidR="0046461A" w:rsidRPr="000D49F4" w:rsidP="000D49F4">
      <w:pPr>
        <w:spacing w:line="360" w:lineRule="auto"/>
        <w:ind w:firstLine="420"/>
        <w:rPr>
          <w:sz w:val="20"/>
          <w:szCs w:val="20"/>
        </w:rPr>
      </w:pPr>
      <w:r w:rsidRPr="000D49F4">
        <w:rPr>
          <w:rFonts w:hint="eastAsia"/>
        </w:rPr>
        <w:t>刘炜先生，工商管理硕士（</w:t>
      </w:r>
      <w:r w:rsidRPr="000D49F4">
        <w:t>EMBA</w:t>
      </w:r>
      <w:r w:rsidRPr="000D49F4">
        <w:rPr>
          <w:rFonts w:hint="eastAsia"/>
        </w:rPr>
        <w:t>）、法学硕士。现任易方达基金管理有限公司监事、人力资源部总经理。曾任易方达基金管理有限公司监察部监察员、上海分公司销售经理、市场部总经理助理、人力资源部副总经理、综合管理部总经理。</w:t>
      </w:r>
    </w:p>
    <w:p w:rsidR="0046461A" w:rsidRPr="000D49F4" w:rsidP="000D49F4">
      <w:pPr>
        <w:spacing w:line="360" w:lineRule="auto"/>
        <w:ind w:firstLine="420"/>
        <w:rPr>
          <w:sz w:val="20"/>
          <w:szCs w:val="20"/>
        </w:rPr>
      </w:pPr>
      <w:r w:rsidRPr="000D49F4">
        <w:rPr>
          <w:rFonts w:hint="eastAsia"/>
        </w:rPr>
        <w:t>马骏先生，工商管理硕士（</w:t>
      </w:r>
      <w:r w:rsidRPr="000D49F4">
        <w:t>EMBA</w:t>
      </w:r>
      <w:r w:rsidRPr="000D49F4">
        <w:rPr>
          <w:rFonts w:hint="eastAsia"/>
        </w:rPr>
        <w:t>）。现任易方达基金管理有限公司常务副总裁、固定收益投资决策委员会委员，易方达资产管理（香港）有限公司董事长、人民币合格境外投资者（</w:t>
      </w:r>
      <w:r w:rsidRPr="000D49F4">
        <w:t>RQFII</w:t>
      </w:r>
      <w:r w:rsidRPr="000D49F4">
        <w:rPr>
          <w:rFonts w:hint="eastAsia"/>
        </w:rPr>
        <w:t>）业务负责人、证券交易负责人员（</w:t>
      </w:r>
      <w:r w:rsidRPr="000D49F4">
        <w:t>RO</w:t>
      </w:r>
      <w:r w:rsidRPr="000D49F4">
        <w:rPr>
          <w:rFonts w:hint="eastAsia"/>
        </w:rPr>
        <w:t>）、就证券提供意见负责人员（</w:t>
      </w:r>
      <w:r w:rsidRPr="000D49F4">
        <w:t>RO</w:t>
      </w:r>
      <w:r w:rsidRPr="000D49F4">
        <w:rPr>
          <w:rFonts w:hint="eastAsia"/>
        </w:rPr>
        <w:t>）、提供资产管理负责人员（</w:t>
      </w:r>
      <w:r w:rsidRPr="000D49F4">
        <w:t>RO</w:t>
      </w:r>
      <w:r w:rsidRPr="000D49F4">
        <w:rPr>
          <w:rFonts w:hint="eastAsia"/>
        </w:rPr>
        <w:t>）、产品审批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46461A" w:rsidRPr="000D49F4" w:rsidP="000D49F4">
      <w:pPr>
        <w:spacing w:line="360" w:lineRule="auto"/>
        <w:ind w:firstLine="420"/>
        <w:rPr>
          <w:sz w:val="20"/>
          <w:szCs w:val="20"/>
        </w:rPr>
      </w:pPr>
      <w:r w:rsidRPr="000D49F4">
        <w:rPr>
          <w:rFonts w:hint="eastAsia"/>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46461A" w:rsidRPr="000D49F4" w:rsidP="000D49F4">
      <w:pPr>
        <w:spacing w:line="360" w:lineRule="auto"/>
        <w:ind w:firstLine="420"/>
        <w:rPr>
          <w:sz w:val="20"/>
          <w:szCs w:val="20"/>
        </w:rPr>
      </w:pPr>
      <w:r w:rsidRPr="000D49F4">
        <w:rPr>
          <w:rFonts w:hint="eastAsia"/>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46461A" w:rsidRPr="000D49F4" w:rsidP="000D49F4">
      <w:pPr>
        <w:spacing w:line="360" w:lineRule="auto"/>
        <w:ind w:firstLine="420"/>
        <w:rPr>
          <w:sz w:val="20"/>
          <w:szCs w:val="20"/>
        </w:rPr>
      </w:pPr>
      <w:r w:rsidRPr="000D49F4">
        <w:rPr>
          <w:rFonts w:hint="eastAsia"/>
        </w:rPr>
        <w:t>张南女士，经济学博士。现任易方达基金管理有限公司督察长。曾任广东省经济贸易委员会主任科员、副处长，易方达基金管理有限公司市场拓展部副总经理、监察部总经理。</w:t>
      </w:r>
    </w:p>
    <w:p w:rsidR="0046461A" w:rsidRPr="000D49F4" w:rsidP="000D49F4">
      <w:pPr>
        <w:spacing w:line="360" w:lineRule="auto"/>
        <w:ind w:firstLine="420"/>
        <w:rPr>
          <w:sz w:val="20"/>
          <w:szCs w:val="20"/>
        </w:rPr>
      </w:pPr>
      <w:r w:rsidRPr="000D49F4">
        <w:rPr>
          <w:rFonts w:hint="eastAsia"/>
        </w:rPr>
        <w:t>范岳先生，工商管理硕士。现任易方达基金管理有限公司副总经理级高级管理人员。曾任中国工商银行深圳分行国际业务部科员，深圳证券登记结算公司办公室经理、国际部经理，深圳证券交易所北京中心助理主任、上市部副总监、基金债券部副总监、基金管理部总监，易方达资产管理（香港）有限公司董事。</w:t>
      </w:r>
    </w:p>
    <w:p w:rsidR="0046461A" w:rsidRPr="000D49F4" w:rsidP="000D49F4">
      <w:pPr>
        <w:spacing w:line="360" w:lineRule="auto"/>
        <w:ind w:firstLine="420"/>
        <w:rPr>
          <w:rFonts w:hAnsi="Courier New"/>
        </w:rPr>
      </w:pPr>
      <w:r w:rsidRPr="000D49F4">
        <w:rPr>
          <w:rFonts w:hint="eastAsia"/>
        </w:rPr>
        <w:t>高松凡先生，工商管理硕士（</w:t>
      </w:r>
      <w:r w:rsidRPr="000D49F4">
        <w:t>EMBA</w:t>
      </w:r>
      <w:r w:rsidRPr="000D49F4">
        <w:rPr>
          <w:rFonts w:hint="eastAsia"/>
        </w:rPr>
        <w:t>）。现任易方达基金管理有限公司</w:t>
      </w:r>
      <w:r>
        <w:rPr>
          <w:rFonts w:hint="eastAsia"/>
        </w:rPr>
        <w:t>副总经理级</w:t>
      </w:r>
      <w:r w:rsidRPr="000D49F4">
        <w:rPr>
          <w:rFonts w:hint="eastAsia"/>
        </w:rPr>
        <w:t>高级管理人员。曾任招商银行总行人事部高级经理、企业年金中心副主任，浦东发展银行总行企业年金部总经理，长江养老保险公司首席市场总监，易方达基金管理有限公司养老金业务总监。</w:t>
      </w:r>
    </w:p>
    <w:p w:rsidR="0046461A" w:rsidRPr="000D49F4" w:rsidP="000D49F4">
      <w:pPr>
        <w:spacing w:line="360" w:lineRule="auto"/>
        <w:ind w:firstLine="420"/>
        <w:rPr>
          <w:rFonts w:hAnsi="Courier New"/>
        </w:rPr>
      </w:pPr>
      <w:r w:rsidRPr="000D49F4">
        <w:rPr>
          <w:rFonts w:hint="eastAsia"/>
        </w:rPr>
        <w:t>关秀霞女士，工商管理硕士、金融学硕士。现任易方达基金管理有限公司</w:t>
      </w:r>
      <w:r>
        <w:rPr>
          <w:rFonts w:hint="eastAsia"/>
        </w:rPr>
        <w:t>副总经理级</w:t>
      </w:r>
      <w:r w:rsidRPr="000D49F4">
        <w:rPr>
          <w:rFonts w:hint="eastAsia"/>
        </w:rPr>
        <w:t>高级管理人员。曾任中国银行（香港）有限公司分析员，</w:t>
      </w:r>
      <w:r w:rsidRPr="000D49F4">
        <w:t>Daniel Dennis</w:t>
      </w:r>
      <w:r w:rsidRPr="000D49F4">
        <w:rPr>
          <w:rFonts w:hint="eastAsia"/>
        </w:rPr>
        <w:t>高级审计师，美国道富银行公司内部审计部高级审计师、美国共同基金业务风险经理、亚洲区（除日本外）机构服务主管、亚洲区（除日本外）副总裁、大中华地区董事总经理、大中华地区高级副总裁、中国区行长。</w:t>
      </w:r>
    </w:p>
    <w:p w:rsidR="0046461A" w:rsidRPr="000D49F4" w:rsidP="000D49F4">
      <w:pPr>
        <w:spacing w:line="360" w:lineRule="auto"/>
        <w:ind w:firstLine="420"/>
        <w:rPr>
          <w:rFonts w:hAnsi="Courier New"/>
        </w:rPr>
      </w:pPr>
      <w:r w:rsidRPr="000D49F4">
        <w:rPr>
          <w:rFonts w:hint="eastAsia"/>
        </w:rPr>
        <w:t>陈荣女士，经济学博士。</w:t>
      </w:r>
      <w:r w:rsidRPr="007F2278">
        <w:rPr>
          <w:rFonts w:hint="eastAsia"/>
        </w:rPr>
        <w:t>现任易方达基金管理有限公司</w:t>
      </w:r>
      <w:r>
        <w:rPr>
          <w:rFonts w:hint="eastAsia"/>
        </w:rPr>
        <w:t>副总经理级</w:t>
      </w:r>
      <w:r w:rsidRPr="007F2278">
        <w:rPr>
          <w:rFonts w:hint="eastAsia"/>
        </w:rPr>
        <w:t>高级管理人员</w:t>
      </w:r>
      <w:r w:rsidRPr="009D1B54">
        <w:rPr>
          <w:rFonts w:hint="eastAsia"/>
        </w:rPr>
        <w:t>，</w:t>
      </w:r>
      <w:r>
        <w:rPr>
          <w:rFonts w:hint="eastAsia"/>
        </w:rPr>
        <w:t>易方达国际控股有限公司董事，</w:t>
      </w:r>
      <w:r w:rsidRPr="009D1B54">
        <w:rPr>
          <w:rFonts w:hint="eastAsia"/>
        </w:rPr>
        <w:t>易方达资产管理（香港）有限公司董事，易方达资产管理有限公司监事，易方达</w:t>
      </w:r>
      <w:r>
        <w:rPr>
          <w:rFonts w:hint="eastAsia"/>
        </w:rPr>
        <w:t>私募基金管理（上海）有限</w:t>
      </w:r>
      <w:r w:rsidRPr="009D1B54">
        <w:rPr>
          <w:rFonts w:hint="eastAsia"/>
        </w:rPr>
        <w:t>公司监事。</w:t>
      </w:r>
      <w:r w:rsidRPr="007F2278">
        <w:rPr>
          <w:rFonts w:hint="eastAsia"/>
        </w:rPr>
        <w:t>曾任中国人民银行广州分行统计研究处科员</w:t>
      </w:r>
      <w:r>
        <w:rPr>
          <w:rFonts w:hint="eastAsia"/>
        </w:rPr>
        <w:t>，</w:t>
      </w:r>
      <w:r w:rsidRPr="007F2278">
        <w:rPr>
          <w:rFonts w:hint="eastAsia"/>
        </w:rPr>
        <w:t>易方达基金管理有限公司运作支持部经理、核算部总经理助理、核算部副总经理、核算部总经理、投资风险管理部总经理、</w:t>
      </w:r>
      <w:r w:rsidRPr="002C736E">
        <w:rPr>
          <w:rFonts w:hint="eastAsia"/>
        </w:rPr>
        <w:t>总裁助理、董事会秘书、公</w:t>
      </w:r>
      <w:r w:rsidRPr="007F2278">
        <w:rPr>
          <w:rFonts w:hint="eastAsia"/>
        </w:rPr>
        <w:t>司财务中心主任。</w:t>
      </w:r>
    </w:p>
    <w:p w:rsidR="0046461A" w:rsidRPr="007F2278" w:rsidP="000D49F4">
      <w:pPr>
        <w:spacing w:line="360" w:lineRule="auto"/>
        <w:ind w:firstLine="420"/>
      </w:pPr>
      <w:r w:rsidRPr="007F2278">
        <w:rPr>
          <w:rFonts w:hint="eastAsia"/>
        </w:rPr>
        <w:t>张坤先生，理学硕士。现任易方达基金管理有限公司</w:t>
      </w:r>
      <w:r>
        <w:rPr>
          <w:rFonts w:hint="eastAsia"/>
        </w:rPr>
        <w:t>副总经理级</w:t>
      </w:r>
      <w:r w:rsidRPr="007F2278">
        <w:rPr>
          <w:rFonts w:hint="eastAsia"/>
        </w:rPr>
        <w:t>高级管理人员、权益投资决策委员会委员、基金经理。曾任易方达基金管理有限公司行业研究员、基金经理助理、研究部总经理助理。</w:t>
      </w:r>
    </w:p>
    <w:p w:rsidR="0046461A" w:rsidRPr="000D49F4" w:rsidP="000D49F4">
      <w:pPr>
        <w:spacing w:line="360" w:lineRule="auto"/>
        <w:ind w:firstLine="420"/>
      </w:pPr>
      <w:r w:rsidRPr="000D49F4">
        <w:rPr>
          <w:rFonts w:hint="eastAsia"/>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46461A" w:rsidRPr="000D49F4" w:rsidP="000D49F4">
      <w:pPr>
        <w:spacing w:line="360" w:lineRule="auto"/>
        <w:ind w:firstLine="420"/>
      </w:pPr>
      <w:r w:rsidRPr="000D49F4">
        <w:rPr>
          <w:rFonts w:hint="eastAsia"/>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46461A" w:rsidRPr="000D49F4" w:rsidP="000D49F4">
      <w:pPr>
        <w:spacing w:line="360" w:lineRule="auto"/>
        <w:ind w:firstLine="420"/>
      </w:pPr>
      <w:r w:rsidRPr="000D49F4">
        <w:rPr>
          <w:rFonts w:hint="eastAsia"/>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46461A" w:rsidRPr="000D49F4" w:rsidP="000D49F4">
      <w:pPr>
        <w:spacing w:line="360" w:lineRule="auto"/>
        <w:ind w:firstLine="420"/>
      </w:pPr>
      <w:r w:rsidRPr="000D49F4">
        <w:rPr>
          <w:rFonts w:hint="eastAsia"/>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46461A" w:rsidRPr="000D49F4" w:rsidP="000D49F4">
      <w:pPr>
        <w:spacing w:line="360" w:lineRule="auto"/>
        <w:ind w:firstLine="420"/>
      </w:pPr>
      <w:r w:rsidRPr="000D49F4">
        <w:rPr>
          <w:rFonts w:hint="eastAsia"/>
        </w:rPr>
        <w:t>娄利舟女士，工商管理硕士（</w:t>
      </w:r>
      <w:r w:rsidRPr="000D49F4">
        <w:t>EMBA</w:t>
      </w:r>
      <w:r w:rsidRPr="000D49F4">
        <w:rPr>
          <w:rFonts w:hint="eastAsia"/>
        </w:rPr>
        <w:t>）、经济学硕士。现任易方达基金管理有限公司副总经理级高级管理人员、</w:t>
      </w:r>
      <w:r w:rsidRPr="000D49F4">
        <w:t>FOF</w:t>
      </w:r>
      <w:r w:rsidRPr="000D49F4">
        <w:rPr>
          <w:rFonts w:hint="eastAsia"/>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46461A" w:rsidRPr="000D49F4" w:rsidP="000D49F4">
      <w:pPr>
        <w:spacing w:line="360" w:lineRule="auto"/>
        <w:ind w:firstLine="420"/>
      </w:pPr>
      <w:r w:rsidRPr="000D49F4">
        <w:rPr>
          <w:rFonts w:hint="eastAsia"/>
        </w:rPr>
        <w:t>萧楠先生，经济学硕士。现任易方达基金管理有限公司副总经理级高级管理人员、投资三部总经理、研究部副总经理、基金经理。曾任易方达基金管理有限公司行业研究员、基金经理助理、投资经理。</w:t>
      </w:r>
    </w:p>
    <w:p w:rsidR="0046461A" w:rsidRPr="000D49F4" w:rsidP="000D49F4">
      <w:pPr>
        <w:spacing w:line="360" w:lineRule="auto"/>
        <w:ind w:firstLine="420"/>
      </w:pPr>
      <w:r w:rsidRPr="000D49F4">
        <w:rPr>
          <w:rFonts w:hint="eastAsia"/>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w:t>
      </w:r>
    </w:p>
    <w:p w:rsidR="0046461A" w:rsidRPr="000D49F4" w:rsidP="000D49F4">
      <w:pPr>
        <w:spacing w:line="360" w:lineRule="auto"/>
        <w:ind w:firstLine="420"/>
      </w:pPr>
      <w:r w:rsidRPr="000D49F4">
        <w:rPr>
          <w:rFonts w:hint="eastAsia"/>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C17299" w:rsidRPr="00621B7F" w:rsidP="00BB21AF">
      <w:pPr>
        <w:pStyle w:val="HTMLPreformatted"/>
        <w:shd w:val="clear" w:color="auto" w:fill="FFFFFF"/>
        <w:spacing w:line="360" w:lineRule="auto"/>
        <w:ind w:firstLine="420"/>
        <w:rPr>
          <w:rFonts w:asciiTheme="minorEastAsia" w:eastAsiaTheme="minorEastAsia" w:hAnsiTheme="minorEastAsia" w:cs="Times New Roman"/>
          <w:color w:val="000000" w:themeColor="text1"/>
          <w:sz w:val="21"/>
          <w:szCs w:val="24"/>
        </w:rPr>
      </w:pPr>
      <w:r w:rsidRPr="00621B7F">
        <w:rPr>
          <w:rFonts w:asciiTheme="minorEastAsia" w:eastAsiaTheme="minorEastAsia" w:hAnsiTheme="minorEastAsia" w:cs="Times New Roman"/>
          <w:color w:val="000000" w:themeColor="text1"/>
          <w:sz w:val="21"/>
          <w:szCs w:val="24"/>
        </w:rPr>
        <w:t>2、基金经理</w:t>
      </w:r>
    </w:p>
    <w:p w:rsidR="00AD79EA">
      <w:pPr>
        <w:spacing w:line="360" w:lineRule="auto"/>
        <w:ind w:firstLine="420"/>
      </w:pPr>
      <w:r>
        <w:t>刘树荣先生，经济学硕士，本基金的基金经理。现任易方达基金管理有限公司易方达深证</w:t>
      </w:r>
      <w:r>
        <w:t>100</w:t>
      </w:r>
      <w:r>
        <w:t>交易型开放式指数证券投资基金基金经理（自</w:t>
      </w:r>
      <w:r>
        <w:t>2017</w:t>
      </w:r>
      <w:r>
        <w:t>年</w:t>
      </w:r>
      <w:r>
        <w:t>7</w:t>
      </w:r>
      <w:r>
        <w:t>月</w:t>
      </w:r>
      <w:r>
        <w:t>18</w:t>
      </w:r>
      <w:r>
        <w:t>日起任职）、易方达深证</w:t>
      </w:r>
      <w:r>
        <w:t>100</w:t>
      </w:r>
      <w:r>
        <w:t>交易型开放式指数证券投资基金联接基金基金经理（自</w:t>
      </w:r>
      <w:r>
        <w:t>2017</w:t>
      </w:r>
      <w:r>
        <w:t>年</w:t>
      </w:r>
      <w:r>
        <w:t>7</w:t>
      </w:r>
      <w:r>
        <w:t>月</w:t>
      </w:r>
      <w:r>
        <w:t>18</w:t>
      </w:r>
      <w:r>
        <w:t>日起任职）、易方达创业板交易型开放式指数证券投资基金基金经理（自</w:t>
      </w:r>
      <w:r>
        <w:t>2017</w:t>
      </w:r>
      <w:r>
        <w:t>年</w:t>
      </w:r>
      <w:r>
        <w:t>7</w:t>
      </w:r>
      <w:r>
        <w:t>月</w:t>
      </w:r>
      <w:r>
        <w:t>18</w:t>
      </w:r>
      <w:r>
        <w:t>日起任职）、易方达创业板交易型开放式指数证券投资基金联接基金基金经理（自</w:t>
      </w:r>
      <w:r>
        <w:t>2017</w:t>
      </w:r>
      <w:r>
        <w:t>年</w:t>
      </w:r>
      <w:r>
        <w:t>7</w:t>
      </w:r>
      <w:r>
        <w:t>月</w:t>
      </w:r>
      <w:r>
        <w:t>18</w:t>
      </w:r>
      <w:r>
        <w:t>日起任职）、易方达中小企业</w:t>
      </w:r>
      <w:r>
        <w:t>100</w:t>
      </w:r>
      <w:r>
        <w:t>指数证券投资基金（</w:t>
      </w:r>
      <w:r>
        <w:t>LOF</w:t>
      </w:r>
      <w:r>
        <w:t>）基金经理（自</w:t>
      </w:r>
      <w:r>
        <w:t>2017</w:t>
      </w:r>
      <w:r>
        <w:t>年</w:t>
      </w:r>
      <w:r>
        <w:t>7</w:t>
      </w:r>
      <w:r>
        <w:t>月</w:t>
      </w:r>
      <w:r>
        <w:t>18</w:t>
      </w:r>
      <w:r>
        <w:t>日起任职）、易方达中证万得并购重组指数证券投资基金（</w:t>
      </w:r>
      <w:r>
        <w:t>LOF</w:t>
      </w:r>
      <w:r>
        <w:t>）基金经理（自</w:t>
      </w:r>
      <w:r>
        <w:t>2017</w:t>
      </w:r>
      <w:r>
        <w:t>年</w:t>
      </w:r>
      <w:r>
        <w:t>7</w:t>
      </w:r>
      <w:r>
        <w:t>月</w:t>
      </w:r>
      <w:r>
        <w:t>18</w:t>
      </w:r>
      <w:r>
        <w:t>日起任职）、易方达上证中盘交易型开放式指数证券投资基金基金经理（自</w:t>
      </w:r>
      <w:r>
        <w:t>2018</w:t>
      </w:r>
      <w:r>
        <w:t>年</w:t>
      </w:r>
      <w:r>
        <w:t>8</w:t>
      </w:r>
      <w:r>
        <w:t>月</w:t>
      </w:r>
      <w:r>
        <w:t>11</w:t>
      </w:r>
      <w:r>
        <w:t>日起任职）、易方达上证中盘交易型开放式指数证券投资基金联接基金基金经理（自</w:t>
      </w:r>
      <w:r>
        <w:t>2018</w:t>
      </w:r>
      <w:r>
        <w:t>年</w:t>
      </w:r>
      <w:r>
        <w:t>8</w:t>
      </w:r>
      <w:r>
        <w:t>月</w:t>
      </w:r>
      <w:r>
        <w:t>11</w:t>
      </w:r>
      <w:r>
        <w:t>日起任职）、易方达香港恒生综合小型股指数证券投资基金（</w:t>
      </w:r>
      <w:r>
        <w:t>LOF</w:t>
      </w:r>
      <w:r>
        <w:t>）基金经理（自</w:t>
      </w:r>
      <w:r>
        <w:t>2018</w:t>
      </w:r>
      <w:r>
        <w:t>年</w:t>
      </w:r>
      <w:r>
        <w:t>8</w:t>
      </w:r>
      <w:r>
        <w:t>月</w:t>
      </w:r>
      <w:r>
        <w:t>11</w:t>
      </w:r>
      <w:r>
        <w:t>日起任职）、易方达中证</w:t>
      </w:r>
      <w:r>
        <w:t>800</w:t>
      </w:r>
      <w:r>
        <w:t>交易型开放式指数证券投资基金基金经理（自</w:t>
      </w:r>
      <w:r>
        <w:t>2019</w:t>
      </w:r>
      <w:r>
        <w:t>年</w:t>
      </w:r>
      <w:r>
        <w:t>10</w:t>
      </w:r>
      <w:r>
        <w:t>月</w:t>
      </w:r>
      <w:r>
        <w:t>8</w:t>
      </w:r>
      <w:r>
        <w:t>日起任职）、易方达中证</w:t>
      </w:r>
      <w:r>
        <w:t>800</w:t>
      </w:r>
      <w:r>
        <w:t>交易型开放式指数证券投资基金发起式联接基金基金经理（自</w:t>
      </w:r>
      <w:r>
        <w:t>2019</w:t>
      </w:r>
      <w:r>
        <w:t>年</w:t>
      </w:r>
      <w:r>
        <w:t>10</w:t>
      </w:r>
      <w:r>
        <w:t>月</w:t>
      </w:r>
      <w:r>
        <w:t>21</w:t>
      </w:r>
      <w:r>
        <w:t>日起任职）、易方达中证国企一带一路交易型开放式指数证券投资基金基金经理（自</w:t>
      </w:r>
      <w:r>
        <w:t>2020</w:t>
      </w:r>
      <w:r>
        <w:t>年</w:t>
      </w:r>
      <w:r>
        <w:t>3</w:t>
      </w:r>
      <w:r>
        <w:t>月</w:t>
      </w:r>
      <w:r>
        <w:t>20</w:t>
      </w:r>
      <w:r>
        <w:t>日起任职）、易方达中证国企一带一路交易型开放式指数证券投资基金发起式联接基金基金经理（自</w:t>
      </w:r>
      <w:r>
        <w:t>2020</w:t>
      </w:r>
      <w:r>
        <w:t>年</w:t>
      </w:r>
      <w:r>
        <w:t>3</w:t>
      </w:r>
      <w:r>
        <w:t>月</w:t>
      </w:r>
      <w:r>
        <w:t>20</w:t>
      </w:r>
      <w:r>
        <w:t>日起任职）、易方达中证银行指数证券投资基金（</w:t>
      </w:r>
      <w:r>
        <w:t>LOF</w:t>
      </w:r>
      <w:r>
        <w:t>）基金经理（自</w:t>
      </w:r>
      <w:r>
        <w:t>2020</w:t>
      </w:r>
      <w:r>
        <w:t>年</w:t>
      </w:r>
      <w:r>
        <w:t>8</w:t>
      </w:r>
      <w:r>
        <w:t>月</w:t>
      </w:r>
      <w:r>
        <w:t>7</w:t>
      </w:r>
      <w:r>
        <w:t>日起任职）、易方达中证银行交易型开放式指数证券投资基金基金经理（自</w:t>
      </w:r>
      <w:r>
        <w:t>2021</w:t>
      </w:r>
      <w:r>
        <w:t>年</w:t>
      </w:r>
      <w:r>
        <w:t>5</w:t>
      </w:r>
      <w:r>
        <w:t>月</w:t>
      </w:r>
      <w:r>
        <w:t>20</w:t>
      </w:r>
      <w:r>
        <w:t>日起任职）、易方达中证长江保护主题交易型开放式指数证券投资基金基金经理（自</w:t>
      </w:r>
      <w:r>
        <w:t>2021</w:t>
      </w:r>
      <w:r>
        <w:t>年</w:t>
      </w:r>
      <w:r>
        <w:t>11</w:t>
      </w:r>
      <w:r>
        <w:t>月</w:t>
      </w:r>
      <w:r>
        <w:t>26</w:t>
      </w:r>
      <w:r>
        <w:t>日起任职）。曾任招商银行资产托管部基金会计，易方达基金管理有限公司核算部基金核算专员、指数与量化投资部运作支持专员、基金经理助理、易方达深证成指交易型开放式指数证券投资基金基金经理（自</w:t>
      </w:r>
      <w:r>
        <w:t>2017</w:t>
      </w:r>
      <w:r>
        <w:t>年</w:t>
      </w:r>
      <w:r>
        <w:t>7</w:t>
      </w:r>
      <w:r>
        <w:t>月</w:t>
      </w:r>
      <w:r>
        <w:t>18</w:t>
      </w:r>
      <w:r>
        <w:t>日至</w:t>
      </w:r>
      <w:r>
        <w:t>2019</w:t>
      </w:r>
      <w:r>
        <w:t>年</w:t>
      </w:r>
      <w:r>
        <w:t>8</w:t>
      </w:r>
      <w:r>
        <w:t>月</w:t>
      </w:r>
      <w:r>
        <w:t>15</w:t>
      </w:r>
      <w:r>
        <w:t>日）、易方达深证成指交易型开放式指数证券投资基金联接基金基金经理（自</w:t>
      </w:r>
      <w:r>
        <w:t>2017</w:t>
      </w:r>
      <w:r>
        <w:t>年</w:t>
      </w:r>
      <w:r>
        <w:t>7</w:t>
      </w:r>
      <w:r>
        <w:t>月</w:t>
      </w:r>
      <w:r>
        <w:t>18</w:t>
      </w:r>
      <w:r>
        <w:t>日至</w:t>
      </w:r>
      <w:r>
        <w:t>2019</w:t>
      </w:r>
      <w:r>
        <w:t>年</w:t>
      </w:r>
      <w:r>
        <w:t>8</w:t>
      </w:r>
      <w:r>
        <w:t>月</w:t>
      </w:r>
      <w:r>
        <w:t>15</w:t>
      </w:r>
      <w:r>
        <w:t>日）、易方达标普医疗保健指数证券投资基金（</w:t>
      </w:r>
      <w:r>
        <w:t>LOF</w:t>
      </w:r>
      <w:r>
        <w:t>）基金经理（自</w:t>
      </w:r>
      <w:r>
        <w:t>2018</w:t>
      </w:r>
      <w:r>
        <w:t>年</w:t>
      </w:r>
      <w:r>
        <w:t>8</w:t>
      </w:r>
      <w:r>
        <w:t>月</w:t>
      </w:r>
      <w:r>
        <w:t>11</w:t>
      </w:r>
      <w:r>
        <w:t>日至</w:t>
      </w:r>
      <w:r>
        <w:t>2020</w:t>
      </w:r>
      <w:r>
        <w:t>年</w:t>
      </w:r>
      <w:r>
        <w:t>4</w:t>
      </w:r>
      <w:r>
        <w:t>月</w:t>
      </w:r>
      <w:r>
        <w:t>22</w:t>
      </w:r>
      <w:r>
        <w:t>日）、易方达标普生物科技指数证券投资基金（</w:t>
      </w:r>
      <w:r>
        <w:t>LOF</w:t>
      </w:r>
      <w:r>
        <w:t>）基金经理（自</w:t>
      </w:r>
      <w:r>
        <w:t>2018</w:t>
      </w:r>
      <w:r>
        <w:t>年</w:t>
      </w:r>
      <w:r>
        <w:t>8</w:t>
      </w:r>
      <w:r>
        <w:t>月</w:t>
      </w:r>
      <w:r>
        <w:t>11</w:t>
      </w:r>
      <w:r>
        <w:t>日至</w:t>
      </w:r>
      <w:r>
        <w:t>2020</w:t>
      </w:r>
      <w:r>
        <w:t>年</w:t>
      </w:r>
      <w:r>
        <w:t>4</w:t>
      </w:r>
      <w:r>
        <w:t>月</w:t>
      </w:r>
      <w:r>
        <w:t>22</w:t>
      </w:r>
      <w:r>
        <w:t>日）、易方达标普信息科技指数证券投资基金（</w:t>
      </w:r>
      <w:r>
        <w:t>LOF</w:t>
      </w:r>
      <w:r>
        <w:t>）基金经理（自</w:t>
      </w:r>
      <w:r>
        <w:t>2018</w:t>
      </w:r>
      <w:r>
        <w:t>年</w:t>
      </w:r>
      <w:r>
        <w:t>8</w:t>
      </w:r>
      <w:r>
        <w:t>月</w:t>
      </w:r>
      <w:r>
        <w:t>11</w:t>
      </w:r>
      <w:r>
        <w:t>日至</w:t>
      </w:r>
      <w:r>
        <w:t>2020</w:t>
      </w:r>
      <w:r>
        <w:t>年</w:t>
      </w:r>
      <w:r>
        <w:t>4</w:t>
      </w:r>
      <w:r>
        <w:t>月</w:t>
      </w:r>
      <w:r>
        <w:t>22</w:t>
      </w:r>
      <w:r>
        <w:t>日）、易方达银行指数分级证券投资基金基金经理（自</w:t>
      </w:r>
      <w:r>
        <w:t>2017</w:t>
      </w:r>
      <w:r>
        <w:t>年</w:t>
      </w:r>
      <w:r>
        <w:t>7</w:t>
      </w:r>
      <w:r>
        <w:t>月</w:t>
      </w:r>
      <w:r>
        <w:t>18</w:t>
      </w:r>
      <w:r>
        <w:t>日至</w:t>
      </w:r>
      <w:r>
        <w:t>2020</w:t>
      </w:r>
      <w:r>
        <w:t>年</w:t>
      </w:r>
      <w:r>
        <w:t>8</w:t>
      </w:r>
      <w:r>
        <w:t>月</w:t>
      </w:r>
      <w:r>
        <w:t>6</w:t>
      </w:r>
      <w:r>
        <w:t>日）、易方达生物科技指数分级证券投资基金基金经理（自</w:t>
      </w:r>
      <w:r>
        <w:t>2017</w:t>
      </w:r>
      <w:r>
        <w:t>年</w:t>
      </w:r>
      <w:r>
        <w:t>7</w:t>
      </w:r>
      <w:r>
        <w:t>月</w:t>
      </w:r>
      <w:r>
        <w:t>18</w:t>
      </w:r>
      <w:r>
        <w:t>日至</w:t>
      </w:r>
      <w:r>
        <w:t>2020</w:t>
      </w:r>
      <w:r>
        <w:t>年</w:t>
      </w:r>
      <w:r>
        <w:t>12</w:t>
      </w:r>
      <w:r>
        <w:t>月</w:t>
      </w:r>
      <w:r>
        <w:t>2</w:t>
      </w:r>
      <w:r>
        <w:t>日）、易方达标普</w:t>
      </w:r>
      <w:r>
        <w:t>500</w:t>
      </w:r>
      <w:r>
        <w:t>指数证券投资基金（</w:t>
      </w:r>
      <w:r>
        <w:t>LOF</w:t>
      </w:r>
      <w:r>
        <w:t>）基金经理（自</w:t>
      </w:r>
      <w:r>
        <w:t>2018</w:t>
      </w:r>
      <w:r>
        <w:t>年</w:t>
      </w:r>
      <w:r>
        <w:t>8</w:t>
      </w:r>
      <w:r>
        <w:t>月</w:t>
      </w:r>
      <w:r>
        <w:t>11</w:t>
      </w:r>
      <w:r>
        <w:t>日至</w:t>
      </w:r>
      <w:r>
        <w:t>2021</w:t>
      </w:r>
      <w:r>
        <w:t>年</w:t>
      </w:r>
      <w:r>
        <w:t>4</w:t>
      </w:r>
      <w:r>
        <w:t>月</w:t>
      </w:r>
      <w:r>
        <w:t>14</w:t>
      </w:r>
      <w:r>
        <w:t>日）、易方达中证浙江新动能交易型开放式指数证券投资基金基金经理（自</w:t>
      </w:r>
      <w:r>
        <w:t>2020</w:t>
      </w:r>
      <w:r>
        <w:t>年</w:t>
      </w:r>
      <w:r>
        <w:t>4</w:t>
      </w:r>
      <w:r>
        <w:t>月</w:t>
      </w:r>
      <w:r>
        <w:t>29</w:t>
      </w:r>
      <w:r>
        <w:t>日至</w:t>
      </w:r>
      <w:r>
        <w:t>2021</w:t>
      </w:r>
      <w:r>
        <w:t>年</w:t>
      </w:r>
      <w:r>
        <w:t>11</w:t>
      </w:r>
      <w:r>
        <w:t>月</w:t>
      </w:r>
      <w:r>
        <w:t>3</w:t>
      </w:r>
      <w:r>
        <w:t>日）、易方达中证浙江新动能交易型开放式指数证券投资基金联接基金基金经理（自</w:t>
      </w:r>
      <w:r>
        <w:t>2020</w:t>
      </w:r>
      <w:r>
        <w:t>年</w:t>
      </w:r>
      <w:r>
        <w:t>4</w:t>
      </w:r>
      <w:r>
        <w:t>月</w:t>
      </w:r>
      <w:r>
        <w:t>28</w:t>
      </w:r>
      <w:r>
        <w:t>日至</w:t>
      </w:r>
      <w:r>
        <w:t>2021</w:t>
      </w:r>
      <w:r>
        <w:t>年</w:t>
      </w:r>
      <w:r>
        <w:t>11</w:t>
      </w:r>
      <w:r>
        <w:t>月</w:t>
      </w:r>
      <w:r>
        <w:t>26</w:t>
      </w:r>
      <w:r>
        <w:t>日）。</w:t>
      </w:r>
    </w:p>
    <w:p w:rsidR="00AD79EA">
      <w:pPr>
        <w:spacing w:line="360" w:lineRule="auto"/>
        <w:ind w:firstLine="420"/>
      </w:pPr>
      <w:r>
        <w:t>本基金历任基金经理情况：张胜记，管理时间为</w:t>
      </w:r>
      <w:r>
        <w:t>2010</w:t>
      </w:r>
      <w:r>
        <w:t>年</w:t>
      </w:r>
      <w:r>
        <w:t>3</w:t>
      </w:r>
      <w:r>
        <w:t>月</w:t>
      </w:r>
      <w:r>
        <w:t>31</w:t>
      </w:r>
      <w:r>
        <w:t>日至</w:t>
      </w:r>
      <w:r>
        <w:t>2018</w:t>
      </w:r>
      <w:r>
        <w:t>年</w:t>
      </w:r>
      <w:r>
        <w:t>8</w:t>
      </w:r>
      <w:r>
        <w:t>月</w:t>
      </w:r>
      <w:r>
        <w:t>10</w:t>
      </w:r>
      <w:r>
        <w:t>日。</w:t>
      </w:r>
    </w:p>
    <w:p w:rsidR="00AD79EA">
      <w:pPr>
        <w:spacing w:line="360" w:lineRule="auto"/>
        <w:ind w:firstLine="420"/>
      </w:pPr>
      <w:r>
        <w:t>3</w:t>
      </w:r>
      <w:r>
        <w:t>、指数投资决策委员会成员</w:t>
      </w:r>
    </w:p>
    <w:p w:rsidR="00AD79EA">
      <w:pPr>
        <w:spacing w:line="360" w:lineRule="auto"/>
        <w:ind w:firstLine="420"/>
      </w:pPr>
      <w:r>
        <w:t>本公司指数投资决策委员会成员包括：林伟斌先生、余海燕女士、</w:t>
      </w:r>
      <w:r>
        <w:t>FAN BING</w:t>
      </w:r>
      <w:r>
        <w:t>（范冰）先生。</w:t>
      </w:r>
    </w:p>
    <w:p w:rsidR="00AD79EA">
      <w:pPr>
        <w:spacing w:line="360" w:lineRule="auto"/>
        <w:ind w:firstLine="420"/>
      </w:pPr>
      <w:r>
        <w:t>林伟斌先生，易方达基金管理有限公司指数投资部总经理、基金经理。</w:t>
      </w:r>
    </w:p>
    <w:p w:rsidR="00AD79EA">
      <w:pPr>
        <w:spacing w:line="360" w:lineRule="auto"/>
        <w:ind w:firstLine="420"/>
      </w:pPr>
      <w:r>
        <w:t>余海燕女士，易方达基金管理有限公司指数投资部副总经理、基金经理。</w:t>
      </w:r>
    </w:p>
    <w:p w:rsidR="00AD79EA">
      <w:pPr>
        <w:spacing w:line="360" w:lineRule="auto"/>
        <w:ind w:firstLine="420"/>
      </w:pPr>
      <w:r>
        <w:t>FAN BING</w:t>
      </w:r>
      <w:r>
        <w:t>（范冰）先生，易方达基金管理有限公司基金经理。</w:t>
      </w:r>
    </w:p>
    <w:p w:rsidR="00394FFF" w:rsidRPr="00621B7F" w:rsidP="00BB21AF">
      <w:pPr>
        <w:pStyle w:val="HTMLPreformatted"/>
        <w:shd w:val="clear" w:color="auto" w:fill="FFFFFF"/>
        <w:spacing w:line="360" w:lineRule="auto"/>
        <w:ind w:firstLine="420"/>
        <w:rPr>
          <w:rFonts w:asciiTheme="minorEastAsia" w:eastAsiaTheme="minorEastAsia" w:hAnsiTheme="minorEastAsia"/>
          <w:color w:val="000000" w:themeColor="text1"/>
          <w:sz w:val="21"/>
        </w:rPr>
      </w:pPr>
      <w:r w:rsidRPr="00621B7F">
        <w:rPr>
          <w:rFonts w:asciiTheme="minorEastAsia" w:eastAsiaTheme="minorEastAsia" w:hAnsiTheme="minorEastAsia"/>
          <w:color w:val="000000" w:themeColor="text1"/>
          <w:sz w:val="21"/>
        </w:rPr>
        <w:t>4</w:t>
      </w:r>
      <w:r w:rsidRPr="00621B7F" w:rsidR="00241F10">
        <w:rPr>
          <w:rFonts w:asciiTheme="minorEastAsia" w:eastAsiaTheme="minorEastAsia" w:hAnsiTheme="minorEastAsia" w:hint="eastAsia"/>
          <w:color w:val="000000" w:themeColor="text1"/>
          <w:sz w:val="21"/>
        </w:rPr>
        <w:t>、</w:t>
      </w:r>
      <w:r w:rsidRPr="00621B7F">
        <w:rPr>
          <w:rFonts w:asciiTheme="minorEastAsia" w:eastAsiaTheme="minorEastAsia" w:hAnsiTheme="minorEastAsia" w:hint="eastAsia"/>
          <w:color w:val="000000" w:themeColor="text1"/>
          <w:sz w:val="21"/>
        </w:rPr>
        <w:t>上述人员之间均不存在近亲属关系。</w:t>
      </w:r>
    </w:p>
    <w:p w:rsidR="00394FFF" w:rsidRPr="00621B7F" w:rsidP="00A32B85">
      <w:pPr>
        <w:pStyle w:val="Heading2"/>
        <w:snapToGrid w:val="0"/>
        <w:spacing w:beforeLines="0" w:afterLines="0" w:line="360" w:lineRule="auto"/>
        <w:ind w:firstLine="0" w:firstLineChars="0"/>
        <w:rPr>
          <w:rFonts w:asciiTheme="minorEastAsia" w:eastAsiaTheme="minorEastAsia" w:hAnsiTheme="minorEastAsia" w:cs="仿宋_GB2312"/>
          <w:b w:val="0"/>
          <w:bCs/>
          <w:color w:val="000000" w:themeColor="text1"/>
        </w:rPr>
      </w:pPr>
      <w:bookmarkStart w:id="11" w:name="_Toc133292565"/>
      <w:bookmarkStart w:id="12" w:name="_Toc163189522"/>
      <w:bookmarkStart w:id="13" w:name="_Toc91752017"/>
      <w:r w:rsidRPr="00621B7F">
        <w:rPr>
          <w:rFonts w:asciiTheme="minorEastAsia" w:eastAsiaTheme="minorEastAsia" w:hAnsiTheme="minorEastAsia" w:hint="eastAsia"/>
          <w:b w:val="0"/>
          <w:bCs/>
          <w:color w:val="000000" w:themeColor="text1"/>
          <w:szCs w:val="21"/>
        </w:rPr>
        <w:t>（三）</w:t>
      </w:r>
      <w:r w:rsidRPr="00621B7F">
        <w:rPr>
          <w:rFonts w:asciiTheme="minorEastAsia" w:eastAsiaTheme="minorEastAsia" w:hAnsiTheme="minorEastAsia"/>
          <w:b w:val="0"/>
          <w:bCs/>
          <w:color w:val="000000" w:themeColor="text1"/>
          <w:szCs w:val="21"/>
        </w:rPr>
        <w:t>基金管理人的职责</w:t>
      </w:r>
      <w:bookmarkEnd w:id="11"/>
      <w:bookmarkEnd w:id="12"/>
      <w:bookmarkEnd w:id="13"/>
    </w:p>
    <w:p w:rsidR="00394FFF" w:rsidRPr="00621B7F" w:rsidP="00241F10">
      <w:pPr>
        <w:numPr>
          <w:ilvl w:val="0"/>
          <w:numId w:val="3"/>
        </w:numPr>
        <w:tabs>
          <w:tab w:val="left" w:pos="735"/>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依法募集资金，办理基金份额的发售和登记事宜；</w:t>
      </w:r>
    </w:p>
    <w:p w:rsidR="00394FFF" w:rsidRPr="00621B7F" w:rsidP="00241F10">
      <w:pPr>
        <w:numPr>
          <w:ilvl w:val="0"/>
          <w:numId w:val="3"/>
        </w:numPr>
        <w:tabs>
          <w:tab w:val="left" w:pos="735"/>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办理基金备案手续；</w:t>
      </w:r>
    </w:p>
    <w:p w:rsidR="00394FFF" w:rsidRPr="00621B7F" w:rsidP="00241F10">
      <w:pPr>
        <w:numPr>
          <w:ilvl w:val="0"/>
          <w:numId w:val="3"/>
        </w:numPr>
        <w:tabs>
          <w:tab w:val="left" w:pos="735"/>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对所管理的不同基金财产分别管理、分别记账，进行证券投资；</w:t>
      </w:r>
    </w:p>
    <w:p w:rsidR="00394FFF" w:rsidRPr="00621B7F" w:rsidP="00241F10">
      <w:pPr>
        <w:numPr>
          <w:ilvl w:val="0"/>
          <w:numId w:val="3"/>
        </w:numPr>
        <w:tabs>
          <w:tab w:val="left" w:pos="735"/>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按照基金合同的约定确定基金收益分配方案，及时向基金份额持有人分配收益；</w:t>
      </w:r>
    </w:p>
    <w:p w:rsidR="00394FFF" w:rsidRPr="00621B7F" w:rsidP="00241F10">
      <w:pPr>
        <w:numPr>
          <w:ilvl w:val="0"/>
          <w:numId w:val="3"/>
        </w:numPr>
        <w:tabs>
          <w:tab w:val="left" w:pos="735"/>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进行基金会计核算并编制基金财务会计报告；</w:t>
      </w:r>
    </w:p>
    <w:p w:rsidR="00394FFF" w:rsidRPr="00621B7F" w:rsidP="00241F10">
      <w:pPr>
        <w:numPr>
          <w:ilvl w:val="0"/>
          <w:numId w:val="3"/>
        </w:numPr>
        <w:tabs>
          <w:tab w:val="left" w:pos="735"/>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编制</w:t>
      </w:r>
      <w:r w:rsidRPr="00621B7F" w:rsidR="00FB1DBD">
        <w:rPr>
          <w:rFonts w:asciiTheme="minorEastAsia" w:eastAsiaTheme="minorEastAsia" w:hAnsiTheme="minorEastAsia" w:hint="eastAsia"/>
          <w:color w:val="000000" w:themeColor="text1"/>
        </w:rPr>
        <w:t>季度</w:t>
      </w:r>
      <w:r w:rsidRPr="00621B7F" w:rsidR="00BA0606">
        <w:rPr>
          <w:rFonts w:asciiTheme="minorEastAsia" w:eastAsiaTheme="minorEastAsia" w:hAnsiTheme="minorEastAsia" w:hint="eastAsia"/>
          <w:color w:val="000000" w:themeColor="text1"/>
        </w:rPr>
        <w:t>报告</w:t>
      </w:r>
      <w:r w:rsidRPr="00621B7F" w:rsidR="00FB1DBD">
        <w:rPr>
          <w:rFonts w:asciiTheme="minorEastAsia" w:eastAsiaTheme="minorEastAsia" w:hAnsiTheme="minorEastAsia" w:hint="eastAsia"/>
          <w:color w:val="000000" w:themeColor="text1"/>
        </w:rPr>
        <w:t>、</w:t>
      </w:r>
      <w:r w:rsidRPr="00621B7F" w:rsidR="00BA0606">
        <w:rPr>
          <w:rFonts w:asciiTheme="minorEastAsia" w:eastAsiaTheme="minorEastAsia" w:hAnsiTheme="minorEastAsia" w:hint="eastAsia"/>
          <w:color w:val="000000" w:themeColor="text1"/>
        </w:rPr>
        <w:t>中期报告</w:t>
      </w:r>
      <w:r w:rsidRPr="00621B7F">
        <w:rPr>
          <w:rFonts w:asciiTheme="minorEastAsia" w:eastAsiaTheme="minorEastAsia" w:hAnsiTheme="minorEastAsia"/>
          <w:color w:val="000000" w:themeColor="text1"/>
        </w:rPr>
        <w:t>和年度报告；</w:t>
      </w:r>
    </w:p>
    <w:p w:rsidR="00394FFF" w:rsidRPr="00621B7F" w:rsidP="00241F10">
      <w:pPr>
        <w:numPr>
          <w:ilvl w:val="0"/>
          <w:numId w:val="3"/>
        </w:numPr>
        <w:tabs>
          <w:tab w:val="left" w:pos="735"/>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计算并公告基金净值</w:t>
      </w:r>
      <w:r w:rsidRPr="00621B7F" w:rsidR="00BA0606">
        <w:rPr>
          <w:rFonts w:asciiTheme="minorEastAsia" w:eastAsiaTheme="minorEastAsia" w:hAnsiTheme="minorEastAsia"/>
          <w:color w:val="000000" w:themeColor="text1"/>
        </w:rPr>
        <w:t>信息</w:t>
      </w:r>
      <w:r w:rsidRPr="00621B7F">
        <w:rPr>
          <w:rFonts w:asciiTheme="minorEastAsia" w:eastAsiaTheme="minorEastAsia" w:hAnsiTheme="minorEastAsia"/>
          <w:color w:val="000000" w:themeColor="text1"/>
        </w:rPr>
        <w:t>，确定基金份额申购、赎回价格；</w:t>
      </w:r>
    </w:p>
    <w:p w:rsidR="00394FFF" w:rsidRPr="00621B7F" w:rsidP="00241F10">
      <w:pPr>
        <w:numPr>
          <w:ilvl w:val="0"/>
          <w:numId w:val="3"/>
        </w:numPr>
        <w:tabs>
          <w:tab w:val="left" w:pos="735"/>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办理与基金财产管理业务活动有关的信息披露事项；</w:t>
      </w:r>
    </w:p>
    <w:p w:rsidR="00394FFF" w:rsidRPr="00621B7F" w:rsidP="00241F10">
      <w:pPr>
        <w:numPr>
          <w:ilvl w:val="0"/>
          <w:numId w:val="3"/>
        </w:numPr>
        <w:tabs>
          <w:tab w:val="left" w:pos="735"/>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按照规定</w:t>
      </w:r>
      <w:r w:rsidRPr="00621B7F">
        <w:rPr>
          <w:rFonts w:asciiTheme="minorEastAsia" w:eastAsiaTheme="minorEastAsia" w:hAnsiTheme="minorEastAsia"/>
          <w:color w:val="000000" w:themeColor="text1"/>
        </w:rPr>
        <w:t>召集基金份额持有人大会；</w:t>
      </w:r>
    </w:p>
    <w:p w:rsidR="00394FFF" w:rsidRPr="00621B7F" w:rsidP="005F3E08">
      <w:pPr>
        <w:numPr>
          <w:ilvl w:val="0"/>
          <w:numId w:val="3"/>
        </w:numPr>
        <w:tabs>
          <w:tab w:val="num" w:pos="851"/>
          <w:tab w:val="left" w:pos="1276"/>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保存基</w:t>
      </w:r>
      <w:r w:rsidRPr="00621B7F">
        <w:rPr>
          <w:rFonts w:asciiTheme="minorEastAsia" w:eastAsiaTheme="minorEastAsia" w:hAnsiTheme="minorEastAsia"/>
          <w:color w:val="000000" w:themeColor="text1"/>
        </w:rPr>
        <w:t>金财产管理业务活动的记录、账册、报表和其他相关资料；</w:t>
      </w:r>
    </w:p>
    <w:p w:rsidR="00394FFF" w:rsidRPr="00621B7F" w:rsidP="00241F10">
      <w:pPr>
        <w:numPr>
          <w:ilvl w:val="0"/>
          <w:numId w:val="3"/>
        </w:numPr>
        <w:tabs>
          <w:tab w:val="num" w:pos="851"/>
          <w:tab w:val="left" w:pos="1276"/>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以基金管理人名义，代表基金份额持有人利益行使诉讼权利或者实施其他法律行为；</w:t>
      </w:r>
    </w:p>
    <w:p w:rsidR="00394FFF" w:rsidRPr="00621B7F" w:rsidP="00241F10">
      <w:pPr>
        <w:numPr>
          <w:ilvl w:val="0"/>
          <w:numId w:val="3"/>
        </w:numPr>
        <w:tabs>
          <w:tab w:val="left" w:pos="735"/>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中国证监会规定的其他职责。</w:t>
      </w:r>
    </w:p>
    <w:p w:rsidR="00394FFF" w:rsidRPr="00621B7F" w:rsidP="00A32B85">
      <w:pPr>
        <w:pStyle w:val="Heading2"/>
        <w:snapToGrid w:val="0"/>
        <w:spacing w:beforeLines="0" w:afterLines="0" w:line="360" w:lineRule="auto"/>
        <w:ind w:firstLine="0" w:firstLineChars="0"/>
        <w:rPr>
          <w:rFonts w:asciiTheme="minorEastAsia" w:eastAsiaTheme="minorEastAsia" w:hAnsiTheme="minorEastAsia"/>
          <w:color w:val="000000" w:themeColor="text1"/>
          <w:sz w:val="21"/>
        </w:rPr>
      </w:pPr>
      <w:bookmarkStart w:id="14" w:name="_Toc133292566"/>
      <w:bookmarkStart w:id="15" w:name="_Toc163189523"/>
      <w:bookmarkStart w:id="16" w:name="_Toc91752018"/>
      <w:r w:rsidRPr="00621B7F">
        <w:rPr>
          <w:rFonts w:asciiTheme="minorEastAsia" w:eastAsiaTheme="minorEastAsia" w:hAnsiTheme="minorEastAsia" w:hint="eastAsia"/>
          <w:b w:val="0"/>
          <w:bCs/>
          <w:color w:val="000000" w:themeColor="text1"/>
          <w:szCs w:val="21"/>
        </w:rPr>
        <w:t>（四）</w:t>
      </w:r>
      <w:r w:rsidRPr="00621B7F">
        <w:rPr>
          <w:rFonts w:asciiTheme="minorEastAsia" w:eastAsiaTheme="minorEastAsia" w:hAnsiTheme="minorEastAsia"/>
          <w:b w:val="0"/>
          <w:bCs/>
          <w:color w:val="000000" w:themeColor="text1"/>
          <w:szCs w:val="21"/>
        </w:rPr>
        <w:t>基金管理人的承诺</w:t>
      </w:r>
      <w:bookmarkEnd w:id="14"/>
      <w:bookmarkEnd w:id="15"/>
      <w:bookmarkEnd w:id="16"/>
    </w:p>
    <w:p w:rsidR="00394FFF" w:rsidRPr="00621B7F" w:rsidP="00241F10">
      <w:pPr>
        <w:autoSpaceDE w:val="0"/>
        <w:autoSpaceDN w:val="0"/>
        <w:adjustRightInd w:val="0"/>
        <w:snapToGrid w:val="0"/>
        <w:spacing w:line="360" w:lineRule="auto"/>
        <w:ind w:firstLine="420"/>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1</w:t>
      </w:r>
      <w:r w:rsidRPr="00621B7F" w:rsidR="00241F10">
        <w:rPr>
          <w:rFonts w:asciiTheme="minorEastAsia" w:eastAsiaTheme="minorEastAsia" w:hAnsiTheme="minorEastAsia" w:hint="eastAsia"/>
          <w:color w:val="000000" w:themeColor="text1"/>
          <w:kern w:val="0"/>
          <w:szCs w:val="21"/>
        </w:rPr>
        <w:t>、</w:t>
      </w:r>
      <w:r w:rsidRPr="00621B7F">
        <w:rPr>
          <w:rFonts w:asciiTheme="minorEastAsia" w:eastAsiaTheme="minorEastAsia" w:hAnsiTheme="minorEastAsia"/>
          <w:color w:val="000000" w:themeColor="text1"/>
        </w:rPr>
        <w:t>本基金管理人承诺严格遵守现行有效的相关法律法规、基金合同和中国证监会的有关规定，建立健全内部控制制度，采取有效措施，防止违反现行有效的有关法律法规、基金合同和中国证监会有关规定的行为发生。</w:t>
      </w:r>
    </w:p>
    <w:p w:rsidR="00394FFF"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kern w:val="0"/>
          <w:szCs w:val="21"/>
        </w:rPr>
        <w:t>2</w:t>
      </w:r>
      <w:r w:rsidRPr="00621B7F" w:rsidR="00241F10">
        <w:rPr>
          <w:rFonts w:asciiTheme="minorEastAsia" w:eastAsiaTheme="minorEastAsia" w:hAnsiTheme="minorEastAsia" w:hint="eastAsia"/>
          <w:color w:val="000000" w:themeColor="text1"/>
          <w:kern w:val="0"/>
          <w:szCs w:val="21"/>
        </w:rPr>
        <w:t>、</w:t>
      </w:r>
      <w:r w:rsidRPr="00621B7F">
        <w:rPr>
          <w:rFonts w:asciiTheme="minorEastAsia" w:eastAsiaTheme="minorEastAsia" w:hAnsiTheme="minorEastAsia"/>
          <w:color w:val="000000" w:themeColor="text1"/>
        </w:rPr>
        <w:t>本</w:t>
      </w:r>
      <w:r w:rsidRPr="00621B7F">
        <w:rPr>
          <w:rFonts w:asciiTheme="minorEastAsia" w:eastAsiaTheme="minorEastAsia" w:hAnsiTheme="minorEastAsia" w:hint="eastAsia"/>
          <w:color w:val="000000" w:themeColor="text1"/>
        </w:rPr>
        <w:t>基金管理人承诺严格遵守《证券法》、《基金法》及有关法律法规，建立健全内部控</w:t>
      </w:r>
      <w:r w:rsidRPr="00621B7F">
        <w:rPr>
          <w:rFonts w:asciiTheme="minorEastAsia" w:eastAsiaTheme="minorEastAsia" w:hAnsiTheme="minorEastAsia"/>
          <w:color w:val="000000" w:themeColor="text1"/>
        </w:rPr>
        <w:t>制制度，采取有效措施，防止下列行为发生：</w:t>
      </w:r>
    </w:p>
    <w:p w:rsidR="00394FFF" w:rsidRPr="00621B7F" w:rsidP="00241F10">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将其固有财产或者他人财产混同于基金财产从事证券投资；</w:t>
      </w:r>
    </w:p>
    <w:p w:rsidR="00394FFF" w:rsidRPr="00621B7F" w:rsidP="00241F10">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不公平地对待其管理的不同基金财产；</w:t>
      </w:r>
    </w:p>
    <w:p w:rsidR="00394FFF" w:rsidRPr="00621B7F" w:rsidP="00241F10">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利用基金财产</w:t>
      </w:r>
      <w:r w:rsidRPr="00621B7F" w:rsidR="0078727C">
        <w:rPr>
          <w:rFonts w:asciiTheme="minorEastAsia" w:eastAsiaTheme="minorEastAsia" w:hAnsiTheme="minorEastAsia" w:hint="eastAsia"/>
          <w:color w:val="000000" w:themeColor="text1"/>
        </w:rPr>
        <w:t>或者职务之便</w:t>
      </w:r>
      <w:r w:rsidRPr="00621B7F">
        <w:rPr>
          <w:rFonts w:asciiTheme="minorEastAsia" w:eastAsiaTheme="minorEastAsia" w:hAnsiTheme="minorEastAsia"/>
          <w:color w:val="000000" w:themeColor="text1"/>
        </w:rPr>
        <w:t>为基金份额持有人以外的第三人谋取利益；</w:t>
      </w:r>
    </w:p>
    <w:p w:rsidR="00394FFF" w:rsidRPr="00621B7F" w:rsidP="00241F10">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向基金份额持有人违规承诺收益或者承担损失；</w:t>
      </w:r>
    </w:p>
    <w:p w:rsidR="0078727C" w:rsidRPr="00621B7F" w:rsidP="00241F10">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侵占、挪用基金财产；</w:t>
      </w:r>
    </w:p>
    <w:p w:rsidR="0078727C" w:rsidRPr="00621B7F" w:rsidP="00241F10">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泄露因职务便利获取的未公开信息、利用该信息从事或者明示、暗示他人从事相关的交易活动；</w:t>
      </w:r>
    </w:p>
    <w:p w:rsidR="0078727C" w:rsidRPr="00621B7F" w:rsidP="00241F10">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玩忽职守，不按照规定履行职责；</w:t>
      </w:r>
    </w:p>
    <w:p w:rsidR="00394FFF" w:rsidRPr="00621B7F" w:rsidP="00241F10">
      <w:pPr>
        <w:numPr>
          <w:ilvl w:val="1"/>
          <w:numId w:val="4"/>
        </w:numPr>
        <w:tabs>
          <w:tab w:val="left" w:pos="735"/>
          <w:tab w:val="num" w:pos="1320"/>
        </w:tabs>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法律、行政法规和中国证监会规定禁止的其他行为。</w:t>
      </w:r>
    </w:p>
    <w:p w:rsidR="00394FFF"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3</w:t>
      </w:r>
      <w:r w:rsidRPr="00621B7F" w:rsidR="00241F10">
        <w:rPr>
          <w:rFonts w:asciiTheme="minorEastAsia" w:eastAsiaTheme="minorEastAsia" w:hAnsiTheme="minorEastAsia" w:hint="eastAsia"/>
          <w:color w:val="000000" w:themeColor="text1"/>
          <w:kern w:val="0"/>
          <w:szCs w:val="21"/>
        </w:rPr>
        <w:t>、</w:t>
      </w:r>
      <w:r w:rsidRPr="00621B7F">
        <w:rPr>
          <w:rFonts w:asciiTheme="minorEastAsia" w:eastAsiaTheme="minorEastAsia" w:hAnsiTheme="minorEastAsia"/>
          <w:color w:val="000000" w:themeColor="text1"/>
          <w:kern w:val="0"/>
          <w:szCs w:val="21"/>
        </w:rPr>
        <w:t>本基金管理人承诺加强人员管理，强化职业操守，督促和约束员工遵守国家有关法律法规及行业规范，诚实信用、勤勉尽责，不从事以下活动：</w:t>
      </w:r>
    </w:p>
    <w:p w:rsidR="00394FFF" w:rsidRPr="00621B7F" w:rsidP="00241F10">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（1）越权或违规经营；</w:t>
      </w:r>
    </w:p>
    <w:p w:rsidR="00394FFF" w:rsidRPr="00621B7F" w:rsidP="00241F10">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（2）违反基金合同或托管协议；</w:t>
      </w:r>
    </w:p>
    <w:p w:rsidR="00394FFF" w:rsidRPr="00621B7F" w:rsidP="00241F10">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（3）故意损害基金份额持有人或其他基金相关机构的合法利益；</w:t>
      </w:r>
    </w:p>
    <w:p w:rsidR="00394FFF" w:rsidRPr="00621B7F" w:rsidP="00241F10">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（4）在向中国证监会报送的资料中弄虚作假；</w:t>
      </w:r>
    </w:p>
    <w:p w:rsidR="00394FFF" w:rsidRPr="00621B7F" w:rsidP="00241F10">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（5）拒绝、干扰、阻挠或严重影响中国证监会依法监管；</w:t>
      </w:r>
    </w:p>
    <w:p w:rsidR="00394FFF" w:rsidRPr="00621B7F" w:rsidP="00241F10">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（6）玩忽职守、滥用职权；</w:t>
      </w:r>
    </w:p>
    <w:p w:rsidR="00394FFF" w:rsidRPr="00621B7F" w:rsidP="00241F10">
      <w:pPr>
        <w:tabs>
          <w:tab w:val="left" w:pos="851"/>
        </w:tabs>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（7）违反现行有效的有关法律法规、基金合同和中国证监会的有关规定，泄漏在任职期间知悉的有关证券、基金的商业秘密，尚未依法公开的基金投资内容、基金投资计划等信息；</w:t>
      </w:r>
    </w:p>
    <w:p w:rsidR="00394FFF" w:rsidRPr="00621B7F" w:rsidP="00241F10">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（8）违反证券交易场所业务规则，利用对敲、倒仓等手段操纵市场价格，扰乱市场秩序；</w:t>
      </w:r>
    </w:p>
    <w:p w:rsidR="00394FFF" w:rsidRPr="00621B7F" w:rsidP="00241F10">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（9）贬损同行，以抬高自己；</w:t>
      </w:r>
    </w:p>
    <w:p w:rsidR="00394FFF" w:rsidRPr="00621B7F" w:rsidP="00241F10">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（10）以不正当手段谋求业务发展；</w:t>
      </w:r>
    </w:p>
    <w:p w:rsidR="00394FFF" w:rsidRPr="00621B7F" w:rsidP="00241F10">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（11）有悖社会公德，损害证券投资基金人员形象；</w:t>
      </w:r>
    </w:p>
    <w:p w:rsidR="00394FFF" w:rsidRPr="00621B7F" w:rsidP="00241F10">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（12）在公开信息披露和广告中故意含有虚假、误导、欺诈成分；</w:t>
      </w:r>
    </w:p>
    <w:p w:rsidR="00394FFF" w:rsidRPr="00621B7F" w:rsidP="00241F10">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（13）其他法律、行政法规以及中国证监会禁止的行为。</w:t>
      </w:r>
    </w:p>
    <w:p w:rsidR="00394FFF"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4</w:t>
      </w:r>
      <w:r w:rsidRPr="00621B7F" w:rsidR="00241F10">
        <w:rPr>
          <w:rFonts w:asciiTheme="minorEastAsia" w:eastAsiaTheme="minorEastAsia" w:hAnsiTheme="minorEastAsia" w:hint="eastAsia"/>
          <w:color w:val="000000" w:themeColor="text1"/>
          <w:kern w:val="0"/>
          <w:szCs w:val="21"/>
        </w:rPr>
        <w:t>、</w:t>
      </w:r>
      <w:r w:rsidRPr="00621B7F">
        <w:rPr>
          <w:rFonts w:asciiTheme="minorEastAsia" w:eastAsiaTheme="minorEastAsia" w:hAnsiTheme="minorEastAsia"/>
          <w:color w:val="000000" w:themeColor="text1"/>
          <w:kern w:val="0"/>
          <w:szCs w:val="21"/>
        </w:rPr>
        <w:t>基金经理承诺</w:t>
      </w:r>
    </w:p>
    <w:p w:rsidR="00394FFF"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（1）依照有关法律法规和基金合同的规定，本着谨慎的原则为基金份额持有人谋取最大利益；</w:t>
      </w:r>
    </w:p>
    <w:p w:rsidR="00394FFF"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（2）不利用职务之便为自己及其代理人、受雇人或任何第三人谋取利益；</w:t>
      </w:r>
    </w:p>
    <w:p w:rsidR="00394FFF"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rPr>
      </w:pPr>
      <w:r w:rsidRPr="00621B7F">
        <w:rPr>
          <w:rFonts w:asciiTheme="minorEastAsia" w:eastAsiaTheme="minorEastAsia" w:hAnsiTheme="minorEastAsia"/>
          <w:color w:val="000000" w:themeColor="text1"/>
          <w:kern w:val="0"/>
        </w:rPr>
        <w:t>（3）不</w:t>
      </w:r>
      <w:r w:rsidRPr="00621B7F">
        <w:rPr>
          <w:rFonts w:asciiTheme="minorEastAsia" w:eastAsiaTheme="minorEastAsia" w:hAnsiTheme="minorEastAsia"/>
          <w:color w:val="000000" w:themeColor="text1"/>
          <w:kern w:val="0"/>
          <w:szCs w:val="21"/>
        </w:rPr>
        <w:t>违反现行有效的有关法律法规、基金合同和中国证监会的有关规定，</w:t>
      </w:r>
      <w:r w:rsidRPr="00621B7F">
        <w:rPr>
          <w:rFonts w:asciiTheme="minorEastAsia" w:eastAsiaTheme="minorEastAsia" w:hAnsiTheme="minorEastAsia"/>
          <w:color w:val="000000" w:themeColor="text1"/>
          <w:kern w:val="0"/>
        </w:rPr>
        <w:t>泄漏在任职期间知悉的有关证券、基金的商业秘密、尚未依法公开的基金投资内容、基金投资计划等信息；</w:t>
      </w:r>
    </w:p>
    <w:p w:rsidR="00394FFF"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rPr>
      </w:pPr>
      <w:r w:rsidRPr="00621B7F">
        <w:rPr>
          <w:rFonts w:asciiTheme="minorEastAsia" w:eastAsiaTheme="minorEastAsia" w:hAnsiTheme="minorEastAsia"/>
          <w:color w:val="000000" w:themeColor="text1"/>
          <w:kern w:val="0"/>
        </w:rPr>
        <w:t>（4）不从事损害基金财产和基金份额持有人利益的证券交易及其他活动。</w:t>
      </w:r>
    </w:p>
    <w:p w:rsidR="00394FFF" w:rsidRPr="00621B7F" w:rsidP="00A32B85">
      <w:pPr>
        <w:pStyle w:val="Heading2"/>
        <w:snapToGrid w:val="0"/>
        <w:spacing w:beforeLines="0" w:afterLines="0" w:line="360" w:lineRule="auto"/>
        <w:ind w:firstLine="0" w:firstLineChars="0"/>
        <w:rPr>
          <w:rStyle w:val="da"/>
          <w:rFonts w:asciiTheme="minorEastAsia" w:eastAsiaTheme="minorEastAsia" w:hAnsiTheme="minorEastAsia"/>
          <w:color w:val="000000" w:themeColor="text1"/>
          <w:sz w:val="21"/>
        </w:rPr>
      </w:pPr>
      <w:bookmarkStart w:id="17" w:name="_Toc133292567"/>
      <w:bookmarkStart w:id="18" w:name="_Toc163189524"/>
      <w:bookmarkStart w:id="19" w:name="_Toc91752019"/>
      <w:r w:rsidRPr="00621B7F">
        <w:rPr>
          <w:rFonts w:asciiTheme="minorEastAsia" w:eastAsiaTheme="minorEastAsia" w:hAnsiTheme="minorEastAsia" w:hint="eastAsia"/>
          <w:b w:val="0"/>
          <w:bCs/>
          <w:color w:val="000000" w:themeColor="text1"/>
          <w:szCs w:val="21"/>
        </w:rPr>
        <w:t>（五）</w:t>
      </w:r>
      <w:r w:rsidRPr="00621B7F">
        <w:rPr>
          <w:rFonts w:asciiTheme="minorEastAsia" w:eastAsiaTheme="minorEastAsia" w:hAnsiTheme="minorEastAsia"/>
          <w:b w:val="0"/>
          <w:bCs/>
          <w:color w:val="000000" w:themeColor="text1"/>
          <w:szCs w:val="21"/>
        </w:rPr>
        <w:t>基金管理人的内部控制制度</w:t>
      </w:r>
      <w:bookmarkEnd w:id="17"/>
      <w:bookmarkEnd w:id="18"/>
      <w:bookmarkEnd w:id="19"/>
    </w:p>
    <w:p w:rsidR="00394FFF" w:rsidRPr="00621B7F" w:rsidP="00241F10">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595880">
      <w:pPr>
        <w:spacing w:line="360" w:lineRule="auto"/>
        <w:ind w:firstLine="420"/>
      </w:pPr>
      <w:r>
        <w:t>1</w:t>
      </w:r>
      <w:r>
        <w:t>、公司内部控制的总体目标</w:t>
      </w:r>
    </w:p>
    <w:p w:rsidR="00595880">
      <w:pPr>
        <w:spacing w:line="360" w:lineRule="auto"/>
        <w:ind w:firstLine="420"/>
      </w:pPr>
      <w:r>
        <w:t>（</w:t>
      </w:r>
      <w:r>
        <w:t>1</w:t>
      </w:r>
      <w:r>
        <w:t>）保证公司经营管理活动的合法合规性；</w:t>
      </w:r>
    </w:p>
    <w:p w:rsidR="00595880">
      <w:pPr>
        <w:spacing w:line="360" w:lineRule="auto"/>
        <w:ind w:firstLine="420"/>
      </w:pPr>
      <w:r>
        <w:t>（</w:t>
      </w:r>
      <w:r>
        <w:t>2</w:t>
      </w:r>
      <w:r>
        <w:t>）保证各类基金份额持有人及委托人的合法权益不受侵犯；</w:t>
      </w:r>
    </w:p>
    <w:p w:rsidR="00595880">
      <w:pPr>
        <w:spacing w:line="360" w:lineRule="auto"/>
        <w:ind w:firstLine="420"/>
      </w:pPr>
      <w:r>
        <w:t>（</w:t>
      </w:r>
      <w:r>
        <w:t>3</w:t>
      </w:r>
      <w:r>
        <w:t>）防范和化解经营风险，提高经营管理效率，确保业务稳健经营运行和受托资产安全完整，实现公司的持续、健康发展，促进公司实现发展战略；</w:t>
      </w:r>
    </w:p>
    <w:p w:rsidR="00595880">
      <w:pPr>
        <w:spacing w:line="360" w:lineRule="auto"/>
        <w:ind w:firstLine="420"/>
      </w:pPr>
      <w:r>
        <w:t>（</w:t>
      </w:r>
      <w:r>
        <w:t>4</w:t>
      </w:r>
      <w:r>
        <w:t>）督促公司全体员工恪守职业操守，正直诚信，廉洁自律，勤勉尽责；</w:t>
      </w:r>
    </w:p>
    <w:p w:rsidR="00595880">
      <w:pPr>
        <w:spacing w:line="360" w:lineRule="auto"/>
        <w:ind w:firstLine="420"/>
      </w:pPr>
      <w:r>
        <w:t>（</w:t>
      </w:r>
      <w:r>
        <w:t>5</w:t>
      </w:r>
      <w:r>
        <w:t>）维护公司的声誉，保持公司的良好形象。</w:t>
      </w:r>
    </w:p>
    <w:p w:rsidR="00595880">
      <w:pPr>
        <w:spacing w:line="360" w:lineRule="auto"/>
        <w:ind w:firstLine="420"/>
      </w:pPr>
      <w:r>
        <w:t>2</w:t>
      </w:r>
      <w:r>
        <w:t>、公司内部控制遵循的原则</w:t>
      </w:r>
    </w:p>
    <w:p w:rsidR="00595880">
      <w:pPr>
        <w:spacing w:line="360" w:lineRule="auto"/>
        <w:ind w:firstLine="420"/>
      </w:pPr>
      <w:r>
        <w:t>（</w:t>
      </w:r>
      <w:r>
        <w:t>1</w:t>
      </w:r>
      <w:r>
        <w:t>）健全性原则。内部控制应当包括公司的各项业务、各个部门或机构和各级人员</w:t>
      </w:r>
      <w:r>
        <w:t>,</w:t>
      </w:r>
      <w:r>
        <w:t>并涵盖到决策、执行、监督、反馈等各个环节。</w:t>
      </w:r>
    </w:p>
    <w:p w:rsidR="00595880">
      <w:pPr>
        <w:spacing w:line="360" w:lineRule="auto"/>
        <w:ind w:firstLine="420"/>
      </w:pPr>
      <w:r>
        <w:t>（</w:t>
      </w:r>
      <w:r>
        <w:t>2</w:t>
      </w:r>
      <w:r>
        <w:t>）有效性原则。通过科学的内控手段和方法，建立合理的内控程序，维护内控制度的有效执行。</w:t>
      </w:r>
    </w:p>
    <w:p w:rsidR="00595880">
      <w:pPr>
        <w:spacing w:line="360" w:lineRule="auto"/>
        <w:ind w:firstLine="420"/>
      </w:pPr>
      <w:r>
        <w:t>（</w:t>
      </w:r>
      <w:r>
        <w:t>3</w:t>
      </w:r>
      <w:r>
        <w:t>）独立性原则。公司机构、部门和岗位职责应当保持相对独立，除非法律法规另有规定，公司基金资产、自有资产、其他资产的运作应当分离。</w:t>
      </w:r>
    </w:p>
    <w:p w:rsidR="00595880">
      <w:pPr>
        <w:spacing w:line="360" w:lineRule="auto"/>
        <w:ind w:firstLine="420"/>
      </w:pPr>
      <w:r>
        <w:t>（</w:t>
      </w:r>
      <w:r>
        <w:t>4</w:t>
      </w:r>
      <w:r>
        <w:t>）相互制约原则。公司内部部门和岗位的设置应当体现权责分明、相互制衡。</w:t>
      </w:r>
    </w:p>
    <w:p w:rsidR="00595880">
      <w:pPr>
        <w:spacing w:line="360" w:lineRule="auto"/>
        <w:ind w:firstLine="420"/>
      </w:pPr>
      <w:r>
        <w:t>（</w:t>
      </w:r>
      <w:r>
        <w:t>5</w:t>
      </w:r>
      <w:r>
        <w:t>）成本效益原则。公司运用科学化的经营管理方法降低运作成本，提高经济效益，力争以合理的控制成本达到最佳的内部控制效果。</w:t>
      </w:r>
    </w:p>
    <w:p w:rsidR="00595880">
      <w:pPr>
        <w:spacing w:line="360" w:lineRule="auto"/>
        <w:ind w:firstLine="420"/>
      </w:pPr>
      <w:r>
        <w:t>3</w:t>
      </w:r>
      <w:r>
        <w:t>、内部控制的制度体系</w:t>
      </w:r>
    </w:p>
    <w:p w:rsidR="00595880">
      <w:pPr>
        <w:spacing w:line="360" w:lineRule="auto"/>
        <w:ind w:firstLine="420"/>
      </w:pPr>
      <w: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595880">
      <w:pPr>
        <w:spacing w:line="360" w:lineRule="auto"/>
        <w:ind w:firstLine="420"/>
      </w:pPr>
      <w:r>
        <w:t>4</w:t>
      </w:r>
      <w:r>
        <w:t>、关于授权、研究、投资、交易等方面的控制点</w:t>
      </w:r>
    </w:p>
    <w:p w:rsidR="00595880">
      <w:pPr>
        <w:spacing w:line="360" w:lineRule="auto"/>
        <w:ind w:firstLine="420"/>
      </w:pPr>
      <w:r>
        <w:t>（</w:t>
      </w:r>
      <w:r>
        <w:t>1</w:t>
      </w:r>
      <w:r>
        <w:t>）授权制度</w:t>
      </w:r>
    </w:p>
    <w:p w:rsidR="00595880">
      <w:pPr>
        <w:spacing w:line="360" w:lineRule="auto"/>
        <w:ind w:firstLine="420"/>
      </w:pPr>
      <w: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595880">
      <w:pPr>
        <w:spacing w:line="360" w:lineRule="auto"/>
        <w:ind w:firstLine="420"/>
      </w:pPr>
      <w:r>
        <w:t>（</w:t>
      </w:r>
      <w:r>
        <w:t>2</w:t>
      </w:r>
      <w:r>
        <w:t>）公司研究业务</w:t>
      </w:r>
    </w:p>
    <w:p w:rsidR="00595880">
      <w:pPr>
        <w:spacing w:line="360" w:lineRule="auto"/>
        <w:ind w:firstLine="420"/>
      </w:pPr>
      <w: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595880">
      <w:pPr>
        <w:spacing w:line="360" w:lineRule="auto"/>
        <w:ind w:firstLine="420"/>
      </w:pPr>
      <w:r>
        <w:t>（</w:t>
      </w:r>
      <w:r>
        <w:t>3</w:t>
      </w:r>
      <w:r>
        <w:t>）基金投资业务</w:t>
      </w:r>
    </w:p>
    <w:p w:rsidR="00595880">
      <w:pPr>
        <w:spacing w:line="360" w:lineRule="auto"/>
        <w:ind w:firstLine="420"/>
      </w:pPr>
      <w: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595880">
      <w:pPr>
        <w:spacing w:line="360" w:lineRule="auto"/>
        <w:ind w:firstLine="420"/>
      </w:pPr>
      <w:r>
        <w:t>（</w:t>
      </w:r>
      <w:r>
        <w:t>4</w:t>
      </w:r>
      <w:r>
        <w:t>）交易业务</w:t>
      </w:r>
    </w:p>
    <w:p w:rsidR="00595880">
      <w:pPr>
        <w:spacing w:line="360" w:lineRule="auto"/>
        <w:ind w:firstLine="420"/>
      </w:pPr>
      <w: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595880">
      <w:pPr>
        <w:spacing w:line="360" w:lineRule="auto"/>
        <w:ind w:firstLine="420"/>
      </w:pPr>
      <w:r>
        <w:t>（</w:t>
      </w:r>
      <w:r>
        <w:t>5</w:t>
      </w:r>
      <w:r>
        <w:t>）基金会计核算</w:t>
      </w:r>
    </w:p>
    <w:p w:rsidR="00595880">
      <w:pPr>
        <w:spacing w:line="360" w:lineRule="auto"/>
        <w:ind w:firstLine="420"/>
      </w:pPr>
      <w: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595880">
      <w:pPr>
        <w:spacing w:line="360" w:lineRule="auto"/>
        <w:ind w:firstLine="420"/>
      </w:pPr>
      <w:r>
        <w:t>（</w:t>
      </w:r>
      <w:r>
        <w:t>6</w:t>
      </w:r>
      <w:r>
        <w:t>）信息披露</w:t>
      </w:r>
    </w:p>
    <w:p w:rsidR="00595880">
      <w:pPr>
        <w:spacing w:line="360" w:lineRule="auto"/>
        <w:ind w:firstLine="420"/>
      </w:pPr>
      <w:r>
        <w:t>公司建立了完备的信息披露制度，指定了信息披露负责人，并建立了相应的制度流程规范相关信息的收集、组织、审核和发布，努力确保公开披露的信息真实、准确、完整、及时。</w:t>
      </w:r>
    </w:p>
    <w:p w:rsidR="00595880">
      <w:pPr>
        <w:spacing w:line="360" w:lineRule="auto"/>
        <w:ind w:firstLine="420"/>
      </w:pPr>
      <w:r>
        <w:t>（</w:t>
      </w:r>
      <w:r>
        <w:t>7</w:t>
      </w:r>
      <w:r>
        <w:t>）监察与合规管理</w:t>
      </w:r>
    </w:p>
    <w:p w:rsidR="00595880">
      <w:pPr>
        <w:spacing w:line="360" w:lineRule="auto"/>
        <w:ind w:firstLine="420"/>
      </w:pPr>
      <w: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595880">
      <w:pPr>
        <w:spacing w:line="360" w:lineRule="auto"/>
        <w:ind w:firstLine="420"/>
      </w:pPr>
      <w:r>
        <w:t>公司设立监察合规管理部门，并保障其独立性。监察合规管理部门按照公司规定和督察长的安排履行监察与合规管理职责。</w:t>
      </w:r>
    </w:p>
    <w:p w:rsidR="00595880">
      <w:pPr>
        <w:spacing w:line="360" w:lineRule="auto"/>
        <w:ind w:firstLine="420"/>
      </w:pPr>
      <w:r>
        <w:t>监察合规管理部门通过定期或不定期检查内部控制制度的执行情况，督促公司和旗下基金的管理运作规范进行。</w:t>
      </w:r>
    </w:p>
    <w:p w:rsidR="00595880">
      <w:pPr>
        <w:spacing w:line="360" w:lineRule="auto"/>
        <w:ind w:firstLine="420"/>
      </w:pPr>
      <w:r>
        <w:t>公司董事会和管理层充分重视和支持监察与合规管理工作，对违反法律、法规和公司内部控制制度的，追究有关部门和人员的责任。</w:t>
      </w:r>
    </w:p>
    <w:p w:rsidR="00595880">
      <w:pPr>
        <w:spacing w:line="360" w:lineRule="auto"/>
        <w:ind w:firstLine="420"/>
      </w:pPr>
      <w:r>
        <w:t>5</w:t>
      </w:r>
      <w:r>
        <w:t>、基金管理人关于内部控制制度声明书</w:t>
      </w:r>
    </w:p>
    <w:p w:rsidR="00595880">
      <w:pPr>
        <w:spacing w:line="360" w:lineRule="auto"/>
        <w:ind w:firstLine="420"/>
      </w:pPr>
      <w:r>
        <w:t>（</w:t>
      </w:r>
      <w:r>
        <w:t>1</w:t>
      </w:r>
      <w:r>
        <w:t>）本公司承诺以上关于内部控制制度的披露真实、准确；</w:t>
      </w:r>
    </w:p>
    <w:p w:rsidR="00CF6850" w:rsidRPr="00971660" w:rsidP="00CF6850">
      <w:pPr>
        <w:pStyle w:val="a"/>
        <w:autoSpaceDE w:val="0"/>
        <w:autoSpaceDN w:val="0"/>
        <w:adjustRightInd w:val="0"/>
        <w:snapToGrid w:val="0"/>
        <w:spacing w:line="360" w:lineRule="auto"/>
        <w:ind w:firstLine="420" w:firstLineChars="200"/>
        <w:rPr>
          <w:szCs w:val="21"/>
        </w:rPr>
      </w:pPr>
      <w:r w:rsidRPr="00CF6850">
        <w:rPr>
          <w:rFonts w:asciiTheme="minorEastAsia" w:eastAsiaTheme="minorEastAsia" w:hAnsiTheme="minorEastAsia" w:hint="eastAsia"/>
          <w:color w:val="000000" w:themeColor="text1"/>
          <w:szCs w:val="21"/>
        </w:rPr>
        <w:t>（</w:t>
      </w:r>
      <w:r w:rsidRPr="00CF6850">
        <w:rPr>
          <w:rFonts w:asciiTheme="minorEastAsia" w:eastAsiaTheme="minorEastAsia" w:hAnsiTheme="minorEastAsia"/>
          <w:color w:val="000000" w:themeColor="text1"/>
          <w:szCs w:val="21"/>
        </w:rPr>
        <w:t>2</w:t>
      </w:r>
      <w:r w:rsidRPr="00CF6850">
        <w:rPr>
          <w:rFonts w:asciiTheme="minorEastAsia" w:eastAsiaTheme="minorEastAsia" w:hAnsiTheme="minorEastAsia" w:hint="eastAsia"/>
          <w:color w:val="000000" w:themeColor="text1"/>
          <w:szCs w:val="21"/>
        </w:rPr>
        <w:t>）本公司承诺根据市场变化和公司业务发展不断完善内部控制制度</w:t>
      </w:r>
      <w:r w:rsidRPr="00252974">
        <w:rPr>
          <w:rFonts w:hint="eastAsia"/>
        </w:rPr>
        <w:t>。</w:t>
      </w:r>
      <w:bookmarkStart w:id="20" w:name="_Toc296526926"/>
      <w:bookmarkStart w:id="21" w:name="_Toc296526927"/>
      <w:bookmarkStart w:id="22" w:name="_Toc296526928"/>
      <w:bookmarkStart w:id="23" w:name="_Toc296526929"/>
      <w:bookmarkStart w:id="24" w:name="_Toc296526931"/>
      <w:bookmarkStart w:id="25" w:name="_Toc296526932"/>
      <w:bookmarkStart w:id="26" w:name="_Toc296526933"/>
      <w:bookmarkStart w:id="27" w:name="_Toc296526934"/>
      <w:bookmarkStart w:id="28" w:name="_Toc296526936"/>
      <w:bookmarkStart w:id="29" w:name="_Toc296526958"/>
      <w:bookmarkStart w:id="30" w:name="_Toc272569765"/>
      <w:bookmarkStart w:id="31" w:name="_Toc272569766"/>
      <w:bookmarkStart w:id="32" w:name="_Toc272569767"/>
      <w:bookmarkStart w:id="33" w:name="_Toc272569768"/>
      <w:bookmarkStart w:id="34" w:name="_Toc272569769"/>
      <w:bookmarkStart w:id="35" w:name="_Toc272569770"/>
      <w:bookmarkStart w:id="36" w:name="_Toc272569771"/>
      <w:bookmarkStart w:id="37" w:name="_Toc272569772"/>
      <w:bookmarkStart w:id="38" w:name="_Toc272569773"/>
      <w:bookmarkStart w:id="39" w:name="_Toc296440126"/>
      <w:bookmarkStart w:id="40" w:name="_Toc296526963"/>
      <w:bookmarkStart w:id="41" w:name="_Toc296526974"/>
      <w:bookmarkStart w:id="42" w:name="_Toc323051000"/>
      <w:bookmarkStart w:id="43" w:name="_Toc308697488"/>
      <w:bookmarkStart w:id="44" w:name="_Toc309286010"/>
      <w:bookmarkStart w:id="45" w:name="_Toc296526989"/>
      <w:bookmarkStart w:id="46" w:name="_Toc323051008"/>
      <w:bookmarkStart w:id="47" w:name="_Toc296526992"/>
      <w:bookmarkStart w:id="48" w:name="_Toc296526993"/>
      <w:bookmarkStart w:id="49" w:name="_Toc277752499"/>
      <w:bookmarkStart w:id="50" w:name="_Toc277786078"/>
      <w:bookmarkStart w:id="51" w:name="_Toc277787599"/>
      <w:bookmarkStart w:id="52" w:name="_Toc277787873"/>
      <w:bookmarkStart w:id="53" w:name="_Toc278409384"/>
      <w:bookmarkStart w:id="54" w:name="_Toc308697497"/>
      <w:bookmarkStart w:id="55" w:name="_Toc309286019"/>
      <w:bookmarkStart w:id="56" w:name="_Toc308697498"/>
      <w:bookmarkStart w:id="57" w:name="_Toc309286020"/>
      <w:bookmarkStart w:id="58" w:name="_Toc308697499"/>
      <w:bookmarkStart w:id="59" w:name="_Toc309286021"/>
      <w:bookmarkStart w:id="60" w:name="_Toc308697500"/>
      <w:bookmarkStart w:id="61" w:name="_Toc309286022"/>
      <w:bookmarkStart w:id="62" w:name="_Toc308697501"/>
      <w:bookmarkStart w:id="63" w:name="_Toc309286023"/>
      <w:bookmarkStart w:id="64" w:name="_Toc308697502"/>
      <w:bookmarkStart w:id="65" w:name="_Toc309286024"/>
      <w:bookmarkStart w:id="66" w:name="_Toc308697503"/>
      <w:bookmarkStart w:id="67" w:name="_Toc309286025"/>
      <w:bookmarkStart w:id="68" w:name="_Toc308697504"/>
      <w:bookmarkStart w:id="69" w:name="_Toc309286026"/>
      <w:bookmarkStart w:id="70" w:name="_Toc308697505"/>
      <w:bookmarkStart w:id="71" w:name="_Toc309286027"/>
      <w:bookmarkStart w:id="72" w:name="_Toc308697506"/>
      <w:bookmarkStart w:id="73" w:name="_Toc309286028"/>
      <w:bookmarkStart w:id="74" w:name="_Toc308697507"/>
      <w:bookmarkStart w:id="75" w:name="_Toc309286029"/>
      <w:bookmarkStart w:id="76" w:name="_Toc308697508"/>
      <w:bookmarkStart w:id="77" w:name="_Toc309286030"/>
      <w:bookmarkStart w:id="78" w:name="_Toc308697509"/>
      <w:bookmarkStart w:id="79" w:name="_Toc309286031"/>
      <w:bookmarkStart w:id="80" w:name="_Toc308697510"/>
      <w:bookmarkStart w:id="81" w:name="_Toc309286032"/>
      <w:bookmarkStart w:id="82" w:name="_Toc308697511"/>
      <w:bookmarkStart w:id="83" w:name="_Toc309286033"/>
      <w:bookmarkStart w:id="84" w:name="_Toc308697512"/>
      <w:bookmarkStart w:id="85" w:name="_Toc309286034"/>
      <w:bookmarkStart w:id="86" w:name="_Toc308697513"/>
      <w:bookmarkStart w:id="87" w:name="_Toc309286035"/>
      <w:bookmarkStart w:id="88" w:name="_Toc277752504"/>
      <w:bookmarkStart w:id="89" w:name="_Toc277786083"/>
      <w:bookmarkStart w:id="90" w:name="_Toc277787604"/>
      <w:bookmarkStart w:id="91" w:name="_Toc277787878"/>
      <w:bookmarkStart w:id="92" w:name="_Toc278409389"/>
      <w:bookmarkStart w:id="93" w:name="_Toc277752505"/>
      <w:bookmarkStart w:id="94" w:name="_Toc277786084"/>
      <w:bookmarkStart w:id="95" w:name="_Toc277787605"/>
      <w:bookmarkStart w:id="96" w:name="_Toc277787879"/>
      <w:bookmarkStart w:id="97" w:name="_Toc278409390"/>
      <w:bookmarkStart w:id="98" w:name="_Toc277752506"/>
      <w:bookmarkStart w:id="99" w:name="_Toc277786085"/>
      <w:bookmarkStart w:id="100" w:name="_Toc277787606"/>
      <w:bookmarkStart w:id="101" w:name="_Toc277787880"/>
      <w:bookmarkStart w:id="102" w:name="_Toc278409391"/>
      <w:bookmarkStart w:id="103" w:name="_Toc277752507"/>
      <w:bookmarkStart w:id="104" w:name="_Toc277786086"/>
      <w:bookmarkStart w:id="105" w:name="_Toc277787607"/>
      <w:bookmarkStart w:id="106" w:name="_Toc277787881"/>
      <w:bookmarkStart w:id="107" w:name="_Toc278409392"/>
      <w:bookmarkStart w:id="108" w:name="_Toc277752508"/>
      <w:bookmarkStart w:id="109" w:name="_Toc277786087"/>
      <w:bookmarkStart w:id="110" w:name="_Toc277787608"/>
      <w:bookmarkStart w:id="111" w:name="_Toc277787882"/>
      <w:bookmarkStart w:id="112" w:name="_Toc278409393"/>
      <w:bookmarkStart w:id="113" w:name="_Toc277752509"/>
      <w:bookmarkStart w:id="114" w:name="_Toc277786088"/>
      <w:bookmarkStart w:id="115" w:name="_Toc277787609"/>
      <w:bookmarkStart w:id="116" w:name="_Toc277787883"/>
      <w:bookmarkStart w:id="117" w:name="_Toc278409394"/>
      <w:bookmarkStart w:id="118" w:name="_Hlt70481650"/>
      <w:bookmarkStart w:id="119" w:name="_Toc308697516"/>
      <w:bookmarkStart w:id="120" w:name="_Toc309286038"/>
      <w:bookmarkStart w:id="121" w:name="_Toc308697517"/>
      <w:bookmarkStart w:id="122" w:name="_Toc309286039"/>
      <w:bookmarkStart w:id="123" w:name="_Toc296527004"/>
      <w:bookmarkStart w:id="124" w:name="_Hlt88827255"/>
      <w:bookmarkStart w:id="125" w:name="_Toc308697541"/>
      <w:bookmarkStart w:id="126" w:name="_Toc309286063"/>
      <w:bookmarkStart w:id="127" w:name="_Toc308697542"/>
      <w:bookmarkStart w:id="128" w:name="_Toc309286064"/>
      <w:bookmarkStart w:id="129" w:name="_Toc308697543"/>
      <w:bookmarkStart w:id="130" w:name="_Toc309286065"/>
      <w:bookmarkStart w:id="131" w:name="_Toc306614238"/>
      <w:bookmarkStart w:id="132" w:name="_Toc310512463"/>
      <w:bookmarkStart w:id="133" w:name="_Toc310512627"/>
      <w:bookmarkStart w:id="134" w:name="_Toc310512780"/>
      <w:bookmarkStart w:id="135" w:name="_Toc310512933"/>
      <w:bookmarkStart w:id="136" w:name="_Toc310513073"/>
      <w:bookmarkStart w:id="137" w:name="_Toc310513212"/>
      <w:bookmarkStart w:id="138" w:name="_Toc310513348"/>
      <w:bookmarkStart w:id="139" w:name="_Toc323051024"/>
      <w:bookmarkStart w:id="140" w:name="_Toc310512464"/>
      <w:bookmarkStart w:id="141" w:name="_Toc310512628"/>
      <w:bookmarkStart w:id="142" w:name="_Toc310512781"/>
      <w:bookmarkStart w:id="143" w:name="_Toc310512934"/>
      <w:bookmarkStart w:id="144" w:name="_Toc310513074"/>
      <w:bookmarkStart w:id="145" w:name="_Toc310513213"/>
      <w:bookmarkStart w:id="146" w:name="_Toc310513349"/>
      <w:bookmarkStart w:id="147" w:name="_Toc323051025"/>
      <w:bookmarkStart w:id="148" w:name="_Toc310512465"/>
      <w:bookmarkStart w:id="149" w:name="_Toc310512629"/>
      <w:bookmarkStart w:id="150" w:name="_Toc310512782"/>
      <w:bookmarkStart w:id="151" w:name="_Toc310512935"/>
      <w:bookmarkStart w:id="152" w:name="_Toc310513075"/>
      <w:bookmarkStart w:id="153" w:name="_Toc310513214"/>
      <w:bookmarkStart w:id="154" w:name="_Toc310513350"/>
      <w:bookmarkStart w:id="155" w:name="_Toc323051026"/>
      <w:bookmarkStart w:id="156" w:name="_Hlt88841837"/>
      <w:bookmarkStart w:id="157" w:name="_Hlt88900062"/>
      <w:bookmarkStart w:id="158" w:name="_Toc308697560"/>
      <w:bookmarkStart w:id="159" w:name="_Toc309286082"/>
      <w:bookmarkStart w:id="160" w:name="_Toc308697561"/>
      <w:bookmarkStart w:id="161" w:name="_Toc309286083"/>
      <w:bookmarkStart w:id="162" w:name="_Toc308697562"/>
      <w:bookmarkStart w:id="163" w:name="_Toc309286084"/>
      <w:bookmarkStart w:id="164" w:name="_Toc185222016"/>
      <w:bookmarkStart w:id="165" w:name="_Toc185222488"/>
      <w:bookmarkStart w:id="166" w:name="_Toc185222591"/>
      <w:bookmarkStart w:id="167" w:name="_Toc185222757"/>
      <w:bookmarkStart w:id="168" w:name="_Hlt80958353"/>
      <w:bookmarkStart w:id="169" w:name="_Toc278409426"/>
      <w:bookmarkStart w:id="170" w:name="_Toc323051053"/>
      <w:bookmarkStart w:id="171" w:name="_Toc323051054"/>
      <w:bookmarkStart w:id="172" w:name="_Toc323051055"/>
      <w:bookmarkStart w:id="173" w:name="_Toc308697583"/>
      <w:bookmarkStart w:id="174" w:name="_Toc309286105"/>
      <w:bookmarkStart w:id="175" w:name="_Toc308697584"/>
      <w:bookmarkStart w:id="176" w:name="_Toc309286106"/>
      <w:bookmarkStart w:id="177" w:name="_Toc308697585"/>
      <w:bookmarkStart w:id="178" w:name="_Toc309286107"/>
      <w:bookmarkStart w:id="179" w:name="_Toc308697586"/>
      <w:bookmarkStart w:id="180" w:name="_Toc309286108"/>
      <w:bookmarkStart w:id="181" w:name="_Toc308697587"/>
      <w:bookmarkStart w:id="182" w:name="_Toc309286109"/>
      <w:bookmarkStart w:id="183" w:name="_Toc308697588"/>
      <w:bookmarkStart w:id="184" w:name="_Toc309286110"/>
      <w:bookmarkStart w:id="185" w:name="_Toc308697589"/>
      <w:bookmarkStart w:id="186" w:name="_Toc309286111"/>
      <w:bookmarkStart w:id="187" w:name="_Toc308697590"/>
      <w:bookmarkStart w:id="188" w:name="_Toc309286112"/>
      <w:bookmarkStart w:id="189" w:name="_Toc308697591"/>
      <w:bookmarkStart w:id="190" w:name="_Toc309286113"/>
      <w:bookmarkStart w:id="191" w:name="_Toc308697592"/>
      <w:bookmarkStart w:id="192" w:name="_Toc309286114"/>
      <w:bookmarkStart w:id="193" w:name="_Toc308697593"/>
      <w:bookmarkStart w:id="194" w:name="_Toc309286115"/>
      <w:bookmarkStart w:id="195" w:name="_Toc308697594"/>
      <w:bookmarkStart w:id="196" w:name="_Toc309286116"/>
      <w:bookmarkStart w:id="197" w:name="_Toc308697595"/>
      <w:bookmarkStart w:id="198" w:name="_Toc309286117"/>
      <w:bookmarkStart w:id="199" w:name="_Toc308697596"/>
      <w:bookmarkStart w:id="200" w:name="_Toc309286118"/>
      <w:bookmarkStart w:id="201" w:name="_Toc308697597"/>
      <w:bookmarkStart w:id="202" w:name="_Toc309286119"/>
      <w:bookmarkStart w:id="203" w:name="_Toc308697598"/>
      <w:bookmarkStart w:id="204" w:name="_Toc309286120"/>
      <w:bookmarkStart w:id="205" w:name="_Toc308697599"/>
      <w:bookmarkStart w:id="206" w:name="_Toc309286121"/>
      <w:bookmarkStart w:id="207" w:name="_Toc308697600"/>
      <w:bookmarkStart w:id="208" w:name="_Toc309286122"/>
      <w:bookmarkStart w:id="209" w:name="_Toc308697601"/>
      <w:bookmarkStart w:id="210" w:name="_Toc309286123"/>
      <w:bookmarkStart w:id="211" w:name="_Toc308697602"/>
      <w:bookmarkStart w:id="212" w:name="_Toc309286124"/>
      <w:bookmarkStart w:id="213" w:name="_Toc308697603"/>
      <w:bookmarkStart w:id="214" w:name="_Toc309286125"/>
      <w:bookmarkStart w:id="215" w:name="_Toc308697604"/>
      <w:bookmarkStart w:id="216" w:name="_Toc309286126"/>
      <w:bookmarkStart w:id="217" w:name="_Toc308697605"/>
      <w:bookmarkStart w:id="218" w:name="_Toc309286127"/>
      <w:bookmarkStart w:id="219" w:name="_Toc308697606"/>
      <w:bookmarkStart w:id="220" w:name="_Toc309286128"/>
      <w:bookmarkStart w:id="221" w:name="_Toc308697607"/>
      <w:bookmarkStart w:id="222" w:name="_Toc309286129"/>
      <w:bookmarkStart w:id="223" w:name="_Toc308697608"/>
      <w:bookmarkStart w:id="224" w:name="_Toc309286130"/>
      <w:bookmarkStart w:id="225" w:name="_Toc308697609"/>
      <w:bookmarkStart w:id="226" w:name="_Toc309286131"/>
      <w:bookmarkStart w:id="227" w:name="_Toc308697610"/>
      <w:bookmarkStart w:id="228" w:name="_Toc309286132"/>
      <w:bookmarkStart w:id="229" w:name="_Toc308697611"/>
      <w:bookmarkStart w:id="230" w:name="_Toc309286133"/>
      <w:bookmarkStart w:id="231" w:name="_Toc308697612"/>
      <w:bookmarkStart w:id="232" w:name="_Toc309286134"/>
      <w:bookmarkStart w:id="233" w:name="_Toc308697613"/>
      <w:bookmarkStart w:id="234" w:name="_Toc309286135"/>
      <w:bookmarkStart w:id="235" w:name="_Toc308697614"/>
      <w:bookmarkStart w:id="236" w:name="_Toc309286136"/>
      <w:bookmarkStart w:id="237" w:name="_Toc308697615"/>
      <w:bookmarkStart w:id="238" w:name="_Toc309286137"/>
      <w:bookmarkStart w:id="239" w:name="_Toc308697616"/>
      <w:bookmarkStart w:id="240" w:name="_Toc309286138"/>
      <w:bookmarkStart w:id="241" w:name="_Toc308697617"/>
      <w:bookmarkStart w:id="242" w:name="_Toc309286139"/>
      <w:bookmarkStart w:id="243" w:name="_Toc308697618"/>
      <w:bookmarkStart w:id="244" w:name="_Toc309286140"/>
      <w:bookmarkStart w:id="245" w:name="_Toc308697619"/>
      <w:bookmarkStart w:id="246" w:name="_Toc309286141"/>
      <w:bookmarkStart w:id="247" w:name="_Toc308697620"/>
      <w:bookmarkStart w:id="248" w:name="_Toc309286142"/>
      <w:bookmarkStart w:id="249" w:name="_Toc308697621"/>
      <w:bookmarkStart w:id="250" w:name="_Toc309286143"/>
      <w:bookmarkStart w:id="251" w:name="_Toc308697622"/>
      <w:bookmarkStart w:id="252" w:name="_Toc309286144"/>
      <w:bookmarkStart w:id="253" w:name="_Toc308697623"/>
      <w:bookmarkStart w:id="254" w:name="_Toc309286145"/>
      <w:bookmarkStart w:id="255" w:name="_Toc308697624"/>
      <w:bookmarkStart w:id="256" w:name="_Toc309286146"/>
      <w:bookmarkStart w:id="257" w:name="_Toc308697625"/>
      <w:bookmarkStart w:id="258" w:name="_Toc309286147"/>
      <w:bookmarkStart w:id="259" w:name="_Toc308697626"/>
      <w:bookmarkStart w:id="260" w:name="_Toc309286148"/>
      <w:bookmarkStart w:id="261" w:name="_Toc308697627"/>
      <w:bookmarkStart w:id="262" w:name="_Toc309286149"/>
      <w:bookmarkStart w:id="263" w:name="_Toc308697628"/>
      <w:bookmarkStart w:id="264" w:name="_Toc309286150"/>
      <w:bookmarkStart w:id="265" w:name="_Toc308697629"/>
      <w:bookmarkStart w:id="266" w:name="_Toc309286151"/>
      <w:bookmarkStart w:id="267" w:name="_Toc308697630"/>
      <w:bookmarkStart w:id="268" w:name="_Toc309286152"/>
      <w:bookmarkStart w:id="269" w:name="_Toc308697631"/>
      <w:bookmarkStart w:id="270" w:name="_Toc309286153"/>
      <w:bookmarkStart w:id="271" w:name="_Toc308697632"/>
      <w:bookmarkStart w:id="272" w:name="_Toc309286154"/>
      <w:bookmarkStart w:id="273" w:name="_Toc308697633"/>
      <w:bookmarkStart w:id="274" w:name="_Toc309286155"/>
      <w:bookmarkStart w:id="275" w:name="_Toc308697634"/>
      <w:bookmarkStart w:id="276" w:name="_Toc309286156"/>
      <w:bookmarkStart w:id="277" w:name="_Toc308697635"/>
      <w:bookmarkStart w:id="278" w:name="_Toc309286157"/>
      <w:bookmarkStart w:id="279" w:name="_Toc308697636"/>
      <w:bookmarkStart w:id="280" w:name="_Toc309286158"/>
      <w:bookmarkStart w:id="281" w:name="_Toc308697637"/>
      <w:bookmarkStart w:id="282" w:name="_Toc309286159"/>
      <w:bookmarkStart w:id="283" w:name="_Toc308697638"/>
      <w:bookmarkStart w:id="284" w:name="_Toc309286160"/>
      <w:bookmarkStart w:id="285" w:name="_Toc308697639"/>
      <w:bookmarkStart w:id="286" w:name="_Toc309286161"/>
      <w:bookmarkStart w:id="287" w:name="_Toc308697640"/>
      <w:bookmarkStart w:id="288" w:name="_Toc309286162"/>
      <w:bookmarkStart w:id="289" w:name="_Toc308697641"/>
      <w:bookmarkStart w:id="290" w:name="_Toc309286163"/>
      <w:bookmarkStart w:id="291" w:name="_Toc308697642"/>
      <w:bookmarkStart w:id="292" w:name="_Toc309286164"/>
      <w:bookmarkStart w:id="293" w:name="_Toc308697643"/>
      <w:bookmarkStart w:id="294" w:name="_Toc309286165"/>
      <w:bookmarkStart w:id="295" w:name="_Toc308697644"/>
      <w:bookmarkStart w:id="296" w:name="_Toc309286166"/>
      <w:bookmarkStart w:id="297" w:name="_Toc308697645"/>
      <w:bookmarkStart w:id="298" w:name="_Toc309286167"/>
      <w:bookmarkStart w:id="299" w:name="_Toc308697646"/>
      <w:bookmarkStart w:id="300" w:name="_Toc309286168"/>
      <w:bookmarkStart w:id="301" w:name="_Toc308697647"/>
      <w:bookmarkStart w:id="302" w:name="_Toc309286169"/>
      <w:bookmarkStart w:id="303" w:name="_Toc308697648"/>
      <w:bookmarkStart w:id="304" w:name="_Toc309286170"/>
      <w:bookmarkStart w:id="305" w:name="_Toc308697649"/>
      <w:bookmarkStart w:id="306" w:name="_Toc309286171"/>
      <w:bookmarkStart w:id="307" w:name="_Toc308697650"/>
      <w:bookmarkStart w:id="308" w:name="_Toc309286172"/>
      <w:bookmarkStart w:id="309" w:name="_Toc308697651"/>
      <w:bookmarkStart w:id="310" w:name="_Toc309286173"/>
      <w:bookmarkStart w:id="311" w:name="_Toc308697652"/>
      <w:bookmarkStart w:id="312" w:name="_Toc309286174"/>
      <w:bookmarkStart w:id="313" w:name="_Toc308697653"/>
      <w:bookmarkStart w:id="314" w:name="_Toc309286175"/>
      <w:bookmarkStart w:id="315" w:name="_Toc308697654"/>
      <w:bookmarkStart w:id="316" w:name="_Toc309286176"/>
      <w:bookmarkStart w:id="317" w:name="_Toc308697655"/>
      <w:bookmarkStart w:id="318" w:name="_Toc309286177"/>
      <w:bookmarkStart w:id="319" w:name="_Toc308697656"/>
      <w:bookmarkStart w:id="320" w:name="_Toc309286178"/>
      <w:bookmarkStart w:id="321" w:name="_Toc308697657"/>
      <w:bookmarkStart w:id="322" w:name="_Toc309286179"/>
      <w:bookmarkStart w:id="323" w:name="_Toc308697658"/>
      <w:bookmarkStart w:id="324" w:name="_Toc309286180"/>
      <w:bookmarkStart w:id="325" w:name="_Toc308697659"/>
      <w:bookmarkStart w:id="326" w:name="_Toc309286181"/>
      <w:bookmarkStart w:id="327" w:name="_Toc308697660"/>
      <w:bookmarkStart w:id="328" w:name="_Toc309286182"/>
      <w:bookmarkStart w:id="329" w:name="_Toc308697661"/>
      <w:bookmarkStart w:id="330" w:name="_Toc309286183"/>
      <w:bookmarkStart w:id="331" w:name="_Toc308697662"/>
      <w:bookmarkStart w:id="332" w:name="_Toc309286184"/>
      <w:bookmarkStart w:id="333" w:name="_Toc308697663"/>
      <w:bookmarkStart w:id="334" w:name="_Toc309286185"/>
      <w:bookmarkStart w:id="335" w:name="_Toc308697664"/>
      <w:bookmarkStart w:id="336" w:name="_Toc309286186"/>
      <w:bookmarkStart w:id="337" w:name="_Toc308697665"/>
      <w:bookmarkStart w:id="338" w:name="_Toc309286187"/>
      <w:bookmarkStart w:id="339" w:name="_Toc308697666"/>
      <w:bookmarkStart w:id="340" w:name="_Toc309286188"/>
      <w:bookmarkStart w:id="341" w:name="_Toc308697667"/>
      <w:bookmarkStart w:id="342" w:name="_Toc309286189"/>
      <w:bookmarkStart w:id="343" w:name="_Toc308697668"/>
      <w:bookmarkStart w:id="344" w:name="_Toc309286190"/>
      <w:bookmarkStart w:id="345" w:name="_Toc308697669"/>
      <w:bookmarkStart w:id="346" w:name="_Toc309286191"/>
      <w:bookmarkStart w:id="347" w:name="_Toc308697670"/>
      <w:bookmarkStart w:id="348" w:name="_Toc309286192"/>
      <w:bookmarkStart w:id="349" w:name="_Toc308697671"/>
      <w:bookmarkStart w:id="350" w:name="_Toc309286193"/>
      <w:bookmarkStart w:id="351" w:name="_Toc308697672"/>
      <w:bookmarkStart w:id="352" w:name="_Toc309286194"/>
      <w:bookmarkStart w:id="353" w:name="_Toc308697673"/>
      <w:bookmarkStart w:id="354" w:name="_Toc309286195"/>
      <w:bookmarkStart w:id="355" w:name="_Toc308697674"/>
      <w:bookmarkStart w:id="356" w:name="_Toc309286196"/>
      <w:bookmarkStart w:id="357" w:name="_Toc308697675"/>
      <w:bookmarkStart w:id="358" w:name="_Toc309286197"/>
      <w:bookmarkStart w:id="359" w:name="_Toc308697676"/>
      <w:bookmarkStart w:id="360" w:name="_Toc309286198"/>
      <w:bookmarkStart w:id="361" w:name="_Toc308697677"/>
      <w:bookmarkStart w:id="362" w:name="_Toc309286199"/>
      <w:bookmarkStart w:id="363" w:name="_Toc308697678"/>
      <w:bookmarkStart w:id="364" w:name="_Toc309286200"/>
      <w:bookmarkStart w:id="365" w:name="_Toc308697679"/>
      <w:bookmarkStart w:id="366" w:name="_Toc309286201"/>
      <w:bookmarkStart w:id="367" w:name="_Toc308697680"/>
      <w:bookmarkStart w:id="368" w:name="_Toc309286202"/>
      <w:bookmarkStart w:id="369" w:name="_Toc308697681"/>
      <w:bookmarkStart w:id="370" w:name="_Toc309286203"/>
      <w:bookmarkStart w:id="371" w:name="_Toc308697682"/>
      <w:bookmarkStart w:id="372" w:name="_Toc309286204"/>
      <w:bookmarkStart w:id="373" w:name="_Toc308697683"/>
      <w:bookmarkStart w:id="374" w:name="_Toc309286205"/>
      <w:bookmarkStart w:id="375" w:name="_Toc308697684"/>
      <w:bookmarkStart w:id="376" w:name="_Toc309286206"/>
      <w:bookmarkStart w:id="377" w:name="_Toc308697685"/>
      <w:bookmarkStart w:id="378" w:name="_Toc309286207"/>
      <w:bookmarkStart w:id="379" w:name="_Toc272569090"/>
      <w:bookmarkStart w:id="380" w:name="_Toc272569242"/>
      <w:bookmarkStart w:id="381" w:name="_Toc272569426"/>
      <w:bookmarkStart w:id="382" w:name="_Toc272569563"/>
      <w:bookmarkStart w:id="383" w:name="_Toc272569699"/>
      <w:bookmarkStart w:id="384" w:name="_Toc272569850"/>
      <w:bookmarkStart w:id="385" w:name="_Toc272570173"/>
      <w:bookmarkStart w:id="386" w:name="_Toc272570307"/>
      <w:bookmarkStart w:id="387" w:name="_Toc272570440"/>
      <w:bookmarkStart w:id="388" w:name="_Toc272570574"/>
      <w:bookmarkStart w:id="389" w:name="_Toc272570707"/>
      <w:bookmarkStart w:id="390" w:name="_Toc272570840"/>
      <w:bookmarkStart w:id="391" w:name="_Toc272569091"/>
      <w:bookmarkStart w:id="392" w:name="_Toc272569243"/>
      <w:bookmarkStart w:id="393" w:name="_Toc272569427"/>
      <w:bookmarkStart w:id="394" w:name="_Toc272569564"/>
      <w:bookmarkStart w:id="395" w:name="_Toc272569700"/>
      <w:bookmarkStart w:id="396" w:name="_Toc272569851"/>
      <w:bookmarkStart w:id="397" w:name="_Toc272570174"/>
      <w:bookmarkStart w:id="398" w:name="_Toc272570308"/>
      <w:bookmarkStart w:id="399" w:name="_Toc272570441"/>
      <w:bookmarkStart w:id="400" w:name="_Toc272570575"/>
      <w:bookmarkStart w:id="401" w:name="_Toc272570708"/>
      <w:bookmarkStart w:id="402" w:name="_Toc272570841"/>
      <w:bookmarkStart w:id="403" w:name="_Toc272569093"/>
      <w:bookmarkStart w:id="404" w:name="_Toc272569245"/>
      <w:bookmarkStart w:id="405" w:name="_Toc272569429"/>
      <w:bookmarkStart w:id="406" w:name="_Toc272569566"/>
      <w:bookmarkStart w:id="407" w:name="_Toc272569702"/>
      <w:bookmarkStart w:id="408" w:name="_Toc272569853"/>
      <w:bookmarkStart w:id="409" w:name="_Toc272570176"/>
      <w:bookmarkStart w:id="410" w:name="_Toc272570310"/>
      <w:bookmarkStart w:id="411" w:name="_Toc272570443"/>
      <w:bookmarkStart w:id="412" w:name="_Toc272570577"/>
      <w:bookmarkStart w:id="413" w:name="_Toc272570710"/>
      <w:bookmarkStart w:id="414" w:name="_Toc272570843"/>
      <w:bookmarkStart w:id="415" w:name="_Toc272569094"/>
      <w:bookmarkStart w:id="416" w:name="_Toc272569246"/>
      <w:bookmarkStart w:id="417" w:name="_Toc272569430"/>
      <w:bookmarkStart w:id="418" w:name="_Toc272569567"/>
      <w:bookmarkStart w:id="419" w:name="_Toc272569703"/>
      <w:bookmarkStart w:id="420" w:name="_Toc272569854"/>
      <w:bookmarkStart w:id="421" w:name="_Toc272570177"/>
      <w:bookmarkStart w:id="422" w:name="_Toc272570311"/>
      <w:bookmarkStart w:id="423" w:name="_Toc272570444"/>
      <w:bookmarkStart w:id="424" w:name="_Toc272570578"/>
      <w:bookmarkStart w:id="425" w:name="_Toc272570711"/>
      <w:bookmarkStart w:id="426" w:name="_Toc272570844"/>
      <w:bookmarkStart w:id="427" w:name="_Toc272569095"/>
      <w:bookmarkStart w:id="428" w:name="_Toc272569247"/>
      <w:bookmarkStart w:id="429" w:name="_Toc272569431"/>
      <w:bookmarkStart w:id="430" w:name="_Toc272569568"/>
      <w:bookmarkStart w:id="431" w:name="_Toc272569704"/>
      <w:bookmarkStart w:id="432" w:name="_Toc272569855"/>
      <w:bookmarkStart w:id="433" w:name="_Toc272570178"/>
      <w:bookmarkStart w:id="434" w:name="_Toc272570312"/>
      <w:bookmarkStart w:id="435" w:name="_Toc272570445"/>
      <w:bookmarkStart w:id="436" w:name="_Toc272570579"/>
      <w:bookmarkStart w:id="437" w:name="_Toc272570712"/>
      <w:bookmarkStart w:id="438" w:name="_Toc272570845"/>
      <w:bookmarkStart w:id="439" w:name="_Toc272569096"/>
      <w:bookmarkStart w:id="440" w:name="_Toc272569248"/>
      <w:bookmarkStart w:id="441" w:name="_Toc272569432"/>
      <w:bookmarkStart w:id="442" w:name="_Toc272569569"/>
      <w:bookmarkStart w:id="443" w:name="_Toc272569705"/>
      <w:bookmarkStart w:id="444" w:name="_Toc272569856"/>
      <w:bookmarkStart w:id="445" w:name="_Toc272570179"/>
      <w:bookmarkStart w:id="446" w:name="_Toc272570313"/>
      <w:bookmarkStart w:id="447" w:name="_Toc272570446"/>
      <w:bookmarkStart w:id="448" w:name="_Toc272570580"/>
      <w:bookmarkStart w:id="449" w:name="_Toc272570713"/>
      <w:bookmarkStart w:id="450" w:name="_Toc272570846"/>
      <w:bookmarkStart w:id="451" w:name="_Toc272569097"/>
      <w:bookmarkStart w:id="452" w:name="_Toc272569249"/>
      <w:bookmarkStart w:id="453" w:name="_Toc272569433"/>
      <w:bookmarkStart w:id="454" w:name="_Toc272569570"/>
      <w:bookmarkStart w:id="455" w:name="_Toc272569706"/>
      <w:bookmarkStart w:id="456" w:name="_Toc272569857"/>
      <w:bookmarkStart w:id="457" w:name="_Toc272570180"/>
      <w:bookmarkStart w:id="458" w:name="_Toc272570314"/>
      <w:bookmarkStart w:id="459" w:name="_Toc272570447"/>
      <w:bookmarkStart w:id="460" w:name="_Toc272570581"/>
      <w:bookmarkStart w:id="461" w:name="_Toc272570714"/>
      <w:bookmarkStart w:id="462" w:name="_Toc272570847"/>
      <w:bookmarkStart w:id="463" w:name="_Toc272569098"/>
      <w:bookmarkStart w:id="464" w:name="_Toc272569250"/>
      <w:bookmarkStart w:id="465" w:name="_Toc272569434"/>
      <w:bookmarkStart w:id="466" w:name="_Toc272569571"/>
      <w:bookmarkStart w:id="467" w:name="_Toc272569707"/>
      <w:bookmarkStart w:id="468" w:name="_Toc272569858"/>
      <w:bookmarkStart w:id="469" w:name="_Toc272570181"/>
      <w:bookmarkStart w:id="470" w:name="_Toc272570315"/>
      <w:bookmarkStart w:id="471" w:name="_Toc272570448"/>
      <w:bookmarkStart w:id="472" w:name="_Toc272570582"/>
      <w:bookmarkStart w:id="473" w:name="_Toc272570715"/>
      <w:bookmarkStart w:id="474" w:name="_Toc272570848"/>
      <w:bookmarkStart w:id="475" w:name="_Toc272569099"/>
      <w:bookmarkStart w:id="476" w:name="_Toc272569251"/>
      <w:bookmarkStart w:id="477" w:name="_Toc272569435"/>
      <w:bookmarkStart w:id="478" w:name="_Toc272569572"/>
      <w:bookmarkStart w:id="479" w:name="_Toc272569708"/>
      <w:bookmarkStart w:id="480" w:name="_Toc272569859"/>
      <w:bookmarkStart w:id="481" w:name="_Toc272570182"/>
      <w:bookmarkStart w:id="482" w:name="_Toc272570316"/>
      <w:bookmarkStart w:id="483" w:name="_Toc272570449"/>
      <w:bookmarkStart w:id="484" w:name="_Toc272570583"/>
      <w:bookmarkStart w:id="485" w:name="_Toc272570716"/>
      <w:bookmarkStart w:id="486" w:name="_Toc272570849"/>
      <w:bookmarkStart w:id="487" w:name="_Toc272569100"/>
      <w:bookmarkStart w:id="488" w:name="_Toc272569252"/>
      <w:bookmarkStart w:id="489" w:name="_Toc272569436"/>
      <w:bookmarkStart w:id="490" w:name="_Toc272569573"/>
      <w:bookmarkStart w:id="491" w:name="_Toc272569709"/>
      <w:bookmarkStart w:id="492" w:name="_Toc272569860"/>
      <w:bookmarkStart w:id="493" w:name="_Toc272570183"/>
      <w:bookmarkStart w:id="494" w:name="_Toc272570317"/>
      <w:bookmarkStart w:id="495" w:name="_Toc272570450"/>
      <w:bookmarkStart w:id="496" w:name="_Toc272570584"/>
      <w:bookmarkStart w:id="497" w:name="_Toc272570717"/>
      <w:bookmarkStart w:id="498" w:name="_Toc272570850"/>
      <w:bookmarkStart w:id="499" w:name="_Toc272569102"/>
      <w:bookmarkStart w:id="500" w:name="_Toc272569254"/>
      <w:bookmarkStart w:id="501" w:name="_Toc272569438"/>
      <w:bookmarkStart w:id="502" w:name="_Toc272569575"/>
      <w:bookmarkStart w:id="503" w:name="_Toc272569711"/>
      <w:bookmarkStart w:id="504" w:name="_Toc272569862"/>
      <w:bookmarkStart w:id="505" w:name="_Toc272570185"/>
      <w:bookmarkStart w:id="506" w:name="_Toc272570319"/>
      <w:bookmarkStart w:id="507" w:name="_Toc272570452"/>
      <w:bookmarkStart w:id="508" w:name="_Toc272570586"/>
      <w:bookmarkStart w:id="509" w:name="_Toc272570719"/>
      <w:bookmarkStart w:id="510" w:name="_Toc272570852"/>
      <w:bookmarkStart w:id="511" w:name="_Toc272569103"/>
      <w:bookmarkStart w:id="512" w:name="_Toc272569255"/>
      <w:bookmarkStart w:id="513" w:name="_Toc272569439"/>
      <w:bookmarkStart w:id="514" w:name="_Toc272569576"/>
      <w:bookmarkStart w:id="515" w:name="_Toc272569712"/>
      <w:bookmarkStart w:id="516" w:name="_Toc272569863"/>
      <w:bookmarkStart w:id="517" w:name="_Toc272570186"/>
      <w:bookmarkStart w:id="518" w:name="_Toc272570320"/>
      <w:bookmarkStart w:id="519" w:name="_Toc272570453"/>
      <w:bookmarkStart w:id="520" w:name="_Toc272570587"/>
      <w:bookmarkStart w:id="521" w:name="_Toc272570720"/>
      <w:bookmarkStart w:id="522" w:name="_Toc272570853"/>
      <w:bookmarkStart w:id="523" w:name="_Toc272569104"/>
      <w:bookmarkStart w:id="524" w:name="_Toc272569256"/>
      <w:bookmarkStart w:id="525" w:name="_Toc272569440"/>
      <w:bookmarkStart w:id="526" w:name="_Toc272569577"/>
      <w:bookmarkStart w:id="527" w:name="_Toc272569713"/>
      <w:bookmarkStart w:id="528" w:name="_Toc272569864"/>
      <w:bookmarkStart w:id="529" w:name="_Toc272570187"/>
      <w:bookmarkStart w:id="530" w:name="_Toc272570321"/>
      <w:bookmarkStart w:id="531" w:name="_Toc272570454"/>
      <w:bookmarkStart w:id="532" w:name="_Toc272570588"/>
      <w:bookmarkStart w:id="533" w:name="_Toc272570721"/>
      <w:bookmarkStart w:id="534" w:name="_Toc272570854"/>
      <w:bookmarkStart w:id="535" w:name="_Toc272569105"/>
      <w:bookmarkStart w:id="536" w:name="_Toc272569257"/>
      <w:bookmarkStart w:id="537" w:name="_Toc272569441"/>
      <w:bookmarkStart w:id="538" w:name="_Toc272569578"/>
      <w:bookmarkStart w:id="539" w:name="_Toc272569714"/>
      <w:bookmarkStart w:id="540" w:name="_Toc272569865"/>
      <w:bookmarkStart w:id="541" w:name="_Toc272570188"/>
      <w:bookmarkStart w:id="542" w:name="_Toc272570322"/>
      <w:bookmarkStart w:id="543" w:name="_Toc272570455"/>
      <w:bookmarkStart w:id="544" w:name="_Toc272570589"/>
      <w:bookmarkStart w:id="545" w:name="_Toc272570722"/>
      <w:bookmarkStart w:id="546" w:name="_Toc272570855"/>
      <w:bookmarkStart w:id="547" w:name="_Toc272569106"/>
      <w:bookmarkStart w:id="548" w:name="_Toc272569258"/>
      <w:bookmarkStart w:id="549" w:name="_Toc272569442"/>
      <w:bookmarkStart w:id="550" w:name="_Toc272569579"/>
      <w:bookmarkStart w:id="551" w:name="_Toc272569715"/>
      <w:bookmarkStart w:id="552" w:name="_Toc272569866"/>
      <w:bookmarkStart w:id="553" w:name="_Toc272570189"/>
      <w:bookmarkStart w:id="554" w:name="_Toc272570323"/>
      <w:bookmarkStart w:id="555" w:name="_Toc272570456"/>
      <w:bookmarkStart w:id="556" w:name="_Toc272570590"/>
      <w:bookmarkStart w:id="557" w:name="_Toc272570723"/>
      <w:bookmarkStart w:id="558" w:name="_Toc272570856"/>
      <w:bookmarkStart w:id="559" w:name="_Toc272569107"/>
      <w:bookmarkStart w:id="560" w:name="_Toc272569259"/>
      <w:bookmarkStart w:id="561" w:name="_Toc272569443"/>
      <w:bookmarkStart w:id="562" w:name="_Toc272569580"/>
      <w:bookmarkStart w:id="563" w:name="_Toc272569716"/>
      <w:bookmarkStart w:id="564" w:name="_Toc272569867"/>
      <w:bookmarkStart w:id="565" w:name="_Toc272570190"/>
      <w:bookmarkStart w:id="566" w:name="_Toc272570324"/>
      <w:bookmarkStart w:id="567" w:name="_Toc272570457"/>
      <w:bookmarkStart w:id="568" w:name="_Toc272570591"/>
      <w:bookmarkStart w:id="569" w:name="_Toc272570724"/>
      <w:bookmarkStart w:id="570" w:name="_Toc272570857"/>
      <w:bookmarkStart w:id="571" w:name="_Toc272569108"/>
      <w:bookmarkStart w:id="572" w:name="_Toc272569260"/>
      <w:bookmarkStart w:id="573" w:name="_Toc272569444"/>
      <w:bookmarkStart w:id="574" w:name="_Toc272569581"/>
      <w:bookmarkStart w:id="575" w:name="_Toc272569717"/>
      <w:bookmarkStart w:id="576" w:name="_Toc272569868"/>
      <w:bookmarkStart w:id="577" w:name="_Toc272570191"/>
      <w:bookmarkStart w:id="578" w:name="_Toc272570325"/>
      <w:bookmarkStart w:id="579" w:name="_Toc272570458"/>
      <w:bookmarkStart w:id="580" w:name="_Toc272570592"/>
      <w:bookmarkStart w:id="581" w:name="_Toc272570725"/>
      <w:bookmarkStart w:id="582" w:name="_Toc272570858"/>
      <w:bookmarkStart w:id="583" w:name="_Toc272569109"/>
      <w:bookmarkStart w:id="584" w:name="_Toc272569261"/>
      <w:bookmarkStart w:id="585" w:name="_Toc272569445"/>
      <w:bookmarkStart w:id="586" w:name="_Toc272569582"/>
      <w:bookmarkStart w:id="587" w:name="_Toc272569718"/>
      <w:bookmarkStart w:id="588" w:name="_Toc272569869"/>
      <w:bookmarkStart w:id="589" w:name="_Toc272570192"/>
      <w:bookmarkStart w:id="590" w:name="_Toc272570326"/>
      <w:bookmarkStart w:id="591" w:name="_Toc272570459"/>
      <w:bookmarkStart w:id="592" w:name="_Toc272570593"/>
      <w:bookmarkStart w:id="593" w:name="_Toc272570726"/>
      <w:bookmarkStart w:id="594" w:name="_Toc272570859"/>
      <w:bookmarkStart w:id="595" w:name="_Toc308697698"/>
      <w:bookmarkStart w:id="596" w:name="_Toc309286220"/>
      <w:bookmarkStart w:id="597" w:name="_Toc308697699"/>
      <w:bookmarkStart w:id="598" w:name="_Toc309286221"/>
      <w:bookmarkStart w:id="599" w:name="_Toc308697700"/>
      <w:bookmarkStart w:id="600" w:name="_Toc309286222"/>
      <w:bookmarkStart w:id="601" w:name="_Toc308697701"/>
      <w:bookmarkStart w:id="602" w:name="_Toc309286223"/>
      <w:bookmarkStart w:id="603" w:name="_Toc308697702"/>
      <w:bookmarkStart w:id="604" w:name="_Toc309286224"/>
      <w:bookmarkStart w:id="605" w:name="_Toc308697703"/>
      <w:bookmarkStart w:id="606" w:name="_Toc309286225"/>
      <w:bookmarkStart w:id="607" w:name="_Toc308697704"/>
      <w:bookmarkStart w:id="608" w:name="_Toc309286226"/>
      <w:bookmarkStart w:id="609" w:name="_Toc308697705"/>
      <w:bookmarkStart w:id="610" w:name="_Toc309286227"/>
      <w:bookmarkStart w:id="611" w:name="_Toc308697706"/>
      <w:bookmarkStart w:id="612" w:name="_Toc309286228"/>
      <w:bookmarkStart w:id="613" w:name="_Toc296440221"/>
      <w:bookmarkStart w:id="614" w:name="_Toc272569113"/>
      <w:bookmarkStart w:id="615" w:name="_Toc272569265"/>
      <w:bookmarkStart w:id="616" w:name="_Toc272569449"/>
      <w:bookmarkStart w:id="617" w:name="_Toc272569586"/>
      <w:bookmarkStart w:id="618" w:name="_Toc272569722"/>
      <w:bookmarkStart w:id="619" w:name="_Toc272569873"/>
      <w:bookmarkStart w:id="620" w:name="_Toc272569114"/>
      <w:bookmarkStart w:id="621" w:name="_Toc272569266"/>
      <w:bookmarkStart w:id="622" w:name="_Toc272569450"/>
      <w:bookmarkStart w:id="623" w:name="_Toc272569587"/>
      <w:bookmarkStart w:id="624" w:name="_Toc272569723"/>
      <w:bookmarkStart w:id="625" w:name="_Toc272569874"/>
      <w:bookmarkStart w:id="626" w:name="_Toc272569115"/>
      <w:bookmarkStart w:id="627" w:name="_Toc272569267"/>
      <w:bookmarkStart w:id="628" w:name="_Toc272569451"/>
      <w:bookmarkStart w:id="629" w:name="_Toc272569588"/>
      <w:bookmarkStart w:id="630" w:name="_Toc272569724"/>
      <w:bookmarkStart w:id="631" w:name="_Toc272569875"/>
      <w:bookmarkStart w:id="632" w:name="_Toc272569116"/>
      <w:bookmarkStart w:id="633" w:name="_Toc272569268"/>
      <w:bookmarkStart w:id="634" w:name="_Toc272569452"/>
      <w:bookmarkStart w:id="635" w:name="_Toc272569589"/>
      <w:bookmarkStart w:id="636" w:name="_Toc272569725"/>
      <w:bookmarkStart w:id="637" w:name="_Toc272569876"/>
      <w:bookmarkStart w:id="638" w:name="_Toc272569117"/>
      <w:bookmarkStart w:id="639" w:name="_Toc272569269"/>
      <w:bookmarkStart w:id="640" w:name="_Toc272569453"/>
      <w:bookmarkStart w:id="641" w:name="_Toc272569590"/>
      <w:bookmarkStart w:id="642" w:name="_Toc272569726"/>
      <w:bookmarkStart w:id="643" w:name="_Toc272569877"/>
      <w:bookmarkStart w:id="644" w:name="_Toc272569118"/>
      <w:bookmarkStart w:id="645" w:name="_Toc272569270"/>
      <w:bookmarkStart w:id="646" w:name="_Toc272569454"/>
      <w:bookmarkStart w:id="647" w:name="_Toc272569591"/>
      <w:bookmarkStart w:id="648" w:name="_Toc272569727"/>
      <w:bookmarkStart w:id="649" w:name="_Toc272569878"/>
      <w:bookmarkStart w:id="650" w:name="_Hlt88825574"/>
      <w:bookmarkStart w:id="651" w:name="_Hlt88897298"/>
      <w:bookmarkStart w:id="652" w:name="_Hlt88820702"/>
      <w:bookmarkStart w:id="653" w:name="_Toc308697714"/>
      <w:bookmarkStart w:id="654" w:name="_Toc309286236"/>
      <w:bookmarkStart w:id="655" w:name="_Hlt133147570"/>
      <w:bookmarkStart w:id="656" w:name="_Hlt133151691"/>
      <w:bookmarkStart w:id="657" w:name="_Hlt73429199"/>
      <w:bookmarkStart w:id="658" w:name="_Toc308697716"/>
      <w:bookmarkStart w:id="659" w:name="_Toc309286238"/>
      <w:bookmarkStart w:id="660" w:name="_Toc308697717"/>
      <w:bookmarkStart w:id="661" w:name="_Toc309286239"/>
      <w:bookmarkStart w:id="662" w:name="_Toc308697718"/>
      <w:bookmarkStart w:id="663" w:name="_Toc309286240"/>
      <w:bookmarkStart w:id="664" w:name="_Toc308697719"/>
      <w:bookmarkStart w:id="665" w:name="_Toc309286241"/>
      <w:bookmarkStart w:id="666" w:name="_Toc308697720"/>
      <w:bookmarkStart w:id="667" w:name="_Toc309286242"/>
      <w:bookmarkStart w:id="668" w:name="_Toc308697721"/>
      <w:bookmarkStart w:id="669" w:name="_Toc309286243"/>
      <w:bookmarkStart w:id="670" w:name="_Toc308697722"/>
      <w:bookmarkStart w:id="671" w:name="_Toc309286244"/>
      <w:bookmarkStart w:id="672" w:name="_Toc308697723"/>
      <w:bookmarkStart w:id="673" w:name="_Toc30928624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4B7DBE" w:rsidRPr="00621B7F" w:rsidP="0024035D">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sectPr w:rsidSect="006B7524">
          <w:pgSz w:w="11907" w:h="16840" w:code="9"/>
          <w:pgMar w:top="1440" w:right="1800" w:bottom="1440" w:left="1800" w:header="1134" w:footer="1247" w:gutter="0"/>
          <w:cols w:space="425"/>
          <w:docGrid w:type="lines" w:linePitch="312"/>
        </w:sectPr>
      </w:pP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color w:val="000000" w:themeColor="text1"/>
        </w:rPr>
      </w:pPr>
      <w:bookmarkStart w:id="674" w:name="_Toc91752020"/>
      <w:r w:rsidRPr="00621B7F">
        <w:rPr>
          <w:rFonts w:asciiTheme="minorEastAsia" w:eastAsiaTheme="minorEastAsia" w:hAnsiTheme="minorEastAsia" w:hint="eastAsia"/>
          <w:bCs/>
          <w:color w:val="000000" w:themeColor="text1"/>
        </w:rPr>
        <w:t>四、基金托管人</w:t>
      </w:r>
      <w:bookmarkEnd w:id="674"/>
    </w:p>
    <w:p w:rsidR="00D83048" w:rsidRPr="000D49F4" w:rsidP="00063CA4">
      <w:pPr>
        <w:pStyle w:val="Footer"/>
        <w:autoSpaceDE w:val="0"/>
        <w:autoSpaceDN w:val="0"/>
        <w:adjustRightInd w:val="0"/>
        <w:spacing w:line="360" w:lineRule="auto"/>
        <w:ind w:firstLine="420"/>
        <w:rPr>
          <w:rFonts w:ascii="宋体" w:eastAsia="宋体" w:hAnsi="宋体"/>
          <w:sz w:val="21"/>
          <w:szCs w:val="21"/>
        </w:rPr>
      </w:pPr>
      <w:r w:rsidRPr="000D49F4">
        <w:rPr>
          <w:rFonts w:ascii="宋体" w:eastAsia="宋体" w:hAnsi="宋体" w:hint="eastAsia"/>
          <w:sz w:val="21"/>
          <w:szCs w:val="21"/>
        </w:rPr>
        <w:t xml:space="preserve">（一）基金托管人基本情况 </w:t>
      </w:r>
    </w:p>
    <w:p w:rsidR="00D83048" w:rsidRPr="000D49F4" w:rsidP="00063CA4">
      <w:pPr>
        <w:pStyle w:val="Footer"/>
        <w:autoSpaceDE w:val="0"/>
        <w:autoSpaceDN w:val="0"/>
        <w:adjustRightInd w:val="0"/>
        <w:spacing w:line="360" w:lineRule="auto"/>
        <w:ind w:firstLine="420"/>
        <w:rPr>
          <w:rFonts w:ascii="宋体" w:eastAsia="宋体" w:hAnsi="宋体"/>
          <w:sz w:val="21"/>
          <w:szCs w:val="21"/>
        </w:rPr>
      </w:pPr>
      <w:r w:rsidRPr="000D49F4">
        <w:rPr>
          <w:rFonts w:ascii="宋体" w:eastAsia="宋体" w:hAnsi="宋体" w:hint="eastAsia"/>
          <w:sz w:val="21"/>
          <w:szCs w:val="21"/>
        </w:rPr>
        <w:t>名称：中国工商银行股份有限公司</w:t>
      </w:r>
    </w:p>
    <w:p w:rsidR="00D83048" w:rsidRPr="000D49F4" w:rsidP="00063CA4">
      <w:pPr>
        <w:pStyle w:val="Footer"/>
        <w:autoSpaceDE w:val="0"/>
        <w:autoSpaceDN w:val="0"/>
        <w:adjustRightInd w:val="0"/>
        <w:spacing w:line="360" w:lineRule="auto"/>
        <w:ind w:firstLine="420"/>
        <w:rPr>
          <w:rFonts w:ascii="宋体" w:eastAsia="宋体" w:hAnsi="宋体"/>
          <w:sz w:val="21"/>
          <w:szCs w:val="21"/>
        </w:rPr>
      </w:pPr>
      <w:r w:rsidRPr="000D49F4">
        <w:rPr>
          <w:rFonts w:ascii="宋体" w:eastAsia="宋体" w:hAnsi="宋体" w:hint="eastAsia"/>
          <w:sz w:val="21"/>
          <w:szCs w:val="21"/>
        </w:rPr>
        <w:t>注册地址：北京市西城区复兴门内大街55号</w:t>
      </w:r>
    </w:p>
    <w:p w:rsidR="00D83048" w:rsidRPr="000D49F4" w:rsidP="00063CA4">
      <w:pPr>
        <w:pStyle w:val="Footer"/>
        <w:autoSpaceDE w:val="0"/>
        <w:autoSpaceDN w:val="0"/>
        <w:adjustRightInd w:val="0"/>
        <w:spacing w:line="360" w:lineRule="auto"/>
        <w:ind w:firstLine="420"/>
        <w:rPr>
          <w:rFonts w:ascii="宋体" w:eastAsia="宋体" w:hAnsi="宋体"/>
          <w:sz w:val="21"/>
          <w:szCs w:val="21"/>
        </w:rPr>
      </w:pPr>
      <w:r w:rsidRPr="000D49F4">
        <w:rPr>
          <w:rFonts w:ascii="宋体" w:eastAsia="宋体" w:hAnsi="宋体" w:hint="eastAsia"/>
          <w:sz w:val="21"/>
          <w:szCs w:val="21"/>
        </w:rPr>
        <w:t>成立时间：</w:t>
      </w:r>
      <w:r w:rsidRPr="000D49F4" w:rsidR="00731B05">
        <w:rPr>
          <w:rFonts w:ascii="宋体" w:eastAsia="宋体" w:hAnsi="宋体"/>
          <w:spacing w:val="6"/>
          <w:sz w:val="21"/>
          <w:szCs w:val="21"/>
        </w:rPr>
        <w:t>198</w:t>
      </w:r>
      <w:r w:rsidRPr="000D49F4" w:rsidR="00731B05">
        <w:rPr>
          <w:rFonts w:ascii="宋体" w:eastAsia="宋体" w:hAnsi="宋体" w:hint="eastAsia"/>
          <w:spacing w:val="6"/>
          <w:sz w:val="21"/>
          <w:szCs w:val="21"/>
        </w:rPr>
        <w:t>4</w:t>
      </w:r>
      <w:r w:rsidRPr="000D49F4" w:rsidR="00731B05">
        <w:rPr>
          <w:rFonts w:ascii="宋体" w:eastAsia="宋体" w:hAnsi="宋体"/>
          <w:spacing w:val="6"/>
          <w:sz w:val="21"/>
          <w:szCs w:val="21"/>
        </w:rPr>
        <w:t>年</w:t>
      </w:r>
      <w:r w:rsidRPr="000D49F4" w:rsidR="00731B05">
        <w:rPr>
          <w:rFonts w:ascii="宋体" w:eastAsia="宋体" w:hAnsi="宋体" w:hint="eastAsia"/>
          <w:spacing w:val="6"/>
          <w:sz w:val="21"/>
          <w:szCs w:val="21"/>
        </w:rPr>
        <w:t>1</w:t>
      </w:r>
      <w:r w:rsidRPr="000D49F4" w:rsidR="00731B05">
        <w:rPr>
          <w:rFonts w:ascii="宋体" w:eastAsia="宋体" w:hAnsi="宋体"/>
          <w:spacing w:val="6"/>
          <w:sz w:val="21"/>
          <w:szCs w:val="21"/>
        </w:rPr>
        <w:t>月</w:t>
      </w:r>
      <w:r w:rsidRPr="000D49F4" w:rsidR="00731B05">
        <w:rPr>
          <w:rFonts w:ascii="宋体" w:eastAsia="宋体" w:hAnsi="宋体" w:hint="eastAsia"/>
          <w:spacing w:val="6"/>
          <w:sz w:val="21"/>
          <w:szCs w:val="21"/>
        </w:rPr>
        <w:t>1</w:t>
      </w:r>
      <w:r w:rsidRPr="000D49F4" w:rsidR="00731B05">
        <w:rPr>
          <w:rFonts w:ascii="宋体" w:eastAsia="宋体" w:hAnsi="宋体"/>
          <w:spacing w:val="6"/>
          <w:sz w:val="21"/>
          <w:szCs w:val="21"/>
        </w:rPr>
        <w:t>日</w:t>
      </w:r>
    </w:p>
    <w:p w:rsidR="00D83048" w:rsidRPr="000D49F4" w:rsidP="00063CA4">
      <w:pPr>
        <w:pStyle w:val="Footer"/>
        <w:autoSpaceDE w:val="0"/>
        <w:autoSpaceDN w:val="0"/>
        <w:adjustRightInd w:val="0"/>
        <w:spacing w:line="360" w:lineRule="auto"/>
        <w:ind w:firstLine="420"/>
        <w:rPr>
          <w:rFonts w:ascii="宋体" w:eastAsia="宋体" w:hAnsi="宋体"/>
          <w:sz w:val="21"/>
          <w:szCs w:val="21"/>
        </w:rPr>
      </w:pPr>
      <w:r w:rsidRPr="000D49F4">
        <w:rPr>
          <w:rFonts w:ascii="宋体" w:eastAsia="宋体" w:hAnsi="宋体" w:hint="eastAsia"/>
          <w:sz w:val="21"/>
          <w:szCs w:val="21"/>
        </w:rPr>
        <w:t>法定代表人：</w:t>
      </w:r>
      <w:r w:rsidRPr="000D49F4" w:rsidR="007B082E">
        <w:rPr>
          <w:rFonts w:ascii="宋体" w:eastAsia="宋体" w:hAnsi="宋体" w:hint="eastAsia"/>
          <w:sz w:val="21"/>
          <w:szCs w:val="21"/>
        </w:rPr>
        <w:t>陈四清</w:t>
      </w:r>
    </w:p>
    <w:p w:rsidR="00D83048" w:rsidRPr="000D49F4" w:rsidP="00063CA4">
      <w:pPr>
        <w:pStyle w:val="Footer"/>
        <w:autoSpaceDE w:val="0"/>
        <w:autoSpaceDN w:val="0"/>
        <w:adjustRightInd w:val="0"/>
        <w:spacing w:line="360" w:lineRule="auto"/>
        <w:ind w:firstLine="420"/>
        <w:rPr>
          <w:rFonts w:ascii="宋体" w:eastAsia="宋体" w:hAnsi="宋体"/>
          <w:sz w:val="21"/>
          <w:szCs w:val="21"/>
        </w:rPr>
      </w:pPr>
      <w:r w:rsidRPr="000D49F4">
        <w:rPr>
          <w:rFonts w:ascii="宋体" w:eastAsia="宋体" w:hAnsi="宋体" w:hint="eastAsia"/>
          <w:sz w:val="21"/>
          <w:szCs w:val="21"/>
        </w:rPr>
        <w:t>注册资本：</w:t>
      </w:r>
      <w:r w:rsidRPr="000D49F4" w:rsidR="008864C4">
        <w:rPr>
          <w:rFonts w:ascii="宋体" w:eastAsia="宋体" w:hAnsi="宋体" w:hint="eastAsia"/>
          <w:sz w:val="21"/>
          <w:szCs w:val="21"/>
        </w:rPr>
        <w:t>人民币35,640,625.7089万元</w:t>
      </w:r>
    </w:p>
    <w:p w:rsidR="00D83048" w:rsidRPr="000D49F4" w:rsidP="00063CA4">
      <w:pPr>
        <w:pStyle w:val="Footer"/>
        <w:autoSpaceDE w:val="0"/>
        <w:autoSpaceDN w:val="0"/>
        <w:adjustRightInd w:val="0"/>
        <w:spacing w:line="360" w:lineRule="auto"/>
        <w:ind w:firstLine="420"/>
        <w:rPr>
          <w:rFonts w:ascii="宋体" w:eastAsia="宋体" w:hAnsi="宋体"/>
          <w:sz w:val="21"/>
          <w:szCs w:val="21"/>
        </w:rPr>
      </w:pPr>
      <w:r w:rsidRPr="000D49F4">
        <w:rPr>
          <w:rFonts w:ascii="宋体" w:eastAsia="宋体" w:hAnsi="宋体" w:hint="eastAsia"/>
          <w:sz w:val="21"/>
          <w:szCs w:val="21"/>
        </w:rPr>
        <w:t>联系电话：010-66105799</w:t>
      </w:r>
    </w:p>
    <w:p w:rsidR="00D83048" w:rsidRPr="000D49F4" w:rsidP="00063CA4">
      <w:pPr>
        <w:pStyle w:val="Footer"/>
        <w:autoSpaceDE w:val="0"/>
        <w:autoSpaceDN w:val="0"/>
        <w:adjustRightInd w:val="0"/>
        <w:spacing w:line="360" w:lineRule="auto"/>
        <w:ind w:firstLine="420"/>
        <w:rPr>
          <w:rFonts w:ascii="宋体" w:eastAsia="宋体" w:hAnsi="宋体"/>
          <w:sz w:val="21"/>
          <w:szCs w:val="21"/>
        </w:rPr>
      </w:pPr>
      <w:r w:rsidRPr="000D49F4">
        <w:rPr>
          <w:rFonts w:ascii="宋体" w:eastAsia="宋体" w:hAnsi="宋体" w:hint="eastAsia"/>
          <w:sz w:val="21"/>
          <w:szCs w:val="21"/>
        </w:rPr>
        <w:t>联系人：郭明</w:t>
      </w:r>
    </w:p>
    <w:p w:rsidR="00D83048" w:rsidRPr="000D49F4" w:rsidP="00063CA4">
      <w:pPr>
        <w:pStyle w:val="Footer"/>
        <w:autoSpaceDE w:val="0"/>
        <w:autoSpaceDN w:val="0"/>
        <w:adjustRightInd w:val="0"/>
        <w:spacing w:line="360" w:lineRule="auto"/>
        <w:ind w:firstLine="420"/>
        <w:rPr>
          <w:rFonts w:ascii="宋体" w:eastAsia="宋体" w:hAnsi="宋体"/>
          <w:sz w:val="21"/>
          <w:szCs w:val="21"/>
        </w:rPr>
      </w:pPr>
      <w:r w:rsidRPr="000D49F4">
        <w:rPr>
          <w:rFonts w:ascii="宋体" w:eastAsia="宋体" w:hAnsi="宋体" w:hint="eastAsia"/>
          <w:sz w:val="21"/>
          <w:szCs w:val="21"/>
        </w:rPr>
        <w:t>（二）主要人员情况</w:t>
      </w:r>
    </w:p>
    <w:p w:rsidR="00D83048" w:rsidRPr="000D49F4" w:rsidP="00063CA4">
      <w:pPr>
        <w:pStyle w:val="Footer"/>
        <w:autoSpaceDE w:val="0"/>
        <w:autoSpaceDN w:val="0"/>
        <w:adjustRightInd w:val="0"/>
        <w:spacing w:line="360" w:lineRule="auto"/>
        <w:ind w:firstLine="444"/>
        <w:rPr>
          <w:rFonts w:ascii="宋体" w:eastAsia="宋体" w:hAnsi="宋体"/>
          <w:sz w:val="21"/>
          <w:szCs w:val="21"/>
        </w:rPr>
      </w:pPr>
      <w:r w:rsidRPr="000D49F4">
        <w:rPr>
          <w:rFonts w:ascii="宋体" w:eastAsia="宋体" w:hAnsi="宋体" w:hint="eastAsia"/>
          <w:spacing w:val="6"/>
          <w:sz w:val="21"/>
          <w:szCs w:val="21"/>
        </w:rPr>
        <w:t>截至2021年6月，中国工商银行资产托管部共有员工214人，平均年龄34岁，95%以上员工拥有大学本科以上学历，高管人员均拥有研究生以上学历或高级技术职称</w:t>
      </w:r>
      <w:r w:rsidRPr="000D49F4" w:rsidR="00125366">
        <w:rPr>
          <w:rFonts w:ascii="宋体" w:eastAsia="宋体" w:hAnsi="宋体" w:hint="eastAsia"/>
          <w:spacing w:val="6"/>
          <w:sz w:val="21"/>
          <w:szCs w:val="21"/>
        </w:rPr>
        <w:t>。</w:t>
      </w:r>
    </w:p>
    <w:p w:rsidR="00D83048" w:rsidRPr="000D49F4" w:rsidP="002C2AF0">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（三）基金托管业务经营情况</w:t>
      </w:r>
    </w:p>
    <w:p w:rsidR="00AD0AAE" w:rsidRPr="000D49F4" w:rsidP="00E862A5">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优良的服务品质获得国内外金融领域的持续认可和广泛好评</w:t>
      </w:r>
      <w:r w:rsidRPr="000D49F4" w:rsidR="00125366">
        <w:rPr>
          <w:rFonts w:ascii="宋体" w:eastAsia="宋体" w:hAnsi="宋体"/>
          <w:spacing w:val="6"/>
          <w:sz w:val="21"/>
          <w:szCs w:val="21"/>
        </w:rPr>
        <w:t>。</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（四）基金托管人的内部控制制度</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w:t>
      </w:r>
      <w:r w:rsidRPr="000D49F4" w:rsidR="00040DAE">
        <w:rPr>
          <w:rFonts w:ascii="宋体" w:eastAsia="宋体" w:hAnsi="宋体" w:hint="eastAsia"/>
          <w:spacing w:val="6"/>
          <w:sz w:val="21"/>
          <w:szCs w:val="21"/>
        </w:rPr>
        <w:t>十四</w:t>
      </w:r>
      <w:r w:rsidRPr="000D49F4">
        <w:rPr>
          <w:rFonts w:ascii="宋体" w:eastAsia="宋体" w:hAnsi="宋体" w:hint="eastAsia"/>
          <w:spacing w:val="6"/>
          <w:sz w:val="21"/>
          <w:szCs w:val="21"/>
        </w:rPr>
        <w:t>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w:t>
      </w:r>
      <w:r w:rsidRPr="000D49F4" w:rsidR="00DD2F95">
        <w:rPr>
          <w:rFonts w:ascii="宋体" w:eastAsia="宋体" w:hAnsi="宋体" w:hint="eastAsia"/>
          <w:spacing w:val="6"/>
          <w:sz w:val="21"/>
          <w:szCs w:val="21"/>
        </w:rPr>
        <w:t>审阅已经成为年度化、常规化的内控工作手段。</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1、内部风险控制目标</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2、内部风险控制组织结构</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3、内部风险控制原则</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（1）合法性原则。内控制度应当符合国家法律法规及监管机构的监管要求，并贯穿于托管业务经营管理活动的始终。</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（2）完整性原则。托管业务的各项经营管理活动都必须有相应的规范程序和监督制约；监督制约应渗透到托管业务的全过程和各个操作环节，覆盖所有的部门、岗位和人员。</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（3）及时性原则。托管业务经营活动必须在发生时能准确及时地记录；按照“内控优先”的原则，新设机构或新增业务品种时，必须做到已建立相关的规章制度。</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（4）审慎性原则。各项业务经营活动必须防范风险，审慎经营，保证基金资产和其他委托资产的安全与完整。</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（5）有效性原则。内控制度应根据国家政策、法律及经营管理的需要适时修改完善，并保证得到全面落实执行，不得有任何空间、时限及人员的例外。</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（6）独立性原则。设立专门履行托管人职责的管理部门；直接操作人员和控制人员必须相对独立，适当分离；内控制度的检查、评价部门必须独立于内控制度的制定和执行部门。</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4、内部风险控制措施实施</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（4）经营控制。资产托管部通过制定计划、编制预算等方法开展各种业务营销活动、处理各项事务，从而有效地控制和配置组织资源，达到资源利用和效益最大化目的。</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（6）数据安全控制。我们通过业务操作区相对独立、数据和传真加密、数据传输线路的冗余备份、监控设施的运用和保障等措施来保障数据安全。</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5、资产托管部内部风险控制情况</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（1）资产托管部内部设置专职稽核监察部门，配备专职稽核监察人员，在总经理的直接领导下，依照有关法律规章，全面贯彻落实全程监控思想，确保资产托管业务健康、稳定地发展。</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4D3B26" w:rsidRPr="000D49F4" w:rsidP="0024098F">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（五）基金托管人对基金管理人运作基金进行监督的方法和程序</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D3B26" w:rsidRPr="000D49F4" w:rsidP="004D3B26">
      <w:pPr>
        <w:pStyle w:val="Footer"/>
        <w:autoSpaceDE w:val="0"/>
        <w:autoSpaceDN w:val="0"/>
        <w:adjustRightInd w:val="0"/>
        <w:spacing w:line="360" w:lineRule="auto"/>
        <w:ind w:firstLine="444"/>
        <w:rPr>
          <w:rFonts w:ascii="宋体" w:eastAsia="宋体" w:hAnsi="宋体"/>
          <w:spacing w:val="6"/>
          <w:sz w:val="21"/>
          <w:szCs w:val="21"/>
        </w:rPr>
      </w:pPr>
      <w:r w:rsidRPr="000D49F4">
        <w:rPr>
          <w:rFonts w:ascii="宋体" w:eastAsia="宋体" w:hAnsi="宋体" w:hint="eastAsia"/>
          <w:spacing w:val="6"/>
          <w:sz w:val="21"/>
          <w:szCs w:val="21"/>
        </w:rPr>
        <w:t>基金托管人发现基金管理人有重大违规行为，应立即报告中国证监会，同时通知基金管理人限期纠正。</w:t>
      </w:r>
      <w:r w:rsidRPr="000D49F4">
        <w:rPr>
          <w:rFonts w:ascii="宋体" w:eastAsia="宋体" w:hAnsi="宋体" w:hint="eastAsia"/>
          <w:spacing w:val="6"/>
          <w:sz w:val="21"/>
          <w:szCs w:val="21"/>
        </w:rPr>
        <w:br w:type="page"/>
      </w:r>
    </w:p>
    <w:p w:rsidR="00266A27" w:rsidRPr="00621B7F" w:rsidP="00241F10">
      <w:pPr>
        <w:pStyle w:val="111"/>
        <w:snapToGrid w:val="0"/>
        <w:spacing w:beforeLines="0" w:afterLines="0" w:line="360" w:lineRule="auto"/>
        <w:ind w:firstLine="0" w:firstLineChars="0"/>
        <w:rPr>
          <w:rFonts w:asciiTheme="minorEastAsia" w:eastAsiaTheme="minorEastAsia" w:hAnsiTheme="minorEastAsia"/>
          <w:b/>
          <w:color w:val="000000" w:themeColor="text1"/>
          <w:szCs w:val="32"/>
        </w:rPr>
      </w:pPr>
      <w:bookmarkStart w:id="675" w:name="_Toc91752021"/>
      <w:r w:rsidRPr="00621B7F">
        <w:rPr>
          <w:rFonts w:asciiTheme="minorEastAsia" w:eastAsiaTheme="minorEastAsia" w:hAnsiTheme="minorEastAsia" w:hint="eastAsia"/>
          <w:color w:val="000000" w:themeColor="text1"/>
          <w:szCs w:val="21"/>
        </w:rPr>
        <w:t>五、相关服务机构</w:t>
      </w:r>
      <w:bookmarkEnd w:id="675"/>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676" w:name="_Toc91752022"/>
      <w:r w:rsidRPr="00621B7F">
        <w:rPr>
          <w:rFonts w:asciiTheme="minorEastAsia" w:eastAsiaTheme="minorEastAsia" w:hAnsiTheme="minorEastAsia" w:hint="eastAsia"/>
          <w:b w:val="0"/>
          <w:bCs/>
          <w:color w:val="000000" w:themeColor="text1"/>
          <w:szCs w:val="21"/>
        </w:rPr>
        <w:t>（一）基金份额</w:t>
      </w:r>
      <w:r w:rsidRPr="00621B7F" w:rsidR="00041929">
        <w:rPr>
          <w:rFonts w:asciiTheme="minorEastAsia" w:eastAsiaTheme="minorEastAsia" w:hAnsiTheme="minorEastAsia" w:hint="eastAsia"/>
          <w:b w:val="0"/>
          <w:bCs/>
          <w:color w:val="000000" w:themeColor="text1"/>
          <w:szCs w:val="21"/>
        </w:rPr>
        <w:t>销售</w:t>
      </w:r>
      <w:r w:rsidRPr="00621B7F">
        <w:rPr>
          <w:rFonts w:asciiTheme="minorEastAsia" w:eastAsiaTheme="minorEastAsia" w:hAnsiTheme="minorEastAsia" w:hint="eastAsia"/>
          <w:b w:val="0"/>
          <w:bCs/>
          <w:color w:val="000000" w:themeColor="text1"/>
          <w:szCs w:val="21"/>
        </w:rPr>
        <w:t>机构</w:t>
      </w:r>
      <w:bookmarkEnd w:id="676"/>
    </w:p>
    <w:p w:rsidR="00076098" w:rsidRPr="00621B7F" w:rsidP="00241F10">
      <w:pPr>
        <w:widowControl/>
        <w:tabs>
          <w:tab w:val="num" w:pos="360"/>
        </w:tabs>
        <w:snapToGrid w:val="0"/>
        <w:spacing w:line="360" w:lineRule="auto"/>
        <w:ind w:left="359" w:leftChars="171"/>
        <w:rPr>
          <w:rFonts w:asciiTheme="minorEastAsia" w:eastAsiaTheme="minorEastAsia" w:hAnsiTheme="minorEastAsia" w:cs="宋体"/>
          <w:b/>
          <w:color w:val="000000" w:themeColor="text1"/>
          <w:kern w:val="0"/>
          <w:szCs w:val="21"/>
        </w:rPr>
      </w:pPr>
      <w:r w:rsidRPr="00621B7F">
        <w:rPr>
          <w:rFonts w:asciiTheme="minorEastAsia" w:eastAsiaTheme="minorEastAsia" w:hAnsiTheme="minorEastAsia" w:cs="宋体" w:hint="eastAsia"/>
          <w:b/>
          <w:color w:val="000000" w:themeColor="text1"/>
          <w:kern w:val="0"/>
          <w:szCs w:val="21"/>
        </w:rPr>
        <w:t>1、直销机构</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易方达基金管理有限公司</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注册地址：</w:t>
      </w:r>
      <w:r w:rsidRPr="00621B7F" w:rsidR="00174095">
        <w:rPr>
          <w:rStyle w:val="da"/>
          <w:rFonts w:asciiTheme="minorEastAsia" w:eastAsiaTheme="minorEastAsia" w:hAnsiTheme="minorEastAsia" w:hint="eastAsia"/>
          <w:color w:val="000000" w:themeColor="text1"/>
          <w:szCs w:val="21"/>
        </w:rPr>
        <w:t>广东省珠海市横琴新区宝华路6号105室－42891（集中办公区）</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办公地址：</w:t>
      </w:r>
      <w:r w:rsidRPr="00621B7F" w:rsidR="008A10DC">
        <w:rPr>
          <w:rFonts w:asciiTheme="minorEastAsia" w:eastAsiaTheme="minorEastAsia" w:hAnsiTheme="minorEastAsia" w:cs="宋体" w:hint="eastAsia"/>
          <w:color w:val="000000" w:themeColor="text1"/>
          <w:kern w:val="0"/>
          <w:szCs w:val="21"/>
        </w:rPr>
        <w:t>广州市天河区珠江新城珠江东路30号广州银行大厦40-43楼</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法定代表人：</w:t>
      </w:r>
      <w:r w:rsidRPr="00621B7F" w:rsidR="003A1A82">
        <w:rPr>
          <w:rFonts w:asciiTheme="minorEastAsia" w:eastAsiaTheme="minorEastAsia" w:hAnsiTheme="minorEastAsia" w:cs="宋体" w:hint="eastAsia"/>
          <w:color w:val="000000" w:themeColor="text1"/>
          <w:kern w:val="0"/>
          <w:szCs w:val="21"/>
        </w:rPr>
        <w:t>刘晓艳</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电话：020-85102506</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传真：4008818099</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t>联系人：梁美</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网址：www.efunds.com.cn</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直销机构网点信息：</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t>（</w:t>
      </w:r>
      <w:r>
        <w:t>1</w:t>
      </w:r>
      <w:r>
        <w:t>）易方达基金管理有限公司直销中心</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办公地址：</w:t>
      </w:r>
      <w:r w:rsidRPr="00621B7F" w:rsidR="008A10DC">
        <w:rPr>
          <w:rFonts w:asciiTheme="minorEastAsia" w:eastAsiaTheme="minorEastAsia" w:hAnsiTheme="minorEastAsia" w:cs="宋体" w:hint="eastAsia"/>
          <w:color w:val="000000" w:themeColor="text1"/>
          <w:kern w:val="0"/>
          <w:szCs w:val="21"/>
        </w:rPr>
        <w:t>广州市天河区珠江新城珠江东路30号广州银行大厦40楼</w:t>
      </w:r>
    </w:p>
    <w:p w:rsidR="00595880" w:rsidRPr="00B26BF2" w:rsidP="00B26BF2">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B26BF2">
        <w:rPr>
          <w:rFonts w:asciiTheme="minorEastAsia" w:eastAsiaTheme="minorEastAsia" w:hAnsiTheme="minorEastAsia" w:cs="宋体"/>
          <w:color w:val="000000" w:themeColor="text1"/>
          <w:kern w:val="0"/>
          <w:szCs w:val="21"/>
        </w:rPr>
        <w:t>电话：020-85102506</w:t>
      </w:r>
    </w:p>
    <w:p w:rsidR="00595880" w:rsidRPr="00B26BF2" w:rsidP="00B26BF2">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B26BF2">
        <w:rPr>
          <w:rFonts w:asciiTheme="minorEastAsia" w:eastAsiaTheme="minorEastAsia" w:hAnsiTheme="minorEastAsia" w:cs="宋体"/>
          <w:color w:val="000000" w:themeColor="text1"/>
          <w:kern w:val="0"/>
          <w:szCs w:val="21"/>
        </w:rPr>
        <w:t>传真：4008818099</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B26BF2">
        <w:rPr>
          <w:rFonts w:asciiTheme="minorEastAsia" w:eastAsiaTheme="minorEastAsia" w:hAnsiTheme="minorEastAsia" w:cs="宋体"/>
          <w:color w:val="000000" w:themeColor="text1"/>
          <w:kern w:val="0"/>
          <w:szCs w:val="21"/>
        </w:rPr>
        <w:t>联系人：梁美</w:t>
      </w:r>
    </w:p>
    <w:p w:rsidR="003E4FA5" w:rsidRPr="00621B7F" w:rsidP="00241F10">
      <w:pPr>
        <w:widowControl/>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B26BF2">
        <w:rPr>
          <w:rFonts w:asciiTheme="minorEastAsia" w:eastAsiaTheme="minorEastAsia" w:hAnsiTheme="minorEastAsia" w:cs="宋体"/>
          <w:color w:val="000000" w:themeColor="text1"/>
          <w:kern w:val="0"/>
          <w:szCs w:val="21"/>
        </w:rPr>
        <w:t>（2）易方达基金管理有限公司网上交易系统</w:t>
      </w:r>
    </w:p>
    <w:p w:rsidR="00241F10" w:rsidRPr="00621B7F" w:rsidP="00241F10">
      <w:pPr>
        <w:widowControl/>
        <w:tabs>
          <w:tab w:val="num" w:pos="360"/>
        </w:tabs>
        <w:snapToGrid w:val="0"/>
        <w:spacing w:line="360" w:lineRule="auto"/>
        <w:ind w:left="359" w:leftChars="171"/>
        <w:rPr>
          <w:rFonts w:asciiTheme="minorEastAsia" w:eastAsiaTheme="minorEastAsia" w:hAnsiTheme="minorEastAsia"/>
          <w:color w:val="000000" w:themeColor="text1"/>
          <w:szCs w:val="21"/>
        </w:rPr>
      </w:pPr>
      <w:r w:rsidRPr="00621B7F">
        <w:rPr>
          <w:rFonts w:asciiTheme="minorEastAsia" w:eastAsiaTheme="minorEastAsia" w:hAnsiTheme="minorEastAsia" w:cs="宋体" w:hint="eastAsia"/>
          <w:color w:val="000000" w:themeColor="text1"/>
          <w:kern w:val="0"/>
          <w:szCs w:val="21"/>
        </w:rPr>
        <w:t>网址：www.efunds.com.cn</w:t>
      </w:r>
    </w:p>
    <w:p w:rsidR="00EB017F" w:rsidRPr="00621B7F" w:rsidP="00241F10">
      <w:pPr>
        <w:snapToGrid w:val="0"/>
        <w:spacing w:line="360" w:lineRule="auto"/>
        <w:ind w:firstLine="480"/>
        <w:rPr>
          <w:rFonts w:asciiTheme="minorEastAsia" w:eastAsiaTheme="minorEastAsia" w:hAnsiTheme="minorEastAsia"/>
          <w:color w:val="000000" w:themeColor="text1"/>
          <w:szCs w:val="21"/>
        </w:rPr>
      </w:pPr>
      <w:r w:rsidRPr="00621B7F">
        <w:rPr>
          <w:rFonts w:asciiTheme="minorEastAsia" w:eastAsiaTheme="minorEastAsia" w:hAnsiTheme="minorEastAsia" w:hint="eastAsia"/>
          <w:b/>
          <w:color w:val="000000" w:themeColor="text1"/>
          <w:szCs w:val="21"/>
        </w:rPr>
        <w:t>2</w:t>
      </w:r>
      <w:r w:rsidRPr="00621B7F" w:rsidR="00241F10">
        <w:rPr>
          <w:rFonts w:asciiTheme="minorEastAsia" w:eastAsiaTheme="minorEastAsia" w:hAnsiTheme="minorEastAsia" w:hint="eastAsia"/>
          <w:b/>
          <w:color w:val="000000" w:themeColor="text1"/>
          <w:szCs w:val="21"/>
        </w:rPr>
        <w:t>、</w:t>
      </w:r>
      <w:r w:rsidRPr="00621B7F" w:rsidR="001F2A17">
        <w:rPr>
          <w:rFonts w:asciiTheme="minorEastAsia" w:eastAsiaTheme="minorEastAsia" w:hAnsiTheme="minorEastAsia" w:hint="eastAsia"/>
          <w:b/>
          <w:color w:val="000000" w:themeColor="text1"/>
          <w:szCs w:val="21"/>
        </w:rPr>
        <w:t>非直销销售</w:t>
      </w:r>
      <w:r w:rsidRPr="00621B7F">
        <w:rPr>
          <w:rFonts w:asciiTheme="minorEastAsia" w:eastAsiaTheme="minorEastAsia" w:hAnsiTheme="minorEastAsia" w:hint="eastAsia"/>
          <w:b/>
          <w:color w:val="000000" w:themeColor="text1"/>
          <w:szCs w:val="21"/>
        </w:rPr>
        <w:t>机构</w:t>
      </w:r>
    </w:p>
    <w:p w:rsidR="00595880">
      <w:pPr>
        <w:spacing w:line="360" w:lineRule="auto"/>
        <w:ind w:firstLine="420"/>
      </w:pPr>
      <w:r>
        <w:t>本基金非直销销售机构信息详见基金管理人网站公示。</w:t>
      </w:r>
    </w:p>
    <w:p w:rsidR="00266A27" w:rsidRPr="00621B7F" w:rsidP="00706433">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677" w:name="_Toc91752023"/>
      <w:r w:rsidRPr="00621B7F">
        <w:rPr>
          <w:rFonts w:asciiTheme="minorEastAsia" w:eastAsiaTheme="minorEastAsia" w:hAnsiTheme="minorEastAsia" w:hint="eastAsia"/>
          <w:b w:val="0"/>
          <w:bCs/>
          <w:color w:val="000000" w:themeColor="text1"/>
          <w:szCs w:val="21"/>
        </w:rPr>
        <w:t>（二）基金注册登记机构</w:t>
      </w:r>
      <w:bookmarkEnd w:id="677"/>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名称：易方达基金管理有限公司</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注册地址：</w:t>
      </w:r>
      <w:r w:rsidRPr="00621B7F" w:rsidR="004D69CA">
        <w:rPr>
          <w:rFonts w:asciiTheme="minorEastAsia" w:eastAsiaTheme="minorEastAsia" w:hAnsiTheme="minorEastAsia" w:cs="仿宋_GB2312" w:hint="eastAsia"/>
          <w:color w:val="000000" w:themeColor="text1"/>
          <w:kern w:val="0"/>
        </w:rPr>
        <w:t>广东省珠海市横琴新区宝华路6号105室－42891（集中办公区）</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办公</w:t>
      </w:r>
      <w:r w:rsidRPr="00621B7F">
        <w:rPr>
          <w:rFonts w:asciiTheme="minorEastAsia" w:eastAsiaTheme="minorEastAsia" w:hAnsiTheme="minorEastAsia" w:hint="eastAsia"/>
          <w:color w:val="000000" w:themeColor="text1"/>
        </w:rPr>
        <w:t>地址：</w:t>
      </w:r>
      <w:r w:rsidRPr="00621B7F" w:rsidR="00D12FA4">
        <w:rPr>
          <w:rFonts w:asciiTheme="minorEastAsia" w:eastAsiaTheme="minorEastAsia" w:hAnsiTheme="minorEastAsia" w:cs="仿宋_GB2312" w:hint="eastAsia"/>
          <w:color w:val="000000" w:themeColor="text1"/>
          <w:kern w:val="0"/>
        </w:rPr>
        <w:t>广州市天河区珠江新城珠江东路30号广州银行大厦40-43楼</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法定代表人：</w:t>
      </w:r>
      <w:r w:rsidRPr="00621B7F" w:rsidR="00CD5684">
        <w:rPr>
          <w:rFonts w:asciiTheme="minorEastAsia" w:eastAsiaTheme="minorEastAsia" w:hAnsiTheme="minorEastAsia" w:hint="eastAsia"/>
          <w:color w:val="000000" w:themeColor="text1"/>
        </w:rPr>
        <w:t>刘晓艳</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电话：4008818088</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传真：</w:t>
      </w:r>
      <w:r w:rsidRPr="00621B7F">
        <w:rPr>
          <w:rFonts w:asciiTheme="minorEastAsia" w:eastAsiaTheme="minorEastAsia" w:hAnsiTheme="minorEastAsia"/>
          <w:color w:val="000000" w:themeColor="text1"/>
        </w:rPr>
        <w:t>020</w:t>
      </w:r>
      <w:r w:rsidRPr="00621B7F">
        <w:rPr>
          <w:rFonts w:asciiTheme="minorEastAsia" w:eastAsiaTheme="minorEastAsia" w:hAnsiTheme="minorEastAsia" w:hint="eastAsia"/>
          <w:color w:val="000000" w:themeColor="text1"/>
        </w:rPr>
        <w:t>-38799249</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联系人：余贤高</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678" w:name="_Toc38432430"/>
      <w:bookmarkStart w:id="679" w:name="_Toc91752024"/>
      <w:r w:rsidRPr="00621B7F">
        <w:rPr>
          <w:rFonts w:asciiTheme="minorEastAsia" w:eastAsiaTheme="minorEastAsia" w:hAnsiTheme="minorEastAsia" w:hint="eastAsia"/>
          <w:b w:val="0"/>
          <w:bCs/>
          <w:color w:val="000000" w:themeColor="text1"/>
          <w:szCs w:val="21"/>
        </w:rPr>
        <w:t>（三）律师事务所和经办律师</w:t>
      </w:r>
      <w:bookmarkEnd w:id="678"/>
      <w:bookmarkEnd w:id="679"/>
    </w:p>
    <w:p w:rsidR="002327A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律师事务所：通力律师事务所</w:t>
      </w:r>
    </w:p>
    <w:p w:rsidR="002327A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地址：上海市浦东新区银城中路68号时代金融中心19楼</w:t>
      </w:r>
    </w:p>
    <w:p w:rsidR="0061221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负责人：韩炯</w:t>
      </w:r>
    </w:p>
    <w:p w:rsidR="002327A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电话：021-31358666</w:t>
      </w:r>
    </w:p>
    <w:p w:rsidR="002327A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传真：021-31358600</w:t>
      </w:r>
    </w:p>
    <w:p w:rsidR="002327A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经办律师：吕红、黎明</w:t>
      </w:r>
    </w:p>
    <w:p w:rsidR="002327A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联系人：黎明</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680" w:name="_Toc38432431"/>
      <w:bookmarkStart w:id="681" w:name="_Toc91752025"/>
      <w:r w:rsidRPr="00621B7F">
        <w:rPr>
          <w:rFonts w:asciiTheme="minorEastAsia" w:eastAsiaTheme="minorEastAsia" w:hAnsiTheme="minorEastAsia" w:hint="eastAsia"/>
          <w:b w:val="0"/>
          <w:bCs/>
          <w:color w:val="000000" w:themeColor="text1"/>
          <w:szCs w:val="21"/>
        </w:rPr>
        <w:t>（四）会计师事务所和经办注册会计师</w:t>
      </w:r>
      <w:bookmarkEnd w:id="680"/>
      <w:bookmarkEnd w:id="681"/>
    </w:p>
    <w:p w:rsidR="003A4A82" w:rsidRPr="00621B7F" w:rsidP="003A4A82">
      <w:pPr>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会计师事务所：普华永道中天会计师事务所（特殊普通合伙）</w:t>
      </w:r>
    </w:p>
    <w:p w:rsidR="003A4A82" w:rsidRPr="00621B7F" w:rsidP="003A4A82">
      <w:pPr>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住所：上海市湖滨路202号普华永道中心11楼</w:t>
      </w:r>
    </w:p>
    <w:p w:rsidR="003A4A82" w:rsidRPr="00621B7F" w:rsidP="003A4A82">
      <w:pPr>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办公地址：上海市湖滨路202号普华永道中心11楼</w:t>
      </w:r>
    </w:p>
    <w:p w:rsidR="003A4A82" w:rsidRPr="00621B7F" w:rsidP="003A4A82">
      <w:pPr>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首席合伙人：李丹</w:t>
      </w:r>
    </w:p>
    <w:p w:rsidR="003A4A82" w:rsidRPr="00621B7F" w:rsidP="003A4A82">
      <w:pPr>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电话：（021）23238888</w:t>
      </w:r>
    </w:p>
    <w:p w:rsidR="003A4A82" w:rsidRPr="00621B7F" w:rsidP="003A4A82">
      <w:pPr>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传真：（021）23238800</w:t>
      </w:r>
    </w:p>
    <w:p w:rsidR="003A4A82" w:rsidRPr="00621B7F" w:rsidP="003A4A82">
      <w:pPr>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经办注册会计师：</w:t>
      </w:r>
      <w:r w:rsidRPr="00621B7F" w:rsidR="00706433">
        <w:rPr>
          <w:rFonts w:asciiTheme="minorEastAsia" w:eastAsiaTheme="minorEastAsia" w:hAnsiTheme="minorEastAsia"/>
          <w:color w:val="000000" w:themeColor="text1"/>
        </w:rPr>
        <w:t>陈熹、</w:t>
      </w:r>
      <w:r w:rsidRPr="00621B7F" w:rsidR="006B7524">
        <w:rPr>
          <w:rFonts w:asciiTheme="minorEastAsia" w:eastAsiaTheme="minorEastAsia" w:hAnsiTheme="minorEastAsia" w:hint="eastAsia"/>
          <w:color w:val="000000" w:themeColor="text1"/>
        </w:rPr>
        <w:t>陈轶杰</w:t>
      </w:r>
    </w:p>
    <w:p w:rsidR="003A4A82" w:rsidRPr="00621B7F" w:rsidP="003A4A82">
      <w:pPr>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联系人：周祎</w:t>
      </w:r>
    </w:p>
    <w:p w:rsidR="00266A27"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66A27"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66A27" w:rsidRPr="00621B7F" w:rsidP="00241F10">
      <w:pPr>
        <w:pStyle w:val="111"/>
        <w:pageBreakBefore w:val="0"/>
        <w:snapToGrid w:val="0"/>
        <w:spacing w:beforeLines="0" w:afterLines="0" w:line="360" w:lineRule="auto"/>
        <w:ind w:firstLine="0" w:firstLineChars="0"/>
        <w:rPr>
          <w:rFonts w:asciiTheme="minorEastAsia" w:eastAsiaTheme="minorEastAsia" w:hAnsiTheme="minorEastAsia"/>
          <w:bCs/>
          <w:color w:val="000000" w:themeColor="text1"/>
          <w:szCs w:val="21"/>
        </w:rPr>
      </w:pPr>
      <w:r w:rsidRPr="00621B7F">
        <w:rPr>
          <w:rFonts w:asciiTheme="minorEastAsia" w:eastAsiaTheme="minorEastAsia" w:hAnsiTheme="minorEastAsia"/>
          <w:color w:val="000000" w:themeColor="text1"/>
          <w:szCs w:val="21"/>
        </w:rPr>
        <w:br w:type="page"/>
      </w:r>
      <w:bookmarkStart w:id="682" w:name="_Toc38432432"/>
      <w:bookmarkStart w:id="683" w:name="_Toc91752026"/>
      <w:r w:rsidRPr="00621B7F">
        <w:rPr>
          <w:rFonts w:asciiTheme="minorEastAsia" w:eastAsiaTheme="minorEastAsia" w:hAnsiTheme="minorEastAsia" w:hint="eastAsia"/>
          <w:bCs/>
          <w:color w:val="000000" w:themeColor="text1"/>
          <w:szCs w:val="21"/>
        </w:rPr>
        <w:t>六、基金的募集</w:t>
      </w:r>
      <w:bookmarkEnd w:id="682"/>
      <w:bookmarkEnd w:id="683"/>
    </w:p>
    <w:p w:rsidR="00266A27" w:rsidRPr="00621B7F" w:rsidP="00241F10">
      <w:pPr>
        <w:snapToGrid w:val="0"/>
        <w:spacing w:line="360" w:lineRule="auto"/>
        <w:ind w:firstLine="424" w:firstLineChars="202"/>
        <w:rPr>
          <w:rFonts w:asciiTheme="minorEastAsia" w:eastAsiaTheme="minorEastAsia" w:hAnsiTheme="minorEastAsia"/>
          <w:color w:val="000000" w:themeColor="text1"/>
          <w:szCs w:val="21"/>
        </w:rPr>
      </w:pPr>
      <w:bookmarkStart w:id="684" w:name="_Toc38432433"/>
      <w:r w:rsidRPr="00621B7F">
        <w:rPr>
          <w:rFonts w:asciiTheme="minorEastAsia" w:eastAsiaTheme="minorEastAsia" w:hAnsiTheme="minorEastAsia" w:hint="eastAsia"/>
          <w:color w:val="000000" w:themeColor="text1"/>
          <w:szCs w:val="21"/>
        </w:rPr>
        <w:t>本基金由基金管理人依照《基金法》、《运作办法》、《销售办法》、基金合同的相关规定、并经中国证券监督管理委员会</w:t>
      </w:r>
      <w:r w:rsidRPr="00621B7F" w:rsidR="006B7524">
        <w:rPr>
          <w:rFonts w:asciiTheme="minorEastAsia" w:eastAsiaTheme="minorEastAsia" w:hAnsiTheme="minorEastAsia" w:hint="eastAsia"/>
          <w:color w:val="000000" w:themeColor="text1"/>
          <w:szCs w:val="21"/>
        </w:rPr>
        <w:t>2009年12月31日</w:t>
      </w:r>
      <w:r w:rsidRPr="00621B7F">
        <w:rPr>
          <w:rFonts w:asciiTheme="minorEastAsia" w:eastAsiaTheme="minorEastAsia" w:hAnsiTheme="minorEastAsia" w:hint="eastAsia"/>
          <w:color w:val="000000" w:themeColor="text1"/>
          <w:szCs w:val="21"/>
        </w:rPr>
        <w:t>《关于</w:t>
      </w:r>
      <w:r w:rsidRPr="00621B7F" w:rsidR="00BC04E0">
        <w:rPr>
          <w:rFonts w:asciiTheme="minorEastAsia" w:eastAsiaTheme="minorEastAsia" w:hAnsiTheme="minorEastAsia" w:hint="eastAsia"/>
          <w:color w:val="000000" w:themeColor="text1"/>
          <w:szCs w:val="21"/>
        </w:rPr>
        <w:t>核准</w:t>
      </w:r>
      <w:r w:rsidRPr="00621B7F" w:rsidR="00DA4AC8">
        <w:rPr>
          <w:rFonts w:asciiTheme="minorEastAsia" w:eastAsiaTheme="minorEastAsia" w:hAnsiTheme="minorEastAsia" w:hint="eastAsia"/>
          <w:color w:val="000000" w:themeColor="text1"/>
          <w:szCs w:val="21"/>
        </w:rPr>
        <w:t>易方达上证中盘交易型开放式指数证券投资基金</w:t>
      </w:r>
      <w:r w:rsidRPr="00621B7F" w:rsidR="004D45B4">
        <w:rPr>
          <w:rFonts w:asciiTheme="minorEastAsia" w:eastAsiaTheme="minorEastAsia" w:hAnsiTheme="minorEastAsia" w:hint="eastAsia"/>
          <w:color w:val="000000" w:themeColor="text1"/>
          <w:szCs w:val="21"/>
        </w:rPr>
        <w:t>及其</w:t>
      </w:r>
      <w:r w:rsidRPr="00621B7F" w:rsidR="00DA4AC8">
        <w:rPr>
          <w:rFonts w:asciiTheme="minorEastAsia" w:eastAsiaTheme="minorEastAsia" w:hAnsiTheme="minorEastAsia" w:hint="eastAsia"/>
          <w:color w:val="000000" w:themeColor="text1"/>
          <w:szCs w:val="21"/>
        </w:rPr>
        <w:t>联接基金</w:t>
      </w:r>
      <w:r w:rsidRPr="00621B7F">
        <w:rPr>
          <w:rFonts w:asciiTheme="minorEastAsia" w:eastAsiaTheme="minorEastAsia" w:hAnsiTheme="minorEastAsia" w:hint="eastAsia"/>
          <w:color w:val="000000" w:themeColor="text1"/>
          <w:szCs w:val="21"/>
        </w:rPr>
        <w:t>募集的批复》（证监</w:t>
      </w:r>
      <w:r w:rsidRPr="00621B7F" w:rsidR="004D1F10">
        <w:rPr>
          <w:rFonts w:asciiTheme="minorEastAsia" w:eastAsiaTheme="minorEastAsia" w:hAnsiTheme="minorEastAsia" w:hint="eastAsia"/>
          <w:color w:val="000000" w:themeColor="text1"/>
          <w:szCs w:val="21"/>
        </w:rPr>
        <w:t>许可</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200</w:t>
      </w:r>
      <w:r w:rsidRPr="00621B7F" w:rsidR="006A3D0B">
        <w:rPr>
          <w:rFonts w:asciiTheme="minorEastAsia" w:eastAsiaTheme="minorEastAsia" w:hAnsiTheme="minorEastAsia" w:hint="eastAsia"/>
          <w:color w:val="000000" w:themeColor="text1"/>
          <w:szCs w:val="21"/>
        </w:rPr>
        <w:t>9</w:t>
      </w:r>
      <w:r w:rsidRPr="00621B7F">
        <w:rPr>
          <w:rFonts w:asciiTheme="minorEastAsia" w:eastAsiaTheme="minorEastAsia" w:hAnsiTheme="minorEastAsia"/>
          <w:color w:val="000000" w:themeColor="text1"/>
          <w:szCs w:val="21"/>
        </w:rPr>
        <w:t>]</w:t>
      </w:r>
      <w:r w:rsidRPr="00621B7F" w:rsidR="004D45B4">
        <w:rPr>
          <w:rFonts w:asciiTheme="minorEastAsia" w:eastAsiaTheme="minorEastAsia" w:hAnsiTheme="minorEastAsia" w:hint="eastAsia"/>
          <w:color w:val="000000" w:themeColor="text1"/>
          <w:szCs w:val="21"/>
        </w:rPr>
        <w:t>1498</w:t>
      </w:r>
      <w:r w:rsidRPr="00621B7F">
        <w:rPr>
          <w:rFonts w:asciiTheme="minorEastAsia" w:eastAsiaTheme="minorEastAsia" w:hAnsiTheme="minorEastAsia" w:hint="eastAsia"/>
          <w:color w:val="000000" w:themeColor="text1"/>
          <w:szCs w:val="21"/>
        </w:rPr>
        <w:t>号）核准募集。</w:t>
      </w:r>
    </w:p>
    <w:bookmarkEnd w:id="684"/>
    <w:p w:rsidR="004F06FC"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本基金为</w:t>
      </w:r>
      <w:r w:rsidRPr="00621B7F">
        <w:rPr>
          <w:rFonts w:asciiTheme="minorEastAsia" w:eastAsiaTheme="minorEastAsia" w:hAnsiTheme="minorEastAsia"/>
          <w:color w:val="000000" w:themeColor="text1"/>
        </w:rPr>
        <w:t>契约型开放式</w:t>
      </w:r>
      <w:r w:rsidRPr="00621B7F">
        <w:rPr>
          <w:rFonts w:asciiTheme="minorEastAsia" w:eastAsiaTheme="minorEastAsia" w:hAnsiTheme="minorEastAsia" w:hint="eastAsia"/>
          <w:color w:val="000000" w:themeColor="text1"/>
        </w:rPr>
        <w:t>股票型联接基金</w:t>
      </w:r>
      <w:r w:rsidRPr="00621B7F">
        <w:rPr>
          <w:rFonts w:asciiTheme="minorEastAsia" w:eastAsiaTheme="minorEastAsia" w:hAnsiTheme="minorEastAsia"/>
          <w:color w:val="000000" w:themeColor="text1"/>
        </w:rPr>
        <w:t>。基金</w:t>
      </w:r>
      <w:r w:rsidRPr="00621B7F">
        <w:rPr>
          <w:rFonts w:asciiTheme="minorEastAsia" w:eastAsiaTheme="minorEastAsia" w:hAnsiTheme="minorEastAsia" w:hint="eastAsia"/>
          <w:color w:val="000000" w:themeColor="text1"/>
        </w:rPr>
        <w:t>的</w:t>
      </w:r>
      <w:r w:rsidRPr="00621B7F">
        <w:rPr>
          <w:rFonts w:asciiTheme="minorEastAsia" w:eastAsiaTheme="minorEastAsia" w:hAnsiTheme="minorEastAsia"/>
          <w:color w:val="000000" w:themeColor="text1"/>
        </w:rPr>
        <w:t>存续期间</w:t>
      </w:r>
      <w:r w:rsidRPr="00621B7F">
        <w:rPr>
          <w:rFonts w:asciiTheme="minorEastAsia" w:eastAsiaTheme="minorEastAsia" w:hAnsiTheme="minorEastAsia" w:hint="eastAsia"/>
          <w:color w:val="000000" w:themeColor="text1"/>
        </w:rPr>
        <w:t>为</w:t>
      </w:r>
      <w:r w:rsidRPr="00621B7F">
        <w:rPr>
          <w:rFonts w:asciiTheme="minorEastAsia" w:eastAsiaTheme="minorEastAsia" w:hAnsiTheme="minorEastAsia"/>
          <w:color w:val="000000" w:themeColor="text1"/>
        </w:rPr>
        <w:t>不定期</w:t>
      </w:r>
      <w:r w:rsidRPr="00621B7F">
        <w:rPr>
          <w:rFonts w:asciiTheme="minorEastAsia" w:eastAsiaTheme="minorEastAsia" w:hAnsiTheme="minorEastAsia" w:hint="eastAsia"/>
          <w:color w:val="000000" w:themeColor="text1"/>
        </w:rPr>
        <w:t>。</w:t>
      </w:r>
    </w:p>
    <w:p w:rsidR="004F06FC"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本基金</w:t>
      </w:r>
      <w:r w:rsidRPr="00621B7F">
        <w:rPr>
          <w:rFonts w:asciiTheme="minorEastAsia" w:eastAsiaTheme="minorEastAsia" w:hAnsiTheme="minorEastAsia" w:hint="eastAsia"/>
          <w:color w:val="000000" w:themeColor="text1"/>
        </w:rPr>
        <w:t>募集期间</w:t>
      </w:r>
      <w:r w:rsidRPr="00621B7F">
        <w:rPr>
          <w:rFonts w:asciiTheme="minorEastAsia" w:eastAsiaTheme="minorEastAsia" w:hAnsiTheme="minorEastAsia"/>
          <w:color w:val="000000" w:themeColor="text1"/>
        </w:rPr>
        <w:t>每份基金份额的</w:t>
      </w:r>
      <w:r w:rsidRPr="00621B7F">
        <w:rPr>
          <w:rFonts w:asciiTheme="minorEastAsia" w:eastAsiaTheme="minorEastAsia" w:hAnsiTheme="minorEastAsia" w:hint="eastAsia"/>
          <w:color w:val="000000" w:themeColor="text1"/>
        </w:rPr>
        <w:t>初始</w:t>
      </w:r>
      <w:r w:rsidRPr="00621B7F">
        <w:rPr>
          <w:rFonts w:asciiTheme="minorEastAsia" w:eastAsiaTheme="minorEastAsia" w:hAnsiTheme="minorEastAsia"/>
          <w:color w:val="000000" w:themeColor="text1"/>
        </w:rPr>
        <w:t>面值为人民币1.00元</w:t>
      </w:r>
      <w:r w:rsidRPr="00621B7F">
        <w:rPr>
          <w:rFonts w:asciiTheme="minorEastAsia" w:eastAsiaTheme="minorEastAsia" w:hAnsiTheme="minorEastAsia" w:hint="eastAsia"/>
          <w:color w:val="000000" w:themeColor="text1"/>
        </w:rPr>
        <w:t>。</w:t>
      </w:r>
    </w:p>
    <w:p w:rsidR="00266A27"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本基金募集期自</w:t>
      </w:r>
      <w:smartTag w:uri="urn:schemas-microsoft-com:office:smarttags" w:element="chsdate">
        <w:smartTagPr>
          <w:attr w:name="Day" w:val="25"/>
          <w:attr w:name="IsLunarDate" w:val="False"/>
          <w:attr w:name="IsROCDate" w:val="False"/>
          <w:attr w:name="Month" w:val="2"/>
          <w:attr w:name="Year" w:val="2010"/>
        </w:smartTagPr>
        <w:r w:rsidRPr="00621B7F">
          <w:rPr>
            <w:rFonts w:asciiTheme="minorEastAsia" w:eastAsiaTheme="minorEastAsia" w:hAnsiTheme="minorEastAsia" w:hint="eastAsia"/>
            <w:color w:val="000000" w:themeColor="text1"/>
            <w:szCs w:val="21"/>
          </w:rPr>
          <w:t>2010年2月25日</w:t>
        </w:r>
      </w:smartTag>
      <w:r w:rsidRPr="00621B7F">
        <w:rPr>
          <w:rFonts w:asciiTheme="minorEastAsia" w:eastAsiaTheme="minorEastAsia" w:hAnsiTheme="minorEastAsia" w:hint="eastAsia"/>
          <w:color w:val="000000" w:themeColor="text1"/>
        </w:rPr>
        <w:t>至</w:t>
      </w:r>
      <w:smartTag w:uri="urn:schemas-microsoft-com:office:smarttags" w:element="chsdate">
        <w:smartTagPr>
          <w:attr w:name="Day" w:val="25"/>
          <w:attr w:name="IsLunarDate" w:val="False"/>
          <w:attr w:name="IsROCDate" w:val="False"/>
          <w:attr w:name="Month" w:val="3"/>
          <w:attr w:name="Year" w:val="2010"/>
        </w:smartTagPr>
        <w:r w:rsidRPr="00621B7F">
          <w:rPr>
            <w:rFonts w:asciiTheme="minorEastAsia" w:eastAsiaTheme="minorEastAsia" w:hAnsiTheme="minorEastAsia" w:hint="eastAsia"/>
            <w:color w:val="000000" w:themeColor="text1"/>
            <w:szCs w:val="21"/>
          </w:rPr>
          <w:t>2010年3月25日</w:t>
        </w:r>
      </w:smartTag>
      <w:r w:rsidRPr="00621B7F">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szCs w:val="21"/>
        </w:rPr>
        <w:t>募集对象为符合法律法规规定的个人投资者、机构投资者及合格境外机构投资者，以及法律法规或中国证监会允许购买证券投资基金的其他投资者。</w:t>
      </w:r>
    </w:p>
    <w:p w:rsidR="004F06FC" w:rsidRPr="00621B7F" w:rsidP="00A32B85">
      <w:pPr>
        <w:pStyle w:val="Heading1"/>
        <w:snapToGrid w:val="0"/>
        <w:spacing w:beforeLines="0" w:afterLines="0" w:line="360" w:lineRule="auto"/>
        <w:ind w:firstLine="0" w:firstLineChars="0"/>
        <w:rPr>
          <w:rFonts w:asciiTheme="minorEastAsia" w:eastAsiaTheme="minorEastAsia" w:hAnsiTheme="minorEastAsia"/>
          <w:color w:val="000000" w:themeColor="text1"/>
          <w:kern w:val="0"/>
          <w:sz w:val="20"/>
          <w:szCs w:val="20"/>
        </w:rPr>
        <w:sectPr w:rsidSect="006B7524">
          <w:pgSz w:w="11907" w:h="16840" w:code="9"/>
          <w:pgMar w:top="1440" w:right="1800" w:bottom="1440" w:left="1800" w:header="1134" w:footer="1247" w:gutter="0"/>
          <w:cols w:space="425"/>
          <w:docGrid w:type="lines" w:linePitch="312"/>
        </w:sectPr>
      </w:pP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color w:val="000000" w:themeColor="text1"/>
        </w:rPr>
      </w:pPr>
      <w:bookmarkStart w:id="685" w:name="_Toc91752027"/>
      <w:r w:rsidRPr="00621B7F">
        <w:rPr>
          <w:rFonts w:asciiTheme="minorEastAsia" w:eastAsiaTheme="minorEastAsia" w:hAnsiTheme="minorEastAsia" w:hint="eastAsia"/>
          <w:bCs/>
          <w:color w:val="000000" w:themeColor="text1"/>
        </w:rPr>
        <w:t>七、基金合同的生效</w:t>
      </w:r>
      <w:bookmarkEnd w:id="685"/>
    </w:p>
    <w:p w:rsidR="003A511A"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686" w:name="_Toc91752028"/>
      <w:bookmarkStart w:id="687" w:name="_Toc38432438"/>
      <w:bookmarkStart w:id="688" w:name="_Toc133292585"/>
      <w:r w:rsidRPr="00621B7F">
        <w:rPr>
          <w:rFonts w:asciiTheme="minorEastAsia" w:eastAsiaTheme="minorEastAsia" w:hAnsiTheme="minorEastAsia" w:hint="eastAsia"/>
          <w:b w:val="0"/>
          <w:color w:val="000000" w:themeColor="text1"/>
        </w:rPr>
        <w:t>（一）基金合同的生效</w:t>
      </w:r>
      <w:bookmarkEnd w:id="686"/>
    </w:p>
    <w:p w:rsidR="00DA529F" w:rsidRPr="00621B7F" w:rsidP="00241F10">
      <w:pPr>
        <w:snapToGrid w:val="0"/>
        <w:spacing w:line="360" w:lineRule="auto"/>
        <w:ind w:firstLine="424" w:firstLineChars="202"/>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本基金</w:t>
      </w:r>
      <w:r w:rsidRPr="00621B7F">
        <w:rPr>
          <w:rFonts w:asciiTheme="minorEastAsia" w:eastAsiaTheme="minorEastAsia" w:hAnsiTheme="minorEastAsia" w:hint="eastAsia"/>
          <w:color w:val="000000" w:themeColor="text1"/>
        </w:rPr>
        <w:t>基金合同于</w:t>
      </w:r>
      <w:smartTag w:uri="urn:schemas-microsoft-com:office:smarttags" w:element="chsdate">
        <w:smartTagPr>
          <w:attr w:name="Day" w:val="31"/>
          <w:attr w:name="IsLunarDate" w:val="False"/>
          <w:attr w:name="IsROCDate" w:val="False"/>
          <w:attr w:name="Month" w:val="3"/>
          <w:attr w:name="Year" w:val="2010"/>
        </w:smartTagPr>
        <w:r w:rsidRPr="00621B7F">
          <w:rPr>
            <w:rFonts w:asciiTheme="minorEastAsia" w:eastAsiaTheme="minorEastAsia" w:hAnsiTheme="minorEastAsia" w:hint="eastAsia"/>
            <w:color w:val="000000" w:themeColor="text1"/>
            <w:szCs w:val="21"/>
          </w:rPr>
          <w:t>2010年3月31日</w:t>
        </w:r>
      </w:smartTag>
      <w:r w:rsidRPr="00621B7F">
        <w:rPr>
          <w:rFonts w:asciiTheme="minorEastAsia" w:eastAsiaTheme="minorEastAsia" w:hAnsiTheme="minorEastAsia" w:hint="eastAsia"/>
          <w:color w:val="000000" w:themeColor="text1"/>
        </w:rPr>
        <w:t>正式生效。自基金合同生效日起，本基金管理人正式开始管理本基金。</w:t>
      </w:r>
      <w:bookmarkEnd w:id="687"/>
      <w:bookmarkEnd w:id="688"/>
    </w:p>
    <w:p w:rsidR="003A511A"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689" w:name="_Toc91752029"/>
      <w:r w:rsidRPr="00621B7F">
        <w:rPr>
          <w:rFonts w:asciiTheme="minorEastAsia" w:eastAsiaTheme="minorEastAsia" w:hAnsiTheme="minorEastAsia" w:hint="eastAsia"/>
          <w:b w:val="0"/>
          <w:color w:val="000000" w:themeColor="text1"/>
        </w:rPr>
        <w:t>（二）基金存续期内的基金份额持有人数量和资产规模</w:t>
      </w:r>
      <w:bookmarkEnd w:id="689"/>
    </w:p>
    <w:p w:rsidR="003A511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3A511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法律法规另有规定时，从其规定。</w:t>
      </w: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241F10" w:rsidRPr="00621B7F" w:rsidP="00241F10">
      <w:pPr>
        <w:snapToGrid w:val="0"/>
        <w:spacing w:line="360" w:lineRule="auto"/>
        <w:ind w:firstLine="424" w:firstLineChars="202"/>
        <w:rPr>
          <w:rFonts w:asciiTheme="minorEastAsia" w:eastAsiaTheme="minorEastAsia" w:hAnsiTheme="minorEastAsia"/>
          <w:color w:val="000000" w:themeColor="text1"/>
          <w:szCs w:val="21"/>
        </w:rPr>
      </w:pPr>
    </w:p>
    <w:p w:rsidR="00E76C51" w:rsidRPr="00621B7F">
      <w:pPr>
        <w:widowControl/>
        <w:jc w:val="left"/>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br w:type="page"/>
      </w: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690" w:name="_Toc91752030"/>
      <w:r w:rsidRPr="00621B7F">
        <w:rPr>
          <w:rFonts w:asciiTheme="minorEastAsia" w:eastAsiaTheme="minorEastAsia" w:hAnsiTheme="minorEastAsia" w:hint="eastAsia"/>
          <w:bCs/>
          <w:color w:val="000000" w:themeColor="text1"/>
        </w:rPr>
        <w:t>八、基金份额的申购、赎回</w:t>
      </w:r>
      <w:bookmarkEnd w:id="690"/>
    </w:p>
    <w:p w:rsidR="001A7F83" w:rsidRPr="00621B7F" w:rsidP="00BB21AF">
      <w:pPr>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本基金根据所收取费用的差异，将基金份额分为不同的类别。在投资人申购基金时收取申购费用，并不再从本类别基金资产中计提销售服务费的基金份额，称为</w:t>
      </w:r>
      <w:r w:rsidRPr="00621B7F">
        <w:rPr>
          <w:rFonts w:asciiTheme="minorEastAsia" w:eastAsiaTheme="minorEastAsia" w:hAnsiTheme="minorEastAsia"/>
          <w:color w:val="000000" w:themeColor="text1"/>
        </w:rPr>
        <w:t>A</w:t>
      </w:r>
      <w:r w:rsidRPr="00621B7F">
        <w:rPr>
          <w:rFonts w:asciiTheme="minorEastAsia" w:eastAsiaTheme="minorEastAsia" w:hAnsiTheme="minorEastAsia" w:hint="eastAsia"/>
          <w:color w:val="000000" w:themeColor="text1"/>
        </w:rPr>
        <w:t>类基金份额；从本类基金资产中计提销售服务费，并不收取申购费用的基金份额，称为</w:t>
      </w:r>
      <w:r w:rsidRPr="00621B7F">
        <w:rPr>
          <w:rFonts w:asciiTheme="minorEastAsia" w:eastAsiaTheme="minorEastAsia" w:hAnsiTheme="minorEastAsia"/>
          <w:color w:val="000000" w:themeColor="text1"/>
        </w:rPr>
        <w:t>C</w:t>
      </w:r>
      <w:r w:rsidRPr="00621B7F">
        <w:rPr>
          <w:rFonts w:asciiTheme="minorEastAsia" w:eastAsiaTheme="minorEastAsia" w:hAnsiTheme="minorEastAsia" w:hint="eastAsia"/>
          <w:color w:val="000000" w:themeColor="text1"/>
        </w:rPr>
        <w:t>类基金份额。本基金两类基金份额分别设置代码，分别公布基金份额净值和基金份额累计净值。</w:t>
      </w:r>
    </w:p>
    <w:p w:rsidR="001A7F83" w:rsidRPr="00621B7F" w:rsidP="00BB21AF">
      <w:pPr>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投资人在申购基金份额时可自行选择基金份额类别。本基金不同基金份额类别之间不得互相转换。</w:t>
      </w:r>
    </w:p>
    <w:p w:rsidR="000B4230"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691" w:name="_Toc91752031"/>
      <w:r w:rsidRPr="00621B7F">
        <w:rPr>
          <w:rFonts w:asciiTheme="minorEastAsia" w:eastAsiaTheme="minorEastAsia" w:hAnsiTheme="minorEastAsia" w:hint="eastAsia"/>
          <w:b w:val="0"/>
          <w:color w:val="000000" w:themeColor="text1"/>
        </w:rPr>
        <w:t>（一）基金投资者范围</w:t>
      </w:r>
      <w:bookmarkEnd w:id="691"/>
    </w:p>
    <w:p w:rsidR="000B4230" w:rsidRPr="00621B7F" w:rsidP="00241F10">
      <w:pPr>
        <w:snapToGrid w:val="0"/>
        <w:spacing w:line="360" w:lineRule="auto"/>
        <w:ind w:firstLine="424" w:firstLineChars="202"/>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szCs w:val="21"/>
        </w:rPr>
        <w:t>符合法律法规规定的个人投资者、机构投资者及合格境外机构投资者，以及法律法规或中国证监会允许购买证券投资基金的其他投资者。</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692" w:name="_Toc91752032"/>
      <w:r w:rsidRPr="00621B7F">
        <w:rPr>
          <w:rFonts w:asciiTheme="minorEastAsia" w:eastAsiaTheme="minorEastAsia" w:hAnsiTheme="minorEastAsia" w:hint="eastAsia"/>
          <w:b w:val="0"/>
          <w:color w:val="000000" w:themeColor="text1"/>
        </w:rPr>
        <w:t>（</w:t>
      </w:r>
      <w:r w:rsidRPr="00621B7F" w:rsidR="000B4230">
        <w:rPr>
          <w:rFonts w:asciiTheme="minorEastAsia" w:eastAsiaTheme="minorEastAsia" w:hAnsiTheme="minorEastAsia" w:hint="eastAsia"/>
          <w:b w:val="0"/>
          <w:color w:val="000000" w:themeColor="text1"/>
        </w:rPr>
        <w:t>二</w:t>
      </w:r>
      <w:r w:rsidRPr="00621B7F">
        <w:rPr>
          <w:rFonts w:asciiTheme="minorEastAsia" w:eastAsiaTheme="minorEastAsia" w:hAnsiTheme="minorEastAsia" w:hint="eastAsia"/>
          <w:b w:val="0"/>
          <w:color w:val="000000" w:themeColor="text1"/>
        </w:rPr>
        <w:t>）申购、赎回的场所</w:t>
      </w:r>
      <w:bookmarkEnd w:id="692"/>
    </w:p>
    <w:p w:rsidR="00BA07F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w:t>
      </w:r>
      <w:r w:rsidRPr="00621B7F" w:rsidR="008E592E">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基金管理</w:t>
      </w:r>
      <w:r w:rsidRPr="00621B7F">
        <w:rPr>
          <w:rFonts w:asciiTheme="minorEastAsia" w:eastAsiaTheme="minorEastAsia" w:hAnsiTheme="minorEastAsia" w:hint="eastAsia"/>
          <w:color w:val="000000" w:themeColor="text1"/>
          <w:szCs w:val="21"/>
        </w:rPr>
        <w:t>人的直销</w:t>
      </w:r>
      <w:r w:rsidRPr="00621B7F" w:rsidR="00CC571A">
        <w:rPr>
          <w:rFonts w:asciiTheme="minorEastAsia" w:eastAsiaTheme="minorEastAsia" w:hAnsiTheme="minorEastAsia" w:hint="eastAsia"/>
          <w:color w:val="000000" w:themeColor="text1"/>
          <w:szCs w:val="21"/>
        </w:rPr>
        <w:t>中心</w:t>
      </w:r>
      <w:r w:rsidRPr="00621B7F">
        <w:rPr>
          <w:rFonts w:asciiTheme="minorEastAsia" w:eastAsiaTheme="minorEastAsia" w:hAnsiTheme="minorEastAsia" w:hint="eastAsia"/>
          <w:color w:val="000000" w:themeColor="text1"/>
          <w:szCs w:val="21"/>
        </w:rPr>
        <w:t>、网上交易系统</w:t>
      </w:r>
      <w:r w:rsidRPr="00621B7F">
        <w:rPr>
          <w:rFonts w:asciiTheme="minorEastAsia" w:eastAsiaTheme="minorEastAsia" w:hAnsiTheme="minorEastAsia" w:hint="eastAsia"/>
          <w:color w:val="000000" w:themeColor="text1"/>
        </w:rPr>
        <w:t>(www.efunds.com.cn)</w:t>
      </w:r>
      <w:r w:rsidRPr="00621B7F">
        <w:rPr>
          <w:rFonts w:asciiTheme="minorEastAsia" w:eastAsiaTheme="minorEastAsia" w:hAnsiTheme="minorEastAsia"/>
          <w:color w:val="000000" w:themeColor="text1"/>
          <w:szCs w:val="21"/>
        </w:rPr>
        <w:t>；</w:t>
      </w:r>
    </w:p>
    <w:p w:rsidR="00BA07F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2</w:t>
      </w:r>
      <w:r w:rsidRPr="00621B7F" w:rsidR="008E592E">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各</w:t>
      </w:r>
      <w:r w:rsidRPr="00621B7F" w:rsidR="001F2A17">
        <w:rPr>
          <w:rFonts w:asciiTheme="minorEastAsia" w:eastAsiaTheme="minorEastAsia" w:hAnsiTheme="minorEastAsia" w:hint="eastAsia"/>
          <w:color w:val="000000" w:themeColor="text1"/>
          <w:szCs w:val="21"/>
        </w:rPr>
        <w:t>非直销销售</w:t>
      </w:r>
      <w:r w:rsidRPr="00621B7F">
        <w:rPr>
          <w:rFonts w:asciiTheme="minorEastAsia" w:eastAsiaTheme="minorEastAsia" w:hAnsiTheme="minorEastAsia" w:hint="eastAsia"/>
          <w:color w:val="000000" w:themeColor="text1"/>
          <w:szCs w:val="21"/>
        </w:rPr>
        <w:t>机构</w:t>
      </w:r>
      <w:r w:rsidRPr="00621B7F">
        <w:rPr>
          <w:rFonts w:asciiTheme="minorEastAsia" w:eastAsiaTheme="minorEastAsia" w:hAnsiTheme="minorEastAsia"/>
          <w:color w:val="000000" w:themeColor="text1"/>
          <w:szCs w:val="21"/>
        </w:rPr>
        <w:t>开办开放式基金业务的营业网点。</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基金管理人可根据情况变更基金的销售机构，</w:t>
      </w:r>
      <w:r w:rsidRPr="00621B7F" w:rsidR="0033182F">
        <w:rPr>
          <w:rFonts w:asciiTheme="minorEastAsia" w:eastAsiaTheme="minorEastAsia" w:hAnsiTheme="minorEastAsia" w:hint="eastAsia"/>
          <w:color w:val="000000" w:themeColor="text1"/>
          <w:szCs w:val="21"/>
        </w:rPr>
        <w:t>并在基金管理人网站公示</w:t>
      </w:r>
      <w:r w:rsidRPr="00621B7F">
        <w:rPr>
          <w:rFonts w:asciiTheme="minorEastAsia" w:eastAsiaTheme="minorEastAsia" w:hAnsiTheme="minorEastAsia" w:hint="eastAsia"/>
          <w:color w:val="000000" w:themeColor="text1"/>
          <w:szCs w:val="21"/>
        </w:rPr>
        <w:t>。</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投资者还可通过基金管理人或者指定的基金</w:t>
      </w:r>
      <w:r w:rsidRPr="00621B7F" w:rsidR="001F2A17">
        <w:rPr>
          <w:rFonts w:asciiTheme="minorEastAsia" w:eastAsiaTheme="minorEastAsia" w:hAnsiTheme="minorEastAsia" w:hint="eastAsia"/>
          <w:color w:val="000000" w:themeColor="text1"/>
          <w:szCs w:val="21"/>
        </w:rPr>
        <w:t>销售</w:t>
      </w:r>
      <w:r w:rsidRPr="00621B7F">
        <w:rPr>
          <w:rFonts w:asciiTheme="minorEastAsia" w:eastAsiaTheme="minorEastAsia" w:hAnsiTheme="minorEastAsia" w:hint="eastAsia"/>
          <w:color w:val="000000" w:themeColor="text1"/>
          <w:szCs w:val="21"/>
        </w:rPr>
        <w:t>机构以电话或互联网等其他电子交易方式进行申购、赎回，具体以各销售机构的规定为准。</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693" w:name="_Toc91752033"/>
      <w:r w:rsidRPr="00621B7F">
        <w:rPr>
          <w:rFonts w:asciiTheme="minorEastAsia" w:eastAsiaTheme="minorEastAsia" w:hAnsiTheme="minorEastAsia" w:hint="eastAsia"/>
          <w:b w:val="0"/>
          <w:color w:val="000000" w:themeColor="text1"/>
        </w:rPr>
        <w:t>（</w:t>
      </w:r>
      <w:r w:rsidRPr="00621B7F" w:rsidR="00FE5546">
        <w:rPr>
          <w:rFonts w:asciiTheme="minorEastAsia" w:eastAsiaTheme="minorEastAsia" w:hAnsiTheme="minorEastAsia" w:hint="eastAsia"/>
          <w:b w:val="0"/>
          <w:color w:val="000000" w:themeColor="text1"/>
        </w:rPr>
        <w:t>三</w:t>
      </w:r>
      <w:r w:rsidRPr="00621B7F">
        <w:rPr>
          <w:rFonts w:asciiTheme="minorEastAsia" w:eastAsiaTheme="minorEastAsia" w:hAnsiTheme="minorEastAsia" w:hint="eastAsia"/>
          <w:b w:val="0"/>
          <w:color w:val="000000" w:themeColor="text1"/>
        </w:rPr>
        <w:t>）申购、赎回的时间</w:t>
      </w:r>
      <w:bookmarkEnd w:id="693"/>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本基金</w:t>
      </w:r>
      <w:r w:rsidRPr="00621B7F" w:rsidR="00EA4099">
        <w:rPr>
          <w:rFonts w:asciiTheme="minorEastAsia" w:eastAsiaTheme="minorEastAsia" w:hAnsiTheme="minorEastAsia" w:hint="eastAsia"/>
          <w:color w:val="000000" w:themeColor="text1"/>
        </w:rPr>
        <w:t>A类基金</w:t>
      </w:r>
      <w:r w:rsidRPr="00621B7F" w:rsidR="00EA4099">
        <w:rPr>
          <w:rFonts w:asciiTheme="minorEastAsia" w:eastAsiaTheme="minorEastAsia" w:hAnsiTheme="minorEastAsia"/>
          <w:color w:val="000000" w:themeColor="text1"/>
        </w:rPr>
        <w:t>份额</w:t>
      </w:r>
      <w:r w:rsidRPr="00621B7F">
        <w:rPr>
          <w:rFonts w:asciiTheme="minorEastAsia" w:eastAsiaTheme="minorEastAsia" w:hAnsiTheme="minorEastAsia" w:hint="eastAsia"/>
          <w:color w:val="000000" w:themeColor="text1"/>
        </w:rPr>
        <w:t>已于</w:t>
      </w:r>
      <w:r w:rsidRPr="00621B7F">
        <w:rPr>
          <w:rFonts w:asciiTheme="minorEastAsia" w:eastAsiaTheme="minorEastAsia" w:hAnsiTheme="minorEastAsia"/>
          <w:color w:val="000000" w:themeColor="text1"/>
          <w:kern w:val="0"/>
          <w:szCs w:val="21"/>
        </w:rPr>
        <w:t>20</w:t>
      </w:r>
      <w:r w:rsidRPr="00621B7F">
        <w:rPr>
          <w:rFonts w:asciiTheme="minorEastAsia" w:eastAsiaTheme="minorEastAsia" w:hAnsiTheme="minorEastAsia" w:hint="eastAsia"/>
          <w:color w:val="000000" w:themeColor="text1"/>
          <w:kern w:val="0"/>
          <w:szCs w:val="21"/>
        </w:rPr>
        <w:t>10</w:t>
      </w:r>
      <w:r w:rsidRPr="00621B7F">
        <w:rPr>
          <w:rFonts w:asciiTheme="minorEastAsia" w:eastAsiaTheme="minorEastAsia" w:hAnsiTheme="minorEastAsia"/>
          <w:color w:val="000000" w:themeColor="text1"/>
          <w:kern w:val="0"/>
          <w:szCs w:val="21"/>
        </w:rPr>
        <w:t>年</w:t>
      </w:r>
      <w:r w:rsidRPr="00621B7F">
        <w:rPr>
          <w:rFonts w:asciiTheme="minorEastAsia" w:eastAsiaTheme="minorEastAsia" w:hAnsiTheme="minorEastAsia" w:hint="eastAsia"/>
          <w:color w:val="000000" w:themeColor="text1"/>
          <w:kern w:val="0"/>
          <w:szCs w:val="21"/>
        </w:rPr>
        <w:t>5</w:t>
      </w:r>
      <w:r w:rsidRPr="00621B7F">
        <w:rPr>
          <w:rFonts w:asciiTheme="minorEastAsia" w:eastAsiaTheme="minorEastAsia" w:hAnsiTheme="minorEastAsia"/>
          <w:color w:val="000000" w:themeColor="text1"/>
          <w:kern w:val="0"/>
          <w:szCs w:val="21"/>
        </w:rPr>
        <w:t>月</w:t>
      </w:r>
      <w:r w:rsidRPr="00621B7F">
        <w:rPr>
          <w:rFonts w:asciiTheme="minorEastAsia" w:eastAsiaTheme="minorEastAsia" w:hAnsiTheme="minorEastAsia" w:hint="eastAsia"/>
          <w:color w:val="000000" w:themeColor="text1"/>
          <w:kern w:val="0"/>
          <w:szCs w:val="21"/>
        </w:rPr>
        <w:t>24</w:t>
      </w:r>
      <w:r w:rsidRPr="00621B7F">
        <w:rPr>
          <w:rFonts w:asciiTheme="minorEastAsia" w:eastAsiaTheme="minorEastAsia" w:hAnsiTheme="minorEastAsia"/>
          <w:color w:val="000000" w:themeColor="text1"/>
          <w:kern w:val="0"/>
          <w:szCs w:val="21"/>
        </w:rPr>
        <w:t>日</w:t>
      </w:r>
      <w:r w:rsidRPr="00621B7F">
        <w:rPr>
          <w:rFonts w:asciiTheme="minorEastAsia" w:eastAsiaTheme="minorEastAsia" w:hAnsiTheme="minorEastAsia" w:hint="eastAsia"/>
          <w:color w:val="000000" w:themeColor="text1"/>
        </w:rPr>
        <w:t>开始办理日常申购和赎回业务。</w:t>
      </w:r>
      <w:r w:rsidRPr="00621B7F" w:rsidR="00EA4099">
        <w:rPr>
          <w:rFonts w:asciiTheme="minorEastAsia" w:eastAsiaTheme="minorEastAsia" w:hAnsiTheme="minorEastAsia" w:hint="eastAsia"/>
          <w:color w:val="000000" w:themeColor="text1"/>
        </w:rPr>
        <w:t>本基金C类基金份额已于2017年6月</w:t>
      </w:r>
      <w:r w:rsidRPr="00621B7F" w:rsidR="00EA4099">
        <w:rPr>
          <w:rFonts w:asciiTheme="minorEastAsia" w:eastAsiaTheme="minorEastAsia" w:hAnsiTheme="minorEastAsia"/>
          <w:color w:val="000000" w:themeColor="text1"/>
        </w:rPr>
        <w:t>2</w:t>
      </w:r>
      <w:r w:rsidRPr="00621B7F" w:rsidR="00EA4099">
        <w:rPr>
          <w:rFonts w:asciiTheme="minorEastAsia" w:eastAsiaTheme="minorEastAsia" w:hAnsiTheme="minorEastAsia" w:hint="eastAsia"/>
          <w:color w:val="000000" w:themeColor="text1"/>
        </w:rPr>
        <w:t>日开放日常申购和赎回业务。</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上海证券交易所和深圳证券交易所同时开放交易的工作日为本基金的开放日（基金管理人根据法律法规或</w:t>
      </w:r>
      <w:r w:rsidRPr="00621B7F" w:rsidR="00F51C42">
        <w:rPr>
          <w:rFonts w:asciiTheme="minorEastAsia" w:eastAsiaTheme="minorEastAsia" w:hAnsiTheme="minorEastAsia" w:hint="eastAsia"/>
          <w:color w:val="000000" w:themeColor="text1"/>
          <w:szCs w:val="21"/>
        </w:rPr>
        <w:t>基金合同</w:t>
      </w:r>
      <w:r w:rsidRPr="00621B7F">
        <w:rPr>
          <w:rFonts w:asciiTheme="minorEastAsia" w:eastAsiaTheme="minorEastAsia" w:hAnsiTheme="minorEastAsia" w:hint="eastAsia"/>
          <w:color w:val="000000" w:themeColor="text1"/>
          <w:szCs w:val="21"/>
        </w:rPr>
        <w:t>的规定公告暂停申购、赎回时除外）。开放日的具体业务办理时间为上海证券交易所、深圳证券交易所交易日的交易时间。若出现新的证券交易市场或交易所交易时间更改或其它原因，基金管理人将根据法律法规和基金合同规定的原则视情况进行相应的调整并按照《信息披露办法》或其他相关规定在实施日前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公告。</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投资者在基金合同约定之外的日期和时间提出申购、赎回或者转换申请的，其基金份额申购、赎回价格为下次办理基金份额申购、赎回时间所在开放日的价格。</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694" w:name="_Toc91752034"/>
      <w:r w:rsidRPr="00621B7F">
        <w:rPr>
          <w:rFonts w:asciiTheme="minorEastAsia" w:eastAsiaTheme="minorEastAsia" w:hAnsiTheme="minorEastAsia" w:hint="eastAsia"/>
          <w:b w:val="0"/>
          <w:bCs/>
          <w:color w:val="000000" w:themeColor="text1"/>
        </w:rPr>
        <w:t>（</w:t>
      </w:r>
      <w:r w:rsidRPr="00621B7F" w:rsidR="00AB21C7">
        <w:rPr>
          <w:rFonts w:asciiTheme="minorEastAsia" w:eastAsiaTheme="minorEastAsia" w:hAnsiTheme="minorEastAsia" w:hint="eastAsia"/>
          <w:b w:val="0"/>
          <w:bCs/>
          <w:color w:val="000000" w:themeColor="text1"/>
        </w:rPr>
        <w:t>四</w:t>
      </w:r>
      <w:r w:rsidRPr="00621B7F">
        <w:rPr>
          <w:rFonts w:asciiTheme="minorEastAsia" w:eastAsiaTheme="minorEastAsia" w:hAnsiTheme="minorEastAsia" w:hint="eastAsia"/>
          <w:b w:val="0"/>
          <w:bCs/>
          <w:color w:val="000000" w:themeColor="text1"/>
        </w:rPr>
        <w:t>）申购、赎回的原则</w:t>
      </w:r>
      <w:bookmarkEnd w:id="694"/>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未知价原则</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即本基金的申购与赎回价格以受理申请当日收市后计算的</w:t>
      </w:r>
      <w:r w:rsidRPr="00621B7F" w:rsidR="000A73AF">
        <w:rPr>
          <w:rFonts w:asciiTheme="minorEastAsia" w:eastAsiaTheme="minorEastAsia" w:hAnsiTheme="minorEastAsia" w:hint="eastAsia"/>
          <w:color w:val="000000" w:themeColor="text1"/>
          <w:szCs w:val="21"/>
        </w:rPr>
        <w:t>各类</w:t>
      </w:r>
      <w:r w:rsidRPr="00621B7F">
        <w:rPr>
          <w:rFonts w:asciiTheme="minorEastAsia" w:eastAsiaTheme="minorEastAsia" w:hAnsiTheme="minorEastAsia" w:hint="eastAsia"/>
          <w:color w:val="000000" w:themeColor="text1"/>
          <w:szCs w:val="21"/>
        </w:rPr>
        <w:t>基金份额净值为基准进行计算</w:t>
      </w:r>
      <w:r w:rsidRPr="00621B7F" w:rsidR="000A73AF">
        <w:rPr>
          <w:rFonts w:asciiTheme="minorEastAsia" w:eastAsiaTheme="minorEastAsia" w:hAnsiTheme="minorEastAsia" w:hint="eastAsia"/>
          <w:color w:val="000000" w:themeColor="text1"/>
          <w:szCs w:val="21"/>
        </w:rPr>
        <w:t>，其中：C类基金份额首笔申购当日的申购价格为当日A类基金份额的基金份额净值</w:t>
      </w:r>
      <w:r w:rsidRPr="00621B7F">
        <w:rPr>
          <w:rFonts w:asciiTheme="minorEastAsia" w:eastAsiaTheme="minorEastAsia" w:hAnsiTheme="minorEastAsia" w:hint="eastAsia"/>
          <w:color w:val="000000" w:themeColor="text1"/>
          <w:szCs w:val="21"/>
        </w:rPr>
        <w:t>；</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2、本基金采用</w:t>
      </w:r>
      <w:r w:rsidRPr="00621B7F">
        <w:rPr>
          <w:rFonts w:asciiTheme="minorEastAsia" w:eastAsiaTheme="minorEastAsia" w:hAnsiTheme="minorEastAsia"/>
          <w:color w:val="000000" w:themeColor="text1"/>
          <w:szCs w:val="21"/>
        </w:rPr>
        <w:t>金额申购、份额赎回原则</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即申购以金额申请</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赎回以份额申请；</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3、基金份额持有人赎回时，基金管理人按先进先出的原则，对该持有人账户在该销售机构托管的基金份额进行处理，即先确认的份额先赎回，后确认的份额后赎回，以确定所适用的赎回费率；</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4、当日的申购、赎回申请可以在当日交易结束时间前撤销，在当日的交易时间结束后不得撤销；</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5、基金管理人可根据基金运作的实际情况并在不影响基金份额持有人实质利益的前提下调整上述原则。基金管理人必须在新规则开始实施前按照《信息披露办法》的有关规定在至少一家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及基金管理人网站公告并报中国证监会备案。</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695" w:name="_Toc91752035"/>
      <w:r w:rsidRPr="00621B7F">
        <w:rPr>
          <w:rFonts w:asciiTheme="minorEastAsia" w:eastAsiaTheme="minorEastAsia" w:hAnsiTheme="minorEastAsia" w:hint="eastAsia"/>
          <w:b w:val="0"/>
          <w:color w:val="000000" w:themeColor="text1"/>
        </w:rPr>
        <w:t>（</w:t>
      </w:r>
      <w:r w:rsidRPr="00621B7F" w:rsidR="00AB21C7">
        <w:rPr>
          <w:rFonts w:asciiTheme="minorEastAsia" w:eastAsiaTheme="minorEastAsia" w:hAnsiTheme="minorEastAsia" w:hint="eastAsia"/>
          <w:b w:val="0"/>
          <w:color w:val="000000" w:themeColor="text1"/>
        </w:rPr>
        <w:t>五</w:t>
      </w:r>
      <w:r w:rsidRPr="00621B7F">
        <w:rPr>
          <w:rFonts w:asciiTheme="minorEastAsia" w:eastAsiaTheme="minorEastAsia" w:hAnsiTheme="minorEastAsia" w:hint="eastAsia"/>
          <w:b w:val="0"/>
          <w:color w:val="000000" w:themeColor="text1"/>
        </w:rPr>
        <w:t>）申购、赎回的程序</w:t>
      </w:r>
      <w:bookmarkEnd w:id="695"/>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1、申购、赎回的申请方式</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基金投资者必须根据基金管理人和基金</w:t>
      </w:r>
      <w:r w:rsidRPr="00621B7F" w:rsidR="001F2A17">
        <w:rPr>
          <w:rFonts w:asciiTheme="minorEastAsia" w:eastAsiaTheme="minorEastAsia" w:hAnsiTheme="minorEastAsia" w:hint="eastAsia"/>
          <w:color w:val="000000" w:themeColor="text1"/>
          <w:szCs w:val="21"/>
        </w:rPr>
        <w:t>销售</w:t>
      </w:r>
      <w:r w:rsidRPr="00621B7F">
        <w:rPr>
          <w:rFonts w:asciiTheme="minorEastAsia" w:eastAsiaTheme="minorEastAsia" w:hAnsiTheme="minorEastAsia" w:hint="eastAsia"/>
          <w:color w:val="000000" w:themeColor="text1"/>
          <w:szCs w:val="21"/>
        </w:rPr>
        <w:t>机构规定的手续，在开放日的业务办理时间提出申购、赎回的申请。</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投资者在提交申购申请时</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须按销售机构规定的方式备足申购资金；提交赎回申请时,帐户中必须有足够的基金</w:t>
      </w:r>
      <w:r w:rsidRPr="00621B7F">
        <w:rPr>
          <w:rFonts w:asciiTheme="minorEastAsia" w:eastAsiaTheme="minorEastAsia" w:hAnsiTheme="minorEastAsia" w:hint="eastAsia"/>
          <w:color w:val="000000" w:themeColor="text1"/>
          <w:szCs w:val="21"/>
        </w:rPr>
        <w:t>份额</w:t>
      </w:r>
      <w:r w:rsidRPr="00621B7F">
        <w:rPr>
          <w:rFonts w:asciiTheme="minorEastAsia" w:eastAsiaTheme="minorEastAsia" w:hAnsiTheme="minorEastAsia"/>
          <w:color w:val="000000" w:themeColor="text1"/>
          <w:szCs w:val="21"/>
        </w:rPr>
        <w:t>余额</w:t>
      </w:r>
      <w:r w:rsidRPr="00621B7F">
        <w:rPr>
          <w:rFonts w:asciiTheme="minorEastAsia" w:eastAsiaTheme="minorEastAsia" w:hAnsiTheme="minorEastAsia" w:hint="eastAsia"/>
          <w:color w:val="000000" w:themeColor="text1"/>
          <w:szCs w:val="21"/>
        </w:rPr>
        <w:t>，否则所提交的申购、赎回的申请无效而不予成交。</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2、申购、赎回申请的确认</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T</w:t>
      </w:r>
      <w:r w:rsidRPr="00621B7F">
        <w:rPr>
          <w:rFonts w:asciiTheme="minorEastAsia" w:eastAsiaTheme="minorEastAsia" w:hAnsiTheme="minorEastAsia" w:hint="eastAsia"/>
          <w:color w:val="000000" w:themeColor="text1"/>
          <w:szCs w:val="21"/>
        </w:rPr>
        <w:t>日规定时间受理的申请，正常情况下，基金注册登记机构在</w:t>
      </w:r>
      <w:r w:rsidRPr="00621B7F">
        <w:rPr>
          <w:rFonts w:asciiTheme="minorEastAsia" w:eastAsiaTheme="minorEastAsia" w:hAnsiTheme="minorEastAsia"/>
          <w:color w:val="000000" w:themeColor="text1"/>
          <w:szCs w:val="21"/>
        </w:rPr>
        <w:t>T+1</w:t>
      </w:r>
      <w:r w:rsidRPr="00621B7F">
        <w:rPr>
          <w:rFonts w:asciiTheme="minorEastAsia" w:eastAsiaTheme="minorEastAsia" w:hAnsiTheme="minorEastAsia" w:hint="eastAsia"/>
          <w:color w:val="000000" w:themeColor="text1"/>
          <w:szCs w:val="21"/>
        </w:rPr>
        <w:t>日内为投资者对该交易的有效性进行确认，在</w:t>
      </w:r>
      <w:r w:rsidRPr="00621B7F">
        <w:rPr>
          <w:rFonts w:asciiTheme="minorEastAsia" w:eastAsiaTheme="minorEastAsia" w:hAnsiTheme="minorEastAsia"/>
          <w:color w:val="000000" w:themeColor="text1"/>
          <w:szCs w:val="21"/>
        </w:rPr>
        <w:t>T</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2</w:t>
      </w:r>
      <w:r w:rsidRPr="00621B7F">
        <w:rPr>
          <w:rFonts w:asciiTheme="minorEastAsia" w:eastAsiaTheme="minorEastAsia" w:hAnsiTheme="minorEastAsia" w:hint="eastAsia"/>
          <w:color w:val="000000" w:themeColor="text1"/>
          <w:szCs w:val="21"/>
        </w:rPr>
        <w:t>日后（包括该日）投资者可向销售机构或以销售机构规定的其他方式查询申购与赎回的成交情况。</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基金销售机构对申购申请的受理并不代表该申请一定成功，而仅代表销售机构确实接收到申购申请。申购的确认以基金注册登记机构的确认结果为准。</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3、申购和赎回的款项支付</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申购采用全额缴款方式，若申购资金在规定时间内未全额到账则申购不成功，若申购不成功或无效，申购款项将退回投资者账户。</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投资者T日赎回申请成功后，基金管理人将通过基金注册登记机构及相关基金销售机构在</w:t>
      </w:r>
      <w:r w:rsidRPr="00621B7F">
        <w:rPr>
          <w:rFonts w:asciiTheme="minorEastAsia" w:eastAsiaTheme="minorEastAsia" w:hAnsiTheme="minorEastAsia"/>
          <w:color w:val="000000" w:themeColor="text1"/>
          <w:szCs w:val="21"/>
        </w:rPr>
        <w:t>T</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7</w:t>
      </w:r>
      <w:r w:rsidRPr="00621B7F">
        <w:rPr>
          <w:rFonts w:asciiTheme="minorEastAsia" w:eastAsiaTheme="minorEastAsia" w:hAnsiTheme="minorEastAsia" w:hint="eastAsia"/>
          <w:color w:val="000000" w:themeColor="text1"/>
          <w:szCs w:val="21"/>
        </w:rPr>
        <w:t>日（包括该日）内支付赎回款项。在发生巨额赎回的情形时，款项的支付办法参照《基金合同》的有关条款处理。</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696" w:name="_Toc91752036"/>
      <w:r w:rsidRPr="00621B7F">
        <w:rPr>
          <w:rFonts w:asciiTheme="minorEastAsia" w:eastAsiaTheme="minorEastAsia" w:hAnsiTheme="minorEastAsia" w:hint="eastAsia"/>
          <w:b w:val="0"/>
          <w:color w:val="000000" w:themeColor="text1"/>
        </w:rPr>
        <w:t>（</w:t>
      </w:r>
      <w:r w:rsidRPr="00621B7F" w:rsidR="00AB21C7">
        <w:rPr>
          <w:rFonts w:asciiTheme="minorEastAsia" w:eastAsiaTheme="minorEastAsia" w:hAnsiTheme="minorEastAsia" w:hint="eastAsia"/>
          <w:b w:val="0"/>
          <w:color w:val="000000" w:themeColor="text1"/>
        </w:rPr>
        <w:t>六</w:t>
      </w:r>
      <w:r w:rsidRPr="00621B7F">
        <w:rPr>
          <w:rFonts w:asciiTheme="minorEastAsia" w:eastAsiaTheme="minorEastAsia" w:hAnsiTheme="minorEastAsia" w:hint="eastAsia"/>
          <w:b w:val="0"/>
          <w:color w:val="000000" w:themeColor="text1"/>
        </w:rPr>
        <w:t>）申购、赎回的数额限制</w:t>
      </w:r>
      <w:bookmarkEnd w:id="696"/>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1、申购基金的金额限制</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投资者通过</w:t>
      </w:r>
      <w:r w:rsidRPr="00621B7F" w:rsidR="001F2A17">
        <w:rPr>
          <w:rFonts w:asciiTheme="minorEastAsia" w:eastAsiaTheme="minorEastAsia" w:hAnsiTheme="minorEastAsia" w:hint="eastAsia"/>
          <w:color w:val="000000" w:themeColor="text1"/>
          <w:szCs w:val="21"/>
        </w:rPr>
        <w:t>非直销销售机构</w:t>
      </w:r>
      <w:r w:rsidRPr="00621B7F">
        <w:rPr>
          <w:rFonts w:asciiTheme="minorEastAsia" w:eastAsiaTheme="minorEastAsia" w:hAnsiTheme="minorEastAsia" w:hint="eastAsia"/>
          <w:color w:val="000000" w:themeColor="text1"/>
          <w:szCs w:val="21"/>
        </w:rPr>
        <w:t>或本公司网上交易系统首次申购的单笔最低金额为</w:t>
      </w:r>
      <w:r w:rsidRPr="00621B7F" w:rsidR="00253179">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hint="eastAsia"/>
          <w:color w:val="000000" w:themeColor="text1"/>
          <w:szCs w:val="21"/>
        </w:rPr>
        <w:t>元人民币，</w:t>
      </w:r>
      <w:r w:rsidRPr="00621B7F" w:rsidR="001F2A17">
        <w:rPr>
          <w:rFonts w:asciiTheme="minorEastAsia" w:eastAsiaTheme="minorEastAsia" w:hAnsiTheme="minorEastAsia" w:hint="eastAsia"/>
          <w:color w:val="000000" w:themeColor="text1"/>
          <w:szCs w:val="21"/>
        </w:rPr>
        <w:t>追加申购单笔最低金额为</w:t>
      </w:r>
      <w:r w:rsidRPr="00621B7F" w:rsidR="00253179">
        <w:rPr>
          <w:rFonts w:asciiTheme="minorEastAsia" w:eastAsiaTheme="minorEastAsia" w:hAnsiTheme="minorEastAsia" w:hint="eastAsia"/>
          <w:color w:val="000000" w:themeColor="text1"/>
          <w:szCs w:val="21"/>
        </w:rPr>
        <w:t>1</w:t>
      </w:r>
      <w:r w:rsidRPr="00621B7F" w:rsidR="001F2A17">
        <w:rPr>
          <w:rFonts w:asciiTheme="minorEastAsia" w:eastAsiaTheme="minorEastAsia" w:hAnsiTheme="minorEastAsia" w:hint="eastAsia"/>
          <w:color w:val="000000" w:themeColor="text1"/>
          <w:szCs w:val="21"/>
        </w:rPr>
        <w:t>元人民币；</w:t>
      </w:r>
      <w:r w:rsidRPr="00621B7F">
        <w:rPr>
          <w:rFonts w:asciiTheme="minorEastAsia" w:eastAsiaTheme="minorEastAsia" w:hAnsiTheme="minorEastAsia" w:hint="eastAsia"/>
          <w:color w:val="000000" w:themeColor="text1"/>
          <w:szCs w:val="21"/>
        </w:rPr>
        <w:t>通过直销中心首次申购的单笔最低金额为50000元人民币，追加申购单笔最低金额为1000元人民币。</w:t>
      </w:r>
      <w:r w:rsidRPr="00621B7F" w:rsidR="00104663">
        <w:rPr>
          <w:rFonts w:asciiTheme="minorEastAsia" w:eastAsiaTheme="minorEastAsia" w:hAnsiTheme="minorEastAsia" w:hint="eastAsia"/>
          <w:color w:val="000000" w:themeColor="text1"/>
          <w:szCs w:val="21"/>
        </w:rPr>
        <w:t>在</w:t>
      </w:r>
      <w:r w:rsidRPr="00621B7F" w:rsidR="00DE6671">
        <w:rPr>
          <w:rFonts w:asciiTheme="minorEastAsia" w:eastAsiaTheme="minorEastAsia" w:hAnsiTheme="minorEastAsia" w:hint="eastAsia"/>
          <w:color w:val="000000" w:themeColor="text1"/>
          <w:szCs w:val="21"/>
        </w:rPr>
        <w:t>符合</w:t>
      </w:r>
      <w:r w:rsidRPr="00621B7F" w:rsidR="00104663">
        <w:rPr>
          <w:rFonts w:asciiTheme="minorEastAsia" w:eastAsiaTheme="minorEastAsia" w:hAnsiTheme="minorEastAsia" w:hint="eastAsia"/>
          <w:color w:val="000000" w:themeColor="text1"/>
          <w:szCs w:val="21"/>
        </w:rPr>
        <w:t>法律法规规定的前提下，</w:t>
      </w:r>
      <w:r w:rsidRPr="00621B7F">
        <w:rPr>
          <w:rFonts w:asciiTheme="minorEastAsia" w:eastAsiaTheme="minorEastAsia" w:hAnsiTheme="minorEastAsia" w:hint="eastAsia"/>
          <w:color w:val="000000" w:themeColor="text1"/>
          <w:szCs w:val="21"/>
        </w:rPr>
        <w:t>各</w:t>
      </w:r>
      <w:r w:rsidRPr="00621B7F" w:rsidR="001F2A17">
        <w:rPr>
          <w:rFonts w:asciiTheme="minorEastAsia" w:eastAsiaTheme="minorEastAsia" w:hAnsiTheme="minorEastAsia" w:hint="eastAsia"/>
          <w:color w:val="000000" w:themeColor="text1"/>
          <w:szCs w:val="21"/>
        </w:rPr>
        <w:t>销售</w:t>
      </w:r>
      <w:r w:rsidRPr="00621B7F">
        <w:rPr>
          <w:rFonts w:asciiTheme="minorEastAsia" w:eastAsiaTheme="minorEastAsia" w:hAnsiTheme="minorEastAsia" w:hint="eastAsia"/>
          <w:color w:val="000000" w:themeColor="text1"/>
          <w:szCs w:val="21"/>
        </w:rPr>
        <w:t>机构对最低申购限额及交易级差有其他规定的,</w:t>
      </w:r>
      <w:r w:rsidRPr="00621B7F" w:rsidR="00355FD1">
        <w:rPr>
          <w:rFonts w:asciiTheme="minorEastAsia" w:eastAsiaTheme="minorEastAsia" w:hAnsiTheme="minorEastAsia" w:hint="eastAsia"/>
          <w:color w:val="000000" w:themeColor="text1"/>
          <w:szCs w:val="21"/>
        </w:rPr>
        <w:t>需同时遵循该销售机构的相关规定</w:t>
      </w:r>
      <w:r w:rsidRPr="00621B7F">
        <w:rPr>
          <w:rFonts w:asciiTheme="minorEastAsia" w:eastAsiaTheme="minorEastAsia" w:hAnsiTheme="minorEastAsia" w:hint="eastAsia"/>
          <w:color w:val="000000" w:themeColor="text1"/>
          <w:szCs w:val="21"/>
        </w:rPr>
        <w:t>。</w:t>
      </w:r>
      <w:r w:rsidRPr="00621B7F" w:rsidR="001F2A17">
        <w:rPr>
          <w:rFonts w:asciiTheme="minorEastAsia" w:eastAsiaTheme="minorEastAsia" w:hAnsiTheme="minorEastAsia" w:hint="eastAsia"/>
          <w:color w:val="000000" w:themeColor="text1"/>
          <w:szCs w:val="21"/>
        </w:rPr>
        <w:t>（以上金额均含申购费）</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投资者将当期分配的基金收益转购基金份额或采用定期定额投资计划时，不受最低申购金额的限制。</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投资者可多次申购，对单个投资者累计持有份额不设上限限制。</w:t>
      </w:r>
      <w:r w:rsidRPr="00621B7F" w:rsidR="00B87906">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621B7F">
        <w:rPr>
          <w:rFonts w:asciiTheme="minorEastAsia" w:eastAsiaTheme="minorEastAsia" w:hAnsiTheme="minorEastAsia" w:hint="eastAsia"/>
          <w:color w:val="000000" w:themeColor="text1"/>
          <w:szCs w:val="21"/>
        </w:rPr>
        <w:t>法律法规、中国证监会另有规定的除外。</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bookmarkStart w:id="697" w:name="OLE_LINK2"/>
      <w:r w:rsidRPr="00621B7F">
        <w:rPr>
          <w:rFonts w:asciiTheme="minorEastAsia" w:eastAsiaTheme="minorEastAsia" w:hAnsiTheme="minorEastAsia" w:hint="eastAsia"/>
          <w:color w:val="000000" w:themeColor="text1"/>
          <w:szCs w:val="21"/>
        </w:rPr>
        <w:t>2、赎回的份额限制</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投资者可将其全部或部分基金</w:t>
      </w:r>
      <w:r w:rsidRPr="00621B7F">
        <w:rPr>
          <w:rFonts w:asciiTheme="minorEastAsia" w:eastAsiaTheme="minorEastAsia" w:hAnsiTheme="minorEastAsia" w:hint="eastAsia"/>
          <w:color w:val="000000" w:themeColor="text1"/>
          <w:szCs w:val="21"/>
        </w:rPr>
        <w:t>份额</w:t>
      </w:r>
      <w:r w:rsidRPr="00621B7F">
        <w:rPr>
          <w:rFonts w:asciiTheme="minorEastAsia" w:eastAsiaTheme="minorEastAsia" w:hAnsiTheme="minorEastAsia"/>
          <w:color w:val="000000" w:themeColor="text1"/>
          <w:szCs w:val="21"/>
        </w:rPr>
        <w:t>赎回。</w:t>
      </w:r>
      <w:r w:rsidRPr="00621B7F" w:rsidR="000A73AF">
        <w:rPr>
          <w:rFonts w:asciiTheme="minorEastAsia" w:eastAsiaTheme="minorEastAsia" w:hAnsiTheme="minorEastAsia"/>
          <w:color w:val="000000" w:themeColor="text1"/>
          <w:szCs w:val="21"/>
        </w:rPr>
        <w:t>每类基金份额</w:t>
      </w:r>
      <w:r w:rsidRPr="00621B7F">
        <w:rPr>
          <w:rFonts w:asciiTheme="minorEastAsia" w:eastAsiaTheme="minorEastAsia" w:hAnsiTheme="minorEastAsia"/>
          <w:color w:val="000000" w:themeColor="text1"/>
          <w:szCs w:val="21"/>
        </w:rPr>
        <w:t>单笔赎回或转换不得少于</w:t>
      </w:r>
      <w:r w:rsidRPr="00621B7F" w:rsidR="00253179">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份(如该</w:t>
      </w:r>
      <w:r w:rsidRPr="00621B7F" w:rsidR="00EA4099">
        <w:rPr>
          <w:rFonts w:asciiTheme="minorEastAsia" w:eastAsiaTheme="minorEastAsia" w:hAnsiTheme="minorEastAsia" w:hint="eastAsia"/>
          <w:color w:val="000000" w:themeColor="text1"/>
          <w:szCs w:val="21"/>
        </w:rPr>
        <w:t>账户</w:t>
      </w:r>
      <w:r w:rsidRPr="00621B7F">
        <w:rPr>
          <w:rFonts w:asciiTheme="minorEastAsia" w:eastAsiaTheme="minorEastAsia" w:hAnsiTheme="minorEastAsia"/>
          <w:color w:val="000000" w:themeColor="text1"/>
          <w:szCs w:val="21"/>
        </w:rPr>
        <w:t>在该销售机构托管的</w:t>
      </w:r>
      <w:r w:rsidRPr="00621B7F" w:rsidR="000A73AF">
        <w:rPr>
          <w:rFonts w:asciiTheme="minorEastAsia" w:eastAsiaTheme="minorEastAsia" w:hAnsiTheme="minorEastAsia"/>
          <w:color w:val="000000" w:themeColor="text1"/>
          <w:szCs w:val="21"/>
        </w:rPr>
        <w:t>该类</w:t>
      </w:r>
      <w:r w:rsidRPr="00621B7F">
        <w:rPr>
          <w:rFonts w:asciiTheme="minorEastAsia" w:eastAsiaTheme="minorEastAsia" w:hAnsiTheme="minorEastAsia"/>
          <w:color w:val="000000" w:themeColor="text1"/>
          <w:szCs w:val="21"/>
        </w:rPr>
        <w:t>基金</w:t>
      </w:r>
      <w:r w:rsidRPr="00621B7F" w:rsidR="000A73AF">
        <w:rPr>
          <w:rFonts w:asciiTheme="minorEastAsia" w:eastAsiaTheme="minorEastAsia" w:hAnsiTheme="minorEastAsia"/>
          <w:color w:val="000000" w:themeColor="text1"/>
          <w:szCs w:val="21"/>
        </w:rPr>
        <w:t>份额</w:t>
      </w:r>
      <w:r w:rsidRPr="00621B7F">
        <w:rPr>
          <w:rFonts w:asciiTheme="minorEastAsia" w:eastAsiaTheme="minorEastAsia" w:hAnsiTheme="minorEastAsia"/>
          <w:color w:val="000000" w:themeColor="text1"/>
          <w:szCs w:val="21"/>
        </w:rPr>
        <w:t>余额不足</w:t>
      </w:r>
      <w:r w:rsidRPr="00621B7F" w:rsidR="00253179">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份</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则必须一次性赎回或转出该</w:t>
      </w:r>
      <w:r w:rsidRPr="00621B7F" w:rsidR="000A73AF">
        <w:rPr>
          <w:rFonts w:asciiTheme="minorEastAsia" w:eastAsiaTheme="minorEastAsia" w:hAnsiTheme="minorEastAsia"/>
          <w:color w:val="000000" w:themeColor="text1"/>
          <w:szCs w:val="21"/>
        </w:rPr>
        <w:t>类</w:t>
      </w:r>
      <w:r w:rsidRPr="00621B7F">
        <w:rPr>
          <w:rFonts w:asciiTheme="minorEastAsia" w:eastAsiaTheme="minorEastAsia" w:hAnsiTheme="minorEastAsia"/>
          <w:color w:val="000000" w:themeColor="text1"/>
          <w:szCs w:val="21"/>
        </w:rPr>
        <w:t>基金</w:t>
      </w:r>
      <w:r w:rsidRPr="00621B7F" w:rsidR="000A73AF">
        <w:rPr>
          <w:rFonts w:asciiTheme="minorEastAsia" w:eastAsiaTheme="minorEastAsia" w:hAnsiTheme="minorEastAsia"/>
          <w:color w:val="000000" w:themeColor="text1"/>
          <w:szCs w:val="21"/>
        </w:rPr>
        <w:t>份额</w:t>
      </w:r>
      <w:r w:rsidRPr="00621B7F">
        <w:rPr>
          <w:rFonts w:asciiTheme="minorEastAsia" w:eastAsiaTheme="minorEastAsia" w:hAnsiTheme="minorEastAsia"/>
          <w:color w:val="000000" w:themeColor="text1"/>
          <w:szCs w:val="21"/>
        </w:rPr>
        <w:t>全部份额)；若某笔赎回将导致投资者在</w:t>
      </w:r>
      <w:r w:rsidRPr="00621B7F" w:rsidR="00EA4099">
        <w:rPr>
          <w:rFonts w:asciiTheme="minorEastAsia" w:eastAsiaTheme="minorEastAsia" w:hAnsiTheme="minorEastAsia" w:hint="eastAsia"/>
          <w:color w:val="000000" w:themeColor="text1"/>
          <w:szCs w:val="21"/>
        </w:rPr>
        <w:t>该</w:t>
      </w:r>
      <w:r w:rsidRPr="00621B7F">
        <w:rPr>
          <w:rFonts w:asciiTheme="minorEastAsia" w:eastAsiaTheme="minorEastAsia" w:hAnsiTheme="minorEastAsia"/>
          <w:color w:val="000000" w:themeColor="text1"/>
          <w:szCs w:val="21"/>
        </w:rPr>
        <w:t>销售机构托管的</w:t>
      </w:r>
      <w:r w:rsidRPr="00621B7F" w:rsidR="000A73AF">
        <w:rPr>
          <w:rFonts w:asciiTheme="minorEastAsia" w:eastAsiaTheme="minorEastAsia" w:hAnsiTheme="minorEastAsia"/>
          <w:color w:val="000000" w:themeColor="text1"/>
          <w:szCs w:val="21"/>
        </w:rPr>
        <w:t>该类</w:t>
      </w:r>
      <w:r w:rsidRPr="00621B7F">
        <w:rPr>
          <w:rFonts w:asciiTheme="minorEastAsia" w:eastAsiaTheme="minorEastAsia" w:hAnsiTheme="minorEastAsia"/>
          <w:color w:val="000000" w:themeColor="text1"/>
          <w:szCs w:val="21"/>
        </w:rPr>
        <w:t>基金</w:t>
      </w:r>
      <w:r w:rsidRPr="00621B7F" w:rsidR="000A73AF">
        <w:rPr>
          <w:rFonts w:asciiTheme="minorEastAsia" w:eastAsiaTheme="minorEastAsia" w:hAnsiTheme="minorEastAsia"/>
          <w:color w:val="000000" w:themeColor="text1"/>
          <w:szCs w:val="21"/>
        </w:rPr>
        <w:t>份额</w:t>
      </w:r>
      <w:r w:rsidRPr="00621B7F">
        <w:rPr>
          <w:rFonts w:asciiTheme="minorEastAsia" w:eastAsiaTheme="minorEastAsia" w:hAnsiTheme="minorEastAsia"/>
          <w:color w:val="000000" w:themeColor="text1"/>
          <w:szCs w:val="21"/>
        </w:rPr>
        <w:t>余额不足</w:t>
      </w:r>
      <w:r w:rsidRPr="00621B7F" w:rsidR="00253179">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份时</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基金管理人有权将投资者在该销售机构托管的该</w:t>
      </w:r>
      <w:r w:rsidRPr="00621B7F" w:rsidR="000A73AF">
        <w:rPr>
          <w:rFonts w:asciiTheme="minorEastAsia" w:eastAsiaTheme="minorEastAsia" w:hAnsiTheme="minorEastAsia"/>
          <w:color w:val="000000" w:themeColor="text1"/>
          <w:szCs w:val="21"/>
        </w:rPr>
        <w:t>类</w:t>
      </w:r>
      <w:r w:rsidRPr="00621B7F">
        <w:rPr>
          <w:rFonts w:asciiTheme="minorEastAsia" w:eastAsiaTheme="minorEastAsia" w:hAnsiTheme="minorEastAsia"/>
          <w:color w:val="000000" w:themeColor="text1"/>
          <w:szCs w:val="21"/>
        </w:rPr>
        <w:t>基金</w:t>
      </w:r>
      <w:r w:rsidRPr="00621B7F" w:rsidR="000A73AF">
        <w:rPr>
          <w:rFonts w:asciiTheme="minorEastAsia" w:eastAsiaTheme="minorEastAsia" w:hAnsiTheme="minorEastAsia"/>
          <w:color w:val="000000" w:themeColor="text1"/>
          <w:szCs w:val="21"/>
        </w:rPr>
        <w:t>份额</w:t>
      </w:r>
      <w:r w:rsidRPr="00621B7F">
        <w:rPr>
          <w:rFonts w:asciiTheme="minorEastAsia" w:eastAsiaTheme="minorEastAsia" w:hAnsiTheme="minorEastAsia"/>
          <w:color w:val="000000" w:themeColor="text1"/>
          <w:szCs w:val="21"/>
        </w:rPr>
        <w:t>剩余份额一次性全部赎回</w:t>
      </w:r>
      <w:r w:rsidRPr="00621B7F" w:rsidR="00E54A4A">
        <w:rPr>
          <w:rFonts w:asciiTheme="minorEastAsia" w:eastAsiaTheme="minorEastAsia" w:hAnsiTheme="minorEastAsia" w:hint="eastAsia"/>
          <w:color w:val="000000" w:themeColor="text1"/>
          <w:szCs w:val="21"/>
        </w:rPr>
        <w:t>。</w:t>
      </w:r>
      <w:r w:rsidRPr="00621B7F" w:rsidR="00104663">
        <w:rPr>
          <w:rFonts w:asciiTheme="minorEastAsia" w:eastAsiaTheme="minorEastAsia" w:hAnsiTheme="minorEastAsia" w:hint="eastAsia"/>
          <w:color w:val="000000" w:themeColor="text1"/>
          <w:szCs w:val="21"/>
        </w:rPr>
        <w:t>在</w:t>
      </w:r>
      <w:r w:rsidRPr="00621B7F" w:rsidR="00DE6671">
        <w:rPr>
          <w:rFonts w:asciiTheme="minorEastAsia" w:eastAsiaTheme="minorEastAsia" w:hAnsiTheme="minorEastAsia" w:hint="eastAsia"/>
          <w:color w:val="000000" w:themeColor="text1"/>
          <w:szCs w:val="21"/>
        </w:rPr>
        <w:t>符合</w:t>
      </w:r>
      <w:r w:rsidRPr="00621B7F" w:rsidR="00104663">
        <w:rPr>
          <w:rFonts w:asciiTheme="minorEastAsia" w:eastAsiaTheme="minorEastAsia" w:hAnsiTheme="minorEastAsia" w:hint="eastAsia"/>
          <w:color w:val="000000" w:themeColor="text1"/>
          <w:szCs w:val="21"/>
        </w:rPr>
        <w:t>法律法规规定的前提下，</w:t>
      </w:r>
      <w:r w:rsidRPr="00621B7F">
        <w:rPr>
          <w:rFonts w:asciiTheme="minorEastAsia" w:eastAsiaTheme="minorEastAsia" w:hAnsiTheme="minorEastAsia" w:hint="eastAsia"/>
          <w:color w:val="000000" w:themeColor="text1"/>
          <w:szCs w:val="21"/>
        </w:rPr>
        <w:t>各销售机构对赎回份额限制有其他规定的,</w:t>
      </w:r>
      <w:r w:rsidRPr="00621B7F" w:rsidR="00355FD1">
        <w:rPr>
          <w:rFonts w:asciiTheme="minorEastAsia" w:eastAsiaTheme="minorEastAsia" w:hAnsiTheme="minorEastAsia" w:hint="eastAsia"/>
          <w:color w:val="000000" w:themeColor="text1"/>
          <w:szCs w:val="21"/>
        </w:rPr>
        <w:t>需同时遵循该销售机构的相关规定</w:t>
      </w:r>
      <w:r w:rsidRPr="00621B7F">
        <w:rPr>
          <w:rFonts w:asciiTheme="minorEastAsia" w:eastAsiaTheme="minorEastAsia" w:hAnsiTheme="minorEastAsia" w:hint="eastAsia"/>
          <w:color w:val="000000" w:themeColor="text1"/>
          <w:szCs w:val="21"/>
        </w:rPr>
        <w:t>。</w:t>
      </w:r>
    </w:p>
    <w:bookmarkEnd w:id="697"/>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3、基金管理人可根据市场情况制定或调整上述申购、赎回的程序及有关限制</w:t>
      </w:r>
      <w:r w:rsidRPr="00621B7F" w:rsidR="00B87906">
        <w:rPr>
          <w:rFonts w:asciiTheme="minorEastAsia" w:eastAsiaTheme="minorEastAsia" w:hAnsiTheme="minorEastAsia" w:hint="eastAsia"/>
          <w:color w:val="000000" w:themeColor="text1"/>
          <w:szCs w:val="21"/>
        </w:rPr>
        <w:t>，或者新增基金规模控制措施</w:t>
      </w:r>
      <w:r w:rsidRPr="00621B7F">
        <w:rPr>
          <w:rFonts w:asciiTheme="minorEastAsia" w:eastAsiaTheme="minorEastAsia" w:hAnsiTheme="minorEastAsia" w:hint="eastAsia"/>
          <w:color w:val="000000" w:themeColor="text1"/>
          <w:szCs w:val="21"/>
        </w:rPr>
        <w:t>，但应按照《信息披露办法》或其他相关规定在调整生效前至少在一家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及基金管理人网站公告并报中国证监会备案。</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698" w:name="_Toc91752037"/>
      <w:r w:rsidRPr="00621B7F">
        <w:rPr>
          <w:rFonts w:asciiTheme="minorEastAsia" w:eastAsiaTheme="minorEastAsia" w:hAnsiTheme="minorEastAsia" w:hint="eastAsia"/>
          <w:b w:val="0"/>
          <w:color w:val="000000" w:themeColor="text1"/>
        </w:rPr>
        <w:t>（</w:t>
      </w:r>
      <w:r w:rsidRPr="00621B7F" w:rsidR="00AB21C7">
        <w:rPr>
          <w:rFonts w:asciiTheme="minorEastAsia" w:eastAsiaTheme="minorEastAsia" w:hAnsiTheme="minorEastAsia" w:hint="eastAsia"/>
          <w:b w:val="0"/>
          <w:color w:val="000000" w:themeColor="text1"/>
        </w:rPr>
        <w:t>七</w:t>
      </w:r>
      <w:r w:rsidRPr="00621B7F">
        <w:rPr>
          <w:rFonts w:asciiTheme="minorEastAsia" w:eastAsiaTheme="minorEastAsia" w:hAnsiTheme="minorEastAsia" w:hint="eastAsia"/>
          <w:b w:val="0"/>
          <w:color w:val="000000" w:themeColor="text1"/>
        </w:rPr>
        <w:t>）申购、赎回的费率</w:t>
      </w:r>
      <w:bookmarkEnd w:id="698"/>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1、本基金的申购、赎回费率</w:t>
      </w:r>
    </w:p>
    <w:p w:rsidR="000A73AF" w:rsidRPr="00621B7F" w:rsidP="000A73AF">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（1）A类基金份额</w:t>
      </w:r>
    </w:p>
    <w:p w:rsidR="001A7F83" w:rsidRPr="00621B7F" w:rsidP="00BB21AF">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对于A类基金份额，</w:t>
      </w:r>
      <w:r w:rsidRPr="00621B7F" w:rsidR="002D6BB1">
        <w:rPr>
          <w:rFonts w:asciiTheme="minorEastAsia" w:eastAsiaTheme="minorEastAsia" w:hAnsiTheme="minorEastAsia" w:hint="eastAsia"/>
          <w:color w:val="000000" w:themeColor="text1"/>
          <w:szCs w:val="21"/>
        </w:rPr>
        <w:t>本基金对通过本公司直销中心申购的特定投资群体与除此之外的其他投资者实施差别的申购费率。</w:t>
      </w:r>
    </w:p>
    <w:p w:rsidR="002D6BB1"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特定投资群体指全国社会保障基金、依法设立的基本养老保险基金、依法制定的企业</w:t>
      </w:r>
    </w:p>
    <w:p w:rsidR="002D6BB1" w:rsidRPr="00621B7F" w:rsidP="00241F10">
      <w:pPr>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2D6BB1"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通过基金管理人的直销中心申购本基金</w:t>
      </w:r>
      <w:r w:rsidRPr="00621B7F" w:rsidR="000A73AF">
        <w:rPr>
          <w:rFonts w:asciiTheme="minorEastAsia" w:eastAsiaTheme="minorEastAsia" w:hAnsiTheme="minorEastAsia" w:hint="eastAsia"/>
          <w:color w:val="000000" w:themeColor="text1"/>
          <w:szCs w:val="21"/>
        </w:rPr>
        <w:t>A类基金份额</w:t>
      </w:r>
      <w:r w:rsidRPr="00621B7F">
        <w:rPr>
          <w:rFonts w:asciiTheme="minorEastAsia" w:eastAsiaTheme="minorEastAsia" w:hAnsiTheme="minorEastAsia" w:hint="eastAsia"/>
          <w:color w:val="000000" w:themeColor="text1"/>
          <w:szCs w:val="21"/>
        </w:rPr>
        <w:t>的特定投资群体申购费率为：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3"/>
        <w:gridCol w:w="3765"/>
      </w:tblGrid>
      <w:tr w:rsidTr="006A53B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363" w:type="dxa"/>
          </w:tcPr>
          <w:p w:rsidR="002D6BB1" w:rsidRPr="00621B7F" w:rsidP="00241F10">
            <w:pPr>
              <w:tabs>
                <w:tab w:val="num" w:pos="360"/>
              </w:tabs>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申购金额M（元）（含申购费）</w:t>
            </w:r>
          </w:p>
        </w:tc>
        <w:tc>
          <w:tcPr>
            <w:tcW w:w="3765" w:type="dxa"/>
          </w:tcPr>
          <w:p w:rsidR="002D6BB1" w:rsidRPr="00621B7F" w:rsidP="00241F10">
            <w:pPr>
              <w:tabs>
                <w:tab w:val="num" w:pos="360"/>
              </w:tabs>
              <w:snapToGrid w:val="0"/>
              <w:spacing w:line="360" w:lineRule="auto"/>
              <w:ind w:firstLine="420"/>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申购费率</w:t>
            </w:r>
          </w:p>
        </w:tc>
      </w:tr>
      <w:tr w:rsidTr="006A53BA">
        <w:tblPrEx>
          <w:tblW w:w="0" w:type="auto"/>
          <w:tblLayout w:type="fixed"/>
          <w:tblLook w:val="01E0"/>
        </w:tblPrEx>
        <w:tc>
          <w:tcPr>
            <w:tcW w:w="3363" w:type="dxa"/>
            <w:vAlign w:val="center"/>
          </w:tcPr>
          <w:p w:rsidR="002D6BB1" w:rsidRPr="00621B7F" w:rsidP="00241F10">
            <w:pPr>
              <w:tabs>
                <w:tab w:val="num" w:pos="360"/>
              </w:tabs>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M＜100万</w:t>
            </w:r>
          </w:p>
        </w:tc>
        <w:tc>
          <w:tcPr>
            <w:tcW w:w="3765" w:type="dxa"/>
          </w:tcPr>
          <w:p w:rsidR="002D6BB1" w:rsidRPr="00621B7F" w:rsidP="00241F10">
            <w:pPr>
              <w:tabs>
                <w:tab w:val="num" w:pos="360"/>
              </w:tabs>
              <w:snapToGrid w:val="0"/>
              <w:spacing w:line="360" w:lineRule="auto"/>
              <w:ind w:firstLine="420"/>
              <w:jc w:val="center"/>
              <w:rPr>
                <w:rFonts w:asciiTheme="minorEastAsia" w:eastAsiaTheme="minorEastAsia" w:hAnsiTheme="minorEastAsia"/>
                <w:color w:val="000000" w:themeColor="text1"/>
                <w:szCs w:val="21"/>
              </w:rPr>
            </w:pPr>
            <w:r w:rsidRPr="00621B7F">
              <w:rPr>
                <w:rFonts w:asciiTheme="minorEastAsia" w:eastAsiaTheme="minorEastAsia" w:hAnsiTheme="minorEastAsia" w:cs="宋体" w:hint="eastAsia"/>
                <w:color w:val="000000" w:themeColor="text1"/>
                <w:kern w:val="0"/>
                <w:szCs w:val="21"/>
              </w:rPr>
              <w:t>0.12%</w:t>
            </w:r>
          </w:p>
        </w:tc>
      </w:tr>
      <w:tr w:rsidTr="006A53BA">
        <w:tblPrEx>
          <w:tblW w:w="0" w:type="auto"/>
          <w:tblLayout w:type="fixed"/>
          <w:tblLook w:val="01E0"/>
        </w:tblPrEx>
        <w:tc>
          <w:tcPr>
            <w:tcW w:w="3363" w:type="dxa"/>
            <w:vAlign w:val="center"/>
          </w:tcPr>
          <w:p w:rsidR="002D6BB1" w:rsidRPr="00621B7F" w:rsidP="00241F10">
            <w:pPr>
              <w:tabs>
                <w:tab w:val="num" w:pos="360"/>
              </w:tabs>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100万≤M＜500万</w:t>
            </w:r>
          </w:p>
        </w:tc>
        <w:tc>
          <w:tcPr>
            <w:tcW w:w="3765" w:type="dxa"/>
          </w:tcPr>
          <w:p w:rsidR="002D6BB1" w:rsidRPr="00621B7F" w:rsidP="00241F10">
            <w:pPr>
              <w:tabs>
                <w:tab w:val="num" w:pos="360"/>
              </w:tabs>
              <w:snapToGrid w:val="0"/>
              <w:spacing w:line="360" w:lineRule="auto"/>
              <w:ind w:firstLine="420"/>
              <w:jc w:val="center"/>
              <w:rPr>
                <w:rFonts w:asciiTheme="minorEastAsia" w:eastAsiaTheme="minorEastAsia" w:hAnsiTheme="minorEastAsia"/>
                <w:color w:val="000000" w:themeColor="text1"/>
                <w:szCs w:val="21"/>
              </w:rPr>
            </w:pPr>
            <w:r w:rsidRPr="00621B7F">
              <w:rPr>
                <w:rFonts w:asciiTheme="minorEastAsia" w:eastAsiaTheme="minorEastAsia" w:hAnsiTheme="minorEastAsia" w:cs="宋体" w:hint="eastAsia"/>
                <w:color w:val="000000" w:themeColor="text1"/>
                <w:kern w:val="0"/>
                <w:szCs w:val="21"/>
              </w:rPr>
              <w:t>0.05%</w:t>
            </w:r>
          </w:p>
        </w:tc>
      </w:tr>
      <w:tr w:rsidTr="006A53BA">
        <w:tblPrEx>
          <w:tblW w:w="0" w:type="auto"/>
          <w:tblLayout w:type="fixed"/>
          <w:tblLook w:val="01E0"/>
        </w:tblPrEx>
        <w:tc>
          <w:tcPr>
            <w:tcW w:w="3363" w:type="dxa"/>
            <w:vAlign w:val="center"/>
          </w:tcPr>
          <w:p w:rsidR="002D6BB1" w:rsidRPr="00621B7F" w:rsidP="00241F10">
            <w:pPr>
              <w:tabs>
                <w:tab w:val="num" w:pos="360"/>
              </w:tabs>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500万≤M＜1000万</w:t>
            </w:r>
          </w:p>
        </w:tc>
        <w:tc>
          <w:tcPr>
            <w:tcW w:w="3765" w:type="dxa"/>
          </w:tcPr>
          <w:p w:rsidR="002D6BB1" w:rsidRPr="00621B7F" w:rsidP="00241F10">
            <w:pPr>
              <w:tabs>
                <w:tab w:val="num" w:pos="360"/>
              </w:tabs>
              <w:snapToGrid w:val="0"/>
              <w:spacing w:line="360" w:lineRule="auto"/>
              <w:ind w:firstLine="420"/>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0.01%</w:t>
            </w:r>
          </w:p>
        </w:tc>
      </w:tr>
      <w:tr w:rsidTr="006A53BA">
        <w:tblPrEx>
          <w:tblW w:w="0" w:type="auto"/>
          <w:tblLayout w:type="fixed"/>
          <w:tblLook w:val="01E0"/>
        </w:tblPrEx>
        <w:tc>
          <w:tcPr>
            <w:tcW w:w="3363" w:type="dxa"/>
            <w:vAlign w:val="center"/>
          </w:tcPr>
          <w:p w:rsidR="002D6BB1" w:rsidRPr="00621B7F" w:rsidP="00241F10">
            <w:pPr>
              <w:tabs>
                <w:tab w:val="num" w:pos="360"/>
              </w:tabs>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M≥1000万</w:t>
            </w:r>
          </w:p>
        </w:tc>
        <w:tc>
          <w:tcPr>
            <w:tcW w:w="3765" w:type="dxa"/>
          </w:tcPr>
          <w:p w:rsidR="002D6BB1" w:rsidRPr="00621B7F" w:rsidP="00241F10">
            <w:pPr>
              <w:tabs>
                <w:tab w:val="num" w:pos="360"/>
              </w:tabs>
              <w:snapToGrid w:val="0"/>
              <w:spacing w:line="360" w:lineRule="auto"/>
              <w:ind w:firstLine="1533" w:firstLineChars="730"/>
              <w:rPr>
                <w:rFonts w:asciiTheme="minorEastAsia" w:eastAsiaTheme="minorEastAsia" w:hAnsiTheme="minorEastAsia"/>
                <w:color w:val="000000" w:themeColor="text1"/>
                <w:szCs w:val="21"/>
              </w:rPr>
            </w:pPr>
            <w:r w:rsidRPr="00621B7F">
              <w:rPr>
                <w:rFonts w:asciiTheme="minorEastAsia" w:eastAsiaTheme="minorEastAsia" w:hAnsiTheme="minorEastAsia" w:cs="宋体" w:hint="eastAsia"/>
                <w:color w:val="000000" w:themeColor="text1"/>
                <w:kern w:val="0"/>
                <w:szCs w:val="21"/>
              </w:rPr>
              <w:t>1000元/笔</w:t>
            </w:r>
          </w:p>
        </w:tc>
      </w:tr>
    </w:tbl>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其他投资者申购本基金</w:t>
      </w:r>
      <w:r w:rsidRPr="00621B7F" w:rsidR="00B1043D">
        <w:rPr>
          <w:rFonts w:asciiTheme="minorEastAsia" w:eastAsiaTheme="minorEastAsia" w:hAnsiTheme="minorEastAsia" w:hint="eastAsia"/>
          <w:color w:val="000000" w:themeColor="text1"/>
          <w:szCs w:val="21"/>
        </w:rPr>
        <w:t>A类基金份额</w:t>
      </w:r>
      <w:r w:rsidRPr="00621B7F">
        <w:rPr>
          <w:rFonts w:asciiTheme="minorEastAsia" w:eastAsiaTheme="minorEastAsia" w:hAnsiTheme="minorEastAsia" w:hint="eastAsia"/>
          <w:color w:val="000000" w:themeColor="text1"/>
          <w:szCs w:val="21"/>
        </w:rPr>
        <w:t>的</w:t>
      </w:r>
      <w:r w:rsidRPr="00621B7F">
        <w:rPr>
          <w:rFonts w:asciiTheme="minorEastAsia" w:eastAsiaTheme="minorEastAsia" w:hAnsiTheme="minorEastAsia"/>
          <w:color w:val="000000" w:themeColor="text1"/>
          <w:szCs w:val="21"/>
        </w:rPr>
        <w:t>申购费率为：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3"/>
        <w:gridCol w:w="3765"/>
      </w:tblGrid>
      <w:tr w:rsidTr="00BC5EB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363" w:type="dxa"/>
          </w:tcPr>
          <w:p w:rsidR="00FE5546" w:rsidRPr="00621B7F" w:rsidP="00241F10">
            <w:pPr>
              <w:tabs>
                <w:tab w:val="num" w:pos="360"/>
              </w:tabs>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申购金额</w:t>
            </w:r>
            <w:r w:rsidRPr="00621B7F" w:rsidR="00A542CF">
              <w:rPr>
                <w:rFonts w:asciiTheme="minorEastAsia" w:eastAsiaTheme="minorEastAsia" w:hAnsiTheme="minorEastAsia" w:hint="eastAsia"/>
                <w:color w:val="000000" w:themeColor="text1"/>
                <w:szCs w:val="21"/>
              </w:rPr>
              <w:t>M</w:t>
            </w:r>
            <w:r w:rsidRPr="00621B7F" w:rsidR="00E91D13">
              <w:rPr>
                <w:rFonts w:asciiTheme="minorEastAsia" w:eastAsiaTheme="minorEastAsia" w:hAnsiTheme="minorEastAsia" w:hint="eastAsia"/>
                <w:color w:val="000000" w:themeColor="text1"/>
                <w:szCs w:val="21"/>
              </w:rPr>
              <w:t>（元）</w:t>
            </w:r>
            <w:r w:rsidRPr="00621B7F">
              <w:rPr>
                <w:rFonts w:asciiTheme="minorEastAsia" w:eastAsiaTheme="minorEastAsia" w:hAnsiTheme="minorEastAsia" w:hint="eastAsia"/>
                <w:color w:val="000000" w:themeColor="text1"/>
                <w:szCs w:val="21"/>
              </w:rPr>
              <w:t>（含申购费）</w:t>
            </w:r>
          </w:p>
        </w:tc>
        <w:tc>
          <w:tcPr>
            <w:tcW w:w="3765" w:type="dxa"/>
          </w:tcPr>
          <w:p w:rsidR="00FE5546" w:rsidRPr="00621B7F" w:rsidP="00241F10">
            <w:pPr>
              <w:tabs>
                <w:tab w:val="num" w:pos="360"/>
              </w:tabs>
              <w:snapToGrid w:val="0"/>
              <w:spacing w:line="360" w:lineRule="auto"/>
              <w:ind w:firstLine="420"/>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申购费率</w:t>
            </w:r>
          </w:p>
        </w:tc>
      </w:tr>
      <w:tr w:rsidTr="00BC5EB7">
        <w:tblPrEx>
          <w:tblW w:w="0" w:type="auto"/>
          <w:tblLayout w:type="fixed"/>
          <w:tblLook w:val="01E0"/>
        </w:tblPrEx>
        <w:tc>
          <w:tcPr>
            <w:tcW w:w="3363" w:type="dxa"/>
            <w:vAlign w:val="center"/>
          </w:tcPr>
          <w:p w:rsidR="00FE5546" w:rsidRPr="00621B7F" w:rsidP="00241F10">
            <w:pPr>
              <w:tabs>
                <w:tab w:val="num" w:pos="360"/>
              </w:tabs>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M＜100万</w:t>
            </w:r>
          </w:p>
        </w:tc>
        <w:tc>
          <w:tcPr>
            <w:tcW w:w="3765" w:type="dxa"/>
          </w:tcPr>
          <w:p w:rsidR="00FE5546" w:rsidRPr="00621B7F" w:rsidP="00241F10">
            <w:pPr>
              <w:tabs>
                <w:tab w:val="num" w:pos="360"/>
              </w:tabs>
              <w:snapToGrid w:val="0"/>
              <w:spacing w:line="360" w:lineRule="auto"/>
              <w:ind w:firstLine="420"/>
              <w:jc w:val="center"/>
              <w:rPr>
                <w:rFonts w:asciiTheme="minorEastAsia" w:eastAsiaTheme="minorEastAsia" w:hAnsiTheme="minorEastAsia"/>
                <w:color w:val="000000" w:themeColor="text1"/>
                <w:szCs w:val="21"/>
              </w:rPr>
            </w:pPr>
            <w:r w:rsidRPr="00621B7F">
              <w:rPr>
                <w:rFonts w:asciiTheme="minorEastAsia" w:eastAsiaTheme="minorEastAsia" w:hAnsiTheme="minorEastAsia" w:cs="宋体" w:hint="eastAsia"/>
                <w:color w:val="000000" w:themeColor="text1"/>
                <w:kern w:val="0"/>
                <w:szCs w:val="21"/>
              </w:rPr>
              <w:t>1.</w:t>
            </w:r>
            <w:r w:rsidRPr="00621B7F" w:rsidR="001D5931">
              <w:rPr>
                <w:rFonts w:asciiTheme="minorEastAsia" w:eastAsiaTheme="minorEastAsia" w:hAnsiTheme="minorEastAsia" w:cs="宋体" w:hint="eastAsia"/>
                <w:color w:val="000000" w:themeColor="text1"/>
                <w:kern w:val="0"/>
                <w:szCs w:val="21"/>
              </w:rPr>
              <w:t>2</w:t>
            </w:r>
            <w:r w:rsidRPr="00621B7F">
              <w:rPr>
                <w:rFonts w:asciiTheme="minorEastAsia" w:eastAsiaTheme="minorEastAsia" w:hAnsiTheme="minorEastAsia" w:cs="宋体" w:hint="eastAsia"/>
                <w:color w:val="000000" w:themeColor="text1"/>
                <w:kern w:val="0"/>
                <w:szCs w:val="21"/>
              </w:rPr>
              <w:t>%</w:t>
            </w:r>
          </w:p>
        </w:tc>
      </w:tr>
      <w:tr w:rsidTr="00BC5EB7">
        <w:tblPrEx>
          <w:tblW w:w="0" w:type="auto"/>
          <w:tblLayout w:type="fixed"/>
          <w:tblLook w:val="01E0"/>
        </w:tblPrEx>
        <w:tc>
          <w:tcPr>
            <w:tcW w:w="3363" w:type="dxa"/>
            <w:vAlign w:val="center"/>
          </w:tcPr>
          <w:p w:rsidR="001A0A03" w:rsidRPr="00621B7F" w:rsidP="00241F10">
            <w:pPr>
              <w:tabs>
                <w:tab w:val="num" w:pos="360"/>
              </w:tabs>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100万≤M＜500万</w:t>
            </w:r>
          </w:p>
        </w:tc>
        <w:tc>
          <w:tcPr>
            <w:tcW w:w="3765" w:type="dxa"/>
          </w:tcPr>
          <w:p w:rsidR="001A0A03" w:rsidRPr="00621B7F" w:rsidP="00241F10">
            <w:pPr>
              <w:tabs>
                <w:tab w:val="num" w:pos="360"/>
              </w:tabs>
              <w:snapToGrid w:val="0"/>
              <w:spacing w:line="360" w:lineRule="auto"/>
              <w:ind w:firstLine="420"/>
              <w:jc w:val="center"/>
              <w:rPr>
                <w:rFonts w:asciiTheme="minorEastAsia" w:eastAsiaTheme="minorEastAsia" w:hAnsiTheme="minorEastAsia"/>
                <w:color w:val="000000" w:themeColor="text1"/>
                <w:szCs w:val="21"/>
              </w:rPr>
            </w:pPr>
            <w:r w:rsidRPr="00621B7F">
              <w:rPr>
                <w:rFonts w:asciiTheme="minorEastAsia" w:eastAsiaTheme="minorEastAsia" w:hAnsiTheme="minorEastAsia" w:cs="宋体" w:hint="eastAsia"/>
                <w:color w:val="000000" w:themeColor="text1"/>
                <w:kern w:val="0"/>
                <w:szCs w:val="21"/>
              </w:rPr>
              <w:t>0.5%</w:t>
            </w:r>
          </w:p>
        </w:tc>
      </w:tr>
      <w:tr w:rsidTr="00BC5EB7">
        <w:tblPrEx>
          <w:tblW w:w="0" w:type="auto"/>
          <w:tblLayout w:type="fixed"/>
          <w:tblLook w:val="01E0"/>
        </w:tblPrEx>
        <w:tc>
          <w:tcPr>
            <w:tcW w:w="3363" w:type="dxa"/>
            <w:vAlign w:val="center"/>
          </w:tcPr>
          <w:p w:rsidR="00BB02BE" w:rsidRPr="00621B7F" w:rsidP="00241F10">
            <w:pPr>
              <w:tabs>
                <w:tab w:val="num" w:pos="360"/>
              </w:tabs>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500万≤M＜1000万</w:t>
            </w:r>
          </w:p>
        </w:tc>
        <w:tc>
          <w:tcPr>
            <w:tcW w:w="3765" w:type="dxa"/>
          </w:tcPr>
          <w:p w:rsidR="00BB02BE" w:rsidRPr="00621B7F" w:rsidP="00241F10">
            <w:pPr>
              <w:tabs>
                <w:tab w:val="num" w:pos="360"/>
              </w:tabs>
              <w:snapToGrid w:val="0"/>
              <w:spacing w:line="360" w:lineRule="auto"/>
              <w:ind w:firstLine="420"/>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0.1%</w:t>
            </w:r>
          </w:p>
        </w:tc>
      </w:tr>
      <w:tr w:rsidTr="00BC5EB7">
        <w:tblPrEx>
          <w:tblW w:w="0" w:type="auto"/>
          <w:tblLayout w:type="fixed"/>
          <w:tblLook w:val="01E0"/>
        </w:tblPrEx>
        <w:tc>
          <w:tcPr>
            <w:tcW w:w="3363" w:type="dxa"/>
            <w:vAlign w:val="center"/>
          </w:tcPr>
          <w:p w:rsidR="00BB02BE" w:rsidRPr="00621B7F" w:rsidP="00241F10">
            <w:pPr>
              <w:tabs>
                <w:tab w:val="num" w:pos="360"/>
              </w:tabs>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M≥1000万</w:t>
            </w:r>
          </w:p>
        </w:tc>
        <w:tc>
          <w:tcPr>
            <w:tcW w:w="3765" w:type="dxa"/>
          </w:tcPr>
          <w:p w:rsidR="00BB02BE" w:rsidRPr="00621B7F" w:rsidP="00241F10">
            <w:pPr>
              <w:tabs>
                <w:tab w:val="num" w:pos="360"/>
              </w:tabs>
              <w:snapToGrid w:val="0"/>
              <w:spacing w:line="360" w:lineRule="auto"/>
              <w:ind w:firstLine="1533" w:firstLineChars="730"/>
              <w:rPr>
                <w:rFonts w:asciiTheme="minorEastAsia" w:eastAsiaTheme="minorEastAsia" w:hAnsiTheme="minorEastAsia"/>
                <w:color w:val="000000" w:themeColor="text1"/>
                <w:szCs w:val="21"/>
              </w:rPr>
            </w:pPr>
            <w:r w:rsidRPr="00621B7F">
              <w:rPr>
                <w:rFonts w:asciiTheme="minorEastAsia" w:eastAsiaTheme="minorEastAsia" w:hAnsiTheme="minorEastAsia" w:cs="宋体" w:hint="eastAsia"/>
                <w:color w:val="000000" w:themeColor="text1"/>
                <w:kern w:val="0"/>
                <w:szCs w:val="21"/>
              </w:rPr>
              <w:t>1000元/笔</w:t>
            </w:r>
          </w:p>
        </w:tc>
      </w:tr>
    </w:tbl>
    <w:p w:rsidR="009C1A8D" w:rsidRPr="00621B7F">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A类基金份额</w:t>
      </w:r>
      <w:r w:rsidRPr="00621B7F">
        <w:rPr>
          <w:rFonts w:asciiTheme="minorEastAsia" w:eastAsiaTheme="minorEastAsia" w:hAnsiTheme="minorEastAsia"/>
          <w:color w:val="000000" w:themeColor="text1"/>
          <w:szCs w:val="21"/>
        </w:rPr>
        <w:t>赎回</w:t>
      </w:r>
      <w:r w:rsidRPr="00621B7F">
        <w:rPr>
          <w:rFonts w:asciiTheme="minorEastAsia" w:eastAsiaTheme="minorEastAsia" w:hAnsiTheme="minorEastAsia" w:hint="eastAsia"/>
          <w:color w:val="000000" w:themeColor="text1"/>
          <w:szCs w:val="21"/>
        </w:rPr>
        <w:t>费率为</w:t>
      </w:r>
      <w:r w:rsidRPr="00621B7F">
        <w:rPr>
          <w:rFonts w:asciiTheme="minorEastAsia" w:eastAsiaTheme="minorEastAsia" w:hAnsiTheme="minor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3585"/>
      </w:tblGrid>
      <w:tr w:rsidTr="00BC5EB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543" w:type="dxa"/>
          </w:tcPr>
          <w:p w:rsidR="00FE5546" w:rsidRPr="00621B7F" w:rsidP="00241F10">
            <w:pPr>
              <w:widowControl/>
              <w:tabs>
                <w:tab w:val="num" w:pos="360"/>
              </w:tabs>
              <w:snapToGrid w:val="0"/>
              <w:spacing w:line="360" w:lineRule="auto"/>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color w:val="000000" w:themeColor="text1"/>
                <w:kern w:val="0"/>
                <w:szCs w:val="21"/>
              </w:rPr>
              <w:t>持有时间</w:t>
            </w:r>
            <w:r w:rsidRPr="00621B7F">
              <w:rPr>
                <w:rFonts w:asciiTheme="minorEastAsia" w:eastAsiaTheme="minorEastAsia" w:hAnsiTheme="minorEastAsia" w:cs="宋体" w:hint="eastAsia"/>
                <w:color w:val="000000" w:themeColor="text1"/>
                <w:kern w:val="0"/>
                <w:szCs w:val="21"/>
              </w:rPr>
              <w:t>（天）</w:t>
            </w:r>
          </w:p>
        </w:tc>
        <w:tc>
          <w:tcPr>
            <w:tcW w:w="3585" w:type="dxa"/>
          </w:tcPr>
          <w:p w:rsidR="00FE5546" w:rsidRPr="00621B7F" w:rsidP="00241F10">
            <w:pPr>
              <w:widowControl/>
              <w:tabs>
                <w:tab w:val="num" w:pos="360"/>
              </w:tabs>
              <w:snapToGrid w:val="0"/>
              <w:spacing w:line="360" w:lineRule="auto"/>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color w:val="000000" w:themeColor="text1"/>
                <w:kern w:val="0"/>
                <w:szCs w:val="21"/>
              </w:rPr>
              <w:t>赎回费率</w:t>
            </w:r>
          </w:p>
        </w:tc>
      </w:tr>
      <w:tr w:rsidTr="00BC5EB7">
        <w:tblPrEx>
          <w:tblW w:w="0" w:type="auto"/>
          <w:tblLayout w:type="fixed"/>
          <w:tblLook w:val="01E0"/>
        </w:tblPrEx>
        <w:tc>
          <w:tcPr>
            <w:tcW w:w="3543" w:type="dxa"/>
          </w:tcPr>
          <w:p w:rsidR="00B87906" w:rsidRPr="00621B7F" w:rsidP="00241F10">
            <w:pPr>
              <w:widowControl/>
              <w:tabs>
                <w:tab w:val="num" w:pos="360"/>
              </w:tabs>
              <w:snapToGrid w:val="0"/>
              <w:spacing w:line="360" w:lineRule="auto"/>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color w:val="000000" w:themeColor="text1"/>
                <w:kern w:val="0"/>
                <w:szCs w:val="21"/>
              </w:rPr>
              <w:t>0-6</w:t>
            </w:r>
          </w:p>
        </w:tc>
        <w:tc>
          <w:tcPr>
            <w:tcW w:w="3585" w:type="dxa"/>
          </w:tcPr>
          <w:p w:rsidR="00B87906" w:rsidRPr="00621B7F" w:rsidP="00241F10">
            <w:pPr>
              <w:widowControl/>
              <w:tabs>
                <w:tab w:val="num" w:pos="360"/>
              </w:tabs>
              <w:snapToGrid w:val="0"/>
              <w:spacing w:line="360" w:lineRule="auto"/>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color w:val="000000" w:themeColor="text1"/>
                <w:kern w:val="0"/>
                <w:szCs w:val="21"/>
              </w:rPr>
              <w:t>1.5%</w:t>
            </w:r>
          </w:p>
        </w:tc>
      </w:tr>
      <w:tr w:rsidTr="00BC5EB7">
        <w:tblPrEx>
          <w:tblW w:w="0" w:type="auto"/>
          <w:tblLayout w:type="fixed"/>
          <w:tblLook w:val="01E0"/>
        </w:tblPrEx>
        <w:tc>
          <w:tcPr>
            <w:tcW w:w="3543" w:type="dxa"/>
          </w:tcPr>
          <w:p w:rsidR="00FE5546" w:rsidRPr="00621B7F" w:rsidP="00241F10">
            <w:pPr>
              <w:widowControl/>
              <w:tabs>
                <w:tab w:val="num" w:pos="360"/>
              </w:tabs>
              <w:snapToGrid w:val="0"/>
              <w:spacing w:line="360" w:lineRule="auto"/>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color w:val="000000" w:themeColor="text1"/>
                <w:kern w:val="0"/>
                <w:szCs w:val="21"/>
              </w:rPr>
              <w:t>7-364</w:t>
            </w:r>
          </w:p>
        </w:tc>
        <w:tc>
          <w:tcPr>
            <w:tcW w:w="3585" w:type="dxa"/>
          </w:tcPr>
          <w:p w:rsidR="00FE5546" w:rsidRPr="00621B7F" w:rsidP="00241F10">
            <w:pPr>
              <w:widowControl/>
              <w:tabs>
                <w:tab w:val="num" w:pos="360"/>
              </w:tabs>
              <w:snapToGrid w:val="0"/>
              <w:spacing w:line="360" w:lineRule="auto"/>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color w:val="000000" w:themeColor="text1"/>
                <w:kern w:val="0"/>
                <w:szCs w:val="21"/>
              </w:rPr>
              <w:t>0.5%</w:t>
            </w:r>
          </w:p>
        </w:tc>
      </w:tr>
      <w:tr w:rsidTr="00BC5EB7">
        <w:tblPrEx>
          <w:tblW w:w="0" w:type="auto"/>
          <w:tblLayout w:type="fixed"/>
          <w:tblLook w:val="01E0"/>
        </w:tblPrEx>
        <w:tc>
          <w:tcPr>
            <w:tcW w:w="3543" w:type="dxa"/>
          </w:tcPr>
          <w:p w:rsidR="00FE5546" w:rsidRPr="00621B7F" w:rsidP="00241F10">
            <w:pPr>
              <w:widowControl/>
              <w:tabs>
                <w:tab w:val="num" w:pos="360"/>
              </w:tabs>
              <w:snapToGrid w:val="0"/>
              <w:spacing w:line="360" w:lineRule="auto"/>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color w:val="000000" w:themeColor="text1"/>
                <w:kern w:val="0"/>
                <w:szCs w:val="21"/>
              </w:rPr>
              <w:t>365-729</w:t>
            </w:r>
          </w:p>
        </w:tc>
        <w:tc>
          <w:tcPr>
            <w:tcW w:w="3585" w:type="dxa"/>
          </w:tcPr>
          <w:p w:rsidR="00FE5546" w:rsidRPr="00621B7F" w:rsidP="00241F10">
            <w:pPr>
              <w:widowControl/>
              <w:tabs>
                <w:tab w:val="num" w:pos="360"/>
              </w:tabs>
              <w:snapToGrid w:val="0"/>
              <w:spacing w:line="360" w:lineRule="auto"/>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color w:val="000000" w:themeColor="text1"/>
                <w:kern w:val="0"/>
                <w:szCs w:val="21"/>
              </w:rPr>
              <w:t>0.25%</w:t>
            </w:r>
          </w:p>
        </w:tc>
      </w:tr>
      <w:tr w:rsidTr="00BC5EB7">
        <w:tblPrEx>
          <w:tblW w:w="0" w:type="auto"/>
          <w:tblLayout w:type="fixed"/>
          <w:tblLook w:val="01E0"/>
        </w:tblPrEx>
        <w:tc>
          <w:tcPr>
            <w:tcW w:w="3543" w:type="dxa"/>
          </w:tcPr>
          <w:p w:rsidR="00FE5546" w:rsidRPr="00621B7F" w:rsidP="00241F10">
            <w:pPr>
              <w:widowControl/>
              <w:tabs>
                <w:tab w:val="num" w:pos="360"/>
              </w:tabs>
              <w:snapToGrid w:val="0"/>
              <w:spacing w:line="360" w:lineRule="auto"/>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hint="eastAsia"/>
                <w:color w:val="000000" w:themeColor="text1"/>
                <w:kern w:val="0"/>
                <w:szCs w:val="21"/>
              </w:rPr>
              <w:t>730及以上</w:t>
            </w:r>
          </w:p>
        </w:tc>
        <w:tc>
          <w:tcPr>
            <w:tcW w:w="3585" w:type="dxa"/>
          </w:tcPr>
          <w:p w:rsidR="00FE5546" w:rsidRPr="00621B7F" w:rsidP="00241F10">
            <w:pPr>
              <w:widowControl/>
              <w:tabs>
                <w:tab w:val="num" w:pos="360"/>
              </w:tabs>
              <w:snapToGrid w:val="0"/>
              <w:spacing w:line="360" w:lineRule="auto"/>
              <w:jc w:val="center"/>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cs="宋体"/>
                <w:color w:val="000000" w:themeColor="text1"/>
                <w:kern w:val="0"/>
                <w:szCs w:val="21"/>
              </w:rPr>
              <w:t>0%</w:t>
            </w:r>
          </w:p>
        </w:tc>
      </w:tr>
    </w:tbl>
    <w:p w:rsidR="00B6796C"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（2）C类基金份额</w:t>
      </w:r>
    </w:p>
    <w:p w:rsidR="00B6796C" w:rsidRPr="00621B7F" w:rsidP="00B6796C">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C类基金份额不收取申购费。</w:t>
      </w:r>
    </w:p>
    <w:p w:rsidR="00B6796C" w:rsidRPr="00621B7F" w:rsidP="00B6796C">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C类基金份额赎回费率为</w:t>
      </w:r>
      <w:r w:rsidRPr="00621B7F">
        <w:rPr>
          <w:rFonts w:asciiTheme="minorEastAsia" w:eastAsiaTheme="minorEastAsia" w:hAnsiTheme="minorEastAsia"/>
          <w:color w:val="000000" w:themeColor="text1"/>
          <w:szCs w:val="21"/>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9"/>
        <w:gridCol w:w="3136"/>
      </w:tblGrid>
      <w:tr w:rsidTr="00315071">
        <w:tblPrEx>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959" w:type="dxa"/>
            <w:tcBorders>
              <w:top w:val="single" w:sz="4" w:space="0" w:color="auto"/>
              <w:left w:val="single" w:sz="4" w:space="0" w:color="auto"/>
              <w:bottom w:val="single" w:sz="4" w:space="0" w:color="auto"/>
              <w:right w:val="single" w:sz="4" w:space="0" w:color="auto"/>
            </w:tcBorders>
            <w:hideMark/>
          </w:tcPr>
          <w:p w:rsidR="00B6796C" w:rsidRPr="00621B7F" w:rsidP="00315071">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持有时间(天)</w:t>
            </w:r>
          </w:p>
        </w:tc>
        <w:tc>
          <w:tcPr>
            <w:tcW w:w="3136" w:type="dxa"/>
            <w:tcBorders>
              <w:top w:val="single" w:sz="4" w:space="0" w:color="auto"/>
              <w:left w:val="single" w:sz="4" w:space="0" w:color="auto"/>
              <w:bottom w:val="single" w:sz="4" w:space="0" w:color="auto"/>
              <w:right w:val="single" w:sz="4" w:space="0" w:color="auto"/>
            </w:tcBorders>
            <w:hideMark/>
          </w:tcPr>
          <w:p w:rsidR="00B6796C" w:rsidRPr="00621B7F" w:rsidP="00315071">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C类基金份额赎回费率</w:t>
            </w:r>
          </w:p>
        </w:tc>
      </w:tr>
      <w:tr w:rsidTr="00315071">
        <w:tblPrEx>
          <w:tblW w:w="0" w:type="auto"/>
          <w:tblInd w:w="421" w:type="dxa"/>
          <w:tblLayout w:type="fixed"/>
          <w:tblLook w:val="01E0"/>
        </w:tblPrEx>
        <w:tc>
          <w:tcPr>
            <w:tcW w:w="2959" w:type="dxa"/>
            <w:tcBorders>
              <w:top w:val="single" w:sz="4" w:space="0" w:color="auto"/>
              <w:left w:val="single" w:sz="4" w:space="0" w:color="auto"/>
              <w:bottom w:val="single" w:sz="4" w:space="0" w:color="auto"/>
              <w:right w:val="single" w:sz="4" w:space="0" w:color="auto"/>
            </w:tcBorders>
            <w:hideMark/>
          </w:tcPr>
          <w:p w:rsidR="00B6796C" w:rsidRPr="00621B7F" w:rsidP="00315071">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0-6</w:t>
            </w:r>
          </w:p>
        </w:tc>
        <w:tc>
          <w:tcPr>
            <w:tcW w:w="3136" w:type="dxa"/>
            <w:tcBorders>
              <w:top w:val="single" w:sz="4" w:space="0" w:color="auto"/>
              <w:left w:val="single" w:sz="4" w:space="0" w:color="auto"/>
              <w:bottom w:val="single" w:sz="4" w:space="0" w:color="auto"/>
              <w:right w:val="single" w:sz="4" w:space="0" w:color="auto"/>
            </w:tcBorders>
            <w:hideMark/>
          </w:tcPr>
          <w:p w:rsidR="00B6796C" w:rsidRPr="00621B7F" w:rsidP="00315071">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1.5%</w:t>
            </w:r>
          </w:p>
        </w:tc>
      </w:tr>
      <w:tr w:rsidTr="00315071">
        <w:tblPrEx>
          <w:tblW w:w="0" w:type="auto"/>
          <w:tblInd w:w="421" w:type="dxa"/>
          <w:tblLayout w:type="fixed"/>
          <w:tblLook w:val="01E0"/>
        </w:tblPrEx>
        <w:tc>
          <w:tcPr>
            <w:tcW w:w="2959" w:type="dxa"/>
            <w:tcBorders>
              <w:top w:val="single" w:sz="4" w:space="0" w:color="auto"/>
              <w:left w:val="single" w:sz="4" w:space="0" w:color="auto"/>
              <w:bottom w:val="single" w:sz="4" w:space="0" w:color="auto"/>
              <w:right w:val="single" w:sz="4" w:space="0" w:color="auto"/>
            </w:tcBorders>
            <w:hideMark/>
          </w:tcPr>
          <w:p w:rsidR="00B6796C" w:rsidRPr="00621B7F" w:rsidP="00315071">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7</w:t>
            </w:r>
            <w:r w:rsidRPr="00621B7F">
              <w:rPr>
                <w:rFonts w:asciiTheme="minorEastAsia" w:eastAsiaTheme="minorEastAsia" w:hAnsiTheme="minorEastAsia" w:hint="eastAsia"/>
                <w:color w:val="000000" w:themeColor="text1"/>
                <w:szCs w:val="21"/>
              </w:rPr>
              <w:t>及以上</w:t>
            </w:r>
          </w:p>
        </w:tc>
        <w:tc>
          <w:tcPr>
            <w:tcW w:w="3136" w:type="dxa"/>
            <w:tcBorders>
              <w:top w:val="single" w:sz="4" w:space="0" w:color="auto"/>
              <w:left w:val="single" w:sz="4" w:space="0" w:color="auto"/>
              <w:bottom w:val="single" w:sz="4" w:space="0" w:color="auto"/>
              <w:right w:val="single" w:sz="4" w:space="0" w:color="auto"/>
            </w:tcBorders>
            <w:hideMark/>
          </w:tcPr>
          <w:p w:rsidR="00B6796C" w:rsidRPr="00621B7F" w:rsidP="00315071">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0%</w:t>
            </w:r>
          </w:p>
        </w:tc>
      </w:tr>
    </w:tbl>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2、基金管理人可以在基金合同规定的范围内调整申购费率和赎回费率，调整后的申购费率和赎回费率在</w:t>
      </w:r>
      <w:r w:rsidRPr="00621B7F">
        <w:rPr>
          <w:rFonts w:asciiTheme="minorEastAsia" w:eastAsiaTheme="minorEastAsia" w:hAnsiTheme="minorEastAsia" w:hint="eastAsia"/>
          <w:color w:val="000000" w:themeColor="text1"/>
          <w:szCs w:val="21"/>
        </w:rPr>
        <w:t>《更新的招募说明书》</w:t>
      </w:r>
      <w:r w:rsidRPr="00621B7F">
        <w:rPr>
          <w:rFonts w:asciiTheme="minorEastAsia" w:eastAsiaTheme="minorEastAsia" w:hAnsiTheme="minorEastAsia"/>
          <w:color w:val="000000" w:themeColor="text1"/>
          <w:szCs w:val="21"/>
        </w:rPr>
        <w:t>中列示。上述费率如发生变更，基金管理人</w:t>
      </w:r>
      <w:r w:rsidRPr="00621B7F">
        <w:rPr>
          <w:rFonts w:asciiTheme="minorEastAsia" w:eastAsiaTheme="minorEastAsia" w:hAnsiTheme="minorEastAsia" w:hint="eastAsia"/>
          <w:color w:val="000000" w:themeColor="text1"/>
          <w:szCs w:val="21"/>
        </w:rPr>
        <w:t>还</w:t>
      </w:r>
      <w:r w:rsidRPr="00621B7F">
        <w:rPr>
          <w:rFonts w:asciiTheme="minorEastAsia" w:eastAsiaTheme="minorEastAsia" w:hAnsiTheme="minorEastAsia"/>
          <w:color w:val="000000" w:themeColor="text1"/>
          <w:szCs w:val="21"/>
        </w:rPr>
        <w:t>应</w:t>
      </w:r>
      <w:r w:rsidRPr="00621B7F">
        <w:rPr>
          <w:rFonts w:asciiTheme="minorEastAsia" w:eastAsiaTheme="minorEastAsia" w:hAnsiTheme="minorEastAsia" w:hint="eastAsia"/>
          <w:color w:val="000000" w:themeColor="text1"/>
          <w:szCs w:val="21"/>
        </w:rPr>
        <w:t>按照《信息披露办法》或其他相关规定</w:t>
      </w:r>
      <w:r w:rsidRPr="00621B7F">
        <w:rPr>
          <w:rFonts w:asciiTheme="minorEastAsia" w:eastAsiaTheme="minorEastAsia" w:hAnsiTheme="minorEastAsia"/>
          <w:color w:val="000000" w:themeColor="text1"/>
          <w:szCs w:val="21"/>
        </w:rPr>
        <w:t>于新的费率实施前</w:t>
      </w:r>
      <w:r w:rsidRPr="00621B7F">
        <w:rPr>
          <w:rFonts w:asciiTheme="minorEastAsia" w:eastAsiaTheme="minorEastAsia" w:hAnsiTheme="minorEastAsia" w:hint="eastAsia"/>
          <w:color w:val="000000" w:themeColor="text1"/>
          <w:szCs w:val="21"/>
        </w:rPr>
        <w:t>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color w:val="000000" w:themeColor="text1"/>
          <w:szCs w:val="21"/>
        </w:rPr>
        <w:t>及</w:t>
      </w:r>
      <w:r w:rsidRPr="00621B7F">
        <w:rPr>
          <w:rFonts w:asciiTheme="minorEastAsia" w:eastAsiaTheme="minorEastAsia" w:hAnsiTheme="minorEastAsia" w:hint="eastAsia"/>
          <w:color w:val="000000" w:themeColor="text1"/>
          <w:szCs w:val="21"/>
        </w:rPr>
        <w:t>基金管理人</w:t>
      </w:r>
      <w:r w:rsidRPr="00621B7F">
        <w:rPr>
          <w:rFonts w:asciiTheme="minorEastAsia" w:eastAsiaTheme="minorEastAsia" w:hAnsiTheme="minorEastAsia"/>
          <w:color w:val="000000" w:themeColor="text1"/>
          <w:szCs w:val="21"/>
        </w:rPr>
        <w:t>网站</w:t>
      </w:r>
      <w:r w:rsidRPr="00621B7F">
        <w:rPr>
          <w:rFonts w:asciiTheme="minorEastAsia" w:eastAsiaTheme="minorEastAsia" w:hAnsiTheme="minorEastAsia" w:hint="eastAsia"/>
          <w:color w:val="000000" w:themeColor="text1"/>
          <w:szCs w:val="21"/>
        </w:rPr>
        <w:t>公告</w:t>
      </w:r>
      <w:r w:rsidRPr="00621B7F">
        <w:rPr>
          <w:rFonts w:asciiTheme="minorEastAsia" w:eastAsiaTheme="minorEastAsia" w:hAnsiTheme="minorEastAsia"/>
          <w:color w:val="000000" w:themeColor="text1"/>
          <w:szCs w:val="21"/>
        </w:rPr>
        <w:t>。</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3、</w:t>
      </w:r>
      <w:r w:rsidRPr="00621B7F" w:rsidR="006E1E6D">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699" w:name="_Toc91752038"/>
      <w:r w:rsidRPr="00621B7F">
        <w:rPr>
          <w:rFonts w:asciiTheme="minorEastAsia" w:eastAsiaTheme="minorEastAsia" w:hAnsiTheme="minorEastAsia" w:hint="eastAsia"/>
          <w:b w:val="0"/>
          <w:color w:val="000000" w:themeColor="text1"/>
        </w:rPr>
        <w:t>（</w:t>
      </w:r>
      <w:r w:rsidRPr="00621B7F" w:rsidR="00FE5546">
        <w:rPr>
          <w:rFonts w:asciiTheme="minorEastAsia" w:eastAsiaTheme="minorEastAsia" w:hAnsiTheme="minorEastAsia" w:hint="eastAsia"/>
          <w:b w:val="0"/>
          <w:color w:val="000000" w:themeColor="text1"/>
        </w:rPr>
        <w:t>八</w:t>
      </w:r>
      <w:r w:rsidRPr="00621B7F">
        <w:rPr>
          <w:rFonts w:asciiTheme="minorEastAsia" w:eastAsiaTheme="minorEastAsia" w:hAnsiTheme="minorEastAsia" w:hint="eastAsia"/>
          <w:b w:val="0"/>
          <w:color w:val="000000" w:themeColor="text1"/>
        </w:rPr>
        <w:t>）申购份额、赎回金额的计算方式</w:t>
      </w:r>
      <w:bookmarkEnd w:id="699"/>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1、申购份额的计算</w:t>
      </w:r>
    </w:p>
    <w:p w:rsidR="00D17198"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（1）A类基金份额</w:t>
      </w:r>
    </w:p>
    <w:p w:rsidR="00D17198"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申购的有效份额为按实际确认的申购金额在扣除申购费用后，以申请当日该类份额的基金份额净值为基准计算，各计算结果均按照四舍五入方法，保留小数点后两位，由此误差产生的损失由基金财产承担，产生的收益归基金财产所有。</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本基金的</w:t>
      </w:r>
      <w:r w:rsidRPr="00621B7F" w:rsidR="00D17198">
        <w:rPr>
          <w:rFonts w:asciiTheme="minorEastAsia" w:eastAsiaTheme="minorEastAsia" w:hAnsiTheme="minorEastAsia" w:hint="eastAsia"/>
          <w:color w:val="000000" w:themeColor="text1"/>
          <w:szCs w:val="21"/>
        </w:rPr>
        <w:t>A类基金份额</w:t>
      </w:r>
      <w:r w:rsidRPr="00621B7F">
        <w:rPr>
          <w:rFonts w:asciiTheme="minorEastAsia" w:eastAsiaTheme="minorEastAsia" w:hAnsiTheme="minorEastAsia" w:hint="eastAsia"/>
          <w:color w:val="000000" w:themeColor="text1"/>
          <w:szCs w:val="21"/>
        </w:rPr>
        <w:t>申购金额包括申购费用和净申购金额，其中：</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净申购金额=申购金额/（1+申购费率）</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申购费用=申购金额-净申购金额</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申购份数=净申购金额/T日</w:t>
      </w:r>
      <w:r w:rsidRPr="00621B7F" w:rsidR="00D17198">
        <w:rPr>
          <w:rFonts w:asciiTheme="minorEastAsia" w:eastAsiaTheme="minorEastAsia" w:hAnsiTheme="minorEastAsia" w:hint="eastAsia"/>
          <w:color w:val="000000" w:themeColor="text1"/>
          <w:szCs w:val="21"/>
        </w:rPr>
        <w:t>该类份额的</w:t>
      </w:r>
      <w:r w:rsidRPr="00621B7F">
        <w:rPr>
          <w:rFonts w:asciiTheme="minorEastAsia" w:eastAsiaTheme="minorEastAsia" w:hAnsiTheme="minorEastAsia" w:hint="eastAsia"/>
          <w:color w:val="000000" w:themeColor="text1"/>
          <w:szCs w:val="21"/>
        </w:rPr>
        <w:t>基金份额净值</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对于</w:t>
      </w:r>
      <w:r w:rsidRPr="00621B7F" w:rsidR="00BB02BE">
        <w:rPr>
          <w:rFonts w:asciiTheme="minorEastAsia" w:eastAsiaTheme="minorEastAsia" w:hAnsiTheme="minorEastAsia" w:hint="eastAsia"/>
          <w:color w:val="000000" w:themeColor="text1"/>
          <w:szCs w:val="21"/>
        </w:rPr>
        <w:t>10</w:t>
      </w:r>
      <w:r w:rsidRPr="00621B7F" w:rsidR="00F208A3">
        <w:rPr>
          <w:rFonts w:asciiTheme="minorEastAsia" w:eastAsiaTheme="minorEastAsia" w:hAnsiTheme="minorEastAsia" w:hint="eastAsia"/>
          <w:color w:val="000000" w:themeColor="text1"/>
          <w:szCs w:val="21"/>
        </w:rPr>
        <w:t>00</w:t>
      </w:r>
      <w:r w:rsidRPr="00621B7F">
        <w:rPr>
          <w:rFonts w:asciiTheme="minorEastAsia" w:eastAsiaTheme="minorEastAsia" w:hAnsiTheme="minorEastAsia" w:hint="eastAsia"/>
          <w:color w:val="000000" w:themeColor="text1"/>
          <w:szCs w:val="21"/>
        </w:rPr>
        <w:t>万元（含）以上的申购，净申购金额=申购金额-绝对数额的申购费金额</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举例说明：</w:t>
      </w:r>
    </w:p>
    <w:p w:rsidR="002D6BB1" w:rsidRPr="00621B7F" w:rsidP="00241F10">
      <w:pPr>
        <w:snapToGrid w:val="0"/>
        <w:spacing w:line="360" w:lineRule="auto"/>
        <w:ind w:firstLine="48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kern w:val="0"/>
        </w:rPr>
        <w:t>例一：某投资者（非特定投资群体）申购本基金</w:t>
      </w:r>
      <w:r w:rsidRPr="00621B7F" w:rsidR="00D17198">
        <w:rPr>
          <w:rFonts w:asciiTheme="minorEastAsia" w:eastAsiaTheme="minorEastAsia" w:hAnsiTheme="minorEastAsia" w:hint="eastAsia"/>
          <w:color w:val="000000" w:themeColor="text1"/>
          <w:szCs w:val="21"/>
        </w:rPr>
        <w:t>A类基金份额</w:t>
      </w:r>
      <w:r w:rsidRPr="00621B7F">
        <w:rPr>
          <w:rFonts w:asciiTheme="minorEastAsia" w:eastAsiaTheme="minorEastAsia" w:hAnsiTheme="minorEastAsia" w:hint="eastAsia"/>
          <w:color w:val="000000" w:themeColor="text1"/>
          <w:kern w:val="0"/>
        </w:rPr>
        <w:t>：</w:t>
      </w:r>
    </w:p>
    <w:tbl>
      <w:tblPr>
        <w:tblW w:w="887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
      <w:tblGrid>
        <w:gridCol w:w="1581"/>
        <w:gridCol w:w="1134"/>
        <w:gridCol w:w="1418"/>
        <w:gridCol w:w="1660"/>
        <w:gridCol w:w="1660"/>
        <w:gridCol w:w="1422"/>
      </w:tblGrid>
      <w:tr w:rsidTr="00550FC0">
        <w:tblPrEx>
          <w:tblW w:w="887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Ex>
        <w:trPr>
          <w:jc w:val="center"/>
        </w:trPr>
        <w:tc>
          <w:tcPr>
            <w:tcW w:w="1581" w:type="dxa"/>
          </w:tcPr>
          <w:p w:rsidR="00FE5546"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申购金额</w:t>
            </w:r>
          </w:p>
        </w:tc>
        <w:tc>
          <w:tcPr>
            <w:tcW w:w="1134" w:type="dxa"/>
          </w:tcPr>
          <w:p w:rsidR="00FE5546"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申购费率</w:t>
            </w:r>
          </w:p>
        </w:tc>
        <w:tc>
          <w:tcPr>
            <w:tcW w:w="1418" w:type="dxa"/>
          </w:tcPr>
          <w:p w:rsidR="00FE5546"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净申购金额</w:t>
            </w:r>
          </w:p>
        </w:tc>
        <w:tc>
          <w:tcPr>
            <w:tcW w:w="1660" w:type="dxa"/>
          </w:tcPr>
          <w:p w:rsidR="00FE5546"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申购费用</w:t>
            </w:r>
          </w:p>
        </w:tc>
        <w:tc>
          <w:tcPr>
            <w:tcW w:w="1660" w:type="dxa"/>
          </w:tcPr>
          <w:p w:rsidR="00FE5546"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基金份额净值</w:t>
            </w:r>
          </w:p>
        </w:tc>
        <w:tc>
          <w:tcPr>
            <w:tcW w:w="1422" w:type="dxa"/>
          </w:tcPr>
          <w:p w:rsidR="00FE5546"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申购份数</w:t>
            </w:r>
          </w:p>
        </w:tc>
      </w:tr>
      <w:tr w:rsidTr="00550FC0">
        <w:tblPrEx>
          <w:tblW w:w="8875" w:type="dxa"/>
          <w:jc w:val="center"/>
          <w:tblLayout w:type="fixed"/>
          <w:tblLook w:val="01E0"/>
        </w:tblPrEx>
        <w:trPr>
          <w:jc w:val="center"/>
        </w:trPr>
        <w:tc>
          <w:tcPr>
            <w:tcW w:w="1581" w:type="dxa"/>
          </w:tcPr>
          <w:p w:rsidR="00FE5546"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10,000元</w:t>
            </w:r>
          </w:p>
        </w:tc>
        <w:tc>
          <w:tcPr>
            <w:tcW w:w="1134" w:type="dxa"/>
          </w:tcPr>
          <w:p w:rsidR="00FE5546" w:rsidRPr="00621B7F" w:rsidP="00241F10">
            <w:pPr>
              <w:snapToGrid w:val="0"/>
              <w:spacing w:line="360" w:lineRule="auto"/>
              <w:ind w:firstLine="210" w:firstLineChars="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1D5931">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hint="eastAsia"/>
                <w:color w:val="000000" w:themeColor="text1"/>
                <w:szCs w:val="21"/>
              </w:rPr>
              <w:t>%</w:t>
            </w:r>
          </w:p>
        </w:tc>
        <w:tc>
          <w:tcPr>
            <w:tcW w:w="1418" w:type="dxa"/>
          </w:tcPr>
          <w:p w:rsidR="00FE5546"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9,881.42元</w:t>
            </w:r>
          </w:p>
        </w:tc>
        <w:tc>
          <w:tcPr>
            <w:tcW w:w="1660"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118.58元</w:t>
            </w:r>
          </w:p>
        </w:tc>
        <w:tc>
          <w:tcPr>
            <w:tcW w:w="1660"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1.000</w:t>
            </w:r>
            <w:r w:rsidRPr="00621B7F" w:rsidR="00EF1913">
              <w:rPr>
                <w:rFonts w:asciiTheme="minorEastAsia" w:eastAsiaTheme="minorEastAsia" w:hAnsiTheme="minorEastAsia" w:hint="eastAsia"/>
                <w:color w:val="000000" w:themeColor="text1"/>
                <w:szCs w:val="21"/>
              </w:rPr>
              <w:t>0</w:t>
            </w:r>
            <w:r w:rsidRPr="00621B7F">
              <w:rPr>
                <w:rFonts w:asciiTheme="minorEastAsia" w:eastAsiaTheme="minorEastAsia" w:hAnsiTheme="minorEastAsia" w:hint="eastAsia"/>
                <w:color w:val="000000" w:themeColor="text1"/>
                <w:szCs w:val="21"/>
              </w:rPr>
              <w:t>元</w:t>
            </w:r>
          </w:p>
        </w:tc>
        <w:tc>
          <w:tcPr>
            <w:tcW w:w="1422" w:type="dxa"/>
          </w:tcPr>
          <w:p w:rsidR="00FE5546"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w:t>
            </w:r>
            <w:r w:rsidRPr="00621B7F" w:rsidR="001D5931">
              <w:rPr>
                <w:rFonts w:asciiTheme="minorEastAsia" w:eastAsiaTheme="minorEastAsia" w:hAnsiTheme="minorEastAsia" w:hint="eastAsia"/>
                <w:color w:val="000000" w:themeColor="text1"/>
                <w:szCs w:val="21"/>
              </w:rPr>
              <w:t>881.42</w:t>
            </w:r>
            <w:r w:rsidRPr="00621B7F">
              <w:rPr>
                <w:rFonts w:asciiTheme="minorEastAsia" w:eastAsiaTheme="minorEastAsia" w:hAnsiTheme="minorEastAsia" w:hint="eastAsia"/>
                <w:color w:val="000000" w:themeColor="text1"/>
                <w:szCs w:val="21"/>
              </w:rPr>
              <w:t>份</w:t>
            </w:r>
          </w:p>
        </w:tc>
      </w:tr>
      <w:tr w:rsidTr="00550FC0">
        <w:tblPrEx>
          <w:tblW w:w="8875" w:type="dxa"/>
          <w:jc w:val="center"/>
          <w:tblLayout w:type="fixed"/>
          <w:tblLook w:val="01E0"/>
        </w:tblPrEx>
        <w:trPr>
          <w:jc w:val="center"/>
        </w:trPr>
        <w:tc>
          <w:tcPr>
            <w:tcW w:w="1581" w:type="dxa"/>
          </w:tcPr>
          <w:p w:rsidR="00FE5546"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10,000,000元</w:t>
            </w:r>
          </w:p>
        </w:tc>
        <w:tc>
          <w:tcPr>
            <w:tcW w:w="1134" w:type="dxa"/>
          </w:tcPr>
          <w:p w:rsidR="00FE5546"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1000元</w:t>
            </w:r>
          </w:p>
        </w:tc>
        <w:tc>
          <w:tcPr>
            <w:tcW w:w="1418" w:type="dxa"/>
          </w:tcPr>
          <w:p w:rsidR="00FE5546"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9,999,000元</w:t>
            </w:r>
          </w:p>
        </w:tc>
        <w:tc>
          <w:tcPr>
            <w:tcW w:w="1660"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1000元</w:t>
            </w:r>
          </w:p>
        </w:tc>
        <w:tc>
          <w:tcPr>
            <w:tcW w:w="1660"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1.000</w:t>
            </w:r>
            <w:r w:rsidRPr="00621B7F" w:rsidR="00EF1913">
              <w:rPr>
                <w:rFonts w:asciiTheme="minorEastAsia" w:eastAsiaTheme="minorEastAsia" w:hAnsiTheme="minorEastAsia" w:hint="eastAsia"/>
                <w:color w:val="000000" w:themeColor="text1"/>
                <w:szCs w:val="21"/>
              </w:rPr>
              <w:t>0</w:t>
            </w:r>
            <w:r w:rsidRPr="00621B7F">
              <w:rPr>
                <w:rFonts w:asciiTheme="minorEastAsia" w:eastAsiaTheme="minorEastAsia" w:hAnsiTheme="minorEastAsia" w:hint="eastAsia"/>
                <w:color w:val="000000" w:themeColor="text1"/>
                <w:szCs w:val="21"/>
              </w:rPr>
              <w:t>元</w:t>
            </w:r>
          </w:p>
        </w:tc>
        <w:tc>
          <w:tcPr>
            <w:tcW w:w="1422" w:type="dxa"/>
          </w:tcPr>
          <w:p w:rsidR="00FE5546"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9,999,000份</w:t>
            </w:r>
          </w:p>
        </w:tc>
      </w:tr>
    </w:tbl>
    <w:p w:rsidR="002D6BB1" w:rsidRPr="00621B7F" w:rsidP="00241F10">
      <w:pPr>
        <w:snapToGrid w:val="0"/>
        <w:spacing w:line="360" w:lineRule="auto"/>
        <w:ind w:firstLine="48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kern w:val="0"/>
        </w:rPr>
        <w:t>例二：某投资者（特定投资群体）通过基金管理人的直销中心申购本基金</w:t>
      </w:r>
      <w:r w:rsidRPr="00621B7F" w:rsidR="00D17198">
        <w:rPr>
          <w:rFonts w:asciiTheme="minorEastAsia" w:eastAsiaTheme="minorEastAsia" w:hAnsiTheme="minorEastAsia" w:hint="eastAsia"/>
          <w:color w:val="000000" w:themeColor="text1"/>
          <w:szCs w:val="21"/>
        </w:rPr>
        <w:t>A类基金份额</w:t>
      </w:r>
      <w:r w:rsidRPr="00621B7F">
        <w:rPr>
          <w:rFonts w:asciiTheme="minorEastAsia" w:eastAsiaTheme="minorEastAsia" w:hAnsiTheme="minorEastAsia" w:hint="eastAsia"/>
          <w:color w:val="000000" w:themeColor="text1"/>
          <w:kern w:val="0"/>
        </w:rPr>
        <w:t>：</w:t>
      </w:r>
    </w:p>
    <w:tbl>
      <w:tblPr>
        <w:tblW w:w="887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
      <w:tblGrid>
        <w:gridCol w:w="1581"/>
        <w:gridCol w:w="1134"/>
        <w:gridCol w:w="1418"/>
        <w:gridCol w:w="1660"/>
        <w:gridCol w:w="1660"/>
        <w:gridCol w:w="1422"/>
      </w:tblGrid>
      <w:tr w:rsidTr="006A53BA">
        <w:tblPrEx>
          <w:tblW w:w="887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Ex>
        <w:trPr>
          <w:jc w:val="center"/>
        </w:trPr>
        <w:tc>
          <w:tcPr>
            <w:tcW w:w="1581" w:type="dxa"/>
          </w:tcPr>
          <w:p w:rsidR="002D6BB1"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申购金额</w:t>
            </w:r>
          </w:p>
        </w:tc>
        <w:tc>
          <w:tcPr>
            <w:tcW w:w="1134" w:type="dxa"/>
          </w:tcPr>
          <w:p w:rsidR="002D6BB1"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申购费率</w:t>
            </w:r>
          </w:p>
        </w:tc>
        <w:tc>
          <w:tcPr>
            <w:tcW w:w="1418" w:type="dxa"/>
          </w:tcPr>
          <w:p w:rsidR="002D6BB1"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净申购金额</w:t>
            </w:r>
          </w:p>
        </w:tc>
        <w:tc>
          <w:tcPr>
            <w:tcW w:w="1660" w:type="dxa"/>
          </w:tcPr>
          <w:p w:rsidR="002D6BB1"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申购费用</w:t>
            </w:r>
          </w:p>
        </w:tc>
        <w:tc>
          <w:tcPr>
            <w:tcW w:w="1660" w:type="dxa"/>
          </w:tcPr>
          <w:p w:rsidR="002D6BB1"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基金份额净值</w:t>
            </w:r>
          </w:p>
        </w:tc>
        <w:tc>
          <w:tcPr>
            <w:tcW w:w="1422" w:type="dxa"/>
          </w:tcPr>
          <w:p w:rsidR="002D6BB1" w:rsidRPr="00621B7F" w:rsidP="00241F10">
            <w:pPr>
              <w:snapToGrid w:val="0"/>
              <w:spacing w:line="360" w:lineRule="auto"/>
              <w:jc w:val="center"/>
              <w:rPr>
                <w:rFonts w:asciiTheme="minorEastAsia" w:eastAsiaTheme="minorEastAsia" w:hAnsiTheme="minorEastAsia"/>
                <w:b/>
                <w:color w:val="000000" w:themeColor="text1"/>
                <w:szCs w:val="21"/>
              </w:rPr>
            </w:pPr>
            <w:r w:rsidRPr="00621B7F">
              <w:rPr>
                <w:rFonts w:asciiTheme="minorEastAsia" w:eastAsiaTheme="minorEastAsia" w:hAnsiTheme="minorEastAsia" w:hint="eastAsia"/>
                <w:b/>
                <w:color w:val="000000" w:themeColor="text1"/>
                <w:szCs w:val="21"/>
              </w:rPr>
              <w:t>申购份数</w:t>
            </w:r>
          </w:p>
        </w:tc>
      </w:tr>
      <w:tr w:rsidTr="006A53BA">
        <w:tblPrEx>
          <w:tblW w:w="8875" w:type="dxa"/>
          <w:jc w:val="center"/>
          <w:tblLayout w:type="fixed"/>
          <w:tblLook w:val="01E0"/>
        </w:tblPrEx>
        <w:trPr>
          <w:jc w:val="center"/>
        </w:trPr>
        <w:tc>
          <w:tcPr>
            <w:tcW w:w="1581" w:type="dxa"/>
          </w:tcPr>
          <w:p w:rsidR="002D6BB1"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50,000元</w:t>
            </w:r>
          </w:p>
        </w:tc>
        <w:tc>
          <w:tcPr>
            <w:tcW w:w="1134" w:type="dxa"/>
          </w:tcPr>
          <w:p w:rsidR="002D6BB1" w:rsidRPr="00621B7F" w:rsidP="00241F10">
            <w:pPr>
              <w:snapToGrid w:val="0"/>
              <w:spacing w:line="360" w:lineRule="auto"/>
              <w:ind w:firstLine="210" w:firstLineChars="1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0.12%</w:t>
            </w:r>
          </w:p>
        </w:tc>
        <w:tc>
          <w:tcPr>
            <w:tcW w:w="1418" w:type="dxa"/>
          </w:tcPr>
          <w:p w:rsidR="002D6BB1"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49,940.07元</w:t>
            </w:r>
          </w:p>
        </w:tc>
        <w:tc>
          <w:tcPr>
            <w:tcW w:w="1660" w:type="dxa"/>
          </w:tcPr>
          <w:p w:rsidR="002D6BB1"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59.93元</w:t>
            </w:r>
          </w:p>
        </w:tc>
        <w:tc>
          <w:tcPr>
            <w:tcW w:w="1660" w:type="dxa"/>
          </w:tcPr>
          <w:p w:rsidR="002D6BB1"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1.0000元</w:t>
            </w:r>
          </w:p>
        </w:tc>
        <w:tc>
          <w:tcPr>
            <w:tcW w:w="1422" w:type="dxa"/>
          </w:tcPr>
          <w:p w:rsidR="002D6BB1"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49,940.07份</w:t>
            </w:r>
          </w:p>
        </w:tc>
      </w:tr>
      <w:tr w:rsidTr="006A53BA">
        <w:tblPrEx>
          <w:tblW w:w="8875" w:type="dxa"/>
          <w:jc w:val="center"/>
          <w:tblLayout w:type="fixed"/>
          <w:tblLook w:val="01E0"/>
        </w:tblPrEx>
        <w:trPr>
          <w:jc w:val="center"/>
        </w:trPr>
        <w:tc>
          <w:tcPr>
            <w:tcW w:w="1581" w:type="dxa"/>
          </w:tcPr>
          <w:p w:rsidR="002D6BB1"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10,000,000元</w:t>
            </w:r>
          </w:p>
        </w:tc>
        <w:tc>
          <w:tcPr>
            <w:tcW w:w="1134" w:type="dxa"/>
          </w:tcPr>
          <w:p w:rsidR="002D6BB1"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1000元</w:t>
            </w:r>
          </w:p>
        </w:tc>
        <w:tc>
          <w:tcPr>
            <w:tcW w:w="1418" w:type="dxa"/>
          </w:tcPr>
          <w:p w:rsidR="002D6BB1"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9,999,000元</w:t>
            </w:r>
          </w:p>
        </w:tc>
        <w:tc>
          <w:tcPr>
            <w:tcW w:w="1660" w:type="dxa"/>
          </w:tcPr>
          <w:p w:rsidR="002D6BB1"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1000元</w:t>
            </w:r>
          </w:p>
        </w:tc>
        <w:tc>
          <w:tcPr>
            <w:tcW w:w="1660" w:type="dxa"/>
          </w:tcPr>
          <w:p w:rsidR="002D6BB1"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1.0000元</w:t>
            </w:r>
          </w:p>
        </w:tc>
        <w:tc>
          <w:tcPr>
            <w:tcW w:w="1422" w:type="dxa"/>
          </w:tcPr>
          <w:p w:rsidR="002D6BB1" w:rsidRPr="00621B7F" w:rsidP="00241F10">
            <w:pPr>
              <w:snapToGrid w:val="0"/>
              <w:spacing w:line="360" w:lineRule="auto"/>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9,999,000份</w:t>
            </w:r>
          </w:p>
        </w:tc>
      </w:tr>
    </w:tbl>
    <w:p w:rsidR="00B67B3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（2）C类基金份额</w:t>
      </w:r>
    </w:p>
    <w:p w:rsidR="00B67B3A"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申购份额=申购金额/T日该类份额的基金份额净值</w:t>
      </w:r>
    </w:p>
    <w:p w:rsidR="00B67B3A" w:rsidRPr="00621B7F" w:rsidP="00B67B3A">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例三：某投资人投资100,000元申购本基金C类基金份额，假设申购当日C类基金份额的基金份额净值为1.040元，则其可得到的申购份额为：</w:t>
      </w:r>
    </w:p>
    <w:p w:rsidR="00B67B3A" w:rsidRPr="00621B7F" w:rsidP="00B67B3A">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申购份额=100,000/1.040=96,153.85份</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上述计算结果均按照四舍五入方法，保留小数点后两位，由此误差产生的损失由基金财产承担，产生的收益归基金财产所有。。</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2、基金赎回金额的计算</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本基金的</w:t>
      </w:r>
      <w:r w:rsidRPr="00621B7F" w:rsidR="00EE59EC">
        <w:rPr>
          <w:rFonts w:asciiTheme="minorEastAsia" w:eastAsiaTheme="minorEastAsia" w:hAnsiTheme="minorEastAsia" w:hint="eastAsia"/>
          <w:color w:val="000000" w:themeColor="text1"/>
          <w:szCs w:val="21"/>
        </w:rPr>
        <w:t>净</w:t>
      </w:r>
      <w:r w:rsidRPr="00621B7F">
        <w:rPr>
          <w:rFonts w:asciiTheme="minorEastAsia" w:eastAsiaTheme="minorEastAsia" w:hAnsiTheme="minorEastAsia" w:hint="eastAsia"/>
          <w:color w:val="000000" w:themeColor="text1"/>
          <w:szCs w:val="21"/>
        </w:rPr>
        <w:t>赎回金额为赎回总</w:t>
      </w:r>
      <w:r w:rsidRPr="00621B7F" w:rsidR="005F594E">
        <w:rPr>
          <w:rFonts w:asciiTheme="minorEastAsia" w:eastAsiaTheme="minorEastAsia" w:hAnsiTheme="minorEastAsia" w:hint="eastAsia"/>
          <w:color w:val="000000" w:themeColor="text1"/>
          <w:szCs w:val="21"/>
        </w:rPr>
        <w:t>金</w:t>
      </w:r>
      <w:r w:rsidRPr="00621B7F">
        <w:rPr>
          <w:rFonts w:asciiTheme="minorEastAsia" w:eastAsiaTheme="minorEastAsia" w:hAnsiTheme="minorEastAsia" w:hint="eastAsia"/>
          <w:color w:val="000000" w:themeColor="text1"/>
          <w:szCs w:val="21"/>
        </w:rPr>
        <w:t>额扣减赎回费用，其中：</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赎回总金额=赎回份额</w:t>
      </w:r>
      <w:r w:rsidRPr="00621B7F">
        <w:rPr>
          <w:rFonts w:ascii="Symbol" w:hAnsi="Symbol" w:eastAsiaTheme="minorEastAsia"/>
          <w:color w:val="000000" w:themeColor="text1"/>
          <w:szCs w:val="21"/>
        </w:rPr>
        <w:sym w:font="Symbol" w:char="F0B4"/>
      </w:r>
      <w:r w:rsidRPr="00621B7F">
        <w:rPr>
          <w:rFonts w:asciiTheme="minorEastAsia" w:eastAsiaTheme="minorEastAsia" w:hAnsiTheme="minorEastAsia" w:hint="eastAsia"/>
          <w:color w:val="000000" w:themeColor="text1"/>
          <w:szCs w:val="21"/>
        </w:rPr>
        <w:t>T日</w:t>
      </w:r>
      <w:r w:rsidRPr="00621B7F" w:rsidR="00B67B3A">
        <w:rPr>
          <w:rFonts w:asciiTheme="minorEastAsia" w:eastAsiaTheme="minorEastAsia" w:hAnsiTheme="minorEastAsia" w:hint="eastAsia"/>
          <w:color w:val="000000" w:themeColor="text1"/>
          <w:szCs w:val="21"/>
        </w:rPr>
        <w:t>该类份额的</w:t>
      </w:r>
      <w:r w:rsidRPr="00621B7F">
        <w:rPr>
          <w:rFonts w:asciiTheme="minorEastAsia" w:eastAsiaTheme="minorEastAsia" w:hAnsiTheme="minorEastAsia" w:hint="eastAsia"/>
          <w:color w:val="000000" w:themeColor="text1"/>
          <w:szCs w:val="21"/>
        </w:rPr>
        <w:t>基金份额净值</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赎回费用=赎回总金额</w:t>
      </w:r>
      <w:r w:rsidRPr="00621B7F">
        <w:rPr>
          <w:rFonts w:ascii="Symbol" w:hAnsi="Symbol" w:eastAsiaTheme="minorEastAsia"/>
          <w:color w:val="000000" w:themeColor="text1"/>
          <w:szCs w:val="21"/>
        </w:rPr>
        <w:sym w:font="Symbol" w:char="F0B4"/>
      </w:r>
      <w:r w:rsidRPr="00621B7F">
        <w:rPr>
          <w:rFonts w:asciiTheme="minorEastAsia" w:eastAsiaTheme="minorEastAsia" w:hAnsiTheme="minorEastAsia" w:hint="eastAsia"/>
          <w:color w:val="000000" w:themeColor="text1"/>
          <w:szCs w:val="21"/>
        </w:rPr>
        <w:t>赎回费率</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净赎回金额=赎回总金额</w:t>
      </w:r>
      <w:r w:rsidRPr="00621B7F">
        <w:rPr>
          <w:rFonts w:ascii="Symbol" w:hAnsi="Symbol" w:eastAsiaTheme="minorEastAsia"/>
          <w:color w:val="000000" w:themeColor="text1"/>
          <w:szCs w:val="21"/>
        </w:rPr>
        <w:sym w:font="Symbol" w:char="F02D"/>
      </w:r>
      <w:r w:rsidRPr="00621B7F">
        <w:rPr>
          <w:rFonts w:asciiTheme="minorEastAsia" w:eastAsiaTheme="minorEastAsia" w:hAnsiTheme="minorEastAsia" w:hint="eastAsia"/>
          <w:color w:val="000000" w:themeColor="text1"/>
          <w:szCs w:val="21"/>
        </w:rPr>
        <w:t>赎回费用</w:t>
      </w:r>
    </w:p>
    <w:p w:rsidR="00455323"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举例说明：</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kern w:val="0"/>
        </w:rPr>
        <w:t>某投资者赎回本基金</w:t>
      </w:r>
      <w:r w:rsidRPr="00621B7F">
        <w:rPr>
          <w:rFonts w:asciiTheme="minorEastAsia" w:eastAsiaTheme="minorEastAsia" w:hAnsiTheme="minorEastAsia" w:hint="eastAsia"/>
          <w:color w:val="000000" w:themeColor="text1"/>
          <w:szCs w:val="21"/>
        </w:rPr>
        <w:t>A类基金份额</w:t>
      </w:r>
      <w:r w:rsidRPr="00621B7F">
        <w:rPr>
          <w:rFonts w:asciiTheme="minorEastAsia" w:eastAsiaTheme="minorEastAsia" w:hAnsiTheme="minorEastAsia" w:hint="eastAsia"/>
          <w:color w:val="000000" w:themeColor="text1"/>
          <w:kern w:val="0"/>
        </w:rPr>
        <w:t>：</w:t>
      </w:r>
    </w:p>
    <w:tbl>
      <w:tblPr>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tblPr>
      <w:tblGrid>
        <w:gridCol w:w="1243"/>
        <w:gridCol w:w="1650"/>
        <w:gridCol w:w="1436"/>
        <w:gridCol w:w="1437"/>
        <w:gridCol w:w="1409"/>
        <w:gridCol w:w="1457"/>
      </w:tblGrid>
      <w:tr w:rsidTr="00550FC0">
        <w:tblPrEx>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tblPrEx>
        <w:trPr>
          <w:jc w:val="center"/>
        </w:trPr>
        <w:tc>
          <w:tcPr>
            <w:tcW w:w="1243" w:type="dxa"/>
          </w:tcPr>
          <w:p w:rsidR="00FE5546" w:rsidRPr="00621B7F" w:rsidP="00241F10">
            <w:pPr>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赎回份额</w:t>
            </w:r>
          </w:p>
        </w:tc>
        <w:tc>
          <w:tcPr>
            <w:tcW w:w="1650" w:type="dxa"/>
          </w:tcPr>
          <w:p w:rsidR="00FE5546" w:rsidRPr="00621B7F" w:rsidP="00241F10">
            <w:pPr>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基金份额净值</w:t>
            </w:r>
          </w:p>
        </w:tc>
        <w:tc>
          <w:tcPr>
            <w:tcW w:w="1436" w:type="dxa"/>
          </w:tcPr>
          <w:p w:rsidR="00FE5546" w:rsidRPr="00621B7F" w:rsidP="00241F10">
            <w:pPr>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持有时间</w:t>
            </w:r>
          </w:p>
        </w:tc>
        <w:tc>
          <w:tcPr>
            <w:tcW w:w="1437" w:type="dxa"/>
          </w:tcPr>
          <w:p w:rsidR="00FE5546" w:rsidRPr="00621B7F" w:rsidP="00241F10">
            <w:pPr>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赎回费率</w:t>
            </w:r>
          </w:p>
        </w:tc>
        <w:tc>
          <w:tcPr>
            <w:tcW w:w="1409" w:type="dxa"/>
          </w:tcPr>
          <w:p w:rsidR="00FE5546" w:rsidRPr="00621B7F" w:rsidP="00241F10">
            <w:pPr>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赎回费</w:t>
            </w:r>
            <w:r w:rsidRPr="00621B7F">
              <w:rPr>
                <w:rFonts w:asciiTheme="minorEastAsia" w:eastAsiaTheme="minorEastAsia" w:hAnsiTheme="minorEastAsia" w:hint="eastAsia"/>
                <w:color w:val="000000" w:themeColor="text1"/>
                <w:szCs w:val="21"/>
              </w:rPr>
              <w:t>用</w:t>
            </w:r>
          </w:p>
        </w:tc>
        <w:tc>
          <w:tcPr>
            <w:tcW w:w="1457" w:type="dxa"/>
          </w:tcPr>
          <w:p w:rsidR="00FE5546" w:rsidRPr="00621B7F" w:rsidP="00241F10">
            <w:pPr>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净</w:t>
            </w:r>
            <w:r w:rsidRPr="00621B7F">
              <w:rPr>
                <w:rFonts w:asciiTheme="minorEastAsia" w:eastAsiaTheme="minorEastAsia" w:hAnsiTheme="minorEastAsia"/>
                <w:color w:val="000000" w:themeColor="text1"/>
                <w:szCs w:val="21"/>
              </w:rPr>
              <w:t>赎回</w:t>
            </w:r>
            <w:r w:rsidRPr="00621B7F">
              <w:rPr>
                <w:rFonts w:asciiTheme="minorEastAsia" w:eastAsiaTheme="minorEastAsia" w:hAnsiTheme="minorEastAsia" w:hint="eastAsia"/>
                <w:color w:val="000000" w:themeColor="text1"/>
                <w:szCs w:val="21"/>
              </w:rPr>
              <w:t>金</w:t>
            </w:r>
            <w:r w:rsidRPr="00621B7F">
              <w:rPr>
                <w:rFonts w:asciiTheme="minorEastAsia" w:eastAsiaTheme="minorEastAsia" w:hAnsiTheme="minorEastAsia"/>
                <w:color w:val="000000" w:themeColor="text1"/>
                <w:szCs w:val="21"/>
              </w:rPr>
              <w:t>额</w:t>
            </w:r>
          </w:p>
        </w:tc>
      </w:tr>
      <w:tr w:rsidTr="00550FC0">
        <w:tblPrEx>
          <w:tblW w:w="8632" w:type="dxa"/>
          <w:jc w:val="center"/>
          <w:tblLayout w:type="fixed"/>
          <w:tblLook w:val="0160"/>
        </w:tblPrEx>
        <w:trPr>
          <w:jc w:val="center"/>
        </w:trPr>
        <w:tc>
          <w:tcPr>
            <w:tcW w:w="1243" w:type="dxa"/>
          </w:tcPr>
          <w:p w:rsidR="00FE5546" w:rsidRPr="00621B7F" w:rsidP="00241F10">
            <w:pPr>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10,000</w:t>
            </w:r>
          </w:p>
        </w:tc>
        <w:tc>
          <w:tcPr>
            <w:tcW w:w="1650"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1.00</w:t>
            </w:r>
            <w:r w:rsidRPr="00621B7F">
              <w:rPr>
                <w:rFonts w:asciiTheme="minorEastAsia" w:eastAsiaTheme="minorEastAsia" w:hAnsiTheme="minorEastAsia" w:hint="eastAsia"/>
                <w:color w:val="000000" w:themeColor="text1"/>
                <w:szCs w:val="21"/>
              </w:rPr>
              <w:t>0</w:t>
            </w:r>
            <w:r w:rsidRPr="00621B7F" w:rsidR="00EF1913">
              <w:rPr>
                <w:rFonts w:asciiTheme="minorEastAsia" w:eastAsiaTheme="minorEastAsia" w:hAnsiTheme="minorEastAsia" w:hint="eastAsia"/>
                <w:color w:val="000000" w:themeColor="text1"/>
                <w:szCs w:val="21"/>
              </w:rPr>
              <w:t>0</w:t>
            </w:r>
            <w:r w:rsidRPr="00621B7F">
              <w:rPr>
                <w:rFonts w:asciiTheme="minorEastAsia" w:eastAsiaTheme="minorEastAsia" w:hAnsiTheme="minorEastAsia"/>
                <w:color w:val="000000" w:themeColor="text1"/>
                <w:szCs w:val="21"/>
              </w:rPr>
              <w:t>元</w:t>
            </w:r>
          </w:p>
        </w:tc>
        <w:tc>
          <w:tcPr>
            <w:tcW w:w="1436"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100天</w:t>
            </w:r>
          </w:p>
        </w:tc>
        <w:tc>
          <w:tcPr>
            <w:tcW w:w="1437"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0.5%</w:t>
            </w:r>
          </w:p>
        </w:tc>
        <w:tc>
          <w:tcPr>
            <w:tcW w:w="1409"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50元</w:t>
            </w:r>
          </w:p>
        </w:tc>
        <w:tc>
          <w:tcPr>
            <w:tcW w:w="1457"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9,950元</w:t>
            </w:r>
          </w:p>
        </w:tc>
      </w:tr>
      <w:tr w:rsidTr="00550FC0">
        <w:tblPrEx>
          <w:tblW w:w="8632" w:type="dxa"/>
          <w:jc w:val="center"/>
          <w:tblLayout w:type="fixed"/>
          <w:tblLook w:val="0160"/>
        </w:tblPrEx>
        <w:trPr>
          <w:jc w:val="center"/>
        </w:trPr>
        <w:tc>
          <w:tcPr>
            <w:tcW w:w="1243" w:type="dxa"/>
          </w:tcPr>
          <w:p w:rsidR="00FE5546" w:rsidRPr="00621B7F" w:rsidP="00241F10">
            <w:pPr>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10,000</w:t>
            </w:r>
          </w:p>
        </w:tc>
        <w:tc>
          <w:tcPr>
            <w:tcW w:w="1650"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1.0</w:t>
            </w:r>
            <w:r w:rsidRPr="00621B7F">
              <w:rPr>
                <w:rFonts w:asciiTheme="minorEastAsia" w:eastAsiaTheme="minorEastAsia" w:hAnsiTheme="minorEastAsia" w:hint="eastAsia"/>
                <w:color w:val="000000" w:themeColor="text1"/>
                <w:szCs w:val="21"/>
              </w:rPr>
              <w:t>0</w:t>
            </w:r>
            <w:r w:rsidRPr="00621B7F">
              <w:rPr>
                <w:rFonts w:asciiTheme="minorEastAsia" w:eastAsiaTheme="minorEastAsia" w:hAnsiTheme="minorEastAsia"/>
                <w:color w:val="000000" w:themeColor="text1"/>
                <w:szCs w:val="21"/>
              </w:rPr>
              <w:t>0</w:t>
            </w:r>
            <w:r w:rsidRPr="00621B7F" w:rsidR="00EF1913">
              <w:rPr>
                <w:rFonts w:asciiTheme="minorEastAsia" w:eastAsiaTheme="minorEastAsia" w:hAnsiTheme="minorEastAsia" w:hint="eastAsia"/>
                <w:color w:val="000000" w:themeColor="text1"/>
                <w:szCs w:val="21"/>
              </w:rPr>
              <w:t>0</w:t>
            </w:r>
            <w:r w:rsidRPr="00621B7F">
              <w:rPr>
                <w:rFonts w:asciiTheme="minorEastAsia" w:eastAsiaTheme="minorEastAsia" w:hAnsiTheme="minorEastAsia"/>
                <w:color w:val="000000" w:themeColor="text1"/>
                <w:szCs w:val="21"/>
              </w:rPr>
              <w:t>元</w:t>
            </w:r>
          </w:p>
        </w:tc>
        <w:tc>
          <w:tcPr>
            <w:tcW w:w="1436" w:type="dxa"/>
          </w:tcPr>
          <w:p w:rsidR="00FE5546" w:rsidRPr="00621B7F" w:rsidP="00241F10">
            <w:pPr>
              <w:snapToGrid w:val="0"/>
              <w:spacing w:line="360" w:lineRule="auto"/>
              <w:ind w:firstLine="48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500天</w:t>
            </w:r>
          </w:p>
        </w:tc>
        <w:tc>
          <w:tcPr>
            <w:tcW w:w="1437"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0.</w:t>
            </w:r>
            <w:r w:rsidRPr="00621B7F">
              <w:rPr>
                <w:rFonts w:asciiTheme="minorEastAsia" w:eastAsiaTheme="minorEastAsia" w:hAnsiTheme="minorEastAsia" w:hint="eastAsia"/>
                <w:color w:val="000000" w:themeColor="text1"/>
                <w:szCs w:val="21"/>
              </w:rPr>
              <w:t>25</w:t>
            </w:r>
            <w:r w:rsidRPr="00621B7F">
              <w:rPr>
                <w:rFonts w:asciiTheme="minorEastAsia" w:eastAsiaTheme="minorEastAsia" w:hAnsiTheme="minorEastAsia"/>
                <w:color w:val="000000" w:themeColor="text1"/>
                <w:szCs w:val="21"/>
              </w:rPr>
              <w:t>%</w:t>
            </w:r>
          </w:p>
        </w:tc>
        <w:tc>
          <w:tcPr>
            <w:tcW w:w="1409"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25</w:t>
            </w:r>
            <w:r w:rsidRPr="00621B7F">
              <w:rPr>
                <w:rFonts w:asciiTheme="minorEastAsia" w:eastAsiaTheme="minorEastAsia" w:hAnsiTheme="minorEastAsia"/>
                <w:color w:val="000000" w:themeColor="text1"/>
                <w:szCs w:val="21"/>
              </w:rPr>
              <w:t>元</w:t>
            </w:r>
          </w:p>
        </w:tc>
        <w:tc>
          <w:tcPr>
            <w:tcW w:w="1457"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9,97</w:t>
            </w:r>
            <w:r w:rsidRPr="00621B7F">
              <w:rPr>
                <w:rFonts w:asciiTheme="minorEastAsia" w:eastAsiaTheme="minorEastAsia" w:hAnsiTheme="minorEastAsia" w:hint="eastAsia"/>
                <w:color w:val="000000" w:themeColor="text1"/>
                <w:szCs w:val="21"/>
              </w:rPr>
              <w:t>5</w:t>
            </w:r>
            <w:r w:rsidRPr="00621B7F">
              <w:rPr>
                <w:rFonts w:asciiTheme="minorEastAsia" w:eastAsiaTheme="minorEastAsia" w:hAnsiTheme="minorEastAsia"/>
                <w:color w:val="000000" w:themeColor="text1"/>
                <w:szCs w:val="21"/>
              </w:rPr>
              <w:t>元</w:t>
            </w:r>
          </w:p>
        </w:tc>
      </w:tr>
      <w:tr w:rsidTr="00550FC0">
        <w:tblPrEx>
          <w:tblW w:w="8632" w:type="dxa"/>
          <w:jc w:val="center"/>
          <w:tblLayout w:type="fixed"/>
          <w:tblLook w:val="0160"/>
        </w:tblPrEx>
        <w:trPr>
          <w:jc w:val="center"/>
        </w:trPr>
        <w:tc>
          <w:tcPr>
            <w:tcW w:w="1243" w:type="dxa"/>
          </w:tcPr>
          <w:p w:rsidR="00FE5546" w:rsidRPr="00621B7F" w:rsidP="00241F10">
            <w:pPr>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10,000</w:t>
            </w:r>
          </w:p>
        </w:tc>
        <w:tc>
          <w:tcPr>
            <w:tcW w:w="1650"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1.00</w:t>
            </w:r>
            <w:r w:rsidRPr="00621B7F">
              <w:rPr>
                <w:rFonts w:asciiTheme="minorEastAsia" w:eastAsiaTheme="minorEastAsia" w:hAnsiTheme="minorEastAsia" w:hint="eastAsia"/>
                <w:color w:val="000000" w:themeColor="text1"/>
                <w:szCs w:val="21"/>
              </w:rPr>
              <w:t>0</w:t>
            </w:r>
            <w:r w:rsidRPr="00621B7F" w:rsidR="00EF1913">
              <w:rPr>
                <w:rFonts w:asciiTheme="minorEastAsia" w:eastAsiaTheme="minorEastAsia" w:hAnsiTheme="minorEastAsia" w:hint="eastAsia"/>
                <w:color w:val="000000" w:themeColor="text1"/>
                <w:szCs w:val="21"/>
              </w:rPr>
              <w:t>0</w:t>
            </w:r>
            <w:r w:rsidRPr="00621B7F">
              <w:rPr>
                <w:rFonts w:asciiTheme="minorEastAsia" w:eastAsiaTheme="minorEastAsia" w:hAnsiTheme="minorEastAsia"/>
                <w:color w:val="000000" w:themeColor="text1"/>
                <w:szCs w:val="21"/>
              </w:rPr>
              <w:t>元</w:t>
            </w:r>
          </w:p>
        </w:tc>
        <w:tc>
          <w:tcPr>
            <w:tcW w:w="1436" w:type="dxa"/>
          </w:tcPr>
          <w:p w:rsidR="00FE5546" w:rsidRPr="00621B7F" w:rsidP="00241F10">
            <w:pPr>
              <w:snapToGrid w:val="0"/>
              <w:spacing w:line="360" w:lineRule="auto"/>
              <w:ind w:firstLine="48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800天</w:t>
            </w:r>
          </w:p>
        </w:tc>
        <w:tc>
          <w:tcPr>
            <w:tcW w:w="1437"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0%</w:t>
            </w:r>
          </w:p>
        </w:tc>
        <w:tc>
          <w:tcPr>
            <w:tcW w:w="1409" w:type="dxa"/>
          </w:tcPr>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0</w:t>
            </w:r>
          </w:p>
        </w:tc>
        <w:tc>
          <w:tcPr>
            <w:tcW w:w="1457" w:type="dxa"/>
          </w:tcPr>
          <w:p w:rsidR="00FE5546" w:rsidRPr="00621B7F" w:rsidP="00241F10">
            <w:pPr>
              <w:snapToGrid w:val="0"/>
              <w:spacing w:line="360" w:lineRule="auto"/>
              <w:ind w:firstLine="210" w:firstLineChars="1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10,000元</w:t>
            </w:r>
          </w:p>
        </w:tc>
      </w:tr>
    </w:tbl>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赎回</w:t>
      </w:r>
      <w:r w:rsidRPr="00621B7F" w:rsidR="00924745">
        <w:rPr>
          <w:rFonts w:asciiTheme="minorEastAsia" w:eastAsiaTheme="minorEastAsia" w:hAnsiTheme="minorEastAsia" w:hint="eastAsia"/>
          <w:color w:val="000000" w:themeColor="text1"/>
          <w:szCs w:val="21"/>
        </w:rPr>
        <w:t>总</w:t>
      </w:r>
      <w:r w:rsidRPr="00621B7F">
        <w:rPr>
          <w:rFonts w:asciiTheme="minorEastAsia" w:eastAsiaTheme="minorEastAsia" w:hAnsiTheme="minorEastAsia" w:hint="eastAsia"/>
          <w:color w:val="000000" w:themeColor="text1"/>
          <w:szCs w:val="21"/>
        </w:rPr>
        <w:t>金额、赎回费用以人民币元为单位，四舍五入，保留小数点后两位，由此产生的误差计入基金财产</w:t>
      </w:r>
      <w:r w:rsidRPr="00621B7F">
        <w:rPr>
          <w:rFonts w:asciiTheme="minorEastAsia" w:eastAsiaTheme="minorEastAsia" w:hAnsiTheme="minorEastAsia"/>
          <w:color w:val="000000" w:themeColor="text1"/>
          <w:szCs w:val="21"/>
        </w:rPr>
        <w:t>。</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3、T日的</w:t>
      </w:r>
      <w:r w:rsidRPr="00621B7F" w:rsidR="00B67B3A">
        <w:rPr>
          <w:rFonts w:asciiTheme="minorEastAsia" w:eastAsiaTheme="minorEastAsia" w:hAnsiTheme="minorEastAsia" w:hint="eastAsia"/>
          <w:color w:val="000000" w:themeColor="text1"/>
          <w:szCs w:val="21"/>
        </w:rPr>
        <w:t>两类份额的</w:t>
      </w:r>
      <w:r w:rsidRPr="00621B7F">
        <w:rPr>
          <w:rFonts w:asciiTheme="minorEastAsia" w:eastAsiaTheme="minorEastAsia" w:hAnsiTheme="minorEastAsia" w:hint="eastAsia"/>
          <w:color w:val="000000" w:themeColor="text1"/>
          <w:szCs w:val="21"/>
        </w:rPr>
        <w:t>基金份额净值在当天收市后计算，并在T+1日内公告。遇特殊情况，可以适当延迟计算或公告。其计算公式为：</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该类基金份额资产净值=计算日该类基金资产净值÷计算日该类基金总份额</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4、本基金的申购费由申购人承担，不计入基金财产</w:t>
      </w:r>
      <w:r w:rsidRPr="00621B7F" w:rsidR="00FE2993">
        <w:rPr>
          <w:rFonts w:asciiTheme="minorEastAsia" w:eastAsiaTheme="minorEastAsia" w:hAnsiTheme="minorEastAsia" w:hint="eastAsia"/>
          <w:color w:val="000000" w:themeColor="text1"/>
        </w:rPr>
        <w:t>，用于本基金的市场推广、销售、注册登记等各项费用</w:t>
      </w:r>
      <w:r w:rsidRPr="00621B7F">
        <w:rPr>
          <w:rFonts w:asciiTheme="minorEastAsia" w:eastAsiaTheme="minorEastAsia" w:hAnsiTheme="minorEastAsia" w:hint="eastAsia"/>
          <w:color w:val="000000" w:themeColor="text1"/>
          <w:szCs w:val="21"/>
        </w:rPr>
        <w:t>；本基金的赎回费由赎回人承担，在基金份额持有人赎回基金份额时收取，</w:t>
      </w:r>
      <w:r w:rsidRPr="00621B7F" w:rsidR="007E3EE7">
        <w:rPr>
          <w:rFonts w:asciiTheme="minorEastAsia" w:eastAsiaTheme="minorEastAsia" w:hAnsiTheme="minorEastAsia" w:hint="eastAsia"/>
          <w:color w:val="000000" w:themeColor="text1"/>
          <w:szCs w:val="21"/>
        </w:rPr>
        <w:t>其中对持续持有期大于7天（含）的A类基金份额的投资者收取的赎回费的25%归入基金财产，其余用于支付注册登记费和其他必要的手续费，对C类基金份额的投资者收取的赎回费全额计入基金财产。对持续持有期少于7天（不含）的A类基金份额、C类基金份额的投资者收取的赎回费全额计入基金财产。</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color w:val="000000" w:themeColor="text1"/>
          <w:szCs w:val="21"/>
        </w:rPr>
      </w:pPr>
      <w:bookmarkStart w:id="700" w:name="_Toc91752039"/>
      <w:r w:rsidRPr="00621B7F">
        <w:rPr>
          <w:rFonts w:asciiTheme="minorEastAsia" w:eastAsiaTheme="minorEastAsia" w:hAnsiTheme="minorEastAsia" w:hint="eastAsia"/>
          <w:b w:val="0"/>
          <w:color w:val="000000" w:themeColor="text1"/>
        </w:rPr>
        <w:t>（</w:t>
      </w:r>
      <w:r w:rsidRPr="00621B7F" w:rsidR="00FE5546">
        <w:rPr>
          <w:rFonts w:asciiTheme="minorEastAsia" w:eastAsiaTheme="minorEastAsia" w:hAnsiTheme="minorEastAsia" w:hint="eastAsia"/>
          <w:b w:val="0"/>
          <w:color w:val="000000" w:themeColor="text1"/>
        </w:rPr>
        <w:t>九</w:t>
      </w:r>
      <w:r w:rsidRPr="00621B7F">
        <w:rPr>
          <w:rFonts w:asciiTheme="minorEastAsia" w:eastAsiaTheme="minorEastAsia" w:hAnsiTheme="minorEastAsia" w:hint="eastAsia"/>
          <w:b w:val="0"/>
          <w:color w:val="000000" w:themeColor="text1"/>
        </w:rPr>
        <w:t>）申购、赎回的注册登记</w:t>
      </w:r>
      <w:bookmarkEnd w:id="700"/>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1、投资者申购基金成功后，正常情况下，基金注册登记机构在T+1日为投资者增加权益并办理注册登记手续，正常情况下，投资者自T+2日（含改日）后有权赎回该部分基金份额。</w:t>
      </w:r>
    </w:p>
    <w:p w:rsidR="00FE5546"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2、投资者赎回基金成功后，基金注册登记机构在T+1工作日为投资者扣除权益并办理相应的注册登记手续。</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基金管理人可在法律法规允许的范围内，对上述注册登记办理时间进行调整，并最迟于开始实施前2日予以公告。</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01" w:name="_Toc91752040"/>
      <w:r w:rsidRPr="00621B7F">
        <w:rPr>
          <w:rFonts w:asciiTheme="minorEastAsia" w:eastAsiaTheme="minorEastAsia" w:hAnsiTheme="minorEastAsia" w:hint="eastAsia"/>
          <w:b w:val="0"/>
          <w:color w:val="000000" w:themeColor="text1"/>
        </w:rPr>
        <w:t>（</w:t>
      </w:r>
      <w:r w:rsidRPr="00621B7F" w:rsidR="00FE5546">
        <w:rPr>
          <w:rFonts w:asciiTheme="minorEastAsia" w:eastAsiaTheme="minorEastAsia" w:hAnsiTheme="minorEastAsia" w:hint="eastAsia"/>
          <w:b w:val="0"/>
          <w:color w:val="000000" w:themeColor="text1"/>
        </w:rPr>
        <w:t>十</w:t>
      </w:r>
      <w:r w:rsidRPr="00621B7F">
        <w:rPr>
          <w:rFonts w:asciiTheme="minorEastAsia" w:eastAsiaTheme="minorEastAsia" w:hAnsiTheme="minorEastAsia" w:hint="eastAsia"/>
          <w:b w:val="0"/>
          <w:color w:val="000000" w:themeColor="text1"/>
        </w:rPr>
        <w:t>）巨额赎回的认定及处理方式</w:t>
      </w:r>
      <w:bookmarkEnd w:id="701"/>
    </w:p>
    <w:p w:rsidR="00FE5546"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1、巨额赎回的认定</w:t>
      </w:r>
    </w:p>
    <w:p w:rsidR="00FE5546"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本基金单个开放日，基金净赎回申请（赎回申请总数加上基金转换中转出申请份额总数后扣除申购申请总数及基金转换中转入申请份额总数后的余额）超过上一日基金总份额的</w:t>
      </w:r>
      <w:r w:rsidRPr="00621B7F">
        <w:rPr>
          <w:rFonts w:asciiTheme="minorEastAsia" w:eastAsiaTheme="minorEastAsia" w:hAnsiTheme="minorEastAsia"/>
          <w:color w:val="000000" w:themeColor="text1"/>
        </w:rPr>
        <w:t>10%</w:t>
      </w:r>
      <w:r w:rsidRPr="00621B7F">
        <w:rPr>
          <w:rFonts w:asciiTheme="minorEastAsia" w:eastAsiaTheme="minorEastAsia" w:hAnsiTheme="minorEastAsia" w:hint="eastAsia"/>
          <w:color w:val="000000" w:themeColor="text1"/>
        </w:rPr>
        <w:t>时，即认为发生了巨额赎回。</w:t>
      </w:r>
    </w:p>
    <w:p w:rsidR="00FE5546"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2、巨额赎回的处理方式</w:t>
      </w:r>
    </w:p>
    <w:p w:rsidR="00FE5546"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当出现巨额赎回时，基金管理人可以根据该基金当时的资产组合状况决定全额赎回或部分顺延赎回。</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全额赎回：当基金管理人认为有能力支付投资者的全部赎回申请时，按正常赎回程序执行。</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（2）部分顺延赎回：当基金管理人认为支付投资者的赎回申请有困难或认为支付投资者的赎回申请可能会对基金的资产净值造成较大波动时，基金管理人在当日接受赎回比例不低于上一日基金总份额的</w:t>
      </w:r>
      <w:r w:rsidRPr="00621B7F">
        <w:rPr>
          <w:rFonts w:asciiTheme="minorEastAsia" w:eastAsiaTheme="minorEastAsia" w:hAnsiTheme="minorEastAsia"/>
          <w:color w:val="000000" w:themeColor="text1"/>
          <w:szCs w:val="21"/>
        </w:rPr>
        <w:t>10</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的前提下，对其余赎回申请延期予以办理。对于</w:t>
      </w:r>
      <w:r w:rsidRPr="00621B7F">
        <w:rPr>
          <w:rFonts w:asciiTheme="minorEastAsia" w:eastAsiaTheme="minorEastAsia" w:hAnsiTheme="minorEastAsia" w:hint="eastAsia"/>
          <w:color w:val="000000" w:themeColor="text1"/>
          <w:szCs w:val="21"/>
        </w:rPr>
        <w:t>单个基金份额持有人</w:t>
      </w:r>
      <w:r w:rsidRPr="00621B7F">
        <w:rPr>
          <w:rFonts w:asciiTheme="minorEastAsia" w:eastAsiaTheme="minorEastAsia" w:hAnsiTheme="minorEastAsia"/>
          <w:color w:val="000000" w:themeColor="text1"/>
          <w:szCs w:val="21"/>
        </w:rPr>
        <w:t>的赎回申请，应当按</w:t>
      </w:r>
      <w:r w:rsidRPr="00621B7F">
        <w:rPr>
          <w:rFonts w:asciiTheme="minorEastAsia" w:eastAsiaTheme="minorEastAsia" w:hAnsiTheme="minorEastAsia" w:hint="eastAsia"/>
          <w:color w:val="000000" w:themeColor="text1"/>
          <w:szCs w:val="21"/>
        </w:rPr>
        <w:t>照其申请赎回份额</w:t>
      </w:r>
      <w:r w:rsidRPr="00621B7F">
        <w:rPr>
          <w:rFonts w:asciiTheme="minorEastAsia" w:eastAsiaTheme="minorEastAsia" w:hAnsiTheme="minorEastAsia"/>
          <w:color w:val="000000" w:themeColor="text1"/>
          <w:szCs w:val="21"/>
        </w:rPr>
        <w:t>占</w:t>
      </w:r>
      <w:r w:rsidRPr="00621B7F">
        <w:rPr>
          <w:rFonts w:asciiTheme="minorEastAsia" w:eastAsiaTheme="minorEastAsia" w:hAnsiTheme="minorEastAsia" w:hint="eastAsia"/>
          <w:color w:val="000000" w:themeColor="text1"/>
          <w:szCs w:val="21"/>
        </w:rPr>
        <w:t>当日申请</w:t>
      </w:r>
      <w:r w:rsidRPr="00621B7F">
        <w:rPr>
          <w:rFonts w:asciiTheme="minorEastAsia" w:eastAsiaTheme="minorEastAsia" w:hAnsiTheme="minorEastAsia"/>
          <w:color w:val="000000" w:themeColor="text1"/>
          <w:szCs w:val="21"/>
        </w:rPr>
        <w:t>赎回总</w:t>
      </w:r>
      <w:r w:rsidRPr="00621B7F">
        <w:rPr>
          <w:rFonts w:asciiTheme="minorEastAsia" w:eastAsiaTheme="minorEastAsia" w:hAnsiTheme="minorEastAsia" w:hint="eastAsia"/>
          <w:color w:val="000000" w:themeColor="text1"/>
          <w:szCs w:val="21"/>
        </w:rPr>
        <w:t>份额</w:t>
      </w:r>
      <w:r w:rsidRPr="00621B7F">
        <w:rPr>
          <w:rFonts w:asciiTheme="minorEastAsia" w:eastAsiaTheme="minorEastAsia" w:hAnsiTheme="minorEastAsia"/>
          <w:color w:val="000000" w:themeColor="text1"/>
          <w:szCs w:val="21"/>
        </w:rPr>
        <w:t>的比例，确定</w:t>
      </w:r>
      <w:r w:rsidRPr="00621B7F">
        <w:rPr>
          <w:rFonts w:asciiTheme="minorEastAsia" w:eastAsiaTheme="minorEastAsia" w:hAnsiTheme="minorEastAsia" w:hint="eastAsia"/>
          <w:color w:val="000000" w:themeColor="text1"/>
          <w:szCs w:val="21"/>
        </w:rPr>
        <w:t>该单个基金份额持有人</w:t>
      </w:r>
      <w:r w:rsidRPr="00621B7F">
        <w:rPr>
          <w:rFonts w:asciiTheme="minorEastAsia" w:eastAsiaTheme="minorEastAsia" w:hAnsiTheme="minorEastAsia"/>
          <w:color w:val="000000" w:themeColor="text1"/>
          <w:szCs w:val="21"/>
        </w:rPr>
        <w:t>当日</w:t>
      </w:r>
      <w:r w:rsidRPr="00621B7F">
        <w:rPr>
          <w:rFonts w:asciiTheme="minorEastAsia" w:eastAsiaTheme="minorEastAsia" w:hAnsiTheme="minorEastAsia" w:hint="eastAsia"/>
          <w:color w:val="000000" w:themeColor="text1"/>
          <w:szCs w:val="21"/>
        </w:rPr>
        <w:t>办理</w:t>
      </w:r>
      <w:r w:rsidRPr="00621B7F">
        <w:rPr>
          <w:rFonts w:asciiTheme="minorEastAsia" w:eastAsiaTheme="minorEastAsia" w:hAnsiTheme="minorEastAsia"/>
          <w:color w:val="000000" w:themeColor="text1"/>
          <w:szCs w:val="21"/>
        </w:rPr>
        <w:t>的赎回份额；</w:t>
      </w:r>
      <w:r w:rsidRPr="00621B7F">
        <w:rPr>
          <w:rFonts w:asciiTheme="minorEastAsia" w:eastAsiaTheme="minorEastAsia" w:hAnsiTheme="minorEastAsia" w:hint="eastAsia"/>
          <w:color w:val="000000" w:themeColor="text1"/>
          <w:szCs w:val="21"/>
        </w:rPr>
        <w:t>投资者未能赎回部分，除投资者在提交赎回申请时选择将当日未获办理部分予以撤销外，延迟至下一个开放日办理，赎回价格为下一个开放日</w:t>
      </w:r>
      <w:r w:rsidRPr="00621B7F" w:rsidR="00656950">
        <w:rPr>
          <w:rFonts w:asciiTheme="minorEastAsia" w:eastAsiaTheme="minorEastAsia" w:hAnsiTheme="minorEastAsia" w:hint="eastAsia"/>
          <w:color w:val="000000" w:themeColor="text1"/>
        </w:rPr>
        <w:t>该类基金份额</w:t>
      </w:r>
      <w:r w:rsidRPr="00621B7F">
        <w:rPr>
          <w:rFonts w:asciiTheme="minorEastAsia" w:eastAsiaTheme="minorEastAsia" w:hAnsiTheme="minorEastAsia" w:hint="eastAsia"/>
          <w:color w:val="000000" w:themeColor="text1"/>
          <w:szCs w:val="21"/>
        </w:rPr>
        <w:t>的价格。依照上述规定转入下一个开放日的赎回不享有赎回优先权，并以此类推，直到全部赎回为止。部分顺延赎回不受单笔赎回最低份额的限制。</w:t>
      </w:r>
    </w:p>
    <w:p w:rsidR="00B8790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（3）巨额赎回的公告：当发生巨额赎回并顺延赎回时，基金管理人应在2日内通过</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及基金管理人的公司网站或</w:t>
      </w:r>
      <w:r w:rsidRPr="00621B7F" w:rsidR="001F2A17">
        <w:rPr>
          <w:rFonts w:asciiTheme="minorEastAsia" w:eastAsiaTheme="minorEastAsia" w:hAnsiTheme="minorEastAsia" w:hint="eastAsia"/>
          <w:color w:val="000000" w:themeColor="text1"/>
          <w:szCs w:val="21"/>
        </w:rPr>
        <w:t>销售</w:t>
      </w:r>
      <w:r w:rsidRPr="00621B7F">
        <w:rPr>
          <w:rFonts w:asciiTheme="minorEastAsia" w:eastAsiaTheme="minorEastAsia" w:hAnsiTheme="minorEastAsia" w:hint="eastAsia"/>
          <w:color w:val="000000" w:themeColor="text1"/>
          <w:szCs w:val="21"/>
        </w:rPr>
        <w:t>机构的网点刊登公告。同时以</w:t>
      </w:r>
      <w:r w:rsidRPr="00621B7F">
        <w:rPr>
          <w:rFonts w:asciiTheme="minorEastAsia" w:eastAsiaTheme="minorEastAsia" w:hAnsiTheme="minorEastAsia"/>
          <w:color w:val="000000" w:themeColor="text1"/>
          <w:szCs w:val="21"/>
        </w:rPr>
        <w:t>邮寄、传真</w:t>
      </w:r>
      <w:r w:rsidRPr="00621B7F">
        <w:rPr>
          <w:rFonts w:asciiTheme="minorEastAsia" w:eastAsiaTheme="minorEastAsia" w:hAnsiTheme="minorEastAsia" w:hint="eastAsia"/>
          <w:color w:val="000000" w:themeColor="text1"/>
          <w:szCs w:val="21"/>
        </w:rPr>
        <w:t>或《招募说明书》规定的其他方式</w:t>
      </w:r>
      <w:r w:rsidRPr="00621B7F">
        <w:rPr>
          <w:rFonts w:asciiTheme="minorEastAsia" w:eastAsiaTheme="minorEastAsia" w:hAnsiTheme="minorEastAsia"/>
          <w:color w:val="000000" w:themeColor="text1"/>
          <w:szCs w:val="21"/>
        </w:rPr>
        <w:t>通知基金份额持有人</w:t>
      </w:r>
      <w:r w:rsidRPr="00621B7F">
        <w:rPr>
          <w:rFonts w:asciiTheme="minorEastAsia" w:eastAsiaTheme="minorEastAsia" w:hAnsiTheme="minorEastAsia" w:hint="eastAsia"/>
          <w:color w:val="000000" w:themeColor="text1"/>
          <w:szCs w:val="21"/>
        </w:rPr>
        <w:t>，并说明有关处理方法。</w:t>
      </w:r>
    </w:p>
    <w:p w:rsidR="00FE5546"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（4）</w:t>
      </w:r>
      <w:r w:rsidRPr="00621B7F">
        <w:rPr>
          <w:rFonts w:asciiTheme="minorEastAsia" w:eastAsiaTheme="minorEastAsia" w:hAnsiTheme="minorEastAsia" w:hint="eastAsia"/>
          <w:color w:val="000000" w:themeColor="text1"/>
          <w:szCs w:val="21"/>
        </w:rPr>
        <w:t>本基金连续2个开放日以上发生巨额赎回，如基金管理人认为有必要，可暂停接受赎回申请；已经接受的赎回申请可以延缓支付赎回款项，但延缓期限不得超过20个工作日，并</w:t>
      </w:r>
      <w:r w:rsidRPr="00621B7F" w:rsidR="00BA0606">
        <w:rPr>
          <w:rFonts w:asciiTheme="minorEastAsia" w:eastAsiaTheme="minorEastAsia" w:hAnsiTheme="minorEastAsia" w:hint="eastAsia"/>
          <w:color w:val="000000" w:themeColor="text1"/>
          <w:szCs w:val="21"/>
        </w:rPr>
        <w:t>在2日内</w:t>
      </w:r>
      <w:r w:rsidRPr="00621B7F">
        <w:rPr>
          <w:rFonts w:asciiTheme="minorEastAsia" w:eastAsiaTheme="minorEastAsia" w:hAnsiTheme="minorEastAsia" w:hint="eastAsia"/>
          <w:color w:val="000000" w:themeColor="text1"/>
          <w:szCs w:val="21"/>
        </w:rPr>
        <w:t>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及基金管理人网站公告。</w:t>
      </w:r>
    </w:p>
    <w:p w:rsidR="004E1EB5"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02" w:name="_Toc91752041"/>
      <w:r w:rsidRPr="00621B7F">
        <w:rPr>
          <w:rFonts w:asciiTheme="minorEastAsia" w:eastAsiaTheme="minorEastAsia" w:hAnsiTheme="minorEastAsia" w:hint="eastAsia"/>
          <w:b w:val="0"/>
          <w:color w:val="000000" w:themeColor="text1"/>
        </w:rPr>
        <w:t>（</w:t>
      </w:r>
      <w:r w:rsidRPr="00621B7F" w:rsidR="00FE5546">
        <w:rPr>
          <w:rFonts w:asciiTheme="minorEastAsia" w:eastAsiaTheme="minorEastAsia" w:hAnsiTheme="minorEastAsia" w:hint="eastAsia"/>
          <w:b w:val="0"/>
          <w:color w:val="000000" w:themeColor="text1"/>
        </w:rPr>
        <w:t>十一</w:t>
      </w:r>
      <w:r w:rsidRPr="00621B7F">
        <w:rPr>
          <w:rFonts w:asciiTheme="minorEastAsia" w:eastAsiaTheme="minorEastAsia" w:hAnsiTheme="minorEastAsia" w:hint="eastAsia"/>
          <w:b w:val="0"/>
          <w:color w:val="000000" w:themeColor="text1"/>
        </w:rPr>
        <w:t>）</w:t>
      </w:r>
      <w:r w:rsidRPr="00621B7F" w:rsidR="000E16BA">
        <w:rPr>
          <w:rFonts w:asciiTheme="minorEastAsia" w:eastAsiaTheme="minorEastAsia" w:hAnsiTheme="minorEastAsia" w:hint="eastAsia"/>
          <w:b w:val="0"/>
          <w:bCs/>
          <w:color w:val="000000" w:themeColor="text1"/>
          <w:sz w:val="24"/>
        </w:rPr>
        <w:t>拒绝或暂停申购</w:t>
      </w:r>
      <w:r w:rsidRPr="00621B7F" w:rsidR="00AB21C7">
        <w:rPr>
          <w:rFonts w:asciiTheme="minorEastAsia" w:eastAsiaTheme="minorEastAsia" w:hAnsiTheme="minorEastAsia" w:hint="eastAsia"/>
          <w:b w:val="0"/>
          <w:bCs/>
          <w:color w:val="000000" w:themeColor="text1"/>
          <w:sz w:val="24"/>
        </w:rPr>
        <w:t>、赎回</w:t>
      </w:r>
      <w:r w:rsidRPr="00621B7F" w:rsidR="000E16BA">
        <w:rPr>
          <w:rFonts w:asciiTheme="minorEastAsia" w:eastAsiaTheme="minorEastAsia" w:hAnsiTheme="minorEastAsia" w:hint="eastAsia"/>
          <w:b w:val="0"/>
          <w:bCs/>
          <w:color w:val="000000" w:themeColor="text1"/>
          <w:sz w:val="24"/>
        </w:rPr>
        <w:t>的情形及处理方式</w:t>
      </w:r>
      <w:bookmarkEnd w:id="702"/>
    </w:p>
    <w:p w:rsidR="00FE5546"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1、除出现如下情形，基金管理人不得拒绝或暂停接受基金投资者的申购申请：</w:t>
      </w:r>
    </w:p>
    <w:p w:rsidR="00FE5546"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（1）不可抗力的原因导致基金无法正常运作；</w:t>
      </w:r>
    </w:p>
    <w:p w:rsidR="002A6470"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（2）证券交易场所在交易时间非正常停市或依法决定临时停市，导致当日基金资产净值无法计算；</w:t>
      </w:r>
    </w:p>
    <w:p w:rsidR="002A6470"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（3）基金资产规模过大，使基金管理人无法找到合适的投资品种，或可能对基金业绩产生负面影响，从而损害现有基金份额持有人的利益；</w:t>
      </w:r>
    </w:p>
    <w:p w:rsidR="002A6470"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（4）上证中盘ETF暂停申购、暂停上市或上证中盘ETF停牌；</w:t>
      </w:r>
    </w:p>
    <w:p w:rsidR="002A6470"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（5）发生基金合同规定的暂停基金资产估值的情况；</w:t>
      </w:r>
    </w:p>
    <w:p w:rsidR="002A6470"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（6）法律法规规定或中国证监会认定的其他情形；</w:t>
      </w:r>
    </w:p>
    <w:p w:rsidR="002A6470"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（7）基金管理人认为会有损于现有基金份额持有人利益的某笔申购。</w:t>
      </w:r>
    </w:p>
    <w:p w:rsidR="00B9552C" w:rsidRPr="00621B7F" w:rsidP="00B9552C">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8）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B9552C" w:rsidRPr="00621B7F" w:rsidP="00B9552C">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9）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发生上述情形之一</w:t>
      </w:r>
      <w:r w:rsidRPr="00621B7F" w:rsidR="00B9552C">
        <w:rPr>
          <w:rFonts w:asciiTheme="minorEastAsia" w:eastAsiaTheme="minorEastAsia" w:hAnsiTheme="minorEastAsia" w:hint="eastAsia"/>
          <w:color w:val="000000" w:themeColor="text1"/>
          <w:szCs w:val="21"/>
        </w:rPr>
        <w:t>且基金管理人决定暂停或拒绝基金投资者的申购申请</w:t>
      </w:r>
      <w:r w:rsidRPr="00621B7F">
        <w:rPr>
          <w:rFonts w:asciiTheme="minorEastAsia" w:eastAsiaTheme="minorEastAsia" w:hAnsiTheme="minorEastAsia" w:hint="eastAsia"/>
          <w:color w:val="000000" w:themeColor="text1"/>
          <w:szCs w:val="21"/>
        </w:rPr>
        <w:t>的，申购款项将全额退还投资者。发生上述（</w:t>
      </w:r>
      <w:r w:rsidRPr="00621B7F">
        <w:rPr>
          <w:rFonts w:asciiTheme="minorEastAsia" w:eastAsiaTheme="minorEastAsia" w:hAnsiTheme="minorEastAsia"/>
          <w:color w:val="000000" w:themeColor="text1"/>
          <w:szCs w:val="21"/>
        </w:rPr>
        <w:t>1</w:t>
      </w:r>
      <w:r w:rsidRPr="00621B7F">
        <w:rPr>
          <w:rFonts w:asciiTheme="minorEastAsia" w:eastAsiaTheme="minorEastAsia" w:hAnsiTheme="minorEastAsia" w:hint="eastAsia"/>
          <w:color w:val="000000" w:themeColor="text1"/>
          <w:szCs w:val="21"/>
        </w:rPr>
        <w:t>）到（</w:t>
      </w:r>
      <w:r w:rsidRPr="00621B7F" w:rsidR="002A6470">
        <w:rPr>
          <w:rFonts w:asciiTheme="minorEastAsia" w:eastAsiaTheme="minorEastAsia" w:hAnsiTheme="minorEastAsia" w:hint="eastAsia"/>
          <w:color w:val="000000" w:themeColor="text1"/>
          <w:szCs w:val="21"/>
        </w:rPr>
        <w:t>6</w:t>
      </w:r>
      <w:r w:rsidRPr="00621B7F">
        <w:rPr>
          <w:rFonts w:asciiTheme="minorEastAsia" w:eastAsiaTheme="minorEastAsia" w:hAnsiTheme="minorEastAsia" w:hint="eastAsia"/>
          <w:color w:val="000000" w:themeColor="text1"/>
          <w:szCs w:val="21"/>
        </w:rPr>
        <w:t>）项</w:t>
      </w:r>
      <w:r w:rsidRPr="00621B7F" w:rsidR="00B9552C">
        <w:rPr>
          <w:rFonts w:asciiTheme="minorEastAsia" w:eastAsiaTheme="minorEastAsia" w:hAnsiTheme="minorEastAsia" w:hint="eastAsia"/>
          <w:color w:val="000000" w:themeColor="text1"/>
          <w:szCs w:val="21"/>
        </w:rPr>
        <w:t>、（8）到（9）项</w:t>
      </w:r>
      <w:r w:rsidRPr="00621B7F">
        <w:rPr>
          <w:rFonts w:asciiTheme="minorEastAsia" w:eastAsiaTheme="minorEastAsia" w:hAnsiTheme="minorEastAsia" w:hint="eastAsia"/>
          <w:color w:val="000000" w:themeColor="text1"/>
          <w:szCs w:val="21"/>
        </w:rPr>
        <w:t>暂停申购情形时，基金管理人应当在至少一家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及基金管理人网站刊登暂停申购公告。</w:t>
      </w:r>
    </w:p>
    <w:p w:rsidR="00180A27"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基金管理人拒绝或暂停接受申购的方式包括：</w:t>
      </w:r>
    </w:p>
    <w:p w:rsidR="00FE5546"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（1）拒绝接受、暂停接受某笔或某数笔申购申请；</w:t>
      </w:r>
    </w:p>
    <w:p w:rsidR="00FE5546"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（2）拒绝接受、暂停接受某个或某数个工作日的全部申购申请；</w:t>
      </w:r>
    </w:p>
    <w:p w:rsidR="00FE5546"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（3）按比例拒绝接受、暂停接受某个或某数个工作日的申购申请。</w:t>
      </w:r>
    </w:p>
    <w:p w:rsidR="00FE5546"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w:t>
      </w:r>
      <w:r w:rsidRPr="00621B7F">
        <w:rPr>
          <w:rFonts w:asciiTheme="minorEastAsia" w:eastAsiaTheme="minorEastAsia" w:hAnsiTheme="minorEastAsia" w:hint="eastAsia"/>
          <w:color w:val="000000" w:themeColor="text1"/>
          <w:szCs w:val="21"/>
        </w:rPr>
        <w:t>除非出现如下情形，基金管理人不得拒绝接受或暂停基金份额持有人的赎回申请或者延缓支付赎回款项</w:t>
      </w:r>
      <w:r w:rsidRPr="00621B7F">
        <w:rPr>
          <w:rFonts w:asciiTheme="minorEastAsia" w:eastAsiaTheme="minorEastAsia" w:hAnsiTheme="minorEastAsia" w:hint="eastAsia"/>
          <w:color w:val="000000" w:themeColor="text1"/>
        </w:rPr>
        <w:t>：</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（1）不可抗力的原因导致基金管理人不能支付赎回款项；</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（2）证券交易场所在交易时间非正常停市或依法决定临时停市，导致基金管理人无法计算当日基金资产净值；</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（3）因市场剧烈波动或其他原因而出现连续2个或2个以上开放日巨额赎回，导致本基金的现金支付出现困难；</w:t>
      </w:r>
    </w:p>
    <w:p w:rsidR="00934C4B"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（4）上证中盘ETF暂停申购、暂停上市或上证中盘ETF停牌；</w:t>
      </w:r>
    </w:p>
    <w:p w:rsidR="00934C4B"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（5）发生基金合同规定的暂停基金资产估值的情况；</w:t>
      </w:r>
    </w:p>
    <w:p w:rsidR="00B9552C"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B9552C">
        <w:rPr>
          <w:rFonts w:asciiTheme="minorEastAsia" w:eastAsiaTheme="minorEastAsia" w:hAnsiTheme="minorEastAsia" w:hint="eastAsia"/>
          <w:color w:val="000000" w:themeColor="text1"/>
          <w:szCs w:val="21"/>
        </w:rPr>
        <w:t>7</w:t>
      </w:r>
      <w:r w:rsidRPr="00621B7F">
        <w:rPr>
          <w:rFonts w:asciiTheme="minorEastAsia" w:eastAsiaTheme="minorEastAsia" w:hAnsiTheme="minorEastAsia" w:hint="eastAsia"/>
          <w:color w:val="000000" w:themeColor="text1"/>
          <w:szCs w:val="21"/>
        </w:rPr>
        <w:t>）法律法规规定或中国证监会认定的其他情形。</w:t>
      </w:r>
    </w:p>
    <w:p w:rsidR="00FE5546"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同时，在出现上述第（</w:t>
      </w:r>
      <w:r w:rsidRPr="00621B7F">
        <w:rPr>
          <w:rFonts w:asciiTheme="minorEastAsia" w:eastAsiaTheme="minorEastAsia" w:hAnsiTheme="minorEastAsia"/>
          <w:color w:val="000000" w:themeColor="text1"/>
          <w:szCs w:val="21"/>
        </w:rPr>
        <w:t>3</w:t>
      </w:r>
      <w:r w:rsidRPr="00621B7F">
        <w:rPr>
          <w:rFonts w:asciiTheme="minorEastAsia" w:eastAsiaTheme="minorEastAsia" w:hAnsiTheme="minorEastAsia" w:hint="eastAsia"/>
          <w:color w:val="000000" w:themeColor="text1"/>
          <w:szCs w:val="21"/>
        </w:rPr>
        <w:t>）款的情形时，对已接受的赎回申请可延期支付赎回款项，但延缓期限不得超过20个工作日，并在至少一家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及基金管理人网站公告。投资者在申请赎回时可事先选择将当日可能未获受理部分予以撤销。</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暂停基金的赎回，基金管理人应及时在至少一家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及基金管理人网站上刊登暂停赎回公告。</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在暂停赎回的情况消除时，基金管理人应及时恢复赎回业务的办理，并依照有关规定在至少一家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及基金管理人网站上公告。</w:t>
      </w:r>
    </w:p>
    <w:p w:rsidR="00FE5546"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3、</w:t>
      </w:r>
      <w:r w:rsidRPr="00621B7F">
        <w:rPr>
          <w:rFonts w:asciiTheme="minorEastAsia" w:eastAsiaTheme="minorEastAsia" w:hAnsiTheme="minorEastAsia" w:hint="eastAsia"/>
          <w:color w:val="000000" w:themeColor="text1"/>
          <w:szCs w:val="21"/>
        </w:rPr>
        <w:t>重新开放申购或赎回的公告</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如果发生暂停的时间为一天，基金管理人应于重新开放日在至少一家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及基金管理人网站刊登基金重新开放申购或赎回的公告并公布最近一个工作日的</w:t>
      </w:r>
      <w:r w:rsidRPr="00621B7F">
        <w:rPr>
          <w:rFonts w:asciiTheme="minorEastAsia" w:eastAsiaTheme="minorEastAsia" w:hAnsiTheme="minorEastAsia" w:cs="宋体" w:hint="eastAsia"/>
          <w:color w:val="000000" w:themeColor="text1"/>
          <w:kern w:val="0"/>
          <w:szCs w:val="21"/>
        </w:rPr>
        <w:t>基金份额净值</w:t>
      </w:r>
      <w:r w:rsidRPr="00621B7F">
        <w:rPr>
          <w:rFonts w:asciiTheme="minorEastAsia" w:eastAsiaTheme="minorEastAsia" w:hAnsiTheme="minorEastAsia" w:hint="eastAsia"/>
          <w:color w:val="000000" w:themeColor="text1"/>
          <w:szCs w:val="21"/>
        </w:rPr>
        <w:t>。</w:t>
      </w:r>
    </w:p>
    <w:p w:rsidR="00FE554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如果发生暂停的时间超过一天但少于两周，暂停结束基金重新开放申购或赎回时，基金管理人应按照《信息披露办法》或其他相关规定于重新开放申购或赎回日前在至少一家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及基金管理人网站刊登基金重新开放申购或赎回的公告，并在重新开始办理申购或赎回的开放日公告最近一个工作日的</w:t>
      </w:r>
      <w:r w:rsidRPr="00621B7F">
        <w:rPr>
          <w:rFonts w:asciiTheme="minorEastAsia" w:eastAsiaTheme="minorEastAsia" w:hAnsiTheme="minorEastAsia" w:cs="宋体" w:hint="eastAsia"/>
          <w:color w:val="000000" w:themeColor="text1"/>
          <w:kern w:val="0"/>
          <w:szCs w:val="21"/>
        </w:rPr>
        <w:t>基金份额净值</w:t>
      </w:r>
      <w:r w:rsidRPr="00621B7F">
        <w:rPr>
          <w:rFonts w:asciiTheme="minorEastAsia" w:eastAsiaTheme="minorEastAsia" w:hAnsiTheme="minorEastAsia" w:hint="eastAsia"/>
          <w:color w:val="000000" w:themeColor="text1"/>
          <w:szCs w:val="21"/>
        </w:rPr>
        <w:t>。</w:t>
      </w:r>
    </w:p>
    <w:p w:rsidR="00BB21AF" w:rsidRPr="00621B7F" w:rsidP="00241F10">
      <w:pPr>
        <w:snapToGrid w:val="0"/>
        <w:spacing w:line="360" w:lineRule="auto"/>
        <w:ind w:firstLine="420" w:firstLineChars="200"/>
        <w:rPr>
          <w:rFonts w:asciiTheme="minorEastAsia" w:eastAsiaTheme="minorEastAsia" w:hAnsiTheme="minorEastAsia"/>
          <w:color w:val="000000" w:themeColor="text1"/>
          <w:szCs w:val="21"/>
        </w:rPr>
        <w:sectPr w:rsidSect="006B7524">
          <w:pgSz w:w="11907" w:h="16840" w:code="9"/>
          <w:pgMar w:top="1440" w:right="1800" w:bottom="1440" w:left="1800" w:header="1134" w:footer="1247" w:gutter="0"/>
          <w:cols w:space="425"/>
          <w:docGrid w:type="lines" w:linePitch="312"/>
        </w:sectPr>
      </w:pPr>
      <w:r w:rsidRPr="00621B7F">
        <w:rPr>
          <w:rFonts w:asciiTheme="minorEastAsia" w:eastAsiaTheme="minorEastAsia" w:hAnsiTheme="minorEastAsia" w:hint="eastAsia"/>
          <w:color w:val="000000" w:themeColor="text1"/>
          <w:szCs w:val="21"/>
        </w:rPr>
        <w:t>如果发生暂停的时间超过两周，暂停期间，基金管理人应每两周至少重复刊登暂停公告一次。暂停结束基金重新开放申购或赎回时，基金管理人应按照《信息披露办法》或其他相关规定提前在至少一家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及基金管理人网站刊登基金重新开放申购或赎回的公告，并在重新开放申购或赎回日公告最近一个</w:t>
      </w:r>
      <w:r w:rsidRPr="00621B7F">
        <w:rPr>
          <w:rFonts w:asciiTheme="minorEastAsia" w:eastAsiaTheme="minorEastAsia" w:hAnsiTheme="minorEastAsia" w:cs="宋体" w:hint="eastAsia"/>
          <w:color w:val="000000" w:themeColor="text1"/>
          <w:kern w:val="0"/>
          <w:szCs w:val="21"/>
        </w:rPr>
        <w:t>工作日</w:t>
      </w:r>
      <w:r w:rsidRPr="00621B7F">
        <w:rPr>
          <w:rFonts w:asciiTheme="minorEastAsia" w:eastAsiaTheme="minorEastAsia" w:hAnsiTheme="minorEastAsia" w:hint="eastAsia"/>
          <w:color w:val="000000" w:themeColor="text1"/>
          <w:szCs w:val="21"/>
        </w:rPr>
        <w:t>的</w:t>
      </w:r>
      <w:r w:rsidRPr="00621B7F">
        <w:rPr>
          <w:rFonts w:asciiTheme="minorEastAsia" w:eastAsiaTheme="minorEastAsia" w:hAnsiTheme="minorEastAsia" w:cs="宋体" w:hint="eastAsia"/>
          <w:color w:val="000000" w:themeColor="text1"/>
          <w:kern w:val="0"/>
          <w:szCs w:val="21"/>
        </w:rPr>
        <w:t>基金份额净值</w:t>
      </w:r>
      <w:r w:rsidRPr="00621B7F">
        <w:rPr>
          <w:rFonts w:asciiTheme="minorEastAsia" w:eastAsiaTheme="minorEastAsia" w:hAnsiTheme="minorEastAsia" w:hint="eastAsia"/>
          <w:color w:val="000000" w:themeColor="text1"/>
          <w:szCs w:val="21"/>
        </w:rPr>
        <w:t>。</w:t>
      </w:r>
    </w:p>
    <w:p w:rsidR="00266A27" w:rsidRPr="00621B7F" w:rsidP="00A32B85">
      <w:pPr>
        <w:pStyle w:val="Heading1"/>
        <w:pageBreakBefore/>
        <w:widowControl/>
        <w:snapToGrid w:val="0"/>
        <w:spacing w:beforeLines="0" w:afterLines="0" w:line="360" w:lineRule="auto"/>
        <w:ind w:firstLine="0" w:firstLineChars="0"/>
        <w:rPr>
          <w:rFonts w:asciiTheme="minorEastAsia" w:eastAsiaTheme="minorEastAsia" w:hAnsiTheme="minorEastAsia"/>
          <w:color w:val="000000" w:themeColor="text1"/>
        </w:rPr>
      </w:pPr>
      <w:bookmarkStart w:id="703" w:name="_Toc236639827"/>
      <w:bookmarkStart w:id="704" w:name="_Toc236640272"/>
      <w:bookmarkStart w:id="705" w:name="_Toc236640728"/>
      <w:bookmarkStart w:id="706" w:name="_Toc236641051"/>
      <w:bookmarkStart w:id="707" w:name="_Toc91334992"/>
      <w:bookmarkStart w:id="708" w:name="_Toc91752042"/>
      <w:bookmarkEnd w:id="703"/>
      <w:bookmarkEnd w:id="704"/>
      <w:bookmarkEnd w:id="705"/>
      <w:bookmarkEnd w:id="706"/>
      <w:r w:rsidRPr="00621B7F">
        <w:rPr>
          <w:rFonts w:asciiTheme="minorEastAsia" w:eastAsiaTheme="minorEastAsia" w:hAnsiTheme="minorEastAsia" w:hint="eastAsia"/>
          <w:color w:val="000000" w:themeColor="text1"/>
        </w:rPr>
        <w:t>九、基金转换</w:t>
      </w:r>
      <w:bookmarkEnd w:id="707"/>
      <w:bookmarkEnd w:id="708"/>
    </w:p>
    <w:p w:rsidR="00E91D13" w:rsidRPr="00621B7F" w:rsidP="00A32B85">
      <w:pPr>
        <w:pStyle w:val="Heading2"/>
        <w:snapToGrid w:val="0"/>
        <w:spacing w:beforeLines="0" w:afterLines="0" w:line="360" w:lineRule="auto"/>
        <w:ind w:firstLine="562"/>
        <w:rPr>
          <w:rFonts w:asciiTheme="minorEastAsia" w:eastAsiaTheme="minorEastAsia" w:hAnsiTheme="minorEastAsia"/>
          <w:color w:val="000000" w:themeColor="text1"/>
        </w:rPr>
      </w:pPr>
      <w:bookmarkStart w:id="709" w:name="_Toc198959616"/>
      <w:bookmarkStart w:id="710" w:name="_Toc229996707"/>
      <w:bookmarkStart w:id="711" w:name="_Toc245693553"/>
      <w:bookmarkStart w:id="712" w:name="_Toc258398101"/>
      <w:bookmarkStart w:id="713" w:name="_Toc264906008"/>
      <w:bookmarkStart w:id="714" w:name="_Toc91752043"/>
      <w:r w:rsidRPr="00621B7F">
        <w:rPr>
          <w:rFonts w:asciiTheme="minorEastAsia" w:eastAsiaTheme="minorEastAsia" w:hAnsiTheme="minorEastAsia" w:hint="eastAsia"/>
          <w:color w:val="000000" w:themeColor="text1"/>
        </w:rPr>
        <w:t>（一）</w:t>
      </w:r>
      <w:r w:rsidRPr="00621B7F">
        <w:rPr>
          <w:rFonts w:asciiTheme="minorEastAsia" w:eastAsiaTheme="minorEastAsia" w:hAnsiTheme="minorEastAsia"/>
          <w:color w:val="000000" w:themeColor="text1"/>
        </w:rPr>
        <w:t>基金转换开始日及</w:t>
      </w:r>
      <w:r w:rsidRPr="00621B7F">
        <w:rPr>
          <w:rFonts w:asciiTheme="minorEastAsia" w:eastAsiaTheme="minorEastAsia" w:hAnsiTheme="minorEastAsia" w:hint="eastAsia"/>
          <w:color w:val="000000" w:themeColor="text1"/>
        </w:rPr>
        <w:t>时间</w:t>
      </w:r>
      <w:bookmarkEnd w:id="709"/>
      <w:bookmarkEnd w:id="710"/>
      <w:bookmarkEnd w:id="711"/>
      <w:bookmarkEnd w:id="712"/>
      <w:bookmarkEnd w:id="713"/>
      <w:bookmarkEnd w:id="714"/>
    </w:p>
    <w:p w:rsidR="00E91D13" w:rsidRPr="00621B7F" w:rsidP="00241F10">
      <w:pPr>
        <w:widowControl/>
        <w:snapToGrid w:val="0"/>
        <w:spacing w:line="360" w:lineRule="auto"/>
        <w:ind w:firstLine="420" w:firstLineChars="200"/>
        <w:jc w:val="left"/>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本基金</w:t>
      </w:r>
      <w:r w:rsidRPr="00621B7F" w:rsidR="00EA4099">
        <w:rPr>
          <w:rFonts w:asciiTheme="minorEastAsia" w:eastAsiaTheme="minorEastAsia" w:hAnsiTheme="minorEastAsia" w:hint="eastAsia"/>
          <w:color w:val="000000" w:themeColor="text1"/>
        </w:rPr>
        <w:t>A</w:t>
      </w:r>
      <w:r w:rsidRPr="00621B7F" w:rsidR="00EA4099">
        <w:rPr>
          <w:rFonts w:asciiTheme="minorEastAsia" w:eastAsiaTheme="minorEastAsia" w:hAnsiTheme="minorEastAsia"/>
          <w:color w:val="000000" w:themeColor="text1"/>
        </w:rPr>
        <w:t>类基金份额</w:t>
      </w:r>
      <w:r w:rsidRPr="00621B7F">
        <w:rPr>
          <w:rFonts w:asciiTheme="minorEastAsia" w:eastAsiaTheme="minorEastAsia" w:hAnsiTheme="minorEastAsia" w:hint="eastAsia"/>
          <w:color w:val="000000" w:themeColor="text1"/>
        </w:rPr>
        <w:t>已于2010年5月24日开始办理转换业务</w:t>
      </w:r>
      <w:r w:rsidRPr="00621B7F">
        <w:rPr>
          <w:rFonts w:asciiTheme="minorEastAsia" w:eastAsiaTheme="minorEastAsia" w:hAnsiTheme="minorEastAsia" w:hint="eastAsia"/>
          <w:color w:val="000000" w:themeColor="text1"/>
          <w:szCs w:val="21"/>
        </w:rPr>
        <w:t>，</w:t>
      </w:r>
      <w:r w:rsidRPr="00621B7F" w:rsidR="00EA4099">
        <w:rPr>
          <w:rFonts w:asciiTheme="minorEastAsia" w:eastAsiaTheme="minorEastAsia" w:hAnsiTheme="minorEastAsia" w:hint="eastAsia"/>
          <w:color w:val="000000" w:themeColor="text1"/>
        </w:rPr>
        <w:t>本基金</w:t>
      </w:r>
      <w:r w:rsidRPr="00621B7F" w:rsidR="00EA4099">
        <w:rPr>
          <w:rFonts w:asciiTheme="minorEastAsia" w:eastAsiaTheme="minorEastAsia" w:hAnsiTheme="minorEastAsia"/>
          <w:color w:val="000000" w:themeColor="text1"/>
        </w:rPr>
        <w:t>C类基金份额</w:t>
      </w:r>
      <w:r w:rsidRPr="00621B7F" w:rsidR="00EA4099">
        <w:rPr>
          <w:rFonts w:asciiTheme="minorEastAsia" w:eastAsiaTheme="minorEastAsia" w:hAnsiTheme="minorEastAsia" w:hint="eastAsia"/>
          <w:color w:val="000000" w:themeColor="text1"/>
        </w:rPr>
        <w:t>已于201</w:t>
      </w:r>
      <w:r w:rsidRPr="00621B7F" w:rsidR="00EA4099">
        <w:rPr>
          <w:rFonts w:asciiTheme="minorEastAsia" w:eastAsiaTheme="minorEastAsia" w:hAnsiTheme="minorEastAsia"/>
          <w:color w:val="000000" w:themeColor="text1"/>
        </w:rPr>
        <w:t>7</w:t>
      </w:r>
      <w:r w:rsidRPr="00621B7F" w:rsidR="00EA4099">
        <w:rPr>
          <w:rFonts w:asciiTheme="minorEastAsia" w:eastAsiaTheme="minorEastAsia" w:hAnsiTheme="minorEastAsia" w:hint="eastAsia"/>
          <w:color w:val="000000" w:themeColor="text1"/>
        </w:rPr>
        <w:t>年</w:t>
      </w:r>
      <w:r w:rsidRPr="00621B7F" w:rsidR="00EA4099">
        <w:rPr>
          <w:rFonts w:asciiTheme="minorEastAsia" w:eastAsiaTheme="minorEastAsia" w:hAnsiTheme="minorEastAsia"/>
          <w:color w:val="000000" w:themeColor="text1"/>
        </w:rPr>
        <w:t>6</w:t>
      </w:r>
      <w:r w:rsidRPr="00621B7F" w:rsidR="00EA4099">
        <w:rPr>
          <w:rFonts w:asciiTheme="minorEastAsia" w:eastAsiaTheme="minorEastAsia" w:hAnsiTheme="minorEastAsia" w:hint="eastAsia"/>
          <w:color w:val="000000" w:themeColor="text1"/>
        </w:rPr>
        <w:t>月2日开始办理转换业务</w:t>
      </w:r>
      <w:r w:rsidRPr="00621B7F">
        <w:rPr>
          <w:rFonts w:asciiTheme="minorEastAsia" w:eastAsiaTheme="minorEastAsia" w:hAnsiTheme="minorEastAsia" w:hint="eastAsia"/>
          <w:color w:val="000000" w:themeColor="text1"/>
          <w:szCs w:val="21"/>
        </w:rPr>
        <w:t>。</w:t>
      </w:r>
    </w:p>
    <w:p w:rsidR="00E91D13" w:rsidRPr="00621B7F" w:rsidP="00241F10">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621B7F">
        <w:rPr>
          <w:rFonts w:asciiTheme="minorEastAsia" w:eastAsiaTheme="minorEastAsia" w:hAnsiTheme="minorEastAsia" w:hint="eastAsia"/>
          <w:color w:val="000000" w:themeColor="text1"/>
          <w:szCs w:val="21"/>
        </w:rPr>
        <w:t>本基金转换业务的开放日为上海证券交易所和深圳证券交易所同时开放交易的工作日（基金管理人根据法律法规或基金合同的规定公告暂停转换时除外）。开放日的具体业务办理时间为上海证券交易所、深圳证券交易所交易日的交易时间。若出现新的证券交易市场或交易所交易时间更改或其它原因，基金管理人将根据法律法规和基金合同规定的原则视情况进行相应的调整并按照《信息披露办法》或其他相关规定在实施日前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公告。</w:t>
      </w:r>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投资者需在转出基金和转入基金均有交易的当日，方可办理基金转换业务。</w:t>
      </w:r>
    </w:p>
    <w:p w:rsidR="00E91D13" w:rsidRPr="00621B7F" w:rsidP="00A32B85">
      <w:pPr>
        <w:pStyle w:val="Heading2"/>
        <w:snapToGrid w:val="0"/>
        <w:spacing w:beforeLines="0" w:afterLines="0" w:line="360" w:lineRule="auto"/>
        <w:ind w:firstLine="562"/>
        <w:rPr>
          <w:rFonts w:asciiTheme="minorEastAsia" w:eastAsiaTheme="minorEastAsia" w:hAnsiTheme="minorEastAsia"/>
          <w:color w:val="000000" w:themeColor="text1"/>
        </w:rPr>
      </w:pPr>
      <w:bookmarkStart w:id="715" w:name="_Toc198959617"/>
      <w:bookmarkStart w:id="716" w:name="_Toc229996708"/>
      <w:bookmarkStart w:id="717" w:name="_Toc245693554"/>
      <w:bookmarkStart w:id="718" w:name="_Toc258398102"/>
      <w:bookmarkStart w:id="719" w:name="_Toc264906009"/>
      <w:bookmarkStart w:id="720" w:name="_Toc91752044"/>
      <w:r w:rsidRPr="00621B7F">
        <w:rPr>
          <w:rFonts w:asciiTheme="minorEastAsia" w:eastAsiaTheme="minorEastAsia" w:hAnsiTheme="minorEastAsia" w:hint="eastAsia"/>
          <w:color w:val="000000" w:themeColor="text1"/>
        </w:rPr>
        <w:t>（二）</w:t>
      </w:r>
      <w:r w:rsidRPr="00621B7F">
        <w:rPr>
          <w:rFonts w:asciiTheme="minorEastAsia" w:eastAsiaTheme="minorEastAsia" w:hAnsiTheme="minorEastAsia"/>
          <w:color w:val="000000" w:themeColor="text1"/>
        </w:rPr>
        <w:t>基金转换的原则</w:t>
      </w:r>
      <w:bookmarkEnd w:id="715"/>
      <w:bookmarkEnd w:id="716"/>
      <w:bookmarkEnd w:id="717"/>
      <w:bookmarkEnd w:id="718"/>
      <w:bookmarkEnd w:id="719"/>
      <w:bookmarkEnd w:id="720"/>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w:t>
      </w:r>
      <w:r w:rsidRPr="00621B7F" w:rsidR="00241F10">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kern w:val="0"/>
          <w:szCs w:val="21"/>
        </w:rPr>
        <w:t>基金转换以份额为单位进行申请。投资者可以发起多次基金转换业务，基金转换费用按每笔申请单独计算。转换费用以人民币元为单位，计算结果按照四舍五入方法，保留小数点后两位。</w:t>
      </w:r>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2、当日的转换申请可以在当日交易结束时间前撤销，在当日的交易时间结束后不得撤销。</w:t>
      </w:r>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3</w:t>
      </w:r>
      <w:r w:rsidRPr="00621B7F" w:rsidR="00241F10">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kern w:val="0"/>
          <w:szCs w:val="21"/>
        </w:rPr>
        <w:t>基金转换采取未知价法，即基金的转换价格以转换申请受理当日各转出、转入基金的份额净值为基准进行计算。</w:t>
      </w:r>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4</w:t>
      </w:r>
      <w:r w:rsidRPr="00621B7F" w:rsidR="00241F10">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kern w:val="0"/>
          <w:szCs w:val="21"/>
        </w:rPr>
        <w:t>基金转换只能在同一销售机构进行。转换的两只基金必须都是该销售机构</w:t>
      </w:r>
      <w:r w:rsidRPr="00621B7F" w:rsidR="001F2A17">
        <w:rPr>
          <w:rFonts w:asciiTheme="minorEastAsia" w:eastAsiaTheme="minorEastAsia" w:hAnsiTheme="minorEastAsia" w:hint="eastAsia"/>
          <w:color w:val="000000" w:themeColor="text1"/>
          <w:kern w:val="0"/>
          <w:szCs w:val="21"/>
        </w:rPr>
        <w:t>销售</w:t>
      </w:r>
      <w:r w:rsidRPr="00621B7F">
        <w:rPr>
          <w:rFonts w:asciiTheme="minorEastAsia" w:eastAsiaTheme="minorEastAsia" w:hAnsiTheme="minorEastAsia" w:hint="eastAsia"/>
          <w:color w:val="000000" w:themeColor="text1"/>
          <w:kern w:val="0"/>
          <w:szCs w:val="21"/>
        </w:rPr>
        <w:t>的同一基金管理人管理的、在同一注册登记机构注册登记的基金。</w:t>
      </w:r>
    </w:p>
    <w:p w:rsidR="00E91D13"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5</w:t>
      </w:r>
      <w:r w:rsidRPr="00621B7F" w:rsidR="00241F10">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kern w:val="0"/>
          <w:szCs w:val="21"/>
        </w:rPr>
        <w:t>投资者办理基金转换业务时，转出方的基金必须处于可赎回状态，转入方的基金必须处于可申购状态。</w:t>
      </w:r>
    </w:p>
    <w:p w:rsidR="00E91D13" w:rsidRPr="00621B7F" w:rsidP="00241F10">
      <w:pPr>
        <w:pStyle w:val="NormalIndent"/>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6</w:t>
      </w:r>
      <w:r w:rsidRPr="00621B7F" w:rsidR="00241F10">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kern w:val="0"/>
          <w:szCs w:val="21"/>
        </w:rPr>
        <w:t>转换业务遵循“先进先出”的业务规则，即份额注册日期在前的先转换出，份额注册日期在后的后转换出，如果转换申请当日，同时有赎回申请的情况下，则遵循先赎回后转换的处理原则。</w:t>
      </w:r>
    </w:p>
    <w:p w:rsidR="00E91D13" w:rsidRPr="00621B7F" w:rsidP="00241F10">
      <w:pPr>
        <w:pStyle w:val="NormalIndent"/>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kern w:val="0"/>
          <w:szCs w:val="21"/>
        </w:rPr>
        <w:t>7、基金份额在转换后，</w:t>
      </w:r>
      <w:r w:rsidRPr="00621B7F">
        <w:rPr>
          <w:rFonts w:asciiTheme="minorEastAsia" w:eastAsiaTheme="minorEastAsia" w:hAnsiTheme="minorEastAsia"/>
          <w:color w:val="000000" w:themeColor="text1"/>
        </w:rPr>
        <w:t>转入的基金份额的持有期将自转入的基金份额被确认之日起重新开始计算。</w:t>
      </w:r>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基金管理人可在不损害基金份额持有人权益的情况下更改上述原则，</w:t>
      </w:r>
      <w:r w:rsidRPr="00621B7F">
        <w:rPr>
          <w:rFonts w:asciiTheme="minorEastAsia" w:eastAsiaTheme="minorEastAsia" w:hAnsiTheme="minorEastAsia" w:hint="eastAsia"/>
          <w:color w:val="000000" w:themeColor="text1"/>
          <w:kern w:val="0"/>
          <w:szCs w:val="21"/>
        </w:rPr>
        <w:t>但应在调整生效前在至少一种中国证监会指定的媒体上予以公告。</w:t>
      </w:r>
    </w:p>
    <w:p w:rsidR="00E91D13" w:rsidRPr="00621B7F" w:rsidP="00A32B85">
      <w:pPr>
        <w:pStyle w:val="Heading2"/>
        <w:snapToGrid w:val="0"/>
        <w:spacing w:beforeLines="0" w:afterLines="0" w:line="360" w:lineRule="auto"/>
        <w:ind w:firstLine="562"/>
        <w:rPr>
          <w:rFonts w:asciiTheme="minorEastAsia" w:eastAsiaTheme="minorEastAsia" w:hAnsiTheme="minorEastAsia"/>
          <w:color w:val="000000" w:themeColor="text1"/>
        </w:rPr>
      </w:pPr>
      <w:bookmarkStart w:id="721" w:name="_Toc198959618"/>
      <w:bookmarkStart w:id="722" w:name="_Toc229996709"/>
      <w:bookmarkStart w:id="723" w:name="_Toc245693555"/>
      <w:bookmarkStart w:id="724" w:name="_Toc258398103"/>
      <w:bookmarkStart w:id="725" w:name="_Toc264906010"/>
      <w:bookmarkStart w:id="726" w:name="_Toc91752045"/>
      <w:r w:rsidRPr="00621B7F">
        <w:rPr>
          <w:rFonts w:asciiTheme="minorEastAsia" w:eastAsiaTheme="minorEastAsia" w:hAnsiTheme="minorEastAsia" w:hint="eastAsia"/>
          <w:color w:val="000000" w:themeColor="text1"/>
        </w:rPr>
        <w:t>（三）基金转换的程序</w:t>
      </w:r>
      <w:bookmarkEnd w:id="721"/>
      <w:bookmarkEnd w:id="722"/>
      <w:bookmarkEnd w:id="723"/>
      <w:bookmarkEnd w:id="724"/>
      <w:bookmarkEnd w:id="725"/>
      <w:bookmarkEnd w:id="726"/>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1、基金转换的申请方式</w:t>
      </w:r>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基金投资者必须根据基金管理人和基金</w:t>
      </w:r>
      <w:r w:rsidRPr="00621B7F" w:rsidR="001F2A17">
        <w:rPr>
          <w:rFonts w:asciiTheme="minorEastAsia" w:eastAsiaTheme="minorEastAsia" w:hAnsiTheme="minorEastAsia" w:hint="eastAsia"/>
          <w:color w:val="000000" w:themeColor="text1"/>
        </w:rPr>
        <w:t>销售</w:t>
      </w:r>
      <w:r w:rsidRPr="00621B7F">
        <w:rPr>
          <w:rFonts w:asciiTheme="minorEastAsia" w:eastAsiaTheme="minorEastAsia" w:hAnsiTheme="minorEastAsia" w:hint="eastAsia"/>
          <w:color w:val="000000" w:themeColor="text1"/>
        </w:rPr>
        <w:t>机构规定的手续，在开放日的业务办理时间提出转换的申请。</w:t>
      </w:r>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提交基金转换申请时，账户中必须有足够可用的转出基金份额余额。</w:t>
      </w:r>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2、基金转换申请的确认</w:t>
      </w:r>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正常情况下，基金管理人以在规定的基金业务办理时间段内收到基金转换申请的当天作为基金转换的申请日（T日），并在T+1工作日对该交易的有效性进行确认。投资者可在T+2工作日及之后查询成交情况。</w:t>
      </w:r>
    </w:p>
    <w:p w:rsidR="00E91D13" w:rsidRPr="00621B7F" w:rsidP="00A32B85">
      <w:pPr>
        <w:pStyle w:val="Heading2"/>
        <w:snapToGrid w:val="0"/>
        <w:spacing w:beforeLines="0" w:afterLines="0" w:line="360" w:lineRule="auto"/>
        <w:ind w:firstLine="562"/>
        <w:rPr>
          <w:rFonts w:asciiTheme="minorEastAsia" w:eastAsiaTheme="minorEastAsia" w:hAnsiTheme="minorEastAsia"/>
          <w:color w:val="000000" w:themeColor="text1"/>
        </w:rPr>
      </w:pPr>
      <w:bookmarkStart w:id="727" w:name="_Toc198959619"/>
      <w:bookmarkStart w:id="728" w:name="_Toc229996710"/>
      <w:bookmarkStart w:id="729" w:name="_Toc245693556"/>
      <w:bookmarkStart w:id="730" w:name="_Toc258398104"/>
      <w:bookmarkStart w:id="731" w:name="_Toc264906011"/>
      <w:bookmarkStart w:id="732" w:name="_Toc91752046"/>
      <w:r w:rsidRPr="00621B7F">
        <w:rPr>
          <w:rFonts w:asciiTheme="minorEastAsia" w:eastAsiaTheme="minorEastAsia" w:hAnsiTheme="minorEastAsia" w:hint="eastAsia"/>
          <w:color w:val="000000" w:themeColor="text1"/>
        </w:rPr>
        <w:t>（四）基金转换的数额限制</w:t>
      </w:r>
      <w:bookmarkEnd w:id="727"/>
      <w:bookmarkEnd w:id="728"/>
      <w:bookmarkEnd w:id="729"/>
      <w:bookmarkEnd w:id="730"/>
      <w:bookmarkEnd w:id="731"/>
      <w:bookmarkEnd w:id="732"/>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cs="宋体"/>
          <w:color w:val="000000" w:themeColor="text1"/>
          <w:kern w:val="0"/>
          <w:szCs w:val="21"/>
        </w:rPr>
        <w:t>基金份额持有人可将其全部或部分基金份额转换成另一只基金，</w:t>
      </w:r>
      <w:r w:rsidRPr="00621B7F" w:rsidR="004C0465">
        <w:rPr>
          <w:rFonts w:asciiTheme="minorEastAsia" w:eastAsiaTheme="minorEastAsia" w:hAnsiTheme="minorEastAsia" w:cs="宋体"/>
          <w:color w:val="000000" w:themeColor="text1"/>
          <w:kern w:val="0"/>
          <w:szCs w:val="21"/>
        </w:rPr>
        <w:t>本基金</w:t>
      </w:r>
      <w:r w:rsidRPr="00621B7F" w:rsidR="00EA4099">
        <w:rPr>
          <w:rFonts w:asciiTheme="minorEastAsia" w:eastAsiaTheme="minorEastAsia" w:hAnsiTheme="minorEastAsia" w:cs="宋体" w:hint="eastAsia"/>
          <w:color w:val="000000" w:themeColor="text1"/>
          <w:kern w:val="0"/>
          <w:szCs w:val="21"/>
        </w:rPr>
        <w:t>每类基金份额</w:t>
      </w:r>
      <w:r w:rsidRPr="00621B7F" w:rsidR="00D4530C">
        <w:rPr>
          <w:rFonts w:asciiTheme="minorEastAsia" w:eastAsiaTheme="minorEastAsia" w:hAnsiTheme="minorEastAsia" w:cs="宋体" w:hint="eastAsia"/>
          <w:color w:val="000000" w:themeColor="text1"/>
          <w:kern w:val="0"/>
          <w:szCs w:val="21"/>
        </w:rPr>
        <w:t>单笔</w:t>
      </w:r>
      <w:r w:rsidRPr="00621B7F" w:rsidR="004C0465">
        <w:rPr>
          <w:rFonts w:asciiTheme="minorEastAsia" w:eastAsiaTheme="minorEastAsia" w:hAnsiTheme="minorEastAsia" w:cs="宋体"/>
          <w:color w:val="000000" w:themeColor="text1"/>
          <w:kern w:val="0"/>
          <w:szCs w:val="21"/>
        </w:rPr>
        <w:t>转出申请不得少于</w:t>
      </w:r>
      <w:r w:rsidRPr="00621B7F" w:rsidR="00253179">
        <w:rPr>
          <w:rFonts w:asciiTheme="minorEastAsia" w:eastAsiaTheme="minorEastAsia" w:hAnsiTheme="minorEastAsia" w:cs="宋体" w:hint="eastAsia"/>
          <w:color w:val="000000" w:themeColor="text1"/>
          <w:kern w:val="0"/>
          <w:szCs w:val="21"/>
        </w:rPr>
        <w:t>1</w:t>
      </w:r>
      <w:r w:rsidRPr="00621B7F" w:rsidR="004C0465">
        <w:rPr>
          <w:rFonts w:asciiTheme="minorEastAsia" w:eastAsiaTheme="minorEastAsia" w:hAnsiTheme="minorEastAsia" w:cs="宋体"/>
          <w:color w:val="000000" w:themeColor="text1"/>
          <w:kern w:val="0"/>
          <w:szCs w:val="21"/>
        </w:rPr>
        <w:t>份（如该账户在该销售机构托管的该</w:t>
      </w:r>
      <w:r w:rsidRPr="00621B7F" w:rsidR="00EA4099">
        <w:rPr>
          <w:rFonts w:asciiTheme="minorEastAsia" w:eastAsiaTheme="minorEastAsia" w:hAnsiTheme="minorEastAsia" w:cs="宋体" w:hint="eastAsia"/>
          <w:color w:val="000000" w:themeColor="text1"/>
          <w:kern w:val="0"/>
          <w:szCs w:val="21"/>
        </w:rPr>
        <w:t>类</w:t>
      </w:r>
      <w:r w:rsidRPr="00621B7F" w:rsidR="004C0465">
        <w:rPr>
          <w:rFonts w:asciiTheme="minorEastAsia" w:eastAsiaTheme="minorEastAsia" w:hAnsiTheme="minorEastAsia" w:cs="宋体"/>
          <w:color w:val="000000" w:themeColor="text1"/>
          <w:kern w:val="0"/>
          <w:szCs w:val="21"/>
        </w:rPr>
        <w:t>基金余额不足</w:t>
      </w:r>
      <w:r w:rsidRPr="00621B7F" w:rsidR="00253179">
        <w:rPr>
          <w:rFonts w:asciiTheme="minorEastAsia" w:eastAsiaTheme="minorEastAsia" w:hAnsiTheme="minorEastAsia" w:cs="宋体" w:hint="eastAsia"/>
          <w:color w:val="000000" w:themeColor="text1"/>
          <w:kern w:val="0"/>
          <w:szCs w:val="21"/>
        </w:rPr>
        <w:t>1</w:t>
      </w:r>
      <w:r w:rsidRPr="00621B7F" w:rsidR="004C0465">
        <w:rPr>
          <w:rFonts w:asciiTheme="minorEastAsia" w:eastAsiaTheme="minorEastAsia" w:hAnsiTheme="minorEastAsia" w:cs="宋体"/>
          <w:color w:val="000000" w:themeColor="text1"/>
          <w:kern w:val="0"/>
          <w:szCs w:val="21"/>
        </w:rPr>
        <w:t>份，则必须一次性赎回或转出该</w:t>
      </w:r>
      <w:r w:rsidRPr="00621B7F" w:rsidR="00EA4099">
        <w:rPr>
          <w:rFonts w:asciiTheme="minorEastAsia" w:eastAsiaTheme="minorEastAsia" w:hAnsiTheme="minorEastAsia" w:cs="宋体" w:hint="eastAsia"/>
          <w:color w:val="000000" w:themeColor="text1"/>
          <w:kern w:val="0"/>
          <w:szCs w:val="21"/>
        </w:rPr>
        <w:t>类</w:t>
      </w:r>
      <w:r w:rsidRPr="00621B7F" w:rsidR="004C0465">
        <w:rPr>
          <w:rFonts w:asciiTheme="minorEastAsia" w:eastAsiaTheme="minorEastAsia" w:hAnsiTheme="minorEastAsia" w:cs="宋体"/>
          <w:color w:val="000000" w:themeColor="text1"/>
          <w:kern w:val="0"/>
          <w:szCs w:val="21"/>
        </w:rPr>
        <w:t>基金全部份额）；若某笔转换导致投资者在</w:t>
      </w:r>
      <w:r w:rsidRPr="00621B7F" w:rsidR="006929CE">
        <w:rPr>
          <w:rFonts w:asciiTheme="minorEastAsia" w:eastAsiaTheme="minorEastAsia" w:hAnsiTheme="minorEastAsia" w:cs="宋体"/>
          <w:color w:val="000000" w:themeColor="text1"/>
          <w:kern w:val="0"/>
          <w:szCs w:val="21"/>
        </w:rPr>
        <w:t>该</w:t>
      </w:r>
      <w:r w:rsidRPr="00621B7F" w:rsidR="004C0465">
        <w:rPr>
          <w:rFonts w:asciiTheme="minorEastAsia" w:eastAsiaTheme="minorEastAsia" w:hAnsiTheme="minorEastAsia" w:cs="宋体"/>
          <w:color w:val="000000" w:themeColor="text1"/>
          <w:kern w:val="0"/>
          <w:szCs w:val="21"/>
        </w:rPr>
        <w:t>销售机构托管的该</w:t>
      </w:r>
      <w:r w:rsidRPr="00621B7F" w:rsidR="00EA4099">
        <w:rPr>
          <w:rFonts w:asciiTheme="minorEastAsia" w:eastAsiaTheme="minorEastAsia" w:hAnsiTheme="minorEastAsia" w:cs="宋体" w:hint="eastAsia"/>
          <w:color w:val="000000" w:themeColor="text1"/>
          <w:kern w:val="0"/>
          <w:szCs w:val="21"/>
        </w:rPr>
        <w:t>类</w:t>
      </w:r>
      <w:r w:rsidRPr="00621B7F" w:rsidR="004C0465">
        <w:rPr>
          <w:rFonts w:asciiTheme="minorEastAsia" w:eastAsiaTheme="minorEastAsia" w:hAnsiTheme="minorEastAsia" w:cs="宋体"/>
          <w:color w:val="000000" w:themeColor="text1"/>
          <w:kern w:val="0"/>
          <w:szCs w:val="21"/>
        </w:rPr>
        <w:t>基金余额不足</w:t>
      </w:r>
      <w:r w:rsidRPr="00621B7F" w:rsidR="00253179">
        <w:rPr>
          <w:rFonts w:asciiTheme="minorEastAsia" w:eastAsiaTheme="minorEastAsia" w:hAnsiTheme="minorEastAsia" w:cs="宋体" w:hint="eastAsia"/>
          <w:color w:val="000000" w:themeColor="text1"/>
          <w:kern w:val="0"/>
          <w:szCs w:val="21"/>
        </w:rPr>
        <w:t>1</w:t>
      </w:r>
      <w:r w:rsidRPr="00621B7F" w:rsidR="004C0465">
        <w:rPr>
          <w:rFonts w:asciiTheme="minorEastAsia" w:eastAsiaTheme="minorEastAsia" w:hAnsiTheme="minorEastAsia" w:cs="宋体"/>
          <w:color w:val="000000" w:themeColor="text1"/>
          <w:kern w:val="0"/>
          <w:szCs w:val="21"/>
        </w:rPr>
        <w:t>份时，基金管理人有权将投资者在该销售机构托管的该</w:t>
      </w:r>
      <w:r w:rsidRPr="00621B7F" w:rsidR="00EA4099">
        <w:rPr>
          <w:rFonts w:asciiTheme="minorEastAsia" w:eastAsiaTheme="minorEastAsia" w:hAnsiTheme="minorEastAsia" w:cs="宋体" w:hint="eastAsia"/>
          <w:color w:val="000000" w:themeColor="text1"/>
          <w:kern w:val="0"/>
          <w:szCs w:val="21"/>
        </w:rPr>
        <w:t>类</w:t>
      </w:r>
      <w:r w:rsidRPr="00621B7F" w:rsidR="004C0465">
        <w:rPr>
          <w:rFonts w:asciiTheme="minorEastAsia" w:eastAsiaTheme="minorEastAsia" w:hAnsiTheme="minorEastAsia" w:cs="宋体"/>
          <w:color w:val="000000" w:themeColor="text1"/>
          <w:kern w:val="0"/>
          <w:szCs w:val="21"/>
        </w:rPr>
        <w:t>基金剩余份额一次性全部赎回。</w:t>
      </w:r>
    </w:p>
    <w:p w:rsidR="00E91D13" w:rsidRPr="00621B7F" w:rsidP="00241F10">
      <w:pPr>
        <w:pStyle w:val="NormalIndent"/>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基金管理人可根据市场情况制定或调整上述基金转换的程序及有关限制，但</w:t>
      </w:r>
      <w:r w:rsidRPr="00621B7F">
        <w:rPr>
          <w:rFonts w:asciiTheme="minorEastAsia" w:eastAsiaTheme="minorEastAsia" w:hAnsiTheme="minorEastAsia" w:hint="eastAsia"/>
          <w:color w:val="000000" w:themeColor="text1"/>
          <w:kern w:val="0"/>
          <w:szCs w:val="21"/>
        </w:rPr>
        <w:t>应在调整生效前在至少一种中国证监会指定的媒体上予以公告。</w:t>
      </w:r>
    </w:p>
    <w:p w:rsidR="00E91D13" w:rsidRPr="00621B7F" w:rsidP="00A32B85">
      <w:pPr>
        <w:pStyle w:val="Heading2"/>
        <w:snapToGrid w:val="0"/>
        <w:spacing w:beforeLines="0" w:afterLines="0" w:line="360" w:lineRule="auto"/>
        <w:ind w:firstLine="562"/>
        <w:rPr>
          <w:rFonts w:asciiTheme="minorEastAsia" w:eastAsiaTheme="minorEastAsia" w:hAnsiTheme="minorEastAsia"/>
          <w:color w:val="000000" w:themeColor="text1"/>
        </w:rPr>
      </w:pPr>
      <w:bookmarkStart w:id="733" w:name="_Toc87367293"/>
      <w:bookmarkStart w:id="734" w:name="_Toc198959620"/>
      <w:bookmarkStart w:id="735" w:name="_Toc229996711"/>
      <w:bookmarkStart w:id="736" w:name="_Toc245693557"/>
      <w:bookmarkStart w:id="737" w:name="_Toc258398105"/>
      <w:bookmarkStart w:id="738" w:name="_Toc264906012"/>
      <w:bookmarkStart w:id="739" w:name="_Toc91752047"/>
      <w:r w:rsidRPr="00621B7F">
        <w:rPr>
          <w:rFonts w:asciiTheme="minorEastAsia" w:eastAsiaTheme="minorEastAsia" w:hAnsiTheme="minorEastAsia" w:hint="eastAsia"/>
          <w:color w:val="000000" w:themeColor="text1"/>
        </w:rPr>
        <w:t>（五）基金转换费率</w:t>
      </w:r>
      <w:bookmarkEnd w:id="733"/>
      <w:bookmarkEnd w:id="734"/>
      <w:bookmarkEnd w:id="735"/>
      <w:bookmarkEnd w:id="736"/>
      <w:bookmarkEnd w:id="737"/>
      <w:bookmarkEnd w:id="738"/>
      <w:bookmarkEnd w:id="739"/>
    </w:p>
    <w:p w:rsidR="00E91D13" w:rsidRPr="00621B7F" w:rsidP="00241F10">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基金转换费由基金份额持有人承担，</w:t>
      </w:r>
      <w:r w:rsidRPr="00621B7F">
        <w:rPr>
          <w:rFonts w:asciiTheme="minorEastAsia" w:eastAsiaTheme="minorEastAsia" w:hAnsiTheme="minorEastAsia" w:hint="eastAsia"/>
          <w:color w:val="000000" w:themeColor="text1"/>
          <w:szCs w:val="21"/>
        </w:rPr>
        <w:t>由转出基金赎回费用及基金申购补差费用构成，其中赎回费</w:t>
      </w:r>
      <w:r w:rsidRPr="00621B7F" w:rsidR="00B11446">
        <w:rPr>
          <w:rFonts w:asciiTheme="minorEastAsia" w:eastAsiaTheme="minorEastAsia" w:hAnsiTheme="minorEastAsia" w:hint="eastAsia"/>
          <w:color w:val="000000" w:themeColor="text1"/>
          <w:szCs w:val="21"/>
        </w:rPr>
        <w:t>按照</w:t>
      </w:r>
      <w:r w:rsidRPr="00621B7F" w:rsidR="00EA4099">
        <w:rPr>
          <w:rFonts w:asciiTheme="minorEastAsia" w:eastAsiaTheme="minorEastAsia" w:hAnsiTheme="minorEastAsia" w:hint="eastAsia"/>
          <w:color w:val="000000" w:themeColor="text1"/>
          <w:szCs w:val="21"/>
        </w:rPr>
        <w:t>各基金</w:t>
      </w:r>
      <w:r w:rsidRPr="00621B7F" w:rsidR="00EA4099">
        <w:rPr>
          <w:rFonts w:asciiTheme="minorEastAsia" w:eastAsiaTheme="minorEastAsia" w:hAnsiTheme="minorEastAsia"/>
          <w:color w:val="000000" w:themeColor="text1"/>
          <w:szCs w:val="21"/>
        </w:rPr>
        <w:t>的</w:t>
      </w:r>
      <w:r w:rsidRPr="00621B7F" w:rsidR="00B11446">
        <w:rPr>
          <w:rFonts w:asciiTheme="minorEastAsia" w:eastAsiaTheme="minorEastAsia" w:hAnsiTheme="minorEastAsia" w:hint="eastAsia"/>
          <w:color w:val="000000" w:themeColor="text1"/>
          <w:szCs w:val="21"/>
        </w:rPr>
        <w:t>基金合同、更新的招募说明书及最新的相关公告约定的比例归入基金财产</w:t>
      </w:r>
      <w:r w:rsidRPr="00621B7F">
        <w:rPr>
          <w:rFonts w:asciiTheme="minorEastAsia" w:eastAsiaTheme="minorEastAsia" w:hAnsiTheme="minorEastAsia" w:hint="eastAsia"/>
          <w:color w:val="000000" w:themeColor="text1"/>
          <w:szCs w:val="21"/>
        </w:rPr>
        <w:t>，其余部分用于支付注册登记费等相关手续费，</w:t>
      </w:r>
      <w:r w:rsidRPr="00621B7F">
        <w:rPr>
          <w:rFonts w:asciiTheme="minorEastAsia" w:eastAsiaTheme="minorEastAsia" w:hAnsiTheme="minorEastAsia" w:hint="eastAsia"/>
          <w:color w:val="000000" w:themeColor="text1"/>
        </w:rPr>
        <w:t>具体实施办法和转换费率详见相关公告。</w:t>
      </w:r>
      <w:r w:rsidRPr="00621B7F">
        <w:rPr>
          <w:rFonts w:asciiTheme="minorEastAsia" w:eastAsiaTheme="minorEastAsia" w:hAnsiTheme="minorEastAsia"/>
          <w:color w:val="000000" w:themeColor="text1"/>
          <w:szCs w:val="21"/>
        </w:rPr>
        <w:t>转换费用以人民币元为单位，计算结果按照四舍五入方法，保留小数点后两位。</w:t>
      </w:r>
    </w:p>
    <w:p w:rsidR="00E91D13" w:rsidRPr="00621B7F" w:rsidP="00241F10">
      <w:pPr>
        <w:autoSpaceDE w:val="0"/>
        <w:autoSpaceDN w:val="0"/>
        <w:snapToGrid w:val="0"/>
        <w:spacing w:line="360" w:lineRule="auto"/>
        <w:ind w:firstLine="420"/>
        <w:textAlignment w:val="bottom"/>
        <w:rPr>
          <w:rFonts w:asciiTheme="minorEastAsia" w:eastAsiaTheme="minorEastAsia" w:hAnsiTheme="minorEastAsia"/>
          <w:color w:val="000000" w:themeColor="text1"/>
        </w:rPr>
      </w:pPr>
      <w:bookmarkStart w:id="740" w:name="_Toc182826360"/>
      <w:bookmarkStart w:id="741" w:name="_Toc198959621"/>
      <w:r w:rsidRPr="00621B7F">
        <w:rPr>
          <w:rFonts w:asciiTheme="minorEastAsia" w:eastAsiaTheme="minorEastAsia" w:hAnsiTheme="minorEastAsia"/>
          <w:color w:val="000000" w:themeColor="text1"/>
        </w:rPr>
        <w:t>基金管理人可以在基金合同规定的范围内调整</w:t>
      </w:r>
      <w:r w:rsidRPr="00621B7F">
        <w:rPr>
          <w:rFonts w:asciiTheme="minorEastAsia" w:eastAsiaTheme="minorEastAsia" w:hAnsiTheme="minorEastAsia" w:hint="eastAsia"/>
          <w:color w:val="000000" w:themeColor="text1"/>
        </w:rPr>
        <w:t>上述</w:t>
      </w:r>
      <w:r w:rsidRPr="00621B7F">
        <w:rPr>
          <w:rFonts w:asciiTheme="minorEastAsia" w:eastAsiaTheme="minorEastAsia" w:hAnsiTheme="minorEastAsia"/>
          <w:color w:val="000000" w:themeColor="text1"/>
        </w:rPr>
        <w:t>费率</w:t>
      </w:r>
      <w:r w:rsidRPr="00621B7F">
        <w:rPr>
          <w:rFonts w:asciiTheme="minorEastAsia" w:eastAsiaTheme="minorEastAsia" w:hAnsiTheme="minorEastAsia" w:hint="eastAsia"/>
          <w:color w:val="000000" w:themeColor="text1"/>
        </w:rPr>
        <w:t>。</w:t>
      </w:r>
      <w:r w:rsidRPr="00621B7F">
        <w:rPr>
          <w:rFonts w:asciiTheme="minorEastAsia" w:eastAsiaTheme="minorEastAsia" w:hAnsiTheme="minorEastAsia"/>
          <w:color w:val="000000" w:themeColor="text1"/>
        </w:rPr>
        <w:t>上述费率如发生变更，</w:t>
      </w:r>
      <w:r w:rsidRPr="00621B7F">
        <w:rPr>
          <w:rFonts w:asciiTheme="minorEastAsia" w:eastAsiaTheme="minorEastAsia" w:hAnsiTheme="minorEastAsia" w:hint="eastAsia"/>
          <w:color w:val="000000" w:themeColor="text1"/>
          <w:kern w:val="0"/>
          <w:szCs w:val="21"/>
        </w:rPr>
        <w:t>应在调整生效前在至少一种中国证监会指定的媒体上予以公告。</w:t>
      </w:r>
    </w:p>
    <w:p w:rsidR="00E91D13" w:rsidRPr="00621B7F" w:rsidP="00241F10">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E91D13" w:rsidRPr="00621B7F" w:rsidP="00A32B85">
      <w:pPr>
        <w:pStyle w:val="Heading2"/>
        <w:snapToGrid w:val="0"/>
        <w:spacing w:beforeLines="0" w:afterLines="0" w:line="360" w:lineRule="auto"/>
        <w:ind w:firstLine="562"/>
        <w:rPr>
          <w:rFonts w:asciiTheme="minorEastAsia" w:eastAsiaTheme="minorEastAsia" w:hAnsiTheme="minorEastAsia"/>
          <w:color w:val="000000" w:themeColor="text1"/>
        </w:rPr>
      </w:pPr>
      <w:bookmarkStart w:id="742" w:name="_Toc229996712"/>
      <w:bookmarkStart w:id="743" w:name="_Toc245693558"/>
      <w:bookmarkStart w:id="744" w:name="_Toc258398106"/>
      <w:bookmarkStart w:id="745" w:name="_Toc264906013"/>
      <w:bookmarkStart w:id="746" w:name="_Toc91752048"/>
      <w:r w:rsidRPr="00621B7F">
        <w:rPr>
          <w:rFonts w:asciiTheme="minorEastAsia" w:eastAsiaTheme="minorEastAsia" w:hAnsiTheme="minorEastAsia" w:hint="eastAsia"/>
          <w:color w:val="000000" w:themeColor="text1"/>
        </w:rPr>
        <w:t>（六）基金转换份额的计算方式</w:t>
      </w:r>
      <w:bookmarkEnd w:id="740"/>
      <w:bookmarkEnd w:id="741"/>
      <w:bookmarkEnd w:id="742"/>
      <w:bookmarkEnd w:id="743"/>
      <w:bookmarkEnd w:id="744"/>
      <w:bookmarkEnd w:id="745"/>
      <w:bookmarkEnd w:id="746"/>
    </w:p>
    <w:p w:rsidR="00E91D13" w:rsidRPr="00621B7F" w:rsidP="00241F10">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计算公式：</w:t>
      </w:r>
    </w:p>
    <w:p w:rsidR="00E91D13"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A＝［B×C×(1-D)/（1+G）+F］/E</w:t>
      </w:r>
    </w:p>
    <w:p w:rsidR="00E91D13"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H＝</w:t>
      </w:r>
      <w:r w:rsidRPr="00621B7F">
        <w:rPr>
          <w:rFonts w:asciiTheme="minorEastAsia" w:eastAsiaTheme="minorEastAsia" w:hAnsiTheme="minorEastAsia"/>
          <w:color w:val="000000" w:themeColor="text1"/>
          <w:szCs w:val="21"/>
        </w:rPr>
        <w:t>B×C×D</w:t>
      </w:r>
    </w:p>
    <w:p w:rsidR="00E91D13"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J＝[B×C×(1-D)/(1+G)]×G</w:t>
      </w:r>
    </w:p>
    <w:p w:rsidR="00E91D13"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szCs w:val="21"/>
        </w:rPr>
        <w:t>其中，</w:t>
      </w:r>
      <w:r w:rsidRPr="00621B7F">
        <w:rPr>
          <w:rFonts w:asciiTheme="minorEastAsia" w:eastAsiaTheme="minorEastAsia" w:hAnsiTheme="minorEastAsia"/>
          <w:color w:val="000000" w:themeColor="text1"/>
          <w:szCs w:val="21"/>
        </w:rPr>
        <w:t>A</w:t>
      </w:r>
      <w:r w:rsidRPr="00621B7F">
        <w:rPr>
          <w:rFonts w:asciiTheme="minorEastAsia" w:eastAsiaTheme="minorEastAsia" w:hAnsiTheme="minorEastAsia" w:hint="eastAsia"/>
          <w:color w:val="000000" w:themeColor="text1"/>
          <w:szCs w:val="21"/>
        </w:rPr>
        <w:t>为转入的基金份额；</w:t>
      </w:r>
      <w:r w:rsidRPr="00621B7F">
        <w:rPr>
          <w:rFonts w:asciiTheme="minorEastAsia" w:eastAsiaTheme="minorEastAsia" w:hAnsiTheme="minorEastAsia"/>
          <w:color w:val="000000" w:themeColor="text1"/>
          <w:szCs w:val="21"/>
        </w:rPr>
        <w:t>B</w:t>
      </w:r>
      <w:r w:rsidRPr="00621B7F">
        <w:rPr>
          <w:rFonts w:asciiTheme="minorEastAsia" w:eastAsiaTheme="minorEastAsia" w:hAnsiTheme="minorEastAsia" w:hint="eastAsia"/>
          <w:color w:val="000000" w:themeColor="text1"/>
          <w:szCs w:val="21"/>
        </w:rPr>
        <w:t>为转出的基金份额；</w:t>
      </w:r>
      <w:r w:rsidRPr="00621B7F">
        <w:rPr>
          <w:rFonts w:asciiTheme="minorEastAsia" w:eastAsiaTheme="minorEastAsia" w:hAnsiTheme="minorEastAsia"/>
          <w:color w:val="000000" w:themeColor="text1"/>
          <w:szCs w:val="21"/>
        </w:rPr>
        <w:t>C</w:t>
      </w:r>
      <w:r w:rsidRPr="00621B7F">
        <w:rPr>
          <w:rFonts w:asciiTheme="minorEastAsia" w:eastAsiaTheme="minorEastAsia" w:hAnsiTheme="minorEastAsia" w:hint="eastAsia"/>
          <w:color w:val="000000" w:themeColor="text1"/>
          <w:szCs w:val="21"/>
        </w:rPr>
        <w:t>为转换申请当日转出基金的基金份额净值；</w:t>
      </w:r>
      <w:r w:rsidRPr="00621B7F">
        <w:rPr>
          <w:rFonts w:asciiTheme="minorEastAsia" w:eastAsiaTheme="minorEastAsia" w:hAnsiTheme="minorEastAsia"/>
          <w:color w:val="000000" w:themeColor="text1"/>
          <w:szCs w:val="21"/>
        </w:rPr>
        <w:t>D</w:t>
      </w:r>
      <w:r w:rsidRPr="00621B7F">
        <w:rPr>
          <w:rFonts w:asciiTheme="minorEastAsia" w:eastAsiaTheme="minorEastAsia" w:hAnsiTheme="minorEastAsia" w:hint="eastAsia"/>
          <w:color w:val="000000" w:themeColor="text1"/>
          <w:szCs w:val="21"/>
        </w:rPr>
        <w:t>为转出基金的对应赎回费率，</w:t>
      </w:r>
      <w:r w:rsidRPr="00621B7F">
        <w:rPr>
          <w:rFonts w:asciiTheme="minorEastAsia" w:eastAsiaTheme="minorEastAsia" w:hAnsiTheme="minorEastAsia"/>
          <w:color w:val="000000" w:themeColor="text1"/>
          <w:szCs w:val="21"/>
        </w:rPr>
        <w:t>G</w:t>
      </w:r>
      <w:r w:rsidRPr="00621B7F">
        <w:rPr>
          <w:rFonts w:asciiTheme="minorEastAsia" w:eastAsiaTheme="minorEastAsia" w:hAnsiTheme="minorEastAsia" w:hint="eastAsia"/>
          <w:color w:val="000000" w:themeColor="text1"/>
          <w:szCs w:val="21"/>
        </w:rPr>
        <w:t>为对应的申购补差费率；</w:t>
      </w:r>
      <w:r w:rsidRPr="00621B7F">
        <w:rPr>
          <w:rFonts w:asciiTheme="minorEastAsia" w:eastAsiaTheme="minorEastAsia" w:hAnsiTheme="minorEastAsia"/>
          <w:color w:val="000000" w:themeColor="text1"/>
          <w:szCs w:val="21"/>
        </w:rPr>
        <w:t>E</w:t>
      </w:r>
      <w:r w:rsidRPr="00621B7F">
        <w:rPr>
          <w:rFonts w:asciiTheme="minorEastAsia" w:eastAsiaTheme="minorEastAsia" w:hAnsiTheme="minorEastAsia" w:hint="eastAsia"/>
          <w:color w:val="000000" w:themeColor="text1"/>
          <w:szCs w:val="21"/>
        </w:rPr>
        <w:t>为转换申请</w:t>
      </w:r>
      <w:r w:rsidRPr="00621B7F">
        <w:rPr>
          <w:rFonts w:asciiTheme="minorEastAsia" w:eastAsiaTheme="minorEastAsia" w:hAnsiTheme="minorEastAsia" w:hint="eastAsia"/>
          <w:color w:val="000000" w:themeColor="text1"/>
        </w:rPr>
        <w:t>当日转入基金的基金份额净值；</w:t>
      </w:r>
      <w:r w:rsidRPr="00621B7F" w:rsidR="00F01588">
        <w:rPr>
          <w:rFonts w:asciiTheme="minorEastAsia" w:eastAsiaTheme="minorEastAsia" w:hAnsiTheme="minorEastAsia" w:hint="eastAsia"/>
          <w:color w:val="000000" w:themeColor="text1"/>
        </w:rPr>
        <w:t>F为货币市场基金全部转出时注册登记机构已支付的未付收益</w:t>
      </w:r>
      <w:r w:rsidRPr="00621B7F" w:rsidR="0047357A">
        <w:rPr>
          <w:rFonts w:asciiTheme="minorEastAsia" w:eastAsiaTheme="minorEastAsia" w:hAnsiTheme="minorEastAsia" w:hint="eastAsia"/>
          <w:color w:val="000000" w:themeColor="text1"/>
        </w:rPr>
        <w:t>；</w:t>
      </w:r>
      <w:r w:rsidRPr="00621B7F" w:rsidR="0047357A">
        <w:rPr>
          <w:rFonts w:asciiTheme="minorEastAsia" w:eastAsiaTheme="minorEastAsia" w:hAnsiTheme="minorEastAsia"/>
          <w:color w:val="000000" w:themeColor="text1"/>
        </w:rPr>
        <w:t>H为</w:t>
      </w:r>
      <w:r w:rsidRPr="00621B7F">
        <w:rPr>
          <w:rFonts w:asciiTheme="minorEastAsia" w:eastAsiaTheme="minorEastAsia" w:hAnsiTheme="minorEastAsia" w:hint="eastAsia"/>
          <w:color w:val="000000" w:themeColor="text1"/>
        </w:rPr>
        <w:t>转出基金赎回费；J为申购补差费。</w:t>
      </w:r>
    </w:p>
    <w:p w:rsidR="00F178EE" w:rsidRPr="00621B7F">
      <w:pPr>
        <w:pStyle w:val="a"/>
        <w:autoSpaceDE w:val="0"/>
        <w:autoSpaceDN w:val="0"/>
        <w:adjustRightInd w:val="0"/>
        <w:snapToGrid w:val="0"/>
        <w:spacing w:line="360" w:lineRule="auto"/>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E91D13" w:rsidRPr="00621B7F" w:rsidP="00241F10">
      <w:pPr>
        <w:snapToGrid w:val="0"/>
        <w:spacing w:line="360" w:lineRule="auto"/>
        <w:ind w:firstLine="482"/>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说明：</w:t>
      </w:r>
    </w:p>
    <w:p w:rsidR="00E91D13" w:rsidRPr="00621B7F" w:rsidP="00241F10">
      <w:pPr>
        <w:snapToGrid w:val="0"/>
        <w:spacing w:line="360" w:lineRule="auto"/>
        <w:ind w:firstLine="482"/>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1</w:t>
      </w:r>
      <w:r w:rsidRPr="00621B7F" w:rsidR="00241F10">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rPr>
        <w:t>基金转换费用由转出基金赎回费用及基金申购补差费用构成。</w:t>
      </w:r>
    </w:p>
    <w:p w:rsidR="00E91D13" w:rsidRPr="00621B7F" w:rsidP="00241F10">
      <w:pPr>
        <w:snapToGrid w:val="0"/>
        <w:spacing w:line="360" w:lineRule="auto"/>
        <w:ind w:firstLine="482"/>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2</w:t>
      </w:r>
      <w:r w:rsidRPr="00621B7F" w:rsidR="00241F10">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rPr>
        <w:t>转入基金时，从申购费用低的基金向申购费用高的基金转换时，每次收取申购补差费用；从申购费用高的基金向申购费用低的基金转换时</w:t>
      </w:r>
      <w:r w:rsidRPr="00621B7F">
        <w:rPr>
          <w:rFonts w:asciiTheme="minorEastAsia" w:eastAsiaTheme="minorEastAsia" w:hAnsiTheme="minorEastAsia"/>
          <w:color w:val="000000" w:themeColor="text1"/>
        </w:rPr>
        <w:t>,</w:t>
      </w:r>
      <w:r w:rsidRPr="00621B7F">
        <w:rPr>
          <w:rFonts w:asciiTheme="minorEastAsia" w:eastAsiaTheme="minorEastAsia" w:hAnsiTheme="minorEastAsia" w:hint="eastAsia"/>
          <w:color w:val="000000" w:themeColor="text1"/>
        </w:rPr>
        <w:t>不收取申购补差费用</w:t>
      </w:r>
      <w:r w:rsidRPr="00621B7F" w:rsidR="00A578EF">
        <w:rPr>
          <w:rFonts w:asciiTheme="minorEastAsia" w:eastAsiaTheme="minorEastAsia" w:hAnsiTheme="minorEastAsia" w:hint="eastAsia"/>
          <w:color w:val="000000" w:themeColor="text1"/>
          <w:szCs w:val="21"/>
        </w:rPr>
        <w:t>（</w:t>
      </w:r>
      <w:r w:rsidR="0021293E">
        <w:rPr>
          <w:rFonts w:asciiTheme="minorEastAsia" w:hAnsiTheme="minorEastAsia" w:hint="eastAsia"/>
          <w:color w:val="000000" w:themeColor="text1"/>
          <w:kern w:val="0"/>
          <w:szCs w:val="21"/>
        </w:rPr>
        <w:t>注：对通过直销中心申购实施差别申购费率的投资群体基金份额的申购费，以除上述投资群体之外的其他投资者申购费为比较标准</w:t>
      </w:r>
      <w:r w:rsidRPr="00621B7F" w:rsidR="00A578E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rPr>
        <w:t>。申购补差费用按照转换金额对应的转出基金与转入基金的申购费率差额进行补差，具体收取情况视每次转换时两只基金的申购费率的差异情况而定</w:t>
      </w:r>
      <w:r w:rsidRPr="00621B7F" w:rsidR="009449F6">
        <w:rPr>
          <w:rFonts w:asciiTheme="minorEastAsia" w:eastAsiaTheme="minorEastAsia" w:hAnsiTheme="minorEastAsia" w:hint="eastAsia"/>
          <w:color w:val="000000" w:themeColor="text1"/>
        </w:rPr>
        <w:t>并见相关公告</w:t>
      </w:r>
      <w:r w:rsidRPr="00621B7F">
        <w:rPr>
          <w:rFonts w:asciiTheme="minorEastAsia" w:eastAsiaTheme="minorEastAsia" w:hAnsiTheme="minorEastAsia" w:hint="eastAsia"/>
          <w:color w:val="000000" w:themeColor="text1"/>
        </w:rPr>
        <w:t>。</w:t>
      </w:r>
    </w:p>
    <w:p w:rsidR="00E91D13" w:rsidRPr="00621B7F" w:rsidP="00241F10">
      <w:pPr>
        <w:snapToGrid w:val="0"/>
        <w:spacing w:line="360" w:lineRule="auto"/>
        <w:ind w:firstLine="482"/>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3、转出基金时，如涉及的转出基金有赎回费用，收取该基金的赎回费用。收取的赎回费</w:t>
      </w:r>
      <w:r w:rsidRPr="00621B7F" w:rsidR="00DB289F">
        <w:rPr>
          <w:rFonts w:asciiTheme="minorEastAsia" w:eastAsiaTheme="minorEastAsia" w:hAnsiTheme="minorEastAsia" w:hint="eastAsia"/>
          <w:color w:val="000000" w:themeColor="text1"/>
        </w:rPr>
        <w:t>按照</w:t>
      </w:r>
      <w:r w:rsidRPr="00621B7F" w:rsidR="009A6971">
        <w:rPr>
          <w:rFonts w:asciiTheme="minorEastAsia" w:eastAsiaTheme="minorEastAsia" w:hAnsiTheme="minorEastAsia" w:hint="eastAsia"/>
          <w:color w:val="000000" w:themeColor="text1"/>
        </w:rPr>
        <w:t>各基金</w:t>
      </w:r>
      <w:r w:rsidRPr="00621B7F" w:rsidR="009A6971">
        <w:rPr>
          <w:rFonts w:asciiTheme="minorEastAsia" w:eastAsiaTheme="minorEastAsia" w:hAnsiTheme="minorEastAsia"/>
          <w:color w:val="000000" w:themeColor="text1"/>
        </w:rPr>
        <w:t>的</w:t>
      </w:r>
      <w:r w:rsidRPr="00621B7F" w:rsidR="00DB289F">
        <w:rPr>
          <w:rFonts w:asciiTheme="minorEastAsia" w:eastAsiaTheme="minorEastAsia" w:hAnsiTheme="minorEastAsia" w:hint="eastAsia"/>
          <w:color w:val="000000" w:themeColor="text1"/>
        </w:rPr>
        <w:t>基金合同、更新的招募说明书及最新的相关公告约定的比例归入基金财产</w:t>
      </w:r>
      <w:r w:rsidRPr="00621B7F">
        <w:rPr>
          <w:rFonts w:asciiTheme="minorEastAsia" w:eastAsiaTheme="minorEastAsia" w:hAnsiTheme="minorEastAsia" w:hint="eastAsia"/>
          <w:color w:val="000000" w:themeColor="text1"/>
        </w:rPr>
        <w:t>，其余部分用于支付注册登记费等相关手续费。</w:t>
      </w:r>
    </w:p>
    <w:p w:rsidR="00E91D13" w:rsidRPr="00621B7F" w:rsidP="00241F10">
      <w:pPr>
        <w:snapToGrid w:val="0"/>
        <w:spacing w:line="360" w:lineRule="auto"/>
        <w:ind w:firstLine="482"/>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4、投资者可以发起多次基金转换业务，基金转换费用按每笔申请单独计算。</w:t>
      </w:r>
      <w:r w:rsidRPr="00621B7F">
        <w:rPr>
          <w:rFonts w:asciiTheme="minorEastAsia" w:eastAsiaTheme="minorEastAsia" w:hAnsiTheme="minorEastAsia" w:hint="eastAsia"/>
          <w:color w:val="000000" w:themeColor="text1"/>
          <w:kern w:val="0"/>
          <w:szCs w:val="21"/>
        </w:rPr>
        <w:t>转换费用以人民币元为单位，计算结果按照四舍五入方法，保留小数点后两位。</w:t>
      </w:r>
    </w:p>
    <w:p w:rsidR="004C0465"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举例说明</w:t>
      </w:r>
      <w:r w:rsidRPr="00621B7F">
        <w:rPr>
          <w:rFonts w:asciiTheme="minorEastAsia" w:eastAsiaTheme="minorEastAsia" w:hAnsiTheme="minorEastAsia"/>
          <w:color w:val="000000" w:themeColor="text1"/>
        </w:rPr>
        <w:t>：</w:t>
      </w:r>
      <w:r w:rsidRPr="00621B7F">
        <w:rPr>
          <w:rFonts w:asciiTheme="minorEastAsia" w:eastAsiaTheme="minorEastAsia" w:hAnsiTheme="minorEastAsia" w:hint="eastAsia"/>
          <w:color w:val="000000" w:themeColor="text1"/>
        </w:rPr>
        <w:t>假定某投资者</w:t>
      </w:r>
      <w:r w:rsidRPr="00621B7F" w:rsidR="00EA4099">
        <w:rPr>
          <w:rFonts w:asciiTheme="minorEastAsia" w:eastAsiaTheme="minorEastAsia" w:hAnsiTheme="minorEastAsia" w:hint="eastAsia"/>
          <w:color w:val="000000" w:themeColor="text1"/>
        </w:rPr>
        <w:t>（</w:t>
      </w:r>
      <w:r w:rsidR="0021293E">
        <w:rPr>
          <w:rFonts w:asciiTheme="minorEastAsia" w:eastAsiaTheme="minorEastAsia" w:hAnsiTheme="minorEastAsia" w:hint="eastAsia"/>
          <w:color w:val="000000" w:themeColor="text1"/>
        </w:rPr>
        <w:t>其他投资者</w:t>
      </w:r>
      <w:r w:rsidRPr="00621B7F" w:rsidR="00EA4099">
        <w:rPr>
          <w:rFonts w:asciiTheme="minorEastAsia" w:eastAsiaTheme="minorEastAsia" w:hAnsiTheme="minorEastAsia"/>
          <w:color w:val="000000" w:themeColor="text1"/>
        </w:rPr>
        <w:t>）</w:t>
      </w:r>
      <w:r w:rsidRPr="00621B7F">
        <w:rPr>
          <w:rFonts w:asciiTheme="minorEastAsia" w:eastAsiaTheme="minorEastAsia" w:hAnsiTheme="minorEastAsia" w:hint="eastAsia"/>
          <w:color w:val="000000" w:themeColor="text1"/>
        </w:rPr>
        <w:t>在T日转出10,000份易方达上证中盘ETF联接基金</w:t>
      </w:r>
      <w:r w:rsidRPr="00621B7F" w:rsidR="00EA4099">
        <w:rPr>
          <w:rFonts w:asciiTheme="minorEastAsia" w:eastAsiaTheme="minorEastAsia" w:hAnsiTheme="minorEastAsia" w:hint="eastAsia"/>
          <w:color w:val="000000" w:themeColor="text1"/>
        </w:rPr>
        <w:t>A</w:t>
      </w:r>
      <w:r w:rsidRPr="00621B7F" w:rsidR="00EA4099">
        <w:rPr>
          <w:rFonts w:asciiTheme="minorEastAsia" w:eastAsiaTheme="minorEastAsia" w:hAnsiTheme="minorEastAsia"/>
          <w:color w:val="000000" w:themeColor="text1"/>
        </w:rPr>
        <w:t>类基金份额</w:t>
      </w:r>
      <w:r w:rsidRPr="00621B7F">
        <w:rPr>
          <w:rFonts w:asciiTheme="minorEastAsia" w:eastAsiaTheme="minorEastAsia" w:hAnsiTheme="minorEastAsia" w:hint="eastAsia"/>
          <w:color w:val="000000" w:themeColor="text1"/>
        </w:rPr>
        <w:t>至</w:t>
      </w:r>
      <w:r w:rsidRPr="00621B7F">
        <w:rPr>
          <w:rFonts w:asciiTheme="minorEastAsia" w:eastAsiaTheme="minorEastAsia" w:hAnsiTheme="minorEastAsia"/>
          <w:color w:val="000000" w:themeColor="text1"/>
        </w:rPr>
        <w:t>易方达策略成长二号混合型基金</w:t>
      </w:r>
      <w:r w:rsidRPr="00621B7F">
        <w:rPr>
          <w:rFonts w:asciiTheme="minorEastAsia" w:eastAsiaTheme="minorEastAsia" w:hAnsiTheme="minorEastAsia" w:hint="eastAsia"/>
          <w:color w:val="000000" w:themeColor="text1"/>
        </w:rPr>
        <w:t>份额，转出基金T日的基金份额净值为1.100</w:t>
      </w:r>
      <w:r w:rsidRPr="00621B7F" w:rsidR="008D33C1">
        <w:rPr>
          <w:rFonts w:asciiTheme="minorEastAsia" w:eastAsiaTheme="minorEastAsia" w:hAnsiTheme="minorEastAsia" w:hint="eastAsia"/>
          <w:color w:val="000000" w:themeColor="text1"/>
        </w:rPr>
        <w:t>0</w:t>
      </w:r>
      <w:r w:rsidRPr="00621B7F">
        <w:rPr>
          <w:rFonts w:asciiTheme="minorEastAsia" w:eastAsiaTheme="minorEastAsia" w:hAnsiTheme="minorEastAsia" w:hint="eastAsia"/>
          <w:color w:val="000000" w:themeColor="text1"/>
        </w:rPr>
        <w:t>元，转入</w:t>
      </w:r>
      <w:r w:rsidRPr="00621B7F">
        <w:rPr>
          <w:rFonts w:asciiTheme="minorEastAsia" w:eastAsiaTheme="minorEastAsia" w:hAnsiTheme="minorEastAsia"/>
          <w:color w:val="000000" w:themeColor="text1"/>
        </w:rPr>
        <w:t>易方达策略成长二号混合型基金</w:t>
      </w:r>
      <w:r w:rsidRPr="00621B7F">
        <w:rPr>
          <w:rFonts w:asciiTheme="minorEastAsia" w:eastAsiaTheme="minorEastAsia" w:hAnsiTheme="minorEastAsia" w:hint="eastAsia"/>
          <w:color w:val="000000" w:themeColor="text1"/>
        </w:rPr>
        <w:t>T日的基金份额净值为1.020元，假设该转出基金的赎回费率为0.5%，申购补差费率为0.8%，则可获得转入基金的</w:t>
      </w:r>
      <w:r w:rsidRPr="00621B7F">
        <w:rPr>
          <w:rFonts w:asciiTheme="minorEastAsia" w:eastAsiaTheme="minorEastAsia" w:hAnsiTheme="minorEastAsia"/>
          <w:color w:val="000000" w:themeColor="text1"/>
        </w:rPr>
        <w:t>易方达策略成长二号混合型基金</w:t>
      </w:r>
      <w:r w:rsidRPr="00621B7F">
        <w:rPr>
          <w:rFonts w:asciiTheme="minorEastAsia" w:eastAsiaTheme="minorEastAsia" w:hAnsiTheme="minorEastAsia" w:hint="eastAsia"/>
          <w:color w:val="000000" w:themeColor="text1"/>
        </w:rPr>
        <w:t>基金份额计算如下：</w:t>
      </w:r>
    </w:p>
    <w:p w:rsidR="004C0465" w:rsidRPr="00621B7F" w:rsidP="00241F10">
      <w:pPr>
        <w:snapToGrid w:val="0"/>
        <w:spacing w:line="360" w:lineRule="auto"/>
        <w:ind w:firstLine="420"/>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转换</w:t>
      </w:r>
      <w:r w:rsidRPr="00621B7F">
        <w:rPr>
          <w:rFonts w:asciiTheme="minorEastAsia" w:eastAsiaTheme="minorEastAsia" w:hAnsiTheme="minorEastAsia"/>
          <w:color w:val="000000" w:themeColor="text1"/>
          <w:szCs w:val="20"/>
        </w:rPr>
        <w:t>金额＝转出基金申请份额×转出基金份额净值=10</w:t>
      </w:r>
      <w:r w:rsidRPr="00621B7F" w:rsidR="00C91458">
        <w:rPr>
          <w:rFonts w:asciiTheme="minorEastAsia" w:eastAsiaTheme="minorEastAsia" w:hAnsiTheme="minorEastAsia" w:hint="eastAsia"/>
          <w:color w:val="000000" w:themeColor="text1"/>
          <w:szCs w:val="20"/>
        </w:rPr>
        <w:t>,</w:t>
      </w:r>
      <w:r w:rsidRPr="00621B7F">
        <w:rPr>
          <w:rFonts w:asciiTheme="minorEastAsia" w:eastAsiaTheme="minorEastAsia" w:hAnsiTheme="minorEastAsia"/>
          <w:color w:val="000000" w:themeColor="text1"/>
          <w:szCs w:val="20"/>
        </w:rPr>
        <w:t>000×1</w:t>
      </w:r>
      <w:r w:rsidRPr="00621B7F">
        <w:rPr>
          <w:rFonts w:asciiTheme="minorEastAsia" w:eastAsiaTheme="minorEastAsia" w:hAnsiTheme="minorEastAsia" w:hint="eastAsia"/>
          <w:color w:val="000000" w:themeColor="text1"/>
          <w:szCs w:val="20"/>
        </w:rPr>
        <w:t>.100</w:t>
      </w:r>
      <w:r w:rsidRPr="00621B7F" w:rsidR="008D33C1">
        <w:rPr>
          <w:rFonts w:asciiTheme="minorEastAsia" w:eastAsiaTheme="minorEastAsia" w:hAnsiTheme="minorEastAsia" w:hint="eastAsia"/>
          <w:color w:val="000000" w:themeColor="text1"/>
          <w:szCs w:val="20"/>
        </w:rPr>
        <w:t>0</w:t>
      </w:r>
      <w:r w:rsidRPr="00621B7F">
        <w:rPr>
          <w:rFonts w:asciiTheme="minorEastAsia" w:eastAsiaTheme="minorEastAsia" w:hAnsiTheme="minorEastAsia"/>
          <w:color w:val="000000" w:themeColor="text1"/>
          <w:szCs w:val="20"/>
        </w:rPr>
        <w:t>＝1</w:t>
      </w:r>
      <w:r w:rsidRPr="00621B7F">
        <w:rPr>
          <w:rFonts w:asciiTheme="minorEastAsia" w:eastAsiaTheme="minorEastAsia" w:hAnsiTheme="minorEastAsia" w:hint="eastAsia"/>
          <w:color w:val="000000" w:themeColor="text1"/>
          <w:szCs w:val="20"/>
        </w:rPr>
        <w:t>1</w:t>
      </w:r>
      <w:r w:rsidRPr="00621B7F" w:rsidR="00C91458">
        <w:rPr>
          <w:rFonts w:asciiTheme="minorEastAsia" w:eastAsiaTheme="minorEastAsia" w:hAnsiTheme="minorEastAsia" w:hint="eastAsia"/>
          <w:color w:val="000000" w:themeColor="text1"/>
          <w:szCs w:val="20"/>
        </w:rPr>
        <w:t>,</w:t>
      </w:r>
      <w:r w:rsidRPr="00621B7F">
        <w:rPr>
          <w:rFonts w:asciiTheme="minorEastAsia" w:eastAsiaTheme="minorEastAsia" w:hAnsiTheme="minorEastAsia"/>
          <w:color w:val="000000" w:themeColor="text1"/>
          <w:szCs w:val="20"/>
        </w:rPr>
        <w:t>000</w:t>
      </w:r>
      <w:r w:rsidRPr="00621B7F">
        <w:rPr>
          <w:rFonts w:asciiTheme="minorEastAsia" w:eastAsiaTheme="minorEastAsia" w:hAnsiTheme="minorEastAsia" w:hint="eastAsia"/>
          <w:color w:val="000000" w:themeColor="text1"/>
          <w:szCs w:val="20"/>
        </w:rPr>
        <w:t>.00</w:t>
      </w:r>
      <w:r w:rsidRPr="00621B7F">
        <w:rPr>
          <w:rFonts w:asciiTheme="minorEastAsia" w:eastAsiaTheme="minorEastAsia" w:hAnsiTheme="minorEastAsia"/>
          <w:color w:val="000000" w:themeColor="text1"/>
          <w:szCs w:val="20"/>
        </w:rPr>
        <w:t>元</w:t>
      </w:r>
    </w:p>
    <w:p w:rsidR="004C0465" w:rsidRPr="00621B7F" w:rsidP="00241F10">
      <w:pPr>
        <w:snapToGrid w:val="0"/>
        <w:spacing w:line="360" w:lineRule="auto"/>
        <w:ind w:firstLine="420"/>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转出基金</w:t>
      </w:r>
      <w:r w:rsidRPr="00621B7F">
        <w:rPr>
          <w:rFonts w:asciiTheme="minorEastAsia" w:eastAsiaTheme="minorEastAsia" w:hAnsiTheme="minorEastAsia"/>
          <w:color w:val="000000" w:themeColor="text1"/>
          <w:szCs w:val="20"/>
        </w:rPr>
        <w:t>赎回费＝</w:t>
      </w:r>
      <w:r w:rsidRPr="00621B7F">
        <w:rPr>
          <w:rFonts w:asciiTheme="minorEastAsia" w:eastAsiaTheme="minorEastAsia" w:hAnsiTheme="minorEastAsia" w:hint="eastAsia"/>
          <w:color w:val="000000" w:themeColor="text1"/>
          <w:szCs w:val="20"/>
        </w:rPr>
        <w:t>转换</w:t>
      </w:r>
      <w:r w:rsidRPr="00621B7F">
        <w:rPr>
          <w:rFonts w:asciiTheme="minorEastAsia" w:eastAsiaTheme="minorEastAsia" w:hAnsiTheme="minorEastAsia"/>
          <w:color w:val="000000" w:themeColor="text1"/>
          <w:szCs w:val="20"/>
        </w:rPr>
        <w:t>金额×</w:t>
      </w:r>
      <w:r w:rsidRPr="00621B7F">
        <w:rPr>
          <w:rFonts w:asciiTheme="minorEastAsia" w:eastAsiaTheme="minorEastAsia" w:hAnsiTheme="minorEastAsia" w:hint="eastAsia"/>
          <w:color w:val="000000" w:themeColor="text1"/>
          <w:szCs w:val="20"/>
        </w:rPr>
        <w:t>转出基金</w:t>
      </w:r>
      <w:r w:rsidRPr="00621B7F">
        <w:rPr>
          <w:rFonts w:asciiTheme="minorEastAsia" w:eastAsiaTheme="minorEastAsia" w:hAnsiTheme="minorEastAsia"/>
          <w:color w:val="000000" w:themeColor="text1"/>
          <w:szCs w:val="20"/>
        </w:rPr>
        <w:t>赎回费率</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color w:val="000000" w:themeColor="text1"/>
          <w:szCs w:val="20"/>
        </w:rPr>
        <w:t>1</w:t>
      </w:r>
      <w:r w:rsidRPr="00621B7F">
        <w:rPr>
          <w:rFonts w:asciiTheme="minorEastAsia" w:eastAsiaTheme="minorEastAsia" w:hAnsiTheme="minorEastAsia" w:hint="eastAsia"/>
          <w:color w:val="000000" w:themeColor="text1"/>
          <w:szCs w:val="20"/>
        </w:rPr>
        <w:t>1</w:t>
      </w:r>
      <w:r w:rsidRPr="00621B7F" w:rsidR="00C91458">
        <w:rPr>
          <w:rFonts w:asciiTheme="minorEastAsia" w:eastAsiaTheme="minorEastAsia" w:hAnsiTheme="minorEastAsia" w:hint="eastAsia"/>
          <w:color w:val="000000" w:themeColor="text1"/>
          <w:szCs w:val="20"/>
        </w:rPr>
        <w:t>,</w:t>
      </w:r>
      <w:r w:rsidRPr="00621B7F">
        <w:rPr>
          <w:rFonts w:asciiTheme="minorEastAsia" w:eastAsiaTheme="minorEastAsia" w:hAnsiTheme="minorEastAsia"/>
          <w:color w:val="000000" w:themeColor="text1"/>
          <w:szCs w:val="20"/>
        </w:rPr>
        <w:t>000</w:t>
      </w:r>
      <w:r w:rsidRPr="00621B7F">
        <w:rPr>
          <w:rFonts w:asciiTheme="minorEastAsia" w:eastAsiaTheme="minorEastAsia" w:hAnsiTheme="minorEastAsia" w:hint="eastAsia"/>
          <w:color w:val="000000" w:themeColor="text1"/>
          <w:szCs w:val="20"/>
        </w:rPr>
        <w:t>.00</w:t>
      </w:r>
      <w:r w:rsidRPr="00621B7F">
        <w:rPr>
          <w:rFonts w:asciiTheme="minorEastAsia" w:eastAsiaTheme="minorEastAsia" w:hAnsiTheme="minorEastAsia"/>
          <w:color w:val="000000" w:themeColor="text1"/>
          <w:szCs w:val="20"/>
        </w:rPr>
        <w:t>×</w:t>
      </w:r>
      <w:r w:rsidRPr="00621B7F">
        <w:rPr>
          <w:rFonts w:asciiTheme="minorEastAsia" w:eastAsiaTheme="minorEastAsia" w:hAnsiTheme="minorEastAsia" w:hint="eastAsia"/>
          <w:color w:val="000000" w:themeColor="text1"/>
          <w:szCs w:val="20"/>
        </w:rPr>
        <w:t>0.5%=55.00元</w:t>
      </w:r>
    </w:p>
    <w:p w:rsidR="004C0465" w:rsidRPr="00621B7F" w:rsidP="00241F10">
      <w:pPr>
        <w:snapToGrid w:val="0"/>
        <w:spacing w:line="360" w:lineRule="auto"/>
        <w:ind w:firstLine="420"/>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申购</w:t>
      </w:r>
      <w:r w:rsidRPr="00621B7F">
        <w:rPr>
          <w:rFonts w:asciiTheme="minorEastAsia" w:eastAsiaTheme="minorEastAsia" w:hAnsiTheme="minorEastAsia"/>
          <w:color w:val="000000" w:themeColor="text1"/>
          <w:szCs w:val="20"/>
        </w:rPr>
        <w:t>补差费</w:t>
      </w:r>
      <w:r w:rsidRPr="00621B7F">
        <w:rPr>
          <w:rFonts w:asciiTheme="minorEastAsia" w:eastAsiaTheme="minorEastAsia" w:hAnsiTheme="minorEastAsia" w:hint="eastAsia"/>
          <w:color w:val="000000" w:themeColor="text1"/>
          <w:szCs w:val="20"/>
        </w:rPr>
        <w:t>=（转换</w:t>
      </w:r>
      <w:r w:rsidRPr="00621B7F">
        <w:rPr>
          <w:rFonts w:asciiTheme="minorEastAsia" w:eastAsiaTheme="minorEastAsia" w:hAnsiTheme="minorEastAsia"/>
          <w:color w:val="000000" w:themeColor="text1"/>
          <w:szCs w:val="20"/>
        </w:rPr>
        <w:t>金额</w:t>
      </w:r>
      <w:r w:rsidRPr="00621B7F">
        <w:rPr>
          <w:rFonts w:asciiTheme="minorEastAsia" w:eastAsiaTheme="minorEastAsia" w:hAnsiTheme="minorEastAsia" w:hint="eastAsia"/>
          <w:color w:val="000000" w:themeColor="text1"/>
          <w:szCs w:val="20"/>
        </w:rPr>
        <w:t>—转出基金</w:t>
      </w:r>
      <w:r w:rsidRPr="00621B7F">
        <w:rPr>
          <w:rFonts w:asciiTheme="minorEastAsia" w:eastAsiaTheme="minorEastAsia" w:hAnsiTheme="minorEastAsia"/>
          <w:color w:val="000000" w:themeColor="text1"/>
          <w:szCs w:val="20"/>
        </w:rPr>
        <w:t>赎回费</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color w:val="000000" w:themeColor="text1"/>
          <w:szCs w:val="20"/>
        </w:rPr>
        <w:t>×</w:t>
      </w:r>
      <w:r w:rsidRPr="00621B7F">
        <w:rPr>
          <w:rFonts w:asciiTheme="minorEastAsia" w:eastAsiaTheme="minorEastAsia" w:hAnsiTheme="minorEastAsia" w:hint="eastAsia"/>
          <w:color w:val="000000" w:themeColor="text1"/>
          <w:szCs w:val="20"/>
        </w:rPr>
        <w:t>申购</w:t>
      </w:r>
      <w:r w:rsidRPr="00621B7F">
        <w:rPr>
          <w:rFonts w:asciiTheme="minorEastAsia" w:eastAsiaTheme="minorEastAsia" w:hAnsiTheme="minorEastAsia"/>
          <w:color w:val="000000" w:themeColor="text1"/>
          <w:szCs w:val="20"/>
        </w:rPr>
        <w:t>补差费率÷（１＋</w:t>
      </w:r>
      <w:r w:rsidRPr="00621B7F">
        <w:rPr>
          <w:rFonts w:asciiTheme="minorEastAsia" w:eastAsiaTheme="minorEastAsia" w:hAnsiTheme="minorEastAsia" w:hint="eastAsia"/>
          <w:color w:val="000000" w:themeColor="text1"/>
          <w:szCs w:val="20"/>
        </w:rPr>
        <w:t>申购</w:t>
      </w:r>
      <w:r w:rsidRPr="00621B7F">
        <w:rPr>
          <w:rFonts w:asciiTheme="minorEastAsia" w:eastAsiaTheme="minorEastAsia" w:hAnsiTheme="minorEastAsia"/>
          <w:color w:val="000000" w:themeColor="text1"/>
          <w:szCs w:val="20"/>
        </w:rPr>
        <w:t>补差费率）</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color w:val="000000" w:themeColor="text1"/>
          <w:szCs w:val="20"/>
        </w:rPr>
        <w:t>1</w:t>
      </w:r>
      <w:r w:rsidRPr="00621B7F">
        <w:rPr>
          <w:rFonts w:asciiTheme="minorEastAsia" w:eastAsiaTheme="minorEastAsia" w:hAnsiTheme="minorEastAsia" w:hint="eastAsia"/>
          <w:color w:val="000000" w:themeColor="text1"/>
          <w:szCs w:val="20"/>
        </w:rPr>
        <w:t>1</w:t>
      </w:r>
      <w:r w:rsidRPr="00621B7F" w:rsidR="00C91458">
        <w:rPr>
          <w:rFonts w:asciiTheme="minorEastAsia" w:eastAsiaTheme="minorEastAsia" w:hAnsiTheme="minorEastAsia" w:hint="eastAsia"/>
          <w:color w:val="000000" w:themeColor="text1"/>
          <w:szCs w:val="20"/>
        </w:rPr>
        <w:t>,</w:t>
      </w:r>
      <w:r w:rsidRPr="00621B7F">
        <w:rPr>
          <w:rFonts w:asciiTheme="minorEastAsia" w:eastAsiaTheme="minorEastAsia" w:hAnsiTheme="minorEastAsia"/>
          <w:color w:val="000000" w:themeColor="text1"/>
          <w:szCs w:val="20"/>
        </w:rPr>
        <w:t>000</w:t>
      </w:r>
      <w:r w:rsidRPr="00621B7F">
        <w:rPr>
          <w:rFonts w:asciiTheme="minorEastAsia" w:eastAsiaTheme="minorEastAsia" w:hAnsiTheme="minorEastAsia" w:hint="eastAsia"/>
          <w:color w:val="000000" w:themeColor="text1"/>
          <w:szCs w:val="20"/>
        </w:rPr>
        <w:t>.0</w:t>
      </w:r>
      <w:r w:rsidRPr="00621B7F" w:rsidR="00C91458">
        <w:rPr>
          <w:rFonts w:asciiTheme="minorEastAsia" w:eastAsiaTheme="minorEastAsia" w:hAnsiTheme="minorEastAsia" w:hint="eastAsia"/>
          <w:color w:val="000000" w:themeColor="text1"/>
          <w:szCs w:val="20"/>
        </w:rPr>
        <w:t>0</w:t>
      </w:r>
      <w:r w:rsidRPr="00621B7F">
        <w:rPr>
          <w:rFonts w:asciiTheme="minorEastAsia" w:eastAsiaTheme="minorEastAsia" w:hAnsiTheme="minorEastAsia" w:hint="eastAsia"/>
          <w:color w:val="000000" w:themeColor="text1"/>
          <w:szCs w:val="20"/>
        </w:rPr>
        <w:t>-55.00）</w:t>
      </w:r>
      <w:r w:rsidRPr="00621B7F">
        <w:rPr>
          <w:rFonts w:asciiTheme="minorEastAsia" w:eastAsiaTheme="minorEastAsia" w:hAnsiTheme="minorEastAsia"/>
          <w:color w:val="000000" w:themeColor="text1"/>
          <w:szCs w:val="20"/>
        </w:rPr>
        <w:t>×</w:t>
      </w:r>
      <w:r w:rsidRPr="00621B7F">
        <w:rPr>
          <w:rFonts w:asciiTheme="minorEastAsia" w:eastAsiaTheme="minorEastAsia" w:hAnsiTheme="minorEastAsia" w:hint="eastAsia"/>
          <w:color w:val="000000" w:themeColor="text1"/>
          <w:szCs w:val="20"/>
        </w:rPr>
        <w:t>0.</w:t>
      </w:r>
      <w:r w:rsidRPr="00621B7F">
        <w:rPr>
          <w:rFonts w:asciiTheme="minorEastAsia" w:eastAsiaTheme="minorEastAsia" w:hAnsiTheme="minorEastAsia" w:hint="eastAsia"/>
          <w:color w:val="000000" w:themeColor="text1"/>
        </w:rPr>
        <w:t>8</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color w:val="000000" w:themeColor="text1"/>
          <w:szCs w:val="20"/>
        </w:rPr>
        <w:t>÷</w:t>
      </w:r>
      <w:r w:rsidRPr="00621B7F">
        <w:rPr>
          <w:rFonts w:asciiTheme="minorEastAsia" w:eastAsiaTheme="minorEastAsia" w:hAnsiTheme="minorEastAsia" w:hint="eastAsia"/>
          <w:color w:val="000000" w:themeColor="text1"/>
          <w:szCs w:val="20"/>
        </w:rPr>
        <w:t>(1+0.</w:t>
      </w:r>
      <w:r w:rsidRPr="00621B7F">
        <w:rPr>
          <w:rFonts w:asciiTheme="minorEastAsia" w:eastAsiaTheme="minorEastAsia" w:hAnsiTheme="minorEastAsia" w:hint="eastAsia"/>
          <w:color w:val="000000" w:themeColor="text1"/>
        </w:rPr>
        <w:t>8</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hint="eastAsia"/>
          <w:color w:val="000000" w:themeColor="text1"/>
        </w:rPr>
        <w:t>86.87</w:t>
      </w:r>
      <w:r w:rsidRPr="00621B7F">
        <w:rPr>
          <w:rFonts w:asciiTheme="minorEastAsia" w:eastAsiaTheme="minorEastAsia" w:hAnsiTheme="minorEastAsia" w:hint="eastAsia"/>
          <w:color w:val="000000" w:themeColor="text1"/>
          <w:szCs w:val="20"/>
        </w:rPr>
        <w:t>元</w:t>
      </w:r>
    </w:p>
    <w:p w:rsidR="004C0465" w:rsidRPr="00621B7F" w:rsidP="00241F10">
      <w:pPr>
        <w:snapToGrid w:val="0"/>
        <w:spacing w:line="360" w:lineRule="auto"/>
        <w:ind w:firstLine="420"/>
        <w:rPr>
          <w:rFonts w:asciiTheme="minorEastAsia" w:eastAsiaTheme="minorEastAsia" w:hAnsiTheme="minorEastAsia"/>
          <w:color w:val="000000" w:themeColor="text1"/>
          <w:szCs w:val="20"/>
        </w:rPr>
      </w:pPr>
      <w:r w:rsidRPr="00621B7F">
        <w:rPr>
          <w:rFonts w:asciiTheme="minorEastAsia" w:eastAsiaTheme="minorEastAsia" w:hAnsiTheme="minorEastAsia"/>
          <w:color w:val="000000" w:themeColor="text1"/>
          <w:szCs w:val="20"/>
        </w:rPr>
        <w:t>转换费＝转出基金赎回费+申购补差费=</w:t>
      </w:r>
      <w:r w:rsidRPr="00621B7F">
        <w:rPr>
          <w:rFonts w:asciiTheme="minorEastAsia" w:eastAsiaTheme="minorEastAsia" w:hAnsiTheme="minorEastAsia" w:hint="eastAsia"/>
          <w:color w:val="000000" w:themeColor="text1"/>
          <w:szCs w:val="20"/>
        </w:rPr>
        <w:t>55.00</w:t>
      </w:r>
      <w:r w:rsidRPr="00621B7F">
        <w:rPr>
          <w:rFonts w:asciiTheme="minorEastAsia" w:eastAsiaTheme="minorEastAsia" w:hAnsiTheme="minorEastAsia"/>
          <w:color w:val="000000" w:themeColor="text1"/>
          <w:szCs w:val="20"/>
        </w:rPr>
        <w:t>+</w:t>
      </w:r>
      <w:r w:rsidRPr="00621B7F">
        <w:rPr>
          <w:rFonts w:asciiTheme="minorEastAsia" w:eastAsiaTheme="minorEastAsia" w:hAnsiTheme="minorEastAsia" w:hint="eastAsia"/>
          <w:color w:val="000000" w:themeColor="text1"/>
        </w:rPr>
        <w:t>86.87</w:t>
      </w:r>
      <w:r w:rsidRPr="00621B7F">
        <w:rPr>
          <w:rFonts w:asciiTheme="minorEastAsia" w:eastAsiaTheme="minorEastAsia" w:hAnsiTheme="minorEastAsia"/>
          <w:color w:val="000000" w:themeColor="text1"/>
          <w:szCs w:val="20"/>
        </w:rPr>
        <w:t>＝</w:t>
      </w:r>
      <w:r w:rsidRPr="00621B7F">
        <w:rPr>
          <w:rFonts w:asciiTheme="minorEastAsia" w:eastAsiaTheme="minorEastAsia" w:hAnsiTheme="minorEastAsia" w:hint="eastAsia"/>
          <w:color w:val="000000" w:themeColor="text1"/>
        </w:rPr>
        <w:t>141.87</w:t>
      </w:r>
      <w:r w:rsidRPr="00621B7F">
        <w:rPr>
          <w:rFonts w:asciiTheme="minorEastAsia" w:eastAsiaTheme="minorEastAsia" w:hAnsiTheme="minorEastAsia" w:hint="eastAsia"/>
          <w:color w:val="000000" w:themeColor="text1"/>
          <w:szCs w:val="20"/>
        </w:rPr>
        <w:t>元</w:t>
      </w:r>
    </w:p>
    <w:p w:rsidR="004C0465" w:rsidRPr="00621B7F" w:rsidP="00241F10">
      <w:pPr>
        <w:snapToGrid w:val="0"/>
        <w:spacing w:line="360" w:lineRule="auto"/>
        <w:ind w:firstLine="420"/>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转入金额=转换</w:t>
      </w:r>
      <w:r w:rsidRPr="00621B7F">
        <w:rPr>
          <w:rFonts w:asciiTheme="minorEastAsia" w:eastAsiaTheme="minorEastAsia" w:hAnsiTheme="minorEastAsia"/>
          <w:color w:val="000000" w:themeColor="text1"/>
          <w:szCs w:val="20"/>
        </w:rPr>
        <w:t>金额</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color w:val="000000" w:themeColor="text1"/>
          <w:szCs w:val="20"/>
        </w:rPr>
        <w:t>转换费</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color w:val="000000" w:themeColor="text1"/>
          <w:szCs w:val="20"/>
        </w:rPr>
        <w:t>1</w:t>
      </w:r>
      <w:r w:rsidRPr="00621B7F">
        <w:rPr>
          <w:rFonts w:asciiTheme="minorEastAsia" w:eastAsiaTheme="minorEastAsia" w:hAnsiTheme="minorEastAsia" w:hint="eastAsia"/>
          <w:color w:val="000000" w:themeColor="text1"/>
          <w:szCs w:val="20"/>
        </w:rPr>
        <w:t>1</w:t>
      </w:r>
      <w:r w:rsidRPr="00621B7F">
        <w:rPr>
          <w:rFonts w:asciiTheme="minorEastAsia" w:eastAsiaTheme="minorEastAsia" w:hAnsiTheme="minorEastAsia" w:hint="eastAsia"/>
          <w:color w:val="000000" w:themeColor="text1"/>
        </w:rPr>
        <w:t>,</w:t>
      </w:r>
      <w:r w:rsidRPr="00621B7F">
        <w:rPr>
          <w:rFonts w:asciiTheme="minorEastAsia" w:eastAsiaTheme="minorEastAsia" w:hAnsiTheme="minorEastAsia"/>
          <w:color w:val="000000" w:themeColor="text1"/>
          <w:szCs w:val="20"/>
        </w:rPr>
        <w:t>000</w:t>
      </w:r>
      <w:r w:rsidRPr="00621B7F">
        <w:rPr>
          <w:rFonts w:asciiTheme="minorEastAsia" w:eastAsiaTheme="minorEastAsia" w:hAnsiTheme="minorEastAsia" w:hint="eastAsia"/>
          <w:color w:val="000000" w:themeColor="text1"/>
          <w:szCs w:val="20"/>
        </w:rPr>
        <w:t>.00</w:t>
      </w:r>
      <w:r w:rsidRPr="00621B7F">
        <w:rPr>
          <w:rFonts w:asciiTheme="minorEastAsia" w:eastAsiaTheme="minorEastAsia" w:hAnsiTheme="minorEastAsia" w:hint="eastAsia"/>
          <w:color w:val="000000" w:themeColor="text1"/>
        </w:rPr>
        <w:t>-141.87</w:t>
      </w:r>
      <w:r w:rsidRPr="00621B7F">
        <w:rPr>
          <w:rFonts w:asciiTheme="minorEastAsia" w:eastAsiaTheme="minorEastAsia" w:hAnsiTheme="minorEastAsia" w:hint="eastAsia"/>
          <w:color w:val="000000" w:themeColor="text1"/>
          <w:szCs w:val="20"/>
        </w:rPr>
        <w:t>=10</w:t>
      </w:r>
      <w:r w:rsidRPr="00621B7F" w:rsidR="00C91458">
        <w:rPr>
          <w:rFonts w:asciiTheme="minorEastAsia" w:eastAsiaTheme="minorEastAsia" w:hAnsiTheme="minorEastAsia" w:hint="eastAsia"/>
          <w:color w:val="000000" w:themeColor="text1"/>
          <w:szCs w:val="20"/>
        </w:rPr>
        <w:t>,</w:t>
      </w:r>
      <w:r w:rsidRPr="00621B7F">
        <w:rPr>
          <w:rFonts w:asciiTheme="minorEastAsia" w:eastAsiaTheme="minorEastAsia" w:hAnsiTheme="minorEastAsia" w:hint="eastAsia"/>
          <w:color w:val="000000" w:themeColor="text1"/>
          <w:szCs w:val="20"/>
        </w:rPr>
        <w:t>8</w:t>
      </w:r>
      <w:r w:rsidRPr="00621B7F">
        <w:rPr>
          <w:rFonts w:asciiTheme="minorEastAsia" w:eastAsiaTheme="minorEastAsia" w:hAnsiTheme="minorEastAsia" w:hint="eastAsia"/>
          <w:color w:val="000000" w:themeColor="text1"/>
        </w:rPr>
        <w:t>58</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hint="eastAsia"/>
          <w:color w:val="000000" w:themeColor="text1"/>
        </w:rPr>
        <w:t>13</w:t>
      </w:r>
      <w:r w:rsidRPr="00621B7F">
        <w:rPr>
          <w:rFonts w:asciiTheme="minorEastAsia" w:eastAsiaTheme="minorEastAsia" w:hAnsiTheme="minorEastAsia" w:hint="eastAsia"/>
          <w:color w:val="000000" w:themeColor="text1"/>
          <w:szCs w:val="20"/>
        </w:rPr>
        <w:t>元</w:t>
      </w:r>
    </w:p>
    <w:p w:rsidR="004C0465" w:rsidRPr="00621B7F" w:rsidP="00241F10">
      <w:pPr>
        <w:snapToGrid w:val="0"/>
        <w:spacing w:line="360" w:lineRule="auto"/>
        <w:ind w:firstLine="420"/>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转入份额=转入金额</w:t>
      </w:r>
      <w:r w:rsidRPr="00621B7F">
        <w:rPr>
          <w:rFonts w:asciiTheme="minorEastAsia" w:eastAsiaTheme="minorEastAsia" w:hAnsiTheme="minorEastAsia"/>
          <w:color w:val="000000" w:themeColor="text1"/>
          <w:szCs w:val="20"/>
        </w:rPr>
        <w:t>÷</w:t>
      </w:r>
      <w:r w:rsidRPr="00621B7F">
        <w:rPr>
          <w:rFonts w:asciiTheme="minorEastAsia" w:eastAsiaTheme="minorEastAsia" w:hAnsiTheme="minorEastAsia" w:hint="eastAsia"/>
          <w:color w:val="000000" w:themeColor="text1"/>
          <w:szCs w:val="20"/>
        </w:rPr>
        <w:t>转入基金份额净值=10</w:t>
      </w:r>
      <w:r w:rsidRPr="00621B7F" w:rsidR="00C91458">
        <w:rPr>
          <w:rFonts w:asciiTheme="minorEastAsia" w:eastAsiaTheme="minorEastAsia" w:hAnsiTheme="minorEastAsia" w:hint="eastAsia"/>
          <w:color w:val="000000" w:themeColor="text1"/>
          <w:szCs w:val="20"/>
        </w:rPr>
        <w:t>,</w:t>
      </w:r>
      <w:r w:rsidRPr="00621B7F">
        <w:rPr>
          <w:rFonts w:asciiTheme="minorEastAsia" w:eastAsiaTheme="minorEastAsia" w:hAnsiTheme="minorEastAsia" w:hint="eastAsia"/>
          <w:color w:val="000000" w:themeColor="text1"/>
          <w:szCs w:val="20"/>
        </w:rPr>
        <w:t>8</w:t>
      </w:r>
      <w:r w:rsidRPr="00621B7F">
        <w:rPr>
          <w:rFonts w:asciiTheme="minorEastAsia" w:eastAsiaTheme="minorEastAsia" w:hAnsiTheme="minorEastAsia" w:hint="eastAsia"/>
          <w:color w:val="000000" w:themeColor="text1"/>
        </w:rPr>
        <w:t>58</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hint="eastAsia"/>
          <w:color w:val="000000" w:themeColor="text1"/>
        </w:rPr>
        <w:t>13</w:t>
      </w:r>
      <w:r w:rsidRPr="00621B7F">
        <w:rPr>
          <w:rFonts w:asciiTheme="minorEastAsia" w:eastAsiaTheme="minorEastAsia" w:hAnsiTheme="minorEastAsia"/>
          <w:color w:val="000000" w:themeColor="text1"/>
          <w:szCs w:val="20"/>
        </w:rPr>
        <w:t>÷</w:t>
      </w:r>
      <w:r w:rsidRPr="00621B7F">
        <w:rPr>
          <w:rFonts w:asciiTheme="minorEastAsia" w:eastAsiaTheme="minorEastAsia" w:hAnsiTheme="minorEastAsia" w:hint="eastAsia"/>
          <w:color w:val="000000" w:themeColor="text1"/>
          <w:szCs w:val="20"/>
        </w:rPr>
        <w:t>1.020=10,6</w:t>
      </w:r>
      <w:r w:rsidRPr="00621B7F">
        <w:rPr>
          <w:rFonts w:asciiTheme="minorEastAsia" w:eastAsiaTheme="minorEastAsia" w:hAnsiTheme="minorEastAsia" w:hint="eastAsia"/>
          <w:color w:val="000000" w:themeColor="text1"/>
        </w:rPr>
        <w:t>45</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hint="eastAsia"/>
          <w:color w:val="000000" w:themeColor="text1"/>
        </w:rPr>
        <w:t>23</w:t>
      </w:r>
      <w:r w:rsidRPr="00621B7F">
        <w:rPr>
          <w:rFonts w:asciiTheme="minorEastAsia" w:eastAsiaTheme="minorEastAsia" w:hAnsiTheme="minorEastAsia" w:hint="eastAsia"/>
          <w:color w:val="000000" w:themeColor="text1"/>
          <w:szCs w:val="20"/>
        </w:rPr>
        <w:t>份</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0"/>
        <w:gridCol w:w="1440"/>
        <w:gridCol w:w="1260"/>
        <w:gridCol w:w="1080"/>
        <w:gridCol w:w="1440"/>
        <w:gridCol w:w="1185"/>
        <w:gridCol w:w="1335"/>
      </w:tblGrid>
      <w:tr w:rsidTr="00CE73DB">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13"/>
        </w:trPr>
        <w:tc>
          <w:tcPr>
            <w:tcW w:w="1080" w:type="dxa"/>
            <w:vMerge w:val="restart"/>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转出</w:t>
            </w:r>
            <w:r w:rsidRPr="00621B7F">
              <w:rPr>
                <w:rFonts w:asciiTheme="minorEastAsia" w:eastAsiaTheme="minorEastAsia" w:hAnsiTheme="minorEastAsia"/>
                <w:color w:val="000000" w:themeColor="text1"/>
                <w:szCs w:val="20"/>
              </w:rPr>
              <w:t>份额</w:t>
            </w:r>
          </w:p>
        </w:tc>
        <w:tc>
          <w:tcPr>
            <w:tcW w:w="900" w:type="dxa"/>
            <w:vMerge w:val="restart"/>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转出</w:t>
            </w:r>
            <w:r w:rsidRPr="00621B7F">
              <w:rPr>
                <w:rFonts w:asciiTheme="minorEastAsia" w:eastAsiaTheme="minorEastAsia" w:hAnsiTheme="minorEastAsia"/>
                <w:color w:val="000000" w:themeColor="text1"/>
                <w:szCs w:val="20"/>
              </w:rPr>
              <w:t>基金</w:t>
            </w:r>
            <w:r w:rsidRPr="00621B7F">
              <w:rPr>
                <w:rFonts w:asciiTheme="minorEastAsia" w:eastAsiaTheme="minorEastAsia" w:hAnsiTheme="minorEastAsia" w:hint="eastAsia"/>
                <w:color w:val="000000" w:themeColor="text1"/>
                <w:szCs w:val="20"/>
              </w:rPr>
              <w:t>份额</w:t>
            </w:r>
            <w:r w:rsidRPr="00621B7F">
              <w:rPr>
                <w:rFonts w:asciiTheme="minorEastAsia" w:eastAsiaTheme="minorEastAsia" w:hAnsiTheme="minorEastAsia"/>
                <w:color w:val="000000" w:themeColor="text1"/>
                <w:szCs w:val="20"/>
              </w:rPr>
              <w:t>净值</w:t>
            </w:r>
          </w:p>
        </w:tc>
        <w:tc>
          <w:tcPr>
            <w:tcW w:w="1440" w:type="dxa"/>
            <w:vMerge w:val="restart"/>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转换金额</w:t>
            </w:r>
          </w:p>
        </w:tc>
        <w:tc>
          <w:tcPr>
            <w:tcW w:w="2340" w:type="dxa"/>
            <w:gridSpan w:val="2"/>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转换费</w:t>
            </w:r>
          </w:p>
        </w:tc>
        <w:tc>
          <w:tcPr>
            <w:tcW w:w="1440" w:type="dxa"/>
            <w:vMerge w:val="restart"/>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转入金额</w:t>
            </w:r>
          </w:p>
        </w:tc>
        <w:tc>
          <w:tcPr>
            <w:tcW w:w="1185" w:type="dxa"/>
            <w:vMerge w:val="restart"/>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转入</w:t>
            </w:r>
            <w:r w:rsidRPr="00621B7F">
              <w:rPr>
                <w:rFonts w:asciiTheme="minorEastAsia" w:eastAsiaTheme="minorEastAsia" w:hAnsiTheme="minorEastAsia"/>
                <w:color w:val="000000" w:themeColor="text1"/>
                <w:szCs w:val="20"/>
              </w:rPr>
              <w:t>基金</w:t>
            </w:r>
            <w:r w:rsidRPr="00621B7F">
              <w:rPr>
                <w:rFonts w:asciiTheme="minorEastAsia" w:eastAsiaTheme="minorEastAsia" w:hAnsiTheme="minorEastAsia" w:hint="eastAsia"/>
                <w:color w:val="000000" w:themeColor="text1"/>
                <w:szCs w:val="20"/>
              </w:rPr>
              <w:t>份额</w:t>
            </w:r>
            <w:r w:rsidRPr="00621B7F">
              <w:rPr>
                <w:rFonts w:asciiTheme="minorEastAsia" w:eastAsiaTheme="minorEastAsia" w:hAnsiTheme="minorEastAsia"/>
                <w:color w:val="000000" w:themeColor="text1"/>
                <w:szCs w:val="20"/>
              </w:rPr>
              <w:t>净值</w:t>
            </w:r>
          </w:p>
        </w:tc>
        <w:tc>
          <w:tcPr>
            <w:tcW w:w="1335" w:type="dxa"/>
            <w:vMerge w:val="restart"/>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转入份额</w:t>
            </w:r>
          </w:p>
        </w:tc>
      </w:tr>
      <w:tr w:rsidTr="00CE73DB">
        <w:tblPrEx>
          <w:tblW w:w="9720" w:type="dxa"/>
          <w:tblLayout w:type="fixed"/>
          <w:tblLook w:val="0000"/>
        </w:tblPrEx>
        <w:trPr>
          <w:trHeight w:val="412"/>
        </w:trPr>
        <w:tc>
          <w:tcPr>
            <w:tcW w:w="1080" w:type="dxa"/>
            <w:vMerge/>
          </w:tcPr>
          <w:p w:rsidR="004C0465" w:rsidRPr="00621B7F" w:rsidP="00241F10">
            <w:pPr>
              <w:snapToGrid w:val="0"/>
              <w:spacing w:line="360" w:lineRule="auto"/>
              <w:ind w:firstLine="420"/>
              <w:rPr>
                <w:rFonts w:asciiTheme="minorEastAsia" w:eastAsiaTheme="minorEastAsia" w:hAnsiTheme="minorEastAsia"/>
                <w:color w:val="000000" w:themeColor="text1"/>
                <w:szCs w:val="20"/>
              </w:rPr>
            </w:pPr>
          </w:p>
        </w:tc>
        <w:tc>
          <w:tcPr>
            <w:tcW w:w="900" w:type="dxa"/>
            <w:vMerge/>
          </w:tcPr>
          <w:p w:rsidR="004C0465" w:rsidRPr="00621B7F" w:rsidP="00241F10">
            <w:pPr>
              <w:snapToGrid w:val="0"/>
              <w:spacing w:line="360" w:lineRule="auto"/>
              <w:ind w:firstLine="420"/>
              <w:rPr>
                <w:rFonts w:asciiTheme="minorEastAsia" w:eastAsiaTheme="minorEastAsia" w:hAnsiTheme="minorEastAsia"/>
                <w:color w:val="000000" w:themeColor="text1"/>
                <w:szCs w:val="20"/>
              </w:rPr>
            </w:pPr>
          </w:p>
        </w:tc>
        <w:tc>
          <w:tcPr>
            <w:tcW w:w="1440" w:type="dxa"/>
            <w:vMerge/>
          </w:tcPr>
          <w:p w:rsidR="004C0465" w:rsidRPr="00621B7F" w:rsidP="00241F10">
            <w:pPr>
              <w:snapToGrid w:val="0"/>
              <w:spacing w:line="360" w:lineRule="auto"/>
              <w:ind w:firstLine="420"/>
              <w:rPr>
                <w:rFonts w:asciiTheme="minorEastAsia" w:eastAsiaTheme="minorEastAsia" w:hAnsiTheme="minorEastAsia"/>
                <w:color w:val="000000" w:themeColor="text1"/>
                <w:szCs w:val="20"/>
              </w:rPr>
            </w:pPr>
          </w:p>
        </w:tc>
        <w:tc>
          <w:tcPr>
            <w:tcW w:w="1260" w:type="dxa"/>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转出基金</w:t>
            </w:r>
            <w:r w:rsidRPr="00621B7F">
              <w:rPr>
                <w:rFonts w:asciiTheme="minorEastAsia" w:eastAsiaTheme="minorEastAsia" w:hAnsiTheme="minorEastAsia"/>
                <w:color w:val="000000" w:themeColor="text1"/>
                <w:szCs w:val="20"/>
              </w:rPr>
              <w:t>赎回费</w:t>
            </w:r>
          </w:p>
        </w:tc>
        <w:tc>
          <w:tcPr>
            <w:tcW w:w="1080" w:type="dxa"/>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申购</w:t>
            </w:r>
            <w:r w:rsidRPr="00621B7F">
              <w:rPr>
                <w:rFonts w:asciiTheme="minorEastAsia" w:eastAsiaTheme="minorEastAsia" w:hAnsiTheme="minorEastAsia"/>
                <w:color w:val="000000" w:themeColor="text1"/>
                <w:szCs w:val="20"/>
              </w:rPr>
              <w:t>补差费</w:t>
            </w:r>
          </w:p>
        </w:tc>
        <w:tc>
          <w:tcPr>
            <w:tcW w:w="1440" w:type="dxa"/>
            <w:vMerge/>
          </w:tcPr>
          <w:p w:rsidR="004C0465" w:rsidRPr="00621B7F" w:rsidP="00241F10">
            <w:pPr>
              <w:snapToGrid w:val="0"/>
              <w:spacing w:line="360" w:lineRule="auto"/>
              <w:ind w:firstLine="420"/>
              <w:rPr>
                <w:rFonts w:asciiTheme="minorEastAsia" w:eastAsiaTheme="minorEastAsia" w:hAnsiTheme="minorEastAsia"/>
                <w:color w:val="000000" w:themeColor="text1"/>
                <w:szCs w:val="20"/>
              </w:rPr>
            </w:pPr>
          </w:p>
        </w:tc>
        <w:tc>
          <w:tcPr>
            <w:tcW w:w="1185" w:type="dxa"/>
            <w:vMerge/>
          </w:tcPr>
          <w:p w:rsidR="004C0465" w:rsidRPr="00621B7F" w:rsidP="00241F10">
            <w:pPr>
              <w:snapToGrid w:val="0"/>
              <w:spacing w:line="360" w:lineRule="auto"/>
              <w:ind w:firstLine="420"/>
              <w:rPr>
                <w:rFonts w:asciiTheme="minorEastAsia" w:eastAsiaTheme="minorEastAsia" w:hAnsiTheme="minorEastAsia"/>
                <w:color w:val="000000" w:themeColor="text1"/>
                <w:szCs w:val="20"/>
              </w:rPr>
            </w:pPr>
          </w:p>
        </w:tc>
        <w:tc>
          <w:tcPr>
            <w:tcW w:w="1335" w:type="dxa"/>
            <w:vMerge/>
          </w:tcPr>
          <w:p w:rsidR="004C0465" w:rsidRPr="00621B7F" w:rsidP="00241F10">
            <w:pPr>
              <w:snapToGrid w:val="0"/>
              <w:spacing w:line="360" w:lineRule="auto"/>
              <w:ind w:firstLine="420"/>
              <w:rPr>
                <w:rFonts w:asciiTheme="minorEastAsia" w:eastAsiaTheme="minorEastAsia" w:hAnsiTheme="minorEastAsia"/>
                <w:color w:val="000000" w:themeColor="text1"/>
                <w:szCs w:val="20"/>
              </w:rPr>
            </w:pPr>
          </w:p>
        </w:tc>
      </w:tr>
      <w:tr w:rsidTr="00CE73DB">
        <w:tblPrEx>
          <w:tblW w:w="9720" w:type="dxa"/>
          <w:tblLayout w:type="fixed"/>
          <w:tblLook w:val="0000"/>
        </w:tblPrEx>
        <w:tc>
          <w:tcPr>
            <w:tcW w:w="1080" w:type="dxa"/>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color w:val="000000" w:themeColor="text1"/>
                <w:szCs w:val="20"/>
              </w:rPr>
              <w:t>10,000</w:t>
            </w:r>
            <w:r w:rsidRPr="00621B7F">
              <w:rPr>
                <w:rFonts w:asciiTheme="minorEastAsia" w:eastAsiaTheme="minorEastAsia" w:hAnsiTheme="minorEastAsia" w:hint="eastAsia"/>
                <w:color w:val="000000" w:themeColor="text1"/>
                <w:szCs w:val="20"/>
              </w:rPr>
              <w:t>份</w:t>
            </w:r>
          </w:p>
        </w:tc>
        <w:tc>
          <w:tcPr>
            <w:tcW w:w="900" w:type="dxa"/>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color w:val="000000" w:themeColor="text1"/>
                <w:szCs w:val="20"/>
              </w:rPr>
              <w:t>1.</w:t>
            </w:r>
            <w:r w:rsidRPr="00621B7F">
              <w:rPr>
                <w:rFonts w:asciiTheme="minorEastAsia" w:eastAsiaTheme="minorEastAsia" w:hAnsiTheme="minorEastAsia" w:hint="eastAsia"/>
                <w:color w:val="000000" w:themeColor="text1"/>
                <w:szCs w:val="20"/>
              </w:rPr>
              <w:t>1</w:t>
            </w:r>
            <w:r w:rsidRPr="00621B7F">
              <w:rPr>
                <w:rFonts w:asciiTheme="minorEastAsia" w:eastAsiaTheme="minorEastAsia" w:hAnsiTheme="minorEastAsia"/>
                <w:color w:val="000000" w:themeColor="text1"/>
                <w:szCs w:val="20"/>
              </w:rPr>
              <w:t>0</w:t>
            </w:r>
            <w:r w:rsidRPr="00621B7F" w:rsidR="008D33C1">
              <w:rPr>
                <w:rFonts w:asciiTheme="minorEastAsia" w:eastAsiaTheme="minorEastAsia" w:hAnsiTheme="minorEastAsia" w:hint="eastAsia"/>
                <w:color w:val="000000" w:themeColor="text1"/>
                <w:szCs w:val="20"/>
              </w:rPr>
              <w:t>0</w:t>
            </w:r>
            <w:r w:rsidRPr="00621B7F">
              <w:rPr>
                <w:rFonts w:asciiTheme="minorEastAsia" w:eastAsiaTheme="minorEastAsia" w:hAnsiTheme="minorEastAsia" w:hint="eastAsia"/>
                <w:color w:val="000000" w:themeColor="text1"/>
                <w:szCs w:val="20"/>
              </w:rPr>
              <w:t>0</w:t>
            </w:r>
            <w:r w:rsidRPr="00621B7F">
              <w:rPr>
                <w:rFonts w:asciiTheme="minorEastAsia" w:eastAsiaTheme="minorEastAsia" w:hAnsiTheme="minorEastAsia"/>
                <w:color w:val="000000" w:themeColor="text1"/>
                <w:szCs w:val="20"/>
              </w:rPr>
              <w:t>元</w:t>
            </w:r>
          </w:p>
        </w:tc>
        <w:tc>
          <w:tcPr>
            <w:tcW w:w="1440" w:type="dxa"/>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11,000.00元</w:t>
            </w:r>
          </w:p>
        </w:tc>
        <w:tc>
          <w:tcPr>
            <w:tcW w:w="1260" w:type="dxa"/>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55.00元</w:t>
            </w:r>
          </w:p>
        </w:tc>
        <w:tc>
          <w:tcPr>
            <w:tcW w:w="1080" w:type="dxa"/>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rPr>
              <w:t>86.87</w:t>
            </w:r>
            <w:r w:rsidRPr="00621B7F">
              <w:rPr>
                <w:rFonts w:asciiTheme="minorEastAsia" w:eastAsiaTheme="minorEastAsia" w:hAnsiTheme="minorEastAsia" w:hint="eastAsia"/>
                <w:color w:val="000000" w:themeColor="text1"/>
                <w:szCs w:val="20"/>
              </w:rPr>
              <w:t>元</w:t>
            </w:r>
          </w:p>
        </w:tc>
        <w:tc>
          <w:tcPr>
            <w:tcW w:w="1440" w:type="dxa"/>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10</w:t>
            </w:r>
            <w:r w:rsidRPr="00621B7F" w:rsidR="00C91458">
              <w:rPr>
                <w:rFonts w:asciiTheme="minorEastAsia" w:eastAsiaTheme="minorEastAsia" w:hAnsiTheme="minorEastAsia" w:hint="eastAsia"/>
                <w:color w:val="000000" w:themeColor="text1"/>
                <w:szCs w:val="20"/>
              </w:rPr>
              <w:t>,</w:t>
            </w:r>
            <w:r w:rsidRPr="00621B7F">
              <w:rPr>
                <w:rFonts w:asciiTheme="minorEastAsia" w:eastAsiaTheme="minorEastAsia" w:hAnsiTheme="minorEastAsia" w:hint="eastAsia"/>
                <w:color w:val="000000" w:themeColor="text1"/>
                <w:szCs w:val="20"/>
              </w:rPr>
              <w:t>8</w:t>
            </w:r>
            <w:r w:rsidRPr="00621B7F">
              <w:rPr>
                <w:rFonts w:asciiTheme="minorEastAsia" w:eastAsiaTheme="minorEastAsia" w:hAnsiTheme="minorEastAsia" w:hint="eastAsia"/>
                <w:color w:val="000000" w:themeColor="text1"/>
              </w:rPr>
              <w:t>58</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hint="eastAsia"/>
                <w:color w:val="000000" w:themeColor="text1"/>
              </w:rPr>
              <w:t>13</w:t>
            </w:r>
            <w:r w:rsidRPr="00621B7F">
              <w:rPr>
                <w:rFonts w:asciiTheme="minorEastAsia" w:eastAsiaTheme="minorEastAsia" w:hAnsiTheme="minorEastAsia" w:hint="eastAsia"/>
                <w:color w:val="000000" w:themeColor="text1"/>
                <w:szCs w:val="20"/>
              </w:rPr>
              <w:t>元</w:t>
            </w:r>
          </w:p>
        </w:tc>
        <w:tc>
          <w:tcPr>
            <w:tcW w:w="1185" w:type="dxa"/>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1.020元</w:t>
            </w:r>
          </w:p>
        </w:tc>
        <w:tc>
          <w:tcPr>
            <w:tcW w:w="1335" w:type="dxa"/>
          </w:tcPr>
          <w:p w:rsidR="004C0465" w:rsidRPr="00621B7F" w:rsidP="00241F10">
            <w:pPr>
              <w:snapToGrid w:val="0"/>
              <w:spacing w:line="360" w:lineRule="auto"/>
              <w:ind w:left="-94" w:right="-120" w:leftChars="-45" w:rightChars="-57"/>
              <w:jc w:val="center"/>
              <w:rPr>
                <w:rFonts w:asciiTheme="minorEastAsia" w:eastAsiaTheme="minorEastAsia" w:hAnsiTheme="minorEastAsia"/>
                <w:color w:val="000000" w:themeColor="text1"/>
                <w:szCs w:val="20"/>
              </w:rPr>
            </w:pPr>
            <w:r w:rsidRPr="00621B7F">
              <w:rPr>
                <w:rFonts w:asciiTheme="minorEastAsia" w:eastAsiaTheme="minorEastAsia" w:hAnsiTheme="minorEastAsia" w:hint="eastAsia"/>
                <w:color w:val="000000" w:themeColor="text1"/>
                <w:szCs w:val="20"/>
              </w:rPr>
              <w:t>10,6</w:t>
            </w:r>
            <w:r w:rsidRPr="00621B7F">
              <w:rPr>
                <w:rFonts w:asciiTheme="minorEastAsia" w:eastAsiaTheme="minorEastAsia" w:hAnsiTheme="minorEastAsia" w:hint="eastAsia"/>
                <w:color w:val="000000" w:themeColor="text1"/>
              </w:rPr>
              <w:t>45</w:t>
            </w:r>
            <w:r w:rsidRPr="00621B7F">
              <w:rPr>
                <w:rFonts w:asciiTheme="minorEastAsia" w:eastAsiaTheme="minorEastAsia" w:hAnsiTheme="minorEastAsia" w:hint="eastAsia"/>
                <w:color w:val="000000" w:themeColor="text1"/>
                <w:szCs w:val="20"/>
              </w:rPr>
              <w:t>.</w:t>
            </w:r>
            <w:r w:rsidRPr="00621B7F">
              <w:rPr>
                <w:rFonts w:asciiTheme="minorEastAsia" w:eastAsiaTheme="minorEastAsia" w:hAnsiTheme="minorEastAsia" w:hint="eastAsia"/>
                <w:color w:val="000000" w:themeColor="text1"/>
              </w:rPr>
              <w:t>23</w:t>
            </w:r>
            <w:r w:rsidRPr="00621B7F">
              <w:rPr>
                <w:rFonts w:asciiTheme="minorEastAsia" w:eastAsiaTheme="minorEastAsia" w:hAnsiTheme="minorEastAsia" w:hint="eastAsia"/>
                <w:color w:val="000000" w:themeColor="text1"/>
                <w:szCs w:val="20"/>
              </w:rPr>
              <w:t>份</w:t>
            </w:r>
          </w:p>
        </w:tc>
      </w:tr>
    </w:tbl>
    <w:p w:rsidR="006C4BC4" w:rsidRPr="00621B7F" w:rsidP="006B7524">
      <w:pPr>
        <w:snapToGrid w:val="0"/>
        <w:spacing w:line="360" w:lineRule="auto"/>
        <w:ind w:firstLine="420"/>
        <w:rPr>
          <w:rFonts w:asciiTheme="minorEastAsia" w:eastAsiaTheme="minorEastAsia" w:hAnsiTheme="minorEastAsia"/>
          <w:b/>
          <w:color w:val="000000" w:themeColor="text1"/>
          <w:szCs w:val="20"/>
        </w:rPr>
      </w:pPr>
      <w:r w:rsidRPr="00621B7F">
        <w:rPr>
          <w:rFonts w:asciiTheme="minorEastAsia" w:eastAsiaTheme="minorEastAsia" w:hAnsiTheme="minorEastAsia" w:hint="eastAsia"/>
          <w:color w:val="000000" w:themeColor="text1"/>
          <w:szCs w:val="20"/>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E91D13" w:rsidRPr="00621B7F" w:rsidP="00A32B85">
      <w:pPr>
        <w:pStyle w:val="Heading2"/>
        <w:snapToGrid w:val="0"/>
        <w:spacing w:beforeLines="0" w:afterLines="0" w:line="360" w:lineRule="auto"/>
        <w:ind w:firstLine="562"/>
        <w:rPr>
          <w:rFonts w:asciiTheme="minorEastAsia" w:eastAsiaTheme="minorEastAsia" w:hAnsiTheme="minorEastAsia"/>
          <w:color w:val="000000" w:themeColor="text1"/>
        </w:rPr>
      </w:pPr>
      <w:bookmarkStart w:id="747" w:name="_Toc198959622"/>
      <w:bookmarkStart w:id="748" w:name="_Toc229996713"/>
      <w:bookmarkStart w:id="749" w:name="_Toc245693559"/>
      <w:bookmarkStart w:id="750" w:name="_Toc258398107"/>
      <w:bookmarkStart w:id="751" w:name="_Toc264906014"/>
      <w:bookmarkStart w:id="752" w:name="_Toc91752049"/>
      <w:r w:rsidRPr="00621B7F">
        <w:rPr>
          <w:rFonts w:asciiTheme="minorEastAsia" w:eastAsiaTheme="minorEastAsia" w:hAnsiTheme="minorEastAsia" w:hint="eastAsia"/>
          <w:color w:val="000000" w:themeColor="text1"/>
        </w:rPr>
        <w:t>（七）基金转换的注册登记</w:t>
      </w:r>
      <w:bookmarkEnd w:id="747"/>
      <w:bookmarkEnd w:id="748"/>
      <w:bookmarkEnd w:id="749"/>
      <w:bookmarkEnd w:id="750"/>
      <w:bookmarkEnd w:id="751"/>
      <w:bookmarkEnd w:id="752"/>
    </w:p>
    <w:p w:rsidR="00E91D13"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cs="宋体" w:hint="eastAsia"/>
          <w:snapToGrid w:val="0"/>
          <w:color w:val="000000" w:themeColor="text1"/>
          <w:kern w:val="0"/>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E91D13" w:rsidRPr="00621B7F" w:rsidP="00241F10">
      <w:pPr>
        <w:pStyle w:val="BodyTextFirstIndent"/>
        <w:snapToGrid w:val="0"/>
        <w:spacing w:after="0"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基金管理人可在法律法规允许的范围内，对上述注册登记办理时间进行调整，并</w:t>
      </w:r>
      <w:r w:rsidRPr="00621B7F">
        <w:rPr>
          <w:rFonts w:asciiTheme="minorEastAsia" w:eastAsiaTheme="minorEastAsia" w:hAnsiTheme="minorEastAsia" w:hint="eastAsia"/>
          <w:color w:val="000000" w:themeColor="text1"/>
          <w:kern w:val="0"/>
          <w:szCs w:val="21"/>
        </w:rPr>
        <w:t>应在调整生效前在至少一种中国证监会指定的媒体上予以公告。</w:t>
      </w:r>
    </w:p>
    <w:p w:rsidR="00E91D13" w:rsidRPr="00621B7F" w:rsidP="00A32B85">
      <w:pPr>
        <w:pStyle w:val="Heading2"/>
        <w:snapToGrid w:val="0"/>
        <w:spacing w:beforeLines="0" w:afterLines="0" w:line="360" w:lineRule="auto"/>
        <w:ind w:firstLine="562"/>
        <w:rPr>
          <w:rFonts w:asciiTheme="minorEastAsia" w:eastAsiaTheme="minorEastAsia" w:hAnsiTheme="minorEastAsia"/>
          <w:color w:val="000000" w:themeColor="text1"/>
        </w:rPr>
      </w:pPr>
      <w:bookmarkStart w:id="753" w:name="_Toc198959623"/>
      <w:bookmarkStart w:id="754" w:name="_Toc229996714"/>
      <w:bookmarkStart w:id="755" w:name="_Toc245693560"/>
      <w:bookmarkStart w:id="756" w:name="_Toc258398108"/>
      <w:bookmarkStart w:id="757" w:name="_Toc264906015"/>
      <w:bookmarkStart w:id="758" w:name="_Toc91752050"/>
      <w:r w:rsidRPr="00621B7F">
        <w:rPr>
          <w:rFonts w:asciiTheme="minorEastAsia" w:eastAsiaTheme="minorEastAsia" w:hAnsiTheme="minorEastAsia" w:hint="eastAsia"/>
          <w:color w:val="000000" w:themeColor="text1"/>
        </w:rPr>
        <w:t>（八）基金转换</w:t>
      </w:r>
      <w:r w:rsidRPr="00621B7F">
        <w:rPr>
          <w:rFonts w:asciiTheme="minorEastAsia" w:eastAsiaTheme="minorEastAsia" w:hAnsiTheme="minorEastAsia"/>
          <w:color w:val="000000" w:themeColor="text1"/>
        </w:rPr>
        <w:t>与巨额赎回</w:t>
      </w:r>
      <w:bookmarkEnd w:id="753"/>
      <w:bookmarkEnd w:id="754"/>
      <w:bookmarkEnd w:id="755"/>
      <w:bookmarkEnd w:id="756"/>
      <w:bookmarkEnd w:id="757"/>
      <w:bookmarkEnd w:id="758"/>
    </w:p>
    <w:p w:rsidR="00E91D13"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当</w:t>
      </w:r>
      <w:r w:rsidRPr="00621B7F">
        <w:rPr>
          <w:rFonts w:asciiTheme="minorEastAsia" w:eastAsiaTheme="minorEastAsia" w:hAnsiTheme="minorEastAsia" w:cs="宋体" w:hint="eastAsia"/>
          <w:color w:val="000000" w:themeColor="text1"/>
          <w:kern w:val="0"/>
          <w:szCs w:val="21"/>
        </w:rPr>
        <w:t>发生巨额赎回时，基金转出与基金赎回具有相同的优先级，基金管理人可根据基金资产组合情况，决定全额转出或部分转出，并且对于基金转出和基金赎回，将采取相同的比例确认（另有公告的除外）；在转出申请得到部分确认的情况下，未确认的转出申请将不予以顺延。</w:t>
      </w:r>
    </w:p>
    <w:p w:rsidR="00E91D13" w:rsidRPr="00621B7F" w:rsidP="00A32B85">
      <w:pPr>
        <w:pStyle w:val="Heading2"/>
        <w:snapToGrid w:val="0"/>
        <w:spacing w:beforeLines="0" w:afterLines="0" w:line="360" w:lineRule="auto"/>
        <w:ind w:firstLine="562"/>
        <w:rPr>
          <w:rFonts w:asciiTheme="minorEastAsia" w:eastAsiaTheme="minorEastAsia" w:hAnsiTheme="minorEastAsia"/>
          <w:color w:val="000000" w:themeColor="text1"/>
        </w:rPr>
      </w:pPr>
      <w:bookmarkStart w:id="759" w:name="_Toc198959624"/>
      <w:bookmarkStart w:id="760" w:name="_Toc229996715"/>
      <w:bookmarkStart w:id="761" w:name="_Toc245693561"/>
      <w:bookmarkStart w:id="762" w:name="_Toc258398109"/>
      <w:bookmarkStart w:id="763" w:name="_Toc264906016"/>
      <w:bookmarkStart w:id="764" w:name="_Toc91752051"/>
      <w:r w:rsidRPr="00621B7F">
        <w:rPr>
          <w:rFonts w:asciiTheme="minorEastAsia" w:eastAsiaTheme="minorEastAsia" w:hAnsiTheme="minorEastAsia" w:hint="eastAsia"/>
          <w:color w:val="000000" w:themeColor="text1"/>
        </w:rPr>
        <w:t>（九）拒绝或暂停基金转换的情形</w:t>
      </w:r>
      <w:bookmarkEnd w:id="759"/>
      <w:bookmarkEnd w:id="760"/>
      <w:bookmarkEnd w:id="761"/>
      <w:bookmarkEnd w:id="762"/>
      <w:bookmarkEnd w:id="763"/>
      <w:bookmarkEnd w:id="764"/>
    </w:p>
    <w:p w:rsidR="00E91D13" w:rsidRPr="00621B7F" w:rsidP="00241F10">
      <w:pPr>
        <w:snapToGrid w:val="0"/>
        <w:spacing w:line="360" w:lineRule="auto"/>
        <w:ind w:firstLine="420" w:firstLineChars="200"/>
        <w:rPr>
          <w:rFonts w:asciiTheme="minorEastAsia" w:eastAsiaTheme="minorEastAsia" w:hAnsiTheme="minorEastAsia"/>
          <w:color w:val="000000" w:themeColor="text1"/>
          <w:kern w:val="0"/>
          <w:szCs w:val="21"/>
        </w:rPr>
      </w:pPr>
      <w:r w:rsidRPr="00621B7F">
        <w:rPr>
          <w:rFonts w:asciiTheme="minorEastAsia" w:eastAsiaTheme="minorEastAsia" w:hAnsiTheme="minorEastAsia" w:hint="eastAsia"/>
          <w:color w:val="000000" w:themeColor="text1"/>
          <w:kern w:val="0"/>
          <w:szCs w:val="21"/>
        </w:rPr>
        <w:t>出现下列情况之一时,基金管理人可以暂停接受基金份额持有人的基金转换申请：</w:t>
      </w:r>
    </w:p>
    <w:p w:rsidR="00126CFA"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w:t>
      </w:r>
      <w:r w:rsidRPr="00621B7F" w:rsidR="00241F10">
        <w:rPr>
          <w:rFonts w:asciiTheme="minorEastAsia" w:eastAsiaTheme="minorEastAsia" w:hAnsiTheme="minorEastAsia" w:cs="宋体" w:hint="eastAsia"/>
          <w:color w:val="000000" w:themeColor="text1"/>
          <w:kern w:val="0"/>
          <w:szCs w:val="21"/>
        </w:rPr>
        <w:t>、</w:t>
      </w:r>
      <w:r w:rsidRPr="00621B7F">
        <w:rPr>
          <w:rFonts w:asciiTheme="minorEastAsia" w:eastAsiaTheme="minorEastAsia" w:hAnsiTheme="minorEastAsia"/>
          <w:color w:val="000000" w:themeColor="text1"/>
        </w:rPr>
        <w:t>不可抗力的原因导致基金无法正常运作；</w:t>
      </w:r>
    </w:p>
    <w:p w:rsidR="00126CFA"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w:t>
      </w:r>
      <w:r w:rsidRPr="00621B7F" w:rsidR="00241F10">
        <w:rPr>
          <w:rFonts w:asciiTheme="minorEastAsia" w:eastAsiaTheme="minorEastAsia" w:hAnsiTheme="minorEastAsia" w:cs="宋体" w:hint="eastAsia"/>
          <w:color w:val="000000" w:themeColor="text1"/>
          <w:kern w:val="0"/>
          <w:szCs w:val="21"/>
        </w:rPr>
        <w:t>、</w:t>
      </w:r>
      <w:r w:rsidRPr="00621B7F">
        <w:rPr>
          <w:rFonts w:asciiTheme="minorEastAsia" w:eastAsiaTheme="minorEastAsia" w:hAnsiTheme="minorEastAsia" w:hint="eastAsia"/>
          <w:color w:val="000000" w:themeColor="text1"/>
        </w:rPr>
        <w:t>证券交易场所在交易时间非正常停市或依法决定临时停市，导致当日基金资产净值无法计算；</w:t>
      </w:r>
    </w:p>
    <w:p w:rsidR="00126CFA"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3</w:t>
      </w:r>
      <w:r w:rsidRPr="00621B7F" w:rsidR="00241F10">
        <w:rPr>
          <w:rFonts w:asciiTheme="minorEastAsia" w:eastAsiaTheme="minorEastAsia" w:hAnsiTheme="minorEastAsia" w:cs="宋体" w:hint="eastAsia"/>
          <w:color w:val="000000" w:themeColor="text1"/>
          <w:kern w:val="0"/>
          <w:szCs w:val="21"/>
        </w:rPr>
        <w:t>、</w:t>
      </w:r>
      <w:r w:rsidRPr="00621B7F">
        <w:rPr>
          <w:rFonts w:asciiTheme="minorEastAsia" w:eastAsiaTheme="minorEastAsia" w:hAnsiTheme="minorEastAsia" w:hint="eastAsia"/>
          <w:color w:val="000000" w:themeColor="text1"/>
        </w:rPr>
        <w:t>基金资产规模过大，使基金管理人无法找到合适的投资品种，或可能对基金业绩产生负面影响，从而损害现有基金份额持有人的利益；</w:t>
      </w:r>
    </w:p>
    <w:p w:rsidR="00126CFA"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szCs w:val="21"/>
        </w:rPr>
        <w:t>4、因市场剧烈波动或其他原因而出现连续2个或2个以上开放日巨额赎回，导致本基金的现金支付出现困难；</w:t>
      </w:r>
    </w:p>
    <w:p w:rsidR="00126CFA"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5</w:t>
      </w:r>
      <w:r w:rsidRPr="00621B7F" w:rsidR="00241F10">
        <w:rPr>
          <w:rFonts w:asciiTheme="minorEastAsia" w:eastAsiaTheme="minorEastAsia" w:hAnsiTheme="minorEastAsia" w:cs="宋体" w:hint="eastAsia"/>
          <w:color w:val="000000" w:themeColor="text1"/>
          <w:kern w:val="0"/>
          <w:szCs w:val="21"/>
        </w:rPr>
        <w:t>、</w:t>
      </w:r>
      <w:r w:rsidRPr="00621B7F">
        <w:rPr>
          <w:rFonts w:asciiTheme="minorEastAsia" w:eastAsiaTheme="minorEastAsia" w:hAnsiTheme="minorEastAsia" w:hint="eastAsia"/>
          <w:color w:val="000000" w:themeColor="text1"/>
        </w:rPr>
        <w:t>上证中盘ETF暂停申购、暂停上市或上证中盘ETF停牌；</w:t>
      </w:r>
    </w:p>
    <w:p w:rsidR="00126CFA"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6</w:t>
      </w:r>
      <w:r w:rsidRPr="00621B7F" w:rsidR="00241F10">
        <w:rPr>
          <w:rFonts w:asciiTheme="minorEastAsia" w:eastAsiaTheme="minorEastAsia" w:hAnsiTheme="minorEastAsia" w:cs="宋体" w:hint="eastAsia"/>
          <w:color w:val="000000" w:themeColor="text1"/>
          <w:kern w:val="0"/>
          <w:szCs w:val="21"/>
        </w:rPr>
        <w:t>、</w:t>
      </w:r>
      <w:r w:rsidRPr="00621B7F">
        <w:rPr>
          <w:rFonts w:asciiTheme="minorEastAsia" w:eastAsiaTheme="minorEastAsia" w:hAnsiTheme="minorEastAsia" w:hint="eastAsia"/>
          <w:color w:val="000000" w:themeColor="text1"/>
        </w:rPr>
        <w:t>发生基金合同规定的暂停基金资产估值的情况；</w:t>
      </w:r>
    </w:p>
    <w:p w:rsidR="00126CFA"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7</w:t>
      </w:r>
      <w:r w:rsidRPr="00621B7F" w:rsidR="00241F10">
        <w:rPr>
          <w:rFonts w:asciiTheme="minorEastAsia" w:eastAsiaTheme="minorEastAsia" w:hAnsiTheme="minorEastAsia" w:cs="宋体" w:hint="eastAsia"/>
          <w:color w:val="000000" w:themeColor="text1"/>
          <w:kern w:val="0"/>
          <w:szCs w:val="21"/>
        </w:rPr>
        <w:t>、</w:t>
      </w:r>
      <w:r w:rsidRPr="00621B7F">
        <w:rPr>
          <w:rFonts w:asciiTheme="minorEastAsia" w:eastAsiaTheme="minorEastAsia" w:hAnsiTheme="minorEastAsia" w:hint="eastAsia"/>
          <w:color w:val="000000" w:themeColor="text1"/>
          <w:szCs w:val="21"/>
        </w:rPr>
        <w:t>不可抗力的原因导致基金管理人不能支付赎回款项；</w:t>
      </w:r>
    </w:p>
    <w:p w:rsidR="00126CFA"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8、法律法规规定或中国证监会认定的其他情形</w:t>
      </w:r>
      <w:r w:rsidRPr="00621B7F" w:rsidR="00F61BD0">
        <w:rPr>
          <w:rFonts w:asciiTheme="minorEastAsia" w:eastAsiaTheme="minorEastAsia" w:hAnsiTheme="minorEastAsia" w:hint="eastAsia"/>
          <w:color w:val="000000" w:themeColor="text1"/>
        </w:rPr>
        <w:t>；</w:t>
      </w:r>
    </w:p>
    <w:p w:rsidR="00E91D13"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9</w:t>
      </w:r>
      <w:r w:rsidRPr="00621B7F" w:rsidR="00241F10">
        <w:rPr>
          <w:rFonts w:asciiTheme="minorEastAsia" w:eastAsiaTheme="minorEastAsia" w:hAnsiTheme="minorEastAsia" w:cs="宋体" w:hint="eastAsia"/>
          <w:color w:val="000000" w:themeColor="text1"/>
          <w:kern w:val="0"/>
          <w:szCs w:val="21"/>
        </w:rPr>
        <w:t>、</w:t>
      </w:r>
      <w:r w:rsidRPr="00621B7F">
        <w:rPr>
          <w:rFonts w:asciiTheme="minorEastAsia" w:eastAsiaTheme="minorEastAsia" w:hAnsiTheme="minorEastAsia" w:hint="eastAsia"/>
          <w:color w:val="000000" w:themeColor="text1"/>
        </w:rPr>
        <w:t>基金管理人认为会有损于现有基金份额持有人利益的某笔转入或某笔转出</w:t>
      </w:r>
      <w:r w:rsidRPr="00621B7F" w:rsidR="007D27C0">
        <w:rPr>
          <w:rFonts w:asciiTheme="minorEastAsia" w:eastAsiaTheme="minorEastAsia" w:hAnsiTheme="minorEastAsia" w:hint="eastAsia"/>
          <w:color w:val="000000" w:themeColor="text1"/>
        </w:rPr>
        <w:t>；</w:t>
      </w:r>
    </w:p>
    <w:p w:rsidR="005F1C40" w:rsidRPr="00621B7F" w:rsidP="005F1C4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10、当一笔新的转换转入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5F1C40" w:rsidRPr="00621B7F" w:rsidP="005F1C40">
      <w:pPr>
        <w:snapToGrid w:val="0"/>
        <w:spacing w:line="360" w:lineRule="auto"/>
        <w:ind w:firstLine="420" w:firstLineChars="200"/>
        <w:rPr>
          <w:rFonts w:asciiTheme="minorEastAsia" w:eastAsiaTheme="minorEastAsia" w:hAnsiTheme="minorEastAsia"/>
          <w:color w:val="000000" w:themeColor="text1"/>
          <w:kern w:val="0"/>
          <w:szCs w:val="21"/>
        </w:rPr>
      </w:pPr>
      <w:r w:rsidRPr="00621B7F">
        <w:rPr>
          <w:rFonts w:asciiTheme="minorEastAsia" w:eastAsiaTheme="minorEastAsia" w:hAnsiTheme="minorEastAsia" w:hint="eastAsia"/>
          <w:color w:val="000000" w:themeColor="text1"/>
        </w:rPr>
        <w:t>11、当前一估值日基金资产净值50%以上的资产出现无可参考的活跃市场价格且采用估值技术仍导致公允价值存在重大不确定性时，经与基金托管人协商确认后，基金管理人应当采取暂停接受基金转换申请的措施。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51786F"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发生上述1到8项</w:t>
      </w:r>
      <w:r w:rsidRPr="00621B7F" w:rsidR="005F1C40">
        <w:rPr>
          <w:rFonts w:asciiTheme="minorEastAsia" w:eastAsiaTheme="minorEastAsia" w:hAnsiTheme="minorEastAsia" w:hint="eastAsia"/>
          <w:color w:val="000000" w:themeColor="text1"/>
          <w:szCs w:val="21"/>
        </w:rPr>
        <w:t>，</w:t>
      </w:r>
      <w:r w:rsidRPr="00621B7F" w:rsidR="005F1C40">
        <w:rPr>
          <w:rFonts w:asciiTheme="minorEastAsia" w:eastAsiaTheme="minorEastAsia" w:hAnsiTheme="minorEastAsia"/>
          <w:color w:val="000000" w:themeColor="text1"/>
          <w:szCs w:val="21"/>
        </w:rPr>
        <w:t>10到11项</w:t>
      </w:r>
      <w:r w:rsidRPr="00621B7F">
        <w:rPr>
          <w:rFonts w:asciiTheme="minorEastAsia" w:eastAsiaTheme="minorEastAsia" w:hAnsiTheme="minorEastAsia" w:hint="eastAsia"/>
          <w:color w:val="000000" w:themeColor="text1"/>
          <w:szCs w:val="21"/>
        </w:rPr>
        <w:t>暂停</w:t>
      </w:r>
      <w:r w:rsidRPr="00621B7F">
        <w:rPr>
          <w:rFonts w:asciiTheme="minorEastAsia" w:eastAsiaTheme="minorEastAsia" w:hAnsiTheme="minorEastAsia" w:cs="宋体"/>
          <w:color w:val="000000" w:themeColor="text1"/>
          <w:kern w:val="0"/>
          <w:szCs w:val="21"/>
        </w:rPr>
        <w:t>基金</w:t>
      </w:r>
      <w:r w:rsidRPr="00621B7F">
        <w:rPr>
          <w:rFonts w:asciiTheme="minorEastAsia" w:eastAsiaTheme="minorEastAsia" w:hAnsiTheme="minorEastAsia" w:hint="eastAsia"/>
          <w:color w:val="000000" w:themeColor="text1"/>
        </w:rPr>
        <w:t>转换</w:t>
      </w:r>
      <w:r w:rsidRPr="00621B7F">
        <w:rPr>
          <w:rFonts w:asciiTheme="minorEastAsia" w:eastAsiaTheme="minorEastAsia" w:hAnsiTheme="minorEastAsia" w:hint="eastAsia"/>
          <w:color w:val="000000" w:themeColor="text1"/>
          <w:szCs w:val="21"/>
        </w:rPr>
        <w:t>时，基金管理人应当在至少一家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及基金管理人网站刊登相关公告。</w:t>
      </w:r>
    </w:p>
    <w:p w:rsidR="00BB21AF" w:rsidRPr="00621B7F" w:rsidP="00241F10">
      <w:pPr>
        <w:pStyle w:val="NormalIndent"/>
        <w:snapToGrid w:val="0"/>
        <w:spacing w:line="360" w:lineRule="auto"/>
        <w:ind w:firstLine="420" w:firstLineChars="200"/>
        <w:rPr>
          <w:rFonts w:asciiTheme="minorEastAsia" w:eastAsiaTheme="minorEastAsia" w:hAnsiTheme="minorEastAsia"/>
          <w:color w:val="000000" w:themeColor="text1"/>
          <w:szCs w:val="21"/>
        </w:rPr>
        <w:sectPr w:rsidSect="006B7524">
          <w:pgSz w:w="11907" w:h="16840" w:code="9"/>
          <w:pgMar w:top="1440" w:right="1800" w:bottom="1440" w:left="1800" w:header="1134" w:footer="1247" w:gutter="0"/>
          <w:cols w:space="425"/>
          <w:docGrid w:type="lines" w:linePitch="312"/>
        </w:sectPr>
      </w:pPr>
    </w:p>
    <w:p w:rsidR="00266A27" w:rsidRPr="00621B7F" w:rsidP="00A32B85">
      <w:pPr>
        <w:pStyle w:val="Heading1"/>
        <w:pageBreakBefore/>
        <w:widowControl/>
        <w:snapToGrid w:val="0"/>
        <w:spacing w:beforeLines="0" w:afterLines="0" w:line="360" w:lineRule="auto"/>
        <w:ind w:firstLine="0" w:firstLineChars="0"/>
        <w:rPr>
          <w:rFonts w:asciiTheme="minorEastAsia" w:eastAsiaTheme="minorEastAsia" w:hAnsiTheme="minorEastAsia"/>
          <w:color w:val="000000" w:themeColor="text1"/>
        </w:rPr>
      </w:pPr>
      <w:bookmarkStart w:id="765" w:name="_Toc86560070"/>
      <w:bookmarkStart w:id="766" w:name="_Toc86635162"/>
      <w:bookmarkStart w:id="767" w:name="_Toc91335002"/>
      <w:bookmarkStart w:id="768" w:name="_Toc91752052"/>
      <w:r w:rsidRPr="00621B7F">
        <w:rPr>
          <w:rFonts w:asciiTheme="minorEastAsia" w:eastAsiaTheme="minorEastAsia" w:hAnsiTheme="minorEastAsia" w:hint="eastAsia"/>
          <w:color w:val="000000" w:themeColor="text1"/>
        </w:rPr>
        <w:t>十、基金的非交易过户、转托管</w:t>
      </w:r>
      <w:r w:rsidRPr="00621B7F" w:rsidR="00E46530">
        <w:rPr>
          <w:rFonts w:asciiTheme="minorEastAsia" w:eastAsiaTheme="minorEastAsia" w:hAnsiTheme="minorEastAsia" w:hint="eastAsia"/>
          <w:color w:val="000000" w:themeColor="text1"/>
        </w:rPr>
        <w:t>及</w:t>
      </w:r>
      <w:r w:rsidRPr="00621B7F" w:rsidR="00ED3D63">
        <w:rPr>
          <w:rFonts w:asciiTheme="minorEastAsia" w:eastAsiaTheme="minorEastAsia" w:hAnsiTheme="minorEastAsia" w:hint="eastAsia"/>
          <w:bCs/>
          <w:color w:val="000000" w:themeColor="text1"/>
          <w:szCs w:val="21"/>
        </w:rPr>
        <w:t>冻结与解冻</w:t>
      </w:r>
      <w:bookmarkEnd w:id="765"/>
      <w:bookmarkEnd w:id="766"/>
      <w:bookmarkEnd w:id="767"/>
      <w:bookmarkEnd w:id="768"/>
    </w:p>
    <w:p w:rsidR="009F1AF0"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69" w:name="_Toc91752053"/>
      <w:r w:rsidRPr="00621B7F">
        <w:rPr>
          <w:rFonts w:asciiTheme="minorEastAsia" w:eastAsiaTheme="minorEastAsia" w:hAnsiTheme="minorEastAsia" w:hint="eastAsia"/>
          <w:b w:val="0"/>
          <w:color w:val="000000" w:themeColor="text1"/>
        </w:rPr>
        <w:t>（一）基金的非交易过户</w:t>
      </w:r>
      <w:bookmarkEnd w:id="769"/>
    </w:p>
    <w:p w:rsidR="009F1AF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非交易过户是指不采用申购、赎回等基金交易方式，将一定数量的基金份额按照一定规则从某一投资者基金账户转移到另一投资者基金账户的行为。</w:t>
      </w:r>
    </w:p>
    <w:p w:rsidR="009F1AF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9F1AF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注册登记机构办理上述情况下</w:t>
      </w:r>
      <w:r w:rsidRPr="00621B7F">
        <w:rPr>
          <w:rFonts w:asciiTheme="minorEastAsia" w:eastAsiaTheme="minorEastAsia" w:hAnsiTheme="minorEastAsia"/>
          <w:color w:val="000000" w:themeColor="text1"/>
          <w:szCs w:val="21"/>
        </w:rPr>
        <w:t>的非交易过户</w:t>
      </w:r>
      <w:r w:rsidRPr="00621B7F">
        <w:rPr>
          <w:rFonts w:asciiTheme="minorEastAsia" w:eastAsiaTheme="minorEastAsia" w:hAnsiTheme="minorEastAsia" w:hint="eastAsia"/>
          <w:color w:val="000000" w:themeColor="text1"/>
          <w:szCs w:val="21"/>
        </w:rPr>
        <w:t>，其他销售机构可代为受理投资者的申请材料，但不得办理该项业务。</w:t>
      </w:r>
    </w:p>
    <w:p w:rsidR="009F1AF0" w:rsidRPr="00621B7F" w:rsidP="00241F10">
      <w:pPr>
        <w:snapToGrid w:val="0"/>
        <w:spacing w:line="360" w:lineRule="auto"/>
        <w:ind w:firstLine="410" w:firstLineChars="195"/>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对于符合条件的非交易过户申请按《业务规则》的有关规定办理。</w:t>
      </w:r>
    </w:p>
    <w:p w:rsidR="009F1AF0"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70" w:name="_Toc91752054"/>
      <w:r w:rsidRPr="00621B7F">
        <w:rPr>
          <w:rFonts w:asciiTheme="minorEastAsia" w:eastAsiaTheme="minorEastAsia" w:hAnsiTheme="minorEastAsia" w:hint="eastAsia"/>
          <w:b w:val="0"/>
          <w:color w:val="000000" w:themeColor="text1"/>
        </w:rPr>
        <w:t>（二）转托管</w:t>
      </w:r>
      <w:bookmarkEnd w:id="770"/>
    </w:p>
    <w:p w:rsidR="009F1AF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本基金目前实行份额托管的交易制度。投资者可将所持有的基金份额从一个交易账户转入另一个交易账户进行交易。具体办理方法参照《业务规则》的有关规定以及基金</w:t>
      </w:r>
      <w:r w:rsidRPr="00621B7F" w:rsidR="001F2A17">
        <w:rPr>
          <w:rFonts w:asciiTheme="minorEastAsia" w:eastAsiaTheme="minorEastAsia" w:hAnsiTheme="minorEastAsia" w:hint="eastAsia"/>
          <w:color w:val="000000" w:themeColor="text1"/>
          <w:szCs w:val="21"/>
        </w:rPr>
        <w:t>销售</w:t>
      </w:r>
      <w:r w:rsidRPr="00621B7F">
        <w:rPr>
          <w:rFonts w:asciiTheme="minorEastAsia" w:eastAsiaTheme="minorEastAsia" w:hAnsiTheme="minorEastAsia" w:hint="eastAsia"/>
          <w:color w:val="000000" w:themeColor="text1"/>
          <w:szCs w:val="21"/>
        </w:rPr>
        <w:t>机构的业务规则。</w:t>
      </w:r>
    </w:p>
    <w:p w:rsidR="009F1AF0"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71" w:name="_Toc91752055"/>
      <w:r w:rsidRPr="00621B7F">
        <w:rPr>
          <w:rFonts w:asciiTheme="minorEastAsia" w:eastAsiaTheme="minorEastAsia" w:hAnsiTheme="minorEastAsia" w:hint="eastAsia"/>
          <w:b w:val="0"/>
          <w:color w:val="000000" w:themeColor="text1"/>
        </w:rPr>
        <w:t>（三）基金的冻结与解冻</w:t>
      </w:r>
      <w:bookmarkEnd w:id="771"/>
    </w:p>
    <w:p w:rsidR="009F1AF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rsidR="00241F10" w:rsidRPr="00621B7F" w:rsidP="00241F10">
      <w:pPr>
        <w:snapToGrid w:val="0"/>
        <w:spacing w:line="360" w:lineRule="auto"/>
        <w:ind w:firstLine="420" w:firstLineChars="200"/>
        <w:rPr>
          <w:rFonts w:asciiTheme="minorEastAsia" w:eastAsiaTheme="minorEastAsia" w:hAnsiTheme="minorEastAsia"/>
          <w:color w:val="000000" w:themeColor="text1"/>
          <w:szCs w:val="21"/>
        </w:rPr>
      </w:pPr>
    </w:p>
    <w:p w:rsidR="00241F10" w:rsidRPr="00621B7F" w:rsidP="00241F10">
      <w:pPr>
        <w:snapToGrid w:val="0"/>
        <w:spacing w:line="360" w:lineRule="auto"/>
        <w:ind w:firstLine="420" w:firstLineChars="200"/>
        <w:rPr>
          <w:rFonts w:asciiTheme="minorEastAsia" w:eastAsiaTheme="minorEastAsia" w:hAnsiTheme="minorEastAsia"/>
          <w:color w:val="000000" w:themeColor="text1"/>
          <w:szCs w:val="21"/>
        </w:rPr>
      </w:pPr>
    </w:p>
    <w:p w:rsidR="00241F10" w:rsidRPr="00621B7F" w:rsidP="00241F10">
      <w:pPr>
        <w:snapToGrid w:val="0"/>
        <w:spacing w:line="360" w:lineRule="auto"/>
        <w:ind w:firstLine="420" w:firstLineChars="200"/>
        <w:rPr>
          <w:rFonts w:asciiTheme="minorEastAsia" w:eastAsiaTheme="minorEastAsia" w:hAnsiTheme="minorEastAsia"/>
          <w:color w:val="000000" w:themeColor="text1"/>
          <w:szCs w:val="21"/>
        </w:rPr>
      </w:pPr>
    </w:p>
    <w:p w:rsidR="00241F10" w:rsidRPr="00621B7F" w:rsidP="00241F10">
      <w:pPr>
        <w:snapToGrid w:val="0"/>
        <w:spacing w:line="360" w:lineRule="auto"/>
        <w:ind w:firstLine="420" w:firstLineChars="200"/>
        <w:rPr>
          <w:rFonts w:asciiTheme="minorEastAsia" w:eastAsiaTheme="minorEastAsia" w:hAnsiTheme="minorEastAsia"/>
          <w:color w:val="000000" w:themeColor="text1"/>
          <w:szCs w:val="21"/>
        </w:rPr>
      </w:pPr>
    </w:p>
    <w:p w:rsidR="00241F10" w:rsidRPr="00621B7F" w:rsidP="00241F10">
      <w:pPr>
        <w:snapToGrid w:val="0"/>
        <w:spacing w:line="360" w:lineRule="auto"/>
        <w:ind w:firstLine="420" w:firstLineChars="200"/>
        <w:rPr>
          <w:rFonts w:asciiTheme="minorEastAsia" w:eastAsiaTheme="minorEastAsia" w:hAnsiTheme="minorEastAsia"/>
          <w:color w:val="000000" w:themeColor="text1"/>
          <w:szCs w:val="21"/>
        </w:rPr>
      </w:pPr>
    </w:p>
    <w:p w:rsidR="006B7524" w:rsidRPr="00621B7F" w:rsidP="00241F10">
      <w:pPr>
        <w:snapToGrid w:val="0"/>
        <w:spacing w:line="360" w:lineRule="auto"/>
        <w:ind w:firstLine="420" w:firstLineChars="200"/>
        <w:rPr>
          <w:rFonts w:asciiTheme="minorEastAsia" w:eastAsiaTheme="minorEastAsia" w:hAnsiTheme="minorEastAsia"/>
          <w:color w:val="000000" w:themeColor="text1"/>
          <w:szCs w:val="21"/>
        </w:rPr>
        <w:sectPr w:rsidSect="006B7524">
          <w:pgSz w:w="11907" w:h="16840" w:code="9"/>
          <w:pgMar w:top="1440" w:right="1800" w:bottom="1440" w:left="1800" w:header="1134" w:footer="1247" w:gutter="0"/>
          <w:cols w:space="425"/>
          <w:docGrid w:type="lines" w:linePitch="312"/>
        </w:sectPr>
      </w:pP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color w:val="000000" w:themeColor="text1"/>
        </w:rPr>
      </w:pPr>
      <w:bookmarkStart w:id="772" w:name="_Toc91752056"/>
      <w:bookmarkStart w:id="773" w:name="_Toc52310853"/>
      <w:r w:rsidRPr="00621B7F">
        <w:rPr>
          <w:rFonts w:asciiTheme="minorEastAsia" w:eastAsiaTheme="minorEastAsia" w:hAnsiTheme="minorEastAsia" w:hint="eastAsia"/>
          <w:bCs/>
          <w:color w:val="000000" w:themeColor="text1"/>
        </w:rPr>
        <w:t>十一、基金的投资</w:t>
      </w:r>
      <w:bookmarkEnd w:id="772"/>
    </w:p>
    <w:p w:rsidR="004E1EB5"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74" w:name="_Toc52310848"/>
      <w:bookmarkStart w:id="775" w:name="_Toc64861723"/>
      <w:bookmarkStart w:id="776" w:name="_Toc91752057"/>
      <w:r w:rsidRPr="00621B7F">
        <w:rPr>
          <w:rFonts w:asciiTheme="minorEastAsia" w:eastAsiaTheme="minorEastAsia" w:hAnsiTheme="minorEastAsia" w:hint="eastAsia"/>
          <w:b w:val="0"/>
          <w:color w:val="000000" w:themeColor="text1"/>
        </w:rPr>
        <w:t>（一）投资目标</w:t>
      </w:r>
      <w:bookmarkEnd w:id="774"/>
      <w:bookmarkEnd w:id="775"/>
      <w:bookmarkEnd w:id="776"/>
    </w:p>
    <w:p w:rsidR="002F740A" w:rsidRPr="00621B7F" w:rsidP="00241F10">
      <w:pPr>
        <w:snapToGrid w:val="0"/>
        <w:spacing w:line="360" w:lineRule="auto"/>
        <w:ind w:firstLine="420" w:firstLineChars="200"/>
        <w:rPr>
          <w:rFonts w:asciiTheme="minorEastAsia" w:eastAsiaTheme="minorEastAsia" w:hAnsiTheme="minorEastAsia"/>
          <w:color w:val="000000" w:themeColor="text1"/>
          <w:kern w:val="0"/>
          <w:sz w:val="24"/>
        </w:rPr>
      </w:pPr>
      <w:r w:rsidRPr="00621B7F">
        <w:rPr>
          <w:rFonts w:asciiTheme="minorEastAsia" w:eastAsiaTheme="minorEastAsia" w:hAnsiTheme="minorEastAsia" w:hint="eastAsia"/>
          <w:color w:val="000000" w:themeColor="text1"/>
          <w:szCs w:val="21"/>
        </w:rPr>
        <w:t>紧密跟踪业绩比较基准，追求</w:t>
      </w:r>
      <w:r w:rsidRPr="00621B7F">
        <w:rPr>
          <w:rFonts w:asciiTheme="minorEastAsia" w:eastAsiaTheme="minorEastAsia" w:hAnsiTheme="minorEastAsia"/>
          <w:color w:val="000000" w:themeColor="text1"/>
          <w:szCs w:val="21"/>
        </w:rPr>
        <w:t>跟踪偏离度及跟踪误差的最小化</w:t>
      </w:r>
      <w:r w:rsidRPr="00621B7F">
        <w:rPr>
          <w:rFonts w:asciiTheme="minorEastAsia" w:eastAsiaTheme="minorEastAsia" w:hAnsiTheme="minorEastAsia" w:hint="eastAsia"/>
          <w:color w:val="000000" w:themeColor="text1"/>
          <w:szCs w:val="21"/>
        </w:rPr>
        <w:t>。力争将日均跟踪偏离度控制在0.35%以内，年化跟踪误差控制在4%以内。</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77" w:name="_Toc52310849"/>
      <w:bookmarkStart w:id="778" w:name="_Toc64861724"/>
      <w:bookmarkStart w:id="779" w:name="_Toc91752058"/>
      <w:r w:rsidRPr="00621B7F">
        <w:rPr>
          <w:rFonts w:asciiTheme="minorEastAsia" w:eastAsiaTheme="minorEastAsia" w:hAnsiTheme="minorEastAsia" w:hint="eastAsia"/>
          <w:b w:val="0"/>
          <w:color w:val="000000" w:themeColor="text1"/>
        </w:rPr>
        <w:t>（</w:t>
      </w:r>
      <w:r w:rsidRPr="00621B7F">
        <w:rPr>
          <w:rFonts w:asciiTheme="minorEastAsia" w:eastAsiaTheme="minorEastAsia" w:hAnsiTheme="minorEastAsia" w:hint="eastAsia"/>
          <w:b w:val="0"/>
          <w:bCs/>
          <w:color w:val="000000" w:themeColor="text1"/>
        </w:rPr>
        <w:t>二</w:t>
      </w:r>
      <w:r w:rsidRPr="00621B7F">
        <w:rPr>
          <w:rFonts w:asciiTheme="minorEastAsia" w:eastAsiaTheme="minorEastAsia" w:hAnsiTheme="minorEastAsia" w:hint="eastAsia"/>
          <w:b w:val="0"/>
          <w:color w:val="000000" w:themeColor="text1"/>
        </w:rPr>
        <w:t>）</w:t>
      </w:r>
      <w:r w:rsidRPr="00621B7F">
        <w:rPr>
          <w:rFonts w:asciiTheme="minorEastAsia" w:eastAsiaTheme="minorEastAsia" w:hAnsiTheme="minorEastAsia" w:hint="eastAsia"/>
          <w:b w:val="0"/>
          <w:bCs/>
          <w:color w:val="000000" w:themeColor="text1"/>
        </w:rPr>
        <w:t>投资范围</w:t>
      </w:r>
      <w:bookmarkEnd w:id="777"/>
      <w:bookmarkEnd w:id="778"/>
      <w:bookmarkEnd w:id="779"/>
    </w:p>
    <w:p w:rsidR="005A0967"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780" w:name="_Toc52310850"/>
      <w:bookmarkStart w:id="781" w:name="_Toc64861725"/>
      <w:r w:rsidRPr="00621B7F">
        <w:rPr>
          <w:rFonts w:asciiTheme="minorEastAsia" w:eastAsiaTheme="minorEastAsia" w:hAnsiTheme="minorEastAsia" w:hint="eastAsia"/>
          <w:color w:val="000000" w:themeColor="text1"/>
          <w:szCs w:val="21"/>
        </w:rPr>
        <w:t>本基金资产投资于具有良好流动性的金融工具，包括上证中盘ETF、上证中盘指数成份股及备选成份股</w:t>
      </w:r>
      <w:r w:rsidRPr="00621B7F" w:rsidR="00DD01DC">
        <w:rPr>
          <w:rFonts w:asciiTheme="minorEastAsia" w:eastAsiaTheme="minorEastAsia" w:hAnsiTheme="minorEastAsia" w:hint="eastAsia"/>
          <w:color w:val="000000" w:themeColor="text1"/>
          <w:szCs w:val="21"/>
        </w:rPr>
        <w:t>（含存托凭证）</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新股</w:t>
      </w:r>
      <w:r w:rsidRPr="00621B7F" w:rsidR="00DD01DC">
        <w:rPr>
          <w:rFonts w:asciiTheme="minorEastAsia" w:eastAsiaTheme="minorEastAsia" w:hAnsiTheme="minorEastAsia" w:hint="eastAsia"/>
          <w:color w:val="000000" w:themeColor="text1"/>
          <w:szCs w:val="21"/>
        </w:rPr>
        <w:t>（含存托凭证）</w:t>
      </w:r>
      <w:r w:rsidRPr="00621B7F">
        <w:rPr>
          <w:rFonts w:asciiTheme="minorEastAsia" w:eastAsiaTheme="minorEastAsia" w:hAnsiTheme="minorEastAsia" w:hint="eastAsia"/>
          <w:color w:val="000000" w:themeColor="text1"/>
          <w:szCs w:val="21"/>
        </w:rPr>
        <w:t>、货币市场工具以及法律法规或中国证监会允许基金投资的其他金融工具。</w:t>
      </w:r>
      <w:r w:rsidRPr="00621B7F">
        <w:rPr>
          <w:rFonts w:asciiTheme="minorEastAsia" w:eastAsiaTheme="minorEastAsia" w:hAnsiTheme="minorEastAsia"/>
          <w:color w:val="000000" w:themeColor="text1"/>
          <w:szCs w:val="21"/>
        </w:rPr>
        <w:t>如法律法规或监管机构以后允许基金投资其他品种，基金管理人在履行适当程序后，可以将其纳入投资范围</w:t>
      </w:r>
      <w:r w:rsidRPr="00621B7F">
        <w:rPr>
          <w:rFonts w:asciiTheme="minorEastAsia" w:eastAsiaTheme="minorEastAsia" w:hAnsiTheme="minorEastAsia" w:hint="eastAsia"/>
          <w:color w:val="000000" w:themeColor="text1"/>
          <w:szCs w:val="21"/>
        </w:rPr>
        <w:t>。</w:t>
      </w:r>
    </w:p>
    <w:p w:rsidR="00711F14"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本基金</w:t>
      </w:r>
      <w:r w:rsidRPr="00621B7F">
        <w:rPr>
          <w:rFonts w:asciiTheme="minorEastAsia" w:eastAsiaTheme="minorEastAsia" w:hAnsiTheme="minorEastAsia" w:hint="eastAsia"/>
          <w:color w:val="000000" w:themeColor="text1"/>
          <w:szCs w:val="21"/>
        </w:rPr>
        <w:t>资产中投资于上证中盘ETF的</w:t>
      </w:r>
      <w:r w:rsidRPr="00621B7F">
        <w:rPr>
          <w:rFonts w:asciiTheme="minorEastAsia" w:eastAsiaTheme="minorEastAsia" w:hAnsiTheme="minorEastAsia"/>
          <w:color w:val="000000" w:themeColor="text1"/>
          <w:szCs w:val="21"/>
        </w:rPr>
        <w:t>比例不低于基金资产</w:t>
      </w:r>
      <w:r w:rsidRPr="00621B7F">
        <w:rPr>
          <w:rFonts w:asciiTheme="minorEastAsia" w:eastAsiaTheme="minorEastAsia" w:hAnsiTheme="minorEastAsia" w:hint="eastAsia"/>
          <w:color w:val="000000" w:themeColor="text1"/>
          <w:szCs w:val="21"/>
        </w:rPr>
        <w:t>净值</w:t>
      </w:r>
      <w:r w:rsidRPr="00621B7F">
        <w:rPr>
          <w:rFonts w:asciiTheme="minorEastAsia" w:eastAsiaTheme="minorEastAsia" w:hAnsiTheme="minorEastAsia"/>
          <w:color w:val="000000" w:themeColor="text1"/>
          <w:szCs w:val="21"/>
        </w:rPr>
        <w:t>的9</w:t>
      </w:r>
      <w:r w:rsidRPr="00621B7F">
        <w:rPr>
          <w:rFonts w:asciiTheme="minorEastAsia" w:eastAsiaTheme="minorEastAsia" w:hAnsiTheme="minorEastAsia" w:hint="eastAsia"/>
          <w:color w:val="000000" w:themeColor="text1"/>
          <w:szCs w:val="21"/>
        </w:rPr>
        <w:t>0</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现金或者到期日在一年以内的政府债券不低于基金资产净值</w:t>
      </w:r>
      <w:r w:rsidRPr="00621B7F">
        <w:rPr>
          <w:rFonts w:asciiTheme="minorEastAsia" w:eastAsiaTheme="minorEastAsia" w:hAnsiTheme="minorEastAsia" w:hint="eastAsia"/>
          <w:color w:val="000000" w:themeColor="text1"/>
          <w:szCs w:val="21"/>
        </w:rPr>
        <w:t>的</w:t>
      </w:r>
      <w:r w:rsidRPr="00621B7F">
        <w:rPr>
          <w:rFonts w:asciiTheme="minorEastAsia" w:eastAsiaTheme="minorEastAsia" w:hAnsiTheme="minorEastAsia"/>
          <w:color w:val="000000" w:themeColor="text1"/>
          <w:szCs w:val="21"/>
        </w:rPr>
        <w:t>5%</w:t>
      </w:r>
      <w:r w:rsidRPr="00621B7F" w:rsidR="00B9552C">
        <w:rPr>
          <w:rFonts w:asciiTheme="minorEastAsia" w:eastAsiaTheme="minorEastAsia" w:hAnsiTheme="minorEastAsia" w:hint="eastAsia"/>
          <w:color w:val="000000" w:themeColor="text1"/>
          <w:szCs w:val="21"/>
        </w:rPr>
        <w:t>，现金不包括结算备付金、存出保证金、应收申购款等</w:t>
      </w:r>
      <w:r w:rsidRPr="00621B7F">
        <w:rPr>
          <w:rFonts w:asciiTheme="minorEastAsia" w:eastAsiaTheme="minorEastAsia" w:hAnsiTheme="minorEastAsia" w:hint="eastAsia"/>
          <w:color w:val="000000" w:themeColor="text1"/>
          <w:szCs w:val="21"/>
        </w:rPr>
        <w:t>。</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82" w:name="_Toc91752059"/>
      <w:r w:rsidRPr="00621B7F">
        <w:rPr>
          <w:rFonts w:asciiTheme="minorEastAsia" w:eastAsiaTheme="minorEastAsia" w:hAnsiTheme="minorEastAsia" w:hint="eastAsia"/>
          <w:b w:val="0"/>
          <w:bCs/>
          <w:color w:val="000000" w:themeColor="text1"/>
        </w:rPr>
        <w:t>（三）投资理念</w:t>
      </w:r>
      <w:bookmarkEnd w:id="780"/>
      <w:bookmarkEnd w:id="781"/>
      <w:bookmarkEnd w:id="782"/>
    </w:p>
    <w:p w:rsidR="005A0967"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783" w:name="_Toc52310851"/>
      <w:bookmarkStart w:id="784" w:name="_Toc64861726"/>
      <w:r w:rsidRPr="00621B7F">
        <w:rPr>
          <w:rFonts w:asciiTheme="minorEastAsia" w:eastAsiaTheme="minorEastAsia" w:hAnsiTheme="minorEastAsia"/>
          <w:color w:val="000000" w:themeColor="text1"/>
          <w:szCs w:val="21"/>
        </w:rPr>
        <w:t>指数化投资具有低成本、管理透明及分散化程度高等优点，能稳定地获得</w:t>
      </w:r>
      <w:r w:rsidRPr="00621B7F">
        <w:rPr>
          <w:rFonts w:asciiTheme="minorEastAsia" w:eastAsiaTheme="minorEastAsia" w:hAnsiTheme="minorEastAsia" w:hint="eastAsia"/>
          <w:color w:val="000000" w:themeColor="text1"/>
          <w:szCs w:val="21"/>
        </w:rPr>
        <w:t>与标的指数相近的回报。</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85" w:name="_Toc91752060"/>
      <w:r w:rsidRPr="00621B7F">
        <w:rPr>
          <w:rFonts w:asciiTheme="minorEastAsia" w:eastAsiaTheme="minorEastAsia" w:hAnsiTheme="minorEastAsia" w:hint="eastAsia"/>
          <w:b w:val="0"/>
          <w:bCs/>
          <w:color w:val="000000" w:themeColor="text1"/>
        </w:rPr>
        <w:t>（四）投资策略</w:t>
      </w:r>
      <w:bookmarkEnd w:id="785"/>
    </w:p>
    <w:p w:rsidR="005A0967"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786" w:name="_Toc44900772"/>
      <w:bookmarkStart w:id="787" w:name="_Toc52616499"/>
      <w:r w:rsidRPr="00621B7F">
        <w:rPr>
          <w:rFonts w:asciiTheme="minorEastAsia" w:eastAsiaTheme="minorEastAsia" w:hAnsiTheme="minorEastAsia" w:hint="eastAsia"/>
          <w:color w:val="000000" w:themeColor="text1"/>
          <w:szCs w:val="21"/>
        </w:rPr>
        <w:t>本基金为上证中盘ETF的联接基金。上证中盘ETF是采用完全复制法实现对上证中盘指数紧密跟踪的全被动指数基金，本基金主要通过投资于上证中盘ETF实现对业绩比较基准的紧密跟踪，力争将</w:t>
      </w:r>
      <w:r w:rsidRPr="00621B7F" w:rsidR="00B85D97">
        <w:rPr>
          <w:rFonts w:asciiTheme="minorEastAsia" w:eastAsiaTheme="minorEastAsia" w:hAnsiTheme="minorEastAsia" w:hint="eastAsia"/>
          <w:color w:val="000000" w:themeColor="text1"/>
          <w:szCs w:val="21"/>
        </w:rPr>
        <w:t>日均跟踪偏离度控制在0.35%以内，</w:t>
      </w:r>
      <w:r w:rsidRPr="00621B7F">
        <w:rPr>
          <w:rFonts w:asciiTheme="minorEastAsia" w:eastAsiaTheme="minorEastAsia" w:hAnsiTheme="minorEastAsia" w:hint="eastAsia"/>
          <w:color w:val="000000" w:themeColor="text1"/>
          <w:szCs w:val="21"/>
        </w:rPr>
        <w:t>年化跟踪误差控制在4%以内。</w:t>
      </w:r>
    </w:p>
    <w:p w:rsidR="005A096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在投资运作过程中，本基金将在综合考虑合规、风险、效率、成本等因素的基础上，决定采用实物申赎的方式或证券二级市场交易的方式进行上证中盘ETF的买卖。</w:t>
      </w:r>
    </w:p>
    <w:p w:rsidR="00F0610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为更好地实现投资目标，本基金可投资存托凭证。</w:t>
      </w:r>
      <w:r w:rsidRPr="00621B7F" w:rsidR="005A0967">
        <w:rPr>
          <w:rFonts w:asciiTheme="minorEastAsia" w:eastAsiaTheme="minorEastAsia" w:hAnsiTheme="minorEastAsia" w:hint="eastAsia"/>
          <w:color w:val="000000" w:themeColor="text1"/>
          <w:szCs w:val="21"/>
        </w:rPr>
        <w:t>待指数衍生金融产品推出以后，</w:t>
      </w:r>
      <w:r w:rsidRPr="00621B7F" w:rsidR="00B85D97">
        <w:rPr>
          <w:rFonts w:asciiTheme="minorEastAsia" w:eastAsiaTheme="minorEastAsia" w:hAnsiTheme="minorEastAsia" w:hint="eastAsia"/>
          <w:color w:val="000000" w:themeColor="text1"/>
          <w:szCs w:val="21"/>
        </w:rPr>
        <w:t>基金管理人在履行适当程序后，</w:t>
      </w:r>
      <w:r w:rsidRPr="00621B7F" w:rsidR="005A0967">
        <w:rPr>
          <w:rFonts w:asciiTheme="minorEastAsia" w:eastAsiaTheme="minorEastAsia" w:hAnsiTheme="minorEastAsia" w:hint="eastAsia"/>
          <w:color w:val="000000" w:themeColor="text1"/>
          <w:szCs w:val="21"/>
        </w:rPr>
        <w:t>本基金可以适度运用衍生金融产品进一步降低跟踪误差。</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88" w:name="_Toc91752061"/>
      <w:bookmarkEnd w:id="786"/>
      <w:bookmarkEnd w:id="787"/>
      <w:r w:rsidRPr="00621B7F">
        <w:rPr>
          <w:rFonts w:asciiTheme="minorEastAsia" w:eastAsiaTheme="minorEastAsia" w:hAnsiTheme="minorEastAsia" w:hint="eastAsia"/>
          <w:b w:val="0"/>
          <w:bCs/>
          <w:color w:val="000000" w:themeColor="text1"/>
        </w:rPr>
        <w:t>（五）业绩</w:t>
      </w:r>
      <w:r w:rsidRPr="00621B7F">
        <w:rPr>
          <w:rFonts w:asciiTheme="minorEastAsia" w:eastAsiaTheme="minorEastAsia" w:hAnsiTheme="minorEastAsia"/>
          <w:b w:val="0"/>
          <w:bCs/>
          <w:color w:val="000000" w:themeColor="text1"/>
        </w:rPr>
        <w:t>比较基准</w:t>
      </w:r>
      <w:bookmarkEnd w:id="783"/>
      <w:bookmarkEnd w:id="784"/>
      <w:bookmarkEnd w:id="788"/>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789" w:name="_Toc200522667"/>
      <w:bookmarkStart w:id="790" w:name="_Toc200522803"/>
      <w:bookmarkStart w:id="791" w:name="_Toc200522940"/>
      <w:r w:rsidRPr="00621B7F">
        <w:rPr>
          <w:rFonts w:asciiTheme="minorEastAsia" w:eastAsiaTheme="minorEastAsia" w:hAnsiTheme="minorEastAsia" w:hint="eastAsia"/>
          <w:color w:val="000000" w:themeColor="text1"/>
          <w:szCs w:val="21"/>
        </w:rPr>
        <w:t>上证中盘</w:t>
      </w:r>
      <w:r w:rsidRPr="00621B7F">
        <w:rPr>
          <w:rFonts w:asciiTheme="minorEastAsia" w:eastAsiaTheme="minorEastAsia" w:hAnsiTheme="minorEastAsia"/>
          <w:color w:val="000000" w:themeColor="text1"/>
          <w:szCs w:val="21"/>
        </w:rPr>
        <w:t>指数</w:t>
      </w:r>
      <w:r w:rsidRPr="00621B7F">
        <w:rPr>
          <w:rFonts w:asciiTheme="minorEastAsia" w:eastAsiaTheme="minorEastAsia" w:hAnsiTheme="minorEastAsia" w:hint="eastAsia"/>
          <w:color w:val="000000" w:themeColor="text1"/>
          <w:szCs w:val="21"/>
        </w:rPr>
        <w:t>收益率</w:t>
      </w:r>
      <w:r w:rsidRPr="00621B7F" w:rsidR="000A4775">
        <w:rPr>
          <w:rFonts w:asciiTheme="minorEastAsia" w:eastAsiaTheme="minorEastAsia" w:hAnsiTheme="minorEastAsia" w:hint="eastAsia"/>
          <w:color w:val="000000" w:themeColor="text1"/>
          <w:kern w:val="0"/>
        </w:rPr>
        <w:t>×</w:t>
      </w:r>
      <w:r w:rsidRPr="00621B7F">
        <w:rPr>
          <w:rFonts w:asciiTheme="minorEastAsia" w:eastAsiaTheme="minorEastAsia" w:hAnsiTheme="minorEastAsia" w:hint="eastAsia"/>
          <w:color w:val="000000" w:themeColor="text1"/>
          <w:szCs w:val="21"/>
        </w:rPr>
        <w:t>95%+活期存款利率(税后)</w:t>
      </w:r>
      <w:r w:rsidRPr="00621B7F" w:rsidR="000A4775">
        <w:rPr>
          <w:rFonts w:asciiTheme="minorEastAsia" w:eastAsiaTheme="minorEastAsia" w:hAnsiTheme="minorEastAsia" w:hint="eastAsia"/>
          <w:color w:val="000000" w:themeColor="text1"/>
          <w:kern w:val="0"/>
        </w:rPr>
        <w:t>×</w:t>
      </w:r>
      <w:r w:rsidRPr="00621B7F">
        <w:rPr>
          <w:rFonts w:asciiTheme="minorEastAsia" w:eastAsiaTheme="minorEastAsia" w:hAnsiTheme="minorEastAsia" w:hint="eastAsia"/>
          <w:color w:val="000000" w:themeColor="text1"/>
          <w:szCs w:val="21"/>
        </w:rPr>
        <w:t>5%</w:t>
      </w:r>
      <w:r w:rsidRPr="00621B7F">
        <w:rPr>
          <w:rFonts w:asciiTheme="minorEastAsia" w:eastAsiaTheme="minorEastAsia" w:hAnsiTheme="minorEastAsia"/>
          <w:color w:val="000000" w:themeColor="text1"/>
          <w:szCs w:val="21"/>
        </w:rPr>
        <w:t>。</w:t>
      </w:r>
    </w:p>
    <w:p w:rsidR="00FA31CF" w:rsidRPr="00621B7F" w:rsidP="00FA31CF">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未来若出现标的指数不符合法律法规及监管的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AC0F85" w:rsidRPr="00621B7F" w:rsidP="00FA31CF">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92" w:name="_Toc87269125"/>
      <w:bookmarkStart w:id="793" w:name="_Toc91752062"/>
      <w:bookmarkStart w:id="794" w:name="_Toc84149642"/>
      <w:bookmarkEnd w:id="789"/>
      <w:bookmarkEnd w:id="790"/>
      <w:bookmarkEnd w:id="791"/>
      <w:r w:rsidRPr="00621B7F">
        <w:rPr>
          <w:rFonts w:asciiTheme="minorEastAsia" w:eastAsiaTheme="minorEastAsia" w:hAnsiTheme="minorEastAsia" w:hint="eastAsia"/>
          <w:b w:val="0"/>
          <w:bCs/>
          <w:color w:val="000000" w:themeColor="text1"/>
        </w:rPr>
        <w:t>（六）风险收益特征</w:t>
      </w:r>
      <w:bookmarkEnd w:id="792"/>
      <w:bookmarkEnd w:id="793"/>
    </w:p>
    <w:bookmarkEnd w:id="794"/>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本基金为上证中盘ETF的联接基金，</w:t>
      </w:r>
      <w:r w:rsidRPr="00621B7F" w:rsidR="00A54276">
        <w:rPr>
          <w:rFonts w:asciiTheme="minorEastAsia" w:eastAsiaTheme="minorEastAsia" w:hAnsiTheme="minorEastAsia" w:hint="eastAsia"/>
          <w:color w:val="000000" w:themeColor="text1"/>
          <w:szCs w:val="21"/>
        </w:rPr>
        <w:t>其预期</w:t>
      </w:r>
      <w:r w:rsidRPr="00621B7F" w:rsidR="00A54276">
        <w:rPr>
          <w:rFonts w:asciiTheme="minorEastAsia" w:eastAsiaTheme="minorEastAsia" w:hAnsiTheme="minorEastAsia"/>
          <w:color w:val="000000" w:themeColor="text1"/>
          <w:szCs w:val="21"/>
        </w:rPr>
        <w:t>风险</w:t>
      </w:r>
      <w:r w:rsidRPr="00621B7F" w:rsidR="00A54276">
        <w:rPr>
          <w:rFonts w:asciiTheme="minorEastAsia" w:eastAsiaTheme="minorEastAsia" w:hAnsiTheme="minorEastAsia" w:hint="eastAsia"/>
          <w:color w:val="000000" w:themeColor="text1"/>
          <w:szCs w:val="21"/>
        </w:rPr>
        <w:t>收益水平高于混合型基金、债</w:t>
      </w:r>
      <w:r w:rsidRPr="00621B7F" w:rsidR="00A54276">
        <w:rPr>
          <w:rFonts w:asciiTheme="minorEastAsia" w:eastAsiaTheme="minorEastAsia" w:hAnsiTheme="minorEastAsia"/>
          <w:color w:val="000000" w:themeColor="text1"/>
          <w:szCs w:val="21"/>
        </w:rPr>
        <w:t>券基金</w:t>
      </w:r>
      <w:r w:rsidRPr="00621B7F" w:rsidR="00A54276">
        <w:rPr>
          <w:rFonts w:asciiTheme="minorEastAsia" w:eastAsiaTheme="minorEastAsia" w:hAnsiTheme="minorEastAsia" w:hint="eastAsia"/>
          <w:color w:val="000000" w:themeColor="text1"/>
          <w:szCs w:val="21"/>
        </w:rPr>
        <w:t>和</w:t>
      </w:r>
      <w:r w:rsidRPr="00621B7F" w:rsidR="00A54276">
        <w:rPr>
          <w:rFonts w:asciiTheme="minorEastAsia" w:eastAsiaTheme="minorEastAsia" w:hAnsiTheme="minorEastAsia"/>
          <w:color w:val="000000" w:themeColor="text1"/>
          <w:szCs w:val="21"/>
        </w:rPr>
        <w:t>货币市场基金</w:t>
      </w:r>
      <w:r w:rsidRPr="00621B7F" w:rsidR="00A54276">
        <w:rPr>
          <w:rFonts w:asciiTheme="minorEastAsia" w:eastAsiaTheme="minorEastAsia" w:hAnsiTheme="minorEastAsia" w:hint="eastAsia"/>
          <w:color w:val="000000" w:themeColor="text1"/>
          <w:szCs w:val="21"/>
        </w:rPr>
        <w:t>。本基金</w:t>
      </w:r>
      <w:r w:rsidRPr="00621B7F">
        <w:rPr>
          <w:rFonts w:asciiTheme="minorEastAsia" w:eastAsiaTheme="minorEastAsia" w:hAnsiTheme="minorEastAsia" w:hint="eastAsia"/>
          <w:color w:val="000000" w:themeColor="text1"/>
          <w:szCs w:val="21"/>
        </w:rPr>
        <w:t>主要通过投资于上证中盘ETF</w:t>
      </w:r>
      <w:r w:rsidRPr="00621B7F" w:rsidR="001268F5">
        <w:rPr>
          <w:rFonts w:asciiTheme="minorEastAsia" w:eastAsiaTheme="minorEastAsia" w:hAnsiTheme="minorEastAsia" w:hint="eastAsia"/>
          <w:color w:val="000000" w:themeColor="text1"/>
          <w:szCs w:val="21"/>
        </w:rPr>
        <w:t>追踪</w:t>
      </w:r>
      <w:r w:rsidRPr="00621B7F">
        <w:rPr>
          <w:rFonts w:asciiTheme="minorEastAsia" w:eastAsiaTheme="minorEastAsia" w:hAnsiTheme="minorEastAsia" w:hint="eastAsia"/>
          <w:color w:val="000000" w:themeColor="text1"/>
          <w:szCs w:val="21"/>
        </w:rPr>
        <w:t>业绩比较基准</w:t>
      </w:r>
      <w:r w:rsidRPr="00621B7F" w:rsidR="00A54276">
        <w:rPr>
          <w:rFonts w:asciiTheme="minorEastAsia" w:eastAsiaTheme="minorEastAsia" w:hAnsiTheme="minorEastAsia" w:hint="eastAsia"/>
          <w:color w:val="000000" w:themeColor="text1"/>
          <w:szCs w:val="21"/>
        </w:rPr>
        <w:t>，具有与业绩比较基准相似的风险收益特征</w:t>
      </w:r>
      <w:r w:rsidRPr="00621B7F">
        <w:rPr>
          <w:rFonts w:asciiTheme="minorEastAsia" w:eastAsiaTheme="minorEastAsia" w:hAnsiTheme="minorEastAsia" w:hint="eastAsia"/>
          <w:color w:val="000000" w:themeColor="text1"/>
          <w:szCs w:val="21"/>
        </w:rPr>
        <w:t>。</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795" w:name="_Toc91752063"/>
      <w:r w:rsidRPr="00621B7F">
        <w:rPr>
          <w:rFonts w:asciiTheme="minorEastAsia" w:eastAsiaTheme="minorEastAsia" w:hAnsiTheme="minorEastAsia" w:hint="eastAsia"/>
          <w:b w:val="0"/>
          <w:bCs/>
          <w:color w:val="000000" w:themeColor="text1"/>
        </w:rPr>
        <w:t>（七）</w:t>
      </w:r>
      <w:bookmarkStart w:id="796" w:name="_Toc52310852"/>
      <w:bookmarkStart w:id="797" w:name="_Toc64861727"/>
      <w:r w:rsidRPr="00621B7F">
        <w:rPr>
          <w:rFonts w:asciiTheme="minorEastAsia" w:eastAsiaTheme="minorEastAsia" w:hAnsiTheme="minorEastAsia" w:hint="eastAsia"/>
          <w:b w:val="0"/>
          <w:bCs/>
          <w:color w:val="000000" w:themeColor="text1"/>
        </w:rPr>
        <w:t>投资决策</w:t>
      </w:r>
      <w:bookmarkEnd w:id="796"/>
      <w:bookmarkEnd w:id="797"/>
      <w:bookmarkEnd w:id="795"/>
    </w:p>
    <w:p w:rsidR="00A3393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1、投资决策依据</w:t>
      </w:r>
    </w:p>
    <w:p w:rsidR="00A3393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（1）法律、法规和《基金合同》的规定</w:t>
      </w:r>
      <w:r w:rsidRPr="00621B7F" w:rsidR="00F02624">
        <w:rPr>
          <w:rFonts w:asciiTheme="minorEastAsia" w:eastAsiaTheme="minorEastAsia" w:hAnsiTheme="minorEastAsia" w:hint="eastAsia"/>
          <w:color w:val="000000" w:themeColor="text1"/>
          <w:szCs w:val="21"/>
        </w:rPr>
        <w:t>；</w:t>
      </w:r>
    </w:p>
    <w:p w:rsidR="00A3393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5A0967">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hint="eastAsia"/>
          <w:color w:val="000000" w:themeColor="text1"/>
          <w:szCs w:val="21"/>
        </w:rPr>
        <w:t>）对证券市场发展趋势的研究与判断</w:t>
      </w:r>
      <w:r w:rsidRPr="00621B7F" w:rsidR="00F02624">
        <w:rPr>
          <w:rFonts w:asciiTheme="minorEastAsia" w:eastAsiaTheme="minorEastAsia" w:hAnsiTheme="minorEastAsia" w:hint="eastAsia"/>
          <w:color w:val="000000" w:themeColor="text1"/>
          <w:szCs w:val="21"/>
        </w:rPr>
        <w:t>。</w:t>
      </w:r>
    </w:p>
    <w:p w:rsidR="00A3393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2、投资决策流程</w:t>
      </w:r>
    </w:p>
    <w:p w:rsidR="005A096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（1）基金经理</w:t>
      </w:r>
      <w:r w:rsidRPr="00621B7F" w:rsidR="00F02624">
        <w:rPr>
          <w:rFonts w:asciiTheme="minorEastAsia" w:eastAsiaTheme="minorEastAsia" w:hAnsiTheme="minorEastAsia" w:hint="eastAsia"/>
          <w:color w:val="000000" w:themeColor="text1"/>
          <w:szCs w:val="21"/>
        </w:rPr>
        <w:t>拟定</w:t>
      </w:r>
      <w:r w:rsidRPr="00621B7F">
        <w:rPr>
          <w:rFonts w:asciiTheme="minorEastAsia" w:eastAsiaTheme="minorEastAsia" w:hAnsiTheme="minorEastAsia" w:hint="eastAsia"/>
          <w:color w:val="000000" w:themeColor="text1"/>
          <w:szCs w:val="21"/>
        </w:rPr>
        <w:t>资产配置</w:t>
      </w:r>
      <w:r w:rsidRPr="00621B7F" w:rsidR="00F02624">
        <w:rPr>
          <w:rFonts w:asciiTheme="minorEastAsia" w:eastAsiaTheme="minorEastAsia" w:hAnsiTheme="minorEastAsia" w:hint="eastAsia"/>
          <w:color w:val="000000" w:themeColor="text1"/>
          <w:szCs w:val="21"/>
        </w:rPr>
        <w:t>计划</w:t>
      </w:r>
      <w:r w:rsidRPr="00621B7F" w:rsidR="00D079BC">
        <w:rPr>
          <w:rFonts w:asciiTheme="minorEastAsia" w:eastAsiaTheme="minorEastAsia" w:hAnsiTheme="minorEastAsia" w:hint="eastAsia"/>
          <w:color w:val="000000" w:themeColor="text1"/>
          <w:szCs w:val="21"/>
        </w:rPr>
        <w:t>，按照</w:t>
      </w:r>
      <w:r w:rsidRPr="00621B7F" w:rsidR="00F02624">
        <w:rPr>
          <w:rFonts w:asciiTheme="minorEastAsia" w:eastAsiaTheme="minorEastAsia" w:hAnsiTheme="minorEastAsia" w:hint="eastAsia"/>
          <w:color w:val="000000" w:themeColor="text1"/>
          <w:szCs w:val="21"/>
        </w:rPr>
        <w:t>公司</w:t>
      </w:r>
      <w:r w:rsidRPr="00621B7F" w:rsidR="00D079BC">
        <w:rPr>
          <w:rFonts w:asciiTheme="minorEastAsia" w:eastAsiaTheme="minorEastAsia" w:hAnsiTheme="minorEastAsia" w:hint="eastAsia"/>
          <w:color w:val="000000" w:themeColor="text1"/>
          <w:szCs w:val="21"/>
        </w:rPr>
        <w:t>制度提交审议并实施</w:t>
      </w:r>
      <w:r w:rsidRPr="00621B7F">
        <w:rPr>
          <w:rFonts w:asciiTheme="minorEastAsia" w:eastAsiaTheme="minorEastAsia" w:hAnsiTheme="minorEastAsia" w:hint="eastAsia"/>
          <w:color w:val="000000" w:themeColor="text1"/>
          <w:szCs w:val="21"/>
        </w:rPr>
        <w:t>；</w:t>
      </w:r>
    </w:p>
    <w:p w:rsidR="005A096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D079BC">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基金经理</w:t>
      </w:r>
      <w:r w:rsidRPr="00621B7F">
        <w:rPr>
          <w:rFonts w:asciiTheme="minorEastAsia" w:eastAsiaTheme="minorEastAsia" w:hAnsiTheme="minorEastAsia" w:hint="eastAsia"/>
          <w:color w:val="000000" w:themeColor="text1"/>
          <w:szCs w:val="21"/>
        </w:rPr>
        <w:t>采取实物申赎的方式或证券二级市场交易的方式进行上证中盘ETF的买卖；</w:t>
      </w:r>
    </w:p>
    <w:p w:rsidR="002A4A95" w:rsidRPr="00621B7F" w:rsidP="002A4A95">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D079BC">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hint="eastAsia"/>
          <w:color w:val="000000" w:themeColor="text1"/>
          <w:szCs w:val="21"/>
        </w:rPr>
        <w:t>）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p>
    <w:p w:rsidR="005A0967" w:rsidRPr="00621B7F" w:rsidP="002A4A95">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sidR="0018437A">
        <w:rPr>
          <w:rFonts w:asciiTheme="minorEastAsia" w:eastAsiaTheme="minorEastAsia" w:hAnsiTheme="minorEastAsia" w:hint="eastAsia"/>
          <w:color w:val="000000" w:themeColor="text1"/>
          <w:szCs w:val="21"/>
        </w:rPr>
        <w:t>投资风险管理部</w:t>
      </w:r>
      <w:r w:rsidRPr="00621B7F">
        <w:rPr>
          <w:rFonts w:asciiTheme="minorEastAsia" w:eastAsiaTheme="minorEastAsia" w:hAnsiTheme="minorEastAsia" w:hint="eastAsia"/>
          <w:color w:val="000000" w:themeColor="text1"/>
          <w:szCs w:val="21"/>
        </w:rPr>
        <w:t>定期</w:t>
      </w:r>
      <w:r w:rsidRPr="00621B7F">
        <w:rPr>
          <w:rFonts w:asciiTheme="minorEastAsia" w:eastAsiaTheme="minorEastAsia" w:hAnsiTheme="minorEastAsia"/>
          <w:color w:val="000000" w:themeColor="text1"/>
          <w:szCs w:val="21"/>
        </w:rPr>
        <w:t>对投资组合</w:t>
      </w:r>
      <w:r w:rsidRPr="00621B7F" w:rsidR="00961E4C">
        <w:rPr>
          <w:rFonts w:asciiTheme="minorEastAsia" w:eastAsiaTheme="minorEastAsia" w:hAnsiTheme="minorEastAsia" w:hint="eastAsia"/>
          <w:color w:val="000000" w:themeColor="text1"/>
          <w:szCs w:val="21"/>
        </w:rPr>
        <w:t>与业绩比较基准</w:t>
      </w:r>
      <w:r w:rsidRPr="00621B7F">
        <w:rPr>
          <w:rFonts w:asciiTheme="minorEastAsia" w:eastAsiaTheme="minorEastAsia" w:hAnsiTheme="minorEastAsia"/>
          <w:color w:val="000000" w:themeColor="text1"/>
          <w:szCs w:val="21"/>
        </w:rPr>
        <w:t>的偏离度</w:t>
      </w:r>
      <w:r w:rsidRPr="00621B7F">
        <w:rPr>
          <w:rFonts w:asciiTheme="minorEastAsia" w:eastAsiaTheme="minorEastAsia" w:hAnsiTheme="minorEastAsia" w:hint="eastAsia"/>
          <w:color w:val="000000" w:themeColor="text1"/>
          <w:szCs w:val="21"/>
        </w:rPr>
        <w:t>和跟踪误差</w:t>
      </w:r>
      <w:r w:rsidRPr="00621B7F">
        <w:rPr>
          <w:rFonts w:asciiTheme="minorEastAsia" w:eastAsiaTheme="minorEastAsia" w:hAnsiTheme="minorEastAsia"/>
          <w:color w:val="000000" w:themeColor="text1"/>
          <w:szCs w:val="21"/>
        </w:rPr>
        <w:t>进行跟踪和评估</w:t>
      </w:r>
      <w:r w:rsidRPr="00621B7F">
        <w:rPr>
          <w:rFonts w:asciiTheme="minorEastAsia" w:eastAsiaTheme="minorEastAsia" w:hAnsiTheme="minorEastAsia" w:hint="eastAsia"/>
          <w:color w:val="000000" w:themeColor="text1"/>
          <w:szCs w:val="21"/>
        </w:rPr>
        <w:t>。</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798" w:name="_Toc91752064"/>
      <w:r w:rsidRPr="00621B7F">
        <w:rPr>
          <w:rFonts w:asciiTheme="minorEastAsia" w:eastAsiaTheme="minorEastAsia" w:hAnsiTheme="minorEastAsia" w:hint="eastAsia"/>
          <w:b w:val="0"/>
          <w:bCs/>
          <w:color w:val="000000" w:themeColor="text1"/>
        </w:rPr>
        <w:t>（八）投资</w:t>
      </w:r>
      <w:bookmarkEnd w:id="773"/>
      <w:r w:rsidRPr="00621B7F">
        <w:rPr>
          <w:rFonts w:asciiTheme="minorEastAsia" w:eastAsiaTheme="minorEastAsia" w:hAnsiTheme="minorEastAsia" w:hint="eastAsia"/>
          <w:b w:val="0"/>
          <w:bCs/>
          <w:color w:val="000000" w:themeColor="text1"/>
        </w:rPr>
        <w:t>限制</w:t>
      </w:r>
      <w:bookmarkEnd w:id="798"/>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本基金的投资组合将遵循以下限制：</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基金</w:t>
      </w:r>
      <w:r w:rsidRPr="00621B7F">
        <w:rPr>
          <w:rFonts w:asciiTheme="minorEastAsia" w:eastAsiaTheme="minorEastAsia" w:hAnsiTheme="minorEastAsia" w:hint="eastAsia"/>
          <w:color w:val="000000" w:themeColor="text1"/>
          <w:szCs w:val="21"/>
        </w:rPr>
        <w:t>资产中投资于上证中盘ETF的</w:t>
      </w:r>
      <w:r w:rsidRPr="00621B7F">
        <w:rPr>
          <w:rFonts w:asciiTheme="minorEastAsia" w:eastAsiaTheme="minorEastAsia" w:hAnsiTheme="minorEastAsia"/>
          <w:color w:val="000000" w:themeColor="text1"/>
          <w:szCs w:val="21"/>
        </w:rPr>
        <w:t>比例不低于基金资产</w:t>
      </w:r>
      <w:r w:rsidRPr="00621B7F">
        <w:rPr>
          <w:rFonts w:asciiTheme="minorEastAsia" w:eastAsiaTheme="minorEastAsia" w:hAnsiTheme="minorEastAsia" w:hint="eastAsia"/>
          <w:color w:val="000000" w:themeColor="text1"/>
          <w:szCs w:val="21"/>
        </w:rPr>
        <w:t>净值</w:t>
      </w:r>
      <w:r w:rsidRPr="00621B7F">
        <w:rPr>
          <w:rFonts w:asciiTheme="minorEastAsia" w:eastAsiaTheme="minorEastAsia" w:hAnsiTheme="minorEastAsia"/>
          <w:color w:val="000000" w:themeColor="text1"/>
          <w:szCs w:val="21"/>
        </w:rPr>
        <w:t>的9</w:t>
      </w:r>
      <w:r w:rsidRPr="00621B7F">
        <w:rPr>
          <w:rFonts w:asciiTheme="minorEastAsia" w:eastAsiaTheme="minorEastAsia" w:hAnsiTheme="minorEastAsia" w:hint="eastAsia"/>
          <w:color w:val="000000" w:themeColor="text1"/>
          <w:szCs w:val="21"/>
        </w:rPr>
        <w:t>0</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2、本基金进入全国银行间同业市场进行债券回购的资金余额不得超过基金资产净值的40%</w:t>
      </w:r>
      <w:r w:rsidRPr="00621B7F">
        <w:rPr>
          <w:rFonts w:asciiTheme="minorEastAsia" w:eastAsiaTheme="minorEastAsia" w:hAnsiTheme="minorEastAsia"/>
          <w:color w:val="000000" w:themeColor="text1"/>
          <w:szCs w:val="21"/>
        </w:rPr>
        <w:t>；</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3、本基金财产参与股票发行申购，本基金所申报的金额不得超过本基金的总资产，所申报的股票数量不得超过拟发行股票公司本次发行股票的总量；</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4、本基金不得违反《基金合同》关于投资范围和投资比例的约定；</w:t>
      </w:r>
    </w:p>
    <w:p w:rsidR="00B9552C" w:rsidRPr="00621B7F" w:rsidP="00B9552C">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5、本基金主动投资于流动性受限资产的市值合计不得超过本基金资产净值的15%。</w:t>
      </w:r>
    </w:p>
    <w:p w:rsidR="00B9552C" w:rsidRPr="00621B7F" w:rsidP="00B9552C">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7F520A" w:rsidRPr="00621B7F" w:rsidP="007F520A">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6、本基金与私募类证券资管产品及中国证监会认定的其他主体为交易对手开展逆回购交易的，可接受质押品的资质要求应当与基金合同约定的投资范围保持一致。</w:t>
      </w:r>
    </w:p>
    <w:p w:rsidR="00DD01DC"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7、本基金投资存托凭证的比例限制依照境内上市交易的股票执行，与境内上市交易的股票合并计算。</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8、相关法律法规以及监管部门规定的其他投资限制。</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如</w:t>
      </w:r>
      <w:r w:rsidRPr="00621B7F">
        <w:rPr>
          <w:rFonts w:asciiTheme="minorEastAsia" w:eastAsiaTheme="minorEastAsia" w:hAnsiTheme="minorEastAsia"/>
          <w:color w:val="000000" w:themeColor="text1"/>
          <w:szCs w:val="21"/>
        </w:rPr>
        <w:t>法律法规或监管部门</w:t>
      </w:r>
      <w:r w:rsidRPr="00621B7F">
        <w:rPr>
          <w:rFonts w:asciiTheme="minorEastAsia" w:eastAsiaTheme="minorEastAsia" w:hAnsiTheme="minorEastAsia" w:hint="eastAsia"/>
          <w:color w:val="000000" w:themeColor="text1"/>
          <w:szCs w:val="21"/>
        </w:rPr>
        <w:t>取消上述限制性规定，履行适当程序后，本基金不受上述规定的限制</w:t>
      </w:r>
      <w:r w:rsidRPr="00621B7F">
        <w:rPr>
          <w:rFonts w:asciiTheme="minorEastAsia" w:eastAsiaTheme="minorEastAsia" w:hAnsiTheme="minorEastAsia"/>
          <w:color w:val="000000" w:themeColor="text1"/>
          <w:szCs w:val="21"/>
        </w:rPr>
        <w:t>。</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除上述3、5、6项以外，</w:t>
      </w:r>
      <w:r w:rsidRPr="00621B7F">
        <w:rPr>
          <w:rFonts w:asciiTheme="minorEastAsia" w:eastAsiaTheme="minorEastAsia" w:hAnsiTheme="minorEastAsia"/>
          <w:color w:val="000000" w:themeColor="text1"/>
          <w:szCs w:val="21"/>
        </w:rPr>
        <w:t>由于</w:t>
      </w:r>
      <w:r w:rsidRPr="00621B7F">
        <w:rPr>
          <w:rFonts w:asciiTheme="minorEastAsia" w:eastAsiaTheme="minorEastAsia" w:hAnsiTheme="minorEastAsia" w:hint="eastAsia"/>
          <w:color w:val="000000" w:themeColor="text1"/>
          <w:szCs w:val="21"/>
        </w:rPr>
        <w:t>证券市场波动、上市公司合并</w:t>
      </w:r>
      <w:r w:rsidRPr="00621B7F">
        <w:rPr>
          <w:rFonts w:asciiTheme="minorEastAsia" w:eastAsiaTheme="minorEastAsia" w:hAnsiTheme="minorEastAsia"/>
          <w:color w:val="000000" w:themeColor="text1"/>
          <w:szCs w:val="21"/>
        </w:rPr>
        <w:t>或</w:t>
      </w:r>
      <w:r w:rsidRPr="00621B7F">
        <w:rPr>
          <w:rFonts w:asciiTheme="minorEastAsia" w:eastAsiaTheme="minorEastAsia" w:hAnsiTheme="minorEastAsia" w:hint="eastAsia"/>
          <w:color w:val="000000" w:themeColor="text1"/>
          <w:szCs w:val="21"/>
        </w:rPr>
        <w:t>基金规模变动等基金管理人之外的原因</w:t>
      </w:r>
      <w:r w:rsidRPr="00621B7F">
        <w:rPr>
          <w:rFonts w:asciiTheme="minorEastAsia" w:eastAsiaTheme="minorEastAsia" w:hAnsiTheme="minorEastAsia"/>
          <w:color w:val="000000" w:themeColor="text1"/>
          <w:szCs w:val="21"/>
        </w:rPr>
        <w:t>导致的投资组合</w:t>
      </w:r>
      <w:r w:rsidRPr="00621B7F">
        <w:rPr>
          <w:rFonts w:asciiTheme="minorEastAsia" w:eastAsiaTheme="minorEastAsia" w:hAnsiTheme="minorEastAsia" w:hint="eastAsia"/>
          <w:color w:val="000000" w:themeColor="text1"/>
          <w:szCs w:val="21"/>
        </w:rPr>
        <w:t>不符合</w:t>
      </w:r>
      <w:r w:rsidRPr="00621B7F">
        <w:rPr>
          <w:rFonts w:asciiTheme="minorEastAsia" w:eastAsiaTheme="minorEastAsia" w:hAnsiTheme="minorEastAsia"/>
          <w:color w:val="000000" w:themeColor="text1"/>
          <w:szCs w:val="21"/>
        </w:rPr>
        <w:t>上述约定的比例不在限制之内，但基金管理人应在</w:t>
      </w:r>
      <w:r w:rsidRPr="00621B7F">
        <w:rPr>
          <w:rFonts w:asciiTheme="minorEastAsia" w:eastAsiaTheme="minorEastAsia" w:hAnsiTheme="minorEastAsia" w:hint="eastAsia"/>
          <w:color w:val="000000" w:themeColor="text1"/>
          <w:szCs w:val="21"/>
        </w:rPr>
        <w:t>10个交易日</w:t>
      </w:r>
      <w:r w:rsidRPr="00621B7F">
        <w:rPr>
          <w:rFonts w:asciiTheme="minorEastAsia" w:eastAsiaTheme="minorEastAsia" w:hAnsiTheme="minorEastAsia"/>
          <w:color w:val="000000" w:themeColor="text1"/>
          <w:szCs w:val="21"/>
        </w:rPr>
        <w:t>内进行调整，以达到标准</w:t>
      </w:r>
      <w:r w:rsidRPr="00621B7F">
        <w:rPr>
          <w:rFonts w:asciiTheme="minorEastAsia" w:eastAsiaTheme="minorEastAsia" w:hAnsiTheme="minorEastAsia" w:hint="eastAsia"/>
          <w:color w:val="000000" w:themeColor="text1"/>
          <w:szCs w:val="21"/>
        </w:rPr>
        <w:t>。法律法规另有规定的从其规定。</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基金管理人应当自基金合同生效之日起</w:t>
      </w:r>
      <w:r w:rsidRPr="00621B7F" w:rsidR="00C43B26">
        <w:rPr>
          <w:rFonts w:asciiTheme="minorEastAsia" w:eastAsiaTheme="minorEastAsia" w:hAnsiTheme="minorEastAsia" w:hint="eastAsia"/>
          <w:color w:val="000000" w:themeColor="text1"/>
          <w:szCs w:val="21"/>
        </w:rPr>
        <w:t>6</w:t>
      </w:r>
      <w:r w:rsidRPr="00621B7F">
        <w:rPr>
          <w:rFonts w:asciiTheme="minorEastAsia" w:eastAsiaTheme="minorEastAsia" w:hAnsiTheme="minorEastAsia"/>
          <w:color w:val="000000" w:themeColor="text1"/>
          <w:szCs w:val="21"/>
        </w:rPr>
        <w:t>个月内使基金的投资组合比例符合基金合同的有关约定。</w:t>
      </w:r>
      <w:r w:rsidRPr="00621B7F">
        <w:rPr>
          <w:rFonts w:asciiTheme="minorEastAsia" w:eastAsiaTheme="minorEastAsia" w:hAnsiTheme="minorEastAsia" w:hint="eastAsia"/>
          <w:color w:val="000000" w:themeColor="text1"/>
          <w:szCs w:val="21"/>
        </w:rPr>
        <w:t>基金托管人对基金的投资的监督与检查自</w:t>
      </w:r>
      <w:r w:rsidRPr="00621B7F" w:rsidR="00F51C42">
        <w:rPr>
          <w:rFonts w:asciiTheme="minorEastAsia" w:eastAsiaTheme="minorEastAsia" w:hAnsiTheme="minorEastAsia" w:hint="eastAsia"/>
          <w:color w:val="000000" w:themeColor="text1"/>
          <w:szCs w:val="21"/>
        </w:rPr>
        <w:t>基金合同</w:t>
      </w:r>
      <w:r w:rsidRPr="00621B7F">
        <w:rPr>
          <w:rFonts w:asciiTheme="minorEastAsia" w:eastAsiaTheme="minorEastAsia" w:hAnsiTheme="minorEastAsia" w:hint="eastAsia"/>
          <w:color w:val="000000" w:themeColor="text1"/>
          <w:szCs w:val="21"/>
        </w:rPr>
        <w:t>生效之日起开始。</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799" w:name="_Toc91752065"/>
      <w:r w:rsidRPr="00621B7F">
        <w:rPr>
          <w:rFonts w:asciiTheme="minorEastAsia" w:eastAsiaTheme="minorEastAsia" w:hAnsiTheme="minorEastAsia" w:hint="eastAsia"/>
          <w:b w:val="0"/>
          <w:bCs/>
          <w:color w:val="000000" w:themeColor="text1"/>
        </w:rPr>
        <w:t>（九）</w:t>
      </w:r>
      <w:bookmarkStart w:id="800" w:name="_Toc52310854"/>
      <w:r w:rsidRPr="00621B7F">
        <w:rPr>
          <w:rFonts w:asciiTheme="minorEastAsia" w:eastAsiaTheme="minorEastAsia" w:hAnsiTheme="minorEastAsia" w:hint="eastAsia"/>
          <w:b w:val="0"/>
          <w:bCs/>
          <w:color w:val="000000" w:themeColor="text1"/>
        </w:rPr>
        <w:t>禁止行为</w:t>
      </w:r>
      <w:bookmarkEnd w:id="800"/>
      <w:bookmarkEnd w:id="799"/>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为维护基金份额持有人的合法权益，本基金禁止从事下列行为：</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241F10">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承销证券；</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241F10">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向他人贷款或提供担保；</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241F10">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从事承担无限责任的投资；</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sidR="00241F10">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向基金管理人、基金托管人出资或者买卖其基金管理人、基金托管人发行的股票或债券；</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w:t>
      </w:r>
      <w:r w:rsidRPr="00621B7F" w:rsidR="00241F10">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买卖与基金管理人、基金托管人有控股关系的股东或者与基金管理人、基金托管人有其他重大利害关系的公司发行的证券或者承销期内承销的证券；但指定的目标</w:t>
      </w:r>
      <w:r w:rsidRPr="00621B7F">
        <w:rPr>
          <w:rFonts w:asciiTheme="minorEastAsia" w:eastAsiaTheme="minorEastAsia" w:hAnsiTheme="minorEastAsia"/>
          <w:color w:val="000000" w:themeColor="text1"/>
          <w:szCs w:val="21"/>
        </w:rPr>
        <w:t>ETF除外</w:t>
      </w:r>
      <w:r w:rsidRPr="00621B7F">
        <w:rPr>
          <w:rFonts w:asciiTheme="minorEastAsia" w:eastAsiaTheme="minorEastAsia" w:hAnsiTheme="minorEastAsia" w:hint="eastAsia"/>
          <w:color w:val="000000" w:themeColor="text1"/>
          <w:szCs w:val="21"/>
        </w:rPr>
        <w:t>；</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w:t>
      </w:r>
      <w:r w:rsidRPr="00621B7F" w:rsidR="00241F10">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从事内幕交易、操纵证券价格及其他不正当的证券交易活动；</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w:t>
      </w:r>
      <w:r w:rsidRPr="00621B7F" w:rsidR="00241F10">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当时有效的法律法规、中国证监会及《基金合同》规定禁止从事的其他行为。</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如</w:t>
      </w:r>
      <w:r w:rsidRPr="00621B7F">
        <w:rPr>
          <w:rFonts w:asciiTheme="minorEastAsia" w:eastAsiaTheme="minorEastAsia" w:hAnsiTheme="minorEastAsia"/>
          <w:color w:val="000000" w:themeColor="text1"/>
          <w:szCs w:val="21"/>
        </w:rPr>
        <w:t>法律法规或监管部门</w:t>
      </w:r>
      <w:r w:rsidRPr="00621B7F">
        <w:rPr>
          <w:rFonts w:asciiTheme="minorEastAsia" w:eastAsiaTheme="minorEastAsia" w:hAnsiTheme="minorEastAsia" w:hint="eastAsia"/>
          <w:color w:val="000000" w:themeColor="text1"/>
          <w:szCs w:val="21"/>
        </w:rPr>
        <w:t>取消上述禁止性规定，本基金管理人在履行适当程序后可不受上述规定的限制</w:t>
      </w:r>
      <w:r w:rsidRPr="00621B7F">
        <w:rPr>
          <w:rFonts w:asciiTheme="minorEastAsia" w:eastAsiaTheme="minorEastAsia" w:hAnsiTheme="minorEastAsia"/>
          <w:color w:val="000000" w:themeColor="text1"/>
          <w:szCs w:val="21"/>
        </w:rPr>
        <w:t>。</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01" w:name="_Toc91752066"/>
      <w:r w:rsidRPr="00621B7F">
        <w:rPr>
          <w:rFonts w:asciiTheme="minorEastAsia" w:eastAsiaTheme="minorEastAsia" w:hAnsiTheme="minorEastAsia" w:hint="eastAsia"/>
          <w:b w:val="0"/>
          <w:bCs/>
          <w:color w:val="000000" w:themeColor="text1"/>
        </w:rPr>
        <w:t>（十）</w:t>
      </w:r>
      <w:r w:rsidRPr="00621B7F">
        <w:rPr>
          <w:rFonts w:asciiTheme="minorEastAsia" w:eastAsiaTheme="minorEastAsia" w:hAnsiTheme="minorEastAsia" w:hint="eastAsia"/>
          <w:b w:val="0"/>
          <w:bCs/>
          <w:color w:val="000000" w:themeColor="text1"/>
          <w:spacing w:val="-6"/>
        </w:rPr>
        <w:t>基金管理人代表基金行使所投资证券产生权利的处理原则及方法</w:t>
      </w:r>
      <w:bookmarkEnd w:id="801"/>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w:t>
      </w:r>
      <w:r w:rsidRPr="00621B7F">
        <w:rPr>
          <w:rFonts w:asciiTheme="minorEastAsia" w:eastAsiaTheme="minorEastAsia" w:hAnsiTheme="minorEastAsia"/>
          <w:color w:val="000000" w:themeColor="text1"/>
        </w:rPr>
        <w:t>不谋求对上市公司的控股，不参与所投资上市公司的经营管理；</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w:t>
      </w:r>
      <w:r w:rsidRPr="00621B7F">
        <w:rPr>
          <w:rFonts w:asciiTheme="minorEastAsia" w:eastAsiaTheme="minorEastAsia" w:hAnsiTheme="minorEastAsia"/>
          <w:color w:val="000000" w:themeColor="text1"/>
        </w:rPr>
        <w:t>有利于基金资产的安全与增值；</w:t>
      </w:r>
    </w:p>
    <w:p w:rsidR="00911CFA"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3、基金管理人按照国家有关规定代表基金独立行使股东权利，保护基金份额持有人的利益。</w:t>
      </w:r>
    </w:p>
    <w:p w:rsidR="00911CFA"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4、基金管理人按照国家有关规定代表基金独立行使债权人权利，保护基金份额持有人的利益。</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02" w:name="_Toc91752067"/>
      <w:r w:rsidRPr="00621B7F">
        <w:rPr>
          <w:rFonts w:asciiTheme="minorEastAsia" w:eastAsiaTheme="minorEastAsia" w:hAnsiTheme="minorEastAsia" w:hint="eastAsia"/>
          <w:b w:val="0"/>
          <w:bCs/>
          <w:color w:val="000000" w:themeColor="text1"/>
        </w:rPr>
        <w:t>（十</w:t>
      </w:r>
      <w:r w:rsidRPr="00621B7F">
        <w:rPr>
          <w:rFonts w:asciiTheme="minorEastAsia" w:eastAsiaTheme="minorEastAsia" w:hAnsiTheme="minorEastAsia" w:hint="eastAsia"/>
          <w:b w:val="0"/>
          <w:color w:val="000000" w:themeColor="text1"/>
        </w:rPr>
        <w:t>一</w:t>
      </w:r>
      <w:r w:rsidRPr="00621B7F">
        <w:rPr>
          <w:rFonts w:asciiTheme="minorEastAsia" w:eastAsiaTheme="minorEastAsia" w:hAnsiTheme="minorEastAsia" w:hint="eastAsia"/>
          <w:b w:val="0"/>
          <w:bCs/>
          <w:color w:val="000000" w:themeColor="text1"/>
        </w:rPr>
        <w:t>）</w:t>
      </w:r>
      <w:r w:rsidRPr="00621B7F" w:rsidR="00FE473A">
        <w:rPr>
          <w:rFonts w:asciiTheme="minorEastAsia" w:eastAsiaTheme="minorEastAsia" w:hAnsiTheme="minorEastAsia" w:hint="eastAsia"/>
          <w:b w:val="0"/>
          <w:bCs/>
          <w:color w:val="000000" w:themeColor="text1"/>
        </w:rPr>
        <w:t>基金的融资、转融通</w:t>
      </w:r>
      <w:bookmarkEnd w:id="802"/>
    </w:p>
    <w:p w:rsidR="00BB2BCE" w:rsidRPr="00621B7F" w:rsidP="00711F2A">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在条件许可的情况下，基金管理人可在不改变本基金既有投资目标、策略和风险收益特征并在控制风险的前提下，根据相关法律法规，参与融资及转融通证券出借业务，以提高投资效率及进行风险管理。届时基金参与融资及转融通证券出借业务的风险控制原则、具体参与比例限制、费用收支、信息披露、估值方法及其他相关事项按照中国证监会的规定及其他相关法律法规的要求执行，无需召开基金份额持有人大会审议。</w:t>
      </w:r>
    </w:p>
    <w:p w:rsidR="00BB2BCE" w:rsidRPr="00621B7F" w:rsidP="00711F2A">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（1）融资策略</w:t>
      </w:r>
    </w:p>
    <w:p w:rsidR="00BB2BCE" w:rsidRPr="00621B7F" w:rsidP="00711F2A">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本基金可在综合考虑预期收益、风险、流动性等因素的基础上，参与融资业务。基金参与融资业务后，在任何交易日日终，持有的融资买入股票与其他有价证券市值之和，不得超过基金资产净值的95%。</w:t>
      </w:r>
    </w:p>
    <w:p w:rsidR="00BB2BCE" w:rsidRPr="00621B7F" w:rsidP="00711F2A">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（2）转融通证券出借策略</w:t>
      </w:r>
    </w:p>
    <w:p w:rsidR="00BB2BCE" w:rsidRPr="00621B7F" w:rsidP="00711F2A">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本基金可根据风险管理的原则，参与转融通证券出借交易。转融通证券出借策略按照分散化投资原则，分批、分期进行转融通证券出借交易，以分散风险。本基金在任何交易日日终，参与转融通证券出借交易的资产不得超过基金资产净值的50%，证券出借的平均剩余期限不得超过30天，平均剩余期限按照市值加权平均计算。</w:t>
      </w:r>
    </w:p>
    <w:p w:rsidR="007F520A" w:rsidRPr="00621B7F" w:rsidP="00711F2A">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3）法律法规或监管部门取消上述组合限制，本基金可不受相关限制。法律法规或监管部门对上述组合限制进行变更的，本基金可以变更后的规定为准。经与基金托管人协商一致，基金管理人可依据法律法规或监管部门规定直接对基金合同进行变更，该变更无须召开基金份额持有人大会审议。</w:t>
      </w:r>
    </w:p>
    <w:p w:rsidR="00A66EA3"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03" w:name="_Toc91752068"/>
      <w:r w:rsidRPr="00621B7F">
        <w:rPr>
          <w:rFonts w:asciiTheme="minorEastAsia" w:eastAsiaTheme="minorEastAsia" w:hAnsiTheme="minorEastAsia" w:hint="eastAsia"/>
          <w:b w:val="0"/>
          <w:bCs/>
          <w:color w:val="000000" w:themeColor="text1"/>
        </w:rPr>
        <w:t>（十二）基金投资组合报告(未经审计)</w:t>
      </w:r>
      <w:bookmarkEnd w:id="803"/>
    </w:p>
    <w:p w:rsidR="00A66EA3" w:rsidRPr="00621B7F" w:rsidP="00241F10">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621B7F">
        <w:rPr>
          <w:rFonts w:asciiTheme="minorEastAsia" w:eastAsiaTheme="minorEastAsia" w:hAnsiTheme="minorEastAsia" w:hint="eastAsia"/>
          <w:color w:val="000000" w:themeColor="text1"/>
          <w:sz w:val="21"/>
          <w:szCs w:val="21"/>
        </w:rPr>
        <w:t>本基金管理人的董事会及董事保证本报告所载资料不存在虚假记载、误导性陈述或重大遗漏，并对其内容的真实性、准确性和完整性承担个别及连带责任。</w:t>
      </w:r>
    </w:p>
    <w:p w:rsidR="00A66EA3" w:rsidRPr="00621B7F" w:rsidP="00241F10">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621B7F">
        <w:rPr>
          <w:rFonts w:asciiTheme="minorEastAsia" w:eastAsiaTheme="minorEastAsia" w:hAnsiTheme="minorEastAsia" w:hint="eastAsia"/>
          <w:color w:val="000000" w:themeColor="text1"/>
          <w:sz w:val="21"/>
          <w:szCs w:val="21"/>
        </w:rPr>
        <w:t>本基金的托管人中国工商银行股份有限公司根据本基金合同的规定，复核了本报告的内容，保证复核内容不存在虚假记载、误导性陈述或者重大遗漏。</w:t>
      </w:r>
    </w:p>
    <w:p w:rsidR="0049705D" w:rsidRPr="00621B7F" w:rsidP="00241F10">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Pr>
          <w:sz w:val="21"/>
        </w:rPr>
        <w:t>本投资组合报告有关数据的期间为</w:t>
      </w:r>
      <w:r>
        <w:rPr>
          <w:sz w:val="21"/>
        </w:rPr>
        <w:t>2021</w:t>
      </w:r>
      <w:r>
        <w:rPr>
          <w:sz w:val="21"/>
        </w:rPr>
        <w:t>年</w:t>
      </w:r>
      <w:r>
        <w:rPr>
          <w:sz w:val="21"/>
        </w:rPr>
        <w:t>7</w:t>
      </w:r>
      <w:r>
        <w:rPr>
          <w:sz w:val="21"/>
        </w:rPr>
        <w:t>月</w:t>
      </w:r>
      <w:r>
        <w:rPr>
          <w:sz w:val="21"/>
        </w:rPr>
        <w:t>1</w:t>
      </w:r>
      <w:r>
        <w:rPr>
          <w:sz w:val="21"/>
        </w:rPr>
        <w:t>日至</w:t>
      </w:r>
      <w:r>
        <w:rPr>
          <w:sz w:val="21"/>
        </w:rPr>
        <w:t>2021</w:t>
      </w:r>
      <w:r>
        <w:rPr>
          <w:sz w:val="21"/>
        </w:rPr>
        <w:t>年</w:t>
      </w:r>
      <w:r>
        <w:rPr>
          <w:sz w:val="21"/>
        </w:rPr>
        <w:t>9</w:t>
      </w:r>
      <w:r>
        <w:rPr>
          <w:sz w:val="21"/>
        </w:rPr>
        <w:t>月</w:t>
      </w:r>
      <w:r>
        <w:rPr>
          <w:sz w:val="21"/>
        </w:rPr>
        <w:t>30</w:t>
      </w:r>
      <w:r>
        <w:rPr>
          <w:sz w:val="21"/>
        </w:rPr>
        <w:t>日。</w:t>
      </w:r>
    </w:p>
    <w:p w:rsidR="00595880">
      <w:pPr>
        <w:spacing w:line="360" w:lineRule="auto"/>
        <w:jc w:val="left"/>
      </w:pPr>
      <w:r>
        <w:t>1</w:t>
      </w:r>
      <w:r>
        <w:t>、</w:t>
      </w:r>
      <w:r>
        <w:t xml:space="preserve"> </w:t>
      </w:r>
      <w:r>
        <w:t>报告期末基金资产组合情况</w:t>
      </w:r>
    </w:p>
    <w:tbl>
      <w:tblPr>
        <w:tblW w:w="0" w:type="auto"/>
        <w:tblInd w:w="108" w:type="dxa"/>
        <w:tblLayout w:type="fixed"/>
        <w:tblLook w:val="04A0"/>
      </w:tblPr>
      <w:tblGrid>
        <w:gridCol w:w="720"/>
        <w:gridCol w:w="3357"/>
        <w:gridCol w:w="2694"/>
        <w:gridCol w:w="1757"/>
      </w:tblGrid>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hAnsiTheme="minorEastAsia"/>
                <w:color w:val="000000" w:themeColor="text1"/>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hAnsiTheme="minorEastAsia"/>
                <w:color w:val="000000" w:themeColor="text1"/>
              </w:rPr>
              <w:t>项目</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hAnsiTheme="minorEastAsia"/>
                <w:color w:val="000000" w:themeColor="text1"/>
              </w:rPr>
              <w:t>金额</w:t>
            </w:r>
            <w:r>
              <w:rPr>
                <w:rFonts w:eastAsiaTheme="minorEastAsia"/>
                <w:color w:val="000000" w:themeColor="text1"/>
              </w:rPr>
              <w:t>(</w:t>
            </w:r>
            <w:r>
              <w:rPr>
                <w:rFonts w:eastAsiaTheme="minorEastAsia" w:hAnsiTheme="minorEastAsia"/>
                <w:color w:val="000000" w:themeColor="text1"/>
              </w:rPr>
              <w:t>元</w:t>
            </w:r>
            <w:r>
              <w:rPr>
                <w:rFonts w:eastAsiaTheme="minorEastAsia"/>
                <w:color w:val="000000" w:themeColor="text1"/>
              </w:rPr>
              <w:t>)</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hAnsiTheme="minorEastAsia"/>
                <w:color w:val="000000" w:themeColor="text1"/>
              </w:rPr>
              <w:t>占基金总资产的比例</w:t>
            </w:r>
            <w:r>
              <w:rPr>
                <w:rFonts w:eastAsiaTheme="minorEastAsia"/>
                <w:color w:val="000000" w:themeColor="text1"/>
              </w:rPr>
              <w:t>(%)</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color w:val="000000" w:themeColor="text1"/>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ind w:left="17"/>
              <w:jc w:val="left"/>
              <w:rPr>
                <w:rFonts w:eastAsiaTheme="minorEastAsia"/>
                <w:color w:val="000000" w:themeColor="text1"/>
                <w:sz w:val="24"/>
              </w:rPr>
            </w:pPr>
            <w:r>
              <w:rPr>
                <w:rFonts w:eastAsiaTheme="minorEastAsia" w:hAnsiTheme="minorEastAsia"/>
                <w:color w:val="000000" w:themeColor="text1"/>
              </w:rPr>
              <w:t>权益投资</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ind w:left="17"/>
              <w:jc w:val="left"/>
              <w:rPr>
                <w:rFonts w:eastAsiaTheme="minorEastAsia"/>
                <w:color w:val="000000" w:themeColor="text1"/>
                <w:sz w:val="24"/>
              </w:rPr>
            </w:pPr>
            <w:r>
              <w:rPr>
                <w:rFonts w:eastAsiaTheme="minorEastAsia" w:hAnsiTheme="minorEastAsia"/>
                <w:color w:val="000000" w:themeColor="text1"/>
              </w:rPr>
              <w:t>其中：股票</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color w:val="000000" w:themeColor="text1"/>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ind w:left="17"/>
              <w:jc w:val="left"/>
              <w:rPr>
                <w:rFonts w:eastAsiaTheme="minorEastAsia"/>
                <w:color w:val="000000" w:themeColor="text1"/>
                <w:sz w:val="24"/>
              </w:rPr>
            </w:pPr>
            <w:r>
              <w:rPr>
                <w:rFonts w:eastAsiaTheme="minorEastAsia" w:hAnsiTheme="minorEastAsia"/>
                <w:color w:val="000000" w:themeColor="text1"/>
              </w:rPr>
              <w:t>基金投资</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202,385,477.25</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93.45</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color w:val="000000" w:themeColor="text1"/>
              </w:rPr>
              <w:t>3</w:t>
            </w: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ind w:left="17"/>
              <w:jc w:val="left"/>
              <w:rPr>
                <w:rFonts w:eastAsiaTheme="minorEastAsia"/>
                <w:color w:val="000000" w:themeColor="text1"/>
                <w:sz w:val="24"/>
              </w:rPr>
            </w:pPr>
            <w:r>
              <w:rPr>
                <w:rFonts w:eastAsiaTheme="minorEastAsia" w:hAnsiTheme="minorEastAsia"/>
                <w:color w:val="000000" w:themeColor="text1"/>
              </w:rPr>
              <w:t>固定收益投资</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ind w:left="17"/>
              <w:jc w:val="left"/>
              <w:rPr>
                <w:rFonts w:eastAsiaTheme="minorEastAsia"/>
                <w:color w:val="000000" w:themeColor="text1"/>
                <w:sz w:val="24"/>
              </w:rPr>
            </w:pPr>
            <w:r>
              <w:rPr>
                <w:rFonts w:eastAsiaTheme="minorEastAsia" w:hAnsiTheme="minorEastAsia"/>
                <w:color w:val="000000" w:themeColor="text1"/>
              </w:rPr>
              <w:t>其中：债券</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7" w:firstLine="630" w:firstLineChars="300"/>
              <w:jc w:val="left"/>
              <w:rPr>
                <w:rFonts w:eastAsiaTheme="minorEastAsia"/>
                <w:color w:val="000000" w:themeColor="text1"/>
                <w:sz w:val="24"/>
              </w:rPr>
            </w:pPr>
            <w:r>
              <w:rPr>
                <w:rFonts w:eastAsiaTheme="minorEastAsia" w:hAnsiTheme="minorEastAsia"/>
                <w:color w:val="000000" w:themeColor="text1"/>
              </w:rPr>
              <w:t>资产支持证券</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tcPr>
          <w:p w:rsidR="008C7BD8">
            <w:pPr>
              <w:ind w:left="17"/>
              <w:jc w:val="center"/>
              <w:rPr>
                <w:rFonts w:eastAsiaTheme="minorEastAsia"/>
                <w:color w:val="000000" w:themeColor="text1"/>
                <w:sz w:val="24"/>
              </w:rPr>
            </w:pPr>
            <w:r>
              <w:rPr>
                <w:rFonts w:eastAsiaTheme="minorEastAsia"/>
                <w:color w:val="000000" w:themeColor="text1"/>
              </w:rPr>
              <w:t>4</w:t>
            </w:r>
          </w:p>
        </w:tc>
        <w:tc>
          <w:tcPr>
            <w:tcW w:w="3357" w:type="dxa"/>
            <w:tcBorders>
              <w:top w:val="single" w:sz="0" w:space="0" w:color="000000"/>
              <w:left w:val="single" w:sz="0" w:space="0" w:color="000000"/>
              <w:bottom w:val="single" w:sz="0" w:space="0" w:color="000000"/>
              <w:right w:val="single" w:sz="0" w:space="0" w:color="000000"/>
            </w:tcBorders>
          </w:tcPr>
          <w:p w:rsidR="008C7BD8">
            <w:pPr>
              <w:ind w:left="105" w:leftChars="50"/>
              <w:rPr>
                <w:rFonts w:eastAsiaTheme="minorEastAsia"/>
                <w:color w:val="000000" w:themeColor="text1"/>
                <w:sz w:val="24"/>
              </w:rPr>
            </w:pPr>
            <w:r>
              <w:rPr>
                <w:rFonts w:eastAsiaTheme="minorEastAsia" w:hAnsiTheme="minorEastAsia"/>
                <w:color w:val="000000" w:themeColor="text1"/>
              </w:rPr>
              <w:t>贵金属投资</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color w:val="000000" w:themeColor="text1"/>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ind w:left="17"/>
              <w:jc w:val="left"/>
              <w:rPr>
                <w:rFonts w:eastAsiaTheme="minorEastAsia"/>
                <w:color w:val="000000" w:themeColor="text1"/>
                <w:sz w:val="24"/>
              </w:rPr>
            </w:pPr>
            <w:r>
              <w:rPr>
                <w:rFonts w:eastAsiaTheme="minorEastAsia" w:hAnsiTheme="minorEastAsia"/>
                <w:color w:val="000000" w:themeColor="text1"/>
              </w:rPr>
              <w:t>金融衍生品投资</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color w:val="000000" w:themeColor="text1"/>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ind w:left="17"/>
              <w:jc w:val="left"/>
              <w:rPr>
                <w:rFonts w:eastAsiaTheme="minorEastAsia"/>
                <w:color w:val="000000" w:themeColor="text1"/>
                <w:sz w:val="24"/>
              </w:rPr>
            </w:pPr>
            <w:r>
              <w:rPr>
                <w:rFonts w:eastAsiaTheme="minorEastAsia" w:hAnsiTheme="minorEastAsia"/>
                <w:color w:val="000000" w:themeColor="text1"/>
              </w:rPr>
              <w:t>买入返售金融资产</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ind w:left="17"/>
              <w:jc w:val="left"/>
              <w:rPr>
                <w:rFonts w:eastAsiaTheme="minorEastAsia"/>
                <w:color w:val="000000" w:themeColor="text1"/>
                <w:sz w:val="24"/>
              </w:rPr>
            </w:pPr>
            <w:r>
              <w:rPr>
                <w:rFonts w:eastAsiaTheme="minorEastAsia" w:hAnsiTheme="minorEastAsia"/>
                <w:color w:val="000000" w:themeColor="text1"/>
              </w:rPr>
              <w:t>其中：买断式回购的买入返售金融资产</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color w:val="000000" w:themeColor="text1"/>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ind w:left="17"/>
              <w:jc w:val="left"/>
              <w:rPr>
                <w:rFonts w:eastAsiaTheme="minorEastAsia"/>
                <w:color w:val="000000" w:themeColor="text1"/>
                <w:sz w:val="24"/>
              </w:rPr>
            </w:pPr>
            <w:r>
              <w:rPr>
                <w:rFonts w:eastAsiaTheme="minorEastAsia" w:hAnsiTheme="minorEastAsia"/>
                <w:color w:val="000000" w:themeColor="text1"/>
              </w:rPr>
              <w:t>银行存款和结算备付金合计</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13,053,071.90</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ind w:left="17"/>
              <w:jc w:val="right"/>
              <w:rPr>
                <w:rFonts w:eastAsiaTheme="minorEastAsia"/>
                <w:color w:val="000000" w:themeColor="text1"/>
                <w:sz w:val="24"/>
              </w:rPr>
            </w:pPr>
            <w:r>
              <w:rPr>
                <w:rFonts w:eastAsiaTheme="minorEastAsia"/>
                <w:color w:val="000000" w:themeColor="text1"/>
              </w:rPr>
              <w:t>6.03</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color w:val="000000" w:themeColor="text1"/>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jc w:val="left"/>
              <w:rPr>
                <w:rFonts w:eastAsiaTheme="minorEastAsia"/>
                <w:color w:val="000000" w:themeColor="text1"/>
                <w:sz w:val="24"/>
              </w:rPr>
            </w:pPr>
            <w:r>
              <w:rPr>
                <w:rFonts w:eastAsiaTheme="minorEastAsia" w:hAnsiTheme="minorEastAsia"/>
                <w:color w:val="000000" w:themeColor="text1"/>
              </w:rPr>
              <w:t>其他资产</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jc w:val="right"/>
              <w:rPr>
                <w:rFonts w:eastAsiaTheme="minorEastAsia"/>
                <w:color w:val="000000" w:themeColor="text1"/>
                <w:sz w:val="24"/>
              </w:rPr>
            </w:pPr>
            <w:r>
              <w:rPr>
                <w:rFonts w:eastAsiaTheme="minorEastAsia"/>
                <w:color w:val="000000" w:themeColor="text1"/>
              </w:rPr>
              <w:t>1,125,346.39</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jc w:val="right"/>
              <w:rPr>
                <w:rFonts w:eastAsiaTheme="minorEastAsia"/>
                <w:color w:val="000000" w:themeColor="text1"/>
                <w:sz w:val="24"/>
              </w:rPr>
            </w:pPr>
            <w:r>
              <w:rPr>
                <w:rFonts w:eastAsiaTheme="minorEastAsia"/>
                <w:color w:val="000000" w:themeColor="text1"/>
              </w:rPr>
              <w:t>0.52</w:t>
            </w:r>
          </w:p>
        </w:tc>
      </w:tr>
      <w:tr>
        <w:tblPrEx>
          <w:tblW w:w="0" w:type="auto"/>
          <w:tblInd w:w="108" w:type="dxa"/>
          <w:tblLayout w:type="fixed"/>
          <w:tblLook w:val="04A0"/>
        </w:tblPrEx>
        <w:tc>
          <w:tcPr>
            <w:tcW w:w="720" w:type="dxa"/>
            <w:tcBorders>
              <w:top w:val="single" w:sz="0" w:space="0" w:color="000000"/>
              <w:left w:val="single" w:sz="0" w:space="0" w:color="000000"/>
              <w:bottom w:val="single" w:sz="0" w:space="0" w:color="000000"/>
              <w:right w:val="single" w:sz="0" w:space="0" w:color="000000"/>
            </w:tcBorders>
            <w:vAlign w:val="center"/>
          </w:tcPr>
          <w:p w:rsidR="008C7BD8">
            <w:pPr>
              <w:ind w:left="17"/>
              <w:jc w:val="center"/>
              <w:rPr>
                <w:rFonts w:eastAsiaTheme="minorEastAsia"/>
                <w:color w:val="000000" w:themeColor="text1"/>
                <w:sz w:val="24"/>
              </w:rPr>
            </w:pPr>
            <w:r>
              <w:rPr>
                <w:rFonts w:eastAsiaTheme="minorEastAsia"/>
                <w:color w:val="000000" w:themeColor="text1"/>
              </w:rPr>
              <w:t>9</w:t>
            </w:r>
          </w:p>
        </w:tc>
        <w:tc>
          <w:tcPr>
            <w:tcW w:w="3357" w:type="dxa"/>
            <w:tcBorders>
              <w:top w:val="single" w:sz="0" w:space="0" w:color="000000"/>
              <w:left w:val="single" w:sz="0" w:space="0" w:color="000000"/>
              <w:bottom w:val="single" w:sz="0" w:space="0" w:color="000000"/>
              <w:right w:val="single" w:sz="0" w:space="0" w:color="000000"/>
            </w:tcBorders>
            <w:vAlign w:val="center"/>
          </w:tcPr>
          <w:p w:rsidR="008C7BD8">
            <w:pPr>
              <w:jc w:val="left"/>
              <w:rPr>
                <w:rFonts w:eastAsiaTheme="minorEastAsia"/>
                <w:color w:val="000000" w:themeColor="text1"/>
                <w:sz w:val="24"/>
              </w:rPr>
            </w:pPr>
            <w:r>
              <w:rPr>
                <w:rFonts w:eastAsiaTheme="minorEastAsia" w:hAnsiTheme="minorEastAsia"/>
                <w:color w:val="000000" w:themeColor="text1"/>
              </w:rPr>
              <w:t>合计</w:t>
            </w:r>
          </w:p>
        </w:tc>
        <w:tc>
          <w:tcPr>
            <w:tcW w:w="2694" w:type="dxa"/>
            <w:tcBorders>
              <w:top w:val="single" w:sz="0" w:space="0" w:color="000000"/>
              <w:left w:val="single" w:sz="0" w:space="0" w:color="000000"/>
              <w:bottom w:val="single" w:sz="0" w:space="0" w:color="000000"/>
              <w:right w:val="single" w:sz="0" w:space="0" w:color="000000"/>
            </w:tcBorders>
            <w:vAlign w:val="center"/>
          </w:tcPr>
          <w:p w:rsidR="008C7BD8">
            <w:pPr>
              <w:jc w:val="right"/>
              <w:rPr>
                <w:rFonts w:eastAsiaTheme="minorEastAsia"/>
                <w:color w:val="000000" w:themeColor="text1"/>
                <w:sz w:val="24"/>
              </w:rPr>
            </w:pPr>
            <w:r>
              <w:rPr>
                <w:rFonts w:eastAsiaTheme="minorEastAsia"/>
                <w:color w:val="000000" w:themeColor="text1"/>
              </w:rPr>
              <w:t>216,563,895.54</w:t>
            </w:r>
          </w:p>
        </w:tc>
        <w:tc>
          <w:tcPr>
            <w:tcW w:w="1757" w:type="dxa"/>
            <w:tcBorders>
              <w:top w:val="single" w:sz="0" w:space="0" w:color="000000"/>
              <w:left w:val="single" w:sz="0" w:space="0" w:color="000000"/>
              <w:bottom w:val="single" w:sz="0" w:space="0" w:color="000000"/>
              <w:right w:val="single" w:sz="0" w:space="0" w:color="000000"/>
            </w:tcBorders>
            <w:vAlign w:val="center"/>
          </w:tcPr>
          <w:p w:rsidR="008C7BD8">
            <w:pPr>
              <w:jc w:val="right"/>
              <w:rPr>
                <w:rFonts w:eastAsiaTheme="minorEastAsia"/>
                <w:color w:val="000000" w:themeColor="text1"/>
                <w:sz w:val="24"/>
              </w:rPr>
            </w:pPr>
            <w:r>
              <w:rPr>
                <w:rFonts w:eastAsiaTheme="minorEastAsia"/>
                <w:color w:val="000000" w:themeColor="text1"/>
              </w:rPr>
              <w:t>100.00</w:t>
            </w:r>
          </w:p>
        </w:tc>
      </w:tr>
    </w:tbl>
    <w:p w:rsidR="00595880">
      <w:pPr>
        <w:spacing w:line="360" w:lineRule="auto"/>
        <w:jc w:val="left"/>
      </w:pPr>
      <w:r>
        <w:t>2</w:t>
      </w:r>
      <w:r>
        <w:t>、期末投资目标基金明细</w:t>
      </w:r>
    </w:p>
    <w:tbl>
      <w:tblPr>
        <w:tblW w:w="0" w:type="auto"/>
        <w:tblInd w:w="108" w:type="dxa"/>
        <w:tblLook w:val="04A0"/>
      </w:tblPr>
      <w:tblGrid>
        <w:gridCol w:w="710"/>
        <w:gridCol w:w="1893"/>
        <w:gridCol w:w="710"/>
        <w:gridCol w:w="1447"/>
        <w:gridCol w:w="1164"/>
        <w:gridCol w:w="1529"/>
        <w:gridCol w:w="962"/>
      </w:tblGrid>
      <w:tr>
        <w:tblPrEx>
          <w:tblW w:w="0" w:type="auto"/>
          <w:tblInd w:w="108" w:type="dxa"/>
          <w:tblLook w:val="04A0"/>
        </w:tblPrEx>
        <w:tc>
          <w:tcPr>
            <w:tcW w:w="1215"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kern w:val="0"/>
                <w:sz w:val="24"/>
              </w:rPr>
            </w:pPr>
            <w:r>
              <w:rPr>
                <w:rFonts w:eastAsiaTheme="minorEastAsia" w:hAnsiTheme="minorEastAsia"/>
                <w:color w:val="000000" w:themeColor="text1"/>
                <w:kern w:val="0"/>
              </w:rPr>
              <w:t>序号</w:t>
            </w:r>
          </w:p>
        </w:tc>
        <w:tc>
          <w:tcPr>
            <w:tcW w:w="1216"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kern w:val="0"/>
                <w:sz w:val="24"/>
              </w:rPr>
            </w:pPr>
            <w:r>
              <w:rPr>
                <w:rFonts w:eastAsiaTheme="minorEastAsia" w:hAnsiTheme="minorEastAsia"/>
                <w:color w:val="000000" w:themeColor="text1"/>
                <w:kern w:val="0"/>
              </w:rPr>
              <w:t>基金名称</w:t>
            </w:r>
          </w:p>
        </w:tc>
        <w:tc>
          <w:tcPr>
            <w:tcW w:w="1216"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kern w:val="0"/>
                <w:sz w:val="24"/>
              </w:rPr>
            </w:pPr>
            <w:r>
              <w:rPr>
                <w:rFonts w:eastAsiaTheme="minorEastAsia" w:hAnsiTheme="minorEastAsia"/>
                <w:color w:val="000000" w:themeColor="text1"/>
                <w:kern w:val="0"/>
              </w:rPr>
              <w:t>基金类型</w:t>
            </w:r>
          </w:p>
        </w:tc>
        <w:tc>
          <w:tcPr>
            <w:tcW w:w="1216"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kern w:val="0"/>
                <w:sz w:val="24"/>
              </w:rPr>
            </w:pPr>
            <w:r>
              <w:rPr>
                <w:rFonts w:eastAsiaTheme="minorEastAsia" w:hAnsiTheme="minorEastAsia"/>
                <w:color w:val="000000" w:themeColor="text1"/>
                <w:kern w:val="0"/>
              </w:rPr>
              <w:t>运作方式</w:t>
            </w:r>
          </w:p>
        </w:tc>
        <w:tc>
          <w:tcPr>
            <w:tcW w:w="1216"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kern w:val="0"/>
                <w:sz w:val="24"/>
              </w:rPr>
            </w:pPr>
            <w:r>
              <w:rPr>
                <w:rFonts w:eastAsiaTheme="minorEastAsia" w:hAnsiTheme="minorEastAsia"/>
                <w:color w:val="000000" w:themeColor="text1"/>
                <w:kern w:val="0"/>
              </w:rPr>
              <w:t>管理人</w:t>
            </w:r>
          </w:p>
        </w:tc>
        <w:tc>
          <w:tcPr>
            <w:tcW w:w="1217"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kern w:val="0"/>
                <w:sz w:val="24"/>
              </w:rPr>
            </w:pPr>
            <w:r>
              <w:rPr>
                <w:rFonts w:eastAsiaTheme="minorEastAsia" w:hAnsiTheme="minorEastAsia"/>
                <w:color w:val="000000" w:themeColor="text1"/>
                <w:kern w:val="0"/>
              </w:rPr>
              <w:t>公允价值</w:t>
            </w:r>
            <w:r>
              <w:rPr>
                <w:rFonts w:eastAsiaTheme="minorEastAsia" w:hAnsiTheme="minorEastAsia"/>
                <w:color w:val="000000" w:themeColor="text1"/>
              </w:rPr>
              <w:t>（元）</w:t>
            </w:r>
          </w:p>
        </w:tc>
        <w:tc>
          <w:tcPr>
            <w:tcW w:w="1217"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kern w:val="0"/>
                <w:sz w:val="24"/>
              </w:rPr>
            </w:pPr>
            <w:r>
              <w:rPr>
                <w:rFonts w:eastAsiaTheme="minorEastAsia" w:hAnsiTheme="minorEastAsia"/>
                <w:color w:val="000000" w:themeColor="text1"/>
                <w:kern w:val="0"/>
              </w:rPr>
              <w:t>占基金资产净值比例（</w:t>
            </w:r>
            <w:r>
              <w:rPr>
                <w:rFonts w:eastAsiaTheme="minorEastAsia"/>
                <w:color w:val="000000" w:themeColor="text1"/>
                <w:kern w:val="0"/>
              </w:rPr>
              <w:t>%</w:t>
            </w:r>
            <w:r>
              <w:rPr>
                <w:rFonts w:eastAsiaTheme="minorEastAsia" w:hAnsiTheme="minorEastAsia"/>
                <w:color w:val="000000" w:themeColor="text1"/>
                <w:kern w:val="0"/>
              </w:rPr>
              <w:t>）</w:t>
            </w:r>
          </w:p>
        </w:tc>
      </w:tr>
      <w:tr>
        <w:tblPrEx>
          <w:tblW w:w="0" w:type="auto"/>
          <w:tblInd w:w="108"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595880">
            <w:pPr>
              <w:jc w:val="center"/>
            </w:pPr>
            <w:r>
              <w:rPr>
                <w:rFonts w:eastAsiaTheme="minorEastAsia"/>
                <w:color w:val="000000" w:themeColor="text1"/>
              </w:rPr>
              <w:t>1</w:t>
            </w:r>
          </w:p>
        </w:tc>
        <w:tc>
          <w:tcPr>
            <w:tcW w:w="0" w:type="auto"/>
            <w:tcBorders>
              <w:top w:val="single" w:sz="0" w:space="0" w:color="000000"/>
              <w:left w:val="single" w:sz="0" w:space="0" w:color="000000"/>
              <w:bottom w:val="single" w:sz="0" w:space="0" w:color="000000"/>
              <w:right w:val="single" w:sz="0" w:space="0" w:color="000000"/>
            </w:tcBorders>
            <w:vAlign w:val="center"/>
          </w:tcPr>
          <w:p w:rsidR="00595880">
            <w:pPr>
              <w:jc w:val="center"/>
            </w:pPr>
            <w:r>
              <w:rPr>
                <w:rFonts w:eastAsiaTheme="minorEastAsia"/>
                <w:color w:val="000000" w:themeColor="text1"/>
              </w:rPr>
              <w:t>易方达上证中盘交易型开放式指数证券投资基金</w:t>
            </w:r>
          </w:p>
        </w:tc>
        <w:tc>
          <w:tcPr>
            <w:tcW w:w="0" w:type="auto"/>
            <w:tcBorders>
              <w:top w:val="single" w:sz="0" w:space="0" w:color="000000"/>
              <w:left w:val="single" w:sz="0" w:space="0" w:color="000000"/>
              <w:bottom w:val="single" w:sz="0" w:space="0" w:color="000000"/>
              <w:right w:val="single" w:sz="0" w:space="0" w:color="000000"/>
            </w:tcBorders>
            <w:vAlign w:val="center"/>
          </w:tcPr>
          <w:p w:rsidR="00595880">
            <w:pPr>
              <w:jc w:val="center"/>
            </w:pPr>
            <w:r>
              <w:rPr>
                <w:rFonts w:eastAsiaTheme="minorEastAsia"/>
                <w:color w:val="000000" w:themeColor="text1"/>
              </w:rPr>
              <w:t>股票型</w:t>
            </w:r>
          </w:p>
        </w:tc>
        <w:tc>
          <w:tcPr>
            <w:tcW w:w="0" w:type="auto"/>
            <w:tcBorders>
              <w:top w:val="single" w:sz="0" w:space="0" w:color="000000"/>
              <w:left w:val="single" w:sz="0" w:space="0" w:color="000000"/>
              <w:bottom w:val="single" w:sz="0" w:space="0" w:color="000000"/>
              <w:right w:val="single" w:sz="0" w:space="0" w:color="000000"/>
            </w:tcBorders>
            <w:vAlign w:val="center"/>
          </w:tcPr>
          <w:p w:rsidR="00595880">
            <w:pPr>
              <w:jc w:val="center"/>
            </w:pPr>
            <w:r>
              <w:rPr>
                <w:rFonts w:eastAsiaTheme="minorEastAsia"/>
                <w:color w:val="000000" w:themeColor="text1"/>
              </w:rPr>
              <w:t>交易型开放式（</w:t>
            </w:r>
            <w:r>
              <w:rPr>
                <w:rFonts w:eastAsiaTheme="minorEastAsia"/>
                <w:color w:val="000000" w:themeColor="text1"/>
              </w:rPr>
              <w:t>ETF</w:t>
            </w:r>
            <w:r>
              <w:rPr>
                <w:rFonts w:eastAsiaTheme="minorEastAsia"/>
                <w:color w:val="000000" w:themeColor="text1"/>
              </w:rPr>
              <w:t>）</w:t>
            </w:r>
          </w:p>
        </w:tc>
        <w:tc>
          <w:tcPr>
            <w:tcW w:w="0" w:type="auto"/>
            <w:tcBorders>
              <w:top w:val="single" w:sz="0" w:space="0" w:color="000000"/>
              <w:left w:val="single" w:sz="0" w:space="0" w:color="000000"/>
              <w:bottom w:val="single" w:sz="0" w:space="0" w:color="000000"/>
              <w:right w:val="single" w:sz="0" w:space="0" w:color="000000"/>
            </w:tcBorders>
            <w:vAlign w:val="center"/>
          </w:tcPr>
          <w:p w:rsidR="00595880">
            <w:pPr>
              <w:jc w:val="center"/>
            </w:pPr>
            <w:r>
              <w:rPr>
                <w:rFonts w:eastAsiaTheme="minorEastAsia"/>
                <w:color w:val="000000" w:themeColor="text1"/>
              </w:rPr>
              <w:t>易方达基金管理有限公司</w:t>
            </w:r>
          </w:p>
        </w:tc>
        <w:tc>
          <w:tcPr>
            <w:tcW w:w="0" w:type="auto"/>
            <w:tcBorders>
              <w:top w:val="single" w:sz="0" w:space="0" w:color="000000"/>
              <w:left w:val="single" w:sz="0" w:space="0" w:color="000000"/>
              <w:bottom w:val="single" w:sz="0" w:space="0" w:color="000000"/>
              <w:right w:val="single" w:sz="0" w:space="0" w:color="000000"/>
            </w:tcBorders>
            <w:vAlign w:val="center"/>
          </w:tcPr>
          <w:p w:rsidR="00595880">
            <w:pPr>
              <w:jc w:val="right"/>
            </w:pPr>
            <w:r>
              <w:rPr>
                <w:rFonts w:eastAsiaTheme="minorEastAsia"/>
                <w:color w:val="000000" w:themeColor="text1"/>
              </w:rPr>
              <w:t>202,385,477.25</w:t>
            </w:r>
          </w:p>
        </w:tc>
        <w:tc>
          <w:tcPr>
            <w:tcW w:w="0" w:type="auto"/>
            <w:tcBorders>
              <w:top w:val="single" w:sz="0" w:space="0" w:color="000000"/>
              <w:left w:val="single" w:sz="0" w:space="0" w:color="000000"/>
              <w:bottom w:val="single" w:sz="0" w:space="0" w:color="000000"/>
              <w:right w:val="single" w:sz="0" w:space="0" w:color="000000"/>
            </w:tcBorders>
            <w:vAlign w:val="center"/>
          </w:tcPr>
          <w:p w:rsidR="00595880">
            <w:pPr>
              <w:jc w:val="right"/>
            </w:pPr>
            <w:r>
              <w:rPr>
                <w:rFonts w:eastAsiaTheme="minorEastAsia"/>
                <w:color w:val="000000" w:themeColor="text1"/>
              </w:rPr>
              <w:t>94.05</w:t>
            </w:r>
          </w:p>
        </w:tc>
      </w:tr>
    </w:tbl>
    <w:p w:rsidR="00595880">
      <w:pPr>
        <w:spacing w:line="360" w:lineRule="auto"/>
        <w:jc w:val="left"/>
      </w:pPr>
      <w:r>
        <w:t>3</w:t>
      </w:r>
      <w:r>
        <w:t>、</w:t>
      </w:r>
      <w:r>
        <w:t xml:space="preserve"> </w:t>
      </w:r>
      <w:r>
        <w:t>报告期末按行业分类的股票投资组合</w:t>
      </w:r>
    </w:p>
    <w:p w:rsidR="00595880">
      <w:pPr>
        <w:spacing w:line="360" w:lineRule="auto"/>
        <w:jc w:val="left"/>
      </w:pPr>
      <w:r>
        <w:t>（</w:t>
      </w:r>
      <w:r>
        <w:t>1</w:t>
      </w:r>
      <w:r>
        <w:t>）报告期末按行业分类的境内股票投资组合</w:t>
      </w:r>
    </w:p>
    <w:p w:rsidR="00595880">
      <w:pPr>
        <w:spacing w:line="360" w:lineRule="auto"/>
        <w:ind w:firstLine="420"/>
        <w:jc w:val="left"/>
      </w:pPr>
      <w:r>
        <w:t>本基金本报告期末未持有境内股票。</w:t>
      </w:r>
    </w:p>
    <w:p w:rsidR="00595880">
      <w:pPr>
        <w:spacing w:line="360" w:lineRule="auto"/>
        <w:jc w:val="left"/>
      </w:pPr>
      <w:r>
        <w:t>4</w:t>
      </w:r>
      <w:r>
        <w:t>、</w:t>
      </w:r>
      <w:r>
        <w:t xml:space="preserve"> </w:t>
      </w:r>
      <w:r>
        <w:t>期末按公允价值占基金资产净值比例大小排序的股票投资明细</w:t>
      </w:r>
    </w:p>
    <w:p w:rsidR="00595880">
      <w:pPr>
        <w:spacing w:line="360" w:lineRule="auto"/>
        <w:jc w:val="left"/>
      </w:pPr>
      <w:r>
        <w:t>（</w:t>
      </w:r>
      <w:r>
        <w:t>1</w:t>
      </w:r>
      <w:r>
        <w:t>）</w:t>
      </w:r>
      <w:r>
        <w:t xml:space="preserve"> </w:t>
      </w:r>
      <w:r>
        <w:t>报告期末按公允价值占基金资产净值比例大小排序的前十名股票投资明细</w:t>
      </w:r>
    </w:p>
    <w:p w:rsidR="00595880">
      <w:pPr>
        <w:spacing w:line="360" w:lineRule="auto"/>
        <w:ind w:firstLine="420"/>
        <w:jc w:val="left"/>
      </w:pPr>
      <w:r>
        <w:t>本基金本报告期末未持有股票。</w:t>
      </w:r>
    </w:p>
    <w:p w:rsidR="00595880">
      <w:pPr>
        <w:spacing w:line="360" w:lineRule="auto"/>
        <w:jc w:val="left"/>
      </w:pPr>
      <w:r>
        <w:t>5</w:t>
      </w:r>
      <w:r>
        <w:t>、</w:t>
      </w:r>
      <w:r>
        <w:t xml:space="preserve"> </w:t>
      </w:r>
      <w:r>
        <w:t>报告期末按债券品种分类的债券投资组合</w:t>
      </w:r>
    </w:p>
    <w:p w:rsidR="00595880">
      <w:pPr>
        <w:spacing w:line="360" w:lineRule="auto"/>
        <w:ind w:firstLine="420"/>
        <w:jc w:val="left"/>
      </w:pPr>
      <w:r>
        <w:t>本基金本报告期末未持有债券。</w:t>
      </w:r>
    </w:p>
    <w:p w:rsidR="00595880">
      <w:pPr>
        <w:spacing w:line="360" w:lineRule="auto"/>
        <w:jc w:val="left"/>
      </w:pPr>
      <w:r>
        <w:t>6</w:t>
      </w:r>
      <w:r>
        <w:t>、</w:t>
      </w:r>
      <w:r>
        <w:t xml:space="preserve"> </w:t>
      </w:r>
      <w:r>
        <w:t>报告期末按公允价值占基金资产净值比例大小排序的前五名债券投资明细</w:t>
      </w:r>
    </w:p>
    <w:p w:rsidR="00595880">
      <w:pPr>
        <w:spacing w:line="360" w:lineRule="auto"/>
        <w:ind w:firstLine="420"/>
        <w:jc w:val="left"/>
      </w:pPr>
      <w:r>
        <w:t>本基金本报告期末未持有债券。</w:t>
      </w:r>
    </w:p>
    <w:p w:rsidR="00595880">
      <w:pPr>
        <w:spacing w:line="360" w:lineRule="auto"/>
        <w:jc w:val="left"/>
      </w:pPr>
      <w:r>
        <w:t>7</w:t>
      </w:r>
      <w:r>
        <w:t>、　报告期末按公允价值占基金资产净值比例大小排序的前十名资产支持证券投资明细</w:t>
      </w:r>
    </w:p>
    <w:p w:rsidR="00595880">
      <w:pPr>
        <w:spacing w:line="360" w:lineRule="auto"/>
        <w:ind w:firstLine="420"/>
        <w:jc w:val="left"/>
      </w:pPr>
      <w:r>
        <w:t>本基金本报告期末未持有资产支持证券。</w:t>
      </w:r>
    </w:p>
    <w:p w:rsidR="00595880">
      <w:pPr>
        <w:spacing w:line="360" w:lineRule="auto"/>
        <w:jc w:val="left"/>
      </w:pPr>
      <w:r>
        <w:t>8</w:t>
      </w:r>
      <w:r>
        <w:t>、</w:t>
      </w:r>
      <w:r>
        <w:t xml:space="preserve"> </w:t>
      </w:r>
      <w:r>
        <w:t>报告期末按公允价值占基金资产净值比例大小排序的前五名贵金属投资明细</w:t>
      </w:r>
    </w:p>
    <w:p w:rsidR="00595880">
      <w:pPr>
        <w:spacing w:line="360" w:lineRule="auto"/>
        <w:ind w:firstLine="420"/>
        <w:jc w:val="left"/>
      </w:pPr>
      <w:r>
        <w:t>本基金本报告期末未持有贵金属。</w:t>
      </w:r>
    </w:p>
    <w:p w:rsidR="00595880">
      <w:pPr>
        <w:spacing w:line="360" w:lineRule="auto"/>
        <w:jc w:val="left"/>
      </w:pPr>
      <w:r>
        <w:t>9</w:t>
      </w:r>
      <w:r>
        <w:t>、</w:t>
      </w:r>
      <w:r>
        <w:t xml:space="preserve"> </w:t>
      </w:r>
      <w:r>
        <w:t>报告期末按公允价值占基金资产净值比例大小排序的前五名权证投资明细</w:t>
      </w:r>
    </w:p>
    <w:p w:rsidR="00595880">
      <w:pPr>
        <w:spacing w:line="360" w:lineRule="auto"/>
        <w:ind w:firstLine="420"/>
        <w:jc w:val="left"/>
      </w:pPr>
      <w:r>
        <w:t>本基金本报告期末未持有权证。</w:t>
      </w:r>
    </w:p>
    <w:p w:rsidR="00595880">
      <w:pPr>
        <w:spacing w:line="360" w:lineRule="auto"/>
        <w:jc w:val="left"/>
      </w:pPr>
      <w:r>
        <w:t>10</w:t>
      </w:r>
      <w:r>
        <w:t>、</w:t>
      </w:r>
      <w:r>
        <w:t xml:space="preserve"> </w:t>
      </w:r>
      <w:r>
        <w:t>报告期末本基金投资的股指期货交易情况说明</w:t>
      </w:r>
    </w:p>
    <w:p w:rsidR="00595880">
      <w:pPr>
        <w:spacing w:line="360" w:lineRule="auto"/>
        <w:ind w:firstLine="420"/>
        <w:jc w:val="left"/>
      </w:pPr>
      <w:r>
        <w:t>本基金本报告期末未投资股指期货。</w:t>
      </w:r>
    </w:p>
    <w:p w:rsidR="00595880">
      <w:pPr>
        <w:spacing w:line="360" w:lineRule="auto"/>
        <w:jc w:val="left"/>
      </w:pPr>
      <w:r>
        <w:t>11</w:t>
      </w:r>
      <w:r>
        <w:t>、报告期末本基金投资的国债期货交易情况说明</w:t>
      </w:r>
    </w:p>
    <w:p w:rsidR="00595880">
      <w:pPr>
        <w:spacing w:line="360" w:lineRule="auto"/>
        <w:ind w:firstLine="420"/>
        <w:jc w:val="left"/>
      </w:pPr>
      <w:r>
        <w:t>本基金本报告期末未投资国债期货。</w:t>
      </w:r>
    </w:p>
    <w:p w:rsidR="00595880">
      <w:pPr>
        <w:spacing w:line="360" w:lineRule="auto"/>
        <w:jc w:val="left"/>
      </w:pPr>
      <w:r>
        <w:t>12</w:t>
      </w:r>
      <w:r>
        <w:t>、投资组合报告附注</w:t>
      </w:r>
    </w:p>
    <w:p w:rsidR="00595880">
      <w:pPr>
        <w:spacing w:line="360" w:lineRule="auto"/>
        <w:jc w:val="left"/>
      </w:pPr>
      <w:r>
        <w:t>（</w:t>
      </w:r>
      <w:r>
        <w:t>1</w:t>
      </w:r>
      <w:r>
        <w:t>）</w:t>
      </w:r>
      <w:r>
        <w:t xml:space="preserve"> </w:t>
      </w:r>
      <w:r>
        <w:t>本基金目标</w:t>
      </w:r>
      <w:r>
        <w:t>ETF</w:t>
      </w:r>
      <w:r>
        <w:t>投资的前十名证券的发行主体中，交通银行股份有限公司在报告编制日前一年内曾受到中国银行保险监督管理委员会、中国人民银行的处罚。宝山钢铁股份有限公司在报告编制日前一年内曾受到上海市生态环境局的处罚。</w:t>
      </w:r>
    </w:p>
    <w:p w:rsidR="00595880">
      <w:pPr>
        <w:spacing w:line="360" w:lineRule="auto"/>
        <w:ind w:firstLine="420"/>
        <w:jc w:val="left"/>
      </w:pPr>
      <w:r>
        <w:t>本基金为目标</w:t>
      </w:r>
      <w:r>
        <w:t>ETF</w:t>
      </w:r>
      <w:r>
        <w:t>的联接基金，上述主体所发行的证券系标的指数成份股，上述主体所发行证券的投资决策程序符合公司投资制度的规定。除上述主体外，本基金目标</w:t>
      </w:r>
      <w:r>
        <w:t>ETF</w:t>
      </w:r>
      <w:r>
        <w:t>投资的前十名证券的发行主体本期没有出现被监管部门立案调查，或在报告编制日前一年内受到公开谴责、处罚的情形。本基金投资的前十名证券的发行主体本期没有出现被监管部门立案调查，或在报告编制日前一年内受到公开谴责、处罚的情形。</w:t>
      </w:r>
    </w:p>
    <w:p w:rsidR="00595880">
      <w:pPr>
        <w:spacing w:line="360" w:lineRule="auto"/>
        <w:jc w:val="left"/>
      </w:pPr>
      <w:r>
        <w:t>（</w:t>
      </w:r>
      <w:r>
        <w:t>2</w:t>
      </w:r>
      <w:r>
        <w:t>）</w:t>
      </w:r>
      <w:r>
        <w:t xml:space="preserve"> </w:t>
      </w:r>
      <w:r>
        <w:t>本基金报告期末未持有股票，不存在投资的前十名股票超出基金合同规定的备选股票库情况。</w:t>
      </w:r>
    </w:p>
    <w:p w:rsidR="00595880">
      <w:pPr>
        <w:spacing w:line="360" w:lineRule="auto"/>
        <w:jc w:val="left"/>
      </w:pPr>
      <w:r>
        <w:t>（</w:t>
      </w:r>
      <w:r>
        <w:t>3</w:t>
      </w:r>
      <w:r>
        <w:t>）其他资产构成</w:t>
      </w:r>
    </w:p>
    <w:tbl>
      <w:tblPr>
        <w:tblW w:w="0" w:type="auto"/>
        <w:tblInd w:w="108" w:type="dxa"/>
        <w:tblLook w:val="04A0"/>
      </w:tblPr>
      <w:tblGrid>
        <w:gridCol w:w="936"/>
        <w:gridCol w:w="2725"/>
        <w:gridCol w:w="4754"/>
      </w:tblGrid>
      <w:tr>
        <w:tblPrEx>
          <w:tblW w:w="0" w:type="auto"/>
          <w:tblInd w:w="108"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7"/>
              <w:jc w:val="center"/>
              <w:rPr>
                <w:rFonts w:eastAsiaTheme="minorEastAsia"/>
                <w:color w:val="000000" w:themeColor="text1"/>
                <w:kern w:val="0"/>
                <w:sz w:val="24"/>
              </w:rPr>
            </w:pPr>
            <w:r>
              <w:rPr>
                <w:rFonts w:eastAsiaTheme="minorEastAsia" w:hAnsiTheme="minorEastAsia"/>
                <w:color w:val="000000" w:themeColor="text1"/>
                <w:kern w:val="0"/>
              </w:rPr>
              <w:t>序号</w:t>
            </w:r>
          </w:p>
        </w:tc>
        <w:tc>
          <w:tcPr>
            <w:tcW w:w="2761"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7"/>
              <w:jc w:val="center"/>
              <w:rPr>
                <w:rFonts w:eastAsiaTheme="minorEastAsia"/>
                <w:color w:val="000000" w:themeColor="text1"/>
                <w:kern w:val="0"/>
                <w:sz w:val="24"/>
              </w:rPr>
            </w:pPr>
            <w:r>
              <w:rPr>
                <w:rFonts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7"/>
              <w:jc w:val="center"/>
              <w:rPr>
                <w:rFonts w:eastAsiaTheme="minorEastAsia"/>
                <w:color w:val="000000" w:themeColor="text1"/>
                <w:kern w:val="0"/>
                <w:sz w:val="24"/>
              </w:rPr>
            </w:pPr>
            <w:r>
              <w:rPr>
                <w:rFonts w:eastAsiaTheme="minorEastAsia" w:hAnsiTheme="minorEastAsia"/>
                <w:color w:val="000000" w:themeColor="text1"/>
                <w:kern w:val="0"/>
              </w:rPr>
              <w:t>金额</w:t>
            </w:r>
            <w:r>
              <w:rPr>
                <w:rFonts w:eastAsiaTheme="minorEastAsia"/>
                <w:color w:val="000000" w:themeColor="text1"/>
                <w:kern w:val="0"/>
              </w:rPr>
              <w:t>(</w:t>
            </w:r>
            <w:r>
              <w:rPr>
                <w:rFonts w:eastAsiaTheme="minorEastAsia" w:hAnsiTheme="minorEastAsia"/>
                <w:color w:val="000000" w:themeColor="text1"/>
                <w:kern w:val="0"/>
              </w:rPr>
              <w:t>元</w:t>
            </w:r>
            <w:r>
              <w:rPr>
                <w:rFonts w:eastAsiaTheme="minorEastAsia"/>
                <w:color w:val="000000" w:themeColor="text1"/>
                <w:kern w:val="0"/>
              </w:rPr>
              <w:t>)</w:t>
            </w:r>
          </w:p>
        </w:tc>
      </w:tr>
      <w:tr>
        <w:tblPrEx>
          <w:tblW w:w="0" w:type="auto"/>
          <w:tblInd w:w="108"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kern w:val="0"/>
                <w:sz w:val="24"/>
              </w:rPr>
            </w:pPr>
            <w:r>
              <w:rPr>
                <w:rFonts w:eastAsiaTheme="minorEastAsia"/>
                <w:color w:val="000000" w:themeColor="text1"/>
              </w:rPr>
              <w:t>1</w:t>
            </w:r>
          </w:p>
        </w:tc>
        <w:tc>
          <w:tcPr>
            <w:tcW w:w="2761"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left"/>
              <w:rPr>
                <w:rFonts w:eastAsiaTheme="minorEastAsia"/>
                <w:color w:val="000000" w:themeColor="text1"/>
                <w:kern w:val="0"/>
                <w:sz w:val="24"/>
              </w:rPr>
            </w:pPr>
            <w:r>
              <w:rPr>
                <w:rFonts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3,293.92</w:t>
            </w:r>
          </w:p>
        </w:tc>
      </w:tr>
      <w:tr>
        <w:tblPrEx>
          <w:tblW w:w="0" w:type="auto"/>
          <w:tblInd w:w="108"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sz w:val="24"/>
              </w:rPr>
            </w:pPr>
            <w:r>
              <w:rPr>
                <w:rFonts w:eastAsiaTheme="minorEastAsia"/>
                <w:color w:val="000000" w:themeColor="text1"/>
              </w:rPr>
              <w:t>2</w:t>
            </w:r>
          </w:p>
        </w:tc>
        <w:tc>
          <w:tcPr>
            <w:tcW w:w="2761"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left"/>
              <w:rPr>
                <w:rFonts w:eastAsiaTheme="minorEastAsia"/>
                <w:color w:val="000000" w:themeColor="text1"/>
                <w:kern w:val="0"/>
                <w:sz w:val="24"/>
              </w:rPr>
            </w:pPr>
            <w:r>
              <w:rPr>
                <w:rFonts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25,061.49</w:t>
            </w:r>
          </w:p>
        </w:tc>
      </w:tr>
      <w:tr>
        <w:tblPrEx>
          <w:tblW w:w="0" w:type="auto"/>
          <w:tblInd w:w="108"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sz w:val="24"/>
              </w:rPr>
            </w:pPr>
            <w:r>
              <w:rPr>
                <w:rFonts w:eastAsiaTheme="minorEastAsia"/>
                <w:color w:val="000000" w:themeColor="text1"/>
              </w:rPr>
              <w:t>3</w:t>
            </w:r>
          </w:p>
        </w:tc>
        <w:tc>
          <w:tcPr>
            <w:tcW w:w="2761"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left"/>
              <w:rPr>
                <w:rFonts w:eastAsiaTheme="minorEastAsia"/>
                <w:color w:val="000000" w:themeColor="text1"/>
                <w:kern w:val="0"/>
                <w:sz w:val="24"/>
              </w:rPr>
            </w:pPr>
            <w:r>
              <w:rPr>
                <w:rFonts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w:t>
            </w:r>
          </w:p>
        </w:tc>
      </w:tr>
      <w:tr>
        <w:tblPrEx>
          <w:tblW w:w="0" w:type="auto"/>
          <w:tblInd w:w="108"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sz w:val="24"/>
              </w:rPr>
            </w:pPr>
            <w:r>
              <w:rPr>
                <w:rFonts w:eastAsiaTheme="minorEastAsia"/>
                <w:color w:val="000000" w:themeColor="text1"/>
              </w:rPr>
              <w:t>4</w:t>
            </w:r>
          </w:p>
        </w:tc>
        <w:tc>
          <w:tcPr>
            <w:tcW w:w="2761"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left"/>
              <w:rPr>
                <w:rFonts w:eastAsiaTheme="minorEastAsia"/>
                <w:color w:val="000000" w:themeColor="text1"/>
                <w:kern w:val="0"/>
                <w:sz w:val="24"/>
              </w:rPr>
            </w:pPr>
            <w:r>
              <w:rPr>
                <w:rFonts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1,161.59</w:t>
            </w:r>
          </w:p>
        </w:tc>
      </w:tr>
      <w:tr>
        <w:tblPrEx>
          <w:tblW w:w="0" w:type="auto"/>
          <w:tblInd w:w="108"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sz w:val="24"/>
              </w:rPr>
            </w:pPr>
            <w:r>
              <w:rPr>
                <w:rFonts w:eastAsiaTheme="minorEastAsia"/>
                <w:color w:val="000000" w:themeColor="text1"/>
              </w:rPr>
              <w:t>5</w:t>
            </w:r>
          </w:p>
        </w:tc>
        <w:tc>
          <w:tcPr>
            <w:tcW w:w="2761"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left"/>
              <w:rPr>
                <w:rFonts w:eastAsiaTheme="minorEastAsia"/>
                <w:color w:val="000000" w:themeColor="text1"/>
                <w:kern w:val="0"/>
                <w:sz w:val="24"/>
              </w:rPr>
            </w:pPr>
            <w:r>
              <w:rPr>
                <w:rFonts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1,064,022.69</w:t>
            </w:r>
          </w:p>
        </w:tc>
      </w:tr>
      <w:tr>
        <w:tblPrEx>
          <w:tblW w:w="0" w:type="auto"/>
          <w:tblInd w:w="108"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sz w:val="24"/>
              </w:rPr>
            </w:pPr>
            <w:r>
              <w:rPr>
                <w:rFonts w:eastAsiaTheme="minorEastAsia"/>
                <w:color w:val="000000" w:themeColor="text1"/>
              </w:rPr>
              <w:t>6</w:t>
            </w:r>
          </w:p>
        </w:tc>
        <w:tc>
          <w:tcPr>
            <w:tcW w:w="2761"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left"/>
              <w:rPr>
                <w:rFonts w:eastAsiaTheme="minorEastAsia"/>
                <w:color w:val="000000" w:themeColor="text1"/>
                <w:kern w:val="0"/>
                <w:sz w:val="24"/>
              </w:rPr>
            </w:pPr>
            <w:r>
              <w:rPr>
                <w:rFonts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31,806.70</w:t>
            </w:r>
          </w:p>
        </w:tc>
      </w:tr>
      <w:tr>
        <w:tblPrEx>
          <w:tblW w:w="0" w:type="auto"/>
          <w:tblInd w:w="108"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sz w:val="24"/>
              </w:rPr>
            </w:pPr>
            <w:r>
              <w:rPr>
                <w:rFonts w:eastAsiaTheme="minorEastAsia"/>
                <w:color w:val="000000" w:themeColor="text1"/>
              </w:rPr>
              <w:t>7</w:t>
            </w:r>
          </w:p>
        </w:tc>
        <w:tc>
          <w:tcPr>
            <w:tcW w:w="2761"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left"/>
              <w:rPr>
                <w:rFonts w:eastAsiaTheme="minorEastAsia"/>
                <w:color w:val="000000" w:themeColor="text1"/>
                <w:sz w:val="24"/>
              </w:rPr>
            </w:pPr>
            <w:r>
              <w:rPr>
                <w:rFonts w:eastAsiaTheme="minorEastAsia" w:hAnsiTheme="minorEastAsia"/>
                <w:color w:val="000000" w:themeColor="text1"/>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right"/>
              <w:rPr>
                <w:rFonts w:eastAsiaTheme="minorEastAsia"/>
                <w:color w:val="000000" w:themeColor="text1"/>
                <w:sz w:val="24"/>
              </w:rPr>
            </w:pPr>
            <w:r>
              <w:rPr>
                <w:rFonts w:eastAsiaTheme="minorEastAsia"/>
                <w:color w:val="000000" w:themeColor="text1"/>
              </w:rPr>
              <w:t>-</w:t>
            </w:r>
          </w:p>
        </w:tc>
      </w:tr>
      <w:tr>
        <w:tblPrEx>
          <w:tblW w:w="0" w:type="auto"/>
          <w:tblInd w:w="108"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sz w:val="24"/>
              </w:rPr>
            </w:pPr>
            <w:r>
              <w:rPr>
                <w:rFonts w:eastAsiaTheme="minorEastAsia"/>
                <w:color w:val="000000" w:themeColor="text1"/>
              </w:rPr>
              <w:t>8</w:t>
            </w:r>
          </w:p>
        </w:tc>
        <w:tc>
          <w:tcPr>
            <w:tcW w:w="2761"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left"/>
              <w:rPr>
                <w:rFonts w:eastAsiaTheme="minorEastAsia"/>
                <w:color w:val="000000" w:themeColor="text1"/>
                <w:kern w:val="0"/>
                <w:sz w:val="24"/>
              </w:rPr>
            </w:pPr>
            <w:r>
              <w:rPr>
                <w:rFonts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w:t>
            </w:r>
          </w:p>
        </w:tc>
      </w:tr>
      <w:tr>
        <w:tblPrEx>
          <w:tblW w:w="0" w:type="auto"/>
          <w:tblInd w:w="108"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center"/>
              <w:rPr>
                <w:rFonts w:eastAsiaTheme="minorEastAsia"/>
                <w:color w:val="000000" w:themeColor="text1"/>
                <w:sz w:val="24"/>
              </w:rPr>
            </w:pPr>
            <w:r>
              <w:rPr>
                <w:rFonts w:eastAsiaTheme="minorEastAsia"/>
                <w:color w:val="000000" w:themeColor="text1"/>
              </w:rPr>
              <w:t>9</w:t>
            </w:r>
          </w:p>
        </w:tc>
        <w:tc>
          <w:tcPr>
            <w:tcW w:w="2761"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left"/>
              <w:rPr>
                <w:rFonts w:eastAsiaTheme="minorEastAsia"/>
                <w:color w:val="000000" w:themeColor="text1"/>
                <w:kern w:val="0"/>
                <w:sz w:val="24"/>
              </w:rPr>
            </w:pPr>
            <w:r>
              <w:rPr>
                <w:rFonts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8C7BD8">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1,125,346.39</w:t>
            </w:r>
          </w:p>
        </w:tc>
      </w:tr>
    </w:tbl>
    <w:p w:rsidR="00595880">
      <w:pPr>
        <w:spacing w:line="360" w:lineRule="auto"/>
        <w:jc w:val="left"/>
      </w:pPr>
      <w:r>
        <w:t>（</w:t>
      </w:r>
      <w:r>
        <w:t>4</w:t>
      </w:r>
      <w:r>
        <w:t>）报告期末持有的处于转股期的可转换债券明细</w:t>
      </w:r>
    </w:p>
    <w:p w:rsidR="00595880">
      <w:pPr>
        <w:spacing w:line="360" w:lineRule="auto"/>
        <w:ind w:firstLine="420"/>
        <w:jc w:val="left"/>
      </w:pPr>
      <w:r>
        <w:t>本基金本报告期末未持有处于转股期的可转换债券。</w:t>
      </w:r>
    </w:p>
    <w:p w:rsidR="00595880">
      <w:pPr>
        <w:spacing w:line="360" w:lineRule="auto"/>
        <w:jc w:val="left"/>
      </w:pPr>
      <w:r>
        <w:t>（</w:t>
      </w:r>
      <w:r>
        <w:t>5</w:t>
      </w:r>
      <w:r>
        <w:t>）报告期末前十名股票中存在流通受限情况的说明</w:t>
      </w:r>
    </w:p>
    <w:p w:rsidR="00595880">
      <w:pPr>
        <w:spacing w:line="360" w:lineRule="auto"/>
        <w:ind w:firstLine="420"/>
        <w:jc w:val="left"/>
      </w:pPr>
      <w:r>
        <w:t>本基金本报告期末未持有股票。</w:t>
      </w:r>
      <w:r>
        <w:br w:type="page"/>
      </w:r>
    </w:p>
    <w:p w:rsidR="0049705D"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sz w:val="21"/>
          <w:szCs w:val="21"/>
        </w:rPr>
      </w:pPr>
      <w:bookmarkStart w:id="804" w:name="_Toc261590469"/>
      <w:bookmarkStart w:id="805" w:name="_Toc91752069"/>
      <w:r w:rsidRPr="00621B7F">
        <w:rPr>
          <w:rFonts w:asciiTheme="minorEastAsia" w:eastAsiaTheme="minorEastAsia" w:hAnsiTheme="minorEastAsia" w:hint="eastAsia"/>
          <w:bCs/>
          <w:color w:val="000000" w:themeColor="text1"/>
        </w:rPr>
        <w:t>十二、基金的业绩</w:t>
      </w:r>
      <w:bookmarkEnd w:id="804"/>
      <w:bookmarkEnd w:id="805"/>
    </w:p>
    <w:p w:rsidR="0049705D" w:rsidRPr="00621B7F" w:rsidP="00241F10">
      <w:pPr>
        <w:autoSpaceDE w:val="0"/>
        <w:autoSpaceDN w:val="0"/>
        <w:adjustRightInd w:val="0"/>
        <w:snapToGrid w:val="0"/>
        <w:spacing w:line="360" w:lineRule="auto"/>
        <w:ind w:firstLine="420"/>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kern w:val="0"/>
          <w:szCs w:val="21"/>
        </w:rPr>
        <w:t>基金管理人依照恪尽职守、诚实信用、谨慎勤勉的原则管理和运用基金财产，但不保证基金一定盈利，也不保证最低收益。基金的过往业绩并不代表其未来表现。投资有风险，投资者在</w:t>
      </w:r>
      <w:r w:rsidRPr="00621B7F">
        <w:rPr>
          <w:rFonts w:asciiTheme="minorEastAsia" w:eastAsiaTheme="minorEastAsia" w:hAnsiTheme="minorEastAsia" w:hint="eastAsia"/>
          <w:color w:val="000000" w:themeColor="text1"/>
          <w:kern w:val="0"/>
          <w:szCs w:val="21"/>
        </w:rPr>
        <w:t>作出</w:t>
      </w:r>
      <w:r w:rsidRPr="00621B7F">
        <w:rPr>
          <w:rFonts w:asciiTheme="minorEastAsia" w:eastAsiaTheme="minorEastAsia" w:hAnsiTheme="minorEastAsia"/>
          <w:color w:val="000000" w:themeColor="text1"/>
          <w:kern w:val="0"/>
          <w:szCs w:val="21"/>
        </w:rPr>
        <w:t>投资决策前应仔细阅读本基金的招募说明书。</w:t>
      </w:r>
    </w:p>
    <w:p w:rsidR="0049705D" w:rsidRPr="00621B7F" w:rsidP="00241F10">
      <w:pPr>
        <w:autoSpaceDE w:val="0"/>
        <w:autoSpaceDN w:val="0"/>
        <w:adjustRightInd w:val="0"/>
        <w:snapToGrid w:val="0"/>
        <w:spacing w:line="360" w:lineRule="auto"/>
        <w:ind w:firstLine="420"/>
        <w:rPr>
          <w:rFonts w:asciiTheme="minorEastAsia" w:eastAsiaTheme="minorEastAsia" w:hAnsiTheme="minorEastAsia"/>
          <w:color w:val="000000" w:themeColor="text1"/>
          <w:kern w:val="0"/>
          <w:szCs w:val="21"/>
        </w:rPr>
      </w:pPr>
      <w:r w:rsidRPr="00621B7F">
        <w:rPr>
          <w:rFonts w:asciiTheme="minorEastAsia" w:eastAsiaTheme="minorEastAsia" w:hAnsiTheme="minorEastAsia" w:hint="eastAsia"/>
          <w:color w:val="000000" w:themeColor="text1"/>
          <w:kern w:val="0"/>
          <w:szCs w:val="21"/>
        </w:rPr>
        <w:t>本基金合同生效日为2010年3月31日，</w:t>
      </w:r>
      <w:r w:rsidRPr="00621B7F" w:rsidR="00F3123F">
        <w:rPr>
          <w:rFonts w:asciiTheme="minorEastAsia" w:eastAsiaTheme="minorEastAsia" w:hAnsiTheme="minorEastAsia" w:hint="eastAsia"/>
          <w:color w:val="000000" w:themeColor="text1"/>
        </w:rPr>
        <w:t>本基金</w:t>
      </w:r>
      <w:r w:rsidRPr="00621B7F" w:rsidR="00D53422">
        <w:rPr>
          <w:rFonts w:asciiTheme="minorEastAsia" w:eastAsiaTheme="minorEastAsia" w:hAnsiTheme="minorEastAsia" w:hint="eastAsia"/>
          <w:color w:val="000000" w:themeColor="text1"/>
          <w:kern w:val="0"/>
          <w:szCs w:val="21"/>
        </w:rPr>
        <w:t>的投资业绩及与同期基准的比较如下表所示</w:t>
      </w:r>
      <w:r w:rsidRPr="00621B7F">
        <w:rPr>
          <w:rFonts w:asciiTheme="minorEastAsia" w:eastAsiaTheme="minorEastAsia" w:hAnsiTheme="minorEastAsia" w:hint="eastAsia"/>
          <w:color w:val="000000" w:themeColor="text1"/>
          <w:kern w:val="0"/>
          <w:szCs w:val="21"/>
        </w:rPr>
        <w:t>：</w:t>
      </w:r>
    </w:p>
    <w:p w:rsidR="008529BB" w:rsidRPr="00621B7F" w:rsidP="008529BB">
      <w:pPr>
        <w:autoSpaceDE w:val="0"/>
        <w:autoSpaceDN w:val="0"/>
        <w:adjustRightInd w:val="0"/>
        <w:snapToGrid w:val="0"/>
        <w:spacing w:line="360" w:lineRule="auto"/>
        <w:ind w:firstLine="420"/>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rPr>
        <w:t>1</w:t>
      </w:r>
      <w:r w:rsidRPr="00621B7F">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kern w:val="0"/>
          <w:szCs w:val="21"/>
        </w:rPr>
        <w:t>易方达上证中盘E</w:t>
      </w:r>
      <w:r w:rsidRPr="00621B7F">
        <w:rPr>
          <w:rFonts w:asciiTheme="minorEastAsia" w:eastAsiaTheme="minorEastAsia" w:hAnsiTheme="minorEastAsia"/>
          <w:color w:val="000000" w:themeColor="text1"/>
          <w:kern w:val="0"/>
          <w:szCs w:val="21"/>
        </w:rPr>
        <w:t>TF</w:t>
      </w:r>
      <w:r w:rsidRPr="00621B7F">
        <w:rPr>
          <w:rFonts w:asciiTheme="minorEastAsia" w:eastAsiaTheme="minorEastAsia" w:hAnsiTheme="minorEastAsia" w:hint="eastAsia"/>
          <w:color w:val="000000" w:themeColor="text1"/>
          <w:kern w:val="0"/>
          <w:szCs w:val="21"/>
        </w:rPr>
        <w:t>联接A</w:t>
      </w:r>
      <w:r w:rsidRPr="00621B7F">
        <w:rPr>
          <w:rFonts w:asciiTheme="minorEastAsia" w:eastAsiaTheme="minorEastAsia" w:hAnsiTheme="minorEastAsia" w:hint="eastAsia"/>
          <w:color w:val="000000" w:themeColor="text1"/>
        </w:rPr>
        <w:t>类基金份额</w:t>
      </w:r>
      <w:r w:rsidRPr="00621B7F" w:rsidR="00F3123F">
        <w:rPr>
          <w:rFonts w:asciiTheme="minorEastAsia" w:eastAsiaTheme="minorEastAsia" w:hAnsiTheme="minorEastAsia" w:hint="eastAsia"/>
          <w:color w:val="000000" w:themeColor="text1"/>
          <w:kern w:val="0"/>
          <w:szCs w:val="21"/>
        </w:rPr>
        <w:t>最近10个完整会计年度</w:t>
      </w:r>
      <w:r w:rsidRPr="00621B7F" w:rsidR="00F3123F">
        <w:rPr>
          <w:rFonts w:asciiTheme="minorEastAsia" w:eastAsiaTheme="minorEastAsia" w:hAnsiTheme="minorEastAsia" w:hint="eastAsia"/>
          <w:color w:val="000000" w:themeColor="text1"/>
          <w:szCs w:val="21"/>
        </w:rPr>
        <w:t>（截至</w:t>
      </w:r>
      <w:r w:rsidRPr="00621B7F" w:rsidR="00F3123F">
        <w:rPr>
          <w:rFonts w:asciiTheme="minorEastAsia" w:eastAsiaTheme="minorEastAsia" w:hAnsiTheme="minorEastAsia"/>
          <w:color w:val="000000" w:themeColor="text1"/>
        </w:rPr>
        <w:t>2020年12</w:t>
      </w:r>
      <w:r w:rsidRPr="00621B7F" w:rsidR="00F3123F">
        <w:rPr>
          <w:rFonts w:asciiTheme="minorEastAsia" w:eastAsiaTheme="minorEastAsia" w:hAnsiTheme="minorEastAsia" w:hint="eastAsia"/>
          <w:color w:val="000000" w:themeColor="text1"/>
        </w:rPr>
        <w:t>月3</w:t>
      </w:r>
      <w:r w:rsidRPr="00621B7F" w:rsidR="00F3123F">
        <w:rPr>
          <w:rFonts w:asciiTheme="minorEastAsia" w:eastAsiaTheme="minorEastAsia" w:hAnsiTheme="minorEastAsia"/>
          <w:color w:val="000000" w:themeColor="text1"/>
        </w:rPr>
        <w:t>1</w:t>
      </w:r>
      <w:r w:rsidRPr="00621B7F" w:rsidR="00F3123F">
        <w:rPr>
          <w:rFonts w:asciiTheme="minorEastAsia" w:eastAsiaTheme="minorEastAsia" w:hAnsiTheme="minorEastAsia" w:hint="eastAsia"/>
          <w:color w:val="000000" w:themeColor="text1"/>
        </w:rPr>
        <w:t>日</w:t>
      </w:r>
      <w:r w:rsidRPr="00621B7F" w:rsidR="00F3123F">
        <w:rPr>
          <w:rFonts w:asciiTheme="minorEastAsia" w:eastAsiaTheme="minorEastAsia" w:hAnsiTheme="minorEastAsia" w:hint="eastAsia"/>
          <w:color w:val="000000" w:themeColor="text1"/>
          <w:szCs w:val="21"/>
        </w:rPr>
        <w:t>）</w:t>
      </w:r>
      <w:r w:rsidRPr="00621B7F" w:rsidR="00F3123F">
        <w:rPr>
          <w:rFonts w:asciiTheme="minorEastAsia" w:eastAsiaTheme="minorEastAsia" w:hAnsiTheme="minorEastAsia" w:cs="宋体" w:hint="eastAsia"/>
          <w:color w:val="000000" w:themeColor="text1"/>
          <w:szCs w:val="21"/>
        </w:rPr>
        <w:t>的</w:t>
      </w:r>
      <w:r w:rsidRPr="00621B7F">
        <w:rPr>
          <w:rFonts w:asciiTheme="minorEastAsia" w:eastAsiaTheme="minorEastAsia" w:hAnsiTheme="minorEastAsia" w:hint="eastAsia"/>
          <w:color w:val="000000" w:themeColor="text1"/>
        </w:rPr>
        <w:t>净值增长率与同期业绩比较基准收益率比较</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1080"/>
        <w:gridCol w:w="1440"/>
        <w:gridCol w:w="1440"/>
        <w:gridCol w:w="900"/>
        <w:gridCol w:w="900"/>
      </w:tblGrid>
      <w:tr w:rsidTr="007E4765">
        <w:tblPrEx>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15"/>
        </w:trPr>
        <w:tc>
          <w:tcPr>
            <w:tcW w:w="1440" w:type="dxa"/>
            <w:vAlign w:val="center"/>
          </w:tcPr>
          <w:p w:rsidR="0049705D" w:rsidRPr="00621B7F" w:rsidP="00241F10">
            <w:pPr>
              <w:snapToGrid w:val="0"/>
              <w:spacing w:line="360" w:lineRule="auto"/>
              <w:jc w:val="center"/>
              <w:rPr>
                <w:rFonts w:asciiTheme="minorEastAsia" w:eastAsiaTheme="minorEastAsia" w:hAnsiTheme="minorEastAsia" w:cs="Arial Unicode MS"/>
                <w:color w:val="000000" w:themeColor="text1"/>
                <w:szCs w:val="21"/>
              </w:rPr>
            </w:pPr>
            <w:r w:rsidRPr="00621B7F">
              <w:rPr>
                <w:rFonts w:asciiTheme="minorEastAsia" w:eastAsiaTheme="minorEastAsia" w:hAnsiTheme="minorEastAsia" w:hint="eastAsia"/>
                <w:color w:val="000000" w:themeColor="text1"/>
                <w:szCs w:val="21"/>
              </w:rPr>
              <w:t>阶段</w:t>
            </w:r>
          </w:p>
        </w:tc>
        <w:tc>
          <w:tcPr>
            <w:tcW w:w="1080" w:type="dxa"/>
            <w:vAlign w:val="center"/>
          </w:tcPr>
          <w:p w:rsidR="0049705D" w:rsidRPr="00621B7F" w:rsidP="00241F10">
            <w:pPr>
              <w:snapToGrid w:val="0"/>
              <w:spacing w:line="360" w:lineRule="auto"/>
              <w:jc w:val="center"/>
              <w:rPr>
                <w:rFonts w:asciiTheme="minorEastAsia" w:eastAsiaTheme="minorEastAsia" w:hAnsiTheme="minorEastAsia" w:cs="Arial Unicode MS"/>
                <w:color w:val="000000" w:themeColor="text1"/>
                <w:szCs w:val="21"/>
              </w:rPr>
            </w:pPr>
            <w:r w:rsidRPr="00621B7F">
              <w:rPr>
                <w:rFonts w:asciiTheme="minorEastAsia" w:eastAsiaTheme="minorEastAsia" w:hAnsiTheme="minorEastAsia" w:hint="eastAsia"/>
                <w:color w:val="000000" w:themeColor="text1"/>
                <w:szCs w:val="21"/>
              </w:rPr>
              <w:t>净值增长率（</w:t>
            </w:r>
            <w:r w:rsidRPr="00621B7F">
              <w:rPr>
                <w:rFonts w:asciiTheme="minorEastAsia" w:eastAsiaTheme="minorEastAsia" w:hAnsiTheme="minorEastAsia"/>
                <w:color w:val="000000" w:themeColor="text1"/>
                <w:szCs w:val="21"/>
              </w:rPr>
              <w:t>1）</w:t>
            </w:r>
          </w:p>
        </w:tc>
        <w:tc>
          <w:tcPr>
            <w:tcW w:w="1080" w:type="dxa"/>
            <w:vAlign w:val="center"/>
          </w:tcPr>
          <w:p w:rsidR="0049705D" w:rsidRPr="00621B7F" w:rsidP="00241F10">
            <w:pPr>
              <w:snapToGrid w:val="0"/>
              <w:spacing w:line="360" w:lineRule="auto"/>
              <w:jc w:val="center"/>
              <w:rPr>
                <w:rFonts w:asciiTheme="minorEastAsia" w:eastAsiaTheme="minorEastAsia" w:hAnsiTheme="minorEastAsia" w:cs="Arial Unicode MS"/>
                <w:color w:val="000000" w:themeColor="text1"/>
                <w:szCs w:val="21"/>
              </w:rPr>
            </w:pPr>
            <w:r w:rsidRPr="00621B7F">
              <w:rPr>
                <w:rFonts w:asciiTheme="minorEastAsia" w:eastAsiaTheme="minorEastAsia" w:hAnsiTheme="minorEastAsia" w:hint="eastAsia"/>
                <w:color w:val="000000" w:themeColor="text1"/>
                <w:szCs w:val="21"/>
              </w:rPr>
              <w:t>净值增长率标准差（</w:t>
            </w:r>
            <w:r w:rsidRPr="00621B7F">
              <w:rPr>
                <w:rFonts w:asciiTheme="minorEastAsia" w:eastAsiaTheme="minorEastAsia" w:hAnsiTheme="minorEastAsia"/>
                <w:color w:val="000000" w:themeColor="text1"/>
                <w:szCs w:val="21"/>
              </w:rPr>
              <w:t>2）</w:t>
            </w:r>
          </w:p>
        </w:tc>
        <w:tc>
          <w:tcPr>
            <w:tcW w:w="1440" w:type="dxa"/>
            <w:vAlign w:val="center"/>
          </w:tcPr>
          <w:p w:rsidR="0049705D" w:rsidRPr="00621B7F" w:rsidP="00241F10">
            <w:pPr>
              <w:snapToGrid w:val="0"/>
              <w:spacing w:line="360" w:lineRule="auto"/>
              <w:jc w:val="center"/>
              <w:rPr>
                <w:rFonts w:asciiTheme="minorEastAsia" w:eastAsiaTheme="minorEastAsia" w:hAnsiTheme="minorEastAsia" w:cs="Arial Unicode MS"/>
                <w:color w:val="000000" w:themeColor="text1"/>
                <w:szCs w:val="21"/>
              </w:rPr>
            </w:pPr>
            <w:r w:rsidRPr="00621B7F">
              <w:rPr>
                <w:rFonts w:asciiTheme="minorEastAsia" w:eastAsiaTheme="minorEastAsia" w:hAnsiTheme="minorEastAsia" w:hint="eastAsia"/>
                <w:color w:val="000000" w:themeColor="text1"/>
                <w:szCs w:val="21"/>
              </w:rPr>
              <w:t>业绩比较基准收益率（</w:t>
            </w:r>
            <w:r w:rsidRPr="00621B7F">
              <w:rPr>
                <w:rFonts w:asciiTheme="minorEastAsia" w:eastAsiaTheme="minorEastAsia" w:hAnsiTheme="minorEastAsia"/>
                <w:color w:val="000000" w:themeColor="text1"/>
                <w:szCs w:val="21"/>
              </w:rPr>
              <w:t>3）</w:t>
            </w:r>
          </w:p>
        </w:tc>
        <w:tc>
          <w:tcPr>
            <w:tcW w:w="1440" w:type="dxa"/>
            <w:vAlign w:val="center"/>
          </w:tcPr>
          <w:p w:rsidR="0049705D" w:rsidRPr="00621B7F" w:rsidP="00241F10">
            <w:pPr>
              <w:snapToGrid w:val="0"/>
              <w:spacing w:line="360" w:lineRule="auto"/>
              <w:jc w:val="center"/>
              <w:rPr>
                <w:rFonts w:asciiTheme="minorEastAsia" w:eastAsiaTheme="minorEastAsia" w:hAnsiTheme="minorEastAsia" w:cs="Arial Unicode MS"/>
                <w:color w:val="000000" w:themeColor="text1"/>
                <w:szCs w:val="21"/>
              </w:rPr>
            </w:pPr>
            <w:r w:rsidRPr="00621B7F">
              <w:rPr>
                <w:rFonts w:asciiTheme="minorEastAsia" w:eastAsiaTheme="minorEastAsia" w:hAnsiTheme="minorEastAsia" w:hint="eastAsia"/>
                <w:color w:val="000000" w:themeColor="text1"/>
                <w:szCs w:val="21"/>
              </w:rPr>
              <w:t>业绩比较基准收益率标准差（</w:t>
            </w:r>
            <w:r w:rsidRPr="00621B7F">
              <w:rPr>
                <w:rFonts w:asciiTheme="minorEastAsia" w:eastAsiaTheme="minorEastAsia" w:hAnsiTheme="minorEastAsia"/>
                <w:color w:val="000000" w:themeColor="text1"/>
                <w:szCs w:val="21"/>
              </w:rPr>
              <w:t>4）</w:t>
            </w:r>
          </w:p>
        </w:tc>
        <w:tc>
          <w:tcPr>
            <w:tcW w:w="900" w:type="dxa"/>
            <w:vAlign w:val="center"/>
          </w:tcPr>
          <w:p w:rsidR="0049705D" w:rsidRPr="00621B7F" w:rsidP="00241F10">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(3)</w:t>
            </w:r>
          </w:p>
        </w:tc>
        <w:tc>
          <w:tcPr>
            <w:tcW w:w="900" w:type="dxa"/>
            <w:vAlign w:val="center"/>
          </w:tcPr>
          <w:p w:rsidR="0049705D" w:rsidRPr="00621B7F" w:rsidP="00241F10">
            <w:pPr>
              <w:snapToGrid w:val="0"/>
              <w:spacing w:line="360" w:lineRule="auto"/>
              <w:ind w:left="-107" w:leftChars="-51"/>
              <w:jc w:val="center"/>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(2)</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(4)</w:t>
            </w:r>
          </w:p>
        </w:tc>
      </w:tr>
      <w:tr>
        <w:tblPrEx>
          <w:tblW w:w="8280" w:type="dxa"/>
          <w:tblInd w:w="108" w:type="dxa"/>
          <w:tblLayout w:type="fixed"/>
          <w:tblLook w:val="0000"/>
        </w:tblPrEx>
        <w:tc>
          <w:tcPr>
            <w:tcW w:w="1440" w:type="dxa"/>
          </w:tcPr>
          <w:p w:rsidR="00595880">
            <w:pPr>
              <w:jc w:val="center"/>
            </w:pPr>
            <w:r>
              <w:t>2011</w:t>
            </w:r>
            <w:r>
              <w:t>年</w:t>
            </w:r>
            <w:r>
              <w:t>1</w:t>
            </w:r>
            <w:r>
              <w:t>月</w:t>
            </w:r>
            <w:r>
              <w:t>1</w:t>
            </w:r>
            <w:r>
              <w:t>日至</w:t>
            </w:r>
            <w:r>
              <w:t>2011</w:t>
            </w:r>
            <w:r>
              <w:t>年</w:t>
            </w:r>
            <w:r>
              <w:t>12</w:t>
            </w:r>
            <w:r>
              <w:t>月</w:t>
            </w:r>
            <w:r>
              <w:t>31</w:t>
            </w:r>
            <w:r>
              <w:t>日</w:t>
            </w:r>
          </w:p>
        </w:tc>
        <w:tc>
          <w:tcPr>
            <w:tcW w:w="1080" w:type="dxa"/>
          </w:tcPr>
          <w:p w:rsidR="00595880">
            <w:pPr>
              <w:jc w:val="center"/>
            </w:pPr>
            <w:r>
              <w:t>-29.73%</w:t>
            </w:r>
          </w:p>
        </w:tc>
        <w:tc>
          <w:tcPr>
            <w:tcW w:w="1080" w:type="dxa"/>
          </w:tcPr>
          <w:p w:rsidR="00595880">
            <w:pPr>
              <w:jc w:val="center"/>
            </w:pPr>
            <w:r>
              <w:t>1.32%</w:t>
            </w:r>
          </w:p>
        </w:tc>
        <w:tc>
          <w:tcPr>
            <w:tcW w:w="1440" w:type="dxa"/>
          </w:tcPr>
          <w:p w:rsidR="00595880">
            <w:pPr>
              <w:jc w:val="center"/>
            </w:pPr>
            <w:r>
              <w:t>-29.94%</w:t>
            </w:r>
          </w:p>
        </w:tc>
        <w:tc>
          <w:tcPr>
            <w:tcW w:w="1440" w:type="dxa"/>
          </w:tcPr>
          <w:p w:rsidR="00595880">
            <w:pPr>
              <w:jc w:val="center"/>
            </w:pPr>
            <w:r>
              <w:t>1.35%</w:t>
            </w:r>
          </w:p>
        </w:tc>
        <w:tc>
          <w:tcPr>
            <w:tcW w:w="900" w:type="dxa"/>
          </w:tcPr>
          <w:p w:rsidR="00595880">
            <w:pPr>
              <w:jc w:val="center"/>
            </w:pPr>
            <w:r>
              <w:t>0.21%</w:t>
            </w:r>
          </w:p>
        </w:tc>
        <w:tc>
          <w:tcPr>
            <w:tcW w:w="900" w:type="dxa"/>
          </w:tcPr>
          <w:p w:rsidR="00595880">
            <w:pPr>
              <w:jc w:val="center"/>
            </w:pPr>
            <w:r>
              <w:t>-0.03%</w:t>
            </w:r>
          </w:p>
        </w:tc>
      </w:tr>
      <w:tr>
        <w:tblPrEx>
          <w:tblW w:w="8280" w:type="dxa"/>
          <w:tblInd w:w="108" w:type="dxa"/>
          <w:tblLayout w:type="fixed"/>
          <w:tblLook w:val="0000"/>
        </w:tblPrEx>
        <w:tc>
          <w:tcPr>
            <w:tcW w:w="1440" w:type="dxa"/>
          </w:tcPr>
          <w:p w:rsidR="00595880">
            <w:pPr>
              <w:jc w:val="center"/>
            </w:pPr>
            <w:r>
              <w:t>2012</w:t>
            </w:r>
            <w:r>
              <w:t>年</w:t>
            </w:r>
            <w:r>
              <w:t>1</w:t>
            </w:r>
            <w:r>
              <w:t>月</w:t>
            </w:r>
            <w:r>
              <w:t>1</w:t>
            </w:r>
            <w:r>
              <w:t>日至</w:t>
            </w:r>
            <w:r>
              <w:t>2012</w:t>
            </w:r>
            <w:r>
              <w:t>年</w:t>
            </w:r>
            <w:r>
              <w:t>12</w:t>
            </w:r>
            <w:r>
              <w:t>月</w:t>
            </w:r>
            <w:r>
              <w:t>31</w:t>
            </w:r>
            <w:r>
              <w:t>日</w:t>
            </w:r>
          </w:p>
        </w:tc>
        <w:tc>
          <w:tcPr>
            <w:tcW w:w="1080" w:type="dxa"/>
          </w:tcPr>
          <w:p w:rsidR="00595880">
            <w:pPr>
              <w:jc w:val="center"/>
            </w:pPr>
            <w:r>
              <w:t>3.56%</w:t>
            </w:r>
          </w:p>
        </w:tc>
        <w:tc>
          <w:tcPr>
            <w:tcW w:w="1080" w:type="dxa"/>
          </w:tcPr>
          <w:p w:rsidR="00595880">
            <w:pPr>
              <w:jc w:val="center"/>
            </w:pPr>
            <w:r>
              <w:t>1.27%</w:t>
            </w:r>
          </w:p>
        </w:tc>
        <w:tc>
          <w:tcPr>
            <w:tcW w:w="1440" w:type="dxa"/>
          </w:tcPr>
          <w:p w:rsidR="00595880">
            <w:pPr>
              <w:jc w:val="center"/>
            </w:pPr>
            <w:r>
              <w:t>3.55%</w:t>
            </w:r>
          </w:p>
        </w:tc>
        <w:tc>
          <w:tcPr>
            <w:tcW w:w="1440" w:type="dxa"/>
          </w:tcPr>
          <w:p w:rsidR="00595880">
            <w:pPr>
              <w:jc w:val="center"/>
            </w:pPr>
            <w:r>
              <w:t>1.32%</w:t>
            </w:r>
          </w:p>
        </w:tc>
        <w:tc>
          <w:tcPr>
            <w:tcW w:w="900" w:type="dxa"/>
          </w:tcPr>
          <w:p w:rsidR="00595880">
            <w:pPr>
              <w:jc w:val="center"/>
            </w:pPr>
            <w:r>
              <w:t>0.01%</w:t>
            </w:r>
          </w:p>
        </w:tc>
        <w:tc>
          <w:tcPr>
            <w:tcW w:w="900" w:type="dxa"/>
          </w:tcPr>
          <w:p w:rsidR="00595880">
            <w:pPr>
              <w:jc w:val="center"/>
            </w:pPr>
            <w:r>
              <w:t>-0.05%</w:t>
            </w:r>
          </w:p>
        </w:tc>
      </w:tr>
      <w:tr>
        <w:tblPrEx>
          <w:tblW w:w="8280" w:type="dxa"/>
          <w:tblInd w:w="108" w:type="dxa"/>
          <w:tblLayout w:type="fixed"/>
          <w:tblLook w:val="0000"/>
        </w:tblPrEx>
        <w:tc>
          <w:tcPr>
            <w:tcW w:w="1440" w:type="dxa"/>
          </w:tcPr>
          <w:p w:rsidR="00595880">
            <w:pPr>
              <w:jc w:val="center"/>
            </w:pPr>
            <w:r>
              <w:t>2013</w:t>
            </w:r>
            <w:r>
              <w:t>年</w:t>
            </w:r>
            <w:r>
              <w:t>1</w:t>
            </w:r>
            <w:r>
              <w:t>月</w:t>
            </w:r>
            <w:r>
              <w:t>1</w:t>
            </w:r>
            <w:r>
              <w:t>日至</w:t>
            </w:r>
            <w:r>
              <w:t>2013</w:t>
            </w:r>
            <w:r>
              <w:t>年</w:t>
            </w:r>
            <w:r>
              <w:t>12</w:t>
            </w:r>
            <w:r>
              <w:t>月</w:t>
            </w:r>
            <w:r>
              <w:t>31</w:t>
            </w:r>
            <w:r>
              <w:t>日</w:t>
            </w:r>
          </w:p>
        </w:tc>
        <w:tc>
          <w:tcPr>
            <w:tcW w:w="1080" w:type="dxa"/>
          </w:tcPr>
          <w:p w:rsidR="00595880">
            <w:pPr>
              <w:jc w:val="center"/>
            </w:pPr>
            <w:r>
              <w:t>3.19%</w:t>
            </w:r>
          </w:p>
        </w:tc>
        <w:tc>
          <w:tcPr>
            <w:tcW w:w="1080" w:type="dxa"/>
          </w:tcPr>
          <w:p w:rsidR="00595880">
            <w:pPr>
              <w:jc w:val="center"/>
            </w:pPr>
            <w:r>
              <w:t>1.23%</w:t>
            </w:r>
          </w:p>
        </w:tc>
        <w:tc>
          <w:tcPr>
            <w:tcW w:w="1440" w:type="dxa"/>
          </w:tcPr>
          <w:p w:rsidR="00595880">
            <w:pPr>
              <w:jc w:val="center"/>
            </w:pPr>
            <w:r>
              <w:t>3.00%</w:t>
            </w:r>
          </w:p>
        </w:tc>
        <w:tc>
          <w:tcPr>
            <w:tcW w:w="1440" w:type="dxa"/>
          </w:tcPr>
          <w:p w:rsidR="00595880">
            <w:pPr>
              <w:jc w:val="center"/>
            </w:pPr>
            <w:r>
              <w:t>1.26%</w:t>
            </w:r>
          </w:p>
        </w:tc>
        <w:tc>
          <w:tcPr>
            <w:tcW w:w="900" w:type="dxa"/>
          </w:tcPr>
          <w:p w:rsidR="00595880">
            <w:pPr>
              <w:jc w:val="center"/>
            </w:pPr>
            <w:r>
              <w:t>0.19%</w:t>
            </w:r>
          </w:p>
        </w:tc>
        <w:tc>
          <w:tcPr>
            <w:tcW w:w="900" w:type="dxa"/>
          </w:tcPr>
          <w:p w:rsidR="00595880">
            <w:pPr>
              <w:jc w:val="center"/>
            </w:pPr>
            <w:r>
              <w:t>-0.03%</w:t>
            </w:r>
          </w:p>
        </w:tc>
      </w:tr>
      <w:tr>
        <w:tblPrEx>
          <w:tblW w:w="8280" w:type="dxa"/>
          <w:tblInd w:w="108" w:type="dxa"/>
          <w:tblLayout w:type="fixed"/>
          <w:tblLook w:val="0000"/>
        </w:tblPrEx>
        <w:tc>
          <w:tcPr>
            <w:tcW w:w="1440" w:type="dxa"/>
          </w:tcPr>
          <w:p w:rsidR="00595880">
            <w:pPr>
              <w:jc w:val="center"/>
            </w:pPr>
            <w:r>
              <w:t>2014</w:t>
            </w:r>
            <w:r>
              <w:t>年</w:t>
            </w:r>
            <w:r>
              <w:t>1</w:t>
            </w:r>
            <w:r>
              <w:t>月</w:t>
            </w:r>
            <w:r>
              <w:t>1</w:t>
            </w:r>
            <w:r>
              <w:t>日至</w:t>
            </w:r>
            <w:r>
              <w:t>2014</w:t>
            </w:r>
            <w:r>
              <w:t>年</w:t>
            </w:r>
            <w:r>
              <w:t>12</w:t>
            </w:r>
            <w:r>
              <w:t>月</w:t>
            </w:r>
            <w:r>
              <w:t>31</w:t>
            </w:r>
            <w:r>
              <w:t>日</w:t>
            </w:r>
          </w:p>
        </w:tc>
        <w:tc>
          <w:tcPr>
            <w:tcW w:w="1080" w:type="dxa"/>
          </w:tcPr>
          <w:p w:rsidR="00595880">
            <w:pPr>
              <w:jc w:val="center"/>
            </w:pPr>
            <w:r>
              <w:t>50.46%</w:t>
            </w:r>
          </w:p>
        </w:tc>
        <w:tc>
          <w:tcPr>
            <w:tcW w:w="1080" w:type="dxa"/>
          </w:tcPr>
          <w:p w:rsidR="00595880">
            <w:pPr>
              <w:jc w:val="center"/>
            </w:pPr>
            <w:r>
              <w:t>1.10%</w:t>
            </w:r>
          </w:p>
        </w:tc>
        <w:tc>
          <w:tcPr>
            <w:tcW w:w="1440" w:type="dxa"/>
          </w:tcPr>
          <w:p w:rsidR="00595880">
            <w:pPr>
              <w:jc w:val="center"/>
            </w:pPr>
            <w:r>
              <w:t>49.61%</w:t>
            </w:r>
          </w:p>
        </w:tc>
        <w:tc>
          <w:tcPr>
            <w:tcW w:w="1440" w:type="dxa"/>
          </w:tcPr>
          <w:p w:rsidR="00595880">
            <w:pPr>
              <w:jc w:val="center"/>
            </w:pPr>
            <w:r>
              <w:t>1.12%</w:t>
            </w:r>
          </w:p>
        </w:tc>
        <w:tc>
          <w:tcPr>
            <w:tcW w:w="900" w:type="dxa"/>
          </w:tcPr>
          <w:p w:rsidR="00595880">
            <w:pPr>
              <w:jc w:val="center"/>
            </w:pPr>
            <w:r>
              <w:t>0.85%</w:t>
            </w:r>
          </w:p>
        </w:tc>
        <w:tc>
          <w:tcPr>
            <w:tcW w:w="900" w:type="dxa"/>
          </w:tcPr>
          <w:p w:rsidR="00595880">
            <w:pPr>
              <w:jc w:val="center"/>
            </w:pPr>
            <w:r>
              <w:t>-0.02%</w:t>
            </w:r>
          </w:p>
        </w:tc>
      </w:tr>
      <w:tr>
        <w:tblPrEx>
          <w:tblW w:w="8280" w:type="dxa"/>
          <w:tblInd w:w="108" w:type="dxa"/>
          <w:tblLayout w:type="fixed"/>
          <w:tblLook w:val="0000"/>
        </w:tblPrEx>
        <w:tc>
          <w:tcPr>
            <w:tcW w:w="1440" w:type="dxa"/>
          </w:tcPr>
          <w:p w:rsidR="00595880">
            <w:pPr>
              <w:jc w:val="center"/>
            </w:pPr>
            <w:r>
              <w:t>2015</w:t>
            </w:r>
            <w:r>
              <w:t>年</w:t>
            </w:r>
            <w:r>
              <w:t>1</w:t>
            </w:r>
            <w:r>
              <w:t>月</w:t>
            </w:r>
            <w:r>
              <w:t>1</w:t>
            </w:r>
            <w:r>
              <w:t>日至</w:t>
            </w:r>
            <w:r>
              <w:t>2015</w:t>
            </w:r>
            <w:r>
              <w:t>年</w:t>
            </w:r>
            <w:r>
              <w:t>12</w:t>
            </w:r>
            <w:r>
              <w:t>月</w:t>
            </w:r>
            <w:r>
              <w:t>31</w:t>
            </w:r>
            <w:r>
              <w:t>日</w:t>
            </w:r>
          </w:p>
        </w:tc>
        <w:tc>
          <w:tcPr>
            <w:tcW w:w="1080" w:type="dxa"/>
          </w:tcPr>
          <w:p w:rsidR="00595880">
            <w:pPr>
              <w:jc w:val="center"/>
            </w:pPr>
            <w:r>
              <w:t>11.45%</w:t>
            </w:r>
          </w:p>
        </w:tc>
        <w:tc>
          <w:tcPr>
            <w:tcW w:w="1080" w:type="dxa"/>
          </w:tcPr>
          <w:p w:rsidR="00595880">
            <w:pPr>
              <w:jc w:val="center"/>
            </w:pPr>
            <w:r>
              <w:t>2.67%</w:t>
            </w:r>
          </w:p>
        </w:tc>
        <w:tc>
          <w:tcPr>
            <w:tcW w:w="1440" w:type="dxa"/>
          </w:tcPr>
          <w:p w:rsidR="00595880">
            <w:pPr>
              <w:jc w:val="center"/>
            </w:pPr>
            <w:r>
              <w:t>9.13%</w:t>
            </w:r>
          </w:p>
        </w:tc>
        <w:tc>
          <w:tcPr>
            <w:tcW w:w="1440" w:type="dxa"/>
          </w:tcPr>
          <w:p w:rsidR="00595880">
            <w:pPr>
              <w:jc w:val="center"/>
            </w:pPr>
            <w:r>
              <w:t>2.61%</w:t>
            </w:r>
          </w:p>
        </w:tc>
        <w:tc>
          <w:tcPr>
            <w:tcW w:w="900" w:type="dxa"/>
          </w:tcPr>
          <w:p w:rsidR="00595880">
            <w:pPr>
              <w:jc w:val="center"/>
            </w:pPr>
            <w:r>
              <w:t>2.32%</w:t>
            </w:r>
          </w:p>
        </w:tc>
        <w:tc>
          <w:tcPr>
            <w:tcW w:w="900" w:type="dxa"/>
          </w:tcPr>
          <w:p w:rsidR="00595880">
            <w:pPr>
              <w:jc w:val="center"/>
            </w:pPr>
            <w:r>
              <w:t>0.06%</w:t>
            </w:r>
          </w:p>
        </w:tc>
      </w:tr>
      <w:tr>
        <w:tblPrEx>
          <w:tblW w:w="8280" w:type="dxa"/>
          <w:tblInd w:w="108" w:type="dxa"/>
          <w:tblLayout w:type="fixed"/>
          <w:tblLook w:val="0000"/>
        </w:tblPrEx>
        <w:tc>
          <w:tcPr>
            <w:tcW w:w="1440" w:type="dxa"/>
          </w:tcPr>
          <w:p w:rsidR="00595880">
            <w:pPr>
              <w:jc w:val="center"/>
            </w:pPr>
            <w:r>
              <w:t>2016</w:t>
            </w:r>
            <w:r>
              <w:t>年</w:t>
            </w:r>
            <w:r>
              <w:t>1</w:t>
            </w:r>
            <w:r>
              <w:t>月</w:t>
            </w:r>
            <w:r>
              <w:t>1</w:t>
            </w:r>
            <w:r>
              <w:t>日至</w:t>
            </w:r>
            <w:r>
              <w:t>2016</w:t>
            </w:r>
            <w:r>
              <w:t>年</w:t>
            </w:r>
            <w:r>
              <w:t>12</w:t>
            </w:r>
            <w:r>
              <w:t>月</w:t>
            </w:r>
            <w:r>
              <w:t>31</w:t>
            </w:r>
            <w:r>
              <w:t>日</w:t>
            </w:r>
          </w:p>
        </w:tc>
        <w:tc>
          <w:tcPr>
            <w:tcW w:w="1080" w:type="dxa"/>
          </w:tcPr>
          <w:p w:rsidR="00595880">
            <w:pPr>
              <w:jc w:val="center"/>
            </w:pPr>
            <w:r>
              <w:t>-12.47%</w:t>
            </w:r>
          </w:p>
        </w:tc>
        <w:tc>
          <w:tcPr>
            <w:tcW w:w="1080" w:type="dxa"/>
          </w:tcPr>
          <w:p w:rsidR="00595880">
            <w:pPr>
              <w:jc w:val="center"/>
            </w:pPr>
            <w:r>
              <w:t>1.51%</w:t>
            </w:r>
          </w:p>
        </w:tc>
        <w:tc>
          <w:tcPr>
            <w:tcW w:w="1440" w:type="dxa"/>
          </w:tcPr>
          <w:p w:rsidR="00595880">
            <w:pPr>
              <w:jc w:val="center"/>
            </w:pPr>
            <w:r>
              <w:t>-15.00%</w:t>
            </w:r>
          </w:p>
        </w:tc>
        <w:tc>
          <w:tcPr>
            <w:tcW w:w="1440" w:type="dxa"/>
          </w:tcPr>
          <w:p w:rsidR="00595880">
            <w:pPr>
              <w:jc w:val="center"/>
            </w:pPr>
            <w:r>
              <w:t>1.51%</w:t>
            </w:r>
          </w:p>
        </w:tc>
        <w:tc>
          <w:tcPr>
            <w:tcW w:w="900" w:type="dxa"/>
          </w:tcPr>
          <w:p w:rsidR="00595880">
            <w:pPr>
              <w:jc w:val="center"/>
            </w:pPr>
            <w:r>
              <w:t>2.53%</w:t>
            </w:r>
          </w:p>
        </w:tc>
        <w:tc>
          <w:tcPr>
            <w:tcW w:w="900" w:type="dxa"/>
          </w:tcPr>
          <w:p w:rsidR="00595880">
            <w:pPr>
              <w:jc w:val="center"/>
            </w:pPr>
            <w:r>
              <w:t>0.00%</w:t>
            </w:r>
          </w:p>
        </w:tc>
      </w:tr>
      <w:tr>
        <w:tblPrEx>
          <w:tblW w:w="8280" w:type="dxa"/>
          <w:tblInd w:w="108" w:type="dxa"/>
          <w:tblLayout w:type="fixed"/>
          <w:tblLook w:val="0000"/>
        </w:tblPrEx>
        <w:tc>
          <w:tcPr>
            <w:tcW w:w="1440" w:type="dxa"/>
          </w:tcPr>
          <w:p w:rsidR="00595880">
            <w:pPr>
              <w:jc w:val="center"/>
            </w:pPr>
            <w:r>
              <w:t>2017</w:t>
            </w:r>
            <w:r>
              <w:t>年</w:t>
            </w:r>
            <w:r>
              <w:t>1</w:t>
            </w:r>
            <w:r>
              <w:t>月</w:t>
            </w:r>
            <w:r>
              <w:t>1</w:t>
            </w:r>
            <w:r>
              <w:t>日至</w:t>
            </w:r>
            <w:r>
              <w:t>2017</w:t>
            </w:r>
            <w:r>
              <w:t>年</w:t>
            </w:r>
            <w:r>
              <w:t>12</w:t>
            </w:r>
            <w:r>
              <w:t>月</w:t>
            </w:r>
            <w:r>
              <w:t>31</w:t>
            </w:r>
            <w:r>
              <w:t>日</w:t>
            </w:r>
          </w:p>
        </w:tc>
        <w:tc>
          <w:tcPr>
            <w:tcW w:w="1080" w:type="dxa"/>
          </w:tcPr>
          <w:p w:rsidR="00595880">
            <w:pPr>
              <w:jc w:val="center"/>
            </w:pPr>
            <w:r>
              <w:t>13.60%</w:t>
            </w:r>
          </w:p>
        </w:tc>
        <w:tc>
          <w:tcPr>
            <w:tcW w:w="1080" w:type="dxa"/>
          </w:tcPr>
          <w:p w:rsidR="00595880">
            <w:pPr>
              <w:jc w:val="center"/>
            </w:pPr>
            <w:r>
              <w:t>0.56%</w:t>
            </w:r>
          </w:p>
        </w:tc>
        <w:tc>
          <w:tcPr>
            <w:tcW w:w="1440" w:type="dxa"/>
          </w:tcPr>
          <w:p w:rsidR="00595880">
            <w:pPr>
              <w:jc w:val="center"/>
            </w:pPr>
            <w:r>
              <w:t>10.58%</w:t>
            </w:r>
          </w:p>
        </w:tc>
        <w:tc>
          <w:tcPr>
            <w:tcW w:w="1440" w:type="dxa"/>
          </w:tcPr>
          <w:p w:rsidR="00595880">
            <w:pPr>
              <w:jc w:val="center"/>
            </w:pPr>
            <w:r>
              <w:t>0.58%</w:t>
            </w:r>
          </w:p>
        </w:tc>
        <w:tc>
          <w:tcPr>
            <w:tcW w:w="900" w:type="dxa"/>
          </w:tcPr>
          <w:p w:rsidR="00595880">
            <w:pPr>
              <w:jc w:val="center"/>
            </w:pPr>
            <w:r>
              <w:t>3.02%</w:t>
            </w:r>
          </w:p>
        </w:tc>
        <w:tc>
          <w:tcPr>
            <w:tcW w:w="900" w:type="dxa"/>
          </w:tcPr>
          <w:p w:rsidR="00595880">
            <w:pPr>
              <w:jc w:val="center"/>
            </w:pPr>
            <w:r>
              <w:t>-0.02%</w:t>
            </w:r>
          </w:p>
        </w:tc>
      </w:tr>
      <w:tr>
        <w:tblPrEx>
          <w:tblW w:w="8280" w:type="dxa"/>
          <w:tblInd w:w="108" w:type="dxa"/>
          <w:tblLayout w:type="fixed"/>
          <w:tblLook w:val="0000"/>
        </w:tblPrEx>
        <w:tc>
          <w:tcPr>
            <w:tcW w:w="1440" w:type="dxa"/>
          </w:tcPr>
          <w:p w:rsidR="00595880">
            <w:pPr>
              <w:jc w:val="center"/>
            </w:pPr>
            <w:r>
              <w:t>2018</w:t>
            </w:r>
            <w:r>
              <w:t>年</w:t>
            </w:r>
            <w:r>
              <w:t>1</w:t>
            </w:r>
            <w:r>
              <w:t>月</w:t>
            </w:r>
            <w:r>
              <w:t>1</w:t>
            </w:r>
            <w:r>
              <w:t>日至</w:t>
            </w:r>
            <w:r>
              <w:t>2018</w:t>
            </w:r>
            <w:r>
              <w:t>年</w:t>
            </w:r>
            <w:r>
              <w:t>12</w:t>
            </w:r>
            <w:r>
              <w:t>月</w:t>
            </w:r>
            <w:r>
              <w:t>31</w:t>
            </w:r>
            <w:r>
              <w:t>日</w:t>
            </w:r>
          </w:p>
        </w:tc>
        <w:tc>
          <w:tcPr>
            <w:tcW w:w="1080" w:type="dxa"/>
          </w:tcPr>
          <w:p w:rsidR="00595880">
            <w:pPr>
              <w:jc w:val="center"/>
            </w:pPr>
            <w:r>
              <w:t>-20.17%</w:t>
            </w:r>
          </w:p>
        </w:tc>
        <w:tc>
          <w:tcPr>
            <w:tcW w:w="1080" w:type="dxa"/>
          </w:tcPr>
          <w:p w:rsidR="00595880">
            <w:pPr>
              <w:jc w:val="center"/>
            </w:pPr>
            <w:r>
              <w:t>1.14%</w:t>
            </w:r>
          </w:p>
        </w:tc>
        <w:tc>
          <w:tcPr>
            <w:tcW w:w="1440" w:type="dxa"/>
          </w:tcPr>
          <w:p w:rsidR="00595880">
            <w:pPr>
              <w:jc w:val="center"/>
            </w:pPr>
            <w:r>
              <w:t>-22.76%</w:t>
            </w:r>
          </w:p>
        </w:tc>
        <w:tc>
          <w:tcPr>
            <w:tcW w:w="1440" w:type="dxa"/>
          </w:tcPr>
          <w:p w:rsidR="00595880">
            <w:pPr>
              <w:jc w:val="center"/>
            </w:pPr>
            <w:r>
              <w:t>1.20%</w:t>
            </w:r>
          </w:p>
        </w:tc>
        <w:tc>
          <w:tcPr>
            <w:tcW w:w="900" w:type="dxa"/>
          </w:tcPr>
          <w:p w:rsidR="00595880">
            <w:pPr>
              <w:jc w:val="center"/>
            </w:pPr>
            <w:r>
              <w:t>2.59%</w:t>
            </w:r>
          </w:p>
        </w:tc>
        <w:tc>
          <w:tcPr>
            <w:tcW w:w="900" w:type="dxa"/>
          </w:tcPr>
          <w:p w:rsidR="00595880">
            <w:pPr>
              <w:jc w:val="center"/>
            </w:pPr>
            <w:r>
              <w:t>-0.06%</w:t>
            </w:r>
          </w:p>
        </w:tc>
      </w:tr>
      <w:tr>
        <w:tblPrEx>
          <w:tblW w:w="8280" w:type="dxa"/>
          <w:tblInd w:w="108" w:type="dxa"/>
          <w:tblLayout w:type="fixed"/>
          <w:tblLook w:val="0000"/>
        </w:tblPrEx>
        <w:tc>
          <w:tcPr>
            <w:tcW w:w="1440" w:type="dxa"/>
          </w:tcPr>
          <w:p w:rsidR="00595880">
            <w:pPr>
              <w:jc w:val="center"/>
            </w:pPr>
            <w:r>
              <w:t>2019</w:t>
            </w:r>
            <w:r>
              <w:t>年</w:t>
            </w:r>
            <w:r>
              <w:t>1</w:t>
            </w:r>
            <w:r>
              <w:t>月</w:t>
            </w:r>
            <w:r>
              <w:t>1</w:t>
            </w:r>
            <w:r>
              <w:t>日至</w:t>
            </w:r>
            <w:r>
              <w:t>2019</w:t>
            </w:r>
            <w:r>
              <w:t>年</w:t>
            </w:r>
            <w:r>
              <w:t>12</w:t>
            </w:r>
            <w:r>
              <w:t>月</w:t>
            </w:r>
            <w:r>
              <w:t>31</w:t>
            </w:r>
            <w:r>
              <w:t>日</w:t>
            </w:r>
          </w:p>
        </w:tc>
        <w:tc>
          <w:tcPr>
            <w:tcW w:w="1080" w:type="dxa"/>
          </w:tcPr>
          <w:p w:rsidR="00595880">
            <w:pPr>
              <w:jc w:val="center"/>
            </w:pPr>
            <w:r>
              <w:t>27.62%</w:t>
            </w:r>
          </w:p>
        </w:tc>
        <w:tc>
          <w:tcPr>
            <w:tcW w:w="1080" w:type="dxa"/>
          </w:tcPr>
          <w:p w:rsidR="00595880">
            <w:pPr>
              <w:jc w:val="center"/>
            </w:pPr>
            <w:r>
              <w:t>1.21%</w:t>
            </w:r>
          </w:p>
        </w:tc>
        <w:tc>
          <w:tcPr>
            <w:tcW w:w="1440" w:type="dxa"/>
          </w:tcPr>
          <w:p w:rsidR="00595880">
            <w:pPr>
              <w:jc w:val="center"/>
            </w:pPr>
            <w:r>
              <w:t>23.16%</w:t>
            </w:r>
          </w:p>
        </w:tc>
        <w:tc>
          <w:tcPr>
            <w:tcW w:w="1440" w:type="dxa"/>
          </w:tcPr>
          <w:p w:rsidR="00595880">
            <w:pPr>
              <w:jc w:val="center"/>
            </w:pPr>
            <w:r>
              <w:t>1.23%</w:t>
            </w:r>
          </w:p>
        </w:tc>
        <w:tc>
          <w:tcPr>
            <w:tcW w:w="900" w:type="dxa"/>
          </w:tcPr>
          <w:p w:rsidR="00595880">
            <w:pPr>
              <w:jc w:val="center"/>
            </w:pPr>
            <w:r>
              <w:t>4.46%</w:t>
            </w:r>
          </w:p>
        </w:tc>
        <w:tc>
          <w:tcPr>
            <w:tcW w:w="900" w:type="dxa"/>
          </w:tcPr>
          <w:p w:rsidR="00595880">
            <w:pPr>
              <w:jc w:val="center"/>
            </w:pPr>
            <w:r>
              <w:t>-0.02%</w:t>
            </w:r>
          </w:p>
        </w:tc>
      </w:tr>
      <w:tr>
        <w:tblPrEx>
          <w:tblW w:w="8280" w:type="dxa"/>
          <w:tblInd w:w="108" w:type="dxa"/>
          <w:tblLayout w:type="fixed"/>
          <w:tblLook w:val="0000"/>
        </w:tblPrEx>
        <w:tc>
          <w:tcPr>
            <w:tcW w:w="1440" w:type="dxa"/>
          </w:tcPr>
          <w:p w:rsidR="00595880">
            <w:pPr>
              <w:jc w:val="center"/>
            </w:pPr>
            <w:r>
              <w:t>2020</w:t>
            </w:r>
            <w:r>
              <w:t>年</w:t>
            </w:r>
            <w:r>
              <w:t>1</w:t>
            </w:r>
            <w:r>
              <w:t>月</w:t>
            </w:r>
            <w:r>
              <w:t>1</w:t>
            </w:r>
            <w:r>
              <w:t>日至</w:t>
            </w:r>
            <w:r>
              <w:t>2020</w:t>
            </w:r>
            <w:r>
              <w:t>年</w:t>
            </w:r>
            <w:r>
              <w:t>12</w:t>
            </w:r>
            <w:r>
              <w:t>月</w:t>
            </w:r>
            <w:r>
              <w:t>31</w:t>
            </w:r>
            <w:r>
              <w:t>日</w:t>
            </w:r>
          </w:p>
        </w:tc>
        <w:tc>
          <w:tcPr>
            <w:tcW w:w="1080" w:type="dxa"/>
          </w:tcPr>
          <w:p w:rsidR="00595880">
            <w:pPr>
              <w:jc w:val="center"/>
            </w:pPr>
            <w:r>
              <w:t>33.86%</w:t>
            </w:r>
          </w:p>
        </w:tc>
        <w:tc>
          <w:tcPr>
            <w:tcW w:w="1080" w:type="dxa"/>
          </w:tcPr>
          <w:p w:rsidR="00595880">
            <w:pPr>
              <w:jc w:val="center"/>
            </w:pPr>
            <w:r>
              <w:t>1.33%</w:t>
            </w:r>
          </w:p>
        </w:tc>
        <w:tc>
          <w:tcPr>
            <w:tcW w:w="1440" w:type="dxa"/>
          </w:tcPr>
          <w:p w:rsidR="00595880">
            <w:pPr>
              <w:jc w:val="center"/>
            </w:pPr>
            <w:r>
              <w:t>22.01%</w:t>
            </w:r>
          </w:p>
        </w:tc>
        <w:tc>
          <w:tcPr>
            <w:tcW w:w="1440" w:type="dxa"/>
          </w:tcPr>
          <w:p w:rsidR="00595880">
            <w:pPr>
              <w:jc w:val="center"/>
            </w:pPr>
            <w:r>
              <w:t>1.35%</w:t>
            </w:r>
          </w:p>
        </w:tc>
        <w:tc>
          <w:tcPr>
            <w:tcW w:w="900" w:type="dxa"/>
          </w:tcPr>
          <w:p w:rsidR="00595880">
            <w:pPr>
              <w:jc w:val="center"/>
            </w:pPr>
            <w:r>
              <w:t>11.85%</w:t>
            </w:r>
          </w:p>
        </w:tc>
        <w:tc>
          <w:tcPr>
            <w:tcW w:w="900" w:type="dxa"/>
          </w:tcPr>
          <w:p w:rsidR="00595880">
            <w:pPr>
              <w:jc w:val="center"/>
            </w:pPr>
            <w:r>
              <w:t>-0.02%</w:t>
            </w:r>
          </w:p>
        </w:tc>
      </w:tr>
    </w:tbl>
    <w:p w:rsidR="008529BB" w:rsidRPr="00621B7F" w:rsidP="008529BB">
      <w:pPr>
        <w:autoSpaceDE w:val="0"/>
        <w:autoSpaceDN w:val="0"/>
        <w:adjustRightInd w:val="0"/>
        <w:snapToGrid w:val="0"/>
        <w:spacing w:line="360" w:lineRule="auto"/>
        <w:ind w:firstLine="420"/>
        <w:rPr>
          <w:rFonts w:asciiTheme="minorEastAsia" w:eastAsiaTheme="minorEastAsia" w:hAnsiTheme="minorEastAsia"/>
          <w:color w:val="000000" w:themeColor="text1"/>
          <w:kern w:val="0"/>
          <w:szCs w:val="21"/>
        </w:rPr>
      </w:pPr>
      <w:r w:rsidRPr="00621B7F">
        <w:rPr>
          <w:rFonts w:asciiTheme="minorEastAsia" w:eastAsiaTheme="minorEastAsia" w:hAnsiTheme="minorEastAsia" w:hint="eastAsia"/>
          <w:color w:val="000000" w:themeColor="text1"/>
          <w:kern w:val="0"/>
          <w:szCs w:val="21"/>
        </w:rPr>
        <w:t>2、易方达上证中盘E</w:t>
      </w:r>
      <w:r w:rsidRPr="00621B7F">
        <w:rPr>
          <w:rFonts w:asciiTheme="minorEastAsia" w:eastAsiaTheme="minorEastAsia" w:hAnsiTheme="minorEastAsia"/>
          <w:color w:val="000000" w:themeColor="text1"/>
          <w:kern w:val="0"/>
          <w:szCs w:val="21"/>
        </w:rPr>
        <w:t>TF</w:t>
      </w:r>
      <w:r w:rsidRPr="00621B7F">
        <w:rPr>
          <w:rFonts w:asciiTheme="minorEastAsia" w:eastAsiaTheme="minorEastAsia" w:hAnsiTheme="minorEastAsia" w:hint="eastAsia"/>
          <w:color w:val="000000" w:themeColor="text1"/>
          <w:kern w:val="0"/>
          <w:szCs w:val="21"/>
        </w:rPr>
        <w:t>联接</w:t>
      </w:r>
      <w:r w:rsidRPr="00621B7F">
        <w:rPr>
          <w:rFonts w:asciiTheme="minorEastAsia" w:eastAsiaTheme="minorEastAsia" w:hAnsiTheme="minorEastAsia"/>
          <w:color w:val="000000" w:themeColor="text1"/>
          <w:kern w:val="0"/>
          <w:szCs w:val="21"/>
        </w:rPr>
        <w:t>C</w:t>
      </w:r>
      <w:r w:rsidRPr="00621B7F">
        <w:rPr>
          <w:rFonts w:asciiTheme="minorEastAsia" w:eastAsiaTheme="minorEastAsia" w:hAnsiTheme="minorEastAsia" w:hint="eastAsia"/>
          <w:color w:val="000000" w:themeColor="text1"/>
        </w:rPr>
        <w:t>类基金份额</w:t>
      </w:r>
      <w:r w:rsidRPr="00621B7F" w:rsidR="00F3123F">
        <w:rPr>
          <w:rFonts w:asciiTheme="minorEastAsia" w:eastAsiaTheme="minorEastAsia" w:hAnsiTheme="minorEastAsia" w:hint="eastAsia"/>
          <w:color w:val="000000" w:themeColor="text1"/>
        </w:rPr>
        <w:t>截至</w:t>
      </w:r>
      <w:r w:rsidRPr="00621B7F" w:rsidR="00F3123F">
        <w:rPr>
          <w:rFonts w:asciiTheme="minorEastAsia" w:eastAsiaTheme="minorEastAsia" w:hAnsiTheme="minorEastAsia"/>
          <w:color w:val="000000" w:themeColor="text1"/>
        </w:rPr>
        <w:t>2020年12</w:t>
      </w:r>
      <w:r w:rsidRPr="00621B7F" w:rsidR="00F3123F">
        <w:rPr>
          <w:rFonts w:asciiTheme="minorEastAsia" w:eastAsiaTheme="minorEastAsia" w:hAnsiTheme="minorEastAsia" w:hint="eastAsia"/>
          <w:color w:val="000000" w:themeColor="text1"/>
        </w:rPr>
        <w:t>月3</w:t>
      </w:r>
      <w:r w:rsidRPr="00621B7F" w:rsidR="00F3123F">
        <w:rPr>
          <w:rFonts w:asciiTheme="minorEastAsia" w:eastAsiaTheme="minorEastAsia" w:hAnsiTheme="minorEastAsia"/>
          <w:color w:val="000000" w:themeColor="text1"/>
        </w:rPr>
        <w:t>1</w:t>
      </w:r>
      <w:r w:rsidRPr="00621B7F" w:rsidR="00F3123F">
        <w:rPr>
          <w:rFonts w:asciiTheme="minorEastAsia" w:eastAsiaTheme="minorEastAsia" w:hAnsiTheme="minorEastAsia" w:hint="eastAsia"/>
          <w:color w:val="000000" w:themeColor="text1"/>
        </w:rPr>
        <w:t>日的</w:t>
      </w:r>
      <w:r w:rsidRPr="00621B7F">
        <w:rPr>
          <w:rFonts w:asciiTheme="minorEastAsia" w:eastAsiaTheme="minorEastAsia" w:hAnsiTheme="minorEastAsia" w:hint="eastAsia"/>
          <w:color w:val="000000" w:themeColor="text1"/>
        </w:rPr>
        <w:t>净值增长率与同期业绩比较基准收益率比较</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080"/>
        <w:gridCol w:w="1080"/>
        <w:gridCol w:w="1440"/>
        <w:gridCol w:w="1440"/>
        <w:gridCol w:w="900"/>
        <w:gridCol w:w="900"/>
      </w:tblGrid>
      <w:tr w:rsidTr="008529BB">
        <w:tblPrEx>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8529BB" w:rsidRPr="00621B7F">
            <w:pPr>
              <w:snapToGrid w:val="0"/>
              <w:spacing w:line="360" w:lineRule="auto"/>
              <w:jc w:val="center"/>
              <w:rPr>
                <w:rFonts w:asciiTheme="minorEastAsia" w:eastAsiaTheme="minorEastAsia" w:hAnsiTheme="minorEastAsia" w:cs="Arial Unicode MS"/>
                <w:color w:val="000000" w:themeColor="text1"/>
                <w:szCs w:val="21"/>
              </w:rPr>
            </w:pPr>
            <w:r w:rsidRPr="00621B7F">
              <w:rPr>
                <w:rFonts w:asciiTheme="minorEastAsia" w:eastAsiaTheme="minorEastAsia" w:hAnsiTheme="minorEastAsia" w:hint="eastAsia"/>
                <w:color w:val="000000" w:themeColor="text1"/>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9BB" w:rsidRPr="00621B7F">
            <w:pPr>
              <w:snapToGrid w:val="0"/>
              <w:spacing w:line="360" w:lineRule="auto"/>
              <w:jc w:val="center"/>
              <w:rPr>
                <w:rFonts w:asciiTheme="minorEastAsia" w:eastAsiaTheme="minorEastAsia" w:hAnsiTheme="minorEastAsia" w:cs="Arial Unicode MS"/>
                <w:color w:val="000000" w:themeColor="text1"/>
                <w:szCs w:val="21"/>
              </w:rPr>
            </w:pPr>
            <w:r w:rsidRPr="00621B7F">
              <w:rPr>
                <w:rFonts w:asciiTheme="minorEastAsia" w:eastAsiaTheme="minorEastAsia" w:hAnsiTheme="minorEastAsia" w:hint="eastAsia"/>
                <w:color w:val="000000" w:themeColor="text1"/>
                <w:szCs w:val="21"/>
              </w:rPr>
              <w:t>净值增长率（1）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9BB" w:rsidRPr="00621B7F">
            <w:pPr>
              <w:snapToGrid w:val="0"/>
              <w:spacing w:line="360" w:lineRule="auto"/>
              <w:jc w:val="center"/>
              <w:rPr>
                <w:rFonts w:asciiTheme="minorEastAsia" w:eastAsiaTheme="minorEastAsia" w:hAnsiTheme="minorEastAsia" w:cs="Arial Unicode MS"/>
                <w:color w:val="000000" w:themeColor="text1"/>
                <w:szCs w:val="21"/>
              </w:rPr>
            </w:pPr>
            <w:r w:rsidRPr="00621B7F">
              <w:rPr>
                <w:rFonts w:asciiTheme="minorEastAsia" w:eastAsiaTheme="minorEastAsia" w:hAnsiTheme="minorEastAsia" w:hint="eastAsia"/>
                <w:color w:val="000000" w:themeColor="text1"/>
                <w:szCs w:val="21"/>
              </w:rPr>
              <w:t>净值增长率标准差（2）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529BB" w:rsidRPr="00621B7F">
            <w:pPr>
              <w:snapToGrid w:val="0"/>
              <w:spacing w:line="360" w:lineRule="auto"/>
              <w:jc w:val="center"/>
              <w:rPr>
                <w:rFonts w:asciiTheme="minorEastAsia" w:eastAsiaTheme="minorEastAsia" w:hAnsiTheme="minorEastAsia" w:cs="Arial Unicode MS"/>
                <w:color w:val="000000" w:themeColor="text1"/>
                <w:szCs w:val="21"/>
              </w:rPr>
            </w:pPr>
            <w:r w:rsidRPr="00621B7F">
              <w:rPr>
                <w:rFonts w:asciiTheme="minorEastAsia" w:eastAsiaTheme="minorEastAsia" w:hAnsiTheme="minorEastAsia" w:hint="eastAsia"/>
                <w:color w:val="000000" w:themeColor="text1"/>
                <w:szCs w:val="21"/>
              </w:rPr>
              <w:t>业绩比较基准收益率（3）</w:t>
            </w:r>
          </w:p>
        </w:tc>
        <w:tc>
          <w:tcPr>
            <w:tcW w:w="1440" w:type="dxa"/>
            <w:tcBorders>
              <w:top w:val="single" w:sz="4" w:space="0" w:color="auto"/>
              <w:left w:val="single" w:sz="4" w:space="0" w:color="auto"/>
              <w:bottom w:val="single" w:sz="4" w:space="0" w:color="auto"/>
              <w:right w:val="single" w:sz="4" w:space="0" w:color="auto"/>
            </w:tcBorders>
            <w:vAlign w:val="center"/>
            <w:hideMark/>
          </w:tcPr>
          <w:p w:rsidR="008529BB" w:rsidRPr="00621B7F">
            <w:pPr>
              <w:snapToGrid w:val="0"/>
              <w:spacing w:line="360" w:lineRule="auto"/>
              <w:jc w:val="center"/>
              <w:rPr>
                <w:rFonts w:asciiTheme="minorEastAsia" w:eastAsiaTheme="minorEastAsia" w:hAnsiTheme="minorEastAsia" w:cs="Arial Unicode MS"/>
                <w:color w:val="000000" w:themeColor="text1"/>
                <w:szCs w:val="21"/>
              </w:rPr>
            </w:pPr>
            <w:r w:rsidRPr="00621B7F">
              <w:rPr>
                <w:rFonts w:asciiTheme="minorEastAsia" w:eastAsiaTheme="minorEastAsia" w:hAnsiTheme="minorEastAsia" w:hint="eastAsia"/>
                <w:color w:val="000000" w:themeColor="text1"/>
                <w:szCs w:val="21"/>
              </w:rPr>
              <w:t>业绩比较基准收益率标准差（4）</w:t>
            </w:r>
          </w:p>
        </w:tc>
        <w:tc>
          <w:tcPr>
            <w:tcW w:w="900" w:type="dxa"/>
            <w:tcBorders>
              <w:top w:val="single" w:sz="4" w:space="0" w:color="auto"/>
              <w:left w:val="single" w:sz="4" w:space="0" w:color="auto"/>
              <w:bottom w:val="single" w:sz="4" w:space="0" w:color="auto"/>
              <w:right w:val="single" w:sz="4" w:space="0" w:color="auto"/>
            </w:tcBorders>
            <w:vAlign w:val="center"/>
            <w:hideMark/>
          </w:tcPr>
          <w:p w:rsidR="008529BB" w:rsidRPr="00621B7F">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8529BB" w:rsidRPr="00621B7F">
            <w:pPr>
              <w:snapToGrid w:val="0"/>
              <w:spacing w:line="360" w:lineRule="auto"/>
              <w:ind w:left="-107" w:leftChars="-51"/>
              <w:jc w:val="center"/>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(2)-(4)</w:t>
            </w:r>
          </w:p>
        </w:tc>
      </w:tr>
      <w:tr>
        <w:tblPrEx>
          <w:tblW w:w="8280" w:type="dxa"/>
          <w:tblInd w:w="108" w:type="dxa"/>
          <w:tblLayout w:type="fixed"/>
          <w:tblLook w:val="04A0"/>
        </w:tblPrEx>
        <w:tc>
          <w:tcPr>
            <w:tcW w:w="1440" w:type="dxa"/>
          </w:tcPr>
          <w:p w:rsidR="00595880">
            <w:pPr>
              <w:jc w:val="center"/>
            </w:pPr>
            <w:r>
              <w:t>2017</w:t>
            </w:r>
            <w:r>
              <w:t>年</w:t>
            </w:r>
            <w:r>
              <w:t>6</w:t>
            </w:r>
            <w:r>
              <w:t>月</w:t>
            </w:r>
            <w:r>
              <w:t>5</w:t>
            </w:r>
            <w:r>
              <w:t>日至</w:t>
            </w:r>
            <w:r>
              <w:t>2017</w:t>
            </w:r>
            <w:r>
              <w:t>年</w:t>
            </w:r>
            <w:r>
              <w:t>12</w:t>
            </w:r>
            <w:r>
              <w:t>月</w:t>
            </w:r>
            <w:r>
              <w:t>31</w:t>
            </w:r>
            <w:r>
              <w:t>日</w:t>
            </w:r>
          </w:p>
        </w:tc>
        <w:tc>
          <w:tcPr>
            <w:tcW w:w="1080" w:type="dxa"/>
          </w:tcPr>
          <w:p w:rsidR="00595880">
            <w:pPr>
              <w:jc w:val="center"/>
            </w:pPr>
            <w:r>
              <w:t>13.45%</w:t>
            </w:r>
          </w:p>
        </w:tc>
        <w:tc>
          <w:tcPr>
            <w:tcW w:w="1080" w:type="dxa"/>
          </w:tcPr>
          <w:p w:rsidR="00595880">
            <w:pPr>
              <w:jc w:val="center"/>
            </w:pPr>
            <w:r>
              <w:t>0.63%</w:t>
            </w:r>
          </w:p>
        </w:tc>
        <w:tc>
          <w:tcPr>
            <w:tcW w:w="1440" w:type="dxa"/>
          </w:tcPr>
          <w:p w:rsidR="00595880">
            <w:pPr>
              <w:jc w:val="center"/>
            </w:pPr>
            <w:r>
              <w:t>8.94%</w:t>
            </w:r>
          </w:p>
        </w:tc>
        <w:tc>
          <w:tcPr>
            <w:tcW w:w="1440" w:type="dxa"/>
          </w:tcPr>
          <w:p w:rsidR="00595880">
            <w:pPr>
              <w:jc w:val="center"/>
            </w:pPr>
            <w:r>
              <w:t>0.61%</w:t>
            </w:r>
          </w:p>
        </w:tc>
        <w:tc>
          <w:tcPr>
            <w:tcW w:w="900" w:type="dxa"/>
          </w:tcPr>
          <w:p w:rsidR="00595880">
            <w:pPr>
              <w:jc w:val="center"/>
            </w:pPr>
            <w:r>
              <w:t>4.51%</w:t>
            </w:r>
          </w:p>
        </w:tc>
        <w:tc>
          <w:tcPr>
            <w:tcW w:w="900" w:type="dxa"/>
          </w:tcPr>
          <w:p w:rsidR="00595880">
            <w:pPr>
              <w:jc w:val="center"/>
            </w:pPr>
            <w:r>
              <w:t>0.02%</w:t>
            </w:r>
          </w:p>
        </w:tc>
      </w:tr>
      <w:tr>
        <w:tblPrEx>
          <w:tblW w:w="8280" w:type="dxa"/>
          <w:tblInd w:w="108" w:type="dxa"/>
          <w:tblLayout w:type="fixed"/>
          <w:tblLook w:val="04A0"/>
        </w:tblPrEx>
        <w:tc>
          <w:tcPr>
            <w:tcW w:w="1440" w:type="dxa"/>
          </w:tcPr>
          <w:p w:rsidR="00595880">
            <w:pPr>
              <w:jc w:val="center"/>
            </w:pPr>
            <w:r>
              <w:t>2018</w:t>
            </w:r>
            <w:r>
              <w:t>年</w:t>
            </w:r>
            <w:r>
              <w:t>1</w:t>
            </w:r>
            <w:r>
              <w:t>月</w:t>
            </w:r>
            <w:r>
              <w:t>1</w:t>
            </w:r>
            <w:r>
              <w:t>日至</w:t>
            </w:r>
            <w:r>
              <w:t>2018</w:t>
            </w:r>
            <w:r>
              <w:t>年</w:t>
            </w:r>
            <w:r>
              <w:t>12</w:t>
            </w:r>
            <w:r>
              <w:t>月</w:t>
            </w:r>
            <w:r>
              <w:t>31</w:t>
            </w:r>
            <w:r>
              <w:t>日</w:t>
            </w:r>
          </w:p>
        </w:tc>
        <w:tc>
          <w:tcPr>
            <w:tcW w:w="1080" w:type="dxa"/>
          </w:tcPr>
          <w:p w:rsidR="00595880">
            <w:pPr>
              <w:jc w:val="center"/>
            </w:pPr>
            <w:r>
              <w:t>-20.25%</w:t>
            </w:r>
          </w:p>
        </w:tc>
        <w:tc>
          <w:tcPr>
            <w:tcW w:w="1080" w:type="dxa"/>
          </w:tcPr>
          <w:p w:rsidR="00595880">
            <w:pPr>
              <w:jc w:val="center"/>
            </w:pPr>
            <w:r>
              <w:t>1.14%</w:t>
            </w:r>
          </w:p>
        </w:tc>
        <w:tc>
          <w:tcPr>
            <w:tcW w:w="1440" w:type="dxa"/>
          </w:tcPr>
          <w:p w:rsidR="00595880">
            <w:pPr>
              <w:jc w:val="center"/>
            </w:pPr>
            <w:r>
              <w:t>-22.76%</w:t>
            </w:r>
          </w:p>
        </w:tc>
        <w:tc>
          <w:tcPr>
            <w:tcW w:w="1440" w:type="dxa"/>
          </w:tcPr>
          <w:p w:rsidR="00595880">
            <w:pPr>
              <w:jc w:val="center"/>
            </w:pPr>
            <w:r>
              <w:t>1.20%</w:t>
            </w:r>
          </w:p>
        </w:tc>
        <w:tc>
          <w:tcPr>
            <w:tcW w:w="900" w:type="dxa"/>
          </w:tcPr>
          <w:p w:rsidR="00595880">
            <w:pPr>
              <w:jc w:val="center"/>
            </w:pPr>
            <w:r>
              <w:t>2.51%</w:t>
            </w:r>
          </w:p>
        </w:tc>
        <w:tc>
          <w:tcPr>
            <w:tcW w:w="900" w:type="dxa"/>
          </w:tcPr>
          <w:p w:rsidR="00595880">
            <w:pPr>
              <w:jc w:val="center"/>
            </w:pPr>
            <w:r>
              <w:t>-0.06%</w:t>
            </w:r>
          </w:p>
        </w:tc>
      </w:tr>
      <w:tr>
        <w:tblPrEx>
          <w:tblW w:w="8280" w:type="dxa"/>
          <w:tblInd w:w="108" w:type="dxa"/>
          <w:tblLayout w:type="fixed"/>
          <w:tblLook w:val="04A0"/>
        </w:tblPrEx>
        <w:tc>
          <w:tcPr>
            <w:tcW w:w="1440" w:type="dxa"/>
          </w:tcPr>
          <w:p w:rsidR="00595880">
            <w:pPr>
              <w:jc w:val="center"/>
            </w:pPr>
            <w:r>
              <w:t>2019</w:t>
            </w:r>
            <w:r>
              <w:t>年</w:t>
            </w:r>
            <w:r>
              <w:t>1</w:t>
            </w:r>
            <w:r>
              <w:t>月</w:t>
            </w:r>
            <w:r>
              <w:t>1</w:t>
            </w:r>
            <w:r>
              <w:t>日至</w:t>
            </w:r>
            <w:r>
              <w:t>2019</w:t>
            </w:r>
            <w:r>
              <w:t>年</w:t>
            </w:r>
            <w:r>
              <w:t>12</w:t>
            </w:r>
            <w:r>
              <w:t>月</w:t>
            </w:r>
            <w:r>
              <w:t>31</w:t>
            </w:r>
            <w:r>
              <w:t>日</w:t>
            </w:r>
          </w:p>
        </w:tc>
        <w:tc>
          <w:tcPr>
            <w:tcW w:w="1080" w:type="dxa"/>
          </w:tcPr>
          <w:p w:rsidR="00595880">
            <w:pPr>
              <w:jc w:val="center"/>
            </w:pPr>
            <w:r>
              <w:t>27.31%</w:t>
            </w:r>
          </w:p>
        </w:tc>
        <w:tc>
          <w:tcPr>
            <w:tcW w:w="1080" w:type="dxa"/>
          </w:tcPr>
          <w:p w:rsidR="00595880">
            <w:pPr>
              <w:jc w:val="center"/>
            </w:pPr>
            <w:r>
              <w:t>1.21%</w:t>
            </w:r>
          </w:p>
        </w:tc>
        <w:tc>
          <w:tcPr>
            <w:tcW w:w="1440" w:type="dxa"/>
          </w:tcPr>
          <w:p w:rsidR="00595880">
            <w:pPr>
              <w:jc w:val="center"/>
            </w:pPr>
            <w:r>
              <w:t>23.16%</w:t>
            </w:r>
          </w:p>
        </w:tc>
        <w:tc>
          <w:tcPr>
            <w:tcW w:w="1440" w:type="dxa"/>
          </w:tcPr>
          <w:p w:rsidR="00595880">
            <w:pPr>
              <w:jc w:val="center"/>
            </w:pPr>
            <w:r>
              <w:t>1.23%</w:t>
            </w:r>
          </w:p>
        </w:tc>
        <w:tc>
          <w:tcPr>
            <w:tcW w:w="900" w:type="dxa"/>
          </w:tcPr>
          <w:p w:rsidR="00595880">
            <w:pPr>
              <w:jc w:val="center"/>
            </w:pPr>
            <w:r>
              <w:t>4.15%</w:t>
            </w:r>
          </w:p>
        </w:tc>
        <w:tc>
          <w:tcPr>
            <w:tcW w:w="900" w:type="dxa"/>
          </w:tcPr>
          <w:p w:rsidR="00595880">
            <w:pPr>
              <w:jc w:val="center"/>
            </w:pPr>
            <w:r>
              <w:t>-0.02%</w:t>
            </w:r>
          </w:p>
        </w:tc>
      </w:tr>
      <w:tr>
        <w:tblPrEx>
          <w:tblW w:w="8280" w:type="dxa"/>
          <w:tblInd w:w="108" w:type="dxa"/>
          <w:tblLayout w:type="fixed"/>
          <w:tblLook w:val="04A0"/>
        </w:tblPrEx>
        <w:tc>
          <w:tcPr>
            <w:tcW w:w="1440" w:type="dxa"/>
          </w:tcPr>
          <w:p w:rsidR="00595880">
            <w:pPr>
              <w:jc w:val="center"/>
            </w:pPr>
            <w:r>
              <w:t>2020</w:t>
            </w:r>
            <w:r>
              <w:t>年</w:t>
            </w:r>
            <w:r>
              <w:t>1</w:t>
            </w:r>
            <w:r>
              <w:t>月</w:t>
            </w:r>
            <w:r>
              <w:t>1</w:t>
            </w:r>
            <w:r>
              <w:t>日至</w:t>
            </w:r>
            <w:r>
              <w:t>2020</w:t>
            </w:r>
            <w:r>
              <w:t>年</w:t>
            </w:r>
            <w:r>
              <w:t>12</w:t>
            </w:r>
            <w:r>
              <w:t>月</w:t>
            </w:r>
            <w:r>
              <w:t>31</w:t>
            </w:r>
            <w:r>
              <w:t>日</w:t>
            </w:r>
          </w:p>
        </w:tc>
        <w:tc>
          <w:tcPr>
            <w:tcW w:w="1080" w:type="dxa"/>
          </w:tcPr>
          <w:p w:rsidR="00595880">
            <w:pPr>
              <w:jc w:val="center"/>
            </w:pPr>
            <w:r>
              <w:t>33.53%</w:t>
            </w:r>
          </w:p>
        </w:tc>
        <w:tc>
          <w:tcPr>
            <w:tcW w:w="1080" w:type="dxa"/>
          </w:tcPr>
          <w:p w:rsidR="00595880">
            <w:pPr>
              <w:jc w:val="center"/>
            </w:pPr>
            <w:r>
              <w:t>1.33%</w:t>
            </w:r>
          </w:p>
        </w:tc>
        <w:tc>
          <w:tcPr>
            <w:tcW w:w="1440" w:type="dxa"/>
          </w:tcPr>
          <w:p w:rsidR="00595880">
            <w:pPr>
              <w:jc w:val="center"/>
            </w:pPr>
            <w:r>
              <w:t>22.01%</w:t>
            </w:r>
          </w:p>
        </w:tc>
        <w:tc>
          <w:tcPr>
            <w:tcW w:w="1440" w:type="dxa"/>
          </w:tcPr>
          <w:p w:rsidR="00595880">
            <w:pPr>
              <w:jc w:val="center"/>
            </w:pPr>
            <w:r>
              <w:t>1.35%</w:t>
            </w:r>
          </w:p>
        </w:tc>
        <w:tc>
          <w:tcPr>
            <w:tcW w:w="900" w:type="dxa"/>
          </w:tcPr>
          <w:p w:rsidR="00595880">
            <w:pPr>
              <w:jc w:val="center"/>
            </w:pPr>
            <w:r>
              <w:t>11.52%</w:t>
            </w:r>
          </w:p>
        </w:tc>
        <w:tc>
          <w:tcPr>
            <w:tcW w:w="900" w:type="dxa"/>
          </w:tcPr>
          <w:p w:rsidR="00595880">
            <w:pPr>
              <w:jc w:val="center"/>
            </w:pPr>
            <w:r>
              <w:t>-0.02%</w:t>
            </w:r>
          </w:p>
        </w:tc>
      </w:tr>
      <w:tr>
        <w:tblPrEx>
          <w:tblW w:w="8280" w:type="dxa"/>
          <w:tblInd w:w="108" w:type="dxa"/>
          <w:tblLayout w:type="fixed"/>
          <w:tblLook w:val="04A0"/>
        </w:tblPrEx>
        <w:tc>
          <w:tcPr>
            <w:tcW w:w="1440" w:type="dxa"/>
          </w:tcPr>
          <w:p w:rsidR="00595880">
            <w:pPr>
              <w:jc w:val="center"/>
            </w:pPr>
            <w:r>
              <w:t>2017</w:t>
            </w:r>
            <w:r>
              <w:t>年</w:t>
            </w:r>
            <w:r>
              <w:t>6</w:t>
            </w:r>
            <w:r>
              <w:t>月</w:t>
            </w:r>
            <w:r>
              <w:t>5</w:t>
            </w:r>
            <w:r>
              <w:t>日至</w:t>
            </w:r>
            <w:r>
              <w:t>2020</w:t>
            </w:r>
            <w:r>
              <w:t>年</w:t>
            </w:r>
            <w:r>
              <w:t>12</w:t>
            </w:r>
            <w:r>
              <w:t>月</w:t>
            </w:r>
            <w:r>
              <w:t>31</w:t>
            </w:r>
            <w:r>
              <w:t>日</w:t>
            </w:r>
          </w:p>
        </w:tc>
        <w:tc>
          <w:tcPr>
            <w:tcW w:w="1080" w:type="dxa"/>
          </w:tcPr>
          <w:p w:rsidR="00595880">
            <w:pPr>
              <w:jc w:val="center"/>
            </w:pPr>
            <w:r>
              <w:t>53.82%</w:t>
            </w:r>
          </w:p>
        </w:tc>
        <w:tc>
          <w:tcPr>
            <w:tcW w:w="1080" w:type="dxa"/>
          </w:tcPr>
          <w:p w:rsidR="00595880">
            <w:pPr>
              <w:jc w:val="center"/>
            </w:pPr>
            <w:r>
              <w:t>1.15%</w:t>
            </w:r>
          </w:p>
        </w:tc>
        <w:tc>
          <w:tcPr>
            <w:tcW w:w="1440" w:type="dxa"/>
          </w:tcPr>
          <w:p w:rsidR="00595880">
            <w:pPr>
              <w:jc w:val="center"/>
            </w:pPr>
            <w:r>
              <w:t>26.45%</w:t>
            </w:r>
          </w:p>
        </w:tc>
        <w:tc>
          <w:tcPr>
            <w:tcW w:w="1440" w:type="dxa"/>
          </w:tcPr>
          <w:p w:rsidR="00595880">
            <w:pPr>
              <w:jc w:val="center"/>
            </w:pPr>
            <w:r>
              <w:t>1.18%</w:t>
            </w:r>
          </w:p>
        </w:tc>
        <w:tc>
          <w:tcPr>
            <w:tcW w:w="900" w:type="dxa"/>
          </w:tcPr>
          <w:p w:rsidR="00595880">
            <w:pPr>
              <w:jc w:val="center"/>
            </w:pPr>
            <w:r>
              <w:t>27.37%</w:t>
            </w:r>
          </w:p>
        </w:tc>
        <w:tc>
          <w:tcPr>
            <w:tcW w:w="900" w:type="dxa"/>
          </w:tcPr>
          <w:p w:rsidR="00595880">
            <w:pPr>
              <w:jc w:val="center"/>
            </w:pPr>
            <w:r>
              <w:t>-0.03%</w:t>
            </w:r>
          </w:p>
        </w:tc>
      </w:tr>
    </w:tbl>
    <w:p w:rsidR="00390BA1" w:rsidRPr="00621B7F">
      <w:pPr>
        <w:spacing w:line="360" w:lineRule="auto"/>
        <w:ind w:firstLine="420"/>
        <w:rPr>
          <w:rFonts w:asciiTheme="minorEastAsia" w:eastAsiaTheme="minorEastAsia" w:hAnsiTheme="minorEastAsia"/>
          <w:color w:val="000000" w:themeColor="text1"/>
        </w:rPr>
      </w:pPr>
      <w:r>
        <w:t>本基金历任基金经理情况：张胜记，管理时间为</w:t>
      </w:r>
      <w:r>
        <w:t>2010</w:t>
      </w:r>
      <w:r>
        <w:t>年</w:t>
      </w:r>
      <w:r>
        <w:t>3</w:t>
      </w:r>
      <w:r>
        <w:t>月</w:t>
      </w:r>
      <w:r>
        <w:t>31</w:t>
      </w:r>
      <w:r>
        <w:t>日至</w:t>
      </w:r>
      <w:r>
        <w:t>2018</w:t>
      </w:r>
      <w:r>
        <w:t>年</w:t>
      </w:r>
      <w:r>
        <w:t>8</w:t>
      </w:r>
      <w:r>
        <w:t>月</w:t>
      </w:r>
      <w:r>
        <w:t>10</w:t>
      </w:r>
      <w:r>
        <w:t>日。</w:t>
      </w:r>
    </w:p>
    <w:p w:rsidR="008529BB" w:rsidRPr="00621B7F" w:rsidP="008529BB">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kern w:val="0"/>
          <w:szCs w:val="21"/>
        </w:rPr>
        <w:t>注：</w:t>
      </w:r>
      <w:r w:rsidRPr="00621B7F" w:rsidR="00EA6BCB">
        <w:rPr>
          <w:rFonts w:asciiTheme="minorEastAsia" w:eastAsiaTheme="minorEastAsia" w:hAnsiTheme="minorEastAsia" w:hint="eastAsia"/>
          <w:color w:val="000000" w:themeColor="text1"/>
          <w:kern w:val="0"/>
          <w:szCs w:val="21"/>
        </w:rPr>
        <w:t>自</w:t>
      </w:r>
      <w:r w:rsidRPr="00621B7F" w:rsidR="00EA6BCB">
        <w:rPr>
          <w:rFonts w:asciiTheme="minorEastAsia" w:eastAsiaTheme="minorEastAsia" w:hAnsiTheme="minorEastAsia"/>
          <w:color w:val="000000" w:themeColor="text1"/>
          <w:kern w:val="0"/>
          <w:szCs w:val="21"/>
        </w:rPr>
        <w:t>2017</w:t>
      </w:r>
      <w:r w:rsidRPr="00621B7F" w:rsidR="00EA6BCB">
        <w:rPr>
          <w:rFonts w:asciiTheme="minorEastAsia" w:eastAsiaTheme="minorEastAsia" w:hAnsiTheme="minorEastAsia" w:hint="eastAsia"/>
          <w:color w:val="000000" w:themeColor="text1"/>
          <w:kern w:val="0"/>
          <w:szCs w:val="21"/>
        </w:rPr>
        <w:t>年</w:t>
      </w:r>
      <w:r w:rsidRPr="00621B7F" w:rsidR="00EA6BCB">
        <w:rPr>
          <w:rFonts w:asciiTheme="minorEastAsia" w:eastAsiaTheme="minorEastAsia" w:hAnsiTheme="minorEastAsia"/>
          <w:color w:val="000000" w:themeColor="text1"/>
          <w:kern w:val="0"/>
          <w:szCs w:val="21"/>
        </w:rPr>
        <w:t>6</w:t>
      </w:r>
      <w:r w:rsidRPr="00621B7F" w:rsidR="00EA6BCB">
        <w:rPr>
          <w:rFonts w:asciiTheme="minorEastAsia" w:eastAsiaTheme="minorEastAsia" w:hAnsiTheme="minorEastAsia" w:hint="eastAsia"/>
          <w:color w:val="000000" w:themeColor="text1"/>
          <w:kern w:val="0"/>
          <w:szCs w:val="21"/>
        </w:rPr>
        <w:t>月</w:t>
      </w:r>
      <w:r w:rsidRPr="00621B7F" w:rsidR="00EA6BCB">
        <w:rPr>
          <w:rFonts w:asciiTheme="minorEastAsia" w:eastAsiaTheme="minorEastAsia" w:hAnsiTheme="minorEastAsia"/>
          <w:color w:val="000000" w:themeColor="text1"/>
          <w:kern w:val="0"/>
          <w:szCs w:val="21"/>
        </w:rPr>
        <w:t>2</w:t>
      </w:r>
      <w:r w:rsidRPr="00621B7F" w:rsidR="00EA6BCB">
        <w:rPr>
          <w:rFonts w:asciiTheme="minorEastAsia" w:eastAsiaTheme="minorEastAsia" w:hAnsiTheme="minorEastAsia" w:hint="eastAsia"/>
          <w:color w:val="000000" w:themeColor="text1"/>
          <w:kern w:val="0"/>
          <w:szCs w:val="21"/>
        </w:rPr>
        <w:t>日起，本基金增设</w:t>
      </w:r>
      <w:r w:rsidRPr="00621B7F" w:rsidR="00EA6BCB">
        <w:rPr>
          <w:rFonts w:asciiTheme="minorEastAsia" w:eastAsiaTheme="minorEastAsia" w:hAnsiTheme="minorEastAsia"/>
          <w:color w:val="000000" w:themeColor="text1"/>
          <w:kern w:val="0"/>
          <w:szCs w:val="21"/>
        </w:rPr>
        <w:t>C</w:t>
      </w:r>
      <w:r w:rsidRPr="00621B7F" w:rsidR="00EA6BCB">
        <w:rPr>
          <w:rFonts w:asciiTheme="minorEastAsia" w:eastAsiaTheme="minorEastAsia" w:hAnsiTheme="minorEastAsia" w:hint="eastAsia"/>
          <w:color w:val="000000" w:themeColor="text1"/>
          <w:kern w:val="0"/>
          <w:szCs w:val="21"/>
        </w:rPr>
        <w:t>类份额类别，份额首次确认日为</w:t>
      </w:r>
      <w:r w:rsidRPr="00621B7F" w:rsidR="00EA6BCB">
        <w:rPr>
          <w:rFonts w:asciiTheme="minorEastAsia" w:eastAsiaTheme="minorEastAsia" w:hAnsiTheme="minorEastAsia"/>
          <w:color w:val="000000" w:themeColor="text1"/>
          <w:kern w:val="0"/>
          <w:szCs w:val="21"/>
        </w:rPr>
        <w:t>2017</w:t>
      </w:r>
      <w:r w:rsidRPr="00621B7F" w:rsidR="00EA6BCB">
        <w:rPr>
          <w:rFonts w:asciiTheme="minorEastAsia" w:eastAsiaTheme="minorEastAsia" w:hAnsiTheme="minorEastAsia" w:hint="eastAsia"/>
          <w:color w:val="000000" w:themeColor="text1"/>
          <w:kern w:val="0"/>
          <w:szCs w:val="21"/>
        </w:rPr>
        <w:t>年</w:t>
      </w:r>
      <w:r w:rsidRPr="00621B7F" w:rsidR="00EA6BCB">
        <w:rPr>
          <w:rFonts w:asciiTheme="minorEastAsia" w:eastAsiaTheme="minorEastAsia" w:hAnsiTheme="minorEastAsia"/>
          <w:color w:val="000000" w:themeColor="text1"/>
          <w:kern w:val="0"/>
          <w:szCs w:val="21"/>
        </w:rPr>
        <w:t>6</w:t>
      </w:r>
      <w:r w:rsidRPr="00621B7F" w:rsidR="00EA6BCB">
        <w:rPr>
          <w:rFonts w:asciiTheme="minorEastAsia" w:eastAsiaTheme="minorEastAsia" w:hAnsiTheme="minorEastAsia" w:hint="eastAsia"/>
          <w:color w:val="000000" w:themeColor="text1"/>
          <w:kern w:val="0"/>
          <w:szCs w:val="21"/>
        </w:rPr>
        <w:t>月</w:t>
      </w:r>
      <w:r w:rsidRPr="00621B7F" w:rsidR="00EA6BCB">
        <w:rPr>
          <w:rFonts w:asciiTheme="minorEastAsia" w:eastAsiaTheme="minorEastAsia" w:hAnsiTheme="minorEastAsia"/>
          <w:color w:val="000000" w:themeColor="text1"/>
          <w:kern w:val="0"/>
          <w:szCs w:val="21"/>
        </w:rPr>
        <w:t>5</w:t>
      </w:r>
      <w:r w:rsidRPr="00621B7F" w:rsidR="00EA6BCB">
        <w:rPr>
          <w:rFonts w:asciiTheme="minorEastAsia" w:eastAsiaTheme="minorEastAsia" w:hAnsiTheme="minorEastAsia" w:hint="eastAsia"/>
          <w:color w:val="000000" w:themeColor="text1"/>
          <w:kern w:val="0"/>
          <w:szCs w:val="21"/>
        </w:rPr>
        <w:t>日。</w:t>
      </w: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621B7F">
        <w:rPr>
          <w:rFonts w:asciiTheme="minorEastAsia" w:eastAsiaTheme="minorEastAsia" w:hAnsiTheme="minorEastAsia"/>
          <w:color w:val="000000" w:themeColor="text1"/>
        </w:rPr>
        <w:br w:type="page"/>
      </w:r>
      <w:bookmarkStart w:id="806" w:name="_Toc91752070"/>
      <w:r w:rsidRPr="00621B7F">
        <w:rPr>
          <w:rFonts w:asciiTheme="minorEastAsia" w:eastAsiaTheme="minorEastAsia" w:hAnsiTheme="minorEastAsia" w:hint="eastAsia"/>
          <w:bCs/>
          <w:color w:val="000000" w:themeColor="text1"/>
        </w:rPr>
        <w:t>十</w:t>
      </w:r>
      <w:r w:rsidRPr="00621B7F" w:rsidR="00434851">
        <w:rPr>
          <w:rFonts w:asciiTheme="minorEastAsia" w:eastAsiaTheme="minorEastAsia" w:hAnsiTheme="minorEastAsia" w:hint="eastAsia"/>
          <w:bCs/>
          <w:color w:val="000000" w:themeColor="text1"/>
        </w:rPr>
        <w:t>三</w:t>
      </w:r>
      <w:r w:rsidRPr="00621B7F">
        <w:rPr>
          <w:rFonts w:asciiTheme="minorEastAsia" w:eastAsiaTheme="minorEastAsia" w:hAnsiTheme="minorEastAsia" w:hint="eastAsia"/>
          <w:bCs/>
          <w:color w:val="000000" w:themeColor="text1"/>
        </w:rPr>
        <w:t>、基金的财产</w:t>
      </w:r>
      <w:bookmarkEnd w:id="806"/>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07" w:name="_Toc91752071"/>
      <w:r w:rsidRPr="00621B7F">
        <w:rPr>
          <w:rFonts w:asciiTheme="minorEastAsia" w:eastAsiaTheme="minorEastAsia" w:hAnsiTheme="minorEastAsia" w:hint="eastAsia"/>
          <w:b w:val="0"/>
          <w:bCs/>
          <w:color w:val="000000" w:themeColor="text1"/>
        </w:rPr>
        <w:t>（一）基金资产总值</w:t>
      </w:r>
      <w:bookmarkEnd w:id="807"/>
    </w:p>
    <w:p w:rsidR="00473D5C"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808" w:name="_Toc79392635"/>
      <w:bookmarkStart w:id="809" w:name="_Toc79556449"/>
      <w:r w:rsidRPr="00621B7F">
        <w:rPr>
          <w:rFonts w:asciiTheme="minorEastAsia" w:eastAsiaTheme="minorEastAsia" w:hAnsiTheme="minorEastAsia" w:hint="eastAsia"/>
          <w:color w:val="000000" w:themeColor="text1"/>
          <w:szCs w:val="21"/>
        </w:rPr>
        <w:t>基金资产总值是指购买的各类证券及票据价值、银行存款本息和基金应收的申购基金款以及其他投资所形成的价值总和。</w:t>
      </w:r>
    </w:p>
    <w:bookmarkEnd w:id="808"/>
    <w:bookmarkEnd w:id="809"/>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其构成主要有：</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1、银行存款及其应计利息；</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w:t>
      </w:r>
      <w:r w:rsidRPr="00621B7F" w:rsidR="00F37BC2">
        <w:rPr>
          <w:rFonts w:asciiTheme="minorEastAsia" w:eastAsiaTheme="minorEastAsia" w:hAnsiTheme="minorEastAsia" w:hint="eastAsia"/>
          <w:color w:val="000000" w:themeColor="text1"/>
        </w:rPr>
        <w:t>结</w:t>
      </w:r>
      <w:r w:rsidRPr="00621B7F">
        <w:rPr>
          <w:rFonts w:asciiTheme="minorEastAsia" w:eastAsiaTheme="minorEastAsia" w:hAnsiTheme="minorEastAsia" w:hint="eastAsia"/>
          <w:color w:val="000000" w:themeColor="text1"/>
        </w:rPr>
        <w:t>算备付金及其应计利息；</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3、根据有关规定缴纳的保证金</w:t>
      </w:r>
      <w:r w:rsidRPr="00621B7F" w:rsidR="00473D5C">
        <w:rPr>
          <w:rFonts w:asciiTheme="minorEastAsia" w:eastAsiaTheme="minorEastAsia" w:hAnsiTheme="minorEastAsia" w:hint="eastAsia"/>
          <w:color w:val="000000" w:themeColor="text1"/>
          <w:szCs w:val="21"/>
        </w:rPr>
        <w:t>及其应收利息</w:t>
      </w:r>
      <w:r w:rsidRPr="00621B7F">
        <w:rPr>
          <w:rFonts w:asciiTheme="minorEastAsia" w:eastAsiaTheme="minorEastAsia" w:hAnsiTheme="minorEastAsia" w:hint="eastAsia"/>
          <w:color w:val="000000" w:themeColor="text1"/>
        </w:rPr>
        <w:t>；</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4、应收证券交易清算款；</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5、应收申购款；</w:t>
      </w:r>
      <w:bookmarkStart w:id="810" w:name="_GoBack"/>
      <w:bookmarkEnd w:id="810"/>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6、股票投资及其估值调整；</w:t>
      </w:r>
    </w:p>
    <w:p w:rsidR="004F41AA"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7、基金投资及其估值调整；</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8、债券投资及其估值调整和应计利息；</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9、权证投资及其估值调整；</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10、其他投资及其估值调整；</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w:t>
      </w:r>
      <w:r w:rsidRPr="00621B7F" w:rsidR="004F41AA">
        <w:rPr>
          <w:rFonts w:asciiTheme="minorEastAsia" w:eastAsiaTheme="minorEastAsia" w:hAnsiTheme="minorEastAsia" w:hint="eastAsia"/>
          <w:color w:val="000000" w:themeColor="text1"/>
        </w:rPr>
        <w:t>1</w:t>
      </w:r>
      <w:r w:rsidRPr="00621B7F">
        <w:rPr>
          <w:rFonts w:asciiTheme="minorEastAsia" w:eastAsiaTheme="minorEastAsia" w:hAnsiTheme="minorEastAsia" w:hint="eastAsia"/>
          <w:color w:val="000000" w:themeColor="text1"/>
        </w:rPr>
        <w:t>、其他资产等。</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11" w:name="_Toc91752072"/>
      <w:r w:rsidRPr="00621B7F">
        <w:rPr>
          <w:rFonts w:asciiTheme="minorEastAsia" w:eastAsiaTheme="minorEastAsia" w:hAnsiTheme="minorEastAsia" w:hint="eastAsia"/>
          <w:b w:val="0"/>
          <w:color w:val="000000" w:themeColor="text1"/>
        </w:rPr>
        <w:t>（二）基金资产净值</w:t>
      </w:r>
      <w:bookmarkEnd w:id="811"/>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基金资产净值是指基金资产总值减去基金负债后的价值。</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12" w:name="_Toc91752073"/>
      <w:r w:rsidRPr="00621B7F">
        <w:rPr>
          <w:rFonts w:asciiTheme="minorEastAsia" w:eastAsiaTheme="minorEastAsia" w:hAnsiTheme="minorEastAsia" w:hint="eastAsia"/>
          <w:b w:val="0"/>
          <w:color w:val="000000" w:themeColor="text1"/>
        </w:rPr>
        <w:t>（三）基金财产的账户</w:t>
      </w:r>
      <w:bookmarkEnd w:id="812"/>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w:t>
      </w:r>
      <w:r w:rsidRPr="00621B7F" w:rsidR="0078727C">
        <w:rPr>
          <w:rFonts w:asciiTheme="minorEastAsia" w:eastAsiaTheme="minorEastAsia" w:hAnsiTheme="minorEastAsia" w:hint="eastAsia"/>
          <w:color w:val="000000" w:themeColor="text1"/>
        </w:rPr>
        <w:t>销售</w:t>
      </w:r>
      <w:r w:rsidRPr="00621B7F">
        <w:rPr>
          <w:rFonts w:asciiTheme="minorEastAsia" w:eastAsiaTheme="minorEastAsia" w:hAnsiTheme="minorEastAsia" w:hint="eastAsia"/>
          <w:color w:val="000000" w:themeColor="text1"/>
        </w:rPr>
        <w:t>机构和基金注册登记人自有的财产账户以及其他基金财产账户相独立。</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13" w:name="_Toc91752074"/>
      <w:r w:rsidRPr="00621B7F">
        <w:rPr>
          <w:rFonts w:asciiTheme="minorEastAsia" w:eastAsiaTheme="minorEastAsia" w:hAnsiTheme="minorEastAsia" w:hint="eastAsia"/>
          <w:b w:val="0"/>
          <w:color w:val="000000" w:themeColor="text1"/>
        </w:rPr>
        <w:t>（四）基金财产的保管和处分</w:t>
      </w:r>
      <w:bookmarkEnd w:id="813"/>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本基金财产独立于基金管理人、基金托管人和基金</w:t>
      </w:r>
      <w:r w:rsidRPr="00621B7F" w:rsidR="0078727C">
        <w:rPr>
          <w:rFonts w:asciiTheme="minorEastAsia" w:eastAsiaTheme="minorEastAsia" w:hAnsiTheme="minorEastAsia" w:hint="eastAsia"/>
          <w:color w:val="000000" w:themeColor="text1"/>
        </w:rPr>
        <w:t>销售</w:t>
      </w:r>
      <w:r w:rsidRPr="00621B7F">
        <w:rPr>
          <w:rFonts w:asciiTheme="minorEastAsia" w:eastAsiaTheme="minorEastAsia" w:hAnsiTheme="minorEastAsia" w:hint="eastAsia"/>
          <w:color w:val="000000" w:themeColor="text1"/>
        </w:rPr>
        <w:t>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w:t>
      </w:r>
      <w:r w:rsidRPr="00621B7F" w:rsidR="00A669B0">
        <w:rPr>
          <w:rFonts w:asciiTheme="minorEastAsia" w:eastAsiaTheme="minorEastAsia" w:hAnsiTheme="minorEastAsia" w:hint="eastAsia"/>
          <w:color w:val="000000" w:themeColor="text1"/>
        </w:rPr>
        <w:t>机构</w:t>
      </w:r>
      <w:r w:rsidRPr="00621B7F">
        <w:rPr>
          <w:rFonts w:asciiTheme="minorEastAsia" w:eastAsiaTheme="minorEastAsia" w:hAnsiTheme="minorEastAsia" w:hint="eastAsia"/>
          <w:color w:val="000000" w:themeColor="text1"/>
        </w:rPr>
        <w:t>和基金</w:t>
      </w:r>
      <w:r w:rsidRPr="00621B7F" w:rsidR="0078727C">
        <w:rPr>
          <w:rFonts w:asciiTheme="minorEastAsia" w:eastAsiaTheme="minorEastAsia" w:hAnsiTheme="minorEastAsia" w:hint="eastAsia"/>
          <w:color w:val="000000" w:themeColor="text1"/>
        </w:rPr>
        <w:t>销售</w:t>
      </w:r>
      <w:r w:rsidRPr="00621B7F">
        <w:rPr>
          <w:rFonts w:asciiTheme="minorEastAsia" w:eastAsiaTheme="minorEastAsia" w:hAnsiTheme="minorEastAsia" w:hint="eastAsia"/>
          <w:color w:val="000000" w:themeColor="text1"/>
        </w:rPr>
        <w:t>机构以其自有的财产承担其自身的法律责任，其债权人不得对本基金财产行使请求冻结、扣押或其他权利。除依法律法规和《基金合同》的规定处分外，基金财产不得被处分。</w:t>
      </w:r>
    </w:p>
    <w:p w:rsidR="00266A27" w:rsidRPr="00621B7F" w:rsidP="00241F10">
      <w:pPr>
        <w:snapToGrid w:val="0"/>
        <w:spacing w:line="360" w:lineRule="auto"/>
        <w:ind w:firstLine="480"/>
        <w:rPr>
          <w:rFonts w:asciiTheme="minorEastAsia" w:eastAsiaTheme="minorEastAsia" w:hAnsiTheme="minorEastAsia"/>
          <w:color w:val="000000" w:themeColor="text1"/>
          <w:kern w:val="0"/>
          <w:szCs w:val="21"/>
        </w:rPr>
      </w:pPr>
      <w:r w:rsidRPr="00621B7F">
        <w:rPr>
          <w:rFonts w:asciiTheme="minorEastAsia" w:eastAsiaTheme="minorEastAsia" w:hAnsiTheme="minorEastAsia" w:hint="eastAsia"/>
          <w:color w:val="000000" w:themeColor="text1"/>
        </w:rPr>
        <w:t>基金管理人管理运作基金财产所产生的债权，不得与其固有资产产生的债务相互抵</w:t>
      </w:r>
      <w:r w:rsidRPr="00621B7F" w:rsidR="00333A4B">
        <w:rPr>
          <w:rFonts w:asciiTheme="minorEastAsia" w:eastAsiaTheme="minorEastAsia" w:hAnsiTheme="minorEastAsia" w:hint="eastAsia"/>
          <w:color w:val="000000" w:themeColor="text1"/>
        </w:rPr>
        <w:t>销</w:t>
      </w:r>
      <w:r w:rsidRPr="00621B7F">
        <w:rPr>
          <w:rFonts w:asciiTheme="minorEastAsia" w:eastAsiaTheme="minorEastAsia" w:hAnsiTheme="minorEastAsia" w:hint="eastAsia"/>
          <w:color w:val="000000" w:themeColor="text1"/>
        </w:rPr>
        <w:t>；基金管理人管理运作不同基金的基金财产所产生的债权债务不得相互抵</w:t>
      </w:r>
      <w:r w:rsidRPr="00621B7F" w:rsidR="00333A4B">
        <w:rPr>
          <w:rFonts w:asciiTheme="minorEastAsia" w:eastAsiaTheme="minorEastAsia" w:hAnsiTheme="minorEastAsia" w:hint="eastAsia"/>
          <w:color w:val="000000" w:themeColor="text1"/>
        </w:rPr>
        <w:t>销</w:t>
      </w:r>
      <w:r w:rsidRPr="00621B7F">
        <w:rPr>
          <w:rFonts w:asciiTheme="minorEastAsia" w:eastAsiaTheme="minorEastAsia" w:hAnsiTheme="minorEastAsia" w:hint="eastAsia"/>
          <w:color w:val="000000" w:themeColor="text1"/>
        </w:rPr>
        <w:t>。</w:t>
      </w:r>
    </w:p>
    <w:p w:rsidR="00266A27" w:rsidRPr="00621B7F" w:rsidP="00241F10">
      <w:pPr>
        <w:snapToGrid w:val="0"/>
        <w:spacing w:line="360" w:lineRule="auto"/>
        <w:rPr>
          <w:rFonts w:asciiTheme="minorEastAsia" w:eastAsiaTheme="minorEastAsia" w:hAnsiTheme="minorEastAsia"/>
          <w:color w:val="000000" w:themeColor="text1"/>
        </w:rPr>
      </w:pP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814" w:name="_Toc91752075"/>
      <w:r w:rsidRPr="00621B7F">
        <w:rPr>
          <w:rFonts w:asciiTheme="minorEastAsia" w:eastAsiaTheme="minorEastAsia" w:hAnsiTheme="minorEastAsia" w:hint="eastAsia"/>
          <w:bCs/>
          <w:color w:val="000000" w:themeColor="text1"/>
        </w:rPr>
        <w:t>十</w:t>
      </w:r>
      <w:r w:rsidRPr="00621B7F" w:rsidR="00154249">
        <w:rPr>
          <w:rFonts w:asciiTheme="minorEastAsia" w:eastAsiaTheme="minorEastAsia" w:hAnsiTheme="minorEastAsia" w:hint="eastAsia"/>
          <w:bCs/>
          <w:color w:val="000000" w:themeColor="text1"/>
        </w:rPr>
        <w:t>四</w:t>
      </w:r>
      <w:r w:rsidRPr="00621B7F">
        <w:rPr>
          <w:rFonts w:asciiTheme="minorEastAsia" w:eastAsiaTheme="minorEastAsia" w:hAnsiTheme="minorEastAsia" w:hint="eastAsia"/>
          <w:bCs/>
          <w:color w:val="000000" w:themeColor="text1"/>
        </w:rPr>
        <w:t>、基金资产估值</w:t>
      </w:r>
      <w:bookmarkEnd w:id="814"/>
    </w:p>
    <w:p w:rsidR="00ED20BB"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15" w:name="_Toc44229106"/>
      <w:bookmarkStart w:id="816" w:name="_Toc44229201"/>
      <w:bookmarkStart w:id="817" w:name="_Toc44229107"/>
      <w:bookmarkStart w:id="818" w:name="_Toc44229202"/>
      <w:bookmarkStart w:id="819" w:name="_Toc44229108"/>
      <w:bookmarkStart w:id="820" w:name="_Toc44229203"/>
      <w:bookmarkStart w:id="821" w:name="_Toc44229109"/>
      <w:bookmarkStart w:id="822" w:name="_Toc44229204"/>
      <w:bookmarkStart w:id="823" w:name="_Toc44229110"/>
      <w:bookmarkStart w:id="824" w:name="_Toc44229205"/>
      <w:bookmarkStart w:id="825" w:name="_Toc44229111"/>
      <w:bookmarkStart w:id="826" w:name="_Toc44229206"/>
      <w:bookmarkStart w:id="827" w:name="_Toc44229112"/>
      <w:bookmarkStart w:id="828" w:name="_Toc44229207"/>
      <w:bookmarkStart w:id="829" w:name="_Toc44229113"/>
      <w:bookmarkStart w:id="830" w:name="_Toc44229208"/>
      <w:bookmarkStart w:id="831" w:name="_Toc97031289"/>
      <w:bookmarkStart w:id="832" w:name="_Toc97107249"/>
      <w:bookmarkStart w:id="833" w:name="_Toc91752076"/>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621B7F">
        <w:rPr>
          <w:rFonts w:asciiTheme="minorEastAsia" w:eastAsiaTheme="minorEastAsia" w:hAnsiTheme="minorEastAsia" w:hint="eastAsia"/>
          <w:b w:val="0"/>
          <w:color w:val="000000" w:themeColor="text1"/>
        </w:rPr>
        <w:t>（一）估值目的</w:t>
      </w:r>
      <w:bookmarkEnd w:id="833"/>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基金资产估值的目的是客观、准确地反映基金资产是否保值、增值，依据经基金资产估值后确定的基金资产净值而计算出的基金份额净值，是计算基金申购与赎回价格的基础。</w:t>
      </w:r>
    </w:p>
    <w:p w:rsidR="00ED20BB"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34" w:name="_Toc91752077"/>
      <w:r w:rsidRPr="00621B7F">
        <w:rPr>
          <w:rFonts w:asciiTheme="minorEastAsia" w:eastAsiaTheme="minorEastAsia" w:hAnsiTheme="minorEastAsia" w:hint="eastAsia"/>
          <w:b w:val="0"/>
          <w:color w:val="000000" w:themeColor="text1"/>
        </w:rPr>
        <w:t>（二）估值日</w:t>
      </w:r>
      <w:bookmarkEnd w:id="834"/>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本基金的估值日为相关的证券交易场所的正常营业日以及国家法律法规规定需要对外披露基金净值的非营业日。</w:t>
      </w:r>
    </w:p>
    <w:p w:rsidR="00ED20BB"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35" w:name="_Toc91752078"/>
      <w:r w:rsidRPr="00621B7F">
        <w:rPr>
          <w:rFonts w:asciiTheme="minorEastAsia" w:eastAsiaTheme="minorEastAsia" w:hAnsiTheme="minorEastAsia" w:hint="eastAsia"/>
          <w:b w:val="0"/>
          <w:color w:val="000000" w:themeColor="text1"/>
        </w:rPr>
        <w:t>（</w:t>
      </w:r>
      <w:r w:rsidRPr="00621B7F" w:rsidR="008B30D6">
        <w:rPr>
          <w:rFonts w:asciiTheme="minorEastAsia" w:eastAsiaTheme="minorEastAsia" w:hAnsiTheme="minorEastAsia" w:hint="eastAsia"/>
          <w:b w:val="0"/>
          <w:color w:val="000000" w:themeColor="text1"/>
        </w:rPr>
        <w:t>三</w:t>
      </w:r>
      <w:r w:rsidRPr="00621B7F">
        <w:rPr>
          <w:rFonts w:asciiTheme="minorEastAsia" w:eastAsiaTheme="minorEastAsia" w:hAnsiTheme="minorEastAsia" w:hint="eastAsia"/>
          <w:b w:val="0"/>
          <w:color w:val="000000" w:themeColor="text1"/>
        </w:rPr>
        <w:t>）估值对象</w:t>
      </w:r>
      <w:bookmarkEnd w:id="835"/>
    </w:p>
    <w:p w:rsidR="00ED20BB" w:rsidRPr="00621B7F" w:rsidP="00241F10">
      <w:pPr>
        <w:snapToGrid w:val="0"/>
        <w:spacing w:line="360" w:lineRule="auto"/>
        <w:ind w:firstLine="420" w:firstLineChars="200"/>
        <w:rPr>
          <w:rFonts w:asciiTheme="minorEastAsia" w:eastAsiaTheme="minorEastAsia" w:hAnsiTheme="minorEastAsia"/>
          <w:b/>
          <w:bCs/>
          <w:color w:val="000000" w:themeColor="text1"/>
          <w:szCs w:val="21"/>
        </w:rPr>
      </w:pPr>
      <w:r w:rsidRPr="00621B7F">
        <w:rPr>
          <w:rFonts w:asciiTheme="minorEastAsia" w:eastAsiaTheme="minorEastAsia" w:hAnsiTheme="minorEastAsia" w:hint="eastAsia"/>
          <w:color w:val="000000" w:themeColor="text1"/>
          <w:szCs w:val="21"/>
        </w:rPr>
        <w:t>基金所拥有的股票、</w:t>
      </w:r>
      <w:r w:rsidRPr="00621B7F" w:rsidR="004F41AA">
        <w:rPr>
          <w:rFonts w:asciiTheme="minorEastAsia" w:eastAsiaTheme="minorEastAsia" w:hAnsiTheme="minorEastAsia" w:hint="eastAsia"/>
          <w:color w:val="000000" w:themeColor="text1"/>
          <w:szCs w:val="21"/>
        </w:rPr>
        <w:t>基金、</w:t>
      </w:r>
      <w:r w:rsidRPr="00621B7F">
        <w:rPr>
          <w:rFonts w:asciiTheme="minorEastAsia" w:eastAsiaTheme="minorEastAsia" w:hAnsiTheme="minorEastAsia" w:hint="eastAsia"/>
          <w:color w:val="000000" w:themeColor="text1"/>
          <w:szCs w:val="21"/>
        </w:rPr>
        <w:t>债券、权证和银行存款本息等资产和负债。</w:t>
      </w:r>
    </w:p>
    <w:p w:rsidR="00ED20BB"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36" w:name="_Toc91752079"/>
      <w:r w:rsidRPr="00621B7F">
        <w:rPr>
          <w:rFonts w:asciiTheme="minorEastAsia" w:eastAsiaTheme="minorEastAsia" w:hAnsiTheme="minorEastAsia" w:hint="eastAsia"/>
          <w:b w:val="0"/>
          <w:color w:val="000000" w:themeColor="text1"/>
        </w:rPr>
        <w:t>（四）估值程序</w:t>
      </w:r>
      <w:bookmarkEnd w:id="836"/>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日常估值由基金管理人进行。基金管理人完成估值后，将估值结果加盖业务公章以书面形式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CD2747" w:rsidRPr="00621B7F" w:rsidP="00241F10">
      <w:pPr>
        <w:snapToGrid w:val="0"/>
        <w:spacing w:line="360" w:lineRule="auto"/>
        <w:ind w:firstLine="420" w:firstLineChars="200"/>
        <w:rPr>
          <w:rFonts w:asciiTheme="minorEastAsia" w:eastAsiaTheme="minorEastAsia" w:hAnsiTheme="minorEastAsia"/>
          <w:b/>
          <w:bCs/>
          <w:color w:val="000000" w:themeColor="text1"/>
          <w:szCs w:val="21"/>
        </w:rPr>
      </w:pPr>
      <w:r w:rsidRPr="00621B7F">
        <w:rPr>
          <w:rFonts w:asciiTheme="minorEastAsia" w:eastAsiaTheme="minorEastAsia" w:hAnsiTheme="minorEastAsia" w:cs="宋体"/>
          <w:color w:val="000000" w:themeColor="text1"/>
          <w:kern w:val="0"/>
          <w:szCs w:val="21"/>
        </w:rPr>
        <w:t>本基金各类基金份额将分别计算基金份额净值。</w:t>
      </w:r>
    </w:p>
    <w:p w:rsidR="00ED20BB"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37" w:name="_Toc91752080"/>
      <w:r w:rsidRPr="00621B7F">
        <w:rPr>
          <w:rFonts w:asciiTheme="minorEastAsia" w:eastAsiaTheme="minorEastAsia" w:hAnsiTheme="minorEastAsia" w:hint="eastAsia"/>
          <w:b w:val="0"/>
          <w:color w:val="000000" w:themeColor="text1"/>
        </w:rPr>
        <w:t>（五）估值方法</w:t>
      </w:r>
      <w:bookmarkEnd w:id="837"/>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本基金按以下方式进行估值：</w:t>
      </w:r>
    </w:p>
    <w:p w:rsidR="00ED20BB"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1、证券交易所上市的有价证券的估值</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交易所上市的有价证券（包括股票、权证等），以其估值日在证券交易所挂牌的收盘价估值；估值日无交易的，且最近交易日后经济环境未发生重大变化，以最近交易日的收盘价估值；如最近交易日后经济环境发生了重大变化的，可参考类似投资品种的现行市价及重大变化因素，调整最近交易</w:t>
      </w:r>
      <w:r w:rsidRPr="00621B7F" w:rsidR="00A944D2">
        <w:rPr>
          <w:rFonts w:asciiTheme="minorEastAsia" w:eastAsiaTheme="minorEastAsia" w:hAnsiTheme="minorEastAsia" w:hint="eastAsia"/>
          <w:color w:val="000000" w:themeColor="text1"/>
          <w:szCs w:val="21"/>
        </w:rPr>
        <w:t>收盘价</w:t>
      </w:r>
      <w:r w:rsidRPr="00621B7F">
        <w:rPr>
          <w:rFonts w:asciiTheme="minorEastAsia" w:eastAsiaTheme="minorEastAsia" w:hAnsiTheme="minorEastAsia" w:hint="eastAsia"/>
          <w:color w:val="000000" w:themeColor="text1"/>
          <w:szCs w:val="21"/>
        </w:rPr>
        <w:t>，确定公允价格。</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w:t>
      </w:r>
      <w:r w:rsidRPr="00621B7F" w:rsidR="004D7B23">
        <w:rPr>
          <w:rFonts w:asciiTheme="minorEastAsia" w:eastAsiaTheme="minorEastAsia" w:hAnsiTheme="minorEastAsia" w:hint="eastAsia"/>
          <w:color w:val="000000" w:themeColor="text1"/>
          <w:szCs w:val="21"/>
        </w:rPr>
        <w:t>收盘价</w:t>
      </w:r>
      <w:r w:rsidRPr="00621B7F">
        <w:rPr>
          <w:rFonts w:asciiTheme="minorEastAsia" w:eastAsiaTheme="minorEastAsia" w:hAnsiTheme="minorEastAsia" w:hint="eastAsia"/>
          <w:color w:val="000000" w:themeColor="text1"/>
          <w:szCs w:val="21"/>
        </w:rPr>
        <w:t>，确定公允价格；</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（3）交易所上市未实行净价交易的债券按估值日收盘价减去债券收盘价中所含的债券应收利息得到的净价进行估值；估值日没有交易的，且最近交易日后经济环境未发生重大变化，按</w:t>
      </w:r>
      <w:r w:rsidRPr="00621B7F" w:rsidR="00870C1F">
        <w:rPr>
          <w:rFonts w:asciiTheme="minorEastAsia" w:eastAsiaTheme="minorEastAsia" w:hAnsiTheme="minorEastAsia" w:hint="eastAsia"/>
          <w:color w:val="000000" w:themeColor="text1"/>
          <w:szCs w:val="21"/>
        </w:rPr>
        <w:t>最近交易日所采用的净价</w:t>
      </w:r>
      <w:r w:rsidRPr="00621B7F" w:rsidR="00D12CF8">
        <w:rPr>
          <w:rFonts w:asciiTheme="minorEastAsia" w:eastAsiaTheme="minorEastAsia" w:hAnsiTheme="minorEastAsia" w:hint="eastAsia"/>
          <w:color w:val="000000" w:themeColor="text1"/>
          <w:szCs w:val="21"/>
        </w:rPr>
        <w:t>进行</w:t>
      </w:r>
      <w:r w:rsidRPr="00621B7F">
        <w:rPr>
          <w:rFonts w:asciiTheme="minorEastAsia" w:eastAsiaTheme="minorEastAsia" w:hAnsiTheme="minorEastAsia" w:hint="eastAsia"/>
          <w:color w:val="000000" w:themeColor="text1"/>
          <w:szCs w:val="21"/>
        </w:rPr>
        <w:t>估值。如最近交易日后经济环境发生了重大变化的，可参考类似投资品种的现行市价及重大变化因素，调整最近交易</w:t>
      </w:r>
      <w:r w:rsidRPr="00621B7F" w:rsidR="00197ACF">
        <w:rPr>
          <w:rFonts w:asciiTheme="minorEastAsia" w:eastAsiaTheme="minorEastAsia" w:hAnsiTheme="minorEastAsia" w:hint="eastAsia"/>
          <w:color w:val="000000" w:themeColor="text1"/>
          <w:szCs w:val="21"/>
        </w:rPr>
        <w:t>日所采用的净价</w:t>
      </w:r>
      <w:r w:rsidRPr="00621B7F">
        <w:rPr>
          <w:rFonts w:asciiTheme="minorEastAsia" w:eastAsiaTheme="minorEastAsia" w:hAnsiTheme="minorEastAsia" w:hint="eastAsia"/>
          <w:color w:val="000000" w:themeColor="text1"/>
          <w:szCs w:val="21"/>
        </w:rPr>
        <w:t>，确定公允价格；</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（4）交易所上市不存在活跃市场的有价证券，采用估值技术确定公允价值。交易所上市的资产支持证券，采用估值技术确定公允价值，在估值技术难以可靠计量公允价值的情况下，按成本估值。</w:t>
      </w:r>
    </w:p>
    <w:p w:rsidR="007A17B3" w:rsidRPr="00621B7F" w:rsidP="00241F10">
      <w:pPr>
        <w:snapToGrid w:val="0"/>
        <w:spacing w:line="360" w:lineRule="auto"/>
        <w:ind w:firstLine="420" w:firstLineChars="200"/>
        <w:rPr>
          <w:rFonts w:asciiTheme="minorEastAsia" w:eastAsiaTheme="minorEastAsia" w:hAnsiTheme="minorEastAsia"/>
          <w:color w:val="000000" w:themeColor="text1"/>
          <w:szCs w:val="21"/>
        </w:rPr>
      </w:pP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2、处于未上市期间的有价证券应区分如下情况处理：</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（1）送股、转增股、配股和公开增发的新股，按估值日在证券交易所挂牌的同一股票的</w:t>
      </w:r>
      <w:r w:rsidRPr="00621B7F" w:rsidR="004200F0">
        <w:rPr>
          <w:rFonts w:asciiTheme="minorEastAsia" w:eastAsiaTheme="minorEastAsia" w:hAnsiTheme="minorEastAsia" w:hint="eastAsia"/>
          <w:color w:val="000000" w:themeColor="text1"/>
          <w:szCs w:val="21"/>
        </w:rPr>
        <w:t>估值价格</w:t>
      </w:r>
      <w:r w:rsidRPr="00621B7F">
        <w:rPr>
          <w:rFonts w:asciiTheme="minorEastAsia" w:eastAsiaTheme="minorEastAsia" w:hAnsiTheme="minorEastAsia" w:hint="eastAsia"/>
          <w:color w:val="000000" w:themeColor="text1"/>
          <w:szCs w:val="21"/>
        </w:rPr>
        <w:t>估值；</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（2）首次公开发行未上市的股票、债券和权证，采用估值技术确定公允价值，在估值技术难以可靠计量公允价值的情况下，按成本估值。</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（3）首次公开发行有明确锁定期的股票，同一股票在交易所上市后，按交易所上市的同一股票的</w:t>
      </w:r>
      <w:r w:rsidRPr="00621B7F" w:rsidR="001A0493">
        <w:rPr>
          <w:rFonts w:asciiTheme="minorEastAsia" w:eastAsiaTheme="minorEastAsia" w:hAnsiTheme="minorEastAsia" w:hint="eastAsia"/>
          <w:color w:val="000000" w:themeColor="text1"/>
          <w:szCs w:val="21"/>
        </w:rPr>
        <w:t>估值价格</w:t>
      </w:r>
      <w:r w:rsidRPr="00621B7F">
        <w:rPr>
          <w:rFonts w:asciiTheme="minorEastAsia" w:eastAsiaTheme="minorEastAsia" w:hAnsiTheme="minorEastAsia" w:hint="eastAsia"/>
          <w:color w:val="000000" w:themeColor="text1"/>
          <w:szCs w:val="21"/>
        </w:rPr>
        <w:t>估值；非公开发行有明确锁定期的股票，按监管机构或行业协会有关规定确定公允价值。</w:t>
      </w:r>
    </w:p>
    <w:p w:rsidR="005D08B4"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3、上证中盘ETF按估值日该基金份额净值估值。</w:t>
      </w:r>
    </w:p>
    <w:p w:rsidR="00435603"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4、因持有股票而享有的配股权，以及停止交易、但未行权的权证，采用估值技术确定公允价值。</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5、全国银行间债券市场交易的债券、资产支持证券等固定收益品种，采用估值技术确定公允价值。</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6、同一债券同时在两个或两个以上市场交易的，按债券所处的市场分别估值。</w:t>
      </w:r>
    </w:p>
    <w:p w:rsidR="00DD01DC"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7、本基金投资存托凭证的估值核算，依照境内上市交易的股票执行。</w:t>
      </w:r>
    </w:p>
    <w:p w:rsidR="007F520A"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w:t>
      </w:r>
      <w:r w:rsidRPr="00621B7F" w:rsidR="00ED20BB">
        <w:rPr>
          <w:rFonts w:asciiTheme="minorEastAsia" w:eastAsiaTheme="minorEastAsia" w:hAnsiTheme="minorEastAsia" w:hint="eastAsia"/>
          <w:color w:val="000000" w:themeColor="text1"/>
          <w:szCs w:val="21"/>
        </w:rPr>
        <w:t>、如有确凿证据表明按上述方法进行估值不能客观反映其公允价值的，基金管理人可根据具体情况与基金托管人商定后，按最能反映公允价值的价格估值。</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9、相关法律法规以及监管部门有强制规定的，从其规定。如有新增事项，按国家最新规定估值。</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ED20BB"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38" w:name="_Toc91752081"/>
      <w:r w:rsidRPr="00621B7F">
        <w:rPr>
          <w:rFonts w:asciiTheme="minorEastAsia" w:eastAsiaTheme="minorEastAsia" w:hAnsiTheme="minorEastAsia" w:hint="eastAsia"/>
          <w:b w:val="0"/>
          <w:color w:val="000000" w:themeColor="text1"/>
        </w:rPr>
        <w:t>（六）基金份额净值的确认和估值错误的处理</w:t>
      </w:r>
      <w:bookmarkEnd w:id="838"/>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基金份额净值的计算保留到小数点后4位，小数点后第5位四舍五入</w:t>
      </w:r>
      <w:r w:rsidRPr="00621B7F" w:rsidR="00C03CB0">
        <w:rPr>
          <w:rFonts w:asciiTheme="minorEastAsia" w:eastAsiaTheme="minorEastAsia" w:hAnsiTheme="minorEastAsia" w:hint="eastAsia"/>
          <w:color w:val="000000" w:themeColor="text1"/>
          <w:szCs w:val="21"/>
        </w:rPr>
        <w:t>。</w:t>
      </w:r>
      <w:r w:rsidRPr="00621B7F" w:rsidR="00E96524">
        <w:rPr>
          <w:rFonts w:asciiTheme="minorEastAsia" w:eastAsiaTheme="minorEastAsia" w:hAnsiTheme="minorEastAsia" w:hint="eastAsia"/>
          <w:color w:val="000000" w:themeColor="text1"/>
          <w:szCs w:val="21"/>
        </w:rPr>
        <w:t>当基金估值出现影响基金份额净值的错误时</w:t>
      </w:r>
      <w:r w:rsidRPr="00621B7F">
        <w:rPr>
          <w:rFonts w:asciiTheme="minorEastAsia" w:eastAsiaTheme="minorEastAsia" w:hAnsiTheme="minorEastAsia" w:hint="eastAsia"/>
          <w:color w:val="000000" w:themeColor="text1"/>
          <w:szCs w:val="21"/>
        </w:rPr>
        <w:t>，基金管理人应当立即纠正，并采取合理的措施防止损失进一步扩大。当错误达到或超过基金资产净值的0.25%时，基金管理人应</w:t>
      </w:r>
      <w:r w:rsidRPr="00621B7F">
        <w:rPr>
          <w:rFonts w:asciiTheme="minorEastAsia" w:eastAsiaTheme="minorEastAsia" w:hAnsiTheme="minorEastAsia"/>
          <w:color w:val="000000" w:themeColor="text1"/>
          <w:szCs w:val="21"/>
        </w:rPr>
        <w:t>报</w:t>
      </w:r>
      <w:r w:rsidRPr="00621B7F">
        <w:rPr>
          <w:rFonts w:asciiTheme="minorEastAsia" w:eastAsiaTheme="minorEastAsia" w:hAnsiTheme="minorEastAsia" w:hint="eastAsia"/>
          <w:color w:val="000000" w:themeColor="text1"/>
          <w:szCs w:val="21"/>
        </w:rPr>
        <w:t>中国证监会</w:t>
      </w:r>
      <w:r w:rsidRPr="00621B7F">
        <w:rPr>
          <w:rFonts w:asciiTheme="minorEastAsia" w:eastAsiaTheme="minorEastAsia" w:hAnsiTheme="minorEastAsia"/>
          <w:color w:val="000000" w:themeColor="text1"/>
          <w:szCs w:val="21"/>
        </w:rPr>
        <w:t>备案</w:t>
      </w:r>
      <w:r w:rsidRPr="00621B7F" w:rsidR="00C03CB0">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估值错误偏差达到</w:t>
      </w:r>
      <w:r w:rsidRPr="00621B7F">
        <w:rPr>
          <w:rFonts w:asciiTheme="minorEastAsia" w:eastAsiaTheme="minorEastAsia" w:hAnsiTheme="minorEastAsia"/>
          <w:color w:val="000000" w:themeColor="text1"/>
          <w:szCs w:val="21"/>
        </w:rPr>
        <w:t>基金份额净值</w:t>
      </w:r>
      <w:r w:rsidRPr="00621B7F">
        <w:rPr>
          <w:rFonts w:asciiTheme="minorEastAsia" w:eastAsiaTheme="minorEastAsia" w:hAnsiTheme="minorEastAsia" w:hint="eastAsia"/>
          <w:color w:val="000000" w:themeColor="text1"/>
          <w:szCs w:val="21"/>
        </w:rPr>
        <w:t>的</w:t>
      </w:r>
      <w:r w:rsidRPr="00621B7F">
        <w:rPr>
          <w:rFonts w:asciiTheme="minorEastAsia" w:eastAsiaTheme="minorEastAsia" w:hAnsiTheme="minorEastAsia"/>
          <w:color w:val="000000" w:themeColor="text1"/>
          <w:szCs w:val="21"/>
        </w:rPr>
        <w:t>0.5%</w:t>
      </w:r>
      <w:r w:rsidRPr="00621B7F">
        <w:rPr>
          <w:rFonts w:asciiTheme="minorEastAsia" w:eastAsiaTheme="minorEastAsia" w:hAnsiTheme="minorEastAsia" w:hint="eastAsia"/>
          <w:color w:val="000000" w:themeColor="text1"/>
          <w:szCs w:val="21"/>
        </w:rPr>
        <w:t>时，基金管理人</w:t>
      </w:r>
      <w:r w:rsidRPr="00621B7F">
        <w:rPr>
          <w:rFonts w:asciiTheme="minorEastAsia" w:eastAsiaTheme="minorEastAsia" w:hAnsiTheme="minorEastAsia"/>
          <w:color w:val="000000" w:themeColor="text1"/>
          <w:szCs w:val="21"/>
        </w:rPr>
        <w:t>应当公告，并报</w:t>
      </w:r>
      <w:r w:rsidRPr="00621B7F">
        <w:rPr>
          <w:rFonts w:asciiTheme="minorEastAsia" w:eastAsiaTheme="minorEastAsia" w:hAnsiTheme="minorEastAsia" w:hint="eastAsia"/>
          <w:color w:val="000000" w:themeColor="text1"/>
          <w:szCs w:val="21"/>
        </w:rPr>
        <w:t>中国证监会</w:t>
      </w:r>
      <w:r w:rsidRPr="00621B7F">
        <w:rPr>
          <w:rFonts w:asciiTheme="minorEastAsia" w:eastAsiaTheme="minorEastAsia" w:hAnsiTheme="minorEastAsia"/>
          <w:color w:val="000000" w:themeColor="text1"/>
          <w:szCs w:val="21"/>
        </w:rPr>
        <w:t>备案。</w:t>
      </w:r>
      <w:r w:rsidRPr="00621B7F">
        <w:rPr>
          <w:rFonts w:asciiTheme="minorEastAsia" w:eastAsiaTheme="minorEastAsia" w:hAnsiTheme="minorEastAsia" w:hint="eastAsia"/>
          <w:color w:val="000000" w:themeColor="text1"/>
          <w:szCs w:val="21"/>
        </w:rPr>
        <w:t>因基金估值错误给投资者造成损失的，应先由基金管理人承担，基金管理人对不应由其承担的责任，有权向责任方追偿。</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关于差错处理，</w:t>
      </w:r>
      <w:r w:rsidRPr="00621B7F" w:rsidR="00F51C42">
        <w:rPr>
          <w:rFonts w:asciiTheme="minorEastAsia" w:eastAsiaTheme="minorEastAsia" w:hAnsiTheme="minorEastAsia" w:hint="eastAsia"/>
          <w:color w:val="000000" w:themeColor="text1"/>
          <w:szCs w:val="21"/>
        </w:rPr>
        <w:t>基金合同</w:t>
      </w:r>
      <w:r w:rsidRPr="00621B7F">
        <w:rPr>
          <w:rFonts w:asciiTheme="minorEastAsia" w:eastAsiaTheme="minorEastAsia" w:hAnsiTheme="minorEastAsia" w:hint="eastAsia"/>
          <w:color w:val="000000" w:themeColor="text1"/>
          <w:szCs w:val="21"/>
        </w:rPr>
        <w:t>的当事人按照以下约定处理：</w:t>
      </w:r>
    </w:p>
    <w:p w:rsidR="00ED20BB"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w:t>
      </w:r>
      <w:r w:rsidRPr="00621B7F">
        <w:rPr>
          <w:rFonts w:asciiTheme="minorEastAsia" w:eastAsiaTheme="minorEastAsia" w:hAnsiTheme="minorEastAsia" w:hint="eastAsia"/>
          <w:color w:val="000000" w:themeColor="text1"/>
          <w:szCs w:val="21"/>
        </w:rPr>
        <w:t>、差错类型</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ED20BB"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2</w:t>
      </w:r>
      <w:r w:rsidRPr="00621B7F">
        <w:rPr>
          <w:rFonts w:asciiTheme="minorEastAsia" w:eastAsiaTheme="minorEastAsia" w:hAnsiTheme="minorEastAsia" w:hint="eastAsia"/>
          <w:color w:val="000000" w:themeColor="text1"/>
          <w:szCs w:val="21"/>
        </w:rPr>
        <w:t>、差错处理原则</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1</w:t>
      </w:r>
      <w:r w:rsidRPr="00621B7F">
        <w:rPr>
          <w:rFonts w:asciiTheme="minorEastAsia" w:eastAsiaTheme="minorEastAsia" w:hAnsiTheme="minorEastAsia" w:hint="eastAsia"/>
          <w:color w:val="000000" w:themeColor="text1"/>
          <w:szCs w:val="21"/>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2</w:t>
      </w:r>
      <w:r w:rsidRPr="00621B7F">
        <w:rPr>
          <w:rFonts w:asciiTheme="minorEastAsia" w:eastAsiaTheme="minorEastAsia" w:hAnsiTheme="minorEastAsia" w:hint="eastAsia"/>
          <w:color w:val="000000" w:themeColor="text1"/>
          <w:szCs w:val="21"/>
        </w:rPr>
        <w:t>）差错的责任方对可能导致有关当事人的直接损失负责，不对间接损失负责，并且仅对差错的有关直接当事人负责，不对第三方负责。</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3</w:t>
      </w:r>
      <w:r w:rsidRPr="00621B7F">
        <w:rPr>
          <w:rFonts w:asciiTheme="minorEastAsia" w:eastAsiaTheme="minorEastAsia" w:hAnsiTheme="minorEastAsia" w:hint="eastAsia"/>
          <w:color w:val="000000" w:themeColor="text1"/>
          <w:szCs w:val="21"/>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4</w:t>
      </w:r>
      <w:r w:rsidRPr="00621B7F">
        <w:rPr>
          <w:rFonts w:asciiTheme="minorEastAsia" w:eastAsiaTheme="minorEastAsia" w:hAnsiTheme="minorEastAsia" w:hint="eastAsia"/>
          <w:color w:val="000000" w:themeColor="text1"/>
          <w:szCs w:val="21"/>
        </w:rPr>
        <w:t>）差错调整采用尽量恢复至假设未发生差错的正确情形的方式。</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5</w:t>
      </w:r>
      <w:r w:rsidRPr="00621B7F">
        <w:rPr>
          <w:rFonts w:asciiTheme="minorEastAsia" w:eastAsiaTheme="minorEastAsia" w:hAnsiTheme="minorEastAsia" w:hint="eastAsia"/>
          <w:color w:val="000000" w:themeColor="text1"/>
          <w:szCs w:val="21"/>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6</w:t>
      </w:r>
      <w:r w:rsidRPr="00621B7F">
        <w:rPr>
          <w:rFonts w:asciiTheme="minorEastAsia" w:eastAsiaTheme="minorEastAsia" w:hAnsiTheme="minorEastAsia" w:hint="eastAsia"/>
          <w:color w:val="000000" w:themeColor="text1"/>
          <w:szCs w:val="21"/>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7</w:t>
      </w:r>
      <w:r w:rsidRPr="00621B7F">
        <w:rPr>
          <w:rFonts w:asciiTheme="minorEastAsia" w:eastAsiaTheme="minorEastAsia" w:hAnsiTheme="minorEastAsia" w:hint="eastAsia"/>
          <w:color w:val="000000" w:themeColor="text1"/>
          <w:szCs w:val="21"/>
        </w:rPr>
        <w:t>）按法律法规规定的其他原则处理差错。</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3</w:t>
      </w:r>
      <w:r w:rsidRPr="00621B7F">
        <w:rPr>
          <w:rFonts w:asciiTheme="minorEastAsia" w:eastAsiaTheme="minorEastAsia" w:hAnsiTheme="minorEastAsia" w:hint="eastAsia"/>
          <w:color w:val="000000" w:themeColor="text1"/>
          <w:szCs w:val="21"/>
        </w:rPr>
        <w:t>、差错处理程序</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差错被发现后，有关的当事人应当及时进行处理，处理的程序如下：</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1</w:t>
      </w:r>
      <w:r w:rsidRPr="00621B7F">
        <w:rPr>
          <w:rFonts w:asciiTheme="minorEastAsia" w:eastAsiaTheme="minorEastAsia" w:hAnsiTheme="minorEastAsia" w:hint="eastAsia"/>
          <w:color w:val="000000" w:themeColor="text1"/>
          <w:szCs w:val="21"/>
        </w:rPr>
        <w:t>）查明差错发生的原因，列明所有的当事人，并根据差错发生的原因确定差错的责任方；</w:t>
      </w:r>
    </w:p>
    <w:p w:rsidR="00ED20BB"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2</w:t>
      </w:r>
      <w:r w:rsidRPr="00621B7F">
        <w:rPr>
          <w:rFonts w:asciiTheme="minorEastAsia" w:eastAsiaTheme="minorEastAsia" w:hAnsiTheme="minorEastAsia" w:hint="eastAsia"/>
          <w:color w:val="000000" w:themeColor="text1"/>
          <w:szCs w:val="21"/>
        </w:rPr>
        <w:t>）根据差错处理原则或当事人协商的方法对因差错造成的损失进行评估；</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3</w:t>
      </w:r>
      <w:r w:rsidRPr="00621B7F">
        <w:rPr>
          <w:rFonts w:asciiTheme="minorEastAsia" w:eastAsiaTheme="minorEastAsia" w:hAnsiTheme="minorEastAsia" w:hint="eastAsia"/>
          <w:color w:val="000000" w:themeColor="text1"/>
          <w:szCs w:val="21"/>
        </w:rPr>
        <w:t>）根据差错处理原则或当事人协商的方法由差错的责任方进行更正和赔偿损失；</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4</w:t>
      </w:r>
      <w:r w:rsidRPr="00621B7F">
        <w:rPr>
          <w:rFonts w:asciiTheme="minorEastAsia" w:eastAsiaTheme="minorEastAsia" w:hAnsiTheme="minorEastAsia" w:hint="eastAsia"/>
          <w:color w:val="000000" w:themeColor="text1"/>
          <w:szCs w:val="21"/>
        </w:rPr>
        <w:t>）根据差错处理的方法，需要修改基金注册登记机构的交易数据的，由基金注册登记机构进行更正，并就差错的更正向有关当事人进行确认；</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5</w:t>
      </w:r>
      <w:r w:rsidRPr="00621B7F">
        <w:rPr>
          <w:rFonts w:asciiTheme="minorEastAsia" w:eastAsiaTheme="minorEastAsia" w:hAnsiTheme="minorEastAsia" w:hint="eastAsia"/>
          <w:color w:val="000000" w:themeColor="text1"/>
          <w:szCs w:val="21"/>
        </w:rPr>
        <w:t>）基金管理人及基金托管人基金份额净值计算错误偏差达到基金份额净值的</w:t>
      </w:r>
      <w:r w:rsidRPr="00621B7F">
        <w:rPr>
          <w:rFonts w:asciiTheme="minorEastAsia" w:eastAsiaTheme="minorEastAsia" w:hAnsiTheme="minorEastAsia"/>
          <w:color w:val="000000" w:themeColor="text1"/>
          <w:szCs w:val="21"/>
        </w:rPr>
        <w:t>0.</w:t>
      </w: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5%</w:t>
      </w:r>
      <w:r w:rsidRPr="00621B7F">
        <w:rPr>
          <w:rFonts w:asciiTheme="minorEastAsia" w:eastAsiaTheme="minorEastAsia" w:hAnsiTheme="minorEastAsia" w:hint="eastAsia"/>
          <w:color w:val="000000" w:themeColor="text1"/>
          <w:szCs w:val="21"/>
        </w:rPr>
        <w:t>时，基金管理人应当报告中国证监会；基金管理人及基金托管人基金份额净值计算错误偏差达到基金份额净值的</w:t>
      </w:r>
      <w:r w:rsidRPr="00621B7F">
        <w:rPr>
          <w:rFonts w:asciiTheme="minorEastAsia" w:eastAsiaTheme="minorEastAsia" w:hAnsiTheme="minorEastAsia"/>
          <w:color w:val="000000" w:themeColor="text1"/>
          <w:szCs w:val="21"/>
        </w:rPr>
        <w:t>0.5%</w:t>
      </w:r>
      <w:r w:rsidRPr="00621B7F">
        <w:rPr>
          <w:rFonts w:asciiTheme="minorEastAsia" w:eastAsiaTheme="minorEastAsia" w:hAnsiTheme="minorEastAsia" w:hint="eastAsia"/>
          <w:color w:val="000000" w:themeColor="text1"/>
          <w:szCs w:val="21"/>
        </w:rPr>
        <w:t>时，基金管理人应当公告并报中国证监会备案。</w:t>
      </w:r>
    </w:p>
    <w:p w:rsidR="00ED20BB"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39" w:name="_Toc91752082"/>
      <w:r w:rsidRPr="00621B7F">
        <w:rPr>
          <w:rFonts w:asciiTheme="minorEastAsia" w:eastAsiaTheme="minorEastAsia" w:hAnsiTheme="minorEastAsia" w:hint="eastAsia"/>
          <w:b w:val="0"/>
          <w:color w:val="000000" w:themeColor="text1"/>
        </w:rPr>
        <w:t>（七</w:t>
      </w:r>
      <w:r w:rsidRPr="00621B7F" w:rsidR="00DB6C46">
        <w:rPr>
          <w:rFonts w:asciiTheme="minorEastAsia" w:eastAsiaTheme="minorEastAsia" w:hAnsiTheme="minorEastAsia" w:hint="eastAsia"/>
          <w:b w:val="0"/>
          <w:color w:val="000000" w:themeColor="text1"/>
        </w:rPr>
        <w:t>）</w:t>
      </w:r>
      <w:r w:rsidRPr="00621B7F">
        <w:rPr>
          <w:rFonts w:asciiTheme="minorEastAsia" w:eastAsiaTheme="minorEastAsia" w:hAnsiTheme="minorEastAsia" w:hint="eastAsia"/>
          <w:b w:val="0"/>
          <w:color w:val="000000" w:themeColor="text1"/>
        </w:rPr>
        <w:t>暂停估值的情形</w:t>
      </w:r>
      <w:bookmarkEnd w:id="839"/>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1、与本基金投资有关的证券交易场所遇法定节假日或因其他原因暂停营业时；</w:t>
      </w:r>
    </w:p>
    <w:p w:rsidR="00ED20BB"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2、因不可抗力或其他情形致使基金管理人无法准确评估基金资产价值时；</w:t>
      </w:r>
    </w:p>
    <w:p w:rsidR="00E6265E"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3、本基金所投资的目标ETF发生暂停估值与暂停公告基金份额净值的情形；</w:t>
      </w:r>
    </w:p>
    <w:p w:rsidR="00E6265E"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4、占基金相当比例的投资品种的估值出现重大转变，而基金管理人为保障投资者的利益，已决定延迟估值；</w:t>
      </w:r>
    </w:p>
    <w:p w:rsidR="002B2F3A"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5、当前一估值日基金资产净值50%以上的资产出现无可参考的活跃市场价格且采用估值技术仍导致公允价值存在重大不确定性时，经与基金托管人协商一致的；</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6、中国证监会认定的其他情形。</w:t>
      </w:r>
    </w:p>
    <w:p w:rsidR="00ED20BB"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40" w:name="_Toc91752083"/>
      <w:r w:rsidRPr="00621B7F">
        <w:rPr>
          <w:rFonts w:asciiTheme="minorEastAsia" w:eastAsiaTheme="minorEastAsia" w:hAnsiTheme="minorEastAsia" w:hint="eastAsia"/>
          <w:b w:val="0"/>
          <w:color w:val="000000" w:themeColor="text1"/>
        </w:rPr>
        <w:t>（八）特殊情形的处理</w:t>
      </w:r>
      <w:bookmarkEnd w:id="840"/>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1、基金管理人按估值方法的第</w:t>
      </w:r>
      <w:r w:rsidRPr="00621B7F" w:rsidR="00DD01DC">
        <w:rPr>
          <w:rFonts w:asciiTheme="minorEastAsia" w:eastAsiaTheme="minorEastAsia" w:hAnsiTheme="minorEastAsia" w:hint="eastAsia"/>
          <w:color w:val="000000" w:themeColor="text1"/>
          <w:szCs w:val="21"/>
        </w:rPr>
        <w:t>8</w:t>
      </w:r>
      <w:r w:rsidRPr="00621B7F">
        <w:rPr>
          <w:rFonts w:asciiTheme="minorEastAsia" w:eastAsiaTheme="minorEastAsia" w:hAnsiTheme="minorEastAsia" w:hint="eastAsia"/>
          <w:color w:val="000000" w:themeColor="text1"/>
          <w:szCs w:val="21"/>
        </w:rPr>
        <w:t>项进行估值时，所造成的误差不作为基金资产估值错误处理；</w:t>
      </w:r>
    </w:p>
    <w:p w:rsidR="00ED20B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BF0D58" w:rsidRPr="00621B7F" w:rsidP="00A32B85">
      <w:pPr>
        <w:pStyle w:val="Heading1"/>
        <w:snapToGrid w:val="0"/>
        <w:spacing w:beforeLines="0" w:afterLines="0" w:line="360" w:lineRule="auto"/>
        <w:ind w:firstLine="0" w:firstLineChars="0"/>
        <w:rPr>
          <w:rFonts w:asciiTheme="minorEastAsia" w:eastAsiaTheme="minorEastAsia" w:hAnsiTheme="minorEastAsia"/>
          <w:b/>
          <w:bCs/>
          <w:color w:val="000000" w:themeColor="text1"/>
        </w:rPr>
        <w:sectPr w:rsidSect="006B7524">
          <w:pgSz w:w="11907" w:h="16840" w:code="9"/>
          <w:pgMar w:top="1440" w:right="1800" w:bottom="1440" w:left="1800" w:header="1134" w:footer="1247" w:gutter="0"/>
          <w:cols w:space="425"/>
          <w:docGrid w:type="lines" w:linePitch="312"/>
        </w:sectPr>
      </w:pP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841" w:name="_Toc91752084"/>
      <w:r w:rsidRPr="00621B7F">
        <w:rPr>
          <w:rFonts w:asciiTheme="minorEastAsia" w:eastAsiaTheme="minorEastAsia" w:hAnsiTheme="minorEastAsia" w:hint="eastAsia"/>
          <w:bCs/>
          <w:color w:val="000000" w:themeColor="text1"/>
        </w:rPr>
        <w:t>十</w:t>
      </w:r>
      <w:r w:rsidRPr="00621B7F" w:rsidR="00154249">
        <w:rPr>
          <w:rFonts w:asciiTheme="minorEastAsia" w:eastAsiaTheme="minorEastAsia" w:hAnsiTheme="minorEastAsia" w:hint="eastAsia"/>
          <w:bCs/>
          <w:color w:val="000000" w:themeColor="text1"/>
        </w:rPr>
        <w:t>五</w:t>
      </w:r>
      <w:r w:rsidRPr="00621B7F">
        <w:rPr>
          <w:rFonts w:asciiTheme="minorEastAsia" w:eastAsiaTheme="minorEastAsia" w:hAnsiTheme="minorEastAsia" w:hint="eastAsia"/>
          <w:bCs/>
          <w:color w:val="000000" w:themeColor="text1"/>
        </w:rPr>
        <w:t>、基金的收益与分配</w:t>
      </w:r>
      <w:bookmarkEnd w:id="841"/>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42" w:name="_Toc84149664"/>
      <w:bookmarkStart w:id="843" w:name="_Toc86584639"/>
      <w:bookmarkStart w:id="844" w:name="_Toc91752085"/>
      <w:r w:rsidRPr="00621B7F">
        <w:rPr>
          <w:rFonts w:asciiTheme="minorEastAsia" w:eastAsiaTheme="minorEastAsia" w:hAnsiTheme="minorEastAsia" w:hint="eastAsia"/>
          <w:b w:val="0"/>
          <w:color w:val="000000" w:themeColor="text1"/>
        </w:rPr>
        <w:t>（一）</w:t>
      </w:r>
      <w:r w:rsidRPr="00621B7F" w:rsidR="00311EA9">
        <w:rPr>
          <w:rFonts w:asciiTheme="minorEastAsia" w:eastAsiaTheme="minorEastAsia" w:hAnsiTheme="minorEastAsia" w:hint="eastAsia"/>
          <w:b w:val="0"/>
          <w:color w:val="000000" w:themeColor="text1"/>
        </w:rPr>
        <w:t>基金利润</w:t>
      </w:r>
      <w:r w:rsidRPr="00621B7F">
        <w:rPr>
          <w:rFonts w:asciiTheme="minorEastAsia" w:eastAsiaTheme="minorEastAsia" w:hAnsiTheme="minorEastAsia" w:hint="eastAsia"/>
          <w:b w:val="0"/>
          <w:color w:val="000000" w:themeColor="text1"/>
        </w:rPr>
        <w:t>的构成</w:t>
      </w:r>
      <w:bookmarkEnd w:id="842"/>
      <w:bookmarkEnd w:id="843"/>
      <w:bookmarkEnd w:id="844"/>
    </w:p>
    <w:p w:rsidR="00CE14FC"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CE14FC"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45" w:name="_Toc91752086"/>
      <w:r w:rsidRPr="00621B7F">
        <w:rPr>
          <w:rFonts w:asciiTheme="minorEastAsia" w:eastAsiaTheme="minorEastAsia" w:hAnsiTheme="minorEastAsia" w:hint="eastAsia"/>
          <w:b w:val="0"/>
          <w:color w:val="000000" w:themeColor="text1"/>
        </w:rPr>
        <w:t>（二）基金可供分配利润</w:t>
      </w:r>
      <w:bookmarkEnd w:id="845"/>
    </w:p>
    <w:p w:rsidR="00763965"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46" w:name="_Toc84149665"/>
      <w:bookmarkStart w:id="847" w:name="_Toc86584640"/>
      <w:bookmarkStart w:id="848" w:name="_Toc91752087"/>
      <w:r w:rsidRPr="00621B7F">
        <w:rPr>
          <w:rFonts w:asciiTheme="minorEastAsia" w:eastAsiaTheme="minorEastAsia" w:hAnsiTheme="minorEastAsia" w:hint="eastAsia"/>
          <w:b w:val="0"/>
          <w:color w:val="000000" w:themeColor="text1"/>
        </w:rPr>
        <w:t>（</w:t>
      </w:r>
      <w:r w:rsidRPr="00621B7F" w:rsidR="00763965">
        <w:rPr>
          <w:rFonts w:asciiTheme="minorEastAsia" w:eastAsiaTheme="minorEastAsia" w:hAnsiTheme="minorEastAsia" w:hint="eastAsia"/>
          <w:b w:val="0"/>
          <w:color w:val="000000" w:themeColor="text1"/>
        </w:rPr>
        <w:t>三</w:t>
      </w:r>
      <w:r w:rsidRPr="00621B7F">
        <w:rPr>
          <w:rFonts w:asciiTheme="minorEastAsia" w:eastAsiaTheme="minorEastAsia" w:hAnsiTheme="minorEastAsia" w:hint="eastAsia"/>
          <w:b w:val="0"/>
          <w:color w:val="000000" w:themeColor="text1"/>
        </w:rPr>
        <w:t>）收益分配原则</w:t>
      </w:r>
      <w:bookmarkEnd w:id="846"/>
      <w:bookmarkEnd w:id="847"/>
      <w:bookmarkEnd w:id="848"/>
    </w:p>
    <w:p w:rsidR="0076396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CD2747">
        <w:rPr>
          <w:rFonts w:asciiTheme="minorEastAsia" w:eastAsiaTheme="minorEastAsia" w:hAnsiTheme="minorEastAsia" w:hint="eastAsia"/>
          <w:color w:val="000000" w:themeColor="text1"/>
          <w:szCs w:val="21"/>
        </w:rPr>
        <w:t>本基金各基金份额类别在费用收取上不同，其对应的可分配收益可能有所不同。同一类别的</w:t>
      </w:r>
      <w:r w:rsidRPr="00621B7F">
        <w:rPr>
          <w:rFonts w:asciiTheme="minorEastAsia" w:eastAsiaTheme="minorEastAsia" w:hAnsiTheme="minorEastAsia" w:hint="eastAsia"/>
          <w:color w:val="000000" w:themeColor="text1"/>
          <w:szCs w:val="21"/>
        </w:rPr>
        <w:t>每一基金份额享有同等分配权；</w:t>
      </w:r>
    </w:p>
    <w:p w:rsidR="0076396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2、本基金收益分配方式分两种：现金分红与红利再投资，投资者可选择现金红利或将现金红利自动转为</w:t>
      </w:r>
      <w:r w:rsidRPr="00621B7F" w:rsidR="00CD2747">
        <w:rPr>
          <w:rFonts w:asciiTheme="minorEastAsia" w:eastAsiaTheme="minorEastAsia" w:hAnsiTheme="minorEastAsia" w:hint="eastAsia"/>
          <w:color w:val="000000" w:themeColor="text1"/>
          <w:szCs w:val="21"/>
        </w:rPr>
        <w:t>对应类别的</w:t>
      </w:r>
      <w:r w:rsidRPr="00621B7F">
        <w:rPr>
          <w:rFonts w:asciiTheme="minorEastAsia" w:eastAsiaTheme="minorEastAsia" w:hAnsiTheme="minorEastAsia" w:hint="eastAsia"/>
          <w:color w:val="000000" w:themeColor="text1"/>
          <w:szCs w:val="21"/>
        </w:rPr>
        <w:t>基金份额进行再投资；若投资者不选择，本基金默认的收益分配方式是现金分红；</w:t>
      </w:r>
    </w:p>
    <w:p w:rsidR="0076396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在符合有关基金分红条件的前提下，本基金每年收益分配次数最多为12次，每份基金份额每次分配比例不得低于收益分配基准日每份基金份额可供分配利润的10%；若基金合同生效不满3个月，可不进行收益分配；</w:t>
      </w:r>
    </w:p>
    <w:p w:rsidR="0076396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4、基金收益分配基准日的基金份额净值减去每单位基金份额收益分配金额后不能低于面值；</w:t>
      </w:r>
    </w:p>
    <w:p w:rsidR="0076396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5、法律法规或监管机关另有规定的，从其规定。</w:t>
      </w:r>
    </w:p>
    <w:p w:rsidR="00D844C5"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49" w:name="_Toc91752088"/>
      <w:r w:rsidRPr="00621B7F">
        <w:rPr>
          <w:rFonts w:asciiTheme="minorEastAsia" w:eastAsiaTheme="minorEastAsia" w:hAnsiTheme="minorEastAsia" w:hint="eastAsia"/>
          <w:b w:val="0"/>
          <w:color w:val="000000" w:themeColor="text1"/>
        </w:rPr>
        <w:t>（</w:t>
      </w:r>
      <w:r w:rsidRPr="00621B7F" w:rsidR="00763965">
        <w:rPr>
          <w:rFonts w:asciiTheme="minorEastAsia" w:eastAsiaTheme="minorEastAsia" w:hAnsiTheme="minorEastAsia" w:hint="eastAsia"/>
          <w:b w:val="0"/>
          <w:color w:val="000000" w:themeColor="text1"/>
        </w:rPr>
        <w:t>四</w:t>
      </w:r>
      <w:r w:rsidRPr="00621B7F">
        <w:rPr>
          <w:rFonts w:asciiTheme="minorEastAsia" w:eastAsiaTheme="minorEastAsia" w:hAnsiTheme="minorEastAsia" w:hint="eastAsia"/>
          <w:b w:val="0"/>
          <w:color w:val="000000" w:themeColor="text1"/>
        </w:rPr>
        <w:t>）收益分配方案</w:t>
      </w:r>
      <w:bookmarkEnd w:id="849"/>
    </w:p>
    <w:p w:rsidR="0076396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基金收益分配方案中应载明基金收益分配基准日可供分配利润、基金收益分配对象、分配时间、分配数额及比例、分配方式等内容。</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50" w:name="_Toc84149666"/>
      <w:bookmarkStart w:id="851" w:name="_Toc86584642"/>
      <w:bookmarkStart w:id="852" w:name="_Toc91752089"/>
      <w:r w:rsidRPr="00621B7F">
        <w:rPr>
          <w:rFonts w:asciiTheme="minorEastAsia" w:eastAsiaTheme="minorEastAsia" w:hAnsiTheme="minorEastAsia" w:hint="eastAsia"/>
          <w:b w:val="0"/>
          <w:color w:val="000000" w:themeColor="text1"/>
        </w:rPr>
        <w:t>（</w:t>
      </w:r>
      <w:r w:rsidRPr="00621B7F" w:rsidR="00EC4CBB">
        <w:rPr>
          <w:rFonts w:asciiTheme="minorEastAsia" w:eastAsiaTheme="minorEastAsia" w:hAnsiTheme="minorEastAsia" w:hint="eastAsia"/>
          <w:b w:val="0"/>
          <w:color w:val="000000" w:themeColor="text1"/>
        </w:rPr>
        <w:t>五</w:t>
      </w:r>
      <w:r w:rsidRPr="00621B7F">
        <w:rPr>
          <w:rFonts w:asciiTheme="minorEastAsia" w:eastAsiaTheme="minorEastAsia" w:hAnsiTheme="minorEastAsia" w:hint="eastAsia"/>
          <w:b w:val="0"/>
          <w:color w:val="000000" w:themeColor="text1"/>
        </w:rPr>
        <w:t>）</w:t>
      </w:r>
      <w:r w:rsidRPr="00621B7F" w:rsidR="00511769">
        <w:rPr>
          <w:rFonts w:asciiTheme="minorEastAsia" w:eastAsiaTheme="minorEastAsia" w:hAnsiTheme="minorEastAsia" w:hint="eastAsia"/>
          <w:b w:val="0"/>
          <w:color w:val="000000" w:themeColor="text1"/>
        </w:rPr>
        <w:t>收益分配方案的确定、公告与实施</w:t>
      </w:r>
      <w:bookmarkEnd w:id="850"/>
      <w:bookmarkEnd w:id="851"/>
      <w:bookmarkEnd w:id="852"/>
    </w:p>
    <w:p w:rsidR="00565703"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本基金收益分配方案由基金管理人拟定，并由基金托管人复核，在</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公告。</w:t>
      </w:r>
    </w:p>
    <w:p w:rsidR="00565703"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本基金收益分配的发放日距离收益分配基准日的时间不超过15个工作日。</w:t>
      </w:r>
    </w:p>
    <w:p w:rsidR="00565703"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法律法规或监管机关另有规定的，从其规定。</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53" w:name="_Toc84149667"/>
      <w:bookmarkStart w:id="854" w:name="_Toc86584643"/>
      <w:bookmarkStart w:id="855" w:name="_Toc91752090"/>
      <w:r w:rsidRPr="00621B7F">
        <w:rPr>
          <w:rFonts w:asciiTheme="minorEastAsia" w:eastAsiaTheme="minorEastAsia" w:hAnsiTheme="minorEastAsia" w:hint="eastAsia"/>
          <w:b w:val="0"/>
          <w:color w:val="000000" w:themeColor="text1"/>
        </w:rPr>
        <w:t>（</w:t>
      </w:r>
      <w:r w:rsidRPr="00621B7F" w:rsidR="00565703">
        <w:rPr>
          <w:rFonts w:asciiTheme="minorEastAsia" w:eastAsiaTheme="minorEastAsia" w:hAnsiTheme="minorEastAsia" w:hint="eastAsia"/>
          <w:b w:val="0"/>
          <w:color w:val="000000" w:themeColor="text1"/>
        </w:rPr>
        <w:t>六</w:t>
      </w:r>
      <w:r w:rsidRPr="00621B7F">
        <w:rPr>
          <w:rFonts w:asciiTheme="minorEastAsia" w:eastAsiaTheme="minorEastAsia" w:hAnsiTheme="minorEastAsia" w:hint="eastAsia"/>
          <w:b w:val="0"/>
          <w:color w:val="000000" w:themeColor="text1"/>
        </w:rPr>
        <w:t>）</w:t>
      </w:r>
      <w:r w:rsidRPr="00621B7F" w:rsidR="008F34BF">
        <w:rPr>
          <w:rFonts w:asciiTheme="minorEastAsia" w:eastAsiaTheme="minorEastAsia" w:hAnsiTheme="minorEastAsia" w:hint="eastAsia"/>
          <w:b w:val="0"/>
          <w:color w:val="000000" w:themeColor="text1"/>
        </w:rPr>
        <w:t>基金</w:t>
      </w:r>
      <w:r w:rsidRPr="00621B7F">
        <w:rPr>
          <w:rFonts w:asciiTheme="minorEastAsia" w:eastAsiaTheme="minorEastAsia" w:hAnsiTheme="minorEastAsia"/>
          <w:b w:val="0"/>
          <w:color w:val="000000" w:themeColor="text1"/>
        </w:rPr>
        <w:t>收益分配中发生的费用</w:t>
      </w:r>
      <w:bookmarkEnd w:id="853"/>
      <w:bookmarkEnd w:id="854"/>
      <w:bookmarkEnd w:id="855"/>
    </w:p>
    <w:p w:rsidR="00183BF9" w:rsidRPr="00621B7F" w:rsidP="00241F10">
      <w:pPr>
        <w:snapToGrid w:val="0"/>
        <w:spacing w:line="360" w:lineRule="auto"/>
        <w:ind w:firstLine="420" w:firstLineChars="200"/>
        <w:rPr>
          <w:rFonts w:asciiTheme="minorEastAsia" w:eastAsiaTheme="minorEastAsia" w:hAnsiTheme="minorEastAsia"/>
          <w:color w:val="000000" w:themeColor="text1"/>
          <w:szCs w:val="21"/>
        </w:rPr>
        <w:sectPr w:rsidSect="006B7524">
          <w:pgSz w:w="11907" w:h="16840" w:code="9"/>
          <w:pgMar w:top="1440" w:right="1800" w:bottom="1440" w:left="1800" w:header="1134" w:footer="1247" w:gutter="0"/>
          <w:cols w:space="425"/>
          <w:docGrid w:type="lines" w:linePitch="312"/>
        </w:sectPr>
      </w:pPr>
      <w:r w:rsidRPr="00621B7F">
        <w:rPr>
          <w:rFonts w:asciiTheme="minorEastAsia" w:eastAsiaTheme="minorEastAsia" w:hAnsiTheme="minorEastAsia" w:hint="eastAsia"/>
          <w:color w:val="000000" w:themeColor="text1"/>
          <w:szCs w:val="21"/>
        </w:rPr>
        <w:t>收益分配时所发生的银行转账或其他手续费用由投资者自行承担。当投资者的现金红利小于一定金额，不足于支付银行转账或其他手续费用时，基金注册登记机构可将基金份额持有人的现金红利自动转为</w:t>
      </w:r>
      <w:r w:rsidRPr="00621B7F" w:rsidR="00CD2747">
        <w:rPr>
          <w:rFonts w:asciiTheme="minorEastAsia" w:eastAsiaTheme="minorEastAsia" w:hAnsiTheme="minorEastAsia" w:hint="eastAsia"/>
          <w:color w:val="000000" w:themeColor="text1"/>
          <w:szCs w:val="21"/>
        </w:rPr>
        <w:t>对应类别的</w:t>
      </w:r>
      <w:r w:rsidRPr="00621B7F">
        <w:rPr>
          <w:rFonts w:asciiTheme="minorEastAsia" w:eastAsiaTheme="minorEastAsia" w:hAnsiTheme="minorEastAsia" w:hint="eastAsia"/>
          <w:color w:val="000000" w:themeColor="text1"/>
          <w:szCs w:val="21"/>
        </w:rPr>
        <w:t>基金份额。红利再投资的计算方法，依照《业务规则》执行。</w:t>
      </w: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856" w:name="_Toc91752091"/>
      <w:r w:rsidRPr="00621B7F">
        <w:rPr>
          <w:rFonts w:asciiTheme="minorEastAsia" w:eastAsiaTheme="minorEastAsia" w:hAnsiTheme="minorEastAsia" w:hint="eastAsia"/>
          <w:bCs/>
          <w:color w:val="000000" w:themeColor="text1"/>
        </w:rPr>
        <w:t>十</w:t>
      </w:r>
      <w:r w:rsidRPr="00621B7F" w:rsidR="00154249">
        <w:rPr>
          <w:rFonts w:asciiTheme="minorEastAsia" w:eastAsiaTheme="minorEastAsia" w:hAnsiTheme="minorEastAsia" w:hint="eastAsia"/>
          <w:bCs/>
          <w:color w:val="000000" w:themeColor="text1"/>
        </w:rPr>
        <w:t>六</w:t>
      </w:r>
      <w:r w:rsidRPr="00621B7F">
        <w:rPr>
          <w:rFonts w:asciiTheme="minorEastAsia" w:eastAsiaTheme="minorEastAsia" w:hAnsiTheme="minorEastAsia" w:hint="eastAsia"/>
          <w:bCs/>
          <w:color w:val="000000" w:themeColor="text1"/>
        </w:rPr>
        <w:t>、基金的费用与税收</w:t>
      </w:r>
      <w:bookmarkEnd w:id="856"/>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57" w:name="_Toc84149669"/>
      <w:bookmarkStart w:id="858" w:name="_Toc86584633"/>
      <w:bookmarkStart w:id="859" w:name="_Toc91752092"/>
      <w:r w:rsidRPr="00621B7F">
        <w:rPr>
          <w:rFonts w:asciiTheme="minorEastAsia" w:eastAsiaTheme="minorEastAsia" w:hAnsiTheme="minorEastAsia" w:hint="eastAsia"/>
          <w:b w:val="0"/>
          <w:color w:val="000000" w:themeColor="text1"/>
        </w:rPr>
        <w:t>（一）与基金运作相关的费用</w:t>
      </w:r>
      <w:bookmarkEnd w:id="857"/>
      <w:bookmarkEnd w:id="858"/>
      <w:bookmarkEnd w:id="859"/>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基金费用的种类</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（1）基金管理人的管理费；</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（2）基金托管人的托管费；</w:t>
      </w:r>
    </w:p>
    <w:p w:rsidR="00271B73"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（3）销售服务费；</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271B73">
        <w:rPr>
          <w:rFonts w:asciiTheme="minorEastAsia" w:eastAsiaTheme="minorEastAsia" w:hAnsiTheme="minorEastAsia" w:hint="eastAsia"/>
          <w:color w:val="000000" w:themeColor="text1"/>
          <w:szCs w:val="21"/>
        </w:rPr>
        <w:t>4</w:t>
      </w:r>
      <w:r w:rsidRPr="00621B7F">
        <w:rPr>
          <w:rFonts w:asciiTheme="minorEastAsia" w:eastAsiaTheme="minorEastAsia" w:hAnsiTheme="minorEastAsia" w:hint="eastAsia"/>
          <w:color w:val="000000" w:themeColor="text1"/>
          <w:szCs w:val="21"/>
        </w:rPr>
        <w:t>）</w:t>
      </w:r>
      <w:r w:rsidRPr="00621B7F" w:rsidR="00B77165">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B77165">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生效后</w:t>
      </w:r>
      <w:r w:rsidRPr="00621B7F" w:rsidR="00A41DA9">
        <w:rPr>
          <w:rFonts w:asciiTheme="minorEastAsia" w:eastAsiaTheme="minorEastAsia" w:hAnsiTheme="minorEastAsia" w:hint="eastAsia"/>
          <w:color w:val="000000" w:themeColor="text1"/>
          <w:szCs w:val="21"/>
        </w:rPr>
        <w:t>与基金相关的信息披露费用</w:t>
      </w:r>
      <w:r w:rsidRPr="00621B7F">
        <w:rPr>
          <w:rFonts w:asciiTheme="minorEastAsia" w:eastAsiaTheme="minorEastAsia" w:hAnsiTheme="minorEastAsia" w:hint="eastAsia"/>
          <w:color w:val="000000" w:themeColor="text1"/>
          <w:szCs w:val="21"/>
        </w:rPr>
        <w:t>；</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271B73">
        <w:rPr>
          <w:rFonts w:asciiTheme="minorEastAsia" w:eastAsiaTheme="minorEastAsia" w:hAnsiTheme="minorEastAsia" w:hint="eastAsia"/>
          <w:color w:val="000000" w:themeColor="text1"/>
          <w:szCs w:val="21"/>
        </w:rPr>
        <w:t>5</w:t>
      </w:r>
      <w:r w:rsidRPr="00621B7F">
        <w:rPr>
          <w:rFonts w:asciiTheme="minorEastAsia" w:eastAsiaTheme="minorEastAsia" w:hAnsiTheme="minorEastAsia" w:hint="eastAsia"/>
          <w:color w:val="000000" w:themeColor="text1"/>
          <w:szCs w:val="21"/>
        </w:rPr>
        <w:t>）</w:t>
      </w:r>
      <w:r w:rsidRPr="00621B7F" w:rsidR="00B77165">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B77165">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生效后与基金相关的会计师费和律师费；</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271B73">
        <w:rPr>
          <w:rFonts w:asciiTheme="minorEastAsia" w:eastAsiaTheme="minorEastAsia" w:hAnsiTheme="minorEastAsia" w:hint="eastAsia"/>
          <w:color w:val="000000" w:themeColor="text1"/>
          <w:szCs w:val="21"/>
        </w:rPr>
        <w:t>6</w:t>
      </w:r>
      <w:r w:rsidRPr="00621B7F">
        <w:rPr>
          <w:rFonts w:asciiTheme="minorEastAsia" w:eastAsiaTheme="minorEastAsia" w:hAnsiTheme="minorEastAsia" w:hint="eastAsia"/>
          <w:color w:val="000000" w:themeColor="text1"/>
          <w:szCs w:val="21"/>
        </w:rPr>
        <w:t>）基金份额持有人大会费用；</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271B73">
        <w:rPr>
          <w:rFonts w:asciiTheme="minorEastAsia" w:eastAsiaTheme="minorEastAsia" w:hAnsiTheme="minorEastAsia" w:hint="eastAsia"/>
          <w:color w:val="000000" w:themeColor="text1"/>
          <w:szCs w:val="21"/>
        </w:rPr>
        <w:t>7</w:t>
      </w:r>
      <w:r w:rsidRPr="00621B7F">
        <w:rPr>
          <w:rFonts w:asciiTheme="minorEastAsia" w:eastAsiaTheme="minorEastAsia" w:hAnsiTheme="minorEastAsia" w:hint="eastAsia"/>
          <w:color w:val="000000" w:themeColor="text1"/>
          <w:szCs w:val="21"/>
        </w:rPr>
        <w:t>）基金的证券交易费用；</w:t>
      </w:r>
    </w:p>
    <w:p w:rsidR="00655CBF"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271B73">
        <w:rPr>
          <w:rFonts w:asciiTheme="minorEastAsia" w:eastAsiaTheme="minorEastAsia" w:hAnsiTheme="minorEastAsia" w:hint="eastAsia"/>
          <w:color w:val="000000" w:themeColor="text1"/>
          <w:szCs w:val="21"/>
        </w:rPr>
        <w:t>8</w:t>
      </w:r>
      <w:r w:rsidRPr="00621B7F">
        <w:rPr>
          <w:rFonts w:asciiTheme="minorEastAsia" w:eastAsiaTheme="minorEastAsia" w:hAnsiTheme="minorEastAsia" w:hint="eastAsia"/>
          <w:color w:val="000000" w:themeColor="text1"/>
          <w:szCs w:val="21"/>
        </w:rPr>
        <w:t>）</w:t>
      </w:r>
      <w:r w:rsidRPr="00621B7F" w:rsidR="00091191">
        <w:rPr>
          <w:rFonts w:asciiTheme="minorEastAsia" w:eastAsiaTheme="minorEastAsia" w:hAnsiTheme="minorEastAsia" w:hint="eastAsia"/>
          <w:color w:val="000000" w:themeColor="text1"/>
          <w:szCs w:val="21"/>
        </w:rPr>
        <w:t>基金的银行汇划费用</w:t>
      </w:r>
      <w:r w:rsidRPr="00621B7F">
        <w:rPr>
          <w:rFonts w:asciiTheme="minorEastAsia" w:eastAsiaTheme="minorEastAsia" w:hAnsiTheme="minorEastAsia" w:hint="eastAsia"/>
          <w:color w:val="000000" w:themeColor="text1"/>
          <w:szCs w:val="21"/>
        </w:rPr>
        <w:t>；</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271B73">
        <w:rPr>
          <w:rFonts w:asciiTheme="minorEastAsia" w:eastAsiaTheme="minorEastAsia" w:hAnsiTheme="minorEastAsia" w:hint="eastAsia"/>
          <w:color w:val="000000" w:themeColor="text1"/>
          <w:szCs w:val="21"/>
        </w:rPr>
        <w:t>9</w:t>
      </w:r>
      <w:r w:rsidRPr="00621B7F">
        <w:rPr>
          <w:rFonts w:asciiTheme="minorEastAsia" w:eastAsiaTheme="minorEastAsia" w:hAnsiTheme="minorEastAsia" w:hint="eastAsia"/>
          <w:color w:val="000000" w:themeColor="text1"/>
          <w:szCs w:val="21"/>
        </w:rPr>
        <w:t>）按照国家有关规定和《基金合同》约定</w:t>
      </w:r>
      <w:r w:rsidRPr="00621B7F" w:rsidR="000B0995">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可以在基金财产中列支的其他费用。</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本基金终止清算时所发生费用，按实际支出额从基金财产总值中扣除。</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基金费用计提方法、计提标准和支付方式</w:t>
      </w:r>
    </w:p>
    <w:p w:rsidR="00AC0F85"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由于本基金管理人和托管人同时为上证中盘ETF的管理人与托管人，为避免重复收费，本基金管理人、托管人不对本基金财产中的ETF部分计提管理费、托管费。本基金制定了以下的收费标准。</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（1）基金管理人的管理费</w:t>
      </w:r>
    </w:p>
    <w:p w:rsidR="00AC0F85"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w:t>
      </w:r>
      <w:r w:rsidRPr="00621B7F">
        <w:rPr>
          <w:rFonts w:asciiTheme="minorEastAsia" w:eastAsiaTheme="minorEastAsia" w:hAnsiTheme="minorEastAsia"/>
          <w:color w:val="000000" w:themeColor="text1"/>
          <w:szCs w:val="21"/>
        </w:rPr>
        <w:t>的管理费</w:t>
      </w:r>
      <w:r w:rsidRPr="00621B7F">
        <w:rPr>
          <w:rFonts w:asciiTheme="minorEastAsia" w:eastAsiaTheme="minorEastAsia" w:hAnsiTheme="minorEastAsia" w:hint="eastAsia"/>
          <w:color w:val="000000" w:themeColor="text1"/>
          <w:szCs w:val="21"/>
        </w:rPr>
        <w:t>按前一日</w:t>
      </w:r>
      <w:r w:rsidRPr="00621B7F">
        <w:rPr>
          <w:rFonts w:asciiTheme="minorEastAsia" w:eastAsiaTheme="minorEastAsia" w:hAnsiTheme="minorEastAsia"/>
          <w:color w:val="000000" w:themeColor="text1"/>
          <w:szCs w:val="21"/>
        </w:rPr>
        <w:t>基金资产净值的</w:t>
      </w:r>
      <w:r w:rsidRPr="00621B7F">
        <w:rPr>
          <w:rFonts w:asciiTheme="minorEastAsia" w:eastAsiaTheme="minorEastAsia" w:hAnsiTheme="minorEastAsia" w:hint="eastAsia"/>
          <w:color w:val="000000" w:themeColor="text1"/>
          <w:szCs w:val="21"/>
        </w:rPr>
        <w:t>0.5</w:t>
      </w:r>
      <w:r w:rsidRPr="00621B7F">
        <w:rPr>
          <w:rFonts w:asciiTheme="minorEastAsia" w:eastAsiaTheme="minorEastAsia" w:hAnsiTheme="minorEastAsia"/>
          <w:color w:val="000000" w:themeColor="text1"/>
          <w:szCs w:val="21"/>
        </w:rPr>
        <w:t>%年费率计提。</w:t>
      </w:r>
      <w:r w:rsidRPr="00621B7F">
        <w:rPr>
          <w:rFonts w:asciiTheme="minorEastAsia" w:eastAsiaTheme="minorEastAsia" w:hAnsiTheme="minorEastAsia" w:hint="eastAsia"/>
          <w:color w:val="000000" w:themeColor="text1"/>
          <w:szCs w:val="21"/>
        </w:rPr>
        <w:t>管理费的</w:t>
      </w:r>
      <w:r w:rsidRPr="00621B7F">
        <w:rPr>
          <w:rFonts w:asciiTheme="minorEastAsia" w:eastAsiaTheme="minorEastAsia" w:hAnsiTheme="minorEastAsia"/>
          <w:color w:val="000000" w:themeColor="text1"/>
          <w:szCs w:val="21"/>
        </w:rPr>
        <w:t>计算方法如下：</w:t>
      </w:r>
    </w:p>
    <w:p w:rsidR="00AC0F85"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H＝E×</w:t>
      </w:r>
      <w:r w:rsidRPr="00621B7F">
        <w:rPr>
          <w:rFonts w:asciiTheme="minorEastAsia" w:eastAsiaTheme="minorEastAsia" w:hAnsiTheme="minorEastAsia" w:hint="eastAsia"/>
          <w:color w:val="000000" w:themeColor="text1"/>
          <w:szCs w:val="21"/>
        </w:rPr>
        <w:t>0.5</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当年天数</w:t>
      </w:r>
    </w:p>
    <w:p w:rsidR="00AC0F85"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H为每日应</w:t>
      </w:r>
      <w:r w:rsidRPr="00621B7F">
        <w:rPr>
          <w:rFonts w:asciiTheme="minorEastAsia" w:eastAsiaTheme="minorEastAsia" w:hAnsiTheme="minorEastAsia" w:hint="eastAsia"/>
          <w:color w:val="000000" w:themeColor="text1"/>
          <w:szCs w:val="21"/>
        </w:rPr>
        <w:t>计提</w:t>
      </w:r>
      <w:r w:rsidRPr="00621B7F">
        <w:rPr>
          <w:rFonts w:asciiTheme="minorEastAsia" w:eastAsiaTheme="minorEastAsia" w:hAnsiTheme="minorEastAsia"/>
          <w:color w:val="000000" w:themeColor="text1"/>
          <w:szCs w:val="21"/>
        </w:rPr>
        <w:t>的基金管理费</w:t>
      </w:r>
    </w:p>
    <w:p w:rsidR="00AC0F85"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E</w:t>
      </w:r>
      <w:r w:rsidRPr="00621B7F">
        <w:rPr>
          <w:rFonts w:asciiTheme="minorEastAsia" w:eastAsiaTheme="minorEastAsia" w:hAnsiTheme="minorEastAsia" w:hint="eastAsia"/>
          <w:color w:val="000000" w:themeColor="text1"/>
          <w:szCs w:val="21"/>
        </w:rPr>
        <w:t>为调整后的前一日基金资产净值。调整后的前一日基金资产净值＝前一日基金资产净值－</w:t>
      </w:r>
      <w:r w:rsidRPr="00621B7F" w:rsidR="00C8505E">
        <w:rPr>
          <w:rFonts w:asciiTheme="minorEastAsia" w:eastAsiaTheme="minorEastAsia" w:hAnsiTheme="minorEastAsia" w:hint="eastAsia"/>
          <w:color w:val="000000" w:themeColor="text1"/>
          <w:szCs w:val="21"/>
        </w:rPr>
        <w:t>前一日</w:t>
      </w:r>
      <w:r w:rsidRPr="00621B7F">
        <w:rPr>
          <w:rFonts w:asciiTheme="minorEastAsia" w:eastAsiaTheme="minorEastAsia" w:hAnsiTheme="minorEastAsia" w:hint="eastAsia"/>
          <w:color w:val="000000" w:themeColor="text1"/>
          <w:szCs w:val="21"/>
        </w:rPr>
        <w:t>本基金持有的上证中盘ETF公允价值，金额为负时以零计</w:t>
      </w:r>
    </w:p>
    <w:p w:rsidR="00AC0F85"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基金管理费每日计算</w:t>
      </w:r>
      <w:r w:rsidRPr="00621B7F">
        <w:rPr>
          <w:rFonts w:asciiTheme="minorEastAsia" w:eastAsiaTheme="minorEastAsia" w:hAnsiTheme="minorEastAsia" w:hint="eastAsia"/>
          <w:color w:val="000000" w:themeColor="text1"/>
          <w:szCs w:val="21"/>
        </w:rPr>
        <w:t>，逐日累计至每月月末，</w:t>
      </w:r>
      <w:r w:rsidRPr="00621B7F">
        <w:rPr>
          <w:rFonts w:asciiTheme="minorEastAsia" w:eastAsiaTheme="minorEastAsia" w:hAnsiTheme="minorEastAsia"/>
          <w:color w:val="000000" w:themeColor="text1"/>
          <w:szCs w:val="21"/>
        </w:rPr>
        <w:t>按月支付</w:t>
      </w:r>
      <w:r w:rsidRPr="00621B7F">
        <w:rPr>
          <w:rFonts w:asciiTheme="minorEastAsia" w:eastAsiaTheme="minorEastAsia" w:hAnsiTheme="minorEastAsia" w:hint="eastAsia"/>
          <w:color w:val="000000" w:themeColor="text1"/>
          <w:szCs w:val="21"/>
        </w:rPr>
        <w:t>，由基金管理人向基金托管人发送基金管理费划款指令，</w:t>
      </w:r>
      <w:r w:rsidRPr="00621B7F">
        <w:rPr>
          <w:rFonts w:asciiTheme="minorEastAsia" w:eastAsiaTheme="minorEastAsia" w:hAnsiTheme="minorEastAsia"/>
          <w:color w:val="000000" w:themeColor="text1"/>
          <w:szCs w:val="21"/>
        </w:rPr>
        <w:t>基金托管人</w:t>
      </w:r>
      <w:r w:rsidRPr="00621B7F">
        <w:rPr>
          <w:rFonts w:asciiTheme="minorEastAsia" w:eastAsiaTheme="minorEastAsia" w:hAnsiTheme="minorEastAsia" w:hint="eastAsia"/>
          <w:color w:val="000000" w:themeColor="text1"/>
          <w:szCs w:val="21"/>
        </w:rPr>
        <w:t>复核后</w:t>
      </w:r>
      <w:r w:rsidRPr="00621B7F">
        <w:rPr>
          <w:rFonts w:asciiTheme="minorEastAsia" w:eastAsiaTheme="minorEastAsia" w:hAnsiTheme="minorEastAsia"/>
          <w:color w:val="000000" w:themeColor="text1"/>
          <w:szCs w:val="21"/>
        </w:rPr>
        <w:t>于次月前</w:t>
      </w:r>
      <w:r w:rsidRPr="00621B7F">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color w:val="000000" w:themeColor="text1"/>
          <w:szCs w:val="21"/>
        </w:rPr>
        <w:t>个工作日内从基金</w:t>
      </w:r>
      <w:r w:rsidRPr="00621B7F">
        <w:rPr>
          <w:rFonts w:asciiTheme="minorEastAsia" w:eastAsiaTheme="minorEastAsia" w:hAnsiTheme="minorEastAsia" w:hint="eastAsia"/>
          <w:color w:val="000000" w:themeColor="text1"/>
          <w:szCs w:val="21"/>
        </w:rPr>
        <w:t>财产</w:t>
      </w:r>
      <w:r w:rsidRPr="00621B7F">
        <w:rPr>
          <w:rFonts w:asciiTheme="minorEastAsia" w:eastAsiaTheme="minorEastAsia" w:hAnsiTheme="minorEastAsia"/>
          <w:color w:val="000000" w:themeColor="text1"/>
          <w:szCs w:val="21"/>
        </w:rPr>
        <w:t>中一次性支付给基金管理人</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若遇法定节假日、</w:t>
      </w:r>
      <w:r w:rsidRPr="00621B7F">
        <w:rPr>
          <w:rFonts w:asciiTheme="minorEastAsia" w:eastAsiaTheme="minorEastAsia" w:hAnsiTheme="minorEastAsia" w:hint="eastAsia"/>
          <w:color w:val="000000" w:themeColor="text1"/>
          <w:szCs w:val="21"/>
        </w:rPr>
        <w:t>公休假</w:t>
      </w:r>
      <w:r w:rsidRPr="00621B7F">
        <w:rPr>
          <w:rFonts w:asciiTheme="minorEastAsia" w:eastAsiaTheme="minorEastAsia" w:hAnsiTheme="minorEastAsia"/>
          <w:color w:val="000000" w:themeColor="text1"/>
          <w:szCs w:val="21"/>
        </w:rPr>
        <w:t>等,支付日期顺延。</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（2）基金托管人的托管费</w:t>
      </w:r>
    </w:p>
    <w:p w:rsidR="00AC0F85"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w:t>
      </w:r>
      <w:r w:rsidRPr="00621B7F">
        <w:rPr>
          <w:rFonts w:asciiTheme="minorEastAsia" w:eastAsiaTheme="minorEastAsia" w:hAnsiTheme="minorEastAsia"/>
          <w:color w:val="000000" w:themeColor="text1"/>
          <w:szCs w:val="21"/>
        </w:rPr>
        <w:t>基金的托管费按</w:t>
      </w:r>
      <w:r w:rsidRPr="00621B7F">
        <w:rPr>
          <w:rFonts w:asciiTheme="minorEastAsia" w:eastAsiaTheme="minorEastAsia" w:hAnsiTheme="minorEastAsia" w:hint="eastAsia"/>
          <w:color w:val="000000" w:themeColor="text1"/>
          <w:szCs w:val="21"/>
        </w:rPr>
        <w:t>前一日</w:t>
      </w:r>
      <w:r w:rsidRPr="00621B7F">
        <w:rPr>
          <w:rFonts w:asciiTheme="minorEastAsia" w:eastAsiaTheme="minorEastAsia" w:hAnsiTheme="minorEastAsia"/>
          <w:color w:val="000000" w:themeColor="text1"/>
          <w:szCs w:val="21"/>
        </w:rPr>
        <w:t>基金资产净值的</w:t>
      </w:r>
      <w:r w:rsidRPr="00621B7F">
        <w:rPr>
          <w:rFonts w:asciiTheme="minorEastAsia" w:eastAsiaTheme="minorEastAsia" w:hAnsiTheme="minorEastAsia" w:hint="eastAsia"/>
          <w:color w:val="000000" w:themeColor="text1"/>
          <w:szCs w:val="21"/>
        </w:rPr>
        <w:t>0.1%</w:t>
      </w:r>
      <w:r w:rsidRPr="00621B7F">
        <w:rPr>
          <w:rFonts w:asciiTheme="minorEastAsia" w:eastAsiaTheme="minorEastAsia" w:hAnsiTheme="minorEastAsia"/>
          <w:color w:val="000000" w:themeColor="text1"/>
          <w:szCs w:val="21"/>
        </w:rPr>
        <w:t>的年费率计提。</w:t>
      </w:r>
      <w:r w:rsidRPr="00621B7F">
        <w:rPr>
          <w:rFonts w:asciiTheme="minorEastAsia" w:eastAsiaTheme="minorEastAsia" w:hAnsiTheme="minorEastAsia" w:hint="eastAsia"/>
          <w:color w:val="000000" w:themeColor="text1"/>
          <w:szCs w:val="21"/>
        </w:rPr>
        <w:t>托管费的</w:t>
      </w:r>
      <w:r w:rsidRPr="00621B7F">
        <w:rPr>
          <w:rFonts w:asciiTheme="minorEastAsia" w:eastAsiaTheme="minorEastAsia" w:hAnsiTheme="minorEastAsia"/>
          <w:color w:val="000000" w:themeColor="text1"/>
          <w:szCs w:val="21"/>
        </w:rPr>
        <w:t>计算方法如下：</w:t>
      </w:r>
    </w:p>
    <w:p w:rsidR="00AC0F85"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H＝E×</w:t>
      </w:r>
      <w:r w:rsidRPr="00621B7F">
        <w:rPr>
          <w:rFonts w:asciiTheme="minorEastAsia" w:eastAsiaTheme="minorEastAsia" w:hAnsiTheme="minorEastAsia" w:hint="eastAsia"/>
          <w:color w:val="000000" w:themeColor="text1"/>
          <w:szCs w:val="21"/>
        </w:rPr>
        <w:t>0.1%÷</w:t>
      </w:r>
      <w:r w:rsidRPr="00621B7F">
        <w:rPr>
          <w:rFonts w:asciiTheme="minorEastAsia" w:eastAsiaTheme="minorEastAsia" w:hAnsiTheme="minorEastAsia"/>
          <w:color w:val="000000" w:themeColor="text1"/>
          <w:szCs w:val="21"/>
        </w:rPr>
        <w:t>当年天数</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H为每日应</w:t>
      </w:r>
      <w:r w:rsidRPr="00621B7F">
        <w:rPr>
          <w:rFonts w:asciiTheme="minorEastAsia" w:eastAsiaTheme="minorEastAsia" w:hAnsiTheme="minorEastAsia" w:hint="eastAsia"/>
          <w:color w:val="000000" w:themeColor="text1"/>
          <w:szCs w:val="21"/>
        </w:rPr>
        <w:t>计提</w:t>
      </w:r>
      <w:r w:rsidRPr="00621B7F">
        <w:rPr>
          <w:rFonts w:asciiTheme="minorEastAsia" w:eastAsiaTheme="minorEastAsia" w:hAnsiTheme="minorEastAsia"/>
          <w:color w:val="000000" w:themeColor="text1"/>
          <w:szCs w:val="21"/>
        </w:rPr>
        <w:t>的基金托管费</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E</w:t>
      </w:r>
      <w:r w:rsidRPr="00621B7F">
        <w:rPr>
          <w:rFonts w:asciiTheme="minorEastAsia" w:eastAsiaTheme="minorEastAsia" w:hAnsiTheme="minorEastAsia" w:hint="eastAsia"/>
          <w:color w:val="000000" w:themeColor="text1"/>
          <w:szCs w:val="21"/>
        </w:rPr>
        <w:t>为调整后的前一日基金资产净值。调整后的前一日基金资产净值＝前一日基金资产净值－</w:t>
      </w:r>
      <w:r w:rsidRPr="00621B7F" w:rsidR="00C8505E">
        <w:rPr>
          <w:rFonts w:asciiTheme="minorEastAsia" w:eastAsiaTheme="minorEastAsia" w:hAnsiTheme="minorEastAsia" w:hint="eastAsia"/>
          <w:color w:val="000000" w:themeColor="text1"/>
          <w:szCs w:val="21"/>
        </w:rPr>
        <w:t>前一日</w:t>
      </w:r>
      <w:r w:rsidRPr="00621B7F">
        <w:rPr>
          <w:rFonts w:asciiTheme="minorEastAsia" w:eastAsiaTheme="minorEastAsia" w:hAnsiTheme="minorEastAsia" w:hint="eastAsia"/>
          <w:color w:val="000000" w:themeColor="text1"/>
          <w:szCs w:val="21"/>
        </w:rPr>
        <w:t>本基金持有的上证中盘ETF公允价值，金额为负时以零计</w:t>
      </w:r>
    </w:p>
    <w:p w:rsidR="00AC0F85"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基金托管费每日计算</w:t>
      </w:r>
      <w:r w:rsidRPr="00621B7F">
        <w:rPr>
          <w:rFonts w:asciiTheme="minorEastAsia" w:eastAsiaTheme="minorEastAsia" w:hAnsiTheme="minorEastAsia" w:hint="eastAsia"/>
          <w:color w:val="000000" w:themeColor="text1"/>
          <w:szCs w:val="21"/>
        </w:rPr>
        <w:t>，逐日累计至每月月末，</w:t>
      </w:r>
      <w:r w:rsidRPr="00621B7F">
        <w:rPr>
          <w:rFonts w:asciiTheme="minorEastAsia" w:eastAsiaTheme="minorEastAsia" w:hAnsiTheme="minorEastAsia"/>
          <w:color w:val="000000" w:themeColor="text1"/>
          <w:szCs w:val="21"/>
        </w:rPr>
        <w:t>按月支付</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由</w:t>
      </w:r>
      <w:r w:rsidRPr="00621B7F">
        <w:rPr>
          <w:rFonts w:asciiTheme="minorEastAsia" w:eastAsiaTheme="minorEastAsia" w:hAnsiTheme="minorEastAsia" w:hint="eastAsia"/>
          <w:color w:val="000000" w:themeColor="text1"/>
          <w:szCs w:val="21"/>
        </w:rPr>
        <w:t>基金管理人向基金托管人发送基金托管费划款指令，</w:t>
      </w:r>
      <w:r w:rsidRPr="00621B7F">
        <w:rPr>
          <w:rFonts w:asciiTheme="minorEastAsia" w:eastAsiaTheme="minorEastAsia" w:hAnsiTheme="minorEastAsia"/>
          <w:color w:val="000000" w:themeColor="text1"/>
          <w:szCs w:val="21"/>
        </w:rPr>
        <w:t>基金托管人</w:t>
      </w:r>
      <w:r w:rsidRPr="00621B7F">
        <w:rPr>
          <w:rFonts w:asciiTheme="minorEastAsia" w:eastAsiaTheme="minorEastAsia" w:hAnsiTheme="minorEastAsia" w:hint="eastAsia"/>
          <w:color w:val="000000" w:themeColor="text1"/>
          <w:szCs w:val="21"/>
        </w:rPr>
        <w:t>复核后</w:t>
      </w:r>
      <w:r w:rsidRPr="00621B7F">
        <w:rPr>
          <w:rFonts w:asciiTheme="minorEastAsia" w:eastAsiaTheme="minorEastAsia" w:hAnsiTheme="minorEastAsia"/>
          <w:color w:val="000000" w:themeColor="text1"/>
          <w:szCs w:val="21"/>
        </w:rPr>
        <w:t>于次月前</w:t>
      </w:r>
      <w:r w:rsidRPr="00621B7F">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color w:val="000000" w:themeColor="text1"/>
          <w:szCs w:val="21"/>
        </w:rPr>
        <w:t>个工作日内从基金财产中一次性支取</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若遇法定节假日、</w:t>
      </w:r>
      <w:r w:rsidRPr="00621B7F">
        <w:rPr>
          <w:rFonts w:asciiTheme="minorEastAsia" w:eastAsiaTheme="minorEastAsia" w:hAnsiTheme="minorEastAsia" w:hint="eastAsia"/>
          <w:color w:val="000000" w:themeColor="text1"/>
          <w:szCs w:val="21"/>
        </w:rPr>
        <w:t>公休日</w:t>
      </w:r>
      <w:r w:rsidRPr="00621B7F">
        <w:rPr>
          <w:rFonts w:asciiTheme="minorEastAsia" w:eastAsiaTheme="minorEastAsia" w:hAnsiTheme="minorEastAsia"/>
          <w:color w:val="000000" w:themeColor="text1"/>
          <w:szCs w:val="21"/>
        </w:rPr>
        <w:t>等,支付日期顺延。</w:t>
      </w:r>
    </w:p>
    <w:p w:rsidR="00315071"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（3）销售服务费</w:t>
      </w:r>
    </w:p>
    <w:p w:rsidR="00315071"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本基金A类基金份额不收取销售服务费，C类基金份额的销售服务费年费率为0.25%，按C类</w:t>
      </w:r>
      <w:r w:rsidRPr="00621B7F" w:rsidR="00121550">
        <w:rPr>
          <w:rFonts w:asciiTheme="minorEastAsia" w:eastAsiaTheme="minorEastAsia" w:hAnsiTheme="minorEastAsia" w:hint="eastAsia"/>
          <w:color w:val="000000" w:themeColor="text1"/>
          <w:szCs w:val="21"/>
        </w:rPr>
        <w:t>基金</w:t>
      </w:r>
      <w:r w:rsidRPr="00621B7F">
        <w:rPr>
          <w:rFonts w:asciiTheme="minorEastAsia" w:eastAsiaTheme="minorEastAsia" w:hAnsiTheme="minorEastAsia" w:hint="eastAsia"/>
          <w:color w:val="000000" w:themeColor="text1"/>
          <w:szCs w:val="21"/>
        </w:rPr>
        <w:t>份额前一日基金资产净值的0.25%年费率计提。</w:t>
      </w:r>
    </w:p>
    <w:p w:rsidR="00315071"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销售服务费的计算方法如下：</w:t>
      </w:r>
    </w:p>
    <w:p w:rsidR="00315071" w:rsidRPr="00621B7F" w:rsidP="00315071">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H＝E×0.25%÷当年天数</w:t>
      </w:r>
    </w:p>
    <w:p w:rsidR="00315071" w:rsidRPr="00621B7F" w:rsidP="00315071">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H为C类基金份额每日应计提的销售服务费</w:t>
      </w:r>
    </w:p>
    <w:p w:rsidR="00315071" w:rsidRPr="00621B7F" w:rsidP="00315071">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E为C类基金份额前一日基金资产净值</w:t>
      </w:r>
    </w:p>
    <w:p w:rsidR="00315071" w:rsidRPr="00621B7F" w:rsidP="00315071">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销售服务费每日计算，逐日累计至每月月末，按月支付，由基金管理人向基金托管人发送基金销售服务费划款指令，基金托管人复核后于次月首日起3个工作日内从基金财产中一次性支付。若遇法定节假日、公休日等，支付日期顺延。</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上述</w:t>
      </w:r>
      <w:r w:rsidRPr="00621B7F" w:rsidR="00007E82">
        <w:rPr>
          <w:rFonts w:asciiTheme="minorEastAsia" w:eastAsiaTheme="minorEastAsia" w:hAnsiTheme="minorEastAsia" w:hint="eastAsia"/>
          <w:color w:val="000000" w:themeColor="text1"/>
          <w:szCs w:val="21"/>
        </w:rPr>
        <w:t>“1</w:t>
      </w:r>
      <w:r w:rsidRPr="00621B7F" w:rsidR="00D20909">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基金费用</w:t>
      </w:r>
      <w:r w:rsidRPr="00621B7F">
        <w:rPr>
          <w:rFonts w:asciiTheme="minorEastAsia" w:eastAsiaTheme="minorEastAsia" w:hAnsiTheme="minorEastAsia" w:hint="eastAsia"/>
          <w:color w:val="000000" w:themeColor="text1"/>
          <w:szCs w:val="21"/>
        </w:rPr>
        <w:t>的种类</w:t>
      </w:r>
      <w:r w:rsidRPr="00621B7F" w:rsidR="00007E82">
        <w:rPr>
          <w:rFonts w:asciiTheme="minorEastAsia" w:eastAsiaTheme="minorEastAsia" w:hAnsiTheme="minorEastAsia"/>
          <w:color w:val="000000" w:themeColor="text1"/>
          <w:szCs w:val="21"/>
        </w:rPr>
        <w:t>”</w:t>
      </w:r>
      <w:r w:rsidRPr="00621B7F">
        <w:rPr>
          <w:rFonts w:asciiTheme="minorEastAsia" w:eastAsiaTheme="minorEastAsia" w:hAnsiTheme="minorEastAsia"/>
          <w:color w:val="000000" w:themeColor="text1"/>
          <w:szCs w:val="21"/>
        </w:rPr>
        <w:t>中第</w:t>
      </w:r>
      <w:r w:rsidRPr="00621B7F" w:rsidR="009D3A70">
        <w:rPr>
          <w:rFonts w:asciiTheme="minorEastAsia" w:eastAsiaTheme="minorEastAsia" w:hAnsiTheme="minorEastAsia" w:hint="eastAsia"/>
          <w:color w:val="000000" w:themeColor="text1"/>
          <w:szCs w:val="21"/>
        </w:rPr>
        <w:t>(</w:t>
      </w:r>
      <w:r w:rsidRPr="00621B7F" w:rsidR="00315071">
        <w:rPr>
          <w:rFonts w:asciiTheme="minorEastAsia" w:eastAsiaTheme="minorEastAsia" w:hAnsiTheme="minorEastAsia" w:hint="eastAsia"/>
          <w:color w:val="000000" w:themeColor="text1"/>
          <w:szCs w:val="21"/>
        </w:rPr>
        <w:t>4</w:t>
      </w:r>
      <w:r w:rsidRPr="00621B7F" w:rsidR="009D3A70">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w:t>
      </w:r>
      <w:r w:rsidRPr="00621B7F" w:rsidR="009D3A70">
        <w:rPr>
          <w:rFonts w:asciiTheme="minorEastAsia" w:eastAsiaTheme="minorEastAsia" w:hAnsiTheme="minorEastAsia" w:hint="eastAsia"/>
          <w:color w:val="000000" w:themeColor="text1"/>
          <w:szCs w:val="21"/>
        </w:rPr>
        <w:t>(</w:t>
      </w:r>
      <w:r w:rsidRPr="00621B7F" w:rsidR="00315071">
        <w:rPr>
          <w:rFonts w:asciiTheme="minorEastAsia" w:eastAsiaTheme="minorEastAsia" w:hAnsiTheme="minorEastAsia" w:hint="eastAsia"/>
          <w:color w:val="000000" w:themeColor="text1"/>
          <w:szCs w:val="21"/>
        </w:rPr>
        <w:t>9</w:t>
      </w:r>
      <w:r w:rsidRPr="00621B7F" w:rsidR="009D3A70">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项费用</w:t>
      </w:r>
      <w:r w:rsidRPr="00621B7F">
        <w:rPr>
          <w:rFonts w:asciiTheme="minorEastAsia" w:eastAsiaTheme="minorEastAsia" w:hAnsiTheme="minorEastAsia" w:hint="eastAsia"/>
          <w:color w:val="000000" w:themeColor="text1"/>
          <w:szCs w:val="21"/>
        </w:rPr>
        <w:t>，</w:t>
      </w:r>
      <w:r w:rsidRPr="00621B7F" w:rsidR="005D08B4">
        <w:rPr>
          <w:rFonts w:asciiTheme="minorEastAsia" w:eastAsiaTheme="minorEastAsia" w:hAnsiTheme="minorEastAsia" w:hint="eastAsia"/>
          <w:color w:val="000000" w:themeColor="text1"/>
          <w:szCs w:val="21"/>
        </w:rPr>
        <w:t>由</w:t>
      </w:r>
      <w:r w:rsidRPr="00621B7F" w:rsidR="00682689">
        <w:rPr>
          <w:rFonts w:asciiTheme="minorEastAsia" w:eastAsiaTheme="minorEastAsia" w:hAnsiTheme="minorEastAsia" w:hint="eastAsia"/>
          <w:color w:val="000000" w:themeColor="text1"/>
          <w:szCs w:val="21"/>
        </w:rPr>
        <w:t>基金管理人和基金托管人</w:t>
      </w:r>
      <w:r w:rsidRPr="00621B7F">
        <w:rPr>
          <w:rFonts w:asciiTheme="minorEastAsia" w:eastAsiaTheme="minorEastAsia" w:hAnsiTheme="minorEastAsia"/>
          <w:color w:val="000000" w:themeColor="text1"/>
          <w:szCs w:val="21"/>
        </w:rPr>
        <w:t>根据有关法规及相应协议规定</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从基金财产中支付。</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不列入基金费用的项目</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下列费用不列入基金费用：</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（1）基金管理人和基金托管人因未履行或未完全履行义务导致的费用支出或基金财产的损失；</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（2）基金管理人和基金托管人处理与基金运作无关的事项发生的费用；</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293AB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293AB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生效前的相关费用，包括但不限于验资费、会计师和律师费、信息披露费用等费用；</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（4）其他根据相关法律法规及中国证监会的有关规定不得列入基金费用的项目。</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基金费用的调整</w:t>
      </w:r>
    </w:p>
    <w:p w:rsidR="00F67F43"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基金管理人和基金托管人协商一致后，可根据基金发展情况调整基金管理费率、基金托管费率</w:t>
      </w:r>
      <w:r w:rsidRPr="00621B7F" w:rsidR="00315071">
        <w:rPr>
          <w:rFonts w:asciiTheme="minorEastAsia" w:eastAsiaTheme="minorEastAsia" w:hAnsiTheme="minorEastAsia"/>
          <w:color w:val="000000" w:themeColor="text1"/>
          <w:szCs w:val="21"/>
        </w:rPr>
        <w:t>或销售服务费率</w:t>
      </w:r>
      <w:r w:rsidRPr="00621B7F">
        <w:rPr>
          <w:rFonts w:asciiTheme="minorEastAsia" w:eastAsiaTheme="minorEastAsia" w:hAnsiTheme="minorEastAsia" w:hint="eastAsia"/>
          <w:color w:val="000000" w:themeColor="text1"/>
          <w:szCs w:val="21"/>
        </w:rPr>
        <w:t>等相关费率。</w:t>
      </w:r>
    </w:p>
    <w:p w:rsidR="00F67F43"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调高基金管理费率和基金托管费率，须召开基金份额持有人大会审议，除非基金合同、相关法律法规或监管机构另有规定；调低基金管理费率和基金托管费率</w:t>
      </w:r>
      <w:r w:rsidRPr="00621B7F" w:rsidR="00315071">
        <w:rPr>
          <w:rFonts w:asciiTheme="minorEastAsia" w:eastAsiaTheme="minorEastAsia" w:hAnsiTheme="minorEastAsia"/>
          <w:color w:val="000000" w:themeColor="text1"/>
          <w:szCs w:val="21"/>
        </w:rPr>
        <w:t>或销售服务费率</w:t>
      </w:r>
      <w:r w:rsidRPr="00621B7F">
        <w:rPr>
          <w:rFonts w:asciiTheme="minorEastAsia" w:eastAsiaTheme="minorEastAsia" w:hAnsiTheme="minorEastAsia" w:hint="eastAsia"/>
          <w:color w:val="000000" w:themeColor="text1"/>
          <w:szCs w:val="21"/>
        </w:rPr>
        <w:t>，无须召开基金份额持有人大会。</w:t>
      </w:r>
    </w:p>
    <w:p w:rsidR="00F67F43"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基金管理人必须</w:t>
      </w:r>
      <w:r w:rsidRPr="00621B7F" w:rsidR="00494848">
        <w:rPr>
          <w:rFonts w:asciiTheme="minorEastAsia" w:eastAsiaTheme="minorEastAsia" w:hAnsiTheme="minorEastAsia" w:hint="eastAsia"/>
          <w:color w:val="000000" w:themeColor="text1"/>
          <w:szCs w:val="21"/>
        </w:rPr>
        <w:t>按照《信息披露办法》或其他相关规定</w:t>
      </w:r>
      <w:r w:rsidRPr="00621B7F" w:rsidR="009808D0">
        <w:rPr>
          <w:rFonts w:asciiTheme="minorEastAsia" w:eastAsiaTheme="minorEastAsia" w:hAnsiTheme="minorEastAsia" w:hint="eastAsia"/>
          <w:color w:val="000000" w:themeColor="text1"/>
          <w:szCs w:val="21"/>
        </w:rPr>
        <w:t>在</w:t>
      </w:r>
      <w:r w:rsidRPr="00621B7F">
        <w:rPr>
          <w:rFonts w:asciiTheme="minorEastAsia" w:eastAsiaTheme="minorEastAsia" w:hAnsiTheme="minorEastAsia" w:hint="eastAsia"/>
          <w:color w:val="000000" w:themeColor="text1"/>
          <w:szCs w:val="21"/>
        </w:rPr>
        <w:t>新的费率实施</w:t>
      </w:r>
      <w:r w:rsidRPr="00621B7F" w:rsidR="009808D0">
        <w:rPr>
          <w:rFonts w:asciiTheme="minorEastAsia" w:eastAsiaTheme="minorEastAsia" w:hAnsiTheme="minorEastAsia" w:hint="eastAsia"/>
          <w:color w:val="000000" w:themeColor="text1"/>
          <w:szCs w:val="21"/>
        </w:rPr>
        <w:t>日</w:t>
      </w:r>
      <w:r w:rsidRPr="00621B7F">
        <w:rPr>
          <w:rFonts w:asciiTheme="minorEastAsia" w:eastAsiaTheme="minorEastAsia" w:hAnsiTheme="minorEastAsia" w:hint="eastAsia"/>
          <w:color w:val="000000" w:themeColor="text1"/>
          <w:szCs w:val="21"/>
        </w:rPr>
        <w:t>前在至少一种</w:t>
      </w:r>
      <w:r w:rsidRPr="00621B7F" w:rsidR="0033182F">
        <w:rPr>
          <w:rFonts w:asciiTheme="minorEastAsia" w:eastAsiaTheme="minorEastAsia" w:hAnsiTheme="minorEastAsia" w:hint="eastAsia"/>
          <w:color w:val="000000" w:themeColor="text1"/>
          <w:szCs w:val="21"/>
        </w:rPr>
        <w:t>指定媒介</w:t>
      </w:r>
      <w:r w:rsidRPr="00621B7F" w:rsidR="008A1EBE">
        <w:rPr>
          <w:rFonts w:asciiTheme="minorEastAsia" w:eastAsiaTheme="minorEastAsia" w:hAnsiTheme="minorEastAsia" w:hint="eastAsia"/>
          <w:color w:val="000000" w:themeColor="text1"/>
          <w:szCs w:val="21"/>
        </w:rPr>
        <w:t>和基金管理人网站上</w:t>
      </w:r>
      <w:r w:rsidRPr="00621B7F">
        <w:rPr>
          <w:rFonts w:asciiTheme="minorEastAsia" w:eastAsiaTheme="minorEastAsia" w:hAnsiTheme="minorEastAsia" w:hint="eastAsia"/>
          <w:color w:val="000000" w:themeColor="text1"/>
          <w:szCs w:val="21"/>
        </w:rPr>
        <w:t>公告。</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60" w:name="_Toc91752093"/>
      <w:r w:rsidRPr="00621B7F">
        <w:rPr>
          <w:rFonts w:asciiTheme="minorEastAsia" w:eastAsiaTheme="minorEastAsia" w:hAnsiTheme="minorEastAsia" w:hint="eastAsia"/>
          <w:b w:val="0"/>
          <w:color w:val="000000" w:themeColor="text1"/>
        </w:rPr>
        <w:t>（二）与基金销售有关的费用</w:t>
      </w:r>
      <w:bookmarkEnd w:id="860"/>
    </w:p>
    <w:p w:rsidR="00E91D13" w:rsidRPr="00621B7F" w:rsidP="00241F10">
      <w:pPr>
        <w:snapToGrid w:val="0"/>
        <w:spacing w:line="360" w:lineRule="auto"/>
        <w:ind w:firstLine="424" w:firstLineChars="202"/>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w:t>
      </w:r>
      <w:r w:rsidRPr="00621B7F" w:rsidR="006B1CE8">
        <w:rPr>
          <w:rFonts w:asciiTheme="minorEastAsia" w:eastAsiaTheme="minorEastAsia" w:hAnsiTheme="minorEastAsia" w:hint="eastAsia"/>
          <w:color w:val="000000" w:themeColor="text1"/>
        </w:rPr>
        <w:t>申购费</w:t>
      </w:r>
      <w:r w:rsidRPr="00621B7F" w:rsidR="00FE2993">
        <w:rPr>
          <w:rFonts w:asciiTheme="minorEastAsia" w:eastAsiaTheme="minorEastAsia" w:hAnsiTheme="minorEastAsia" w:hint="eastAsia"/>
          <w:color w:val="000000" w:themeColor="text1"/>
        </w:rPr>
        <w:t>、赎回费的费率水平、收取方式及计算公式详见本基金招募说明书“八、基金份额的申购、赎回”中“（七）申购、赎回的费率”和“（八）申购份额、赎回金额的计算方式”的相关规定。</w:t>
      </w:r>
    </w:p>
    <w:p w:rsidR="00E91D13"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F03D14">
        <w:rPr>
          <w:rFonts w:asciiTheme="minorEastAsia" w:eastAsiaTheme="minorEastAsia" w:hAnsiTheme="minorEastAsia" w:hint="eastAsia"/>
          <w:color w:val="000000" w:themeColor="text1"/>
          <w:szCs w:val="21"/>
        </w:rPr>
        <w:t>、</w:t>
      </w:r>
      <w:r w:rsidRPr="00621B7F" w:rsidR="00790D8A">
        <w:rPr>
          <w:rFonts w:asciiTheme="minorEastAsia" w:eastAsiaTheme="minorEastAsia" w:hAnsiTheme="minorEastAsia"/>
          <w:color w:val="000000" w:themeColor="text1"/>
          <w:szCs w:val="21"/>
        </w:rPr>
        <w:t>转换费</w:t>
      </w:r>
    </w:p>
    <w:p w:rsidR="00531098" w:rsidRPr="00621B7F" w:rsidP="00241F10">
      <w:pPr>
        <w:snapToGrid w:val="0"/>
        <w:spacing w:line="360" w:lineRule="auto"/>
        <w:ind w:firstLine="424" w:firstLineChars="202"/>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目前，基金管理人已开通了本基金与旗下部分开放式基金之间的转换业务，具体实施办法和转换费率详见相关公告。</w:t>
      </w:r>
      <w:r w:rsidRPr="00621B7F" w:rsidR="00E91D13">
        <w:rPr>
          <w:rFonts w:asciiTheme="minorEastAsia" w:eastAsiaTheme="minorEastAsia" w:hAnsiTheme="minorEastAsia" w:hint="eastAsia"/>
          <w:color w:val="000000" w:themeColor="text1"/>
        </w:rPr>
        <w:t>基金转换费用由投资者承担，基金转换费用由转出基金赎回费用和基金申购补差费用构成，其中</w:t>
      </w:r>
      <w:r w:rsidRPr="00621B7F" w:rsidR="00E91D13">
        <w:rPr>
          <w:rFonts w:asciiTheme="minorEastAsia" w:eastAsiaTheme="minorEastAsia" w:hAnsiTheme="minorEastAsia" w:hint="eastAsia"/>
          <w:color w:val="000000" w:themeColor="text1"/>
          <w:szCs w:val="21"/>
        </w:rPr>
        <w:t>转出基金赎回费</w:t>
      </w:r>
      <w:r w:rsidRPr="00621B7F" w:rsidR="00BA47B7">
        <w:rPr>
          <w:rFonts w:asciiTheme="minorEastAsia" w:eastAsiaTheme="minorEastAsia" w:hAnsiTheme="minorEastAsia" w:hint="eastAsia"/>
          <w:color w:val="000000" w:themeColor="text1"/>
          <w:szCs w:val="21"/>
        </w:rPr>
        <w:t>按照</w:t>
      </w:r>
      <w:r w:rsidRPr="00621B7F" w:rsidR="00EA4099">
        <w:rPr>
          <w:rFonts w:asciiTheme="minorEastAsia" w:eastAsiaTheme="minorEastAsia" w:hAnsiTheme="minorEastAsia" w:hint="eastAsia"/>
          <w:color w:val="000000" w:themeColor="text1"/>
          <w:szCs w:val="21"/>
        </w:rPr>
        <w:t>各基金</w:t>
      </w:r>
      <w:r w:rsidRPr="00621B7F" w:rsidR="00EA4099">
        <w:rPr>
          <w:rFonts w:asciiTheme="minorEastAsia" w:eastAsiaTheme="minorEastAsia" w:hAnsiTheme="minorEastAsia"/>
          <w:color w:val="000000" w:themeColor="text1"/>
          <w:szCs w:val="21"/>
        </w:rPr>
        <w:t>的</w:t>
      </w:r>
      <w:r w:rsidRPr="00621B7F" w:rsidR="00BA47B7">
        <w:rPr>
          <w:rFonts w:asciiTheme="minorEastAsia" w:eastAsiaTheme="minorEastAsia" w:hAnsiTheme="minorEastAsia" w:hint="eastAsia"/>
          <w:color w:val="000000" w:themeColor="text1"/>
          <w:szCs w:val="21"/>
        </w:rPr>
        <w:t>基金合同、更新的招募说明书及最新的相关公告约定的比例归入基金财产</w:t>
      </w:r>
      <w:r w:rsidRPr="00621B7F" w:rsidR="00E91D13">
        <w:rPr>
          <w:rFonts w:asciiTheme="minorEastAsia" w:eastAsiaTheme="minorEastAsia" w:hAnsiTheme="minorEastAsia" w:hint="eastAsia"/>
          <w:color w:val="000000" w:themeColor="text1"/>
          <w:szCs w:val="21"/>
        </w:rPr>
        <w:t>，其余部分用于支付注册登记费等相关手续费</w:t>
      </w:r>
      <w:r w:rsidRPr="00621B7F" w:rsidR="00E91D13">
        <w:rPr>
          <w:rFonts w:asciiTheme="minorEastAsia" w:eastAsiaTheme="minorEastAsia" w:hAnsiTheme="minorEastAsia" w:hint="eastAsia"/>
          <w:color w:val="000000" w:themeColor="text1"/>
        </w:rPr>
        <w:t>。</w:t>
      </w:r>
      <w:r w:rsidRPr="00621B7F" w:rsidR="00E91D13">
        <w:rPr>
          <w:rFonts w:asciiTheme="minorEastAsia" w:eastAsiaTheme="minorEastAsia" w:hAnsiTheme="minorEastAsia"/>
          <w:color w:val="000000" w:themeColor="text1"/>
          <w:szCs w:val="21"/>
        </w:rPr>
        <w:t>转换费用以人民币元为单位，计算结果按照四舍五入方法，保留小数点后两位</w:t>
      </w:r>
      <w:r w:rsidRPr="00621B7F" w:rsidR="00E91D13">
        <w:rPr>
          <w:rFonts w:asciiTheme="minorEastAsia" w:eastAsiaTheme="minorEastAsia" w:hAnsiTheme="minorEastAsia" w:hint="eastAsia"/>
          <w:color w:val="000000" w:themeColor="text1"/>
          <w:szCs w:val="21"/>
        </w:rPr>
        <w:t>。</w:t>
      </w:r>
    </w:p>
    <w:p w:rsidR="00123D1F" w:rsidRPr="00621B7F" w:rsidP="00241F10">
      <w:pPr>
        <w:snapToGrid w:val="0"/>
        <w:spacing w:line="360" w:lineRule="auto"/>
        <w:ind w:firstLine="420" w:firstLineChars="200"/>
        <w:rPr>
          <w:rFonts w:asciiTheme="minorEastAsia" w:eastAsiaTheme="minorEastAsia" w:hAnsiTheme="minorEastAsia"/>
          <w:color w:val="000000" w:themeColor="text1"/>
        </w:rPr>
      </w:pPr>
      <w:bookmarkStart w:id="861" w:name="_Toc84149673"/>
      <w:bookmarkStart w:id="862" w:name="_Toc86584637"/>
      <w:r w:rsidRPr="00621B7F">
        <w:rPr>
          <w:rFonts w:asciiTheme="minorEastAsia" w:eastAsiaTheme="minorEastAsia" w:hAnsiTheme="minorEastAsia" w:hint="eastAsia"/>
          <w:color w:val="000000" w:themeColor="text1"/>
          <w:szCs w:val="21"/>
        </w:rPr>
        <w:t>3</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rPr>
        <w:t>投资者通过本公司网上交易系统（www.efunds.com.cn）进行申购、赎回和转换的交易费率，请具体参照我公司网站上的相关说明。</w:t>
      </w:r>
    </w:p>
    <w:p w:rsidR="005D08B4"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4</w:t>
      </w:r>
      <w:r w:rsidRPr="00621B7F" w:rsidR="00F03D14">
        <w:rPr>
          <w:rFonts w:asciiTheme="minorEastAsia" w:eastAsiaTheme="minorEastAsia" w:hAnsiTheme="minorEastAsia" w:hint="eastAsia"/>
          <w:color w:val="000000" w:themeColor="text1"/>
        </w:rPr>
        <w:t>、</w:t>
      </w:r>
      <w:r w:rsidRPr="00621B7F">
        <w:rPr>
          <w:rFonts w:asciiTheme="minorEastAsia" w:eastAsiaTheme="minorEastAsia" w:hAnsiTheme="minorEastAsia"/>
          <w:color w:val="000000" w:themeColor="text1"/>
          <w:szCs w:val="21"/>
        </w:rPr>
        <w:t>基金管理人可以根据《基金合同》的相关约定调整</w:t>
      </w:r>
      <w:r w:rsidRPr="00621B7F">
        <w:rPr>
          <w:rFonts w:asciiTheme="minorEastAsia" w:eastAsiaTheme="minorEastAsia" w:hAnsiTheme="minorEastAsia" w:hint="eastAsia"/>
          <w:color w:val="000000" w:themeColor="text1"/>
          <w:szCs w:val="21"/>
        </w:rPr>
        <w:t>上述</w:t>
      </w:r>
      <w:r w:rsidRPr="00621B7F">
        <w:rPr>
          <w:rFonts w:asciiTheme="minorEastAsia" w:eastAsiaTheme="minorEastAsia" w:hAnsiTheme="minorEastAsia"/>
          <w:color w:val="000000" w:themeColor="text1"/>
          <w:szCs w:val="21"/>
        </w:rPr>
        <w:t>费率或收费方式</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上述费率如发生变更，基金管理人应</w:t>
      </w:r>
      <w:r w:rsidRPr="00621B7F">
        <w:rPr>
          <w:rFonts w:asciiTheme="minorEastAsia" w:eastAsiaTheme="minorEastAsia" w:hAnsiTheme="minorEastAsia" w:hint="eastAsia"/>
          <w:color w:val="000000" w:themeColor="text1"/>
          <w:szCs w:val="21"/>
        </w:rPr>
        <w:t>按照《信息披露办法》或其他相关规定</w:t>
      </w:r>
      <w:r w:rsidRPr="00621B7F">
        <w:rPr>
          <w:rFonts w:asciiTheme="minorEastAsia" w:eastAsiaTheme="minorEastAsia" w:hAnsiTheme="minorEastAsia"/>
          <w:color w:val="000000" w:themeColor="text1"/>
          <w:szCs w:val="21"/>
        </w:rPr>
        <w:t>于新的费率或收费方式实施前在至少一</w:t>
      </w:r>
      <w:r w:rsidRPr="00621B7F">
        <w:rPr>
          <w:rFonts w:asciiTheme="minorEastAsia" w:eastAsiaTheme="minorEastAsia" w:hAnsiTheme="minorEastAsia" w:hint="eastAsia"/>
          <w:color w:val="000000" w:themeColor="text1"/>
          <w:szCs w:val="21"/>
        </w:rPr>
        <w:t>家</w:t>
      </w:r>
      <w:r w:rsidRPr="00621B7F" w:rsidR="0033182F">
        <w:rPr>
          <w:rFonts w:asciiTheme="minorEastAsia" w:eastAsiaTheme="minorEastAsia" w:hAnsiTheme="minorEastAsia"/>
          <w:color w:val="000000" w:themeColor="text1"/>
          <w:szCs w:val="21"/>
        </w:rPr>
        <w:t>指定媒介</w:t>
      </w:r>
      <w:r w:rsidRPr="00621B7F">
        <w:rPr>
          <w:rFonts w:asciiTheme="minorEastAsia" w:eastAsiaTheme="minorEastAsia" w:hAnsiTheme="minorEastAsia"/>
          <w:color w:val="000000" w:themeColor="text1"/>
          <w:szCs w:val="21"/>
        </w:rPr>
        <w:t>及</w:t>
      </w:r>
      <w:r w:rsidRPr="00621B7F">
        <w:rPr>
          <w:rFonts w:asciiTheme="minorEastAsia" w:eastAsiaTheme="minorEastAsia" w:hAnsiTheme="minorEastAsia" w:hint="eastAsia"/>
          <w:color w:val="000000" w:themeColor="text1"/>
          <w:szCs w:val="21"/>
        </w:rPr>
        <w:t>基金管理人</w:t>
      </w:r>
      <w:r w:rsidRPr="00621B7F">
        <w:rPr>
          <w:rFonts w:asciiTheme="minorEastAsia" w:eastAsiaTheme="minorEastAsia" w:hAnsiTheme="minorEastAsia"/>
          <w:color w:val="000000" w:themeColor="text1"/>
          <w:szCs w:val="21"/>
        </w:rPr>
        <w:t>网站公告。</w:t>
      </w:r>
    </w:p>
    <w:p w:rsidR="005D08B4"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5</w:t>
      </w:r>
      <w:r w:rsidRPr="00621B7F" w:rsidR="00F03D14">
        <w:rPr>
          <w:rFonts w:asciiTheme="minorEastAsia" w:eastAsiaTheme="minorEastAsia" w:hAnsiTheme="minorEastAsia" w:hint="eastAsia"/>
          <w:color w:val="000000" w:themeColor="text1"/>
        </w:rPr>
        <w:t>、</w:t>
      </w:r>
      <w:r w:rsidRPr="00621B7F" w:rsidR="006E1E6D">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63" w:name="_Toc91752094"/>
      <w:r w:rsidRPr="00621B7F">
        <w:rPr>
          <w:rFonts w:asciiTheme="minorEastAsia" w:eastAsiaTheme="minorEastAsia" w:hAnsiTheme="minorEastAsia" w:hint="eastAsia"/>
          <w:b w:val="0"/>
          <w:color w:val="000000" w:themeColor="text1"/>
        </w:rPr>
        <w:t>（三）基金税收</w:t>
      </w:r>
      <w:bookmarkEnd w:id="861"/>
      <w:bookmarkEnd w:id="862"/>
      <w:bookmarkEnd w:id="863"/>
    </w:p>
    <w:p w:rsidR="00227A8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本基金运作过程中涉及的各纳税主体，其纳税义务按国家税收法律、法规执行。</w:t>
      </w:r>
    </w:p>
    <w:p w:rsidR="00F03D14" w:rsidRPr="00621B7F" w:rsidP="00241F10">
      <w:pPr>
        <w:snapToGrid w:val="0"/>
        <w:spacing w:line="360" w:lineRule="auto"/>
        <w:ind w:firstLine="480"/>
        <w:rPr>
          <w:rFonts w:asciiTheme="minorEastAsia" w:eastAsiaTheme="minorEastAsia" w:hAnsiTheme="minorEastAsia"/>
          <w:color w:val="000000" w:themeColor="text1"/>
          <w:szCs w:val="21"/>
        </w:rPr>
      </w:pPr>
    </w:p>
    <w:p w:rsidR="00183BF9" w:rsidRPr="00621B7F" w:rsidP="00241F10">
      <w:pPr>
        <w:snapToGrid w:val="0"/>
        <w:spacing w:line="360" w:lineRule="auto"/>
        <w:ind w:firstLine="480"/>
        <w:rPr>
          <w:rFonts w:asciiTheme="minorEastAsia" w:eastAsiaTheme="minorEastAsia" w:hAnsiTheme="minorEastAsia"/>
          <w:color w:val="000000" w:themeColor="text1"/>
          <w:szCs w:val="21"/>
        </w:rPr>
        <w:sectPr w:rsidSect="006B7524">
          <w:pgSz w:w="11907" w:h="16840" w:code="9"/>
          <w:pgMar w:top="1440" w:right="1800" w:bottom="1440" w:left="1800" w:header="1134" w:footer="1247" w:gutter="0"/>
          <w:cols w:space="425"/>
          <w:docGrid w:type="lines" w:linePitch="312"/>
        </w:sectPr>
      </w:pP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864" w:name="_Toc91752095"/>
      <w:r w:rsidRPr="00621B7F">
        <w:rPr>
          <w:rFonts w:asciiTheme="minorEastAsia" w:eastAsiaTheme="minorEastAsia" w:hAnsiTheme="minorEastAsia" w:hint="eastAsia"/>
          <w:bCs/>
          <w:color w:val="000000" w:themeColor="text1"/>
        </w:rPr>
        <w:t>十</w:t>
      </w:r>
      <w:r w:rsidRPr="00621B7F" w:rsidR="00154249">
        <w:rPr>
          <w:rFonts w:asciiTheme="minorEastAsia" w:eastAsiaTheme="minorEastAsia" w:hAnsiTheme="minorEastAsia" w:hint="eastAsia"/>
          <w:bCs/>
          <w:color w:val="000000" w:themeColor="text1"/>
        </w:rPr>
        <w:t>七</w:t>
      </w:r>
      <w:r w:rsidRPr="00621B7F">
        <w:rPr>
          <w:rFonts w:asciiTheme="minorEastAsia" w:eastAsiaTheme="minorEastAsia" w:hAnsiTheme="minorEastAsia" w:hint="eastAsia"/>
          <w:bCs/>
          <w:color w:val="000000" w:themeColor="text1"/>
        </w:rPr>
        <w:t>、基金的会计与审计</w:t>
      </w:r>
      <w:bookmarkEnd w:id="864"/>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65" w:name="_Toc91752096"/>
      <w:r w:rsidRPr="00621B7F">
        <w:rPr>
          <w:rFonts w:asciiTheme="minorEastAsia" w:eastAsiaTheme="minorEastAsia" w:hAnsiTheme="minorEastAsia" w:hint="eastAsia"/>
          <w:b w:val="0"/>
          <w:color w:val="000000" w:themeColor="text1"/>
        </w:rPr>
        <w:t>（一）基金会计政策</w:t>
      </w:r>
      <w:bookmarkEnd w:id="865"/>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基金管理人为本基金的基金会计责任方；</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基金的会计年度为公历</w:t>
      </w:r>
      <w:r w:rsidRPr="00621B7F" w:rsidR="005D08B4">
        <w:rPr>
          <w:rFonts w:asciiTheme="minorEastAsia" w:eastAsiaTheme="minorEastAsia" w:hAnsiTheme="minorEastAsia" w:hint="eastAsia"/>
          <w:color w:val="000000" w:themeColor="text1"/>
          <w:szCs w:val="21"/>
        </w:rPr>
        <w:t>年度的1月1日</w:t>
      </w:r>
      <w:r w:rsidRPr="00621B7F">
        <w:rPr>
          <w:rFonts w:asciiTheme="minorEastAsia" w:eastAsiaTheme="minorEastAsia" w:hAnsiTheme="minorEastAsia" w:hint="eastAsia"/>
          <w:color w:val="000000" w:themeColor="text1"/>
          <w:szCs w:val="21"/>
        </w:rPr>
        <w:t>至12月31日；</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基金核算以人民币为记帐本位币，以人民币元为记账单位；</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会计制度执行国家有关的会计制度；</w:t>
      </w:r>
    </w:p>
    <w:p w:rsidR="00266A27" w:rsidRPr="00621B7F" w:rsidP="00241F10">
      <w:pPr>
        <w:tabs>
          <w:tab w:val="left" w:pos="5160"/>
        </w:tabs>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本</w:t>
      </w:r>
      <w:r w:rsidRPr="00621B7F">
        <w:rPr>
          <w:rFonts w:asciiTheme="minorEastAsia" w:eastAsiaTheme="minorEastAsia" w:hAnsiTheme="minorEastAsia"/>
          <w:color w:val="000000" w:themeColor="text1"/>
          <w:szCs w:val="21"/>
        </w:rPr>
        <w:t>基金</w:t>
      </w:r>
      <w:r w:rsidRPr="00621B7F">
        <w:rPr>
          <w:rFonts w:asciiTheme="minorEastAsia" w:eastAsiaTheme="minorEastAsia" w:hAnsiTheme="minorEastAsia" w:hint="eastAsia"/>
          <w:color w:val="000000" w:themeColor="text1"/>
          <w:szCs w:val="21"/>
        </w:rPr>
        <w:t>独立建帐、独立核算；</w:t>
      </w:r>
      <w:r w:rsidRPr="00621B7F" w:rsidR="007E76F2">
        <w:rPr>
          <w:rFonts w:asciiTheme="minorEastAsia" w:eastAsiaTheme="minorEastAsia" w:hAnsiTheme="minorEastAsia"/>
          <w:color w:val="000000" w:themeColor="text1"/>
          <w:szCs w:val="21"/>
        </w:rPr>
        <w:tab/>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基金管理人及基金托管人各自保留完整的会计帐目、凭证并进行日常的会计核算，按照有关规定编制基金会计报表；</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基金托管人每月与基金管理人就基金的会计核算、报表编制等进行核对并以书面方式确认。</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66" w:name="_Toc91752097"/>
      <w:r w:rsidRPr="00621B7F">
        <w:rPr>
          <w:rFonts w:asciiTheme="minorEastAsia" w:eastAsiaTheme="minorEastAsia" w:hAnsiTheme="minorEastAsia" w:hint="eastAsia"/>
          <w:b w:val="0"/>
          <w:color w:val="000000" w:themeColor="text1"/>
        </w:rPr>
        <w:t>（二）基金年度审计</w:t>
      </w:r>
      <w:bookmarkEnd w:id="866"/>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基金管理人聘请与基金管理人、基金托管人相互独立的具有证券</w:t>
      </w:r>
      <w:r w:rsidRPr="00621B7F" w:rsidR="00BA0606">
        <w:rPr>
          <w:rFonts w:asciiTheme="minorEastAsia" w:eastAsiaTheme="minorEastAsia" w:hAnsiTheme="minorEastAsia" w:hint="eastAsia"/>
          <w:color w:val="000000" w:themeColor="text1"/>
          <w:szCs w:val="21"/>
        </w:rPr>
        <w:t>、期货相关业务资格</w:t>
      </w:r>
      <w:r w:rsidRPr="00621B7F">
        <w:rPr>
          <w:rFonts w:asciiTheme="minorEastAsia" w:eastAsiaTheme="minorEastAsia" w:hAnsiTheme="minorEastAsia" w:hint="eastAsia"/>
          <w:color w:val="000000" w:themeColor="text1"/>
          <w:szCs w:val="21"/>
        </w:rPr>
        <w:t>的会计师事务所及其注册会计师对本基金的年度财务报表进行审计。</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会计师事务所更换经办注册会计师时，须事先征得基金管理人同意；</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F03D14">
        <w:rPr>
          <w:rFonts w:asciiTheme="minorEastAsia" w:eastAsiaTheme="minorEastAsia" w:hAnsiTheme="minorEastAsia" w:hint="eastAsia"/>
          <w:color w:val="000000" w:themeColor="text1"/>
          <w:szCs w:val="21"/>
        </w:rPr>
        <w:t>、</w:t>
      </w:r>
      <w:r w:rsidRPr="00621B7F" w:rsidR="00125513">
        <w:rPr>
          <w:rFonts w:asciiTheme="minorEastAsia" w:eastAsiaTheme="minorEastAsia" w:hAnsiTheme="minorEastAsia" w:hint="eastAsia"/>
          <w:color w:val="000000" w:themeColor="text1"/>
          <w:szCs w:val="21"/>
        </w:rPr>
        <w:t>基金管理人认为有充足理由更换会计师事务所，须通报基金托管人。更换会计师事务所需在2日内在</w:t>
      </w:r>
      <w:r w:rsidRPr="00621B7F" w:rsidR="00BA0606">
        <w:rPr>
          <w:rFonts w:asciiTheme="minorEastAsia" w:eastAsiaTheme="minorEastAsia" w:hAnsiTheme="minorEastAsia" w:hint="eastAsia"/>
          <w:color w:val="000000" w:themeColor="text1"/>
          <w:szCs w:val="21"/>
        </w:rPr>
        <w:t>指定媒介公告</w:t>
      </w:r>
      <w:r w:rsidRPr="00621B7F" w:rsidR="00125513">
        <w:rPr>
          <w:rFonts w:asciiTheme="minorEastAsia" w:eastAsiaTheme="minorEastAsia" w:hAnsiTheme="minorEastAsia" w:hint="eastAsia"/>
          <w:color w:val="000000" w:themeColor="text1"/>
          <w:szCs w:val="21"/>
        </w:rPr>
        <w:t>。</w:t>
      </w: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621B7F">
        <w:rPr>
          <w:rFonts w:asciiTheme="minorEastAsia" w:eastAsiaTheme="minorEastAsia" w:hAnsiTheme="minorEastAsia"/>
          <w:b/>
          <w:bCs/>
          <w:color w:val="000000" w:themeColor="text1"/>
        </w:rPr>
        <w:br w:type="page"/>
      </w:r>
      <w:bookmarkStart w:id="867" w:name="_Toc91752098"/>
      <w:r w:rsidRPr="00621B7F">
        <w:rPr>
          <w:rFonts w:asciiTheme="minorEastAsia" w:eastAsiaTheme="minorEastAsia" w:hAnsiTheme="minorEastAsia" w:hint="eastAsia"/>
          <w:bCs/>
          <w:color w:val="000000" w:themeColor="text1"/>
        </w:rPr>
        <w:t>十</w:t>
      </w:r>
      <w:r w:rsidRPr="00621B7F" w:rsidR="00154249">
        <w:rPr>
          <w:rFonts w:asciiTheme="minorEastAsia" w:eastAsiaTheme="minorEastAsia" w:hAnsiTheme="minorEastAsia" w:hint="eastAsia"/>
          <w:bCs/>
          <w:color w:val="000000" w:themeColor="text1"/>
        </w:rPr>
        <w:t>八</w:t>
      </w:r>
      <w:r w:rsidRPr="00621B7F">
        <w:rPr>
          <w:rFonts w:asciiTheme="minorEastAsia" w:eastAsiaTheme="minorEastAsia" w:hAnsiTheme="minorEastAsia" w:hint="eastAsia"/>
          <w:bCs/>
          <w:color w:val="000000" w:themeColor="text1"/>
        </w:rPr>
        <w:t>、基金的信息披露</w:t>
      </w:r>
      <w:bookmarkEnd w:id="867"/>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（一）本基金的信息披露应符合《基金法》、《运作办法》、《信息披露办法》、《基金合同》及其他有关规定。</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（二）信息披露义务人</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本基金信息披露义务人包括基金管理人、基金托管人、召集基金份额持有人大会的基金份额持有人等法律</w:t>
      </w:r>
      <w:r w:rsidRPr="00621B7F" w:rsidR="00BA0606">
        <w:rPr>
          <w:rFonts w:asciiTheme="minorEastAsia" w:eastAsiaTheme="minorEastAsia" w:hAnsiTheme="minorEastAsia" w:hint="eastAsia"/>
          <w:color w:val="000000" w:themeColor="text1"/>
          <w:szCs w:val="21"/>
        </w:rPr>
        <w:t>、行政</w:t>
      </w:r>
      <w:r w:rsidRPr="00621B7F">
        <w:rPr>
          <w:rFonts w:asciiTheme="minorEastAsia" w:eastAsiaTheme="minorEastAsia" w:hAnsiTheme="minorEastAsia" w:hint="eastAsia"/>
          <w:color w:val="000000" w:themeColor="text1"/>
          <w:szCs w:val="21"/>
        </w:rPr>
        <w:t>法规和中国证监会规定的自然人、法人和</w:t>
      </w:r>
      <w:r w:rsidRPr="00621B7F" w:rsidR="00BA0606">
        <w:rPr>
          <w:rFonts w:asciiTheme="minorEastAsia" w:eastAsiaTheme="minorEastAsia" w:hAnsiTheme="minorEastAsia" w:hint="eastAsia"/>
          <w:color w:val="000000" w:themeColor="text1"/>
          <w:szCs w:val="21"/>
        </w:rPr>
        <w:t>非法人</w:t>
      </w:r>
      <w:r w:rsidRPr="00621B7F">
        <w:rPr>
          <w:rFonts w:asciiTheme="minorEastAsia" w:eastAsiaTheme="minorEastAsia" w:hAnsiTheme="minorEastAsia" w:hint="eastAsia"/>
          <w:color w:val="000000" w:themeColor="text1"/>
          <w:szCs w:val="21"/>
        </w:rPr>
        <w:t>组织。</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350695"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本基金信息披露义务人应当在中国证监会规定时间内，将应予披露的基金信息通过</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披露，并保证基金投资者能够按照《基金合同》约定的时间和方式查阅或者复制公开披露的信息资料。</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（三）本基金信息披露义务人承诺公开披露的基金信息，不得有下列行为：</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虚假记载、误导性陈述或者重大遗漏；</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2</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对证券投资业绩进行预测；</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3</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违规承诺收益或者承担损失；</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4</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诋毁其他基金管理人、基金托管人或者基金</w:t>
      </w:r>
      <w:r w:rsidRPr="00621B7F" w:rsidR="00682C3E">
        <w:rPr>
          <w:rFonts w:asciiTheme="minorEastAsia" w:eastAsiaTheme="minorEastAsia" w:hAnsiTheme="minorEastAsia" w:hint="eastAsia"/>
          <w:color w:val="000000" w:themeColor="text1"/>
          <w:szCs w:val="21"/>
        </w:rPr>
        <w:t>销售</w:t>
      </w:r>
      <w:r w:rsidRPr="00621B7F">
        <w:rPr>
          <w:rFonts w:asciiTheme="minorEastAsia" w:eastAsiaTheme="minorEastAsia" w:hAnsiTheme="minorEastAsia" w:hint="eastAsia"/>
          <w:color w:val="000000" w:themeColor="text1"/>
          <w:szCs w:val="21"/>
        </w:rPr>
        <w:t>机构；</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5</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登载任何自然人、法人</w:t>
      </w:r>
      <w:r w:rsidRPr="00621B7F" w:rsidR="00BA0606">
        <w:rPr>
          <w:rFonts w:asciiTheme="minorEastAsia" w:eastAsiaTheme="minorEastAsia" w:hAnsiTheme="minorEastAsia" w:hint="eastAsia"/>
          <w:color w:val="000000" w:themeColor="text1"/>
          <w:szCs w:val="21"/>
        </w:rPr>
        <w:t>和非法人</w:t>
      </w:r>
      <w:r w:rsidRPr="00621B7F">
        <w:rPr>
          <w:rFonts w:asciiTheme="minorEastAsia" w:eastAsiaTheme="minorEastAsia" w:hAnsiTheme="minorEastAsia" w:hint="eastAsia"/>
          <w:color w:val="000000" w:themeColor="text1"/>
          <w:szCs w:val="21"/>
        </w:rPr>
        <w:t>组织的祝贺性、恭维性或推荐性的文字；</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6</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中国证监会禁止的其他行为。</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（四）</w:t>
      </w:r>
      <w:r w:rsidRPr="00621B7F" w:rsidR="00BA0606">
        <w:rPr>
          <w:rFonts w:asciiTheme="minorEastAsia" w:eastAsiaTheme="minorEastAsia" w:hAnsiTheme="minorEastAsia" w:hint="eastAsia"/>
          <w:color w:val="000000" w:themeColor="text1"/>
          <w:szCs w:val="21"/>
        </w:rPr>
        <w:t>本基金公开披露的信息应采用中文文本。如同时采用外文文本的，基金信息披露义务人应保证不同文本的内容一致。不同文本之间发生歧义的，以中文文本为准</w:t>
      </w:r>
      <w:r w:rsidRPr="00621B7F">
        <w:rPr>
          <w:rFonts w:asciiTheme="minorEastAsia" w:eastAsiaTheme="minorEastAsia" w:hAnsiTheme="minorEastAsia" w:hint="eastAsia"/>
          <w:color w:val="000000" w:themeColor="text1"/>
          <w:szCs w:val="21"/>
        </w:rPr>
        <w:t>。</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本基金公开披露的信息采用阿拉伯数字；除特别说明外，货币单位为人民币元。</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（五）公开披露的基金信息</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公开披露的基金信息包括：</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招募说明书、</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w:t>
      </w:r>
      <w:r w:rsidRPr="00621B7F" w:rsidR="00205002">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托管协议</w:t>
      </w:r>
      <w:r w:rsidRPr="00621B7F" w:rsidR="00205002">
        <w:rPr>
          <w:rFonts w:asciiTheme="minorEastAsia" w:eastAsiaTheme="minorEastAsia" w:hAnsiTheme="minorEastAsia" w:hint="eastAsia"/>
          <w:color w:val="000000" w:themeColor="text1"/>
          <w:szCs w:val="21"/>
        </w:rPr>
        <w:t>》</w:t>
      </w:r>
      <w:r w:rsidRPr="00621B7F" w:rsidR="00BA0606">
        <w:rPr>
          <w:rFonts w:asciiTheme="minorEastAsia" w:eastAsiaTheme="minorEastAsia" w:hAnsiTheme="minorEastAsia" w:hint="eastAsia"/>
          <w:color w:val="000000" w:themeColor="text1"/>
          <w:szCs w:val="21"/>
        </w:rPr>
        <w:t>、基金产品资料概要</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基金募集申请经中国证监会核准后，基金管理人在基金份额发售的</w:t>
      </w:r>
      <w:r w:rsidRPr="00621B7F">
        <w:rPr>
          <w:rFonts w:asciiTheme="minorEastAsia" w:eastAsiaTheme="minorEastAsia" w:hAnsiTheme="minorEastAsia"/>
          <w:color w:val="000000" w:themeColor="text1"/>
          <w:szCs w:val="21"/>
        </w:rPr>
        <w:t>3</w:t>
      </w:r>
      <w:r w:rsidRPr="00621B7F">
        <w:rPr>
          <w:rFonts w:asciiTheme="minorEastAsia" w:eastAsiaTheme="minorEastAsia" w:hAnsiTheme="minorEastAsia" w:hint="eastAsia"/>
          <w:color w:val="000000" w:themeColor="text1"/>
          <w:szCs w:val="21"/>
        </w:rPr>
        <w:t>日前，将</w:t>
      </w:r>
      <w:r w:rsidRPr="00621B7F" w:rsidR="00404569">
        <w:rPr>
          <w:rFonts w:asciiTheme="minorEastAsia" w:eastAsiaTheme="minorEastAsia" w:hAnsiTheme="minorEastAsia" w:hint="eastAsia"/>
          <w:color w:val="000000" w:themeColor="text1"/>
          <w:szCs w:val="21"/>
        </w:rPr>
        <w:t>基金</w:t>
      </w:r>
      <w:r w:rsidRPr="00621B7F">
        <w:rPr>
          <w:rFonts w:asciiTheme="minorEastAsia" w:eastAsiaTheme="minorEastAsia" w:hAnsiTheme="minorEastAsia" w:hint="eastAsia"/>
          <w:color w:val="000000" w:themeColor="text1"/>
          <w:szCs w:val="21"/>
        </w:rPr>
        <w:t>招募说明书、</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摘要登载在</w:t>
      </w:r>
      <w:r w:rsidRPr="00621B7F" w:rsidR="0033182F">
        <w:rPr>
          <w:rFonts w:asciiTheme="minorEastAsia" w:eastAsiaTheme="minorEastAsia" w:hAnsiTheme="minorEastAsia" w:hint="eastAsia"/>
          <w:color w:val="000000" w:themeColor="text1"/>
          <w:szCs w:val="21"/>
        </w:rPr>
        <w:t>指定媒介</w:t>
      </w:r>
      <w:r w:rsidRPr="00621B7F" w:rsidR="00690442">
        <w:rPr>
          <w:rFonts w:asciiTheme="minorEastAsia" w:eastAsiaTheme="minorEastAsia" w:hAnsiTheme="minorEastAsia" w:hint="eastAsia"/>
          <w:color w:val="000000" w:themeColor="text1"/>
          <w:szCs w:val="21"/>
        </w:rPr>
        <w:t>和基金管理人网站</w:t>
      </w:r>
      <w:r w:rsidRPr="00621B7F" w:rsidR="00404569">
        <w:rPr>
          <w:rFonts w:asciiTheme="minorEastAsia" w:eastAsiaTheme="minorEastAsia" w:hAnsiTheme="minorEastAsia" w:hint="eastAsia"/>
          <w:color w:val="000000" w:themeColor="text1"/>
          <w:szCs w:val="21"/>
        </w:rPr>
        <w:t>上</w:t>
      </w:r>
      <w:r w:rsidRPr="00621B7F">
        <w:rPr>
          <w:rFonts w:asciiTheme="minorEastAsia" w:eastAsiaTheme="minorEastAsia" w:hAnsiTheme="minorEastAsia" w:hint="eastAsia"/>
          <w:color w:val="000000" w:themeColor="text1"/>
          <w:szCs w:val="21"/>
        </w:rPr>
        <w:t>；基金管理人、基金托管人应当将</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托管协议</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登载在网站上。</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（1）招募说明书应当最大限度地披露影响基金投资者决策的全部事项，说明基金认购、申购和赎回安排、基金投资、基金产品特性、风险揭示、信息披露及基金份额持有人服务等内容。</w:t>
      </w:r>
      <w:r w:rsidRPr="00621B7F" w:rsidR="00BA0606">
        <w:rPr>
          <w:rFonts w:asciiTheme="minorEastAsia" w:eastAsiaTheme="minorEastAsia" w:hAnsiTheme="minorEastAsia" w:hint="eastAsia"/>
          <w:color w:val="000000" w:themeColor="text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621B7F">
        <w:rPr>
          <w:rFonts w:asciiTheme="minorEastAsia" w:eastAsiaTheme="minorEastAsia" w:hAnsiTheme="minorEastAsia" w:hint="eastAsia"/>
          <w:color w:val="000000" w:themeColor="text1"/>
          <w:szCs w:val="21"/>
        </w:rPr>
        <w:t>。</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是界定</w:t>
      </w:r>
      <w:r w:rsidRPr="00621B7F" w:rsidR="001F50F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1F50F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当事人的各项权利、义务关系，明确基金份额持有人大会召开的规则及具体程序，说明基金产品的特性等涉及基金投资者重大利益的事项的法律文件。</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托管协议</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是界定基金托管人和基金管理人在基金财产保管及基金运作监督等活动中的权利、义务关系的法律文件。</w:t>
      </w:r>
    </w:p>
    <w:p w:rsidR="00BA0606"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基金份额发售公告</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基金管理人应当就基金份额发售的具体事宜编制基金份额发售公告，并在披露招募说明书的当日登载于</w:t>
      </w:r>
      <w:r w:rsidRPr="00621B7F" w:rsidR="0033182F">
        <w:rPr>
          <w:rFonts w:asciiTheme="minorEastAsia" w:eastAsiaTheme="minorEastAsia" w:hAnsiTheme="minorEastAsia" w:hint="eastAsia"/>
          <w:color w:val="000000" w:themeColor="text1"/>
          <w:szCs w:val="21"/>
        </w:rPr>
        <w:t>指定媒介</w:t>
      </w:r>
      <w:r w:rsidRPr="00621B7F" w:rsidR="002742B9">
        <w:rPr>
          <w:rFonts w:asciiTheme="minorEastAsia" w:eastAsiaTheme="minorEastAsia" w:hAnsiTheme="minorEastAsia" w:hint="eastAsia"/>
          <w:color w:val="000000" w:themeColor="text1"/>
          <w:szCs w:val="21"/>
        </w:rPr>
        <w:t>和基金管理人网站</w:t>
      </w:r>
      <w:r w:rsidRPr="00621B7F" w:rsidR="00B03777">
        <w:rPr>
          <w:rFonts w:asciiTheme="minorEastAsia" w:eastAsiaTheme="minorEastAsia" w:hAnsiTheme="minorEastAsia" w:hint="eastAsia"/>
          <w:color w:val="000000" w:themeColor="text1"/>
          <w:szCs w:val="21"/>
        </w:rPr>
        <w:t>上</w:t>
      </w:r>
      <w:r w:rsidRPr="00621B7F">
        <w:rPr>
          <w:rFonts w:asciiTheme="minorEastAsia" w:eastAsiaTheme="minorEastAsia" w:hAnsiTheme="minorEastAsia" w:hint="eastAsia"/>
          <w:color w:val="000000" w:themeColor="text1"/>
          <w:szCs w:val="21"/>
        </w:rPr>
        <w:t>。</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F03D14">
        <w:rPr>
          <w:rFonts w:asciiTheme="minorEastAsia" w:eastAsiaTheme="minorEastAsia" w:hAnsiTheme="minorEastAsia" w:hint="eastAsia"/>
          <w:color w:val="000000" w:themeColor="text1"/>
          <w:szCs w:val="21"/>
        </w:rPr>
        <w:t>、</w:t>
      </w:r>
      <w:r w:rsidRPr="00621B7F" w:rsidR="001F50F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1F50F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生效公告</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基金管理人应当在</w:t>
      </w:r>
      <w:r w:rsidRPr="00621B7F" w:rsidR="001F50F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1F50F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生效的次日在</w:t>
      </w:r>
      <w:r w:rsidRPr="00621B7F" w:rsidR="0033182F">
        <w:rPr>
          <w:rFonts w:asciiTheme="minorEastAsia" w:eastAsiaTheme="minorEastAsia" w:hAnsiTheme="minorEastAsia" w:hint="eastAsia"/>
          <w:color w:val="000000" w:themeColor="text1"/>
          <w:szCs w:val="21"/>
        </w:rPr>
        <w:t>指定媒介</w:t>
      </w:r>
      <w:r w:rsidRPr="00621B7F" w:rsidR="00F73AE4">
        <w:rPr>
          <w:rFonts w:asciiTheme="minorEastAsia" w:eastAsiaTheme="minorEastAsia" w:hAnsiTheme="minorEastAsia" w:hint="eastAsia"/>
          <w:color w:val="000000" w:themeColor="text1"/>
          <w:szCs w:val="21"/>
        </w:rPr>
        <w:t>和基金管理人网站上</w:t>
      </w:r>
      <w:r w:rsidRPr="00621B7F">
        <w:rPr>
          <w:rFonts w:asciiTheme="minorEastAsia" w:eastAsiaTheme="minorEastAsia" w:hAnsiTheme="minorEastAsia" w:hint="eastAsia"/>
          <w:color w:val="000000" w:themeColor="text1"/>
          <w:szCs w:val="21"/>
        </w:rPr>
        <w:t>登载</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生效公告。</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基金净值</w:t>
      </w:r>
      <w:r w:rsidRPr="00621B7F" w:rsidR="00BA0606">
        <w:rPr>
          <w:rFonts w:asciiTheme="minorEastAsia" w:eastAsiaTheme="minorEastAsia" w:hAnsiTheme="minorEastAsia" w:hint="eastAsia"/>
          <w:color w:val="000000" w:themeColor="text1"/>
          <w:szCs w:val="21"/>
        </w:rPr>
        <w:t>信息</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《基金合同》生效后，在开始办理基金份额申购或者赎回前，基金管理人应当至少每周在指定网站披露一次基金份额净值和基金份额累计净值。</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在开始办理基金份额申购或者赎回后，基金管理人应当在不晚于每个开放日的次日，通过指定网站、基金销售机构网站或者营业网点披露开放日的基金份额净值和基金份额累计净值。</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基金管理人应当在不晚于半年度和年度最后一日的次日，在指定网站披露半年度和年度最后一日的基金份额净值和基金份额累计净值。</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基金份额申购、赎回价格</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基金管理人应当在</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w:t>
      </w:r>
      <w:r w:rsidRPr="00621B7F" w:rsidR="00192CE8">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、招募说明书等信息披露文件上载明基金份额申购、赎回价格的计算方式及有关申购、赎回费率，并保证</w:t>
      </w:r>
      <w:r w:rsidRPr="00621B7F" w:rsidR="00192CE8">
        <w:rPr>
          <w:rFonts w:asciiTheme="minorEastAsia" w:eastAsiaTheme="minorEastAsia" w:hAnsiTheme="minorEastAsia" w:hint="eastAsia"/>
          <w:color w:val="000000" w:themeColor="text1"/>
          <w:szCs w:val="21"/>
        </w:rPr>
        <w:t>投资者</w:t>
      </w:r>
      <w:r w:rsidRPr="00621B7F">
        <w:rPr>
          <w:rFonts w:asciiTheme="minorEastAsia" w:eastAsiaTheme="minorEastAsia" w:hAnsiTheme="minorEastAsia" w:hint="eastAsia"/>
          <w:color w:val="000000" w:themeColor="text1"/>
          <w:szCs w:val="21"/>
        </w:rPr>
        <w:t>能够在基金</w:t>
      </w:r>
      <w:r w:rsidRPr="00621B7F" w:rsidR="00BA0606">
        <w:rPr>
          <w:rFonts w:asciiTheme="minorEastAsia" w:eastAsiaTheme="minorEastAsia" w:hAnsiTheme="minorEastAsia" w:hint="eastAsia"/>
          <w:color w:val="000000" w:themeColor="text1"/>
          <w:szCs w:val="21"/>
        </w:rPr>
        <w:t>销售机构网站或营业</w:t>
      </w:r>
      <w:r w:rsidRPr="00621B7F">
        <w:rPr>
          <w:rFonts w:asciiTheme="minorEastAsia" w:eastAsiaTheme="minorEastAsia" w:hAnsiTheme="minorEastAsia" w:hint="eastAsia"/>
          <w:color w:val="000000" w:themeColor="text1"/>
          <w:szCs w:val="21"/>
        </w:rPr>
        <w:t>网点查阅或者复制前述信息资料。</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基金定期报告，包括基金年度报告、基金</w:t>
      </w:r>
      <w:r w:rsidRPr="00621B7F" w:rsidR="00BA0606">
        <w:rPr>
          <w:rFonts w:asciiTheme="minorEastAsia" w:eastAsiaTheme="minorEastAsia" w:hAnsiTheme="minorEastAsia" w:hint="eastAsia"/>
          <w:color w:val="000000" w:themeColor="text1"/>
          <w:szCs w:val="21"/>
        </w:rPr>
        <w:t>中期</w:t>
      </w:r>
      <w:r w:rsidRPr="00621B7F">
        <w:rPr>
          <w:rFonts w:asciiTheme="minorEastAsia" w:eastAsiaTheme="minorEastAsia" w:hAnsiTheme="minorEastAsia" w:hint="eastAsia"/>
          <w:color w:val="000000" w:themeColor="text1"/>
          <w:szCs w:val="21"/>
        </w:rPr>
        <w:t>报告和基金季度报告</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基金管理人应当在上半年结束之日起两个月内，编制完成基金中期报告，将中期报告登载在指定网站上，并将中期报告提示性公告登载在指定报刊上。</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基金管理人应当在季度结束之日起15个工作日内，编制完成基金季度报告，将季度报告登载在指定网站上，并将季度报告提示性公告登载在指定报刊上。</w:t>
      </w:r>
    </w:p>
    <w:p w:rsidR="00BA0606" w:rsidRPr="00621B7F" w:rsidP="005C162A">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《基金合同》生效不足2个月的，基金管理人可以不编制当期季度报告、中期报告或者年度报告。</w:t>
      </w:r>
    </w:p>
    <w:p w:rsidR="00855C3C" w:rsidRPr="00621B7F" w:rsidP="005C162A">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报告期内出现单一投资者持有基金份额比例达到或超过</w:t>
      </w:r>
      <w:r w:rsidRPr="00621B7F">
        <w:rPr>
          <w:rFonts w:asciiTheme="minorEastAsia" w:eastAsiaTheme="minorEastAsia" w:hAnsiTheme="minorEastAsia"/>
          <w:color w:val="000000" w:themeColor="text1"/>
          <w:szCs w:val="21"/>
        </w:rPr>
        <w:t>20%</w:t>
      </w:r>
      <w:r w:rsidRPr="00621B7F">
        <w:rPr>
          <w:rFonts w:asciiTheme="minorEastAsia" w:eastAsiaTheme="minorEastAsia" w:hAnsiTheme="minorEastAsia" w:hint="eastAsia"/>
          <w:color w:val="000000" w:themeColor="text1"/>
          <w:szCs w:val="21"/>
        </w:rPr>
        <w:t>的情形，基金管理人应当在季度报告、</w:t>
      </w:r>
      <w:r w:rsidRPr="00621B7F" w:rsidR="00BA0606">
        <w:rPr>
          <w:rFonts w:asciiTheme="minorEastAsia" w:eastAsiaTheme="minorEastAsia" w:hAnsiTheme="minorEastAsia" w:hint="eastAsia"/>
          <w:color w:val="000000" w:themeColor="text1"/>
          <w:szCs w:val="21"/>
        </w:rPr>
        <w:t>中期</w:t>
      </w:r>
      <w:r w:rsidRPr="00621B7F">
        <w:rPr>
          <w:rFonts w:asciiTheme="minorEastAsia" w:eastAsiaTheme="minorEastAsia" w:hAnsiTheme="minorEastAsia" w:hint="eastAsia"/>
          <w:color w:val="000000" w:themeColor="text1"/>
          <w:szCs w:val="21"/>
        </w:rPr>
        <w:t>报告、年度报告等定期报告文件中披露该投资者的类别、报告期末持有份额及占比、报告期内持有份额变化情况及产品的特有风险，中国证监会认定的特殊情形除外。</w:t>
      </w:r>
    </w:p>
    <w:p w:rsidR="002B2F3A" w:rsidRPr="00621B7F" w:rsidP="002B2F3A">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基金持续运作过程中，基金管理人应当在基金年度报告和</w:t>
      </w:r>
      <w:r w:rsidRPr="00621B7F" w:rsidR="00BA0606">
        <w:rPr>
          <w:rFonts w:asciiTheme="minorEastAsia" w:eastAsiaTheme="minorEastAsia" w:hAnsiTheme="minorEastAsia" w:hint="eastAsia"/>
          <w:color w:val="000000" w:themeColor="text1"/>
          <w:szCs w:val="21"/>
        </w:rPr>
        <w:t>中期</w:t>
      </w:r>
      <w:r w:rsidRPr="00621B7F">
        <w:rPr>
          <w:rFonts w:asciiTheme="minorEastAsia" w:eastAsiaTheme="minorEastAsia" w:hAnsiTheme="minorEastAsia" w:hint="eastAsia"/>
          <w:color w:val="000000" w:themeColor="text1"/>
          <w:szCs w:val="21"/>
        </w:rPr>
        <w:t>报告中披露基金组合资产情况及其流动性风险分析等。</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临时报告</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本基金发生重大事件，有关信息披露义务人应当在2日内编制临时报告书，</w:t>
      </w:r>
      <w:r w:rsidRPr="00621B7F" w:rsidR="00BA0606">
        <w:rPr>
          <w:rFonts w:asciiTheme="minorEastAsia" w:eastAsiaTheme="minorEastAsia" w:hAnsiTheme="minorEastAsia" w:hint="eastAsia"/>
          <w:color w:val="000000" w:themeColor="text1"/>
          <w:szCs w:val="21"/>
        </w:rPr>
        <w:t>并登载在指定报刊和指定网站上</w:t>
      </w:r>
      <w:r w:rsidRPr="00621B7F">
        <w:rPr>
          <w:rFonts w:asciiTheme="minorEastAsia" w:eastAsiaTheme="minorEastAsia" w:hAnsiTheme="minorEastAsia" w:hint="eastAsia"/>
          <w:color w:val="000000" w:themeColor="text1"/>
          <w:szCs w:val="21"/>
        </w:rPr>
        <w:t>。</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前款所称重大事件，是指可能对基金份额持有人权益或者基金份额的价格产生重大影响的下列事件：</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（1）基金份额持有人大会的召开及决定的事项；</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（2）基金合同终止、基金清算；</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（3）转换基金运作方式、基金合并；</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（4）更换基金管理人、基金托管人、基金份额登记机构，基金改聘会计师事务所；</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（5）基金管理人委托基金服务机构代为办理基金的份额登记、核算、估值等事项，基金托管人委托基金服务机构代为办理基金的核算、估值、复核等事项；</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（6）基金管理人、基金托管人的法定名称、住所发生变更；</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（7）基金管理公司变更持有百分之五以上股权的股东、基金管理人的实际控制人变更；</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（8）基金募集期延长或提前结束募集；</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（9）基金管理人的高级管理人员、基金经理和基金托管人专门基金托管部门负责人发生变动；</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（10）基金管理人的董事在最近12个月内变更超过百分之五十，基金管理人、基金托管人专门基金托管部门的主要业务人员在最近12个月内变动超过百分之三十；</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（11）涉及基金财产、基金管理业务、基金托管业务的诉讼或仲裁；</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（14）基金收益分配事项；</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（15）管理费、托管费、销售服务费、申购费、赎回费等费用计提标准、计提方式和费率发生变更；</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（16）基金份额净值计价错误达基金份额净值百分之零点五；</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（17）本基金开始办理申购、赎回；</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（18）本基金暂停接受申购、赎回申请或重新接受申购、赎回申请；</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（19）调整基金份额类别的设置；</w:t>
      </w:r>
    </w:p>
    <w:p w:rsidR="00BA0606" w:rsidRPr="00621B7F" w:rsidP="00BA0606">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（20）基金推出新业务或服务；</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（21）基金信息披露义务人认为可能对基金份额持有人权益或者基金份额的价格产生重大影响的其他事项或中国证监会规定的其他事项。</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澄清公告</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在基金合同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8D493A" w:rsidRPr="00621B7F" w:rsidP="008D493A">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清算报告</w:t>
      </w:r>
    </w:p>
    <w:p w:rsidR="008D493A" w:rsidRPr="00621B7F" w:rsidP="008D493A">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266A27" w:rsidRPr="00621B7F" w:rsidP="008D493A">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10、基金份额持有人大会决议</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基金份额持有人大会决定的事项，应当依法报</w:t>
      </w:r>
      <w:r w:rsidRPr="00621B7F" w:rsidR="00350695">
        <w:rPr>
          <w:rFonts w:asciiTheme="minorEastAsia" w:eastAsiaTheme="minorEastAsia" w:hAnsiTheme="minorEastAsia" w:hint="eastAsia"/>
          <w:color w:val="000000" w:themeColor="text1"/>
          <w:szCs w:val="21"/>
        </w:rPr>
        <w:t>中国证监会</w:t>
      </w:r>
      <w:r w:rsidRPr="00621B7F">
        <w:rPr>
          <w:rFonts w:asciiTheme="minorEastAsia" w:eastAsiaTheme="minorEastAsia" w:hAnsiTheme="minorEastAsia" w:hint="eastAsia"/>
          <w:color w:val="000000" w:themeColor="text1"/>
          <w:szCs w:val="21"/>
        </w:rPr>
        <w:t>核准或者备案，并予以公告。召开基金份额持有人大会的，召集人应当至少提前4</w:t>
      </w:r>
      <w:r w:rsidRPr="00621B7F">
        <w:rPr>
          <w:rFonts w:asciiTheme="minorEastAsia" w:eastAsiaTheme="minorEastAsia" w:hAnsiTheme="minorEastAsia"/>
          <w:color w:val="000000" w:themeColor="text1"/>
          <w:szCs w:val="21"/>
        </w:rPr>
        <w:t>0</w:t>
      </w:r>
      <w:r w:rsidRPr="00621B7F">
        <w:rPr>
          <w:rFonts w:asciiTheme="minorEastAsia" w:eastAsiaTheme="minorEastAsia" w:hAnsiTheme="minorEastAsia" w:hint="eastAsia"/>
          <w:color w:val="000000" w:themeColor="text1"/>
          <w:szCs w:val="21"/>
        </w:rPr>
        <w:t>日公告基金份额持有人大会的召开时间、会议形式、审议事项、议事程序和表决方式等事项。</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基金份额持有人依法自行召集基金份额持有人大会，基金管理人、基金托管人对基金份额持有人大会决定的事项不依法履行信息披露义务的，召集人应当履行相关信息披露义务。</w:t>
      </w:r>
    </w:p>
    <w:p w:rsidR="006F7EEF"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8D493A">
        <w:rPr>
          <w:rFonts w:asciiTheme="minorEastAsia" w:eastAsiaTheme="minorEastAsia" w:hAnsiTheme="minorEastAsia" w:hint="eastAsia"/>
          <w:color w:val="000000" w:themeColor="text1"/>
          <w:szCs w:val="21"/>
        </w:rPr>
        <w:t>1</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中国证监会规定的其他信息</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若本基金参与融资及转融通证券出借业务，基金管理人将按相关法律法规要求进行披露。</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（六）信息披露事务管理</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基金管理人、基金托管人应当建立健全信息披露管理制度，指定</w:t>
      </w:r>
      <w:r w:rsidRPr="00621B7F" w:rsidR="008D493A">
        <w:rPr>
          <w:rFonts w:asciiTheme="minorEastAsia" w:eastAsiaTheme="minorEastAsia" w:hAnsiTheme="minorEastAsia" w:hint="eastAsia"/>
          <w:color w:val="000000" w:themeColor="text1"/>
          <w:szCs w:val="21"/>
        </w:rPr>
        <w:t>专门部门及高级管理人员</w:t>
      </w:r>
      <w:r w:rsidRPr="00621B7F">
        <w:rPr>
          <w:rFonts w:asciiTheme="minorEastAsia" w:eastAsiaTheme="minorEastAsia" w:hAnsiTheme="minorEastAsia" w:hint="eastAsia"/>
          <w:color w:val="000000" w:themeColor="text1"/>
          <w:szCs w:val="21"/>
        </w:rPr>
        <w:t>负责管理信息披露事务。</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w:t>
      </w:r>
      <w:r w:rsidRPr="00621B7F" w:rsidR="008D493A">
        <w:rPr>
          <w:rFonts w:asciiTheme="minorEastAsia" w:eastAsiaTheme="minorEastAsia" w:hAnsiTheme="minorEastAsia" w:hint="eastAsia"/>
          <w:color w:val="000000" w:themeColor="text1"/>
          <w:szCs w:val="21"/>
        </w:rPr>
        <w:t>等法规</w:t>
      </w:r>
      <w:r w:rsidRPr="00621B7F">
        <w:rPr>
          <w:rFonts w:asciiTheme="minorEastAsia" w:eastAsiaTheme="minorEastAsia" w:hAnsiTheme="minorEastAsia" w:hint="eastAsia"/>
          <w:color w:val="000000" w:themeColor="text1"/>
          <w:szCs w:val="21"/>
        </w:rPr>
        <w:t>的规定。</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基金托管人应当按照相关法律法规、中国证监会的规定和《基金合同》的约定，对基金管理人编制的基金资产净值、基金份额净值、基金份额申购赎回价格、基金定期报告</w:t>
      </w:r>
      <w:r w:rsidRPr="00621B7F" w:rsidR="008D493A">
        <w:rPr>
          <w:rFonts w:asciiTheme="minorEastAsia" w:eastAsiaTheme="minorEastAsia" w:hAnsiTheme="minorEastAsia" w:hint="eastAsia"/>
          <w:color w:val="000000" w:themeColor="text1"/>
          <w:szCs w:val="21"/>
        </w:rPr>
        <w:t>、更新的招募说明书、基金产品资料概要、基金清算报告</w:t>
      </w:r>
      <w:r w:rsidRPr="00621B7F">
        <w:rPr>
          <w:rFonts w:asciiTheme="minorEastAsia" w:eastAsiaTheme="minorEastAsia" w:hAnsiTheme="minorEastAsia" w:hint="eastAsia"/>
          <w:color w:val="000000" w:themeColor="text1"/>
          <w:szCs w:val="21"/>
        </w:rPr>
        <w:t>等公开披露的相关基金信息进行复核、审查，并向基金管理人</w:t>
      </w:r>
      <w:r w:rsidRPr="00621B7F" w:rsidR="008D493A">
        <w:rPr>
          <w:rFonts w:asciiTheme="minorEastAsia" w:eastAsiaTheme="minorEastAsia" w:hAnsiTheme="minorEastAsia" w:hint="eastAsia"/>
          <w:color w:val="000000" w:themeColor="text1"/>
          <w:szCs w:val="21"/>
        </w:rPr>
        <w:t>进行书面或电子确认</w:t>
      </w:r>
      <w:r w:rsidRPr="00621B7F">
        <w:rPr>
          <w:rFonts w:asciiTheme="minorEastAsia" w:eastAsiaTheme="minorEastAsia" w:hAnsiTheme="minorEastAsia" w:hint="eastAsia"/>
          <w:color w:val="000000" w:themeColor="text1"/>
          <w:szCs w:val="21"/>
        </w:rPr>
        <w:t>。</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基金管理人、基金托管人除依法在</w:t>
      </w:r>
      <w:r w:rsidRPr="00621B7F" w:rsidR="0033182F">
        <w:rPr>
          <w:rFonts w:asciiTheme="minorEastAsia" w:eastAsiaTheme="minorEastAsia" w:hAnsiTheme="minorEastAsia" w:hint="eastAsia"/>
          <w:color w:val="000000" w:themeColor="text1"/>
          <w:szCs w:val="21"/>
        </w:rPr>
        <w:t>指定媒介</w:t>
      </w:r>
      <w:r w:rsidRPr="00621B7F" w:rsidR="009D4BD0">
        <w:rPr>
          <w:rFonts w:asciiTheme="minorEastAsia" w:eastAsiaTheme="minorEastAsia" w:hAnsiTheme="minorEastAsia" w:hint="eastAsia"/>
          <w:color w:val="000000" w:themeColor="text1"/>
          <w:szCs w:val="21"/>
        </w:rPr>
        <w:t>和基金管理人网站上</w:t>
      </w:r>
      <w:r w:rsidRPr="00621B7F">
        <w:rPr>
          <w:rFonts w:asciiTheme="minorEastAsia" w:eastAsiaTheme="minorEastAsia" w:hAnsiTheme="minorEastAsia" w:hint="eastAsia"/>
          <w:color w:val="000000" w:themeColor="text1"/>
          <w:szCs w:val="21"/>
        </w:rPr>
        <w:t>披露信息外，还可以根据需要在其他公共媒体披露信息，但是其他公共媒体不得早于</w:t>
      </w:r>
      <w:r w:rsidRPr="00621B7F" w:rsidR="0033182F">
        <w:rPr>
          <w:rFonts w:asciiTheme="minorEastAsia" w:eastAsiaTheme="minorEastAsia" w:hAnsiTheme="minorEastAsia" w:hint="eastAsia"/>
          <w:color w:val="000000" w:themeColor="text1"/>
          <w:szCs w:val="21"/>
        </w:rPr>
        <w:t>指定媒介</w:t>
      </w:r>
      <w:r w:rsidRPr="00621B7F" w:rsidR="009D4BD0">
        <w:rPr>
          <w:rFonts w:asciiTheme="minorEastAsia" w:eastAsiaTheme="minorEastAsia" w:hAnsiTheme="minorEastAsia" w:hint="eastAsia"/>
          <w:color w:val="000000" w:themeColor="text1"/>
          <w:szCs w:val="21"/>
        </w:rPr>
        <w:t>和基金管理人网站</w:t>
      </w:r>
      <w:r w:rsidRPr="00621B7F">
        <w:rPr>
          <w:rFonts w:asciiTheme="minorEastAsia" w:eastAsiaTheme="minorEastAsia" w:hAnsiTheme="minorEastAsia" w:hint="eastAsia"/>
          <w:color w:val="000000" w:themeColor="text1"/>
          <w:szCs w:val="21"/>
        </w:rPr>
        <w:t>披露信息，并且在不同媒介上披露同一信息的内容应当一致。</w:t>
      </w:r>
    </w:p>
    <w:p w:rsidR="008D493A"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（七）信息披露文件的存放与查阅</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依法必须披露的信息发布后，基金管理人、基金托管人应当按照相关法律法规规定将信息置备于公司办公场所，供社会公众查阅、复制。</w:t>
      </w:r>
    </w:p>
    <w:p w:rsidR="00BF0D58" w:rsidRPr="00621B7F" w:rsidP="00A32B85">
      <w:pPr>
        <w:pStyle w:val="Heading1"/>
        <w:snapToGrid w:val="0"/>
        <w:spacing w:beforeLines="0" w:afterLines="0" w:line="360" w:lineRule="auto"/>
        <w:ind w:firstLine="0" w:firstLineChars="0"/>
        <w:rPr>
          <w:rFonts w:asciiTheme="minorEastAsia" w:eastAsiaTheme="minorEastAsia" w:hAnsiTheme="minorEastAsia"/>
          <w:b/>
          <w:bCs/>
          <w:color w:val="000000" w:themeColor="text1"/>
        </w:rPr>
        <w:sectPr w:rsidSect="006B7524">
          <w:pgSz w:w="11907" w:h="16840" w:code="9"/>
          <w:pgMar w:top="1440" w:right="1800" w:bottom="1440" w:left="1800" w:header="1134" w:footer="1247" w:gutter="0"/>
          <w:cols w:space="425"/>
          <w:docGrid w:type="lines" w:linePitch="312"/>
        </w:sectPr>
      </w:pP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color w:val="000000" w:themeColor="text1"/>
        </w:rPr>
      </w:pPr>
      <w:bookmarkStart w:id="868" w:name="_Toc91752099"/>
      <w:r w:rsidRPr="00621B7F">
        <w:rPr>
          <w:rFonts w:asciiTheme="minorEastAsia" w:eastAsiaTheme="minorEastAsia" w:hAnsiTheme="minorEastAsia" w:hint="eastAsia"/>
          <w:bCs/>
          <w:color w:val="000000" w:themeColor="text1"/>
        </w:rPr>
        <w:t>十</w:t>
      </w:r>
      <w:r w:rsidRPr="00621B7F" w:rsidR="00154249">
        <w:rPr>
          <w:rFonts w:asciiTheme="minorEastAsia" w:eastAsiaTheme="minorEastAsia" w:hAnsiTheme="minorEastAsia" w:hint="eastAsia"/>
          <w:bCs/>
          <w:color w:val="000000" w:themeColor="text1"/>
        </w:rPr>
        <w:t>九</w:t>
      </w:r>
      <w:r w:rsidRPr="00621B7F">
        <w:rPr>
          <w:rFonts w:asciiTheme="minorEastAsia" w:eastAsiaTheme="minorEastAsia" w:hAnsiTheme="minorEastAsia" w:hint="eastAsia"/>
          <w:bCs/>
          <w:color w:val="000000" w:themeColor="text1"/>
        </w:rPr>
        <w:t>、风险揭示</w:t>
      </w:r>
      <w:bookmarkEnd w:id="868"/>
    </w:p>
    <w:p w:rsidR="00932034"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69" w:name="_Toc91752100"/>
      <w:bookmarkStart w:id="870" w:name="_Toc76367385"/>
      <w:bookmarkStart w:id="871" w:name="_Toc92074917"/>
      <w:bookmarkStart w:id="872" w:name="_Toc231784428"/>
      <w:bookmarkStart w:id="873" w:name="_Toc238870123"/>
      <w:r w:rsidRPr="00621B7F">
        <w:rPr>
          <w:rFonts w:asciiTheme="minorEastAsia" w:eastAsiaTheme="minorEastAsia" w:hAnsiTheme="minorEastAsia" w:hint="eastAsia"/>
          <w:b w:val="0"/>
          <w:color w:val="000000" w:themeColor="text1"/>
        </w:rPr>
        <w:t>（一）本基金特有的风险</w:t>
      </w:r>
      <w:bookmarkEnd w:id="869"/>
    </w:p>
    <w:p w:rsidR="00932034" w:rsidRPr="00621B7F" w:rsidP="00241F10">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w:t>
      </w:r>
      <w:r w:rsidRPr="00621B7F" w:rsidR="00F03D14">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rPr>
        <w:t>标的</w:t>
      </w:r>
      <w:r w:rsidRPr="00621B7F">
        <w:rPr>
          <w:rFonts w:asciiTheme="minorEastAsia" w:eastAsiaTheme="minorEastAsia" w:hAnsiTheme="minorEastAsia"/>
          <w:color w:val="000000" w:themeColor="text1"/>
        </w:rPr>
        <w:t>指数</w:t>
      </w:r>
      <w:r w:rsidRPr="00621B7F">
        <w:rPr>
          <w:rFonts w:asciiTheme="minorEastAsia" w:eastAsiaTheme="minorEastAsia" w:hAnsiTheme="minorEastAsia" w:hint="eastAsia"/>
          <w:color w:val="000000" w:themeColor="text1"/>
        </w:rPr>
        <w:t>的波动</w:t>
      </w:r>
      <w:r w:rsidRPr="00621B7F">
        <w:rPr>
          <w:rFonts w:asciiTheme="minorEastAsia" w:eastAsiaTheme="minorEastAsia" w:hAnsiTheme="minorEastAsia"/>
          <w:color w:val="000000" w:themeColor="text1"/>
        </w:rPr>
        <w:t>风险</w:t>
      </w:r>
    </w:p>
    <w:p w:rsidR="00932034" w:rsidRPr="00621B7F" w:rsidP="00241F10">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kern w:val="0"/>
          <w:szCs w:val="21"/>
        </w:rPr>
        <w:t>标的指数成份股的价格可能受到政治因素、经济因素、上市公司经营状况、投资者心理和交易制度等各种因素的影响而波动，导致标的指数波动。由于本基金主要投资于目标</w:t>
      </w:r>
      <w:r w:rsidRPr="00621B7F">
        <w:rPr>
          <w:rFonts w:asciiTheme="minorEastAsia" w:eastAsiaTheme="minorEastAsia" w:hAnsiTheme="minorEastAsia"/>
          <w:color w:val="000000" w:themeColor="text1"/>
          <w:kern w:val="0"/>
          <w:szCs w:val="21"/>
        </w:rPr>
        <w:t>ETF</w:t>
      </w:r>
      <w:r w:rsidRPr="00621B7F">
        <w:rPr>
          <w:rFonts w:asciiTheme="minorEastAsia" w:eastAsiaTheme="minorEastAsia" w:hAnsiTheme="minorEastAsia" w:hint="eastAsia"/>
          <w:color w:val="000000" w:themeColor="text1"/>
          <w:kern w:val="0"/>
          <w:szCs w:val="21"/>
        </w:rPr>
        <w:t>，基金收益水平会发生变化，产生风险。</w:t>
      </w:r>
    </w:p>
    <w:p w:rsidR="00932034"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2、指数编制机构发布数据错误的风险</w:t>
      </w:r>
    </w:p>
    <w:p w:rsidR="00932034"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如果指数编制机构发布的成份股数据出现错误，目标ETF的资产净值可能受到不利影响。由于本基金主要投资于目标ETF，本基金资产净值也可能受到不利影响。</w:t>
      </w:r>
    </w:p>
    <w:p w:rsidR="00932034"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3、基金收益率与业绩比较基准收益率偏离的风险，主要影响因素包括：</w:t>
      </w:r>
    </w:p>
    <w:p w:rsidR="00932034"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（1）目标ETF相对标的指数的跟踪误差</w:t>
      </w:r>
    </w:p>
    <w:p w:rsidR="00932034"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本基金主要通过投资于目标ETF实现对业绩比较基准的紧密跟踪，目标ETF对标的</w:t>
      </w:r>
      <w:r w:rsidRPr="00621B7F">
        <w:rPr>
          <w:rFonts w:asciiTheme="minorEastAsia" w:eastAsiaTheme="minorEastAsia" w:hAnsiTheme="minorEastAsia"/>
          <w:color w:val="000000" w:themeColor="text1"/>
          <w:szCs w:val="21"/>
        </w:rPr>
        <w:t>指数</w:t>
      </w:r>
      <w:r w:rsidRPr="00621B7F">
        <w:rPr>
          <w:rFonts w:asciiTheme="minorEastAsia" w:eastAsiaTheme="minorEastAsia" w:hAnsiTheme="minorEastAsia" w:hint="eastAsia"/>
          <w:color w:val="000000" w:themeColor="text1"/>
          <w:szCs w:val="21"/>
        </w:rPr>
        <w:t>的跟踪误差会影响本基金对业绩比较基准的跟踪误差；</w:t>
      </w:r>
    </w:p>
    <w:p w:rsidR="00932034"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（2）本基金发生申购赎回、管理费和托管费收取等其他导致基金跟踪误差的情形。</w:t>
      </w:r>
    </w:p>
    <w:p w:rsidR="00C803BE" w:rsidRPr="00621B7F" w:rsidP="00C803BE">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4、跟踪误差控制未达约定目标的风险</w:t>
      </w:r>
    </w:p>
    <w:p w:rsidR="00C803BE" w:rsidRPr="00621B7F" w:rsidP="00C803BE">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szCs w:val="21"/>
        </w:rPr>
        <w:t>本基金为上证中盘ETF的联接基金。上证中盘ETF是采用完全复制法实现对上证中盘指数紧密跟踪的全被动指数基金，本基金主要通过投资于上证中盘ETF实现对业绩比较基准的紧密跟踪，力争将日均跟踪偏离度控制在0.35%以内，年化跟踪误差控制在4%以内</w:t>
      </w:r>
      <w:r w:rsidRPr="00621B7F">
        <w:rPr>
          <w:rFonts w:asciiTheme="minorEastAsia" w:eastAsiaTheme="minorEastAsia" w:hAnsiTheme="minorEastAsia" w:hint="eastAsia"/>
          <w:color w:val="000000" w:themeColor="text1"/>
        </w:rPr>
        <w:t>，但因标的指数编制规则调整或其他因素可能导致跟踪误差超过上述范围，本基金净值表现与指数价格走势可能发生较大偏离。</w:t>
      </w:r>
    </w:p>
    <w:p w:rsidR="00C803BE" w:rsidRPr="00621B7F" w:rsidP="00C803BE">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5、指数编制机构停止服务的风险</w:t>
      </w:r>
    </w:p>
    <w:p w:rsidR="00C803BE" w:rsidRPr="00621B7F" w:rsidP="00C803BE">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C803BE" w:rsidRPr="00621B7F" w:rsidP="00C803BE">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C803BE" w:rsidRPr="00621B7F" w:rsidP="00C803BE">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6、成份股停牌的风险</w:t>
      </w:r>
    </w:p>
    <w:p w:rsidR="00C803BE" w:rsidRPr="00621B7F" w:rsidP="00C803BE">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标的指数成份股可能因各种原因临时或长期停牌，发生成份股停牌时可能面临如下风险：</w:t>
      </w:r>
    </w:p>
    <w:p w:rsidR="00C803BE" w:rsidRPr="00621B7F" w:rsidP="00C803BE">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（1）目标ETF可能因无法及时调整投资组合而导致本基金跟踪偏离度和跟踪误差扩大。</w:t>
      </w:r>
    </w:p>
    <w:p w:rsidR="00C803BE" w:rsidRPr="00621B7F" w:rsidP="00C803BE">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在极端情况下，标的指数成份股可能大面积停牌，目标ETF可能无法及时卖出成份股以获取足额的符合要求的赎回对价，由此基金管理人可能在申购赎回清单中设置较低的赎回份额上限或者采取暂停赎回的措施，本基金将面临无法赎回全部或部分ETF份额的风险。</w:t>
      </w:r>
    </w:p>
    <w:p w:rsidR="00DD01DC" w:rsidRPr="00621B7F" w:rsidP="00DD01DC">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rPr>
        <w:t>7</w:t>
      </w:r>
      <w:r w:rsidRPr="00621B7F" w:rsidR="00F03D14">
        <w:rPr>
          <w:rFonts w:asciiTheme="minorEastAsia" w:eastAsiaTheme="minorEastAsia" w:hAnsiTheme="minorEastAsia" w:hint="eastAsia"/>
          <w:color w:val="000000" w:themeColor="text1"/>
        </w:rPr>
        <w:t>、</w:t>
      </w:r>
      <w:r w:rsidRPr="00621B7F" w:rsidR="00932034">
        <w:rPr>
          <w:rFonts w:asciiTheme="minorEastAsia" w:eastAsiaTheme="minorEastAsia" w:hAnsiTheme="minorEastAsia" w:hint="eastAsia"/>
          <w:color w:val="000000" w:themeColor="text1"/>
        </w:rPr>
        <w:t>由于本基金在投资限制、运作机制和投资策略等方面与目标ETF不同，因此本基金</w:t>
      </w:r>
      <w:r w:rsidRPr="00621B7F">
        <w:rPr>
          <w:rFonts w:asciiTheme="minorEastAsia" w:eastAsiaTheme="minorEastAsia" w:hAnsiTheme="minorEastAsia"/>
          <w:color w:val="000000" w:themeColor="text1"/>
        </w:rPr>
        <w:t>可能</w:t>
      </w:r>
      <w:r w:rsidRPr="00621B7F" w:rsidR="00932034">
        <w:rPr>
          <w:rFonts w:asciiTheme="minorEastAsia" w:eastAsiaTheme="minorEastAsia" w:hAnsiTheme="minorEastAsia" w:hint="eastAsia"/>
          <w:color w:val="000000" w:themeColor="text1"/>
        </w:rPr>
        <w:t>具有与目标ETF不同的</w:t>
      </w:r>
      <w:r w:rsidRPr="00621B7F">
        <w:rPr>
          <w:rFonts w:asciiTheme="minorEastAsia" w:eastAsiaTheme="minorEastAsia" w:hAnsiTheme="minorEastAsia"/>
          <w:color w:val="000000" w:themeColor="text1"/>
        </w:rPr>
        <w:t>风险收益特征及</w:t>
      </w:r>
      <w:r w:rsidRPr="00621B7F" w:rsidR="00932034">
        <w:rPr>
          <w:rFonts w:asciiTheme="minorEastAsia" w:eastAsiaTheme="minorEastAsia" w:hAnsiTheme="minorEastAsia" w:hint="eastAsia"/>
          <w:color w:val="000000" w:themeColor="text1"/>
        </w:rPr>
        <w:t>净值增长率。</w:t>
      </w:r>
    </w:p>
    <w:p w:rsidR="00932034" w:rsidRPr="00621B7F" w:rsidP="00241F10">
      <w:pPr>
        <w:autoSpaceDE w:val="0"/>
        <w:autoSpaceDN w:val="0"/>
        <w:snapToGrid w:val="0"/>
        <w:spacing w:line="360" w:lineRule="auto"/>
        <w:ind w:firstLine="420" w:firstLineChars="200"/>
        <w:rPr>
          <w:rFonts w:asciiTheme="minorEastAsia" w:eastAsiaTheme="minorEastAsia" w:hAnsiTheme="minorEastAsia"/>
          <w:color w:val="000000" w:themeColor="text1"/>
          <w:kern w:val="0"/>
          <w:szCs w:val="21"/>
        </w:rPr>
      </w:pPr>
      <w:r w:rsidRPr="00621B7F">
        <w:rPr>
          <w:rFonts w:asciiTheme="minorEastAsia" w:eastAsiaTheme="minorEastAsia" w:hAnsiTheme="minorEastAsia"/>
          <w:color w:val="000000" w:themeColor="text1"/>
        </w:rPr>
        <w:t>8</w:t>
      </w:r>
      <w:r w:rsidRPr="00621B7F" w:rsidR="00F03D14">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kern w:val="0"/>
          <w:szCs w:val="21"/>
        </w:rPr>
        <w:t>本基金属于联接基金，主要投资于目标</w:t>
      </w:r>
      <w:r w:rsidRPr="00621B7F">
        <w:rPr>
          <w:rFonts w:asciiTheme="minorEastAsia" w:eastAsiaTheme="minorEastAsia" w:hAnsiTheme="minorEastAsia"/>
          <w:color w:val="000000" w:themeColor="text1"/>
          <w:kern w:val="0"/>
          <w:szCs w:val="21"/>
        </w:rPr>
        <w:t>ETF</w:t>
      </w:r>
      <w:r w:rsidRPr="00621B7F">
        <w:rPr>
          <w:rFonts w:asciiTheme="minorEastAsia" w:eastAsiaTheme="minorEastAsia" w:hAnsiTheme="minorEastAsia" w:hint="eastAsia"/>
          <w:color w:val="000000" w:themeColor="text1"/>
          <w:kern w:val="0"/>
          <w:szCs w:val="21"/>
        </w:rPr>
        <w:t>，因此目标</w:t>
      </w:r>
      <w:r w:rsidRPr="00621B7F">
        <w:rPr>
          <w:rFonts w:asciiTheme="minorEastAsia" w:eastAsiaTheme="minorEastAsia" w:hAnsiTheme="minorEastAsia"/>
          <w:color w:val="000000" w:themeColor="text1"/>
          <w:kern w:val="0"/>
          <w:szCs w:val="21"/>
        </w:rPr>
        <w:t>ETF</w:t>
      </w:r>
      <w:r w:rsidRPr="00621B7F">
        <w:rPr>
          <w:rFonts w:asciiTheme="minorEastAsia" w:eastAsiaTheme="minorEastAsia" w:hAnsiTheme="minorEastAsia" w:hint="eastAsia"/>
          <w:color w:val="000000" w:themeColor="text1"/>
          <w:kern w:val="0"/>
          <w:szCs w:val="21"/>
        </w:rPr>
        <w:t>面临的风险可能直接或间接成为本基金的风险，投资者应知悉并关注目标</w:t>
      </w:r>
      <w:r w:rsidRPr="00621B7F">
        <w:rPr>
          <w:rFonts w:asciiTheme="minorEastAsia" w:eastAsiaTheme="minorEastAsia" w:hAnsiTheme="minorEastAsia"/>
          <w:color w:val="000000" w:themeColor="text1"/>
          <w:kern w:val="0"/>
          <w:szCs w:val="21"/>
        </w:rPr>
        <w:t>ETF</w:t>
      </w:r>
      <w:r w:rsidRPr="00621B7F">
        <w:rPr>
          <w:rFonts w:asciiTheme="minorEastAsia" w:eastAsiaTheme="minorEastAsia" w:hAnsiTheme="minorEastAsia" w:hint="eastAsia"/>
          <w:color w:val="000000" w:themeColor="text1"/>
          <w:kern w:val="0"/>
          <w:szCs w:val="21"/>
        </w:rPr>
        <w:t>招募说明书等文件中的风险揭示内容。</w:t>
      </w:r>
    </w:p>
    <w:p w:rsidR="00DD01DC" w:rsidRPr="00621B7F" w:rsidP="00241F10">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color w:val="000000" w:themeColor="text1"/>
          <w:kern w:val="0"/>
          <w:szCs w:val="21"/>
        </w:rPr>
        <w:t>9、</w:t>
      </w:r>
      <w:r w:rsidRPr="00621B7F">
        <w:rPr>
          <w:rFonts w:asciiTheme="minorEastAsia" w:eastAsiaTheme="minorEastAsia" w:hAnsiTheme="minorEastAsia" w:hint="eastAsia"/>
          <w:color w:val="000000" w:themeColor="text1"/>
          <w:kern w:val="0"/>
          <w:szCs w:val="2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B698B"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74" w:name="_Toc91752101"/>
      <w:r w:rsidRPr="00621B7F">
        <w:rPr>
          <w:rFonts w:asciiTheme="minorEastAsia" w:eastAsiaTheme="minorEastAsia" w:hAnsiTheme="minorEastAsia" w:hint="eastAsia"/>
          <w:b w:val="0"/>
          <w:color w:val="000000" w:themeColor="text1"/>
        </w:rPr>
        <w:t>（</w:t>
      </w:r>
      <w:r w:rsidRPr="00621B7F" w:rsidR="00932034">
        <w:rPr>
          <w:rFonts w:asciiTheme="minorEastAsia" w:eastAsiaTheme="minorEastAsia" w:hAnsiTheme="minorEastAsia" w:hint="eastAsia"/>
          <w:b w:val="0"/>
          <w:color w:val="000000" w:themeColor="text1"/>
        </w:rPr>
        <w:t>二</w:t>
      </w:r>
      <w:r w:rsidRPr="00621B7F">
        <w:rPr>
          <w:rFonts w:asciiTheme="minorEastAsia" w:eastAsiaTheme="minorEastAsia" w:hAnsiTheme="minorEastAsia" w:hint="eastAsia"/>
          <w:b w:val="0"/>
          <w:color w:val="000000" w:themeColor="text1"/>
        </w:rPr>
        <w:t>）市场风险</w:t>
      </w:r>
      <w:bookmarkEnd w:id="870"/>
      <w:bookmarkEnd w:id="871"/>
      <w:bookmarkEnd w:id="872"/>
      <w:bookmarkEnd w:id="873"/>
      <w:bookmarkEnd w:id="874"/>
    </w:p>
    <w:p w:rsidR="002B698B" w:rsidRPr="00621B7F" w:rsidP="00241F10">
      <w:pPr>
        <w:snapToGrid w:val="0"/>
        <w:spacing w:line="360" w:lineRule="auto"/>
        <w:ind w:firstLine="42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基金主要投资于证券市场，而证券市场价格因受到经济因素、政治因素、投资者心理和交易制度等各种因素的影响而产生波动，从而导致基金收益水平发生变化，产生风险。主要的风险因素包括：</w:t>
      </w:r>
    </w:p>
    <w:p w:rsidR="002B698B" w:rsidRPr="00621B7F" w:rsidP="00241F10">
      <w:pPr>
        <w:numPr>
          <w:ilvl w:val="0"/>
          <w:numId w:val="5"/>
        </w:numPr>
        <w:autoSpaceDE w:val="0"/>
        <w:autoSpaceDN w:val="0"/>
        <w:snapToGrid w:val="0"/>
        <w:spacing w:line="360" w:lineRule="auto"/>
        <w:ind w:left="0" w:firstLine="525"/>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政策风险。因财政政策、货币政策、产业政策、地区发展政策等国家宏观政策发生变化，导致市场价格波动，影响基金收益而产生风险。</w:t>
      </w:r>
    </w:p>
    <w:p w:rsidR="002B698B" w:rsidRPr="00621B7F" w:rsidP="00241F10">
      <w:pPr>
        <w:numPr>
          <w:ilvl w:val="0"/>
          <w:numId w:val="5"/>
        </w:numPr>
        <w:autoSpaceDE w:val="0"/>
        <w:autoSpaceDN w:val="0"/>
        <w:snapToGrid w:val="0"/>
        <w:spacing w:line="360" w:lineRule="auto"/>
        <w:ind w:left="0" w:firstLine="525"/>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经济周期风险。随着经济运行的周期性变化，证券市场的收益水平也呈周期性变化，基金投资的收益水平也会随之变化，从而产生风险。</w:t>
      </w:r>
    </w:p>
    <w:p w:rsidR="002B698B" w:rsidRPr="00621B7F" w:rsidP="00241F10">
      <w:pPr>
        <w:numPr>
          <w:ilvl w:val="0"/>
          <w:numId w:val="5"/>
        </w:numPr>
        <w:autoSpaceDE w:val="0"/>
        <w:autoSpaceDN w:val="0"/>
        <w:snapToGrid w:val="0"/>
        <w:spacing w:line="360" w:lineRule="auto"/>
        <w:ind w:left="0" w:firstLine="525"/>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利率风险。金融市场利率的波动会导致证券市场价格和收益率的变动。利率直接影响着债券的价格和收益率，影响着企业的融资成本和利润。基金投资于债券和股票，其收益水平可能会受到利率变化的影响。</w:t>
      </w:r>
    </w:p>
    <w:p w:rsidR="002B698B" w:rsidRPr="00621B7F" w:rsidP="00241F10">
      <w:pPr>
        <w:numPr>
          <w:ilvl w:val="0"/>
          <w:numId w:val="5"/>
        </w:numPr>
        <w:autoSpaceDE w:val="0"/>
        <w:autoSpaceDN w:val="0"/>
        <w:snapToGrid w:val="0"/>
        <w:spacing w:line="360" w:lineRule="auto"/>
        <w:ind w:left="0" w:firstLine="525"/>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上市公司经营风险。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2B698B" w:rsidRPr="00621B7F" w:rsidP="00241F10">
      <w:pPr>
        <w:numPr>
          <w:ilvl w:val="0"/>
          <w:numId w:val="5"/>
        </w:numPr>
        <w:autoSpaceDE w:val="0"/>
        <w:autoSpaceDN w:val="0"/>
        <w:snapToGrid w:val="0"/>
        <w:spacing w:line="360" w:lineRule="auto"/>
        <w:ind w:left="0" w:firstLine="525"/>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购买力风险。基金份额持有人收益将主要通过现金形式来分配，而现金可能因为通货膨胀因素而使其购买力下降,从而使基金的实际收益下降。</w:t>
      </w:r>
    </w:p>
    <w:p w:rsidR="002B698B"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75" w:name="_Toc76367387"/>
      <w:bookmarkStart w:id="876" w:name="_Toc92074919"/>
      <w:bookmarkStart w:id="877" w:name="_Toc238870125"/>
      <w:bookmarkStart w:id="878" w:name="_Toc91752102"/>
      <w:r w:rsidRPr="00621B7F">
        <w:rPr>
          <w:rFonts w:asciiTheme="minorEastAsia" w:eastAsiaTheme="minorEastAsia" w:hAnsiTheme="minorEastAsia" w:hint="eastAsia"/>
          <w:b w:val="0"/>
          <w:color w:val="000000" w:themeColor="text1"/>
        </w:rPr>
        <w:t>（三）流动性风险</w:t>
      </w:r>
      <w:bookmarkEnd w:id="875"/>
      <w:bookmarkEnd w:id="876"/>
      <w:bookmarkEnd w:id="877"/>
      <w:bookmarkEnd w:id="878"/>
    </w:p>
    <w:p w:rsidR="00F33F82" w:rsidRPr="00621B7F" w:rsidP="00F33F82">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（1）拟投资市场、行业及资产的流动性风险评估</w:t>
      </w:r>
    </w:p>
    <w:p w:rsidR="00F33F82" w:rsidRPr="00621B7F" w:rsidP="00F33F82">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本基金为上证中盘ETF的联接基金，主要</w:t>
      </w:r>
      <w:r w:rsidRPr="00621B7F" w:rsidR="003F4A30">
        <w:rPr>
          <w:rFonts w:asciiTheme="minorEastAsia" w:eastAsiaTheme="minorEastAsia" w:hAnsiTheme="minorEastAsia" w:hint="eastAsia"/>
          <w:color w:val="000000" w:themeColor="text1"/>
          <w:szCs w:val="21"/>
        </w:rPr>
        <w:t>投资</w:t>
      </w:r>
      <w:r w:rsidRPr="00621B7F">
        <w:rPr>
          <w:rFonts w:asciiTheme="minorEastAsia" w:eastAsiaTheme="minorEastAsia" w:hAnsiTheme="minorEastAsia" w:hint="eastAsia"/>
          <w:color w:val="000000" w:themeColor="text1"/>
          <w:szCs w:val="21"/>
        </w:rPr>
        <w:t>上证中盘ETF、上证中盘指数成份股及备选成份股，一般情况下，上述投资标的流动性较好，但不排除在特定阶段、特定市场环境下特定投资标的出现流动性较差的情况。因此，本基金投资于上述资产时，可能存在以下流动性风险：一是基金管理人建仓或进行组合调整时，可能由于市场流动性相对不足而无法按预期的价格进行目标ETF、股票或债券的交易；二是为应付投资者的赎回，基金管理人的现金支付出现困难，被迫在不适当的价格大量抛售目标ETF、股票或债券；三是目标ETF暂停赎回或暂停在二级市场交易，导致基金管理人出现现金支付困难，基金管理人因此暂停接受投资者的赎回申请。以上情形均可能给本基金带来不利影响。</w:t>
      </w:r>
    </w:p>
    <w:p w:rsidR="00F33F82" w:rsidRPr="00621B7F" w:rsidP="00F33F82">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（2）巨额赎回情形下的流动性风险管理措施</w:t>
      </w:r>
    </w:p>
    <w:p w:rsidR="00F33F82" w:rsidRPr="00621B7F" w:rsidP="00F33F82">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当本基金发生巨额赎回时，基金管理人可以根据基金当时的资产组合状况决定全额赎回或部分延期赎回；此外，如出现连续2个开放日以上发生巨额赎回时，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w:t>
      </w:r>
      <w:r w:rsidRPr="00621B7F" w:rsidR="00B3190B">
        <w:rPr>
          <w:rFonts w:asciiTheme="minorEastAsia" w:eastAsiaTheme="minorEastAsia" w:hAnsiTheme="minorEastAsia" w:hint="eastAsia"/>
          <w:color w:val="000000" w:themeColor="text1"/>
          <w:szCs w:val="21"/>
        </w:rPr>
        <w:t>之</w:t>
      </w:r>
      <w:r w:rsidRPr="00621B7F">
        <w:rPr>
          <w:rFonts w:asciiTheme="minorEastAsia" w:eastAsiaTheme="minorEastAsia" w:hAnsiTheme="minorEastAsia" w:hint="eastAsia"/>
          <w:color w:val="000000" w:themeColor="text1"/>
          <w:szCs w:val="21"/>
        </w:rPr>
        <w:t>“</w:t>
      </w:r>
      <w:r w:rsidRPr="00621B7F" w:rsidR="00DA0EC1">
        <w:rPr>
          <w:rFonts w:asciiTheme="minorEastAsia" w:eastAsiaTheme="minorEastAsia" w:hAnsiTheme="minorEastAsia" w:hint="eastAsia"/>
          <w:color w:val="000000" w:themeColor="text1"/>
          <w:szCs w:val="21"/>
        </w:rPr>
        <w:t>（十）巨额赎回的认定及处理方式</w:t>
      </w:r>
      <w:r w:rsidRPr="00621B7F">
        <w:rPr>
          <w:rFonts w:asciiTheme="minorEastAsia" w:eastAsiaTheme="minorEastAsia" w:hAnsiTheme="minorEastAsia" w:hint="eastAsia"/>
          <w:color w:val="000000" w:themeColor="text1"/>
          <w:szCs w:val="21"/>
        </w:rPr>
        <w:t>”。</w:t>
      </w:r>
    </w:p>
    <w:p w:rsidR="00F33F82" w:rsidRPr="00621B7F" w:rsidP="00F33F82">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发生上述情形时，投资人面临无法全部赎回或无法及时获得赎回资金的风险。在本基金暂停或延期办理投资者赎回申请的情况下，投资者未能赎回的基金份额还将面临净值波动的风险。</w:t>
      </w:r>
    </w:p>
    <w:p w:rsidR="00F33F82" w:rsidRPr="00621B7F" w:rsidP="00F33F82">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（3）除场外份额巨额赎回情形外实施备用的流动性风险管理工具的情形、程序及对投资者的潜在影响</w:t>
      </w:r>
    </w:p>
    <w:p w:rsidR="00F33F82" w:rsidRPr="00621B7F" w:rsidP="00F33F82">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除场外份额巨额赎回情形外，本基金备用流动性风险管理工具包括但不限于暂停接受赎回申请、延缓支付赎回款项、暂停基金估值以及证监会认定的其他措施。</w:t>
      </w:r>
    </w:p>
    <w:p w:rsidR="00F33F82" w:rsidRPr="00621B7F" w:rsidP="00F33F82">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暂停接受赎回申请、延缓支付赎回款项等工具的情形、程序见招募说明书“八、基金份额的申购、赎回”之“（十一）拒绝或暂停申购、赎回的情形及处理方式”的相关规定。若本基金暂停赎回申请，投资者在暂停赎回期间将无法赎回其持有的基金份额。若本基金延缓支付赎回款项，赎回款支付时间将后延，可能对投资者的资金安排带来不利影响。</w:t>
      </w:r>
    </w:p>
    <w:p w:rsidR="00F33F82" w:rsidRPr="00621B7F" w:rsidP="00F33F82">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F33F82" w:rsidRPr="00621B7F" w:rsidP="00F33F82">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暂停基金估值的情形、程序见招募说明书“十四、基金资产估值”之“（七）暂停估值的情形”的相关规定。若本基金暂停基金估值，一方面投资者将无法知晓本基金的基金份额净值，另一方面基金将暂停接受申购赎回申请或延缓支付赎回款项，将导致投资者无法申购或赎回本基金，或赎回款支付时间将后延，可能对投资者的资金安排带来不利影响。</w:t>
      </w:r>
    </w:p>
    <w:p w:rsidR="0033182F"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79" w:name="_Toc91752103"/>
      <w:bookmarkStart w:id="880" w:name="_Toc76367388"/>
      <w:bookmarkStart w:id="881" w:name="_Toc92074920"/>
      <w:bookmarkStart w:id="882" w:name="_Toc238870126"/>
      <w:r w:rsidRPr="00621B7F">
        <w:rPr>
          <w:rFonts w:asciiTheme="minorEastAsia" w:eastAsiaTheme="minorEastAsia" w:hAnsiTheme="minorEastAsia" w:hint="eastAsia"/>
          <w:b w:val="0"/>
          <w:color w:val="000000" w:themeColor="text1"/>
        </w:rPr>
        <w:t>（四）本基金法律文件中涉及基金风险特征的表述与销售机构对基金的风险评级可能不一致的风险</w:t>
      </w:r>
      <w:bookmarkEnd w:id="879"/>
    </w:p>
    <w:p w:rsidR="0033182F" w:rsidRPr="00621B7F" w:rsidP="00E70535">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2B698B"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83" w:name="_Toc91752104"/>
      <w:r w:rsidRPr="00621B7F">
        <w:rPr>
          <w:rFonts w:asciiTheme="minorEastAsia" w:eastAsiaTheme="minorEastAsia" w:hAnsiTheme="minorEastAsia" w:hint="eastAsia"/>
          <w:b w:val="0"/>
          <w:color w:val="000000" w:themeColor="text1"/>
        </w:rPr>
        <w:t>（五）管理风险</w:t>
      </w:r>
      <w:bookmarkEnd w:id="880"/>
      <w:bookmarkEnd w:id="881"/>
      <w:bookmarkEnd w:id="882"/>
      <w:bookmarkEnd w:id="883"/>
    </w:p>
    <w:p w:rsidR="002B698B" w:rsidRPr="00621B7F" w:rsidP="00241F10">
      <w:pPr>
        <w:numPr>
          <w:ilvl w:val="0"/>
          <w:numId w:val="6"/>
        </w:numPr>
        <w:tabs>
          <w:tab w:val="num" w:pos="840"/>
        </w:tabs>
        <w:autoSpaceDE w:val="0"/>
        <w:autoSpaceDN w:val="0"/>
        <w:adjustRightInd w:val="0"/>
        <w:snapToGrid w:val="0"/>
        <w:spacing w:line="360" w:lineRule="auto"/>
        <w:ind w:left="0" w:firstLine="420"/>
        <w:jc w:val="left"/>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在基金管理运作过程中，基金管理人的知识、经验、判断、决策、技能等，会影响其对信息的占有以及对经济形势、证券价格走势的判断，从而影响基金收益水平；</w:t>
      </w:r>
    </w:p>
    <w:p w:rsidR="002B698B" w:rsidRPr="00621B7F" w:rsidP="00241F10">
      <w:pPr>
        <w:numPr>
          <w:ilvl w:val="0"/>
          <w:numId w:val="6"/>
        </w:numPr>
        <w:tabs>
          <w:tab w:val="num" w:pos="840"/>
        </w:tabs>
        <w:autoSpaceDE w:val="0"/>
        <w:autoSpaceDN w:val="0"/>
        <w:adjustRightInd w:val="0"/>
        <w:snapToGrid w:val="0"/>
        <w:spacing w:line="360" w:lineRule="auto"/>
        <w:ind w:left="0" w:firstLine="420"/>
        <w:jc w:val="left"/>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基金管理人的管理手段和管理技术等因素的变化也会影响基金收益水平。</w:t>
      </w:r>
    </w:p>
    <w:p w:rsidR="002B698B"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84" w:name="_Toc76367389"/>
      <w:bookmarkStart w:id="885" w:name="_Toc92074921"/>
      <w:bookmarkStart w:id="886" w:name="_Toc231784430"/>
      <w:bookmarkStart w:id="887" w:name="_Toc238870127"/>
      <w:bookmarkStart w:id="888" w:name="_Toc91752105"/>
      <w:r w:rsidRPr="00621B7F">
        <w:rPr>
          <w:rFonts w:asciiTheme="minorEastAsia" w:eastAsiaTheme="minorEastAsia" w:hAnsiTheme="minorEastAsia" w:hint="eastAsia"/>
          <w:b w:val="0"/>
          <w:color w:val="000000" w:themeColor="text1"/>
        </w:rPr>
        <w:t>（</w:t>
      </w:r>
      <w:r w:rsidRPr="00621B7F" w:rsidR="0033182F">
        <w:rPr>
          <w:rFonts w:asciiTheme="minorEastAsia" w:eastAsiaTheme="minorEastAsia" w:hAnsiTheme="minorEastAsia"/>
          <w:b w:val="0"/>
          <w:color w:val="000000" w:themeColor="text1"/>
        </w:rPr>
        <w:t>六</w:t>
      </w:r>
      <w:r w:rsidRPr="00621B7F">
        <w:rPr>
          <w:rFonts w:asciiTheme="minorEastAsia" w:eastAsiaTheme="minorEastAsia" w:hAnsiTheme="minorEastAsia" w:hint="eastAsia"/>
          <w:b w:val="0"/>
          <w:color w:val="000000" w:themeColor="text1"/>
        </w:rPr>
        <w:t>）其他风险</w:t>
      </w:r>
      <w:bookmarkEnd w:id="884"/>
      <w:bookmarkEnd w:id="885"/>
      <w:bookmarkEnd w:id="886"/>
      <w:bookmarkEnd w:id="887"/>
      <w:bookmarkEnd w:id="888"/>
    </w:p>
    <w:p w:rsidR="002B698B" w:rsidRPr="00621B7F" w:rsidP="00241F10">
      <w:pPr>
        <w:numPr>
          <w:ilvl w:val="0"/>
          <w:numId w:val="7"/>
        </w:numPr>
        <w:autoSpaceDE w:val="0"/>
        <w:autoSpaceDN w:val="0"/>
        <w:snapToGrid w:val="0"/>
        <w:spacing w:line="360" w:lineRule="auto"/>
        <w:ind w:left="840" w:left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因技术因素而产生的风险，如电脑系统不可靠产生的风险；</w:t>
      </w:r>
    </w:p>
    <w:p w:rsidR="002B698B" w:rsidRPr="00621B7F" w:rsidP="00241F10">
      <w:pPr>
        <w:numPr>
          <w:ilvl w:val="0"/>
          <w:numId w:val="7"/>
        </w:numPr>
        <w:autoSpaceDE w:val="0"/>
        <w:autoSpaceDN w:val="0"/>
        <w:snapToGrid w:val="0"/>
        <w:spacing w:line="360" w:lineRule="auto"/>
        <w:ind w:left="840" w:left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因战争、自然灾害等不可抗力导致的基金管理人、基金</w:t>
      </w:r>
      <w:r w:rsidRPr="00621B7F" w:rsidR="0078727C">
        <w:rPr>
          <w:rFonts w:asciiTheme="minorEastAsia" w:eastAsiaTheme="minorEastAsia" w:hAnsiTheme="minorEastAsia" w:hint="eastAsia"/>
          <w:color w:val="000000" w:themeColor="text1"/>
        </w:rPr>
        <w:t>销售</w:t>
      </w:r>
      <w:r w:rsidRPr="00621B7F">
        <w:rPr>
          <w:rFonts w:asciiTheme="minorEastAsia" w:eastAsiaTheme="minorEastAsia" w:hAnsiTheme="minorEastAsia" w:hint="eastAsia"/>
          <w:color w:val="000000" w:themeColor="text1"/>
        </w:rPr>
        <w:t>机构等机构无法正常工作，从而影响基金的申购、赎回按正常时限完成的风险。</w:t>
      </w:r>
    </w:p>
    <w:p w:rsidR="00961E4C" w:rsidRPr="00621B7F" w:rsidP="00241F10">
      <w:pPr>
        <w:numPr>
          <w:ilvl w:val="0"/>
          <w:numId w:val="7"/>
        </w:numPr>
        <w:autoSpaceDE w:val="0"/>
        <w:autoSpaceDN w:val="0"/>
        <w:snapToGrid w:val="0"/>
        <w:spacing w:line="360" w:lineRule="auto"/>
        <w:ind w:left="840" w:left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因金融市场危机、代理</w:t>
      </w:r>
      <w:r w:rsidRPr="00621B7F" w:rsidR="00AD77F8">
        <w:rPr>
          <w:rFonts w:asciiTheme="minorEastAsia" w:eastAsiaTheme="minorEastAsia" w:hAnsiTheme="minorEastAsia" w:hint="eastAsia"/>
          <w:color w:val="000000" w:themeColor="text1"/>
        </w:rPr>
        <w:t>商</w:t>
      </w:r>
      <w:r w:rsidRPr="00621B7F">
        <w:rPr>
          <w:rFonts w:asciiTheme="minorEastAsia" w:eastAsiaTheme="minorEastAsia" w:hAnsiTheme="minorEastAsia" w:hint="eastAsia"/>
          <w:color w:val="000000" w:themeColor="text1"/>
        </w:rPr>
        <w:t>违约、基金托管人违约等超出基金管理人自身控制能力的因素出现，可能导致基金或者基金份额持有人利益受损的风险。</w:t>
      </w:r>
    </w:p>
    <w:p w:rsidR="00564DDD" w:rsidRPr="00621B7F" w:rsidP="00241F10">
      <w:pPr>
        <w:numPr>
          <w:ilvl w:val="0"/>
          <w:numId w:val="7"/>
        </w:numPr>
        <w:autoSpaceDE w:val="0"/>
        <w:autoSpaceDN w:val="0"/>
        <w:snapToGrid w:val="0"/>
        <w:spacing w:line="360" w:lineRule="auto"/>
        <w:ind w:left="840" w:left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kern w:val="0"/>
          <w:szCs w:val="21"/>
        </w:rPr>
        <w:t>因</w:t>
      </w:r>
      <w:r w:rsidRPr="00621B7F">
        <w:rPr>
          <w:rFonts w:asciiTheme="minorEastAsia" w:eastAsiaTheme="minorEastAsia" w:hAnsiTheme="minorEastAsia" w:hint="eastAsia"/>
          <w:bCs/>
          <w:color w:val="000000" w:themeColor="text1"/>
          <w:szCs w:val="21"/>
        </w:rPr>
        <w:t>固定收益类</w:t>
      </w:r>
      <w:r w:rsidRPr="00621B7F">
        <w:rPr>
          <w:rFonts w:asciiTheme="minorEastAsia" w:eastAsiaTheme="minorEastAsia" w:hAnsiTheme="minorEastAsia" w:hint="eastAsia"/>
          <w:color w:val="000000" w:themeColor="text1"/>
          <w:szCs w:val="21"/>
        </w:rPr>
        <w:t>金融工具主要在场外市场进行交易，场外市场交易现阶段自动化程度较场内市场低，本基金在投资运作过程中可能面临操作风险。</w:t>
      </w:r>
    </w:p>
    <w:p w:rsidR="00874C3D" w:rsidRPr="00621B7F" w:rsidP="00241F10">
      <w:pPr>
        <w:snapToGrid w:val="0"/>
        <w:spacing w:line="360" w:lineRule="auto"/>
        <w:rPr>
          <w:rFonts w:asciiTheme="minorEastAsia" w:eastAsiaTheme="minorEastAsia" w:hAnsiTheme="minorEastAsia"/>
          <w:color w:val="000000" w:themeColor="text1"/>
        </w:rPr>
        <w:sectPr w:rsidSect="006B7524">
          <w:pgSz w:w="11907" w:h="16840" w:code="9"/>
          <w:pgMar w:top="1440" w:right="1800" w:bottom="1440" w:left="1800" w:header="1134" w:footer="1247" w:gutter="0"/>
          <w:cols w:space="425"/>
          <w:docGrid w:type="lines" w:linePitch="312"/>
        </w:sectPr>
      </w:pPr>
    </w:p>
    <w:p w:rsidR="00F03D14" w:rsidRPr="00621B7F" w:rsidP="00241F10">
      <w:pPr>
        <w:snapToGrid w:val="0"/>
        <w:spacing w:line="360" w:lineRule="auto"/>
        <w:rPr>
          <w:rFonts w:asciiTheme="minorEastAsia" w:eastAsiaTheme="minorEastAsia" w:hAnsiTheme="minorEastAsia"/>
          <w:color w:val="000000" w:themeColor="text1"/>
        </w:rPr>
      </w:pP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889" w:name="_Toc91752106"/>
      <w:r w:rsidRPr="00621B7F">
        <w:rPr>
          <w:rFonts w:asciiTheme="minorEastAsia" w:eastAsiaTheme="minorEastAsia" w:hAnsiTheme="minorEastAsia" w:hint="eastAsia"/>
          <w:bCs/>
          <w:color w:val="000000" w:themeColor="text1"/>
        </w:rPr>
        <w:t>二十、基金合同的</w:t>
      </w:r>
      <w:r w:rsidRPr="00621B7F" w:rsidR="002B698B">
        <w:rPr>
          <w:rFonts w:asciiTheme="minorEastAsia" w:eastAsiaTheme="minorEastAsia" w:hAnsiTheme="minorEastAsia" w:hint="eastAsia"/>
          <w:bCs/>
          <w:color w:val="000000" w:themeColor="text1"/>
        </w:rPr>
        <w:t>变更、</w:t>
      </w:r>
      <w:r w:rsidRPr="00621B7F">
        <w:rPr>
          <w:rFonts w:asciiTheme="minorEastAsia" w:eastAsiaTheme="minorEastAsia" w:hAnsiTheme="minorEastAsia" w:hint="eastAsia"/>
          <w:bCs/>
          <w:color w:val="000000" w:themeColor="text1"/>
        </w:rPr>
        <w:t>终止与基金财产的清算</w:t>
      </w:r>
      <w:bookmarkEnd w:id="889"/>
    </w:p>
    <w:p w:rsidR="009C5B3B"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90" w:name="_Toc97031319"/>
      <w:bookmarkStart w:id="891" w:name="_Toc97107279"/>
      <w:bookmarkStart w:id="892" w:name="_Toc238870129"/>
      <w:bookmarkStart w:id="893" w:name="_Toc91752107"/>
      <w:bookmarkStart w:id="894" w:name="_Toc86584659"/>
      <w:bookmarkEnd w:id="890"/>
      <w:bookmarkEnd w:id="891"/>
      <w:r w:rsidRPr="00621B7F">
        <w:rPr>
          <w:rFonts w:asciiTheme="minorEastAsia" w:eastAsiaTheme="minorEastAsia" w:hAnsiTheme="minorEastAsia" w:hint="eastAsia"/>
          <w:b w:val="0"/>
          <w:bCs/>
          <w:color w:val="000000" w:themeColor="text1"/>
        </w:rPr>
        <w:t>（一）基金合同的变更</w:t>
      </w:r>
      <w:bookmarkEnd w:id="892"/>
      <w:bookmarkEnd w:id="893"/>
    </w:p>
    <w:p w:rsidR="009C5B3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按照法律法规或《基金合同》的规定，对《基金合同》的变更应当召开基金份额持有人大会的，《基金合同》变更的内容应经基金份额持有人大会决议通过，并依法报中国证监会核准。</w:t>
      </w:r>
    </w:p>
    <w:p w:rsidR="009C5B3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上述对《基金合同》的变更事项自中国证监会核准之日起生效。</w:t>
      </w:r>
    </w:p>
    <w:p w:rsidR="009C5B3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但出现下列情况时，可不经基金份额持有人大会决议，由基金管理人和基金托管人同意后变更并公告，并报中国证监会备案：</w:t>
      </w:r>
    </w:p>
    <w:p w:rsidR="009C5B3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（1）调低基金管理费、基金托管费</w:t>
      </w:r>
      <w:r w:rsidRPr="00621B7F" w:rsidR="00713ECE">
        <w:rPr>
          <w:rFonts w:asciiTheme="minorEastAsia" w:eastAsiaTheme="minorEastAsia" w:hAnsiTheme="minorEastAsia" w:hint="eastAsia"/>
          <w:color w:val="000000" w:themeColor="text1"/>
          <w:szCs w:val="21"/>
        </w:rPr>
        <w:t>或销售服务费</w:t>
      </w:r>
      <w:r w:rsidRPr="00621B7F">
        <w:rPr>
          <w:rFonts w:asciiTheme="minorEastAsia" w:eastAsiaTheme="minorEastAsia" w:hAnsiTheme="minorEastAsia" w:hint="eastAsia"/>
          <w:color w:val="000000" w:themeColor="text1"/>
          <w:szCs w:val="21"/>
        </w:rPr>
        <w:t>；</w:t>
      </w:r>
    </w:p>
    <w:p w:rsidR="009C5B3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（2）法律法规要求增加的基金费用的收取；</w:t>
      </w:r>
    </w:p>
    <w:p w:rsidR="009C5B3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（3）在法律法规和《基金合同》规定的范围内调整本基金的申购费率、调低赎回费率</w:t>
      </w:r>
      <w:r w:rsidRPr="00621B7F" w:rsidR="00713ECE">
        <w:rPr>
          <w:rFonts w:asciiTheme="minorEastAsia" w:eastAsiaTheme="minorEastAsia" w:hAnsiTheme="minorEastAsia" w:hint="eastAsia"/>
          <w:color w:val="000000" w:themeColor="text1"/>
          <w:szCs w:val="21"/>
        </w:rPr>
        <w:t>、调整基金份额类别</w:t>
      </w:r>
      <w:r w:rsidRPr="00621B7F">
        <w:rPr>
          <w:rFonts w:asciiTheme="minorEastAsia" w:eastAsiaTheme="minorEastAsia" w:hAnsiTheme="minorEastAsia" w:hint="eastAsia"/>
          <w:color w:val="000000" w:themeColor="text1"/>
          <w:szCs w:val="21"/>
        </w:rPr>
        <w:t>；</w:t>
      </w:r>
    </w:p>
    <w:p w:rsidR="009C5B3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（4）因相应的法律法规发生变动而应当对《基金合同》进行修改；</w:t>
      </w:r>
    </w:p>
    <w:p w:rsidR="009C5B3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（5）对《基金合同》的修改对基金份额持有人利益无实质性不利影响或修改不涉及《基金合同》当事人权利义务关系发生重大变化；</w:t>
      </w:r>
    </w:p>
    <w:p w:rsidR="009C5B3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（6）除按照法律法规和《基金合同》规定应当召开基金份额持有人大会的以外的其他情形。</w:t>
      </w:r>
    </w:p>
    <w:p w:rsidR="009C5B3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法律法规对基金合同变更另有规定的，从其规定。</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95" w:name="_Toc238870130"/>
      <w:bookmarkStart w:id="896" w:name="_Toc91752108"/>
      <w:r w:rsidRPr="00621B7F">
        <w:rPr>
          <w:rFonts w:asciiTheme="minorEastAsia" w:eastAsiaTheme="minorEastAsia" w:hAnsiTheme="minorEastAsia" w:hint="eastAsia"/>
          <w:b w:val="0"/>
          <w:bCs/>
          <w:color w:val="000000" w:themeColor="text1"/>
        </w:rPr>
        <w:t>（二）基金合同的终止</w:t>
      </w:r>
      <w:bookmarkEnd w:id="894"/>
      <w:bookmarkEnd w:id="895"/>
      <w:bookmarkEnd w:id="896"/>
    </w:p>
    <w:p w:rsidR="00F925F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有下列情形之一的，《基金合同》应当终止：</w:t>
      </w:r>
    </w:p>
    <w:p w:rsidR="00F925F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基金份额持有人大会决定终止的；</w:t>
      </w:r>
    </w:p>
    <w:p w:rsidR="00F925F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基金管理人、基金托管人职责终止，在6个月内没有新基金管理人、新基金托管人承接的；</w:t>
      </w:r>
    </w:p>
    <w:p w:rsidR="00F925F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《基金合同》约定的其他情形；</w:t>
      </w:r>
    </w:p>
    <w:p w:rsidR="00F925F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相关法律法规和中国证监会规定的其他情况。</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897" w:name="_Toc86584660"/>
      <w:bookmarkStart w:id="898" w:name="_Toc238870131"/>
      <w:bookmarkStart w:id="899" w:name="_Toc91752109"/>
      <w:r w:rsidRPr="00621B7F">
        <w:rPr>
          <w:rFonts w:asciiTheme="minorEastAsia" w:eastAsiaTheme="minorEastAsia" w:hAnsiTheme="minorEastAsia" w:hint="eastAsia"/>
          <w:b w:val="0"/>
          <w:bCs/>
          <w:color w:val="000000" w:themeColor="text1"/>
        </w:rPr>
        <w:t>（</w:t>
      </w:r>
      <w:r w:rsidRPr="00621B7F" w:rsidR="00A1077D">
        <w:rPr>
          <w:rFonts w:asciiTheme="minorEastAsia" w:eastAsiaTheme="minorEastAsia" w:hAnsiTheme="minorEastAsia" w:hint="eastAsia"/>
          <w:b w:val="0"/>
          <w:bCs/>
          <w:color w:val="000000" w:themeColor="text1"/>
        </w:rPr>
        <w:t>三</w:t>
      </w:r>
      <w:r w:rsidRPr="00621B7F">
        <w:rPr>
          <w:rFonts w:asciiTheme="minorEastAsia" w:eastAsiaTheme="minorEastAsia" w:hAnsiTheme="minorEastAsia" w:hint="eastAsia"/>
          <w:b w:val="0"/>
          <w:bCs/>
          <w:color w:val="000000" w:themeColor="text1"/>
        </w:rPr>
        <w:t>）基金财产的清算</w:t>
      </w:r>
      <w:bookmarkEnd w:id="897"/>
      <w:bookmarkEnd w:id="898"/>
      <w:bookmarkEnd w:id="899"/>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基金财产清算小组：自出现《基金合同》终止事由之日起</w:t>
      </w:r>
      <w:r w:rsidRPr="00621B7F">
        <w:rPr>
          <w:rFonts w:asciiTheme="minorEastAsia" w:eastAsiaTheme="minorEastAsia" w:hAnsiTheme="minorEastAsia"/>
          <w:color w:val="000000" w:themeColor="text1"/>
          <w:szCs w:val="21"/>
        </w:rPr>
        <w:t>30</w:t>
      </w:r>
      <w:r w:rsidRPr="00621B7F">
        <w:rPr>
          <w:rFonts w:asciiTheme="minorEastAsia" w:eastAsiaTheme="minorEastAsia" w:hAnsiTheme="minorEastAsia" w:hint="eastAsia"/>
          <w:color w:val="000000" w:themeColor="text1"/>
          <w:szCs w:val="21"/>
        </w:rPr>
        <w:t>个工作日内成立清算小组，基金管理人组织基金财产清算小组并在中国证监会的监督下进行基金清算。</w:t>
      </w:r>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基金财产清算小组职责：基金财产清算小组负责基金财产的保管、清理、估价、变现和分配。基金财产清算小组可以依法进行必要的民事活动。</w:t>
      </w:r>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基金财产清算程序：</w:t>
      </w:r>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（1）《基金合同》终止后，由基金财产清算小组统一接管基金；</w:t>
      </w:r>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（2）对基金财产和债权债务进行清理和确认；</w:t>
      </w:r>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（3）对基金财产进行估</w:t>
      </w:r>
      <w:r w:rsidRPr="00621B7F" w:rsidR="00251362">
        <w:rPr>
          <w:rFonts w:asciiTheme="minorEastAsia" w:eastAsiaTheme="minorEastAsia" w:hAnsiTheme="minorEastAsia" w:hint="eastAsia"/>
          <w:color w:val="000000" w:themeColor="text1"/>
          <w:szCs w:val="21"/>
        </w:rPr>
        <w:t>价</w:t>
      </w:r>
      <w:r w:rsidRPr="00621B7F">
        <w:rPr>
          <w:rFonts w:asciiTheme="minorEastAsia" w:eastAsiaTheme="minorEastAsia" w:hAnsiTheme="minorEastAsia" w:hint="eastAsia"/>
          <w:color w:val="000000" w:themeColor="text1"/>
          <w:szCs w:val="21"/>
        </w:rPr>
        <w:t>和变现；</w:t>
      </w:r>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（4）制作清算报告；</w:t>
      </w:r>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（5）聘请会计师事务所对清算报告进行外部审计，聘请律师事务所对清算报告出具法律意见书；</w:t>
      </w:r>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（6）将清算报告报中国证监会备案并公告。</w:t>
      </w:r>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（7）对基金财产进行分配；</w:t>
      </w:r>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基金财产清算的期限为6个月。</w:t>
      </w:r>
    </w:p>
    <w:p w:rsidR="00F126E8"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00" w:name="_Toc238870132"/>
      <w:bookmarkStart w:id="901" w:name="_Toc91752110"/>
      <w:r w:rsidRPr="00621B7F">
        <w:rPr>
          <w:rFonts w:asciiTheme="minorEastAsia" w:eastAsiaTheme="minorEastAsia" w:hAnsiTheme="minorEastAsia" w:hint="eastAsia"/>
          <w:b w:val="0"/>
          <w:bCs/>
          <w:color w:val="000000" w:themeColor="text1"/>
        </w:rPr>
        <w:t>（</w:t>
      </w:r>
      <w:r w:rsidRPr="00621B7F" w:rsidR="00A1077D">
        <w:rPr>
          <w:rFonts w:asciiTheme="minorEastAsia" w:eastAsiaTheme="minorEastAsia" w:hAnsiTheme="minorEastAsia" w:hint="eastAsia"/>
          <w:b w:val="0"/>
          <w:bCs/>
          <w:color w:val="000000" w:themeColor="text1"/>
        </w:rPr>
        <w:t>四</w:t>
      </w:r>
      <w:r w:rsidRPr="00621B7F">
        <w:rPr>
          <w:rFonts w:asciiTheme="minorEastAsia" w:eastAsiaTheme="minorEastAsia" w:hAnsiTheme="minorEastAsia" w:hint="eastAsia"/>
          <w:b w:val="0"/>
          <w:bCs/>
          <w:color w:val="000000" w:themeColor="text1"/>
        </w:rPr>
        <w:t>）清算费用</w:t>
      </w:r>
      <w:bookmarkEnd w:id="900"/>
      <w:bookmarkEnd w:id="901"/>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清算费用是指基金财产清算小组在进行基金清算过程中发生的所有合理费用，清算费用由基金财产清算小组优先从基金财产中支付。</w:t>
      </w:r>
    </w:p>
    <w:p w:rsidR="00F126E8"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02" w:name="_Toc238870133"/>
      <w:bookmarkStart w:id="903" w:name="_Toc91752111"/>
      <w:r w:rsidRPr="00621B7F">
        <w:rPr>
          <w:rFonts w:asciiTheme="minorEastAsia" w:eastAsiaTheme="minorEastAsia" w:hAnsiTheme="minorEastAsia" w:hint="eastAsia"/>
          <w:b w:val="0"/>
          <w:bCs/>
          <w:color w:val="000000" w:themeColor="text1"/>
        </w:rPr>
        <w:t>（</w:t>
      </w:r>
      <w:r w:rsidRPr="00621B7F" w:rsidR="00A1077D">
        <w:rPr>
          <w:rFonts w:asciiTheme="minorEastAsia" w:eastAsiaTheme="minorEastAsia" w:hAnsiTheme="minorEastAsia" w:hint="eastAsia"/>
          <w:b w:val="0"/>
          <w:bCs/>
          <w:color w:val="000000" w:themeColor="text1"/>
        </w:rPr>
        <w:t>五</w:t>
      </w:r>
      <w:r w:rsidRPr="00621B7F">
        <w:rPr>
          <w:rFonts w:asciiTheme="minorEastAsia" w:eastAsiaTheme="minorEastAsia" w:hAnsiTheme="minorEastAsia" w:hint="eastAsia"/>
          <w:b w:val="0"/>
          <w:bCs/>
          <w:color w:val="000000" w:themeColor="text1"/>
        </w:rPr>
        <w:t>）基金财产清算剩余资产的分配</w:t>
      </w:r>
      <w:bookmarkEnd w:id="902"/>
      <w:bookmarkEnd w:id="903"/>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F126E8"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04" w:name="_Toc238870134"/>
      <w:bookmarkStart w:id="905" w:name="_Toc91752112"/>
      <w:r w:rsidRPr="00621B7F">
        <w:rPr>
          <w:rFonts w:asciiTheme="minorEastAsia" w:eastAsiaTheme="minorEastAsia" w:hAnsiTheme="minorEastAsia" w:hint="eastAsia"/>
          <w:b w:val="0"/>
          <w:bCs/>
          <w:color w:val="000000" w:themeColor="text1"/>
        </w:rPr>
        <w:t>（</w:t>
      </w:r>
      <w:r w:rsidRPr="00621B7F" w:rsidR="00A1077D">
        <w:rPr>
          <w:rFonts w:asciiTheme="minorEastAsia" w:eastAsiaTheme="minorEastAsia" w:hAnsiTheme="minorEastAsia" w:hint="eastAsia"/>
          <w:b w:val="0"/>
          <w:bCs/>
          <w:color w:val="000000" w:themeColor="text1"/>
        </w:rPr>
        <w:t>六</w:t>
      </w:r>
      <w:r w:rsidRPr="00621B7F">
        <w:rPr>
          <w:rFonts w:asciiTheme="minorEastAsia" w:eastAsiaTheme="minorEastAsia" w:hAnsiTheme="minorEastAsia" w:hint="eastAsia"/>
          <w:b w:val="0"/>
          <w:bCs/>
          <w:color w:val="000000" w:themeColor="text1"/>
        </w:rPr>
        <w:t>）基金财产清算的公告</w:t>
      </w:r>
      <w:bookmarkEnd w:id="904"/>
      <w:bookmarkEnd w:id="905"/>
    </w:p>
    <w:p w:rsidR="00F126E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清算过程中的有关重大事项须及时公告；基金财产清算报告经会计师事务所审计并由律师事务所出具法律意见书后报中国证监会备案并公告。</w:t>
      </w:r>
      <w:r w:rsidRPr="00621B7F">
        <w:rPr>
          <w:rFonts w:asciiTheme="minorEastAsia" w:eastAsiaTheme="minorEastAsia" w:hAnsiTheme="minorEastAsia"/>
          <w:color w:val="000000" w:themeColor="text1"/>
          <w:szCs w:val="21"/>
        </w:rPr>
        <w:t>基金财产清算公告于</w:t>
      </w:r>
      <w:r w:rsidRPr="00621B7F">
        <w:rPr>
          <w:rFonts w:asciiTheme="minorEastAsia" w:eastAsiaTheme="minorEastAsia" w:hAnsiTheme="minorEastAsia" w:hint="eastAsia"/>
          <w:color w:val="000000" w:themeColor="text1"/>
          <w:szCs w:val="21"/>
        </w:rPr>
        <w:t>《基金合同》终止并报中国证监会备案后</w:t>
      </w:r>
      <w:r w:rsidRPr="00621B7F">
        <w:rPr>
          <w:rFonts w:asciiTheme="minorEastAsia" w:eastAsiaTheme="minorEastAsia" w:hAnsiTheme="minorEastAsia"/>
          <w:color w:val="000000" w:themeColor="text1"/>
          <w:szCs w:val="21"/>
        </w:rPr>
        <w:t>5</w:t>
      </w:r>
      <w:r w:rsidRPr="00621B7F">
        <w:rPr>
          <w:rFonts w:asciiTheme="minorEastAsia" w:eastAsiaTheme="minorEastAsia" w:hAnsiTheme="minorEastAsia" w:hint="eastAsia"/>
          <w:color w:val="000000" w:themeColor="text1"/>
          <w:szCs w:val="21"/>
        </w:rPr>
        <w:t>个工作日内由基金财产清算小组进行公告。</w:t>
      </w:r>
    </w:p>
    <w:p w:rsidR="00F126E8"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06" w:name="_Toc238870135"/>
      <w:bookmarkStart w:id="907" w:name="_Toc91752113"/>
      <w:r w:rsidRPr="00621B7F">
        <w:rPr>
          <w:rFonts w:asciiTheme="minorEastAsia" w:eastAsiaTheme="minorEastAsia" w:hAnsiTheme="minorEastAsia" w:hint="eastAsia"/>
          <w:b w:val="0"/>
          <w:bCs/>
          <w:color w:val="000000" w:themeColor="text1"/>
        </w:rPr>
        <w:t>（</w:t>
      </w:r>
      <w:r w:rsidRPr="00621B7F" w:rsidR="00A1077D">
        <w:rPr>
          <w:rFonts w:asciiTheme="minorEastAsia" w:eastAsiaTheme="minorEastAsia" w:hAnsiTheme="minorEastAsia" w:hint="eastAsia"/>
          <w:b w:val="0"/>
          <w:bCs/>
          <w:color w:val="000000" w:themeColor="text1"/>
        </w:rPr>
        <w:t>七</w:t>
      </w:r>
      <w:r w:rsidRPr="00621B7F">
        <w:rPr>
          <w:rFonts w:asciiTheme="minorEastAsia" w:eastAsiaTheme="minorEastAsia" w:hAnsiTheme="minorEastAsia" w:hint="eastAsia"/>
          <w:b w:val="0"/>
          <w:bCs/>
          <w:color w:val="000000" w:themeColor="text1"/>
        </w:rPr>
        <w:t>）基金财产清算账册及文件的保存</w:t>
      </w:r>
      <w:bookmarkEnd w:id="906"/>
      <w:bookmarkEnd w:id="907"/>
    </w:p>
    <w:p w:rsidR="008E3937"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908" w:name="_Toc200522988"/>
      <w:r w:rsidRPr="00621B7F">
        <w:rPr>
          <w:rFonts w:asciiTheme="minorEastAsia" w:eastAsiaTheme="minorEastAsia" w:hAnsiTheme="minorEastAsia" w:hint="eastAsia"/>
          <w:color w:val="000000" w:themeColor="text1"/>
          <w:szCs w:val="21"/>
        </w:rPr>
        <w:t>基金财产清算账册及有关文件由基金托管人保存</w:t>
      </w:r>
      <w:r w:rsidRPr="00621B7F">
        <w:rPr>
          <w:rFonts w:asciiTheme="minorEastAsia" w:eastAsiaTheme="minorEastAsia" w:hAnsiTheme="minorEastAsia"/>
          <w:color w:val="000000" w:themeColor="text1"/>
          <w:szCs w:val="21"/>
        </w:rPr>
        <w:t>15</w:t>
      </w:r>
      <w:r w:rsidRPr="00621B7F">
        <w:rPr>
          <w:rFonts w:asciiTheme="minorEastAsia" w:eastAsiaTheme="minorEastAsia" w:hAnsiTheme="minorEastAsia" w:hint="eastAsia"/>
          <w:color w:val="000000" w:themeColor="text1"/>
          <w:szCs w:val="21"/>
        </w:rPr>
        <w:t>年以上。</w:t>
      </w:r>
    </w:p>
    <w:p w:rsidR="00BF0D58" w:rsidRPr="00621B7F" w:rsidP="00A32B85">
      <w:pPr>
        <w:pStyle w:val="Heading1"/>
        <w:snapToGrid w:val="0"/>
        <w:spacing w:beforeLines="0" w:afterLines="0" w:line="360" w:lineRule="auto"/>
        <w:ind w:firstLine="0" w:firstLineChars="0"/>
        <w:rPr>
          <w:rFonts w:asciiTheme="minorEastAsia" w:eastAsiaTheme="minorEastAsia" w:hAnsiTheme="minorEastAsia"/>
          <w:color w:val="000000" w:themeColor="text1"/>
          <w:szCs w:val="21"/>
        </w:rPr>
        <w:sectPr w:rsidSect="006B7524">
          <w:pgSz w:w="11907" w:h="16840" w:code="9"/>
          <w:pgMar w:top="1440" w:right="1800" w:bottom="1440" w:left="1800" w:header="1134" w:footer="1247" w:gutter="0"/>
          <w:cols w:space="425"/>
          <w:docGrid w:type="lines" w:linePitch="312"/>
        </w:sectPr>
      </w:pP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color w:val="000000" w:themeColor="text1"/>
          <w:sz w:val="21"/>
          <w:szCs w:val="21"/>
        </w:rPr>
      </w:pPr>
      <w:bookmarkStart w:id="909" w:name="_Toc91752114"/>
      <w:r w:rsidRPr="00621B7F">
        <w:rPr>
          <w:rFonts w:asciiTheme="minorEastAsia" w:eastAsiaTheme="minorEastAsia" w:hAnsiTheme="minorEastAsia" w:hint="eastAsia"/>
          <w:bCs/>
          <w:color w:val="000000" w:themeColor="text1"/>
        </w:rPr>
        <w:t>二十</w:t>
      </w:r>
      <w:r w:rsidRPr="00621B7F" w:rsidR="00154249">
        <w:rPr>
          <w:rFonts w:asciiTheme="minorEastAsia" w:eastAsiaTheme="minorEastAsia" w:hAnsiTheme="minorEastAsia" w:hint="eastAsia"/>
          <w:bCs/>
          <w:color w:val="000000" w:themeColor="text1"/>
        </w:rPr>
        <w:t>一</w:t>
      </w:r>
      <w:r w:rsidRPr="00621B7F">
        <w:rPr>
          <w:rFonts w:asciiTheme="minorEastAsia" w:eastAsiaTheme="minorEastAsia" w:hAnsiTheme="minorEastAsia" w:hint="eastAsia"/>
          <w:bCs/>
          <w:color w:val="000000" w:themeColor="text1"/>
        </w:rPr>
        <w:t>、基金合同内容摘要</w:t>
      </w:r>
      <w:bookmarkEnd w:id="908"/>
      <w:bookmarkEnd w:id="909"/>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910" w:name="_Toc238870137"/>
      <w:bookmarkStart w:id="911" w:name="_Toc91752115"/>
      <w:r w:rsidRPr="00621B7F">
        <w:rPr>
          <w:rFonts w:asciiTheme="minorEastAsia" w:eastAsiaTheme="minorEastAsia" w:hAnsiTheme="minorEastAsia" w:hint="eastAsia"/>
          <w:b w:val="0"/>
          <w:bCs/>
          <w:color w:val="000000" w:themeColor="text1"/>
        </w:rPr>
        <w:t>（</w:t>
      </w:r>
      <w:r w:rsidRPr="00621B7F" w:rsidR="00BC376A">
        <w:rPr>
          <w:rFonts w:asciiTheme="minorEastAsia" w:eastAsiaTheme="minorEastAsia" w:hAnsiTheme="minorEastAsia" w:hint="eastAsia"/>
          <w:b w:val="0"/>
          <w:bCs/>
          <w:color w:val="000000" w:themeColor="text1"/>
        </w:rPr>
        <w:t>一</w:t>
      </w:r>
      <w:r w:rsidRPr="00621B7F">
        <w:rPr>
          <w:rFonts w:asciiTheme="minorEastAsia" w:eastAsiaTheme="minorEastAsia" w:hAnsiTheme="minorEastAsia" w:hint="eastAsia"/>
          <w:b w:val="0"/>
          <w:bCs/>
          <w:color w:val="000000" w:themeColor="text1"/>
        </w:rPr>
        <w:t>）基金管理人的权利与义务</w:t>
      </w:r>
      <w:bookmarkEnd w:id="910"/>
      <w:bookmarkEnd w:id="911"/>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根据《基金法》、《运作办法》及其他有关规定，基金管理人的权利包括但不限于：</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（1）依法募集基金；</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（2）自《基金合同》生效之日起，根据法律法规和《基金合同》独立运用并管理基金财产；</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（3）依照《基金合同》收取基金管理费以及法律法规规定或中国证监会批准的其他费用；</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（4）销售基金份额；</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（5）召集基金份额持有人大会；</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（6）依据《基金合同》及有关法律规定监督基金托管人，如认为基金托管人违反了《基金合同》及国家有关法律规定，应呈报中国证监会和其他监管部门，并采取必要措施保护基金投资者的利益；</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（7）在基金托管人更换时，提名新的基金托管人；</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（8）选择、委托、更换基金代销机构，对基金代销机构的相关行为进行监督和处理；</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（9）担任或委托其他符合条件的机构担任基金注册登记机构办理基金注册登记业务并获得《基金合同》规定的费用；</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（10）依据《基金合同》及有关法律规定决定基金收益的分配方案；</w:t>
      </w:r>
      <w:r w:rsidRPr="00621B7F">
        <w:rPr>
          <w:rFonts w:asciiTheme="minorEastAsia" w:eastAsiaTheme="minorEastAsia" w:hAnsiTheme="minorEastAsia" w:hint="eastAsia"/>
          <w:color w:val="000000" w:themeColor="text1"/>
          <w:szCs w:val="21"/>
        </w:rPr>
        <w:tab/>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（11）在《基金合同》约定的范围内，拒绝或暂停受理申购与赎回申请；</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（12）在符合有关法律法规和《基金合同》的前提下，制订和调整《业务规则》，决定和调整除调高管理费率和托管费率之外的基金相关费率结构和收费方式；</w:t>
      </w:r>
      <w:r w:rsidRPr="00621B7F">
        <w:rPr>
          <w:rFonts w:asciiTheme="minorEastAsia" w:eastAsiaTheme="minorEastAsia" w:hAnsiTheme="minorEastAsia" w:hint="eastAsia"/>
          <w:color w:val="000000" w:themeColor="text1"/>
          <w:szCs w:val="21"/>
        </w:rPr>
        <w:tab/>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（13）依照法律法规为基金的利益对被投资公司行使股东权利，为基金的利益行使因基金财产投资于证券所产生的权利；</w:t>
      </w:r>
      <w:r w:rsidRPr="00621B7F">
        <w:rPr>
          <w:rFonts w:asciiTheme="minorEastAsia" w:eastAsiaTheme="minorEastAsia" w:hAnsiTheme="minorEastAsia" w:hint="eastAsia"/>
          <w:color w:val="000000" w:themeColor="text1"/>
          <w:szCs w:val="21"/>
        </w:rPr>
        <w:tab/>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（14）在法律法规允许的前提下，为基金的利益依法为基金进行融资；</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（15）以基金管理人的名义，代表基金份额持有人的利益行使诉讼权利或者实施其他法律行为；</w:t>
      </w:r>
      <w:r w:rsidRPr="00621B7F">
        <w:rPr>
          <w:rFonts w:asciiTheme="minorEastAsia" w:eastAsiaTheme="minorEastAsia" w:hAnsiTheme="minorEastAsia" w:hint="eastAsia"/>
          <w:color w:val="000000" w:themeColor="text1"/>
          <w:szCs w:val="21"/>
        </w:rPr>
        <w:tab/>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（16）选择、更换律师事务所、会计师事务所、证券经纪商或其他为基金提供服务的外部机构；</w:t>
      </w:r>
      <w:r w:rsidRPr="00621B7F">
        <w:rPr>
          <w:rFonts w:asciiTheme="minorEastAsia" w:eastAsiaTheme="minorEastAsia" w:hAnsiTheme="minorEastAsia" w:hint="eastAsia"/>
          <w:color w:val="000000" w:themeColor="text1"/>
          <w:szCs w:val="21"/>
        </w:rPr>
        <w:tab/>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（17）法律法规和《基金合同》规定的其他权利。</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根据《基金法》、《运作办法》及其他有关规定，基金管理人的义务包括但不限于：</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办理基金备案手续；</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自《基金合同》生效之日起</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以诚实信用、谨慎勤勉的原则管理和运用基金财产；</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（4）配备足够的具有专业资格的人员进行基金投资分析、决策，以专业化的经营方式管理和运作基金财产；</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（5）建立健全内部风险控制、监察与稽核、财务管理及人事管理等制度，保证所管理的基金财产和基金管理人的财产相互独立</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对所管理的不同基金分别管理，分别记账，进行证券投资；</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（6）除依据《基金法》、《基金合同》及其他有关规定外</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不得利用基金财产为自己及任何第三人谋取利益，不得委托第三人运作基金财产；</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（7）依法接受基金托管人的监督；</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（8）采取适当合理的措施使计算基金份额认购、申购、赎回和注销价格的方法符合《基金合同》等法律文件的规定，按有关规定计算并公告基金净值</w:t>
      </w:r>
      <w:r w:rsidRPr="00621B7F" w:rsidR="008D493A">
        <w:rPr>
          <w:rFonts w:asciiTheme="minorEastAsia" w:eastAsiaTheme="minorEastAsia" w:hAnsiTheme="minorEastAsia" w:hint="eastAsia"/>
          <w:color w:val="000000" w:themeColor="text1"/>
          <w:szCs w:val="21"/>
        </w:rPr>
        <w:t>信息</w:t>
      </w:r>
      <w:r w:rsidRPr="00621B7F">
        <w:rPr>
          <w:rFonts w:asciiTheme="minorEastAsia" w:eastAsiaTheme="minorEastAsia" w:hAnsiTheme="minorEastAsia" w:hint="eastAsia"/>
          <w:color w:val="000000" w:themeColor="text1"/>
          <w:szCs w:val="21"/>
        </w:rPr>
        <w:t>，确定基金份额申购、赎回的价格；</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（9）进行基金会计核算并编制基金财务会计报告；</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（10）编制季度</w:t>
      </w:r>
      <w:r w:rsidRPr="00621B7F" w:rsidR="008D493A">
        <w:rPr>
          <w:rFonts w:asciiTheme="minorEastAsia" w:eastAsiaTheme="minorEastAsia" w:hAnsiTheme="minorEastAsia" w:hint="eastAsia"/>
          <w:color w:val="000000" w:themeColor="text1"/>
          <w:szCs w:val="21"/>
        </w:rPr>
        <w:t>报告</w:t>
      </w:r>
      <w:r w:rsidRPr="00621B7F">
        <w:rPr>
          <w:rFonts w:asciiTheme="minorEastAsia" w:eastAsiaTheme="minorEastAsia" w:hAnsiTheme="minorEastAsia" w:hint="eastAsia"/>
          <w:color w:val="000000" w:themeColor="text1"/>
          <w:szCs w:val="21"/>
        </w:rPr>
        <w:t>、</w:t>
      </w:r>
      <w:r w:rsidRPr="00621B7F" w:rsidR="008D493A">
        <w:rPr>
          <w:rFonts w:asciiTheme="minorEastAsia" w:eastAsiaTheme="minorEastAsia" w:hAnsiTheme="minorEastAsia" w:hint="eastAsia"/>
          <w:color w:val="000000" w:themeColor="text1"/>
          <w:szCs w:val="21"/>
        </w:rPr>
        <w:t>中期报告</w:t>
      </w:r>
      <w:r w:rsidRPr="00621B7F">
        <w:rPr>
          <w:rFonts w:asciiTheme="minorEastAsia" w:eastAsiaTheme="minorEastAsia" w:hAnsiTheme="minorEastAsia" w:hint="eastAsia"/>
          <w:color w:val="000000" w:themeColor="text1"/>
          <w:szCs w:val="21"/>
        </w:rPr>
        <w:t>和年度报告；</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（11）严格按照《基金法》、《基金合同》及其他有关规定，履行信息披露及报告义务；</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（12）保守基金商业秘密，不泄露基金投资计划、投资意向等。除《基金法》、《基金合同》及其他有关规定另有规定外，在基金信息公开披露前应予保密，不向他人泄露；</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（13）按《基金合同》的约定确定基金收益分配方案，及时向基金份额持有人分配基金收益；</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（14）按规定受理申购与赎回申请，及时、足额支付赎回款项；</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（15）依据《基金法》、《基金合同》及其他有关规定召集基金份额持有人大会</w:t>
      </w:r>
      <w:r w:rsidRPr="00621B7F">
        <w:rPr>
          <w:rFonts w:asciiTheme="minorEastAsia" w:eastAsiaTheme="minorEastAsia" w:hAnsiTheme="minorEastAsia"/>
          <w:color w:val="000000" w:themeColor="text1"/>
          <w:szCs w:val="21"/>
        </w:rPr>
        <w:t>或配合基金托管人、基金份额持有人依法召集基金份额持有人大会</w:t>
      </w:r>
      <w:r w:rsidRPr="00621B7F">
        <w:rPr>
          <w:rFonts w:asciiTheme="minorEastAsia" w:eastAsiaTheme="minorEastAsia" w:hAnsiTheme="minorEastAsia" w:hint="eastAsia"/>
          <w:color w:val="000000" w:themeColor="text1"/>
          <w:szCs w:val="21"/>
        </w:rPr>
        <w:t>；</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（16）按规定保存基金财产管理业务活动的会计账册、报表、记录和其他相关资料15年以上；</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（18）组织并参加基金财产清算小组</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参与基金财产的保管、清理、估价、变现和分配；</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（19）面临解散、依法被撤销或者被依法宣告破产时，及时报告中国证监会并通知基金托管人；</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（20）因违反《基金合同》导致基金财产的损失</w:t>
      </w:r>
      <w:r w:rsidRPr="00621B7F">
        <w:rPr>
          <w:rFonts w:asciiTheme="minorEastAsia" w:eastAsiaTheme="minorEastAsia" w:hAnsiTheme="minorEastAsia"/>
          <w:color w:val="000000" w:themeColor="text1"/>
          <w:szCs w:val="21"/>
        </w:rPr>
        <w:t>或损害基金份额持有人合法权益</w:t>
      </w:r>
      <w:r w:rsidRPr="00621B7F">
        <w:rPr>
          <w:rFonts w:asciiTheme="minorEastAsia" w:eastAsiaTheme="minorEastAsia" w:hAnsiTheme="minorEastAsia" w:hint="eastAsia"/>
          <w:color w:val="000000" w:themeColor="text1"/>
          <w:szCs w:val="21"/>
        </w:rPr>
        <w:t>时，应当承担赔偿责任，其赔偿责任不因其退任而免除；</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（23）以基金管理人名义，代表基金份额持有人利益行使诉讼权利或实施其他法律行为；</w:t>
      </w:r>
      <w:r w:rsidRPr="00621B7F">
        <w:rPr>
          <w:rFonts w:asciiTheme="minorEastAsia" w:eastAsiaTheme="minorEastAsia" w:hAnsiTheme="minorEastAsia" w:hint="eastAsia"/>
          <w:color w:val="000000" w:themeColor="text1"/>
          <w:szCs w:val="21"/>
        </w:rPr>
        <w:tab/>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（24）基金管理人在募集期间未能达到基金的备案条件，《基金合同》不能生效，基金管理人承担全部募集费用，将已募集资金并加计银行同期存款利息在基金募集期结束后30日内退还基金认购人；</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（25</w:t>
      </w:r>
      <w:r w:rsidRPr="00621B7F">
        <w:rPr>
          <w:rFonts w:asciiTheme="minorEastAsia" w:eastAsiaTheme="minorEastAsia" w:hAnsiTheme="minorEastAsia"/>
          <w:color w:val="000000" w:themeColor="text1"/>
          <w:szCs w:val="21"/>
        </w:rPr>
        <w:t>）执行生效的基金份额持有人大会的决定</w:t>
      </w:r>
      <w:r w:rsidRPr="00621B7F">
        <w:rPr>
          <w:rFonts w:asciiTheme="minorEastAsia" w:eastAsiaTheme="minorEastAsia" w:hAnsiTheme="minorEastAsia" w:hint="eastAsia"/>
          <w:color w:val="000000" w:themeColor="text1"/>
          <w:szCs w:val="21"/>
        </w:rPr>
        <w:t>；</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（26）</w:t>
      </w:r>
      <w:r w:rsidRPr="00621B7F">
        <w:rPr>
          <w:rFonts w:asciiTheme="minorEastAsia" w:eastAsiaTheme="minorEastAsia" w:hAnsiTheme="minorEastAsia"/>
          <w:color w:val="000000" w:themeColor="text1"/>
          <w:szCs w:val="21"/>
        </w:rPr>
        <w:t>建立并保存基金份额持有人名册</w:t>
      </w:r>
      <w:r w:rsidRPr="00621B7F">
        <w:rPr>
          <w:rFonts w:asciiTheme="minorEastAsia" w:eastAsiaTheme="minorEastAsia" w:hAnsiTheme="minorEastAsia" w:hint="eastAsia"/>
          <w:color w:val="000000" w:themeColor="text1"/>
          <w:szCs w:val="21"/>
        </w:rPr>
        <w:t>，根据托管协议的约定向基金托管人提供基金份额持有人名册</w:t>
      </w:r>
      <w:r w:rsidRPr="00621B7F">
        <w:rPr>
          <w:rFonts w:asciiTheme="minorEastAsia" w:eastAsiaTheme="minorEastAsia" w:hAnsiTheme="minorEastAsia"/>
          <w:color w:val="000000" w:themeColor="text1"/>
          <w:szCs w:val="21"/>
        </w:rPr>
        <w:t>；</w:t>
      </w:r>
    </w:p>
    <w:p w:rsidR="005A46A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（27）</w:t>
      </w:r>
      <w:r w:rsidRPr="00621B7F">
        <w:rPr>
          <w:rFonts w:asciiTheme="minorEastAsia" w:eastAsiaTheme="minorEastAsia" w:hAnsiTheme="minorEastAsia"/>
          <w:color w:val="000000" w:themeColor="text1"/>
          <w:szCs w:val="21"/>
        </w:rPr>
        <w:t>法律法规</w:t>
      </w:r>
      <w:r w:rsidRPr="00621B7F">
        <w:rPr>
          <w:rFonts w:asciiTheme="minorEastAsia" w:eastAsiaTheme="minorEastAsia" w:hAnsiTheme="minorEastAsia" w:hint="eastAsia"/>
          <w:color w:val="000000" w:themeColor="text1"/>
          <w:szCs w:val="21"/>
        </w:rPr>
        <w:t>及中国证监会规定的</w:t>
      </w:r>
      <w:r w:rsidRPr="00621B7F">
        <w:rPr>
          <w:rFonts w:asciiTheme="minorEastAsia" w:eastAsiaTheme="minorEastAsia" w:hAnsiTheme="minorEastAsia"/>
          <w:color w:val="000000" w:themeColor="text1"/>
          <w:szCs w:val="21"/>
        </w:rPr>
        <w:t>和《基金合同》</w:t>
      </w:r>
      <w:r w:rsidRPr="00621B7F">
        <w:rPr>
          <w:rFonts w:asciiTheme="minorEastAsia" w:eastAsiaTheme="minorEastAsia" w:hAnsiTheme="minorEastAsia" w:hint="eastAsia"/>
          <w:color w:val="000000" w:themeColor="text1"/>
          <w:szCs w:val="21"/>
        </w:rPr>
        <w:t>约</w:t>
      </w:r>
      <w:r w:rsidRPr="00621B7F">
        <w:rPr>
          <w:rFonts w:asciiTheme="minorEastAsia" w:eastAsiaTheme="minorEastAsia" w:hAnsiTheme="minorEastAsia"/>
          <w:color w:val="000000" w:themeColor="text1"/>
          <w:szCs w:val="21"/>
        </w:rPr>
        <w:t>定的其他义务。</w:t>
      </w:r>
    </w:p>
    <w:p w:rsidR="00266A27" w:rsidRPr="00621B7F" w:rsidP="00A32B85">
      <w:pPr>
        <w:pStyle w:val="Heading2"/>
        <w:adjustRightInd w:val="0"/>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912" w:name="_Toc238870138"/>
      <w:bookmarkStart w:id="913" w:name="_Toc91752116"/>
      <w:r w:rsidRPr="00621B7F">
        <w:rPr>
          <w:rFonts w:asciiTheme="minorEastAsia" w:eastAsiaTheme="minorEastAsia" w:hAnsiTheme="minorEastAsia" w:hint="eastAsia"/>
          <w:b w:val="0"/>
          <w:bCs/>
          <w:color w:val="000000" w:themeColor="text1"/>
        </w:rPr>
        <w:t>（</w:t>
      </w:r>
      <w:r w:rsidRPr="00621B7F" w:rsidR="00A7526E">
        <w:rPr>
          <w:rFonts w:asciiTheme="minorEastAsia" w:eastAsiaTheme="minorEastAsia" w:hAnsiTheme="minorEastAsia" w:hint="eastAsia"/>
          <w:b w:val="0"/>
          <w:bCs/>
          <w:color w:val="000000" w:themeColor="text1"/>
        </w:rPr>
        <w:t>二</w:t>
      </w:r>
      <w:r w:rsidRPr="00621B7F">
        <w:rPr>
          <w:rFonts w:asciiTheme="minorEastAsia" w:eastAsiaTheme="minorEastAsia" w:hAnsiTheme="minorEastAsia" w:hint="eastAsia"/>
          <w:b w:val="0"/>
          <w:bCs/>
          <w:color w:val="000000" w:themeColor="text1"/>
        </w:rPr>
        <w:t>）基金托管人的权利与义务</w:t>
      </w:r>
      <w:bookmarkEnd w:id="912"/>
      <w:bookmarkEnd w:id="913"/>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根据《基金法》、《运作办法》及其他有关规定，基金托管人的权利包括但不限于：</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（1）自《基金合同》生效之日起，依法律法规和《基金合同》的规定安全保管基金财产；</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（2）依《基金合同》约定获得基金托管费以及法律法规规定或监管部门批准的其他收入；</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监督基金管理人对本基金的投资运作，如发现基金管理人有违反《基金合同》及国家法律法规行为，</w:t>
      </w:r>
      <w:r w:rsidRPr="00621B7F">
        <w:rPr>
          <w:rFonts w:asciiTheme="minorEastAsia" w:eastAsiaTheme="minorEastAsia" w:hAnsiTheme="minorEastAsia"/>
          <w:color w:val="000000" w:themeColor="text1"/>
          <w:szCs w:val="21"/>
        </w:rPr>
        <w:t>对基金</w:t>
      </w:r>
      <w:r w:rsidRPr="00621B7F">
        <w:rPr>
          <w:rFonts w:asciiTheme="minorEastAsia" w:eastAsiaTheme="minorEastAsia" w:hAnsiTheme="minorEastAsia" w:hint="eastAsia"/>
          <w:color w:val="000000" w:themeColor="text1"/>
          <w:szCs w:val="21"/>
        </w:rPr>
        <w:t>财</w:t>
      </w:r>
      <w:r w:rsidRPr="00621B7F">
        <w:rPr>
          <w:rFonts w:asciiTheme="minorEastAsia" w:eastAsiaTheme="minorEastAsia" w:hAnsiTheme="minorEastAsia"/>
          <w:color w:val="000000" w:themeColor="text1"/>
          <w:szCs w:val="21"/>
        </w:rPr>
        <w:t>产、其他当事人的利益造成重大损失的</w:t>
      </w:r>
      <w:r w:rsidRPr="00621B7F">
        <w:rPr>
          <w:rFonts w:asciiTheme="minorEastAsia" w:eastAsiaTheme="minorEastAsia" w:hAnsiTheme="minorEastAsia" w:hint="eastAsia"/>
          <w:color w:val="000000" w:themeColor="text1"/>
          <w:szCs w:val="21"/>
        </w:rPr>
        <w:t>情形</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应呈报中国证监会，并采取必要措施保护基金投资者的利益；</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Pr>
          <w:rFonts w:asciiTheme="minorEastAsia" w:eastAsiaTheme="minorEastAsia" w:hAnsiTheme="minorEastAsia"/>
          <w:color w:val="000000" w:themeColor="text1"/>
          <w:szCs w:val="21"/>
        </w:rPr>
        <w:t>以基金托管人和基金联名的方式在中国证券登记结算有限公司上海分公司和深圳分公司开设证券账户；</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w:t>
      </w:r>
      <w:r w:rsidRPr="00621B7F">
        <w:rPr>
          <w:rFonts w:asciiTheme="minorEastAsia" w:eastAsiaTheme="minorEastAsia" w:hAnsiTheme="minorEastAsia"/>
          <w:color w:val="000000" w:themeColor="text1"/>
          <w:szCs w:val="21"/>
        </w:rPr>
        <w:t>以基金托管人名义开立证券交易资金账户，用于证券交易资金清算；</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w:t>
      </w:r>
      <w:r w:rsidRPr="00621B7F">
        <w:rPr>
          <w:rFonts w:asciiTheme="minorEastAsia" w:eastAsiaTheme="minorEastAsia" w:hAnsiTheme="minorEastAsia"/>
          <w:color w:val="000000" w:themeColor="text1"/>
          <w:szCs w:val="21"/>
        </w:rPr>
        <w:t>以基金的名义在中央国债登记结算有限公司开设</w:t>
      </w:r>
      <w:r w:rsidRPr="00621B7F">
        <w:rPr>
          <w:rFonts w:asciiTheme="minorEastAsia" w:eastAsiaTheme="minorEastAsia" w:hAnsiTheme="minorEastAsia" w:hint="eastAsia"/>
          <w:color w:val="000000" w:themeColor="text1"/>
          <w:szCs w:val="21"/>
        </w:rPr>
        <w:t>银行间</w:t>
      </w:r>
      <w:r w:rsidRPr="00621B7F">
        <w:rPr>
          <w:rFonts w:asciiTheme="minorEastAsia" w:eastAsiaTheme="minorEastAsia" w:hAnsiTheme="minorEastAsia"/>
          <w:color w:val="000000" w:themeColor="text1"/>
          <w:szCs w:val="21"/>
        </w:rPr>
        <w:t>债券托管账户</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负责基金</w:t>
      </w:r>
      <w:r w:rsidRPr="00621B7F">
        <w:rPr>
          <w:rFonts w:asciiTheme="minorEastAsia" w:eastAsiaTheme="minorEastAsia" w:hAnsiTheme="minorEastAsia" w:hint="eastAsia"/>
          <w:color w:val="000000" w:themeColor="text1"/>
          <w:szCs w:val="21"/>
        </w:rPr>
        <w:t>投资</w:t>
      </w:r>
      <w:r w:rsidRPr="00621B7F">
        <w:rPr>
          <w:rFonts w:asciiTheme="minorEastAsia" w:eastAsiaTheme="minorEastAsia" w:hAnsiTheme="minorEastAsia"/>
          <w:color w:val="000000" w:themeColor="text1"/>
          <w:szCs w:val="21"/>
        </w:rPr>
        <w:t>债券</w:t>
      </w:r>
      <w:r w:rsidRPr="00621B7F">
        <w:rPr>
          <w:rFonts w:asciiTheme="minorEastAsia" w:eastAsiaTheme="minorEastAsia" w:hAnsiTheme="minorEastAsia" w:hint="eastAsia"/>
          <w:color w:val="000000" w:themeColor="text1"/>
          <w:szCs w:val="21"/>
        </w:rPr>
        <w:t>的后台匹配</w:t>
      </w:r>
      <w:r w:rsidRPr="00621B7F">
        <w:rPr>
          <w:rFonts w:asciiTheme="minorEastAsia" w:eastAsiaTheme="minorEastAsia" w:hAnsiTheme="minorEastAsia"/>
          <w:color w:val="000000" w:themeColor="text1"/>
          <w:szCs w:val="21"/>
        </w:rPr>
        <w:t>及资金的清算；</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（7）提议召开或召集基金份额持有人大会；</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（8）在基金管理人更换时，提名新的基金管理人；</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（9）法律法规和《基金合同》规定的其他权利。</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根据《基金法》、《运作办法》及其他有关规定，基金托管人的义务包括但不限于：</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（1）以诚实信用、勤勉尽责的原则持有并安全保管基金财产；</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（2）设立专门的基金托管部门，具有符合要求的营业场所，配备足够的、合格的熟悉基金托管业务的专职人员，负责基金财产托管事宜；</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（4）除依据《基金法》、《基金合同》及其他有关规定外，不得利用基金财产为自己及任何第三人谋取利益，不得委托第三人托管基金财产；</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（5）保管由基金管理人代表基金签订的与基金有关的重大合同及有关凭证；</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（6）按规定开设基金财产的资金账户和证券账户</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按照《基金合同》的约定，根据基金管理人的投资指令，及时办理清算、交割事宜；</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（7）保守基金商业秘密，除《基金法》、《基金合同》及其他有关规定另有规定外，在基金信息公开披露前予以保密，不得向他人泄露；</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（8）复核、审查基金管理人计算的基金资产净值、</w:t>
      </w:r>
      <w:r w:rsidRPr="00621B7F" w:rsidR="008D493A">
        <w:rPr>
          <w:rFonts w:asciiTheme="minorEastAsia" w:eastAsiaTheme="minorEastAsia" w:hAnsiTheme="minorEastAsia" w:hint="eastAsia"/>
          <w:color w:val="000000" w:themeColor="text1"/>
          <w:szCs w:val="21"/>
        </w:rPr>
        <w:t>基金份额净值、</w:t>
      </w:r>
      <w:r w:rsidRPr="00621B7F">
        <w:rPr>
          <w:rFonts w:asciiTheme="minorEastAsia" w:eastAsiaTheme="minorEastAsia" w:hAnsiTheme="minorEastAsia" w:hint="eastAsia"/>
          <w:color w:val="000000" w:themeColor="text1"/>
          <w:szCs w:val="21"/>
        </w:rPr>
        <w:t>基金份额申购、赎回价格；</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（9）办理与基金托管业务活动有关的信息披露事项；</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（10）对基金财务会计报告、季度</w:t>
      </w:r>
      <w:r w:rsidRPr="00621B7F" w:rsidR="008D493A">
        <w:rPr>
          <w:rFonts w:asciiTheme="minorEastAsia" w:eastAsiaTheme="minorEastAsia" w:hAnsiTheme="minorEastAsia" w:hint="eastAsia"/>
          <w:color w:val="000000" w:themeColor="text1"/>
          <w:szCs w:val="21"/>
        </w:rPr>
        <w:t>报告</w:t>
      </w:r>
      <w:r w:rsidRPr="00621B7F">
        <w:rPr>
          <w:rFonts w:asciiTheme="minorEastAsia" w:eastAsiaTheme="minorEastAsia" w:hAnsiTheme="minorEastAsia" w:hint="eastAsia"/>
          <w:color w:val="000000" w:themeColor="text1"/>
          <w:szCs w:val="21"/>
        </w:rPr>
        <w:t>、</w:t>
      </w:r>
      <w:r w:rsidRPr="00621B7F" w:rsidR="008D493A">
        <w:rPr>
          <w:rFonts w:asciiTheme="minorEastAsia" w:eastAsiaTheme="minorEastAsia" w:hAnsiTheme="minorEastAsia" w:hint="eastAsia"/>
          <w:color w:val="000000" w:themeColor="text1"/>
          <w:szCs w:val="21"/>
        </w:rPr>
        <w:t>中期报告</w:t>
      </w:r>
      <w:r w:rsidRPr="00621B7F">
        <w:rPr>
          <w:rFonts w:asciiTheme="minorEastAsia" w:eastAsiaTheme="minorEastAsia" w:hAnsiTheme="minorEastAsia" w:hint="eastAsia"/>
          <w:color w:val="000000" w:themeColor="text1"/>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（11）保存基金托管业务活动的记录、账册、报表和其他相关资料15年以上；</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（12）</w:t>
      </w:r>
      <w:r w:rsidRPr="00621B7F">
        <w:rPr>
          <w:rFonts w:asciiTheme="minorEastAsia" w:eastAsiaTheme="minorEastAsia" w:hAnsiTheme="minorEastAsia"/>
          <w:color w:val="000000" w:themeColor="text1"/>
          <w:szCs w:val="21"/>
        </w:rPr>
        <w:t>建立并保存基金份额持有人名册</w:t>
      </w:r>
      <w:r w:rsidRPr="00621B7F">
        <w:rPr>
          <w:rFonts w:asciiTheme="minorEastAsia" w:eastAsiaTheme="minorEastAsia" w:hAnsiTheme="minorEastAsia" w:hint="eastAsia"/>
          <w:color w:val="000000" w:themeColor="text1"/>
          <w:szCs w:val="21"/>
        </w:rPr>
        <w:t>；</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（13）按规定制作相关账册并与基金管理人核对；</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（14）依据基金管理人的指令或有关规定向基金份额持有人支付基金收益和赎回款项；</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（15）按照规定召集基金份额持有人大会或配合基金份额持有人依法自行召集基金份额持有人大会；</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（16）按照法律法规和《基金合同》的规定监督基金管理人的投资运作；</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（17）参加基金财产清算小组，参与基金财产的保管、清理、估价、变现和分配；</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（18）面临解散、依法被撤销或者被依法宣告破产时，及时报告中国证监会和银行监管机构，并通知基金管理人；</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（19）因违反《基金合同》导致基金财产损失时，应承担赔偿责任，其赔偿责任不因其退任而免除；</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（20）按规定监督基金管理人按法律法规和《基金合同》规定履行自己的义务，基金管理人因违反《基金合同》造成基金财产损失时，应为基金利益向基金管理人追偿；</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（21）</w:t>
      </w:r>
      <w:r w:rsidRPr="00621B7F">
        <w:rPr>
          <w:rFonts w:asciiTheme="minorEastAsia" w:eastAsiaTheme="minorEastAsia" w:hAnsiTheme="minorEastAsia"/>
          <w:color w:val="000000" w:themeColor="text1"/>
          <w:szCs w:val="21"/>
        </w:rPr>
        <w:t>执行生效的基金份额持有人大会的决定</w:t>
      </w:r>
      <w:r w:rsidRPr="00621B7F">
        <w:rPr>
          <w:rFonts w:asciiTheme="minorEastAsia" w:eastAsiaTheme="minorEastAsia" w:hAnsiTheme="minorEastAsia" w:hint="eastAsia"/>
          <w:color w:val="000000" w:themeColor="text1"/>
          <w:szCs w:val="21"/>
        </w:rPr>
        <w:t>；</w:t>
      </w:r>
    </w:p>
    <w:p w:rsidR="0028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（22）</w:t>
      </w:r>
      <w:r w:rsidRPr="00621B7F">
        <w:rPr>
          <w:rFonts w:asciiTheme="minorEastAsia" w:eastAsiaTheme="minorEastAsia" w:hAnsiTheme="minorEastAsia"/>
          <w:color w:val="000000" w:themeColor="text1"/>
          <w:szCs w:val="21"/>
        </w:rPr>
        <w:t>法律法规</w:t>
      </w:r>
      <w:r w:rsidRPr="00621B7F">
        <w:rPr>
          <w:rFonts w:asciiTheme="minorEastAsia" w:eastAsiaTheme="minorEastAsia" w:hAnsiTheme="minorEastAsia" w:hint="eastAsia"/>
          <w:color w:val="000000" w:themeColor="text1"/>
          <w:szCs w:val="21"/>
        </w:rPr>
        <w:t>及中国证监会规定的</w:t>
      </w:r>
      <w:r w:rsidRPr="00621B7F">
        <w:rPr>
          <w:rFonts w:asciiTheme="minorEastAsia" w:eastAsiaTheme="minorEastAsia" w:hAnsiTheme="minorEastAsia"/>
          <w:color w:val="000000" w:themeColor="text1"/>
          <w:szCs w:val="21"/>
        </w:rPr>
        <w:t>和《基金合同》</w:t>
      </w:r>
      <w:r w:rsidRPr="00621B7F">
        <w:rPr>
          <w:rFonts w:asciiTheme="minorEastAsia" w:eastAsiaTheme="minorEastAsia" w:hAnsiTheme="minorEastAsia" w:hint="eastAsia"/>
          <w:color w:val="000000" w:themeColor="text1"/>
          <w:szCs w:val="21"/>
        </w:rPr>
        <w:t>约</w:t>
      </w:r>
      <w:r w:rsidRPr="00621B7F">
        <w:rPr>
          <w:rFonts w:asciiTheme="minorEastAsia" w:eastAsiaTheme="minorEastAsia" w:hAnsiTheme="minorEastAsia"/>
          <w:color w:val="000000" w:themeColor="text1"/>
          <w:szCs w:val="21"/>
        </w:rPr>
        <w:t>定的其他义务。</w:t>
      </w:r>
    </w:p>
    <w:p w:rsidR="00266A27" w:rsidRPr="00621B7F" w:rsidP="00A32B85">
      <w:pPr>
        <w:pStyle w:val="Heading2"/>
        <w:adjustRightInd w:val="0"/>
        <w:snapToGrid w:val="0"/>
        <w:spacing w:beforeLines="0" w:afterLines="0" w:line="360" w:lineRule="auto"/>
        <w:ind w:firstLine="0" w:firstLineChars="0"/>
        <w:rPr>
          <w:rFonts w:asciiTheme="minorEastAsia" w:eastAsiaTheme="minorEastAsia" w:hAnsiTheme="minorEastAsia"/>
          <w:color w:val="000000" w:themeColor="text1"/>
          <w:szCs w:val="21"/>
        </w:rPr>
      </w:pPr>
      <w:bookmarkStart w:id="914" w:name="_Toc238870139"/>
      <w:bookmarkStart w:id="915" w:name="_Toc91752117"/>
      <w:r w:rsidRPr="00621B7F">
        <w:rPr>
          <w:rFonts w:asciiTheme="minorEastAsia" w:eastAsiaTheme="minorEastAsia" w:hAnsiTheme="minorEastAsia" w:hint="eastAsia"/>
          <w:b w:val="0"/>
          <w:bCs/>
          <w:color w:val="000000" w:themeColor="text1"/>
        </w:rPr>
        <w:t>（</w:t>
      </w:r>
      <w:r w:rsidRPr="00621B7F" w:rsidR="005433FC">
        <w:rPr>
          <w:rFonts w:asciiTheme="minorEastAsia" w:eastAsiaTheme="minorEastAsia" w:hAnsiTheme="minorEastAsia" w:hint="eastAsia"/>
          <w:b w:val="0"/>
          <w:bCs/>
          <w:color w:val="000000" w:themeColor="text1"/>
        </w:rPr>
        <w:t>三</w:t>
      </w:r>
      <w:r w:rsidRPr="00621B7F">
        <w:rPr>
          <w:rFonts w:asciiTheme="minorEastAsia" w:eastAsiaTheme="minorEastAsia" w:hAnsiTheme="minorEastAsia" w:hint="eastAsia"/>
          <w:b w:val="0"/>
          <w:bCs/>
          <w:color w:val="000000" w:themeColor="text1"/>
        </w:rPr>
        <w:t>）基金份额持有人的权利与义务</w:t>
      </w:r>
      <w:bookmarkEnd w:id="914"/>
      <w:bookmarkEnd w:id="915"/>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每份基金份额具有同等的合法权益。</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根据《基金法》、《运作办法》及其他有关规定，基金份额持有人的权利包括但不限于：</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（1）分享基金财产收益；</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参与分配清算后的剩余基金财产</w:t>
      </w:r>
      <w:r w:rsidRPr="00621B7F">
        <w:rPr>
          <w:rFonts w:asciiTheme="minorEastAsia" w:eastAsiaTheme="minorEastAsia" w:hAnsiTheme="minorEastAsia" w:hint="eastAsia"/>
          <w:color w:val="000000" w:themeColor="text1"/>
          <w:szCs w:val="21"/>
        </w:rPr>
        <w:t>；</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（3）依法申请赎回其持有的基金份额</w:t>
      </w:r>
      <w:r w:rsidRPr="00621B7F">
        <w:rPr>
          <w:rFonts w:asciiTheme="minorEastAsia" w:eastAsiaTheme="minorEastAsia" w:hAnsiTheme="minorEastAsia"/>
          <w:color w:val="000000" w:themeColor="text1"/>
          <w:szCs w:val="21"/>
        </w:rPr>
        <w:t>；</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Pr>
          <w:rFonts w:asciiTheme="minorEastAsia" w:eastAsiaTheme="minorEastAsia" w:hAnsiTheme="minorEastAsia"/>
          <w:color w:val="000000" w:themeColor="text1"/>
          <w:szCs w:val="21"/>
        </w:rPr>
        <w:t>按照规定要求召开基金份额持有人大会</w:t>
      </w:r>
      <w:r w:rsidRPr="00621B7F">
        <w:rPr>
          <w:rFonts w:asciiTheme="minorEastAsia" w:eastAsiaTheme="minorEastAsia" w:hAnsiTheme="minorEastAsia" w:hint="eastAsia"/>
          <w:color w:val="000000" w:themeColor="text1"/>
          <w:szCs w:val="21"/>
        </w:rPr>
        <w:t>；</w:t>
      </w:r>
    </w:p>
    <w:p w:rsidR="007E76F2"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（5）出席或者委派代表出席本基金基金</w:t>
      </w:r>
      <w:r w:rsidRPr="00621B7F">
        <w:rPr>
          <w:rFonts w:asciiTheme="minorEastAsia" w:eastAsiaTheme="minorEastAsia" w:hAnsiTheme="minorEastAsia"/>
          <w:color w:val="000000" w:themeColor="text1"/>
          <w:szCs w:val="21"/>
        </w:rPr>
        <w:t>份额</w:t>
      </w:r>
      <w:r w:rsidRPr="00621B7F">
        <w:rPr>
          <w:rFonts w:asciiTheme="minorEastAsia" w:eastAsiaTheme="minorEastAsia" w:hAnsiTheme="minorEastAsia" w:hint="eastAsia"/>
          <w:color w:val="000000" w:themeColor="text1"/>
          <w:szCs w:val="21"/>
        </w:rPr>
        <w:t>持有人大会或目标</w:t>
      </w:r>
      <w:r w:rsidRPr="00621B7F">
        <w:rPr>
          <w:rFonts w:asciiTheme="minorEastAsia" w:eastAsiaTheme="minorEastAsia" w:hAnsiTheme="minorEastAsia"/>
          <w:color w:val="000000" w:themeColor="text1"/>
          <w:szCs w:val="21"/>
        </w:rPr>
        <w:t>ETF基金份额持有人大会</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对</w:t>
      </w:r>
      <w:r w:rsidRPr="00621B7F">
        <w:rPr>
          <w:rFonts w:asciiTheme="minorEastAsia" w:eastAsiaTheme="minorEastAsia" w:hAnsiTheme="minorEastAsia" w:hint="eastAsia"/>
          <w:color w:val="000000" w:themeColor="text1"/>
          <w:szCs w:val="21"/>
        </w:rPr>
        <w:t>本基金</w:t>
      </w:r>
      <w:r w:rsidRPr="00621B7F">
        <w:rPr>
          <w:rFonts w:asciiTheme="minorEastAsia" w:eastAsiaTheme="minorEastAsia" w:hAnsiTheme="minorEastAsia"/>
          <w:color w:val="000000" w:themeColor="text1"/>
          <w:szCs w:val="21"/>
        </w:rPr>
        <w:t>基金份额持有人大会</w:t>
      </w:r>
      <w:r w:rsidRPr="00621B7F">
        <w:rPr>
          <w:rFonts w:asciiTheme="minorEastAsia" w:eastAsiaTheme="minorEastAsia" w:hAnsiTheme="minorEastAsia" w:hint="eastAsia"/>
          <w:color w:val="000000" w:themeColor="text1"/>
          <w:szCs w:val="21"/>
        </w:rPr>
        <w:t>或目标</w:t>
      </w:r>
      <w:r w:rsidRPr="00621B7F">
        <w:rPr>
          <w:rFonts w:asciiTheme="minorEastAsia" w:eastAsiaTheme="minorEastAsia" w:hAnsiTheme="minorEastAsia"/>
          <w:color w:val="000000" w:themeColor="text1"/>
          <w:szCs w:val="21"/>
        </w:rPr>
        <w:t>ETF基金份额持有人大会审议事项行使表决权</w:t>
      </w:r>
      <w:r w:rsidRPr="00621B7F">
        <w:rPr>
          <w:rFonts w:asciiTheme="minorEastAsia" w:eastAsiaTheme="minorEastAsia" w:hAnsiTheme="minorEastAsia" w:hint="eastAsia"/>
          <w:color w:val="000000" w:themeColor="text1"/>
          <w:szCs w:val="21"/>
        </w:rPr>
        <w:t>；</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w:t>
      </w:r>
      <w:r w:rsidRPr="00621B7F">
        <w:rPr>
          <w:rFonts w:asciiTheme="minorEastAsia" w:eastAsiaTheme="minorEastAsia" w:hAnsiTheme="minorEastAsia"/>
          <w:color w:val="000000" w:themeColor="text1"/>
          <w:szCs w:val="21"/>
        </w:rPr>
        <w:t>查阅或者复制公开披露的基金信息资料；</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w:t>
      </w:r>
      <w:r w:rsidRPr="00621B7F">
        <w:rPr>
          <w:rFonts w:asciiTheme="minorEastAsia" w:eastAsiaTheme="minorEastAsia" w:hAnsiTheme="minorEastAsia"/>
          <w:color w:val="000000" w:themeColor="text1"/>
          <w:szCs w:val="21"/>
        </w:rPr>
        <w:t>监督基金管理人的投资运作</w:t>
      </w:r>
      <w:r w:rsidRPr="00621B7F">
        <w:rPr>
          <w:rFonts w:asciiTheme="minorEastAsia" w:eastAsiaTheme="minorEastAsia" w:hAnsiTheme="minorEastAsia" w:hint="eastAsia"/>
          <w:color w:val="000000" w:themeColor="text1"/>
          <w:szCs w:val="21"/>
        </w:rPr>
        <w:t>；</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（8）对基金管理人、基金托管人、基金销售机构损害其合法权益的行为依法提起诉讼；</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（9）法律法规和《基金合同》规定的其他权利。</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根据《基金法》、《运作办法》及其他有关规定，基金份额持有人的义务包括但不限于：</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（1）遵守《基金合同》；</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（2）缴纳基金认购、申购、赎回款项及法律法规和《基金合同》所规定的费用；</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（3）在其持有的基金份额范围内，承担基金亏损或者《基金合同》终止的有限责任；</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（4）不从事任何有损基金及其他《基金合同》当事人</w:t>
      </w:r>
      <w:r w:rsidRPr="00621B7F">
        <w:rPr>
          <w:rFonts w:asciiTheme="minorEastAsia" w:eastAsiaTheme="minorEastAsia" w:hAnsiTheme="minorEastAsia"/>
          <w:color w:val="000000" w:themeColor="text1"/>
          <w:szCs w:val="21"/>
        </w:rPr>
        <w:t>合法权益</w:t>
      </w:r>
      <w:r w:rsidRPr="00621B7F">
        <w:rPr>
          <w:rFonts w:asciiTheme="minorEastAsia" w:eastAsiaTheme="minorEastAsia" w:hAnsiTheme="minorEastAsia" w:hint="eastAsia"/>
          <w:color w:val="000000" w:themeColor="text1"/>
          <w:szCs w:val="21"/>
        </w:rPr>
        <w:t>的活动；</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（5）返还在基金交易过程中因任何原因，自基金管理人、基金托管人及代销机构处获得的不当得利；</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（6）执行生效的基金份额持有人大会的决定；</w:t>
      </w:r>
    </w:p>
    <w:p w:rsidR="009F140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w:t>
      </w:r>
      <w:r w:rsidRPr="00621B7F">
        <w:rPr>
          <w:rFonts w:asciiTheme="minorEastAsia" w:eastAsiaTheme="minorEastAsia" w:hAnsiTheme="minorEastAsia"/>
          <w:color w:val="000000" w:themeColor="text1"/>
          <w:szCs w:val="21"/>
        </w:rPr>
        <w:t>法律法规</w:t>
      </w:r>
      <w:r w:rsidRPr="00621B7F">
        <w:rPr>
          <w:rFonts w:asciiTheme="minorEastAsia" w:eastAsiaTheme="minorEastAsia" w:hAnsiTheme="minorEastAsia" w:hint="eastAsia"/>
          <w:color w:val="000000" w:themeColor="text1"/>
          <w:szCs w:val="21"/>
        </w:rPr>
        <w:t>及中国证监会规定的</w:t>
      </w:r>
      <w:r w:rsidRPr="00621B7F">
        <w:rPr>
          <w:rFonts w:asciiTheme="minorEastAsia" w:eastAsiaTheme="minorEastAsia" w:hAnsiTheme="minorEastAsia"/>
          <w:color w:val="000000" w:themeColor="text1"/>
          <w:szCs w:val="21"/>
        </w:rPr>
        <w:t>和《基金合同》</w:t>
      </w:r>
      <w:r w:rsidRPr="00621B7F">
        <w:rPr>
          <w:rFonts w:asciiTheme="minorEastAsia" w:eastAsiaTheme="minorEastAsia" w:hAnsiTheme="minorEastAsia" w:hint="eastAsia"/>
          <w:color w:val="000000" w:themeColor="text1"/>
          <w:szCs w:val="21"/>
        </w:rPr>
        <w:t>约</w:t>
      </w:r>
      <w:r w:rsidRPr="00621B7F">
        <w:rPr>
          <w:rFonts w:asciiTheme="minorEastAsia" w:eastAsiaTheme="minorEastAsia" w:hAnsiTheme="minorEastAsia"/>
          <w:color w:val="000000" w:themeColor="text1"/>
          <w:szCs w:val="21"/>
        </w:rPr>
        <w:t>定的其他义务。</w:t>
      </w:r>
    </w:p>
    <w:p w:rsidR="00266A27" w:rsidRPr="00621B7F" w:rsidP="00A32B85">
      <w:pPr>
        <w:pStyle w:val="Heading2"/>
        <w:adjustRightInd w:val="0"/>
        <w:snapToGrid w:val="0"/>
        <w:spacing w:beforeLines="0" w:afterLines="0" w:line="360" w:lineRule="auto"/>
        <w:ind w:firstLine="0" w:firstLineChars="0"/>
        <w:rPr>
          <w:rFonts w:asciiTheme="minorEastAsia" w:eastAsiaTheme="minorEastAsia" w:hAnsiTheme="minorEastAsia"/>
          <w:color w:val="000000" w:themeColor="text1"/>
        </w:rPr>
      </w:pPr>
      <w:bookmarkStart w:id="916" w:name="_Toc238870140"/>
      <w:bookmarkStart w:id="917" w:name="_Toc91752118"/>
      <w:r w:rsidRPr="00621B7F">
        <w:rPr>
          <w:rFonts w:asciiTheme="minorEastAsia" w:eastAsiaTheme="minorEastAsia" w:hAnsiTheme="minorEastAsia" w:hint="eastAsia"/>
          <w:b w:val="0"/>
          <w:bCs/>
          <w:color w:val="000000" w:themeColor="text1"/>
        </w:rPr>
        <w:t>（</w:t>
      </w:r>
      <w:r w:rsidRPr="00621B7F" w:rsidR="005433FC">
        <w:rPr>
          <w:rFonts w:asciiTheme="minorEastAsia" w:eastAsiaTheme="minorEastAsia" w:hAnsiTheme="minorEastAsia" w:hint="eastAsia"/>
          <w:b w:val="0"/>
          <w:bCs/>
          <w:color w:val="000000" w:themeColor="text1"/>
        </w:rPr>
        <w:t>四</w:t>
      </w:r>
      <w:r w:rsidRPr="00621B7F">
        <w:rPr>
          <w:rFonts w:asciiTheme="minorEastAsia" w:eastAsiaTheme="minorEastAsia" w:hAnsiTheme="minorEastAsia" w:hint="eastAsia"/>
          <w:b w:val="0"/>
          <w:bCs/>
          <w:color w:val="000000" w:themeColor="text1"/>
        </w:rPr>
        <w:t>）基金份额持有人大会</w:t>
      </w:r>
      <w:bookmarkEnd w:id="916"/>
      <w:bookmarkEnd w:id="917"/>
    </w:p>
    <w:p w:rsidR="00D969B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基金份额持有人大会由基金份额持有人组成，基金份额持有人可委托代理人参加会议并行使表决权。基金份额持有人持有的每一基金份额拥有平等的投票权。</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918" w:name="_Toc15641220"/>
      <w:bookmarkStart w:id="919" w:name="_Toc57530243"/>
      <w:bookmarkStart w:id="920" w:name="_Toc79392584"/>
      <w:r w:rsidRPr="00621B7F">
        <w:rPr>
          <w:rFonts w:asciiTheme="minorEastAsia" w:eastAsiaTheme="minorEastAsia" w:hAnsiTheme="minorEastAsia" w:hint="eastAsia"/>
          <w:color w:val="000000" w:themeColor="text1"/>
          <w:szCs w:val="21"/>
        </w:rPr>
        <w:t>1</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召开事由</w:t>
      </w:r>
      <w:bookmarkEnd w:id="918"/>
      <w:bookmarkEnd w:id="919"/>
      <w:bookmarkEnd w:id="920"/>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（1）当出现或需要决定下列事由之一的，应当召开基金份额持有人大会：</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1）终止《基金合同》；</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2）更换基金管理人；</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3）更换基金托管人；</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4）转换基金运作方式；</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5）提高基金管理人、基金托管人的报酬标准；</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w:t>
      </w:r>
      <w:r w:rsidRPr="00621B7F">
        <w:rPr>
          <w:rFonts w:asciiTheme="minorEastAsia" w:eastAsiaTheme="minorEastAsia" w:hAnsiTheme="minorEastAsia"/>
          <w:color w:val="000000" w:themeColor="text1"/>
          <w:szCs w:val="21"/>
        </w:rPr>
        <w:t>变更基金类别</w:t>
      </w:r>
      <w:r w:rsidRPr="00621B7F">
        <w:rPr>
          <w:rFonts w:asciiTheme="minorEastAsia" w:eastAsiaTheme="minorEastAsia" w:hAnsiTheme="minorEastAsia" w:hint="eastAsia"/>
          <w:color w:val="000000" w:themeColor="text1"/>
          <w:szCs w:val="21"/>
        </w:rPr>
        <w:t>；</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本基金与其他基金的合并；</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w:t>
      </w:r>
      <w:r w:rsidRPr="00621B7F">
        <w:rPr>
          <w:rFonts w:asciiTheme="minorEastAsia" w:eastAsiaTheme="minorEastAsia" w:hAnsiTheme="minorEastAsia"/>
          <w:color w:val="000000" w:themeColor="text1"/>
          <w:szCs w:val="21"/>
        </w:rPr>
        <w:t>变更基金投资目标、范围或策略</w:t>
      </w:r>
      <w:r w:rsidRPr="00621B7F">
        <w:rPr>
          <w:rFonts w:asciiTheme="minorEastAsia" w:eastAsiaTheme="minorEastAsia" w:hAnsiTheme="minorEastAsia" w:hint="eastAsia"/>
          <w:color w:val="000000" w:themeColor="text1"/>
          <w:szCs w:val="21"/>
        </w:rPr>
        <w:t>（法律法规和中国证监会另有规定的除外）；</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w:t>
      </w:r>
      <w:r w:rsidRPr="00621B7F">
        <w:rPr>
          <w:rFonts w:asciiTheme="minorEastAsia" w:eastAsiaTheme="minorEastAsia" w:hAnsiTheme="minorEastAsia"/>
          <w:color w:val="000000" w:themeColor="text1"/>
          <w:szCs w:val="21"/>
        </w:rPr>
        <w:t>变更基金份额持有人大会程序</w:t>
      </w:r>
      <w:r w:rsidRPr="00621B7F">
        <w:rPr>
          <w:rFonts w:asciiTheme="minorEastAsia" w:eastAsiaTheme="minorEastAsia" w:hAnsiTheme="minorEastAsia" w:hint="eastAsia"/>
          <w:color w:val="000000" w:themeColor="text1"/>
          <w:szCs w:val="21"/>
        </w:rPr>
        <w:t>；</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10）基金管理人或基金托管人要求召开基金份额持有人大会；</w:t>
      </w:r>
    </w:p>
    <w:p w:rsidR="00D969B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11）基金管理人代表本基金的基金份额持有人提议召开或召集目标ETF份额持有人大会；</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12）单独或合计持有本基金总份额10％以上（含10％）基金份额的基金份额持有人（以基金管理人收到提议当日的基金份额计算，下同）就同一事项书面要求召开基金份额持有人大会；</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D969B0">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hint="eastAsia"/>
          <w:color w:val="000000" w:themeColor="text1"/>
          <w:szCs w:val="21"/>
        </w:rPr>
        <w:t>）对基金当事人权利和义务产生重大影响的其他事项；</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D969B0">
        <w:rPr>
          <w:rFonts w:asciiTheme="minorEastAsia" w:eastAsiaTheme="minorEastAsia" w:hAnsiTheme="minorEastAsia" w:hint="eastAsia"/>
          <w:color w:val="000000" w:themeColor="text1"/>
          <w:szCs w:val="21"/>
        </w:rPr>
        <w:t>4</w:t>
      </w:r>
      <w:r w:rsidRPr="00621B7F">
        <w:rPr>
          <w:rFonts w:asciiTheme="minorEastAsia" w:eastAsiaTheme="minorEastAsia" w:hAnsiTheme="minorEastAsia" w:hint="eastAsia"/>
          <w:color w:val="000000" w:themeColor="text1"/>
          <w:szCs w:val="21"/>
        </w:rPr>
        <w:t>）法律法规、《基金合同》或中国证监会规定的其他应当召开基金份额持有人大会的事项。</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（2）以下情况可由基金管理人和基金托管人协商后修改，不需召开基金份额持有人大会：</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1）调低基金管理费、基金托管费</w:t>
      </w:r>
      <w:r w:rsidRPr="00621B7F" w:rsidR="003B1B88">
        <w:rPr>
          <w:rFonts w:asciiTheme="minorEastAsia" w:eastAsiaTheme="minorEastAsia" w:hAnsiTheme="minorEastAsia" w:hint="eastAsia"/>
          <w:color w:val="000000" w:themeColor="text1"/>
          <w:szCs w:val="21"/>
        </w:rPr>
        <w:t>或销售服务费率</w:t>
      </w:r>
      <w:r w:rsidRPr="00621B7F">
        <w:rPr>
          <w:rFonts w:asciiTheme="minorEastAsia" w:eastAsiaTheme="minorEastAsia" w:hAnsiTheme="minorEastAsia" w:hint="eastAsia"/>
          <w:color w:val="000000" w:themeColor="text1"/>
          <w:szCs w:val="21"/>
        </w:rPr>
        <w:t>；</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2）法律法规要求增加的基金费用的收取；</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color w:val="000000" w:themeColor="text1"/>
          <w:szCs w:val="21"/>
        </w:rPr>
        <w:t>在</w:t>
      </w:r>
      <w:r w:rsidRPr="00621B7F">
        <w:rPr>
          <w:rFonts w:asciiTheme="minorEastAsia" w:eastAsiaTheme="minorEastAsia" w:hAnsiTheme="minorEastAsia" w:hint="eastAsia"/>
          <w:color w:val="000000" w:themeColor="text1"/>
          <w:szCs w:val="21"/>
        </w:rPr>
        <w:t>法律法规和</w:t>
      </w:r>
      <w:r w:rsidRPr="00621B7F">
        <w:rPr>
          <w:rFonts w:asciiTheme="minorEastAsia" w:eastAsiaTheme="minorEastAsia" w:hAnsiTheme="minorEastAsia"/>
          <w:color w:val="000000" w:themeColor="text1"/>
          <w:szCs w:val="21"/>
        </w:rPr>
        <w:t>《基金合同》规定的范围内</w:t>
      </w:r>
      <w:r w:rsidRPr="00621B7F">
        <w:rPr>
          <w:rFonts w:asciiTheme="minorEastAsia" w:eastAsiaTheme="minorEastAsia" w:hAnsiTheme="minorEastAsia" w:hint="eastAsia"/>
          <w:color w:val="000000" w:themeColor="text1"/>
          <w:szCs w:val="21"/>
        </w:rPr>
        <w:t>调整</w:t>
      </w:r>
      <w:r w:rsidRPr="00621B7F">
        <w:rPr>
          <w:rFonts w:asciiTheme="minorEastAsia" w:eastAsiaTheme="minorEastAsia" w:hAnsiTheme="minorEastAsia"/>
          <w:color w:val="000000" w:themeColor="text1"/>
          <w:szCs w:val="21"/>
        </w:rPr>
        <w:t>本基金的申购费率、调低赎回费率</w:t>
      </w:r>
      <w:r w:rsidRPr="00621B7F" w:rsidR="003B1B88">
        <w:rPr>
          <w:rFonts w:asciiTheme="minorEastAsia" w:eastAsiaTheme="minorEastAsia" w:hAnsiTheme="minorEastAsia"/>
          <w:color w:val="000000" w:themeColor="text1"/>
          <w:szCs w:val="21"/>
        </w:rPr>
        <w:t>、调整基金份额类别</w:t>
      </w:r>
      <w:r w:rsidRPr="00621B7F">
        <w:rPr>
          <w:rFonts w:asciiTheme="minorEastAsia" w:eastAsiaTheme="minorEastAsia" w:hAnsiTheme="minorEastAsia" w:hint="eastAsia"/>
          <w:color w:val="000000" w:themeColor="text1"/>
          <w:szCs w:val="21"/>
        </w:rPr>
        <w:t>；</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4）因相应的法律法规发生变动而应当对《基金合同》进行修改；</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5）对《基金合同》的修改对基金份额持有人利益无实质性不利影响或修改不涉及《基金合同》当事人权利义务关系发生变化；</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6）除按照法律法规和《基金合同》规定应当召开基金份额持有人大会的以外的其他情形。</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921" w:name="_Toc15641221"/>
      <w:bookmarkStart w:id="922" w:name="_Toc57530244"/>
      <w:bookmarkStart w:id="923" w:name="_Toc79392585"/>
      <w:r w:rsidRPr="00621B7F">
        <w:rPr>
          <w:rFonts w:asciiTheme="minorEastAsia" w:eastAsiaTheme="minorEastAsia" w:hAnsiTheme="minorEastAsia" w:hint="eastAsia"/>
          <w:color w:val="000000" w:themeColor="text1"/>
          <w:szCs w:val="21"/>
        </w:rPr>
        <w:t>2</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会议召集人及召集方式</w:t>
      </w:r>
      <w:bookmarkEnd w:id="921"/>
      <w:bookmarkEnd w:id="922"/>
      <w:bookmarkEnd w:id="923"/>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924" w:name="_Toc15641222"/>
      <w:bookmarkStart w:id="925" w:name="_Toc57530245"/>
      <w:r w:rsidRPr="00621B7F">
        <w:rPr>
          <w:rFonts w:asciiTheme="minorEastAsia" w:eastAsiaTheme="minorEastAsia" w:hAnsiTheme="minorEastAsia" w:hint="eastAsia"/>
          <w:color w:val="000000" w:themeColor="text1"/>
          <w:szCs w:val="21"/>
        </w:rPr>
        <w:t>（1）除法律法规规定或《基金合同》另有约定外，基金份额持有人大会由基金管理人召集；</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（2）基金管理人未按规定召集或不能召集时，由基金托管人召集；</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color w:val="000000" w:themeColor="text1"/>
          <w:szCs w:val="21"/>
        </w:rPr>
        <w:t>基金托管人认为有必要召开基金份额持有人大会的，应当向基金管理人提出书面提议。基金管理人应当自收到书面提议之日起</w:t>
      </w:r>
      <w:r w:rsidRPr="00621B7F">
        <w:rPr>
          <w:rFonts w:asciiTheme="minorEastAsia" w:eastAsiaTheme="minorEastAsia" w:hAnsiTheme="minorEastAsia" w:hint="eastAsia"/>
          <w:color w:val="000000" w:themeColor="text1"/>
          <w:szCs w:val="21"/>
        </w:rPr>
        <w:t>10</w:t>
      </w:r>
      <w:r w:rsidRPr="00621B7F">
        <w:rPr>
          <w:rFonts w:asciiTheme="minorEastAsia" w:eastAsiaTheme="minorEastAsia" w:hAnsiTheme="minorEastAsia"/>
          <w:color w:val="000000" w:themeColor="text1"/>
          <w:szCs w:val="21"/>
        </w:rPr>
        <w:t>日内决定是否召集，并书面告知基金托管人。基金管理人决定召集的，应当自出具书面决定之日起</w:t>
      </w:r>
      <w:r w:rsidRPr="00621B7F">
        <w:rPr>
          <w:rFonts w:asciiTheme="minorEastAsia" w:eastAsiaTheme="minorEastAsia" w:hAnsiTheme="minorEastAsia" w:hint="eastAsia"/>
          <w:color w:val="000000" w:themeColor="text1"/>
          <w:szCs w:val="21"/>
        </w:rPr>
        <w:t>60</w:t>
      </w:r>
      <w:r w:rsidRPr="00621B7F">
        <w:rPr>
          <w:rFonts w:asciiTheme="minorEastAsia" w:eastAsiaTheme="minorEastAsia" w:hAnsiTheme="minorEastAsia"/>
          <w:color w:val="000000" w:themeColor="text1"/>
          <w:szCs w:val="21"/>
        </w:rPr>
        <w:t>日内召开；基金管理人决定不召集，基金托管人仍认为有必要召开的，应当</w:t>
      </w:r>
      <w:r w:rsidRPr="00621B7F">
        <w:rPr>
          <w:rFonts w:asciiTheme="minorEastAsia" w:eastAsiaTheme="minorEastAsia" w:hAnsiTheme="minorEastAsia" w:hint="eastAsia"/>
          <w:color w:val="000000" w:themeColor="text1"/>
          <w:szCs w:val="21"/>
        </w:rPr>
        <w:t>由基金托管人</w:t>
      </w:r>
      <w:r w:rsidRPr="00621B7F">
        <w:rPr>
          <w:rFonts w:asciiTheme="minorEastAsia" w:eastAsiaTheme="minorEastAsia" w:hAnsiTheme="minorEastAsia"/>
          <w:color w:val="000000" w:themeColor="text1"/>
          <w:szCs w:val="21"/>
        </w:rPr>
        <w:t>自行召集。</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（4）代表基金份额10%以上（含10%）的基金份额持有人就同一事项书面要求召开基金份额持有人大会，</w:t>
      </w:r>
      <w:r w:rsidRPr="00621B7F">
        <w:rPr>
          <w:rFonts w:asciiTheme="minorEastAsia" w:eastAsiaTheme="minorEastAsia" w:hAnsiTheme="minorEastAsia"/>
          <w:color w:val="000000" w:themeColor="text1"/>
          <w:szCs w:val="21"/>
        </w:rPr>
        <w:t>应当向基金管理人提出书面提议。基金管理人应当自收到书面提议之日起</w:t>
      </w:r>
      <w:r w:rsidRPr="00621B7F">
        <w:rPr>
          <w:rFonts w:asciiTheme="minorEastAsia" w:eastAsiaTheme="minorEastAsia" w:hAnsiTheme="minorEastAsia" w:hint="eastAsia"/>
          <w:color w:val="000000" w:themeColor="text1"/>
          <w:szCs w:val="21"/>
        </w:rPr>
        <w:t>10</w:t>
      </w:r>
      <w:r w:rsidRPr="00621B7F">
        <w:rPr>
          <w:rFonts w:asciiTheme="minorEastAsia" w:eastAsiaTheme="minorEastAsia" w:hAnsiTheme="minorEastAsia"/>
          <w:color w:val="000000" w:themeColor="text1"/>
          <w:szCs w:val="21"/>
        </w:rPr>
        <w:t>日内决定是否召集，并书面告知提出提议的基金份额持有人代表和基金托管人。基金管理人决定召集的，应当自出具书面决定之日起</w:t>
      </w:r>
      <w:r w:rsidRPr="00621B7F">
        <w:rPr>
          <w:rFonts w:asciiTheme="minorEastAsia" w:eastAsiaTheme="minorEastAsia" w:hAnsiTheme="minorEastAsia" w:hint="eastAsia"/>
          <w:color w:val="000000" w:themeColor="text1"/>
          <w:szCs w:val="21"/>
        </w:rPr>
        <w:t>60</w:t>
      </w:r>
      <w:r w:rsidRPr="00621B7F">
        <w:rPr>
          <w:rFonts w:asciiTheme="minorEastAsia" w:eastAsiaTheme="minorEastAsia" w:hAnsiTheme="minorEastAsia"/>
          <w:color w:val="000000" w:themeColor="text1"/>
          <w:szCs w:val="21"/>
        </w:rPr>
        <w:t>日内召开；基金管理人决定不召集，代表基金份额</w:t>
      </w:r>
      <w:r w:rsidRPr="00621B7F">
        <w:rPr>
          <w:rFonts w:asciiTheme="minorEastAsia" w:eastAsiaTheme="minorEastAsia" w:hAnsiTheme="minorEastAsia" w:hint="eastAsia"/>
          <w:color w:val="000000" w:themeColor="text1"/>
          <w:szCs w:val="21"/>
        </w:rPr>
        <w:t>10%</w:t>
      </w:r>
      <w:r w:rsidRPr="00621B7F">
        <w:rPr>
          <w:rFonts w:asciiTheme="minorEastAsia" w:eastAsiaTheme="minorEastAsia" w:hAnsiTheme="minorEastAsia"/>
          <w:color w:val="000000" w:themeColor="text1"/>
          <w:szCs w:val="21"/>
        </w:rPr>
        <w:t>以上</w:t>
      </w:r>
      <w:r w:rsidRPr="00621B7F">
        <w:rPr>
          <w:rFonts w:asciiTheme="minorEastAsia" w:eastAsiaTheme="minorEastAsia" w:hAnsiTheme="minorEastAsia" w:hint="eastAsia"/>
          <w:color w:val="000000" w:themeColor="text1"/>
          <w:szCs w:val="21"/>
        </w:rPr>
        <w:t>（含10%）</w:t>
      </w:r>
      <w:r w:rsidRPr="00621B7F">
        <w:rPr>
          <w:rFonts w:asciiTheme="minorEastAsia" w:eastAsiaTheme="minorEastAsia" w:hAnsiTheme="minorEastAsia"/>
          <w:color w:val="000000" w:themeColor="text1"/>
          <w:szCs w:val="21"/>
        </w:rPr>
        <w:t>的基金份额持有人仍认为有必要召开的，应当向基金托管人提出书面提议。基金托管人应当自收到书面提议之日起</w:t>
      </w:r>
      <w:r w:rsidRPr="00621B7F">
        <w:rPr>
          <w:rFonts w:asciiTheme="minorEastAsia" w:eastAsiaTheme="minorEastAsia" w:hAnsiTheme="minorEastAsia" w:hint="eastAsia"/>
          <w:color w:val="000000" w:themeColor="text1"/>
          <w:szCs w:val="21"/>
        </w:rPr>
        <w:t>10</w:t>
      </w:r>
      <w:r w:rsidRPr="00621B7F">
        <w:rPr>
          <w:rFonts w:asciiTheme="minorEastAsia" w:eastAsiaTheme="minorEastAsia" w:hAnsiTheme="minorEastAsia"/>
          <w:color w:val="000000" w:themeColor="text1"/>
          <w:szCs w:val="21"/>
        </w:rPr>
        <w:t>日内决定是否召集，并书面告知提出提议的基金份额持有人代表和基金管理人；基金托管人决定召集的，应当自出具书面决定之日起</w:t>
      </w:r>
      <w:r w:rsidRPr="00621B7F">
        <w:rPr>
          <w:rFonts w:asciiTheme="minorEastAsia" w:eastAsiaTheme="minorEastAsia" w:hAnsiTheme="minorEastAsia" w:hint="eastAsia"/>
          <w:color w:val="000000" w:themeColor="text1"/>
          <w:szCs w:val="21"/>
        </w:rPr>
        <w:t>60</w:t>
      </w:r>
      <w:r w:rsidRPr="00621B7F">
        <w:rPr>
          <w:rFonts w:asciiTheme="minorEastAsia" w:eastAsiaTheme="minorEastAsia" w:hAnsiTheme="minorEastAsia"/>
          <w:color w:val="000000" w:themeColor="text1"/>
          <w:szCs w:val="21"/>
        </w:rPr>
        <w:t>日内召开。</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w:t>
      </w:r>
      <w:r w:rsidRPr="00621B7F">
        <w:rPr>
          <w:rFonts w:asciiTheme="minorEastAsia" w:eastAsiaTheme="minorEastAsia" w:hAnsiTheme="minorEastAsia"/>
          <w:color w:val="000000" w:themeColor="text1"/>
          <w:szCs w:val="21"/>
        </w:rPr>
        <w:t>代表基金份额</w:t>
      </w:r>
      <w:r w:rsidRPr="00621B7F">
        <w:rPr>
          <w:rFonts w:asciiTheme="minorEastAsia" w:eastAsiaTheme="minorEastAsia" w:hAnsiTheme="minorEastAsia" w:hint="eastAsia"/>
          <w:color w:val="000000" w:themeColor="text1"/>
          <w:szCs w:val="21"/>
        </w:rPr>
        <w:t>10%以上（含10%）</w:t>
      </w:r>
      <w:r w:rsidRPr="00621B7F">
        <w:rPr>
          <w:rFonts w:asciiTheme="minorEastAsia" w:eastAsiaTheme="minorEastAsia" w:hAnsiTheme="minorEastAsia"/>
          <w:color w:val="000000" w:themeColor="text1"/>
          <w:szCs w:val="21"/>
        </w:rPr>
        <w:t>的基金份额持有人就同一事项要求召开基金份额持有人大会，而</w:t>
      </w:r>
      <w:r w:rsidRPr="00621B7F">
        <w:rPr>
          <w:rFonts w:asciiTheme="minorEastAsia" w:eastAsiaTheme="minorEastAsia" w:hAnsiTheme="minorEastAsia" w:hint="eastAsia"/>
          <w:color w:val="000000" w:themeColor="text1"/>
          <w:szCs w:val="21"/>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（6）基金份额持有人会议的召集人负责选择确定开会时间、地点、方式和权益登记日。</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926" w:name="_Toc79392586"/>
      <w:r w:rsidRPr="00621B7F">
        <w:rPr>
          <w:rFonts w:asciiTheme="minorEastAsia" w:eastAsiaTheme="minorEastAsia" w:hAnsiTheme="minorEastAsia" w:hint="eastAsia"/>
          <w:color w:val="000000" w:themeColor="text1"/>
          <w:szCs w:val="21"/>
        </w:rPr>
        <w:t>3</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召开基金份额持有人大会的通知时间、通知内容、通知方式</w:t>
      </w:r>
      <w:bookmarkEnd w:id="924"/>
      <w:bookmarkEnd w:id="925"/>
      <w:bookmarkEnd w:id="926"/>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（1）召开基金份额持有人大会，召集人应于会议召开前4</w:t>
      </w:r>
      <w:r w:rsidRPr="00621B7F">
        <w:rPr>
          <w:rFonts w:asciiTheme="minorEastAsia" w:eastAsiaTheme="minorEastAsia" w:hAnsiTheme="minorEastAsia"/>
          <w:color w:val="000000" w:themeColor="text1"/>
          <w:szCs w:val="21"/>
        </w:rPr>
        <w:t>0</w:t>
      </w:r>
      <w:r w:rsidRPr="00621B7F">
        <w:rPr>
          <w:rFonts w:asciiTheme="minorEastAsia" w:eastAsiaTheme="minorEastAsia" w:hAnsiTheme="minorEastAsia" w:hint="eastAsia"/>
          <w:color w:val="000000" w:themeColor="text1"/>
          <w:szCs w:val="21"/>
        </w:rPr>
        <w:t>天，在至少一家</w:t>
      </w:r>
      <w:r w:rsidRPr="00621B7F" w:rsidR="0033182F">
        <w:rPr>
          <w:rFonts w:asciiTheme="minorEastAsia" w:eastAsiaTheme="minorEastAsia" w:hAnsiTheme="minorEastAsia" w:hint="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及基金管理人网站公告。基金份额持有人大会通知应至少载明以下内容：</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1）会议召开的时间、地点、方式和会议形式；</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2）会议拟审议的事项、议事程序和表决形式；</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3）有权出席基金份额持有人大会的基金份额持有人的权益登记日；</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授权委托书的内容要求（包括但不限于代理人身份，代理权限和代理有效期限等）、送达时间和地点；</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5）会务常设联系人姓名及联系电话；</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6）出席会议者必须准备的文件和必须履行的手续；</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7）召集人需要通知的其他事项。</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（2）采</w:t>
      </w:r>
      <w:r w:rsidRPr="00621B7F">
        <w:rPr>
          <w:rFonts w:asciiTheme="minorEastAsia" w:eastAsiaTheme="minorEastAsia" w:hAnsiTheme="minorEastAsia"/>
          <w:color w:val="000000" w:themeColor="text1"/>
          <w:szCs w:val="21"/>
        </w:rPr>
        <w:t>取通讯开会方式并进行表决的情况下，</w:t>
      </w:r>
      <w:r w:rsidRPr="00621B7F">
        <w:rPr>
          <w:rFonts w:asciiTheme="minorEastAsia" w:eastAsiaTheme="minorEastAsia" w:hAnsiTheme="minorEastAsia" w:hint="eastAsia"/>
          <w:color w:val="000000" w:themeColor="text1"/>
          <w:szCs w:val="21"/>
        </w:rPr>
        <w:t>由会议召集人决定通讯方式和书面表决方式，并在会议通知中说明本次基金份额持有人大会所采取的具体通讯方式、委托的公证机关及其联系方式和联系人、书面表决意见寄交的截止时间和收取方式。</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和表决效力。</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927" w:name="_Toc15641223"/>
      <w:bookmarkStart w:id="928" w:name="_Toc57530246"/>
      <w:bookmarkStart w:id="929" w:name="_Toc79392587"/>
      <w:r w:rsidRPr="00621B7F">
        <w:rPr>
          <w:rFonts w:asciiTheme="minorEastAsia" w:eastAsiaTheme="minorEastAsia" w:hAnsiTheme="minorEastAsia" w:hint="eastAsia"/>
          <w:color w:val="000000" w:themeColor="text1"/>
          <w:szCs w:val="21"/>
        </w:rPr>
        <w:t>4</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基金份额持有人出席</w:t>
      </w:r>
      <w:r w:rsidRPr="00621B7F">
        <w:rPr>
          <w:rFonts w:asciiTheme="minorEastAsia" w:eastAsiaTheme="minorEastAsia" w:hAnsiTheme="minorEastAsia"/>
          <w:color w:val="000000" w:themeColor="text1"/>
          <w:szCs w:val="21"/>
        </w:rPr>
        <w:t>会议</w:t>
      </w:r>
      <w:r w:rsidRPr="00621B7F">
        <w:rPr>
          <w:rFonts w:asciiTheme="minorEastAsia" w:eastAsiaTheme="minorEastAsia" w:hAnsiTheme="minorEastAsia" w:hint="eastAsia"/>
          <w:color w:val="000000" w:themeColor="text1"/>
          <w:szCs w:val="21"/>
        </w:rPr>
        <w:t>的</w:t>
      </w:r>
      <w:r w:rsidRPr="00621B7F">
        <w:rPr>
          <w:rFonts w:asciiTheme="minorEastAsia" w:eastAsiaTheme="minorEastAsia" w:hAnsiTheme="minorEastAsia"/>
          <w:color w:val="000000" w:themeColor="text1"/>
          <w:szCs w:val="21"/>
        </w:rPr>
        <w:t>方式</w:t>
      </w:r>
      <w:bookmarkEnd w:id="927"/>
      <w:bookmarkEnd w:id="928"/>
      <w:bookmarkEnd w:id="929"/>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基金份额持有人大会</w:t>
      </w:r>
      <w:r w:rsidRPr="00621B7F">
        <w:rPr>
          <w:rFonts w:asciiTheme="minorEastAsia" w:eastAsiaTheme="minorEastAsia" w:hAnsiTheme="minorEastAsia" w:hint="eastAsia"/>
          <w:color w:val="000000" w:themeColor="text1"/>
          <w:szCs w:val="21"/>
        </w:rPr>
        <w:t>可通过现场开会方式或通讯开会方式召开。</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会议的召开方式由</w:t>
      </w:r>
      <w:r w:rsidRPr="00621B7F">
        <w:rPr>
          <w:rFonts w:asciiTheme="minorEastAsia" w:eastAsiaTheme="minorEastAsia" w:hAnsiTheme="minorEastAsia" w:hint="eastAsia"/>
          <w:color w:val="000000" w:themeColor="text1"/>
          <w:szCs w:val="21"/>
        </w:rPr>
        <w:t>会议</w:t>
      </w:r>
      <w:r w:rsidRPr="00621B7F">
        <w:rPr>
          <w:rFonts w:asciiTheme="minorEastAsia" w:eastAsiaTheme="minorEastAsia" w:hAnsiTheme="minorEastAsia"/>
          <w:color w:val="000000" w:themeColor="text1"/>
          <w:szCs w:val="21"/>
        </w:rPr>
        <w:t>召集人确定，但更换基金管理人和基金托管人必须以现场开会方式召开。</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现场开会。由基金份额持有人本人出席或以代理投票授权委托书委派代表出席，现场开会时基金管理人和基金托管人的授权代表应当</w:t>
      </w:r>
      <w:r w:rsidRPr="00621B7F">
        <w:rPr>
          <w:rFonts w:asciiTheme="minorEastAsia" w:eastAsiaTheme="minorEastAsia" w:hAnsiTheme="minorEastAsia" w:hint="eastAsia"/>
          <w:color w:val="000000" w:themeColor="text1"/>
          <w:szCs w:val="21"/>
        </w:rPr>
        <w:t>列席</w:t>
      </w:r>
      <w:r w:rsidRPr="00621B7F">
        <w:rPr>
          <w:rFonts w:asciiTheme="minorEastAsia" w:eastAsiaTheme="minorEastAsia" w:hAnsiTheme="minorEastAsia"/>
          <w:color w:val="000000" w:themeColor="text1"/>
          <w:szCs w:val="21"/>
        </w:rPr>
        <w:t>基金份额持有人大会</w:t>
      </w:r>
      <w:r w:rsidRPr="00621B7F">
        <w:rPr>
          <w:rFonts w:asciiTheme="minorEastAsia" w:eastAsiaTheme="minorEastAsia" w:hAnsiTheme="minorEastAsia" w:hint="eastAsia"/>
          <w:color w:val="000000" w:themeColor="text1"/>
          <w:szCs w:val="21"/>
        </w:rPr>
        <w:t>，基金管理人或托管人不派代表列席的，不影响表决效力</w:t>
      </w:r>
      <w:r w:rsidRPr="00621B7F">
        <w:rPr>
          <w:rFonts w:asciiTheme="minorEastAsia" w:eastAsiaTheme="minorEastAsia" w:hAnsiTheme="minorEastAsia"/>
          <w:color w:val="000000" w:themeColor="text1"/>
          <w:szCs w:val="21"/>
        </w:rPr>
        <w:t>。现场开会同时符合以下条件时，可以进行基金份额持有人大会议程：</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经核对，汇总到会者出示的在权利登记日持有基金份额的凭证显示，有效的基金份额</w:t>
      </w:r>
      <w:r w:rsidRPr="00621B7F">
        <w:rPr>
          <w:rFonts w:asciiTheme="minorEastAsia" w:eastAsiaTheme="minorEastAsia" w:hAnsiTheme="minorEastAsia" w:hint="eastAsia"/>
          <w:color w:val="000000" w:themeColor="text1"/>
          <w:szCs w:val="21"/>
        </w:rPr>
        <w:t>不少</w:t>
      </w:r>
      <w:r w:rsidRPr="00621B7F">
        <w:rPr>
          <w:rFonts w:asciiTheme="minorEastAsia" w:eastAsiaTheme="minorEastAsia" w:hAnsiTheme="minorEastAsia"/>
          <w:color w:val="000000" w:themeColor="text1"/>
          <w:szCs w:val="21"/>
        </w:rPr>
        <w:t>于本基金在</w:t>
      </w:r>
      <w:r w:rsidRPr="00621B7F">
        <w:rPr>
          <w:rFonts w:asciiTheme="minorEastAsia" w:eastAsiaTheme="minorEastAsia" w:hAnsiTheme="minorEastAsia" w:hint="eastAsia"/>
          <w:color w:val="000000" w:themeColor="text1"/>
          <w:szCs w:val="21"/>
        </w:rPr>
        <w:t>权益</w:t>
      </w:r>
      <w:r w:rsidRPr="00621B7F">
        <w:rPr>
          <w:rFonts w:asciiTheme="minorEastAsia" w:eastAsiaTheme="minorEastAsia" w:hAnsiTheme="minorEastAsia"/>
          <w:color w:val="000000" w:themeColor="text1"/>
          <w:szCs w:val="21"/>
        </w:rPr>
        <w:t>登记日基金总</w:t>
      </w:r>
      <w:r w:rsidRPr="00621B7F">
        <w:rPr>
          <w:rFonts w:asciiTheme="minorEastAsia" w:eastAsiaTheme="minorEastAsia" w:hAnsiTheme="minorEastAsia" w:hint="eastAsia"/>
          <w:color w:val="000000" w:themeColor="text1"/>
          <w:szCs w:val="21"/>
        </w:rPr>
        <w:t>份</w:t>
      </w:r>
      <w:r w:rsidRPr="00621B7F">
        <w:rPr>
          <w:rFonts w:asciiTheme="minorEastAsia" w:eastAsiaTheme="minorEastAsia" w:hAnsiTheme="minorEastAsia"/>
          <w:color w:val="000000" w:themeColor="text1"/>
          <w:szCs w:val="21"/>
        </w:rPr>
        <w:t>额的</w:t>
      </w:r>
      <w:r w:rsidRPr="00621B7F">
        <w:rPr>
          <w:rFonts w:asciiTheme="minorEastAsia" w:eastAsiaTheme="minorEastAsia" w:hAnsiTheme="minorEastAsia" w:hint="eastAsia"/>
          <w:color w:val="000000" w:themeColor="text1"/>
          <w:szCs w:val="21"/>
        </w:rPr>
        <w:t>50</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（含50%）</w:t>
      </w:r>
      <w:r w:rsidRPr="00621B7F">
        <w:rPr>
          <w:rFonts w:asciiTheme="minorEastAsia" w:eastAsiaTheme="minorEastAsia" w:hAnsiTheme="minorEastAsia"/>
          <w:color w:val="000000" w:themeColor="text1"/>
          <w:szCs w:val="21"/>
        </w:rPr>
        <w:t>。</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通讯开会。</w:t>
      </w:r>
      <w:r w:rsidRPr="00621B7F">
        <w:rPr>
          <w:rFonts w:asciiTheme="minorEastAsia" w:eastAsiaTheme="minorEastAsia" w:hAnsiTheme="minorEastAsia" w:hint="eastAsia"/>
          <w:color w:val="000000" w:themeColor="text1"/>
          <w:szCs w:val="21"/>
        </w:rPr>
        <w:t>通讯开会系指基金份额持有人将其对表决事项的投票以书面形式在表决截至日以前送达至召集人指定的地址。</w:t>
      </w:r>
      <w:r w:rsidRPr="00621B7F">
        <w:rPr>
          <w:rFonts w:asciiTheme="minorEastAsia" w:eastAsiaTheme="minorEastAsia" w:hAnsiTheme="minorEastAsia"/>
          <w:color w:val="000000" w:themeColor="text1"/>
          <w:szCs w:val="21"/>
        </w:rPr>
        <w:t>通讯开会应以书面方式进行表决。</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在</w:t>
      </w:r>
      <w:r w:rsidRPr="00621B7F">
        <w:rPr>
          <w:rFonts w:asciiTheme="minorEastAsia" w:eastAsiaTheme="minorEastAsia" w:hAnsiTheme="minorEastAsia" w:hint="eastAsia"/>
          <w:color w:val="000000" w:themeColor="text1"/>
          <w:szCs w:val="21"/>
        </w:rPr>
        <w:t>同时</w:t>
      </w:r>
      <w:r w:rsidRPr="00621B7F">
        <w:rPr>
          <w:rFonts w:asciiTheme="minorEastAsia" w:eastAsiaTheme="minorEastAsia" w:hAnsiTheme="minorEastAsia"/>
          <w:color w:val="000000" w:themeColor="text1"/>
          <w:szCs w:val="21"/>
        </w:rPr>
        <w:t>符合以下条件时，通讯开会的方式视为有效：</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1）会议召集人</w:t>
      </w:r>
      <w:r w:rsidRPr="00621B7F">
        <w:rPr>
          <w:rFonts w:asciiTheme="minorEastAsia" w:eastAsiaTheme="minorEastAsia" w:hAnsiTheme="minorEastAsia"/>
          <w:color w:val="000000" w:themeColor="text1"/>
          <w:szCs w:val="21"/>
        </w:rPr>
        <w:t>按《基金合同》规定公布会议通知后，在</w:t>
      </w: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个工作日内连续公布相关提示性公告；</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2）会议召集人</w:t>
      </w:r>
      <w:r w:rsidRPr="00621B7F">
        <w:rPr>
          <w:rFonts w:asciiTheme="minorEastAsia" w:eastAsiaTheme="minorEastAsia" w:hAnsiTheme="minorEastAsia"/>
          <w:color w:val="000000" w:themeColor="text1"/>
          <w:szCs w:val="21"/>
        </w:rPr>
        <w:t>在基金托管人</w:t>
      </w:r>
      <w:r w:rsidRPr="00621B7F">
        <w:rPr>
          <w:rFonts w:asciiTheme="minorEastAsia" w:eastAsiaTheme="minorEastAsia" w:hAnsiTheme="minorEastAsia" w:hint="eastAsia"/>
          <w:color w:val="000000" w:themeColor="text1"/>
          <w:szCs w:val="21"/>
        </w:rPr>
        <w:t>（如果基金托管人为召集人，则为基金管理人）</w:t>
      </w:r>
      <w:r w:rsidRPr="00621B7F">
        <w:rPr>
          <w:rFonts w:asciiTheme="minorEastAsia" w:eastAsiaTheme="minorEastAsia" w:hAnsiTheme="minorEastAsia"/>
          <w:color w:val="000000" w:themeColor="text1"/>
          <w:szCs w:val="21"/>
        </w:rPr>
        <w:t>和公证机关的监督下按照会议通知规定的方式收取基金份额持有人的书面表决意见；</w:t>
      </w:r>
      <w:r w:rsidRPr="00621B7F">
        <w:rPr>
          <w:rFonts w:asciiTheme="minorEastAsia" w:eastAsiaTheme="minorEastAsia" w:hAnsiTheme="minorEastAsia" w:hint="eastAsia"/>
          <w:color w:val="000000" w:themeColor="text1"/>
          <w:szCs w:val="21"/>
        </w:rPr>
        <w:t>基金托管人或基金管理人经通知不参加收取书面表决意见的，不影响表决效力</w:t>
      </w:r>
      <w:r w:rsidRPr="00621B7F">
        <w:rPr>
          <w:rFonts w:asciiTheme="minorEastAsia" w:eastAsiaTheme="minorEastAsia" w:hAnsiTheme="minorEastAsia"/>
          <w:color w:val="000000" w:themeColor="text1"/>
          <w:szCs w:val="21"/>
        </w:rPr>
        <w:t>；</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color w:val="000000" w:themeColor="text1"/>
          <w:szCs w:val="21"/>
        </w:rPr>
        <w:t>本人直接出具书面意见或授权他人代表出具书面意见的，基金份额持有人所持有的基金份额</w:t>
      </w:r>
      <w:r w:rsidRPr="00621B7F">
        <w:rPr>
          <w:rFonts w:asciiTheme="minorEastAsia" w:eastAsiaTheme="minorEastAsia" w:hAnsiTheme="minorEastAsia" w:hint="eastAsia"/>
          <w:color w:val="000000" w:themeColor="text1"/>
          <w:szCs w:val="21"/>
        </w:rPr>
        <w:t>不小</w:t>
      </w:r>
      <w:r w:rsidRPr="00621B7F">
        <w:rPr>
          <w:rFonts w:asciiTheme="minorEastAsia" w:eastAsiaTheme="minorEastAsia" w:hAnsiTheme="minorEastAsia"/>
          <w:color w:val="000000" w:themeColor="text1"/>
          <w:szCs w:val="21"/>
        </w:rPr>
        <w:t>于在</w:t>
      </w:r>
      <w:r w:rsidRPr="00621B7F">
        <w:rPr>
          <w:rFonts w:asciiTheme="minorEastAsia" w:eastAsiaTheme="minorEastAsia" w:hAnsiTheme="minorEastAsia" w:hint="eastAsia"/>
          <w:color w:val="000000" w:themeColor="text1"/>
          <w:szCs w:val="21"/>
        </w:rPr>
        <w:t>权益</w:t>
      </w:r>
      <w:r w:rsidRPr="00621B7F">
        <w:rPr>
          <w:rFonts w:asciiTheme="minorEastAsia" w:eastAsiaTheme="minorEastAsia" w:hAnsiTheme="minorEastAsia"/>
          <w:color w:val="000000" w:themeColor="text1"/>
          <w:szCs w:val="21"/>
        </w:rPr>
        <w:t>登记日基金总份额的</w:t>
      </w:r>
      <w:r w:rsidRPr="00621B7F">
        <w:rPr>
          <w:rFonts w:asciiTheme="minorEastAsia" w:eastAsiaTheme="minorEastAsia" w:hAnsiTheme="minorEastAsia" w:hint="eastAsia"/>
          <w:color w:val="000000" w:themeColor="text1"/>
          <w:szCs w:val="21"/>
        </w:rPr>
        <w:t>50%（含50%）</w:t>
      </w:r>
      <w:r w:rsidRPr="00621B7F">
        <w:rPr>
          <w:rFonts w:asciiTheme="minorEastAsia" w:eastAsiaTheme="minorEastAsia" w:hAnsiTheme="minorEastAsia"/>
          <w:color w:val="000000" w:themeColor="text1"/>
          <w:szCs w:val="21"/>
        </w:rPr>
        <w:t>；</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4）上述第（3）项中</w:t>
      </w:r>
      <w:r w:rsidRPr="00621B7F">
        <w:rPr>
          <w:rFonts w:asciiTheme="minorEastAsia" w:eastAsiaTheme="minorEastAsia" w:hAnsiTheme="minorEastAsia"/>
          <w:color w:val="000000" w:themeColor="text1"/>
          <w:szCs w:val="21"/>
        </w:rPr>
        <w:t>直接出具书面意见的基金份额持有人或受托代表他人出具书面意见的代理人，同时提交的持有基金份额的凭证、受托</w:t>
      </w:r>
      <w:r w:rsidRPr="00621B7F">
        <w:rPr>
          <w:rFonts w:asciiTheme="minorEastAsia" w:eastAsiaTheme="minorEastAsia" w:hAnsiTheme="minorEastAsia" w:hint="eastAsia"/>
          <w:color w:val="000000" w:themeColor="text1"/>
          <w:szCs w:val="21"/>
        </w:rPr>
        <w:t>出具书面意见的代理人</w:t>
      </w:r>
      <w:r w:rsidRPr="00621B7F">
        <w:rPr>
          <w:rFonts w:asciiTheme="minorEastAsia" w:eastAsiaTheme="minorEastAsia" w:hAnsiTheme="minorEastAsia"/>
          <w:color w:val="000000" w:themeColor="text1"/>
          <w:szCs w:val="21"/>
        </w:rPr>
        <w:t>出具的委托人持有基金份额的凭证及委托人的代理投票授权委托书符合法律法规、《基金合同》和会议通知的规定</w:t>
      </w:r>
      <w:r w:rsidRPr="00621B7F">
        <w:rPr>
          <w:rFonts w:asciiTheme="minorEastAsia" w:eastAsiaTheme="minorEastAsia" w:hAnsiTheme="minorEastAsia" w:hint="eastAsia"/>
          <w:color w:val="000000" w:themeColor="text1"/>
          <w:szCs w:val="21"/>
        </w:rPr>
        <w:t>，并与基金登记注册机构记录相符，并且委托人出具的代理投票授权委托书符合法律法规、《基金合同》和会议通知的规定</w:t>
      </w:r>
      <w:r w:rsidRPr="00621B7F">
        <w:rPr>
          <w:rFonts w:asciiTheme="minorEastAsia" w:eastAsiaTheme="minorEastAsia" w:hAnsiTheme="minorEastAsia"/>
          <w:color w:val="000000" w:themeColor="text1"/>
          <w:szCs w:val="21"/>
        </w:rPr>
        <w:t>；</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w:t>
      </w:r>
      <w:r w:rsidRPr="00621B7F">
        <w:rPr>
          <w:rFonts w:asciiTheme="minorEastAsia" w:eastAsiaTheme="minorEastAsia" w:hAnsiTheme="minorEastAsia"/>
          <w:color w:val="000000" w:themeColor="text1"/>
          <w:szCs w:val="21"/>
        </w:rPr>
        <w:t>会议通知公布前报中国证监会备案。</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930" w:name="_Toc15641224"/>
      <w:bookmarkStart w:id="931" w:name="_Toc57530247"/>
      <w:bookmarkStart w:id="932" w:name="_Toc79392588"/>
      <w:r w:rsidRPr="00621B7F">
        <w:rPr>
          <w:rFonts w:asciiTheme="minorEastAsia" w:eastAsiaTheme="minorEastAsia" w:hAnsiTheme="minorEastAsia" w:hint="eastAsia"/>
          <w:color w:val="000000" w:themeColor="text1"/>
          <w:szCs w:val="21"/>
        </w:rPr>
        <w:t>5</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议事内容与程序</w:t>
      </w:r>
      <w:bookmarkEnd w:id="930"/>
      <w:bookmarkEnd w:id="931"/>
      <w:bookmarkEnd w:id="932"/>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议事内容及提案权</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议事内容为关系基金份额持有人利益的重大事项，如</w:t>
      </w:r>
      <w:r w:rsidRPr="00621B7F">
        <w:rPr>
          <w:rFonts w:asciiTheme="minorEastAsia" w:eastAsiaTheme="minorEastAsia" w:hAnsiTheme="minorEastAsia" w:hint="eastAsia"/>
          <w:color w:val="000000" w:themeColor="text1"/>
          <w:szCs w:val="21"/>
        </w:rPr>
        <w:t>《基金合同》的重大修改</w:t>
      </w:r>
      <w:r w:rsidRPr="00621B7F">
        <w:rPr>
          <w:rFonts w:asciiTheme="minorEastAsia" w:eastAsiaTheme="minorEastAsia" w:hAnsiTheme="minorEastAsia"/>
          <w:color w:val="000000" w:themeColor="text1"/>
          <w:szCs w:val="21"/>
        </w:rPr>
        <w:t>、决定终止</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基金</w:t>
      </w:r>
      <w:r w:rsidRPr="00621B7F">
        <w:rPr>
          <w:rFonts w:asciiTheme="minorEastAsia" w:eastAsiaTheme="minorEastAsia" w:hAnsiTheme="minorEastAsia" w:hint="eastAsia"/>
          <w:color w:val="000000" w:themeColor="text1"/>
          <w:szCs w:val="21"/>
        </w:rPr>
        <w:t>合同》</w:t>
      </w:r>
      <w:r w:rsidRPr="00621B7F">
        <w:rPr>
          <w:rFonts w:asciiTheme="minorEastAsia" w:eastAsiaTheme="minorEastAsia" w:hAnsiTheme="minorEastAsia"/>
          <w:color w:val="000000" w:themeColor="text1"/>
          <w:szCs w:val="21"/>
        </w:rPr>
        <w:t>、更换基金管理人、更换基金托管人、与其他基金合并</w:t>
      </w:r>
      <w:r w:rsidRPr="00621B7F">
        <w:rPr>
          <w:rFonts w:asciiTheme="minorEastAsia" w:eastAsiaTheme="minorEastAsia" w:hAnsiTheme="minorEastAsia" w:hint="eastAsia"/>
          <w:color w:val="000000" w:themeColor="text1"/>
          <w:szCs w:val="21"/>
        </w:rPr>
        <w:t>、法律法规及《基金合同》规定的其他事项</w:t>
      </w:r>
      <w:r w:rsidRPr="00621B7F">
        <w:rPr>
          <w:rFonts w:asciiTheme="minorEastAsia" w:eastAsiaTheme="minorEastAsia" w:hAnsiTheme="minorEastAsia"/>
          <w:color w:val="000000" w:themeColor="text1"/>
          <w:szCs w:val="21"/>
        </w:rPr>
        <w:t>以及</w:t>
      </w:r>
      <w:r w:rsidRPr="00621B7F">
        <w:rPr>
          <w:rFonts w:asciiTheme="minorEastAsia" w:eastAsiaTheme="minorEastAsia" w:hAnsiTheme="minorEastAsia" w:hint="eastAsia"/>
          <w:color w:val="000000" w:themeColor="text1"/>
          <w:szCs w:val="21"/>
        </w:rPr>
        <w:t>会议</w:t>
      </w:r>
      <w:r w:rsidRPr="00621B7F">
        <w:rPr>
          <w:rFonts w:asciiTheme="minorEastAsia" w:eastAsiaTheme="minorEastAsia" w:hAnsiTheme="minorEastAsia"/>
          <w:color w:val="000000" w:themeColor="text1"/>
          <w:szCs w:val="21"/>
        </w:rPr>
        <w:t>召集人认为需提交基金份额持有人大会讨论的其他事项。</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基金管理人、基金托管人、单独或合并持有权</w:t>
      </w:r>
      <w:r w:rsidRPr="00621B7F">
        <w:rPr>
          <w:rFonts w:asciiTheme="minorEastAsia" w:eastAsiaTheme="minorEastAsia" w:hAnsiTheme="minorEastAsia" w:hint="eastAsia"/>
          <w:color w:val="000000" w:themeColor="text1"/>
          <w:szCs w:val="21"/>
        </w:rPr>
        <w:t>益</w:t>
      </w:r>
      <w:r w:rsidRPr="00621B7F">
        <w:rPr>
          <w:rFonts w:asciiTheme="minorEastAsia" w:eastAsiaTheme="minorEastAsia" w:hAnsiTheme="minorEastAsia"/>
          <w:color w:val="000000" w:themeColor="text1"/>
          <w:szCs w:val="21"/>
        </w:rPr>
        <w:t>登记日基金总份额10%</w:t>
      </w:r>
      <w:r w:rsidRPr="00621B7F">
        <w:rPr>
          <w:rFonts w:asciiTheme="minorEastAsia" w:eastAsiaTheme="minorEastAsia" w:hAnsiTheme="minorEastAsia" w:hint="eastAsia"/>
          <w:color w:val="000000" w:themeColor="text1"/>
          <w:szCs w:val="21"/>
        </w:rPr>
        <w:t>（含10%）</w:t>
      </w:r>
      <w:r w:rsidRPr="00621B7F">
        <w:rPr>
          <w:rFonts w:asciiTheme="minorEastAsia" w:eastAsiaTheme="minorEastAsia" w:hAnsiTheme="minorEastAsia"/>
          <w:color w:val="000000" w:themeColor="text1"/>
          <w:szCs w:val="21"/>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621B7F">
        <w:rPr>
          <w:rFonts w:asciiTheme="minorEastAsia" w:eastAsiaTheme="minorEastAsia" w:hAnsiTheme="minorEastAsia" w:hint="eastAsia"/>
          <w:color w:val="000000" w:themeColor="text1"/>
          <w:szCs w:val="21"/>
        </w:rPr>
        <w:t>至少35</w:t>
      </w:r>
      <w:r w:rsidRPr="00621B7F">
        <w:rPr>
          <w:rFonts w:asciiTheme="minorEastAsia" w:eastAsiaTheme="minorEastAsia" w:hAnsiTheme="minorEastAsia"/>
          <w:color w:val="000000" w:themeColor="text1"/>
          <w:szCs w:val="21"/>
        </w:rPr>
        <w:t>天</w:t>
      </w:r>
      <w:r w:rsidRPr="00621B7F">
        <w:rPr>
          <w:rFonts w:asciiTheme="minorEastAsia" w:eastAsiaTheme="minorEastAsia" w:hAnsiTheme="minorEastAsia" w:hint="eastAsia"/>
          <w:color w:val="000000" w:themeColor="text1"/>
          <w:szCs w:val="21"/>
        </w:rPr>
        <w:t>前</w:t>
      </w:r>
      <w:r w:rsidRPr="00621B7F">
        <w:rPr>
          <w:rFonts w:asciiTheme="minorEastAsia" w:eastAsiaTheme="minorEastAsia" w:hAnsiTheme="minorEastAsia"/>
          <w:color w:val="000000" w:themeColor="text1"/>
          <w:szCs w:val="21"/>
        </w:rPr>
        <w:t>提交召集人</w:t>
      </w:r>
      <w:r w:rsidRPr="00621B7F">
        <w:rPr>
          <w:rFonts w:asciiTheme="minorEastAsia" w:eastAsiaTheme="minorEastAsia" w:hAnsiTheme="minorEastAsia" w:hint="eastAsia"/>
          <w:color w:val="000000" w:themeColor="text1"/>
          <w:szCs w:val="21"/>
        </w:rPr>
        <w:t>并由召集人公告</w:t>
      </w:r>
      <w:r w:rsidRPr="00621B7F">
        <w:rPr>
          <w:rFonts w:asciiTheme="minorEastAsia" w:eastAsiaTheme="minorEastAsia" w:hAnsiTheme="minorEastAsia"/>
          <w:color w:val="000000" w:themeColor="text1"/>
          <w:szCs w:val="21"/>
        </w:rPr>
        <w:t>。</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基金份额持有人大会的召集人发出召集会议的通知后，对原有提案的修改应当在基金份额持有人大会召开日</w:t>
      </w:r>
      <w:r w:rsidRPr="00621B7F">
        <w:rPr>
          <w:rFonts w:asciiTheme="minorEastAsia" w:eastAsiaTheme="minorEastAsia" w:hAnsiTheme="minorEastAsia" w:hint="eastAsia"/>
          <w:color w:val="000000" w:themeColor="text1"/>
          <w:szCs w:val="21"/>
        </w:rPr>
        <w:t>30</w:t>
      </w:r>
      <w:r w:rsidRPr="00621B7F">
        <w:rPr>
          <w:rFonts w:asciiTheme="minorEastAsia" w:eastAsiaTheme="minorEastAsia" w:hAnsiTheme="minorEastAsia"/>
          <w:color w:val="000000" w:themeColor="text1"/>
          <w:szCs w:val="21"/>
        </w:rPr>
        <w:t>天</w:t>
      </w:r>
      <w:r w:rsidRPr="00621B7F">
        <w:rPr>
          <w:rFonts w:asciiTheme="minorEastAsia" w:eastAsiaTheme="minorEastAsia" w:hAnsiTheme="minorEastAsia" w:hint="eastAsia"/>
          <w:color w:val="000000" w:themeColor="text1"/>
          <w:szCs w:val="21"/>
        </w:rPr>
        <w:t>前</w:t>
      </w:r>
      <w:r w:rsidRPr="00621B7F">
        <w:rPr>
          <w:rFonts w:asciiTheme="minorEastAsia" w:eastAsiaTheme="minorEastAsia" w:hAnsiTheme="minorEastAsia"/>
          <w:color w:val="000000" w:themeColor="text1"/>
          <w:szCs w:val="21"/>
        </w:rPr>
        <w:t>公告。</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基金份额持有人大会不得对未事先公告的议事内容进行表决。</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召集人对于基金管理人</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基金托管人和</w:t>
      </w:r>
      <w:r w:rsidRPr="00621B7F">
        <w:rPr>
          <w:rFonts w:asciiTheme="minorEastAsia" w:eastAsiaTheme="minorEastAsia" w:hAnsiTheme="minorEastAsia" w:hint="eastAsia"/>
          <w:color w:val="000000" w:themeColor="text1"/>
          <w:szCs w:val="21"/>
        </w:rPr>
        <w:t>基金份额持有人</w:t>
      </w:r>
      <w:r w:rsidRPr="00621B7F">
        <w:rPr>
          <w:rFonts w:asciiTheme="minorEastAsia" w:eastAsiaTheme="minorEastAsia" w:hAnsiTheme="minorEastAsia"/>
          <w:color w:val="000000" w:themeColor="text1"/>
          <w:szCs w:val="21"/>
        </w:rPr>
        <w:t>提交的临时提案</w:t>
      </w:r>
      <w:r w:rsidRPr="00621B7F">
        <w:rPr>
          <w:rFonts w:asciiTheme="minorEastAsia" w:eastAsiaTheme="minorEastAsia" w:hAnsiTheme="minorEastAsia" w:hint="eastAsia"/>
          <w:color w:val="000000" w:themeColor="text1"/>
          <w:szCs w:val="21"/>
        </w:rPr>
        <w:t>进行审核，符合条件的</w:t>
      </w:r>
      <w:r w:rsidRPr="00621B7F">
        <w:rPr>
          <w:rFonts w:asciiTheme="minorEastAsia" w:eastAsiaTheme="minorEastAsia" w:hAnsiTheme="minorEastAsia"/>
          <w:color w:val="000000" w:themeColor="text1"/>
          <w:szCs w:val="21"/>
        </w:rPr>
        <w:t>应当在大会召开日</w:t>
      </w:r>
      <w:r w:rsidRPr="00621B7F">
        <w:rPr>
          <w:rFonts w:asciiTheme="minorEastAsia" w:eastAsiaTheme="minorEastAsia" w:hAnsiTheme="minorEastAsia" w:hint="eastAsia"/>
          <w:color w:val="000000" w:themeColor="text1"/>
          <w:szCs w:val="21"/>
        </w:rPr>
        <w:t>30</w:t>
      </w:r>
      <w:r w:rsidRPr="00621B7F">
        <w:rPr>
          <w:rFonts w:asciiTheme="minorEastAsia" w:eastAsiaTheme="minorEastAsia" w:hAnsiTheme="minorEastAsia"/>
          <w:color w:val="000000" w:themeColor="text1"/>
          <w:szCs w:val="21"/>
        </w:rPr>
        <w:t>天前公告。大会召集人应当按照以下原则对提案进行审核：</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关联性。大会召集人对于提案涉及事项与基金有直接关系，并且不超出法律法规和</w:t>
      </w:r>
      <w:r w:rsidRPr="00621B7F">
        <w:rPr>
          <w:rFonts w:asciiTheme="minorEastAsia" w:eastAsiaTheme="minorEastAsia" w:hAnsiTheme="minorEastAsia" w:hint="eastAsia"/>
          <w:color w:val="000000" w:themeColor="text1"/>
          <w:szCs w:val="21"/>
        </w:rPr>
        <w:t>《基金合同》</w:t>
      </w:r>
      <w:r w:rsidRPr="00621B7F">
        <w:rPr>
          <w:rFonts w:asciiTheme="minorEastAsia" w:eastAsiaTheme="minorEastAsia" w:hAnsiTheme="minorEastAsia"/>
          <w:color w:val="000000" w:themeColor="text1"/>
          <w:szCs w:val="21"/>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程序性。大会召集人可以对提案涉及的程序性问题</w:t>
      </w:r>
      <w:r w:rsidRPr="00621B7F">
        <w:rPr>
          <w:rFonts w:asciiTheme="minorEastAsia" w:eastAsiaTheme="minorEastAsia" w:hAnsiTheme="minorEastAsia" w:hint="eastAsia"/>
          <w:color w:val="000000" w:themeColor="text1"/>
          <w:szCs w:val="21"/>
        </w:rPr>
        <w:t>做</w:t>
      </w:r>
      <w:r w:rsidRPr="00621B7F">
        <w:rPr>
          <w:rFonts w:asciiTheme="minorEastAsia" w:eastAsiaTheme="minorEastAsia" w:hAnsiTheme="minorEastAsia"/>
          <w:color w:val="000000" w:themeColor="text1"/>
          <w:szCs w:val="21"/>
        </w:rPr>
        <w:t>出决定。如将提案进行分拆或合并表决，需征得原提案人同意；原提案人不同意变更的，大会主持人可以就程序性问题提请基金份额持有人大会</w:t>
      </w:r>
      <w:r w:rsidRPr="00621B7F">
        <w:rPr>
          <w:rFonts w:asciiTheme="minorEastAsia" w:eastAsiaTheme="minorEastAsia" w:hAnsiTheme="minorEastAsia" w:hint="eastAsia"/>
          <w:color w:val="000000" w:themeColor="text1"/>
          <w:szCs w:val="21"/>
        </w:rPr>
        <w:t>做</w:t>
      </w:r>
      <w:r w:rsidRPr="00621B7F">
        <w:rPr>
          <w:rFonts w:asciiTheme="minorEastAsia" w:eastAsiaTheme="minorEastAsia" w:hAnsiTheme="minorEastAsia"/>
          <w:color w:val="000000" w:themeColor="text1"/>
          <w:szCs w:val="21"/>
        </w:rPr>
        <w:t>出决定，并按照基金份额持有人大会决定的程序进行审议。</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议事程序</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现场开会</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在现场开会的方式下，首先由大会主持人按照下列第七</w:t>
      </w:r>
      <w:r w:rsidRPr="00621B7F">
        <w:rPr>
          <w:rFonts w:asciiTheme="minorEastAsia" w:eastAsiaTheme="minorEastAsia" w:hAnsiTheme="minorEastAsia" w:hint="eastAsia"/>
          <w:color w:val="000000" w:themeColor="text1"/>
          <w:szCs w:val="21"/>
        </w:rPr>
        <w:t>条</w:t>
      </w:r>
      <w:r w:rsidRPr="00621B7F">
        <w:rPr>
          <w:rFonts w:asciiTheme="minorEastAsia" w:eastAsiaTheme="minorEastAsia" w:hAnsiTheme="minorEastAsia"/>
          <w:color w:val="000000" w:themeColor="text1"/>
          <w:szCs w:val="21"/>
        </w:rPr>
        <w:t>规定程序确定和公布监票人，然后由大会主持人宣读提案，经讨论后进行表决，并形成大会决议。大会主持人为基金管理人授权出席会议的代表，在基金管理人</w:t>
      </w:r>
      <w:r w:rsidRPr="00621B7F">
        <w:rPr>
          <w:rFonts w:asciiTheme="minorEastAsia" w:eastAsiaTheme="minorEastAsia" w:hAnsiTheme="minorEastAsia" w:hint="eastAsia"/>
          <w:color w:val="000000" w:themeColor="text1"/>
          <w:szCs w:val="21"/>
        </w:rPr>
        <w:t>授权代表</w:t>
      </w:r>
      <w:r w:rsidRPr="00621B7F">
        <w:rPr>
          <w:rFonts w:asciiTheme="minorEastAsia" w:eastAsiaTheme="minorEastAsia" w:hAnsiTheme="minorEastAsia"/>
          <w:color w:val="000000" w:themeColor="text1"/>
          <w:szCs w:val="21"/>
        </w:rPr>
        <w:t>未能主持大会的情况下，由基金托管人授权其出席会议的代表主持；如果基金管理人</w:t>
      </w:r>
      <w:r w:rsidRPr="00621B7F">
        <w:rPr>
          <w:rFonts w:asciiTheme="minorEastAsia" w:eastAsiaTheme="minorEastAsia" w:hAnsiTheme="minorEastAsia" w:hint="eastAsia"/>
          <w:color w:val="000000" w:themeColor="text1"/>
          <w:szCs w:val="21"/>
        </w:rPr>
        <w:t>授权代表</w:t>
      </w:r>
      <w:r w:rsidRPr="00621B7F">
        <w:rPr>
          <w:rFonts w:asciiTheme="minorEastAsia" w:eastAsiaTheme="minorEastAsia" w:hAnsiTheme="minorEastAsia"/>
          <w:color w:val="000000" w:themeColor="text1"/>
          <w:szCs w:val="21"/>
        </w:rPr>
        <w:t>和基金托管人</w:t>
      </w:r>
      <w:r w:rsidRPr="00621B7F">
        <w:rPr>
          <w:rFonts w:asciiTheme="minorEastAsia" w:eastAsiaTheme="minorEastAsia" w:hAnsiTheme="minorEastAsia" w:hint="eastAsia"/>
          <w:color w:val="000000" w:themeColor="text1"/>
          <w:szCs w:val="21"/>
        </w:rPr>
        <w:t>授权代表</w:t>
      </w:r>
      <w:r w:rsidRPr="00621B7F">
        <w:rPr>
          <w:rFonts w:asciiTheme="minorEastAsia" w:eastAsiaTheme="minorEastAsia" w:hAnsiTheme="minorEastAsia"/>
          <w:color w:val="000000" w:themeColor="text1"/>
          <w:szCs w:val="21"/>
        </w:rPr>
        <w:t>均未能主持大会，则由出席大会的基金份额持有人</w:t>
      </w:r>
      <w:r w:rsidRPr="00621B7F">
        <w:rPr>
          <w:rFonts w:asciiTheme="minorEastAsia" w:eastAsiaTheme="minorEastAsia" w:hAnsiTheme="minorEastAsia" w:hint="eastAsia"/>
          <w:color w:val="000000" w:themeColor="text1"/>
          <w:szCs w:val="21"/>
        </w:rPr>
        <w:t>所持表决权的</w:t>
      </w:r>
      <w:r w:rsidRPr="00621B7F">
        <w:rPr>
          <w:rFonts w:asciiTheme="minorEastAsia" w:eastAsiaTheme="minorEastAsia" w:hAnsiTheme="minorEastAsia"/>
          <w:color w:val="000000" w:themeColor="text1"/>
          <w:szCs w:val="21"/>
        </w:rPr>
        <w:t>50%以上（含50%）</w:t>
      </w:r>
      <w:r w:rsidRPr="00621B7F">
        <w:rPr>
          <w:rFonts w:asciiTheme="minorEastAsia" w:eastAsiaTheme="minorEastAsia" w:hAnsiTheme="minorEastAsia" w:hint="eastAsia"/>
          <w:color w:val="000000" w:themeColor="text1"/>
          <w:szCs w:val="21"/>
        </w:rPr>
        <w:t>选举</w:t>
      </w:r>
      <w:r w:rsidRPr="00621B7F">
        <w:rPr>
          <w:rFonts w:asciiTheme="minorEastAsia" w:eastAsiaTheme="minorEastAsia" w:hAnsiTheme="minorEastAsia"/>
          <w:color w:val="000000" w:themeColor="text1"/>
          <w:szCs w:val="21"/>
        </w:rPr>
        <w:t>产生一名基金份额持有人作为该次基金份额持有人大会的主持人。</w:t>
      </w:r>
      <w:r w:rsidRPr="00621B7F">
        <w:rPr>
          <w:rFonts w:asciiTheme="minorEastAsia" w:eastAsiaTheme="minorEastAsia" w:hAnsiTheme="minorEastAsia" w:hint="eastAsia"/>
          <w:color w:val="000000" w:themeColor="text1"/>
          <w:szCs w:val="21"/>
        </w:rPr>
        <w:t>基金管理人和基金托管人不出席或主持基金份额持有人大会，不影响基金份额持有人大会作出的决议的效力。</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会议</w:t>
      </w:r>
      <w:r w:rsidRPr="00621B7F">
        <w:rPr>
          <w:rFonts w:asciiTheme="minorEastAsia" w:eastAsiaTheme="minorEastAsia" w:hAnsiTheme="minorEastAsia"/>
          <w:color w:val="000000" w:themeColor="text1"/>
          <w:szCs w:val="21"/>
        </w:rPr>
        <w:t>召集人应当制作出席会议人员的签名册。签名册载明参加会议人员姓名（或单位名称）、身份证号码、住所地址、持有或代表有表决权的基金份额、委托人姓名（或单位名称）等事项。</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通讯开会</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在通讯开会的情况下，</w:t>
      </w:r>
      <w:r w:rsidRPr="00621B7F">
        <w:rPr>
          <w:rFonts w:asciiTheme="minorEastAsia" w:eastAsiaTheme="minorEastAsia" w:hAnsiTheme="minorEastAsia" w:hint="eastAsia"/>
          <w:color w:val="000000" w:themeColor="text1"/>
          <w:szCs w:val="21"/>
        </w:rPr>
        <w:t>首先由召集人提前30日公布提案</w:t>
      </w:r>
      <w:r w:rsidRPr="00621B7F">
        <w:rPr>
          <w:rFonts w:asciiTheme="minorEastAsia" w:eastAsiaTheme="minorEastAsia" w:hAnsiTheme="minorEastAsia"/>
          <w:color w:val="000000" w:themeColor="text1"/>
          <w:szCs w:val="21"/>
        </w:rPr>
        <w:t>，在所通知的表决截止日期</w:t>
      </w:r>
      <w:r w:rsidRPr="00621B7F">
        <w:rPr>
          <w:rFonts w:asciiTheme="minorEastAsia" w:eastAsiaTheme="minorEastAsia" w:hAnsiTheme="minorEastAsia" w:hint="eastAsia"/>
          <w:color w:val="000000" w:themeColor="text1"/>
          <w:szCs w:val="21"/>
        </w:rPr>
        <w:t>后2个工作日内在公证机关监督下由召集人统计全部有效表决</w:t>
      </w:r>
      <w:r w:rsidRPr="00621B7F">
        <w:rPr>
          <w:rFonts w:asciiTheme="minorEastAsia" w:eastAsiaTheme="minorEastAsia" w:hAnsiTheme="minorEastAsia"/>
          <w:color w:val="000000" w:themeColor="text1"/>
          <w:szCs w:val="21"/>
        </w:rPr>
        <w:t>，在公证</w:t>
      </w:r>
      <w:r w:rsidRPr="00621B7F">
        <w:rPr>
          <w:rFonts w:asciiTheme="minorEastAsia" w:eastAsiaTheme="minorEastAsia" w:hAnsiTheme="minorEastAsia" w:hint="eastAsia"/>
          <w:color w:val="000000" w:themeColor="text1"/>
          <w:szCs w:val="21"/>
        </w:rPr>
        <w:t>机关</w:t>
      </w:r>
      <w:r w:rsidRPr="00621B7F">
        <w:rPr>
          <w:rFonts w:asciiTheme="minorEastAsia" w:eastAsiaTheme="minorEastAsia" w:hAnsiTheme="minorEastAsia"/>
          <w:color w:val="000000" w:themeColor="text1"/>
          <w:szCs w:val="21"/>
        </w:rPr>
        <w:t>监督下形成决议。</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933" w:name="_Toc15641225"/>
      <w:bookmarkStart w:id="934" w:name="_Toc57530248"/>
      <w:bookmarkStart w:id="935" w:name="_Toc79392589"/>
      <w:r w:rsidRPr="00621B7F">
        <w:rPr>
          <w:rFonts w:asciiTheme="minorEastAsia" w:eastAsiaTheme="minorEastAsia" w:hAnsiTheme="minorEastAsia" w:hint="eastAsia"/>
          <w:color w:val="000000" w:themeColor="text1"/>
          <w:szCs w:val="21"/>
        </w:rPr>
        <w:t>6</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表决</w:t>
      </w:r>
      <w:bookmarkEnd w:id="933"/>
      <w:bookmarkEnd w:id="934"/>
      <w:bookmarkEnd w:id="935"/>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基金份额持有人所持每份基金份额有一票表决权。</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基金份额持有人大会决议分为一般决议和特别决议：</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一般决议，一般决议须经参加大会的基金份额持有人</w:t>
      </w:r>
      <w:r w:rsidRPr="00621B7F">
        <w:rPr>
          <w:rFonts w:asciiTheme="minorEastAsia" w:eastAsiaTheme="minorEastAsia" w:hAnsiTheme="minorEastAsia" w:hint="eastAsia"/>
          <w:color w:val="000000" w:themeColor="text1"/>
          <w:szCs w:val="21"/>
        </w:rPr>
        <w:t>或其代理人</w:t>
      </w:r>
      <w:r w:rsidRPr="00621B7F">
        <w:rPr>
          <w:rFonts w:asciiTheme="minorEastAsia" w:eastAsiaTheme="minorEastAsia" w:hAnsiTheme="minorEastAsia"/>
          <w:color w:val="000000" w:themeColor="text1"/>
          <w:szCs w:val="21"/>
        </w:rPr>
        <w:t>所持表决权的</w:t>
      </w:r>
      <w:r w:rsidRPr="00621B7F">
        <w:rPr>
          <w:rFonts w:asciiTheme="minorEastAsia" w:eastAsiaTheme="minorEastAsia" w:hAnsiTheme="minorEastAsia" w:hint="eastAsia"/>
          <w:color w:val="000000" w:themeColor="text1"/>
          <w:szCs w:val="21"/>
        </w:rPr>
        <w:t>50%</w:t>
      </w:r>
      <w:r w:rsidRPr="00621B7F">
        <w:rPr>
          <w:rFonts w:asciiTheme="minorEastAsia" w:eastAsiaTheme="minorEastAsia" w:hAnsiTheme="minorEastAsia"/>
          <w:color w:val="000000" w:themeColor="text1"/>
          <w:szCs w:val="21"/>
        </w:rPr>
        <w:t>以上（含</w:t>
      </w:r>
      <w:r w:rsidRPr="00621B7F">
        <w:rPr>
          <w:rFonts w:asciiTheme="minorEastAsia" w:eastAsiaTheme="minorEastAsia" w:hAnsiTheme="minorEastAsia" w:hint="eastAsia"/>
          <w:color w:val="000000" w:themeColor="text1"/>
          <w:szCs w:val="21"/>
        </w:rPr>
        <w:t>50%</w:t>
      </w:r>
      <w:r w:rsidRPr="00621B7F">
        <w:rPr>
          <w:rFonts w:asciiTheme="minorEastAsia" w:eastAsiaTheme="minorEastAsia" w:hAnsiTheme="minorEastAsia"/>
          <w:color w:val="000000" w:themeColor="text1"/>
          <w:szCs w:val="21"/>
        </w:rPr>
        <w:t>）通过方为有效；除下列</w:t>
      </w:r>
      <w:r w:rsidRPr="00621B7F">
        <w:rPr>
          <w:rFonts w:asciiTheme="minorEastAsia" w:eastAsiaTheme="minorEastAsia" w:hAnsiTheme="minorEastAsia" w:hint="eastAsia"/>
          <w:color w:val="000000" w:themeColor="text1"/>
          <w:szCs w:val="21"/>
        </w:rPr>
        <w:t>第2项</w:t>
      </w:r>
      <w:r w:rsidRPr="00621B7F">
        <w:rPr>
          <w:rFonts w:asciiTheme="minorEastAsia" w:eastAsiaTheme="minorEastAsia" w:hAnsiTheme="minorEastAsia"/>
          <w:color w:val="000000" w:themeColor="text1"/>
          <w:szCs w:val="21"/>
        </w:rPr>
        <w:t>所规定的须以特别决议通过事项以外的其他事项均以一般决议的方式通过。</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特别决议，特别决议应当经参加大会的基金份额持有人</w:t>
      </w:r>
      <w:r w:rsidRPr="00621B7F">
        <w:rPr>
          <w:rFonts w:asciiTheme="minorEastAsia" w:eastAsiaTheme="minorEastAsia" w:hAnsiTheme="minorEastAsia" w:hint="eastAsia"/>
          <w:color w:val="000000" w:themeColor="text1"/>
          <w:szCs w:val="21"/>
        </w:rPr>
        <w:t>或其代理人</w:t>
      </w:r>
      <w:r w:rsidRPr="00621B7F">
        <w:rPr>
          <w:rFonts w:asciiTheme="minorEastAsia" w:eastAsiaTheme="minorEastAsia" w:hAnsiTheme="minorEastAsia"/>
          <w:color w:val="000000" w:themeColor="text1"/>
          <w:szCs w:val="21"/>
        </w:rPr>
        <w:t>所持表决权的三分之二</w:t>
      </w:r>
      <w:r w:rsidRPr="00621B7F">
        <w:rPr>
          <w:rFonts w:asciiTheme="minorEastAsia" w:eastAsiaTheme="minorEastAsia" w:hAnsiTheme="minorEastAsia" w:hint="eastAsia"/>
          <w:color w:val="000000" w:themeColor="text1"/>
          <w:szCs w:val="21"/>
        </w:rPr>
        <w:t>以上（含</w:t>
      </w:r>
      <w:r w:rsidRPr="00621B7F">
        <w:rPr>
          <w:rFonts w:asciiTheme="minorEastAsia" w:eastAsiaTheme="minorEastAsia" w:hAnsiTheme="minorEastAsia"/>
          <w:color w:val="000000" w:themeColor="text1"/>
          <w:szCs w:val="21"/>
        </w:rPr>
        <w:t>三分之二</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通过方可</w:t>
      </w:r>
      <w:r w:rsidRPr="00621B7F">
        <w:rPr>
          <w:rFonts w:asciiTheme="minorEastAsia" w:eastAsiaTheme="minorEastAsia" w:hAnsiTheme="minorEastAsia" w:hint="eastAsia"/>
          <w:color w:val="000000" w:themeColor="text1"/>
          <w:szCs w:val="21"/>
        </w:rPr>
        <w:t>做</w:t>
      </w:r>
      <w:r w:rsidRPr="00621B7F">
        <w:rPr>
          <w:rFonts w:asciiTheme="minorEastAsia" w:eastAsiaTheme="minorEastAsia" w:hAnsiTheme="minorEastAsia"/>
          <w:color w:val="000000" w:themeColor="text1"/>
          <w:szCs w:val="21"/>
        </w:rPr>
        <w:t>出。转换基金运作方式、更换基金管理人或者基金托管人、终止</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基金合同</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以特别决议通过方为有效。</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基金份额持有人大会采取记名方式进行投票表决。</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采取通讯方式进行表决时，</w:t>
      </w:r>
      <w:r w:rsidRPr="00621B7F">
        <w:rPr>
          <w:rFonts w:asciiTheme="minorEastAsia" w:eastAsiaTheme="minorEastAsia" w:hAnsiTheme="minorEastAsia" w:hint="eastAsia"/>
          <w:color w:val="000000" w:themeColor="text1"/>
          <w:szCs w:val="21"/>
        </w:rPr>
        <w:t>除非在计票时有充分的相反证据证明，提交符合会议通知中规定的确认投资者身份文件的表决视为有效出席的投资者，</w:t>
      </w:r>
      <w:r w:rsidRPr="00621B7F">
        <w:rPr>
          <w:rFonts w:asciiTheme="minorEastAsia" w:eastAsiaTheme="minorEastAsia" w:hAnsiTheme="minorEastAsia"/>
          <w:color w:val="000000" w:themeColor="text1"/>
          <w:szCs w:val="21"/>
        </w:rPr>
        <w:t>符合会议通知规定的书面表决意见视为有效表决</w:t>
      </w:r>
      <w:r w:rsidRPr="00621B7F">
        <w:rPr>
          <w:rFonts w:asciiTheme="minorEastAsia" w:eastAsiaTheme="minorEastAsia" w:hAnsiTheme="minorEastAsia" w:hint="eastAsia"/>
          <w:color w:val="000000" w:themeColor="text1"/>
          <w:szCs w:val="21"/>
        </w:rPr>
        <w:t>，表决意见模糊不清或相互矛盾的视为弃权表决，但应当计入出具书面意见的基金份额持有人所代表的基金份额总数。</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基金份额持有人大会的各项提案或同一项提案内并列的各项议题应当分开审议、逐项表决。</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936" w:name="_Toc15641226"/>
      <w:bookmarkStart w:id="937" w:name="_Toc57530249"/>
      <w:bookmarkStart w:id="938" w:name="_Toc79392590"/>
      <w:r w:rsidRPr="00621B7F">
        <w:rPr>
          <w:rFonts w:asciiTheme="minorEastAsia" w:eastAsiaTheme="minorEastAsia" w:hAnsiTheme="minorEastAsia" w:hint="eastAsia"/>
          <w:color w:val="000000" w:themeColor="text1"/>
          <w:szCs w:val="21"/>
        </w:rPr>
        <w:t>7</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计票</w:t>
      </w:r>
      <w:bookmarkEnd w:id="936"/>
      <w:bookmarkEnd w:id="937"/>
      <w:bookmarkEnd w:id="938"/>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现场开会</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Pr>
          <w:rFonts w:asciiTheme="minorEastAsia" w:eastAsiaTheme="minorEastAsia" w:hAnsiTheme="minorEastAsia"/>
          <w:color w:val="000000" w:themeColor="text1"/>
          <w:szCs w:val="21"/>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sidRPr="00621B7F">
        <w:rPr>
          <w:rFonts w:asciiTheme="minorEastAsia" w:eastAsiaTheme="minorEastAsia" w:hAnsiTheme="minorEastAsia" w:hint="eastAsia"/>
          <w:color w:val="000000" w:themeColor="text1"/>
          <w:szCs w:val="21"/>
        </w:rPr>
        <w:t>或大会虽然由基金管理人或基金托管人召集，但是基金管理人或基金托管人未出席大会的</w:t>
      </w:r>
      <w:r w:rsidRPr="00621B7F">
        <w:rPr>
          <w:rFonts w:asciiTheme="minorEastAsia" w:eastAsiaTheme="minorEastAsia" w:hAnsiTheme="minorEastAsia"/>
          <w:color w:val="000000" w:themeColor="text1"/>
          <w:szCs w:val="21"/>
        </w:rPr>
        <w:t>，基金份额持有人大会的主持人应当在会议开始后宣布在出席会议的基金份额持有人中选举三名基金份额持有人代表担任监票人。</w:t>
      </w:r>
      <w:r w:rsidRPr="00621B7F">
        <w:rPr>
          <w:rFonts w:asciiTheme="minorEastAsia" w:eastAsiaTheme="minorEastAsia" w:hAnsiTheme="minorEastAsia" w:hint="eastAsia"/>
          <w:color w:val="000000" w:themeColor="text1"/>
          <w:szCs w:val="21"/>
        </w:rPr>
        <w:t>基金管理人或基金托管人不出席大会的，不影响计票的效力。</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监票人应当在基金份额持有人表决后立即进行清点并由大会主持人当场公布计票结果。</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color w:val="000000" w:themeColor="text1"/>
          <w:szCs w:val="21"/>
        </w:rPr>
        <w:t>如果会议主持人</w:t>
      </w:r>
      <w:r w:rsidRPr="00621B7F">
        <w:rPr>
          <w:rFonts w:asciiTheme="minorEastAsia" w:eastAsiaTheme="minorEastAsia" w:hAnsiTheme="minorEastAsia" w:hint="eastAsia"/>
          <w:color w:val="000000" w:themeColor="text1"/>
          <w:szCs w:val="21"/>
        </w:rPr>
        <w:t>或</w:t>
      </w:r>
      <w:r w:rsidRPr="00621B7F">
        <w:rPr>
          <w:rFonts w:asciiTheme="minorEastAsia" w:eastAsiaTheme="minorEastAsia" w:hAnsiTheme="minorEastAsia"/>
          <w:color w:val="000000" w:themeColor="text1"/>
          <w:szCs w:val="21"/>
        </w:rPr>
        <w:t>基金份额持有人对于提交的表决结果有怀疑，可以在宣布表决结果后立即对所投票数</w:t>
      </w:r>
      <w:r w:rsidRPr="00621B7F">
        <w:rPr>
          <w:rFonts w:asciiTheme="minorEastAsia" w:eastAsiaTheme="minorEastAsia" w:hAnsiTheme="minorEastAsia" w:hint="eastAsia"/>
          <w:color w:val="000000" w:themeColor="text1"/>
          <w:szCs w:val="21"/>
        </w:rPr>
        <w:t>要求</w:t>
      </w:r>
      <w:r w:rsidRPr="00621B7F">
        <w:rPr>
          <w:rFonts w:asciiTheme="minorEastAsia" w:eastAsiaTheme="minorEastAsia" w:hAnsiTheme="minorEastAsia"/>
          <w:color w:val="000000" w:themeColor="text1"/>
          <w:szCs w:val="21"/>
        </w:rPr>
        <w:t>进行重新清点</w:t>
      </w:r>
      <w:r w:rsidRPr="00621B7F">
        <w:rPr>
          <w:rFonts w:asciiTheme="minorEastAsia" w:eastAsiaTheme="minorEastAsia" w:hAnsiTheme="minorEastAsia" w:hint="eastAsia"/>
          <w:color w:val="000000" w:themeColor="text1"/>
          <w:szCs w:val="21"/>
        </w:rPr>
        <w:t>。监票人应当进行重新清点，重新清点以一次为限。重新清点后，大会主持人应当当场公布重新清点结果。</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4）计票过程应由公证机关予以公证,基金管理人或基金托管人拒不出席大会的，不影响计票的效力。</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通讯开会</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在通讯开会的情况下，计票方式为：由大会召集人授权的两名监督员在基金托管人授权代表</w:t>
      </w:r>
      <w:r w:rsidRPr="00621B7F">
        <w:rPr>
          <w:rFonts w:asciiTheme="minorEastAsia" w:eastAsiaTheme="minorEastAsia" w:hAnsiTheme="minorEastAsia" w:hint="eastAsia"/>
          <w:color w:val="000000" w:themeColor="text1"/>
          <w:szCs w:val="21"/>
        </w:rPr>
        <w:t>（若由基金托管人召集，则为基金管理人</w:t>
      </w:r>
      <w:r w:rsidRPr="00621B7F">
        <w:rPr>
          <w:rFonts w:asciiTheme="minorEastAsia" w:eastAsiaTheme="minorEastAsia" w:hAnsiTheme="minorEastAsia"/>
          <w:color w:val="000000" w:themeColor="text1"/>
          <w:szCs w:val="21"/>
        </w:rPr>
        <w:t>授权代表</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的监督下进行计票，并由公证机关对其计票过程予以公证</w:t>
      </w:r>
      <w:bookmarkStart w:id="939" w:name="_Toc15641227"/>
      <w:bookmarkStart w:id="940" w:name="_Toc57530250"/>
      <w:bookmarkStart w:id="941" w:name="_Toc79392591"/>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基金管理人或基金托管人拒派代表对书面表决意见的计票进行监督的，不影响计票和表决结果。</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8</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生效与公告</w:t>
      </w:r>
      <w:bookmarkEnd w:id="939"/>
      <w:bookmarkEnd w:id="940"/>
      <w:bookmarkEnd w:id="941"/>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基金份额持有人大会的决议，召集人应当自通过之日起5日内报中国证监会核准或者备案。</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基金份额持有人大会的决议自中国证监会依法核准或者出具无异议意见之日起生效。</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基金份额持有人大会决议自生效之日起</w:t>
      </w:r>
      <w:r w:rsidRPr="00621B7F">
        <w:rPr>
          <w:rFonts w:asciiTheme="minorEastAsia" w:eastAsiaTheme="minorEastAsia" w:hAnsiTheme="minorEastAsia" w:hint="eastAsia"/>
          <w:color w:val="000000" w:themeColor="text1"/>
          <w:szCs w:val="21"/>
        </w:rPr>
        <w:t>2</w:t>
      </w:r>
      <w:r w:rsidRPr="00621B7F">
        <w:rPr>
          <w:rFonts w:asciiTheme="minorEastAsia" w:eastAsiaTheme="minorEastAsia" w:hAnsiTheme="minorEastAsia"/>
          <w:color w:val="000000" w:themeColor="text1"/>
          <w:szCs w:val="21"/>
        </w:rPr>
        <w:t>日内在至少一</w:t>
      </w:r>
      <w:r w:rsidRPr="00621B7F">
        <w:rPr>
          <w:rFonts w:asciiTheme="minorEastAsia" w:eastAsiaTheme="minorEastAsia" w:hAnsiTheme="minorEastAsia" w:hint="eastAsia"/>
          <w:color w:val="000000" w:themeColor="text1"/>
          <w:szCs w:val="21"/>
        </w:rPr>
        <w:t>家</w:t>
      </w:r>
      <w:r w:rsidRPr="00621B7F" w:rsidR="0033182F">
        <w:rPr>
          <w:rFonts w:asciiTheme="minorEastAsia" w:eastAsiaTheme="minorEastAsia" w:hAnsiTheme="minorEastAsia"/>
          <w:color w:val="000000" w:themeColor="text1"/>
          <w:szCs w:val="21"/>
        </w:rPr>
        <w:t>指定媒介</w:t>
      </w:r>
      <w:r w:rsidRPr="00621B7F">
        <w:rPr>
          <w:rFonts w:asciiTheme="minorEastAsia" w:eastAsiaTheme="minorEastAsia" w:hAnsiTheme="minorEastAsia" w:hint="eastAsia"/>
          <w:color w:val="000000" w:themeColor="text1"/>
          <w:szCs w:val="21"/>
        </w:rPr>
        <w:t>及基金管理人网站上</w:t>
      </w:r>
      <w:r w:rsidRPr="00621B7F">
        <w:rPr>
          <w:rFonts w:asciiTheme="minorEastAsia" w:eastAsiaTheme="minorEastAsia" w:hAnsiTheme="minorEastAsia"/>
          <w:color w:val="000000" w:themeColor="text1"/>
          <w:szCs w:val="21"/>
        </w:rPr>
        <w:t>公告。</w:t>
      </w:r>
      <w:r w:rsidRPr="00621B7F">
        <w:rPr>
          <w:rFonts w:asciiTheme="minorEastAsia" w:eastAsiaTheme="minorEastAsia" w:hAnsiTheme="minorEastAsia" w:hint="eastAsia"/>
          <w:color w:val="000000" w:themeColor="text1"/>
          <w:szCs w:val="21"/>
        </w:rPr>
        <w:t>如果采用通讯方式进行表决，在公告基金份额持有人大会决议时，必须将公证书全文、公证机构、公证员姓名等一同公告。</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基金管理人、基金托管人和基金份额持有人应当执行生效的基金份额持有人大会的决议。</w:t>
      </w:r>
    </w:p>
    <w:p w:rsidR="00E24A4B"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基金份额持有人大会决议对全体基金份额持有人、基金管理人、基金托管人均有约束力。</w:t>
      </w:r>
    </w:p>
    <w:p w:rsidR="00D969B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9</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鉴于本基金是目标ETF的联接基金，本基金的基金份额持有人可以凭所持有的本基金份额出席或者委派代表出席目标ETF的份额持有人大会并参与表决，其持有的享有表决权的基金份额数和表决票数为，在目标ETF基金份额持有人大会的权益登记日，本基金持有目标ETF份额的总数乘以该持有人所持有的本基金份额占本基金总份额的比例，计算结果按照四舍五入的方法，保留到整数位。</w:t>
      </w:r>
    </w:p>
    <w:p w:rsidR="00D969B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D969B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的基金管理人代表本基金的基金份额持有人提议召开或召集目标ETF份额持有人大会的，须先遵照本基金基金合同的约定召开本基金的基金份额持有人大会，本基金的基金份额持有人大会决定提议召开或召集目标ETF份额持有人大会的，由本基金基金管理人代表本基金的基金份额持有人提议召开或召集目标ETF份额持有人大会。</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42" w:name="_Toc238870141"/>
      <w:bookmarkStart w:id="943" w:name="_Toc91752119"/>
      <w:r w:rsidRPr="00621B7F">
        <w:rPr>
          <w:rFonts w:asciiTheme="minorEastAsia" w:eastAsiaTheme="minorEastAsia" w:hAnsiTheme="minorEastAsia" w:hint="eastAsia"/>
          <w:b w:val="0"/>
          <w:bCs/>
          <w:color w:val="000000" w:themeColor="text1"/>
        </w:rPr>
        <w:t>（</w:t>
      </w:r>
      <w:r w:rsidRPr="00621B7F" w:rsidR="005433FC">
        <w:rPr>
          <w:rFonts w:asciiTheme="minorEastAsia" w:eastAsiaTheme="minorEastAsia" w:hAnsiTheme="minorEastAsia" w:hint="eastAsia"/>
          <w:b w:val="0"/>
          <w:bCs/>
          <w:color w:val="000000" w:themeColor="text1"/>
        </w:rPr>
        <w:t>五</w:t>
      </w:r>
      <w:r w:rsidRPr="00621B7F">
        <w:rPr>
          <w:rFonts w:asciiTheme="minorEastAsia" w:eastAsiaTheme="minorEastAsia" w:hAnsiTheme="minorEastAsia" w:hint="eastAsia"/>
          <w:b w:val="0"/>
          <w:bCs/>
          <w:color w:val="000000" w:themeColor="text1"/>
        </w:rPr>
        <w:t>）基金合同的变更</w:t>
      </w:r>
      <w:bookmarkEnd w:id="942"/>
      <w:bookmarkEnd w:id="943"/>
    </w:p>
    <w:p w:rsidR="009427A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按照法律法规或《基金合同》的规定，对《基金合同》的变更应当召开基金份额持有人大会的，《基金合同》变更的内容应经基金份额持有人大会决议通过，并依法报中国证监会核准。</w:t>
      </w:r>
    </w:p>
    <w:p w:rsidR="009427A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上述对《基金合同》的变更事项自中国证监会核准之日起生效。</w:t>
      </w:r>
    </w:p>
    <w:p w:rsidR="009427A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但出现下列情况时，可不经基金份额持有人大会决议，由基金管理人和基金托管人同意后变更并公告，并报中国证监会备案：</w:t>
      </w:r>
    </w:p>
    <w:p w:rsidR="009427A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（1）调低基金管理费、基金托管费；</w:t>
      </w:r>
    </w:p>
    <w:p w:rsidR="009427A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（2）法律法规要求增加的基金费用的收取；</w:t>
      </w:r>
    </w:p>
    <w:p w:rsidR="009427A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（3）在法律法规和《基金合同》规定的范围内调整本基金的申购费率、调低赎回费率；</w:t>
      </w:r>
    </w:p>
    <w:p w:rsidR="009427A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（4）因相应的法律法规发生变动而应当对《基金合同》进行修改；</w:t>
      </w:r>
    </w:p>
    <w:p w:rsidR="009427A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（5）对《基金合同》的修改对基金份额持有人利益无实质性不利影响或修改不涉及《基金合同》当事人权利义务关系发生</w:t>
      </w:r>
      <w:r w:rsidRPr="00621B7F" w:rsidR="00D969B0">
        <w:rPr>
          <w:rFonts w:asciiTheme="minorEastAsia" w:eastAsiaTheme="minorEastAsia" w:hAnsiTheme="minorEastAsia" w:hint="eastAsia"/>
          <w:color w:val="000000" w:themeColor="text1"/>
          <w:szCs w:val="21"/>
        </w:rPr>
        <w:t>重大</w:t>
      </w:r>
      <w:r w:rsidRPr="00621B7F">
        <w:rPr>
          <w:rFonts w:asciiTheme="minorEastAsia" w:eastAsiaTheme="minorEastAsia" w:hAnsiTheme="minorEastAsia" w:hint="eastAsia"/>
          <w:color w:val="000000" w:themeColor="text1"/>
          <w:szCs w:val="21"/>
        </w:rPr>
        <w:t>变化；</w:t>
      </w:r>
    </w:p>
    <w:p w:rsidR="009427A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（6）除按照法律法规和《基金合同》规定应当召开基金份额持有人大会的以外的其他情形。</w:t>
      </w:r>
    </w:p>
    <w:p w:rsidR="009427A8"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法律法规对基金合同变更另有规定的，从其规定。</w:t>
      </w:r>
    </w:p>
    <w:p w:rsidR="009427A8"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44" w:name="_Toc238870142"/>
      <w:bookmarkStart w:id="945" w:name="_Toc91752120"/>
      <w:r w:rsidRPr="00621B7F">
        <w:rPr>
          <w:rFonts w:asciiTheme="minorEastAsia" w:eastAsiaTheme="minorEastAsia" w:hAnsiTheme="minorEastAsia" w:hint="eastAsia"/>
          <w:b w:val="0"/>
          <w:bCs/>
          <w:color w:val="000000" w:themeColor="text1"/>
        </w:rPr>
        <w:t>（六）基金合同的终止</w:t>
      </w:r>
      <w:bookmarkEnd w:id="944"/>
      <w:bookmarkEnd w:id="945"/>
    </w:p>
    <w:p w:rsidR="00A76EE2"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有下列情形之一的，《基金合同》应当终止：</w:t>
      </w:r>
    </w:p>
    <w:p w:rsidR="00A76EE2"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基金份额持有人大会决定终止的；</w:t>
      </w:r>
    </w:p>
    <w:p w:rsidR="00A76EE2"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基金管理人、基金托管人职责终止，在6个月内没有新基金管理人、新基金托管人承接的；</w:t>
      </w:r>
    </w:p>
    <w:p w:rsidR="00A76EE2"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《基金合同》约定的其他情形；</w:t>
      </w:r>
    </w:p>
    <w:p w:rsidR="00A76EE2"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相关法律法规和中国证监会规定的其他情况。</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46" w:name="_Toc38437218"/>
      <w:bookmarkStart w:id="947" w:name="_Toc38437354"/>
      <w:bookmarkStart w:id="948" w:name="_Toc38437490"/>
      <w:bookmarkStart w:id="949" w:name="_Toc38437626"/>
      <w:bookmarkStart w:id="950" w:name="_Toc38437772"/>
      <w:bookmarkStart w:id="951" w:name="_Toc38437918"/>
      <w:bookmarkStart w:id="952" w:name="_Toc38438064"/>
      <w:bookmarkStart w:id="953" w:name="_Toc38438210"/>
      <w:bookmarkStart w:id="954" w:name="_Toc38438547"/>
      <w:bookmarkStart w:id="955" w:name="_Toc38438884"/>
      <w:bookmarkStart w:id="956" w:name="_Toc38439221"/>
      <w:bookmarkStart w:id="957" w:name="_Toc38439558"/>
      <w:bookmarkStart w:id="958" w:name="_Toc38439895"/>
      <w:bookmarkStart w:id="959" w:name="_Toc38440232"/>
      <w:bookmarkStart w:id="960" w:name="_Toc38440569"/>
      <w:bookmarkStart w:id="961" w:name="_Toc38440768"/>
      <w:bookmarkStart w:id="962" w:name="_Toc38441101"/>
      <w:bookmarkStart w:id="963" w:name="_Toc38441433"/>
      <w:bookmarkStart w:id="964" w:name="_Toc38441765"/>
      <w:bookmarkStart w:id="965" w:name="_Toc38442093"/>
      <w:bookmarkStart w:id="966" w:name="_Toc38442425"/>
      <w:bookmarkStart w:id="967" w:name="_Toc38442757"/>
      <w:bookmarkStart w:id="968" w:name="_Toc38443088"/>
      <w:bookmarkStart w:id="969" w:name="_Toc38443419"/>
      <w:bookmarkStart w:id="970" w:name="_Toc38443750"/>
      <w:bookmarkStart w:id="971" w:name="_Toc38433500"/>
      <w:bookmarkStart w:id="972" w:name="_Toc38433635"/>
      <w:bookmarkStart w:id="973" w:name="_Toc38433769"/>
      <w:bookmarkStart w:id="974" w:name="_Toc38433919"/>
      <w:bookmarkStart w:id="975" w:name="_Toc38434067"/>
      <w:bookmarkStart w:id="976" w:name="_Toc38434215"/>
      <w:bookmarkStart w:id="977" w:name="_Toc38434361"/>
      <w:bookmarkStart w:id="978" w:name="_Toc38434504"/>
      <w:bookmarkStart w:id="979" w:name="_Toc38434647"/>
      <w:bookmarkStart w:id="980" w:name="_Toc38434790"/>
      <w:bookmarkStart w:id="981" w:name="_Toc38434934"/>
      <w:bookmarkStart w:id="982" w:name="_Toc38437630"/>
      <w:bookmarkStart w:id="983" w:name="_Toc38437776"/>
      <w:bookmarkStart w:id="984" w:name="_Toc38437922"/>
      <w:bookmarkStart w:id="985" w:name="_Toc38438068"/>
      <w:bookmarkStart w:id="986" w:name="_Toc38438214"/>
      <w:bookmarkStart w:id="987" w:name="_Toc38438551"/>
      <w:bookmarkStart w:id="988" w:name="_Toc38438888"/>
      <w:bookmarkStart w:id="989" w:name="_Toc38439225"/>
      <w:bookmarkStart w:id="990" w:name="_Toc38439562"/>
      <w:bookmarkStart w:id="991" w:name="_Toc38439899"/>
      <w:bookmarkStart w:id="992" w:name="_Toc38440236"/>
      <w:bookmarkStart w:id="993" w:name="_Toc38440573"/>
      <w:bookmarkStart w:id="994" w:name="_Toc38440772"/>
      <w:bookmarkStart w:id="995" w:name="_Toc38441105"/>
      <w:bookmarkStart w:id="996" w:name="_Toc38441437"/>
      <w:bookmarkStart w:id="997" w:name="_Toc38441769"/>
      <w:bookmarkStart w:id="998" w:name="_Toc38442097"/>
      <w:bookmarkStart w:id="999" w:name="_Toc38442429"/>
      <w:bookmarkStart w:id="1000" w:name="_Toc38442761"/>
      <w:bookmarkStart w:id="1001" w:name="_Toc38443092"/>
      <w:bookmarkStart w:id="1002" w:name="_Toc38443423"/>
      <w:bookmarkStart w:id="1003" w:name="_Toc38443754"/>
      <w:bookmarkStart w:id="1004" w:name="_Toc38433501"/>
      <w:bookmarkStart w:id="1005" w:name="_Toc38433636"/>
      <w:bookmarkStart w:id="1006" w:name="_Toc38433770"/>
      <w:bookmarkStart w:id="1007" w:name="_Toc38433920"/>
      <w:bookmarkStart w:id="1008" w:name="_Toc38434068"/>
      <w:bookmarkStart w:id="1009" w:name="_Toc38434216"/>
      <w:bookmarkStart w:id="1010" w:name="_Toc38434362"/>
      <w:bookmarkStart w:id="1011" w:name="_Toc38434505"/>
      <w:bookmarkStart w:id="1012" w:name="_Toc38434648"/>
      <w:bookmarkStart w:id="1013" w:name="_Toc38434791"/>
      <w:bookmarkStart w:id="1014" w:name="_Toc38434935"/>
      <w:bookmarkStart w:id="1015" w:name="_Toc38437631"/>
      <w:bookmarkStart w:id="1016" w:name="_Toc38437777"/>
      <w:bookmarkStart w:id="1017" w:name="_Toc38437923"/>
      <w:bookmarkStart w:id="1018" w:name="_Toc38438069"/>
      <w:bookmarkStart w:id="1019" w:name="_Toc38438215"/>
      <w:bookmarkStart w:id="1020" w:name="_Toc38438552"/>
      <w:bookmarkStart w:id="1021" w:name="_Toc38438889"/>
      <w:bookmarkStart w:id="1022" w:name="_Toc38439226"/>
      <w:bookmarkStart w:id="1023" w:name="_Toc38439563"/>
      <w:bookmarkStart w:id="1024" w:name="_Toc38439900"/>
      <w:bookmarkStart w:id="1025" w:name="_Toc38440237"/>
      <w:bookmarkStart w:id="1026" w:name="_Toc38440574"/>
      <w:bookmarkStart w:id="1027" w:name="_Toc38440773"/>
      <w:bookmarkStart w:id="1028" w:name="_Toc38441106"/>
      <w:bookmarkStart w:id="1029" w:name="_Toc38441438"/>
      <w:bookmarkStart w:id="1030" w:name="_Toc38441770"/>
      <w:bookmarkStart w:id="1031" w:name="_Toc38442098"/>
      <w:bookmarkStart w:id="1032" w:name="_Toc38442430"/>
      <w:bookmarkStart w:id="1033" w:name="_Toc38442762"/>
      <w:bookmarkStart w:id="1034" w:name="_Toc38443093"/>
      <w:bookmarkStart w:id="1035" w:name="_Toc38443424"/>
      <w:bookmarkStart w:id="1036" w:name="_Toc38443755"/>
      <w:bookmarkStart w:id="1037" w:name="_Toc38433502"/>
      <w:bookmarkStart w:id="1038" w:name="_Toc38433637"/>
      <w:bookmarkStart w:id="1039" w:name="_Toc38433771"/>
      <w:bookmarkStart w:id="1040" w:name="_Toc38433921"/>
      <w:bookmarkStart w:id="1041" w:name="_Toc38434069"/>
      <w:bookmarkStart w:id="1042" w:name="_Toc38434217"/>
      <w:bookmarkStart w:id="1043" w:name="_Toc38434363"/>
      <w:bookmarkStart w:id="1044" w:name="_Toc38434506"/>
      <w:bookmarkStart w:id="1045" w:name="_Toc38434649"/>
      <w:bookmarkStart w:id="1046" w:name="_Toc38434792"/>
      <w:bookmarkStart w:id="1047" w:name="_Toc38434936"/>
      <w:bookmarkStart w:id="1048" w:name="_Toc38437632"/>
      <w:bookmarkStart w:id="1049" w:name="_Toc38437778"/>
      <w:bookmarkStart w:id="1050" w:name="_Toc38437924"/>
      <w:bookmarkStart w:id="1051" w:name="_Toc38438070"/>
      <w:bookmarkStart w:id="1052" w:name="_Toc38438216"/>
      <w:bookmarkStart w:id="1053" w:name="_Toc38438553"/>
      <w:bookmarkStart w:id="1054" w:name="_Toc38438890"/>
      <w:bookmarkStart w:id="1055" w:name="_Toc38439227"/>
      <w:bookmarkStart w:id="1056" w:name="_Toc38439564"/>
      <w:bookmarkStart w:id="1057" w:name="_Toc38439901"/>
      <w:bookmarkStart w:id="1058" w:name="_Toc38440238"/>
      <w:bookmarkStart w:id="1059" w:name="_Toc38440575"/>
      <w:bookmarkStart w:id="1060" w:name="_Toc38440774"/>
      <w:bookmarkStart w:id="1061" w:name="_Toc38441107"/>
      <w:bookmarkStart w:id="1062" w:name="_Toc38441439"/>
      <w:bookmarkStart w:id="1063" w:name="_Toc38441771"/>
      <w:bookmarkStart w:id="1064" w:name="_Toc38442099"/>
      <w:bookmarkStart w:id="1065" w:name="_Toc38442431"/>
      <w:bookmarkStart w:id="1066" w:name="_Toc38442763"/>
      <w:bookmarkStart w:id="1067" w:name="_Toc38443094"/>
      <w:bookmarkStart w:id="1068" w:name="_Toc38443425"/>
      <w:bookmarkStart w:id="1069" w:name="_Toc38443756"/>
      <w:bookmarkStart w:id="1070" w:name="_Toc38433503"/>
      <w:bookmarkStart w:id="1071" w:name="_Toc38433638"/>
      <w:bookmarkStart w:id="1072" w:name="_Toc38433772"/>
      <w:bookmarkStart w:id="1073" w:name="_Toc38433922"/>
      <w:bookmarkStart w:id="1074" w:name="_Toc38434070"/>
      <w:bookmarkStart w:id="1075" w:name="_Toc38434218"/>
      <w:bookmarkStart w:id="1076" w:name="_Toc38434364"/>
      <w:bookmarkStart w:id="1077" w:name="_Toc38434507"/>
      <w:bookmarkStart w:id="1078" w:name="_Toc38434650"/>
      <w:bookmarkStart w:id="1079" w:name="_Toc38434793"/>
      <w:bookmarkStart w:id="1080" w:name="_Toc38434937"/>
      <w:bookmarkStart w:id="1081" w:name="_Toc38437633"/>
      <w:bookmarkStart w:id="1082" w:name="_Toc38437779"/>
      <w:bookmarkStart w:id="1083" w:name="_Toc38437925"/>
      <w:bookmarkStart w:id="1084" w:name="_Toc38438071"/>
      <w:bookmarkStart w:id="1085" w:name="_Toc38438217"/>
      <w:bookmarkStart w:id="1086" w:name="_Toc38438554"/>
      <w:bookmarkStart w:id="1087" w:name="_Toc38438891"/>
      <w:bookmarkStart w:id="1088" w:name="_Toc38439228"/>
      <w:bookmarkStart w:id="1089" w:name="_Toc38439565"/>
      <w:bookmarkStart w:id="1090" w:name="_Toc38439902"/>
      <w:bookmarkStart w:id="1091" w:name="_Toc38440239"/>
      <w:bookmarkStart w:id="1092" w:name="_Toc38440576"/>
      <w:bookmarkStart w:id="1093" w:name="_Toc38440775"/>
      <w:bookmarkStart w:id="1094" w:name="_Toc38441108"/>
      <w:bookmarkStart w:id="1095" w:name="_Toc38441440"/>
      <w:bookmarkStart w:id="1096" w:name="_Toc38441772"/>
      <w:bookmarkStart w:id="1097" w:name="_Toc38442100"/>
      <w:bookmarkStart w:id="1098" w:name="_Toc38442432"/>
      <w:bookmarkStart w:id="1099" w:name="_Toc38442764"/>
      <w:bookmarkStart w:id="1100" w:name="_Toc38443095"/>
      <w:bookmarkStart w:id="1101" w:name="_Toc38443426"/>
      <w:bookmarkStart w:id="1102" w:name="_Toc38443757"/>
      <w:bookmarkStart w:id="1103" w:name="_Toc38433504"/>
      <w:bookmarkStart w:id="1104" w:name="_Toc38433639"/>
      <w:bookmarkStart w:id="1105" w:name="_Toc38433773"/>
      <w:bookmarkStart w:id="1106" w:name="_Toc38433923"/>
      <w:bookmarkStart w:id="1107" w:name="_Toc38434071"/>
      <w:bookmarkStart w:id="1108" w:name="_Toc38434219"/>
      <w:bookmarkStart w:id="1109" w:name="_Toc38434365"/>
      <w:bookmarkStart w:id="1110" w:name="_Toc38434508"/>
      <w:bookmarkStart w:id="1111" w:name="_Toc38434651"/>
      <w:bookmarkStart w:id="1112" w:name="_Toc38434794"/>
      <w:bookmarkStart w:id="1113" w:name="_Toc38434938"/>
      <w:bookmarkStart w:id="1114" w:name="_Toc38437634"/>
      <w:bookmarkStart w:id="1115" w:name="_Toc38437780"/>
      <w:bookmarkStart w:id="1116" w:name="_Toc38437926"/>
      <w:bookmarkStart w:id="1117" w:name="_Toc38438072"/>
      <w:bookmarkStart w:id="1118" w:name="_Toc38438218"/>
      <w:bookmarkStart w:id="1119" w:name="_Toc38438555"/>
      <w:bookmarkStart w:id="1120" w:name="_Toc38438892"/>
      <w:bookmarkStart w:id="1121" w:name="_Toc38439229"/>
      <w:bookmarkStart w:id="1122" w:name="_Toc38439566"/>
      <w:bookmarkStart w:id="1123" w:name="_Toc38439903"/>
      <w:bookmarkStart w:id="1124" w:name="_Toc38440240"/>
      <w:bookmarkStart w:id="1125" w:name="_Toc38440577"/>
      <w:bookmarkStart w:id="1126" w:name="_Toc38440776"/>
      <w:bookmarkStart w:id="1127" w:name="_Toc38441109"/>
      <w:bookmarkStart w:id="1128" w:name="_Toc38441441"/>
      <w:bookmarkStart w:id="1129" w:name="_Toc38441773"/>
      <w:bookmarkStart w:id="1130" w:name="_Toc38442101"/>
      <w:bookmarkStart w:id="1131" w:name="_Toc38442433"/>
      <w:bookmarkStart w:id="1132" w:name="_Toc38442765"/>
      <w:bookmarkStart w:id="1133" w:name="_Toc38443096"/>
      <w:bookmarkStart w:id="1134" w:name="_Toc38443427"/>
      <w:bookmarkStart w:id="1135" w:name="_Toc38443758"/>
      <w:bookmarkStart w:id="1136" w:name="_Toc38433505"/>
      <w:bookmarkStart w:id="1137" w:name="_Toc38433640"/>
      <w:bookmarkStart w:id="1138" w:name="_Toc38433774"/>
      <w:bookmarkStart w:id="1139" w:name="_Toc38433924"/>
      <w:bookmarkStart w:id="1140" w:name="_Toc38434072"/>
      <w:bookmarkStart w:id="1141" w:name="_Toc38434220"/>
      <w:bookmarkStart w:id="1142" w:name="_Toc38434366"/>
      <w:bookmarkStart w:id="1143" w:name="_Toc38434509"/>
      <w:bookmarkStart w:id="1144" w:name="_Toc38434652"/>
      <w:bookmarkStart w:id="1145" w:name="_Toc38434795"/>
      <w:bookmarkStart w:id="1146" w:name="_Toc38434939"/>
      <w:bookmarkStart w:id="1147" w:name="_Toc38437635"/>
      <w:bookmarkStart w:id="1148" w:name="_Toc38437781"/>
      <w:bookmarkStart w:id="1149" w:name="_Toc38437927"/>
      <w:bookmarkStart w:id="1150" w:name="_Toc38438073"/>
      <w:bookmarkStart w:id="1151" w:name="_Toc38438219"/>
      <w:bookmarkStart w:id="1152" w:name="_Toc38438556"/>
      <w:bookmarkStart w:id="1153" w:name="_Toc38438893"/>
      <w:bookmarkStart w:id="1154" w:name="_Toc38439230"/>
      <w:bookmarkStart w:id="1155" w:name="_Toc38439567"/>
      <w:bookmarkStart w:id="1156" w:name="_Toc38439904"/>
      <w:bookmarkStart w:id="1157" w:name="_Toc38440241"/>
      <w:bookmarkStart w:id="1158" w:name="_Toc38440578"/>
      <w:bookmarkStart w:id="1159" w:name="_Toc38440777"/>
      <w:bookmarkStart w:id="1160" w:name="_Toc38441110"/>
      <w:bookmarkStart w:id="1161" w:name="_Toc38441442"/>
      <w:bookmarkStart w:id="1162" w:name="_Toc38441774"/>
      <w:bookmarkStart w:id="1163" w:name="_Toc38442102"/>
      <w:bookmarkStart w:id="1164" w:name="_Toc38442434"/>
      <w:bookmarkStart w:id="1165" w:name="_Toc38442766"/>
      <w:bookmarkStart w:id="1166" w:name="_Toc38443097"/>
      <w:bookmarkStart w:id="1167" w:name="_Toc38443428"/>
      <w:bookmarkStart w:id="1168" w:name="_Toc38443759"/>
      <w:bookmarkStart w:id="1169" w:name="_Toc38433506"/>
      <w:bookmarkStart w:id="1170" w:name="_Toc38433641"/>
      <w:bookmarkStart w:id="1171" w:name="_Toc38433775"/>
      <w:bookmarkStart w:id="1172" w:name="_Toc38433925"/>
      <w:bookmarkStart w:id="1173" w:name="_Toc38434073"/>
      <w:bookmarkStart w:id="1174" w:name="_Toc38434221"/>
      <w:bookmarkStart w:id="1175" w:name="_Toc38434367"/>
      <w:bookmarkStart w:id="1176" w:name="_Toc38434510"/>
      <w:bookmarkStart w:id="1177" w:name="_Toc38434653"/>
      <w:bookmarkStart w:id="1178" w:name="_Toc38434796"/>
      <w:bookmarkStart w:id="1179" w:name="_Toc38434940"/>
      <w:bookmarkStart w:id="1180" w:name="_Toc38437636"/>
      <w:bookmarkStart w:id="1181" w:name="_Toc38437782"/>
      <w:bookmarkStart w:id="1182" w:name="_Toc38437928"/>
      <w:bookmarkStart w:id="1183" w:name="_Toc38438074"/>
      <w:bookmarkStart w:id="1184" w:name="_Toc38438220"/>
      <w:bookmarkStart w:id="1185" w:name="_Toc38438557"/>
      <w:bookmarkStart w:id="1186" w:name="_Toc38438894"/>
      <w:bookmarkStart w:id="1187" w:name="_Toc38439231"/>
      <w:bookmarkStart w:id="1188" w:name="_Toc38439568"/>
      <w:bookmarkStart w:id="1189" w:name="_Toc38439905"/>
      <w:bookmarkStart w:id="1190" w:name="_Toc38440242"/>
      <w:bookmarkStart w:id="1191" w:name="_Toc38440579"/>
      <w:bookmarkStart w:id="1192" w:name="_Toc38440778"/>
      <w:bookmarkStart w:id="1193" w:name="_Toc38441111"/>
      <w:bookmarkStart w:id="1194" w:name="_Toc38441443"/>
      <w:bookmarkStart w:id="1195" w:name="_Toc38441775"/>
      <w:bookmarkStart w:id="1196" w:name="_Toc38442103"/>
      <w:bookmarkStart w:id="1197" w:name="_Toc38442435"/>
      <w:bookmarkStart w:id="1198" w:name="_Toc38442767"/>
      <w:bookmarkStart w:id="1199" w:name="_Toc38443098"/>
      <w:bookmarkStart w:id="1200" w:name="_Toc38443429"/>
      <w:bookmarkStart w:id="1201" w:name="_Toc38443760"/>
      <w:bookmarkStart w:id="1202" w:name="_Toc38433507"/>
      <w:bookmarkStart w:id="1203" w:name="_Toc38433642"/>
      <w:bookmarkStart w:id="1204" w:name="_Toc38433776"/>
      <w:bookmarkStart w:id="1205" w:name="_Toc38433926"/>
      <w:bookmarkStart w:id="1206" w:name="_Toc38434074"/>
      <w:bookmarkStart w:id="1207" w:name="_Toc38434222"/>
      <w:bookmarkStart w:id="1208" w:name="_Toc38434368"/>
      <w:bookmarkStart w:id="1209" w:name="_Toc38434511"/>
      <w:bookmarkStart w:id="1210" w:name="_Toc38434654"/>
      <w:bookmarkStart w:id="1211" w:name="_Toc38434797"/>
      <w:bookmarkStart w:id="1212" w:name="_Toc38434941"/>
      <w:bookmarkStart w:id="1213" w:name="_Toc38437637"/>
      <w:bookmarkStart w:id="1214" w:name="_Toc38437783"/>
      <w:bookmarkStart w:id="1215" w:name="_Toc38437929"/>
      <w:bookmarkStart w:id="1216" w:name="_Toc38438075"/>
      <w:bookmarkStart w:id="1217" w:name="_Toc38438221"/>
      <w:bookmarkStart w:id="1218" w:name="_Toc38438558"/>
      <w:bookmarkStart w:id="1219" w:name="_Toc38438895"/>
      <w:bookmarkStart w:id="1220" w:name="_Toc38439232"/>
      <w:bookmarkStart w:id="1221" w:name="_Toc38439569"/>
      <w:bookmarkStart w:id="1222" w:name="_Toc38439906"/>
      <w:bookmarkStart w:id="1223" w:name="_Toc38440243"/>
      <w:bookmarkStart w:id="1224" w:name="_Toc38440580"/>
      <w:bookmarkStart w:id="1225" w:name="_Toc38440779"/>
      <w:bookmarkStart w:id="1226" w:name="_Toc38441112"/>
      <w:bookmarkStart w:id="1227" w:name="_Toc38441444"/>
      <w:bookmarkStart w:id="1228" w:name="_Toc38441776"/>
      <w:bookmarkStart w:id="1229" w:name="_Toc38442104"/>
      <w:bookmarkStart w:id="1230" w:name="_Toc38442436"/>
      <w:bookmarkStart w:id="1231" w:name="_Toc38442768"/>
      <w:bookmarkStart w:id="1232" w:name="_Toc38443099"/>
      <w:bookmarkStart w:id="1233" w:name="_Toc38443430"/>
      <w:bookmarkStart w:id="1234" w:name="_Toc38443761"/>
      <w:bookmarkStart w:id="1235" w:name="_Toc38433508"/>
      <w:bookmarkStart w:id="1236" w:name="_Toc38433643"/>
      <w:bookmarkStart w:id="1237" w:name="_Toc38433777"/>
      <w:bookmarkStart w:id="1238" w:name="_Toc38433927"/>
      <w:bookmarkStart w:id="1239" w:name="_Toc38434075"/>
      <w:bookmarkStart w:id="1240" w:name="_Toc38434223"/>
      <w:bookmarkStart w:id="1241" w:name="_Toc38434369"/>
      <w:bookmarkStart w:id="1242" w:name="_Toc38434512"/>
      <w:bookmarkStart w:id="1243" w:name="_Toc38434655"/>
      <w:bookmarkStart w:id="1244" w:name="_Toc38434798"/>
      <w:bookmarkStart w:id="1245" w:name="_Toc38434942"/>
      <w:bookmarkStart w:id="1246" w:name="_Toc38437638"/>
      <w:bookmarkStart w:id="1247" w:name="_Toc38437784"/>
      <w:bookmarkStart w:id="1248" w:name="_Toc38437930"/>
      <w:bookmarkStart w:id="1249" w:name="_Toc38438076"/>
      <w:bookmarkStart w:id="1250" w:name="_Toc38438222"/>
      <w:bookmarkStart w:id="1251" w:name="_Toc38438559"/>
      <w:bookmarkStart w:id="1252" w:name="_Toc38438896"/>
      <w:bookmarkStart w:id="1253" w:name="_Toc38439233"/>
      <w:bookmarkStart w:id="1254" w:name="_Toc38439570"/>
      <w:bookmarkStart w:id="1255" w:name="_Toc38439907"/>
      <w:bookmarkStart w:id="1256" w:name="_Toc38440244"/>
      <w:bookmarkStart w:id="1257" w:name="_Toc38440581"/>
      <w:bookmarkStart w:id="1258" w:name="_Toc38440780"/>
      <w:bookmarkStart w:id="1259" w:name="_Toc38441113"/>
      <w:bookmarkStart w:id="1260" w:name="_Toc38441445"/>
      <w:bookmarkStart w:id="1261" w:name="_Toc38441777"/>
      <w:bookmarkStart w:id="1262" w:name="_Toc38442105"/>
      <w:bookmarkStart w:id="1263" w:name="_Toc38442437"/>
      <w:bookmarkStart w:id="1264" w:name="_Toc38442769"/>
      <w:bookmarkStart w:id="1265" w:name="_Toc38443100"/>
      <w:bookmarkStart w:id="1266" w:name="_Toc38443431"/>
      <w:bookmarkStart w:id="1267" w:name="_Toc38443762"/>
      <w:bookmarkStart w:id="1268" w:name="_Toc38433510"/>
      <w:bookmarkStart w:id="1269" w:name="_Toc38433645"/>
      <w:bookmarkStart w:id="1270" w:name="_Toc38433779"/>
      <w:bookmarkStart w:id="1271" w:name="_Toc38433929"/>
      <w:bookmarkStart w:id="1272" w:name="_Toc38434077"/>
      <w:bookmarkStart w:id="1273" w:name="_Toc38434225"/>
      <w:bookmarkStart w:id="1274" w:name="_Toc38434371"/>
      <w:bookmarkStart w:id="1275" w:name="_Toc38434514"/>
      <w:bookmarkStart w:id="1276" w:name="_Toc38434657"/>
      <w:bookmarkStart w:id="1277" w:name="_Toc38434800"/>
      <w:bookmarkStart w:id="1278" w:name="_Toc38434944"/>
      <w:bookmarkStart w:id="1279" w:name="_Toc38437640"/>
      <w:bookmarkStart w:id="1280" w:name="_Toc38437786"/>
      <w:bookmarkStart w:id="1281" w:name="_Toc38437932"/>
      <w:bookmarkStart w:id="1282" w:name="_Toc38438078"/>
      <w:bookmarkStart w:id="1283" w:name="_Toc38438224"/>
      <w:bookmarkStart w:id="1284" w:name="_Toc38438561"/>
      <w:bookmarkStart w:id="1285" w:name="_Toc38438898"/>
      <w:bookmarkStart w:id="1286" w:name="_Toc38439235"/>
      <w:bookmarkStart w:id="1287" w:name="_Toc38439572"/>
      <w:bookmarkStart w:id="1288" w:name="_Toc38439909"/>
      <w:bookmarkStart w:id="1289" w:name="_Toc38440246"/>
      <w:bookmarkStart w:id="1290" w:name="_Toc38440583"/>
      <w:bookmarkStart w:id="1291" w:name="_Toc38440782"/>
      <w:bookmarkStart w:id="1292" w:name="_Toc38441115"/>
      <w:bookmarkStart w:id="1293" w:name="_Toc38441447"/>
      <w:bookmarkStart w:id="1294" w:name="_Toc38441779"/>
      <w:bookmarkStart w:id="1295" w:name="_Toc38442107"/>
      <w:bookmarkStart w:id="1296" w:name="_Toc38442439"/>
      <w:bookmarkStart w:id="1297" w:name="_Toc38442771"/>
      <w:bookmarkStart w:id="1298" w:name="_Toc38443102"/>
      <w:bookmarkStart w:id="1299" w:name="_Toc38443433"/>
      <w:bookmarkStart w:id="1300" w:name="_Toc38443764"/>
      <w:bookmarkStart w:id="1301" w:name="_Toc13148353"/>
      <w:bookmarkStart w:id="1302" w:name="_Toc13150581"/>
      <w:bookmarkStart w:id="1303" w:name="_Toc13291966"/>
      <w:bookmarkStart w:id="1304" w:name="_Toc13504692"/>
      <w:bookmarkStart w:id="1305" w:name="_Toc13504808"/>
      <w:bookmarkStart w:id="1306" w:name="_Toc13556301"/>
      <w:bookmarkStart w:id="1307" w:name="_Toc14337423"/>
      <w:bookmarkStart w:id="1308" w:name="_Toc13148354"/>
      <w:bookmarkStart w:id="1309" w:name="_Toc13150582"/>
      <w:bookmarkStart w:id="1310" w:name="_Toc13291967"/>
      <w:bookmarkStart w:id="1311" w:name="_Toc13504693"/>
      <w:bookmarkStart w:id="1312" w:name="_Toc13504809"/>
      <w:bookmarkStart w:id="1313" w:name="_Toc13556302"/>
      <w:bookmarkStart w:id="1314" w:name="_Toc14337424"/>
      <w:bookmarkStart w:id="1315" w:name="_Toc13148355"/>
      <w:bookmarkStart w:id="1316" w:name="_Toc13150583"/>
      <w:bookmarkStart w:id="1317" w:name="_Toc13291968"/>
      <w:bookmarkStart w:id="1318" w:name="_Toc13504694"/>
      <w:bookmarkStart w:id="1319" w:name="_Toc13504810"/>
      <w:bookmarkStart w:id="1320" w:name="_Toc13556303"/>
      <w:bookmarkStart w:id="1321" w:name="_Toc14337425"/>
      <w:bookmarkStart w:id="1322" w:name="_Toc13148356"/>
      <w:bookmarkStart w:id="1323" w:name="_Toc13150584"/>
      <w:bookmarkStart w:id="1324" w:name="_Toc13291969"/>
      <w:bookmarkStart w:id="1325" w:name="_Toc13504695"/>
      <w:bookmarkStart w:id="1326" w:name="_Toc13504811"/>
      <w:bookmarkStart w:id="1327" w:name="_Toc13556304"/>
      <w:bookmarkStart w:id="1328" w:name="_Toc14337426"/>
      <w:bookmarkStart w:id="1329" w:name="_Toc13148357"/>
      <w:bookmarkStart w:id="1330" w:name="_Toc13150585"/>
      <w:bookmarkStart w:id="1331" w:name="_Toc13291970"/>
      <w:bookmarkStart w:id="1332" w:name="_Toc13504696"/>
      <w:bookmarkStart w:id="1333" w:name="_Toc13504812"/>
      <w:bookmarkStart w:id="1334" w:name="_Toc13556305"/>
      <w:bookmarkStart w:id="1335" w:name="_Toc14337427"/>
      <w:bookmarkStart w:id="1336" w:name="_Toc13148358"/>
      <w:bookmarkStart w:id="1337" w:name="_Toc13150586"/>
      <w:bookmarkStart w:id="1338" w:name="_Toc13291971"/>
      <w:bookmarkStart w:id="1339" w:name="_Toc13504697"/>
      <w:bookmarkStart w:id="1340" w:name="_Toc13504813"/>
      <w:bookmarkStart w:id="1341" w:name="_Toc13556306"/>
      <w:bookmarkStart w:id="1342" w:name="_Toc14337428"/>
      <w:bookmarkStart w:id="1343" w:name="_Toc13148359"/>
      <w:bookmarkStart w:id="1344" w:name="_Toc13150587"/>
      <w:bookmarkStart w:id="1345" w:name="_Toc13291972"/>
      <w:bookmarkStart w:id="1346" w:name="_Toc13504698"/>
      <w:bookmarkStart w:id="1347" w:name="_Toc13504814"/>
      <w:bookmarkStart w:id="1348" w:name="_Toc13556307"/>
      <w:bookmarkStart w:id="1349" w:name="_Toc14337429"/>
      <w:bookmarkStart w:id="1350" w:name="_Toc13148360"/>
      <w:bookmarkStart w:id="1351" w:name="_Toc13150588"/>
      <w:bookmarkStart w:id="1352" w:name="_Toc13291973"/>
      <w:bookmarkStart w:id="1353" w:name="_Toc13504699"/>
      <w:bookmarkStart w:id="1354" w:name="_Toc13504815"/>
      <w:bookmarkStart w:id="1355" w:name="_Toc13556308"/>
      <w:bookmarkStart w:id="1356" w:name="_Toc14337430"/>
      <w:bookmarkStart w:id="1357" w:name="_Toc13148361"/>
      <w:bookmarkStart w:id="1358" w:name="_Toc13150589"/>
      <w:bookmarkStart w:id="1359" w:name="_Toc13291974"/>
      <w:bookmarkStart w:id="1360" w:name="_Toc13504700"/>
      <w:bookmarkStart w:id="1361" w:name="_Toc13504816"/>
      <w:bookmarkStart w:id="1362" w:name="_Toc13556309"/>
      <w:bookmarkStart w:id="1363" w:name="_Toc14337431"/>
      <w:bookmarkStart w:id="1364" w:name="_Toc13148362"/>
      <w:bookmarkStart w:id="1365" w:name="_Toc13150590"/>
      <w:bookmarkStart w:id="1366" w:name="_Toc13291975"/>
      <w:bookmarkStart w:id="1367" w:name="_Toc13504701"/>
      <w:bookmarkStart w:id="1368" w:name="_Toc13504817"/>
      <w:bookmarkStart w:id="1369" w:name="_Toc13556310"/>
      <w:bookmarkStart w:id="1370" w:name="_Toc14337432"/>
      <w:bookmarkStart w:id="1371" w:name="_Toc13148369"/>
      <w:bookmarkStart w:id="1372" w:name="_Toc13150597"/>
      <w:bookmarkStart w:id="1373" w:name="_Toc13291982"/>
      <w:bookmarkStart w:id="1374" w:name="_Toc13504708"/>
      <w:bookmarkStart w:id="1375" w:name="_Toc13504824"/>
      <w:bookmarkStart w:id="1376" w:name="_Toc13556317"/>
      <w:bookmarkStart w:id="1377" w:name="_Toc14337439"/>
      <w:bookmarkStart w:id="1378" w:name="_Toc13148370"/>
      <w:bookmarkStart w:id="1379" w:name="_Toc13150598"/>
      <w:bookmarkStart w:id="1380" w:name="_Toc13291983"/>
      <w:bookmarkStart w:id="1381" w:name="_Toc13504709"/>
      <w:bookmarkStart w:id="1382" w:name="_Toc13504825"/>
      <w:bookmarkStart w:id="1383" w:name="_Toc13556318"/>
      <w:bookmarkStart w:id="1384" w:name="_Toc14337440"/>
      <w:bookmarkStart w:id="1385" w:name="_Toc13148371"/>
      <w:bookmarkStart w:id="1386" w:name="_Toc13150599"/>
      <w:bookmarkStart w:id="1387" w:name="_Toc13291984"/>
      <w:bookmarkStart w:id="1388" w:name="_Toc13504710"/>
      <w:bookmarkStart w:id="1389" w:name="_Toc13504826"/>
      <w:bookmarkStart w:id="1390" w:name="_Toc13556319"/>
      <w:bookmarkStart w:id="1391" w:name="_Toc14337441"/>
      <w:bookmarkStart w:id="1392" w:name="_Toc13148372"/>
      <w:bookmarkStart w:id="1393" w:name="_Toc13150600"/>
      <w:bookmarkStart w:id="1394" w:name="_Toc13291985"/>
      <w:bookmarkStart w:id="1395" w:name="_Toc13504711"/>
      <w:bookmarkStart w:id="1396" w:name="_Toc13504827"/>
      <w:bookmarkStart w:id="1397" w:name="_Toc13556320"/>
      <w:bookmarkStart w:id="1398" w:name="_Toc14337442"/>
      <w:bookmarkStart w:id="1399" w:name="_Toc13148373"/>
      <w:bookmarkStart w:id="1400" w:name="_Toc13150601"/>
      <w:bookmarkStart w:id="1401" w:name="_Toc13291986"/>
      <w:bookmarkStart w:id="1402" w:name="_Toc13504712"/>
      <w:bookmarkStart w:id="1403" w:name="_Toc13504828"/>
      <w:bookmarkStart w:id="1404" w:name="_Toc13556321"/>
      <w:bookmarkStart w:id="1405" w:name="_Toc14337443"/>
      <w:bookmarkStart w:id="1406" w:name="_Toc13148374"/>
      <w:bookmarkStart w:id="1407" w:name="_Toc13150602"/>
      <w:bookmarkStart w:id="1408" w:name="_Toc13291987"/>
      <w:bookmarkStart w:id="1409" w:name="_Toc13504713"/>
      <w:bookmarkStart w:id="1410" w:name="_Toc13504829"/>
      <w:bookmarkStart w:id="1411" w:name="_Toc13556322"/>
      <w:bookmarkStart w:id="1412" w:name="_Toc14337444"/>
      <w:bookmarkStart w:id="1413" w:name="_Toc13148376"/>
      <w:bookmarkStart w:id="1414" w:name="_Toc13150604"/>
      <w:bookmarkStart w:id="1415" w:name="_Toc13291989"/>
      <w:bookmarkStart w:id="1416" w:name="_Toc13504715"/>
      <w:bookmarkStart w:id="1417" w:name="_Toc13504831"/>
      <w:bookmarkStart w:id="1418" w:name="_Toc13556324"/>
      <w:bookmarkStart w:id="1419" w:name="_Toc14337446"/>
      <w:bookmarkStart w:id="1420" w:name="_Toc13148377"/>
      <w:bookmarkStart w:id="1421" w:name="_Toc13150605"/>
      <w:bookmarkStart w:id="1422" w:name="_Toc13291990"/>
      <w:bookmarkStart w:id="1423" w:name="_Toc13504716"/>
      <w:bookmarkStart w:id="1424" w:name="_Toc13504832"/>
      <w:bookmarkStart w:id="1425" w:name="_Toc13556325"/>
      <w:bookmarkStart w:id="1426" w:name="_Toc14337447"/>
      <w:bookmarkStart w:id="1427" w:name="_Toc13148379"/>
      <w:bookmarkStart w:id="1428" w:name="_Toc13150607"/>
      <w:bookmarkStart w:id="1429" w:name="_Toc13291992"/>
      <w:bookmarkStart w:id="1430" w:name="_Toc13504718"/>
      <w:bookmarkStart w:id="1431" w:name="_Toc13504834"/>
      <w:bookmarkStart w:id="1432" w:name="_Toc13556327"/>
      <w:bookmarkStart w:id="1433" w:name="_Toc14337449"/>
      <w:bookmarkStart w:id="1434" w:name="_Toc13148381"/>
      <w:bookmarkStart w:id="1435" w:name="_Toc13150609"/>
      <w:bookmarkStart w:id="1436" w:name="_Toc13291994"/>
      <w:bookmarkStart w:id="1437" w:name="_Toc13504720"/>
      <w:bookmarkStart w:id="1438" w:name="_Toc13504836"/>
      <w:bookmarkStart w:id="1439" w:name="_Toc13556329"/>
      <w:bookmarkStart w:id="1440" w:name="_Toc14337451"/>
      <w:bookmarkStart w:id="1441" w:name="_Toc13148384"/>
      <w:bookmarkStart w:id="1442" w:name="_Toc13150612"/>
      <w:bookmarkStart w:id="1443" w:name="_Toc13291997"/>
      <w:bookmarkStart w:id="1444" w:name="_Toc13504723"/>
      <w:bookmarkStart w:id="1445" w:name="_Toc13504839"/>
      <w:bookmarkStart w:id="1446" w:name="_Toc13556332"/>
      <w:bookmarkStart w:id="1447" w:name="_Toc14337454"/>
      <w:bookmarkStart w:id="1448" w:name="_Toc13148385"/>
      <w:bookmarkStart w:id="1449" w:name="_Toc13150613"/>
      <w:bookmarkStart w:id="1450" w:name="_Toc13291998"/>
      <w:bookmarkStart w:id="1451" w:name="_Toc13504724"/>
      <w:bookmarkStart w:id="1452" w:name="_Toc13504840"/>
      <w:bookmarkStart w:id="1453" w:name="_Toc13556333"/>
      <w:bookmarkStart w:id="1454" w:name="_Toc14337455"/>
      <w:bookmarkStart w:id="1455" w:name="_Toc13148390"/>
      <w:bookmarkStart w:id="1456" w:name="_Toc13150618"/>
      <w:bookmarkStart w:id="1457" w:name="_Toc13292003"/>
      <w:bookmarkStart w:id="1458" w:name="_Toc13504729"/>
      <w:bookmarkStart w:id="1459" w:name="_Toc13504845"/>
      <w:bookmarkStart w:id="1460" w:name="_Toc13556338"/>
      <w:bookmarkStart w:id="1461" w:name="_Toc14337460"/>
      <w:bookmarkStart w:id="1462" w:name="_Toc13148391"/>
      <w:bookmarkStart w:id="1463" w:name="_Toc13150619"/>
      <w:bookmarkStart w:id="1464" w:name="_Toc13292004"/>
      <w:bookmarkStart w:id="1465" w:name="_Toc13504730"/>
      <w:bookmarkStart w:id="1466" w:name="_Toc13504846"/>
      <w:bookmarkStart w:id="1467" w:name="_Toc13556339"/>
      <w:bookmarkStart w:id="1468" w:name="_Toc14337461"/>
      <w:bookmarkStart w:id="1469" w:name="_Toc13148392"/>
      <w:bookmarkStart w:id="1470" w:name="_Toc13150620"/>
      <w:bookmarkStart w:id="1471" w:name="_Toc13292005"/>
      <w:bookmarkStart w:id="1472" w:name="_Toc13504731"/>
      <w:bookmarkStart w:id="1473" w:name="_Toc13504847"/>
      <w:bookmarkStart w:id="1474" w:name="_Toc13556340"/>
      <w:bookmarkStart w:id="1475" w:name="_Toc14337462"/>
      <w:bookmarkStart w:id="1476" w:name="_Toc13148393"/>
      <w:bookmarkStart w:id="1477" w:name="_Toc13150621"/>
      <w:bookmarkStart w:id="1478" w:name="_Toc13292006"/>
      <w:bookmarkStart w:id="1479" w:name="_Toc13504732"/>
      <w:bookmarkStart w:id="1480" w:name="_Toc13504848"/>
      <w:bookmarkStart w:id="1481" w:name="_Toc13556341"/>
      <w:bookmarkStart w:id="1482" w:name="_Toc14337463"/>
      <w:bookmarkStart w:id="1483" w:name="_Toc13148394"/>
      <w:bookmarkStart w:id="1484" w:name="_Toc13150622"/>
      <w:bookmarkStart w:id="1485" w:name="_Toc13292007"/>
      <w:bookmarkStart w:id="1486" w:name="_Toc13504733"/>
      <w:bookmarkStart w:id="1487" w:name="_Toc13504849"/>
      <w:bookmarkStart w:id="1488" w:name="_Toc13556342"/>
      <w:bookmarkStart w:id="1489" w:name="_Toc14337464"/>
      <w:bookmarkStart w:id="1490" w:name="_Toc13148395"/>
      <w:bookmarkStart w:id="1491" w:name="_Toc13150623"/>
      <w:bookmarkStart w:id="1492" w:name="_Toc13292008"/>
      <w:bookmarkStart w:id="1493" w:name="_Toc13504734"/>
      <w:bookmarkStart w:id="1494" w:name="_Toc13504850"/>
      <w:bookmarkStart w:id="1495" w:name="_Toc13556343"/>
      <w:bookmarkStart w:id="1496" w:name="_Toc14337465"/>
      <w:bookmarkStart w:id="1497" w:name="_Toc13148396"/>
      <w:bookmarkStart w:id="1498" w:name="_Toc13150624"/>
      <w:bookmarkStart w:id="1499" w:name="_Toc13292009"/>
      <w:bookmarkStart w:id="1500" w:name="_Toc13504735"/>
      <w:bookmarkStart w:id="1501" w:name="_Toc13504851"/>
      <w:bookmarkStart w:id="1502" w:name="_Toc13556344"/>
      <w:bookmarkStart w:id="1503" w:name="_Toc14337466"/>
      <w:bookmarkStart w:id="1504" w:name="_Toc13148397"/>
      <w:bookmarkStart w:id="1505" w:name="_Toc13150625"/>
      <w:bookmarkStart w:id="1506" w:name="_Toc13292010"/>
      <w:bookmarkStart w:id="1507" w:name="_Toc13504736"/>
      <w:bookmarkStart w:id="1508" w:name="_Toc13504852"/>
      <w:bookmarkStart w:id="1509" w:name="_Toc13556345"/>
      <w:bookmarkStart w:id="1510" w:name="_Toc14337467"/>
      <w:bookmarkStart w:id="1511" w:name="_Toc13148398"/>
      <w:bookmarkStart w:id="1512" w:name="_Toc13150626"/>
      <w:bookmarkStart w:id="1513" w:name="_Toc13292011"/>
      <w:bookmarkStart w:id="1514" w:name="_Toc13504737"/>
      <w:bookmarkStart w:id="1515" w:name="_Toc13504853"/>
      <w:bookmarkStart w:id="1516" w:name="_Toc13556346"/>
      <w:bookmarkStart w:id="1517" w:name="_Toc14337468"/>
      <w:bookmarkStart w:id="1518" w:name="_Toc13148399"/>
      <w:bookmarkStart w:id="1519" w:name="_Toc13150627"/>
      <w:bookmarkStart w:id="1520" w:name="_Toc13292012"/>
      <w:bookmarkStart w:id="1521" w:name="_Toc13504738"/>
      <w:bookmarkStart w:id="1522" w:name="_Toc13504854"/>
      <w:bookmarkStart w:id="1523" w:name="_Toc13556347"/>
      <w:bookmarkStart w:id="1524" w:name="_Toc14337469"/>
      <w:bookmarkStart w:id="1525" w:name="_Toc13148400"/>
      <w:bookmarkStart w:id="1526" w:name="_Toc13150628"/>
      <w:bookmarkStart w:id="1527" w:name="_Toc13292013"/>
      <w:bookmarkStart w:id="1528" w:name="_Toc13504739"/>
      <w:bookmarkStart w:id="1529" w:name="_Toc13504855"/>
      <w:bookmarkStart w:id="1530" w:name="_Toc13556348"/>
      <w:bookmarkStart w:id="1531" w:name="_Toc14337470"/>
      <w:bookmarkStart w:id="1532" w:name="_Toc13148401"/>
      <w:bookmarkStart w:id="1533" w:name="_Toc13150629"/>
      <w:bookmarkStart w:id="1534" w:name="_Toc13292014"/>
      <w:bookmarkStart w:id="1535" w:name="_Toc13504740"/>
      <w:bookmarkStart w:id="1536" w:name="_Toc13504856"/>
      <w:bookmarkStart w:id="1537" w:name="_Toc13556349"/>
      <w:bookmarkStart w:id="1538" w:name="_Toc14337471"/>
      <w:bookmarkStart w:id="1539" w:name="_Toc13148402"/>
      <w:bookmarkStart w:id="1540" w:name="_Toc13150630"/>
      <w:bookmarkStart w:id="1541" w:name="_Toc13292015"/>
      <w:bookmarkStart w:id="1542" w:name="_Toc13504741"/>
      <w:bookmarkStart w:id="1543" w:name="_Toc13504857"/>
      <w:bookmarkStart w:id="1544" w:name="_Toc13556350"/>
      <w:bookmarkStart w:id="1545" w:name="_Toc14337472"/>
      <w:bookmarkStart w:id="1546" w:name="_Toc13148408"/>
      <w:bookmarkStart w:id="1547" w:name="_Toc13150636"/>
      <w:bookmarkStart w:id="1548" w:name="_Toc13292021"/>
      <w:bookmarkStart w:id="1549" w:name="_Toc13504747"/>
      <w:bookmarkStart w:id="1550" w:name="_Toc13504863"/>
      <w:bookmarkStart w:id="1551" w:name="_Toc13556356"/>
      <w:bookmarkStart w:id="1552" w:name="_Toc14337478"/>
      <w:bookmarkStart w:id="1553" w:name="_Toc13148409"/>
      <w:bookmarkStart w:id="1554" w:name="_Toc13150637"/>
      <w:bookmarkStart w:id="1555" w:name="_Toc13292022"/>
      <w:bookmarkStart w:id="1556" w:name="_Toc13504748"/>
      <w:bookmarkStart w:id="1557" w:name="_Toc13504864"/>
      <w:bookmarkStart w:id="1558" w:name="_Toc13556357"/>
      <w:bookmarkStart w:id="1559" w:name="_Toc14337479"/>
      <w:bookmarkStart w:id="1560" w:name="_Toc13148411"/>
      <w:bookmarkStart w:id="1561" w:name="_Toc13150639"/>
      <w:bookmarkStart w:id="1562" w:name="_Toc13292024"/>
      <w:bookmarkStart w:id="1563" w:name="_Toc13504750"/>
      <w:bookmarkStart w:id="1564" w:name="_Toc13504866"/>
      <w:bookmarkStart w:id="1565" w:name="_Toc13556359"/>
      <w:bookmarkStart w:id="1566" w:name="_Toc14337481"/>
      <w:bookmarkStart w:id="1567" w:name="_Toc13148412"/>
      <w:bookmarkStart w:id="1568" w:name="_Toc13150640"/>
      <w:bookmarkStart w:id="1569" w:name="_Toc13292025"/>
      <w:bookmarkStart w:id="1570" w:name="_Toc13504751"/>
      <w:bookmarkStart w:id="1571" w:name="_Toc13504867"/>
      <w:bookmarkStart w:id="1572" w:name="_Toc13556360"/>
      <w:bookmarkStart w:id="1573" w:name="_Toc14337482"/>
      <w:bookmarkStart w:id="1574" w:name="_Toc13148413"/>
      <w:bookmarkStart w:id="1575" w:name="_Toc13150641"/>
      <w:bookmarkStart w:id="1576" w:name="_Toc13292026"/>
      <w:bookmarkStart w:id="1577" w:name="_Toc13504752"/>
      <w:bookmarkStart w:id="1578" w:name="_Toc13504868"/>
      <w:bookmarkStart w:id="1579" w:name="_Toc13556361"/>
      <w:bookmarkStart w:id="1580" w:name="_Toc14337483"/>
      <w:bookmarkStart w:id="1581" w:name="_Toc238870143"/>
      <w:bookmarkStart w:id="1582" w:name="_Toc91752121"/>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sidRPr="00621B7F">
        <w:rPr>
          <w:rFonts w:asciiTheme="minorEastAsia" w:eastAsiaTheme="minorEastAsia" w:hAnsiTheme="minorEastAsia" w:hint="eastAsia"/>
          <w:b w:val="0"/>
          <w:bCs/>
          <w:color w:val="000000" w:themeColor="text1"/>
        </w:rPr>
        <w:t>（</w:t>
      </w:r>
      <w:r w:rsidRPr="00621B7F" w:rsidR="00A76EE2">
        <w:rPr>
          <w:rFonts w:asciiTheme="minorEastAsia" w:eastAsiaTheme="minorEastAsia" w:hAnsiTheme="minorEastAsia" w:hint="eastAsia"/>
          <w:b w:val="0"/>
          <w:bCs/>
          <w:color w:val="000000" w:themeColor="text1"/>
        </w:rPr>
        <w:t>七</w:t>
      </w:r>
      <w:r w:rsidRPr="00621B7F">
        <w:rPr>
          <w:rFonts w:asciiTheme="minorEastAsia" w:eastAsiaTheme="minorEastAsia" w:hAnsiTheme="minorEastAsia" w:hint="eastAsia"/>
          <w:b w:val="0"/>
          <w:bCs/>
          <w:color w:val="000000" w:themeColor="text1"/>
        </w:rPr>
        <w:t>）争议的处理</w:t>
      </w:r>
      <w:bookmarkStart w:id="1583" w:name="_Toc38438236"/>
      <w:bookmarkStart w:id="1584" w:name="_Toc38438573"/>
      <w:bookmarkStart w:id="1585" w:name="_Toc38438910"/>
      <w:bookmarkStart w:id="1586" w:name="_Toc38439247"/>
      <w:bookmarkStart w:id="1587" w:name="_Toc38439584"/>
      <w:bookmarkStart w:id="1588" w:name="_Toc38439921"/>
      <w:bookmarkStart w:id="1589" w:name="_Toc38440258"/>
      <w:bookmarkStart w:id="1590" w:name="_Toc38440595"/>
      <w:bookmarkStart w:id="1591" w:name="_Toc38440794"/>
      <w:bookmarkStart w:id="1592" w:name="_Toc38441127"/>
      <w:bookmarkStart w:id="1593" w:name="_Toc38441459"/>
      <w:bookmarkStart w:id="1594" w:name="_Toc38441791"/>
      <w:bookmarkStart w:id="1595" w:name="_Toc38442119"/>
      <w:bookmarkStart w:id="1596" w:name="_Toc38442451"/>
      <w:bookmarkStart w:id="1597" w:name="_Toc38442783"/>
      <w:bookmarkStart w:id="1598" w:name="_Toc38443114"/>
      <w:bookmarkStart w:id="1599" w:name="_Toc38443445"/>
      <w:bookmarkStart w:id="1600" w:name="_Toc38443776"/>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621B7F" w:rsidR="0072549D">
        <w:rPr>
          <w:rFonts w:asciiTheme="minorEastAsia" w:eastAsiaTheme="minorEastAsia" w:hAnsiTheme="minorEastAsia" w:hint="eastAsia"/>
          <w:b w:val="0"/>
          <w:bCs/>
          <w:color w:val="000000" w:themeColor="text1"/>
        </w:rPr>
        <w:t>和适用的法律</w:t>
      </w:r>
      <w:bookmarkEnd w:id="1581"/>
      <w:bookmarkEnd w:id="1582"/>
    </w:p>
    <w:p w:rsidR="00840FF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840FF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《基金合同》受中国法律管辖。</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601" w:name="_Toc110945633"/>
      <w:bookmarkStart w:id="1602" w:name="_Toc136870035"/>
      <w:bookmarkStart w:id="1603" w:name="_Toc238870144"/>
      <w:bookmarkStart w:id="1604" w:name="_Toc91752122"/>
      <w:r w:rsidRPr="00621B7F">
        <w:rPr>
          <w:rFonts w:asciiTheme="minorEastAsia" w:eastAsiaTheme="minorEastAsia" w:hAnsiTheme="minorEastAsia" w:hint="eastAsia"/>
          <w:b w:val="0"/>
          <w:bCs/>
          <w:color w:val="000000" w:themeColor="text1"/>
        </w:rPr>
        <w:t>（</w:t>
      </w:r>
      <w:r w:rsidRPr="00621B7F" w:rsidR="00EE13B2">
        <w:rPr>
          <w:rFonts w:asciiTheme="minorEastAsia" w:eastAsiaTheme="minorEastAsia" w:hAnsiTheme="minorEastAsia" w:hint="eastAsia"/>
          <w:b w:val="0"/>
          <w:bCs/>
          <w:color w:val="000000" w:themeColor="text1"/>
        </w:rPr>
        <w:t>八</w:t>
      </w:r>
      <w:r w:rsidRPr="00621B7F">
        <w:rPr>
          <w:rFonts w:asciiTheme="minorEastAsia" w:eastAsiaTheme="minorEastAsia" w:hAnsiTheme="minorEastAsia" w:hint="eastAsia"/>
          <w:b w:val="0"/>
          <w:bCs/>
          <w:color w:val="000000" w:themeColor="text1"/>
        </w:rPr>
        <w:t>）基金合同的存放及查阅方式</w:t>
      </w:r>
      <w:bookmarkEnd w:id="1601"/>
      <w:bookmarkEnd w:id="1602"/>
      <w:bookmarkEnd w:id="1603"/>
      <w:bookmarkEnd w:id="1604"/>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《基金合同》</w:t>
      </w:r>
      <w:r w:rsidRPr="00621B7F">
        <w:rPr>
          <w:rFonts w:asciiTheme="minorEastAsia" w:eastAsiaTheme="minorEastAsia" w:hAnsiTheme="minorEastAsia"/>
          <w:color w:val="000000" w:themeColor="text1"/>
          <w:szCs w:val="21"/>
        </w:rPr>
        <w:t>可印制成册</w:t>
      </w:r>
      <w:r w:rsidRPr="00621B7F">
        <w:rPr>
          <w:rFonts w:asciiTheme="minorEastAsia" w:eastAsiaTheme="minorEastAsia" w:hAnsiTheme="minorEastAsia" w:hint="eastAsia"/>
          <w:color w:val="000000" w:themeColor="text1"/>
          <w:szCs w:val="21"/>
        </w:rPr>
        <w:t>，供投资者在基金管理人、基金托管人、代销机构的办公场所和营业场所查阅；投资者也可按工本费购买《基金合同》复制件或复印件，但内容应以《基金合同》正本为准。</w:t>
      </w:r>
    </w:p>
    <w:p w:rsidR="006C70E9" w:rsidRPr="00621B7F" w:rsidP="00A32B85">
      <w:pPr>
        <w:pStyle w:val="Heading1"/>
        <w:snapToGrid w:val="0"/>
        <w:spacing w:beforeLines="0" w:afterLines="0" w:line="360" w:lineRule="auto"/>
        <w:ind w:firstLine="0" w:firstLineChars="0"/>
        <w:rPr>
          <w:rFonts w:asciiTheme="minorEastAsia" w:eastAsiaTheme="minorEastAsia" w:hAnsiTheme="minorEastAsia"/>
          <w:b/>
          <w:bCs/>
          <w:color w:val="000000" w:themeColor="text1"/>
        </w:rPr>
        <w:sectPr w:rsidSect="006B7524">
          <w:pgSz w:w="11907" w:h="16840" w:code="9"/>
          <w:pgMar w:top="1440" w:right="1800" w:bottom="1440" w:left="1800" w:header="1134" w:footer="1247" w:gutter="0"/>
          <w:cols w:space="425"/>
          <w:docGrid w:type="lines" w:linePitch="312"/>
        </w:sectPr>
      </w:pPr>
      <w:bookmarkStart w:id="1605" w:name="_Toc238870145"/>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1606" w:name="_Toc91752123"/>
      <w:r w:rsidRPr="00621B7F">
        <w:rPr>
          <w:rFonts w:asciiTheme="minorEastAsia" w:eastAsiaTheme="minorEastAsia" w:hAnsiTheme="minorEastAsia" w:hint="eastAsia"/>
          <w:bCs/>
          <w:color w:val="000000" w:themeColor="text1"/>
        </w:rPr>
        <w:t>二十</w:t>
      </w:r>
      <w:r w:rsidRPr="00621B7F" w:rsidR="00154249">
        <w:rPr>
          <w:rFonts w:asciiTheme="minorEastAsia" w:eastAsiaTheme="minorEastAsia" w:hAnsiTheme="minorEastAsia" w:hint="eastAsia"/>
          <w:bCs/>
          <w:color w:val="000000" w:themeColor="text1"/>
        </w:rPr>
        <w:t>二</w:t>
      </w:r>
      <w:r w:rsidRPr="00621B7F">
        <w:rPr>
          <w:rFonts w:asciiTheme="minorEastAsia" w:eastAsiaTheme="minorEastAsia" w:hAnsiTheme="minorEastAsia" w:hint="eastAsia"/>
          <w:bCs/>
          <w:color w:val="000000" w:themeColor="text1"/>
        </w:rPr>
        <w:t>、基金托管协议的内容摘要</w:t>
      </w:r>
      <w:bookmarkEnd w:id="1605"/>
      <w:bookmarkEnd w:id="1606"/>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color w:val="000000" w:themeColor="text1"/>
          <w:sz w:val="24"/>
        </w:rPr>
      </w:pPr>
      <w:bookmarkStart w:id="1607" w:name="_Toc40511576"/>
      <w:bookmarkStart w:id="1608" w:name="_Toc238870146"/>
      <w:bookmarkStart w:id="1609" w:name="_Toc91752124"/>
      <w:r w:rsidRPr="00621B7F">
        <w:rPr>
          <w:rFonts w:asciiTheme="minorEastAsia" w:eastAsiaTheme="minorEastAsia" w:hAnsiTheme="minorEastAsia" w:hint="eastAsia"/>
          <w:b w:val="0"/>
          <w:bCs/>
          <w:color w:val="000000" w:themeColor="text1"/>
        </w:rPr>
        <w:t>（一）托管协议当事人</w:t>
      </w:r>
      <w:bookmarkEnd w:id="1607"/>
      <w:bookmarkEnd w:id="1608"/>
      <w:bookmarkEnd w:id="1609"/>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基金管理人（或简称“管理人”）</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1610" w:name="_Toc15118236"/>
      <w:r w:rsidRPr="00621B7F">
        <w:rPr>
          <w:rFonts w:asciiTheme="minorEastAsia" w:eastAsiaTheme="minorEastAsia" w:hAnsiTheme="minorEastAsia" w:hint="eastAsia"/>
          <w:color w:val="000000" w:themeColor="text1"/>
          <w:szCs w:val="21"/>
        </w:rPr>
        <w:t>名称：易方达基金管理有限公司</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住所：</w:t>
      </w:r>
      <w:r w:rsidRPr="00621B7F" w:rsidR="004D69CA">
        <w:rPr>
          <w:rFonts w:asciiTheme="minorEastAsia" w:eastAsiaTheme="minorEastAsia" w:hAnsiTheme="minorEastAsia" w:hint="eastAsia"/>
          <w:color w:val="000000" w:themeColor="text1"/>
          <w:szCs w:val="21"/>
        </w:rPr>
        <w:t>广东省珠海市横琴新区宝华路6号105室－42891（集中办公区）</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法定代表人：</w:t>
      </w:r>
      <w:r w:rsidRPr="00621B7F" w:rsidR="00A56DEA">
        <w:rPr>
          <w:rFonts w:asciiTheme="minorEastAsia" w:eastAsiaTheme="minorEastAsia" w:hAnsiTheme="minorEastAsia" w:hint="eastAsia"/>
          <w:color w:val="000000" w:themeColor="text1"/>
          <w:szCs w:val="21"/>
        </w:rPr>
        <w:t>刘晓艳</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设立日期：2001年4月17日</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批准设立机关：中国证券监督管理委员会</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批准设立文号：证监基金字[2001</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4号</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组织形式：有限责任公司</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注册资本：13,244.2万元人民币</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存续期限：持续经营</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联系</w:t>
      </w:r>
      <w:r w:rsidRPr="00621B7F">
        <w:rPr>
          <w:rFonts w:asciiTheme="minorEastAsia" w:eastAsiaTheme="minorEastAsia" w:hAnsiTheme="minorEastAsia"/>
          <w:color w:val="000000" w:themeColor="text1"/>
          <w:szCs w:val="21"/>
        </w:rPr>
        <w:t>电话：</w:t>
      </w:r>
      <w:r w:rsidRPr="00621B7F" w:rsidR="000C23E5">
        <w:rPr>
          <w:rFonts w:asciiTheme="minorEastAsia" w:eastAsiaTheme="minorEastAsia" w:hAnsiTheme="minorEastAsia" w:hint="eastAsia"/>
          <w:color w:val="000000" w:themeColor="text1"/>
          <w:szCs w:val="21"/>
        </w:rPr>
        <w:t>4008818088</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传真：020-38799488</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联系人：李红枫</w:t>
      </w:r>
    </w:p>
    <w:bookmarkEnd w:id="1610"/>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基金托管人（或简称“托管人”）</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名称：中国工商银行股份有限公司</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住所：北京市西城区复兴门内大街</w:t>
      </w:r>
      <w:r w:rsidRPr="00621B7F">
        <w:rPr>
          <w:rFonts w:asciiTheme="minorEastAsia" w:eastAsiaTheme="minorEastAsia" w:hAnsiTheme="minorEastAsia"/>
          <w:color w:val="000000" w:themeColor="text1"/>
          <w:szCs w:val="21"/>
        </w:rPr>
        <w:t>55</w:t>
      </w:r>
      <w:r w:rsidRPr="00621B7F">
        <w:rPr>
          <w:rFonts w:asciiTheme="minorEastAsia" w:eastAsiaTheme="minorEastAsia" w:hAnsiTheme="minorEastAsia" w:hint="eastAsia"/>
          <w:color w:val="000000" w:themeColor="text1"/>
          <w:szCs w:val="21"/>
        </w:rPr>
        <w:t>号（100032）</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法定代表人：</w:t>
      </w:r>
      <w:r w:rsidRPr="00621B7F" w:rsidR="009F2259">
        <w:rPr>
          <w:rFonts w:asciiTheme="minorEastAsia" w:eastAsiaTheme="minorEastAsia" w:hAnsiTheme="minorEastAsia" w:hint="eastAsia"/>
          <w:color w:val="000000" w:themeColor="text1"/>
        </w:rPr>
        <w:t>陈四清</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电话：（</w:t>
      </w:r>
      <w:r w:rsidRPr="00621B7F">
        <w:rPr>
          <w:rFonts w:asciiTheme="minorEastAsia" w:eastAsiaTheme="minorEastAsia" w:hAnsiTheme="minorEastAsia"/>
          <w:color w:val="000000" w:themeColor="text1"/>
          <w:szCs w:val="21"/>
        </w:rPr>
        <w:t>010</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6610</w:t>
      </w:r>
      <w:r w:rsidRPr="00621B7F">
        <w:rPr>
          <w:rFonts w:asciiTheme="minorEastAsia" w:eastAsiaTheme="minorEastAsia" w:hAnsiTheme="minorEastAsia" w:hint="eastAsia"/>
          <w:color w:val="000000" w:themeColor="text1"/>
          <w:szCs w:val="21"/>
        </w:rPr>
        <w:t>5799</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传真：（</w:t>
      </w:r>
      <w:r w:rsidRPr="00621B7F">
        <w:rPr>
          <w:rFonts w:asciiTheme="minorEastAsia" w:eastAsiaTheme="minorEastAsia" w:hAnsiTheme="minorEastAsia"/>
          <w:color w:val="000000" w:themeColor="text1"/>
          <w:szCs w:val="21"/>
        </w:rPr>
        <w:t>010</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6610</w:t>
      </w:r>
      <w:r w:rsidRPr="00621B7F">
        <w:rPr>
          <w:rFonts w:asciiTheme="minorEastAsia" w:eastAsiaTheme="minorEastAsia" w:hAnsiTheme="minorEastAsia" w:hint="eastAsia"/>
          <w:color w:val="000000" w:themeColor="text1"/>
          <w:szCs w:val="21"/>
        </w:rPr>
        <w:t>5798</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联系人：</w:t>
      </w:r>
      <w:r w:rsidRPr="00621B7F" w:rsidR="00E314C9">
        <w:rPr>
          <w:rFonts w:asciiTheme="minorEastAsia" w:eastAsiaTheme="minorEastAsia" w:hAnsiTheme="minorEastAsia"/>
          <w:color w:val="000000" w:themeColor="text1"/>
        </w:rPr>
        <w:t>郭明</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成立时间：</w:t>
      </w:r>
      <w:r w:rsidRPr="00621B7F">
        <w:rPr>
          <w:rFonts w:asciiTheme="minorEastAsia" w:eastAsiaTheme="minorEastAsia" w:hAnsiTheme="minorEastAsia"/>
          <w:color w:val="000000" w:themeColor="text1"/>
          <w:szCs w:val="21"/>
        </w:rPr>
        <w:t>1984</w:t>
      </w:r>
      <w:r w:rsidRPr="00621B7F">
        <w:rPr>
          <w:rFonts w:asciiTheme="minorEastAsia" w:eastAsiaTheme="minorEastAsia" w:hAnsiTheme="minorEastAsia" w:hint="eastAsia"/>
          <w:color w:val="000000" w:themeColor="text1"/>
          <w:szCs w:val="21"/>
        </w:rPr>
        <w:t>年</w:t>
      </w:r>
      <w:r w:rsidRPr="00621B7F">
        <w:rPr>
          <w:rFonts w:asciiTheme="minorEastAsia" w:eastAsiaTheme="minorEastAsia" w:hAnsiTheme="minorEastAsia"/>
          <w:color w:val="000000" w:themeColor="text1"/>
          <w:szCs w:val="21"/>
        </w:rPr>
        <w:t>1</w:t>
      </w:r>
      <w:r w:rsidRPr="00621B7F">
        <w:rPr>
          <w:rFonts w:asciiTheme="minorEastAsia" w:eastAsiaTheme="minorEastAsia" w:hAnsiTheme="minorEastAsia" w:hint="eastAsia"/>
          <w:color w:val="000000" w:themeColor="text1"/>
          <w:szCs w:val="21"/>
        </w:rPr>
        <w:t>月</w:t>
      </w:r>
      <w:r w:rsidRPr="00621B7F">
        <w:rPr>
          <w:rFonts w:asciiTheme="minorEastAsia" w:eastAsiaTheme="minorEastAsia" w:hAnsiTheme="minorEastAsia"/>
          <w:color w:val="000000" w:themeColor="text1"/>
          <w:szCs w:val="21"/>
        </w:rPr>
        <w:t>1</w:t>
      </w:r>
      <w:r w:rsidRPr="00621B7F">
        <w:rPr>
          <w:rFonts w:asciiTheme="minorEastAsia" w:eastAsiaTheme="minorEastAsia" w:hAnsiTheme="minorEastAsia" w:hint="eastAsia"/>
          <w:color w:val="000000" w:themeColor="text1"/>
          <w:szCs w:val="21"/>
        </w:rPr>
        <w:t>日</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组织形式：股份有限公司</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注册资本：</w:t>
      </w:r>
      <w:r w:rsidRPr="00621B7F" w:rsidR="00E15602">
        <w:rPr>
          <w:rFonts w:asciiTheme="minorEastAsia" w:eastAsiaTheme="minorEastAsia" w:hAnsiTheme="minorEastAsia" w:hint="eastAsia"/>
          <w:color w:val="000000" w:themeColor="text1"/>
          <w:szCs w:val="21"/>
        </w:rPr>
        <w:t>人民币35,640,625.7089万元</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批准设立机关和设立文号：国务院《关于中国人民银行专门行使中央银行职能的决定》（国发[1983]146号）</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存续期间：持续经营</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A901F7" w:rsidRPr="00621B7F" w:rsidP="00241F10">
      <w:pPr>
        <w:snapToGrid w:val="0"/>
        <w:spacing w:line="360" w:lineRule="auto"/>
        <w:ind w:right="28" w:firstLine="420" w:firstLineChars="200"/>
        <w:rPr>
          <w:rFonts w:asciiTheme="minorEastAsia" w:eastAsiaTheme="minorEastAsia" w:hAnsiTheme="minorEastAsia"/>
          <w:color w:val="000000" w:themeColor="text1"/>
          <w:szCs w:val="21"/>
        </w:rPr>
      </w:pP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611" w:name="_Toc40511578"/>
      <w:bookmarkStart w:id="1612" w:name="_Toc238870147"/>
      <w:bookmarkStart w:id="1613" w:name="_Toc91752125"/>
      <w:r w:rsidRPr="00621B7F">
        <w:rPr>
          <w:rFonts w:asciiTheme="minorEastAsia" w:eastAsiaTheme="minorEastAsia" w:hAnsiTheme="minorEastAsia" w:hint="eastAsia"/>
          <w:b w:val="0"/>
          <w:bCs/>
          <w:color w:val="000000" w:themeColor="text1"/>
        </w:rPr>
        <w:t>（二）</w:t>
      </w:r>
      <w:bookmarkStart w:id="1614" w:name="_Toc124749227"/>
      <w:bookmarkStart w:id="1615" w:name="_Toc124749938"/>
      <w:bookmarkStart w:id="1616" w:name="_Toc125361075"/>
      <w:r w:rsidRPr="00621B7F">
        <w:rPr>
          <w:rFonts w:asciiTheme="minorEastAsia" w:eastAsiaTheme="minorEastAsia" w:hAnsiTheme="minorEastAsia" w:hint="eastAsia"/>
          <w:b w:val="0"/>
          <w:bCs/>
          <w:color w:val="000000" w:themeColor="text1"/>
        </w:rPr>
        <w:t>基金托管人对基金管理人的业务监督和核查</w:t>
      </w:r>
      <w:bookmarkEnd w:id="1611"/>
      <w:bookmarkEnd w:id="1612"/>
      <w:bookmarkEnd w:id="1614"/>
      <w:bookmarkEnd w:id="1615"/>
      <w:bookmarkEnd w:id="1616"/>
      <w:bookmarkEnd w:id="1613"/>
    </w:p>
    <w:p w:rsidR="00454249" w:rsidRPr="00621B7F" w:rsidP="00241F10">
      <w:pPr>
        <w:snapToGrid w:val="0"/>
        <w:spacing w:line="360" w:lineRule="auto"/>
        <w:ind w:firstLine="420" w:firstLineChars="200"/>
        <w:rPr>
          <w:rFonts w:asciiTheme="minorEastAsia" w:eastAsiaTheme="minorEastAsia" w:hAnsiTheme="minorEastAsia"/>
          <w:b/>
          <w:color w:val="000000" w:themeColor="text1"/>
          <w:szCs w:val="21"/>
        </w:rPr>
      </w:pPr>
      <w:bookmarkStart w:id="1617" w:name="_Toc200523000"/>
      <w:r w:rsidRPr="00621B7F">
        <w:rPr>
          <w:rFonts w:asciiTheme="minorEastAsia" w:eastAsiaTheme="minorEastAsia" w:hAnsiTheme="minorEastAsia" w:hint="eastAsia"/>
          <w:b/>
          <w:color w:val="000000" w:themeColor="text1"/>
          <w:szCs w:val="21"/>
        </w:rPr>
        <w:t>1</w:t>
      </w:r>
      <w:r w:rsidRPr="00621B7F" w:rsidR="007B248C">
        <w:rPr>
          <w:rFonts w:asciiTheme="minorEastAsia" w:eastAsiaTheme="minorEastAsia" w:hAnsiTheme="minorEastAsia" w:hint="eastAsia"/>
          <w:b/>
          <w:color w:val="000000" w:themeColor="text1"/>
          <w:szCs w:val="21"/>
        </w:rPr>
        <w:t>.</w:t>
      </w:r>
      <w:r w:rsidRPr="00621B7F">
        <w:rPr>
          <w:rFonts w:asciiTheme="minorEastAsia" w:eastAsiaTheme="minorEastAsia" w:hAnsiTheme="minorEastAsia" w:hint="eastAsia"/>
          <w:b/>
          <w:color w:val="000000" w:themeColor="text1"/>
          <w:szCs w:val="21"/>
        </w:rPr>
        <w:t>基金托管人对基金管理人的投资行为行使监督权</w:t>
      </w:r>
      <w:bookmarkEnd w:id="1617"/>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（1）基金托管人根据有关法律法规的规定和《基金合同》的约定，对下述基金投资范围、投资对象进行监督。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本基金将投资于以下金融工具：</w:t>
      </w:r>
    </w:p>
    <w:p w:rsidR="009040CC"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本基金资产投资于具有良好流动性的金融工具，包括上证中盘ETF、上证中盘指数成份股及备选成份股</w:t>
      </w:r>
      <w:r w:rsidRPr="00621B7F" w:rsidR="00DD01DC">
        <w:rPr>
          <w:rFonts w:asciiTheme="minorEastAsia" w:eastAsiaTheme="minorEastAsia" w:hAnsiTheme="minorEastAsia" w:hint="eastAsia"/>
          <w:color w:val="000000" w:themeColor="text1"/>
          <w:szCs w:val="21"/>
        </w:rPr>
        <w:t>（含存托凭证）</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新股</w:t>
      </w:r>
      <w:r w:rsidRPr="00621B7F" w:rsidR="00DD01DC">
        <w:rPr>
          <w:rFonts w:asciiTheme="minorEastAsia" w:eastAsiaTheme="minorEastAsia" w:hAnsiTheme="minorEastAsia" w:hint="eastAsia"/>
          <w:color w:val="000000" w:themeColor="text1"/>
          <w:szCs w:val="21"/>
        </w:rPr>
        <w:t>（含存托凭证）</w:t>
      </w:r>
      <w:r w:rsidRPr="00621B7F">
        <w:rPr>
          <w:rFonts w:asciiTheme="minorEastAsia" w:eastAsiaTheme="minorEastAsia" w:hAnsiTheme="minorEastAsia" w:hint="eastAsia"/>
          <w:color w:val="000000" w:themeColor="text1"/>
          <w:szCs w:val="21"/>
        </w:rPr>
        <w:t>、货币市场工具以及法律法规或中国证监会允许基金投资的其他金融工具。</w:t>
      </w:r>
      <w:r w:rsidRPr="00621B7F">
        <w:rPr>
          <w:rFonts w:asciiTheme="minorEastAsia" w:eastAsiaTheme="minorEastAsia" w:hAnsiTheme="minorEastAsia"/>
          <w:color w:val="000000" w:themeColor="text1"/>
          <w:szCs w:val="21"/>
        </w:rPr>
        <w:t>如法律法规或监管机构以后允许基金投资其他品种，基金管理人在履行适当程序后，可以将其纳入投资范围</w:t>
      </w:r>
      <w:r w:rsidRPr="00621B7F">
        <w:rPr>
          <w:rFonts w:asciiTheme="minorEastAsia" w:eastAsiaTheme="minorEastAsia" w:hAnsiTheme="minorEastAsia" w:hint="eastAsia"/>
          <w:color w:val="000000" w:themeColor="text1"/>
          <w:szCs w:val="21"/>
        </w:rPr>
        <w:t>。</w:t>
      </w:r>
    </w:p>
    <w:p w:rsidR="009040CC"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本基金不得投资于</w:t>
      </w:r>
      <w:r w:rsidRPr="00621B7F">
        <w:rPr>
          <w:rFonts w:asciiTheme="minorEastAsia" w:eastAsiaTheme="minorEastAsia" w:hAnsiTheme="minorEastAsia" w:hint="eastAsia"/>
          <w:color w:val="000000" w:themeColor="text1"/>
          <w:szCs w:val="21"/>
        </w:rPr>
        <w:t>相关法律、法规、部门规章及《基金合同》禁止投资的投资工具</w:t>
      </w:r>
      <w:r w:rsidRPr="00621B7F">
        <w:rPr>
          <w:rFonts w:asciiTheme="minorEastAsia" w:eastAsiaTheme="minorEastAsia" w:hAnsiTheme="minorEastAsia"/>
          <w:color w:val="000000" w:themeColor="text1"/>
          <w:szCs w:val="21"/>
        </w:rPr>
        <w:t>。</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（2）基金托管人根据有关法律法规的规定及《基金合同》的约定对下述基金投融资比例进行监督：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1）按法律法规的规定及《基金合同》的约定，本基金的投资资产配置比例为：</w:t>
      </w:r>
    </w:p>
    <w:p w:rsidR="00711F14"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本基金</w:t>
      </w:r>
      <w:r w:rsidRPr="00621B7F">
        <w:rPr>
          <w:rFonts w:asciiTheme="minorEastAsia" w:eastAsiaTheme="minorEastAsia" w:hAnsiTheme="minorEastAsia" w:hint="eastAsia"/>
          <w:color w:val="000000" w:themeColor="text1"/>
          <w:szCs w:val="21"/>
        </w:rPr>
        <w:t>资产中投资于上证中盘ETF的</w:t>
      </w:r>
      <w:r w:rsidRPr="00621B7F">
        <w:rPr>
          <w:rFonts w:asciiTheme="minorEastAsia" w:eastAsiaTheme="minorEastAsia" w:hAnsiTheme="minorEastAsia"/>
          <w:color w:val="000000" w:themeColor="text1"/>
          <w:szCs w:val="21"/>
        </w:rPr>
        <w:t>比例不低于基金资产</w:t>
      </w:r>
      <w:r w:rsidRPr="00621B7F">
        <w:rPr>
          <w:rFonts w:asciiTheme="minorEastAsia" w:eastAsiaTheme="minorEastAsia" w:hAnsiTheme="minorEastAsia" w:hint="eastAsia"/>
          <w:color w:val="000000" w:themeColor="text1"/>
          <w:szCs w:val="21"/>
        </w:rPr>
        <w:t>净值</w:t>
      </w:r>
      <w:r w:rsidRPr="00621B7F">
        <w:rPr>
          <w:rFonts w:asciiTheme="minorEastAsia" w:eastAsiaTheme="minorEastAsia" w:hAnsiTheme="minorEastAsia"/>
          <w:color w:val="000000" w:themeColor="text1"/>
          <w:szCs w:val="21"/>
        </w:rPr>
        <w:t>的9</w:t>
      </w:r>
      <w:r w:rsidRPr="00621B7F">
        <w:rPr>
          <w:rFonts w:asciiTheme="minorEastAsia" w:eastAsiaTheme="minorEastAsia" w:hAnsiTheme="minorEastAsia" w:hint="eastAsia"/>
          <w:color w:val="000000" w:themeColor="text1"/>
          <w:szCs w:val="21"/>
        </w:rPr>
        <w:t>0</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现金或者到期日在一年以内的政府债券不低于基金资产净值</w:t>
      </w:r>
      <w:r w:rsidRPr="00621B7F">
        <w:rPr>
          <w:rFonts w:asciiTheme="minorEastAsia" w:eastAsiaTheme="minorEastAsia" w:hAnsiTheme="minorEastAsia" w:hint="eastAsia"/>
          <w:color w:val="000000" w:themeColor="text1"/>
          <w:szCs w:val="21"/>
        </w:rPr>
        <w:t>的</w:t>
      </w:r>
      <w:r w:rsidRPr="00621B7F">
        <w:rPr>
          <w:rFonts w:asciiTheme="minorEastAsia" w:eastAsiaTheme="minorEastAsia" w:hAnsiTheme="minorEastAsia"/>
          <w:color w:val="000000" w:themeColor="text1"/>
          <w:szCs w:val="21"/>
        </w:rPr>
        <w:t>5%</w:t>
      </w:r>
      <w:r w:rsidRPr="00621B7F" w:rsidR="001719E5">
        <w:rPr>
          <w:rFonts w:asciiTheme="minorEastAsia" w:eastAsiaTheme="minorEastAsia" w:hAnsiTheme="minorEastAsia" w:hint="eastAsia"/>
          <w:color w:val="000000" w:themeColor="text1"/>
          <w:szCs w:val="21"/>
        </w:rPr>
        <w:t>，现金不包括结算备付金、存出保证金、应收申购款等</w:t>
      </w:r>
      <w:r w:rsidRPr="00621B7F">
        <w:rPr>
          <w:rFonts w:asciiTheme="minorEastAsia" w:eastAsiaTheme="minorEastAsia" w:hAnsiTheme="minorEastAsia" w:hint="eastAsia"/>
          <w:color w:val="000000" w:themeColor="text1"/>
          <w:szCs w:val="21"/>
        </w:rPr>
        <w:t>。</w:t>
      </w:r>
    </w:p>
    <w:p w:rsidR="009040CC"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因基金规模或市场变化等因素导致投资组合不符合上述规定的，基金管理人应在</w:t>
      </w:r>
      <w:r w:rsidRPr="00621B7F" w:rsidR="00B46F0C">
        <w:rPr>
          <w:rFonts w:asciiTheme="minorEastAsia" w:eastAsiaTheme="minorEastAsia" w:hAnsiTheme="minorEastAsia" w:hint="eastAsia"/>
          <w:color w:val="000000" w:themeColor="text1"/>
          <w:szCs w:val="21"/>
        </w:rPr>
        <w:t>10个交易日</w:t>
      </w:r>
      <w:r w:rsidRPr="00621B7F">
        <w:rPr>
          <w:rFonts w:asciiTheme="minorEastAsia" w:eastAsiaTheme="minorEastAsia" w:hAnsiTheme="minorEastAsia" w:hint="eastAsia"/>
          <w:color w:val="000000" w:themeColor="text1"/>
          <w:szCs w:val="21"/>
        </w:rPr>
        <w:t>内调整基金的投资组合，以符合上述比例限定。法律法规另有规定时，从其规定。</w:t>
      </w:r>
    </w:p>
    <w:p w:rsidR="00BF598D"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如法律法规或监管机构以后允许本基金投资其他品种，基金管理人在履行适当程序后，可以将其纳入投资范围，并可依据届时有效的法律法规适时合理地调整投资范围。</w:t>
      </w:r>
    </w:p>
    <w:p w:rsidR="00BC6CDD" w:rsidRPr="00621B7F" w:rsidP="00241F10">
      <w:pPr>
        <w:snapToGrid w:val="0"/>
        <w:spacing w:line="360" w:lineRule="auto"/>
        <w:ind w:firstLine="420" w:firstLineChars="200"/>
        <w:rPr>
          <w:rFonts w:asciiTheme="minorEastAsia" w:eastAsiaTheme="minorEastAsia" w:hAnsiTheme="minorEastAsia"/>
          <w:color w:val="000000" w:themeColor="text1"/>
          <w:szCs w:val="21"/>
        </w:rPr>
      </w:pP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2）根据法律法规的规定及《基金合同》的约定，本基金投资组合遵循以下投资限制：</w:t>
      </w:r>
    </w:p>
    <w:p w:rsidR="009040CC" w:rsidRPr="00621B7F" w:rsidP="00241F10">
      <w:pPr>
        <w:snapToGrid w:val="0"/>
        <w:spacing w:line="360" w:lineRule="auto"/>
        <w:ind w:right="28"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a.</w:t>
      </w:r>
      <w:r w:rsidRPr="00621B7F">
        <w:rPr>
          <w:rFonts w:asciiTheme="minorEastAsia" w:eastAsiaTheme="minorEastAsia" w:hAnsiTheme="minorEastAsia"/>
          <w:color w:val="000000" w:themeColor="text1"/>
          <w:szCs w:val="21"/>
        </w:rPr>
        <w:t>基金</w:t>
      </w:r>
      <w:r w:rsidRPr="00621B7F">
        <w:rPr>
          <w:rFonts w:asciiTheme="minorEastAsia" w:eastAsiaTheme="minorEastAsia" w:hAnsiTheme="minorEastAsia" w:hint="eastAsia"/>
          <w:color w:val="000000" w:themeColor="text1"/>
          <w:szCs w:val="21"/>
        </w:rPr>
        <w:t>资产中投资于上证中盘ETF的</w:t>
      </w:r>
      <w:r w:rsidRPr="00621B7F">
        <w:rPr>
          <w:rFonts w:asciiTheme="minorEastAsia" w:eastAsiaTheme="minorEastAsia" w:hAnsiTheme="minorEastAsia"/>
          <w:color w:val="000000" w:themeColor="text1"/>
          <w:szCs w:val="21"/>
        </w:rPr>
        <w:t>比例不低于基金资产</w:t>
      </w:r>
      <w:r w:rsidRPr="00621B7F">
        <w:rPr>
          <w:rFonts w:asciiTheme="minorEastAsia" w:eastAsiaTheme="minorEastAsia" w:hAnsiTheme="minorEastAsia" w:hint="eastAsia"/>
          <w:color w:val="000000" w:themeColor="text1"/>
          <w:szCs w:val="21"/>
        </w:rPr>
        <w:t>净值</w:t>
      </w:r>
      <w:r w:rsidRPr="00621B7F">
        <w:rPr>
          <w:rFonts w:asciiTheme="minorEastAsia" w:eastAsiaTheme="minorEastAsia" w:hAnsiTheme="minorEastAsia"/>
          <w:color w:val="000000" w:themeColor="text1"/>
          <w:szCs w:val="21"/>
        </w:rPr>
        <w:t>的9</w:t>
      </w:r>
      <w:r w:rsidRPr="00621B7F">
        <w:rPr>
          <w:rFonts w:asciiTheme="minorEastAsia" w:eastAsiaTheme="minorEastAsia" w:hAnsiTheme="minorEastAsia" w:hint="eastAsia"/>
          <w:color w:val="000000" w:themeColor="text1"/>
          <w:szCs w:val="21"/>
        </w:rPr>
        <w:t>0</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w:t>
      </w:r>
    </w:p>
    <w:p w:rsidR="009040CC"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b.本基金进入全国银行间同业市场进行债券回购的资金余额不得超过基金资产净值的40%</w:t>
      </w:r>
      <w:r w:rsidRPr="00621B7F">
        <w:rPr>
          <w:rFonts w:asciiTheme="minorEastAsia" w:eastAsiaTheme="minorEastAsia" w:hAnsiTheme="minorEastAsia"/>
          <w:color w:val="000000" w:themeColor="text1"/>
          <w:szCs w:val="21"/>
        </w:rPr>
        <w:t>；</w:t>
      </w:r>
    </w:p>
    <w:p w:rsidR="009040CC" w:rsidRPr="00621B7F" w:rsidP="00241F10">
      <w:pPr>
        <w:snapToGrid w:val="0"/>
        <w:spacing w:line="360" w:lineRule="auto"/>
        <w:ind w:right="28"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c.本基金财产参与股票发行申购，本基金所申报的金额不得超过本基金的总资产，所申报的股票数量不得超过拟发行股票公司本次发行股票的总量；</w:t>
      </w:r>
    </w:p>
    <w:p w:rsidR="009040CC" w:rsidRPr="00621B7F" w:rsidP="00241F10">
      <w:pPr>
        <w:snapToGrid w:val="0"/>
        <w:spacing w:line="360" w:lineRule="auto"/>
        <w:ind w:right="28"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d.本基金不得违反《基金合同》关于投资范围和投资比例的约定；</w:t>
      </w:r>
    </w:p>
    <w:p w:rsidR="001719E5" w:rsidRPr="00621B7F" w:rsidP="00241F10">
      <w:pPr>
        <w:snapToGrid w:val="0"/>
        <w:spacing w:line="360" w:lineRule="auto"/>
        <w:ind w:right="28"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e.本基金主动投资于流动性受限资产的市值合计不得超过本基金资产净值的15%；</w:t>
      </w:r>
    </w:p>
    <w:p w:rsidR="00DD01DC" w:rsidRPr="00621B7F" w:rsidP="00241F10">
      <w:pPr>
        <w:snapToGrid w:val="0"/>
        <w:spacing w:line="360" w:lineRule="auto"/>
        <w:ind w:right="28"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f .本基金投资存托凭证的比例限制依照境内上市交易的股票执行，与境内上市交易的股票合并计算；</w:t>
      </w:r>
    </w:p>
    <w:p w:rsidR="009040CC" w:rsidRPr="00621B7F" w:rsidP="00241F10">
      <w:pPr>
        <w:snapToGrid w:val="0"/>
        <w:spacing w:line="360" w:lineRule="auto"/>
        <w:ind w:right="28"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g.相关法律法规以及监管部门规定的其他投资限制。</w:t>
      </w:r>
    </w:p>
    <w:p w:rsidR="00BC6CDD" w:rsidRPr="00621B7F" w:rsidP="001719E5">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《基金法》及其他有关法律法规或监管部门</w:t>
      </w:r>
      <w:r w:rsidRPr="00621B7F">
        <w:rPr>
          <w:rFonts w:asciiTheme="minorEastAsia" w:eastAsiaTheme="minorEastAsia" w:hAnsiTheme="minorEastAsia" w:hint="eastAsia"/>
          <w:color w:val="000000" w:themeColor="text1"/>
          <w:szCs w:val="21"/>
        </w:rPr>
        <w:t>取消</w:t>
      </w:r>
      <w:r w:rsidRPr="00621B7F">
        <w:rPr>
          <w:rFonts w:asciiTheme="minorEastAsia" w:eastAsiaTheme="minorEastAsia" w:hAnsiTheme="minorEastAsia"/>
          <w:color w:val="000000" w:themeColor="text1"/>
          <w:szCs w:val="21"/>
        </w:rPr>
        <w:t>上述限制</w:t>
      </w:r>
      <w:r w:rsidRPr="00621B7F">
        <w:rPr>
          <w:rFonts w:asciiTheme="minorEastAsia" w:eastAsiaTheme="minorEastAsia" w:hAnsiTheme="minorEastAsia" w:hint="eastAsia"/>
          <w:color w:val="000000" w:themeColor="text1"/>
          <w:szCs w:val="21"/>
        </w:rPr>
        <w:t>的</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履行适当程序后，基金不受上述限制</w:t>
      </w:r>
      <w:r w:rsidRPr="00621B7F">
        <w:rPr>
          <w:rFonts w:asciiTheme="minorEastAsia" w:eastAsiaTheme="minorEastAsia" w:hAnsiTheme="minorEastAsia"/>
          <w:color w:val="000000" w:themeColor="text1"/>
          <w:szCs w:val="21"/>
        </w:rPr>
        <w:t>。</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3）法规允许的基金投资比例调整期限</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除上述2）的c、e以外，</w:t>
      </w:r>
      <w:r w:rsidRPr="00621B7F">
        <w:rPr>
          <w:rFonts w:asciiTheme="minorEastAsia" w:eastAsiaTheme="minorEastAsia" w:hAnsiTheme="minorEastAsia"/>
          <w:color w:val="000000" w:themeColor="text1"/>
          <w:szCs w:val="21"/>
        </w:rPr>
        <w:t>由于</w:t>
      </w:r>
      <w:r w:rsidRPr="00621B7F">
        <w:rPr>
          <w:rFonts w:asciiTheme="minorEastAsia" w:eastAsiaTheme="minorEastAsia" w:hAnsiTheme="minorEastAsia" w:hint="eastAsia"/>
          <w:color w:val="000000" w:themeColor="text1"/>
          <w:szCs w:val="21"/>
        </w:rPr>
        <w:t>证券市场波动、上市公司合并</w:t>
      </w:r>
      <w:r w:rsidRPr="00621B7F">
        <w:rPr>
          <w:rFonts w:asciiTheme="minorEastAsia" w:eastAsiaTheme="minorEastAsia" w:hAnsiTheme="minorEastAsia"/>
          <w:color w:val="000000" w:themeColor="text1"/>
          <w:szCs w:val="21"/>
        </w:rPr>
        <w:t>或</w:t>
      </w:r>
      <w:r w:rsidRPr="00621B7F">
        <w:rPr>
          <w:rFonts w:asciiTheme="minorEastAsia" w:eastAsiaTheme="minorEastAsia" w:hAnsiTheme="minorEastAsia" w:hint="eastAsia"/>
          <w:color w:val="000000" w:themeColor="text1"/>
          <w:szCs w:val="21"/>
        </w:rPr>
        <w:t>基金规模变动等基金管理人之外的原因</w:t>
      </w:r>
      <w:r w:rsidRPr="00621B7F">
        <w:rPr>
          <w:rFonts w:asciiTheme="minorEastAsia" w:eastAsiaTheme="minorEastAsia" w:hAnsiTheme="minorEastAsia"/>
          <w:color w:val="000000" w:themeColor="text1"/>
          <w:szCs w:val="21"/>
        </w:rPr>
        <w:t>导致的投资组合</w:t>
      </w:r>
      <w:r w:rsidRPr="00621B7F">
        <w:rPr>
          <w:rFonts w:asciiTheme="minorEastAsia" w:eastAsiaTheme="minorEastAsia" w:hAnsiTheme="minorEastAsia" w:hint="eastAsia"/>
          <w:color w:val="000000" w:themeColor="text1"/>
          <w:szCs w:val="21"/>
        </w:rPr>
        <w:t>不符合</w:t>
      </w:r>
      <w:r w:rsidRPr="00621B7F">
        <w:rPr>
          <w:rFonts w:asciiTheme="minorEastAsia" w:eastAsiaTheme="minorEastAsia" w:hAnsiTheme="minorEastAsia"/>
          <w:color w:val="000000" w:themeColor="text1"/>
          <w:szCs w:val="21"/>
        </w:rPr>
        <w:t>上述约定的比例</w:t>
      </w:r>
      <w:r w:rsidRPr="00621B7F">
        <w:rPr>
          <w:rFonts w:asciiTheme="minorEastAsia" w:eastAsiaTheme="minorEastAsia" w:hAnsiTheme="minorEastAsia" w:hint="eastAsia"/>
          <w:color w:val="000000" w:themeColor="text1"/>
          <w:szCs w:val="21"/>
        </w:rPr>
        <w:t>，</w:t>
      </w:r>
      <w:r w:rsidRPr="00621B7F">
        <w:rPr>
          <w:rFonts w:asciiTheme="minorEastAsia" w:eastAsiaTheme="minorEastAsia" w:hAnsiTheme="minorEastAsia"/>
          <w:color w:val="000000" w:themeColor="text1"/>
          <w:szCs w:val="21"/>
        </w:rPr>
        <w:t>不在限制之内，但基金管理人应在</w:t>
      </w:r>
      <w:r w:rsidRPr="00621B7F">
        <w:rPr>
          <w:rFonts w:asciiTheme="minorEastAsia" w:eastAsiaTheme="minorEastAsia" w:hAnsiTheme="minorEastAsia" w:hint="eastAsia"/>
          <w:color w:val="000000" w:themeColor="text1"/>
          <w:szCs w:val="21"/>
        </w:rPr>
        <w:t>10个交易日</w:t>
      </w:r>
      <w:r w:rsidRPr="00621B7F">
        <w:rPr>
          <w:rFonts w:asciiTheme="minorEastAsia" w:eastAsiaTheme="minorEastAsia" w:hAnsiTheme="minorEastAsia"/>
          <w:color w:val="000000" w:themeColor="text1"/>
          <w:szCs w:val="21"/>
        </w:rPr>
        <w:t>内进行调整，以达到</w:t>
      </w:r>
      <w:r w:rsidRPr="00621B7F">
        <w:rPr>
          <w:rFonts w:asciiTheme="minorEastAsia" w:eastAsiaTheme="minorEastAsia" w:hAnsiTheme="minorEastAsia" w:hint="eastAsia"/>
          <w:color w:val="000000" w:themeColor="text1"/>
          <w:szCs w:val="21"/>
        </w:rPr>
        <w:t>规定的投资比例限制要求。法律法规另有规定的从其规定。</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基金管理人应在出现可预见资产规模大幅变动的情况下，至少提前</w:t>
      </w:r>
      <w:r w:rsidRPr="00621B7F">
        <w:rPr>
          <w:rFonts w:asciiTheme="minorEastAsia" w:eastAsiaTheme="minorEastAsia" w:hAnsiTheme="minorEastAsia"/>
          <w:color w:val="000000" w:themeColor="text1"/>
          <w:szCs w:val="21"/>
        </w:rPr>
        <w:t>2</w:t>
      </w:r>
      <w:r w:rsidRPr="00621B7F">
        <w:rPr>
          <w:rFonts w:asciiTheme="minorEastAsia" w:eastAsiaTheme="minorEastAsia" w:hAnsiTheme="minorEastAsia" w:hint="eastAsia"/>
          <w:color w:val="000000" w:themeColor="text1"/>
          <w:szCs w:val="21"/>
        </w:rPr>
        <w:t>个工作日正式向基金托管人发函说明基金可能变动规模和公司应对措施，便于托管人实施交易监督。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4）本基金可以按照国家的有关规定进行融资融券。</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5）相关法律、法规或部门规章规定的其他比例限制。</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基金托管人对基金投资的监督和检查自《基金合同》生效之日起开始。</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（3）基金托管人根据有关法律法规的规定及《基金合同》的约定对下述基金投资禁止行为进行监督：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根据法律法规的规定及《基金合同》的约定，本基金禁止从事下列行为：</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1）承销证券；</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2）向他人贷款或提供担保；</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color w:val="000000" w:themeColor="text1"/>
          <w:szCs w:val="21"/>
        </w:rPr>
        <w:t>从事</w:t>
      </w:r>
      <w:r w:rsidRPr="00621B7F">
        <w:rPr>
          <w:rFonts w:asciiTheme="minorEastAsia" w:eastAsiaTheme="minorEastAsia" w:hAnsiTheme="minorEastAsia" w:hint="eastAsia"/>
          <w:color w:val="000000" w:themeColor="text1"/>
          <w:szCs w:val="21"/>
        </w:rPr>
        <w:t>可能使基金</w:t>
      </w:r>
      <w:r w:rsidRPr="00621B7F">
        <w:rPr>
          <w:rFonts w:asciiTheme="minorEastAsia" w:eastAsiaTheme="minorEastAsia" w:hAnsiTheme="minorEastAsia"/>
          <w:color w:val="000000" w:themeColor="text1"/>
          <w:szCs w:val="21"/>
        </w:rPr>
        <w:t>承担无限责任的投资；</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4）向基金管理人、基金托管人出资或者买卖其基金管理人、基金托管人发行的股票或债券；</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5）买卖与基金管理人、基金托管人有控股关系的股东或者与基金管理人、基金托管人有其他重大利害关系的公司发行的证券或者承销期内承销的证券；</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6）从事内幕交易、操纵证券价格及其他不正当的证券交易活动；</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7）当时有效的法律法规、中国证监会及《基金合同》规定禁止从事的其他行为。</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如</w:t>
      </w:r>
      <w:r w:rsidRPr="00621B7F">
        <w:rPr>
          <w:rFonts w:asciiTheme="minorEastAsia" w:eastAsiaTheme="minorEastAsia" w:hAnsiTheme="minorEastAsia"/>
          <w:color w:val="000000" w:themeColor="text1"/>
          <w:szCs w:val="21"/>
        </w:rPr>
        <w:t>法律法规或监管部门</w:t>
      </w:r>
      <w:r w:rsidRPr="00621B7F">
        <w:rPr>
          <w:rFonts w:asciiTheme="minorEastAsia" w:eastAsiaTheme="minorEastAsia" w:hAnsiTheme="minorEastAsia" w:hint="eastAsia"/>
          <w:color w:val="000000" w:themeColor="text1"/>
          <w:szCs w:val="21"/>
        </w:rPr>
        <w:t>取消上述禁止性规定，基金管理人</w:t>
      </w:r>
      <w:r w:rsidRPr="00621B7F" w:rsidR="00B70198">
        <w:rPr>
          <w:rFonts w:asciiTheme="minorEastAsia" w:eastAsiaTheme="minorEastAsia" w:hAnsiTheme="minorEastAsia" w:hint="eastAsia"/>
          <w:color w:val="000000" w:themeColor="text1"/>
        </w:rPr>
        <w:t>在履行适当程序后</w:t>
      </w:r>
      <w:r w:rsidRPr="00621B7F">
        <w:rPr>
          <w:rFonts w:asciiTheme="minorEastAsia" w:eastAsiaTheme="minorEastAsia" w:hAnsiTheme="minorEastAsia" w:hint="eastAsia"/>
          <w:color w:val="000000" w:themeColor="text1"/>
          <w:szCs w:val="21"/>
        </w:rPr>
        <w:t>可不受上述规定的限制</w:t>
      </w:r>
      <w:r w:rsidRPr="00621B7F">
        <w:rPr>
          <w:rFonts w:asciiTheme="minorEastAsia" w:eastAsiaTheme="minorEastAsia" w:hAnsiTheme="minorEastAsia"/>
          <w:color w:val="000000" w:themeColor="text1"/>
          <w:szCs w:val="21"/>
        </w:rPr>
        <w:t>。</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（4）基金托管人依据有关法律法规的规定和《基金合同》的约定对于基金关联投资限制进行监督。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根据法律法规有关基金禁止从事的关联交易的规定，基金管理人和基金托管人应事先相互提供与本机构有控股关系的股东或与本机构有其他重大利害关系的公司名单及其更新，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（5）基金托管人依据有关法律法规的规定和《基金合同》的约定对基金管理人参与银行间债券市场进行监督。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1）基金托管人依据有关法律法规的规定和《基金合同》的约定对于基金管理人参与银行间市场交易时面临的交易对手资信风险进行监督。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发出书面通知，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2）基金托管人对于基金管理人参与银行间市场交易的交易方式的控制</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（6）基金托管人对基金管理人选择存款银行进行监督。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（7）基金托管人对基金投资流通受限证券的监督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1）基金投资流通受限证券，应遵守《关于规范基金投资非公开发行证券行为的紧急通知》、《关于基金投资非公开发行股票等流通受限证券有关问题的通知》等有关法律法规规定。</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2）流通受限证券，包括由《上市公司证券发行管理办法》规范的非公开发行股票、公开发行股票网下配售部分等在发行时明确一定期限锁定期的可交易证券</w:t>
      </w:r>
      <w:r w:rsidRPr="00621B7F">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不包括由于发布重大消息或其他原因而临时停牌的证券、已发行未上市证券、回购交易中的质押券等流通受限证券。</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基金管理人应在所管理的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进行确认。</w:t>
      </w:r>
    </w:p>
    <w:p w:rsidR="00A901F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有流通受限证券市值占资产净值的比例、资金划付时间等。基金管理人应保证上述信息的真实、完整，并于拟执行投资指令前将上述信息书面发至基金托管人，保证基金托管人有足够的时间进行审核。</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如基金管理人和基金托管人无法达成一致，应及时上报中国证监会请求解决。如果基金托管人</w:t>
      </w:r>
      <w:r w:rsidRPr="00621B7F">
        <w:rPr>
          <w:rFonts w:asciiTheme="minorEastAsia" w:eastAsiaTheme="minorEastAsia" w:hAnsiTheme="minorEastAsia"/>
          <w:color w:val="000000" w:themeColor="text1"/>
          <w:szCs w:val="21"/>
        </w:rPr>
        <w:t>切实履行监督职责</w:t>
      </w:r>
      <w:r w:rsidRPr="00621B7F">
        <w:rPr>
          <w:rFonts w:asciiTheme="minorEastAsia" w:eastAsiaTheme="minorEastAsia" w:hAnsiTheme="minorEastAsia" w:hint="eastAsia"/>
          <w:color w:val="000000" w:themeColor="text1"/>
          <w:szCs w:val="21"/>
        </w:rPr>
        <w:t>，则不承担任何责任。</w:t>
      </w:r>
      <w:r w:rsidRPr="00621B7F">
        <w:rPr>
          <w:rFonts w:asciiTheme="minorEastAsia" w:eastAsiaTheme="minorEastAsia" w:hAnsiTheme="minorEastAsia"/>
          <w:color w:val="000000" w:themeColor="text1"/>
          <w:szCs w:val="21"/>
        </w:rPr>
        <w:t>如果基金托管</w:t>
      </w:r>
      <w:r w:rsidRPr="00621B7F">
        <w:rPr>
          <w:rFonts w:asciiTheme="minorEastAsia" w:eastAsiaTheme="minorEastAsia" w:hAnsiTheme="minorEastAsia" w:hint="eastAsia"/>
          <w:color w:val="000000" w:themeColor="text1"/>
          <w:szCs w:val="21"/>
        </w:rPr>
        <w:t>人</w:t>
      </w:r>
      <w:r w:rsidRPr="00621B7F">
        <w:rPr>
          <w:rFonts w:asciiTheme="minorEastAsia" w:eastAsiaTheme="minorEastAsia" w:hAnsiTheme="minorEastAsia"/>
          <w:color w:val="000000" w:themeColor="text1"/>
          <w:szCs w:val="21"/>
        </w:rPr>
        <w:t>没有切实履行监督职责，导致基金出现风险，基金托管</w:t>
      </w:r>
      <w:r w:rsidRPr="00621B7F">
        <w:rPr>
          <w:rFonts w:asciiTheme="minorEastAsia" w:eastAsiaTheme="minorEastAsia" w:hAnsiTheme="minorEastAsia" w:hint="eastAsia"/>
          <w:color w:val="000000" w:themeColor="text1"/>
          <w:szCs w:val="21"/>
        </w:rPr>
        <w:t>人</w:t>
      </w:r>
      <w:r w:rsidRPr="00621B7F">
        <w:rPr>
          <w:rFonts w:asciiTheme="minorEastAsia" w:eastAsiaTheme="minorEastAsia" w:hAnsiTheme="minorEastAsia"/>
          <w:color w:val="000000" w:themeColor="text1"/>
          <w:szCs w:val="21"/>
        </w:rPr>
        <w:t>应承担连带责任。</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1618" w:name="_Toc200523001"/>
      <w:r w:rsidRPr="00621B7F">
        <w:rPr>
          <w:rFonts w:asciiTheme="minorEastAsia" w:eastAsiaTheme="minorEastAsia" w:hAnsiTheme="minorEastAsia"/>
          <w:color w:val="000000" w:themeColor="text1"/>
          <w:szCs w:val="21"/>
        </w:rPr>
        <w:t>2</w:t>
      </w:r>
      <w:r w:rsidRPr="00621B7F" w:rsidR="007B248C">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618"/>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1619" w:name="_Toc200523002"/>
      <w:r w:rsidRPr="00621B7F">
        <w:rPr>
          <w:rFonts w:asciiTheme="minorEastAsia" w:eastAsiaTheme="minorEastAsia" w:hAnsiTheme="minorEastAsia"/>
          <w:color w:val="000000" w:themeColor="text1"/>
          <w:szCs w:val="21"/>
        </w:rPr>
        <w:t>3</w:t>
      </w:r>
      <w:r w:rsidRPr="00621B7F" w:rsidR="007B248C">
        <w:rPr>
          <w:rFonts w:asciiTheme="minorEastAsia" w:eastAsiaTheme="minorEastAsia" w:hAnsiTheme="minorEastAsia"/>
          <w:color w:val="000000" w:themeColor="text1"/>
          <w:szCs w:val="21"/>
        </w:rPr>
        <w:t>.</w:t>
      </w:r>
      <w:r w:rsidRPr="00621B7F">
        <w:rPr>
          <w:rFonts w:asciiTheme="minorEastAsia" w:eastAsiaTheme="minorEastAsia" w:hAnsiTheme="minorEastAsia" w:hint="eastAsia"/>
          <w:color w:val="000000" w:themeColor="text1"/>
          <w:szCs w:val="21"/>
        </w:rPr>
        <w:t>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bookmarkEnd w:id="1619"/>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基金托管人发现基金管理人的投资指令违反</w:t>
      </w:r>
      <w:r w:rsidRPr="00621B7F" w:rsidR="00297902">
        <w:rPr>
          <w:rFonts w:asciiTheme="minorEastAsia" w:eastAsiaTheme="minorEastAsia" w:hAnsiTheme="minorEastAsia" w:hint="eastAsia"/>
          <w:color w:val="000000" w:themeColor="text1"/>
          <w:szCs w:val="21"/>
        </w:rPr>
        <w:t>相</w:t>
      </w:r>
      <w:r w:rsidRPr="00621B7F">
        <w:rPr>
          <w:rFonts w:asciiTheme="minorEastAsia" w:eastAsiaTheme="minorEastAsia" w:hAnsiTheme="minorEastAsia" w:hint="eastAsia"/>
          <w:color w:val="000000" w:themeColor="text1"/>
          <w:szCs w:val="21"/>
        </w:rPr>
        <w:t>关法律法规规定或者违反《基金合同》约定的，应当拒绝执行，立即通知基金管理人，并向中国证监会报告。</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基金托管人发现基金管理人依据交易程序已经生效的投资指令违反法律、行政法规和其他有关规定，或者违反《基金合同》约定的，应当立即通知基金管理人，并报告中国证监会。</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基金托管人发现基金管理人有重大违规行为，应立即报告中国证监会，同时通知基金管理人限期纠正。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620" w:name="_Toc238870148"/>
      <w:bookmarkStart w:id="1621" w:name="_Toc91752126"/>
      <w:r w:rsidRPr="00621B7F">
        <w:rPr>
          <w:rFonts w:asciiTheme="minorEastAsia" w:eastAsiaTheme="minorEastAsia" w:hAnsiTheme="minorEastAsia" w:hint="eastAsia"/>
          <w:b w:val="0"/>
          <w:bCs/>
          <w:color w:val="000000" w:themeColor="text1"/>
        </w:rPr>
        <w:t>（三）</w:t>
      </w:r>
      <w:bookmarkStart w:id="1622" w:name="_Toc123705448"/>
      <w:bookmarkStart w:id="1623" w:name="_Toc124749228"/>
      <w:bookmarkStart w:id="1624" w:name="_Toc124749939"/>
      <w:bookmarkStart w:id="1625" w:name="_Toc125361076"/>
      <w:r w:rsidRPr="00621B7F">
        <w:rPr>
          <w:rFonts w:asciiTheme="minorEastAsia" w:eastAsiaTheme="minorEastAsia" w:hAnsiTheme="minorEastAsia" w:hint="eastAsia"/>
          <w:b w:val="0"/>
          <w:bCs/>
          <w:color w:val="000000" w:themeColor="text1"/>
        </w:rPr>
        <w:t>基金管理人对基金托管人的业务核查</w:t>
      </w:r>
      <w:bookmarkEnd w:id="1620"/>
      <w:bookmarkEnd w:id="1622"/>
      <w:bookmarkEnd w:id="1623"/>
      <w:bookmarkEnd w:id="1624"/>
      <w:bookmarkEnd w:id="1625"/>
      <w:bookmarkEnd w:id="1621"/>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621B7F">
        <w:rPr>
          <w:rFonts w:asciiTheme="minorEastAsia" w:eastAsiaTheme="minorEastAsia" w:hAnsiTheme="minorEastAsia" w:hint="eastAsia"/>
          <w:color w:val="000000" w:themeColor="text1"/>
          <w:kern w:val="0"/>
          <w:szCs w:val="21"/>
        </w:rPr>
        <w:t>基金管理人有义务要求基金托管人赔偿基金因此所遭受的损失。</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基金管理人发现基金托管人有重大违规行为，应立即报告中国证监会和银行业监督管理机构，同时通知基金托管人限期纠正。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基金托管人应积极配合基金管理人的核查行为，包括但不限于：提交相关资料以供基金管理人核查托管财产的完整性和真实性，在规定时间内答复基金管理人并改正。</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626" w:name="_Toc40511579"/>
      <w:bookmarkStart w:id="1627" w:name="_Toc238870149"/>
      <w:bookmarkStart w:id="1628" w:name="_Toc91752127"/>
      <w:r w:rsidRPr="00621B7F">
        <w:rPr>
          <w:rFonts w:asciiTheme="minorEastAsia" w:eastAsiaTheme="minorEastAsia" w:hAnsiTheme="minorEastAsia" w:hint="eastAsia"/>
          <w:b w:val="0"/>
          <w:bCs/>
          <w:color w:val="000000" w:themeColor="text1"/>
        </w:rPr>
        <w:t>（四）基金财产保管</w:t>
      </w:r>
      <w:bookmarkEnd w:id="1626"/>
      <w:bookmarkEnd w:id="1627"/>
      <w:bookmarkEnd w:id="1628"/>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1629" w:name="_Toc200523005"/>
      <w:bookmarkStart w:id="1630" w:name="_Toc37159173"/>
      <w:r w:rsidRPr="00621B7F">
        <w:rPr>
          <w:rFonts w:asciiTheme="minorEastAsia" w:eastAsiaTheme="minorEastAsia" w:hAnsiTheme="minorEastAsia" w:hint="eastAsia"/>
          <w:color w:val="000000" w:themeColor="text1"/>
          <w:szCs w:val="21"/>
        </w:rPr>
        <w:t>1</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基金财产保管的原则</w:t>
      </w:r>
      <w:bookmarkEnd w:id="1629"/>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（1）基金财产应独立于基金管理人、基金托管人的固有财产。</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（2）基金托管人应安全保管基金财产。未经基金管理人的正当指令，不得自行运用、处分、分配基金的任何财产。</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（3）基金托管人按照规定开设基金财产的资金账户和证券账户。</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（4）基金托管人对所托管的不同基金财产分别设置账户，与基金托管人的其他业务和其他基金的托管业务实行严格的分账管理，确保基金财产的完整与独立。</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（5）对于因基金认（申）购、基金投资过程中产生的应收财产，</w:t>
      </w:r>
      <w:r w:rsidRPr="00621B7F" w:rsidR="00244652">
        <w:rPr>
          <w:rFonts w:asciiTheme="minorEastAsia" w:eastAsiaTheme="minorEastAsia" w:hAnsiTheme="minorEastAsia" w:hint="eastAsia"/>
          <w:color w:val="000000" w:themeColor="text1"/>
          <w:szCs w:val="21"/>
        </w:rPr>
        <w:t>如基金托管人无法从公开信息获取到账日期信息的，</w:t>
      </w:r>
      <w:r w:rsidRPr="00621B7F">
        <w:rPr>
          <w:rFonts w:asciiTheme="minorEastAsia" w:eastAsiaTheme="minorEastAsia" w:hAnsiTheme="minorEastAsia" w:hint="eastAsia"/>
          <w:color w:val="000000" w:themeColor="text1"/>
          <w:szCs w:val="21"/>
        </w:rPr>
        <w:t>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1631" w:name="_Toc200523006"/>
      <w:r w:rsidRPr="00621B7F">
        <w:rPr>
          <w:rFonts w:asciiTheme="minorEastAsia" w:eastAsiaTheme="minorEastAsia" w:hAnsiTheme="minorEastAsia" w:hint="eastAsia"/>
          <w:color w:val="000000" w:themeColor="text1"/>
          <w:szCs w:val="21"/>
        </w:rPr>
        <w:t>2</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募集资金的验证</w:t>
      </w:r>
      <w:bookmarkEnd w:id="1631"/>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募集期内销售机构按销售与服务代理协议的约定，将认购资金划入基金管理人在具有托管资格的商业银行开设的易方达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621B7F">
        <w:rPr>
          <w:rFonts w:asciiTheme="minorEastAsia" w:eastAsiaTheme="minorEastAsia" w:hAnsiTheme="minorEastAsia"/>
          <w:color w:val="000000" w:themeColor="text1"/>
          <w:szCs w:val="21"/>
        </w:rPr>
        <w:t>2</w:t>
      </w:r>
      <w:r w:rsidRPr="00621B7F">
        <w:rPr>
          <w:rFonts w:asciiTheme="minorEastAsia" w:eastAsiaTheme="minorEastAsia" w:hAnsiTheme="minorEastAsia" w:hint="eastAsia"/>
          <w:color w:val="000000" w:themeColor="text1"/>
          <w:szCs w:val="21"/>
        </w:rPr>
        <w:t>名以上（含</w:t>
      </w:r>
      <w:r w:rsidRPr="00621B7F">
        <w:rPr>
          <w:rFonts w:asciiTheme="minorEastAsia" w:eastAsiaTheme="minorEastAsia" w:hAnsiTheme="minorEastAsia"/>
          <w:color w:val="000000" w:themeColor="text1"/>
          <w:szCs w:val="21"/>
        </w:rPr>
        <w:t>2</w:t>
      </w:r>
      <w:r w:rsidRPr="00621B7F">
        <w:rPr>
          <w:rFonts w:asciiTheme="minorEastAsia" w:eastAsiaTheme="minorEastAsia" w:hAnsiTheme="minorEastAsia" w:hint="eastAsia"/>
          <w:color w:val="000000" w:themeColor="text1"/>
          <w:szCs w:val="21"/>
        </w:rPr>
        <w:t>名）中国注册会计师签字有效。验资完成，基金管理人应将募集的属于本基金财产的全部资金划入基金托管人为基金开立的资产托管专户中，基金托管人在收到资金当日出具确认文件。</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若基金募集期限届满，未能达到《基金合同》生效的条件，由基金管理人按规定办理退款事宜。</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1632" w:name="_Toc200523007"/>
      <w:r w:rsidRPr="00621B7F">
        <w:rPr>
          <w:rFonts w:asciiTheme="minorEastAsia" w:eastAsiaTheme="minorEastAsia" w:hAnsiTheme="minorEastAsia" w:hint="eastAsia"/>
          <w:color w:val="000000" w:themeColor="text1"/>
          <w:szCs w:val="21"/>
        </w:rPr>
        <w:t>3</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基金的银行账户的开立和管理</w:t>
      </w:r>
      <w:bookmarkEnd w:id="1632"/>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2C517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资产托管专户的管理应符合</w:t>
      </w:r>
      <w:r w:rsidRPr="00621B7F">
        <w:rPr>
          <w:rFonts w:asciiTheme="minorEastAsia" w:eastAsiaTheme="minorEastAsia" w:hAnsiTheme="minorEastAsia"/>
          <w:color w:val="000000" w:themeColor="text1"/>
          <w:szCs w:val="21"/>
        </w:rPr>
        <w:t>《人民币银行结算账户管理办法》</w:t>
      </w:r>
      <w:r w:rsidRPr="00621B7F">
        <w:rPr>
          <w:rFonts w:asciiTheme="minorEastAsia" w:eastAsiaTheme="minorEastAsia" w:hAnsiTheme="minorEastAsia" w:hint="eastAsia"/>
          <w:color w:val="000000" w:themeColor="text1"/>
          <w:szCs w:val="21"/>
        </w:rPr>
        <w:t>、《现金管理暂行条例》、《人民币利率管理规定》、《利率管理暂行规定》、《支付结算办法》以及银行业监督管理机构的其他规定。</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1633" w:name="_Toc200523008"/>
      <w:r w:rsidRPr="00621B7F">
        <w:rPr>
          <w:rFonts w:asciiTheme="minorEastAsia" w:eastAsiaTheme="minorEastAsia" w:hAnsiTheme="minorEastAsia" w:hint="eastAsia"/>
          <w:color w:val="000000" w:themeColor="text1"/>
          <w:szCs w:val="21"/>
        </w:rPr>
        <w:t>4</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基金证券账户与证券交易资金账户的开设和管理</w:t>
      </w:r>
      <w:bookmarkEnd w:id="1633"/>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基金托管人以基金托管人和本基金联名的方式在中国证券登记结算有限公司上海分公司/深圳分公司开设证券账户。</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w:t>
      </w:r>
      <w:r w:rsidRPr="00621B7F">
        <w:rPr>
          <w:rFonts w:asciiTheme="minorEastAsia" w:eastAsiaTheme="minorEastAsia" w:hAnsiTheme="minorEastAsia"/>
          <w:color w:val="000000" w:themeColor="text1"/>
          <w:szCs w:val="21"/>
        </w:rPr>
        <w:t>以</w:t>
      </w:r>
      <w:r w:rsidRPr="00621B7F">
        <w:rPr>
          <w:rFonts w:asciiTheme="minorEastAsia" w:eastAsiaTheme="minorEastAsia" w:hAnsiTheme="minorEastAsia" w:hint="eastAsia"/>
          <w:color w:val="000000" w:themeColor="text1"/>
          <w:szCs w:val="21"/>
        </w:rPr>
        <w:t>基金托管人的名义在中国证券登记结算有限责任公司上海分公司/深圳分公司开立基金证券交易资金账户，用于证券清算。</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1634" w:name="_Toc200523009"/>
      <w:r w:rsidRPr="00621B7F">
        <w:rPr>
          <w:rFonts w:asciiTheme="minorEastAsia" w:eastAsiaTheme="minorEastAsia" w:hAnsiTheme="minorEastAsia" w:hint="eastAsia"/>
          <w:color w:val="000000" w:themeColor="text1"/>
          <w:szCs w:val="21"/>
        </w:rPr>
        <w:t>5</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债券托管账户的开立和管理</w:t>
      </w:r>
      <w:bookmarkEnd w:id="1634"/>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（2）基金管理人和基金托管人应一起负责为基金对外签订全国银行间国债市场回购主协议，正本由基金托管人保管，基金管理人保存副本。</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其他账户的开设和管理</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1635" w:name="_Toc200523010"/>
      <w:r w:rsidRPr="00621B7F">
        <w:rPr>
          <w:rFonts w:asciiTheme="minorEastAsia" w:eastAsiaTheme="minorEastAsia" w:hAnsiTheme="minorEastAsia" w:hint="eastAsia"/>
          <w:color w:val="000000" w:themeColor="text1"/>
          <w:szCs w:val="21"/>
        </w:rPr>
        <w:t>7</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基金财产投资的有关实物证券、银行定期存款存单等有价凭证的保管</w:t>
      </w:r>
      <w:bookmarkEnd w:id="1635"/>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实物证券不承担保管责任。</w:t>
      </w:r>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bookmarkStart w:id="1636" w:name="_Toc37159180"/>
      <w:bookmarkStart w:id="1637" w:name="_Toc200523011"/>
      <w:r w:rsidRPr="00621B7F">
        <w:rPr>
          <w:rFonts w:asciiTheme="minorEastAsia" w:eastAsiaTheme="minorEastAsia" w:hAnsiTheme="minorEastAsia" w:hint="eastAsia"/>
          <w:color w:val="000000" w:themeColor="text1"/>
          <w:szCs w:val="21"/>
        </w:rPr>
        <w:t>8</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与基金财产有关的重大合同的保管</w:t>
      </w:r>
      <w:bookmarkEnd w:id="1636"/>
      <w:bookmarkEnd w:id="1637"/>
    </w:p>
    <w:p w:rsidR="00454249"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10个工作日内通过专人送达、挂号邮寄等安全方式将合同原件送达基金托管人处。合同原件应存放于基金管理人和基金托管人各自文件保管部门15年以上。</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638" w:name="_Toc238870150"/>
      <w:bookmarkStart w:id="1639" w:name="_Toc91752128"/>
      <w:bookmarkEnd w:id="1630"/>
      <w:r w:rsidRPr="00621B7F">
        <w:rPr>
          <w:rFonts w:asciiTheme="minorEastAsia" w:eastAsiaTheme="minorEastAsia" w:hAnsiTheme="minorEastAsia" w:hint="eastAsia"/>
          <w:b w:val="0"/>
          <w:bCs/>
          <w:color w:val="000000" w:themeColor="text1"/>
        </w:rPr>
        <w:t>（五）基金资产净值计算与复核</w:t>
      </w:r>
      <w:bookmarkEnd w:id="1638"/>
      <w:bookmarkEnd w:id="1639"/>
    </w:p>
    <w:p w:rsidR="001E0F54"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基金资产净值是指基金资产总值减去负债后的价值。基金份额净值是指计算日基金资产净值除以该计算日基金份额总份额后的数值。</w:t>
      </w:r>
      <w:r w:rsidRPr="00621B7F" w:rsidR="00B83B70">
        <w:rPr>
          <w:rFonts w:asciiTheme="minorEastAsia" w:eastAsiaTheme="minorEastAsia" w:hAnsiTheme="minorEastAsia" w:hint="eastAsia"/>
          <w:color w:val="000000" w:themeColor="text1"/>
          <w:szCs w:val="21"/>
        </w:rPr>
        <w:t>基金份额净值的计算保留到小数点后4位，小数点后第5位四舍五入</w:t>
      </w:r>
      <w:r w:rsidRPr="00621B7F" w:rsidR="003B1B88">
        <w:rPr>
          <w:rFonts w:asciiTheme="minorEastAsia" w:eastAsiaTheme="minorEastAsia" w:hAnsiTheme="minorEastAsia" w:hint="eastAsia"/>
          <w:color w:val="000000" w:themeColor="text1"/>
          <w:szCs w:val="21"/>
        </w:rPr>
        <w:t>。本基金各类基金份额将分别计算基金份额净值</w:t>
      </w:r>
      <w:r w:rsidRPr="00621B7F">
        <w:rPr>
          <w:rFonts w:asciiTheme="minorEastAsia" w:eastAsiaTheme="minorEastAsia" w:hAnsiTheme="minorEastAsia" w:hint="eastAsia"/>
          <w:color w:val="000000" w:themeColor="text1"/>
          <w:szCs w:val="21"/>
        </w:rPr>
        <w:t>。</w:t>
      </w:r>
    </w:p>
    <w:p w:rsidR="001814D4"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管理人应每工作日对基金资产估值。估值原则应符合法律法规和《基金合同》的规定。用于基金信息披露的基金资产净值和基金份额净值由基金管理人负责计算，基金托管人复核。基金管理人应于每个工作日交易结束后计算当日的</w:t>
      </w:r>
      <w:r w:rsidRPr="00621B7F" w:rsidR="003B1B88">
        <w:rPr>
          <w:rFonts w:asciiTheme="minorEastAsia" w:eastAsiaTheme="minorEastAsia" w:hAnsiTheme="minorEastAsia" w:hint="eastAsia"/>
          <w:color w:val="000000" w:themeColor="text1"/>
          <w:szCs w:val="21"/>
        </w:rPr>
        <w:t>各类</w:t>
      </w:r>
      <w:r w:rsidRPr="00621B7F">
        <w:rPr>
          <w:rFonts w:asciiTheme="minorEastAsia" w:eastAsiaTheme="minorEastAsia" w:hAnsiTheme="minorEastAsia" w:hint="eastAsia"/>
          <w:color w:val="000000" w:themeColor="text1"/>
          <w:szCs w:val="21"/>
        </w:rPr>
        <w:t>基金份额净值并以传真方式发送给基金托管人。基金托管人对净值计算结果复核后，签名、盖章并以传真方式传送给基金管理人，由基金管理人对基金净值予以公布。</w:t>
      </w:r>
    </w:p>
    <w:p w:rsidR="009040CC"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资产净值计算和基金会计核算的义务由基金管理人承担。因此，就与本基金有关的会计问题，本基金的主会计责任方是基金管理人，如经相关各方在平等基础上充分讨论后，仍无法达成一致的意见，按照基金管理人对基金资产净值的计算结果对外予以公布。</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szCs w:val="21"/>
        </w:rPr>
        <w:t>4</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rPr>
        <w:t>本基金的估值方法为：</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（1）证券交易所上市的有价证券的估值</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1814D4">
        <w:rPr>
          <w:rFonts w:asciiTheme="minorEastAsia" w:eastAsiaTheme="minorEastAsia" w:hAnsiTheme="minorEastAsia" w:hint="eastAsia"/>
          <w:color w:val="000000" w:themeColor="text1"/>
          <w:szCs w:val="21"/>
        </w:rPr>
        <w:t>交易所上市的有价证券（包括股票、权证等），以其估值日在证券交易所挂牌的收盘价估值；估值日无交易的，且最近交易日后经济环境未发生重大变化，以最近交易日的收盘价估值；如最近交易日后经济环境发生了重大变化的，可参考类似投资品种的现行市价及重大变化因素，调整最近交易收盘价，确定公允价格。</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1814D4">
        <w:rPr>
          <w:rFonts w:asciiTheme="minorEastAsia" w:eastAsiaTheme="minorEastAsia" w:hAnsiTheme="minorEastAsia" w:hint="eastAsia"/>
          <w:color w:val="000000" w:themeColor="text1"/>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收盘价，确定公允价格；</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1814D4">
        <w:rPr>
          <w:rFonts w:asciiTheme="minorEastAsia" w:eastAsiaTheme="minorEastAsia" w:hAnsiTheme="minorEastAsia" w:hint="eastAsia"/>
          <w:color w:val="000000" w:themeColor="text1"/>
          <w:szCs w:val="21"/>
        </w:rPr>
        <w:t>交易所上市未实行净价交易的债券按估值日收盘价减去债券收盘价中所含的债券应收利息得到的净价进行估值；估值日没有交易的，且最近交易日后经济环境未发生重大变化，按最近交易日采用的净价进行估值。如最近交易日后经济环境发生了重大变化的，可参考类似投资品种的现行市价及重大变化因素，调整最近交易日所采用的净价，确定公允价格；</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4）交易所上市不存在活跃市场的有价证券，采用估值技术确定公允价值。交易所上市的资产支持证券，采用估值技术确定公允价值，在估值技术难以可靠计量公允价值的情况下，按成本估值。</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（2）处于未上市期间的有价证券应区分如下情况处理：</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1814D4">
        <w:rPr>
          <w:rFonts w:asciiTheme="minorEastAsia" w:eastAsiaTheme="minorEastAsia" w:hAnsiTheme="minorEastAsia" w:hint="eastAsia"/>
          <w:color w:val="000000" w:themeColor="text1"/>
          <w:szCs w:val="21"/>
        </w:rPr>
        <w:t>送股、转增股、配股和公开增发的新股，按估值日在证券交易所挂牌的同一股票的估值价格估值</w:t>
      </w:r>
      <w:r w:rsidRPr="00621B7F">
        <w:rPr>
          <w:rFonts w:asciiTheme="minorEastAsia" w:eastAsiaTheme="minorEastAsia" w:hAnsiTheme="minorEastAsia" w:hint="eastAsia"/>
          <w:color w:val="000000" w:themeColor="text1"/>
          <w:szCs w:val="21"/>
        </w:rPr>
        <w:t>；</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2）首次公开发行未上市的股票、债券和权证，采用估值技术确定公允价值，在估值技术难以可靠计量公允价值的情况下，按成本估值。</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w:t>
      </w:r>
      <w:r w:rsidRPr="00621B7F" w:rsidR="001814D4">
        <w:rPr>
          <w:rFonts w:asciiTheme="minorEastAsia" w:eastAsiaTheme="minorEastAsia" w:hAnsiTheme="minorEastAsia" w:hint="eastAsia"/>
          <w:color w:val="000000" w:themeColor="text1"/>
          <w:szCs w:val="21"/>
        </w:rPr>
        <w:t>首次公开发行有明确锁定期的股票，同一股票在交易所上市后，按交易所上市的同一股票的估值价格估值；非公开发行有明确锁定期的股票，按监管机构或行业协会有关规定确定公允价值。</w:t>
      </w:r>
    </w:p>
    <w:p w:rsidR="009040CC"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5E32D0">
        <w:rPr>
          <w:rFonts w:asciiTheme="minorEastAsia" w:eastAsiaTheme="minorEastAsia" w:hAnsiTheme="minorEastAsia" w:hint="eastAsia"/>
          <w:color w:val="000000" w:themeColor="text1"/>
          <w:szCs w:val="21"/>
        </w:rPr>
        <w:t>3</w:t>
      </w:r>
      <w:r w:rsidRPr="00621B7F">
        <w:rPr>
          <w:rFonts w:asciiTheme="minorEastAsia" w:eastAsiaTheme="minorEastAsia" w:hAnsiTheme="minorEastAsia" w:hint="eastAsia"/>
          <w:color w:val="000000" w:themeColor="text1"/>
          <w:szCs w:val="21"/>
        </w:rPr>
        <w:t>）上证中盘ETF按估值日该基金份额净值估值；若估值日非证券交易所的营业日，以该基金最近工作日的基金份额净值估值。</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（4）因持有股票而享有的配股权，以及停止交易、但未行权的权证，采用估值技术确定公允价值。</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9040CC">
        <w:rPr>
          <w:rFonts w:asciiTheme="minorEastAsia" w:eastAsiaTheme="minorEastAsia" w:hAnsiTheme="minorEastAsia" w:hint="eastAsia"/>
          <w:color w:val="000000" w:themeColor="text1"/>
          <w:szCs w:val="21"/>
        </w:rPr>
        <w:t>5</w:t>
      </w:r>
      <w:r w:rsidRPr="00621B7F">
        <w:rPr>
          <w:rFonts w:asciiTheme="minorEastAsia" w:eastAsiaTheme="minorEastAsia" w:hAnsiTheme="minorEastAsia" w:hint="eastAsia"/>
          <w:color w:val="000000" w:themeColor="text1"/>
          <w:szCs w:val="21"/>
        </w:rPr>
        <w:t>）全国银行间债券市场交易的债券、资产支持证券等固定收益品种，采用估值技术确定公允价值。</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9040CC">
        <w:rPr>
          <w:rFonts w:asciiTheme="minorEastAsia" w:eastAsiaTheme="minorEastAsia" w:hAnsiTheme="minorEastAsia" w:hint="eastAsia"/>
          <w:color w:val="000000" w:themeColor="text1"/>
          <w:szCs w:val="21"/>
        </w:rPr>
        <w:t>6</w:t>
      </w:r>
      <w:r w:rsidRPr="00621B7F">
        <w:rPr>
          <w:rFonts w:asciiTheme="minorEastAsia" w:eastAsiaTheme="minorEastAsia" w:hAnsiTheme="minorEastAsia" w:hint="eastAsia"/>
          <w:color w:val="000000" w:themeColor="text1"/>
          <w:szCs w:val="21"/>
        </w:rPr>
        <w:t>）同一债券同时在两个或两个以上市场交易的，按债券所处的市场分别估值。</w:t>
      </w:r>
    </w:p>
    <w:p w:rsidR="00DD01DC"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（7）本基金投资存托凭证的估值核算，依照境内上市交易的股票执行。</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DD01DC">
        <w:rPr>
          <w:rFonts w:asciiTheme="minorEastAsia" w:eastAsiaTheme="minorEastAsia" w:hAnsiTheme="minorEastAsia" w:hint="eastAsia"/>
          <w:color w:val="000000" w:themeColor="text1"/>
          <w:szCs w:val="21"/>
        </w:rPr>
        <w:t>8</w:t>
      </w:r>
      <w:r w:rsidRPr="00621B7F">
        <w:rPr>
          <w:rFonts w:asciiTheme="minorEastAsia" w:eastAsiaTheme="minorEastAsia" w:hAnsiTheme="minorEastAsia" w:hint="eastAsia"/>
          <w:color w:val="000000" w:themeColor="text1"/>
          <w:szCs w:val="21"/>
        </w:rPr>
        <w:t>）如有确凿证据表明按上述方法进行估值不能客观反映其公允价值的，基金管理人可根据具体情况与基金托管人商定后，按最能反映公允价值的价格估值。</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DD01DC">
        <w:rPr>
          <w:rFonts w:asciiTheme="minorEastAsia" w:eastAsiaTheme="minorEastAsia" w:hAnsiTheme="minorEastAsia" w:hint="eastAsia"/>
          <w:color w:val="000000" w:themeColor="text1"/>
          <w:szCs w:val="21"/>
        </w:rPr>
        <w:t>9</w:t>
      </w:r>
      <w:r w:rsidRPr="00621B7F">
        <w:rPr>
          <w:rFonts w:asciiTheme="minorEastAsia" w:eastAsiaTheme="minorEastAsia" w:hAnsiTheme="minorEastAsia" w:hint="eastAsia"/>
          <w:color w:val="000000" w:themeColor="text1"/>
          <w:szCs w:val="21"/>
        </w:rPr>
        <w:t>）相关法律法规以及监管部门有强制规定的，从其规定。如有新增事项，按国家最新规定估值。</w:t>
      </w:r>
    </w:p>
    <w:p w:rsidR="005E32D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1640" w:name="_Toc238870151"/>
      <w:bookmarkStart w:id="1641" w:name="_Toc91752129"/>
      <w:r w:rsidRPr="00621B7F">
        <w:rPr>
          <w:rFonts w:asciiTheme="minorEastAsia" w:eastAsiaTheme="minorEastAsia" w:hAnsiTheme="minorEastAsia" w:hint="eastAsia"/>
          <w:b w:val="0"/>
          <w:bCs/>
          <w:color w:val="000000" w:themeColor="text1"/>
        </w:rPr>
        <w:t>（六）基金份额持有人名册的保管</w:t>
      </w:r>
      <w:bookmarkEnd w:id="1640"/>
      <w:bookmarkEnd w:id="1641"/>
    </w:p>
    <w:p w:rsidR="000F7A8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0F7A8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0F7A8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0F7A8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基金托管人以电子版形式妥善保管基金份额持有人名册，并定期刻成光盘备份，保存期限为15年。基金托管人不得将所保管的基金份额持有人名册用于基金托管业务以外的其他用途，并应遵守保密义务。</w:t>
      </w:r>
    </w:p>
    <w:p w:rsidR="000F7A80"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若基金管理人或基金托管人由于自身原因无法妥善保管基金份额持有人名册，应按有关法规规定各自承担相应的责任。</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1642" w:name="_Toc238870152"/>
      <w:bookmarkStart w:id="1643" w:name="_Toc91752130"/>
      <w:r w:rsidRPr="00621B7F">
        <w:rPr>
          <w:rFonts w:asciiTheme="minorEastAsia" w:eastAsiaTheme="minorEastAsia" w:hAnsiTheme="minorEastAsia" w:hint="eastAsia"/>
          <w:b w:val="0"/>
          <w:bCs/>
          <w:color w:val="000000" w:themeColor="text1"/>
        </w:rPr>
        <w:t>（</w:t>
      </w:r>
      <w:r w:rsidRPr="00621B7F" w:rsidR="00B2203C">
        <w:rPr>
          <w:rFonts w:asciiTheme="minorEastAsia" w:eastAsiaTheme="minorEastAsia" w:hAnsiTheme="minorEastAsia" w:hint="eastAsia"/>
          <w:b w:val="0"/>
          <w:bCs/>
          <w:color w:val="000000" w:themeColor="text1"/>
        </w:rPr>
        <w:t>七</w:t>
      </w:r>
      <w:r w:rsidRPr="00621B7F">
        <w:rPr>
          <w:rFonts w:asciiTheme="minorEastAsia" w:eastAsiaTheme="minorEastAsia" w:hAnsiTheme="minorEastAsia" w:hint="eastAsia"/>
          <w:b w:val="0"/>
          <w:bCs/>
          <w:color w:val="000000" w:themeColor="text1"/>
        </w:rPr>
        <w:t>）争议解决方式</w:t>
      </w:r>
      <w:bookmarkEnd w:id="1642"/>
      <w:bookmarkEnd w:id="1643"/>
    </w:p>
    <w:p w:rsidR="00B57B63"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B57B63"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争议处理期间，相关各方当事人应恪守基金管理人和基金托管人职责，继续忠实、勤勉、尽责地履行《基金合同》和托管协议规定的义务，维护基金份额持有人的合法权益。</w:t>
      </w:r>
    </w:p>
    <w:p w:rsidR="00B57B63"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本协议受中国法律管辖。</w:t>
      </w:r>
    </w:p>
    <w:p w:rsidR="00266A27" w:rsidRPr="00621B7F" w:rsidP="00A32B85">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1644" w:name="_Toc238870153"/>
      <w:bookmarkStart w:id="1645" w:name="_Toc91752131"/>
      <w:r w:rsidRPr="00621B7F">
        <w:rPr>
          <w:rFonts w:asciiTheme="minorEastAsia" w:eastAsiaTheme="minorEastAsia" w:hAnsiTheme="minorEastAsia" w:hint="eastAsia"/>
          <w:b w:val="0"/>
          <w:bCs/>
          <w:color w:val="000000" w:themeColor="text1"/>
        </w:rPr>
        <w:t>（</w:t>
      </w:r>
      <w:r w:rsidRPr="00621B7F" w:rsidR="00B2203C">
        <w:rPr>
          <w:rFonts w:asciiTheme="minorEastAsia" w:eastAsiaTheme="minorEastAsia" w:hAnsiTheme="minorEastAsia" w:hint="eastAsia"/>
          <w:b w:val="0"/>
          <w:bCs/>
          <w:color w:val="000000" w:themeColor="text1"/>
        </w:rPr>
        <w:t>八</w:t>
      </w:r>
      <w:r w:rsidRPr="00621B7F">
        <w:rPr>
          <w:rFonts w:asciiTheme="minorEastAsia" w:eastAsiaTheme="minorEastAsia" w:hAnsiTheme="minorEastAsia" w:hint="eastAsia"/>
          <w:b w:val="0"/>
          <w:bCs/>
          <w:color w:val="000000" w:themeColor="text1"/>
        </w:rPr>
        <w:t>）托管协议的变更与终止</w:t>
      </w:r>
      <w:bookmarkEnd w:id="1644"/>
      <w:bookmarkEnd w:id="1645"/>
    </w:p>
    <w:p w:rsidR="00B57B63"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1</w:t>
      </w:r>
      <w:r w:rsidRPr="00621B7F" w:rsidR="007B248C">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本协议双方当事人经协商一致，可以对协议的内容进行变更。变更后的托管协议，其内容不得与《基金合同》的规定有任何冲突。基金托管协议的变更报中国证监会核准后生效。</w:t>
      </w:r>
    </w:p>
    <w:p w:rsidR="00266A27" w:rsidRPr="00621B7F" w:rsidP="00241F10">
      <w:pPr>
        <w:snapToGrid w:val="0"/>
        <w:spacing w:line="360" w:lineRule="auto"/>
        <w:ind w:right="28"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color w:val="000000" w:themeColor="text1"/>
          <w:szCs w:val="21"/>
        </w:rPr>
        <w:t>2</w:t>
      </w:r>
      <w:r w:rsidRPr="00621B7F">
        <w:rPr>
          <w:rFonts w:asciiTheme="minorEastAsia" w:eastAsiaTheme="minorEastAsia" w:hAnsiTheme="minorEastAsia" w:hint="eastAsia"/>
          <w:color w:val="000000" w:themeColor="text1"/>
          <w:szCs w:val="21"/>
        </w:rPr>
        <w:t>发生以下情况，本托管协议终止：</w:t>
      </w:r>
    </w:p>
    <w:p w:rsidR="00B57B63"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（1）《基金合同》终止；</w:t>
      </w:r>
    </w:p>
    <w:p w:rsidR="00B57B63"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（2）基金托管人解散、依法被撤销、破产或有其他基金托管人接管基金财产；</w:t>
      </w:r>
    </w:p>
    <w:p w:rsidR="00B57B63"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（3）基金管理人解散、依法被撤销、破产或有其他基金管理人接管基金管理权；</w:t>
      </w:r>
    </w:p>
    <w:p w:rsidR="00B57B63" w:rsidRPr="00621B7F" w:rsidP="00241F10">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（4）发生法律法规或《基金合同》规定的终止事项。</w:t>
      </w:r>
    </w:p>
    <w:p w:rsidR="006C70E9" w:rsidRPr="00621B7F" w:rsidP="00A32B85">
      <w:pPr>
        <w:pStyle w:val="Heading1"/>
        <w:snapToGrid w:val="0"/>
        <w:spacing w:beforeLines="0" w:afterLines="0" w:line="360" w:lineRule="auto"/>
        <w:ind w:firstLine="0" w:firstLineChars="0"/>
        <w:rPr>
          <w:rFonts w:asciiTheme="minorEastAsia" w:eastAsiaTheme="minorEastAsia" w:hAnsiTheme="minorEastAsia"/>
          <w:b/>
          <w:bCs/>
          <w:color w:val="000000" w:themeColor="text1"/>
        </w:rPr>
        <w:sectPr w:rsidSect="006B7524">
          <w:pgSz w:w="11907" w:h="16840" w:code="9"/>
          <w:pgMar w:top="1440" w:right="1800" w:bottom="1440" w:left="1800" w:header="1134" w:footer="1247" w:gutter="0"/>
          <w:cols w:space="425"/>
          <w:docGrid w:type="lines" w:linePitch="312"/>
        </w:sectPr>
      </w:pP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1646" w:name="_Toc91752132"/>
      <w:r w:rsidRPr="00621B7F">
        <w:rPr>
          <w:rFonts w:asciiTheme="minorEastAsia" w:eastAsiaTheme="minorEastAsia" w:hAnsiTheme="minorEastAsia" w:hint="eastAsia"/>
          <w:bCs/>
          <w:color w:val="000000" w:themeColor="text1"/>
        </w:rPr>
        <w:t>二</w:t>
      </w:r>
      <w:bookmarkStart w:id="1647" w:name="_Toc38438238"/>
      <w:bookmarkStart w:id="1648" w:name="_Toc38438575"/>
      <w:bookmarkStart w:id="1649" w:name="_Toc38438912"/>
      <w:bookmarkStart w:id="1650" w:name="_Toc38439249"/>
      <w:bookmarkStart w:id="1651" w:name="_Toc38439586"/>
      <w:bookmarkStart w:id="1652" w:name="_Toc38439923"/>
      <w:bookmarkStart w:id="1653" w:name="_Toc38440260"/>
      <w:bookmarkStart w:id="1654" w:name="_Toc38440597"/>
      <w:bookmarkStart w:id="1655" w:name="_Toc38440796"/>
      <w:bookmarkStart w:id="1656" w:name="_Toc38441129"/>
      <w:bookmarkStart w:id="1657" w:name="_Toc38441461"/>
      <w:bookmarkStart w:id="1658" w:name="_Toc38441793"/>
      <w:bookmarkStart w:id="1659" w:name="_Toc38442121"/>
      <w:bookmarkStart w:id="1660" w:name="_Toc38442453"/>
      <w:bookmarkStart w:id="1661" w:name="_Toc38442785"/>
      <w:bookmarkStart w:id="1662" w:name="_Toc38443116"/>
      <w:bookmarkStart w:id="1663" w:name="_Toc38443447"/>
      <w:bookmarkStart w:id="1664" w:name="_Toc38443778"/>
      <w:bookmarkStart w:id="1665" w:name="_Toc38438239"/>
      <w:bookmarkStart w:id="1666" w:name="_Toc38438576"/>
      <w:bookmarkStart w:id="1667" w:name="_Toc38438913"/>
      <w:bookmarkStart w:id="1668" w:name="_Toc38439250"/>
      <w:bookmarkStart w:id="1669" w:name="_Toc38439587"/>
      <w:bookmarkStart w:id="1670" w:name="_Toc38439924"/>
      <w:bookmarkStart w:id="1671" w:name="_Toc38440261"/>
      <w:bookmarkStart w:id="1672" w:name="_Toc38440598"/>
      <w:bookmarkStart w:id="1673" w:name="_Toc38440797"/>
      <w:bookmarkStart w:id="1674" w:name="_Toc38441130"/>
      <w:bookmarkStart w:id="1675" w:name="_Toc38441462"/>
      <w:bookmarkStart w:id="1676" w:name="_Toc38441794"/>
      <w:bookmarkStart w:id="1677" w:name="_Toc38442122"/>
      <w:bookmarkStart w:id="1678" w:name="_Toc38442454"/>
      <w:bookmarkStart w:id="1679" w:name="_Toc38442786"/>
      <w:bookmarkStart w:id="1680" w:name="_Toc38443117"/>
      <w:bookmarkStart w:id="1681" w:name="_Toc38443448"/>
      <w:bookmarkStart w:id="1682" w:name="_Toc38443779"/>
      <w:bookmarkStart w:id="1683" w:name="_Toc38438240"/>
      <w:bookmarkStart w:id="1684" w:name="_Toc38438577"/>
      <w:bookmarkStart w:id="1685" w:name="_Toc38438914"/>
      <w:bookmarkStart w:id="1686" w:name="_Toc38439251"/>
      <w:bookmarkStart w:id="1687" w:name="_Toc38439588"/>
      <w:bookmarkStart w:id="1688" w:name="_Toc38439925"/>
      <w:bookmarkStart w:id="1689" w:name="_Toc38440262"/>
      <w:bookmarkStart w:id="1690" w:name="_Toc38440599"/>
      <w:bookmarkStart w:id="1691" w:name="_Toc38440798"/>
      <w:bookmarkStart w:id="1692" w:name="_Toc38441131"/>
      <w:bookmarkStart w:id="1693" w:name="_Toc38441463"/>
      <w:bookmarkStart w:id="1694" w:name="_Toc38441795"/>
      <w:bookmarkStart w:id="1695" w:name="_Toc38442123"/>
      <w:bookmarkStart w:id="1696" w:name="_Toc38442455"/>
      <w:bookmarkStart w:id="1697" w:name="_Toc38442787"/>
      <w:bookmarkStart w:id="1698" w:name="_Toc38443118"/>
      <w:bookmarkStart w:id="1699" w:name="_Toc38443449"/>
      <w:bookmarkStart w:id="1700" w:name="_Toc38443780"/>
      <w:bookmarkStart w:id="1701" w:name="_Toc38438241"/>
      <w:bookmarkStart w:id="1702" w:name="_Toc38438578"/>
      <w:bookmarkStart w:id="1703" w:name="_Toc38438915"/>
      <w:bookmarkStart w:id="1704" w:name="_Toc38439252"/>
      <w:bookmarkStart w:id="1705" w:name="_Toc38439589"/>
      <w:bookmarkStart w:id="1706" w:name="_Toc38439926"/>
      <w:bookmarkStart w:id="1707" w:name="_Toc38440263"/>
      <w:bookmarkStart w:id="1708" w:name="_Toc38440600"/>
      <w:bookmarkStart w:id="1709" w:name="_Toc38440799"/>
      <w:bookmarkStart w:id="1710" w:name="_Toc38441132"/>
      <w:bookmarkStart w:id="1711" w:name="_Toc38441464"/>
      <w:bookmarkStart w:id="1712" w:name="_Toc38441796"/>
      <w:bookmarkStart w:id="1713" w:name="_Toc38442124"/>
      <w:bookmarkStart w:id="1714" w:name="_Toc38442456"/>
      <w:bookmarkStart w:id="1715" w:name="_Toc38442788"/>
      <w:bookmarkStart w:id="1716" w:name="_Toc38443119"/>
      <w:bookmarkStart w:id="1717" w:name="_Toc38443450"/>
      <w:bookmarkStart w:id="1718" w:name="_Toc38443781"/>
      <w:bookmarkStart w:id="1719" w:name="_Toc38438242"/>
      <w:bookmarkStart w:id="1720" w:name="_Toc38438579"/>
      <w:bookmarkStart w:id="1721" w:name="_Toc38438916"/>
      <w:bookmarkStart w:id="1722" w:name="_Toc38439253"/>
      <w:bookmarkStart w:id="1723" w:name="_Toc38439590"/>
      <w:bookmarkStart w:id="1724" w:name="_Toc38439927"/>
      <w:bookmarkStart w:id="1725" w:name="_Toc38440264"/>
      <w:bookmarkStart w:id="1726" w:name="_Toc38440601"/>
      <w:bookmarkStart w:id="1727" w:name="_Toc38440800"/>
      <w:bookmarkStart w:id="1728" w:name="_Toc38441133"/>
      <w:bookmarkStart w:id="1729" w:name="_Toc38441465"/>
      <w:bookmarkStart w:id="1730" w:name="_Toc38441797"/>
      <w:bookmarkStart w:id="1731" w:name="_Toc38442125"/>
      <w:bookmarkStart w:id="1732" w:name="_Toc38442457"/>
      <w:bookmarkStart w:id="1733" w:name="_Toc38442789"/>
      <w:bookmarkStart w:id="1734" w:name="_Toc38443120"/>
      <w:bookmarkStart w:id="1735" w:name="_Toc38443451"/>
      <w:bookmarkStart w:id="1736" w:name="_Toc38443782"/>
      <w:bookmarkStart w:id="1737" w:name="_Toc38438243"/>
      <w:bookmarkStart w:id="1738" w:name="_Toc38438580"/>
      <w:bookmarkStart w:id="1739" w:name="_Toc38438917"/>
      <w:bookmarkStart w:id="1740" w:name="_Toc38439254"/>
      <w:bookmarkStart w:id="1741" w:name="_Toc38439591"/>
      <w:bookmarkStart w:id="1742" w:name="_Toc38439928"/>
      <w:bookmarkStart w:id="1743" w:name="_Toc38440265"/>
      <w:bookmarkStart w:id="1744" w:name="_Toc38440602"/>
      <w:bookmarkStart w:id="1745" w:name="_Toc38440801"/>
      <w:bookmarkStart w:id="1746" w:name="_Toc38441134"/>
      <w:bookmarkStart w:id="1747" w:name="_Toc38441466"/>
      <w:bookmarkStart w:id="1748" w:name="_Toc38441798"/>
      <w:bookmarkStart w:id="1749" w:name="_Toc38442126"/>
      <w:bookmarkStart w:id="1750" w:name="_Toc38442458"/>
      <w:bookmarkStart w:id="1751" w:name="_Toc38442790"/>
      <w:bookmarkStart w:id="1752" w:name="_Toc38443121"/>
      <w:bookmarkStart w:id="1753" w:name="_Toc38443452"/>
      <w:bookmarkStart w:id="1754" w:name="_Toc38443783"/>
      <w:bookmarkStart w:id="1755" w:name="_Toc38438244"/>
      <w:bookmarkStart w:id="1756" w:name="_Toc38438581"/>
      <w:bookmarkStart w:id="1757" w:name="_Toc38438918"/>
      <w:bookmarkStart w:id="1758" w:name="_Toc38439255"/>
      <w:bookmarkStart w:id="1759" w:name="_Toc38439592"/>
      <w:bookmarkStart w:id="1760" w:name="_Toc38439929"/>
      <w:bookmarkStart w:id="1761" w:name="_Toc38440266"/>
      <w:bookmarkStart w:id="1762" w:name="_Toc38440603"/>
      <w:bookmarkStart w:id="1763" w:name="_Toc38440802"/>
      <w:bookmarkStart w:id="1764" w:name="_Toc38441135"/>
      <w:bookmarkStart w:id="1765" w:name="_Toc38441467"/>
      <w:bookmarkStart w:id="1766" w:name="_Toc38441799"/>
      <w:bookmarkStart w:id="1767" w:name="_Toc38442127"/>
      <w:bookmarkStart w:id="1768" w:name="_Toc38442459"/>
      <w:bookmarkStart w:id="1769" w:name="_Toc38442791"/>
      <w:bookmarkStart w:id="1770" w:name="_Toc38443122"/>
      <w:bookmarkStart w:id="1771" w:name="_Toc38443453"/>
      <w:bookmarkStart w:id="1772" w:name="_Toc38443784"/>
      <w:bookmarkStart w:id="1773" w:name="_Toc38438245"/>
      <w:bookmarkStart w:id="1774" w:name="_Toc38438582"/>
      <w:bookmarkStart w:id="1775" w:name="_Toc38438919"/>
      <w:bookmarkStart w:id="1776" w:name="_Toc38439256"/>
      <w:bookmarkStart w:id="1777" w:name="_Toc38439593"/>
      <w:bookmarkStart w:id="1778" w:name="_Toc38439930"/>
      <w:bookmarkStart w:id="1779" w:name="_Toc38440267"/>
      <w:bookmarkStart w:id="1780" w:name="_Toc38440604"/>
      <w:bookmarkStart w:id="1781" w:name="_Toc38440803"/>
      <w:bookmarkStart w:id="1782" w:name="_Toc38441136"/>
      <w:bookmarkStart w:id="1783" w:name="_Toc38441468"/>
      <w:bookmarkStart w:id="1784" w:name="_Toc38441800"/>
      <w:bookmarkStart w:id="1785" w:name="_Toc38442128"/>
      <w:bookmarkStart w:id="1786" w:name="_Toc38442460"/>
      <w:bookmarkStart w:id="1787" w:name="_Toc38442792"/>
      <w:bookmarkStart w:id="1788" w:name="_Toc38443123"/>
      <w:bookmarkStart w:id="1789" w:name="_Toc38443454"/>
      <w:bookmarkStart w:id="1790" w:name="_Toc38443785"/>
      <w:bookmarkStart w:id="1791" w:name="_Toc38438246"/>
      <w:bookmarkStart w:id="1792" w:name="_Toc38438583"/>
      <w:bookmarkStart w:id="1793" w:name="_Toc38438920"/>
      <w:bookmarkStart w:id="1794" w:name="_Toc38439257"/>
      <w:bookmarkStart w:id="1795" w:name="_Toc38439594"/>
      <w:bookmarkStart w:id="1796" w:name="_Toc38439931"/>
      <w:bookmarkStart w:id="1797" w:name="_Toc38440268"/>
      <w:bookmarkStart w:id="1798" w:name="_Toc38440605"/>
      <w:bookmarkStart w:id="1799" w:name="_Toc38440804"/>
      <w:bookmarkStart w:id="1800" w:name="_Toc38441137"/>
      <w:bookmarkStart w:id="1801" w:name="_Toc38441469"/>
      <w:bookmarkStart w:id="1802" w:name="_Toc38441801"/>
      <w:bookmarkStart w:id="1803" w:name="_Toc38442129"/>
      <w:bookmarkStart w:id="1804" w:name="_Toc38442461"/>
      <w:bookmarkStart w:id="1805" w:name="_Toc38442793"/>
      <w:bookmarkStart w:id="1806" w:name="_Toc38443124"/>
      <w:bookmarkStart w:id="1807" w:name="_Toc38443455"/>
      <w:bookmarkStart w:id="1808" w:name="_Toc38443786"/>
      <w:bookmarkStart w:id="1809" w:name="_Toc38438247"/>
      <w:bookmarkStart w:id="1810" w:name="_Toc38438584"/>
      <w:bookmarkStart w:id="1811" w:name="_Toc38438921"/>
      <w:bookmarkStart w:id="1812" w:name="_Toc38439258"/>
      <w:bookmarkStart w:id="1813" w:name="_Toc38439595"/>
      <w:bookmarkStart w:id="1814" w:name="_Toc38439932"/>
      <w:bookmarkStart w:id="1815" w:name="_Toc38440269"/>
      <w:bookmarkStart w:id="1816" w:name="_Toc38440606"/>
      <w:bookmarkStart w:id="1817" w:name="_Toc38440805"/>
      <w:bookmarkStart w:id="1818" w:name="_Toc38441138"/>
      <w:bookmarkStart w:id="1819" w:name="_Toc38441470"/>
      <w:bookmarkStart w:id="1820" w:name="_Toc38441802"/>
      <w:bookmarkStart w:id="1821" w:name="_Toc38442130"/>
      <w:bookmarkStart w:id="1822" w:name="_Toc38442462"/>
      <w:bookmarkStart w:id="1823" w:name="_Toc38442794"/>
      <w:bookmarkStart w:id="1824" w:name="_Toc38443125"/>
      <w:bookmarkStart w:id="1825" w:name="_Toc38443456"/>
      <w:bookmarkStart w:id="1826" w:name="_Toc38443787"/>
      <w:bookmarkStart w:id="1827" w:name="_Toc38438248"/>
      <w:bookmarkStart w:id="1828" w:name="_Toc38438585"/>
      <w:bookmarkStart w:id="1829" w:name="_Toc38438922"/>
      <w:bookmarkStart w:id="1830" w:name="_Toc38439259"/>
      <w:bookmarkStart w:id="1831" w:name="_Toc38439596"/>
      <w:bookmarkStart w:id="1832" w:name="_Toc38439933"/>
      <w:bookmarkStart w:id="1833" w:name="_Toc38440270"/>
      <w:bookmarkStart w:id="1834" w:name="_Toc38440607"/>
      <w:bookmarkStart w:id="1835" w:name="_Toc38440806"/>
      <w:bookmarkStart w:id="1836" w:name="_Toc38441139"/>
      <w:bookmarkStart w:id="1837" w:name="_Toc38441471"/>
      <w:bookmarkStart w:id="1838" w:name="_Toc38441803"/>
      <w:bookmarkStart w:id="1839" w:name="_Toc38442131"/>
      <w:bookmarkStart w:id="1840" w:name="_Toc38442463"/>
      <w:bookmarkStart w:id="1841" w:name="_Toc38442795"/>
      <w:bookmarkStart w:id="1842" w:name="_Toc38443126"/>
      <w:bookmarkStart w:id="1843" w:name="_Toc38443457"/>
      <w:bookmarkStart w:id="1844" w:name="_Toc38443788"/>
      <w:bookmarkStart w:id="1845" w:name="_Toc38438249"/>
      <w:bookmarkStart w:id="1846" w:name="_Toc38438586"/>
      <w:bookmarkStart w:id="1847" w:name="_Toc38438923"/>
      <w:bookmarkStart w:id="1848" w:name="_Toc38439260"/>
      <w:bookmarkStart w:id="1849" w:name="_Toc38439597"/>
      <w:bookmarkStart w:id="1850" w:name="_Toc38439934"/>
      <w:bookmarkStart w:id="1851" w:name="_Toc38440271"/>
      <w:bookmarkStart w:id="1852" w:name="_Toc38440608"/>
      <w:bookmarkStart w:id="1853" w:name="_Toc38440807"/>
      <w:bookmarkStart w:id="1854" w:name="_Toc38441140"/>
      <w:bookmarkStart w:id="1855" w:name="_Toc38441472"/>
      <w:bookmarkStart w:id="1856" w:name="_Toc38441804"/>
      <w:bookmarkStart w:id="1857" w:name="_Toc38442132"/>
      <w:bookmarkStart w:id="1858" w:name="_Toc38442464"/>
      <w:bookmarkStart w:id="1859" w:name="_Toc38442796"/>
      <w:bookmarkStart w:id="1860" w:name="_Toc38443127"/>
      <w:bookmarkStart w:id="1861" w:name="_Toc38443458"/>
      <w:bookmarkStart w:id="1862" w:name="_Toc38443789"/>
      <w:bookmarkStart w:id="1863" w:name="_Toc38438250"/>
      <w:bookmarkStart w:id="1864" w:name="_Toc38438587"/>
      <w:bookmarkStart w:id="1865" w:name="_Toc38438924"/>
      <w:bookmarkStart w:id="1866" w:name="_Toc38439261"/>
      <w:bookmarkStart w:id="1867" w:name="_Toc38439598"/>
      <w:bookmarkStart w:id="1868" w:name="_Toc38439935"/>
      <w:bookmarkStart w:id="1869" w:name="_Toc38440272"/>
      <w:bookmarkStart w:id="1870" w:name="_Toc38440609"/>
      <w:bookmarkStart w:id="1871" w:name="_Toc38440808"/>
      <w:bookmarkStart w:id="1872" w:name="_Toc38441141"/>
      <w:bookmarkStart w:id="1873" w:name="_Toc38441473"/>
      <w:bookmarkStart w:id="1874" w:name="_Toc38441805"/>
      <w:bookmarkStart w:id="1875" w:name="_Toc38442133"/>
      <w:bookmarkStart w:id="1876" w:name="_Toc38442465"/>
      <w:bookmarkStart w:id="1877" w:name="_Toc38442797"/>
      <w:bookmarkStart w:id="1878" w:name="_Toc38443128"/>
      <w:bookmarkStart w:id="1879" w:name="_Toc38443459"/>
      <w:bookmarkStart w:id="1880" w:name="_Toc38443790"/>
      <w:bookmarkStart w:id="1881" w:name="_Toc38438251"/>
      <w:bookmarkStart w:id="1882" w:name="_Toc38438588"/>
      <w:bookmarkStart w:id="1883" w:name="_Toc38438925"/>
      <w:bookmarkStart w:id="1884" w:name="_Toc38439262"/>
      <w:bookmarkStart w:id="1885" w:name="_Toc38439599"/>
      <w:bookmarkStart w:id="1886" w:name="_Toc38439936"/>
      <w:bookmarkStart w:id="1887" w:name="_Toc38440273"/>
      <w:bookmarkStart w:id="1888" w:name="_Toc38440610"/>
      <w:bookmarkStart w:id="1889" w:name="_Toc38440809"/>
      <w:bookmarkStart w:id="1890" w:name="_Toc38441142"/>
      <w:bookmarkStart w:id="1891" w:name="_Toc38441474"/>
      <w:bookmarkStart w:id="1892" w:name="_Toc38441806"/>
      <w:bookmarkStart w:id="1893" w:name="_Toc38442134"/>
      <w:bookmarkStart w:id="1894" w:name="_Toc38442466"/>
      <w:bookmarkStart w:id="1895" w:name="_Toc38442798"/>
      <w:bookmarkStart w:id="1896" w:name="_Toc38443129"/>
      <w:bookmarkStart w:id="1897" w:name="_Toc38443460"/>
      <w:bookmarkStart w:id="1898" w:name="_Toc38443791"/>
      <w:bookmarkStart w:id="1899" w:name="_Toc38438252"/>
      <w:bookmarkStart w:id="1900" w:name="_Toc38438589"/>
      <w:bookmarkStart w:id="1901" w:name="_Toc38438926"/>
      <w:bookmarkStart w:id="1902" w:name="_Toc38439263"/>
      <w:bookmarkStart w:id="1903" w:name="_Toc38439600"/>
      <w:bookmarkStart w:id="1904" w:name="_Toc38439937"/>
      <w:bookmarkStart w:id="1905" w:name="_Toc38440274"/>
      <w:bookmarkStart w:id="1906" w:name="_Toc38440611"/>
      <w:bookmarkStart w:id="1907" w:name="_Toc38440810"/>
      <w:bookmarkStart w:id="1908" w:name="_Toc38441143"/>
      <w:bookmarkStart w:id="1909" w:name="_Toc38441475"/>
      <w:bookmarkStart w:id="1910" w:name="_Toc38441807"/>
      <w:bookmarkStart w:id="1911" w:name="_Toc38442135"/>
      <w:bookmarkStart w:id="1912" w:name="_Toc38442467"/>
      <w:bookmarkStart w:id="1913" w:name="_Toc38442799"/>
      <w:bookmarkStart w:id="1914" w:name="_Toc38443130"/>
      <w:bookmarkStart w:id="1915" w:name="_Toc38443461"/>
      <w:bookmarkStart w:id="1916" w:name="_Toc38443792"/>
      <w:bookmarkStart w:id="1917" w:name="_Toc38438253"/>
      <w:bookmarkStart w:id="1918" w:name="_Toc38438590"/>
      <w:bookmarkStart w:id="1919" w:name="_Toc38438927"/>
      <w:bookmarkStart w:id="1920" w:name="_Toc38439264"/>
      <w:bookmarkStart w:id="1921" w:name="_Toc38439601"/>
      <w:bookmarkStart w:id="1922" w:name="_Toc38439938"/>
      <w:bookmarkStart w:id="1923" w:name="_Toc38440275"/>
      <w:bookmarkStart w:id="1924" w:name="_Toc38440612"/>
      <w:bookmarkStart w:id="1925" w:name="_Toc38440811"/>
      <w:bookmarkStart w:id="1926" w:name="_Toc38441144"/>
      <w:bookmarkStart w:id="1927" w:name="_Toc38441476"/>
      <w:bookmarkStart w:id="1928" w:name="_Toc38441808"/>
      <w:bookmarkStart w:id="1929" w:name="_Toc38442136"/>
      <w:bookmarkStart w:id="1930" w:name="_Toc38442468"/>
      <w:bookmarkStart w:id="1931" w:name="_Toc38442800"/>
      <w:bookmarkStart w:id="1932" w:name="_Toc38443131"/>
      <w:bookmarkStart w:id="1933" w:name="_Toc38443462"/>
      <w:bookmarkStart w:id="1934" w:name="_Toc38443793"/>
      <w:bookmarkStart w:id="1935" w:name="_Toc38438254"/>
      <w:bookmarkStart w:id="1936" w:name="_Toc38438591"/>
      <w:bookmarkStart w:id="1937" w:name="_Toc38438928"/>
      <w:bookmarkStart w:id="1938" w:name="_Toc38439265"/>
      <w:bookmarkStart w:id="1939" w:name="_Toc38439602"/>
      <w:bookmarkStart w:id="1940" w:name="_Toc38439939"/>
      <w:bookmarkStart w:id="1941" w:name="_Toc38440276"/>
      <w:bookmarkStart w:id="1942" w:name="_Toc38440613"/>
      <w:bookmarkStart w:id="1943" w:name="_Toc38440812"/>
      <w:bookmarkStart w:id="1944" w:name="_Toc38441145"/>
      <w:bookmarkStart w:id="1945" w:name="_Toc38441477"/>
      <w:bookmarkStart w:id="1946" w:name="_Toc38441809"/>
      <w:bookmarkStart w:id="1947" w:name="_Toc38442137"/>
      <w:bookmarkStart w:id="1948" w:name="_Toc38442469"/>
      <w:bookmarkStart w:id="1949" w:name="_Toc38442801"/>
      <w:bookmarkStart w:id="1950" w:name="_Toc38443132"/>
      <w:bookmarkStart w:id="1951" w:name="_Toc38443463"/>
      <w:bookmarkStart w:id="1952" w:name="_Toc38443794"/>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sidRPr="00621B7F">
        <w:rPr>
          <w:rFonts w:asciiTheme="minorEastAsia" w:eastAsiaTheme="minorEastAsia" w:hAnsiTheme="minorEastAsia" w:hint="eastAsia"/>
          <w:bCs/>
          <w:color w:val="000000" w:themeColor="text1"/>
        </w:rPr>
        <w:t>十</w:t>
      </w:r>
      <w:r w:rsidRPr="00621B7F" w:rsidR="00154249">
        <w:rPr>
          <w:rFonts w:asciiTheme="minorEastAsia" w:eastAsiaTheme="minorEastAsia" w:hAnsiTheme="minorEastAsia" w:hint="eastAsia"/>
          <w:bCs/>
          <w:color w:val="000000" w:themeColor="text1"/>
        </w:rPr>
        <w:t>三</w:t>
      </w:r>
      <w:r w:rsidRPr="00621B7F">
        <w:rPr>
          <w:rFonts w:asciiTheme="minorEastAsia" w:eastAsiaTheme="minorEastAsia" w:hAnsiTheme="minorEastAsia" w:hint="eastAsia"/>
          <w:bCs/>
          <w:color w:val="000000" w:themeColor="text1"/>
        </w:rPr>
        <w:t>、对基金份额持有人的服务</w:t>
      </w:r>
      <w:bookmarkStart w:id="1953" w:name="_Toc38186634"/>
      <w:bookmarkEnd w:id="1646"/>
    </w:p>
    <w:p w:rsidR="00266A27" w:rsidRPr="00621B7F" w:rsidP="00241F10">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基金管理人承诺为基金份额持有人提供一系列的服务。以下是主要的服务内容，基金管理人根据基金份额持有人的需要和市场的变化，有权增加、修改这些服务项目：</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（一）基金份额持有人投资交易确认服务</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注册登记机构保留基金份额持有人名册上列明的所有基金份额持有人的基金交易记录。</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基金管理人直销</w:t>
      </w:r>
      <w:r w:rsidRPr="00621B7F" w:rsidR="00CC571A">
        <w:rPr>
          <w:rFonts w:asciiTheme="minorEastAsia" w:eastAsiaTheme="minorEastAsia" w:hAnsiTheme="minorEastAsia" w:hint="eastAsia"/>
          <w:color w:val="000000" w:themeColor="text1"/>
          <w:szCs w:val="21"/>
        </w:rPr>
        <w:t>网点</w:t>
      </w:r>
      <w:r w:rsidRPr="00621B7F">
        <w:rPr>
          <w:rFonts w:asciiTheme="minorEastAsia" w:eastAsiaTheme="minorEastAsia" w:hAnsiTheme="minorEastAsia" w:hint="eastAsia"/>
          <w:color w:val="000000" w:themeColor="text1"/>
          <w:szCs w:val="21"/>
        </w:rPr>
        <w:t>应根据在基金管理人直销</w:t>
      </w:r>
      <w:r w:rsidRPr="00621B7F" w:rsidR="00CC571A">
        <w:rPr>
          <w:rFonts w:asciiTheme="minorEastAsia" w:eastAsiaTheme="minorEastAsia" w:hAnsiTheme="minorEastAsia" w:hint="eastAsia"/>
          <w:color w:val="000000" w:themeColor="text1"/>
          <w:szCs w:val="21"/>
        </w:rPr>
        <w:t>网点</w:t>
      </w:r>
      <w:r w:rsidRPr="00621B7F">
        <w:rPr>
          <w:rFonts w:asciiTheme="minorEastAsia" w:eastAsiaTheme="minorEastAsia" w:hAnsiTheme="minorEastAsia" w:hint="eastAsia"/>
          <w:color w:val="000000" w:themeColor="text1"/>
          <w:szCs w:val="21"/>
        </w:rPr>
        <w:t>进行交易的投资者的要求</w:t>
      </w:r>
      <w:r w:rsidRPr="00621B7F" w:rsidR="00141E08">
        <w:rPr>
          <w:rFonts w:asciiTheme="minorEastAsia" w:eastAsiaTheme="minorEastAsia" w:hAnsiTheme="minorEastAsia" w:hint="eastAsia"/>
          <w:color w:val="000000" w:themeColor="text1"/>
          <w:szCs w:val="21"/>
        </w:rPr>
        <w:t>提</w:t>
      </w:r>
      <w:r w:rsidRPr="00621B7F" w:rsidR="00A12E7B">
        <w:rPr>
          <w:rFonts w:asciiTheme="minorEastAsia" w:eastAsiaTheme="minorEastAsia" w:hAnsiTheme="minorEastAsia" w:hint="eastAsia"/>
          <w:color w:val="000000" w:themeColor="text1"/>
          <w:szCs w:val="21"/>
        </w:rPr>
        <w:t>供</w:t>
      </w:r>
      <w:r w:rsidRPr="00621B7F">
        <w:rPr>
          <w:rFonts w:asciiTheme="minorEastAsia" w:eastAsiaTheme="minorEastAsia" w:hAnsiTheme="minorEastAsia" w:hint="eastAsia"/>
          <w:color w:val="000000" w:themeColor="text1"/>
          <w:szCs w:val="21"/>
        </w:rPr>
        <w:t>成交确认单。</w:t>
      </w:r>
      <w:r w:rsidRPr="00621B7F" w:rsidR="001F2A17">
        <w:rPr>
          <w:rFonts w:asciiTheme="minorEastAsia" w:eastAsiaTheme="minorEastAsia" w:hAnsiTheme="minorEastAsia" w:hint="eastAsia"/>
          <w:color w:val="000000" w:themeColor="text1"/>
          <w:szCs w:val="21"/>
        </w:rPr>
        <w:t>基金非直销销售机构应根据在销售网点进行交易的投资者的要求提供成交确认单。</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（二）基金份额持有人交易记录查询服务</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本基金份额持有人可通过基金管理人的客户服务中心查询历史交易记录。</w:t>
      </w:r>
    </w:p>
    <w:p w:rsidR="004C6FB5"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（三）</w:t>
      </w:r>
      <w:r w:rsidRPr="00621B7F" w:rsidR="00EB378B">
        <w:rPr>
          <w:rFonts w:asciiTheme="minorEastAsia" w:eastAsiaTheme="minorEastAsia" w:hAnsiTheme="minorEastAsia" w:hint="eastAsia"/>
          <w:color w:val="000000" w:themeColor="text1"/>
          <w:szCs w:val="21"/>
        </w:rPr>
        <w:t>基金份额持有人的</w:t>
      </w:r>
      <w:r w:rsidRPr="00621B7F">
        <w:rPr>
          <w:rFonts w:asciiTheme="minorEastAsia" w:eastAsiaTheme="minorEastAsia" w:hAnsiTheme="minorEastAsia" w:hint="eastAsia"/>
          <w:color w:val="000000" w:themeColor="text1"/>
          <w:szCs w:val="21"/>
        </w:rPr>
        <w:t>对</w:t>
      </w:r>
      <w:r w:rsidRPr="00621B7F" w:rsidR="0054753C">
        <w:rPr>
          <w:rFonts w:asciiTheme="minorEastAsia" w:eastAsiaTheme="minorEastAsia" w:hAnsiTheme="minorEastAsia" w:hint="eastAsia"/>
          <w:color w:val="000000" w:themeColor="text1"/>
          <w:szCs w:val="21"/>
        </w:rPr>
        <w:t>账</w:t>
      </w:r>
      <w:r w:rsidRPr="00621B7F">
        <w:rPr>
          <w:rFonts w:asciiTheme="minorEastAsia" w:eastAsiaTheme="minorEastAsia" w:hAnsiTheme="minorEastAsia" w:hint="eastAsia"/>
          <w:color w:val="000000" w:themeColor="text1"/>
          <w:szCs w:val="21"/>
        </w:rPr>
        <w:t>单服务</w:t>
      </w:r>
    </w:p>
    <w:p w:rsidR="00B04CD0"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基金份额持有人可登录本公司网站（</w:t>
      </w:r>
      <w:hyperlink r:id="rId14" w:history="1">
        <w:r w:rsidRPr="00621B7F">
          <w:rPr>
            <w:rFonts w:asciiTheme="minorEastAsia" w:eastAsiaTheme="minorEastAsia" w:hAnsiTheme="minorEastAsia" w:hint="eastAsia"/>
            <w:color w:val="000000" w:themeColor="text1"/>
            <w:szCs w:val="21"/>
          </w:rPr>
          <w:t>http://www.efunds.com.cn</w:t>
        </w:r>
      </w:hyperlink>
      <w:r w:rsidRPr="00621B7F">
        <w:rPr>
          <w:rFonts w:asciiTheme="minorEastAsia" w:eastAsiaTheme="minorEastAsia" w:hAnsiTheme="minorEastAsia" w:hint="eastAsia"/>
          <w:color w:val="000000" w:themeColor="text1"/>
          <w:szCs w:val="21"/>
        </w:rPr>
        <w:t>）查阅对账单。</w:t>
      </w:r>
    </w:p>
    <w:p w:rsidR="00B04CD0"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F03D14">
        <w:rPr>
          <w:rFonts w:asciiTheme="minorEastAsia" w:eastAsiaTheme="minorEastAsia" w:hAnsiTheme="minorEastAsia" w:hint="eastAsia"/>
          <w:color w:val="000000" w:themeColor="text1"/>
          <w:szCs w:val="21"/>
        </w:rPr>
        <w:t>、</w:t>
      </w:r>
      <w:r w:rsidRPr="00621B7F" w:rsidR="006B7524">
        <w:rPr>
          <w:rFonts w:asciiTheme="minorEastAsia" w:eastAsiaTheme="minorEastAsia" w:hAnsiTheme="minorEastAsia" w:hint="eastAsia"/>
          <w:color w:val="000000" w:themeColor="text1"/>
          <w:szCs w:val="21"/>
        </w:rPr>
        <w:t>本公司至少每年度以电子邮件、短信或其他形式向通过易方达直销系统持有本公司基金份额的持有人提供基金保有情况信息，基金份额持有人也可以向本公司定制电子邮件形式的月度对账单。</w:t>
      </w:r>
    </w:p>
    <w:p w:rsidR="005D3A0D"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具体查阅和定制账单的方法可参见本公司网站或拨打客服热线咨询。</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A95038">
        <w:rPr>
          <w:rFonts w:asciiTheme="minorEastAsia" w:eastAsiaTheme="minorEastAsia" w:hAnsiTheme="minorEastAsia" w:hint="eastAsia"/>
          <w:color w:val="000000" w:themeColor="text1"/>
          <w:szCs w:val="21"/>
        </w:rPr>
        <w:t>四</w:t>
      </w:r>
      <w:r w:rsidRPr="00621B7F">
        <w:rPr>
          <w:rFonts w:asciiTheme="minorEastAsia" w:eastAsiaTheme="minorEastAsia" w:hAnsiTheme="minorEastAsia" w:hint="eastAsia"/>
          <w:color w:val="000000" w:themeColor="text1"/>
          <w:szCs w:val="21"/>
        </w:rPr>
        <w:t>）定期定额投资计划</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基金管理人可利用</w:t>
      </w:r>
      <w:r w:rsidRPr="00621B7F" w:rsidR="001F2A17">
        <w:rPr>
          <w:rFonts w:asciiTheme="minorEastAsia" w:eastAsiaTheme="minorEastAsia" w:hAnsiTheme="minorEastAsia" w:hint="eastAsia"/>
          <w:color w:val="000000" w:themeColor="text1"/>
          <w:szCs w:val="21"/>
        </w:rPr>
        <w:t>非直销销售机构</w:t>
      </w:r>
      <w:r w:rsidRPr="00621B7F">
        <w:rPr>
          <w:rFonts w:asciiTheme="minorEastAsia" w:eastAsiaTheme="minorEastAsia" w:hAnsiTheme="minorEastAsia" w:hint="eastAsia"/>
          <w:color w:val="000000" w:themeColor="text1"/>
          <w:szCs w:val="21"/>
        </w:rPr>
        <w:t>网点和本公司网上交易系统为投资者提供定期定额投资的服务（本公司网上交易系统的定期定额投资服务目前仅对个人投资者开通）。通过定期定额投资计划，投资者可以通过固定的渠道，定期定额申购基金份额，</w:t>
      </w:r>
      <w:r w:rsidRPr="00621B7F" w:rsidR="00A95038">
        <w:rPr>
          <w:rFonts w:asciiTheme="minorEastAsia" w:eastAsiaTheme="minorEastAsia" w:hAnsiTheme="minorEastAsia" w:hint="eastAsia"/>
          <w:color w:val="000000" w:themeColor="text1"/>
          <w:szCs w:val="21"/>
        </w:rPr>
        <w:t>具体实施方法见相关公告</w:t>
      </w:r>
      <w:r w:rsidRPr="00621B7F">
        <w:rPr>
          <w:rFonts w:asciiTheme="minorEastAsia" w:eastAsiaTheme="minorEastAsia" w:hAnsiTheme="minorEastAsia" w:hint="eastAsia"/>
          <w:color w:val="000000" w:themeColor="text1"/>
          <w:szCs w:val="21"/>
        </w:rPr>
        <w:t>。</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w:t>
      </w:r>
      <w:r w:rsidRPr="00621B7F" w:rsidR="00A95038">
        <w:rPr>
          <w:rFonts w:asciiTheme="minorEastAsia" w:eastAsiaTheme="minorEastAsia" w:hAnsiTheme="minorEastAsia" w:hint="eastAsia"/>
          <w:color w:val="000000" w:themeColor="text1"/>
          <w:szCs w:val="21"/>
        </w:rPr>
        <w:t>五</w:t>
      </w:r>
      <w:r w:rsidRPr="00621B7F">
        <w:rPr>
          <w:rFonts w:asciiTheme="minorEastAsia" w:eastAsiaTheme="minorEastAsia" w:hAnsiTheme="minorEastAsia" w:hint="eastAsia"/>
          <w:color w:val="000000" w:themeColor="text1"/>
          <w:szCs w:val="21"/>
        </w:rPr>
        <w:t>）资讯服务</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1</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客户服务电话</w:t>
      </w:r>
    </w:p>
    <w:p w:rsidR="00266A27" w:rsidRPr="00621B7F" w:rsidP="00E341A1">
      <w:pPr>
        <w:pStyle w:val="a"/>
        <w:autoSpaceDE w:val="0"/>
        <w:autoSpaceDN w:val="0"/>
        <w:adjustRightInd w:val="0"/>
        <w:snapToGrid w:val="0"/>
        <w:spacing w:line="360" w:lineRule="auto"/>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投资者如果想了解申购与赎回的交易情况、基金</w:t>
      </w:r>
      <w:r w:rsidRPr="00621B7F" w:rsidR="00A95038">
        <w:rPr>
          <w:rFonts w:asciiTheme="minorEastAsia" w:eastAsiaTheme="minorEastAsia" w:hAnsiTheme="minorEastAsia" w:hint="eastAsia"/>
          <w:color w:val="000000" w:themeColor="text1"/>
          <w:szCs w:val="21"/>
        </w:rPr>
        <w:t>账户</w:t>
      </w:r>
      <w:r w:rsidRPr="00621B7F">
        <w:rPr>
          <w:rFonts w:asciiTheme="minorEastAsia" w:eastAsiaTheme="minorEastAsia" w:hAnsiTheme="minorEastAsia" w:hint="eastAsia"/>
          <w:color w:val="000000" w:themeColor="text1"/>
          <w:szCs w:val="21"/>
        </w:rPr>
        <w:t>余额、基金产品与服务等信息，</w:t>
      </w:r>
      <w:r w:rsidRPr="00621B7F" w:rsidR="00A12E7B">
        <w:rPr>
          <w:rFonts w:asciiTheme="minorEastAsia" w:eastAsiaTheme="minorEastAsia" w:hAnsiTheme="minorEastAsia" w:hint="eastAsia"/>
          <w:color w:val="000000" w:themeColor="text1"/>
          <w:kern w:val="0"/>
        </w:rPr>
        <w:t>或反馈投资过程中需要投诉与建议的情况，</w:t>
      </w:r>
      <w:r w:rsidRPr="00621B7F">
        <w:rPr>
          <w:rFonts w:asciiTheme="minorEastAsia" w:eastAsiaTheme="minorEastAsia" w:hAnsiTheme="minorEastAsia" w:hint="eastAsia"/>
          <w:color w:val="000000" w:themeColor="text1"/>
          <w:szCs w:val="21"/>
        </w:rPr>
        <w:t>可拨打如下电话：4008818088。</w:t>
      </w:r>
      <w:r w:rsidRPr="00621B7F" w:rsidR="00A12E7B">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2</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互联网站及电子信箱</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网址：</w:t>
      </w:r>
      <w:hyperlink r:id="rId14" w:history="1">
        <w:r w:rsidRPr="00621B7F">
          <w:rPr>
            <w:rFonts w:asciiTheme="minorEastAsia" w:eastAsiaTheme="minorEastAsia" w:hAnsiTheme="minorEastAsia" w:hint="eastAsia"/>
            <w:color w:val="000000" w:themeColor="text1"/>
            <w:szCs w:val="21"/>
          </w:rPr>
          <w:t>http://www.efunds.com.cn</w:t>
        </w:r>
      </w:hyperlink>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电子信箱：</w:t>
      </w:r>
      <w:hyperlink r:id="rId15" w:history="1">
        <w:r w:rsidRPr="00621B7F">
          <w:rPr>
            <w:rFonts w:asciiTheme="minorEastAsia" w:eastAsiaTheme="minorEastAsia" w:hAnsiTheme="minorEastAsia" w:hint="eastAsia"/>
            <w:color w:val="000000" w:themeColor="text1"/>
            <w:szCs w:val="21"/>
          </w:rPr>
          <w:t>service@efunds.com.cn</w:t>
        </w:r>
      </w:hyperlink>
    </w:p>
    <w:p w:rsidR="006C70E9" w:rsidRPr="00621B7F" w:rsidP="00241F10">
      <w:pPr>
        <w:snapToGrid w:val="0"/>
        <w:spacing w:line="360" w:lineRule="auto"/>
        <w:ind w:firstLine="420" w:firstLineChars="200"/>
        <w:rPr>
          <w:rFonts w:asciiTheme="minorEastAsia" w:eastAsiaTheme="minorEastAsia" w:hAnsiTheme="minorEastAsia"/>
          <w:color w:val="000000" w:themeColor="text1"/>
          <w:szCs w:val="21"/>
        </w:rPr>
        <w:sectPr w:rsidSect="006B7524">
          <w:pgSz w:w="11907" w:h="16840" w:code="9"/>
          <w:pgMar w:top="1440" w:right="1800" w:bottom="1440" w:left="1800" w:header="1134" w:footer="1247" w:gutter="0"/>
          <w:cols w:space="425"/>
          <w:docGrid w:type="lines" w:linePitch="312"/>
        </w:sectPr>
      </w:pPr>
      <w:bookmarkStart w:id="1954" w:name="_Toc38438275"/>
      <w:bookmarkStart w:id="1955" w:name="_Toc38438612"/>
      <w:bookmarkStart w:id="1956" w:name="_Toc38438949"/>
      <w:bookmarkStart w:id="1957" w:name="_Toc38439286"/>
      <w:bookmarkStart w:id="1958" w:name="_Toc38439623"/>
      <w:bookmarkStart w:id="1959" w:name="_Toc38439960"/>
      <w:bookmarkStart w:id="1960" w:name="_Toc38440297"/>
      <w:bookmarkStart w:id="1961" w:name="_Toc38440630"/>
      <w:bookmarkStart w:id="1962" w:name="_Toc38440829"/>
      <w:bookmarkStart w:id="1963" w:name="_Toc38441161"/>
      <w:bookmarkStart w:id="1964" w:name="_Toc38441493"/>
      <w:bookmarkStart w:id="1965" w:name="_Toc38441821"/>
      <w:bookmarkStart w:id="1966" w:name="_Toc38442153"/>
      <w:bookmarkStart w:id="1967" w:name="_Toc38442485"/>
      <w:bookmarkStart w:id="1968" w:name="_Toc38442816"/>
      <w:bookmarkStart w:id="1969" w:name="_Toc38443147"/>
      <w:bookmarkStart w:id="1970" w:name="_Toc38443478"/>
      <w:bookmarkStart w:id="1971" w:name="_Toc38443809"/>
      <w:bookmarkStart w:id="1972" w:name="_Toc38438277"/>
      <w:bookmarkStart w:id="1973" w:name="_Toc38438614"/>
      <w:bookmarkStart w:id="1974" w:name="_Toc38438951"/>
      <w:bookmarkStart w:id="1975" w:name="_Toc38439288"/>
      <w:bookmarkStart w:id="1976" w:name="_Toc38439625"/>
      <w:bookmarkStart w:id="1977" w:name="_Toc38439962"/>
      <w:bookmarkStart w:id="1978" w:name="_Toc38440299"/>
      <w:bookmarkStart w:id="1979" w:name="_Toc38440632"/>
      <w:bookmarkStart w:id="1980" w:name="_Toc38440831"/>
      <w:bookmarkStart w:id="1981" w:name="_Toc38441163"/>
      <w:bookmarkStart w:id="1982" w:name="_Toc38441495"/>
      <w:bookmarkStart w:id="1983" w:name="_Toc38441823"/>
      <w:bookmarkStart w:id="1984" w:name="_Toc38442155"/>
      <w:bookmarkStart w:id="1985" w:name="_Toc38442487"/>
      <w:bookmarkStart w:id="1986" w:name="_Toc38442818"/>
      <w:bookmarkStart w:id="1987" w:name="_Toc38443149"/>
      <w:bookmarkStart w:id="1988" w:name="_Toc38443480"/>
      <w:bookmarkStart w:id="1989" w:name="_Toc38443811"/>
      <w:bookmarkStart w:id="1990" w:name="_Toc38438278"/>
      <w:bookmarkStart w:id="1991" w:name="_Toc38438615"/>
      <w:bookmarkStart w:id="1992" w:name="_Toc38438952"/>
      <w:bookmarkStart w:id="1993" w:name="_Toc38439289"/>
      <w:bookmarkStart w:id="1994" w:name="_Toc38439626"/>
      <w:bookmarkStart w:id="1995" w:name="_Toc38439963"/>
      <w:bookmarkStart w:id="1996" w:name="_Toc38440300"/>
      <w:bookmarkStart w:id="1997" w:name="_Toc38440633"/>
      <w:bookmarkStart w:id="1998" w:name="_Toc38440832"/>
      <w:bookmarkStart w:id="1999" w:name="_Toc38441164"/>
      <w:bookmarkStart w:id="2000" w:name="_Toc38441496"/>
      <w:bookmarkStart w:id="2001" w:name="_Toc38441824"/>
      <w:bookmarkStart w:id="2002" w:name="_Toc38442156"/>
      <w:bookmarkStart w:id="2003" w:name="_Toc38442488"/>
      <w:bookmarkStart w:id="2004" w:name="_Toc38442819"/>
      <w:bookmarkStart w:id="2005" w:name="_Toc38443150"/>
      <w:bookmarkStart w:id="2006" w:name="_Toc38443481"/>
      <w:bookmarkStart w:id="2007" w:name="_Toc38443812"/>
      <w:bookmarkStart w:id="2008" w:name="_Toc38438279"/>
      <w:bookmarkStart w:id="2009" w:name="_Toc38438616"/>
      <w:bookmarkStart w:id="2010" w:name="_Toc38438953"/>
      <w:bookmarkStart w:id="2011" w:name="_Toc38439290"/>
      <w:bookmarkStart w:id="2012" w:name="_Toc38439627"/>
      <w:bookmarkStart w:id="2013" w:name="_Toc38439964"/>
      <w:bookmarkStart w:id="2014" w:name="_Toc38440301"/>
      <w:bookmarkStart w:id="2015" w:name="_Toc38440634"/>
      <w:bookmarkStart w:id="2016" w:name="_Toc38440833"/>
      <w:bookmarkStart w:id="2017" w:name="_Toc38441165"/>
      <w:bookmarkStart w:id="2018" w:name="_Toc38441497"/>
      <w:bookmarkStart w:id="2019" w:name="_Toc38441825"/>
      <w:bookmarkStart w:id="2020" w:name="_Toc38442157"/>
      <w:bookmarkStart w:id="2021" w:name="_Toc38442489"/>
      <w:bookmarkStart w:id="2022" w:name="_Toc38442820"/>
      <w:bookmarkStart w:id="2023" w:name="_Toc38443151"/>
      <w:bookmarkStart w:id="2024" w:name="_Toc38443482"/>
      <w:bookmarkStart w:id="2025" w:name="_Toc38443813"/>
      <w:bookmarkStart w:id="2026" w:name="_Toc38438280"/>
      <w:bookmarkStart w:id="2027" w:name="_Toc38438617"/>
      <w:bookmarkStart w:id="2028" w:name="_Toc38438954"/>
      <w:bookmarkStart w:id="2029" w:name="_Toc38439291"/>
      <w:bookmarkStart w:id="2030" w:name="_Toc38439628"/>
      <w:bookmarkStart w:id="2031" w:name="_Toc38439965"/>
      <w:bookmarkStart w:id="2032" w:name="_Toc38440302"/>
      <w:bookmarkStart w:id="2033" w:name="_Toc38440635"/>
      <w:bookmarkStart w:id="2034" w:name="_Toc38440834"/>
      <w:bookmarkStart w:id="2035" w:name="_Toc38441166"/>
      <w:bookmarkStart w:id="2036" w:name="_Toc38441498"/>
      <w:bookmarkStart w:id="2037" w:name="_Toc38441826"/>
      <w:bookmarkStart w:id="2038" w:name="_Toc38442158"/>
      <w:bookmarkStart w:id="2039" w:name="_Toc38442490"/>
      <w:bookmarkStart w:id="2040" w:name="_Toc38442821"/>
      <w:bookmarkStart w:id="2041" w:name="_Toc38443152"/>
      <w:bookmarkStart w:id="2042" w:name="_Toc38443483"/>
      <w:bookmarkStart w:id="2043" w:name="_Toc38443814"/>
      <w:bookmarkStart w:id="2044" w:name="_Toc38438281"/>
      <w:bookmarkStart w:id="2045" w:name="_Toc38438618"/>
      <w:bookmarkStart w:id="2046" w:name="_Toc38438955"/>
      <w:bookmarkStart w:id="2047" w:name="_Toc38439292"/>
      <w:bookmarkStart w:id="2048" w:name="_Toc38439629"/>
      <w:bookmarkStart w:id="2049" w:name="_Toc38439966"/>
      <w:bookmarkStart w:id="2050" w:name="_Toc38440303"/>
      <w:bookmarkStart w:id="2051" w:name="_Toc38440636"/>
      <w:bookmarkStart w:id="2052" w:name="_Toc38440835"/>
      <w:bookmarkStart w:id="2053" w:name="_Toc38441167"/>
      <w:bookmarkStart w:id="2054" w:name="_Toc38441499"/>
      <w:bookmarkStart w:id="2055" w:name="_Toc38441827"/>
      <w:bookmarkStart w:id="2056" w:name="_Toc38442159"/>
      <w:bookmarkStart w:id="2057" w:name="_Toc38442491"/>
      <w:bookmarkStart w:id="2058" w:name="_Toc38442822"/>
      <w:bookmarkStart w:id="2059" w:name="_Toc38443153"/>
      <w:bookmarkStart w:id="2060" w:name="_Toc38443484"/>
      <w:bookmarkStart w:id="2061" w:name="_Toc38443815"/>
      <w:bookmarkStart w:id="2062" w:name="_Toc38438282"/>
      <w:bookmarkStart w:id="2063" w:name="_Toc38438619"/>
      <w:bookmarkStart w:id="2064" w:name="_Toc38438956"/>
      <w:bookmarkStart w:id="2065" w:name="_Toc38439293"/>
      <w:bookmarkStart w:id="2066" w:name="_Toc38439630"/>
      <w:bookmarkStart w:id="2067" w:name="_Toc38439967"/>
      <w:bookmarkStart w:id="2068" w:name="_Toc38440304"/>
      <w:bookmarkStart w:id="2069" w:name="_Toc38440637"/>
      <w:bookmarkStart w:id="2070" w:name="_Toc38440836"/>
      <w:bookmarkStart w:id="2071" w:name="_Toc38441168"/>
      <w:bookmarkStart w:id="2072" w:name="_Toc38441500"/>
      <w:bookmarkStart w:id="2073" w:name="_Toc38441828"/>
      <w:bookmarkStart w:id="2074" w:name="_Toc38442160"/>
      <w:bookmarkStart w:id="2075" w:name="_Toc38442492"/>
      <w:bookmarkStart w:id="2076" w:name="_Toc38442823"/>
      <w:bookmarkStart w:id="2077" w:name="_Toc38443154"/>
      <w:bookmarkStart w:id="2078" w:name="_Toc38443485"/>
      <w:bookmarkStart w:id="2079" w:name="_Toc38443816"/>
      <w:bookmarkStart w:id="2080" w:name="_Toc38438283"/>
      <w:bookmarkStart w:id="2081" w:name="_Toc38438620"/>
      <w:bookmarkStart w:id="2082" w:name="_Toc38438957"/>
      <w:bookmarkStart w:id="2083" w:name="_Toc38439294"/>
      <w:bookmarkStart w:id="2084" w:name="_Toc38439631"/>
      <w:bookmarkStart w:id="2085" w:name="_Toc38439968"/>
      <w:bookmarkStart w:id="2086" w:name="_Toc38440305"/>
      <w:bookmarkStart w:id="2087" w:name="_Toc38440638"/>
      <w:bookmarkStart w:id="2088" w:name="_Toc38440837"/>
      <w:bookmarkStart w:id="2089" w:name="_Toc38441169"/>
      <w:bookmarkStart w:id="2090" w:name="_Toc38441501"/>
      <w:bookmarkStart w:id="2091" w:name="_Toc38441829"/>
      <w:bookmarkStart w:id="2092" w:name="_Toc38442161"/>
      <w:bookmarkStart w:id="2093" w:name="_Toc38442493"/>
      <w:bookmarkStart w:id="2094" w:name="_Toc38442824"/>
      <w:bookmarkStart w:id="2095" w:name="_Toc38443155"/>
      <w:bookmarkStart w:id="2096" w:name="_Toc38443486"/>
      <w:bookmarkStart w:id="2097" w:name="_Toc38443817"/>
      <w:bookmarkStart w:id="2098" w:name="_Toc38438284"/>
      <w:bookmarkStart w:id="2099" w:name="_Toc38438621"/>
      <w:bookmarkStart w:id="2100" w:name="_Toc38438958"/>
      <w:bookmarkStart w:id="2101" w:name="_Toc38439295"/>
      <w:bookmarkStart w:id="2102" w:name="_Toc38439632"/>
      <w:bookmarkStart w:id="2103" w:name="_Toc38439969"/>
      <w:bookmarkStart w:id="2104" w:name="_Toc38440306"/>
      <w:bookmarkStart w:id="2105" w:name="_Toc38440639"/>
      <w:bookmarkStart w:id="2106" w:name="_Toc38440838"/>
      <w:bookmarkStart w:id="2107" w:name="_Toc38441170"/>
      <w:bookmarkStart w:id="2108" w:name="_Toc38441502"/>
      <w:bookmarkStart w:id="2109" w:name="_Toc38441830"/>
      <w:bookmarkStart w:id="2110" w:name="_Toc38442162"/>
      <w:bookmarkStart w:id="2111" w:name="_Toc38442494"/>
      <w:bookmarkStart w:id="2112" w:name="_Toc38442825"/>
      <w:bookmarkStart w:id="2113" w:name="_Toc38443156"/>
      <w:bookmarkStart w:id="2114" w:name="_Toc38443487"/>
      <w:bookmarkStart w:id="2115" w:name="_Toc38443818"/>
      <w:bookmarkStart w:id="2116" w:name="_Toc38438285"/>
      <w:bookmarkStart w:id="2117" w:name="_Toc38438622"/>
      <w:bookmarkStart w:id="2118" w:name="_Toc38438959"/>
      <w:bookmarkStart w:id="2119" w:name="_Toc38439296"/>
      <w:bookmarkStart w:id="2120" w:name="_Toc38439633"/>
      <w:bookmarkStart w:id="2121" w:name="_Toc38439970"/>
      <w:bookmarkStart w:id="2122" w:name="_Toc38440307"/>
      <w:bookmarkStart w:id="2123" w:name="_Toc38440640"/>
      <w:bookmarkStart w:id="2124" w:name="_Toc38440839"/>
      <w:bookmarkStart w:id="2125" w:name="_Toc38441171"/>
      <w:bookmarkStart w:id="2126" w:name="_Toc38441503"/>
      <w:bookmarkStart w:id="2127" w:name="_Toc38441831"/>
      <w:bookmarkStart w:id="2128" w:name="_Toc38442163"/>
      <w:bookmarkStart w:id="2129" w:name="_Toc38442495"/>
      <w:bookmarkStart w:id="2130" w:name="_Toc38442826"/>
      <w:bookmarkStart w:id="2131" w:name="_Toc38443157"/>
      <w:bookmarkStart w:id="2132" w:name="_Toc38443488"/>
      <w:bookmarkStart w:id="2133" w:name="_Toc38443819"/>
      <w:bookmarkStart w:id="2134" w:name="_Toc38438286"/>
      <w:bookmarkStart w:id="2135" w:name="_Toc38438623"/>
      <w:bookmarkStart w:id="2136" w:name="_Toc38438960"/>
      <w:bookmarkStart w:id="2137" w:name="_Toc38439297"/>
      <w:bookmarkStart w:id="2138" w:name="_Toc38439634"/>
      <w:bookmarkStart w:id="2139" w:name="_Toc38439971"/>
      <w:bookmarkStart w:id="2140" w:name="_Toc38440308"/>
      <w:bookmarkStart w:id="2141" w:name="_Toc38440641"/>
      <w:bookmarkStart w:id="2142" w:name="_Toc38440840"/>
      <w:bookmarkStart w:id="2143" w:name="_Toc38441172"/>
      <w:bookmarkStart w:id="2144" w:name="_Toc38441504"/>
      <w:bookmarkStart w:id="2145" w:name="_Toc38441832"/>
      <w:bookmarkStart w:id="2146" w:name="_Toc38442164"/>
      <w:bookmarkStart w:id="2147" w:name="_Toc38442496"/>
      <w:bookmarkStart w:id="2148" w:name="_Toc38442827"/>
      <w:bookmarkStart w:id="2149" w:name="_Toc38443158"/>
      <w:bookmarkStart w:id="2150" w:name="_Toc38443489"/>
      <w:bookmarkStart w:id="2151" w:name="_Toc38443820"/>
      <w:bookmarkStart w:id="2152" w:name="_Toc38438287"/>
      <w:bookmarkStart w:id="2153" w:name="_Toc38438624"/>
      <w:bookmarkStart w:id="2154" w:name="_Toc38438961"/>
      <w:bookmarkStart w:id="2155" w:name="_Toc38439298"/>
      <w:bookmarkStart w:id="2156" w:name="_Toc38439635"/>
      <w:bookmarkStart w:id="2157" w:name="_Toc38439972"/>
      <w:bookmarkStart w:id="2158" w:name="_Toc38440309"/>
      <w:bookmarkStart w:id="2159" w:name="_Toc38440642"/>
      <w:bookmarkStart w:id="2160" w:name="_Toc38440841"/>
      <w:bookmarkStart w:id="2161" w:name="_Toc38441173"/>
      <w:bookmarkStart w:id="2162" w:name="_Toc38441505"/>
      <w:bookmarkStart w:id="2163" w:name="_Toc38441833"/>
      <w:bookmarkStart w:id="2164" w:name="_Toc38442165"/>
      <w:bookmarkStart w:id="2165" w:name="_Toc38442497"/>
      <w:bookmarkStart w:id="2166" w:name="_Toc38442828"/>
      <w:bookmarkStart w:id="2167" w:name="_Toc38443159"/>
      <w:bookmarkStart w:id="2168" w:name="_Toc38443490"/>
      <w:bookmarkStart w:id="2169" w:name="_Toc38443821"/>
      <w:bookmarkStart w:id="2170" w:name="_Toc38438288"/>
      <w:bookmarkStart w:id="2171" w:name="_Toc38438625"/>
      <w:bookmarkStart w:id="2172" w:name="_Toc38438962"/>
      <w:bookmarkStart w:id="2173" w:name="_Toc38439299"/>
      <w:bookmarkStart w:id="2174" w:name="_Toc38439636"/>
      <w:bookmarkStart w:id="2175" w:name="_Toc38439973"/>
      <w:bookmarkStart w:id="2176" w:name="_Toc38440310"/>
      <w:bookmarkStart w:id="2177" w:name="_Toc38440643"/>
      <w:bookmarkStart w:id="2178" w:name="_Toc38440842"/>
      <w:bookmarkStart w:id="2179" w:name="_Toc38441174"/>
      <w:bookmarkStart w:id="2180" w:name="_Toc38441506"/>
      <w:bookmarkStart w:id="2181" w:name="_Toc38441834"/>
      <w:bookmarkStart w:id="2182" w:name="_Toc38442166"/>
      <w:bookmarkStart w:id="2183" w:name="_Toc38442498"/>
      <w:bookmarkStart w:id="2184" w:name="_Toc38442829"/>
      <w:bookmarkStart w:id="2185" w:name="_Toc38443160"/>
      <w:bookmarkStart w:id="2186" w:name="_Toc38443491"/>
      <w:bookmarkStart w:id="2187" w:name="_Toc38443822"/>
      <w:bookmarkStart w:id="2188" w:name="_Toc38438289"/>
      <w:bookmarkStart w:id="2189" w:name="_Toc38438626"/>
      <w:bookmarkStart w:id="2190" w:name="_Toc38438963"/>
      <w:bookmarkStart w:id="2191" w:name="_Toc38439300"/>
      <w:bookmarkStart w:id="2192" w:name="_Toc38439637"/>
      <w:bookmarkStart w:id="2193" w:name="_Toc38439974"/>
      <w:bookmarkStart w:id="2194" w:name="_Toc38440311"/>
      <w:bookmarkStart w:id="2195" w:name="_Toc38440644"/>
      <w:bookmarkStart w:id="2196" w:name="_Toc38440843"/>
      <w:bookmarkStart w:id="2197" w:name="_Toc38441175"/>
      <w:bookmarkStart w:id="2198" w:name="_Toc38441507"/>
      <w:bookmarkStart w:id="2199" w:name="_Toc38441835"/>
      <w:bookmarkStart w:id="2200" w:name="_Toc38442167"/>
      <w:bookmarkStart w:id="2201" w:name="_Toc38442499"/>
      <w:bookmarkStart w:id="2202" w:name="_Toc38442830"/>
      <w:bookmarkStart w:id="2203" w:name="_Toc38443161"/>
      <w:bookmarkStart w:id="2204" w:name="_Toc38443492"/>
      <w:bookmarkStart w:id="2205" w:name="_Toc38443823"/>
      <w:bookmarkStart w:id="2206" w:name="_Toc38438290"/>
      <w:bookmarkStart w:id="2207" w:name="_Toc38438627"/>
      <w:bookmarkStart w:id="2208" w:name="_Toc38438964"/>
      <w:bookmarkStart w:id="2209" w:name="_Toc38439301"/>
      <w:bookmarkStart w:id="2210" w:name="_Toc38439638"/>
      <w:bookmarkStart w:id="2211" w:name="_Toc38439975"/>
      <w:bookmarkStart w:id="2212" w:name="_Toc38440312"/>
      <w:bookmarkStart w:id="2213" w:name="_Toc38440645"/>
      <w:bookmarkStart w:id="2214" w:name="_Toc38440844"/>
      <w:bookmarkStart w:id="2215" w:name="_Toc38441176"/>
      <w:bookmarkStart w:id="2216" w:name="_Toc38441508"/>
      <w:bookmarkStart w:id="2217" w:name="_Toc38441836"/>
      <w:bookmarkStart w:id="2218" w:name="_Toc38442168"/>
      <w:bookmarkStart w:id="2219" w:name="_Toc38442500"/>
      <w:bookmarkStart w:id="2220" w:name="_Toc38442831"/>
      <w:bookmarkStart w:id="2221" w:name="_Toc38443162"/>
      <w:bookmarkStart w:id="2222" w:name="_Toc38443493"/>
      <w:bookmarkStart w:id="2223" w:name="_Toc38443824"/>
      <w:bookmarkStart w:id="2224" w:name="_Toc38438291"/>
      <w:bookmarkStart w:id="2225" w:name="_Toc38438628"/>
      <w:bookmarkStart w:id="2226" w:name="_Toc38438965"/>
      <w:bookmarkStart w:id="2227" w:name="_Toc38439302"/>
      <w:bookmarkStart w:id="2228" w:name="_Toc38439639"/>
      <w:bookmarkStart w:id="2229" w:name="_Toc38439976"/>
      <w:bookmarkStart w:id="2230" w:name="_Toc38440313"/>
      <w:bookmarkStart w:id="2231" w:name="_Toc38440646"/>
      <w:bookmarkStart w:id="2232" w:name="_Toc38440845"/>
      <w:bookmarkStart w:id="2233" w:name="_Toc38441177"/>
      <w:bookmarkStart w:id="2234" w:name="_Toc38441509"/>
      <w:bookmarkStart w:id="2235" w:name="_Toc38441837"/>
      <w:bookmarkStart w:id="2236" w:name="_Toc38442169"/>
      <w:bookmarkStart w:id="2237" w:name="_Toc38442501"/>
      <w:bookmarkStart w:id="2238" w:name="_Toc38442832"/>
      <w:bookmarkStart w:id="2239" w:name="_Toc38443163"/>
      <w:bookmarkStart w:id="2240" w:name="_Toc38443494"/>
      <w:bookmarkStart w:id="2241" w:name="_Toc38443825"/>
      <w:bookmarkStart w:id="2242" w:name="_Toc38438292"/>
      <w:bookmarkStart w:id="2243" w:name="_Toc38438629"/>
      <w:bookmarkStart w:id="2244" w:name="_Toc38438966"/>
      <w:bookmarkStart w:id="2245" w:name="_Toc38439303"/>
      <w:bookmarkStart w:id="2246" w:name="_Toc38439640"/>
      <w:bookmarkStart w:id="2247" w:name="_Toc38439977"/>
      <w:bookmarkStart w:id="2248" w:name="_Toc38440314"/>
      <w:bookmarkStart w:id="2249" w:name="_Toc38440647"/>
      <w:bookmarkStart w:id="2250" w:name="_Toc38440846"/>
      <w:bookmarkStart w:id="2251" w:name="_Toc38441178"/>
      <w:bookmarkStart w:id="2252" w:name="_Toc38441510"/>
      <w:bookmarkStart w:id="2253" w:name="_Toc38441838"/>
      <w:bookmarkStart w:id="2254" w:name="_Toc38442170"/>
      <w:bookmarkStart w:id="2255" w:name="_Toc38442502"/>
      <w:bookmarkStart w:id="2256" w:name="_Toc38442833"/>
      <w:bookmarkStart w:id="2257" w:name="_Toc38443164"/>
      <w:bookmarkStart w:id="2258" w:name="_Toc38443495"/>
      <w:bookmarkStart w:id="2259" w:name="_Toc38443826"/>
      <w:bookmarkStart w:id="2260" w:name="_Toc38438293"/>
      <w:bookmarkStart w:id="2261" w:name="_Toc38438630"/>
      <w:bookmarkStart w:id="2262" w:name="_Toc38438967"/>
      <w:bookmarkStart w:id="2263" w:name="_Toc38439304"/>
      <w:bookmarkStart w:id="2264" w:name="_Toc38439641"/>
      <w:bookmarkStart w:id="2265" w:name="_Toc38439978"/>
      <w:bookmarkStart w:id="2266" w:name="_Toc38440315"/>
      <w:bookmarkStart w:id="2267" w:name="_Toc38440648"/>
      <w:bookmarkStart w:id="2268" w:name="_Toc38440847"/>
      <w:bookmarkStart w:id="2269" w:name="_Toc38441179"/>
      <w:bookmarkStart w:id="2270" w:name="_Toc38441511"/>
      <w:bookmarkStart w:id="2271" w:name="_Toc38441839"/>
      <w:bookmarkStart w:id="2272" w:name="_Toc38442171"/>
      <w:bookmarkStart w:id="2273" w:name="_Toc38442503"/>
      <w:bookmarkStart w:id="2274" w:name="_Toc38442834"/>
      <w:bookmarkStart w:id="2275" w:name="_Toc38443165"/>
      <w:bookmarkStart w:id="2276" w:name="_Toc38443496"/>
      <w:bookmarkStart w:id="2277" w:name="_Toc38443827"/>
      <w:bookmarkStart w:id="2278" w:name="_Toc38438296"/>
      <w:bookmarkStart w:id="2279" w:name="_Toc38438633"/>
      <w:bookmarkStart w:id="2280" w:name="_Toc38438970"/>
      <w:bookmarkStart w:id="2281" w:name="_Toc38439307"/>
      <w:bookmarkStart w:id="2282" w:name="_Toc38439644"/>
      <w:bookmarkStart w:id="2283" w:name="_Toc38439981"/>
      <w:bookmarkStart w:id="2284" w:name="_Toc38440318"/>
      <w:bookmarkStart w:id="2285" w:name="_Toc38440651"/>
      <w:bookmarkStart w:id="2286" w:name="_Toc38440850"/>
      <w:bookmarkStart w:id="2287" w:name="_Toc38441182"/>
      <w:bookmarkStart w:id="2288" w:name="_Toc38441514"/>
      <w:bookmarkStart w:id="2289" w:name="_Toc38441842"/>
      <w:bookmarkStart w:id="2290" w:name="_Toc38442174"/>
      <w:bookmarkStart w:id="2291" w:name="_Toc38442506"/>
      <w:bookmarkStart w:id="2292" w:name="_Toc38442837"/>
      <w:bookmarkStart w:id="2293" w:name="_Toc38443168"/>
      <w:bookmarkStart w:id="2294" w:name="_Toc38443499"/>
      <w:bookmarkStart w:id="2295" w:name="_Toc38443830"/>
      <w:bookmarkStart w:id="2296" w:name="_Toc38438297"/>
      <w:bookmarkStart w:id="2297" w:name="_Toc38438634"/>
      <w:bookmarkStart w:id="2298" w:name="_Toc38438971"/>
      <w:bookmarkStart w:id="2299" w:name="_Toc38439308"/>
      <w:bookmarkStart w:id="2300" w:name="_Toc38439645"/>
      <w:bookmarkStart w:id="2301" w:name="_Toc38439982"/>
      <w:bookmarkStart w:id="2302" w:name="_Toc38440319"/>
      <w:bookmarkStart w:id="2303" w:name="_Toc38440652"/>
      <w:bookmarkStart w:id="2304" w:name="_Toc38440851"/>
      <w:bookmarkStart w:id="2305" w:name="_Toc38441183"/>
      <w:bookmarkStart w:id="2306" w:name="_Toc38441515"/>
      <w:bookmarkStart w:id="2307" w:name="_Toc38441843"/>
      <w:bookmarkStart w:id="2308" w:name="_Toc38442175"/>
      <w:bookmarkStart w:id="2309" w:name="_Toc38442507"/>
      <w:bookmarkStart w:id="2310" w:name="_Toc38442838"/>
      <w:bookmarkStart w:id="2311" w:name="_Toc38443169"/>
      <w:bookmarkStart w:id="2312" w:name="_Toc38443500"/>
      <w:bookmarkStart w:id="2313" w:name="_Toc38443831"/>
      <w:bookmarkStart w:id="2314" w:name="_Toc38438298"/>
      <w:bookmarkStart w:id="2315" w:name="_Toc38438635"/>
      <w:bookmarkStart w:id="2316" w:name="_Toc38438972"/>
      <w:bookmarkStart w:id="2317" w:name="_Toc38439309"/>
      <w:bookmarkStart w:id="2318" w:name="_Toc38439646"/>
      <w:bookmarkStart w:id="2319" w:name="_Toc38439983"/>
      <w:bookmarkStart w:id="2320" w:name="_Toc38440320"/>
      <w:bookmarkStart w:id="2321" w:name="_Toc38440653"/>
      <w:bookmarkStart w:id="2322" w:name="_Toc38440852"/>
      <w:bookmarkStart w:id="2323" w:name="_Toc38441184"/>
      <w:bookmarkStart w:id="2324" w:name="_Toc38441516"/>
      <w:bookmarkStart w:id="2325" w:name="_Toc38441844"/>
      <w:bookmarkStart w:id="2326" w:name="_Toc38442176"/>
      <w:bookmarkStart w:id="2327" w:name="_Toc38442508"/>
      <w:bookmarkStart w:id="2328" w:name="_Toc38442839"/>
      <w:bookmarkStart w:id="2329" w:name="_Toc38443170"/>
      <w:bookmarkStart w:id="2330" w:name="_Toc38443501"/>
      <w:bookmarkStart w:id="2331" w:name="_Toc38443832"/>
      <w:bookmarkStart w:id="2332" w:name="_Toc38438299"/>
      <w:bookmarkStart w:id="2333" w:name="_Toc38438636"/>
      <w:bookmarkStart w:id="2334" w:name="_Toc38438973"/>
      <w:bookmarkStart w:id="2335" w:name="_Toc38439310"/>
      <w:bookmarkStart w:id="2336" w:name="_Toc38439647"/>
      <w:bookmarkStart w:id="2337" w:name="_Toc38439984"/>
      <w:bookmarkStart w:id="2338" w:name="_Toc38440321"/>
      <w:bookmarkStart w:id="2339" w:name="_Toc38440654"/>
      <w:bookmarkStart w:id="2340" w:name="_Toc38440853"/>
      <w:bookmarkStart w:id="2341" w:name="_Toc38441185"/>
      <w:bookmarkStart w:id="2342" w:name="_Toc38441517"/>
      <w:bookmarkStart w:id="2343" w:name="_Toc38441845"/>
      <w:bookmarkStart w:id="2344" w:name="_Toc38442177"/>
      <w:bookmarkStart w:id="2345" w:name="_Toc38442509"/>
      <w:bookmarkStart w:id="2346" w:name="_Toc38442840"/>
      <w:bookmarkStart w:id="2347" w:name="_Toc38443171"/>
      <w:bookmarkStart w:id="2348" w:name="_Toc38443502"/>
      <w:bookmarkStart w:id="2349" w:name="_Toc38443833"/>
      <w:bookmarkStart w:id="2350" w:name="_Toc38438301"/>
      <w:bookmarkStart w:id="2351" w:name="_Toc38438638"/>
      <w:bookmarkStart w:id="2352" w:name="_Toc38438975"/>
      <w:bookmarkStart w:id="2353" w:name="_Toc38439312"/>
      <w:bookmarkStart w:id="2354" w:name="_Toc38439649"/>
      <w:bookmarkStart w:id="2355" w:name="_Toc38439986"/>
      <w:bookmarkStart w:id="2356" w:name="_Toc38440323"/>
      <w:bookmarkStart w:id="2357" w:name="_Toc38440656"/>
      <w:bookmarkStart w:id="2358" w:name="_Toc38440855"/>
      <w:bookmarkStart w:id="2359" w:name="_Toc38441187"/>
      <w:bookmarkStart w:id="2360" w:name="_Toc38441519"/>
      <w:bookmarkStart w:id="2361" w:name="_Toc38441847"/>
      <w:bookmarkStart w:id="2362" w:name="_Toc38442179"/>
      <w:bookmarkStart w:id="2363" w:name="_Toc38442511"/>
      <w:bookmarkStart w:id="2364" w:name="_Toc38442842"/>
      <w:bookmarkStart w:id="2365" w:name="_Toc38443173"/>
      <w:bookmarkStart w:id="2366" w:name="_Toc38443504"/>
      <w:bookmarkStart w:id="2367" w:name="_Toc38443835"/>
      <w:bookmarkStart w:id="2368" w:name="_Toc38438302"/>
      <w:bookmarkStart w:id="2369" w:name="_Toc38438639"/>
      <w:bookmarkStart w:id="2370" w:name="_Toc38438976"/>
      <w:bookmarkStart w:id="2371" w:name="_Toc38439313"/>
      <w:bookmarkStart w:id="2372" w:name="_Toc38439650"/>
      <w:bookmarkStart w:id="2373" w:name="_Toc38439987"/>
      <w:bookmarkStart w:id="2374" w:name="_Toc38440324"/>
      <w:bookmarkStart w:id="2375" w:name="_Toc38440657"/>
      <w:bookmarkStart w:id="2376" w:name="_Toc38440856"/>
      <w:bookmarkStart w:id="2377" w:name="_Toc38441188"/>
      <w:bookmarkStart w:id="2378" w:name="_Toc38441520"/>
      <w:bookmarkStart w:id="2379" w:name="_Toc38441848"/>
      <w:bookmarkStart w:id="2380" w:name="_Toc38442180"/>
      <w:bookmarkStart w:id="2381" w:name="_Toc38442512"/>
      <w:bookmarkStart w:id="2382" w:name="_Toc38442843"/>
      <w:bookmarkStart w:id="2383" w:name="_Toc38443174"/>
      <w:bookmarkStart w:id="2384" w:name="_Toc38443505"/>
      <w:bookmarkStart w:id="2385" w:name="_Toc38443836"/>
      <w:bookmarkStart w:id="2386" w:name="_Toc38438303"/>
      <w:bookmarkStart w:id="2387" w:name="_Toc38438640"/>
      <w:bookmarkStart w:id="2388" w:name="_Toc38438977"/>
      <w:bookmarkStart w:id="2389" w:name="_Toc38439314"/>
      <w:bookmarkStart w:id="2390" w:name="_Toc38439651"/>
      <w:bookmarkStart w:id="2391" w:name="_Toc38439988"/>
      <w:bookmarkStart w:id="2392" w:name="_Toc38440325"/>
      <w:bookmarkStart w:id="2393" w:name="_Toc38440658"/>
      <w:bookmarkStart w:id="2394" w:name="_Toc38440857"/>
      <w:bookmarkStart w:id="2395" w:name="_Toc38441189"/>
      <w:bookmarkStart w:id="2396" w:name="_Toc38441521"/>
      <w:bookmarkStart w:id="2397" w:name="_Toc38441849"/>
      <w:bookmarkStart w:id="2398" w:name="_Toc38442181"/>
      <w:bookmarkStart w:id="2399" w:name="_Toc38442513"/>
      <w:bookmarkStart w:id="2400" w:name="_Toc38442844"/>
      <w:bookmarkStart w:id="2401" w:name="_Toc38443175"/>
      <w:bookmarkStart w:id="2402" w:name="_Toc38443506"/>
      <w:bookmarkStart w:id="2403" w:name="_Toc38443837"/>
      <w:bookmarkStart w:id="2404" w:name="_Toc38438304"/>
      <w:bookmarkStart w:id="2405" w:name="_Toc38438641"/>
      <w:bookmarkStart w:id="2406" w:name="_Toc38438978"/>
      <w:bookmarkStart w:id="2407" w:name="_Toc38439315"/>
      <w:bookmarkStart w:id="2408" w:name="_Toc38439652"/>
      <w:bookmarkStart w:id="2409" w:name="_Toc38439989"/>
      <w:bookmarkStart w:id="2410" w:name="_Toc38440326"/>
      <w:bookmarkStart w:id="2411" w:name="_Toc38440659"/>
      <w:bookmarkStart w:id="2412" w:name="_Toc38440858"/>
      <w:bookmarkStart w:id="2413" w:name="_Toc38441190"/>
      <w:bookmarkStart w:id="2414" w:name="_Toc38441522"/>
      <w:bookmarkStart w:id="2415" w:name="_Toc38441850"/>
      <w:bookmarkStart w:id="2416" w:name="_Toc38442182"/>
      <w:bookmarkStart w:id="2417" w:name="_Toc38442514"/>
      <w:bookmarkStart w:id="2418" w:name="_Toc38442845"/>
      <w:bookmarkStart w:id="2419" w:name="_Toc38443176"/>
      <w:bookmarkStart w:id="2420" w:name="_Toc38443507"/>
      <w:bookmarkStart w:id="2421" w:name="_Toc38443838"/>
      <w:bookmarkStart w:id="2422" w:name="_Toc38438305"/>
      <w:bookmarkStart w:id="2423" w:name="_Toc38438642"/>
      <w:bookmarkStart w:id="2424" w:name="_Toc38438979"/>
      <w:bookmarkStart w:id="2425" w:name="_Toc38439316"/>
      <w:bookmarkStart w:id="2426" w:name="_Toc38439653"/>
      <w:bookmarkStart w:id="2427" w:name="_Toc38439990"/>
      <w:bookmarkStart w:id="2428" w:name="_Toc38440327"/>
      <w:bookmarkStart w:id="2429" w:name="_Toc38440660"/>
      <w:bookmarkStart w:id="2430" w:name="_Toc38440859"/>
      <w:bookmarkStart w:id="2431" w:name="_Toc38441191"/>
      <w:bookmarkStart w:id="2432" w:name="_Toc38441523"/>
      <w:bookmarkStart w:id="2433" w:name="_Toc38441851"/>
      <w:bookmarkStart w:id="2434" w:name="_Toc38442183"/>
      <w:bookmarkStart w:id="2435" w:name="_Toc38442515"/>
      <w:bookmarkStart w:id="2436" w:name="_Toc38442846"/>
      <w:bookmarkStart w:id="2437" w:name="_Toc38443177"/>
      <w:bookmarkStart w:id="2438" w:name="_Toc38443508"/>
      <w:bookmarkStart w:id="2439" w:name="_Toc38443839"/>
      <w:bookmarkStart w:id="2440" w:name="_Toc38438306"/>
      <w:bookmarkStart w:id="2441" w:name="_Toc38438643"/>
      <w:bookmarkStart w:id="2442" w:name="_Toc38438980"/>
      <w:bookmarkStart w:id="2443" w:name="_Toc38439317"/>
      <w:bookmarkStart w:id="2444" w:name="_Toc38439654"/>
      <w:bookmarkStart w:id="2445" w:name="_Toc38439991"/>
      <w:bookmarkStart w:id="2446" w:name="_Toc38440328"/>
      <w:bookmarkStart w:id="2447" w:name="_Toc38440661"/>
      <w:bookmarkStart w:id="2448" w:name="_Toc38440860"/>
      <w:bookmarkStart w:id="2449" w:name="_Toc38441192"/>
      <w:bookmarkStart w:id="2450" w:name="_Toc38441524"/>
      <w:bookmarkStart w:id="2451" w:name="_Toc38441852"/>
      <w:bookmarkStart w:id="2452" w:name="_Toc38442184"/>
      <w:bookmarkStart w:id="2453" w:name="_Toc38442516"/>
      <w:bookmarkStart w:id="2454" w:name="_Toc38442847"/>
      <w:bookmarkStart w:id="2455" w:name="_Toc38443178"/>
      <w:bookmarkStart w:id="2456" w:name="_Toc38443509"/>
      <w:bookmarkStart w:id="2457" w:name="_Toc38443840"/>
      <w:bookmarkStart w:id="2458" w:name="_Toc38438310"/>
      <w:bookmarkStart w:id="2459" w:name="_Toc38438647"/>
      <w:bookmarkStart w:id="2460" w:name="_Toc38438984"/>
      <w:bookmarkStart w:id="2461" w:name="_Toc38439321"/>
      <w:bookmarkStart w:id="2462" w:name="_Toc38439658"/>
      <w:bookmarkStart w:id="2463" w:name="_Toc38439995"/>
      <w:bookmarkStart w:id="2464" w:name="_Toc38440332"/>
      <w:bookmarkStart w:id="2465" w:name="_Toc38440665"/>
      <w:bookmarkStart w:id="2466" w:name="_Toc38440864"/>
      <w:bookmarkStart w:id="2467" w:name="_Toc38441196"/>
      <w:bookmarkStart w:id="2468" w:name="_Toc38441528"/>
      <w:bookmarkStart w:id="2469" w:name="_Toc38441856"/>
      <w:bookmarkStart w:id="2470" w:name="_Toc38442188"/>
      <w:bookmarkStart w:id="2471" w:name="_Toc38442520"/>
      <w:bookmarkStart w:id="2472" w:name="_Toc38442851"/>
      <w:bookmarkStart w:id="2473" w:name="_Toc38443182"/>
      <w:bookmarkStart w:id="2474" w:name="_Toc38443513"/>
      <w:bookmarkStart w:id="2475" w:name="_Toc38443844"/>
      <w:bookmarkStart w:id="2476" w:name="_Toc38438311"/>
      <w:bookmarkStart w:id="2477" w:name="_Toc38438648"/>
      <w:bookmarkStart w:id="2478" w:name="_Toc38438985"/>
      <w:bookmarkStart w:id="2479" w:name="_Toc38439322"/>
      <w:bookmarkStart w:id="2480" w:name="_Toc38439659"/>
      <w:bookmarkStart w:id="2481" w:name="_Toc38439996"/>
      <w:bookmarkStart w:id="2482" w:name="_Toc38440333"/>
      <w:bookmarkStart w:id="2483" w:name="_Toc38440666"/>
      <w:bookmarkStart w:id="2484" w:name="_Toc38440865"/>
      <w:bookmarkStart w:id="2485" w:name="_Toc38441197"/>
      <w:bookmarkStart w:id="2486" w:name="_Toc38441529"/>
      <w:bookmarkStart w:id="2487" w:name="_Toc38441857"/>
      <w:bookmarkStart w:id="2488" w:name="_Toc38442189"/>
      <w:bookmarkStart w:id="2489" w:name="_Toc38442521"/>
      <w:bookmarkStart w:id="2490" w:name="_Toc38442852"/>
      <w:bookmarkStart w:id="2491" w:name="_Toc38443183"/>
      <w:bookmarkStart w:id="2492" w:name="_Toc38443514"/>
      <w:bookmarkStart w:id="2493" w:name="_Toc38443845"/>
      <w:bookmarkStart w:id="2494" w:name="_Toc38438312"/>
      <w:bookmarkStart w:id="2495" w:name="_Toc38438649"/>
      <w:bookmarkStart w:id="2496" w:name="_Toc38438986"/>
      <w:bookmarkStart w:id="2497" w:name="_Toc38439323"/>
      <w:bookmarkStart w:id="2498" w:name="_Toc38439660"/>
      <w:bookmarkStart w:id="2499" w:name="_Toc38439997"/>
      <w:bookmarkStart w:id="2500" w:name="_Toc38440334"/>
      <w:bookmarkStart w:id="2501" w:name="_Toc38440667"/>
      <w:bookmarkStart w:id="2502" w:name="_Toc38440866"/>
      <w:bookmarkStart w:id="2503" w:name="_Toc38441198"/>
      <w:bookmarkStart w:id="2504" w:name="_Toc38441530"/>
      <w:bookmarkStart w:id="2505" w:name="_Toc38441858"/>
      <w:bookmarkStart w:id="2506" w:name="_Toc38442190"/>
      <w:bookmarkStart w:id="2507" w:name="_Toc38442522"/>
      <w:bookmarkStart w:id="2508" w:name="_Toc38442853"/>
      <w:bookmarkStart w:id="2509" w:name="_Toc38443184"/>
      <w:bookmarkStart w:id="2510" w:name="_Toc38443515"/>
      <w:bookmarkStart w:id="2511" w:name="_Toc38443846"/>
      <w:bookmarkStart w:id="2512" w:name="_Toc38438313"/>
      <w:bookmarkStart w:id="2513" w:name="_Toc38438650"/>
      <w:bookmarkStart w:id="2514" w:name="_Toc38438987"/>
      <w:bookmarkStart w:id="2515" w:name="_Toc38439324"/>
      <w:bookmarkStart w:id="2516" w:name="_Toc38439661"/>
      <w:bookmarkStart w:id="2517" w:name="_Toc38439998"/>
      <w:bookmarkStart w:id="2518" w:name="_Toc38440335"/>
      <w:bookmarkStart w:id="2519" w:name="_Toc38440668"/>
      <w:bookmarkStart w:id="2520" w:name="_Toc38440867"/>
      <w:bookmarkStart w:id="2521" w:name="_Toc38441199"/>
      <w:bookmarkStart w:id="2522" w:name="_Toc38441531"/>
      <w:bookmarkStart w:id="2523" w:name="_Toc38441859"/>
      <w:bookmarkStart w:id="2524" w:name="_Toc38442191"/>
      <w:bookmarkStart w:id="2525" w:name="_Toc38442523"/>
      <w:bookmarkStart w:id="2526" w:name="_Toc38442854"/>
      <w:bookmarkStart w:id="2527" w:name="_Toc38443185"/>
      <w:bookmarkStart w:id="2528" w:name="_Toc38443516"/>
      <w:bookmarkStart w:id="2529" w:name="_Toc38443847"/>
      <w:bookmarkStart w:id="2530" w:name="_Toc38438314"/>
      <w:bookmarkStart w:id="2531" w:name="_Toc38438651"/>
      <w:bookmarkStart w:id="2532" w:name="_Toc38438988"/>
      <w:bookmarkStart w:id="2533" w:name="_Toc38439325"/>
      <w:bookmarkStart w:id="2534" w:name="_Toc38439662"/>
      <w:bookmarkStart w:id="2535" w:name="_Toc38439999"/>
      <w:bookmarkStart w:id="2536" w:name="_Toc38440336"/>
      <w:bookmarkStart w:id="2537" w:name="_Toc38440669"/>
      <w:bookmarkStart w:id="2538" w:name="_Toc38440868"/>
      <w:bookmarkStart w:id="2539" w:name="_Toc38441200"/>
      <w:bookmarkStart w:id="2540" w:name="_Toc38441532"/>
      <w:bookmarkStart w:id="2541" w:name="_Toc38441860"/>
      <w:bookmarkStart w:id="2542" w:name="_Toc38442192"/>
      <w:bookmarkStart w:id="2543" w:name="_Toc38442524"/>
      <w:bookmarkStart w:id="2544" w:name="_Toc38442855"/>
      <w:bookmarkStart w:id="2545" w:name="_Toc38443186"/>
      <w:bookmarkStart w:id="2546" w:name="_Toc38443517"/>
      <w:bookmarkStart w:id="2547" w:name="_Toc38443848"/>
      <w:bookmarkStart w:id="2548" w:name="_Toc38438315"/>
      <w:bookmarkStart w:id="2549" w:name="_Toc38438652"/>
      <w:bookmarkStart w:id="2550" w:name="_Toc38438989"/>
      <w:bookmarkStart w:id="2551" w:name="_Toc38439326"/>
      <w:bookmarkStart w:id="2552" w:name="_Toc38439663"/>
      <w:bookmarkStart w:id="2553" w:name="_Toc38440000"/>
      <w:bookmarkStart w:id="2554" w:name="_Toc38440337"/>
      <w:bookmarkStart w:id="2555" w:name="_Toc38440670"/>
      <w:bookmarkStart w:id="2556" w:name="_Toc38440869"/>
      <w:bookmarkStart w:id="2557" w:name="_Toc38441201"/>
      <w:bookmarkStart w:id="2558" w:name="_Toc38441533"/>
      <w:bookmarkStart w:id="2559" w:name="_Toc38441861"/>
      <w:bookmarkStart w:id="2560" w:name="_Toc38442193"/>
      <w:bookmarkStart w:id="2561" w:name="_Toc38442525"/>
      <w:bookmarkStart w:id="2562" w:name="_Toc38442856"/>
      <w:bookmarkStart w:id="2563" w:name="_Toc38443187"/>
      <w:bookmarkStart w:id="2564" w:name="_Toc38443518"/>
      <w:bookmarkStart w:id="2565" w:name="_Toc38443849"/>
      <w:bookmarkStart w:id="2566" w:name="_Toc38438316"/>
      <w:bookmarkStart w:id="2567" w:name="_Toc38438653"/>
      <w:bookmarkStart w:id="2568" w:name="_Toc38438990"/>
      <w:bookmarkStart w:id="2569" w:name="_Toc38439327"/>
      <w:bookmarkStart w:id="2570" w:name="_Toc38439664"/>
      <w:bookmarkStart w:id="2571" w:name="_Toc38440001"/>
      <w:bookmarkStart w:id="2572" w:name="_Toc38440338"/>
      <w:bookmarkStart w:id="2573" w:name="_Toc38440671"/>
      <w:bookmarkStart w:id="2574" w:name="_Toc38440870"/>
      <w:bookmarkStart w:id="2575" w:name="_Toc38441202"/>
      <w:bookmarkStart w:id="2576" w:name="_Toc38441534"/>
      <w:bookmarkStart w:id="2577" w:name="_Toc38441862"/>
      <w:bookmarkStart w:id="2578" w:name="_Toc38442194"/>
      <w:bookmarkStart w:id="2579" w:name="_Toc38442526"/>
      <w:bookmarkStart w:id="2580" w:name="_Toc38442857"/>
      <w:bookmarkStart w:id="2581" w:name="_Toc38443188"/>
      <w:bookmarkStart w:id="2582" w:name="_Toc38443519"/>
      <w:bookmarkStart w:id="2583" w:name="_Toc38443850"/>
      <w:bookmarkStart w:id="2584" w:name="_Toc38438317"/>
      <w:bookmarkStart w:id="2585" w:name="_Toc38438654"/>
      <w:bookmarkStart w:id="2586" w:name="_Toc38438991"/>
      <w:bookmarkStart w:id="2587" w:name="_Toc38439328"/>
      <w:bookmarkStart w:id="2588" w:name="_Toc38439665"/>
      <w:bookmarkStart w:id="2589" w:name="_Toc38440002"/>
      <w:bookmarkStart w:id="2590" w:name="_Toc38440339"/>
      <w:bookmarkStart w:id="2591" w:name="_Toc38440672"/>
      <w:bookmarkStart w:id="2592" w:name="_Toc38440871"/>
      <w:bookmarkStart w:id="2593" w:name="_Toc38441203"/>
      <w:bookmarkStart w:id="2594" w:name="_Toc38441535"/>
      <w:bookmarkStart w:id="2595" w:name="_Toc38441863"/>
      <w:bookmarkStart w:id="2596" w:name="_Toc38442195"/>
      <w:bookmarkStart w:id="2597" w:name="_Toc38442527"/>
      <w:bookmarkStart w:id="2598" w:name="_Toc38442858"/>
      <w:bookmarkStart w:id="2599" w:name="_Toc38443189"/>
      <w:bookmarkStart w:id="2600" w:name="_Toc38443520"/>
      <w:bookmarkStart w:id="2601" w:name="_Toc38443851"/>
      <w:bookmarkStart w:id="2602" w:name="_Toc38438318"/>
      <w:bookmarkStart w:id="2603" w:name="_Toc38438655"/>
      <w:bookmarkStart w:id="2604" w:name="_Toc38438992"/>
      <w:bookmarkStart w:id="2605" w:name="_Toc38439329"/>
      <w:bookmarkStart w:id="2606" w:name="_Toc38439666"/>
      <w:bookmarkStart w:id="2607" w:name="_Toc38440003"/>
      <w:bookmarkStart w:id="2608" w:name="_Toc38440340"/>
      <w:bookmarkStart w:id="2609" w:name="_Toc38440673"/>
      <w:bookmarkStart w:id="2610" w:name="_Toc38440872"/>
      <w:bookmarkStart w:id="2611" w:name="_Toc38441204"/>
      <w:bookmarkStart w:id="2612" w:name="_Toc38441536"/>
      <w:bookmarkStart w:id="2613" w:name="_Toc38441864"/>
      <w:bookmarkStart w:id="2614" w:name="_Toc38442196"/>
      <w:bookmarkStart w:id="2615" w:name="_Toc38442528"/>
      <w:bookmarkStart w:id="2616" w:name="_Toc38442859"/>
      <w:bookmarkStart w:id="2617" w:name="_Toc38443190"/>
      <w:bookmarkStart w:id="2618" w:name="_Toc38443521"/>
      <w:bookmarkStart w:id="2619" w:name="_Toc38443852"/>
      <w:bookmarkStart w:id="2620" w:name="_Toc38438319"/>
      <w:bookmarkStart w:id="2621" w:name="_Toc38438656"/>
      <w:bookmarkStart w:id="2622" w:name="_Toc38438993"/>
      <w:bookmarkStart w:id="2623" w:name="_Toc38439330"/>
      <w:bookmarkStart w:id="2624" w:name="_Toc38439667"/>
      <w:bookmarkStart w:id="2625" w:name="_Toc38440004"/>
      <w:bookmarkStart w:id="2626" w:name="_Toc38440341"/>
      <w:bookmarkStart w:id="2627" w:name="_Toc38440674"/>
      <w:bookmarkStart w:id="2628" w:name="_Toc38440873"/>
      <w:bookmarkStart w:id="2629" w:name="_Toc38441205"/>
      <w:bookmarkStart w:id="2630" w:name="_Toc38441537"/>
      <w:bookmarkStart w:id="2631" w:name="_Toc38441865"/>
      <w:bookmarkStart w:id="2632" w:name="_Toc38442197"/>
      <w:bookmarkStart w:id="2633" w:name="_Toc38442529"/>
      <w:bookmarkStart w:id="2634" w:name="_Toc38442860"/>
      <w:bookmarkStart w:id="2635" w:name="_Toc38443191"/>
      <w:bookmarkStart w:id="2636" w:name="_Toc38443522"/>
      <w:bookmarkStart w:id="2637" w:name="_Toc38443853"/>
      <w:bookmarkStart w:id="2638" w:name="_Toc38438320"/>
      <w:bookmarkStart w:id="2639" w:name="_Toc38438657"/>
      <w:bookmarkStart w:id="2640" w:name="_Toc38438994"/>
      <w:bookmarkStart w:id="2641" w:name="_Toc38439331"/>
      <w:bookmarkStart w:id="2642" w:name="_Toc38439668"/>
      <w:bookmarkStart w:id="2643" w:name="_Toc38440005"/>
      <w:bookmarkStart w:id="2644" w:name="_Toc38440342"/>
      <w:bookmarkStart w:id="2645" w:name="_Toc38440675"/>
      <w:bookmarkStart w:id="2646" w:name="_Toc38440874"/>
      <w:bookmarkStart w:id="2647" w:name="_Toc38441206"/>
      <w:bookmarkStart w:id="2648" w:name="_Toc38441538"/>
      <w:bookmarkStart w:id="2649" w:name="_Toc38441866"/>
      <w:bookmarkStart w:id="2650" w:name="_Toc38442198"/>
      <w:bookmarkStart w:id="2651" w:name="_Toc38442530"/>
      <w:bookmarkStart w:id="2652" w:name="_Toc38442861"/>
      <w:bookmarkStart w:id="2653" w:name="_Toc38443192"/>
      <w:bookmarkStart w:id="2654" w:name="_Toc38443523"/>
      <w:bookmarkStart w:id="2655" w:name="_Toc38443854"/>
      <w:bookmarkStart w:id="2656" w:name="_Toc38438321"/>
      <w:bookmarkStart w:id="2657" w:name="_Toc38438658"/>
      <w:bookmarkStart w:id="2658" w:name="_Toc38438995"/>
      <w:bookmarkStart w:id="2659" w:name="_Toc38439332"/>
      <w:bookmarkStart w:id="2660" w:name="_Toc38439669"/>
      <w:bookmarkStart w:id="2661" w:name="_Toc38440006"/>
      <w:bookmarkStart w:id="2662" w:name="_Toc38440343"/>
      <w:bookmarkStart w:id="2663" w:name="_Toc38440676"/>
      <w:bookmarkStart w:id="2664" w:name="_Toc38440875"/>
      <w:bookmarkStart w:id="2665" w:name="_Toc38441207"/>
      <w:bookmarkStart w:id="2666" w:name="_Toc38441539"/>
      <w:bookmarkStart w:id="2667" w:name="_Toc38441867"/>
      <w:bookmarkStart w:id="2668" w:name="_Toc38442199"/>
      <w:bookmarkStart w:id="2669" w:name="_Toc38442531"/>
      <w:bookmarkStart w:id="2670" w:name="_Toc38442862"/>
      <w:bookmarkStart w:id="2671" w:name="_Toc38443193"/>
      <w:bookmarkStart w:id="2672" w:name="_Toc38443524"/>
      <w:bookmarkStart w:id="2673" w:name="_Toc38443855"/>
      <w:bookmarkStart w:id="2674" w:name="_Toc38438322"/>
      <w:bookmarkStart w:id="2675" w:name="_Toc38438659"/>
      <w:bookmarkStart w:id="2676" w:name="_Toc38438996"/>
      <w:bookmarkStart w:id="2677" w:name="_Toc38439333"/>
      <w:bookmarkStart w:id="2678" w:name="_Toc38439670"/>
      <w:bookmarkStart w:id="2679" w:name="_Toc38440007"/>
      <w:bookmarkStart w:id="2680" w:name="_Toc38440344"/>
      <w:bookmarkStart w:id="2681" w:name="_Toc38440677"/>
      <w:bookmarkStart w:id="2682" w:name="_Toc38440876"/>
      <w:bookmarkStart w:id="2683" w:name="_Toc38441208"/>
      <w:bookmarkStart w:id="2684" w:name="_Toc38441540"/>
      <w:bookmarkStart w:id="2685" w:name="_Toc38441868"/>
      <w:bookmarkStart w:id="2686" w:name="_Toc38442200"/>
      <w:bookmarkStart w:id="2687" w:name="_Toc38442532"/>
      <w:bookmarkStart w:id="2688" w:name="_Toc38442863"/>
      <w:bookmarkStart w:id="2689" w:name="_Toc38443194"/>
      <w:bookmarkStart w:id="2690" w:name="_Toc38443525"/>
      <w:bookmarkStart w:id="2691" w:name="_Toc38443856"/>
      <w:bookmarkStart w:id="2692" w:name="_Toc38438323"/>
      <w:bookmarkStart w:id="2693" w:name="_Toc38438660"/>
      <w:bookmarkStart w:id="2694" w:name="_Toc38438997"/>
      <w:bookmarkStart w:id="2695" w:name="_Toc38439334"/>
      <w:bookmarkStart w:id="2696" w:name="_Toc38439671"/>
      <w:bookmarkStart w:id="2697" w:name="_Toc38440008"/>
      <w:bookmarkStart w:id="2698" w:name="_Toc38440345"/>
      <w:bookmarkStart w:id="2699" w:name="_Toc38440678"/>
      <w:bookmarkStart w:id="2700" w:name="_Toc38440877"/>
      <w:bookmarkStart w:id="2701" w:name="_Toc38441209"/>
      <w:bookmarkStart w:id="2702" w:name="_Toc38441541"/>
      <w:bookmarkStart w:id="2703" w:name="_Toc38441869"/>
      <w:bookmarkStart w:id="2704" w:name="_Toc38442201"/>
      <w:bookmarkStart w:id="2705" w:name="_Toc38442533"/>
      <w:bookmarkStart w:id="2706" w:name="_Toc38442864"/>
      <w:bookmarkStart w:id="2707" w:name="_Toc38443195"/>
      <w:bookmarkStart w:id="2708" w:name="_Toc38443526"/>
      <w:bookmarkStart w:id="2709" w:name="_Toc38443857"/>
      <w:bookmarkStart w:id="2710" w:name="_Toc38438324"/>
      <w:bookmarkStart w:id="2711" w:name="_Toc38438661"/>
      <w:bookmarkStart w:id="2712" w:name="_Toc38438998"/>
      <w:bookmarkStart w:id="2713" w:name="_Toc38439335"/>
      <w:bookmarkStart w:id="2714" w:name="_Toc38439672"/>
      <w:bookmarkStart w:id="2715" w:name="_Toc38440009"/>
      <w:bookmarkStart w:id="2716" w:name="_Toc38440346"/>
      <w:bookmarkStart w:id="2717" w:name="_Toc38440679"/>
      <w:bookmarkStart w:id="2718" w:name="_Toc38440878"/>
      <w:bookmarkStart w:id="2719" w:name="_Toc38441210"/>
      <w:bookmarkStart w:id="2720" w:name="_Toc38441542"/>
      <w:bookmarkStart w:id="2721" w:name="_Toc38441870"/>
      <w:bookmarkStart w:id="2722" w:name="_Toc38442202"/>
      <w:bookmarkStart w:id="2723" w:name="_Toc38442534"/>
      <w:bookmarkStart w:id="2724" w:name="_Toc38442865"/>
      <w:bookmarkStart w:id="2725" w:name="_Toc38443196"/>
      <w:bookmarkStart w:id="2726" w:name="_Toc38443527"/>
      <w:bookmarkStart w:id="2727" w:name="_Toc38443858"/>
      <w:bookmarkStart w:id="2728" w:name="_Toc38438325"/>
      <w:bookmarkStart w:id="2729" w:name="_Toc38438662"/>
      <w:bookmarkStart w:id="2730" w:name="_Toc38438999"/>
      <w:bookmarkStart w:id="2731" w:name="_Toc38439336"/>
      <w:bookmarkStart w:id="2732" w:name="_Toc38439673"/>
      <w:bookmarkStart w:id="2733" w:name="_Toc38440010"/>
      <w:bookmarkStart w:id="2734" w:name="_Toc38440347"/>
      <w:bookmarkStart w:id="2735" w:name="_Toc38440879"/>
      <w:bookmarkStart w:id="2736" w:name="_Toc38441211"/>
      <w:bookmarkStart w:id="2737" w:name="_Toc38441543"/>
      <w:bookmarkStart w:id="2738" w:name="_Toc38441871"/>
      <w:bookmarkStart w:id="2739" w:name="_Toc38442203"/>
      <w:bookmarkStart w:id="2740" w:name="_Toc38442535"/>
      <w:bookmarkStart w:id="2741" w:name="_Toc38442866"/>
      <w:bookmarkStart w:id="2742" w:name="_Toc38443197"/>
      <w:bookmarkStart w:id="2743" w:name="_Toc38443528"/>
      <w:bookmarkStart w:id="2744" w:name="_Toc38443859"/>
      <w:bookmarkStart w:id="2745" w:name="_Toc38438326"/>
      <w:bookmarkStart w:id="2746" w:name="_Toc38438663"/>
      <w:bookmarkStart w:id="2747" w:name="_Toc38439000"/>
      <w:bookmarkStart w:id="2748" w:name="_Toc38439337"/>
      <w:bookmarkStart w:id="2749" w:name="_Toc38439674"/>
      <w:bookmarkStart w:id="2750" w:name="_Toc38440011"/>
      <w:bookmarkStart w:id="2751" w:name="_Toc38440348"/>
      <w:bookmarkStart w:id="2752" w:name="_Toc38440880"/>
      <w:bookmarkStart w:id="2753" w:name="_Toc38441212"/>
      <w:bookmarkStart w:id="2754" w:name="_Toc38441544"/>
      <w:bookmarkStart w:id="2755" w:name="_Toc38441872"/>
      <w:bookmarkStart w:id="2756" w:name="_Toc38442204"/>
      <w:bookmarkStart w:id="2757" w:name="_Toc38442536"/>
      <w:bookmarkStart w:id="2758" w:name="_Toc38442867"/>
      <w:bookmarkStart w:id="2759" w:name="_Toc38443198"/>
      <w:bookmarkStart w:id="2760" w:name="_Toc38443529"/>
      <w:bookmarkStart w:id="2761" w:name="_Toc38443860"/>
      <w:bookmarkStart w:id="2762" w:name="_Toc38438327"/>
      <w:bookmarkStart w:id="2763" w:name="_Toc38438664"/>
      <w:bookmarkStart w:id="2764" w:name="_Toc38439001"/>
      <w:bookmarkStart w:id="2765" w:name="_Toc38439338"/>
      <w:bookmarkStart w:id="2766" w:name="_Toc38439675"/>
      <w:bookmarkStart w:id="2767" w:name="_Toc38440012"/>
      <w:bookmarkStart w:id="2768" w:name="_Toc38440349"/>
      <w:bookmarkStart w:id="2769" w:name="_Toc38440881"/>
      <w:bookmarkStart w:id="2770" w:name="_Toc38441213"/>
      <w:bookmarkStart w:id="2771" w:name="_Toc38441545"/>
      <w:bookmarkStart w:id="2772" w:name="_Toc38441873"/>
      <w:bookmarkStart w:id="2773" w:name="_Toc38442205"/>
      <w:bookmarkStart w:id="2774" w:name="_Toc38442537"/>
      <w:bookmarkStart w:id="2775" w:name="_Toc38442868"/>
      <w:bookmarkStart w:id="2776" w:name="_Toc38443199"/>
      <w:bookmarkStart w:id="2777" w:name="_Toc38443530"/>
      <w:bookmarkStart w:id="2778" w:name="_Toc38443861"/>
      <w:bookmarkStart w:id="2779" w:name="_Toc38438328"/>
      <w:bookmarkStart w:id="2780" w:name="_Toc38438665"/>
      <w:bookmarkStart w:id="2781" w:name="_Toc38439002"/>
      <w:bookmarkStart w:id="2782" w:name="_Toc38439339"/>
      <w:bookmarkStart w:id="2783" w:name="_Toc38439676"/>
      <w:bookmarkStart w:id="2784" w:name="_Toc38440013"/>
      <w:bookmarkStart w:id="2785" w:name="_Toc38440350"/>
      <w:bookmarkStart w:id="2786" w:name="_Toc38440882"/>
      <w:bookmarkStart w:id="2787" w:name="_Toc38441214"/>
      <w:bookmarkStart w:id="2788" w:name="_Toc38441546"/>
      <w:bookmarkStart w:id="2789" w:name="_Toc38441874"/>
      <w:bookmarkStart w:id="2790" w:name="_Toc38442206"/>
      <w:bookmarkStart w:id="2791" w:name="_Toc38442538"/>
      <w:bookmarkStart w:id="2792" w:name="_Toc38442869"/>
      <w:bookmarkStart w:id="2793" w:name="_Toc38443200"/>
      <w:bookmarkStart w:id="2794" w:name="_Toc38443531"/>
      <w:bookmarkStart w:id="2795" w:name="_Toc38443862"/>
      <w:bookmarkStart w:id="2796" w:name="_Toc38438329"/>
      <w:bookmarkStart w:id="2797" w:name="_Toc38438666"/>
      <w:bookmarkStart w:id="2798" w:name="_Toc38439003"/>
      <w:bookmarkStart w:id="2799" w:name="_Toc38439340"/>
      <w:bookmarkStart w:id="2800" w:name="_Toc38439677"/>
      <w:bookmarkStart w:id="2801" w:name="_Toc38440014"/>
      <w:bookmarkStart w:id="2802" w:name="_Toc38440351"/>
      <w:bookmarkStart w:id="2803" w:name="_Toc38440883"/>
      <w:bookmarkStart w:id="2804" w:name="_Toc38441215"/>
      <w:bookmarkStart w:id="2805" w:name="_Toc38441547"/>
      <w:bookmarkStart w:id="2806" w:name="_Toc38441875"/>
      <w:bookmarkStart w:id="2807" w:name="_Toc38442207"/>
      <w:bookmarkStart w:id="2808" w:name="_Toc38442539"/>
      <w:bookmarkStart w:id="2809" w:name="_Toc38442870"/>
      <w:bookmarkStart w:id="2810" w:name="_Toc38443201"/>
      <w:bookmarkStart w:id="2811" w:name="_Toc38443532"/>
      <w:bookmarkStart w:id="2812" w:name="_Toc38443863"/>
      <w:bookmarkStart w:id="2813" w:name="_Toc38438330"/>
      <w:bookmarkStart w:id="2814" w:name="_Toc38438667"/>
      <w:bookmarkStart w:id="2815" w:name="_Toc38439004"/>
      <w:bookmarkStart w:id="2816" w:name="_Toc38439341"/>
      <w:bookmarkStart w:id="2817" w:name="_Toc38439678"/>
      <w:bookmarkStart w:id="2818" w:name="_Toc38440015"/>
      <w:bookmarkStart w:id="2819" w:name="_Toc38440352"/>
      <w:bookmarkStart w:id="2820" w:name="_Toc38440884"/>
      <w:bookmarkStart w:id="2821" w:name="_Toc38441216"/>
      <w:bookmarkStart w:id="2822" w:name="_Toc38441548"/>
      <w:bookmarkStart w:id="2823" w:name="_Toc38441876"/>
      <w:bookmarkStart w:id="2824" w:name="_Toc38442208"/>
      <w:bookmarkStart w:id="2825" w:name="_Toc38442540"/>
      <w:bookmarkStart w:id="2826" w:name="_Toc38442871"/>
      <w:bookmarkStart w:id="2827" w:name="_Toc38443202"/>
      <w:bookmarkStart w:id="2828" w:name="_Toc38443533"/>
      <w:bookmarkStart w:id="2829" w:name="_Toc38443864"/>
      <w:bookmarkStart w:id="2830" w:name="_Toc38438331"/>
      <w:bookmarkStart w:id="2831" w:name="_Toc38438668"/>
      <w:bookmarkStart w:id="2832" w:name="_Toc38439005"/>
      <w:bookmarkStart w:id="2833" w:name="_Toc38439342"/>
      <w:bookmarkStart w:id="2834" w:name="_Toc38439679"/>
      <w:bookmarkStart w:id="2835" w:name="_Toc38440016"/>
      <w:bookmarkStart w:id="2836" w:name="_Toc38440353"/>
      <w:bookmarkStart w:id="2837" w:name="_Toc38440885"/>
      <w:bookmarkStart w:id="2838" w:name="_Toc38441217"/>
      <w:bookmarkStart w:id="2839" w:name="_Toc38441549"/>
      <w:bookmarkStart w:id="2840" w:name="_Toc38441877"/>
      <w:bookmarkStart w:id="2841" w:name="_Toc38442209"/>
      <w:bookmarkStart w:id="2842" w:name="_Toc38442541"/>
      <w:bookmarkStart w:id="2843" w:name="_Toc38442872"/>
      <w:bookmarkStart w:id="2844" w:name="_Toc38443203"/>
      <w:bookmarkStart w:id="2845" w:name="_Toc38443534"/>
      <w:bookmarkStart w:id="2846" w:name="_Toc38443865"/>
      <w:bookmarkStart w:id="2847" w:name="_Toc38438332"/>
      <w:bookmarkStart w:id="2848" w:name="_Toc38438669"/>
      <w:bookmarkStart w:id="2849" w:name="_Toc38439006"/>
      <w:bookmarkStart w:id="2850" w:name="_Toc38439343"/>
      <w:bookmarkStart w:id="2851" w:name="_Toc38439680"/>
      <w:bookmarkStart w:id="2852" w:name="_Toc38440017"/>
      <w:bookmarkStart w:id="2853" w:name="_Toc38440354"/>
      <w:bookmarkStart w:id="2854" w:name="_Toc38440886"/>
      <w:bookmarkStart w:id="2855" w:name="_Toc38441218"/>
      <w:bookmarkStart w:id="2856" w:name="_Toc38441550"/>
      <w:bookmarkStart w:id="2857" w:name="_Toc38441878"/>
      <w:bookmarkStart w:id="2858" w:name="_Toc38442210"/>
      <w:bookmarkStart w:id="2859" w:name="_Toc38442542"/>
      <w:bookmarkStart w:id="2860" w:name="_Toc38442873"/>
      <w:bookmarkStart w:id="2861" w:name="_Toc38443204"/>
      <w:bookmarkStart w:id="2862" w:name="_Toc38443535"/>
      <w:bookmarkStart w:id="2863" w:name="_Toc38443866"/>
      <w:bookmarkStart w:id="2864" w:name="_Toc38438333"/>
      <w:bookmarkStart w:id="2865" w:name="_Toc38438670"/>
      <w:bookmarkStart w:id="2866" w:name="_Toc38439007"/>
      <w:bookmarkStart w:id="2867" w:name="_Toc38439344"/>
      <w:bookmarkStart w:id="2868" w:name="_Toc38439681"/>
      <w:bookmarkStart w:id="2869" w:name="_Toc38440018"/>
      <w:bookmarkStart w:id="2870" w:name="_Toc38440355"/>
      <w:bookmarkStart w:id="2871" w:name="_Toc38440887"/>
      <w:bookmarkStart w:id="2872" w:name="_Toc38441219"/>
      <w:bookmarkStart w:id="2873" w:name="_Toc38441551"/>
      <w:bookmarkStart w:id="2874" w:name="_Toc38441879"/>
      <w:bookmarkStart w:id="2875" w:name="_Toc38442211"/>
      <w:bookmarkStart w:id="2876" w:name="_Toc38442543"/>
      <w:bookmarkStart w:id="2877" w:name="_Toc38442874"/>
      <w:bookmarkStart w:id="2878" w:name="_Toc38443205"/>
      <w:bookmarkStart w:id="2879" w:name="_Toc38443536"/>
      <w:bookmarkStart w:id="2880" w:name="_Toc38443867"/>
      <w:bookmarkStart w:id="2881" w:name="_Toc38438334"/>
      <w:bookmarkStart w:id="2882" w:name="_Toc38438671"/>
      <w:bookmarkStart w:id="2883" w:name="_Toc38439008"/>
      <w:bookmarkStart w:id="2884" w:name="_Toc38439345"/>
      <w:bookmarkStart w:id="2885" w:name="_Toc38439682"/>
      <w:bookmarkStart w:id="2886" w:name="_Toc38440019"/>
      <w:bookmarkStart w:id="2887" w:name="_Toc38440356"/>
      <w:bookmarkStart w:id="2888" w:name="_Toc38440888"/>
      <w:bookmarkStart w:id="2889" w:name="_Toc38441220"/>
      <w:bookmarkStart w:id="2890" w:name="_Toc38441552"/>
      <w:bookmarkStart w:id="2891" w:name="_Toc38441880"/>
      <w:bookmarkStart w:id="2892" w:name="_Toc38442212"/>
      <w:bookmarkStart w:id="2893" w:name="_Toc38442544"/>
      <w:bookmarkStart w:id="2894" w:name="_Toc38442875"/>
      <w:bookmarkStart w:id="2895" w:name="_Toc38443206"/>
      <w:bookmarkStart w:id="2896" w:name="_Toc38443537"/>
      <w:bookmarkStart w:id="2897" w:name="_Toc38443868"/>
      <w:bookmarkStart w:id="2898" w:name="_Toc38438335"/>
      <w:bookmarkStart w:id="2899" w:name="_Toc38438672"/>
      <w:bookmarkStart w:id="2900" w:name="_Toc38439009"/>
      <w:bookmarkStart w:id="2901" w:name="_Toc38439346"/>
      <w:bookmarkStart w:id="2902" w:name="_Toc38439683"/>
      <w:bookmarkStart w:id="2903" w:name="_Toc38440020"/>
      <w:bookmarkStart w:id="2904" w:name="_Toc38440357"/>
      <w:bookmarkStart w:id="2905" w:name="_Toc38440889"/>
      <w:bookmarkStart w:id="2906" w:name="_Toc38441221"/>
      <w:bookmarkStart w:id="2907" w:name="_Toc38441553"/>
      <w:bookmarkStart w:id="2908" w:name="_Toc38441881"/>
      <w:bookmarkStart w:id="2909" w:name="_Toc38442213"/>
      <w:bookmarkStart w:id="2910" w:name="_Toc38442545"/>
      <w:bookmarkStart w:id="2911" w:name="_Toc38442876"/>
      <w:bookmarkStart w:id="2912" w:name="_Toc38443207"/>
      <w:bookmarkStart w:id="2913" w:name="_Toc38443538"/>
      <w:bookmarkStart w:id="2914" w:name="_Toc38443869"/>
      <w:bookmarkStart w:id="2915" w:name="_Toc38438336"/>
      <w:bookmarkStart w:id="2916" w:name="_Toc38438673"/>
      <w:bookmarkStart w:id="2917" w:name="_Toc38439010"/>
      <w:bookmarkStart w:id="2918" w:name="_Toc38439347"/>
      <w:bookmarkStart w:id="2919" w:name="_Toc38439684"/>
      <w:bookmarkStart w:id="2920" w:name="_Toc38440021"/>
      <w:bookmarkStart w:id="2921" w:name="_Toc38440358"/>
      <w:bookmarkStart w:id="2922" w:name="_Toc38440890"/>
      <w:bookmarkStart w:id="2923" w:name="_Toc38441222"/>
      <w:bookmarkStart w:id="2924" w:name="_Toc38441554"/>
      <w:bookmarkStart w:id="2925" w:name="_Toc38441882"/>
      <w:bookmarkStart w:id="2926" w:name="_Toc38442214"/>
      <w:bookmarkStart w:id="2927" w:name="_Toc38442546"/>
      <w:bookmarkStart w:id="2928" w:name="_Toc38442877"/>
      <w:bookmarkStart w:id="2929" w:name="_Toc38443208"/>
      <w:bookmarkStart w:id="2930" w:name="_Toc38443539"/>
      <w:bookmarkStart w:id="2931" w:name="_Toc38443870"/>
      <w:bookmarkStart w:id="2932" w:name="_Toc38438337"/>
      <w:bookmarkStart w:id="2933" w:name="_Toc38438674"/>
      <w:bookmarkStart w:id="2934" w:name="_Toc38439011"/>
      <w:bookmarkStart w:id="2935" w:name="_Toc38439348"/>
      <w:bookmarkStart w:id="2936" w:name="_Toc38439685"/>
      <w:bookmarkStart w:id="2937" w:name="_Toc38440022"/>
      <w:bookmarkStart w:id="2938" w:name="_Toc38440359"/>
      <w:bookmarkStart w:id="2939" w:name="_Toc38440891"/>
      <w:bookmarkStart w:id="2940" w:name="_Toc38441223"/>
      <w:bookmarkStart w:id="2941" w:name="_Toc38441555"/>
      <w:bookmarkStart w:id="2942" w:name="_Toc38441883"/>
      <w:bookmarkStart w:id="2943" w:name="_Toc38442215"/>
      <w:bookmarkStart w:id="2944" w:name="_Toc38442547"/>
      <w:bookmarkStart w:id="2945" w:name="_Toc38442878"/>
      <w:bookmarkStart w:id="2946" w:name="_Toc38443209"/>
      <w:bookmarkStart w:id="2947" w:name="_Toc38443540"/>
      <w:bookmarkStart w:id="2948" w:name="_Toc38443871"/>
      <w:bookmarkStart w:id="2949" w:name="_Toc38438338"/>
      <w:bookmarkStart w:id="2950" w:name="_Toc38438675"/>
      <w:bookmarkStart w:id="2951" w:name="_Toc38439012"/>
      <w:bookmarkStart w:id="2952" w:name="_Toc38439349"/>
      <w:bookmarkStart w:id="2953" w:name="_Toc38439686"/>
      <w:bookmarkStart w:id="2954" w:name="_Toc38440023"/>
      <w:bookmarkStart w:id="2955" w:name="_Toc38440360"/>
      <w:bookmarkStart w:id="2956" w:name="_Toc38440892"/>
      <w:bookmarkStart w:id="2957" w:name="_Toc38441224"/>
      <w:bookmarkStart w:id="2958" w:name="_Toc38441556"/>
      <w:bookmarkStart w:id="2959" w:name="_Toc38441884"/>
      <w:bookmarkStart w:id="2960" w:name="_Toc38442216"/>
      <w:bookmarkStart w:id="2961" w:name="_Toc38442548"/>
      <w:bookmarkStart w:id="2962" w:name="_Toc38442879"/>
      <w:bookmarkStart w:id="2963" w:name="_Toc38443210"/>
      <w:bookmarkStart w:id="2964" w:name="_Toc38443541"/>
      <w:bookmarkStart w:id="2965" w:name="_Toc38443872"/>
      <w:bookmarkStart w:id="2966" w:name="_Toc38438339"/>
      <w:bookmarkStart w:id="2967" w:name="_Toc38438676"/>
      <w:bookmarkStart w:id="2968" w:name="_Toc38439013"/>
      <w:bookmarkStart w:id="2969" w:name="_Toc38439350"/>
      <w:bookmarkStart w:id="2970" w:name="_Toc38439687"/>
      <w:bookmarkStart w:id="2971" w:name="_Toc38440024"/>
      <w:bookmarkStart w:id="2972" w:name="_Toc38440361"/>
      <w:bookmarkStart w:id="2973" w:name="_Toc38440893"/>
      <w:bookmarkStart w:id="2974" w:name="_Toc38441225"/>
      <w:bookmarkStart w:id="2975" w:name="_Toc38441557"/>
      <w:bookmarkStart w:id="2976" w:name="_Toc38441885"/>
      <w:bookmarkStart w:id="2977" w:name="_Toc38442217"/>
      <w:bookmarkStart w:id="2978" w:name="_Toc38442549"/>
      <w:bookmarkStart w:id="2979" w:name="_Toc38442880"/>
      <w:bookmarkStart w:id="2980" w:name="_Toc38443211"/>
      <w:bookmarkStart w:id="2981" w:name="_Toc38443542"/>
      <w:bookmarkStart w:id="2982" w:name="_Toc38443873"/>
      <w:bookmarkStart w:id="2983" w:name="_Toc38438340"/>
      <w:bookmarkStart w:id="2984" w:name="_Toc38438677"/>
      <w:bookmarkStart w:id="2985" w:name="_Toc38439014"/>
      <w:bookmarkStart w:id="2986" w:name="_Toc38439351"/>
      <w:bookmarkStart w:id="2987" w:name="_Toc38439688"/>
      <w:bookmarkStart w:id="2988" w:name="_Toc38440025"/>
      <w:bookmarkStart w:id="2989" w:name="_Toc38440362"/>
      <w:bookmarkStart w:id="2990" w:name="_Toc38440894"/>
      <w:bookmarkStart w:id="2991" w:name="_Toc38441226"/>
      <w:bookmarkStart w:id="2992" w:name="_Toc38441558"/>
      <w:bookmarkStart w:id="2993" w:name="_Toc38441886"/>
      <w:bookmarkStart w:id="2994" w:name="_Toc38442218"/>
      <w:bookmarkStart w:id="2995" w:name="_Toc38442550"/>
      <w:bookmarkStart w:id="2996" w:name="_Toc38442881"/>
      <w:bookmarkStart w:id="2997" w:name="_Toc38443212"/>
      <w:bookmarkStart w:id="2998" w:name="_Toc38443543"/>
      <w:bookmarkStart w:id="2999" w:name="_Toc38443874"/>
      <w:bookmarkStart w:id="3000" w:name="_Toc38438341"/>
      <w:bookmarkStart w:id="3001" w:name="_Toc38438678"/>
      <w:bookmarkStart w:id="3002" w:name="_Toc38439015"/>
      <w:bookmarkStart w:id="3003" w:name="_Toc38439352"/>
      <w:bookmarkStart w:id="3004" w:name="_Toc38439689"/>
      <w:bookmarkStart w:id="3005" w:name="_Toc38440026"/>
      <w:bookmarkStart w:id="3006" w:name="_Toc38440363"/>
      <w:bookmarkStart w:id="3007" w:name="_Toc38440895"/>
      <w:bookmarkStart w:id="3008" w:name="_Toc38441227"/>
      <w:bookmarkStart w:id="3009" w:name="_Toc38441559"/>
      <w:bookmarkStart w:id="3010" w:name="_Toc38441887"/>
      <w:bookmarkStart w:id="3011" w:name="_Toc38442219"/>
      <w:bookmarkStart w:id="3012" w:name="_Toc38442551"/>
      <w:bookmarkStart w:id="3013" w:name="_Toc38442882"/>
      <w:bookmarkStart w:id="3014" w:name="_Toc38443213"/>
      <w:bookmarkStart w:id="3015" w:name="_Toc38443544"/>
      <w:bookmarkStart w:id="3016" w:name="_Toc38443875"/>
      <w:bookmarkStart w:id="3017" w:name="_Toc38438342"/>
      <w:bookmarkStart w:id="3018" w:name="_Toc38438679"/>
      <w:bookmarkStart w:id="3019" w:name="_Toc38439016"/>
      <w:bookmarkStart w:id="3020" w:name="_Toc38439353"/>
      <w:bookmarkStart w:id="3021" w:name="_Toc38439690"/>
      <w:bookmarkStart w:id="3022" w:name="_Toc38440027"/>
      <w:bookmarkStart w:id="3023" w:name="_Toc38440364"/>
      <w:bookmarkStart w:id="3024" w:name="_Toc38440896"/>
      <w:bookmarkStart w:id="3025" w:name="_Toc38441228"/>
      <w:bookmarkStart w:id="3026" w:name="_Toc38441560"/>
      <w:bookmarkStart w:id="3027" w:name="_Toc38441888"/>
      <w:bookmarkStart w:id="3028" w:name="_Toc38442220"/>
      <w:bookmarkStart w:id="3029" w:name="_Toc38442552"/>
      <w:bookmarkStart w:id="3030" w:name="_Toc38442883"/>
      <w:bookmarkStart w:id="3031" w:name="_Toc38443214"/>
      <w:bookmarkStart w:id="3032" w:name="_Toc38443545"/>
      <w:bookmarkStart w:id="3033" w:name="_Toc38443876"/>
      <w:bookmarkStart w:id="3034" w:name="_Toc38438343"/>
      <w:bookmarkStart w:id="3035" w:name="_Toc38438680"/>
      <w:bookmarkStart w:id="3036" w:name="_Toc38439017"/>
      <w:bookmarkStart w:id="3037" w:name="_Toc38439354"/>
      <w:bookmarkStart w:id="3038" w:name="_Toc38439691"/>
      <w:bookmarkStart w:id="3039" w:name="_Toc38440028"/>
      <w:bookmarkStart w:id="3040" w:name="_Toc38440365"/>
      <w:bookmarkStart w:id="3041" w:name="_Toc38440897"/>
      <w:bookmarkStart w:id="3042" w:name="_Toc38441229"/>
      <w:bookmarkStart w:id="3043" w:name="_Toc38441561"/>
      <w:bookmarkStart w:id="3044" w:name="_Toc38441889"/>
      <w:bookmarkStart w:id="3045" w:name="_Toc38442221"/>
      <w:bookmarkStart w:id="3046" w:name="_Toc38442553"/>
      <w:bookmarkStart w:id="3047" w:name="_Toc38442884"/>
      <w:bookmarkStart w:id="3048" w:name="_Toc38443215"/>
      <w:bookmarkStart w:id="3049" w:name="_Toc38443546"/>
      <w:bookmarkStart w:id="3050" w:name="_Toc38443877"/>
      <w:bookmarkStart w:id="3051" w:name="_Toc1314842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3052" w:name="_Toc91752133"/>
      <w:r w:rsidRPr="00621B7F">
        <w:rPr>
          <w:rFonts w:asciiTheme="minorEastAsia" w:eastAsiaTheme="minorEastAsia" w:hAnsiTheme="minorEastAsia" w:hint="eastAsia"/>
          <w:bCs/>
          <w:color w:val="000000" w:themeColor="text1"/>
        </w:rPr>
        <w:t>二十</w:t>
      </w:r>
      <w:r w:rsidRPr="00621B7F" w:rsidR="00154249">
        <w:rPr>
          <w:rFonts w:asciiTheme="minorEastAsia" w:eastAsiaTheme="minorEastAsia" w:hAnsiTheme="minorEastAsia" w:hint="eastAsia"/>
          <w:bCs/>
          <w:color w:val="000000" w:themeColor="text1"/>
        </w:rPr>
        <w:t>四</w:t>
      </w:r>
      <w:r w:rsidRPr="00621B7F">
        <w:rPr>
          <w:rFonts w:asciiTheme="minorEastAsia" w:eastAsiaTheme="minorEastAsia" w:hAnsiTheme="minorEastAsia" w:hint="eastAsia"/>
          <w:bCs/>
          <w:color w:val="000000" w:themeColor="text1"/>
        </w:rPr>
        <w:t>、</w:t>
      </w:r>
      <w:bookmarkEnd w:id="3051"/>
      <w:r w:rsidRPr="00621B7F">
        <w:rPr>
          <w:rFonts w:asciiTheme="minorEastAsia" w:eastAsiaTheme="minorEastAsia" w:hAnsiTheme="minorEastAsia" w:hint="eastAsia"/>
          <w:bCs/>
          <w:color w:val="000000" w:themeColor="text1"/>
        </w:rPr>
        <w:t>其他应披露事项</w:t>
      </w:r>
      <w:bookmarkEnd w:id="3052"/>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8"/>
        <w:gridCol w:w="1581"/>
      </w:tblGrid>
      <w:tr w:rsidTr="00F54289">
        <w:tblPrEx>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6798" w:type="dxa"/>
            <w:tcBorders>
              <w:top w:val="single" w:sz="4" w:space="0" w:color="auto"/>
              <w:left w:val="single" w:sz="4" w:space="0" w:color="auto"/>
              <w:bottom w:val="single" w:sz="4" w:space="0" w:color="auto"/>
              <w:right w:val="single" w:sz="4" w:space="0" w:color="auto"/>
            </w:tcBorders>
            <w:vAlign w:val="center"/>
            <w:hideMark/>
          </w:tcPr>
          <w:p w:rsidR="003B52C9" w:rsidRPr="00621B7F" w:rsidP="00D402B6">
            <w:pPr>
              <w:spacing w:line="360" w:lineRule="auto"/>
              <w:ind w:firstLine="420" w:firstLineChars="200"/>
              <w:jc w:val="center"/>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公告事项</w:t>
            </w:r>
          </w:p>
        </w:tc>
        <w:tc>
          <w:tcPr>
            <w:tcW w:w="1581" w:type="dxa"/>
            <w:tcBorders>
              <w:top w:val="single" w:sz="4" w:space="0" w:color="auto"/>
              <w:left w:val="single" w:sz="4" w:space="0" w:color="auto"/>
              <w:bottom w:val="single" w:sz="4" w:space="0" w:color="auto"/>
              <w:right w:val="single" w:sz="4" w:space="0" w:color="auto"/>
            </w:tcBorders>
            <w:vAlign w:val="center"/>
            <w:hideMark/>
          </w:tcPr>
          <w:p w:rsidR="003B52C9" w:rsidRPr="00621B7F" w:rsidP="000D49F4">
            <w:pPr>
              <w:spacing w:line="360" w:lineRule="auto"/>
              <w:jc w:val="center"/>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披露日期</w:t>
            </w:r>
          </w:p>
        </w:tc>
      </w:tr>
      <w:tr>
        <w:tblPrEx>
          <w:tblW w:w="8379" w:type="dxa"/>
          <w:tblInd w:w="93" w:type="dxa"/>
          <w:tblLayout w:type="fixed"/>
          <w:tblLook w:val="04A0"/>
        </w:tblPrEx>
        <w:tc>
          <w:tcPr>
            <w:tcW w:w="6798" w:type="dxa"/>
          </w:tcPr>
          <w:p w:rsidR="00595880">
            <w:pPr>
              <w:jc w:val="left"/>
            </w:pPr>
            <w:r>
              <w:t>易方达基金管理有限公司旗下部分开放式基金增加东方财富证券为销售机构的公告</w:t>
            </w:r>
          </w:p>
        </w:tc>
        <w:tc>
          <w:tcPr>
            <w:tcW w:w="1581" w:type="dxa"/>
          </w:tcPr>
          <w:p w:rsidR="00595880" w:rsidP="000D49F4">
            <w:pPr>
              <w:jc w:val="center"/>
            </w:pPr>
            <w:r>
              <w:t>2021-01-11</w:t>
            </w:r>
          </w:p>
        </w:tc>
      </w:tr>
      <w:tr>
        <w:tblPrEx>
          <w:tblW w:w="8379" w:type="dxa"/>
          <w:tblInd w:w="93" w:type="dxa"/>
          <w:tblLayout w:type="fixed"/>
          <w:tblLook w:val="04A0"/>
        </w:tblPrEx>
        <w:tc>
          <w:tcPr>
            <w:tcW w:w="6798" w:type="dxa"/>
          </w:tcPr>
          <w:p w:rsidR="00595880">
            <w:pPr>
              <w:jc w:val="left"/>
            </w:pPr>
            <w:r>
              <w:t>易方达基金管理有限公司旗下部分开放式基金增加东方财富证券为销售机构的公告</w:t>
            </w:r>
          </w:p>
        </w:tc>
        <w:tc>
          <w:tcPr>
            <w:tcW w:w="1581" w:type="dxa"/>
          </w:tcPr>
          <w:p w:rsidR="00595880" w:rsidP="000D49F4">
            <w:pPr>
              <w:jc w:val="center"/>
            </w:pPr>
            <w:r>
              <w:t>2021-01-12</w:t>
            </w:r>
          </w:p>
        </w:tc>
      </w:tr>
      <w:tr>
        <w:tblPrEx>
          <w:tblW w:w="8379" w:type="dxa"/>
          <w:tblInd w:w="93" w:type="dxa"/>
          <w:tblLayout w:type="fixed"/>
          <w:tblLook w:val="04A0"/>
        </w:tblPrEx>
        <w:tc>
          <w:tcPr>
            <w:tcW w:w="6798" w:type="dxa"/>
          </w:tcPr>
          <w:p w:rsidR="00595880">
            <w:pPr>
              <w:jc w:val="left"/>
            </w:pPr>
            <w:r>
              <w:t>易方达基金管理有限公司旗下基金</w:t>
            </w:r>
            <w:r>
              <w:t>2020</w:t>
            </w:r>
            <w:r>
              <w:t>年第</w:t>
            </w:r>
            <w:r>
              <w:t>4</w:t>
            </w:r>
            <w:r>
              <w:t>季度报告提示性公告</w:t>
            </w:r>
          </w:p>
        </w:tc>
        <w:tc>
          <w:tcPr>
            <w:tcW w:w="1581" w:type="dxa"/>
          </w:tcPr>
          <w:p w:rsidR="00595880" w:rsidP="000D49F4">
            <w:pPr>
              <w:jc w:val="center"/>
            </w:pPr>
            <w:r>
              <w:t>2021-01-21</w:t>
            </w:r>
          </w:p>
        </w:tc>
      </w:tr>
      <w:tr>
        <w:tblPrEx>
          <w:tblW w:w="8379" w:type="dxa"/>
          <w:tblInd w:w="93" w:type="dxa"/>
          <w:tblLayout w:type="fixed"/>
          <w:tblLook w:val="04A0"/>
        </w:tblPrEx>
        <w:tc>
          <w:tcPr>
            <w:tcW w:w="6798" w:type="dxa"/>
          </w:tcPr>
          <w:p w:rsidR="00595880">
            <w:pPr>
              <w:jc w:val="left"/>
            </w:pPr>
            <w:r>
              <w:t>易方达基金管理有限公司高级管理人员变更公告</w:t>
            </w:r>
          </w:p>
        </w:tc>
        <w:tc>
          <w:tcPr>
            <w:tcW w:w="1581" w:type="dxa"/>
          </w:tcPr>
          <w:p w:rsidR="00595880" w:rsidP="000D49F4">
            <w:pPr>
              <w:jc w:val="center"/>
            </w:pPr>
            <w:r>
              <w:t>2021-01-23</w:t>
            </w:r>
          </w:p>
        </w:tc>
      </w:tr>
      <w:tr>
        <w:tblPrEx>
          <w:tblW w:w="8379" w:type="dxa"/>
          <w:tblInd w:w="93" w:type="dxa"/>
          <w:tblLayout w:type="fixed"/>
          <w:tblLook w:val="04A0"/>
        </w:tblPrEx>
        <w:tc>
          <w:tcPr>
            <w:tcW w:w="6798" w:type="dxa"/>
          </w:tcPr>
          <w:p w:rsidR="00595880">
            <w:pPr>
              <w:jc w:val="left"/>
            </w:pPr>
            <w:r>
              <w:t>易方达基金管理有限公司关于终止包商银行股份有限公司办理本公司旗下基金销售业务的公告</w:t>
            </w:r>
          </w:p>
        </w:tc>
        <w:tc>
          <w:tcPr>
            <w:tcW w:w="1581" w:type="dxa"/>
          </w:tcPr>
          <w:p w:rsidR="00595880" w:rsidP="000D49F4">
            <w:pPr>
              <w:jc w:val="center"/>
            </w:pPr>
            <w:r>
              <w:t>2021-02-08</w:t>
            </w:r>
          </w:p>
        </w:tc>
      </w:tr>
      <w:tr>
        <w:tblPrEx>
          <w:tblW w:w="8379" w:type="dxa"/>
          <w:tblInd w:w="93" w:type="dxa"/>
          <w:tblLayout w:type="fixed"/>
          <w:tblLook w:val="04A0"/>
        </w:tblPrEx>
        <w:tc>
          <w:tcPr>
            <w:tcW w:w="6798" w:type="dxa"/>
          </w:tcPr>
          <w:p w:rsidR="00595880">
            <w:pPr>
              <w:jc w:val="left"/>
            </w:pPr>
            <w:r>
              <w:t>易方达基金管理有限公司旗下部分开放式基金增加诺亚正行为销售机构的公告</w:t>
            </w:r>
          </w:p>
        </w:tc>
        <w:tc>
          <w:tcPr>
            <w:tcW w:w="1581" w:type="dxa"/>
          </w:tcPr>
          <w:p w:rsidR="00595880" w:rsidP="000D49F4">
            <w:pPr>
              <w:jc w:val="center"/>
            </w:pPr>
            <w:r>
              <w:t>2021-03-09</w:t>
            </w:r>
          </w:p>
        </w:tc>
      </w:tr>
      <w:tr>
        <w:tblPrEx>
          <w:tblW w:w="8379" w:type="dxa"/>
          <w:tblInd w:w="93" w:type="dxa"/>
          <w:tblLayout w:type="fixed"/>
          <w:tblLook w:val="04A0"/>
        </w:tblPrEx>
        <w:tc>
          <w:tcPr>
            <w:tcW w:w="6798" w:type="dxa"/>
          </w:tcPr>
          <w:p w:rsidR="00595880">
            <w:pPr>
              <w:jc w:val="left"/>
            </w:pPr>
            <w:r>
              <w:t>易方达基金管理有限公司关于旗下部分基金根据《公开募集证券投资基金运作指引第</w:t>
            </w:r>
            <w:r>
              <w:t>3</w:t>
            </w:r>
            <w:r>
              <w:t>号</w:t>
            </w:r>
            <w:r>
              <w:t>——</w:t>
            </w:r>
            <w:r>
              <w:t>指数基金指引》修改基金合同部分条款的公告</w:t>
            </w:r>
          </w:p>
        </w:tc>
        <w:tc>
          <w:tcPr>
            <w:tcW w:w="1581" w:type="dxa"/>
          </w:tcPr>
          <w:p w:rsidR="00595880" w:rsidP="000D49F4">
            <w:pPr>
              <w:jc w:val="center"/>
            </w:pPr>
            <w:r>
              <w:t>2021-03-30</w:t>
            </w:r>
          </w:p>
        </w:tc>
      </w:tr>
      <w:tr>
        <w:tblPrEx>
          <w:tblW w:w="8379" w:type="dxa"/>
          <w:tblInd w:w="93" w:type="dxa"/>
          <w:tblLayout w:type="fixed"/>
          <w:tblLook w:val="04A0"/>
        </w:tblPrEx>
        <w:tc>
          <w:tcPr>
            <w:tcW w:w="6798" w:type="dxa"/>
          </w:tcPr>
          <w:p w:rsidR="00595880">
            <w:pPr>
              <w:jc w:val="left"/>
            </w:pPr>
            <w:r>
              <w:t>易方达基金管理有限公司旗下基金</w:t>
            </w:r>
            <w:r>
              <w:t>2020</w:t>
            </w:r>
            <w:r>
              <w:t>年年度报告提示性公告</w:t>
            </w:r>
          </w:p>
        </w:tc>
        <w:tc>
          <w:tcPr>
            <w:tcW w:w="1581" w:type="dxa"/>
          </w:tcPr>
          <w:p w:rsidR="00595880" w:rsidP="000D49F4">
            <w:pPr>
              <w:jc w:val="center"/>
            </w:pPr>
            <w:r>
              <w:t>2021-03-30</w:t>
            </w:r>
          </w:p>
        </w:tc>
      </w:tr>
      <w:tr>
        <w:tblPrEx>
          <w:tblW w:w="8379" w:type="dxa"/>
          <w:tblInd w:w="93" w:type="dxa"/>
          <w:tblLayout w:type="fixed"/>
          <w:tblLook w:val="04A0"/>
        </w:tblPrEx>
        <w:tc>
          <w:tcPr>
            <w:tcW w:w="6798" w:type="dxa"/>
          </w:tcPr>
          <w:p w:rsidR="00595880">
            <w:pPr>
              <w:jc w:val="left"/>
            </w:pPr>
            <w:r>
              <w:t>易方达基金管理有限公司关于提醒投资者及时提供或更新身份信息资料的公告</w:t>
            </w:r>
          </w:p>
        </w:tc>
        <w:tc>
          <w:tcPr>
            <w:tcW w:w="1581" w:type="dxa"/>
          </w:tcPr>
          <w:p w:rsidR="00595880" w:rsidP="000D49F4">
            <w:pPr>
              <w:jc w:val="center"/>
            </w:pPr>
            <w:r>
              <w:t>2021-04-02</w:t>
            </w:r>
          </w:p>
        </w:tc>
      </w:tr>
      <w:tr>
        <w:tblPrEx>
          <w:tblW w:w="8379" w:type="dxa"/>
          <w:tblInd w:w="93" w:type="dxa"/>
          <w:tblLayout w:type="fixed"/>
          <w:tblLook w:val="04A0"/>
        </w:tblPrEx>
        <w:tc>
          <w:tcPr>
            <w:tcW w:w="6798" w:type="dxa"/>
          </w:tcPr>
          <w:p w:rsidR="00595880">
            <w:pPr>
              <w:jc w:val="left"/>
            </w:pPr>
            <w:r>
              <w:t>易方达基金管理有限公司旗下基金</w:t>
            </w:r>
            <w:r>
              <w:t>2021</w:t>
            </w:r>
            <w:r>
              <w:t>年第</w:t>
            </w:r>
            <w:r>
              <w:t>1</w:t>
            </w:r>
            <w:r>
              <w:t>季度报告提示性公告</w:t>
            </w:r>
          </w:p>
        </w:tc>
        <w:tc>
          <w:tcPr>
            <w:tcW w:w="1581" w:type="dxa"/>
          </w:tcPr>
          <w:p w:rsidR="00595880" w:rsidP="000D49F4">
            <w:pPr>
              <w:jc w:val="center"/>
            </w:pPr>
            <w:r>
              <w:t>2021-04-19</w:t>
            </w:r>
          </w:p>
        </w:tc>
      </w:tr>
      <w:tr>
        <w:tblPrEx>
          <w:tblW w:w="8379" w:type="dxa"/>
          <w:tblInd w:w="93" w:type="dxa"/>
          <w:tblLayout w:type="fixed"/>
          <w:tblLook w:val="04A0"/>
        </w:tblPrEx>
        <w:tc>
          <w:tcPr>
            <w:tcW w:w="6798" w:type="dxa"/>
          </w:tcPr>
          <w:p w:rsidR="00595880">
            <w:pPr>
              <w:jc w:val="left"/>
            </w:pPr>
            <w:r>
              <w:t>易方达基金管理有限公司高级管理人员变更公告</w:t>
            </w:r>
          </w:p>
        </w:tc>
        <w:tc>
          <w:tcPr>
            <w:tcW w:w="1581" w:type="dxa"/>
          </w:tcPr>
          <w:p w:rsidR="00595880" w:rsidP="000D49F4">
            <w:pPr>
              <w:jc w:val="center"/>
            </w:pPr>
            <w:r>
              <w:t>2021-07-17</w:t>
            </w:r>
          </w:p>
        </w:tc>
      </w:tr>
      <w:tr>
        <w:tblPrEx>
          <w:tblW w:w="8379" w:type="dxa"/>
          <w:tblInd w:w="93" w:type="dxa"/>
          <w:tblLayout w:type="fixed"/>
          <w:tblLook w:val="04A0"/>
        </w:tblPrEx>
        <w:tc>
          <w:tcPr>
            <w:tcW w:w="6798" w:type="dxa"/>
          </w:tcPr>
          <w:p w:rsidR="00595880">
            <w:pPr>
              <w:jc w:val="left"/>
            </w:pPr>
            <w:r>
              <w:t>易方达基金管理有限公司旗下基金</w:t>
            </w:r>
            <w:r>
              <w:t>2021</w:t>
            </w:r>
            <w:r>
              <w:t>年第</w:t>
            </w:r>
            <w:r>
              <w:t>2</w:t>
            </w:r>
            <w:r>
              <w:t>季度报告提示性公告</w:t>
            </w:r>
          </w:p>
        </w:tc>
        <w:tc>
          <w:tcPr>
            <w:tcW w:w="1581" w:type="dxa"/>
          </w:tcPr>
          <w:p w:rsidR="00595880" w:rsidP="000D49F4">
            <w:pPr>
              <w:jc w:val="center"/>
            </w:pPr>
            <w:r>
              <w:t>2021-07-20</w:t>
            </w:r>
          </w:p>
        </w:tc>
      </w:tr>
      <w:tr>
        <w:tblPrEx>
          <w:tblW w:w="8379" w:type="dxa"/>
          <w:tblInd w:w="93" w:type="dxa"/>
          <w:tblLayout w:type="fixed"/>
          <w:tblLook w:val="04A0"/>
        </w:tblPrEx>
        <w:tc>
          <w:tcPr>
            <w:tcW w:w="6798" w:type="dxa"/>
          </w:tcPr>
          <w:p w:rsidR="00595880">
            <w:pPr>
              <w:jc w:val="left"/>
            </w:pPr>
            <w:r>
              <w:t>易方达基金管理有限公司高级管理人员变更公告</w:t>
            </w:r>
          </w:p>
        </w:tc>
        <w:tc>
          <w:tcPr>
            <w:tcW w:w="1581" w:type="dxa"/>
          </w:tcPr>
          <w:p w:rsidR="00595880" w:rsidP="000D49F4">
            <w:pPr>
              <w:jc w:val="center"/>
            </w:pPr>
            <w:r>
              <w:t>2021-07-24</w:t>
            </w:r>
          </w:p>
        </w:tc>
      </w:tr>
      <w:tr>
        <w:tblPrEx>
          <w:tblW w:w="8379" w:type="dxa"/>
          <w:tblInd w:w="93" w:type="dxa"/>
          <w:tblLayout w:type="fixed"/>
          <w:tblLook w:val="04A0"/>
        </w:tblPrEx>
        <w:tc>
          <w:tcPr>
            <w:tcW w:w="6798" w:type="dxa"/>
          </w:tcPr>
          <w:p w:rsidR="00595880">
            <w:pPr>
              <w:jc w:val="left"/>
            </w:pPr>
            <w:r>
              <w:t>易方达基金管理有限公司高级管理人员变更公告</w:t>
            </w:r>
          </w:p>
        </w:tc>
        <w:tc>
          <w:tcPr>
            <w:tcW w:w="1581" w:type="dxa"/>
          </w:tcPr>
          <w:p w:rsidR="00595880" w:rsidP="000D49F4">
            <w:pPr>
              <w:jc w:val="center"/>
            </w:pPr>
            <w:r>
              <w:t>2021-07-24</w:t>
            </w:r>
          </w:p>
        </w:tc>
      </w:tr>
      <w:tr>
        <w:tblPrEx>
          <w:tblW w:w="8379" w:type="dxa"/>
          <w:tblInd w:w="93" w:type="dxa"/>
          <w:tblLayout w:type="fixed"/>
          <w:tblLook w:val="04A0"/>
        </w:tblPrEx>
        <w:tc>
          <w:tcPr>
            <w:tcW w:w="6798" w:type="dxa"/>
          </w:tcPr>
          <w:p w:rsidR="00595880">
            <w:pPr>
              <w:jc w:val="left"/>
            </w:pPr>
            <w:r>
              <w:t>易方达基金管理有限公司关于南京分公司营业场所变更的公告</w:t>
            </w:r>
          </w:p>
        </w:tc>
        <w:tc>
          <w:tcPr>
            <w:tcW w:w="1581" w:type="dxa"/>
          </w:tcPr>
          <w:p w:rsidR="00595880" w:rsidP="000D49F4">
            <w:pPr>
              <w:jc w:val="center"/>
            </w:pPr>
            <w:r>
              <w:t>2021-07-28</w:t>
            </w:r>
          </w:p>
        </w:tc>
      </w:tr>
      <w:tr>
        <w:tblPrEx>
          <w:tblW w:w="8379" w:type="dxa"/>
          <w:tblInd w:w="93" w:type="dxa"/>
          <w:tblLayout w:type="fixed"/>
          <w:tblLook w:val="04A0"/>
        </w:tblPrEx>
        <w:tc>
          <w:tcPr>
            <w:tcW w:w="6798" w:type="dxa"/>
          </w:tcPr>
          <w:p w:rsidR="00595880">
            <w:pPr>
              <w:jc w:val="left"/>
            </w:pPr>
            <w:r>
              <w:t>易方达基金管理有限公司高级管理人员变更公告</w:t>
            </w:r>
          </w:p>
        </w:tc>
        <w:tc>
          <w:tcPr>
            <w:tcW w:w="1581" w:type="dxa"/>
          </w:tcPr>
          <w:p w:rsidR="00595880" w:rsidP="000D49F4">
            <w:pPr>
              <w:jc w:val="center"/>
            </w:pPr>
            <w:r>
              <w:t>2021-07-30</w:t>
            </w:r>
          </w:p>
        </w:tc>
      </w:tr>
      <w:tr>
        <w:tblPrEx>
          <w:tblW w:w="8379" w:type="dxa"/>
          <w:tblInd w:w="93" w:type="dxa"/>
          <w:tblLayout w:type="fixed"/>
          <w:tblLook w:val="04A0"/>
        </w:tblPrEx>
        <w:tc>
          <w:tcPr>
            <w:tcW w:w="6798" w:type="dxa"/>
          </w:tcPr>
          <w:p w:rsidR="00595880">
            <w:pPr>
              <w:jc w:val="left"/>
            </w:pPr>
            <w:r>
              <w:t>易方达基金管理有限公司旗下基金</w:t>
            </w:r>
            <w:r>
              <w:t>2021</w:t>
            </w:r>
            <w:r>
              <w:t>年中期报告提示性公告</w:t>
            </w:r>
          </w:p>
        </w:tc>
        <w:tc>
          <w:tcPr>
            <w:tcW w:w="1581" w:type="dxa"/>
          </w:tcPr>
          <w:p w:rsidR="00595880" w:rsidP="000D49F4">
            <w:pPr>
              <w:jc w:val="center"/>
            </w:pPr>
            <w:r>
              <w:t>2021-08-28</w:t>
            </w:r>
          </w:p>
        </w:tc>
      </w:tr>
      <w:tr>
        <w:tblPrEx>
          <w:tblW w:w="8379" w:type="dxa"/>
          <w:tblInd w:w="93" w:type="dxa"/>
          <w:tblLayout w:type="fixed"/>
          <w:tblLook w:val="04A0"/>
        </w:tblPrEx>
        <w:tc>
          <w:tcPr>
            <w:tcW w:w="6798" w:type="dxa"/>
          </w:tcPr>
          <w:p w:rsidR="00595880">
            <w:pPr>
              <w:jc w:val="left"/>
            </w:pPr>
            <w:r>
              <w:t>易方达基金管理有限公司关于旗下部分公开募集证券投资基金可投资于北京证券交易所股票的公告</w:t>
            </w:r>
          </w:p>
        </w:tc>
        <w:tc>
          <w:tcPr>
            <w:tcW w:w="1581" w:type="dxa"/>
          </w:tcPr>
          <w:p w:rsidR="00595880" w:rsidP="000D49F4">
            <w:pPr>
              <w:jc w:val="center"/>
            </w:pPr>
            <w:r>
              <w:t>2021-11-15</w:t>
            </w:r>
          </w:p>
        </w:tc>
      </w:tr>
    </w:tbl>
    <w:p w:rsidR="003A4A82" w:rsidRPr="00621B7F" w:rsidP="003A4A82">
      <w:pPr>
        <w:autoSpaceDE w:val="0"/>
        <w:autoSpaceDN w:val="0"/>
        <w:adjustRightInd w:val="0"/>
        <w:snapToGrid w:val="0"/>
        <w:spacing w:line="360" w:lineRule="auto"/>
        <w:jc w:val="left"/>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注：以上公告事项披露在</w:t>
      </w:r>
      <w:r w:rsidRPr="00621B7F" w:rsidR="006B7524">
        <w:rPr>
          <w:rFonts w:asciiTheme="minorEastAsia" w:eastAsiaTheme="minorEastAsia" w:hAnsiTheme="minorEastAsia" w:hint="eastAsia"/>
          <w:color w:val="000000" w:themeColor="text1"/>
          <w:szCs w:val="21"/>
        </w:rPr>
        <w:t>规</w:t>
      </w:r>
      <w:r w:rsidRPr="00621B7F">
        <w:rPr>
          <w:rFonts w:asciiTheme="minorEastAsia" w:eastAsiaTheme="minorEastAsia" w:hAnsiTheme="minorEastAsia" w:hint="eastAsia"/>
          <w:color w:val="000000" w:themeColor="text1"/>
          <w:szCs w:val="21"/>
        </w:rPr>
        <w:t>定媒介及基金管理人网站上。</w:t>
      </w:r>
    </w:p>
    <w:p w:rsidR="00A92FE2" w:rsidRPr="00621B7F" w:rsidP="00381C31">
      <w:pPr>
        <w:rPr>
          <w:rFonts w:asciiTheme="minorEastAsia" w:eastAsiaTheme="minorEastAsia" w:hAnsiTheme="minorEastAsia"/>
          <w:color w:val="000000" w:themeColor="text1"/>
        </w:rPr>
      </w:pPr>
    </w:p>
    <w:p w:rsidR="006C70E9" w:rsidRPr="00621B7F" w:rsidP="00A32B85">
      <w:pPr>
        <w:pStyle w:val="Heading1"/>
        <w:snapToGrid w:val="0"/>
        <w:spacing w:beforeLines="0" w:afterLines="0" w:line="360" w:lineRule="auto"/>
        <w:ind w:firstLine="0" w:firstLineChars="0"/>
        <w:rPr>
          <w:rFonts w:asciiTheme="minorEastAsia" w:eastAsiaTheme="minorEastAsia" w:hAnsiTheme="minorEastAsia"/>
          <w:b/>
          <w:bCs/>
          <w:color w:val="000000" w:themeColor="text1"/>
        </w:rPr>
        <w:sectPr w:rsidSect="006B7524">
          <w:pgSz w:w="11907" w:h="16840" w:code="9"/>
          <w:pgMar w:top="1440" w:right="1800" w:bottom="1440" w:left="1800" w:header="1134" w:footer="1247" w:gutter="0"/>
          <w:cols w:space="425"/>
          <w:docGrid w:type="lines" w:linePitch="312"/>
        </w:sectPr>
      </w:pPr>
      <w:bookmarkStart w:id="3053" w:name="_Toc38438350"/>
      <w:bookmarkStart w:id="3054" w:name="_Toc38438687"/>
      <w:bookmarkStart w:id="3055" w:name="_Toc38439024"/>
      <w:bookmarkStart w:id="3056" w:name="_Toc38439361"/>
      <w:bookmarkStart w:id="3057" w:name="_Toc38439698"/>
      <w:bookmarkStart w:id="3058" w:name="_Toc38440035"/>
      <w:bookmarkStart w:id="3059" w:name="_Toc38440372"/>
      <w:bookmarkStart w:id="3060" w:name="_Toc38440904"/>
      <w:bookmarkStart w:id="3061" w:name="_Toc38441236"/>
      <w:bookmarkStart w:id="3062" w:name="_Toc38441568"/>
      <w:bookmarkStart w:id="3063" w:name="_Toc38441896"/>
      <w:bookmarkStart w:id="3064" w:name="_Toc38442228"/>
      <w:bookmarkStart w:id="3065" w:name="_Toc38442560"/>
      <w:bookmarkStart w:id="3066" w:name="_Toc38442891"/>
      <w:bookmarkStart w:id="3067" w:name="_Toc38443222"/>
      <w:bookmarkStart w:id="3068" w:name="_Toc38443553"/>
      <w:bookmarkStart w:id="3069" w:name="_Toc38443883"/>
      <w:bookmarkStart w:id="3070" w:name="_Toc38438351"/>
      <w:bookmarkStart w:id="3071" w:name="_Toc38438688"/>
      <w:bookmarkStart w:id="3072" w:name="_Toc38439025"/>
      <w:bookmarkStart w:id="3073" w:name="_Toc38439362"/>
      <w:bookmarkStart w:id="3074" w:name="_Toc38439699"/>
      <w:bookmarkStart w:id="3075" w:name="_Toc38440036"/>
      <w:bookmarkStart w:id="3076" w:name="_Toc38440373"/>
      <w:bookmarkStart w:id="3077" w:name="_Toc38440905"/>
      <w:bookmarkStart w:id="3078" w:name="_Toc38441237"/>
      <w:bookmarkStart w:id="3079" w:name="_Toc38441569"/>
      <w:bookmarkStart w:id="3080" w:name="_Toc38441897"/>
      <w:bookmarkStart w:id="3081" w:name="_Toc38442229"/>
      <w:bookmarkStart w:id="3082" w:name="_Toc38442561"/>
      <w:bookmarkStart w:id="3083" w:name="_Toc38442892"/>
      <w:bookmarkStart w:id="3084" w:name="_Toc38443223"/>
      <w:bookmarkStart w:id="3085" w:name="_Toc38443554"/>
      <w:bookmarkStart w:id="3086" w:name="_Toc38443884"/>
      <w:bookmarkStart w:id="3087" w:name="_Toc38438352"/>
      <w:bookmarkStart w:id="3088" w:name="_Toc38438689"/>
      <w:bookmarkStart w:id="3089" w:name="_Toc38439026"/>
      <w:bookmarkStart w:id="3090" w:name="_Toc38439363"/>
      <w:bookmarkStart w:id="3091" w:name="_Toc38439700"/>
      <w:bookmarkStart w:id="3092" w:name="_Toc38440037"/>
      <w:bookmarkStart w:id="3093" w:name="_Toc38440374"/>
      <w:bookmarkStart w:id="3094" w:name="_Toc38440906"/>
      <w:bookmarkStart w:id="3095" w:name="_Toc38441238"/>
      <w:bookmarkStart w:id="3096" w:name="_Toc38441570"/>
      <w:bookmarkStart w:id="3097" w:name="_Toc38441898"/>
      <w:bookmarkStart w:id="3098" w:name="_Toc38442230"/>
      <w:bookmarkStart w:id="3099" w:name="_Toc38442562"/>
      <w:bookmarkStart w:id="3100" w:name="_Toc38442893"/>
      <w:bookmarkStart w:id="3101" w:name="_Toc38443224"/>
      <w:bookmarkStart w:id="3102" w:name="_Toc38443555"/>
      <w:bookmarkStart w:id="3103" w:name="_Toc38443885"/>
      <w:bookmarkStart w:id="3104" w:name="_Toc38438353"/>
      <w:bookmarkStart w:id="3105" w:name="_Toc38438690"/>
      <w:bookmarkStart w:id="3106" w:name="_Toc38439027"/>
      <w:bookmarkStart w:id="3107" w:name="_Toc38439364"/>
      <w:bookmarkStart w:id="3108" w:name="_Toc38439701"/>
      <w:bookmarkStart w:id="3109" w:name="_Toc38440038"/>
      <w:bookmarkStart w:id="3110" w:name="_Toc38440375"/>
      <w:bookmarkStart w:id="3111" w:name="_Toc38440907"/>
      <w:bookmarkStart w:id="3112" w:name="_Toc38441239"/>
      <w:bookmarkStart w:id="3113" w:name="_Toc38441571"/>
      <w:bookmarkStart w:id="3114" w:name="_Toc38441899"/>
      <w:bookmarkStart w:id="3115" w:name="_Toc38442231"/>
      <w:bookmarkStart w:id="3116" w:name="_Toc38442563"/>
      <w:bookmarkStart w:id="3117" w:name="_Toc38442894"/>
      <w:bookmarkStart w:id="3118" w:name="_Toc38443225"/>
      <w:bookmarkStart w:id="3119" w:name="_Toc38443556"/>
      <w:bookmarkStart w:id="3120" w:name="_Toc38443886"/>
      <w:bookmarkStart w:id="3121" w:name="_Toc38438354"/>
      <w:bookmarkStart w:id="3122" w:name="_Toc38438691"/>
      <w:bookmarkStart w:id="3123" w:name="_Toc38439028"/>
      <w:bookmarkStart w:id="3124" w:name="_Toc38439365"/>
      <w:bookmarkStart w:id="3125" w:name="_Toc38439702"/>
      <w:bookmarkStart w:id="3126" w:name="_Toc38440039"/>
      <w:bookmarkStart w:id="3127" w:name="_Toc38440376"/>
      <w:bookmarkStart w:id="3128" w:name="_Toc38440908"/>
      <w:bookmarkStart w:id="3129" w:name="_Toc38441240"/>
      <w:bookmarkStart w:id="3130" w:name="_Toc38441572"/>
      <w:bookmarkStart w:id="3131" w:name="_Toc38441900"/>
      <w:bookmarkStart w:id="3132" w:name="_Toc38442232"/>
      <w:bookmarkStart w:id="3133" w:name="_Toc38442564"/>
      <w:bookmarkStart w:id="3134" w:name="_Toc38442895"/>
      <w:bookmarkStart w:id="3135" w:name="_Toc38443226"/>
      <w:bookmarkStart w:id="3136" w:name="_Toc38443557"/>
      <w:bookmarkStart w:id="3137" w:name="_Toc38443887"/>
      <w:bookmarkStart w:id="3138" w:name="_Toc38438355"/>
      <w:bookmarkStart w:id="3139" w:name="_Toc38438692"/>
      <w:bookmarkStart w:id="3140" w:name="_Toc38439029"/>
      <w:bookmarkStart w:id="3141" w:name="_Toc38439366"/>
      <w:bookmarkStart w:id="3142" w:name="_Toc38439703"/>
      <w:bookmarkStart w:id="3143" w:name="_Toc38440040"/>
      <w:bookmarkStart w:id="3144" w:name="_Toc38440377"/>
      <w:bookmarkStart w:id="3145" w:name="_Toc38440909"/>
      <w:bookmarkStart w:id="3146" w:name="_Toc38441241"/>
      <w:bookmarkStart w:id="3147" w:name="_Toc38441573"/>
      <w:bookmarkStart w:id="3148" w:name="_Toc38441901"/>
      <w:bookmarkStart w:id="3149" w:name="_Toc38442233"/>
      <w:bookmarkStart w:id="3150" w:name="_Toc38442565"/>
      <w:bookmarkStart w:id="3151" w:name="_Toc38442896"/>
      <w:bookmarkStart w:id="3152" w:name="_Toc38443227"/>
      <w:bookmarkStart w:id="3153" w:name="_Toc38443558"/>
      <w:bookmarkStart w:id="3154" w:name="_Toc38443888"/>
      <w:bookmarkStart w:id="3155" w:name="_Toc38438356"/>
      <w:bookmarkStart w:id="3156" w:name="_Toc38438693"/>
      <w:bookmarkStart w:id="3157" w:name="_Toc38439030"/>
      <w:bookmarkStart w:id="3158" w:name="_Toc38439367"/>
      <w:bookmarkStart w:id="3159" w:name="_Toc38439704"/>
      <w:bookmarkStart w:id="3160" w:name="_Toc38440041"/>
      <w:bookmarkStart w:id="3161" w:name="_Toc38440378"/>
      <w:bookmarkStart w:id="3162" w:name="_Toc38440910"/>
      <w:bookmarkStart w:id="3163" w:name="_Toc38441242"/>
      <w:bookmarkStart w:id="3164" w:name="_Toc38441574"/>
      <w:bookmarkStart w:id="3165" w:name="_Toc38441902"/>
      <w:bookmarkStart w:id="3166" w:name="_Toc38442234"/>
      <w:bookmarkStart w:id="3167" w:name="_Toc38442566"/>
      <w:bookmarkStart w:id="3168" w:name="_Toc38442897"/>
      <w:bookmarkStart w:id="3169" w:name="_Toc38443228"/>
      <w:bookmarkStart w:id="3170" w:name="_Toc38443559"/>
      <w:bookmarkStart w:id="3171" w:name="_Toc38443889"/>
      <w:bookmarkStart w:id="3172" w:name="_Toc38438357"/>
      <w:bookmarkStart w:id="3173" w:name="_Toc38438694"/>
      <w:bookmarkStart w:id="3174" w:name="_Toc38439031"/>
      <w:bookmarkStart w:id="3175" w:name="_Toc38439368"/>
      <w:bookmarkStart w:id="3176" w:name="_Toc38439705"/>
      <w:bookmarkStart w:id="3177" w:name="_Toc38440042"/>
      <w:bookmarkStart w:id="3178" w:name="_Toc38440379"/>
      <w:bookmarkStart w:id="3179" w:name="_Toc38440911"/>
      <w:bookmarkStart w:id="3180" w:name="_Toc38441243"/>
      <w:bookmarkStart w:id="3181" w:name="_Toc38441575"/>
      <w:bookmarkStart w:id="3182" w:name="_Toc38441903"/>
      <w:bookmarkStart w:id="3183" w:name="_Toc38442235"/>
      <w:bookmarkStart w:id="3184" w:name="_Toc38442567"/>
      <w:bookmarkStart w:id="3185" w:name="_Toc38442898"/>
      <w:bookmarkStart w:id="3186" w:name="_Toc38443229"/>
      <w:bookmarkStart w:id="3187" w:name="_Toc38443560"/>
      <w:bookmarkStart w:id="3188" w:name="_Toc38443890"/>
      <w:bookmarkStart w:id="3189" w:name="_Toc38438358"/>
      <w:bookmarkStart w:id="3190" w:name="_Toc38438695"/>
      <w:bookmarkStart w:id="3191" w:name="_Toc38439032"/>
      <w:bookmarkStart w:id="3192" w:name="_Toc38439369"/>
      <w:bookmarkStart w:id="3193" w:name="_Toc38439706"/>
      <w:bookmarkStart w:id="3194" w:name="_Toc38440043"/>
      <w:bookmarkStart w:id="3195" w:name="_Toc38440380"/>
      <w:bookmarkStart w:id="3196" w:name="_Toc38440912"/>
      <w:bookmarkStart w:id="3197" w:name="_Toc38441244"/>
      <w:bookmarkStart w:id="3198" w:name="_Toc38441576"/>
      <w:bookmarkStart w:id="3199" w:name="_Toc38441904"/>
      <w:bookmarkStart w:id="3200" w:name="_Toc38442236"/>
      <w:bookmarkStart w:id="3201" w:name="_Toc38442568"/>
      <w:bookmarkStart w:id="3202" w:name="_Toc38442899"/>
      <w:bookmarkStart w:id="3203" w:name="_Toc38443230"/>
      <w:bookmarkStart w:id="3204" w:name="_Toc38443561"/>
      <w:bookmarkStart w:id="3205" w:name="_Toc38443891"/>
      <w:bookmarkStart w:id="3206" w:name="_Toc38438359"/>
      <w:bookmarkStart w:id="3207" w:name="_Toc38438696"/>
      <w:bookmarkStart w:id="3208" w:name="_Toc38439033"/>
      <w:bookmarkStart w:id="3209" w:name="_Toc38439370"/>
      <w:bookmarkStart w:id="3210" w:name="_Toc38439707"/>
      <w:bookmarkStart w:id="3211" w:name="_Toc38440044"/>
      <w:bookmarkStart w:id="3212" w:name="_Toc38440381"/>
      <w:bookmarkStart w:id="3213" w:name="_Toc38440913"/>
      <w:bookmarkStart w:id="3214" w:name="_Toc38441245"/>
      <w:bookmarkStart w:id="3215" w:name="_Toc38441577"/>
      <w:bookmarkStart w:id="3216" w:name="_Toc38441905"/>
      <w:bookmarkStart w:id="3217" w:name="_Toc38442237"/>
      <w:bookmarkStart w:id="3218" w:name="_Toc38442569"/>
      <w:bookmarkStart w:id="3219" w:name="_Toc38442900"/>
      <w:bookmarkStart w:id="3220" w:name="_Toc38443231"/>
      <w:bookmarkStart w:id="3221" w:name="_Toc38443562"/>
      <w:bookmarkStart w:id="3222" w:name="_Toc38443892"/>
      <w:bookmarkStart w:id="3223" w:name="_Toc38438360"/>
      <w:bookmarkStart w:id="3224" w:name="_Toc38438697"/>
      <w:bookmarkStart w:id="3225" w:name="_Toc38439034"/>
      <w:bookmarkStart w:id="3226" w:name="_Toc38439371"/>
      <w:bookmarkStart w:id="3227" w:name="_Toc38439708"/>
      <w:bookmarkStart w:id="3228" w:name="_Toc38440045"/>
      <w:bookmarkStart w:id="3229" w:name="_Toc38440382"/>
      <w:bookmarkStart w:id="3230" w:name="_Toc38440914"/>
      <w:bookmarkStart w:id="3231" w:name="_Toc38441246"/>
      <w:bookmarkStart w:id="3232" w:name="_Toc38441578"/>
      <w:bookmarkStart w:id="3233" w:name="_Toc38441906"/>
      <w:bookmarkStart w:id="3234" w:name="_Toc38442238"/>
      <w:bookmarkStart w:id="3235" w:name="_Toc38442570"/>
      <w:bookmarkStart w:id="3236" w:name="_Toc38442901"/>
      <w:bookmarkStart w:id="3237" w:name="_Toc38443232"/>
      <w:bookmarkStart w:id="3238" w:name="_Toc38443563"/>
      <w:bookmarkStart w:id="3239" w:name="_Toc38443893"/>
      <w:bookmarkStart w:id="3240" w:name="_Toc38438361"/>
      <w:bookmarkStart w:id="3241" w:name="_Toc38438698"/>
      <w:bookmarkStart w:id="3242" w:name="_Toc38439035"/>
      <w:bookmarkStart w:id="3243" w:name="_Toc38439372"/>
      <w:bookmarkStart w:id="3244" w:name="_Toc38439709"/>
      <w:bookmarkStart w:id="3245" w:name="_Toc38440046"/>
      <w:bookmarkStart w:id="3246" w:name="_Toc38440383"/>
      <w:bookmarkStart w:id="3247" w:name="_Toc38440915"/>
      <w:bookmarkStart w:id="3248" w:name="_Toc38441247"/>
      <w:bookmarkStart w:id="3249" w:name="_Toc38441579"/>
      <w:bookmarkStart w:id="3250" w:name="_Toc38441907"/>
      <w:bookmarkStart w:id="3251" w:name="_Toc38442239"/>
      <w:bookmarkStart w:id="3252" w:name="_Toc38442571"/>
      <w:bookmarkStart w:id="3253" w:name="_Toc38442902"/>
      <w:bookmarkStart w:id="3254" w:name="_Toc38443233"/>
      <w:bookmarkStart w:id="3255" w:name="_Toc38443564"/>
      <w:bookmarkStart w:id="3256" w:name="_Toc38443894"/>
      <w:bookmarkStart w:id="3257" w:name="_Toc38438362"/>
      <w:bookmarkStart w:id="3258" w:name="_Toc38438699"/>
      <w:bookmarkStart w:id="3259" w:name="_Toc38439036"/>
      <w:bookmarkStart w:id="3260" w:name="_Toc38439373"/>
      <w:bookmarkStart w:id="3261" w:name="_Toc38439710"/>
      <w:bookmarkStart w:id="3262" w:name="_Toc38440047"/>
      <w:bookmarkStart w:id="3263" w:name="_Toc38440384"/>
      <w:bookmarkStart w:id="3264" w:name="_Toc38440916"/>
      <w:bookmarkStart w:id="3265" w:name="_Toc38441248"/>
      <w:bookmarkStart w:id="3266" w:name="_Toc38441580"/>
      <w:bookmarkStart w:id="3267" w:name="_Toc38441908"/>
      <w:bookmarkStart w:id="3268" w:name="_Toc38442240"/>
      <w:bookmarkStart w:id="3269" w:name="_Toc38442572"/>
      <w:bookmarkStart w:id="3270" w:name="_Toc38442903"/>
      <w:bookmarkStart w:id="3271" w:name="_Toc38443234"/>
      <w:bookmarkStart w:id="3272" w:name="_Toc38443565"/>
      <w:bookmarkStart w:id="3273" w:name="_Toc38443895"/>
      <w:bookmarkStart w:id="3274" w:name="_Toc38438363"/>
      <w:bookmarkStart w:id="3275" w:name="_Toc38438700"/>
      <w:bookmarkStart w:id="3276" w:name="_Toc38439037"/>
      <w:bookmarkStart w:id="3277" w:name="_Toc38439374"/>
      <w:bookmarkStart w:id="3278" w:name="_Toc38439711"/>
      <w:bookmarkStart w:id="3279" w:name="_Toc38440048"/>
      <w:bookmarkStart w:id="3280" w:name="_Toc38440385"/>
      <w:bookmarkStart w:id="3281" w:name="_Toc38440917"/>
      <w:bookmarkStart w:id="3282" w:name="_Toc38441249"/>
      <w:bookmarkStart w:id="3283" w:name="_Toc38441581"/>
      <w:bookmarkStart w:id="3284" w:name="_Toc38441909"/>
      <w:bookmarkStart w:id="3285" w:name="_Toc38442241"/>
      <w:bookmarkStart w:id="3286" w:name="_Toc38442573"/>
      <w:bookmarkStart w:id="3287" w:name="_Toc38442904"/>
      <w:bookmarkStart w:id="3288" w:name="_Toc38443235"/>
      <w:bookmarkStart w:id="3289" w:name="_Toc38443566"/>
      <w:bookmarkStart w:id="3290" w:name="_Toc38443896"/>
      <w:bookmarkStart w:id="3291" w:name="_Toc38438364"/>
      <w:bookmarkStart w:id="3292" w:name="_Toc38438701"/>
      <w:bookmarkStart w:id="3293" w:name="_Toc38439038"/>
      <w:bookmarkStart w:id="3294" w:name="_Toc38439375"/>
      <w:bookmarkStart w:id="3295" w:name="_Toc38439712"/>
      <w:bookmarkStart w:id="3296" w:name="_Toc38440049"/>
      <w:bookmarkStart w:id="3297" w:name="_Toc38440386"/>
      <w:bookmarkStart w:id="3298" w:name="_Toc38440918"/>
      <w:bookmarkStart w:id="3299" w:name="_Toc38441250"/>
      <w:bookmarkStart w:id="3300" w:name="_Toc38441582"/>
      <w:bookmarkStart w:id="3301" w:name="_Toc38441910"/>
      <w:bookmarkStart w:id="3302" w:name="_Toc38442242"/>
      <w:bookmarkStart w:id="3303" w:name="_Toc38442574"/>
      <w:bookmarkStart w:id="3304" w:name="_Toc38442905"/>
      <w:bookmarkStart w:id="3305" w:name="_Toc38443236"/>
      <w:bookmarkStart w:id="3306" w:name="_Toc38443567"/>
      <w:bookmarkStart w:id="3307" w:name="_Toc38443897"/>
      <w:bookmarkStart w:id="3308" w:name="_Toc38438365"/>
      <w:bookmarkStart w:id="3309" w:name="_Toc38438702"/>
      <w:bookmarkStart w:id="3310" w:name="_Toc38439039"/>
      <w:bookmarkStart w:id="3311" w:name="_Toc38439376"/>
      <w:bookmarkStart w:id="3312" w:name="_Toc38439713"/>
      <w:bookmarkStart w:id="3313" w:name="_Toc38440050"/>
      <w:bookmarkStart w:id="3314" w:name="_Toc38440387"/>
      <w:bookmarkStart w:id="3315" w:name="_Toc38440919"/>
      <w:bookmarkStart w:id="3316" w:name="_Toc38441251"/>
      <w:bookmarkStart w:id="3317" w:name="_Toc38441583"/>
      <w:bookmarkStart w:id="3318" w:name="_Toc38441911"/>
      <w:bookmarkStart w:id="3319" w:name="_Toc38442243"/>
      <w:bookmarkStart w:id="3320" w:name="_Toc38442575"/>
      <w:bookmarkStart w:id="3321" w:name="_Toc38442906"/>
      <w:bookmarkStart w:id="3322" w:name="_Toc38443237"/>
      <w:bookmarkStart w:id="3323" w:name="_Toc38443568"/>
      <w:bookmarkStart w:id="3324" w:name="_Toc38443898"/>
      <w:bookmarkStart w:id="3325" w:name="_Toc38438366"/>
      <w:bookmarkStart w:id="3326" w:name="_Toc38438703"/>
      <w:bookmarkStart w:id="3327" w:name="_Toc38439040"/>
      <w:bookmarkStart w:id="3328" w:name="_Toc38439377"/>
      <w:bookmarkStart w:id="3329" w:name="_Toc38439714"/>
      <w:bookmarkStart w:id="3330" w:name="_Toc38440051"/>
      <w:bookmarkStart w:id="3331" w:name="_Toc38440388"/>
      <w:bookmarkStart w:id="3332" w:name="_Toc38440920"/>
      <w:bookmarkStart w:id="3333" w:name="_Toc38441252"/>
      <w:bookmarkStart w:id="3334" w:name="_Toc38441584"/>
      <w:bookmarkStart w:id="3335" w:name="_Toc38441912"/>
      <w:bookmarkStart w:id="3336" w:name="_Toc38442244"/>
      <w:bookmarkStart w:id="3337" w:name="_Toc38442576"/>
      <w:bookmarkStart w:id="3338" w:name="_Toc38442907"/>
      <w:bookmarkStart w:id="3339" w:name="_Toc38443238"/>
      <w:bookmarkStart w:id="3340" w:name="_Toc38443569"/>
      <w:bookmarkStart w:id="3341" w:name="_Toc38443899"/>
      <w:bookmarkStart w:id="3342" w:name="_Toc38438367"/>
      <w:bookmarkStart w:id="3343" w:name="_Toc38438704"/>
      <w:bookmarkStart w:id="3344" w:name="_Toc38439041"/>
      <w:bookmarkStart w:id="3345" w:name="_Toc38439378"/>
      <w:bookmarkStart w:id="3346" w:name="_Toc38439715"/>
      <w:bookmarkStart w:id="3347" w:name="_Toc38440052"/>
      <w:bookmarkStart w:id="3348" w:name="_Toc38440389"/>
      <w:bookmarkStart w:id="3349" w:name="_Toc38440921"/>
      <w:bookmarkStart w:id="3350" w:name="_Toc38441253"/>
      <w:bookmarkStart w:id="3351" w:name="_Toc38441585"/>
      <w:bookmarkStart w:id="3352" w:name="_Toc38441913"/>
      <w:bookmarkStart w:id="3353" w:name="_Toc38442245"/>
      <w:bookmarkStart w:id="3354" w:name="_Toc38442577"/>
      <w:bookmarkStart w:id="3355" w:name="_Toc38442908"/>
      <w:bookmarkStart w:id="3356" w:name="_Toc38443239"/>
      <w:bookmarkStart w:id="3357" w:name="_Toc38443570"/>
      <w:bookmarkStart w:id="3358" w:name="_Toc38443900"/>
      <w:bookmarkStart w:id="3359" w:name="_Toc38438368"/>
      <w:bookmarkStart w:id="3360" w:name="_Toc38438705"/>
      <w:bookmarkStart w:id="3361" w:name="_Toc38439042"/>
      <w:bookmarkStart w:id="3362" w:name="_Toc38439379"/>
      <w:bookmarkStart w:id="3363" w:name="_Toc38439716"/>
      <w:bookmarkStart w:id="3364" w:name="_Toc38440053"/>
      <w:bookmarkStart w:id="3365" w:name="_Toc38440390"/>
      <w:bookmarkStart w:id="3366" w:name="_Toc38440922"/>
      <w:bookmarkStart w:id="3367" w:name="_Toc38441254"/>
      <w:bookmarkStart w:id="3368" w:name="_Toc38441586"/>
      <w:bookmarkStart w:id="3369" w:name="_Toc38441914"/>
      <w:bookmarkStart w:id="3370" w:name="_Toc38442246"/>
      <w:bookmarkStart w:id="3371" w:name="_Toc38442578"/>
      <w:bookmarkStart w:id="3372" w:name="_Toc38442909"/>
      <w:bookmarkStart w:id="3373" w:name="_Toc38443240"/>
      <w:bookmarkStart w:id="3374" w:name="_Toc38443571"/>
      <w:bookmarkStart w:id="3375" w:name="_Toc38443901"/>
      <w:bookmarkStart w:id="3376" w:name="_Toc38438369"/>
      <w:bookmarkStart w:id="3377" w:name="_Toc38438706"/>
      <w:bookmarkStart w:id="3378" w:name="_Toc38439043"/>
      <w:bookmarkStart w:id="3379" w:name="_Toc38439380"/>
      <w:bookmarkStart w:id="3380" w:name="_Toc38439717"/>
      <w:bookmarkStart w:id="3381" w:name="_Toc38440054"/>
      <w:bookmarkStart w:id="3382" w:name="_Toc38440391"/>
      <w:bookmarkStart w:id="3383" w:name="_Toc38440923"/>
      <w:bookmarkStart w:id="3384" w:name="_Toc38441255"/>
      <w:bookmarkStart w:id="3385" w:name="_Toc38441587"/>
      <w:bookmarkStart w:id="3386" w:name="_Toc38441915"/>
      <w:bookmarkStart w:id="3387" w:name="_Toc38442247"/>
      <w:bookmarkStart w:id="3388" w:name="_Toc38442579"/>
      <w:bookmarkStart w:id="3389" w:name="_Toc38442910"/>
      <w:bookmarkStart w:id="3390" w:name="_Toc38443241"/>
      <w:bookmarkStart w:id="3391" w:name="_Toc38443572"/>
      <w:bookmarkStart w:id="3392" w:name="_Toc38443902"/>
      <w:bookmarkStart w:id="3393" w:name="_Toc38438371"/>
      <w:bookmarkStart w:id="3394" w:name="_Toc38438708"/>
      <w:bookmarkStart w:id="3395" w:name="_Toc38439045"/>
      <w:bookmarkStart w:id="3396" w:name="_Toc38439382"/>
      <w:bookmarkStart w:id="3397" w:name="_Toc38439719"/>
      <w:bookmarkStart w:id="3398" w:name="_Toc38440056"/>
      <w:bookmarkStart w:id="3399" w:name="_Toc38440393"/>
      <w:bookmarkStart w:id="3400" w:name="_Toc38440925"/>
      <w:bookmarkStart w:id="3401" w:name="_Toc38441257"/>
      <w:bookmarkStart w:id="3402" w:name="_Toc38441589"/>
      <w:bookmarkStart w:id="3403" w:name="_Toc38441917"/>
      <w:bookmarkStart w:id="3404" w:name="_Toc38442249"/>
      <w:bookmarkStart w:id="3405" w:name="_Toc38442581"/>
      <w:bookmarkStart w:id="3406" w:name="_Toc38442912"/>
      <w:bookmarkStart w:id="3407" w:name="_Toc38443243"/>
      <w:bookmarkStart w:id="3408" w:name="_Toc38443574"/>
      <w:bookmarkStart w:id="3409" w:name="_Toc38443904"/>
      <w:bookmarkStart w:id="3410" w:name="_Toc38438372"/>
      <w:bookmarkStart w:id="3411" w:name="_Toc38438709"/>
      <w:bookmarkStart w:id="3412" w:name="_Toc38439046"/>
      <w:bookmarkStart w:id="3413" w:name="_Toc38439383"/>
      <w:bookmarkStart w:id="3414" w:name="_Toc38439720"/>
      <w:bookmarkStart w:id="3415" w:name="_Toc38440057"/>
      <w:bookmarkStart w:id="3416" w:name="_Toc38440394"/>
      <w:bookmarkStart w:id="3417" w:name="_Toc38440926"/>
      <w:bookmarkStart w:id="3418" w:name="_Toc38441258"/>
      <w:bookmarkStart w:id="3419" w:name="_Toc38441590"/>
      <w:bookmarkStart w:id="3420" w:name="_Toc38441918"/>
      <w:bookmarkStart w:id="3421" w:name="_Toc38442250"/>
      <w:bookmarkStart w:id="3422" w:name="_Toc38442582"/>
      <w:bookmarkStart w:id="3423" w:name="_Toc38442913"/>
      <w:bookmarkStart w:id="3424" w:name="_Toc38443244"/>
      <w:bookmarkStart w:id="3425" w:name="_Toc38443575"/>
      <w:bookmarkStart w:id="3426" w:name="_Toc38443905"/>
      <w:bookmarkStart w:id="3427" w:name="_Toc38438373"/>
      <w:bookmarkStart w:id="3428" w:name="_Toc38438710"/>
      <w:bookmarkStart w:id="3429" w:name="_Toc38439047"/>
      <w:bookmarkStart w:id="3430" w:name="_Toc38439384"/>
      <w:bookmarkStart w:id="3431" w:name="_Toc38439721"/>
      <w:bookmarkStart w:id="3432" w:name="_Toc38440058"/>
      <w:bookmarkStart w:id="3433" w:name="_Toc38440395"/>
      <w:bookmarkStart w:id="3434" w:name="_Toc38440927"/>
      <w:bookmarkStart w:id="3435" w:name="_Toc38441259"/>
      <w:bookmarkStart w:id="3436" w:name="_Toc38441591"/>
      <w:bookmarkStart w:id="3437" w:name="_Toc38441919"/>
      <w:bookmarkStart w:id="3438" w:name="_Toc38442251"/>
      <w:bookmarkStart w:id="3439" w:name="_Toc38442583"/>
      <w:bookmarkStart w:id="3440" w:name="_Toc38442914"/>
      <w:bookmarkStart w:id="3441" w:name="_Toc38443245"/>
      <w:bookmarkStart w:id="3442" w:name="_Toc38443576"/>
      <w:bookmarkStart w:id="3443" w:name="_Toc38443906"/>
      <w:bookmarkStart w:id="3444" w:name="_Toc38438374"/>
      <w:bookmarkStart w:id="3445" w:name="_Toc38438711"/>
      <w:bookmarkStart w:id="3446" w:name="_Toc38439048"/>
      <w:bookmarkStart w:id="3447" w:name="_Toc38439385"/>
      <w:bookmarkStart w:id="3448" w:name="_Toc38439722"/>
      <w:bookmarkStart w:id="3449" w:name="_Toc38440059"/>
      <w:bookmarkStart w:id="3450" w:name="_Toc38440396"/>
      <w:bookmarkStart w:id="3451" w:name="_Toc38440928"/>
      <w:bookmarkStart w:id="3452" w:name="_Toc38441260"/>
      <w:bookmarkStart w:id="3453" w:name="_Toc38441592"/>
      <w:bookmarkStart w:id="3454" w:name="_Toc38441920"/>
      <w:bookmarkStart w:id="3455" w:name="_Toc38442252"/>
      <w:bookmarkStart w:id="3456" w:name="_Toc38442584"/>
      <w:bookmarkStart w:id="3457" w:name="_Toc38442915"/>
      <w:bookmarkStart w:id="3458" w:name="_Toc38443246"/>
      <w:bookmarkStart w:id="3459" w:name="_Toc38443577"/>
      <w:bookmarkStart w:id="3460" w:name="_Toc38443907"/>
      <w:bookmarkStart w:id="3461" w:name="_Toc38438375"/>
      <w:bookmarkStart w:id="3462" w:name="_Toc38438712"/>
      <w:bookmarkStart w:id="3463" w:name="_Toc38439049"/>
      <w:bookmarkStart w:id="3464" w:name="_Toc38439386"/>
      <w:bookmarkStart w:id="3465" w:name="_Toc38439723"/>
      <w:bookmarkStart w:id="3466" w:name="_Toc38440060"/>
      <w:bookmarkStart w:id="3467" w:name="_Toc38440397"/>
      <w:bookmarkStart w:id="3468" w:name="_Toc38440929"/>
      <w:bookmarkStart w:id="3469" w:name="_Toc38441261"/>
      <w:bookmarkStart w:id="3470" w:name="_Toc38441593"/>
      <w:bookmarkStart w:id="3471" w:name="_Toc38441921"/>
      <w:bookmarkStart w:id="3472" w:name="_Toc38442253"/>
      <w:bookmarkStart w:id="3473" w:name="_Toc38442585"/>
      <w:bookmarkStart w:id="3474" w:name="_Toc38442916"/>
      <w:bookmarkStart w:id="3475" w:name="_Toc38443247"/>
      <w:bookmarkStart w:id="3476" w:name="_Toc38443578"/>
      <w:bookmarkStart w:id="3477" w:name="_Toc38443908"/>
      <w:bookmarkStart w:id="3478" w:name="_Toc38438376"/>
      <w:bookmarkStart w:id="3479" w:name="_Toc38438713"/>
      <w:bookmarkStart w:id="3480" w:name="_Toc38439050"/>
      <w:bookmarkStart w:id="3481" w:name="_Toc38439387"/>
      <w:bookmarkStart w:id="3482" w:name="_Toc38439724"/>
      <w:bookmarkStart w:id="3483" w:name="_Toc38440061"/>
      <w:bookmarkStart w:id="3484" w:name="_Toc38440398"/>
      <w:bookmarkStart w:id="3485" w:name="_Toc38440930"/>
      <w:bookmarkStart w:id="3486" w:name="_Toc38441262"/>
      <w:bookmarkStart w:id="3487" w:name="_Toc38441594"/>
      <w:bookmarkStart w:id="3488" w:name="_Toc38441922"/>
      <w:bookmarkStart w:id="3489" w:name="_Toc38442254"/>
      <w:bookmarkStart w:id="3490" w:name="_Toc38442586"/>
      <w:bookmarkStart w:id="3491" w:name="_Toc38442917"/>
      <w:bookmarkStart w:id="3492" w:name="_Toc38443248"/>
      <w:bookmarkStart w:id="3493" w:name="_Toc38443579"/>
      <w:bookmarkStart w:id="3494" w:name="_Toc38443909"/>
      <w:bookmarkStart w:id="3495" w:name="_Toc38438377"/>
      <w:bookmarkStart w:id="3496" w:name="_Toc38438714"/>
      <w:bookmarkStart w:id="3497" w:name="_Toc38439051"/>
      <w:bookmarkStart w:id="3498" w:name="_Toc38439388"/>
      <w:bookmarkStart w:id="3499" w:name="_Toc38439725"/>
      <w:bookmarkStart w:id="3500" w:name="_Toc38440062"/>
      <w:bookmarkStart w:id="3501" w:name="_Toc38440399"/>
      <w:bookmarkStart w:id="3502" w:name="_Toc38440931"/>
      <w:bookmarkStart w:id="3503" w:name="_Toc38441263"/>
      <w:bookmarkStart w:id="3504" w:name="_Toc38441595"/>
      <w:bookmarkStart w:id="3505" w:name="_Toc38441923"/>
      <w:bookmarkStart w:id="3506" w:name="_Toc38442255"/>
      <w:bookmarkStart w:id="3507" w:name="_Toc38442587"/>
      <w:bookmarkStart w:id="3508" w:name="_Toc38442918"/>
      <w:bookmarkStart w:id="3509" w:name="_Toc38443249"/>
      <w:bookmarkStart w:id="3510" w:name="_Toc38443580"/>
      <w:bookmarkStart w:id="3511" w:name="_Toc38443910"/>
      <w:bookmarkStart w:id="3512" w:name="_Toc38438378"/>
      <w:bookmarkStart w:id="3513" w:name="_Toc38438715"/>
      <w:bookmarkStart w:id="3514" w:name="_Toc38439052"/>
      <w:bookmarkStart w:id="3515" w:name="_Toc38439389"/>
      <w:bookmarkStart w:id="3516" w:name="_Toc38439726"/>
      <w:bookmarkStart w:id="3517" w:name="_Toc38440063"/>
      <w:bookmarkStart w:id="3518" w:name="_Toc38440400"/>
      <w:bookmarkStart w:id="3519" w:name="_Toc38440932"/>
      <w:bookmarkStart w:id="3520" w:name="_Toc38441264"/>
      <w:bookmarkStart w:id="3521" w:name="_Toc38441596"/>
      <w:bookmarkStart w:id="3522" w:name="_Toc38441924"/>
      <w:bookmarkStart w:id="3523" w:name="_Toc38442256"/>
      <w:bookmarkStart w:id="3524" w:name="_Toc38442588"/>
      <w:bookmarkStart w:id="3525" w:name="_Toc38442919"/>
      <w:bookmarkStart w:id="3526" w:name="_Toc38443250"/>
      <w:bookmarkStart w:id="3527" w:name="_Toc38443581"/>
      <w:bookmarkStart w:id="3528" w:name="_Toc38443911"/>
      <w:bookmarkStart w:id="3529" w:name="_Toc38438379"/>
      <w:bookmarkStart w:id="3530" w:name="_Toc38438716"/>
      <w:bookmarkStart w:id="3531" w:name="_Toc38439053"/>
      <w:bookmarkStart w:id="3532" w:name="_Toc38439390"/>
      <w:bookmarkStart w:id="3533" w:name="_Toc38439727"/>
      <w:bookmarkStart w:id="3534" w:name="_Toc38440064"/>
      <w:bookmarkStart w:id="3535" w:name="_Toc38440401"/>
      <w:bookmarkStart w:id="3536" w:name="_Toc38440933"/>
      <w:bookmarkStart w:id="3537" w:name="_Toc38441265"/>
      <w:bookmarkStart w:id="3538" w:name="_Toc38441597"/>
      <w:bookmarkStart w:id="3539" w:name="_Toc38441925"/>
      <w:bookmarkStart w:id="3540" w:name="_Toc38442257"/>
      <w:bookmarkStart w:id="3541" w:name="_Toc38442589"/>
      <w:bookmarkStart w:id="3542" w:name="_Toc38442920"/>
      <w:bookmarkStart w:id="3543" w:name="_Toc38443251"/>
      <w:bookmarkStart w:id="3544" w:name="_Toc38443582"/>
      <w:bookmarkStart w:id="3545" w:name="_Toc38443912"/>
      <w:bookmarkStart w:id="3546" w:name="_Toc38438380"/>
      <w:bookmarkStart w:id="3547" w:name="_Toc38438717"/>
      <w:bookmarkStart w:id="3548" w:name="_Toc38439054"/>
      <w:bookmarkStart w:id="3549" w:name="_Toc38439391"/>
      <w:bookmarkStart w:id="3550" w:name="_Toc38439728"/>
      <w:bookmarkStart w:id="3551" w:name="_Toc38440065"/>
      <w:bookmarkStart w:id="3552" w:name="_Toc38440402"/>
      <w:bookmarkStart w:id="3553" w:name="_Toc38440934"/>
      <w:bookmarkStart w:id="3554" w:name="_Toc38441266"/>
      <w:bookmarkStart w:id="3555" w:name="_Toc38441598"/>
      <w:bookmarkStart w:id="3556" w:name="_Toc38441926"/>
      <w:bookmarkStart w:id="3557" w:name="_Toc38442258"/>
      <w:bookmarkStart w:id="3558" w:name="_Toc38442590"/>
      <w:bookmarkStart w:id="3559" w:name="_Toc38442921"/>
      <w:bookmarkStart w:id="3560" w:name="_Toc38443252"/>
      <w:bookmarkStart w:id="3561" w:name="_Toc38443583"/>
      <w:bookmarkStart w:id="3562" w:name="_Toc38443913"/>
      <w:bookmarkStart w:id="3563" w:name="_Toc38438381"/>
      <w:bookmarkStart w:id="3564" w:name="_Toc38438718"/>
      <w:bookmarkStart w:id="3565" w:name="_Toc38439055"/>
      <w:bookmarkStart w:id="3566" w:name="_Toc38439392"/>
      <w:bookmarkStart w:id="3567" w:name="_Toc38439729"/>
      <w:bookmarkStart w:id="3568" w:name="_Toc38440066"/>
      <w:bookmarkStart w:id="3569" w:name="_Toc38440403"/>
      <w:bookmarkStart w:id="3570" w:name="_Toc38440935"/>
      <w:bookmarkStart w:id="3571" w:name="_Toc38441267"/>
      <w:bookmarkStart w:id="3572" w:name="_Toc38441599"/>
      <w:bookmarkStart w:id="3573" w:name="_Toc38441927"/>
      <w:bookmarkStart w:id="3574" w:name="_Toc38442259"/>
      <w:bookmarkStart w:id="3575" w:name="_Toc38442591"/>
      <w:bookmarkStart w:id="3576" w:name="_Toc38442922"/>
      <w:bookmarkStart w:id="3577" w:name="_Toc38443253"/>
      <w:bookmarkStart w:id="3578" w:name="_Toc38443584"/>
      <w:bookmarkStart w:id="3579" w:name="_Toc38443914"/>
      <w:bookmarkStart w:id="3580" w:name="_Toc38438382"/>
      <w:bookmarkStart w:id="3581" w:name="_Toc38438719"/>
      <w:bookmarkStart w:id="3582" w:name="_Toc38439056"/>
      <w:bookmarkStart w:id="3583" w:name="_Toc38439393"/>
      <w:bookmarkStart w:id="3584" w:name="_Toc38439730"/>
      <w:bookmarkStart w:id="3585" w:name="_Toc38440067"/>
      <w:bookmarkStart w:id="3586" w:name="_Toc38440404"/>
      <w:bookmarkStart w:id="3587" w:name="_Toc38440936"/>
      <w:bookmarkStart w:id="3588" w:name="_Toc38441268"/>
      <w:bookmarkStart w:id="3589" w:name="_Toc38441600"/>
      <w:bookmarkStart w:id="3590" w:name="_Toc38441928"/>
      <w:bookmarkStart w:id="3591" w:name="_Toc38442260"/>
      <w:bookmarkStart w:id="3592" w:name="_Toc38442592"/>
      <w:bookmarkStart w:id="3593" w:name="_Toc38442923"/>
      <w:bookmarkStart w:id="3594" w:name="_Toc38443254"/>
      <w:bookmarkStart w:id="3595" w:name="_Toc38443585"/>
      <w:bookmarkStart w:id="3596" w:name="_Toc38443915"/>
      <w:bookmarkStart w:id="3597" w:name="_Toc38438383"/>
      <w:bookmarkStart w:id="3598" w:name="_Toc38438720"/>
      <w:bookmarkStart w:id="3599" w:name="_Toc38439057"/>
      <w:bookmarkStart w:id="3600" w:name="_Toc38439394"/>
      <w:bookmarkStart w:id="3601" w:name="_Toc38439731"/>
      <w:bookmarkStart w:id="3602" w:name="_Toc38440068"/>
      <w:bookmarkStart w:id="3603" w:name="_Toc38440405"/>
      <w:bookmarkStart w:id="3604" w:name="_Toc38440937"/>
      <w:bookmarkStart w:id="3605" w:name="_Toc38441269"/>
      <w:bookmarkStart w:id="3606" w:name="_Toc38441601"/>
      <w:bookmarkStart w:id="3607" w:name="_Toc38441929"/>
      <w:bookmarkStart w:id="3608" w:name="_Toc38442261"/>
      <w:bookmarkStart w:id="3609" w:name="_Toc38442593"/>
      <w:bookmarkStart w:id="3610" w:name="_Toc38442924"/>
      <w:bookmarkStart w:id="3611" w:name="_Toc38443255"/>
      <w:bookmarkStart w:id="3612" w:name="_Toc38443586"/>
      <w:bookmarkStart w:id="3613" w:name="_Toc38443916"/>
      <w:bookmarkStart w:id="3614" w:name="_Toc38438384"/>
      <w:bookmarkStart w:id="3615" w:name="_Toc38438721"/>
      <w:bookmarkStart w:id="3616" w:name="_Toc38439058"/>
      <w:bookmarkStart w:id="3617" w:name="_Toc38439395"/>
      <w:bookmarkStart w:id="3618" w:name="_Toc38439732"/>
      <w:bookmarkStart w:id="3619" w:name="_Toc38440069"/>
      <w:bookmarkStart w:id="3620" w:name="_Toc38440406"/>
      <w:bookmarkStart w:id="3621" w:name="_Toc38440938"/>
      <w:bookmarkStart w:id="3622" w:name="_Toc38441270"/>
      <w:bookmarkStart w:id="3623" w:name="_Toc38441602"/>
      <w:bookmarkStart w:id="3624" w:name="_Toc38441930"/>
      <w:bookmarkStart w:id="3625" w:name="_Toc38442262"/>
      <w:bookmarkStart w:id="3626" w:name="_Toc38442594"/>
      <w:bookmarkStart w:id="3627" w:name="_Toc38442925"/>
      <w:bookmarkStart w:id="3628" w:name="_Toc38443256"/>
      <w:bookmarkStart w:id="3629" w:name="_Toc38443587"/>
      <w:bookmarkStart w:id="3630" w:name="_Toc38443917"/>
      <w:bookmarkStart w:id="3631" w:name="_Toc38438385"/>
      <w:bookmarkStart w:id="3632" w:name="_Toc38438722"/>
      <w:bookmarkStart w:id="3633" w:name="_Toc38439059"/>
      <w:bookmarkStart w:id="3634" w:name="_Toc38439396"/>
      <w:bookmarkStart w:id="3635" w:name="_Toc38439733"/>
      <w:bookmarkStart w:id="3636" w:name="_Toc38440070"/>
      <w:bookmarkStart w:id="3637" w:name="_Toc38440407"/>
      <w:bookmarkStart w:id="3638" w:name="_Toc38440939"/>
      <w:bookmarkStart w:id="3639" w:name="_Toc38441271"/>
      <w:bookmarkStart w:id="3640" w:name="_Toc38441603"/>
      <w:bookmarkStart w:id="3641" w:name="_Toc38441931"/>
      <w:bookmarkStart w:id="3642" w:name="_Toc38442263"/>
      <w:bookmarkStart w:id="3643" w:name="_Toc38442595"/>
      <w:bookmarkStart w:id="3644" w:name="_Toc38442926"/>
      <w:bookmarkStart w:id="3645" w:name="_Toc38443257"/>
      <w:bookmarkStart w:id="3646" w:name="_Toc38443588"/>
      <w:bookmarkStart w:id="3647" w:name="_Toc38443918"/>
      <w:bookmarkStart w:id="3648" w:name="_Toc38438386"/>
      <w:bookmarkStart w:id="3649" w:name="_Toc38438723"/>
      <w:bookmarkStart w:id="3650" w:name="_Toc38439060"/>
      <w:bookmarkStart w:id="3651" w:name="_Toc38439397"/>
      <w:bookmarkStart w:id="3652" w:name="_Toc38439734"/>
      <w:bookmarkStart w:id="3653" w:name="_Toc38440071"/>
      <w:bookmarkStart w:id="3654" w:name="_Toc38440408"/>
      <w:bookmarkStart w:id="3655" w:name="_Toc38440940"/>
      <w:bookmarkStart w:id="3656" w:name="_Toc38441272"/>
      <w:bookmarkStart w:id="3657" w:name="_Toc38441604"/>
      <w:bookmarkStart w:id="3658" w:name="_Toc38441932"/>
      <w:bookmarkStart w:id="3659" w:name="_Toc38442264"/>
      <w:bookmarkStart w:id="3660" w:name="_Toc38442596"/>
      <w:bookmarkStart w:id="3661" w:name="_Toc38442927"/>
      <w:bookmarkStart w:id="3662" w:name="_Toc38443258"/>
      <w:bookmarkStart w:id="3663" w:name="_Toc38443589"/>
      <w:bookmarkStart w:id="3664" w:name="_Toc38443919"/>
      <w:bookmarkStart w:id="3665" w:name="_Toc38438387"/>
      <w:bookmarkStart w:id="3666" w:name="_Toc38438724"/>
      <w:bookmarkStart w:id="3667" w:name="_Toc38439061"/>
      <w:bookmarkStart w:id="3668" w:name="_Toc38439398"/>
      <w:bookmarkStart w:id="3669" w:name="_Toc38439735"/>
      <w:bookmarkStart w:id="3670" w:name="_Toc38440072"/>
      <w:bookmarkStart w:id="3671" w:name="_Toc38440409"/>
      <w:bookmarkStart w:id="3672" w:name="_Toc38440941"/>
      <w:bookmarkStart w:id="3673" w:name="_Toc38441273"/>
      <w:bookmarkStart w:id="3674" w:name="_Toc38441605"/>
      <w:bookmarkStart w:id="3675" w:name="_Toc38441933"/>
      <w:bookmarkStart w:id="3676" w:name="_Toc38442265"/>
      <w:bookmarkStart w:id="3677" w:name="_Toc38442597"/>
      <w:bookmarkStart w:id="3678" w:name="_Toc38442928"/>
      <w:bookmarkStart w:id="3679" w:name="_Toc38443259"/>
      <w:bookmarkStart w:id="3680" w:name="_Toc38443590"/>
      <w:bookmarkStart w:id="3681" w:name="_Toc38443920"/>
      <w:bookmarkStart w:id="3682" w:name="_Toc38438388"/>
      <w:bookmarkStart w:id="3683" w:name="_Toc38438725"/>
      <w:bookmarkStart w:id="3684" w:name="_Toc38439062"/>
      <w:bookmarkStart w:id="3685" w:name="_Toc38439399"/>
      <w:bookmarkStart w:id="3686" w:name="_Toc38439736"/>
      <w:bookmarkStart w:id="3687" w:name="_Toc38440073"/>
      <w:bookmarkStart w:id="3688" w:name="_Toc38440410"/>
      <w:bookmarkStart w:id="3689" w:name="_Toc38440942"/>
      <w:bookmarkStart w:id="3690" w:name="_Toc38441274"/>
      <w:bookmarkStart w:id="3691" w:name="_Toc38441606"/>
      <w:bookmarkStart w:id="3692" w:name="_Toc38441934"/>
      <w:bookmarkStart w:id="3693" w:name="_Toc38442266"/>
      <w:bookmarkStart w:id="3694" w:name="_Toc38442598"/>
      <w:bookmarkStart w:id="3695" w:name="_Toc38442929"/>
      <w:bookmarkStart w:id="3696" w:name="_Toc38443260"/>
      <w:bookmarkStart w:id="3697" w:name="_Toc38443591"/>
      <w:bookmarkStart w:id="3698" w:name="_Toc38443921"/>
      <w:bookmarkStart w:id="3699" w:name="_Toc38438389"/>
      <w:bookmarkStart w:id="3700" w:name="_Toc38438726"/>
      <w:bookmarkStart w:id="3701" w:name="_Toc38439063"/>
      <w:bookmarkStart w:id="3702" w:name="_Toc38439400"/>
      <w:bookmarkStart w:id="3703" w:name="_Toc38439737"/>
      <w:bookmarkStart w:id="3704" w:name="_Toc38440074"/>
      <w:bookmarkStart w:id="3705" w:name="_Toc38440411"/>
      <w:bookmarkStart w:id="3706" w:name="_Toc38440943"/>
      <w:bookmarkStart w:id="3707" w:name="_Toc38441275"/>
      <w:bookmarkStart w:id="3708" w:name="_Toc38441607"/>
      <w:bookmarkStart w:id="3709" w:name="_Toc38441935"/>
      <w:bookmarkStart w:id="3710" w:name="_Toc38442267"/>
      <w:bookmarkStart w:id="3711" w:name="_Toc38442599"/>
      <w:bookmarkStart w:id="3712" w:name="_Toc38442930"/>
      <w:bookmarkStart w:id="3713" w:name="_Toc38443261"/>
      <w:bookmarkStart w:id="3714" w:name="_Toc38443592"/>
      <w:bookmarkStart w:id="3715" w:name="_Toc38443922"/>
      <w:bookmarkStart w:id="3716" w:name="_Toc38438390"/>
      <w:bookmarkStart w:id="3717" w:name="_Toc38438727"/>
      <w:bookmarkStart w:id="3718" w:name="_Toc38439064"/>
      <w:bookmarkStart w:id="3719" w:name="_Toc38439401"/>
      <w:bookmarkStart w:id="3720" w:name="_Toc38439738"/>
      <w:bookmarkStart w:id="3721" w:name="_Toc38440075"/>
      <w:bookmarkStart w:id="3722" w:name="_Toc38440412"/>
      <w:bookmarkStart w:id="3723" w:name="_Toc38440944"/>
      <w:bookmarkStart w:id="3724" w:name="_Toc38441276"/>
      <w:bookmarkStart w:id="3725" w:name="_Toc38441608"/>
      <w:bookmarkStart w:id="3726" w:name="_Toc38441936"/>
      <w:bookmarkStart w:id="3727" w:name="_Toc38442268"/>
      <w:bookmarkStart w:id="3728" w:name="_Toc38442600"/>
      <w:bookmarkStart w:id="3729" w:name="_Toc38442931"/>
      <w:bookmarkStart w:id="3730" w:name="_Toc38443262"/>
      <w:bookmarkStart w:id="3731" w:name="_Toc38443593"/>
      <w:bookmarkStart w:id="3732" w:name="_Toc38443923"/>
      <w:bookmarkStart w:id="3733" w:name="_Toc38438391"/>
      <w:bookmarkStart w:id="3734" w:name="_Toc38438728"/>
      <w:bookmarkStart w:id="3735" w:name="_Toc38439065"/>
      <w:bookmarkStart w:id="3736" w:name="_Toc38439402"/>
      <w:bookmarkStart w:id="3737" w:name="_Toc38439739"/>
      <w:bookmarkStart w:id="3738" w:name="_Toc38440076"/>
      <w:bookmarkStart w:id="3739" w:name="_Toc38440413"/>
      <w:bookmarkStart w:id="3740" w:name="_Toc38440945"/>
      <w:bookmarkStart w:id="3741" w:name="_Toc38441277"/>
      <w:bookmarkStart w:id="3742" w:name="_Toc38441609"/>
      <w:bookmarkStart w:id="3743" w:name="_Toc38441937"/>
      <w:bookmarkStart w:id="3744" w:name="_Toc38442269"/>
      <w:bookmarkStart w:id="3745" w:name="_Toc38442601"/>
      <w:bookmarkStart w:id="3746" w:name="_Toc38442932"/>
      <w:bookmarkStart w:id="3747" w:name="_Toc38443263"/>
      <w:bookmarkStart w:id="3748" w:name="_Toc38443594"/>
      <w:bookmarkStart w:id="3749" w:name="_Toc38443924"/>
      <w:bookmarkStart w:id="3750" w:name="_Toc38438392"/>
      <w:bookmarkStart w:id="3751" w:name="_Toc38438729"/>
      <w:bookmarkStart w:id="3752" w:name="_Toc38439066"/>
      <w:bookmarkStart w:id="3753" w:name="_Toc38439403"/>
      <w:bookmarkStart w:id="3754" w:name="_Toc38439740"/>
      <w:bookmarkStart w:id="3755" w:name="_Toc38440077"/>
      <w:bookmarkStart w:id="3756" w:name="_Toc38440414"/>
      <w:bookmarkStart w:id="3757" w:name="_Toc38440946"/>
      <w:bookmarkStart w:id="3758" w:name="_Toc38441278"/>
      <w:bookmarkStart w:id="3759" w:name="_Toc38441610"/>
      <w:bookmarkStart w:id="3760" w:name="_Toc38441938"/>
      <w:bookmarkStart w:id="3761" w:name="_Toc38442270"/>
      <w:bookmarkStart w:id="3762" w:name="_Toc38442602"/>
      <w:bookmarkStart w:id="3763" w:name="_Toc38442933"/>
      <w:bookmarkStart w:id="3764" w:name="_Toc38443264"/>
      <w:bookmarkStart w:id="3765" w:name="_Toc38443595"/>
      <w:bookmarkStart w:id="3766" w:name="_Toc38443925"/>
      <w:bookmarkStart w:id="3767" w:name="_Toc38438393"/>
      <w:bookmarkStart w:id="3768" w:name="_Toc38438730"/>
      <w:bookmarkStart w:id="3769" w:name="_Toc38439067"/>
      <w:bookmarkStart w:id="3770" w:name="_Toc38439404"/>
      <w:bookmarkStart w:id="3771" w:name="_Toc38439741"/>
      <w:bookmarkStart w:id="3772" w:name="_Toc38440078"/>
      <w:bookmarkStart w:id="3773" w:name="_Toc38440415"/>
      <w:bookmarkStart w:id="3774" w:name="_Toc38440947"/>
      <w:bookmarkStart w:id="3775" w:name="_Toc38441279"/>
      <w:bookmarkStart w:id="3776" w:name="_Toc38441611"/>
      <w:bookmarkStart w:id="3777" w:name="_Toc38441939"/>
      <w:bookmarkStart w:id="3778" w:name="_Toc38442271"/>
      <w:bookmarkStart w:id="3779" w:name="_Toc38442603"/>
      <w:bookmarkStart w:id="3780" w:name="_Toc38442934"/>
      <w:bookmarkStart w:id="3781" w:name="_Toc38443265"/>
      <w:bookmarkStart w:id="3782" w:name="_Toc38443596"/>
      <w:bookmarkStart w:id="3783" w:name="_Toc38443926"/>
      <w:bookmarkStart w:id="3784" w:name="_Toc38438394"/>
      <w:bookmarkStart w:id="3785" w:name="_Toc38438731"/>
      <w:bookmarkStart w:id="3786" w:name="_Toc38439068"/>
      <w:bookmarkStart w:id="3787" w:name="_Toc38439405"/>
      <w:bookmarkStart w:id="3788" w:name="_Toc38439742"/>
      <w:bookmarkStart w:id="3789" w:name="_Toc38440079"/>
      <w:bookmarkStart w:id="3790" w:name="_Toc38440416"/>
      <w:bookmarkStart w:id="3791" w:name="_Toc38440948"/>
      <w:bookmarkStart w:id="3792" w:name="_Toc38441280"/>
      <w:bookmarkStart w:id="3793" w:name="_Toc38441612"/>
      <w:bookmarkStart w:id="3794" w:name="_Toc38441940"/>
      <w:bookmarkStart w:id="3795" w:name="_Toc38442272"/>
      <w:bookmarkStart w:id="3796" w:name="_Toc38442604"/>
      <w:bookmarkStart w:id="3797" w:name="_Toc38442935"/>
      <w:bookmarkStart w:id="3798" w:name="_Toc38443266"/>
      <w:bookmarkStart w:id="3799" w:name="_Toc38443597"/>
      <w:bookmarkStart w:id="3800" w:name="_Toc38443927"/>
      <w:bookmarkStart w:id="3801" w:name="_Toc38438395"/>
      <w:bookmarkStart w:id="3802" w:name="_Toc38438732"/>
      <w:bookmarkStart w:id="3803" w:name="_Toc38439069"/>
      <w:bookmarkStart w:id="3804" w:name="_Toc38439406"/>
      <w:bookmarkStart w:id="3805" w:name="_Toc38439743"/>
      <w:bookmarkStart w:id="3806" w:name="_Toc38440080"/>
      <w:bookmarkStart w:id="3807" w:name="_Toc38440417"/>
      <w:bookmarkStart w:id="3808" w:name="_Toc38440949"/>
      <w:bookmarkStart w:id="3809" w:name="_Toc38441281"/>
      <w:bookmarkStart w:id="3810" w:name="_Toc38441613"/>
      <w:bookmarkStart w:id="3811" w:name="_Toc38441941"/>
      <w:bookmarkStart w:id="3812" w:name="_Toc38442273"/>
      <w:bookmarkStart w:id="3813" w:name="_Toc38442605"/>
      <w:bookmarkStart w:id="3814" w:name="_Toc38442936"/>
      <w:bookmarkStart w:id="3815" w:name="_Toc38443267"/>
      <w:bookmarkStart w:id="3816" w:name="_Toc38443598"/>
      <w:bookmarkStart w:id="3817" w:name="_Toc38443928"/>
      <w:bookmarkStart w:id="3818" w:name="_Toc38438396"/>
      <w:bookmarkStart w:id="3819" w:name="_Toc38438733"/>
      <w:bookmarkStart w:id="3820" w:name="_Toc38439070"/>
      <w:bookmarkStart w:id="3821" w:name="_Toc38439407"/>
      <w:bookmarkStart w:id="3822" w:name="_Toc38439744"/>
      <w:bookmarkStart w:id="3823" w:name="_Toc38440081"/>
      <w:bookmarkStart w:id="3824" w:name="_Toc38440418"/>
      <w:bookmarkStart w:id="3825" w:name="_Toc38440950"/>
      <w:bookmarkStart w:id="3826" w:name="_Toc38441282"/>
      <w:bookmarkStart w:id="3827" w:name="_Toc38441614"/>
      <w:bookmarkStart w:id="3828" w:name="_Toc38441942"/>
      <w:bookmarkStart w:id="3829" w:name="_Toc38442274"/>
      <w:bookmarkStart w:id="3830" w:name="_Toc38442606"/>
      <w:bookmarkStart w:id="3831" w:name="_Toc38442937"/>
      <w:bookmarkStart w:id="3832" w:name="_Toc38443268"/>
      <w:bookmarkStart w:id="3833" w:name="_Toc38443599"/>
      <w:bookmarkStart w:id="3834" w:name="_Toc38443929"/>
      <w:bookmarkStart w:id="3835" w:name="_Toc38438397"/>
      <w:bookmarkStart w:id="3836" w:name="_Toc38438734"/>
      <w:bookmarkStart w:id="3837" w:name="_Toc38439071"/>
      <w:bookmarkStart w:id="3838" w:name="_Toc38439408"/>
      <w:bookmarkStart w:id="3839" w:name="_Toc38439745"/>
      <w:bookmarkStart w:id="3840" w:name="_Toc38440082"/>
      <w:bookmarkStart w:id="3841" w:name="_Toc38440419"/>
      <w:bookmarkStart w:id="3842" w:name="_Toc38440951"/>
      <w:bookmarkStart w:id="3843" w:name="_Toc38441283"/>
      <w:bookmarkStart w:id="3844" w:name="_Toc38441615"/>
      <w:bookmarkStart w:id="3845" w:name="_Toc38441943"/>
      <w:bookmarkStart w:id="3846" w:name="_Toc38442275"/>
      <w:bookmarkStart w:id="3847" w:name="_Toc38442607"/>
      <w:bookmarkStart w:id="3848" w:name="_Toc38442938"/>
      <w:bookmarkStart w:id="3849" w:name="_Toc38443269"/>
      <w:bookmarkStart w:id="3850" w:name="_Toc38443600"/>
      <w:bookmarkStart w:id="3851" w:name="_Toc38443930"/>
      <w:bookmarkStart w:id="3852" w:name="_Toc38438398"/>
      <w:bookmarkStart w:id="3853" w:name="_Toc38438735"/>
      <w:bookmarkStart w:id="3854" w:name="_Toc38439072"/>
      <w:bookmarkStart w:id="3855" w:name="_Toc38439409"/>
      <w:bookmarkStart w:id="3856" w:name="_Toc38439746"/>
      <w:bookmarkStart w:id="3857" w:name="_Toc38440083"/>
      <w:bookmarkStart w:id="3858" w:name="_Toc38440420"/>
      <w:bookmarkStart w:id="3859" w:name="_Toc38440952"/>
      <w:bookmarkStart w:id="3860" w:name="_Toc38441284"/>
      <w:bookmarkStart w:id="3861" w:name="_Toc38441616"/>
      <w:bookmarkStart w:id="3862" w:name="_Toc38441944"/>
      <w:bookmarkStart w:id="3863" w:name="_Toc38442276"/>
      <w:bookmarkStart w:id="3864" w:name="_Toc38442608"/>
      <w:bookmarkStart w:id="3865" w:name="_Toc38442939"/>
      <w:bookmarkStart w:id="3866" w:name="_Toc38443270"/>
      <w:bookmarkStart w:id="3867" w:name="_Toc38443601"/>
      <w:bookmarkStart w:id="3868" w:name="_Toc38443931"/>
      <w:bookmarkStart w:id="3869" w:name="_Toc38438400"/>
      <w:bookmarkStart w:id="3870" w:name="_Toc38438737"/>
      <w:bookmarkStart w:id="3871" w:name="_Toc38439074"/>
      <w:bookmarkStart w:id="3872" w:name="_Toc38439411"/>
      <w:bookmarkStart w:id="3873" w:name="_Toc38439748"/>
      <w:bookmarkStart w:id="3874" w:name="_Toc38440085"/>
      <w:bookmarkStart w:id="3875" w:name="_Toc38440422"/>
      <w:bookmarkStart w:id="3876" w:name="_Toc38440954"/>
      <w:bookmarkStart w:id="3877" w:name="_Toc38441286"/>
      <w:bookmarkStart w:id="3878" w:name="_Toc38441618"/>
      <w:bookmarkStart w:id="3879" w:name="_Toc38441946"/>
      <w:bookmarkStart w:id="3880" w:name="_Toc38442278"/>
      <w:bookmarkStart w:id="3881" w:name="_Toc38442610"/>
      <w:bookmarkStart w:id="3882" w:name="_Toc38442941"/>
      <w:bookmarkStart w:id="3883" w:name="_Toc38443272"/>
      <w:bookmarkStart w:id="3884" w:name="_Toc38443603"/>
      <w:bookmarkStart w:id="3885" w:name="_Toc38443933"/>
      <w:bookmarkStart w:id="3886" w:name="_Toc38438401"/>
      <w:bookmarkStart w:id="3887" w:name="_Toc38438738"/>
      <w:bookmarkStart w:id="3888" w:name="_Toc38439075"/>
      <w:bookmarkStart w:id="3889" w:name="_Toc38439412"/>
      <w:bookmarkStart w:id="3890" w:name="_Toc38439749"/>
      <w:bookmarkStart w:id="3891" w:name="_Toc38440086"/>
      <w:bookmarkStart w:id="3892" w:name="_Toc38440423"/>
      <w:bookmarkStart w:id="3893" w:name="_Toc38440955"/>
      <w:bookmarkStart w:id="3894" w:name="_Toc38441287"/>
      <w:bookmarkStart w:id="3895" w:name="_Toc38441619"/>
      <w:bookmarkStart w:id="3896" w:name="_Toc38441947"/>
      <w:bookmarkStart w:id="3897" w:name="_Toc38442279"/>
      <w:bookmarkStart w:id="3898" w:name="_Toc38442611"/>
      <w:bookmarkStart w:id="3899" w:name="_Toc38442942"/>
      <w:bookmarkStart w:id="3900" w:name="_Toc38443273"/>
      <w:bookmarkStart w:id="3901" w:name="_Toc38443604"/>
      <w:bookmarkStart w:id="3902" w:name="_Toc38443934"/>
      <w:bookmarkStart w:id="3903" w:name="_Toc38438402"/>
      <w:bookmarkStart w:id="3904" w:name="_Toc38438739"/>
      <w:bookmarkStart w:id="3905" w:name="_Toc38439076"/>
      <w:bookmarkStart w:id="3906" w:name="_Toc38439413"/>
      <w:bookmarkStart w:id="3907" w:name="_Toc38439750"/>
      <w:bookmarkStart w:id="3908" w:name="_Toc38440087"/>
      <w:bookmarkStart w:id="3909" w:name="_Toc38440424"/>
      <w:bookmarkStart w:id="3910" w:name="_Toc38440956"/>
      <w:bookmarkStart w:id="3911" w:name="_Toc38441288"/>
      <w:bookmarkStart w:id="3912" w:name="_Toc38441620"/>
      <w:bookmarkStart w:id="3913" w:name="_Toc38441948"/>
      <w:bookmarkStart w:id="3914" w:name="_Toc38442280"/>
      <w:bookmarkStart w:id="3915" w:name="_Toc38442612"/>
      <w:bookmarkStart w:id="3916" w:name="_Toc38442943"/>
      <w:bookmarkStart w:id="3917" w:name="_Toc38443274"/>
      <w:bookmarkStart w:id="3918" w:name="_Toc38443605"/>
      <w:bookmarkStart w:id="3919" w:name="_Toc38443935"/>
      <w:bookmarkStart w:id="3920" w:name="_Toc38438404"/>
      <w:bookmarkStart w:id="3921" w:name="_Toc38438741"/>
      <w:bookmarkStart w:id="3922" w:name="_Toc38439078"/>
      <w:bookmarkStart w:id="3923" w:name="_Toc38439415"/>
      <w:bookmarkStart w:id="3924" w:name="_Toc38439752"/>
      <w:bookmarkStart w:id="3925" w:name="_Toc38440089"/>
      <w:bookmarkStart w:id="3926" w:name="_Toc38440426"/>
      <w:bookmarkStart w:id="3927" w:name="_Toc38440958"/>
      <w:bookmarkStart w:id="3928" w:name="_Toc38441290"/>
      <w:bookmarkStart w:id="3929" w:name="_Toc38441622"/>
      <w:bookmarkStart w:id="3930" w:name="_Toc38441950"/>
      <w:bookmarkStart w:id="3931" w:name="_Toc38442282"/>
      <w:bookmarkStart w:id="3932" w:name="_Toc38442614"/>
      <w:bookmarkStart w:id="3933" w:name="_Toc38442945"/>
      <w:bookmarkStart w:id="3934" w:name="_Toc38443276"/>
      <w:bookmarkStart w:id="3935" w:name="_Toc38443607"/>
      <w:bookmarkStart w:id="3936" w:name="_Toc38443937"/>
      <w:bookmarkStart w:id="3937" w:name="_Toc38438405"/>
      <w:bookmarkStart w:id="3938" w:name="_Toc38438742"/>
      <w:bookmarkStart w:id="3939" w:name="_Toc38439079"/>
      <w:bookmarkStart w:id="3940" w:name="_Toc38439416"/>
      <w:bookmarkStart w:id="3941" w:name="_Toc38439753"/>
      <w:bookmarkStart w:id="3942" w:name="_Toc38440090"/>
      <w:bookmarkStart w:id="3943" w:name="_Toc38440427"/>
      <w:bookmarkStart w:id="3944" w:name="_Toc38440959"/>
      <w:bookmarkStart w:id="3945" w:name="_Toc38441291"/>
      <w:bookmarkStart w:id="3946" w:name="_Toc38441623"/>
      <w:bookmarkStart w:id="3947" w:name="_Toc38441951"/>
      <w:bookmarkStart w:id="3948" w:name="_Toc38442283"/>
      <w:bookmarkStart w:id="3949" w:name="_Toc38442615"/>
      <w:bookmarkStart w:id="3950" w:name="_Toc38442946"/>
      <w:bookmarkStart w:id="3951" w:name="_Toc38443277"/>
      <w:bookmarkStart w:id="3952" w:name="_Toc38443608"/>
      <w:bookmarkStart w:id="3953" w:name="_Toc38443938"/>
      <w:bookmarkStart w:id="3954" w:name="_Toc38438406"/>
      <w:bookmarkStart w:id="3955" w:name="_Toc38438743"/>
      <w:bookmarkStart w:id="3956" w:name="_Toc38439080"/>
      <w:bookmarkStart w:id="3957" w:name="_Toc38439417"/>
      <w:bookmarkStart w:id="3958" w:name="_Toc38439754"/>
      <w:bookmarkStart w:id="3959" w:name="_Toc38440091"/>
      <w:bookmarkStart w:id="3960" w:name="_Toc38440428"/>
      <w:bookmarkStart w:id="3961" w:name="_Toc38440960"/>
      <w:bookmarkStart w:id="3962" w:name="_Toc38441292"/>
      <w:bookmarkStart w:id="3963" w:name="_Toc38441624"/>
      <w:bookmarkStart w:id="3964" w:name="_Toc38441952"/>
      <w:bookmarkStart w:id="3965" w:name="_Toc38442284"/>
      <w:bookmarkStart w:id="3966" w:name="_Toc38442616"/>
      <w:bookmarkStart w:id="3967" w:name="_Toc38442947"/>
      <w:bookmarkStart w:id="3968" w:name="_Toc38443278"/>
      <w:bookmarkStart w:id="3969" w:name="_Toc38443609"/>
      <w:bookmarkStart w:id="3970" w:name="_Toc38443939"/>
      <w:bookmarkStart w:id="3971" w:name="_Toc38438407"/>
      <w:bookmarkStart w:id="3972" w:name="_Toc38438744"/>
      <w:bookmarkStart w:id="3973" w:name="_Toc38439081"/>
      <w:bookmarkStart w:id="3974" w:name="_Toc38439418"/>
      <w:bookmarkStart w:id="3975" w:name="_Toc38439755"/>
      <w:bookmarkStart w:id="3976" w:name="_Toc38440092"/>
      <w:bookmarkStart w:id="3977" w:name="_Toc38440429"/>
      <w:bookmarkStart w:id="3978" w:name="_Toc38440961"/>
      <w:bookmarkStart w:id="3979" w:name="_Toc38441293"/>
      <w:bookmarkStart w:id="3980" w:name="_Toc38441625"/>
      <w:bookmarkStart w:id="3981" w:name="_Toc38441953"/>
      <w:bookmarkStart w:id="3982" w:name="_Toc38442285"/>
      <w:bookmarkStart w:id="3983" w:name="_Toc38442617"/>
      <w:bookmarkStart w:id="3984" w:name="_Toc38442948"/>
      <w:bookmarkStart w:id="3985" w:name="_Toc38443279"/>
      <w:bookmarkStart w:id="3986" w:name="_Toc38443610"/>
      <w:bookmarkStart w:id="3987" w:name="_Toc38443940"/>
      <w:bookmarkStart w:id="3988" w:name="_Toc38438408"/>
      <w:bookmarkStart w:id="3989" w:name="_Toc38438745"/>
      <w:bookmarkStart w:id="3990" w:name="_Toc38439082"/>
      <w:bookmarkStart w:id="3991" w:name="_Toc38439419"/>
      <w:bookmarkStart w:id="3992" w:name="_Toc38439756"/>
      <w:bookmarkStart w:id="3993" w:name="_Toc38440093"/>
      <w:bookmarkStart w:id="3994" w:name="_Toc38440430"/>
      <w:bookmarkStart w:id="3995" w:name="_Toc38440962"/>
      <w:bookmarkStart w:id="3996" w:name="_Toc38441294"/>
      <w:bookmarkStart w:id="3997" w:name="_Toc38441626"/>
      <w:bookmarkStart w:id="3998" w:name="_Toc38441954"/>
      <w:bookmarkStart w:id="3999" w:name="_Toc38442286"/>
      <w:bookmarkStart w:id="4000" w:name="_Toc38442618"/>
      <w:bookmarkStart w:id="4001" w:name="_Toc38442949"/>
      <w:bookmarkStart w:id="4002" w:name="_Toc38443280"/>
      <w:bookmarkStart w:id="4003" w:name="_Toc38443611"/>
      <w:bookmarkStart w:id="4004" w:name="_Toc38443941"/>
      <w:bookmarkStart w:id="4005" w:name="_Toc38438409"/>
      <w:bookmarkStart w:id="4006" w:name="_Toc38438746"/>
      <w:bookmarkStart w:id="4007" w:name="_Toc38439083"/>
      <w:bookmarkStart w:id="4008" w:name="_Toc38439420"/>
      <w:bookmarkStart w:id="4009" w:name="_Toc38439757"/>
      <w:bookmarkStart w:id="4010" w:name="_Toc38440094"/>
      <w:bookmarkStart w:id="4011" w:name="_Toc38440431"/>
      <w:bookmarkStart w:id="4012" w:name="_Toc38440963"/>
      <w:bookmarkStart w:id="4013" w:name="_Toc38441295"/>
      <w:bookmarkStart w:id="4014" w:name="_Toc38441627"/>
      <w:bookmarkStart w:id="4015" w:name="_Toc38441955"/>
      <w:bookmarkStart w:id="4016" w:name="_Toc38442287"/>
      <w:bookmarkStart w:id="4017" w:name="_Toc38442619"/>
      <w:bookmarkStart w:id="4018" w:name="_Toc38442950"/>
      <w:bookmarkStart w:id="4019" w:name="_Toc38443281"/>
      <w:bookmarkStart w:id="4020" w:name="_Toc38443612"/>
      <w:bookmarkStart w:id="4021" w:name="_Toc38443942"/>
      <w:bookmarkStart w:id="4022" w:name="_Toc38438410"/>
      <w:bookmarkStart w:id="4023" w:name="_Toc38438747"/>
      <w:bookmarkStart w:id="4024" w:name="_Toc38439084"/>
      <w:bookmarkStart w:id="4025" w:name="_Toc38439421"/>
      <w:bookmarkStart w:id="4026" w:name="_Toc38439758"/>
      <w:bookmarkStart w:id="4027" w:name="_Toc38440095"/>
      <w:bookmarkStart w:id="4028" w:name="_Toc38440432"/>
      <w:bookmarkStart w:id="4029" w:name="_Toc38440964"/>
      <w:bookmarkStart w:id="4030" w:name="_Toc38441296"/>
      <w:bookmarkStart w:id="4031" w:name="_Toc38441628"/>
      <w:bookmarkStart w:id="4032" w:name="_Toc38441956"/>
      <w:bookmarkStart w:id="4033" w:name="_Toc38442288"/>
      <w:bookmarkStart w:id="4034" w:name="_Toc38442620"/>
      <w:bookmarkStart w:id="4035" w:name="_Toc38442951"/>
      <w:bookmarkStart w:id="4036" w:name="_Toc38443282"/>
      <w:bookmarkStart w:id="4037" w:name="_Toc38443613"/>
      <w:bookmarkStart w:id="4038" w:name="_Toc38443943"/>
      <w:bookmarkStart w:id="4039" w:name="_Toc38438411"/>
      <w:bookmarkStart w:id="4040" w:name="_Toc38438748"/>
      <w:bookmarkStart w:id="4041" w:name="_Toc38439085"/>
      <w:bookmarkStart w:id="4042" w:name="_Toc38439422"/>
      <w:bookmarkStart w:id="4043" w:name="_Toc38439759"/>
      <w:bookmarkStart w:id="4044" w:name="_Toc38440096"/>
      <w:bookmarkStart w:id="4045" w:name="_Toc38440433"/>
      <w:bookmarkStart w:id="4046" w:name="_Toc38440965"/>
      <w:bookmarkStart w:id="4047" w:name="_Toc38441297"/>
      <w:bookmarkStart w:id="4048" w:name="_Toc38441629"/>
      <w:bookmarkStart w:id="4049" w:name="_Toc38441957"/>
      <w:bookmarkStart w:id="4050" w:name="_Toc38442289"/>
      <w:bookmarkStart w:id="4051" w:name="_Toc38442621"/>
      <w:bookmarkStart w:id="4052" w:name="_Toc38442952"/>
      <w:bookmarkStart w:id="4053" w:name="_Toc38443283"/>
      <w:bookmarkStart w:id="4054" w:name="_Toc38443614"/>
      <w:bookmarkStart w:id="4055" w:name="_Toc38443944"/>
      <w:bookmarkStart w:id="4056" w:name="_Toc38438412"/>
      <w:bookmarkStart w:id="4057" w:name="_Toc38438749"/>
      <w:bookmarkStart w:id="4058" w:name="_Toc38439086"/>
      <w:bookmarkStart w:id="4059" w:name="_Toc38439423"/>
      <w:bookmarkStart w:id="4060" w:name="_Toc38439760"/>
      <w:bookmarkStart w:id="4061" w:name="_Toc38440097"/>
      <w:bookmarkStart w:id="4062" w:name="_Toc38440434"/>
      <w:bookmarkStart w:id="4063" w:name="_Toc38440966"/>
      <w:bookmarkStart w:id="4064" w:name="_Toc38441298"/>
      <w:bookmarkStart w:id="4065" w:name="_Toc38441630"/>
      <w:bookmarkStart w:id="4066" w:name="_Toc38441958"/>
      <w:bookmarkStart w:id="4067" w:name="_Toc38442290"/>
      <w:bookmarkStart w:id="4068" w:name="_Toc38442622"/>
      <w:bookmarkStart w:id="4069" w:name="_Toc38442953"/>
      <w:bookmarkStart w:id="4070" w:name="_Toc38443284"/>
      <w:bookmarkStart w:id="4071" w:name="_Toc38443615"/>
      <w:bookmarkStart w:id="4072" w:name="_Toc38443945"/>
      <w:bookmarkStart w:id="4073" w:name="_Toc38438413"/>
      <w:bookmarkStart w:id="4074" w:name="_Toc38438750"/>
      <w:bookmarkStart w:id="4075" w:name="_Toc38439087"/>
      <w:bookmarkStart w:id="4076" w:name="_Toc38439424"/>
      <w:bookmarkStart w:id="4077" w:name="_Toc38439761"/>
      <w:bookmarkStart w:id="4078" w:name="_Toc38440098"/>
      <w:bookmarkStart w:id="4079" w:name="_Toc38440435"/>
      <w:bookmarkStart w:id="4080" w:name="_Toc38440967"/>
      <w:bookmarkStart w:id="4081" w:name="_Toc38441299"/>
      <w:bookmarkStart w:id="4082" w:name="_Toc38441631"/>
      <w:bookmarkStart w:id="4083" w:name="_Toc38441959"/>
      <w:bookmarkStart w:id="4084" w:name="_Toc38442291"/>
      <w:bookmarkStart w:id="4085" w:name="_Toc38442623"/>
      <w:bookmarkStart w:id="4086" w:name="_Toc38442954"/>
      <w:bookmarkStart w:id="4087" w:name="_Toc38443285"/>
      <w:bookmarkStart w:id="4088" w:name="_Toc38443616"/>
      <w:bookmarkStart w:id="4089" w:name="_Toc38443946"/>
      <w:bookmarkStart w:id="4090" w:name="_Toc38438414"/>
      <w:bookmarkStart w:id="4091" w:name="_Toc38438751"/>
      <w:bookmarkStart w:id="4092" w:name="_Toc38439088"/>
      <w:bookmarkStart w:id="4093" w:name="_Toc38439425"/>
      <w:bookmarkStart w:id="4094" w:name="_Toc38439762"/>
      <w:bookmarkStart w:id="4095" w:name="_Toc38440099"/>
      <w:bookmarkStart w:id="4096" w:name="_Toc38440436"/>
      <w:bookmarkStart w:id="4097" w:name="_Toc38440968"/>
      <w:bookmarkStart w:id="4098" w:name="_Toc38441300"/>
      <w:bookmarkStart w:id="4099" w:name="_Toc38441632"/>
      <w:bookmarkStart w:id="4100" w:name="_Toc38441960"/>
      <w:bookmarkStart w:id="4101" w:name="_Toc38442292"/>
      <w:bookmarkStart w:id="4102" w:name="_Toc38442624"/>
      <w:bookmarkStart w:id="4103" w:name="_Toc38442955"/>
      <w:bookmarkStart w:id="4104" w:name="_Toc38443286"/>
      <w:bookmarkStart w:id="4105" w:name="_Toc38443617"/>
      <w:bookmarkStart w:id="4106" w:name="_Toc38443947"/>
      <w:bookmarkStart w:id="4107" w:name="_Toc38438415"/>
      <w:bookmarkStart w:id="4108" w:name="_Toc38438752"/>
      <w:bookmarkStart w:id="4109" w:name="_Toc38439089"/>
      <w:bookmarkStart w:id="4110" w:name="_Toc38439426"/>
      <w:bookmarkStart w:id="4111" w:name="_Toc38439763"/>
      <w:bookmarkStart w:id="4112" w:name="_Toc38440100"/>
      <w:bookmarkStart w:id="4113" w:name="_Toc38440437"/>
      <w:bookmarkStart w:id="4114" w:name="_Toc38440969"/>
      <w:bookmarkStart w:id="4115" w:name="_Toc38441301"/>
      <w:bookmarkStart w:id="4116" w:name="_Toc38441633"/>
      <w:bookmarkStart w:id="4117" w:name="_Toc38441961"/>
      <w:bookmarkStart w:id="4118" w:name="_Toc38442293"/>
      <w:bookmarkStart w:id="4119" w:name="_Toc38442625"/>
      <w:bookmarkStart w:id="4120" w:name="_Toc38442956"/>
      <w:bookmarkStart w:id="4121" w:name="_Toc38443287"/>
      <w:bookmarkStart w:id="4122" w:name="_Toc38443618"/>
      <w:bookmarkStart w:id="4123" w:name="_Toc38443948"/>
      <w:bookmarkStart w:id="4124" w:name="_Toc38438416"/>
      <w:bookmarkStart w:id="4125" w:name="_Toc38438753"/>
      <w:bookmarkStart w:id="4126" w:name="_Toc38439090"/>
      <w:bookmarkStart w:id="4127" w:name="_Toc38439427"/>
      <w:bookmarkStart w:id="4128" w:name="_Toc38439764"/>
      <w:bookmarkStart w:id="4129" w:name="_Toc38440101"/>
      <w:bookmarkStart w:id="4130" w:name="_Toc38440438"/>
      <w:bookmarkStart w:id="4131" w:name="_Toc38440970"/>
      <w:bookmarkStart w:id="4132" w:name="_Toc38441302"/>
      <w:bookmarkStart w:id="4133" w:name="_Toc38441634"/>
      <w:bookmarkStart w:id="4134" w:name="_Toc38441962"/>
      <w:bookmarkStart w:id="4135" w:name="_Toc38442294"/>
      <w:bookmarkStart w:id="4136" w:name="_Toc38442626"/>
      <w:bookmarkStart w:id="4137" w:name="_Toc38442957"/>
      <w:bookmarkStart w:id="4138" w:name="_Toc38443288"/>
      <w:bookmarkStart w:id="4139" w:name="_Toc38443619"/>
      <w:bookmarkStart w:id="4140" w:name="_Toc38443949"/>
      <w:bookmarkStart w:id="4141" w:name="_Toc38438417"/>
      <w:bookmarkStart w:id="4142" w:name="_Toc38438754"/>
      <w:bookmarkStart w:id="4143" w:name="_Toc38439091"/>
      <w:bookmarkStart w:id="4144" w:name="_Toc38439428"/>
      <w:bookmarkStart w:id="4145" w:name="_Toc38439765"/>
      <w:bookmarkStart w:id="4146" w:name="_Toc38440102"/>
      <w:bookmarkStart w:id="4147" w:name="_Toc38440439"/>
      <w:bookmarkStart w:id="4148" w:name="_Toc38440971"/>
      <w:bookmarkStart w:id="4149" w:name="_Toc38441303"/>
      <w:bookmarkStart w:id="4150" w:name="_Toc38441635"/>
      <w:bookmarkStart w:id="4151" w:name="_Toc38441963"/>
      <w:bookmarkStart w:id="4152" w:name="_Toc38442295"/>
      <w:bookmarkStart w:id="4153" w:name="_Toc38442627"/>
      <w:bookmarkStart w:id="4154" w:name="_Toc38442958"/>
      <w:bookmarkStart w:id="4155" w:name="_Toc38443289"/>
      <w:bookmarkStart w:id="4156" w:name="_Toc38443620"/>
      <w:bookmarkStart w:id="4157" w:name="_Toc38443950"/>
      <w:bookmarkStart w:id="4158" w:name="_Toc38438418"/>
      <w:bookmarkStart w:id="4159" w:name="_Toc38438755"/>
      <w:bookmarkStart w:id="4160" w:name="_Toc38439092"/>
      <w:bookmarkStart w:id="4161" w:name="_Toc38439429"/>
      <w:bookmarkStart w:id="4162" w:name="_Toc38439766"/>
      <w:bookmarkStart w:id="4163" w:name="_Toc38440103"/>
      <w:bookmarkStart w:id="4164" w:name="_Toc38440440"/>
      <w:bookmarkStart w:id="4165" w:name="_Toc38440972"/>
      <w:bookmarkStart w:id="4166" w:name="_Toc38441304"/>
      <w:bookmarkStart w:id="4167" w:name="_Toc38441636"/>
      <w:bookmarkStart w:id="4168" w:name="_Toc38441964"/>
      <w:bookmarkStart w:id="4169" w:name="_Toc38442296"/>
      <w:bookmarkStart w:id="4170" w:name="_Toc38442628"/>
      <w:bookmarkStart w:id="4171" w:name="_Toc38442959"/>
      <w:bookmarkStart w:id="4172" w:name="_Toc38443290"/>
      <w:bookmarkStart w:id="4173" w:name="_Toc38443621"/>
      <w:bookmarkStart w:id="4174" w:name="_Toc38443951"/>
      <w:bookmarkStart w:id="4175" w:name="_Toc38438419"/>
      <w:bookmarkStart w:id="4176" w:name="_Toc38438756"/>
      <w:bookmarkStart w:id="4177" w:name="_Toc38439093"/>
      <w:bookmarkStart w:id="4178" w:name="_Toc38439430"/>
      <w:bookmarkStart w:id="4179" w:name="_Toc38439767"/>
      <w:bookmarkStart w:id="4180" w:name="_Toc38440104"/>
      <w:bookmarkStart w:id="4181" w:name="_Toc38440441"/>
      <w:bookmarkStart w:id="4182" w:name="_Toc38440973"/>
      <w:bookmarkStart w:id="4183" w:name="_Toc38441305"/>
      <w:bookmarkStart w:id="4184" w:name="_Toc38441637"/>
      <w:bookmarkStart w:id="4185" w:name="_Toc38441965"/>
      <w:bookmarkStart w:id="4186" w:name="_Toc38442297"/>
      <w:bookmarkStart w:id="4187" w:name="_Toc38442629"/>
      <w:bookmarkStart w:id="4188" w:name="_Toc38442960"/>
      <w:bookmarkStart w:id="4189" w:name="_Toc38443291"/>
      <w:bookmarkStart w:id="4190" w:name="_Toc38443622"/>
      <w:bookmarkStart w:id="4191" w:name="_Toc38443952"/>
      <w:bookmarkStart w:id="4192" w:name="_Toc38438420"/>
      <w:bookmarkStart w:id="4193" w:name="_Toc38438757"/>
      <w:bookmarkStart w:id="4194" w:name="_Toc38439094"/>
      <w:bookmarkStart w:id="4195" w:name="_Toc38439431"/>
      <w:bookmarkStart w:id="4196" w:name="_Toc38439768"/>
      <w:bookmarkStart w:id="4197" w:name="_Toc38440105"/>
      <w:bookmarkStart w:id="4198" w:name="_Toc38440442"/>
      <w:bookmarkStart w:id="4199" w:name="_Toc38440974"/>
      <w:bookmarkStart w:id="4200" w:name="_Toc38441306"/>
      <w:bookmarkStart w:id="4201" w:name="_Toc38441638"/>
      <w:bookmarkStart w:id="4202" w:name="_Toc38441966"/>
      <w:bookmarkStart w:id="4203" w:name="_Toc38442298"/>
      <w:bookmarkStart w:id="4204" w:name="_Toc38442630"/>
      <w:bookmarkStart w:id="4205" w:name="_Toc38442961"/>
      <w:bookmarkStart w:id="4206" w:name="_Toc38443292"/>
      <w:bookmarkStart w:id="4207" w:name="_Toc38443623"/>
      <w:bookmarkStart w:id="4208" w:name="_Toc38443953"/>
      <w:bookmarkStart w:id="4209" w:name="_Toc38438421"/>
      <w:bookmarkStart w:id="4210" w:name="_Toc38438758"/>
      <w:bookmarkStart w:id="4211" w:name="_Toc38439095"/>
      <w:bookmarkStart w:id="4212" w:name="_Toc38439432"/>
      <w:bookmarkStart w:id="4213" w:name="_Toc38439769"/>
      <w:bookmarkStart w:id="4214" w:name="_Toc38440106"/>
      <w:bookmarkStart w:id="4215" w:name="_Toc38440443"/>
      <w:bookmarkStart w:id="4216" w:name="_Toc38440975"/>
      <w:bookmarkStart w:id="4217" w:name="_Toc38441307"/>
      <w:bookmarkStart w:id="4218" w:name="_Toc38441639"/>
      <w:bookmarkStart w:id="4219" w:name="_Toc38441967"/>
      <w:bookmarkStart w:id="4220" w:name="_Toc38442299"/>
      <w:bookmarkStart w:id="4221" w:name="_Toc38442631"/>
      <w:bookmarkStart w:id="4222" w:name="_Toc38442962"/>
      <w:bookmarkStart w:id="4223" w:name="_Toc38443293"/>
      <w:bookmarkStart w:id="4224" w:name="_Toc38443624"/>
      <w:bookmarkStart w:id="4225" w:name="_Toc38443954"/>
      <w:bookmarkStart w:id="4226" w:name="_Toc38438422"/>
      <w:bookmarkStart w:id="4227" w:name="_Toc38438759"/>
      <w:bookmarkStart w:id="4228" w:name="_Toc38439096"/>
      <w:bookmarkStart w:id="4229" w:name="_Toc38439433"/>
      <w:bookmarkStart w:id="4230" w:name="_Toc38439770"/>
      <w:bookmarkStart w:id="4231" w:name="_Toc38440107"/>
      <w:bookmarkStart w:id="4232" w:name="_Toc38440444"/>
      <w:bookmarkStart w:id="4233" w:name="_Toc38440976"/>
      <w:bookmarkStart w:id="4234" w:name="_Toc38441308"/>
      <w:bookmarkStart w:id="4235" w:name="_Toc38441640"/>
      <w:bookmarkStart w:id="4236" w:name="_Toc38441968"/>
      <w:bookmarkStart w:id="4237" w:name="_Toc38442300"/>
      <w:bookmarkStart w:id="4238" w:name="_Toc38442632"/>
      <w:bookmarkStart w:id="4239" w:name="_Toc38442963"/>
      <w:bookmarkStart w:id="4240" w:name="_Toc38443294"/>
      <w:bookmarkStart w:id="4241" w:name="_Toc38443625"/>
      <w:bookmarkStart w:id="4242" w:name="_Toc38443955"/>
      <w:bookmarkStart w:id="4243" w:name="_Toc38438423"/>
      <w:bookmarkStart w:id="4244" w:name="_Toc38438760"/>
      <w:bookmarkStart w:id="4245" w:name="_Toc38439097"/>
      <w:bookmarkStart w:id="4246" w:name="_Toc38439434"/>
      <w:bookmarkStart w:id="4247" w:name="_Toc38439771"/>
      <w:bookmarkStart w:id="4248" w:name="_Toc38440108"/>
      <w:bookmarkStart w:id="4249" w:name="_Toc38440445"/>
      <w:bookmarkStart w:id="4250" w:name="_Toc38440977"/>
      <w:bookmarkStart w:id="4251" w:name="_Toc38441309"/>
      <w:bookmarkStart w:id="4252" w:name="_Toc38441641"/>
      <w:bookmarkStart w:id="4253" w:name="_Toc38441969"/>
      <w:bookmarkStart w:id="4254" w:name="_Toc38442301"/>
      <w:bookmarkStart w:id="4255" w:name="_Toc38442633"/>
      <w:bookmarkStart w:id="4256" w:name="_Toc38442964"/>
      <w:bookmarkStart w:id="4257" w:name="_Toc38443295"/>
      <w:bookmarkStart w:id="4258" w:name="_Toc38443626"/>
      <w:bookmarkStart w:id="4259" w:name="_Toc38443956"/>
      <w:bookmarkStart w:id="4260" w:name="_Toc38438424"/>
      <w:bookmarkStart w:id="4261" w:name="_Toc38438761"/>
      <w:bookmarkStart w:id="4262" w:name="_Toc38439098"/>
      <w:bookmarkStart w:id="4263" w:name="_Toc38439435"/>
      <w:bookmarkStart w:id="4264" w:name="_Toc38439772"/>
      <w:bookmarkStart w:id="4265" w:name="_Toc38440109"/>
      <w:bookmarkStart w:id="4266" w:name="_Toc38440446"/>
      <w:bookmarkStart w:id="4267" w:name="_Toc38440978"/>
      <w:bookmarkStart w:id="4268" w:name="_Toc38441310"/>
      <w:bookmarkStart w:id="4269" w:name="_Toc38441642"/>
      <w:bookmarkStart w:id="4270" w:name="_Toc38441970"/>
      <w:bookmarkStart w:id="4271" w:name="_Toc38442302"/>
      <w:bookmarkStart w:id="4272" w:name="_Toc38442634"/>
      <w:bookmarkStart w:id="4273" w:name="_Toc38442965"/>
      <w:bookmarkStart w:id="4274" w:name="_Toc38443296"/>
      <w:bookmarkStart w:id="4275" w:name="_Toc38443627"/>
      <w:bookmarkStart w:id="4276" w:name="_Toc38443957"/>
      <w:bookmarkStart w:id="4277" w:name="_Toc38438425"/>
      <w:bookmarkStart w:id="4278" w:name="_Toc38438762"/>
      <w:bookmarkStart w:id="4279" w:name="_Toc38439099"/>
      <w:bookmarkStart w:id="4280" w:name="_Toc38439436"/>
      <w:bookmarkStart w:id="4281" w:name="_Toc38439773"/>
      <w:bookmarkStart w:id="4282" w:name="_Toc38440110"/>
      <w:bookmarkStart w:id="4283" w:name="_Toc38440447"/>
      <w:bookmarkStart w:id="4284" w:name="_Toc38440979"/>
      <w:bookmarkStart w:id="4285" w:name="_Toc38441311"/>
      <w:bookmarkStart w:id="4286" w:name="_Toc38441643"/>
      <w:bookmarkStart w:id="4287" w:name="_Toc38441971"/>
      <w:bookmarkStart w:id="4288" w:name="_Toc38442303"/>
      <w:bookmarkStart w:id="4289" w:name="_Toc38442635"/>
      <w:bookmarkStart w:id="4290" w:name="_Toc38442966"/>
      <w:bookmarkStart w:id="4291" w:name="_Toc38443297"/>
      <w:bookmarkStart w:id="4292" w:name="_Toc38443628"/>
      <w:bookmarkStart w:id="4293" w:name="_Toc38443958"/>
      <w:bookmarkStart w:id="4294" w:name="_Toc38438426"/>
      <w:bookmarkStart w:id="4295" w:name="_Toc38438763"/>
      <w:bookmarkStart w:id="4296" w:name="_Toc38439100"/>
      <w:bookmarkStart w:id="4297" w:name="_Toc38439437"/>
      <w:bookmarkStart w:id="4298" w:name="_Toc38439774"/>
      <w:bookmarkStart w:id="4299" w:name="_Toc38440111"/>
      <w:bookmarkStart w:id="4300" w:name="_Toc38440448"/>
      <w:bookmarkStart w:id="4301" w:name="_Toc38440980"/>
      <w:bookmarkStart w:id="4302" w:name="_Toc38441312"/>
      <w:bookmarkStart w:id="4303" w:name="_Toc38441644"/>
      <w:bookmarkStart w:id="4304" w:name="_Toc38441972"/>
      <w:bookmarkStart w:id="4305" w:name="_Toc38442304"/>
      <w:bookmarkStart w:id="4306" w:name="_Toc38442636"/>
      <w:bookmarkStart w:id="4307" w:name="_Toc38442967"/>
      <w:bookmarkStart w:id="4308" w:name="_Toc38443298"/>
      <w:bookmarkStart w:id="4309" w:name="_Toc38443629"/>
      <w:bookmarkStart w:id="4310" w:name="_Toc38443959"/>
      <w:bookmarkStart w:id="4311" w:name="_Toc38438427"/>
      <w:bookmarkStart w:id="4312" w:name="_Toc38438764"/>
      <w:bookmarkStart w:id="4313" w:name="_Toc38439101"/>
      <w:bookmarkStart w:id="4314" w:name="_Toc38439438"/>
      <w:bookmarkStart w:id="4315" w:name="_Toc38439775"/>
      <w:bookmarkStart w:id="4316" w:name="_Toc38440112"/>
      <w:bookmarkStart w:id="4317" w:name="_Toc38440449"/>
      <w:bookmarkStart w:id="4318" w:name="_Toc38440981"/>
      <w:bookmarkStart w:id="4319" w:name="_Toc38441313"/>
      <w:bookmarkStart w:id="4320" w:name="_Toc38441645"/>
      <w:bookmarkStart w:id="4321" w:name="_Toc38441973"/>
      <w:bookmarkStart w:id="4322" w:name="_Toc38442305"/>
      <w:bookmarkStart w:id="4323" w:name="_Toc38442637"/>
      <w:bookmarkStart w:id="4324" w:name="_Toc38442968"/>
      <w:bookmarkStart w:id="4325" w:name="_Toc38443299"/>
      <w:bookmarkStart w:id="4326" w:name="_Toc38443630"/>
      <w:bookmarkStart w:id="4327" w:name="_Toc38443960"/>
      <w:bookmarkStart w:id="4328" w:name="_Toc38438428"/>
      <w:bookmarkStart w:id="4329" w:name="_Toc38438765"/>
      <w:bookmarkStart w:id="4330" w:name="_Toc38439102"/>
      <w:bookmarkStart w:id="4331" w:name="_Toc38439439"/>
      <w:bookmarkStart w:id="4332" w:name="_Toc38439776"/>
      <w:bookmarkStart w:id="4333" w:name="_Toc38440113"/>
      <w:bookmarkStart w:id="4334" w:name="_Toc38440450"/>
      <w:bookmarkStart w:id="4335" w:name="_Toc38440982"/>
      <w:bookmarkStart w:id="4336" w:name="_Toc38441314"/>
      <w:bookmarkStart w:id="4337" w:name="_Toc38441646"/>
      <w:bookmarkStart w:id="4338" w:name="_Toc38441974"/>
      <w:bookmarkStart w:id="4339" w:name="_Toc38442306"/>
      <w:bookmarkStart w:id="4340" w:name="_Toc38442638"/>
      <w:bookmarkStart w:id="4341" w:name="_Toc38442969"/>
      <w:bookmarkStart w:id="4342" w:name="_Toc38443300"/>
      <w:bookmarkStart w:id="4343" w:name="_Toc38443631"/>
      <w:bookmarkStart w:id="4344" w:name="_Toc38443961"/>
      <w:bookmarkStart w:id="4345" w:name="_Toc38438429"/>
      <w:bookmarkStart w:id="4346" w:name="_Toc38438766"/>
      <w:bookmarkStart w:id="4347" w:name="_Toc38439103"/>
      <w:bookmarkStart w:id="4348" w:name="_Toc38439440"/>
      <w:bookmarkStart w:id="4349" w:name="_Toc38439777"/>
      <w:bookmarkStart w:id="4350" w:name="_Toc38440114"/>
      <w:bookmarkStart w:id="4351" w:name="_Toc38440451"/>
      <w:bookmarkStart w:id="4352" w:name="_Toc38440983"/>
      <w:bookmarkStart w:id="4353" w:name="_Toc38441315"/>
      <w:bookmarkStart w:id="4354" w:name="_Toc38441647"/>
      <w:bookmarkStart w:id="4355" w:name="_Toc38441975"/>
      <w:bookmarkStart w:id="4356" w:name="_Toc38442307"/>
      <w:bookmarkStart w:id="4357" w:name="_Toc38442639"/>
      <w:bookmarkStart w:id="4358" w:name="_Toc38442970"/>
      <w:bookmarkStart w:id="4359" w:name="_Toc38443301"/>
      <w:bookmarkStart w:id="4360" w:name="_Toc38443632"/>
      <w:bookmarkStart w:id="4361" w:name="_Toc38443962"/>
      <w:bookmarkStart w:id="4362" w:name="_Toc38438430"/>
      <w:bookmarkStart w:id="4363" w:name="_Toc38438767"/>
      <w:bookmarkStart w:id="4364" w:name="_Toc38439104"/>
      <w:bookmarkStart w:id="4365" w:name="_Toc38439441"/>
      <w:bookmarkStart w:id="4366" w:name="_Toc38439778"/>
      <w:bookmarkStart w:id="4367" w:name="_Toc38440115"/>
      <w:bookmarkStart w:id="4368" w:name="_Toc38440452"/>
      <w:bookmarkStart w:id="4369" w:name="_Toc38440984"/>
      <w:bookmarkStart w:id="4370" w:name="_Toc38441316"/>
      <w:bookmarkStart w:id="4371" w:name="_Toc38441648"/>
      <w:bookmarkStart w:id="4372" w:name="_Toc38441976"/>
      <w:bookmarkStart w:id="4373" w:name="_Toc38442308"/>
      <w:bookmarkStart w:id="4374" w:name="_Toc38442640"/>
      <w:bookmarkStart w:id="4375" w:name="_Toc38442971"/>
      <w:bookmarkStart w:id="4376" w:name="_Toc38443302"/>
      <w:bookmarkStart w:id="4377" w:name="_Toc38443633"/>
      <w:bookmarkStart w:id="4378" w:name="_Toc38443963"/>
      <w:bookmarkStart w:id="4379" w:name="_Toc38438431"/>
      <w:bookmarkStart w:id="4380" w:name="_Toc38438768"/>
      <w:bookmarkStart w:id="4381" w:name="_Toc38439105"/>
      <w:bookmarkStart w:id="4382" w:name="_Toc38439442"/>
      <w:bookmarkStart w:id="4383" w:name="_Toc38439779"/>
      <w:bookmarkStart w:id="4384" w:name="_Toc38440116"/>
      <w:bookmarkStart w:id="4385" w:name="_Toc38440453"/>
      <w:bookmarkStart w:id="4386" w:name="_Toc38440985"/>
      <w:bookmarkStart w:id="4387" w:name="_Toc38441317"/>
      <w:bookmarkStart w:id="4388" w:name="_Toc38441649"/>
      <w:bookmarkStart w:id="4389" w:name="_Toc38441977"/>
      <w:bookmarkStart w:id="4390" w:name="_Toc38442309"/>
      <w:bookmarkStart w:id="4391" w:name="_Toc38442641"/>
      <w:bookmarkStart w:id="4392" w:name="_Toc38442972"/>
      <w:bookmarkStart w:id="4393" w:name="_Toc38443303"/>
      <w:bookmarkStart w:id="4394" w:name="_Toc38443634"/>
      <w:bookmarkStart w:id="4395" w:name="_Toc38443964"/>
      <w:bookmarkStart w:id="4396" w:name="_Toc38438432"/>
      <w:bookmarkStart w:id="4397" w:name="_Toc38438769"/>
      <w:bookmarkStart w:id="4398" w:name="_Toc38439106"/>
      <w:bookmarkStart w:id="4399" w:name="_Toc38439443"/>
      <w:bookmarkStart w:id="4400" w:name="_Toc38439780"/>
      <w:bookmarkStart w:id="4401" w:name="_Toc38440117"/>
      <w:bookmarkStart w:id="4402" w:name="_Toc38440454"/>
      <w:bookmarkStart w:id="4403" w:name="_Toc38440986"/>
      <w:bookmarkStart w:id="4404" w:name="_Toc38441318"/>
      <w:bookmarkStart w:id="4405" w:name="_Toc38441650"/>
      <w:bookmarkStart w:id="4406" w:name="_Toc38441978"/>
      <w:bookmarkStart w:id="4407" w:name="_Toc38442310"/>
      <w:bookmarkStart w:id="4408" w:name="_Toc38442642"/>
      <w:bookmarkStart w:id="4409" w:name="_Toc38442973"/>
      <w:bookmarkStart w:id="4410" w:name="_Toc38443304"/>
      <w:bookmarkStart w:id="4411" w:name="_Toc38443635"/>
      <w:bookmarkStart w:id="4412" w:name="_Toc38443965"/>
      <w:bookmarkStart w:id="4413" w:name="_Toc38438433"/>
      <w:bookmarkStart w:id="4414" w:name="_Toc38438770"/>
      <w:bookmarkStart w:id="4415" w:name="_Toc38439107"/>
      <w:bookmarkStart w:id="4416" w:name="_Toc38439444"/>
      <w:bookmarkStart w:id="4417" w:name="_Toc38439781"/>
      <w:bookmarkStart w:id="4418" w:name="_Toc38440118"/>
      <w:bookmarkStart w:id="4419" w:name="_Toc38440455"/>
      <w:bookmarkStart w:id="4420" w:name="_Toc38440987"/>
      <w:bookmarkStart w:id="4421" w:name="_Toc38441319"/>
      <w:bookmarkStart w:id="4422" w:name="_Toc38441651"/>
      <w:bookmarkStart w:id="4423" w:name="_Toc38441979"/>
      <w:bookmarkStart w:id="4424" w:name="_Toc38442311"/>
      <w:bookmarkStart w:id="4425" w:name="_Toc38442643"/>
      <w:bookmarkStart w:id="4426" w:name="_Toc38442974"/>
      <w:bookmarkStart w:id="4427" w:name="_Toc38443305"/>
      <w:bookmarkStart w:id="4428" w:name="_Toc38443636"/>
      <w:bookmarkStart w:id="4429" w:name="_Toc38443966"/>
      <w:bookmarkStart w:id="4430" w:name="_Toc38438434"/>
      <w:bookmarkStart w:id="4431" w:name="_Toc38438771"/>
      <w:bookmarkStart w:id="4432" w:name="_Toc38439108"/>
      <w:bookmarkStart w:id="4433" w:name="_Toc38439445"/>
      <w:bookmarkStart w:id="4434" w:name="_Toc38439782"/>
      <w:bookmarkStart w:id="4435" w:name="_Toc38440119"/>
      <w:bookmarkStart w:id="4436" w:name="_Toc38440456"/>
      <w:bookmarkStart w:id="4437" w:name="_Toc38440988"/>
      <w:bookmarkStart w:id="4438" w:name="_Toc38441320"/>
      <w:bookmarkStart w:id="4439" w:name="_Toc38441652"/>
      <w:bookmarkStart w:id="4440" w:name="_Toc38441980"/>
      <w:bookmarkStart w:id="4441" w:name="_Toc38442312"/>
      <w:bookmarkStart w:id="4442" w:name="_Toc38442644"/>
      <w:bookmarkStart w:id="4443" w:name="_Toc38442975"/>
      <w:bookmarkStart w:id="4444" w:name="_Toc38443306"/>
      <w:bookmarkStart w:id="4445" w:name="_Toc38443637"/>
      <w:bookmarkStart w:id="4446" w:name="_Toc38443967"/>
      <w:bookmarkStart w:id="4447" w:name="_Toc38438435"/>
      <w:bookmarkStart w:id="4448" w:name="_Toc38438772"/>
      <w:bookmarkStart w:id="4449" w:name="_Toc38439109"/>
      <w:bookmarkStart w:id="4450" w:name="_Toc38439446"/>
      <w:bookmarkStart w:id="4451" w:name="_Toc38439783"/>
      <w:bookmarkStart w:id="4452" w:name="_Toc38440120"/>
      <w:bookmarkStart w:id="4453" w:name="_Toc38440457"/>
      <w:bookmarkStart w:id="4454" w:name="_Toc38440989"/>
      <w:bookmarkStart w:id="4455" w:name="_Toc38441321"/>
      <w:bookmarkStart w:id="4456" w:name="_Toc38441653"/>
      <w:bookmarkStart w:id="4457" w:name="_Toc38441981"/>
      <w:bookmarkStart w:id="4458" w:name="_Toc38442313"/>
      <w:bookmarkStart w:id="4459" w:name="_Toc38442645"/>
      <w:bookmarkStart w:id="4460" w:name="_Toc38442976"/>
      <w:bookmarkStart w:id="4461" w:name="_Toc38443307"/>
      <w:bookmarkStart w:id="4462" w:name="_Toc38443638"/>
      <w:bookmarkStart w:id="4463" w:name="_Toc38443968"/>
      <w:bookmarkStart w:id="4464" w:name="_Toc38438436"/>
      <w:bookmarkStart w:id="4465" w:name="_Toc38438773"/>
      <w:bookmarkStart w:id="4466" w:name="_Toc38439110"/>
      <w:bookmarkStart w:id="4467" w:name="_Toc38439447"/>
      <w:bookmarkStart w:id="4468" w:name="_Toc38439784"/>
      <w:bookmarkStart w:id="4469" w:name="_Toc38440121"/>
      <w:bookmarkStart w:id="4470" w:name="_Toc38440458"/>
      <w:bookmarkStart w:id="4471" w:name="_Toc38440990"/>
      <w:bookmarkStart w:id="4472" w:name="_Toc38441322"/>
      <w:bookmarkStart w:id="4473" w:name="_Toc38441654"/>
      <w:bookmarkStart w:id="4474" w:name="_Toc38441982"/>
      <w:bookmarkStart w:id="4475" w:name="_Toc38442314"/>
      <w:bookmarkStart w:id="4476" w:name="_Toc38442646"/>
      <w:bookmarkStart w:id="4477" w:name="_Toc38442977"/>
      <w:bookmarkStart w:id="4478" w:name="_Toc38443308"/>
      <w:bookmarkStart w:id="4479" w:name="_Toc38443639"/>
      <w:bookmarkStart w:id="4480" w:name="_Toc38443969"/>
      <w:bookmarkStart w:id="4481" w:name="_Toc38438437"/>
      <w:bookmarkStart w:id="4482" w:name="_Toc38438774"/>
      <w:bookmarkStart w:id="4483" w:name="_Toc38439111"/>
      <w:bookmarkStart w:id="4484" w:name="_Toc38439448"/>
      <w:bookmarkStart w:id="4485" w:name="_Toc38439785"/>
      <w:bookmarkStart w:id="4486" w:name="_Toc38440122"/>
      <w:bookmarkStart w:id="4487" w:name="_Toc38440459"/>
      <w:bookmarkStart w:id="4488" w:name="_Toc38440991"/>
      <w:bookmarkStart w:id="4489" w:name="_Toc38441323"/>
      <w:bookmarkStart w:id="4490" w:name="_Toc38441655"/>
      <w:bookmarkStart w:id="4491" w:name="_Toc38441983"/>
      <w:bookmarkStart w:id="4492" w:name="_Toc38442315"/>
      <w:bookmarkStart w:id="4493" w:name="_Toc38442647"/>
      <w:bookmarkStart w:id="4494" w:name="_Toc38442978"/>
      <w:bookmarkStart w:id="4495" w:name="_Toc38443309"/>
      <w:bookmarkStart w:id="4496" w:name="_Toc38443640"/>
      <w:bookmarkStart w:id="4497" w:name="_Toc38443970"/>
      <w:bookmarkStart w:id="4498" w:name="_Toc38438438"/>
      <w:bookmarkStart w:id="4499" w:name="_Toc38438775"/>
      <w:bookmarkStart w:id="4500" w:name="_Toc38439112"/>
      <w:bookmarkStart w:id="4501" w:name="_Toc38439449"/>
      <w:bookmarkStart w:id="4502" w:name="_Toc38439786"/>
      <w:bookmarkStart w:id="4503" w:name="_Toc38440123"/>
      <w:bookmarkStart w:id="4504" w:name="_Toc38440460"/>
      <w:bookmarkStart w:id="4505" w:name="_Toc38440992"/>
      <w:bookmarkStart w:id="4506" w:name="_Toc38441324"/>
      <w:bookmarkStart w:id="4507" w:name="_Toc38441656"/>
      <w:bookmarkStart w:id="4508" w:name="_Toc38441984"/>
      <w:bookmarkStart w:id="4509" w:name="_Toc38442316"/>
      <w:bookmarkStart w:id="4510" w:name="_Toc38442648"/>
      <w:bookmarkStart w:id="4511" w:name="_Toc38442979"/>
      <w:bookmarkStart w:id="4512" w:name="_Toc38443310"/>
      <w:bookmarkStart w:id="4513" w:name="_Toc38443641"/>
      <w:bookmarkStart w:id="4514" w:name="_Toc38443971"/>
      <w:bookmarkStart w:id="4515" w:name="_Toc38438439"/>
      <w:bookmarkStart w:id="4516" w:name="_Toc38438776"/>
      <w:bookmarkStart w:id="4517" w:name="_Toc38439113"/>
      <w:bookmarkStart w:id="4518" w:name="_Toc38439450"/>
      <w:bookmarkStart w:id="4519" w:name="_Toc38439787"/>
      <w:bookmarkStart w:id="4520" w:name="_Toc38440124"/>
      <w:bookmarkStart w:id="4521" w:name="_Toc38440461"/>
      <w:bookmarkStart w:id="4522" w:name="_Toc38440993"/>
      <w:bookmarkStart w:id="4523" w:name="_Toc38441325"/>
      <w:bookmarkStart w:id="4524" w:name="_Toc38441657"/>
      <w:bookmarkStart w:id="4525" w:name="_Toc38441985"/>
      <w:bookmarkStart w:id="4526" w:name="_Toc38442317"/>
      <w:bookmarkStart w:id="4527" w:name="_Toc38442649"/>
      <w:bookmarkStart w:id="4528" w:name="_Toc38442980"/>
      <w:bookmarkStart w:id="4529" w:name="_Toc38443311"/>
      <w:bookmarkStart w:id="4530" w:name="_Toc38443642"/>
      <w:bookmarkStart w:id="4531" w:name="_Toc38443972"/>
      <w:bookmarkStart w:id="4532" w:name="_Toc38438440"/>
      <w:bookmarkStart w:id="4533" w:name="_Toc38438777"/>
      <w:bookmarkStart w:id="4534" w:name="_Toc38439114"/>
      <w:bookmarkStart w:id="4535" w:name="_Toc38439451"/>
      <w:bookmarkStart w:id="4536" w:name="_Toc38439788"/>
      <w:bookmarkStart w:id="4537" w:name="_Toc38440125"/>
      <w:bookmarkStart w:id="4538" w:name="_Toc38440462"/>
      <w:bookmarkStart w:id="4539" w:name="_Toc38440994"/>
      <w:bookmarkStart w:id="4540" w:name="_Toc38441326"/>
      <w:bookmarkStart w:id="4541" w:name="_Toc38441658"/>
      <w:bookmarkStart w:id="4542" w:name="_Toc38441986"/>
      <w:bookmarkStart w:id="4543" w:name="_Toc38442318"/>
      <w:bookmarkStart w:id="4544" w:name="_Toc38442650"/>
      <w:bookmarkStart w:id="4545" w:name="_Toc38442981"/>
      <w:bookmarkStart w:id="4546" w:name="_Toc38443312"/>
      <w:bookmarkStart w:id="4547" w:name="_Toc38443643"/>
      <w:bookmarkStart w:id="4548" w:name="_Toc38443973"/>
      <w:bookmarkStart w:id="4549" w:name="_Toc38438441"/>
      <w:bookmarkStart w:id="4550" w:name="_Toc38438778"/>
      <w:bookmarkStart w:id="4551" w:name="_Toc38439115"/>
      <w:bookmarkStart w:id="4552" w:name="_Toc38439452"/>
      <w:bookmarkStart w:id="4553" w:name="_Toc38439789"/>
      <w:bookmarkStart w:id="4554" w:name="_Toc38440126"/>
      <w:bookmarkStart w:id="4555" w:name="_Toc38440463"/>
      <w:bookmarkStart w:id="4556" w:name="_Toc38440995"/>
      <w:bookmarkStart w:id="4557" w:name="_Toc38441327"/>
      <w:bookmarkStart w:id="4558" w:name="_Toc38441659"/>
      <w:bookmarkStart w:id="4559" w:name="_Toc38441987"/>
      <w:bookmarkStart w:id="4560" w:name="_Toc38442319"/>
      <w:bookmarkStart w:id="4561" w:name="_Toc38442651"/>
      <w:bookmarkStart w:id="4562" w:name="_Toc38442982"/>
      <w:bookmarkStart w:id="4563" w:name="_Toc38443313"/>
      <w:bookmarkStart w:id="4564" w:name="_Toc38443644"/>
      <w:bookmarkStart w:id="4565" w:name="_Toc38443974"/>
      <w:bookmarkStart w:id="4566" w:name="_Toc38438442"/>
      <w:bookmarkStart w:id="4567" w:name="_Toc38438779"/>
      <w:bookmarkStart w:id="4568" w:name="_Toc38439116"/>
      <w:bookmarkStart w:id="4569" w:name="_Toc38439453"/>
      <w:bookmarkStart w:id="4570" w:name="_Toc38439790"/>
      <w:bookmarkStart w:id="4571" w:name="_Toc38440127"/>
      <w:bookmarkStart w:id="4572" w:name="_Toc38440464"/>
      <w:bookmarkStart w:id="4573" w:name="_Toc38440996"/>
      <w:bookmarkStart w:id="4574" w:name="_Toc38441328"/>
      <w:bookmarkStart w:id="4575" w:name="_Toc38441660"/>
      <w:bookmarkStart w:id="4576" w:name="_Toc38441988"/>
      <w:bookmarkStart w:id="4577" w:name="_Toc38442320"/>
      <w:bookmarkStart w:id="4578" w:name="_Toc38442652"/>
      <w:bookmarkStart w:id="4579" w:name="_Toc38442983"/>
      <w:bookmarkStart w:id="4580" w:name="_Toc38443314"/>
      <w:bookmarkStart w:id="4581" w:name="_Toc38443645"/>
      <w:bookmarkStart w:id="4582" w:name="_Toc38443975"/>
      <w:bookmarkStart w:id="4583" w:name="_Toc38438443"/>
      <w:bookmarkStart w:id="4584" w:name="_Toc38438780"/>
      <w:bookmarkStart w:id="4585" w:name="_Toc38439117"/>
      <w:bookmarkStart w:id="4586" w:name="_Toc38439454"/>
      <w:bookmarkStart w:id="4587" w:name="_Toc38439791"/>
      <w:bookmarkStart w:id="4588" w:name="_Toc38440128"/>
      <w:bookmarkStart w:id="4589" w:name="_Toc38440465"/>
      <w:bookmarkStart w:id="4590" w:name="_Toc38440997"/>
      <w:bookmarkStart w:id="4591" w:name="_Toc38441329"/>
      <w:bookmarkStart w:id="4592" w:name="_Toc38441661"/>
      <w:bookmarkStart w:id="4593" w:name="_Toc38441989"/>
      <w:bookmarkStart w:id="4594" w:name="_Toc38442321"/>
      <w:bookmarkStart w:id="4595" w:name="_Toc38442653"/>
      <w:bookmarkStart w:id="4596" w:name="_Toc38442984"/>
      <w:bookmarkStart w:id="4597" w:name="_Toc38443315"/>
      <w:bookmarkStart w:id="4598" w:name="_Toc38443646"/>
      <w:bookmarkStart w:id="4599" w:name="_Toc38443976"/>
      <w:bookmarkStart w:id="4600" w:name="_Toc38438444"/>
      <w:bookmarkStart w:id="4601" w:name="_Toc38438781"/>
      <w:bookmarkStart w:id="4602" w:name="_Toc38439118"/>
      <w:bookmarkStart w:id="4603" w:name="_Toc38439455"/>
      <w:bookmarkStart w:id="4604" w:name="_Toc38439792"/>
      <w:bookmarkStart w:id="4605" w:name="_Toc38440129"/>
      <w:bookmarkStart w:id="4606" w:name="_Toc38440466"/>
      <w:bookmarkStart w:id="4607" w:name="_Toc38440998"/>
      <w:bookmarkStart w:id="4608" w:name="_Toc38441330"/>
      <w:bookmarkStart w:id="4609" w:name="_Toc38441662"/>
      <w:bookmarkStart w:id="4610" w:name="_Toc38441990"/>
      <w:bookmarkStart w:id="4611" w:name="_Toc38442322"/>
      <w:bookmarkStart w:id="4612" w:name="_Toc38442654"/>
      <w:bookmarkStart w:id="4613" w:name="_Toc38442985"/>
      <w:bookmarkStart w:id="4614" w:name="_Toc38443316"/>
      <w:bookmarkStart w:id="4615" w:name="_Toc38443647"/>
      <w:bookmarkStart w:id="4616" w:name="_Toc38443977"/>
      <w:bookmarkStart w:id="4617" w:name="_Toc38438445"/>
      <w:bookmarkStart w:id="4618" w:name="_Toc38438782"/>
      <w:bookmarkStart w:id="4619" w:name="_Toc38439119"/>
      <w:bookmarkStart w:id="4620" w:name="_Toc38439456"/>
      <w:bookmarkStart w:id="4621" w:name="_Toc38439793"/>
      <w:bookmarkStart w:id="4622" w:name="_Toc38440130"/>
      <w:bookmarkStart w:id="4623" w:name="_Toc38440467"/>
      <w:bookmarkStart w:id="4624" w:name="_Toc38440999"/>
      <w:bookmarkStart w:id="4625" w:name="_Toc38441331"/>
      <w:bookmarkStart w:id="4626" w:name="_Toc38441663"/>
      <w:bookmarkStart w:id="4627" w:name="_Toc38441991"/>
      <w:bookmarkStart w:id="4628" w:name="_Toc38442323"/>
      <w:bookmarkStart w:id="4629" w:name="_Toc38442655"/>
      <w:bookmarkStart w:id="4630" w:name="_Toc38442986"/>
      <w:bookmarkStart w:id="4631" w:name="_Toc38443317"/>
      <w:bookmarkStart w:id="4632" w:name="_Toc38443648"/>
      <w:bookmarkStart w:id="4633" w:name="_Toc38443978"/>
      <w:bookmarkStart w:id="4634" w:name="_Toc38438446"/>
      <w:bookmarkStart w:id="4635" w:name="_Toc38438783"/>
      <w:bookmarkStart w:id="4636" w:name="_Toc38439120"/>
      <w:bookmarkStart w:id="4637" w:name="_Toc38439457"/>
      <w:bookmarkStart w:id="4638" w:name="_Toc38439794"/>
      <w:bookmarkStart w:id="4639" w:name="_Toc38440131"/>
      <w:bookmarkStart w:id="4640" w:name="_Toc38440468"/>
      <w:bookmarkStart w:id="4641" w:name="_Toc38441000"/>
      <w:bookmarkStart w:id="4642" w:name="_Toc38441332"/>
      <w:bookmarkStart w:id="4643" w:name="_Toc38441664"/>
      <w:bookmarkStart w:id="4644" w:name="_Toc38441992"/>
      <w:bookmarkStart w:id="4645" w:name="_Toc38442324"/>
      <w:bookmarkStart w:id="4646" w:name="_Toc38442656"/>
      <w:bookmarkStart w:id="4647" w:name="_Toc38442987"/>
      <w:bookmarkStart w:id="4648" w:name="_Toc38443318"/>
      <w:bookmarkStart w:id="4649" w:name="_Toc38443649"/>
      <w:bookmarkStart w:id="4650" w:name="_Toc38443979"/>
      <w:bookmarkStart w:id="4651" w:name="_Toc38438447"/>
      <w:bookmarkStart w:id="4652" w:name="_Toc38438784"/>
      <w:bookmarkStart w:id="4653" w:name="_Toc38439121"/>
      <w:bookmarkStart w:id="4654" w:name="_Toc38439458"/>
      <w:bookmarkStart w:id="4655" w:name="_Toc38439795"/>
      <w:bookmarkStart w:id="4656" w:name="_Toc38440132"/>
      <w:bookmarkStart w:id="4657" w:name="_Toc38440469"/>
      <w:bookmarkStart w:id="4658" w:name="_Toc38441001"/>
      <w:bookmarkStart w:id="4659" w:name="_Toc38441333"/>
      <w:bookmarkStart w:id="4660" w:name="_Toc38441665"/>
      <w:bookmarkStart w:id="4661" w:name="_Toc38441993"/>
      <w:bookmarkStart w:id="4662" w:name="_Toc38442325"/>
      <w:bookmarkStart w:id="4663" w:name="_Toc38442657"/>
      <w:bookmarkStart w:id="4664" w:name="_Toc38442988"/>
      <w:bookmarkStart w:id="4665" w:name="_Toc38443319"/>
      <w:bookmarkStart w:id="4666" w:name="_Toc38443650"/>
      <w:bookmarkStart w:id="4667" w:name="_Toc38443980"/>
      <w:bookmarkStart w:id="4668" w:name="_Toc38438448"/>
      <w:bookmarkStart w:id="4669" w:name="_Toc38438785"/>
      <w:bookmarkStart w:id="4670" w:name="_Toc38439122"/>
      <w:bookmarkStart w:id="4671" w:name="_Toc38439459"/>
      <w:bookmarkStart w:id="4672" w:name="_Toc38439796"/>
      <w:bookmarkStart w:id="4673" w:name="_Toc38440133"/>
      <w:bookmarkStart w:id="4674" w:name="_Toc38440470"/>
      <w:bookmarkStart w:id="4675" w:name="_Toc38441002"/>
      <w:bookmarkStart w:id="4676" w:name="_Toc38441334"/>
      <w:bookmarkStart w:id="4677" w:name="_Toc38441666"/>
      <w:bookmarkStart w:id="4678" w:name="_Toc38441994"/>
      <w:bookmarkStart w:id="4679" w:name="_Toc38442326"/>
      <w:bookmarkStart w:id="4680" w:name="_Toc38442658"/>
      <w:bookmarkStart w:id="4681" w:name="_Toc38442989"/>
      <w:bookmarkStart w:id="4682" w:name="_Toc38443320"/>
      <w:bookmarkStart w:id="4683" w:name="_Toc38443651"/>
      <w:bookmarkStart w:id="4684" w:name="_Toc38443981"/>
      <w:bookmarkStart w:id="4685" w:name="_Toc38438449"/>
      <w:bookmarkStart w:id="4686" w:name="_Toc38438786"/>
      <w:bookmarkStart w:id="4687" w:name="_Toc38439123"/>
      <w:bookmarkStart w:id="4688" w:name="_Toc38439460"/>
      <w:bookmarkStart w:id="4689" w:name="_Toc38439797"/>
      <w:bookmarkStart w:id="4690" w:name="_Toc38440134"/>
      <w:bookmarkStart w:id="4691" w:name="_Toc38440471"/>
      <w:bookmarkStart w:id="4692" w:name="_Toc38441003"/>
      <w:bookmarkStart w:id="4693" w:name="_Toc38441335"/>
      <w:bookmarkStart w:id="4694" w:name="_Toc38441667"/>
      <w:bookmarkStart w:id="4695" w:name="_Toc38441995"/>
      <w:bookmarkStart w:id="4696" w:name="_Toc38442327"/>
      <w:bookmarkStart w:id="4697" w:name="_Toc38442659"/>
      <w:bookmarkStart w:id="4698" w:name="_Toc38442990"/>
      <w:bookmarkStart w:id="4699" w:name="_Toc38443321"/>
      <w:bookmarkStart w:id="4700" w:name="_Toc38443652"/>
      <w:bookmarkStart w:id="4701" w:name="_Toc38443982"/>
      <w:bookmarkStart w:id="4702" w:name="_Toc38438450"/>
      <w:bookmarkStart w:id="4703" w:name="_Toc38438787"/>
      <w:bookmarkStart w:id="4704" w:name="_Toc38439124"/>
      <w:bookmarkStart w:id="4705" w:name="_Toc38439461"/>
      <w:bookmarkStart w:id="4706" w:name="_Toc38439798"/>
      <w:bookmarkStart w:id="4707" w:name="_Toc38440135"/>
      <w:bookmarkStart w:id="4708" w:name="_Toc38440472"/>
      <w:bookmarkStart w:id="4709" w:name="_Toc38441004"/>
      <w:bookmarkStart w:id="4710" w:name="_Toc38441336"/>
      <w:bookmarkStart w:id="4711" w:name="_Toc38441668"/>
      <w:bookmarkStart w:id="4712" w:name="_Toc38441996"/>
      <w:bookmarkStart w:id="4713" w:name="_Toc38442328"/>
      <w:bookmarkStart w:id="4714" w:name="_Toc38442660"/>
      <w:bookmarkStart w:id="4715" w:name="_Toc38442991"/>
      <w:bookmarkStart w:id="4716" w:name="_Toc38443322"/>
      <w:bookmarkStart w:id="4717" w:name="_Toc38443653"/>
      <w:bookmarkStart w:id="4718" w:name="_Toc38443983"/>
      <w:bookmarkStart w:id="4719" w:name="_Toc38438451"/>
      <w:bookmarkStart w:id="4720" w:name="_Toc38438788"/>
      <w:bookmarkStart w:id="4721" w:name="_Toc38439125"/>
      <w:bookmarkStart w:id="4722" w:name="_Toc38439462"/>
      <w:bookmarkStart w:id="4723" w:name="_Toc38439799"/>
      <w:bookmarkStart w:id="4724" w:name="_Toc38440136"/>
      <w:bookmarkStart w:id="4725" w:name="_Toc38440473"/>
      <w:bookmarkStart w:id="4726" w:name="_Toc38441005"/>
      <w:bookmarkStart w:id="4727" w:name="_Toc38441337"/>
      <w:bookmarkStart w:id="4728" w:name="_Toc38441669"/>
      <w:bookmarkStart w:id="4729" w:name="_Toc38441997"/>
      <w:bookmarkStart w:id="4730" w:name="_Toc38442329"/>
      <w:bookmarkStart w:id="4731" w:name="_Toc38442661"/>
      <w:bookmarkStart w:id="4732" w:name="_Toc38442992"/>
      <w:bookmarkStart w:id="4733" w:name="_Toc38443323"/>
      <w:bookmarkStart w:id="4734" w:name="_Toc38443654"/>
      <w:bookmarkStart w:id="4735" w:name="_Toc38443984"/>
      <w:bookmarkStart w:id="4736" w:name="_Toc38438452"/>
      <w:bookmarkStart w:id="4737" w:name="_Toc38438789"/>
      <w:bookmarkStart w:id="4738" w:name="_Toc38439126"/>
      <w:bookmarkStart w:id="4739" w:name="_Toc38439463"/>
      <w:bookmarkStart w:id="4740" w:name="_Toc38439800"/>
      <w:bookmarkStart w:id="4741" w:name="_Toc38440137"/>
      <w:bookmarkStart w:id="4742" w:name="_Toc38440474"/>
      <w:bookmarkStart w:id="4743" w:name="_Toc38441006"/>
      <w:bookmarkStart w:id="4744" w:name="_Toc38441338"/>
      <w:bookmarkStart w:id="4745" w:name="_Toc38441670"/>
      <w:bookmarkStart w:id="4746" w:name="_Toc38441998"/>
      <w:bookmarkStart w:id="4747" w:name="_Toc38442330"/>
      <w:bookmarkStart w:id="4748" w:name="_Toc38442662"/>
      <w:bookmarkStart w:id="4749" w:name="_Toc38442993"/>
      <w:bookmarkStart w:id="4750" w:name="_Toc38443324"/>
      <w:bookmarkStart w:id="4751" w:name="_Toc38443655"/>
      <w:bookmarkStart w:id="4752" w:name="_Toc38443985"/>
      <w:bookmarkStart w:id="4753" w:name="_Toc38438453"/>
      <w:bookmarkStart w:id="4754" w:name="_Toc38438790"/>
      <w:bookmarkStart w:id="4755" w:name="_Toc38439127"/>
      <w:bookmarkStart w:id="4756" w:name="_Toc38439464"/>
      <w:bookmarkStart w:id="4757" w:name="_Toc38439801"/>
      <w:bookmarkStart w:id="4758" w:name="_Toc38440138"/>
      <w:bookmarkStart w:id="4759" w:name="_Toc38440475"/>
      <w:bookmarkStart w:id="4760" w:name="_Toc38441007"/>
      <w:bookmarkStart w:id="4761" w:name="_Toc38441339"/>
      <w:bookmarkStart w:id="4762" w:name="_Toc38441671"/>
      <w:bookmarkStart w:id="4763" w:name="_Toc38441999"/>
      <w:bookmarkStart w:id="4764" w:name="_Toc38442331"/>
      <w:bookmarkStart w:id="4765" w:name="_Toc38442663"/>
      <w:bookmarkStart w:id="4766" w:name="_Toc38442994"/>
      <w:bookmarkStart w:id="4767" w:name="_Toc38443325"/>
      <w:bookmarkStart w:id="4768" w:name="_Toc38443656"/>
      <w:bookmarkStart w:id="4769" w:name="_Toc38443986"/>
      <w:bookmarkStart w:id="4770" w:name="_Toc38438454"/>
      <w:bookmarkStart w:id="4771" w:name="_Toc38438791"/>
      <w:bookmarkStart w:id="4772" w:name="_Toc38439128"/>
      <w:bookmarkStart w:id="4773" w:name="_Toc38439465"/>
      <w:bookmarkStart w:id="4774" w:name="_Toc38439802"/>
      <w:bookmarkStart w:id="4775" w:name="_Toc38440139"/>
      <w:bookmarkStart w:id="4776" w:name="_Toc38440476"/>
      <w:bookmarkStart w:id="4777" w:name="_Toc38441008"/>
      <w:bookmarkStart w:id="4778" w:name="_Toc38441340"/>
      <w:bookmarkStart w:id="4779" w:name="_Toc38441672"/>
      <w:bookmarkStart w:id="4780" w:name="_Toc38442000"/>
      <w:bookmarkStart w:id="4781" w:name="_Toc38442332"/>
      <w:bookmarkStart w:id="4782" w:name="_Toc38442664"/>
      <w:bookmarkStart w:id="4783" w:name="_Toc38442995"/>
      <w:bookmarkStart w:id="4784" w:name="_Toc38443326"/>
      <w:bookmarkStart w:id="4785" w:name="_Toc38443657"/>
      <w:bookmarkStart w:id="4786" w:name="_Toc38443987"/>
      <w:bookmarkStart w:id="4787" w:name="_Toc38438455"/>
      <w:bookmarkStart w:id="4788" w:name="_Toc38438792"/>
      <w:bookmarkStart w:id="4789" w:name="_Toc38439129"/>
      <w:bookmarkStart w:id="4790" w:name="_Toc38439466"/>
      <w:bookmarkStart w:id="4791" w:name="_Toc38439803"/>
      <w:bookmarkStart w:id="4792" w:name="_Toc38440140"/>
      <w:bookmarkStart w:id="4793" w:name="_Toc38440477"/>
      <w:bookmarkStart w:id="4794" w:name="_Toc38441009"/>
      <w:bookmarkStart w:id="4795" w:name="_Toc38441341"/>
      <w:bookmarkStart w:id="4796" w:name="_Toc38441673"/>
      <w:bookmarkStart w:id="4797" w:name="_Toc38442001"/>
      <w:bookmarkStart w:id="4798" w:name="_Toc38442333"/>
      <w:bookmarkStart w:id="4799" w:name="_Toc38442665"/>
      <w:bookmarkStart w:id="4800" w:name="_Toc38442996"/>
      <w:bookmarkStart w:id="4801" w:name="_Toc38443327"/>
      <w:bookmarkStart w:id="4802" w:name="_Toc38443658"/>
      <w:bookmarkStart w:id="4803" w:name="_Toc38443988"/>
      <w:bookmarkStart w:id="4804" w:name="_Toc38438456"/>
      <w:bookmarkStart w:id="4805" w:name="_Toc38438793"/>
      <w:bookmarkStart w:id="4806" w:name="_Toc38439130"/>
      <w:bookmarkStart w:id="4807" w:name="_Toc38439467"/>
      <w:bookmarkStart w:id="4808" w:name="_Toc38439804"/>
      <w:bookmarkStart w:id="4809" w:name="_Toc38440141"/>
      <w:bookmarkStart w:id="4810" w:name="_Toc38440478"/>
      <w:bookmarkStart w:id="4811" w:name="_Toc38441010"/>
      <w:bookmarkStart w:id="4812" w:name="_Toc38441342"/>
      <w:bookmarkStart w:id="4813" w:name="_Toc38441674"/>
      <w:bookmarkStart w:id="4814" w:name="_Toc38442002"/>
      <w:bookmarkStart w:id="4815" w:name="_Toc38442334"/>
      <w:bookmarkStart w:id="4816" w:name="_Toc38442666"/>
      <w:bookmarkStart w:id="4817" w:name="_Toc38442997"/>
      <w:bookmarkStart w:id="4818" w:name="_Toc38443328"/>
      <w:bookmarkStart w:id="4819" w:name="_Toc38443659"/>
      <w:bookmarkStart w:id="4820" w:name="_Toc38443989"/>
      <w:bookmarkStart w:id="4821" w:name="_Toc38438457"/>
      <w:bookmarkStart w:id="4822" w:name="_Toc38438794"/>
      <w:bookmarkStart w:id="4823" w:name="_Toc38439131"/>
      <w:bookmarkStart w:id="4824" w:name="_Toc38439468"/>
      <w:bookmarkStart w:id="4825" w:name="_Toc38439805"/>
      <w:bookmarkStart w:id="4826" w:name="_Toc38440142"/>
      <w:bookmarkStart w:id="4827" w:name="_Toc38440479"/>
      <w:bookmarkStart w:id="4828" w:name="_Toc38441011"/>
      <w:bookmarkStart w:id="4829" w:name="_Toc38441343"/>
      <w:bookmarkStart w:id="4830" w:name="_Toc38441675"/>
      <w:bookmarkStart w:id="4831" w:name="_Toc38442003"/>
      <w:bookmarkStart w:id="4832" w:name="_Toc38442335"/>
      <w:bookmarkStart w:id="4833" w:name="_Toc38442667"/>
      <w:bookmarkStart w:id="4834" w:name="_Toc38442998"/>
      <w:bookmarkStart w:id="4835" w:name="_Toc38443329"/>
      <w:bookmarkStart w:id="4836" w:name="_Toc38443660"/>
      <w:bookmarkStart w:id="4837" w:name="_Toc38443990"/>
      <w:bookmarkStart w:id="4838" w:name="_Toc38438458"/>
      <w:bookmarkStart w:id="4839" w:name="_Toc38438795"/>
      <w:bookmarkStart w:id="4840" w:name="_Toc38439132"/>
      <w:bookmarkStart w:id="4841" w:name="_Toc38439469"/>
      <w:bookmarkStart w:id="4842" w:name="_Toc38439806"/>
      <w:bookmarkStart w:id="4843" w:name="_Toc38440143"/>
      <w:bookmarkStart w:id="4844" w:name="_Toc38440480"/>
      <w:bookmarkStart w:id="4845" w:name="_Toc38441012"/>
      <w:bookmarkStart w:id="4846" w:name="_Toc38441344"/>
      <w:bookmarkStart w:id="4847" w:name="_Toc38441676"/>
      <w:bookmarkStart w:id="4848" w:name="_Toc38442004"/>
      <w:bookmarkStart w:id="4849" w:name="_Toc38442336"/>
      <w:bookmarkStart w:id="4850" w:name="_Toc38442668"/>
      <w:bookmarkStart w:id="4851" w:name="_Toc38442999"/>
      <w:bookmarkStart w:id="4852" w:name="_Toc38443330"/>
      <w:bookmarkStart w:id="4853" w:name="_Toc38443661"/>
      <w:bookmarkStart w:id="4854" w:name="_Toc38443991"/>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4855" w:name="_Toc91752134"/>
      <w:r w:rsidRPr="00621B7F">
        <w:rPr>
          <w:rFonts w:asciiTheme="minorEastAsia" w:eastAsiaTheme="minorEastAsia" w:hAnsiTheme="minorEastAsia" w:hint="eastAsia"/>
          <w:bCs/>
          <w:color w:val="000000" w:themeColor="text1"/>
        </w:rPr>
        <w:t>二十</w:t>
      </w:r>
      <w:r w:rsidRPr="00621B7F" w:rsidR="00154249">
        <w:rPr>
          <w:rFonts w:asciiTheme="minorEastAsia" w:eastAsiaTheme="minorEastAsia" w:hAnsiTheme="minorEastAsia" w:hint="eastAsia"/>
          <w:bCs/>
          <w:color w:val="000000" w:themeColor="text1"/>
        </w:rPr>
        <w:t>五</w:t>
      </w:r>
      <w:r w:rsidRPr="00621B7F">
        <w:rPr>
          <w:rFonts w:asciiTheme="minorEastAsia" w:eastAsiaTheme="minorEastAsia" w:hAnsiTheme="minorEastAsia" w:hint="eastAsia"/>
          <w:bCs/>
          <w:color w:val="000000" w:themeColor="text1"/>
        </w:rPr>
        <w:t>、招募说明书存放及查阅方式</w:t>
      </w:r>
      <w:bookmarkEnd w:id="4855"/>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本《招募说明书》存放在基金管理人、基金托管人及基金</w:t>
      </w:r>
      <w:r w:rsidRPr="00621B7F" w:rsidR="0078727C">
        <w:rPr>
          <w:rFonts w:asciiTheme="minorEastAsia" w:eastAsiaTheme="minorEastAsia" w:hAnsiTheme="minorEastAsia" w:hint="eastAsia"/>
          <w:color w:val="000000" w:themeColor="text1"/>
          <w:szCs w:val="21"/>
        </w:rPr>
        <w:t>销售</w:t>
      </w:r>
      <w:r w:rsidRPr="00621B7F">
        <w:rPr>
          <w:rFonts w:asciiTheme="minorEastAsia" w:eastAsiaTheme="minorEastAsia" w:hAnsiTheme="minorEastAsia" w:hint="eastAsia"/>
          <w:color w:val="000000" w:themeColor="text1"/>
          <w:szCs w:val="21"/>
        </w:rPr>
        <w:t>机构</w:t>
      </w:r>
      <w:r w:rsidRPr="00621B7F" w:rsidR="006B7524">
        <w:rPr>
          <w:rFonts w:asciiTheme="minorEastAsia" w:eastAsiaTheme="minorEastAsia" w:hAnsiTheme="minorEastAsia" w:hint="eastAsia"/>
          <w:color w:val="000000" w:themeColor="text1"/>
          <w:szCs w:val="21"/>
        </w:rPr>
        <w:t>处</w:t>
      </w:r>
      <w:r w:rsidRPr="00621B7F">
        <w:rPr>
          <w:rFonts w:asciiTheme="minorEastAsia" w:eastAsiaTheme="minorEastAsia" w:hAnsiTheme="minorEastAsia" w:hint="eastAsia"/>
          <w:color w:val="000000" w:themeColor="text1"/>
          <w:szCs w:val="21"/>
        </w:rPr>
        <w:t>，投资者可在营业时间免费查阅，也可按工本费购买复印件。</w:t>
      </w:r>
      <w:r w:rsidRPr="00621B7F">
        <w:rPr>
          <w:rFonts w:asciiTheme="minorEastAsia" w:eastAsiaTheme="minorEastAsia" w:hAnsiTheme="minorEastAsia"/>
          <w:color w:val="000000" w:themeColor="text1"/>
          <w:szCs w:val="21"/>
        </w:rPr>
        <w:t>基金管理人和基金托管人保证</w:t>
      </w:r>
      <w:r w:rsidRPr="00621B7F">
        <w:rPr>
          <w:rFonts w:asciiTheme="minorEastAsia" w:eastAsiaTheme="minorEastAsia" w:hAnsiTheme="minorEastAsia" w:hint="eastAsia"/>
          <w:color w:val="000000" w:themeColor="text1"/>
          <w:szCs w:val="21"/>
        </w:rPr>
        <w:t>其所提供的</w:t>
      </w:r>
      <w:r w:rsidRPr="00621B7F">
        <w:rPr>
          <w:rFonts w:asciiTheme="minorEastAsia" w:eastAsiaTheme="minorEastAsia" w:hAnsiTheme="minorEastAsia"/>
          <w:color w:val="000000" w:themeColor="text1"/>
          <w:szCs w:val="21"/>
        </w:rPr>
        <w:t>文本的内容与所公告的内容完全一致。</w:t>
      </w:r>
    </w:p>
    <w:p w:rsidR="00BF0D58" w:rsidRPr="00621B7F" w:rsidP="00A32B85">
      <w:pPr>
        <w:pStyle w:val="Heading1"/>
        <w:snapToGrid w:val="0"/>
        <w:spacing w:beforeLines="0" w:afterLines="0" w:line="360" w:lineRule="auto"/>
        <w:ind w:firstLine="0" w:firstLineChars="0"/>
        <w:rPr>
          <w:rFonts w:asciiTheme="minorEastAsia" w:eastAsiaTheme="minorEastAsia" w:hAnsiTheme="minorEastAsia"/>
          <w:b/>
          <w:color w:val="000000" w:themeColor="text1"/>
        </w:rPr>
        <w:sectPr w:rsidSect="006B7524">
          <w:pgSz w:w="11907" w:h="16840" w:code="9"/>
          <w:pgMar w:top="1440" w:right="1800" w:bottom="1440" w:left="1800" w:header="1134" w:footer="1247" w:gutter="0"/>
          <w:cols w:space="425"/>
          <w:docGrid w:type="lines" w:linePitch="312"/>
        </w:sectPr>
      </w:pPr>
    </w:p>
    <w:p w:rsidR="00266A27" w:rsidRPr="00621B7F" w:rsidP="00A32B85">
      <w:pPr>
        <w:pStyle w:val="Heading1"/>
        <w:snapToGrid w:val="0"/>
        <w:spacing w:beforeLines="0" w:afterLines="0" w:line="360" w:lineRule="auto"/>
        <w:ind w:firstLine="0" w:firstLineChars="0"/>
        <w:rPr>
          <w:rFonts w:asciiTheme="minorEastAsia" w:eastAsiaTheme="minorEastAsia" w:hAnsiTheme="minorEastAsia"/>
          <w:color w:val="000000" w:themeColor="text1"/>
          <w:szCs w:val="21"/>
        </w:rPr>
      </w:pPr>
      <w:bookmarkStart w:id="4856" w:name="_Toc91752135"/>
      <w:r w:rsidRPr="00621B7F">
        <w:rPr>
          <w:rFonts w:asciiTheme="minorEastAsia" w:eastAsiaTheme="minorEastAsia" w:hAnsiTheme="minorEastAsia" w:hint="eastAsia"/>
          <w:color w:val="000000" w:themeColor="text1"/>
        </w:rPr>
        <w:t>二十</w:t>
      </w:r>
      <w:r w:rsidRPr="00621B7F" w:rsidR="00154249">
        <w:rPr>
          <w:rFonts w:asciiTheme="minorEastAsia" w:eastAsiaTheme="minorEastAsia" w:hAnsiTheme="minorEastAsia" w:hint="eastAsia"/>
          <w:color w:val="000000" w:themeColor="text1"/>
        </w:rPr>
        <w:t>六</w:t>
      </w:r>
      <w:r w:rsidRPr="00621B7F">
        <w:rPr>
          <w:rFonts w:asciiTheme="minorEastAsia" w:eastAsiaTheme="minorEastAsia" w:hAnsiTheme="minorEastAsia" w:hint="eastAsia"/>
          <w:color w:val="000000" w:themeColor="text1"/>
        </w:rPr>
        <w:t>、备查文件</w:t>
      </w:r>
      <w:bookmarkEnd w:id="4856"/>
    </w:p>
    <w:p w:rsidR="00266A27" w:rsidRPr="00621B7F" w:rsidP="00241F10">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1</w:t>
      </w:r>
      <w:r w:rsidRPr="00621B7F" w:rsidR="00F03D14">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rPr>
        <w:t>中国证监会核准</w:t>
      </w:r>
      <w:r w:rsidRPr="00621B7F" w:rsidR="00DA4AC8">
        <w:rPr>
          <w:rFonts w:asciiTheme="minorEastAsia" w:eastAsiaTheme="minorEastAsia" w:hAnsiTheme="minorEastAsia" w:cs="宋体" w:hint="eastAsia"/>
          <w:color w:val="000000" w:themeColor="text1"/>
        </w:rPr>
        <w:t>易方达上证中盘交易型开放式指数证券投资基金联接基金</w:t>
      </w:r>
      <w:r w:rsidRPr="00621B7F">
        <w:rPr>
          <w:rFonts w:asciiTheme="minorEastAsia" w:eastAsiaTheme="minorEastAsia" w:hAnsiTheme="minorEastAsia" w:hint="eastAsia"/>
          <w:color w:val="000000" w:themeColor="text1"/>
        </w:rPr>
        <w:t>募集的文件；</w:t>
      </w:r>
    </w:p>
    <w:p w:rsidR="00266A27" w:rsidRPr="00621B7F" w:rsidP="00241F10">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2</w:t>
      </w:r>
      <w:r w:rsidRPr="00621B7F" w:rsidR="00F03D14">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rPr>
        <w:t>《</w:t>
      </w:r>
      <w:r w:rsidRPr="00621B7F" w:rsidR="00DA4AC8">
        <w:rPr>
          <w:rFonts w:asciiTheme="minorEastAsia" w:eastAsiaTheme="minorEastAsia" w:hAnsiTheme="minorEastAsia" w:cs="宋体" w:hint="eastAsia"/>
          <w:color w:val="000000" w:themeColor="text1"/>
        </w:rPr>
        <w:t>易方达上证中盘交易型开放式指数证券投资基金联接基金</w:t>
      </w:r>
      <w:r w:rsidRPr="00621B7F">
        <w:rPr>
          <w:rFonts w:asciiTheme="minorEastAsia" w:eastAsiaTheme="minorEastAsia" w:hAnsiTheme="minorEastAsia" w:hint="eastAsia"/>
          <w:color w:val="000000" w:themeColor="text1"/>
        </w:rPr>
        <w:t>基金合同》；</w:t>
      </w:r>
    </w:p>
    <w:p w:rsidR="00266A27" w:rsidRPr="00621B7F" w:rsidP="00241F10">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3</w:t>
      </w:r>
      <w:r w:rsidRPr="00621B7F" w:rsidR="00F03D14">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rPr>
        <w:t>《易方达基金管理有限公司开放式基金业务规则》；</w:t>
      </w:r>
    </w:p>
    <w:p w:rsidR="00266A27"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4</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w:t>
      </w:r>
      <w:r w:rsidRPr="00621B7F" w:rsidR="00DA4AC8">
        <w:rPr>
          <w:rFonts w:asciiTheme="minorEastAsia" w:eastAsiaTheme="minorEastAsia" w:hAnsiTheme="minorEastAsia" w:cs="宋体" w:hint="eastAsia"/>
          <w:color w:val="000000" w:themeColor="text1"/>
          <w:szCs w:val="21"/>
        </w:rPr>
        <w:t>易方达上证中盘交易型开放式指数证券投资基金联接基金</w:t>
      </w:r>
      <w:r w:rsidRPr="00621B7F">
        <w:rPr>
          <w:rFonts w:asciiTheme="minorEastAsia" w:eastAsiaTheme="minorEastAsia" w:hAnsiTheme="minorEastAsia" w:hint="eastAsia"/>
          <w:color w:val="000000" w:themeColor="text1"/>
          <w:szCs w:val="21"/>
        </w:rPr>
        <w:t>托管协议》；</w:t>
      </w:r>
    </w:p>
    <w:p w:rsidR="00266A27"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5</w:t>
      </w:r>
      <w:r w:rsidRPr="00621B7F" w:rsidR="00F03D14">
        <w:rPr>
          <w:rFonts w:asciiTheme="minorEastAsia" w:eastAsiaTheme="minorEastAsia" w:hAnsiTheme="minorEastAsia" w:hint="eastAsia"/>
          <w:color w:val="000000" w:themeColor="text1"/>
        </w:rPr>
        <w:t>、</w:t>
      </w:r>
      <w:r w:rsidRPr="00621B7F">
        <w:rPr>
          <w:rFonts w:asciiTheme="minorEastAsia" w:eastAsiaTheme="minorEastAsia" w:hAnsiTheme="minorEastAsia" w:hint="eastAsia"/>
          <w:color w:val="000000" w:themeColor="text1"/>
        </w:rPr>
        <w:t>法律意见书；</w:t>
      </w:r>
    </w:p>
    <w:p w:rsidR="00266A27"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6</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基金管理人业务资格批件和营业执照；</w:t>
      </w:r>
    </w:p>
    <w:p w:rsidR="00266A27" w:rsidRPr="00621B7F" w:rsidP="00241F10">
      <w:pPr>
        <w:snapToGrid w:val="0"/>
        <w:spacing w:line="360" w:lineRule="auto"/>
        <w:ind w:firstLine="42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szCs w:val="21"/>
        </w:rPr>
        <w:t>7</w:t>
      </w:r>
      <w:r w:rsidRPr="00621B7F" w:rsidR="00F03D14">
        <w:rPr>
          <w:rFonts w:asciiTheme="minorEastAsia" w:eastAsiaTheme="minorEastAsia" w:hAnsiTheme="minorEastAsia" w:hint="eastAsia"/>
          <w:color w:val="000000" w:themeColor="text1"/>
          <w:szCs w:val="21"/>
        </w:rPr>
        <w:t>、</w:t>
      </w:r>
      <w:r w:rsidRPr="00621B7F">
        <w:rPr>
          <w:rFonts w:asciiTheme="minorEastAsia" w:eastAsiaTheme="minorEastAsia" w:hAnsiTheme="minorEastAsia" w:hint="eastAsia"/>
          <w:color w:val="000000" w:themeColor="text1"/>
          <w:szCs w:val="21"/>
        </w:rPr>
        <w:t>基金托管人业务资格批件和营业执照。</w:t>
      </w:r>
    </w:p>
    <w:p w:rsidR="00266A27" w:rsidRPr="00621B7F" w:rsidP="00241F10">
      <w:pPr>
        <w:snapToGrid w:val="0"/>
        <w:spacing w:line="360" w:lineRule="auto"/>
        <w:ind w:firstLine="420" w:firstLineChars="200"/>
        <w:rPr>
          <w:rFonts w:asciiTheme="minorEastAsia" w:eastAsiaTheme="minorEastAsia" w:hAnsiTheme="minorEastAsia"/>
          <w:color w:val="000000" w:themeColor="text1"/>
        </w:rPr>
      </w:pPr>
      <w:r w:rsidRPr="00621B7F">
        <w:rPr>
          <w:rFonts w:asciiTheme="minorEastAsia" w:eastAsiaTheme="minorEastAsia" w:hAnsiTheme="minorEastAsia" w:hint="eastAsia"/>
          <w:color w:val="000000" w:themeColor="text1"/>
        </w:rPr>
        <w:t>存放地点：基金管理人、基金托管人处</w:t>
      </w:r>
    </w:p>
    <w:p w:rsidR="00266A27" w:rsidRPr="00621B7F" w:rsidP="00241F10">
      <w:pPr>
        <w:snapToGrid w:val="0"/>
        <w:spacing w:line="360" w:lineRule="auto"/>
        <w:ind w:firstLine="420" w:firstLineChars="200"/>
        <w:rPr>
          <w:rFonts w:asciiTheme="minorEastAsia" w:eastAsiaTheme="minorEastAsia" w:hAnsiTheme="minorEastAsia"/>
          <w:color w:val="000000" w:themeColor="text1"/>
          <w:szCs w:val="21"/>
        </w:rPr>
      </w:pPr>
      <w:r w:rsidRPr="00621B7F">
        <w:rPr>
          <w:rFonts w:asciiTheme="minorEastAsia" w:eastAsiaTheme="minorEastAsia" w:hAnsiTheme="minorEastAsia" w:hint="eastAsia"/>
          <w:color w:val="000000" w:themeColor="text1"/>
        </w:rPr>
        <w:t>查阅方式：投资者可在营业时间免费查阅，也可按工本费购买复印件。</w:t>
      </w:r>
    </w:p>
    <w:p w:rsidR="00266A27" w:rsidRPr="00621B7F" w:rsidP="00241F10">
      <w:pPr>
        <w:snapToGrid w:val="0"/>
        <w:spacing w:line="360" w:lineRule="auto"/>
        <w:ind w:left="480"/>
        <w:rPr>
          <w:rFonts w:asciiTheme="minorEastAsia" w:eastAsiaTheme="minorEastAsia" w:hAnsiTheme="minorEastAsia"/>
          <w:color w:val="000000" w:themeColor="text1"/>
          <w:szCs w:val="21"/>
        </w:rPr>
      </w:pPr>
    </w:p>
    <w:p w:rsidR="00266A27" w:rsidRPr="00621B7F" w:rsidP="00241F10">
      <w:pPr>
        <w:tabs>
          <w:tab w:val="left" w:pos="7035"/>
          <w:tab w:val="right" w:pos="8279"/>
        </w:tabs>
        <w:snapToGrid w:val="0"/>
        <w:spacing w:line="360" w:lineRule="auto"/>
        <w:jc w:val="left"/>
        <w:rPr>
          <w:rFonts w:asciiTheme="minorEastAsia" w:eastAsiaTheme="minorEastAsia" w:hAnsiTheme="minorEastAsia"/>
          <w:color w:val="000000" w:themeColor="text1"/>
          <w:sz w:val="28"/>
          <w:szCs w:val="28"/>
        </w:rPr>
      </w:pPr>
    </w:p>
    <w:p w:rsidR="0054669D" w:rsidRPr="00621B7F" w:rsidP="00241F10">
      <w:pPr>
        <w:snapToGrid w:val="0"/>
        <w:spacing w:line="360" w:lineRule="auto"/>
        <w:ind w:left="360" w:firstLine="480"/>
        <w:jc w:val="right"/>
        <w:rPr>
          <w:rFonts w:asciiTheme="minorEastAsia" w:eastAsiaTheme="minorEastAsia" w:hAnsiTheme="minorEastAsia"/>
          <w:color w:val="000000" w:themeColor="text1"/>
        </w:rPr>
      </w:pPr>
      <w:bookmarkStart w:id="4857" w:name="_PictureBullets"/>
      <w:bookmarkEnd w:id="4857"/>
      <w:r w:rsidRPr="00621B7F">
        <w:rPr>
          <w:rFonts w:asciiTheme="minorEastAsia" w:eastAsiaTheme="minorEastAsia" w:hAnsiTheme="minorEastAsia" w:hint="eastAsia"/>
          <w:color w:val="000000" w:themeColor="text1"/>
        </w:rPr>
        <w:t>易方达基金管理有限公司</w:t>
      </w:r>
    </w:p>
    <w:p w:rsidR="00403A08" w:rsidRPr="00621B7F" w:rsidP="00E341A1">
      <w:pPr>
        <w:snapToGrid w:val="0"/>
        <w:spacing w:line="360" w:lineRule="auto"/>
        <w:ind w:left="360" w:right="315" w:firstLine="480"/>
        <w:jc w:val="right"/>
        <w:rPr>
          <w:rFonts w:asciiTheme="minorEastAsia" w:eastAsiaTheme="minorEastAsia" w:hAnsiTheme="minorEastAsia"/>
          <w:color w:val="000000" w:themeColor="text1"/>
        </w:rPr>
      </w:pPr>
      <w:r>
        <w:t>2021</w:t>
      </w:r>
      <w:r>
        <w:t>年</w:t>
      </w:r>
      <w:r>
        <w:t>12</w:t>
      </w:r>
      <w:r>
        <w:t>月</w:t>
      </w:r>
      <w:r>
        <w:t>31</w:t>
      </w:r>
      <w:r>
        <w:t>日</w:t>
      </w:r>
    </w:p>
    <w:sectPr w:rsidSect="006B7524">
      <w:pgSz w:w="11907" w:h="16840" w:code="9"/>
      <w:pgMar w:top="1440" w:right="1800" w:bottom="1440" w:left="1800" w:header="1134" w:footer="124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295" w:rsidP="00FB0BAF">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fldChar w:fldCharType="separate"/>
    </w:r>
    <w:r>
      <w:fldChar w:fldCharType="end"/>
    </w:r>
  </w:p>
  <w:p w:rsidR="00A36295" w:rsidP="00B03ED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295" w:rsidP="00955625">
    <w:pPr>
      <w:pStyle w:val="Footer"/>
      <w:ind w:firstLine="4050" w:firstLineChars="22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295" w:rsidP="003235CF">
    <w:pPr>
      <w:pStyle w:val="Footer"/>
      <w:ind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295" w:rsidP="004D637B">
    <w:pPr>
      <w:pStyle w:val="Footer"/>
      <w:ind w:firstLine="360"/>
      <w:jc w:val="center"/>
    </w:pPr>
    <w:r>
      <w:fldChar w:fldCharType="begin"/>
    </w:r>
    <w:r>
      <w:instrText xml:space="preserve"> PAGE   \* MERGEFORMAT </w:instrText>
    </w:r>
    <w:r>
      <w:fldChar w:fldCharType="separate"/>
    </w:r>
    <w:r w:rsidRPr="00B26BF2" w:rsidR="00B26BF2">
      <w:rPr>
        <w:noProof/>
        <w:lang w:val="zh-CN"/>
      </w:rPr>
      <w:t>V</w:t>
    </w:r>
    <w:r>
      <w:rPr>
        <w:noProof/>
        <w:lang w:val="zh-CN"/>
      </w:rPr>
      <w:fldChar w:fldCharType="end"/>
    </w:r>
  </w:p>
  <w:p w:rsidR="00A36295" w:rsidP="00955625">
    <w:pPr>
      <w:pStyle w:val="Footer"/>
      <w:ind w:firstLine="4050" w:firstLineChars="225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295" w:rsidP="003235CF">
    <w:pPr>
      <w:pStyle w:val="Footer"/>
      <w:ind w:firstLine="360"/>
      <w:jc w:val="center"/>
    </w:pPr>
    <w:r>
      <w:fldChar w:fldCharType="begin"/>
    </w:r>
    <w:r>
      <w:instrText xml:space="preserve"> PAGE   \* MERGEFORMAT </w:instrText>
    </w:r>
    <w:r>
      <w:fldChar w:fldCharType="separate"/>
    </w:r>
    <w:r w:rsidRPr="00B26BF2" w:rsidR="00B26BF2">
      <w:rPr>
        <w:noProof/>
        <w:lang w:val="zh-CN"/>
      </w:rPr>
      <w:t>I</w:t>
    </w:r>
    <w:r>
      <w:rPr>
        <w:noProof/>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295" w:rsidP="00955625">
    <w:pPr>
      <w:pStyle w:val="Footer"/>
      <w:ind w:firstLine="4050" w:firstLineChars="2250"/>
    </w:pPr>
    <w:r>
      <w:fldChar w:fldCharType="begin"/>
    </w:r>
    <w:r>
      <w:instrText xml:space="preserve"> PAGE   \* MERGEFORMAT </w:instrText>
    </w:r>
    <w:r>
      <w:fldChar w:fldCharType="separate"/>
    </w:r>
    <w:r w:rsidRPr="00B26BF2" w:rsidR="00B26BF2">
      <w:rPr>
        <w:noProof/>
        <w:lang w:val="zh-CN"/>
      </w:rPr>
      <w:t>97</w:t>
    </w:r>
    <w:r>
      <w:rPr>
        <w:noProof/>
        <w:lang w:val="zh-CN"/>
      </w:rPr>
      <w:fldChar w:fldCharType="end"/>
    </w:r>
    <w:r>
      <w:rPr>
        <w:rFonts w:hint="eastAsia"/>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295" w:rsidP="00B03ED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295" w:rsidP="00BB21AF">
    <w:pPr>
      <w:pStyle w:val="Header"/>
      <w:pBdr>
        <w:bottom w:val="none" w:sz="0" w:space="0" w:color="auto"/>
      </w:pBdr>
      <w:tabs>
        <w:tab w:val="right" w:pos="8280"/>
      </w:tabs>
      <w:wordWrap w:val="0"/>
      <w:adjustRightInd w:val="0"/>
      <w:ind w:firstLine="0" w:firstLineChars="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295" w:rsidRPr="00EE2C74" w:rsidP="0075172F">
    <w:pPr>
      <w:pStyle w:val="Header"/>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FD43BA"/>
    <w:multiLevelType w:val="hybridMultilevel"/>
    <w:tmpl w:val="BDDA03B4"/>
    <w:lvl w:ilvl="0">
      <w:start w:val="1"/>
      <w:numFmt w:val="decimal"/>
      <w:lvlText w:val="%1、"/>
      <w:lvlJc w:val="left"/>
      <w:pPr>
        <w:tabs>
          <w:tab w:val="num" w:pos="420"/>
        </w:tabs>
        <w:ind w:left="420" w:hanging="420"/>
      </w:pPr>
      <w:rPr>
        <w:rFonts w:hint="default"/>
      </w:rPr>
    </w:lvl>
    <w:lvl w:ilvl="1">
      <w:start w:val="2"/>
      <w:numFmt w:val="decimal"/>
      <w:lvlText w:val="%2、"/>
      <w:lvlJc w:val="left"/>
      <w:pPr>
        <w:tabs>
          <w:tab w:val="num" w:pos="780"/>
        </w:tabs>
        <w:ind w:left="780" w:hanging="360"/>
      </w:pPr>
      <w:rPr>
        <w:rFonts w:hint="eastAsia"/>
        <w:sz w:val="21"/>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2">
    <w:nsid w:val="37E46BB2"/>
    <w:multiLevelType w:val="hybridMultilevel"/>
    <w:tmpl w:val="41FA8D38"/>
    <w:lvl w:ilvl="0">
      <w:start w:val="1"/>
      <w:numFmt w:val="decimal"/>
      <w:lvlText w:val="%1、"/>
      <w:lvlJc w:val="left"/>
      <w:pPr>
        <w:tabs>
          <w:tab w:val="num" w:pos="785"/>
        </w:tabs>
        <w:ind w:left="113" w:firstLine="284"/>
      </w:pPr>
      <w:rPr>
        <w:rFonts w:hint="default"/>
      </w:rPr>
    </w:lvl>
    <w:lvl w:ilvl="1">
      <w:start w:val="1"/>
      <w:numFmt w:val="lowerLetter"/>
      <w:lvlText w:val="%2)"/>
      <w:lvlJc w:val="left"/>
      <w:pPr>
        <w:tabs>
          <w:tab w:val="num" w:pos="272"/>
        </w:tabs>
        <w:ind w:left="272" w:hanging="420"/>
      </w:pPr>
    </w:lvl>
    <w:lvl w:ilvl="2" w:tentative="1">
      <w:start w:val="1"/>
      <w:numFmt w:val="lowerRoman"/>
      <w:lvlText w:val="%3."/>
      <w:lvlJc w:val="right"/>
      <w:pPr>
        <w:tabs>
          <w:tab w:val="num" w:pos="692"/>
        </w:tabs>
        <w:ind w:left="692" w:hanging="420"/>
      </w:pPr>
    </w:lvl>
    <w:lvl w:ilvl="3" w:tentative="1">
      <w:start w:val="1"/>
      <w:numFmt w:val="decimal"/>
      <w:lvlText w:val="%4."/>
      <w:lvlJc w:val="left"/>
      <w:pPr>
        <w:tabs>
          <w:tab w:val="num" w:pos="1112"/>
        </w:tabs>
        <w:ind w:left="1112" w:hanging="420"/>
      </w:pPr>
    </w:lvl>
    <w:lvl w:ilvl="4" w:tentative="1">
      <w:start w:val="1"/>
      <w:numFmt w:val="lowerLetter"/>
      <w:lvlText w:val="%5)"/>
      <w:lvlJc w:val="left"/>
      <w:pPr>
        <w:tabs>
          <w:tab w:val="num" w:pos="1532"/>
        </w:tabs>
        <w:ind w:left="1532" w:hanging="420"/>
      </w:pPr>
    </w:lvl>
    <w:lvl w:ilvl="5" w:tentative="1">
      <w:start w:val="1"/>
      <w:numFmt w:val="lowerRoman"/>
      <w:lvlText w:val="%6."/>
      <w:lvlJc w:val="right"/>
      <w:pPr>
        <w:tabs>
          <w:tab w:val="num" w:pos="1952"/>
        </w:tabs>
        <w:ind w:left="1952" w:hanging="420"/>
      </w:pPr>
    </w:lvl>
    <w:lvl w:ilvl="6" w:tentative="1">
      <w:start w:val="1"/>
      <w:numFmt w:val="decimal"/>
      <w:lvlText w:val="%7."/>
      <w:lvlJc w:val="left"/>
      <w:pPr>
        <w:tabs>
          <w:tab w:val="num" w:pos="2372"/>
        </w:tabs>
        <w:ind w:left="2372" w:hanging="420"/>
      </w:pPr>
    </w:lvl>
    <w:lvl w:ilvl="7" w:tentative="1">
      <w:start w:val="1"/>
      <w:numFmt w:val="lowerLetter"/>
      <w:lvlText w:val="%8)"/>
      <w:lvlJc w:val="left"/>
      <w:pPr>
        <w:tabs>
          <w:tab w:val="num" w:pos="2792"/>
        </w:tabs>
        <w:ind w:left="2792" w:hanging="420"/>
      </w:pPr>
    </w:lvl>
    <w:lvl w:ilvl="8" w:tentative="1">
      <w:start w:val="1"/>
      <w:numFmt w:val="lowerRoman"/>
      <w:lvlText w:val="%9."/>
      <w:lvlJc w:val="right"/>
      <w:pPr>
        <w:tabs>
          <w:tab w:val="num" w:pos="3212"/>
        </w:tabs>
        <w:ind w:left="3212" w:hanging="420"/>
      </w:pPr>
    </w:lvl>
  </w:abstractNum>
  <w:abstractNum w:abstractNumId="3">
    <w:nsid w:val="4FE24DAD"/>
    <w:multiLevelType w:val="hybridMultilevel"/>
    <w:tmpl w:val="7F541ED8"/>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5562621F"/>
    <w:multiLevelType w:val="hybridMultilevel"/>
    <w:tmpl w:val="1A3A79AA"/>
    <w:lvl w:ilvl="0">
      <w:start w:val="1"/>
      <w:numFmt w:val="decimal"/>
      <w:lvlText w:val="%1."/>
      <w:lvlJc w:val="left"/>
      <w:pPr>
        <w:tabs>
          <w:tab w:val="num" w:pos="780"/>
        </w:tabs>
        <w:ind w:left="420" w:firstLine="0"/>
      </w:pPr>
      <w:rPr>
        <w:rFonts w:hint="eastAsia"/>
      </w:rPr>
    </w:lvl>
    <w:lvl w:ilvl="1">
      <w:start w:val="1"/>
      <w:numFmt w:val="decimal"/>
      <w:lvlText w:val="（%2）"/>
      <w:lvlJc w:val="left"/>
      <w:pPr>
        <w:tabs>
          <w:tab w:val="num" w:pos="1134"/>
        </w:tabs>
        <w:ind w:left="1134" w:hanging="714"/>
      </w:pPr>
      <w:rPr>
        <w:rFonts w:hint="eastAsia"/>
      </w:rPr>
    </w:lvl>
    <w:lvl w:ilvl="2">
      <w:start w:val="1"/>
      <w:numFmt w:val="decimal"/>
      <w:lvlText w:val="%3"/>
      <w:lvlJc w:val="left"/>
      <w:pPr>
        <w:tabs>
          <w:tab w:val="num" w:pos="780"/>
        </w:tabs>
        <w:ind w:left="420" w:firstLine="0"/>
      </w:pPr>
      <w:rPr>
        <w:rFonts w:hint="eastAsia"/>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
    <w:nsid w:val="66732404"/>
    <w:multiLevelType w:val="multilevel"/>
    <w:tmpl w:val="CDC0E6D0"/>
    <w:lvl w:ilvl="0">
      <w:start w:val="1"/>
      <w:numFmt w:val="japaneseCounting"/>
      <w:lvlText w:val="（%1）"/>
      <w:lvlJc w:val="left"/>
      <w:pPr>
        <w:tabs>
          <w:tab w:val="num" w:pos="1470"/>
        </w:tabs>
        <w:ind w:left="1470" w:hanging="840"/>
      </w:pPr>
      <w:rPr>
        <w:rFonts w:hint="eastAsia"/>
      </w:rPr>
    </w:lvl>
    <w:lvl w:ilvl="1">
      <w:start w:val="1"/>
      <w:numFmt w:val="decimal"/>
      <w:lvlText w:val="（%2）"/>
      <w:lvlJc w:val="left"/>
      <w:pPr>
        <w:tabs>
          <w:tab w:val="num" w:pos="1770"/>
        </w:tabs>
        <w:ind w:left="1770" w:hanging="720"/>
      </w:pPr>
      <w:rPr>
        <w:rFonts w:hint="eastAsia"/>
      </w:rPr>
    </w:lvl>
    <w:lvl w:ilvl="2">
      <w:start w:val="4"/>
      <w:numFmt w:val="japaneseCounting"/>
      <w:pStyle w:val="Heading3"/>
      <w:lvlText w:val="%3、"/>
      <w:lvlJc w:val="left"/>
      <w:pPr>
        <w:tabs>
          <w:tab w:val="num" w:pos="2190"/>
        </w:tabs>
        <w:ind w:left="2190" w:hanging="720"/>
      </w:pPr>
      <w:rPr>
        <w:rFonts w:eastAsia="宋体" w:hint="eastAsia"/>
        <w:b/>
        <w:color w:val="auto"/>
      </w:r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6">
    <w:nsid w:val="781937A9"/>
    <w:multiLevelType w:val="hybridMultilevel"/>
    <w:tmpl w:val="8878E932"/>
    <w:lvl w:ilvl="0">
      <w:start w:val="1"/>
      <w:numFmt w:val="decimal"/>
      <w:lvlText w:val="%1、"/>
      <w:lvlJc w:val="left"/>
      <w:pPr>
        <w:tabs>
          <w:tab w:val="num" w:pos="420"/>
        </w:tabs>
        <w:ind w:left="420" w:hanging="420"/>
      </w:pPr>
      <w:rPr>
        <w:rFonts w:hint="default"/>
      </w:rPr>
    </w:lvl>
    <w:lvl w:ilvl="1">
      <w:start w:val="6"/>
      <w:numFmt w:val="decimal"/>
      <w:lvlText w:val="%2、"/>
      <w:lvlJc w:val="left"/>
      <w:pPr>
        <w:tabs>
          <w:tab w:val="num" w:pos="780"/>
        </w:tabs>
        <w:ind w:left="780" w:hanging="360"/>
      </w:pPr>
      <w:rPr>
        <w:rFonts w:ascii="Times New Roman" w:hAnsi="Times New Roman" w:hint="eastAsia"/>
      </w:rPr>
    </w:lvl>
    <w:lvl w:ilvl="2">
      <w:start w:val="4"/>
      <w:numFmt w:val="japaneseCounting"/>
      <w:lvlText w:val="（%3）"/>
      <w:lvlJc w:val="left"/>
      <w:pPr>
        <w:tabs>
          <w:tab w:val="num" w:pos="1560"/>
        </w:tabs>
        <w:ind w:left="1560" w:hanging="720"/>
      </w:pPr>
      <w:rPr>
        <w:rFonts w:hint="eastAsia"/>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0"/>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0104A9"/>
    <w:rsid w:val="000032AF"/>
    <w:rsid w:val="00003A50"/>
    <w:rsid w:val="00003BBE"/>
    <w:rsid w:val="00003D2A"/>
    <w:rsid w:val="00003E54"/>
    <w:rsid w:val="00005231"/>
    <w:rsid w:val="00005A46"/>
    <w:rsid w:val="00006B1D"/>
    <w:rsid w:val="000077EF"/>
    <w:rsid w:val="000078E6"/>
    <w:rsid w:val="00007C41"/>
    <w:rsid w:val="00007E82"/>
    <w:rsid w:val="00010025"/>
    <w:rsid w:val="000104A9"/>
    <w:rsid w:val="0001154C"/>
    <w:rsid w:val="00012F88"/>
    <w:rsid w:val="000131AA"/>
    <w:rsid w:val="0001590E"/>
    <w:rsid w:val="00015A6A"/>
    <w:rsid w:val="00016FD4"/>
    <w:rsid w:val="00020156"/>
    <w:rsid w:val="00021698"/>
    <w:rsid w:val="0002354D"/>
    <w:rsid w:val="000239D9"/>
    <w:rsid w:val="00024582"/>
    <w:rsid w:val="0002482A"/>
    <w:rsid w:val="00025219"/>
    <w:rsid w:val="00026CEA"/>
    <w:rsid w:val="00027A22"/>
    <w:rsid w:val="00027EF9"/>
    <w:rsid w:val="00030042"/>
    <w:rsid w:val="00030443"/>
    <w:rsid w:val="00034634"/>
    <w:rsid w:val="0003472A"/>
    <w:rsid w:val="00034F6E"/>
    <w:rsid w:val="00035C0E"/>
    <w:rsid w:val="00036A9A"/>
    <w:rsid w:val="00036E3B"/>
    <w:rsid w:val="00037D83"/>
    <w:rsid w:val="00040927"/>
    <w:rsid w:val="00040DAE"/>
    <w:rsid w:val="00041929"/>
    <w:rsid w:val="00042726"/>
    <w:rsid w:val="00042FB2"/>
    <w:rsid w:val="000444A2"/>
    <w:rsid w:val="00044FC2"/>
    <w:rsid w:val="000469F5"/>
    <w:rsid w:val="000473CA"/>
    <w:rsid w:val="00047B41"/>
    <w:rsid w:val="00050386"/>
    <w:rsid w:val="00051CF9"/>
    <w:rsid w:val="000522C2"/>
    <w:rsid w:val="000529F5"/>
    <w:rsid w:val="0005308D"/>
    <w:rsid w:val="0005338B"/>
    <w:rsid w:val="00054674"/>
    <w:rsid w:val="00054C2D"/>
    <w:rsid w:val="0005657C"/>
    <w:rsid w:val="00060389"/>
    <w:rsid w:val="000621DB"/>
    <w:rsid w:val="0006266F"/>
    <w:rsid w:val="00063CA4"/>
    <w:rsid w:val="0006468C"/>
    <w:rsid w:val="00065402"/>
    <w:rsid w:val="00065AD8"/>
    <w:rsid w:val="00066B77"/>
    <w:rsid w:val="000676A7"/>
    <w:rsid w:val="00070707"/>
    <w:rsid w:val="00070CD6"/>
    <w:rsid w:val="000717DA"/>
    <w:rsid w:val="00072174"/>
    <w:rsid w:val="00075470"/>
    <w:rsid w:val="00075E19"/>
    <w:rsid w:val="00076098"/>
    <w:rsid w:val="00076AAF"/>
    <w:rsid w:val="000805A5"/>
    <w:rsid w:val="000805DE"/>
    <w:rsid w:val="0008201E"/>
    <w:rsid w:val="00083AE6"/>
    <w:rsid w:val="00084A6E"/>
    <w:rsid w:val="0008530E"/>
    <w:rsid w:val="00085BDB"/>
    <w:rsid w:val="000877EC"/>
    <w:rsid w:val="00090A49"/>
    <w:rsid w:val="00091071"/>
    <w:rsid w:val="00091191"/>
    <w:rsid w:val="000911C1"/>
    <w:rsid w:val="000925D0"/>
    <w:rsid w:val="00092CDA"/>
    <w:rsid w:val="00093150"/>
    <w:rsid w:val="00095456"/>
    <w:rsid w:val="0009564E"/>
    <w:rsid w:val="00095877"/>
    <w:rsid w:val="00095979"/>
    <w:rsid w:val="0009615A"/>
    <w:rsid w:val="000A0F78"/>
    <w:rsid w:val="000A329E"/>
    <w:rsid w:val="000A4378"/>
    <w:rsid w:val="000A4775"/>
    <w:rsid w:val="000A4F2F"/>
    <w:rsid w:val="000A5AEC"/>
    <w:rsid w:val="000A5FDF"/>
    <w:rsid w:val="000A62CD"/>
    <w:rsid w:val="000A6993"/>
    <w:rsid w:val="000A73AF"/>
    <w:rsid w:val="000A7FA1"/>
    <w:rsid w:val="000B0906"/>
    <w:rsid w:val="000B0995"/>
    <w:rsid w:val="000B10DF"/>
    <w:rsid w:val="000B2854"/>
    <w:rsid w:val="000B2AE9"/>
    <w:rsid w:val="000B41F6"/>
    <w:rsid w:val="000B4230"/>
    <w:rsid w:val="000B5C32"/>
    <w:rsid w:val="000B7085"/>
    <w:rsid w:val="000B752C"/>
    <w:rsid w:val="000C0229"/>
    <w:rsid w:val="000C05F4"/>
    <w:rsid w:val="000C08F5"/>
    <w:rsid w:val="000C0B86"/>
    <w:rsid w:val="000C1800"/>
    <w:rsid w:val="000C1DF7"/>
    <w:rsid w:val="000C23E5"/>
    <w:rsid w:val="000C3041"/>
    <w:rsid w:val="000C36A7"/>
    <w:rsid w:val="000C38E7"/>
    <w:rsid w:val="000C40BC"/>
    <w:rsid w:val="000C5026"/>
    <w:rsid w:val="000D0004"/>
    <w:rsid w:val="000D202D"/>
    <w:rsid w:val="000D2174"/>
    <w:rsid w:val="000D49F4"/>
    <w:rsid w:val="000D6266"/>
    <w:rsid w:val="000D6791"/>
    <w:rsid w:val="000D7359"/>
    <w:rsid w:val="000E13FF"/>
    <w:rsid w:val="000E16BA"/>
    <w:rsid w:val="000E215D"/>
    <w:rsid w:val="000E3DC7"/>
    <w:rsid w:val="000E3EBB"/>
    <w:rsid w:val="000E5DC4"/>
    <w:rsid w:val="000E6216"/>
    <w:rsid w:val="000E704F"/>
    <w:rsid w:val="000E7861"/>
    <w:rsid w:val="000F019E"/>
    <w:rsid w:val="000F020C"/>
    <w:rsid w:val="000F0C33"/>
    <w:rsid w:val="000F0E92"/>
    <w:rsid w:val="000F1950"/>
    <w:rsid w:val="000F2D5D"/>
    <w:rsid w:val="000F3203"/>
    <w:rsid w:val="000F4071"/>
    <w:rsid w:val="000F432C"/>
    <w:rsid w:val="000F5CAA"/>
    <w:rsid w:val="000F714A"/>
    <w:rsid w:val="000F7A80"/>
    <w:rsid w:val="001013F5"/>
    <w:rsid w:val="00101C22"/>
    <w:rsid w:val="00102336"/>
    <w:rsid w:val="00102C77"/>
    <w:rsid w:val="0010384F"/>
    <w:rsid w:val="00104663"/>
    <w:rsid w:val="00104713"/>
    <w:rsid w:val="001056E8"/>
    <w:rsid w:val="00105D74"/>
    <w:rsid w:val="00106CFC"/>
    <w:rsid w:val="0011043B"/>
    <w:rsid w:val="00110936"/>
    <w:rsid w:val="00110A2B"/>
    <w:rsid w:val="00110EFD"/>
    <w:rsid w:val="0011112E"/>
    <w:rsid w:val="00111309"/>
    <w:rsid w:val="0011137B"/>
    <w:rsid w:val="00111751"/>
    <w:rsid w:val="001118BB"/>
    <w:rsid w:val="00116480"/>
    <w:rsid w:val="00117088"/>
    <w:rsid w:val="00121550"/>
    <w:rsid w:val="00123D1F"/>
    <w:rsid w:val="00124017"/>
    <w:rsid w:val="00125366"/>
    <w:rsid w:val="00125513"/>
    <w:rsid w:val="001268F5"/>
    <w:rsid w:val="00126CFA"/>
    <w:rsid w:val="00126F3E"/>
    <w:rsid w:val="00131362"/>
    <w:rsid w:val="00132825"/>
    <w:rsid w:val="00132E50"/>
    <w:rsid w:val="00133137"/>
    <w:rsid w:val="00134AEA"/>
    <w:rsid w:val="00135FC3"/>
    <w:rsid w:val="001374B1"/>
    <w:rsid w:val="00140360"/>
    <w:rsid w:val="00140D90"/>
    <w:rsid w:val="00140EC6"/>
    <w:rsid w:val="00141E08"/>
    <w:rsid w:val="00141EEB"/>
    <w:rsid w:val="00142315"/>
    <w:rsid w:val="00142AE5"/>
    <w:rsid w:val="001437EE"/>
    <w:rsid w:val="0014382F"/>
    <w:rsid w:val="00144110"/>
    <w:rsid w:val="00144147"/>
    <w:rsid w:val="0014584F"/>
    <w:rsid w:val="00146C28"/>
    <w:rsid w:val="00147470"/>
    <w:rsid w:val="00147E67"/>
    <w:rsid w:val="00150865"/>
    <w:rsid w:val="001516AC"/>
    <w:rsid w:val="0015204A"/>
    <w:rsid w:val="00152CFC"/>
    <w:rsid w:val="00154249"/>
    <w:rsid w:val="001552C6"/>
    <w:rsid w:val="001603F6"/>
    <w:rsid w:val="0016087F"/>
    <w:rsid w:val="001626AA"/>
    <w:rsid w:val="001627B8"/>
    <w:rsid w:val="00162A7E"/>
    <w:rsid w:val="00164675"/>
    <w:rsid w:val="001648EE"/>
    <w:rsid w:val="00165999"/>
    <w:rsid w:val="001663E6"/>
    <w:rsid w:val="0016656D"/>
    <w:rsid w:val="00166739"/>
    <w:rsid w:val="00167798"/>
    <w:rsid w:val="001678AB"/>
    <w:rsid w:val="00167B98"/>
    <w:rsid w:val="00167C8F"/>
    <w:rsid w:val="001704F7"/>
    <w:rsid w:val="001707CC"/>
    <w:rsid w:val="001719E5"/>
    <w:rsid w:val="001720E9"/>
    <w:rsid w:val="00172569"/>
    <w:rsid w:val="00172B4B"/>
    <w:rsid w:val="00173150"/>
    <w:rsid w:val="00174095"/>
    <w:rsid w:val="00176484"/>
    <w:rsid w:val="00176E4D"/>
    <w:rsid w:val="00177037"/>
    <w:rsid w:val="001779C3"/>
    <w:rsid w:val="00177BF7"/>
    <w:rsid w:val="00180A27"/>
    <w:rsid w:val="0018142B"/>
    <w:rsid w:val="001814D4"/>
    <w:rsid w:val="0018300F"/>
    <w:rsid w:val="001830D4"/>
    <w:rsid w:val="00183BF9"/>
    <w:rsid w:val="00183F88"/>
    <w:rsid w:val="00183FA2"/>
    <w:rsid w:val="0018437A"/>
    <w:rsid w:val="00185A83"/>
    <w:rsid w:val="00192CE8"/>
    <w:rsid w:val="001944C8"/>
    <w:rsid w:val="001947A3"/>
    <w:rsid w:val="00194C3A"/>
    <w:rsid w:val="0019552C"/>
    <w:rsid w:val="00195820"/>
    <w:rsid w:val="0019597A"/>
    <w:rsid w:val="00195A63"/>
    <w:rsid w:val="00195A67"/>
    <w:rsid w:val="00197966"/>
    <w:rsid w:val="00197ACF"/>
    <w:rsid w:val="00197FB5"/>
    <w:rsid w:val="001A0493"/>
    <w:rsid w:val="001A0704"/>
    <w:rsid w:val="001A0A03"/>
    <w:rsid w:val="001A1CA4"/>
    <w:rsid w:val="001A1D6C"/>
    <w:rsid w:val="001A1F8F"/>
    <w:rsid w:val="001A36C0"/>
    <w:rsid w:val="001A38B9"/>
    <w:rsid w:val="001A3A0B"/>
    <w:rsid w:val="001A4851"/>
    <w:rsid w:val="001A5915"/>
    <w:rsid w:val="001A6353"/>
    <w:rsid w:val="001A6AB5"/>
    <w:rsid w:val="001A6BD4"/>
    <w:rsid w:val="001A75A9"/>
    <w:rsid w:val="001A7A5E"/>
    <w:rsid w:val="001A7F83"/>
    <w:rsid w:val="001B1E19"/>
    <w:rsid w:val="001B2527"/>
    <w:rsid w:val="001B2E97"/>
    <w:rsid w:val="001B5D2E"/>
    <w:rsid w:val="001B615C"/>
    <w:rsid w:val="001B6597"/>
    <w:rsid w:val="001B6B0B"/>
    <w:rsid w:val="001B72D5"/>
    <w:rsid w:val="001B7CD6"/>
    <w:rsid w:val="001C1140"/>
    <w:rsid w:val="001C1D4C"/>
    <w:rsid w:val="001C22C5"/>
    <w:rsid w:val="001C62CF"/>
    <w:rsid w:val="001C62E3"/>
    <w:rsid w:val="001D015E"/>
    <w:rsid w:val="001D01F6"/>
    <w:rsid w:val="001D2117"/>
    <w:rsid w:val="001D2E16"/>
    <w:rsid w:val="001D372B"/>
    <w:rsid w:val="001D38E0"/>
    <w:rsid w:val="001D3D89"/>
    <w:rsid w:val="001D3F3D"/>
    <w:rsid w:val="001D5931"/>
    <w:rsid w:val="001D5BD4"/>
    <w:rsid w:val="001D5E13"/>
    <w:rsid w:val="001D72A9"/>
    <w:rsid w:val="001E08E9"/>
    <w:rsid w:val="001E0F54"/>
    <w:rsid w:val="001E2270"/>
    <w:rsid w:val="001E2AE7"/>
    <w:rsid w:val="001E5CA3"/>
    <w:rsid w:val="001E5FB2"/>
    <w:rsid w:val="001F1340"/>
    <w:rsid w:val="001F1735"/>
    <w:rsid w:val="001F2861"/>
    <w:rsid w:val="001F2A17"/>
    <w:rsid w:val="001F2A45"/>
    <w:rsid w:val="001F2A6F"/>
    <w:rsid w:val="001F37D1"/>
    <w:rsid w:val="001F4523"/>
    <w:rsid w:val="001F4C68"/>
    <w:rsid w:val="001F50F4"/>
    <w:rsid w:val="001F5E56"/>
    <w:rsid w:val="001F623F"/>
    <w:rsid w:val="001F73BC"/>
    <w:rsid w:val="001F7D3C"/>
    <w:rsid w:val="00201843"/>
    <w:rsid w:val="00202B0D"/>
    <w:rsid w:val="00203A43"/>
    <w:rsid w:val="00205002"/>
    <w:rsid w:val="002072C2"/>
    <w:rsid w:val="00207AC1"/>
    <w:rsid w:val="00210BF4"/>
    <w:rsid w:val="00211698"/>
    <w:rsid w:val="0021293E"/>
    <w:rsid w:val="00212A8D"/>
    <w:rsid w:val="00213988"/>
    <w:rsid w:val="00213F71"/>
    <w:rsid w:val="00215E1D"/>
    <w:rsid w:val="0021630B"/>
    <w:rsid w:val="002168C9"/>
    <w:rsid w:val="0022396A"/>
    <w:rsid w:val="002244F4"/>
    <w:rsid w:val="00224700"/>
    <w:rsid w:val="0022482C"/>
    <w:rsid w:val="00224844"/>
    <w:rsid w:val="00225DE0"/>
    <w:rsid w:val="00227A88"/>
    <w:rsid w:val="00227C2E"/>
    <w:rsid w:val="002327AA"/>
    <w:rsid w:val="0023300E"/>
    <w:rsid w:val="00233095"/>
    <w:rsid w:val="00233254"/>
    <w:rsid w:val="002333F2"/>
    <w:rsid w:val="00235372"/>
    <w:rsid w:val="00235CA5"/>
    <w:rsid w:val="00236CE0"/>
    <w:rsid w:val="00237A9C"/>
    <w:rsid w:val="0024035D"/>
    <w:rsid w:val="002404A6"/>
    <w:rsid w:val="0024098F"/>
    <w:rsid w:val="00240B9E"/>
    <w:rsid w:val="00240E80"/>
    <w:rsid w:val="002417C7"/>
    <w:rsid w:val="00241F10"/>
    <w:rsid w:val="002434E3"/>
    <w:rsid w:val="00243CAC"/>
    <w:rsid w:val="00244652"/>
    <w:rsid w:val="00244B7F"/>
    <w:rsid w:val="00246C30"/>
    <w:rsid w:val="00251362"/>
    <w:rsid w:val="0025148C"/>
    <w:rsid w:val="00251A9F"/>
    <w:rsid w:val="00252260"/>
    <w:rsid w:val="00252974"/>
    <w:rsid w:val="00252D7D"/>
    <w:rsid w:val="00253179"/>
    <w:rsid w:val="00254B92"/>
    <w:rsid w:val="00254C50"/>
    <w:rsid w:val="00256192"/>
    <w:rsid w:val="0025648D"/>
    <w:rsid w:val="00256D7B"/>
    <w:rsid w:val="002619E9"/>
    <w:rsid w:val="002621C2"/>
    <w:rsid w:val="00262C78"/>
    <w:rsid w:val="00262F33"/>
    <w:rsid w:val="00263552"/>
    <w:rsid w:val="002641B2"/>
    <w:rsid w:val="00266A27"/>
    <w:rsid w:val="00266BC9"/>
    <w:rsid w:val="002672BE"/>
    <w:rsid w:val="0027055B"/>
    <w:rsid w:val="0027139C"/>
    <w:rsid w:val="00271A51"/>
    <w:rsid w:val="00271B73"/>
    <w:rsid w:val="00271D49"/>
    <w:rsid w:val="002728C9"/>
    <w:rsid w:val="002742B9"/>
    <w:rsid w:val="002743AF"/>
    <w:rsid w:val="002744DE"/>
    <w:rsid w:val="00276715"/>
    <w:rsid w:val="00277887"/>
    <w:rsid w:val="00281409"/>
    <w:rsid w:val="0028327E"/>
    <w:rsid w:val="002850D4"/>
    <w:rsid w:val="0028680A"/>
    <w:rsid w:val="00291C79"/>
    <w:rsid w:val="00292BA8"/>
    <w:rsid w:val="0029373F"/>
    <w:rsid w:val="00293AB8"/>
    <w:rsid w:val="00294A3F"/>
    <w:rsid w:val="00295CE1"/>
    <w:rsid w:val="00297599"/>
    <w:rsid w:val="002975ED"/>
    <w:rsid w:val="00297880"/>
    <w:rsid w:val="00297902"/>
    <w:rsid w:val="002A1226"/>
    <w:rsid w:val="002A4A95"/>
    <w:rsid w:val="002A585B"/>
    <w:rsid w:val="002A5CB2"/>
    <w:rsid w:val="002A6470"/>
    <w:rsid w:val="002A7A81"/>
    <w:rsid w:val="002B13AC"/>
    <w:rsid w:val="002B2F3A"/>
    <w:rsid w:val="002B45A9"/>
    <w:rsid w:val="002B54BF"/>
    <w:rsid w:val="002B54FD"/>
    <w:rsid w:val="002B5A9D"/>
    <w:rsid w:val="002B6253"/>
    <w:rsid w:val="002B676A"/>
    <w:rsid w:val="002B698B"/>
    <w:rsid w:val="002B740F"/>
    <w:rsid w:val="002B764A"/>
    <w:rsid w:val="002B78D6"/>
    <w:rsid w:val="002B7DDC"/>
    <w:rsid w:val="002C000A"/>
    <w:rsid w:val="002C19EB"/>
    <w:rsid w:val="002C21EE"/>
    <w:rsid w:val="002C2AF0"/>
    <w:rsid w:val="002C2E6D"/>
    <w:rsid w:val="002C5170"/>
    <w:rsid w:val="002C531F"/>
    <w:rsid w:val="002C5D2B"/>
    <w:rsid w:val="002C6A4B"/>
    <w:rsid w:val="002C736E"/>
    <w:rsid w:val="002C77AA"/>
    <w:rsid w:val="002C795A"/>
    <w:rsid w:val="002D03C3"/>
    <w:rsid w:val="002D09F5"/>
    <w:rsid w:val="002D22F0"/>
    <w:rsid w:val="002D3272"/>
    <w:rsid w:val="002D3972"/>
    <w:rsid w:val="002D3A16"/>
    <w:rsid w:val="002D589E"/>
    <w:rsid w:val="002D5C41"/>
    <w:rsid w:val="002D5CCE"/>
    <w:rsid w:val="002D5D82"/>
    <w:rsid w:val="002D6A75"/>
    <w:rsid w:val="002D6BB1"/>
    <w:rsid w:val="002D735E"/>
    <w:rsid w:val="002D7FB2"/>
    <w:rsid w:val="002E08D4"/>
    <w:rsid w:val="002E21DA"/>
    <w:rsid w:val="002E432A"/>
    <w:rsid w:val="002E43B4"/>
    <w:rsid w:val="002F0310"/>
    <w:rsid w:val="002F04A1"/>
    <w:rsid w:val="002F0DE6"/>
    <w:rsid w:val="002F16CC"/>
    <w:rsid w:val="002F33D8"/>
    <w:rsid w:val="002F4A8C"/>
    <w:rsid w:val="002F4BEA"/>
    <w:rsid w:val="002F4E2C"/>
    <w:rsid w:val="002F740A"/>
    <w:rsid w:val="0030044B"/>
    <w:rsid w:val="00300974"/>
    <w:rsid w:val="00300A96"/>
    <w:rsid w:val="0030114C"/>
    <w:rsid w:val="00302335"/>
    <w:rsid w:val="00302BB6"/>
    <w:rsid w:val="00302BFC"/>
    <w:rsid w:val="0030328E"/>
    <w:rsid w:val="00304123"/>
    <w:rsid w:val="00304EC2"/>
    <w:rsid w:val="00305572"/>
    <w:rsid w:val="00305AD3"/>
    <w:rsid w:val="00305D24"/>
    <w:rsid w:val="00306294"/>
    <w:rsid w:val="00306A83"/>
    <w:rsid w:val="00310704"/>
    <w:rsid w:val="0031079D"/>
    <w:rsid w:val="00310B55"/>
    <w:rsid w:val="00310F43"/>
    <w:rsid w:val="00311EA9"/>
    <w:rsid w:val="00313C66"/>
    <w:rsid w:val="00313CD1"/>
    <w:rsid w:val="00314A74"/>
    <w:rsid w:val="00314A75"/>
    <w:rsid w:val="00315071"/>
    <w:rsid w:val="00316872"/>
    <w:rsid w:val="00320078"/>
    <w:rsid w:val="00320CDB"/>
    <w:rsid w:val="00322D22"/>
    <w:rsid w:val="0032310D"/>
    <w:rsid w:val="003232DC"/>
    <w:rsid w:val="003235CF"/>
    <w:rsid w:val="003248B0"/>
    <w:rsid w:val="00324986"/>
    <w:rsid w:val="00325EAA"/>
    <w:rsid w:val="00325F19"/>
    <w:rsid w:val="0032623D"/>
    <w:rsid w:val="0032758A"/>
    <w:rsid w:val="00331444"/>
    <w:rsid w:val="0033182F"/>
    <w:rsid w:val="003328FF"/>
    <w:rsid w:val="00332BEB"/>
    <w:rsid w:val="00333323"/>
    <w:rsid w:val="00333A4B"/>
    <w:rsid w:val="00335265"/>
    <w:rsid w:val="00335D15"/>
    <w:rsid w:val="00336816"/>
    <w:rsid w:val="00337B91"/>
    <w:rsid w:val="00340858"/>
    <w:rsid w:val="00341D77"/>
    <w:rsid w:val="00350175"/>
    <w:rsid w:val="00350695"/>
    <w:rsid w:val="003509EA"/>
    <w:rsid w:val="00351279"/>
    <w:rsid w:val="0035303E"/>
    <w:rsid w:val="00355971"/>
    <w:rsid w:val="00355FD1"/>
    <w:rsid w:val="003561A5"/>
    <w:rsid w:val="0035699C"/>
    <w:rsid w:val="00356C5E"/>
    <w:rsid w:val="00356D40"/>
    <w:rsid w:val="00357FD4"/>
    <w:rsid w:val="00360E53"/>
    <w:rsid w:val="0036108D"/>
    <w:rsid w:val="00362E83"/>
    <w:rsid w:val="0036326F"/>
    <w:rsid w:val="00366463"/>
    <w:rsid w:val="0036705E"/>
    <w:rsid w:val="0037073D"/>
    <w:rsid w:val="003708FE"/>
    <w:rsid w:val="00371223"/>
    <w:rsid w:val="00371951"/>
    <w:rsid w:val="00373EE8"/>
    <w:rsid w:val="003775B0"/>
    <w:rsid w:val="00377B6D"/>
    <w:rsid w:val="00381C31"/>
    <w:rsid w:val="00384ECD"/>
    <w:rsid w:val="00385E11"/>
    <w:rsid w:val="0038626D"/>
    <w:rsid w:val="0038733C"/>
    <w:rsid w:val="00387CB1"/>
    <w:rsid w:val="00387CD1"/>
    <w:rsid w:val="0039039B"/>
    <w:rsid w:val="00390465"/>
    <w:rsid w:val="00390BA1"/>
    <w:rsid w:val="00391E1C"/>
    <w:rsid w:val="003937CC"/>
    <w:rsid w:val="00394FFF"/>
    <w:rsid w:val="003950A4"/>
    <w:rsid w:val="00397854"/>
    <w:rsid w:val="003978C1"/>
    <w:rsid w:val="003A1A82"/>
    <w:rsid w:val="003A2180"/>
    <w:rsid w:val="003A2419"/>
    <w:rsid w:val="003A2B3F"/>
    <w:rsid w:val="003A4360"/>
    <w:rsid w:val="003A4813"/>
    <w:rsid w:val="003A4A82"/>
    <w:rsid w:val="003A4F3E"/>
    <w:rsid w:val="003A511A"/>
    <w:rsid w:val="003A55B6"/>
    <w:rsid w:val="003A6E96"/>
    <w:rsid w:val="003A70C3"/>
    <w:rsid w:val="003A77AD"/>
    <w:rsid w:val="003B1B09"/>
    <w:rsid w:val="003B1B88"/>
    <w:rsid w:val="003B51AB"/>
    <w:rsid w:val="003B52C9"/>
    <w:rsid w:val="003B7184"/>
    <w:rsid w:val="003B7A34"/>
    <w:rsid w:val="003B7D25"/>
    <w:rsid w:val="003C020A"/>
    <w:rsid w:val="003C0926"/>
    <w:rsid w:val="003C0968"/>
    <w:rsid w:val="003C1780"/>
    <w:rsid w:val="003C4303"/>
    <w:rsid w:val="003C57FB"/>
    <w:rsid w:val="003C7262"/>
    <w:rsid w:val="003D08E7"/>
    <w:rsid w:val="003D0A01"/>
    <w:rsid w:val="003D11E0"/>
    <w:rsid w:val="003D15F9"/>
    <w:rsid w:val="003D1923"/>
    <w:rsid w:val="003D25DA"/>
    <w:rsid w:val="003D27FF"/>
    <w:rsid w:val="003D2C8C"/>
    <w:rsid w:val="003D3301"/>
    <w:rsid w:val="003D37DC"/>
    <w:rsid w:val="003D380C"/>
    <w:rsid w:val="003D4CE1"/>
    <w:rsid w:val="003D66F7"/>
    <w:rsid w:val="003D731B"/>
    <w:rsid w:val="003D7429"/>
    <w:rsid w:val="003E23C9"/>
    <w:rsid w:val="003E2785"/>
    <w:rsid w:val="003E4FA5"/>
    <w:rsid w:val="003E5BC2"/>
    <w:rsid w:val="003E5D09"/>
    <w:rsid w:val="003F0AFD"/>
    <w:rsid w:val="003F2837"/>
    <w:rsid w:val="003F31A1"/>
    <w:rsid w:val="003F37EA"/>
    <w:rsid w:val="003F397E"/>
    <w:rsid w:val="003F429F"/>
    <w:rsid w:val="003F4A30"/>
    <w:rsid w:val="003F5B3C"/>
    <w:rsid w:val="003F608A"/>
    <w:rsid w:val="003F6F28"/>
    <w:rsid w:val="00400283"/>
    <w:rsid w:val="00400292"/>
    <w:rsid w:val="004023E9"/>
    <w:rsid w:val="0040285A"/>
    <w:rsid w:val="00402E6D"/>
    <w:rsid w:val="00403A08"/>
    <w:rsid w:val="00403FC9"/>
    <w:rsid w:val="004042A2"/>
    <w:rsid w:val="00404569"/>
    <w:rsid w:val="00404F9B"/>
    <w:rsid w:val="00405A7E"/>
    <w:rsid w:val="0041044B"/>
    <w:rsid w:val="00411C07"/>
    <w:rsid w:val="00411CC8"/>
    <w:rsid w:val="004143B8"/>
    <w:rsid w:val="004159A3"/>
    <w:rsid w:val="00416452"/>
    <w:rsid w:val="004200F0"/>
    <w:rsid w:val="00423F3B"/>
    <w:rsid w:val="00424D4C"/>
    <w:rsid w:val="0042514A"/>
    <w:rsid w:val="0042598C"/>
    <w:rsid w:val="00427285"/>
    <w:rsid w:val="0043153D"/>
    <w:rsid w:val="004340D0"/>
    <w:rsid w:val="004346E0"/>
    <w:rsid w:val="004347A2"/>
    <w:rsid w:val="00434851"/>
    <w:rsid w:val="00434ACC"/>
    <w:rsid w:val="00434E92"/>
    <w:rsid w:val="00435603"/>
    <w:rsid w:val="00436B9C"/>
    <w:rsid w:val="00437231"/>
    <w:rsid w:val="00437249"/>
    <w:rsid w:val="004377B4"/>
    <w:rsid w:val="004401B5"/>
    <w:rsid w:val="00443313"/>
    <w:rsid w:val="00445331"/>
    <w:rsid w:val="004455FB"/>
    <w:rsid w:val="0044717C"/>
    <w:rsid w:val="0045158A"/>
    <w:rsid w:val="00451831"/>
    <w:rsid w:val="00451E57"/>
    <w:rsid w:val="00452434"/>
    <w:rsid w:val="004529DE"/>
    <w:rsid w:val="004539C6"/>
    <w:rsid w:val="00453AE9"/>
    <w:rsid w:val="00454249"/>
    <w:rsid w:val="004542C6"/>
    <w:rsid w:val="00455323"/>
    <w:rsid w:val="004553C2"/>
    <w:rsid w:val="00457B91"/>
    <w:rsid w:val="00463B4D"/>
    <w:rsid w:val="00463D89"/>
    <w:rsid w:val="00464192"/>
    <w:rsid w:val="004642F6"/>
    <w:rsid w:val="0046461A"/>
    <w:rsid w:val="00464B06"/>
    <w:rsid w:val="00465420"/>
    <w:rsid w:val="004654FE"/>
    <w:rsid w:val="00465611"/>
    <w:rsid w:val="00467303"/>
    <w:rsid w:val="004676AE"/>
    <w:rsid w:val="00470979"/>
    <w:rsid w:val="00471B31"/>
    <w:rsid w:val="00472600"/>
    <w:rsid w:val="00472A0F"/>
    <w:rsid w:val="00473086"/>
    <w:rsid w:val="00473316"/>
    <w:rsid w:val="0047357A"/>
    <w:rsid w:val="00473D5C"/>
    <w:rsid w:val="00474105"/>
    <w:rsid w:val="0047443B"/>
    <w:rsid w:val="004745D6"/>
    <w:rsid w:val="00475DF9"/>
    <w:rsid w:val="0047746C"/>
    <w:rsid w:val="00482337"/>
    <w:rsid w:val="00482449"/>
    <w:rsid w:val="00484E57"/>
    <w:rsid w:val="00485911"/>
    <w:rsid w:val="004908F7"/>
    <w:rsid w:val="00490FBC"/>
    <w:rsid w:val="0049126C"/>
    <w:rsid w:val="00492421"/>
    <w:rsid w:val="004932D1"/>
    <w:rsid w:val="00494848"/>
    <w:rsid w:val="00494E0B"/>
    <w:rsid w:val="00495A24"/>
    <w:rsid w:val="00495ABE"/>
    <w:rsid w:val="00495FA2"/>
    <w:rsid w:val="004961A9"/>
    <w:rsid w:val="004962CB"/>
    <w:rsid w:val="00496665"/>
    <w:rsid w:val="0049705D"/>
    <w:rsid w:val="004970C0"/>
    <w:rsid w:val="00497682"/>
    <w:rsid w:val="004A04A6"/>
    <w:rsid w:val="004A3703"/>
    <w:rsid w:val="004A3C3D"/>
    <w:rsid w:val="004A3F36"/>
    <w:rsid w:val="004A4A70"/>
    <w:rsid w:val="004A6C03"/>
    <w:rsid w:val="004A74B8"/>
    <w:rsid w:val="004B0FB0"/>
    <w:rsid w:val="004B19A0"/>
    <w:rsid w:val="004B1B1E"/>
    <w:rsid w:val="004B323D"/>
    <w:rsid w:val="004B3716"/>
    <w:rsid w:val="004B56A2"/>
    <w:rsid w:val="004B7A3C"/>
    <w:rsid w:val="004B7CCC"/>
    <w:rsid w:val="004B7DBE"/>
    <w:rsid w:val="004C0183"/>
    <w:rsid w:val="004C0465"/>
    <w:rsid w:val="004C0D7F"/>
    <w:rsid w:val="004C10AA"/>
    <w:rsid w:val="004C16EE"/>
    <w:rsid w:val="004C250E"/>
    <w:rsid w:val="004C47C0"/>
    <w:rsid w:val="004C531B"/>
    <w:rsid w:val="004C6FB5"/>
    <w:rsid w:val="004D0D95"/>
    <w:rsid w:val="004D1CDE"/>
    <w:rsid w:val="004D1F10"/>
    <w:rsid w:val="004D37C4"/>
    <w:rsid w:val="004D3B26"/>
    <w:rsid w:val="004D3E0E"/>
    <w:rsid w:val="004D45B4"/>
    <w:rsid w:val="004D510F"/>
    <w:rsid w:val="004D5588"/>
    <w:rsid w:val="004D6310"/>
    <w:rsid w:val="004D637B"/>
    <w:rsid w:val="004D69CA"/>
    <w:rsid w:val="004D7385"/>
    <w:rsid w:val="004D7B23"/>
    <w:rsid w:val="004E001A"/>
    <w:rsid w:val="004E0281"/>
    <w:rsid w:val="004E10A9"/>
    <w:rsid w:val="004E1EB5"/>
    <w:rsid w:val="004E299D"/>
    <w:rsid w:val="004E3A31"/>
    <w:rsid w:val="004F06FC"/>
    <w:rsid w:val="004F1053"/>
    <w:rsid w:val="004F1088"/>
    <w:rsid w:val="004F1F0C"/>
    <w:rsid w:val="004F266A"/>
    <w:rsid w:val="004F321A"/>
    <w:rsid w:val="004F364D"/>
    <w:rsid w:val="004F3CCC"/>
    <w:rsid w:val="004F3D93"/>
    <w:rsid w:val="004F41AA"/>
    <w:rsid w:val="004F564A"/>
    <w:rsid w:val="004F6666"/>
    <w:rsid w:val="005006C9"/>
    <w:rsid w:val="005028D4"/>
    <w:rsid w:val="00503F70"/>
    <w:rsid w:val="00504C24"/>
    <w:rsid w:val="00507136"/>
    <w:rsid w:val="00507A13"/>
    <w:rsid w:val="005107ED"/>
    <w:rsid w:val="00510C1F"/>
    <w:rsid w:val="00511769"/>
    <w:rsid w:val="005141D9"/>
    <w:rsid w:val="00517766"/>
    <w:rsid w:val="0051786F"/>
    <w:rsid w:val="00523809"/>
    <w:rsid w:val="00526405"/>
    <w:rsid w:val="005271F9"/>
    <w:rsid w:val="00527C08"/>
    <w:rsid w:val="00531019"/>
    <w:rsid w:val="00531098"/>
    <w:rsid w:val="00532A2A"/>
    <w:rsid w:val="005337B2"/>
    <w:rsid w:val="00535640"/>
    <w:rsid w:val="005365D3"/>
    <w:rsid w:val="0053769E"/>
    <w:rsid w:val="00537B5D"/>
    <w:rsid w:val="005409BF"/>
    <w:rsid w:val="00540F35"/>
    <w:rsid w:val="00541449"/>
    <w:rsid w:val="00541749"/>
    <w:rsid w:val="00541D9A"/>
    <w:rsid w:val="00542DD7"/>
    <w:rsid w:val="00543156"/>
    <w:rsid w:val="005433FC"/>
    <w:rsid w:val="00543907"/>
    <w:rsid w:val="005446B1"/>
    <w:rsid w:val="0054669D"/>
    <w:rsid w:val="005472F9"/>
    <w:rsid w:val="0054753C"/>
    <w:rsid w:val="0055008B"/>
    <w:rsid w:val="00550FC0"/>
    <w:rsid w:val="00551144"/>
    <w:rsid w:val="00552314"/>
    <w:rsid w:val="00553527"/>
    <w:rsid w:val="005535F5"/>
    <w:rsid w:val="00553AC2"/>
    <w:rsid w:val="00554DF4"/>
    <w:rsid w:val="0055751C"/>
    <w:rsid w:val="0055771E"/>
    <w:rsid w:val="00560153"/>
    <w:rsid w:val="00560A6A"/>
    <w:rsid w:val="00560E59"/>
    <w:rsid w:val="00561B30"/>
    <w:rsid w:val="005637C4"/>
    <w:rsid w:val="00564625"/>
    <w:rsid w:val="00564DDD"/>
    <w:rsid w:val="00564FC1"/>
    <w:rsid w:val="00565312"/>
    <w:rsid w:val="00565368"/>
    <w:rsid w:val="00565703"/>
    <w:rsid w:val="00566B7D"/>
    <w:rsid w:val="0057238C"/>
    <w:rsid w:val="00573A43"/>
    <w:rsid w:val="00573D9E"/>
    <w:rsid w:val="005747CD"/>
    <w:rsid w:val="005748B7"/>
    <w:rsid w:val="0057500B"/>
    <w:rsid w:val="00575117"/>
    <w:rsid w:val="00575FEF"/>
    <w:rsid w:val="00576C0A"/>
    <w:rsid w:val="005776A5"/>
    <w:rsid w:val="00577D6B"/>
    <w:rsid w:val="005806B2"/>
    <w:rsid w:val="005821D3"/>
    <w:rsid w:val="005843DF"/>
    <w:rsid w:val="00584C03"/>
    <w:rsid w:val="00585562"/>
    <w:rsid w:val="00586977"/>
    <w:rsid w:val="0058700D"/>
    <w:rsid w:val="00592327"/>
    <w:rsid w:val="005926B8"/>
    <w:rsid w:val="00592D2B"/>
    <w:rsid w:val="00594A31"/>
    <w:rsid w:val="0059527A"/>
    <w:rsid w:val="00595880"/>
    <w:rsid w:val="005A0622"/>
    <w:rsid w:val="005A0967"/>
    <w:rsid w:val="005A10E7"/>
    <w:rsid w:val="005A2800"/>
    <w:rsid w:val="005A366E"/>
    <w:rsid w:val="005A46AB"/>
    <w:rsid w:val="005A4D98"/>
    <w:rsid w:val="005A5518"/>
    <w:rsid w:val="005A5D1F"/>
    <w:rsid w:val="005B7819"/>
    <w:rsid w:val="005C0884"/>
    <w:rsid w:val="005C0C70"/>
    <w:rsid w:val="005C1224"/>
    <w:rsid w:val="005C162A"/>
    <w:rsid w:val="005C19F5"/>
    <w:rsid w:val="005C230A"/>
    <w:rsid w:val="005C4247"/>
    <w:rsid w:val="005C7041"/>
    <w:rsid w:val="005D08B4"/>
    <w:rsid w:val="005D338C"/>
    <w:rsid w:val="005D3A0D"/>
    <w:rsid w:val="005D3CDC"/>
    <w:rsid w:val="005D47A2"/>
    <w:rsid w:val="005D4DB9"/>
    <w:rsid w:val="005D58CA"/>
    <w:rsid w:val="005D5EB8"/>
    <w:rsid w:val="005D670E"/>
    <w:rsid w:val="005D6E84"/>
    <w:rsid w:val="005D6F00"/>
    <w:rsid w:val="005E021C"/>
    <w:rsid w:val="005E0C3D"/>
    <w:rsid w:val="005E0FEE"/>
    <w:rsid w:val="005E1E1A"/>
    <w:rsid w:val="005E32D0"/>
    <w:rsid w:val="005E4054"/>
    <w:rsid w:val="005E43A6"/>
    <w:rsid w:val="005E4A57"/>
    <w:rsid w:val="005E4F8E"/>
    <w:rsid w:val="005E50EE"/>
    <w:rsid w:val="005E5B42"/>
    <w:rsid w:val="005E6238"/>
    <w:rsid w:val="005F0B4E"/>
    <w:rsid w:val="005F1099"/>
    <w:rsid w:val="005F1C40"/>
    <w:rsid w:val="005F24C2"/>
    <w:rsid w:val="005F3E08"/>
    <w:rsid w:val="005F3FAE"/>
    <w:rsid w:val="005F4F2C"/>
    <w:rsid w:val="005F56B4"/>
    <w:rsid w:val="005F594E"/>
    <w:rsid w:val="00600205"/>
    <w:rsid w:val="00600870"/>
    <w:rsid w:val="006024F2"/>
    <w:rsid w:val="00602CEE"/>
    <w:rsid w:val="006038C7"/>
    <w:rsid w:val="00604580"/>
    <w:rsid w:val="00605136"/>
    <w:rsid w:val="00605D43"/>
    <w:rsid w:val="00606A87"/>
    <w:rsid w:val="00606C69"/>
    <w:rsid w:val="00606F14"/>
    <w:rsid w:val="00607801"/>
    <w:rsid w:val="00607AD6"/>
    <w:rsid w:val="00610A51"/>
    <w:rsid w:val="006112B4"/>
    <w:rsid w:val="0061205C"/>
    <w:rsid w:val="0061221A"/>
    <w:rsid w:val="006135E4"/>
    <w:rsid w:val="006137CD"/>
    <w:rsid w:val="00613F8F"/>
    <w:rsid w:val="00614D9E"/>
    <w:rsid w:val="00615475"/>
    <w:rsid w:val="00615AC8"/>
    <w:rsid w:val="00616189"/>
    <w:rsid w:val="00616653"/>
    <w:rsid w:val="006166D6"/>
    <w:rsid w:val="0061694E"/>
    <w:rsid w:val="00617996"/>
    <w:rsid w:val="00621B7F"/>
    <w:rsid w:val="00621E72"/>
    <w:rsid w:val="00627FF2"/>
    <w:rsid w:val="00630C65"/>
    <w:rsid w:val="006338AC"/>
    <w:rsid w:val="006338DD"/>
    <w:rsid w:val="0063532D"/>
    <w:rsid w:val="0063535D"/>
    <w:rsid w:val="00636CE9"/>
    <w:rsid w:val="006373DE"/>
    <w:rsid w:val="0063751A"/>
    <w:rsid w:val="00637EBC"/>
    <w:rsid w:val="00640298"/>
    <w:rsid w:val="006417C6"/>
    <w:rsid w:val="00641AA1"/>
    <w:rsid w:val="00641EBC"/>
    <w:rsid w:val="0064275F"/>
    <w:rsid w:val="00643561"/>
    <w:rsid w:val="00645DB2"/>
    <w:rsid w:val="00650A74"/>
    <w:rsid w:val="00651101"/>
    <w:rsid w:val="0065304E"/>
    <w:rsid w:val="0065318C"/>
    <w:rsid w:val="00654F40"/>
    <w:rsid w:val="00655CBF"/>
    <w:rsid w:val="0065626F"/>
    <w:rsid w:val="00656950"/>
    <w:rsid w:val="00657314"/>
    <w:rsid w:val="00657467"/>
    <w:rsid w:val="006603AA"/>
    <w:rsid w:val="00662265"/>
    <w:rsid w:val="006639E5"/>
    <w:rsid w:val="0066505B"/>
    <w:rsid w:val="0066647B"/>
    <w:rsid w:val="00672365"/>
    <w:rsid w:val="00673182"/>
    <w:rsid w:val="006737D6"/>
    <w:rsid w:val="00673ED9"/>
    <w:rsid w:val="006757DD"/>
    <w:rsid w:val="00677F27"/>
    <w:rsid w:val="006814E0"/>
    <w:rsid w:val="00681951"/>
    <w:rsid w:val="006825FA"/>
    <w:rsid w:val="00682689"/>
    <w:rsid w:val="00682C3E"/>
    <w:rsid w:val="00683E38"/>
    <w:rsid w:val="00684D13"/>
    <w:rsid w:val="00684F2C"/>
    <w:rsid w:val="00687C25"/>
    <w:rsid w:val="00690442"/>
    <w:rsid w:val="0069109F"/>
    <w:rsid w:val="00691525"/>
    <w:rsid w:val="006929CE"/>
    <w:rsid w:val="00693E3F"/>
    <w:rsid w:val="0069428D"/>
    <w:rsid w:val="00694C60"/>
    <w:rsid w:val="0069518B"/>
    <w:rsid w:val="006962C0"/>
    <w:rsid w:val="006967BF"/>
    <w:rsid w:val="006A0CC9"/>
    <w:rsid w:val="006A1AE5"/>
    <w:rsid w:val="006A1D08"/>
    <w:rsid w:val="006A224C"/>
    <w:rsid w:val="006A3D0B"/>
    <w:rsid w:val="006A4025"/>
    <w:rsid w:val="006A53BA"/>
    <w:rsid w:val="006A60BD"/>
    <w:rsid w:val="006B1CE8"/>
    <w:rsid w:val="006B1DBC"/>
    <w:rsid w:val="006B26BC"/>
    <w:rsid w:val="006B7524"/>
    <w:rsid w:val="006C0B6F"/>
    <w:rsid w:val="006C1417"/>
    <w:rsid w:val="006C2417"/>
    <w:rsid w:val="006C2CD3"/>
    <w:rsid w:val="006C2FDF"/>
    <w:rsid w:val="006C31E7"/>
    <w:rsid w:val="006C40BF"/>
    <w:rsid w:val="006C4130"/>
    <w:rsid w:val="006C4BC4"/>
    <w:rsid w:val="006C70E9"/>
    <w:rsid w:val="006C7273"/>
    <w:rsid w:val="006C7C81"/>
    <w:rsid w:val="006D04D7"/>
    <w:rsid w:val="006D19F7"/>
    <w:rsid w:val="006D2021"/>
    <w:rsid w:val="006D25FF"/>
    <w:rsid w:val="006D4A15"/>
    <w:rsid w:val="006D57CC"/>
    <w:rsid w:val="006D5EB4"/>
    <w:rsid w:val="006D74A4"/>
    <w:rsid w:val="006E02E8"/>
    <w:rsid w:val="006E0925"/>
    <w:rsid w:val="006E0FA9"/>
    <w:rsid w:val="006E1E6D"/>
    <w:rsid w:val="006E24C2"/>
    <w:rsid w:val="006E24EB"/>
    <w:rsid w:val="006E4B30"/>
    <w:rsid w:val="006E4D36"/>
    <w:rsid w:val="006E5E0F"/>
    <w:rsid w:val="006F025E"/>
    <w:rsid w:val="006F1828"/>
    <w:rsid w:val="006F1C8F"/>
    <w:rsid w:val="006F2A62"/>
    <w:rsid w:val="006F327B"/>
    <w:rsid w:val="006F42DC"/>
    <w:rsid w:val="006F79EB"/>
    <w:rsid w:val="006F7EEF"/>
    <w:rsid w:val="00700BFA"/>
    <w:rsid w:val="00701D59"/>
    <w:rsid w:val="00702559"/>
    <w:rsid w:val="0070400B"/>
    <w:rsid w:val="007042A6"/>
    <w:rsid w:val="007052C2"/>
    <w:rsid w:val="00706214"/>
    <w:rsid w:val="00706433"/>
    <w:rsid w:val="007067B3"/>
    <w:rsid w:val="00707F5F"/>
    <w:rsid w:val="007108C5"/>
    <w:rsid w:val="007109D2"/>
    <w:rsid w:val="00710A32"/>
    <w:rsid w:val="0071198E"/>
    <w:rsid w:val="00711F14"/>
    <w:rsid w:val="00711F2A"/>
    <w:rsid w:val="00712B4F"/>
    <w:rsid w:val="00713702"/>
    <w:rsid w:val="0071398E"/>
    <w:rsid w:val="00713ECE"/>
    <w:rsid w:val="0071407F"/>
    <w:rsid w:val="00717823"/>
    <w:rsid w:val="00720183"/>
    <w:rsid w:val="00720268"/>
    <w:rsid w:val="00720CB7"/>
    <w:rsid w:val="0072232D"/>
    <w:rsid w:val="00722769"/>
    <w:rsid w:val="00722EF4"/>
    <w:rsid w:val="007230A8"/>
    <w:rsid w:val="00723412"/>
    <w:rsid w:val="007246E5"/>
    <w:rsid w:val="0072493D"/>
    <w:rsid w:val="00724F5E"/>
    <w:rsid w:val="0072549D"/>
    <w:rsid w:val="00726847"/>
    <w:rsid w:val="00731B05"/>
    <w:rsid w:val="00733CBF"/>
    <w:rsid w:val="00733D4C"/>
    <w:rsid w:val="0073695A"/>
    <w:rsid w:val="00736EDA"/>
    <w:rsid w:val="007403AB"/>
    <w:rsid w:val="00742555"/>
    <w:rsid w:val="00742C03"/>
    <w:rsid w:val="007437D9"/>
    <w:rsid w:val="00745131"/>
    <w:rsid w:val="00746D1E"/>
    <w:rsid w:val="007471E2"/>
    <w:rsid w:val="00747B41"/>
    <w:rsid w:val="007506C7"/>
    <w:rsid w:val="00750996"/>
    <w:rsid w:val="007512F9"/>
    <w:rsid w:val="0075172F"/>
    <w:rsid w:val="00752181"/>
    <w:rsid w:val="00752862"/>
    <w:rsid w:val="007537DD"/>
    <w:rsid w:val="00753A76"/>
    <w:rsid w:val="007545D7"/>
    <w:rsid w:val="007551D3"/>
    <w:rsid w:val="00755C0E"/>
    <w:rsid w:val="007565FC"/>
    <w:rsid w:val="00756B71"/>
    <w:rsid w:val="00760CBD"/>
    <w:rsid w:val="007610EF"/>
    <w:rsid w:val="007624FD"/>
    <w:rsid w:val="00762800"/>
    <w:rsid w:val="00762CA9"/>
    <w:rsid w:val="00762CD0"/>
    <w:rsid w:val="00763387"/>
    <w:rsid w:val="0076351E"/>
    <w:rsid w:val="00763965"/>
    <w:rsid w:val="00763C90"/>
    <w:rsid w:val="0076527F"/>
    <w:rsid w:val="007655B8"/>
    <w:rsid w:val="00766081"/>
    <w:rsid w:val="0077144D"/>
    <w:rsid w:val="00772173"/>
    <w:rsid w:val="007728EF"/>
    <w:rsid w:val="00773A37"/>
    <w:rsid w:val="0077413C"/>
    <w:rsid w:val="0077591E"/>
    <w:rsid w:val="00776EFB"/>
    <w:rsid w:val="00777069"/>
    <w:rsid w:val="00781552"/>
    <w:rsid w:val="00781943"/>
    <w:rsid w:val="007829B1"/>
    <w:rsid w:val="00783CE8"/>
    <w:rsid w:val="00783E7E"/>
    <w:rsid w:val="00786F6A"/>
    <w:rsid w:val="0078727C"/>
    <w:rsid w:val="00787B98"/>
    <w:rsid w:val="00790D8A"/>
    <w:rsid w:val="007912B8"/>
    <w:rsid w:val="00792335"/>
    <w:rsid w:val="00792C05"/>
    <w:rsid w:val="0079475E"/>
    <w:rsid w:val="007955AB"/>
    <w:rsid w:val="0079706A"/>
    <w:rsid w:val="007A11B4"/>
    <w:rsid w:val="007A17B3"/>
    <w:rsid w:val="007A2203"/>
    <w:rsid w:val="007A25F3"/>
    <w:rsid w:val="007A2F6D"/>
    <w:rsid w:val="007A3395"/>
    <w:rsid w:val="007A4187"/>
    <w:rsid w:val="007A53C0"/>
    <w:rsid w:val="007A7BA0"/>
    <w:rsid w:val="007B082E"/>
    <w:rsid w:val="007B0D52"/>
    <w:rsid w:val="007B0E69"/>
    <w:rsid w:val="007B15E5"/>
    <w:rsid w:val="007B248C"/>
    <w:rsid w:val="007B4D3C"/>
    <w:rsid w:val="007B5318"/>
    <w:rsid w:val="007B55B3"/>
    <w:rsid w:val="007C2458"/>
    <w:rsid w:val="007C2CFA"/>
    <w:rsid w:val="007C3242"/>
    <w:rsid w:val="007C3B2C"/>
    <w:rsid w:val="007C3E99"/>
    <w:rsid w:val="007C4529"/>
    <w:rsid w:val="007C5BCB"/>
    <w:rsid w:val="007C6AAE"/>
    <w:rsid w:val="007D072B"/>
    <w:rsid w:val="007D25E8"/>
    <w:rsid w:val="007D27C0"/>
    <w:rsid w:val="007D3B13"/>
    <w:rsid w:val="007D3C26"/>
    <w:rsid w:val="007D3D4C"/>
    <w:rsid w:val="007D4F34"/>
    <w:rsid w:val="007D63F0"/>
    <w:rsid w:val="007D6A00"/>
    <w:rsid w:val="007E0082"/>
    <w:rsid w:val="007E0818"/>
    <w:rsid w:val="007E0911"/>
    <w:rsid w:val="007E0D3B"/>
    <w:rsid w:val="007E1036"/>
    <w:rsid w:val="007E13AD"/>
    <w:rsid w:val="007E18B1"/>
    <w:rsid w:val="007E1D00"/>
    <w:rsid w:val="007E1FE0"/>
    <w:rsid w:val="007E2431"/>
    <w:rsid w:val="007E31D8"/>
    <w:rsid w:val="007E374D"/>
    <w:rsid w:val="007E3EE7"/>
    <w:rsid w:val="007E4167"/>
    <w:rsid w:val="007E4575"/>
    <w:rsid w:val="007E4765"/>
    <w:rsid w:val="007E4FC9"/>
    <w:rsid w:val="007E5133"/>
    <w:rsid w:val="007E54F4"/>
    <w:rsid w:val="007E56D7"/>
    <w:rsid w:val="007E5ED6"/>
    <w:rsid w:val="007E6411"/>
    <w:rsid w:val="007E6912"/>
    <w:rsid w:val="007E76F2"/>
    <w:rsid w:val="007E7A34"/>
    <w:rsid w:val="007E7A47"/>
    <w:rsid w:val="007F0A76"/>
    <w:rsid w:val="007F2278"/>
    <w:rsid w:val="007F3140"/>
    <w:rsid w:val="007F39ED"/>
    <w:rsid w:val="007F3F5F"/>
    <w:rsid w:val="007F4810"/>
    <w:rsid w:val="007F520A"/>
    <w:rsid w:val="007F65FE"/>
    <w:rsid w:val="007F7CC3"/>
    <w:rsid w:val="008015D3"/>
    <w:rsid w:val="00801D50"/>
    <w:rsid w:val="0080258A"/>
    <w:rsid w:val="008034B9"/>
    <w:rsid w:val="00806DB3"/>
    <w:rsid w:val="00807078"/>
    <w:rsid w:val="00807090"/>
    <w:rsid w:val="00811E78"/>
    <w:rsid w:val="00813467"/>
    <w:rsid w:val="00814233"/>
    <w:rsid w:val="00815705"/>
    <w:rsid w:val="00821449"/>
    <w:rsid w:val="00823FC5"/>
    <w:rsid w:val="00825D04"/>
    <w:rsid w:val="00826B51"/>
    <w:rsid w:val="00827180"/>
    <w:rsid w:val="00831176"/>
    <w:rsid w:val="008320F8"/>
    <w:rsid w:val="00832464"/>
    <w:rsid w:val="00835C69"/>
    <w:rsid w:val="00835CAB"/>
    <w:rsid w:val="00835E3B"/>
    <w:rsid w:val="00840FF9"/>
    <w:rsid w:val="00842C8E"/>
    <w:rsid w:val="00842E9B"/>
    <w:rsid w:val="00844167"/>
    <w:rsid w:val="008453E9"/>
    <w:rsid w:val="008460CC"/>
    <w:rsid w:val="00846196"/>
    <w:rsid w:val="008470DB"/>
    <w:rsid w:val="00847CAA"/>
    <w:rsid w:val="008507D5"/>
    <w:rsid w:val="008509F2"/>
    <w:rsid w:val="00850FE0"/>
    <w:rsid w:val="00851065"/>
    <w:rsid w:val="0085203E"/>
    <w:rsid w:val="008520EF"/>
    <w:rsid w:val="008529BB"/>
    <w:rsid w:val="00852B6E"/>
    <w:rsid w:val="00852C4C"/>
    <w:rsid w:val="0085432C"/>
    <w:rsid w:val="008559C6"/>
    <w:rsid w:val="00855C3C"/>
    <w:rsid w:val="00856524"/>
    <w:rsid w:val="00856C7A"/>
    <w:rsid w:val="00857314"/>
    <w:rsid w:val="008612E6"/>
    <w:rsid w:val="00861391"/>
    <w:rsid w:val="00861AB5"/>
    <w:rsid w:val="00861F8D"/>
    <w:rsid w:val="00862055"/>
    <w:rsid w:val="008628E0"/>
    <w:rsid w:val="00862CA2"/>
    <w:rsid w:val="008634FD"/>
    <w:rsid w:val="00863A4D"/>
    <w:rsid w:val="0086413E"/>
    <w:rsid w:val="0086466C"/>
    <w:rsid w:val="00870AA7"/>
    <w:rsid w:val="00870C1F"/>
    <w:rsid w:val="00871104"/>
    <w:rsid w:val="0087344A"/>
    <w:rsid w:val="00874C3D"/>
    <w:rsid w:val="00875146"/>
    <w:rsid w:val="00875391"/>
    <w:rsid w:val="00876727"/>
    <w:rsid w:val="00880174"/>
    <w:rsid w:val="00880686"/>
    <w:rsid w:val="00881276"/>
    <w:rsid w:val="008839DE"/>
    <w:rsid w:val="008839E7"/>
    <w:rsid w:val="00884885"/>
    <w:rsid w:val="00884DC6"/>
    <w:rsid w:val="00885D01"/>
    <w:rsid w:val="008864C4"/>
    <w:rsid w:val="008865D1"/>
    <w:rsid w:val="008868B9"/>
    <w:rsid w:val="008910D3"/>
    <w:rsid w:val="0089204F"/>
    <w:rsid w:val="0089268A"/>
    <w:rsid w:val="00892FD5"/>
    <w:rsid w:val="00894E68"/>
    <w:rsid w:val="008951CF"/>
    <w:rsid w:val="008A10DC"/>
    <w:rsid w:val="008A1A4F"/>
    <w:rsid w:val="008A1EBE"/>
    <w:rsid w:val="008A7B79"/>
    <w:rsid w:val="008B0609"/>
    <w:rsid w:val="008B0A6C"/>
    <w:rsid w:val="008B0D44"/>
    <w:rsid w:val="008B11A3"/>
    <w:rsid w:val="008B2846"/>
    <w:rsid w:val="008B30D6"/>
    <w:rsid w:val="008B3351"/>
    <w:rsid w:val="008B3803"/>
    <w:rsid w:val="008B4D5C"/>
    <w:rsid w:val="008B5342"/>
    <w:rsid w:val="008B6875"/>
    <w:rsid w:val="008B6A70"/>
    <w:rsid w:val="008B7394"/>
    <w:rsid w:val="008C1942"/>
    <w:rsid w:val="008C39DD"/>
    <w:rsid w:val="008C4132"/>
    <w:rsid w:val="008C4F60"/>
    <w:rsid w:val="008C6F4C"/>
    <w:rsid w:val="008C7BD8"/>
    <w:rsid w:val="008C7FC3"/>
    <w:rsid w:val="008D0FBE"/>
    <w:rsid w:val="008D16C2"/>
    <w:rsid w:val="008D33C1"/>
    <w:rsid w:val="008D493A"/>
    <w:rsid w:val="008D5A90"/>
    <w:rsid w:val="008D717B"/>
    <w:rsid w:val="008E3937"/>
    <w:rsid w:val="008E4CF9"/>
    <w:rsid w:val="008E592E"/>
    <w:rsid w:val="008E7216"/>
    <w:rsid w:val="008F0B46"/>
    <w:rsid w:val="008F133A"/>
    <w:rsid w:val="008F34BF"/>
    <w:rsid w:val="008F4E4C"/>
    <w:rsid w:val="008F57DF"/>
    <w:rsid w:val="008F6210"/>
    <w:rsid w:val="008F68ED"/>
    <w:rsid w:val="008F7D28"/>
    <w:rsid w:val="009002FD"/>
    <w:rsid w:val="00900731"/>
    <w:rsid w:val="009015BD"/>
    <w:rsid w:val="009035DC"/>
    <w:rsid w:val="009040CC"/>
    <w:rsid w:val="00905B49"/>
    <w:rsid w:val="00905EA4"/>
    <w:rsid w:val="0090600C"/>
    <w:rsid w:val="009101E0"/>
    <w:rsid w:val="0091179D"/>
    <w:rsid w:val="00911CFA"/>
    <w:rsid w:val="00913054"/>
    <w:rsid w:val="00913A3E"/>
    <w:rsid w:val="00913BFE"/>
    <w:rsid w:val="00913DF9"/>
    <w:rsid w:val="0091402A"/>
    <w:rsid w:val="00914F54"/>
    <w:rsid w:val="00915237"/>
    <w:rsid w:val="0092039D"/>
    <w:rsid w:val="009214FE"/>
    <w:rsid w:val="00921531"/>
    <w:rsid w:val="0092198B"/>
    <w:rsid w:val="0092383A"/>
    <w:rsid w:val="00924745"/>
    <w:rsid w:val="00925428"/>
    <w:rsid w:val="00925758"/>
    <w:rsid w:val="00926B55"/>
    <w:rsid w:val="00932034"/>
    <w:rsid w:val="009325A7"/>
    <w:rsid w:val="00932D35"/>
    <w:rsid w:val="009347DF"/>
    <w:rsid w:val="00934C4B"/>
    <w:rsid w:val="00936245"/>
    <w:rsid w:val="009363A6"/>
    <w:rsid w:val="00936AE5"/>
    <w:rsid w:val="00937CCB"/>
    <w:rsid w:val="00941A1B"/>
    <w:rsid w:val="009427A8"/>
    <w:rsid w:val="00942CFA"/>
    <w:rsid w:val="00943D90"/>
    <w:rsid w:val="009449F6"/>
    <w:rsid w:val="00945240"/>
    <w:rsid w:val="009468F5"/>
    <w:rsid w:val="009476B4"/>
    <w:rsid w:val="00955625"/>
    <w:rsid w:val="009563A9"/>
    <w:rsid w:val="00956D12"/>
    <w:rsid w:val="00956D3C"/>
    <w:rsid w:val="00956E4B"/>
    <w:rsid w:val="0096002F"/>
    <w:rsid w:val="009615DF"/>
    <w:rsid w:val="00961E4C"/>
    <w:rsid w:val="009622EB"/>
    <w:rsid w:val="00962F9B"/>
    <w:rsid w:val="009648D6"/>
    <w:rsid w:val="00964B15"/>
    <w:rsid w:val="00965F2F"/>
    <w:rsid w:val="009660B4"/>
    <w:rsid w:val="00967EBC"/>
    <w:rsid w:val="00971212"/>
    <w:rsid w:val="009712C9"/>
    <w:rsid w:val="00971660"/>
    <w:rsid w:val="00972858"/>
    <w:rsid w:val="00972D75"/>
    <w:rsid w:val="009765BE"/>
    <w:rsid w:val="00976D24"/>
    <w:rsid w:val="00977DF4"/>
    <w:rsid w:val="009808D0"/>
    <w:rsid w:val="0098093B"/>
    <w:rsid w:val="00980A9F"/>
    <w:rsid w:val="00980B94"/>
    <w:rsid w:val="0098158F"/>
    <w:rsid w:val="00982EDA"/>
    <w:rsid w:val="00983159"/>
    <w:rsid w:val="0098369D"/>
    <w:rsid w:val="00985178"/>
    <w:rsid w:val="00985391"/>
    <w:rsid w:val="00985723"/>
    <w:rsid w:val="00986CA0"/>
    <w:rsid w:val="00992367"/>
    <w:rsid w:val="009927D9"/>
    <w:rsid w:val="00993A48"/>
    <w:rsid w:val="00993C04"/>
    <w:rsid w:val="009948D0"/>
    <w:rsid w:val="00994AB0"/>
    <w:rsid w:val="009950A2"/>
    <w:rsid w:val="00997509"/>
    <w:rsid w:val="009A027A"/>
    <w:rsid w:val="009A032C"/>
    <w:rsid w:val="009A0430"/>
    <w:rsid w:val="009A2526"/>
    <w:rsid w:val="009A2FD8"/>
    <w:rsid w:val="009A30F4"/>
    <w:rsid w:val="009A3291"/>
    <w:rsid w:val="009A3B72"/>
    <w:rsid w:val="009A428A"/>
    <w:rsid w:val="009A4316"/>
    <w:rsid w:val="009A4EED"/>
    <w:rsid w:val="009A56AD"/>
    <w:rsid w:val="009A6519"/>
    <w:rsid w:val="009A6971"/>
    <w:rsid w:val="009B1EED"/>
    <w:rsid w:val="009B33C4"/>
    <w:rsid w:val="009B3CF2"/>
    <w:rsid w:val="009B5ACA"/>
    <w:rsid w:val="009B6759"/>
    <w:rsid w:val="009B67A2"/>
    <w:rsid w:val="009B76B1"/>
    <w:rsid w:val="009C0013"/>
    <w:rsid w:val="009C0856"/>
    <w:rsid w:val="009C1A8D"/>
    <w:rsid w:val="009C1D82"/>
    <w:rsid w:val="009C35B3"/>
    <w:rsid w:val="009C3A06"/>
    <w:rsid w:val="009C3C47"/>
    <w:rsid w:val="009C4567"/>
    <w:rsid w:val="009C4BEB"/>
    <w:rsid w:val="009C5B3B"/>
    <w:rsid w:val="009C5C1F"/>
    <w:rsid w:val="009C6663"/>
    <w:rsid w:val="009C686F"/>
    <w:rsid w:val="009C6A65"/>
    <w:rsid w:val="009C6D02"/>
    <w:rsid w:val="009C6D2C"/>
    <w:rsid w:val="009C712C"/>
    <w:rsid w:val="009D027A"/>
    <w:rsid w:val="009D1B54"/>
    <w:rsid w:val="009D32FF"/>
    <w:rsid w:val="009D369E"/>
    <w:rsid w:val="009D3A70"/>
    <w:rsid w:val="009D4BD0"/>
    <w:rsid w:val="009D57FB"/>
    <w:rsid w:val="009D5841"/>
    <w:rsid w:val="009D6098"/>
    <w:rsid w:val="009D6375"/>
    <w:rsid w:val="009D643D"/>
    <w:rsid w:val="009D7400"/>
    <w:rsid w:val="009D795F"/>
    <w:rsid w:val="009E0D99"/>
    <w:rsid w:val="009E27D8"/>
    <w:rsid w:val="009E3B3A"/>
    <w:rsid w:val="009E5F4B"/>
    <w:rsid w:val="009E672D"/>
    <w:rsid w:val="009F0A90"/>
    <w:rsid w:val="009F1409"/>
    <w:rsid w:val="009F1AF0"/>
    <w:rsid w:val="009F2259"/>
    <w:rsid w:val="009F26C2"/>
    <w:rsid w:val="009F293F"/>
    <w:rsid w:val="009F4B45"/>
    <w:rsid w:val="009F4FFA"/>
    <w:rsid w:val="009F7521"/>
    <w:rsid w:val="00A0394C"/>
    <w:rsid w:val="00A03ECA"/>
    <w:rsid w:val="00A05D07"/>
    <w:rsid w:val="00A06EA2"/>
    <w:rsid w:val="00A07ED1"/>
    <w:rsid w:val="00A1077D"/>
    <w:rsid w:val="00A11C01"/>
    <w:rsid w:val="00A12E7B"/>
    <w:rsid w:val="00A13E36"/>
    <w:rsid w:val="00A16288"/>
    <w:rsid w:val="00A17D3E"/>
    <w:rsid w:val="00A17FE8"/>
    <w:rsid w:val="00A200A9"/>
    <w:rsid w:val="00A20901"/>
    <w:rsid w:val="00A21A3C"/>
    <w:rsid w:val="00A22DAA"/>
    <w:rsid w:val="00A23C05"/>
    <w:rsid w:val="00A246AE"/>
    <w:rsid w:val="00A2545C"/>
    <w:rsid w:val="00A27D2E"/>
    <w:rsid w:val="00A30DAF"/>
    <w:rsid w:val="00A313FC"/>
    <w:rsid w:val="00A31CC3"/>
    <w:rsid w:val="00A3202D"/>
    <w:rsid w:val="00A3283A"/>
    <w:rsid w:val="00A32B85"/>
    <w:rsid w:val="00A33937"/>
    <w:rsid w:val="00A33EED"/>
    <w:rsid w:val="00A35859"/>
    <w:rsid w:val="00A358DB"/>
    <w:rsid w:val="00A35BD3"/>
    <w:rsid w:val="00A36295"/>
    <w:rsid w:val="00A40452"/>
    <w:rsid w:val="00A40C1E"/>
    <w:rsid w:val="00A40F89"/>
    <w:rsid w:val="00A4133D"/>
    <w:rsid w:val="00A41DA9"/>
    <w:rsid w:val="00A42B32"/>
    <w:rsid w:val="00A42C80"/>
    <w:rsid w:val="00A42CDF"/>
    <w:rsid w:val="00A4310B"/>
    <w:rsid w:val="00A43487"/>
    <w:rsid w:val="00A444BF"/>
    <w:rsid w:val="00A50471"/>
    <w:rsid w:val="00A512DB"/>
    <w:rsid w:val="00A517E7"/>
    <w:rsid w:val="00A51C96"/>
    <w:rsid w:val="00A53543"/>
    <w:rsid w:val="00A54276"/>
    <w:rsid w:val="00A542CF"/>
    <w:rsid w:val="00A54A45"/>
    <w:rsid w:val="00A54ECF"/>
    <w:rsid w:val="00A553DE"/>
    <w:rsid w:val="00A55D95"/>
    <w:rsid w:val="00A55DA9"/>
    <w:rsid w:val="00A56DEA"/>
    <w:rsid w:val="00A56EC4"/>
    <w:rsid w:val="00A578EF"/>
    <w:rsid w:val="00A60780"/>
    <w:rsid w:val="00A612B7"/>
    <w:rsid w:val="00A6197C"/>
    <w:rsid w:val="00A61DAC"/>
    <w:rsid w:val="00A6357E"/>
    <w:rsid w:val="00A652E7"/>
    <w:rsid w:val="00A669B0"/>
    <w:rsid w:val="00A66EA3"/>
    <w:rsid w:val="00A71618"/>
    <w:rsid w:val="00A719ED"/>
    <w:rsid w:val="00A7398C"/>
    <w:rsid w:val="00A73A5D"/>
    <w:rsid w:val="00A7526E"/>
    <w:rsid w:val="00A7577C"/>
    <w:rsid w:val="00A760DD"/>
    <w:rsid w:val="00A76EE2"/>
    <w:rsid w:val="00A807F9"/>
    <w:rsid w:val="00A80851"/>
    <w:rsid w:val="00A8091D"/>
    <w:rsid w:val="00A83477"/>
    <w:rsid w:val="00A84BC3"/>
    <w:rsid w:val="00A85AA1"/>
    <w:rsid w:val="00A87132"/>
    <w:rsid w:val="00A87A62"/>
    <w:rsid w:val="00A901F7"/>
    <w:rsid w:val="00A924E7"/>
    <w:rsid w:val="00A92B10"/>
    <w:rsid w:val="00A92FE2"/>
    <w:rsid w:val="00A93B26"/>
    <w:rsid w:val="00A93CBE"/>
    <w:rsid w:val="00A944D2"/>
    <w:rsid w:val="00A94688"/>
    <w:rsid w:val="00A94CC4"/>
    <w:rsid w:val="00A95038"/>
    <w:rsid w:val="00A961F2"/>
    <w:rsid w:val="00A96C00"/>
    <w:rsid w:val="00A97E85"/>
    <w:rsid w:val="00AA095D"/>
    <w:rsid w:val="00AA1893"/>
    <w:rsid w:val="00AA2011"/>
    <w:rsid w:val="00AA30C7"/>
    <w:rsid w:val="00AA33BC"/>
    <w:rsid w:val="00AA3599"/>
    <w:rsid w:val="00AA4FFF"/>
    <w:rsid w:val="00AB1845"/>
    <w:rsid w:val="00AB1A3B"/>
    <w:rsid w:val="00AB21BD"/>
    <w:rsid w:val="00AB21C7"/>
    <w:rsid w:val="00AB24AC"/>
    <w:rsid w:val="00AB251F"/>
    <w:rsid w:val="00AB2FE1"/>
    <w:rsid w:val="00AB33B9"/>
    <w:rsid w:val="00AB39E8"/>
    <w:rsid w:val="00AB5938"/>
    <w:rsid w:val="00AB759F"/>
    <w:rsid w:val="00AC05C1"/>
    <w:rsid w:val="00AC0A2D"/>
    <w:rsid w:val="00AC0BCF"/>
    <w:rsid w:val="00AC0F85"/>
    <w:rsid w:val="00AC1F0A"/>
    <w:rsid w:val="00AC1F9C"/>
    <w:rsid w:val="00AC21DD"/>
    <w:rsid w:val="00AC248A"/>
    <w:rsid w:val="00AC367F"/>
    <w:rsid w:val="00AC57C6"/>
    <w:rsid w:val="00AC65F5"/>
    <w:rsid w:val="00AD024E"/>
    <w:rsid w:val="00AD02CA"/>
    <w:rsid w:val="00AD0AAE"/>
    <w:rsid w:val="00AD1027"/>
    <w:rsid w:val="00AD28A5"/>
    <w:rsid w:val="00AD2CE2"/>
    <w:rsid w:val="00AD3628"/>
    <w:rsid w:val="00AD77F8"/>
    <w:rsid w:val="00AD782E"/>
    <w:rsid w:val="00AD79EA"/>
    <w:rsid w:val="00AE09C2"/>
    <w:rsid w:val="00AE1634"/>
    <w:rsid w:val="00AE3125"/>
    <w:rsid w:val="00AE3553"/>
    <w:rsid w:val="00AE4187"/>
    <w:rsid w:val="00AE41E7"/>
    <w:rsid w:val="00AE48BA"/>
    <w:rsid w:val="00AE6263"/>
    <w:rsid w:val="00AE74EF"/>
    <w:rsid w:val="00AF033D"/>
    <w:rsid w:val="00AF0597"/>
    <w:rsid w:val="00AF1E8C"/>
    <w:rsid w:val="00AF2B19"/>
    <w:rsid w:val="00AF4220"/>
    <w:rsid w:val="00AF432B"/>
    <w:rsid w:val="00AF4A36"/>
    <w:rsid w:val="00AF53F3"/>
    <w:rsid w:val="00AF62FA"/>
    <w:rsid w:val="00AF635C"/>
    <w:rsid w:val="00AF7731"/>
    <w:rsid w:val="00B0111F"/>
    <w:rsid w:val="00B01837"/>
    <w:rsid w:val="00B01E54"/>
    <w:rsid w:val="00B02C3F"/>
    <w:rsid w:val="00B03777"/>
    <w:rsid w:val="00B03ED7"/>
    <w:rsid w:val="00B04CD0"/>
    <w:rsid w:val="00B04CE7"/>
    <w:rsid w:val="00B050EA"/>
    <w:rsid w:val="00B07C47"/>
    <w:rsid w:val="00B1043D"/>
    <w:rsid w:val="00B10C0D"/>
    <w:rsid w:val="00B10C61"/>
    <w:rsid w:val="00B10E57"/>
    <w:rsid w:val="00B11446"/>
    <w:rsid w:val="00B11E43"/>
    <w:rsid w:val="00B1291A"/>
    <w:rsid w:val="00B15685"/>
    <w:rsid w:val="00B17104"/>
    <w:rsid w:val="00B172A3"/>
    <w:rsid w:val="00B20B39"/>
    <w:rsid w:val="00B21DB8"/>
    <w:rsid w:val="00B21F84"/>
    <w:rsid w:val="00B2203C"/>
    <w:rsid w:val="00B22AB3"/>
    <w:rsid w:val="00B23352"/>
    <w:rsid w:val="00B23D98"/>
    <w:rsid w:val="00B245D8"/>
    <w:rsid w:val="00B261DD"/>
    <w:rsid w:val="00B26BF2"/>
    <w:rsid w:val="00B271FC"/>
    <w:rsid w:val="00B275B3"/>
    <w:rsid w:val="00B27725"/>
    <w:rsid w:val="00B278A8"/>
    <w:rsid w:val="00B30A3A"/>
    <w:rsid w:val="00B31477"/>
    <w:rsid w:val="00B3190B"/>
    <w:rsid w:val="00B3269F"/>
    <w:rsid w:val="00B331AA"/>
    <w:rsid w:val="00B34189"/>
    <w:rsid w:val="00B347EC"/>
    <w:rsid w:val="00B35567"/>
    <w:rsid w:val="00B366F5"/>
    <w:rsid w:val="00B3750C"/>
    <w:rsid w:val="00B377E0"/>
    <w:rsid w:val="00B37883"/>
    <w:rsid w:val="00B41A6A"/>
    <w:rsid w:val="00B43D9A"/>
    <w:rsid w:val="00B444FC"/>
    <w:rsid w:val="00B4634E"/>
    <w:rsid w:val="00B46F0C"/>
    <w:rsid w:val="00B512E1"/>
    <w:rsid w:val="00B52107"/>
    <w:rsid w:val="00B53F83"/>
    <w:rsid w:val="00B54396"/>
    <w:rsid w:val="00B548A3"/>
    <w:rsid w:val="00B54C94"/>
    <w:rsid w:val="00B5668B"/>
    <w:rsid w:val="00B5793E"/>
    <w:rsid w:val="00B57B63"/>
    <w:rsid w:val="00B57C12"/>
    <w:rsid w:val="00B57C3E"/>
    <w:rsid w:val="00B60968"/>
    <w:rsid w:val="00B611FE"/>
    <w:rsid w:val="00B61BF2"/>
    <w:rsid w:val="00B61D17"/>
    <w:rsid w:val="00B62BC4"/>
    <w:rsid w:val="00B63554"/>
    <w:rsid w:val="00B63B37"/>
    <w:rsid w:val="00B6489E"/>
    <w:rsid w:val="00B64C09"/>
    <w:rsid w:val="00B6592C"/>
    <w:rsid w:val="00B65946"/>
    <w:rsid w:val="00B669BB"/>
    <w:rsid w:val="00B67523"/>
    <w:rsid w:val="00B6796C"/>
    <w:rsid w:val="00B67B3A"/>
    <w:rsid w:val="00B67B74"/>
    <w:rsid w:val="00B70131"/>
    <w:rsid w:val="00B70198"/>
    <w:rsid w:val="00B70620"/>
    <w:rsid w:val="00B71B87"/>
    <w:rsid w:val="00B72FC4"/>
    <w:rsid w:val="00B7405F"/>
    <w:rsid w:val="00B746CE"/>
    <w:rsid w:val="00B748A6"/>
    <w:rsid w:val="00B74BB6"/>
    <w:rsid w:val="00B7566F"/>
    <w:rsid w:val="00B75920"/>
    <w:rsid w:val="00B76953"/>
    <w:rsid w:val="00B77165"/>
    <w:rsid w:val="00B77C4A"/>
    <w:rsid w:val="00B77EB6"/>
    <w:rsid w:val="00B81145"/>
    <w:rsid w:val="00B82335"/>
    <w:rsid w:val="00B83B70"/>
    <w:rsid w:val="00B85D97"/>
    <w:rsid w:val="00B86A91"/>
    <w:rsid w:val="00B86EC9"/>
    <w:rsid w:val="00B8758F"/>
    <w:rsid w:val="00B87906"/>
    <w:rsid w:val="00B90809"/>
    <w:rsid w:val="00B94AA0"/>
    <w:rsid w:val="00B9552C"/>
    <w:rsid w:val="00B9618B"/>
    <w:rsid w:val="00BA055E"/>
    <w:rsid w:val="00BA0606"/>
    <w:rsid w:val="00BA07FA"/>
    <w:rsid w:val="00BA1606"/>
    <w:rsid w:val="00BA16F1"/>
    <w:rsid w:val="00BA3717"/>
    <w:rsid w:val="00BA47B7"/>
    <w:rsid w:val="00BB02BE"/>
    <w:rsid w:val="00BB06BE"/>
    <w:rsid w:val="00BB1780"/>
    <w:rsid w:val="00BB21AF"/>
    <w:rsid w:val="00BB24C4"/>
    <w:rsid w:val="00BB2703"/>
    <w:rsid w:val="00BB2BCE"/>
    <w:rsid w:val="00BB2C98"/>
    <w:rsid w:val="00BB3F2D"/>
    <w:rsid w:val="00BB3FB1"/>
    <w:rsid w:val="00BB4224"/>
    <w:rsid w:val="00BB4675"/>
    <w:rsid w:val="00BB7634"/>
    <w:rsid w:val="00BB7A04"/>
    <w:rsid w:val="00BC01D5"/>
    <w:rsid w:val="00BC0408"/>
    <w:rsid w:val="00BC04E0"/>
    <w:rsid w:val="00BC1186"/>
    <w:rsid w:val="00BC1A08"/>
    <w:rsid w:val="00BC1FEE"/>
    <w:rsid w:val="00BC376A"/>
    <w:rsid w:val="00BC48AE"/>
    <w:rsid w:val="00BC4C27"/>
    <w:rsid w:val="00BC5EB7"/>
    <w:rsid w:val="00BC65FD"/>
    <w:rsid w:val="00BC6CDD"/>
    <w:rsid w:val="00BC71F5"/>
    <w:rsid w:val="00BD078C"/>
    <w:rsid w:val="00BD11A4"/>
    <w:rsid w:val="00BD28D9"/>
    <w:rsid w:val="00BD4862"/>
    <w:rsid w:val="00BD520E"/>
    <w:rsid w:val="00BD5722"/>
    <w:rsid w:val="00BD5B03"/>
    <w:rsid w:val="00BD683F"/>
    <w:rsid w:val="00BD70A0"/>
    <w:rsid w:val="00BE003E"/>
    <w:rsid w:val="00BE0666"/>
    <w:rsid w:val="00BE1C25"/>
    <w:rsid w:val="00BE3154"/>
    <w:rsid w:val="00BE37E0"/>
    <w:rsid w:val="00BE4141"/>
    <w:rsid w:val="00BE5703"/>
    <w:rsid w:val="00BE5855"/>
    <w:rsid w:val="00BE6226"/>
    <w:rsid w:val="00BE7A74"/>
    <w:rsid w:val="00BF0D58"/>
    <w:rsid w:val="00BF1133"/>
    <w:rsid w:val="00BF36B7"/>
    <w:rsid w:val="00BF40F1"/>
    <w:rsid w:val="00BF4E48"/>
    <w:rsid w:val="00BF598D"/>
    <w:rsid w:val="00BF5AE5"/>
    <w:rsid w:val="00BF664F"/>
    <w:rsid w:val="00BF7137"/>
    <w:rsid w:val="00C0039B"/>
    <w:rsid w:val="00C01074"/>
    <w:rsid w:val="00C01170"/>
    <w:rsid w:val="00C0131C"/>
    <w:rsid w:val="00C02974"/>
    <w:rsid w:val="00C03CB0"/>
    <w:rsid w:val="00C07439"/>
    <w:rsid w:val="00C07D1A"/>
    <w:rsid w:val="00C133D2"/>
    <w:rsid w:val="00C138B5"/>
    <w:rsid w:val="00C17299"/>
    <w:rsid w:val="00C20591"/>
    <w:rsid w:val="00C21170"/>
    <w:rsid w:val="00C22303"/>
    <w:rsid w:val="00C22BCB"/>
    <w:rsid w:val="00C22E20"/>
    <w:rsid w:val="00C26D9F"/>
    <w:rsid w:val="00C27685"/>
    <w:rsid w:val="00C27AA0"/>
    <w:rsid w:val="00C27E75"/>
    <w:rsid w:val="00C30587"/>
    <w:rsid w:val="00C30A95"/>
    <w:rsid w:val="00C31998"/>
    <w:rsid w:val="00C3280A"/>
    <w:rsid w:val="00C329E8"/>
    <w:rsid w:val="00C3504C"/>
    <w:rsid w:val="00C35173"/>
    <w:rsid w:val="00C35265"/>
    <w:rsid w:val="00C36822"/>
    <w:rsid w:val="00C3780E"/>
    <w:rsid w:val="00C37871"/>
    <w:rsid w:val="00C41DE2"/>
    <w:rsid w:val="00C42D33"/>
    <w:rsid w:val="00C42DBC"/>
    <w:rsid w:val="00C432B9"/>
    <w:rsid w:val="00C437A8"/>
    <w:rsid w:val="00C43B26"/>
    <w:rsid w:val="00C447EF"/>
    <w:rsid w:val="00C45ACA"/>
    <w:rsid w:val="00C46503"/>
    <w:rsid w:val="00C50F03"/>
    <w:rsid w:val="00C5137C"/>
    <w:rsid w:val="00C51853"/>
    <w:rsid w:val="00C5369D"/>
    <w:rsid w:val="00C54CA7"/>
    <w:rsid w:val="00C56C75"/>
    <w:rsid w:val="00C57CB1"/>
    <w:rsid w:val="00C60214"/>
    <w:rsid w:val="00C6041B"/>
    <w:rsid w:val="00C60466"/>
    <w:rsid w:val="00C61743"/>
    <w:rsid w:val="00C64044"/>
    <w:rsid w:val="00C7044D"/>
    <w:rsid w:val="00C70B95"/>
    <w:rsid w:val="00C71C9D"/>
    <w:rsid w:val="00C71E55"/>
    <w:rsid w:val="00C74537"/>
    <w:rsid w:val="00C754B4"/>
    <w:rsid w:val="00C764B9"/>
    <w:rsid w:val="00C766E7"/>
    <w:rsid w:val="00C76E09"/>
    <w:rsid w:val="00C803BE"/>
    <w:rsid w:val="00C81F13"/>
    <w:rsid w:val="00C82E26"/>
    <w:rsid w:val="00C8330E"/>
    <w:rsid w:val="00C83BCC"/>
    <w:rsid w:val="00C8505E"/>
    <w:rsid w:val="00C863C8"/>
    <w:rsid w:val="00C8656C"/>
    <w:rsid w:val="00C901EC"/>
    <w:rsid w:val="00C91458"/>
    <w:rsid w:val="00C96679"/>
    <w:rsid w:val="00C977A0"/>
    <w:rsid w:val="00C97A4C"/>
    <w:rsid w:val="00CA0D17"/>
    <w:rsid w:val="00CA0E3A"/>
    <w:rsid w:val="00CA0F76"/>
    <w:rsid w:val="00CA1D22"/>
    <w:rsid w:val="00CA2EB0"/>
    <w:rsid w:val="00CA4C74"/>
    <w:rsid w:val="00CA5ED1"/>
    <w:rsid w:val="00CA6E19"/>
    <w:rsid w:val="00CA71E9"/>
    <w:rsid w:val="00CA7A6F"/>
    <w:rsid w:val="00CB03FB"/>
    <w:rsid w:val="00CB19C9"/>
    <w:rsid w:val="00CB52F2"/>
    <w:rsid w:val="00CB5D58"/>
    <w:rsid w:val="00CC0BD0"/>
    <w:rsid w:val="00CC523C"/>
    <w:rsid w:val="00CC53DB"/>
    <w:rsid w:val="00CC571A"/>
    <w:rsid w:val="00CC6224"/>
    <w:rsid w:val="00CC7681"/>
    <w:rsid w:val="00CD0988"/>
    <w:rsid w:val="00CD2747"/>
    <w:rsid w:val="00CD4622"/>
    <w:rsid w:val="00CD5402"/>
    <w:rsid w:val="00CD5684"/>
    <w:rsid w:val="00CD5A59"/>
    <w:rsid w:val="00CD5C28"/>
    <w:rsid w:val="00CD76CF"/>
    <w:rsid w:val="00CD79CA"/>
    <w:rsid w:val="00CE0D2B"/>
    <w:rsid w:val="00CE14FC"/>
    <w:rsid w:val="00CE219F"/>
    <w:rsid w:val="00CE2711"/>
    <w:rsid w:val="00CE3145"/>
    <w:rsid w:val="00CE3528"/>
    <w:rsid w:val="00CE3794"/>
    <w:rsid w:val="00CE41D3"/>
    <w:rsid w:val="00CE41E3"/>
    <w:rsid w:val="00CE45B5"/>
    <w:rsid w:val="00CE49DC"/>
    <w:rsid w:val="00CE51C3"/>
    <w:rsid w:val="00CE66F3"/>
    <w:rsid w:val="00CE73DB"/>
    <w:rsid w:val="00CF0859"/>
    <w:rsid w:val="00CF0BA1"/>
    <w:rsid w:val="00CF134C"/>
    <w:rsid w:val="00CF20E1"/>
    <w:rsid w:val="00CF2CC7"/>
    <w:rsid w:val="00CF341E"/>
    <w:rsid w:val="00CF3E4A"/>
    <w:rsid w:val="00CF5ACA"/>
    <w:rsid w:val="00CF5E72"/>
    <w:rsid w:val="00CF6850"/>
    <w:rsid w:val="00CF7548"/>
    <w:rsid w:val="00D00D84"/>
    <w:rsid w:val="00D03FD1"/>
    <w:rsid w:val="00D04EE3"/>
    <w:rsid w:val="00D05CC0"/>
    <w:rsid w:val="00D07333"/>
    <w:rsid w:val="00D079BC"/>
    <w:rsid w:val="00D10CE6"/>
    <w:rsid w:val="00D10E2F"/>
    <w:rsid w:val="00D1182C"/>
    <w:rsid w:val="00D12CF8"/>
    <w:rsid w:val="00D12FA4"/>
    <w:rsid w:val="00D12FED"/>
    <w:rsid w:val="00D1388E"/>
    <w:rsid w:val="00D16549"/>
    <w:rsid w:val="00D1683A"/>
    <w:rsid w:val="00D16C7D"/>
    <w:rsid w:val="00D17198"/>
    <w:rsid w:val="00D1744B"/>
    <w:rsid w:val="00D20909"/>
    <w:rsid w:val="00D20C39"/>
    <w:rsid w:val="00D21177"/>
    <w:rsid w:val="00D21207"/>
    <w:rsid w:val="00D22700"/>
    <w:rsid w:val="00D22FDE"/>
    <w:rsid w:val="00D23706"/>
    <w:rsid w:val="00D23BB9"/>
    <w:rsid w:val="00D25AD0"/>
    <w:rsid w:val="00D27E54"/>
    <w:rsid w:val="00D306F3"/>
    <w:rsid w:val="00D30AEE"/>
    <w:rsid w:val="00D30C79"/>
    <w:rsid w:val="00D3557D"/>
    <w:rsid w:val="00D355CB"/>
    <w:rsid w:val="00D402B6"/>
    <w:rsid w:val="00D40B6D"/>
    <w:rsid w:val="00D41E16"/>
    <w:rsid w:val="00D4207E"/>
    <w:rsid w:val="00D43556"/>
    <w:rsid w:val="00D43840"/>
    <w:rsid w:val="00D443D9"/>
    <w:rsid w:val="00D448E2"/>
    <w:rsid w:val="00D4530C"/>
    <w:rsid w:val="00D454A5"/>
    <w:rsid w:val="00D47487"/>
    <w:rsid w:val="00D5065D"/>
    <w:rsid w:val="00D508A9"/>
    <w:rsid w:val="00D517F9"/>
    <w:rsid w:val="00D53422"/>
    <w:rsid w:val="00D537A5"/>
    <w:rsid w:val="00D54603"/>
    <w:rsid w:val="00D55DBA"/>
    <w:rsid w:val="00D5619C"/>
    <w:rsid w:val="00D572F9"/>
    <w:rsid w:val="00D5732F"/>
    <w:rsid w:val="00D57940"/>
    <w:rsid w:val="00D6046E"/>
    <w:rsid w:val="00D607CA"/>
    <w:rsid w:val="00D60A5B"/>
    <w:rsid w:val="00D6129B"/>
    <w:rsid w:val="00D61E33"/>
    <w:rsid w:val="00D63019"/>
    <w:rsid w:val="00D64689"/>
    <w:rsid w:val="00D662D8"/>
    <w:rsid w:val="00D67194"/>
    <w:rsid w:val="00D672CD"/>
    <w:rsid w:val="00D67EF8"/>
    <w:rsid w:val="00D700ED"/>
    <w:rsid w:val="00D71159"/>
    <w:rsid w:val="00D712C0"/>
    <w:rsid w:val="00D71D42"/>
    <w:rsid w:val="00D722CA"/>
    <w:rsid w:val="00D727A6"/>
    <w:rsid w:val="00D72B75"/>
    <w:rsid w:val="00D73CDD"/>
    <w:rsid w:val="00D765DB"/>
    <w:rsid w:val="00D77BBD"/>
    <w:rsid w:val="00D80A86"/>
    <w:rsid w:val="00D8250F"/>
    <w:rsid w:val="00D83048"/>
    <w:rsid w:val="00D83551"/>
    <w:rsid w:val="00D844C5"/>
    <w:rsid w:val="00D85B24"/>
    <w:rsid w:val="00D85BC8"/>
    <w:rsid w:val="00D867E7"/>
    <w:rsid w:val="00D87B6D"/>
    <w:rsid w:val="00D90A70"/>
    <w:rsid w:val="00D90B0A"/>
    <w:rsid w:val="00D91A85"/>
    <w:rsid w:val="00D9278C"/>
    <w:rsid w:val="00D969B0"/>
    <w:rsid w:val="00DA0BB0"/>
    <w:rsid w:val="00DA0EC1"/>
    <w:rsid w:val="00DA18EF"/>
    <w:rsid w:val="00DA4AC8"/>
    <w:rsid w:val="00DA529F"/>
    <w:rsid w:val="00DA54FC"/>
    <w:rsid w:val="00DA569A"/>
    <w:rsid w:val="00DA5788"/>
    <w:rsid w:val="00DA7462"/>
    <w:rsid w:val="00DB00B9"/>
    <w:rsid w:val="00DB0A45"/>
    <w:rsid w:val="00DB23B7"/>
    <w:rsid w:val="00DB289F"/>
    <w:rsid w:val="00DB2DAE"/>
    <w:rsid w:val="00DB3228"/>
    <w:rsid w:val="00DB3938"/>
    <w:rsid w:val="00DB449E"/>
    <w:rsid w:val="00DB5FA0"/>
    <w:rsid w:val="00DB6C46"/>
    <w:rsid w:val="00DC0C56"/>
    <w:rsid w:val="00DC2755"/>
    <w:rsid w:val="00DC3401"/>
    <w:rsid w:val="00DC45F4"/>
    <w:rsid w:val="00DC4662"/>
    <w:rsid w:val="00DC4E42"/>
    <w:rsid w:val="00DD01DC"/>
    <w:rsid w:val="00DD201E"/>
    <w:rsid w:val="00DD2F95"/>
    <w:rsid w:val="00DD579F"/>
    <w:rsid w:val="00DD57B4"/>
    <w:rsid w:val="00DE0260"/>
    <w:rsid w:val="00DE0E18"/>
    <w:rsid w:val="00DE1CD5"/>
    <w:rsid w:val="00DE2923"/>
    <w:rsid w:val="00DE4497"/>
    <w:rsid w:val="00DE61BF"/>
    <w:rsid w:val="00DE6671"/>
    <w:rsid w:val="00DE6DC8"/>
    <w:rsid w:val="00DE7794"/>
    <w:rsid w:val="00DF08FE"/>
    <w:rsid w:val="00DF1B7A"/>
    <w:rsid w:val="00DF4519"/>
    <w:rsid w:val="00DF476B"/>
    <w:rsid w:val="00DF6D79"/>
    <w:rsid w:val="00DF766E"/>
    <w:rsid w:val="00E011AC"/>
    <w:rsid w:val="00E013F5"/>
    <w:rsid w:val="00E0176E"/>
    <w:rsid w:val="00E022E6"/>
    <w:rsid w:val="00E03809"/>
    <w:rsid w:val="00E03A34"/>
    <w:rsid w:val="00E04F98"/>
    <w:rsid w:val="00E069F7"/>
    <w:rsid w:val="00E1217D"/>
    <w:rsid w:val="00E14D50"/>
    <w:rsid w:val="00E14DFE"/>
    <w:rsid w:val="00E15505"/>
    <w:rsid w:val="00E15602"/>
    <w:rsid w:val="00E17C87"/>
    <w:rsid w:val="00E20F2D"/>
    <w:rsid w:val="00E24696"/>
    <w:rsid w:val="00E24A4B"/>
    <w:rsid w:val="00E25EE0"/>
    <w:rsid w:val="00E268AA"/>
    <w:rsid w:val="00E30164"/>
    <w:rsid w:val="00E314C9"/>
    <w:rsid w:val="00E334F9"/>
    <w:rsid w:val="00E341A1"/>
    <w:rsid w:val="00E358BD"/>
    <w:rsid w:val="00E369F3"/>
    <w:rsid w:val="00E36A9C"/>
    <w:rsid w:val="00E37D78"/>
    <w:rsid w:val="00E4063B"/>
    <w:rsid w:val="00E40831"/>
    <w:rsid w:val="00E42BB9"/>
    <w:rsid w:val="00E43378"/>
    <w:rsid w:val="00E43D4C"/>
    <w:rsid w:val="00E4579D"/>
    <w:rsid w:val="00E46530"/>
    <w:rsid w:val="00E46B43"/>
    <w:rsid w:val="00E473C6"/>
    <w:rsid w:val="00E50AF7"/>
    <w:rsid w:val="00E5185B"/>
    <w:rsid w:val="00E51BAC"/>
    <w:rsid w:val="00E52DF0"/>
    <w:rsid w:val="00E54A4A"/>
    <w:rsid w:val="00E565CD"/>
    <w:rsid w:val="00E56E8E"/>
    <w:rsid w:val="00E603F5"/>
    <w:rsid w:val="00E60EBB"/>
    <w:rsid w:val="00E620C7"/>
    <w:rsid w:val="00E6215C"/>
    <w:rsid w:val="00E6241B"/>
    <w:rsid w:val="00E6265E"/>
    <w:rsid w:val="00E6591F"/>
    <w:rsid w:val="00E66F52"/>
    <w:rsid w:val="00E67232"/>
    <w:rsid w:val="00E70535"/>
    <w:rsid w:val="00E70648"/>
    <w:rsid w:val="00E720D5"/>
    <w:rsid w:val="00E7245B"/>
    <w:rsid w:val="00E726F0"/>
    <w:rsid w:val="00E729F8"/>
    <w:rsid w:val="00E72F38"/>
    <w:rsid w:val="00E73223"/>
    <w:rsid w:val="00E74933"/>
    <w:rsid w:val="00E76C51"/>
    <w:rsid w:val="00E80283"/>
    <w:rsid w:val="00E829A9"/>
    <w:rsid w:val="00E84A1D"/>
    <w:rsid w:val="00E84A51"/>
    <w:rsid w:val="00E85359"/>
    <w:rsid w:val="00E862A5"/>
    <w:rsid w:val="00E86DA7"/>
    <w:rsid w:val="00E87881"/>
    <w:rsid w:val="00E90094"/>
    <w:rsid w:val="00E91677"/>
    <w:rsid w:val="00E917E0"/>
    <w:rsid w:val="00E91D13"/>
    <w:rsid w:val="00E92A98"/>
    <w:rsid w:val="00E9310D"/>
    <w:rsid w:val="00E93530"/>
    <w:rsid w:val="00E96524"/>
    <w:rsid w:val="00E968A7"/>
    <w:rsid w:val="00E96AB3"/>
    <w:rsid w:val="00E96C36"/>
    <w:rsid w:val="00EA1FB3"/>
    <w:rsid w:val="00EA243A"/>
    <w:rsid w:val="00EA2719"/>
    <w:rsid w:val="00EA2C20"/>
    <w:rsid w:val="00EA3674"/>
    <w:rsid w:val="00EA36D3"/>
    <w:rsid w:val="00EA39A5"/>
    <w:rsid w:val="00EA3B73"/>
    <w:rsid w:val="00EA4099"/>
    <w:rsid w:val="00EA4D8A"/>
    <w:rsid w:val="00EA4E43"/>
    <w:rsid w:val="00EA6BCB"/>
    <w:rsid w:val="00EA7E38"/>
    <w:rsid w:val="00EB017F"/>
    <w:rsid w:val="00EB1188"/>
    <w:rsid w:val="00EB23A9"/>
    <w:rsid w:val="00EB267E"/>
    <w:rsid w:val="00EB378B"/>
    <w:rsid w:val="00EB4DF5"/>
    <w:rsid w:val="00EB56D5"/>
    <w:rsid w:val="00EB58B1"/>
    <w:rsid w:val="00EB699F"/>
    <w:rsid w:val="00EC0C37"/>
    <w:rsid w:val="00EC405C"/>
    <w:rsid w:val="00EC4CBB"/>
    <w:rsid w:val="00EC5B5F"/>
    <w:rsid w:val="00EC68B6"/>
    <w:rsid w:val="00EC6F87"/>
    <w:rsid w:val="00EC79B1"/>
    <w:rsid w:val="00EC7F89"/>
    <w:rsid w:val="00ED08DB"/>
    <w:rsid w:val="00ED15AD"/>
    <w:rsid w:val="00ED20BB"/>
    <w:rsid w:val="00ED21EC"/>
    <w:rsid w:val="00ED3907"/>
    <w:rsid w:val="00ED3D63"/>
    <w:rsid w:val="00ED5C58"/>
    <w:rsid w:val="00ED62A8"/>
    <w:rsid w:val="00EE0F08"/>
    <w:rsid w:val="00EE13B2"/>
    <w:rsid w:val="00EE17EE"/>
    <w:rsid w:val="00EE2C74"/>
    <w:rsid w:val="00EE59EC"/>
    <w:rsid w:val="00EE59ED"/>
    <w:rsid w:val="00EE6DEE"/>
    <w:rsid w:val="00EE6E13"/>
    <w:rsid w:val="00EE7BC3"/>
    <w:rsid w:val="00EF1913"/>
    <w:rsid w:val="00EF228D"/>
    <w:rsid w:val="00EF2897"/>
    <w:rsid w:val="00EF521D"/>
    <w:rsid w:val="00F0067B"/>
    <w:rsid w:val="00F01588"/>
    <w:rsid w:val="00F01BB8"/>
    <w:rsid w:val="00F02042"/>
    <w:rsid w:val="00F0232A"/>
    <w:rsid w:val="00F02624"/>
    <w:rsid w:val="00F02956"/>
    <w:rsid w:val="00F03360"/>
    <w:rsid w:val="00F03D14"/>
    <w:rsid w:val="00F06107"/>
    <w:rsid w:val="00F07317"/>
    <w:rsid w:val="00F07494"/>
    <w:rsid w:val="00F10678"/>
    <w:rsid w:val="00F110DB"/>
    <w:rsid w:val="00F1170F"/>
    <w:rsid w:val="00F11745"/>
    <w:rsid w:val="00F126E8"/>
    <w:rsid w:val="00F12F2E"/>
    <w:rsid w:val="00F178EE"/>
    <w:rsid w:val="00F179FA"/>
    <w:rsid w:val="00F208A3"/>
    <w:rsid w:val="00F227B0"/>
    <w:rsid w:val="00F22C3A"/>
    <w:rsid w:val="00F2400D"/>
    <w:rsid w:val="00F24F85"/>
    <w:rsid w:val="00F2586A"/>
    <w:rsid w:val="00F25EAB"/>
    <w:rsid w:val="00F264B8"/>
    <w:rsid w:val="00F27C9B"/>
    <w:rsid w:val="00F30B8B"/>
    <w:rsid w:val="00F3119F"/>
    <w:rsid w:val="00F3123F"/>
    <w:rsid w:val="00F31251"/>
    <w:rsid w:val="00F33F82"/>
    <w:rsid w:val="00F35CED"/>
    <w:rsid w:val="00F3683C"/>
    <w:rsid w:val="00F37BC2"/>
    <w:rsid w:val="00F42519"/>
    <w:rsid w:val="00F42A4F"/>
    <w:rsid w:val="00F42DF7"/>
    <w:rsid w:val="00F42FAA"/>
    <w:rsid w:val="00F4330D"/>
    <w:rsid w:val="00F43353"/>
    <w:rsid w:val="00F442B1"/>
    <w:rsid w:val="00F44668"/>
    <w:rsid w:val="00F44A16"/>
    <w:rsid w:val="00F44CE9"/>
    <w:rsid w:val="00F45023"/>
    <w:rsid w:val="00F46A30"/>
    <w:rsid w:val="00F475F7"/>
    <w:rsid w:val="00F47814"/>
    <w:rsid w:val="00F50E90"/>
    <w:rsid w:val="00F51609"/>
    <w:rsid w:val="00F51C42"/>
    <w:rsid w:val="00F53A30"/>
    <w:rsid w:val="00F54289"/>
    <w:rsid w:val="00F56CF3"/>
    <w:rsid w:val="00F61BD0"/>
    <w:rsid w:val="00F6237A"/>
    <w:rsid w:val="00F62C6B"/>
    <w:rsid w:val="00F62DD5"/>
    <w:rsid w:val="00F63E9A"/>
    <w:rsid w:val="00F653E2"/>
    <w:rsid w:val="00F67DBE"/>
    <w:rsid w:val="00F67F43"/>
    <w:rsid w:val="00F726F2"/>
    <w:rsid w:val="00F72AB5"/>
    <w:rsid w:val="00F73AE4"/>
    <w:rsid w:val="00F743CD"/>
    <w:rsid w:val="00F75F4A"/>
    <w:rsid w:val="00F7602C"/>
    <w:rsid w:val="00F76137"/>
    <w:rsid w:val="00F7698B"/>
    <w:rsid w:val="00F7717E"/>
    <w:rsid w:val="00F800E8"/>
    <w:rsid w:val="00F80E4B"/>
    <w:rsid w:val="00F82167"/>
    <w:rsid w:val="00F82DB5"/>
    <w:rsid w:val="00F83701"/>
    <w:rsid w:val="00F844A1"/>
    <w:rsid w:val="00F84A5F"/>
    <w:rsid w:val="00F84D47"/>
    <w:rsid w:val="00F85057"/>
    <w:rsid w:val="00F8623E"/>
    <w:rsid w:val="00F870FC"/>
    <w:rsid w:val="00F901DA"/>
    <w:rsid w:val="00F91B8C"/>
    <w:rsid w:val="00F92364"/>
    <w:rsid w:val="00F925F7"/>
    <w:rsid w:val="00F9287A"/>
    <w:rsid w:val="00F92912"/>
    <w:rsid w:val="00F9397D"/>
    <w:rsid w:val="00F93A7E"/>
    <w:rsid w:val="00F9471D"/>
    <w:rsid w:val="00F94AAE"/>
    <w:rsid w:val="00F94EA4"/>
    <w:rsid w:val="00F9785C"/>
    <w:rsid w:val="00FA068C"/>
    <w:rsid w:val="00FA0C75"/>
    <w:rsid w:val="00FA0C91"/>
    <w:rsid w:val="00FA0CB0"/>
    <w:rsid w:val="00FA2452"/>
    <w:rsid w:val="00FA31CF"/>
    <w:rsid w:val="00FA5DFB"/>
    <w:rsid w:val="00FA633F"/>
    <w:rsid w:val="00FB0953"/>
    <w:rsid w:val="00FB0BAF"/>
    <w:rsid w:val="00FB1DBD"/>
    <w:rsid w:val="00FB1DCA"/>
    <w:rsid w:val="00FB376D"/>
    <w:rsid w:val="00FB39B9"/>
    <w:rsid w:val="00FB7322"/>
    <w:rsid w:val="00FB76FB"/>
    <w:rsid w:val="00FC0474"/>
    <w:rsid w:val="00FC0506"/>
    <w:rsid w:val="00FC085F"/>
    <w:rsid w:val="00FC0D66"/>
    <w:rsid w:val="00FC0F5E"/>
    <w:rsid w:val="00FC166C"/>
    <w:rsid w:val="00FC2A8F"/>
    <w:rsid w:val="00FC2EF6"/>
    <w:rsid w:val="00FC43B8"/>
    <w:rsid w:val="00FC7559"/>
    <w:rsid w:val="00FD1A4D"/>
    <w:rsid w:val="00FD263B"/>
    <w:rsid w:val="00FD401B"/>
    <w:rsid w:val="00FD4822"/>
    <w:rsid w:val="00FD5A4A"/>
    <w:rsid w:val="00FD744B"/>
    <w:rsid w:val="00FD794A"/>
    <w:rsid w:val="00FD7E09"/>
    <w:rsid w:val="00FE05BE"/>
    <w:rsid w:val="00FE146A"/>
    <w:rsid w:val="00FE1B96"/>
    <w:rsid w:val="00FE1D82"/>
    <w:rsid w:val="00FE1FFD"/>
    <w:rsid w:val="00FE21BB"/>
    <w:rsid w:val="00FE2993"/>
    <w:rsid w:val="00FE3C89"/>
    <w:rsid w:val="00FE473A"/>
    <w:rsid w:val="00FE5546"/>
    <w:rsid w:val="00FE6D07"/>
    <w:rsid w:val="00FE7CBF"/>
    <w:rsid w:val="00FF1738"/>
    <w:rsid w:val="00FF640A"/>
    <w:rsid w:val="00FF6584"/>
    <w:rsid w:val="00FF68AE"/>
  </w:rsids>
  <w:docVars>
    <w:docVar w:name="KGWebUrl" w:val="http://idp.efunds.com.cn/api/v1/backend/docSyncController/downloadAnnFile.json?force=true&amp;fileName=61520211231110021004743%E6%98%93%E6%96%B9%E8%BE%BE%E4%B8%8A%E8%AF%81%E4%B8%AD%E7%9B%98%E4%BA%A4%E6%98%93%E5%9E%8B%E5%BC%80%E6%94%BE%E5%BC%8F%E6%8C%87%E6%95%B0%E8%AF%81%E5%88%B8%E6%8A%95%E8%B5%84%E5%9F%BA%E9%87%91%E8%81%94%E6%8E%A5%E5%9F%BA%E9%87%91%E6%9B%B4%E6%96%B0%E7%9A%84%E6%8B%9B%E5%8B%9F%E8%AF%B4%E6%98%8E%E4%B9%A6.docx&amp;fileId=ANN_DOC_10625&amp;t=1640346172456"/>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F2A0FDA0-65B9-4D1A-940E-C02E7627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E"/>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link w:val="1Char"/>
    <w:qFormat/>
    <w:rsid w:val="004B1B1E"/>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link w:val="2Char"/>
    <w:qFormat/>
    <w:rsid w:val="004B1B1E"/>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link w:val="3Char0"/>
    <w:qFormat/>
    <w:rsid w:val="004B1B1E"/>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link w:val="4Char"/>
    <w:qFormat/>
    <w:rsid w:val="004B1B1E"/>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Char"/>
    <w:qFormat/>
    <w:rsid w:val="004B1B1E"/>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link w:val="6Char"/>
    <w:qFormat/>
    <w:rsid w:val="004B1B1E"/>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link w:val="7Char"/>
    <w:qFormat/>
    <w:rsid w:val="004B1B1E"/>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link w:val="8Char"/>
    <w:qFormat/>
    <w:rsid w:val="004B1B1E"/>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link w:val="9Char"/>
    <w:qFormat/>
    <w:rsid w:val="004B1B1E"/>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3Char1"/>
    <w:rsid w:val="004B1B1E"/>
    <w:pPr>
      <w:spacing w:after="120"/>
    </w:pPr>
    <w:rPr>
      <w:sz w:val="16"/>
      <w:szCs w:val="16"/>
    </w:rPr>
  </w:style>
  <w:style w:type="paragraph" w:styleId="TOC1">
    <w:name w:val="toc 1"/>
    <w:basedOn w:val="Normal"/>
    <w:next w:val="Normal"/>
    <w:autoRedefine/>
    <w:uiPriority w:val="39"/>
    <w:rsid w:val="004B1B1E"/>
    <w:pPr>
      <w:tabs>
        <w:tab w:val="right" w:leader="dot" w:pos="8296"/>
      </w:tabs>
      <w:jc w:val="left"/>
    </w:pPr>
    <w:rPr>
      <w:rFonts w:ascii="宋体" w:eastAsia="黑体" w:hAnsi="宋体"/>
      <w:caps/>
      <w:noProof/>
      <w:sz w:val="24"/>
      <w:szCs w:val="28"/>
    </w:rPr>
  </w:style>
  <w:style w:type="paragraph" w:styleId="TOC2">
    <w:name w:val="toc 2"/>
    <w:basedOn w:val="Normal"/>
    <w:next w:val="Normal"/>
    <w:autoRedefine/>
    <w:uiPriority w:val="39"/>
    <w:rsid w:val="004B1B1E"/>
    <w:pPr>
      <w:tabs>
        <w:tab w:val="right" w:leader="dot" w:pos="8268"/>
      </w:tabs>
      <w:ind w:left="319" w:firstLine="731" w:leftChars="152" w:firstLineChars="348"/>
      <w:jc w:val="left"/>
    </w:pPr>
    <w:rPr>
      <w:rFonts w:eastAsia="仿宋_GB2312"/>
      <w:smallCaps/>
      <w:noProof/>
      <w:szCs w:val="20"/>
    </w:rPr>
  </w:style>
  <w:style w:type="paragraph" w:customStyle="1" w:styleId="1">
    <w:name w:val="样式 标题 1 + 黑体 非加粗"/>
    <w:basedOn w:val="Heading1"/>
    <w:rsid w:val="004B1B1E"/>
    <w:pPr>
      <w:pageBreakBefore/>
    </w:pPr>
    <w:rPr>
      <w:rFonts w:hAnsi="黑体"/>
      <w:b/>
    </w:rPr>
  </w:style>
  <w:style w:type="paragraph" w:customStyle="1" w:styleId="111">
    <w:name w:val="样式 标题 1 + 段前: 1 行 段后: 1 行"/>
    <w:basedOn w:val="Heading1"/>
    <w:rsid w:val="004B1B1E"/>
    <w:pPr>
      <w:pageBreakBefore/>
    </w:pPr>
    <w:rPr>
      <w:szCs w:val="20"/>
    </w:rPr>
  </w:style>
  <w:style w:type="paragraph" w:styleId="Header">
    <w:name w:val="header"/>
    <w:basedOn w:val="Normal"/>
    <w:link w:val="Char"/>
    <w:uiPriority w:val="99"/>
    <w:rsid w:val="004B1B1E"/>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customStyle="1" w:styleId="Char">
    <w:name w:val="页眉 Char"/>
    <w:basedOn w:val="DefaultParagraphFont"/>
    <w:link w:val="Header"/>
    <w:uiPriority w:val="99"/>
    <w:rsid w:val="00F3119F"/>
    <w:rPr>
      <w:rFonts w:eastAsia="仿宋_GB2312"/>
      <w:kern w:val="2"/>
      <w:sz w:val="18"/>
    </w:rPr>
  </w:style>
  <w:style w:type="character" w:styleId="PageNumber">
    <w:name w:val="page number"/>
    <w:basedOn w:val="DefaultParagraphFont"/>
    <w:rsid w:val="004B1B1E"/>
  </w:style>
  <w:style w:type="paragraph" w:styleId="Footer">
    <w:name w:val="footer"/>
    <w:basedOn w:val="Normal"/>
    <w:link w:val="Char0"/>
    <w:uiPriority w:val="99"/>
    <w:rsid w:val="004B1B1E"/>
    <w:pPr>
      <w:tabs>
        <w:tab w:val="center" w:pos="4153"/>
        <w:tab w:val="right" w:pos="8306"/>
      </w:tabs>
      <w:snapToGrid w:val="0"/>
      <w:ind w:firstLine="200" w:firstLineChars="200"/>
      <w:jc w:val="left"/>
    </w:pPr>
    <w:rPr>
      <w:rFonts w:eastAsia="仿宋_GB2312"/>
      <w:sz w:val="18"/>
      <w:szCs w:val="20"/>
    </w:rPr>
  </w:style>
  <w:style w:type="character" w:customStyle="1" w:styleId="Char0">
    <w:name w:val="页脚 Char"/>
    <w:basedOn w:val="DefaultParagraphFont"/>
    <w:link w:val="Footer"/>
    <w:uiPriority w:val="99"/>
    <w:rsid w:val="00F3119F"/>
    <w:rPr>
      <w:rFonts w:eastAsia="仿宋_GB2312"/>
      <w:kern w:val="2"/>
      <w:sz w:val="18"/>
    </w:rPr>
  </w:style>
  <w:style w:type="paragraph" w:styleId="Title">
    <w:name w:val="Title"/>
    <w:basedOn w:val="Normal"/>
    <w:link w:val="Char9"/>
    <w:qFormat/>
    <w:rsid w:val="004B1B1E"/>
    <w:pPr>
      <w:spacing w:before="240" w:after="60"/>
      <w:jc w:val="center"/>
      <w:outlineLvl w:val="0"/>
    </w:pPr>
    <w:rPr>
      <w:rFonts w:ascii="Arial" w:hAnsi="Arial" w:cs="Arial"/>
      <w:b/>
      <w:bCs/>
      <w:sz w:val="32"/>
      <w:szCs w:val="32"/>
    </w:rPr>
  </w:style>
  <w:style w:type="paragraph" w:styleId="Closing">
    <w:name w:val="Closing"/>
    <w:basedOn w:val="Normal"/>
    <w:link w:val="Char10"/>
    <w:rsid w:val="004B1B1E"/>
    <w:pPr>
      <w:ind w:left="100" w:leftChars="2100"/>
    </w:pPr>
  </w:style>
  <w:style w:type="paragraph" w:styleId="ListNumber">
    <w:name w:val="List Number"/>
    <w:basedOn w:val="Normal"/>
    <w:rsid w:val="004B1B1E"/>
    <w:pPr>
      <w:tabs>
        <w:tab w:val="num" w:pos="360"/>
      </w:tabs>
      <w:ind w:left="360" w:hanging="360" w:hangingChars="200"/>
    </w:pPr>
  </w:style>
  <w:style w:type="paragraph" w:styleId="ListNumber2">
    <w:name w:val="List Number 2"/>
    <w:basedOn w:val="Normal"/>
    <w:rsid w:val="004B1B1E"/>
    <w:pPr>
      <w:tabs>
        <w:tab w:val="num" w:pos="780"/>
      </w:tabs>
      <w:ind w:left="780" w:hanging="360" w:leftChars="200" w:hangingChars="200"/>
    </w:pPr>
  </w:style>
  <w:style w:type="paragraph" w:styleId="ListNumber3">
    <w:name w:val="List Number 3"/>
    <w:basedOn w:val="Normal"/>
    <w:rsid w:val="004B1B1E"/>
    <w:pPr>
      <w:tabs>
        <w:tab w:val="num" w:pos="1200"/>
      </w:tabs>
      <w:ind w:left="1200" w:hanging="360" w:leftChars="400" w:hangingChars="200"/>
    </w:pPr>
  </w:style>
  <w:style w:type="paragraph" w:styleId="ListNumber4">
    <w:name w:val="List Number 4"/>
    <w:basedOn w:val="Normal"/>
    <w:rsid w:val="004B1B1E"/>
    <w:pPr>
      <w:tabs>
        <w:tab w:val="num" w:pos="1620"/>
      </w:tabs>
      <w:ind w:left="1620" w:hanging="360" w:leftChars="600" w:hangingChars="200"/>
    </w:pPr>
  </w:style>
  <w:style w:type="paragraph" w:styleId="ListNumber5">
    <w:name w:val="List Number 5"/>
    <w:basedOn w:val="Normal"/>
    <w:rsid w:val="004B1B1E"/>
    <w:pPr>
      <w:tabs>
        <w:tab w:val="num" w:pos="2040"/>
      </w:tabs>
      <w:ind w:left="2040" w:hanging="360" w:leftChars="800" w:hangingChars="200"/>
    </w:pPr>
  </w:style>
  <w:style w:type="paragraph" w:styleId="ListBullet">
    <w:name w:val="List Bullet"/>
    <w:basedOn w:val="Normal"/>
    <w:autoRedefine/>
    <w:rsid w:val="004B1B1E"/>
    <w:pPr>
      <w:tabs>
        <w:tab w:val="num" w:pos="360"/>
      </w:tabs>
      <w:ind w:left="360" w:hanging="360" w:hangingChars="200"/>
    </w:pPr>
  </w:style>
  <w:style w:type="paragraph" w:styleId="ListBullet2">
    <w:name w:val="List Bullet 2"/>
    <w:basedOn w:val="Normal"/>
    <w:autoRedefine/>
    <w:rsid w:val="004B1B1E"/>
    <w:pPr>
      <w:tabs>
        <w:tab w:val="num" w:pos="780"/>
      </w:tabs>
      <w:ind w:left="780" w:hanging="360" w:leftChars="200" w:hangingChars="200"/>
    </w:pPr>
  </w:style>
  <w:style w:type="paragraph" w:styleId="ListBullet3">
    <w:name w:val="List Bullet 3"/>
    <w:basedOn w:val="Normal"/>
    <w:autoRedefine/>
    <w:rsid w:val="004B1B1E"/>
    <w:pPr>
      <w:tabs>
        <w:tab w:val="num" w:pos="1200"/>
      </w:tabs>
      <w:ind w:left="1200" w:hanging="360" w:leftChars="400" w:hangingChars="200"/>
    </w:pPr>
  </w:style>
  <w:style w:type="paragraph" w:styleId="ListBullet4">
    <w:name w:val="List Bullet 4"/>
    <w:basedOn w:val="Normal"/>
    <w:autoRedefine/>
    <w:rsid w:val="004C6FB5"/>
    <w:pPr>
      <w:tabs>
        <w:tab w:val="num" w:pos="0"/>
      </w:tabs>
      <w:autoSpaceDE w:val="0"/>
      <w:autoSpaceDN w:val="0"/>
      <w:adjustRightInd w:val="0"/>
      <w:spacing w:line="360" w:lineRule="auto"/>
      <w:ind w:firstLine="420" w:firstLineChars="200"/>
    </w:pPr>
  </w:style>
  <w:style w:type="paragraph" w:styleId="ListBullet5">
    <w:name w:val="List Bullet 5"/>
    <w:basedOn w:val="Normal"/>
    <w:autoRedefine/>
    <w:rsid w:val="004B1B1E"/>
    <w:pPr>
      <w:tabs>
        <w:tab w:val="num" w:pos="2040"/>
      </w:tabs>
      <w:ind w:left="2040" w:hanging="360" w:leftChars="800" w:hangingChars="200"/>
    </w:pPr>
  </w:style>
  <w:style w:type="paragraph" w:styleId="TableofFigures">
    <w:name w:val="table of figures"/>
    <w:basedOn w:val="Normal"/>
    <w:next w:val="Normal"/>
    <w:semiHidden/>
    <w:rsid w:val="004B1B1E"/>
    <w:pPr>
      <w:ind w:left="840" w:hanging="420" w:leftChars="200" w:hangingChars="200"/>
    </w:pPr>
  </w:style>
  <w:style w:type="paragraph" w:styleId="BodyText">
    <w:name w:val="Body Text"/>
    <w:basedOn w:val="Normal"/>
    <w:link w:val="Char1"/>
    <w:rsid w:val="004B1B1E"/>
    <w:pPr>
      <w:spacing w:after="120"/>
    </w:pPr>
  </w:style>
  <w:style w:type="character" w:customStyle="1" w:styleId="Char1">
    <w:name w:val="正文文本 Char"/>
    <w:basedOn w:val="DefaultParagraphFont"/>
    <w:link w:val="BodyText"/>
    <w:rsid w:val="00F3119F"/>
    <w:rPr>
      <w:kern w:val="2"/>
      <w:sz w:val="21"/>
      <w:szCs w:val="24"/>
    </w:rPr>
  </w:style>
  <w:style w:type="paragraph" w:styleId="BodyTextFirstIndent">
    <w:name w:val="Body Text First Indent"/>
    <w:basedOn w:val="BodyText"/>
    <w:link w:val="Char7"/>
    <w:rsid w:val="004B1B1E"/>
    <w:pPr>
      <w:ind w:firstLine="420" w:firstLineChars="100"/>
    </w:pPr>
  </w:style>
  <w:style w:type="paragraph" w:styleId="BodyTextIndent">
    <w:name w:val="Body Text Indent"/>
    <w:basedOn w:val="Normal"/>
    <w:link w:val="Char11"/>
    <w:rsid w:val="004B1B1E"/>
    <w:pPr>
      <w:spacing w:after="120"/>
      <w:ind w:left="420"/>
    </w:pPr>
  </w:style>
  <w:style w:type="paragraph" w:styleId="NoteHeading">
    <w:name w:val="Note Heading"/>
    <w:basedOn w:val="Normal"/>
    <w:next w:val="Normal"/>
    <w:link w:val="Char13"/>
    <w:rsid w:val="004B1B1E"/>
    <w:pPr>
      <w:jc w:val="center"/>
    </w:pPr>
  </w:style>
  <w:style w:type="character" w:customStyle="1" w:styleId="da">
    <w:name w:val="da"/>
    <w:basedOn w:val="DefaultParagraphFont"/>
    <w:rsid w:val="004B1B1E"/>
  </w:style>
  <w:style w:type="paragraph" w:customStyle="1" w:styleId="a">
    <w:name w:val="特点"/>
    <w:aliases w:val="正文非缩进,段1,表正文"/>
    <w:basedOn w:val="Normal"/>
    <w:next w:val="NormalIndent"/>
    <w:rsid w:val="004B1B1E"/>
    <w:pPr>
      <w:ind w:firstLine="420"/>
    </w:pPr>
    <w:rPr>
      <w:szCs w:val="20"/>
    </w:rPr>
  </w:style>
  <w:style w:type="paragraph" w:styleId="NormalIndent">
    <w:name w:val="Normal Indent"/>
    <w:aliases w:val="ALT+Z,正文缩进1"/>
    <w:basedOn w:val="Normal"/>
    <w:rsid w:val="004B1B1E"/>
    <w:pPr>
      <w:ind w:firstLine="420"/>
    </w:pPr>
  </w:style>
  <w:style w:type="paragraph" w:styleId="BodyTextIndent3">
    <w:name w:val="Body Text Indent 3"/>
    <w:basedOn w:val="Normal"/>
    <w:link w:val="3Char"/>
    <w:rsid w:val="004B1B1E"/>
    <w:pPr>
      <w:spacing w:after="120"/>
      <w:ind w:left="420"/>
    </w:pPr>
    <w:rPr>
      <w:sz w:val="16"/>
      <w:szCs w:val="16"/>
    </w:rPr>
  </w:style>
  <w:style w:type="character" w:customStyle="1" w:styleId="3Char">
    <w:name w:val="正文文本缩进 3 Char"/>
    <w:basedOn w:val="DefaultParagraphFont"/>
    <w:link w:val="BodyTextIndent3"/>
    <w:rsid w:val="00F3119F"/>
    <w:rPr>
      <w:kern w:val="2"/>
      <w:sz w:val="16"/>
      <w:szCs w:val="16"/>
    </w:rPr>
  </w:style>
  <w:style w:type="paragraph" w:styleId="PlainText">
    <w:name w:val="Plain Text"/>
    <w:basedOn w:val="Normal"/>
    <w:link w:val="Char2"/>
    <w:rsid w:val="004B1B1E"/>
    <w:rPr>
      <w:rFonts w:ascii="宋体" w:hAnsi="Courier New" w:cs="Courier New"/>
      <w:szCs w:val="21"/>
    </w:rPr>
  </w:style>
  <w:style w:type="character" w:customStyle="1" w:styleId="Char2">
    <w:name w:val="纯文本 Char"/>
    <w:basedOn w:val="DefaultParagraphFont"/>
    <w:link w:val="PlainText"/>
    <w:locked/>
    <w:rsid w:val="004C0183"/>
    <w:rPr>
      <w:rFonts w:ascii="宋体" w:eastAsia="宋体" w:hAnsi="Courier New" w:cs="Courier New"/>
      <w:kern w:val="2"/>
      <w:sz w:val="21"/>
      <w:szCs w:val="21"/>
      <w:lang w:val="en-US" w:eastAsia="zh-CN" w:bidi="ar-SA"/>
    </w:rPr>
  </w:style>
  <w:style w:type="character" w:styleId="Hyperlink">
    <w:name w:val="Hyperlink"/>
    <w:basedOn w:val="DefaultParagraphFont"/>
    <w:uiPriority w:val="99"/>
    <w:rsid w:val="004B1B1E"/>
    <w:rPr>
      <w:color w:val="0000FF"/>
      <w:u w:val="single"/>
    </w:rPr>
  </w:style>
  <w:style w:type="paragraph" w:styleId="BodyTextIndent2">
    <w:name w:val="Body Text Indent 2"/>
    <w:basedOn w:val="Normal"/>
    <w:link w:val="2Char2"/>
    <w:rsid w:val="004B1B1E"/>
    <w:pPr>
      <w:spacing w:after="120" w:line="480" w:lineRule="auto"/>
      <w:ind w:left="420"/>
    </w:pPr>
  </w:style>
  <w:style w:type="paragraph" w:styleId="BodyText2">
    <w:name w:val="Body Text 2"/>
    <w:basedOn w:val="Normal"/>
    <w:link w:val="2Char1"/>
    <w:rsid w:val="004B1B1E"/>
    <w:pPr>
      <w:spacing w:after="120" w:line="480" w:lineRule="auto"/>
    </w:pPr>
  </w:style>
  <w:style w:type="character" w:styleId="FollowedHyperlink">
    <w:name w:val="FollowedHyperlink"/>
    <w:basedOn w:val="DefaultParagraphFont"/>
    <w:uiPriority w:val="99"/>
    <w:rsid w:val="004B1B1E"/>
    <w:rPr>
      <w:color w:val="800080"/>
      <w:u w:val="single"/>
    </w:rPr>
  </w:style>
  <w:style w:type="paragraph" w:styleId="HTMLPreformatted">
    <w:name w:val="HTML Preformatted"/>
    <w:basedOn w:val="Normal"/>
    <w:link w:val="HTMLChar"/>
    <w:uiPriority w:val="99"/>
    <w:rsid w:val="004B1B1E"/>
    <w:rPr>
      <w:rFonts w:ascii="Courier New" w:hAnsi="Courier New" w:cs="Courier New"/>
      <w:sz w:val="20"/>
      <w:szCs w:val="20"/>
    </w:rPr>
  </w:style>
  <w:style w:type="character" w:customStyle="1" w:styleId="HTMLChar">
    <w:name w:val="HTML 预设格式 Char"/>
    <w:basedOn w:val="DefaultParagraphFont"/>
    <w:link w:val="HTMLPreformatted"/>
    <w:uiPriority w:val="99"/>
    <w:rsid w:val="00F3119F"/>
    <w:rPr>
      <w:rFonts w:ascii="Courier New" w:hAnsi="Courier New" w:cs="Courier New"/>
      <w:kern w:val="2"/>
    </w:rPr>
  </w:style>
  <w:style w:type="paragraph" w:styleId="NormalWeb">
    <w:name w:val="Normal (Web)"/>
    <w:basedOn w:val="Normal"/>
    <w:rsid w:val="004B1B1E"/>
    <w:rPr>
      <w:sz w:val="24"/>
    </w:rPr>
  </w:style>
  <w:style w:type="paragraph" w:styleId="Subtitle">
    <w:name w:val="Subtitle"/>
    <w:basedOn w:val="Normal"/>
    <w:link w:val="Char12"/>
    <w:qFormat/>
    <w:rsid w:val="004B1B1E"/>
    <w:pPr>
      <w:spacing w:before="240" w:after="60" w:line="312" w:lineRule="auto"/>
      <w:jc w:val="center"/>
      <w:outlineLvl w:val="1"/>
    </w:pPr>
    <w:rPr>
      <w:rFonts w:ascii="Arial" w:hAnsi="Arial" w:cs="Arial"/>
      <w:b/>
      <w:bCs/>
      <w:kern w:val="28"/>
      <w:sz w:val="32"/>
      <w:szCs w:val="32"/>
    </w:rPr>
  </w:style>
  <w:style w:type="paragraph" w:styleId="BlockText">
    <w:name w:val="Block Text"/>
    <w:basedOn w:val="Normal"/>
    <w:rsid w:val="004B1B1E"/>
    <w:pPr>
      <w:spacing w:after="120"/>
      <w:ind w:left="1440" w:right="1440"/>
    </w:pPr>
  </w:style>
  <w:style w:type="character" w:styleId="Strong">
    <w:name w:val="Strong"/>
    <w:basedOn w:val="DefaultParagraphFont"/>
    <w:qFormat/>
    <w:rsid w:val="004B1B1E"/>
    <w:rPr>
      <w:b/>
      <w:bCs/>
    </w:rPr>
  </w:style>
  <w:style w:type="paragraph" w:styleId="DocumentMap">
    <w:name w:val="Document Map"/>
    <w:basedOn w:val="Normal"/>
    <w:link w:val="Char6"/>
    <w:rsid w:val="004B1B1E"/>
    <w:pPr>
      <w:shd w:val="clear" w:color="auto" w:fill="000080"/>
    </w:pPr>
  </w:style>
  <w:style w:type="character" w:styleId="FootnoteReference">
    <w:name w:val="footnote reference"/>
    <w:basedOn w:val="DefaultParagraphFont"/>
    <w:rsid w:val="004B1B1E"/>
    <w:rPr>
      <w:vertAlign w:val="superscript"/>
    </w:rPr>
  </w:style>
  <w:style w:type="paragraph" w:styleId="BalloonText">
    <w:name w:val="Balloon Text"/>
    <w:basedOn w:val="Normal"/>
    <w:link w:val="Char3"/>
    <w:semiHidden/>
    <w:rsid w:val="004B1B1E"/>
    <w:rPr>
      <w:sz w:val="18"/>
      <w:szCs w:val="18"/>
    </w:rPr>
  </w:style>
  <w:style w:type="character" w:customStyle="1" w:styleId="Char3">
    <w:name w:val="批注框文本 Char"/>
    <w:basedOn w:val="DefaultParagraphFont"/>
    <w:link w:val="BalloonText"/>
    <w:semiHidden/>
    <w:rsid w:val="00F3119F"/>
    <w:rPr>
      <w:kern w:val="2"/>
      <w:sz w:val="18"/>
      <w:szCs w:val="18"/>
    </w:rPr>
  </w:style>
  <w:style w:type="character" w:customStyle="1" w:styleId="read">
    <w:name w:val="read"/>
    <w:basedOn w:val="DefaultParagraphFont"/>
    <w:rsid w:val="004B1B1E"/>
  </w:style>
  <w:style w:type="paragraph" w:styleId="CommentSubject">
    <w:name w:val="annotation subject"/>
    <w:basedOn w:val="CommentText"/>
    <w:next w:val="CommentText"/>
    <w:link w:val="Char14"/>
    <w:semiHidden/>
    <w:rsid w:val="004B1B1E"/>
    <w:rPr>
      <w:b/>
      <w:bCs/>
    </w:rPr>
  </w:style>
  <w:style w:type="paragraph" w:styleId="CommentText">
    <w:name w:val="annotation text"/>
    <w:basedOn w:val="Normal"/>
    <w:link w:val="Char5"/>
    <w:rsid w:val="004B1B1E"/>
    <w:pPr>
      <w:jc w:val="left"/>
    </w:pPr>
  </w:style>
  <w:style w:type="character" w:styleId="CommentReference">
    <w:name w:val="annotation reference"/>
    <w:basedOn w:val="DefaultParagraphFont"/>
    <w:rsid w:val="004B1B1E"/>
    <w:rPr>
      <w:sz w:val="21"/>
      <w:szCs w:val="21"/>
    </w:rPr>
  </w:style>
  <w:style w:type="table" w:styleId="TableTheme">
    <w:name w:val="Table Theme"/>
    <w:basedOn w:val="TableNormal"/>
    <w:rsid w:val="009A42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4348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uiPriority w:val="99"/>
    <w:rsid w:val="004C0183"/>
    <w:rPr>
      <w:rFonts w:ascii="黑体" w:eastAsia="黑体" w:hAnsi="Courier New" w:cs="Courier New"/>
      <w:sz w:val="20"/>
      <w:szCs w:val="20"/>
    </w:rPr>
  </w:style>
  <w:style w:type="paragraph" w:styleId="Revision">
    <w:name w:val="Revision"/>
    <w:hidden/>
    <w:uiPriority w:val="99"/>
    <w:semiHidden/>
    <w:rsid w:val="000E13FF"/>
    <w:rPr>
      <w:kern w:val="2"/>
      <w:sz w:val="21"/>
      <w:szCs w:val="24"/>
    </w:rPr>
  </w:style>
  <w:style w:type="paragraph" w:styleId="NoSpacing">
    <w:name w:val="No Spacing"/>
    <w:link w:val="Char4"/>
    <w:uiPriority w:val="1"/>
    <w:qFormat/>
    <w:rsid w:val="004D637B"/>
    <w:rPr>
      <w:rFonts w:ascii="Calibri" w:hAnsi="Calibri"/>
      <w:sz w:val="22"/>
      <w:szCs w:val="22"/>
    </w:rPr>
  </w:style>
  <w:style w:type="character" w:customStyle="1" w:styleId="Char4">
    <w:name w:val="无间隔 Char"/>
    <w:basedOn w:val="DefaultParagraphFont"/>
    <w:link w:val="NoSpacing"/>
    <w:uiPriority w:val="1"/>
    <w:rsid w:val="004D637B"/>
    <w:rPr>
      <w:rFonts w:ascii="Calibri" w:hAnsi="Calibri"/>
      <w:sz w:val="22"/>
      <w:szCs w:val="22"/>
      <w:lang w:val="en-US" w:eastAsia="zh-CN" w:bidi="ar-SA"/>
    </w:rPr>
  </w:style>
  <w:style w:type="paragraph" w:styleId="TOC3">
    <w:name w:val="toc 3"/>
    <w:basedOn w:val="Normal"/>
    <w:next w:val="Normal"/>
    <w:autoRedefine/>
    <w:uiPriority w:val="39"/>
    <w:unhideWhenUsed/>
    <w:rsid w:val="00651101"/>
    <w:pPr>
      <w:ind w:left="840" w:leftChars="400"/>
    </w:pPr>
    <w:rPr>
      <w:rFonts w:ascii="Calibri" w:hAnsi="Calibri"/>
      <w:szCs w:val="22"/>
    </w:rPr>
  </w:style>
  <w:style w:type="paragraph" w:styleId="TOC4">
    <w:name w:val="toc 4"/>
    <w:basedOn w:val="Normal"/>
    <w:next w:val="Normal"/>
    <w:autoRedefine/>
    <w:uiPriority w:val="39"/>
    <w:unhideWhenUsed/>
    <w:rsid w:val="00651101"/>
    <w:pPr>
      <w:ind w:left="1260" w:leftChars="600"/>
    </w:pPr>
    <w:rPr>
      <w:rFonts w:ascii="Calibri" w:hAnsi="Calibri"/>
      <w:szCs w:val="22"/>
    </w:rPr>
  </w:style>
  <w:style w:type="paragraph" w:styleId="TOC5">
    <w:name w:val="toc 5"/>
    <w:basedOn w:val="Normal"/>
    <w:next w:val="Normal"/>
    <w:autoRedefine/>
    <w:uiPriority w:val="39"/>
    <w:unhideWhenUsed/>
    <w:rsid w:val="00651101"/>
    <w:pPr>
      <w:ind w:left="1680" w:leftChars="800"/>
    </w:pPr>
    <w:rPr>
      <w:rFonts w:ascii="Calibri" w:hAnsi="Calibri"/>
      <w:szCs w:val="22"/>
    </w:rPr>
  </w:style>
  <w:style w:type="paragraph" w:styleId="TOC6">
    <w:name w:val="toc 6"/>
    <w:basedOn w:val="Normal"/>
    <w:next w:val="Normal"/>
    <w:autoRedefine/>
    <w:uiPriority w:val="39"/>
    <w:unhideWhenUsed/>
    <w:rsid w:val="00651101"/>
    <w:pPr>
      <w:ind w:left="2100" w:leftChars="1000"/>
    </w:pPr>
    <w:rPr>
      <w:rFonts w:ascii="Calibri" w:hAnsi="Calibri"/>
      <w:szCs w:val="22"/>
    </w:rPr>
  </w:style>
  <w:style w:type="paragraph" w:styleId="TOC7">
    <w:name w:val="toc 7"/>
    <w:basedOn w:val="Normal"/>
    <w:next w:val="Normal"/>
    <w:autoRedefine/>
    <w:uiPriority w:val="39"/>
    <w:unhideWhenUsed/>
    <w:rsid w:val="00651101"/>
    <w:pPr>
      <w:ind w:left="2520" w:leftChars="1200"/>
    </w:pPr>
    <w:rPr>
      <w:rFonts w:ascii="Calibri" w:hAnsi="Calibri"/>
      <w:szCs w:val="22"/>
    </w:rPr>
  </w:style>
  <w:style w:type="paragraph" w:styleId="TOC8">
    <w:name w:val="toc 8"/>
    <w:basedOn w:val="Normal"/>
    <w:next w:val="Normal"/>
    <w:autoRedefine/>
    <w:uiPriority w:val="39"/>
    <w:unhideWhenUsed/>
    <w:rsid w:val="00651101"/>
    <w:pPr>
      <w:ind w:left="2940" w:leftChars="1400"/>
    </w:pPr>
    <w:rPr>
      <w:rFonts w:ascii="Calibri" w:hAnsi="Calibri"/>
      <w:szCs w:val="22"/>
    </w:rPr>
  </w:style>
  <w:style w:type="paragraph" w:styleId="TOC9">
    <w:name w:val="toc 9"/>
    <w:basedOn w:val="Normal"/>
    <w:next w:val="Normal"/>
    <w:autoRedefine/>
    <w:uiPriority w:val="39"/>
    <w:unhideWhenUsed/>
    <w:rsid w:val="00651101"/>
    <w:pPr>
      <w:ind w:left="3360" w:leftChars="1600"/>
    </w:pPr>
    <w:rPr>
      <w:rFonts w:ascii="Calibri" w:hAnsi="Calibri"/>
      <w:szCs w:val="22"/>
    </w:rPr>
  </w:style>
  <w:style w:type="paragraph" w:styleId="ListParagraph">
    <w:name w:val="List Paragraph"/>
    <w:basedOn w:val="Normal"/>
    <w:uiPriority w:val="34"/>
    <w:qFormat/>
    <w:rsid w:val="00EB58B1"/>
    <w:pPr>
      <w:ind w:firstLine="420" w:firstLineChars="200"/>
    </w:pPr>
  </w:style>
  <w:style w:type="character" w:customStyle="1" w:styleId="Char5">
    <w:name w:val="批注文字 Char"/>
    <w:basedOn w:val="DefaultParagraphFont"/>
    <w:link w:val="CommentText"/>
    <w:rsid w:val="00B548A3"/>
    <w:rPr>
      <w:kern w:val="2"/>
      <w:sz w:val="21"/>
      <w:szCs w:val="24"/>
    </w:rPr>
  </w:style>
  <w:style w:type="character" w:customStyle="1" w:styleId="Char6">
    <w:name w:val="文档结构图 Char"/>
    <w:basedOn w:val="DefaultParagraphFont"/>
    <w:link w:val="DocumentMap"/>
    <w:rsid w:val="00B548A3"/>
    <w:rPr>
      <w:kern w:val="2"/>
      <w:sz w:val="21"/>
      <w:szCs w:val="24"/>
      <w:shd w:val="clear" w:color="auto" w:fill="000080"/>
    </w:rPr>
  </w:style>
  <w:style w:type="character" w:customStyle="1" w:styleId="Char7">
    <w:name w:val="正文首行缩进 Char"/>
    <w:basedOn w:val="DefaultParagraphFont"/>
    <w:link w:val="BodyTextFirstIndent"/>
    <w:rsid w:val="00B548A3"/>
    <w:rPr>
      <w:kern w:val="2"/>
      <w:sz w:val="21"/>
      <w:szCs w:val="24"/>
    </w:rPr>
  </w:style>
  <w:style w:type="paragraph" w:styleId="Date">
    <w:name w:val="Date"/>
    <w:basedOn w:val="Normal"/>
    <w:next w:val="Normal"/>
    <w:link w:val="Char8"/>
    <w:uiPriority w:val="99"/>
    <w:rsid w:val="00185A83"/>
    <w:pPr>
      <w:ind w:left="100" w:leftChars="2500"/>
    </w:pPr>
  </w:style>
  <w:style w:type="character" w:customStyle="1" w:styleId="Char8">
    <w:name w:val="日期 Char"/>
    <w:basedOn w:val="DefaultParagraphFont"/>
    <w:link w:val="Date"/>
    <w:uiPriority w:val="99"/>
    <w:rsid w:val="00185A83"/>
    <w:rPr>
      <w:kern w:val="2"/>
      <w:sz w:val="21"/>
      <w:szCs w:val="24"/>
    </w:rPr>
  </w:style>
  <w:style w:type="character" w:customStyle="1" w:styleId="1Char">
    <w:name w:val="标题 1 Char"/>
    <w:aliases w:val="123321 Char,H1 Char,Heading 0 Char,Heading 11 Char,Level 1 Head Char,Level 1 Topic Heading Char,PIM 1 Char,h1 Char,level 1 Char"/>
    <w:basedOn w:val="DefaultParagraphFont"/>
    <w:link w:val="Heading1"/>
    <w:rsid w:val="00D43840"/>
    <w:rPr>
      <w:rFonts w:ascii="黑体" w:eastAsia="黑体"/>
      <w:kern w:val="2"/>
      <w:sz w:val="32"/>
      <w:szCs w:val="32"/>
    </w:rPr>
  </w:style>
  <w:style w:type="character" w:customStyle="1" w:styleId="2Char">
    <w:name w:val="标题 2 Char"/>
    <w:aliases w:val="2 Char,2nd level Char,H2 Char,Header 2 Char,Heading 2 CCBS Char,Heading 2 Hidden Char,Level 2 Head Char,PIM2 Char,h2 Char,l2 Char,proj2 Char,proj21 Char,proj210 Char,proj211 Char,proj212 Char,proj22 Char,proj221 Char,proj23 Char,proj231 Char"/>
    <w:basedOn w:val="DefaultParagraphFont"/>
    <w:link w:val="Heading2"/>
    <w:rsid w:val="00D43840"/>
    <w:rPr>
      <w:rFonts w:ascii="Arial" w:hAnsi="Arial"/>
      <w:b/>
      <w:kern w:val="2"/>
      <w:sz w:val="28"/>
      <w:szCs w:val="28"/>
    </w:rPr>
  </w:style>
  <w:style w:type="character" w:customStyle="1" w:styleId="3Char0">
    <w:name w:val="标题 3 Char"/>
    <w:basedOn w:val="DefaultParagraphFont"/>
    <w:link w:val="Heading3"/>
    <w:rsid w:val="00D43840"/>
    <w:rPr>
      <w:rFonts w:ascii="仿宋_GB2312" w:eastAsia="仿宋_GB2312"/>
      <w:kern w:val="2"/>
      <w:sz w:val="24"/>
    </w:rPr>
  </w:style>
  <w:style w:type="character" w:customStyle="1" w:styleId="4Char">
    <w:name w:val="标题 4 Char"/>
    <w:basedOn w:val="DefaultParagraphFont"/>
    <w:link w:val="Heading4"/>
    <w:rsid w:val="00D43840"/>
    <w:rPr>
      <w:rFonts w:ascii="Arial" w:eastAsia="黑体" w:hAnsi="Arial"/>
      <w:b/>
      <w:bCs/>
      <w:kern w:val="2"/>
      <w:sz w:val="28"/>
      <w:szCs w:val="28"/>
    </w:rPr>
  </w:style>
  <w:style w:type="character" w:customStyle="1" w:styleId="5Char">
    <w:name w:val="标题 5 Char"/>
    <w:basedOn w:val="DefaultParagraphFont"/>
    <w:link w:val="Heading5"/>
    <w:rsid w:val="00D43840"/>
    <w:rPr>
      <w:b/>
      <w:bCs/>
      <w:kern w:val="2"/>
      <w:sz w:val="28"/>
      <w:szCs w:val="28"/>
    </w:rPr>
  </w:style>
  <w:style w:type="character" w:customStyle="1" w:styleId="6Char">
    <w:name w:val="标题 6 Char"/>
    <w:basedOn w:val="DefaultParagraphFont"/>
    <w:link w:val="Heading6"/>
    <w:rsid w:val="00D43840"/>
    <w:rPr>
      <w:rFonts w:ascii="Arial" w:eastAsia="黑体" w:hAnsi="Arial"/>
      <w:b/>
      <w:bCs/>
      <w:kern w:val="2"/>
      <w:sz w:val="24"/>
      <w:szCs w:val="24"/>
    </w:rPr>
  </w:style>
  <w:style w:type="character" w:customStyle="1" w:styleId="7Char">
    <w:name w:val="标题 7 Char"/>
    <w:basedOn w:val="DefaultParagraphFont"/>
    <w:link w:val="Heading7"/>
    <w:rsid w:val="00D43840"/>
    <w:rPr>
      <w:b/>
      <w:bCs/>
      <w:kern w:val="2"/>
      <w:sz w:val="24"/>
      <w:szCs w:val="24"/>
    </w:rPr>
  </w:style>
  <w:style w:type="character" w:customStyle="1" w:styleId="8Char">
    <w:name w:val="标题 8 Char"/>
    <w:basedOn w:val="DefaultParagraphFont"/>
    <w:link w:val="Heading8"/>
    <w:rsid w:val="00D43840"/>
    <w:rPr>
      <w:rFonts w:ascii="Arial" w:eastAsia="黑体" w:hAnsi="Arial"/>
      <w:kern w:val="2"/>
      <w:sz w:val="24"/>
      <w:szCs w:val="24"/>
    </w:rPr>
  </w:style>
  <w:style w:type="character" w:customStyle="1" w:styleId="9Char">
    <w:name w:val="标题 9 Char"/>
    <w:basedOn w:val="DefaultParagraphFont"/>
    <w:link w:val="Heading9"/>
    <w:rsid w:val="00D43840"/>
    <w:rPr>
      <w:rFonts w:ascii="Arial" w:eastAsia="黑体" w:hAnsi="Arial"/>
      <w:kern w:val="2"/>
      <w:sz w:val="24"/>
      <w:szCs w:val="21"/>
    </w:rPr>
  </w:style>
  <w:style w:type="character" w:customStyle="1" w:styleId="Char9">
    <w:name w:val="标题 Char"/>
    <w:basedOn w:val="DefaultParagraphFont"/>
    <w:link w:val="Title"/>
    <w:rsid w:val="00D43840"/>
    <w:rPr>
      <w:rFonts w:ascii="Arial" w:hAnsi="Arial" w:cs="Arial"/>
      <w:b/>
      <w:bCs/>
      <w:kern w:val="2"/>
      <w:sz w:val="32"/>
      <w:szCs w:val="32"/>
    </w:rPr>
  </w:style>
  <w:style w:type="character" w:customStyle="1" w:styleId="Char10">
    <w:name w:val="结束语 Char"/>
    <w:basedOn w:val="DefaultParagraphFont"/>
    <w:link w:val="Closing"/>
    <w:rsid w:val="00D43840"/>
    <w:rPr>
      <w:kern w:val="2"/>
      <w:sz w:val="21"/>
      <w:szCs w:val="24"/>
    </w:rPr>
  </w:style>
  <w:style w:type="character" w:customStyle="1" w:styleId="Char11">
    <w:name w:val="正文文本缩进 Char"/>
    <w:basedOn w:val="DefaultParagraphFont"/>
    <w:link w:val="BodyTextIndent"/>
    <w:rsid w:val="00D43840"/>
    <w:rPr>
      <w:kern w:val="2"/>
      <w:sz w:val="21"/>
      <w:szCs w:val="24"/>
    </w:rPr>
  </w:style>
  <w:style w:type="character" w:customStyle="1" w:styleId="Char12">
    <w:name w:val="副标题 Char"/>
    <w:basedOn w:val="DefaultParagraphFont"/>
    <w:link w:val="Subtitle"/>
    <w:rsid w:val="00D43840"/>
    <w:rPr>
      <w:rFonts w:ascii="Arial" w:hAnsi="Arial" w:cs="Arial"/>
      <w:b/>
      <w:bCs/>
      <w:kern w:val="28"/>
      <w:sz w:val="32"/>
      <w:szCs w:val="32"/>
    </w:rPr>
  </w:style>
  <w:style w:type="character" w:customStyle="1" w:styleId="Char13">
    <w:name w:val="注释标题 Char"/>
    <w:basedOn w:val="DefaultParagraphFont"/>
    <w:link w:val="NoteHeading"/>
    <w:rsid w:val="00D43840"/>
    <w:rPr>
      <w:kern w:val="2"/>
      <w:sz w:val="21"/>
      <w:szCs w:val="24"/>
    </w:rPr>
  </w:style>
  <w:style w:type="character" w:customStyle="1" w:styleId="2Char1">
    <w:name w:val="正文文本 2 Char"/>
    <w:basedOn w:val="DefaultParagraphFont"/>
    <w:link w:val="BodyText2"/>
    <w:rsid w:val="00D43840"/>
    <w:rPr>
      <w:kern w:val="2"/>
      <w:sz w:val="21"/>
      <w:szCs w:val="24"/>
    </w:rPr>
  </w:style>
  <w:style w:type="character" w:customStyle="1" w:styleId="3Char1">
    <w:name w:val="正文文本 3 Char"/>
    <w:basedOn w:val="DefaultParagraphFont"/>
    <w:link w:val="BodyText3"/>
    <w:rsid w:val="00D43840"/>
    <w:rPr>
      <w:kern w:val="2"/>
      <w:sz w:val="16"/>
      <w:szCs w:val="16"/>
    </w:rPr>
  </w:style>
  <w:style w:type="character" w:customStyle="1" w:styleId="2Char2">
    <w:name w:val="正文文本缩进 2 Char"/>
    <w:basedOn w:val="DefaultParagraphFont"/>
    <w:link w:val="BodyTextIndent2"/>
    <w:rsid w:val="00D43840"/>
    <w:rPr>
      <w:kern w:val="2"/>
      <w:sz w:val="21"/>
      <w:szCs w:val="24"/>
    </w:rPr>
  </w:style>
  <w:style w:type="character" w:customStyle="1" w:styleId="Char14">
    <w:name w:val="批注主题 Char"/>
    <w:basedOn w:val="Char5"/>
    <w:link w:val="CommentSubject"/>
    <w:semiHidden/>
    <w:rsid w:val="00D438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yperlink" Target="http://www.efunds.com.cn" TargetMode="External" /><Relationship Id="rId15" Type="http://schemas.openxmlformats.org/officeDocument/2006/relationships/hyperlink" Target="mailto:service@efunds.com.cn"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0F9E0F-DCC3-49B2-9FB0-4ABD48BF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105</Pages>
  <Words>13917</Words>
  <Characters>79329</Characters>
  <Application>Microsoft Office Word</Application>
  <DocSecurity>0</DocSecurity>
  <Lines>661</Lines>
  <Paragraphs>186</Paragraphs>
  <ScaleCrop>false</ScaleCrop>
  <Company>易方达基金管理有限公司</Company>
  <LinksUpToDate>false</LinksUpToDate>
  <CharactersWithSpaces>93060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募集申请材料</dc:subject>
  <dc:creator>徐晶</dc:creator>
  <cp:lastModifiedBy>陈红</cp:lastModifiedBy>
  <cp:revision>5</cp:revision>
  <cp:lastPrinted>2012-04-25T10:05:00Z</cp:lastPrinted>
  <dcterms:created xsi:type="dcterms:W3CDTF">2021-12-24T11:46:00Z</dcterms:created>
  <dcterms:modified xsi:type="dcterms:W3CDTF">2021-12-30T08:44:00Z</dcterms:modified>
  <cp:category>募集申请材料</cp:category>
</cp:coreProperties>
</file>