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5D5BC7" w:rsidRPr="00172454" w:rsidP="00150642">
      <w:pPr>
        <w:snapToGrid w:val="0"/>
        <w:spacing w:line="360" w:lineRule="auto"/>
        <w:ind w:firstLine="881"/>
        <w:jc w:val="center"/>
        <w:rPr>
          <w:rFonts w:asciiTheme="minorEastAsia" w:eastAsiaTheme="minorEastAsia" w:hAnsiTheme="minorEastAsia"/>
          <w:b/>
          <w:color w:val="000000" w:themeColor="text1"/>
          <w:sz w:val="44"/>
        </w:rPr>
      </w:pPr>
    </w:p>
    <w:p w:rsidR="005D5BC7" w:rsidRPr="00172454" w:rsidP="00150642">
      <w:pPr>
        <w:snapToGrid w:val="0"/>
        <w:spacing w:line="360" w:lineRule="auto"/>
        <w:ind w:firstLine="881"/>
        <w:jc w:val="center"/>
        <w:rPr>
          <w:rFonts w:asciiTheme="minorEastAsia" w:eastAsiaTheme="minorEastAsia" w:hAnsiTheme="minorEastAsia"/>
          <w:b/>
          <w:color w:val="000000" w:themeColor="text1"/>
          <w:sz w:val="44"/>
        </w:rPr>
      </w:pPr>
    </w:p>
    <w:p w:rsidR="005D5BC7" w:rsidRPr="00172454" w:rsidP="00150642">
      <w:pPr>
        <w:snapToGrid w:val="0"/>
        <w:spacing w:line="360" w:lineRule="auto"/>
        <w:ind w:firstLine="881"/>
        <w:jc w:val="center"/>
        <w:rPr>
          <w:rFonts w:asciiTheme="minorEastAsia" w:eastAsiaTheme="minorEastAsia" w:hAnsiTheme="minorEastAsia"/>
          <w:b/>
          <w:color w:val="000000" w:themeColor="text1"/>
          <w:sz w:val="44"/>
        </w:rPr>
      </w:pPr>
    </w:p>
    <w:p w:rsidR="005D5BC7" w:rsidRPr="00172454" w:rsidP="00150642">
      <w:pPr>
        <w:snapToGrid w:val="0"/>
        <w:spacing w:line="360" w:lineRule="auto"/>
        <w:ind w:firstLine="881"/>
        <w:jc w:val="center"/>
        <w:rPr>
          <w:rFonts w:asciiTheme="minorEastAsia" w:eastAsiaTheme="minorEastAsia" w:hAnsiTheme="minorEastAsia"/>
          <w:b/>
          <w:color w:val="000000" w:themeColor="text1"/>
          <w:sz w:val="44"/>
        </w:rPr>
      </w:pPr>
    </w:p>
    <w:p w:rsidR="00150642" w:rsidRPr="00172454" w:rsidP="00150642">
      <w:pPr>
        <w:snapToGrid w:val="0"/>
        <w:spacing w:line="360" w:lineRule="auto"/>
        <w:jc w:val="center"/>
        <w:rPr>
          <w:rFonts w:asciiTheme="minorEastAsia" w:eastAsiaTheme="minorEastAsia" w:hAnsiTheme="minorEastAsia"/>
          <w:b/>
          <w:color w:val="000000" w:themeColor="text1"/>
          <w:sz w:val="44"/>
          <w:szCs w:val="44"/>
        </w:rPr>
      </w:pPr>
      <w:r w:rsidRPr="00172454">
        <w:rPr>
          <w:rFonts w:asciiTheme="minorEastAsia" w:eastAsiaTheme="minorEastAsia" w:hAnsiTheme="minorEastAsia" w:hint="eastAsia"/>
          <w:b/>
          <w:color w:val="000000" w:themeColor="text1"/>
          <w:sz w:val="44"/>
          <w:szCs w:val="44"/>
        </w:rPr>
        <w:t>易方达上证中盘交易型开放式指数</w:t>
      </w:r>
    </w:p>
    <w:p w:rsidR="005D5BC7" w:rsidRPr="00172454" w:rsidP="00150642">
      <w:pPr>
        <w:snapToGrid w:val="0"/>
        <w:spacing w:line="360" w:lineRule="auto"/>
        <w:jc w:val="center"/>
        <w:rPr>
          <w:rFonts w:asciiTheme="minorEastAsia" w:eastAsiaTheme="minorEastAsia" w:hAnsiTheme="minorEastAsia"/>
          <w:b/>
          <w:color w:val="000000" w:themeColor="text1"/>
          <w:sz w:val="44"/>
          <w:szCs w:val="44"/>
        </w:rPr>
      </w:pPr>
      <w:r w:rsidRPr="00172454">
        <w:rPr>
          <w:rFonts w:asciiTheme="minorEastAsia" w:eastAsiaTheme="minorEastAsia" w:hAnsiTheme="minorEastAsia" w:hint="eastAsia"/>
          <w:b/>
          <w:color w:val="000000" w:themeColor="text1"/>
          <w:sz w:val="44"/>
          <w:szCs w:val="44"/>
        </w:rPr>
        <w:t>证券投资基金更新的招募说明书</w:t>
      </w:r>
    </w:p>
    <w:p w:rsidR="005D5BC7" w:rsidRPr="00172454" w:rsidP="00150642">
      <w:pPr>
        <w:snapToGrid w:val="0"/>
        <w:spacing w:line="360" w:lineRule="auto"/>
        <w:jc w:val="center"/>
        <w:rPr>
          <w:rFonts w:asciiTheme="minorEastAsia" w:eastAsiaTheme="minorEastAsia" w:hAnsiTheme="minorEastAsia"/>
          <w:b/>
          <w:color w:val="000000" w:themeColor="text1"/>
          <w:sz w:val="36"/>
          <w:szCs w:val="36"/>
        </w:rPr>
      </w:pPr>
    </w:p>
    <w:p w:rsidR="005D5BC7" w:rsidRPr="00172454" w:rsidP="00150642">
      <w:pPr>
        <w:snapToGrid w:val="0"/>
        <w:spacing w:line="360" w:lineRule="auto"/>
        <w:ind w:left="360" w:right="26"/>
        <w:jc w:val="center"/>
        <w:rPr>
          <w:rFonts w:asciiTheme="minorEastAsia" w:eastAsiaTheme="minorEastAsia" w:hAnsiTheme="minorEastAsia"/>
          <w:b/>
          <w:color w:val="000000" w:themeColor="text1"/>
          <w:sz w:val="44"/>
        </w:rPr>
      </w:pPr>
    </w:p>
    <w:p w:rsidR="005D5BC7"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5D5BC7"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5D5BC7"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150642"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150642"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150642" w:rsidRPr="00172454" w:rsidP="00150642">
      <w:pPr>
        <w:snapToGrid w:val="0"/>
        <w:spacing w:line="360" w:lineRule="auto"/>
        <w:ind w:left="1680" w:leftChars="800"/>
        <w:rPr>
          <w:rFonts w:asciiTheme="minorEastAsia" w:eastAsiaTheme="minorEastAsia" w:hAnsiTheme="minorEastAsia"/>
          <w:color w:val="000000" w:themeColor="text1"/>
          <w:sz w:val="30"/>
          <w:szCs w:val="30"/>
        </w:rPr>
      </w:pPr>
    </w:p>
    <w:p w:rsidR="005D5BC7" w:rsidRPr="00172454" w:rsidP="00150642">
      <w:pPr>
        <w:snapToGrid w:val="0"/>
        <w:spacing w:line="360" w:lineRule="auto"/>
        <w:jc w:val="center"/>
        <w:rPr>
          <w:rFonts w:asciiTheme="minorEastAsia" w:eastAsiaTheme="minorEastAsia" w:hAnsiTheme="minorEastAsia"/>
          <w:color w:val="000000" w:themeColor="text1"/>
          <w:sz w:val="32"/>
          <w:szCs w:val="32"/>
        </w:rPr>
      </w:pPr>
      <w:r w:rsidRPr="00172454">
        <w:rPr>
          <w:rFonts w:asciiTheme="minorEastAsia" w:eastAsiaTheme="minorEastAsia" w:hAnsiTheme="minorEastAsia" w:hint="eastAsia"/>
          <w:color w:val="000000" w:themeColor="text1"/>
          <w:sz w:val="32"/>
          <w:szCs w:val="32"/>
        </w:rPr>
        <w:t>基金管理人：易方达基金管理有限公司</w:t>
      </w:r>
    </w:p>
    <w:p w:rsidR="005D5BC7" w:rsidRPr="00172454" w:rsidP="00150642">
      <w:pPr>
        <w:snapToGrid w:val="0"/>
        <w:spacing w:line="360" w:lineRule="auto"/>
        <w:jc w:val="center"/>
        <w:rPr>
          <w:rFonts w:asciiTheme="minorEastAsia" w:eastAsiaTheme="minorEastAsia" w:hAnsiTheme="minorEastAsia"/>
          <w:color w:val="000000" w:themeColor="text1"/>
          <w:sz w:val="32"/>
          <w:szCs w:val="32"/>
        </w:rPr>
      </w:pPr>
      <w:r w:rsidRPr="00172454">
        <w:rPr>
          <w:rFonts w:asciiTheme="minorEastAsia" w:eastAsiaTheme="minorEastAsia" w:hAnsiTheme="minorEastAsia" w:hint="eastAsia"/>
          <w:color w:val="000000" w:themeColor="text1"/>
          <w:sz w:val="32"/>
          <w:szCs w:val="32"/>
        </w:rPr>
        <w:t>基金托管人：中国工商银行股份有限公司</w:t>
      </w:r>
    </w:p>
    <w:p w:rsidR="005D5BC7" w:rsidRPr="00172454" w:rsidP="00150642">
      <w:pPr>
        <w:snapToGrid w:val="0"/>
        <w:spacing w:line="360" w:lineRule="auto"/>
        <w:ind w:firstLine="561"/>
        <w:rPr>
          <w:rFonts w:asciiTheme="minorEastAsia" w:eastAsiaTheme="minorEastAsia" w:hAnsiTheme="minorEastAsia"/>
          <w:b/>
          <w:color w:val="000000" w:themeColor="text1"/>
          <w:sz w:val="32"/>
          <w:szCs w:val="32"/>
        </w:rPr>
      </w:pPr>
    </w:p>
    <w:p w:rsidR="00EE0564" w:rsidRPr="00172454" w:rsidP="00634CA1">
      <w:pPr>
        <w:snapToGrid w:val="0"/>
        <w:spacing w:line="360" w:lineRule="auto"/>
        <w:ind w:firstLine="3200" w:firstLineChars="1000"/>
        <w:rPr>
          <w:rFonts w:asciiTheme="minorEastAsia" w:eastAsiaTheme="minorEastAsia" w:hAnsiTheme="minorEastAsia"/>
          <w:color w:val="000000" w:themeColor="text1"/>
          <w:sz w:val="32"/>
          <w:szCs w:val="32"/>
        </w:rPr>
      </w:pPr>
      <w:r w:rsidRPr="00172454">
        <w:rPr>
          <w:rFonts w:asciiTheme="minorEastAsia" w:eastAsiaTheme="minorEastAsia" w:hAnsiTheme="minorEastAsia"/>
          <w:color w:val="000000" w:themeColor="text1"/>
          <w:sz w:val="32"/>
        </w:rPr>
        <w:t>二〇二一年十二月</w:t>
      </w:r>
    </w:p>
    <w:p w:rsidR="00B764B0" w:rsidRPr="00172454" w:rsidP="00150642">
      <w:pPr>
        <w:snapToGrid w:val="0"/>
        <w:spacing w:line="360" w:lineRule="auto"/>
        <w:ind w:firstLine="640" w:firstLineChars="200"/>
        <w:rPr>
          <w:rFonts w:asciiTheme="minorEastAsia" w:eastAsiaTheme="minorEastAsia" w:hAnsiTheme="minorEastAsia"/>
          <w:color w:val="000000" w:themeColor="text1"/>
          <w:sz w:val="32"/>
          <w:szCs w:val="32"/>
        </w:rPr>
      </w:pPr>
    </w:p>
    <w:p w:rsidR="005D5BC7" w:rsidRPr="00172454" w:rsidP="00150642">
      <w:pPr>
        <w:snapToGrid w:val="0"/>
        <w:spacing w:line="360" w:lineRule="auto"/>
        <w:jc w:val="center"/>
        <w:rPr>
          <w:rFonts w:asciiTheme="minorEastAsia" w:eastAsiaTheme="minorEastAsia" w:hAnsiTheme="minorEastAsia"/>
          <w:b/>
          <w:color w:val="000000" w:themeColor="text1"/>
          <w:sz w:val="28"/>
          <w:szCs w:val="28"/>
        </w:rPr>
      </w:pPr>
      <w:r w:rsidRPr="00172454">
        <w:rPr>
          <w:rFonts w:asciiTheme="minorEastAsia" w:eastAsiaTheme="minorEastAsia" w:hAnsiTheme="minorEastAsia"/>
          <w:b/>
          <w:color w:val="000000" w:themeColor="text1"/>
          <w:sz w:val="24"/>
        </w:rPr>
        <w:br w:type="page"/>
      </w:r>
      <w:r w:rsidRPr="00172454">
        <w:rPr>
          <w:rFonts w:asciiTheme="minorEastAsia" w:eastAsiaTheme="minorEastAsia" w:hAnsiTheme="minorEastAsia" w:hint="eastAsia"/>
          <w:b/>
          <w:color w:val="000000" w:themeColor="text1"/>
          <w:sz w:val="28"/>
          <w:szCs w:val="28"/>
        </w:rPr>
        <w:t>重要提示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本基金根据</w:t>
      </w:r>
      <w:smartTag w:uri="urn:schemas-microsoft-com:office:smarttags" w:element="chsdate">
        <w:smartTagPr>
          <w:attr w:name="Day" w:val="31"/>
          <w:attr w:name="IsLunarDate" w:val="False"/>
          <w:attr w:name="IsROCDate" w:val="False"/>
          <w:attr w:name="Month" w:val="12"/>
          <w:attr w:name="Year" w:val="2009"/>
        </w:smartTagPr>
        <w:r w:rsidRPr="00172454">
          <w:rPr>
            <w:rFonts w:asciiTheme="minorEastAsia" w:eastAsiaTheme="minorEastAsia" w:hAnsiTheme="minorEastAsia" w:hint="eastAsia"/>
            <w:color w:val="000000" w:themeColor="text1"/>
            <w:szCs w:val="21"/>
          </w:rPr>
          <w:t>2009年12月31日</w:t>
        </w:r>
      </w:smartTag>
      <w:r w:rsidRPr="00172454">
        <w:rPr>
          <w:rFonts w:asciiTheme="minorEastAsia" w:eastAsiaTheme="minorEastAsia" w:hAnsiTheme="minorEastAsia" w:hint="eastAsia"/>
          <w:color w:val="000000" w:themeColor="text1"/>
          <w:szCs w:val="21"/>
        </w:rPr>
        <w:t>中国证券监督管理委员会《关于核准易方达上证中盘交易型开放式指数证券投资基金及其联接基金募集的批复》（证监许可</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2009</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1498号）和2010</w:t>
      </w:r>
      <w:r w:rsidRPr="00172454">
        <w:rPr>
          <w:rFonts w:asciiTheme="minorEastAsia" w:eastAsiaTheme="minorEastAsia" w:hAnsiTheme="minorEastAsia"/>
          <w:color w:val="000000" w:themeColor="text1"/>
          <w:szCs w:val="21"/>
        </w:rPr>
        <w:t xml:space="preserve"> </w:t>
      </w:r>
      <w:r w:rsidRPr="00172454">
        <w:rPr>
          <w:rFonts w:asciiTheme="minorEastAsia" w:eastAsiaTheme="minorEastAsia" w:hAnsiTheme="minorEastAsia" w:hint="eastAsia"/>
          <w:color w:val="000000" w:themeColor="text1"/>
          <w:szCs w:val="21"/>
        </w:rPr>
        <w:t>年</w:t>
      </w:r>
      <w:smartTag w:uri="urn:schemas-microsoft-com:office:smarttags" w:element="chsdate">
        <w:smartTagPr>
          <w:attr w:name="Day" w:val="11"/>
          <w:attr w:name="IsLunarDate" w:val="False"/>
          <w:attr w:name="IsROCDate" w:val="False"/>
          <w:attr w:name="Month" w:val="2"/>
          <w:attr w:name="Year" w:val="2014"/>
        </w:smartTagPr>
        <w:r w:rsidRPr="00172454">
          <w:rPr>
            <w:rFonts w:asciiTheme="minorEastAsia" w:eastAsiaTheme="minorEastAsia" w:hAnsiTheme="minorEastAsia" w:hint="eastAsia"/>
            <w:color w:val="000000" w:themeColor="text1"/>
            <w:szCs w:val="21"/>
          </w:rPr>
          <w:t>2月11日</w:t>
        </w:r>
      </w:smartTag>
      <w:r w:rsidRPr="00172454">
        <w:rPr>
          <w:rFonts w:asciiTheme="minorEastAsia" w:eastAsiaTheme="minorEastAsia" w:hAnsiTheme="minorEastAsia" w:hint="eastAsia"/>
          <w:color w:val="000000" w:themeColor="text1"/>
          <w:szCs w:val="21"/>
        </w:rPr>
        <w:t>《关于易方达上证中盘交易型开放式指数证券投资基金及其联接基金募集时间安排的确认函》（基金部函</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2010</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79</w:t>
      </w:r>
      <w:r w:rsidRPr="00172454">
        <w:rPr>
          <w:rFonts w:asciiTheme="minorEastAsia" w:eastAsiaTheme="minorEastAsia" w:hAnsiTheme="minorEastAsia"/>
          <w:color w:val="000000" w:themeColor="text1"/>
          <w:szCs w:val="21"/>
        </w:rPr>
        <w:t xml:space="preserve"> </w:t>
      </w:r>
      <w:r w:rsidRPr="00172454">
        <w:rPr>
          <w:rFonts w:asciiTheme="minorEastAsia" w:eastAsiaTheme="minorEastAsia" w:hAnsiTheme="minorEastAsia" w:hint="eastAsia"/>
          <w:color w:val="000000" w:themeColor="text1"/>
          <w:szCs w:val="21"/>
        </w:rPr>
        <w:t>号）的核准，进行募集。</w:t>
      </w:r>
      <w:r w:rsidRPr="00172454">
        <w:rPr>
          <w:rFonts w:asciiTheme="minorEastAsia" w:eastAsiaTheme="minorEastAsia" w:hAnsiTheme="minorEastAsia" w:hint="eastAsia"/>
          <w:color w:val="000000" w:themeColor="text1"/>
        </w:rPr>
        <w:t>本基金的基金合同于</w:t>
      </w:r>
      <w:smartTag w:uri="urn:schemas-microsoft-com:office:smarttags" w:element="chsdate">
        <w:smartTagPr>
          <w:attr w:name="Day" w:val="29"/>
          <w:attr w:name="IsLunarDate" w:val="False"/>
          <w:attr w:name="IsROCDate" w:val="False"/>
          <w:attr w:name="Month" w:val="3"/>
          <w:attr w:name="Year" w:val="2010"/>
        </w:smartTagPr>
        <w:r w:rsidRPr="00172454">
          <w:rPr>
            <w:rFonts w:asciiTheme="minorEastAsia" w:eastAsiaTheme="minorEastAsia" w:hAnsiTheme="minorEastAsia" w:hint="eastAsia"/>
            <w:color w:val="000000" w:themeColor="text1"/>
          </w:rPr>
          <w:t>2010年3月29日</w:t>
        </w:r>
      </w:smartTag>
      <w:r w:rsidRPr="00172454">
        <w:rPr>
          <w:rFonts w:asciiTheme="minorEastAsia" w:eastAsiaTheme="minorEastAsia" w:hAnsiTheme="minorEastAsia" w:hint="eastAsia"/>
          <w:color w:val="000000" w:themeColor="text1"/>
        </w:rPr>
        <w:t>正式生效。</w:t>
      </w:r>
    </w:p>
    <w:p w:rsidR="00334FD9"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基金管理人依照恪尽职守、诚实信用、谨慎勤勉的原则管理和运用基金</w:t>
      </w:r>
      <w:r w:rsidRPr="00172454">
        <w:rPr>
          <w:rFonts w:asciiTheme="minorEastAsia" w:eastAsiaTheme="minorEastAsia" w:hAnsiTheme="minorEastAsia" w:hint="eastAsia"/>
          <w:color w:val="000000" w:themeColor="text1"/>
          <w:szCs w:val="21"/>
        </w:rPr>
        <w:t>财产</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但</w:t>
      </w:r>
      <w:r w:rsidRPr="00172454">
        <w:rPr>
          <w:rFonts w:asciiTheme="minorEastAsia" w:eastAsiaTheme="minorEastAsia" w:hAnsiTheme="minorEastAsia"/>
          <w:color w:val="000000" w:themeColor="text1"/>
          <w:szCs w:val="21"/>
        </w:rPr>
        <w:t>不保证基金一定盈利，也不保证最低收益</w:t>
      </w:r>
      <w:r w:rsidRPr="00172454">
        <w:rPr>
          <w:rFonts w:asciiTheme="minorEastAsia" w:eastAsiaTheme="minorEastAsia" w:hAnsiTheme="minorEastAsia" w:hint="eastAsia"/>
          <w:color w:val="000000" w:themeColor="text1"/>
          <w:szCs w:val="21"/>
        </w:rPr>
        <w:t>。</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本基金标的指数为上证中盘指数。</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（1）指数样本空间</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同上证</w:t>
      </w:r>
      <w:r w:rsidRPr="00172454">
        <w:rPr>
          <w:rFonts w:asciiTheme="minorEastAsia" w:eastAsiaTheme="minorEastAsia" w:hAnsiTheme="minorEastAsia"/>
          <w:color w:val="000000" w:themeColor="text1"/>
          <w:szCs w:val="21"/>
        </w:rPr>
        <w:t>180</w:t>
      </w:r>
      <w:r w:rsidRPr="00172454">
        <w:rPr>
          <w:rFonts w:asciiTheme="minorEastAsia" w:eastAsiaTheme="minorEastAsia" w:hAnsiTheme="minorEastAsia" w:hint="eastAsia"/>
          <w:color w:val="000000" w:themeColor="text1"/>
          <w:szCs w:val="21"/>
        </w:rPr>
        <w:t>指数的样本空间。</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（2）选样方法</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上证中盘指数样本由上证180指数样本中非上证50指数样本的130家上市公司证券构成。</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（3）指数计算</w:t>
      </w:r>
    </w:p>
    <w:p w:rsidR="00F16ACE"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指数计算公式为：报告期指数=报告期样本的调整市值/除数×1000。其中，调整市值＝Σ（证券价格×调整股本数）。调整股本数的计算方法、除数修正方法参见计算与维护细则。</w:t>
      </w:r>
    </w:p>
    <w:p w:rsidR="001E420F" w:rsidRPr="00172454" w:rsidP="00F16AC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有关标的指数具体编制方案及成份股信息详见</w:t>
      </w:r>
      <w:r w:rsidRPr="00172454" w:rsidR="006355B6">
        <w:rPr>
          <w:rFonts w:asciiTheme="minorEastAsia" w:eastAsiaTheme="minorEastAsia" w:hAnsiTheme="minorEastAsia" w:hint="eastAsia"/>
          <w:color w:val="000000" w:themeColor="text1"/>
          <w:szCs w:val="21"/>
        </w:rPr>
        <w:t>上海证券交易所</w:t>
      </w:r>
      <w:r w:rsidRPr="00172454">
        <w:rPr>
          <w:rFonts w:asciiTheme="minorEastAsia" w:eastAsiaTheme="minorEastAsia" w:hAnsiTheme="minorEastAsia" w:hint="eastAsia"/>
          <w:color w:val="000000" w:themeColor="text1"/>
          <w:szCs w:val="21"/>
        </w:rPr>
        <w:t>网站，网址：</w:t>
      </w:r>
      <w:r w:rsidRPr="00172454" w:rsidR="00901581">
        <w:rPr>
          <w:rFonts w:asciiTheme="minorEastAsia" w:eastAsiaTheme="minorEastAsia" w:hAnsiTheme="minorEastAsia"/>
          <w:color w:val="000000" w:themeColor="text1"/>
          <w:szCs w:val="21"/>
        </w:rPr>
        <w:t xml:space="preserve"> www.sse.com.cn</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投资于证券市场，基金净值会因为证券市场波动等因素产生波动，投资者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w:t>
      </w:r>
      <w:r w:rsidRPr="00172454" w:rsidR="0082185E">
        <w:rPr>
          <w:rFonts w:asciiTheme="minorEastAsia" w:eastAsiaTheme="minorEastAsia" w:hAnsiTheme="minorEastAsia" w:hint="eastAsia"/>
          <w:color w:val="000000" w:themeColor="text1"/>
          <w:szCs w:val="21"/>
        </w:rPr>
        <w:t>投资本基金可能遇到的风险包括：标的指数回报与股票市场平均回报偏离的风险、标的指数波动的风险、基金投资组合回报与标的指数回报偏离的风险、</w:t>
      </w:r>
      <w:r w:rsidRPr="00172454" w:rsidR="009A5C4D">
        <w:rPr>
          <w:rFonts w:asciiTheme="minorEastAsia" w:eastAsiaTheme="minorEastAsia" w:hAnsiTheme="minorEastAsia" w:hint="eastAsia"/>
          <w:color w:val="000000" w:themeColor="text1"/>
          <w:szCs w:val="21"/>
        </w:rPr>
        <w:t>跟踪误差控制未达约定目标的风险、指数编制机构停止服务的风险、</w:t>
      </w:r>
      <w:r w:rsidRPr="00172454" w:rsidR="0082185E">
        <w:rPr>
          <w:rFonts w:asciiTheme="minorEastAsia" w:eastAsiaTheme="minorEastAsia" w:hAnsiTheme="minorEastAsia" w:hint="eastAsia"/>
          <w:color w:val="000000" w:themeColor="text1"/>
          <w:szCs w:val="21"/>
        </w:rPr>
        <w:t>标的指数变更的风险、基金份额二级市场交易价格折溢价的风险、退市风险、</w:t>
      </w:r>
      <w:r w:rsidRPr="00172454" w:rsidR="009A5C4D">
        <w:rPr>
          <w:rFonts w:asciiTheme="minorEastAsia" w:eastAsiaTheme="minorEastAsia" w:hAnsiTheme="minorEastAsia" w:hint="eastAsia"/>
          <w:color w:val="000000" w:themeColor="text1"/>
          <w:szCs w:val="21"/>
        </w:rPr>
        <w:t>成份股停牌的风险、</w:t>
      </w:r>
      <w:r w:rsidRPr="00172454" w:rsidR="0082185E">
        <w:rPr>
          <w:rFonts w:asciiTheme="minorEastAsia" w:eastAsiaTheme="minorEastAsia" w:hAnsiTheme="minorEastAsia" w:hint="eastAsia"/>
          <w:color w:val="000000" w:themeColor="text1"/>
          <w:szCs w:val="21"/>
        </w:rPr>
        <w:t>投资者申购失败的风险、投资者赎回失败的风险、基金份额赎回对价的变现风险、参考IOPV决策和IOPV计算错误的风险、第三方机构服务的风险、场内外份额申购赎回对价方式、业务规则等不同的风险、场外申购费率、赎回费率调整的风险、</w:t>
      </w:r>
      <w:r w:rsidRPr="00172454" w:rsidR="0082185E">
        <w:rPr>
          <w:rFonts w:asciiTheme="minorEastAsia" w:eastAsiaTheme="minorEastAsia" w:hAnsiTheme="minorEastAsia"/>
          <w:color w:val="000000" w:themeColor="text1"/>
        </w:rPr>
        <w:t>场外份额暂不可上市交易的风险</w:t>
      </w:r>
      <w:r w:rsidRPr="00172454" w:rsidR="0082185E">
        <w:rPr>
          <w:rFonts w:asciiTheme="minorEastAsia" w:eastAsiaTheme="minorEastAsia" w:hAnsiTheme="minorEastAsia" w:hint="eastAsia"/>
          <w:color w:val="000000" w:themeColor="text1"/>
          <w:szCs w:val="21"/>
        </w:rPr>
        <w:t>、</w:t>
      </w:r>
      <w:r w:rsidRPr="00172454" w:rsidR="0082185E">
        <w:rPr>
          <w:rFonts w:asciiTheme="minorEastAsia" w:eastAsiaTheme="minorEastAsia" w:hAnsiTheme="minorEastAsia" w:hint="eastAsia"/>
          <w:color w:val="000000" w:themeColor="text1"/>
        </w:rPr>
        <w:t>投资存托凭证的特有风险、</w:t>
      </w:r>
      <w:r w:rsidRPr="00172454" w:rsidR="0082185E">
        <w:rPr>
          <w:rFonts w:asciiTheme="minorEastAsia" w:eastAsiaTheme="minorEastAsia" w:hAnsiTheme="minorEastAsia" w:hint="eastAsia"/>
          <w:color w:val="000000" w:themeColor="text1"/>
          <w:szCs w:val="21"/>
        </w:rPr>
        <w:t>管理风险与操作风险</w:t>
      </w:r>
      <w:r w:rsidRPr="00172454" w:rsidR="00EB7835">
        <w:rPr>
          <w:rFonts w:asciiTheme="minorEastAsia" w:eastAsiaTheme="minorEastAsia" w:hAnsiTheme="minorEastAsia" w:hint="eastAsia"/>
          <w:color w:val="000000" w:themeColor="text1"/>
          <w:szCs w:val="21"/>
        </w:rPr>
        <w:t>、</w:t>
      </w:r>
      <w:r w:rsidRPr="00172454" w:rsidR="0082185E">
        <w:rPr>
          <w:rFonts w:asciiTheme="minorEastAsia" w:eastAsiaTheme="minorEastAsia" w:hAnsiTheme="minorEastAsia" w:hint="eastAsia"/>
          <w:color w:val="000000" w:themeColor="text1"/>
          <w:szCs w:val="21"/>
        </w:rPr>
        <w:t>流动性风险、本基金法律文件中涉及基金风险特征的表述与销售机构对基金的风险评级可能</w:t>
      </w:r>
      <w:r w:rsidRPr="00172454" w:rsidR="0082185E">
        <w:rPr>
          <w:rFonts w:asciiTheme="minorEastAsia" w:eastAsiaTheme="minorEastAsia" w:hAnsiTheme="minorEastAsia" w:hint="eastAsia"/>
          <w:color w:val="000000" w:themeColor="text1"/>
          <w:szCs w:val="21"/>
        </w:rPr>
        <w:t>不一致的风险及其他风险、技术风险、不可抗力等等。</w:t>
      </w:r>
      <w:r w:rsidRPr="00172454">
        <w:rPr>
          <w:rFonts w:asciiTheme="minorEastAsia" w:eastAsiaTheme="minorEastAsia" w:hAnsiTheme="minorEastAsia" w:hint="eastAsia"/>
          <w:color w:val="000000" w:themeColor="text1"/>
          <w:szCs w:val="21"/>
        </w:rPr>
        <w:t>基金管理人提醒投资者基金投资的“买者自负”原则，在投资者作出投资决策后，基金运营状况与基金净值变化引致的投资风险，由投资者自行负责。</w:t>
      </w:r>
    </w:p>
    <w:p w:rsidR="005D5BC7" w:rsidRPr="00172454" w:rsidP="00150642">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基金不同于银行储蓄</w:t>
      </w:r>
      <w:r w:rsidRPr="00172454" w:rsidR="00334FD9">
        <w:rPr>
          <w:rFonts w:asciiTheme="minorEastAsia" w:eastAsiaTheme="minorEastAsia" w:hAnsiTheme="minorEastAsia" w:hint="eastAsia"/>
          <w:color w:val="000000" w:themeColor="text1"/>
        </w:rPr>
        <w:t>，基金投资人有可能获得较高的收益，也有可能损失本金。</w:t>
      </w:r>
      <w:r w:rsidRPr="00172454">
        <w:rPr>
          <w:rFonts w:asciiTheme="minorEastAsia" w:eastAsiaTheme="minorEastAsia" w:hAnsiTheme="minorEastAsia"/>
          <w:color w:val="000000" w:themeColor="text1"/>
        </w:rPr>
        <w:t>投资有风险</w:t>
      </w:r>
      <w:r w:rsidRPr="00172454">
        <w:rPr>
          <w:rFonts w:asciiTheme="minorEastAsia" w:eastAsiaTheme="minorEastAsia" w:hAnsiTheme="minorEastAsia" w:hint="eastAsia"/>
          <w:color w:val="000000" w:themeColor="text1"/>
        </w:rPr>
        <w:t>，</w:t>
      </w:r>
      <w:r w:rsidRPr="00172454">
        <w:rPr>
          <w:rFonts w:asciiTheme="minorEastAsia" w:eastAsiaTheme="minorEastAsia" w:hAnsiTheme="minorEastAsia"/>
          <w:color w:val="000000" w:themeColor="text1"/>
        </w:rPr>
        <w:t>投资者</w:t>
      </w:r>
      <w:r w:rsidRPr="00172454">
        <w:rPr>
          <w:rFonts w:asciiTheme="minorEastAsia" w:eastAsiaTheme="minorEastAsia" w:hAnsiTheme="minorEastAsia" w:hint="eastAsia"/>
          <w:color w:val="000000" w:themeColor="text1"/>
        </w:rPr>
        <w:t>投资本</w:t>
      </w:r>
      <w:r w:rsidRPr="00172454">
        <w:rPr>
          <w:rFonts w:asciiTheme="minorEastAsia" w:eastAsiaTheme="minorEastAsia" w:hAnsiTheme="minorEastAsia"/>
          <w:color w:val="000000" w:themeColor="text1"/>
        </w:rPr>
        <w:t>基金时应认真阅读本</w:t>
      </w:r>
      <w:r w:rsidRPr="00172454" w:rsidR="005C294C">
        <w:rPr>
          <w:rFonts w:asciiTheme="minorEastAsia" w:eastAsiaTheme="minorEastAsia" w:hAnsiTheme="minorEastAsia" w:hint="eastAsia"/>
          <w:color w:val="000000" w:themeColor="text1"/>
        </w:rPr>
        <w:t>招募说明书、基金合同和基金产品资料概要等信息披露文件</w:t>
      </w:r>
      <w:r w:rsidRPr="00172454">
        <w:rPr>
          <w:rFonts w:asciiTheme="minorEastAsia" w:eastAsiaTheme="minorEastAsia" w:hAnsiTheme="minorEastAsia" w:hint="eastAsia"/>
          <w:color w:val="000000" w:themeColor="text1"/>
        </w:rPr>
        <w:t>；</w:t>
      </w:r>
      <w:r w:rsidRPr="00172454">
        <w:rPr>
          <w:rFonts w:asciiTheme="minorEastAsia" w:eastAsiaTheme="minorEastAsia" w:hAnsiTheme="minorEastAsia" w:hint="eastAsia"/>
          <w:color w:val="000000" w:themeColor="text1"/>
          <w:szCs w:val="21"/>
        </w:rPr>
        <w:t>基金的过往业绩并不预示其未来表现。</w:t>
      </w:r>
    </w:p>
    <w:p w:rsidR="005C294C" w:rsidRPr="00172454" w:rsidP="00D551BB">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基金的过往业绩并不预示其未来表现。</w:t>
      </w:r>
    </w:p>
    <w:p w:rsidR="008306F0" w:rsidRPr="00172454" w:rsidP="00D551BB">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rPr>
        <w:t>本基金有关财务数据截止日为2021年9月30日，净值表现截止日为2020年12月31日，主要人员情况截止日为2021年12月30日，除非另有说明，本招募说明书其他所载内容截止日为2021年11月16日。（本报告中财务数据未经审计）</w:t>
      </w:r>
    </w:p>
    <w:p w:rsidR="000A7674" w:rsidRPr="00172454" w:rsidP="00176493">
      <w:pPr>
        <w:rPr>
          <w:rFonts w:asciiTheme="minorEastAsia" w:eastAsiaTheme="minorEastAsia" w:hAnsiTheme="minorEastAsia"/>
          <w:color w:val="000000" w:themeColor="text1"/>
          <w:szCs w:val="21"/>
        </w:rPr>
        <w:sectPr w:rsidSect="00634CA1">
          <w:headerReference w:type="even" r:id="rId5"/>
          <w:headerReference w:type="default" r:id="rId6"/>
          <w:footerReference w:type="even" r:id="rId7"/>
          <w:footerReference w:type="default" r:id="rId8"/>
          <w:headerReference w:type="first" r:id="rId9"/>
          <w:footerReference w:type="first" r:id="rId10"/>
          <w:pgSz w:w="11907" w:h="16840" w:code="9"/>
          <w:pgMar w:top="1440" w:right="1800" w:bottom="1440" w:left="1800" w:header="1134" w:footer="1247" w:gutter="0"/>
          <w:pgNumType w:fmt="upperRoman" w:start="1"/>
          <w:cols w:space="425"/>
          <w:titlePg/>
          <w:docGrid w:type="lines" w:linePitch="447"/>
        </w:sectPr>
      </w:pPr>
    </w:p>
    <w:p w:rsidR="005D5BC7" w:rsidRPr="00172454" w:rsidP="00150642">
      <w:pPr>
        <w:adjustRightInd w:val="0"/>
        <w:snapToGrid w:val="0"/>
        <w:spacing w:line="360" w:lineRule="auto"/>
        <w:jc w:val="center"/>
        <w:rPr>
          <w:rFonts w:asciiTheme="minorEastAsia" w:eastAsiaTheme="minorEastAsia" w:hAnsiTheme="minorEastAsia"/>
          <w:b/>
          <w:color w:val="000000" w:themeColor="text1"/>
          <w:sz w:val="28"/>
          <w:szCs w:val="28"/>
        </w:rPr>
      </w:pPr>
      <w:r w:rsidRPr="00172454">
        <w:rPr>
          <w:rFonts w:asciiTheme="minorEastAsia" w:eastAsiaTheme="minorEastAsia" w:hAnsiTheme="minorEastAsia" w:hint="eastAsia"/>
          <w:b/>
          <w:color w:val="000000" w:themeColor="text1"/>
          <w:sz w:val="28"/>
          <w:szCs w:val="28"/>
        </w:rPr>
        <w:t>目     录</w:t>
      </w:r>
    </w:p>
    <w:p w:rsidR="00F509B5">
      <w:pPr>
        <w:pStyle w:val="TOC1"/>
        <w:rPr>
          <w:rFonts w:asciiTheme="minorHAnsi" w:eastAsiaTheme="minorEastAsia" w:hAnsiTheme="minorHAnsi" w:cstheme="minorBidi"/>
          <w:caps w:val="0"/>
          <w:sz w:val="21"/>
          <w:szCs w:val="22"/>
        </w:rPr>
      </w:pPr>
      <w:r w:rsidRPr="00172454">
        <w:rPr>
          <w:rFonts w:asciiTheme="minorEastAsia" w:eastAsiaTheme="minorEastAsia" w:hAnsiTheme="minorEastAsia"/>
          <w:b/>
          <w:caps w:val="0"/>
          <w:color w:val="000000" w:themeColor="text1"/>
          <w:szCs w:val="21"/>
        </w:rPr>
        <w:fldChar w:fldCharType="begin"/>
      </w:r>
      <w:r w:rsidRPr="00172454" w:rsidR="005D5BC7">
        <w:rPr>
          <w:rFonts w:asciiTheme="minorEastAsia" w:eastAsiaTheme="minorEastAsia" w:hAnsiTheme="minorEastAsia"/>
          <w:b/>
          <w:caps w:val="0"/>
          <w:color w:val="000000" w:themeColor="text1"/>
          <w:szCs w:val="21"/>
        </w:rPr>
        <w:instrText xml:space="preserve"> TOC \o "1-3" \h \z \u </w:instrText>
      </w:r>
      <w:r w:rsidRPr="00172454">
        <w:rPr>
          <w:rFonts w:asciiTheme="minorEastAsia" w:eastAsiaTheme="minorEastAsia" w:hAnsiTheme="minorEastAsia"/>
          <w:b/>
          <w:caps w:val="0"/>
          <w:color w:val="000000" w:themeColor="text1"/>
          <w:szCs w:val="21"/>
        </w:rPr>
        <w:fldChar w:fldCharType="separate"/>
      </w:r>
      <w:hyperlink w:anchor="_Toc91766960" w:history="1">
        <w:r w:rsidRPr="008A26B2">
          <w:rPr>
            <w:rStyle w:val="Hyperlink"/>
            <w:rFonts w:asciiTheme="minorEastAsia" w:hAnsiTheme="minorEastAsia" w:hint="eastAsia"/>
          </w:rPr>
          <w:t>一、绪</w:t>
        </w:r>
        <w:r w:rsidRPr="008A26B2">
          <w:rPr>
            <w:rStyle w:val="Hyperlink"/>
            <w:rFonts w:asciiTheme="minorEastAsia" w:hAnsiTheme="minorEastAsia"/>
          </w:rPr>
          <w:t xml:space="preserve">  </w:t>
        </w:r>
        <w:r w:rsidRPr="008A26B2">
          <w:rPr>
            <w:rStyle w:val="Hyperlink"/>
            <w:rFonts w:asciiTheme="minorEastAsia" w:hAnsiTheme="minorEastAsia" w:hint="eastAsia"/>
          </w:rPr>
          <w:t>言</w:t>
        </w:r>
        <w:r>
          <w:rPr>
            <w:webHidden/>
          </w:rPr>
          <w:tab/>
        </w:r>
        <w:r>
          <w:rPr>
            <w:webHidden/>
          </w:rPr>
          <w:fldChar w:fldCharType="begin"/>
        </w:r>
        <w:r>
          <w:rPr>
            <w:webHidden/>
          </w:rPr>
          <w:instrText xml:space="preserve"> PAGEREF _Toc91766960 \h </w:instrText>
        </w:r>
        <w:r>
          <w:rPr>
            <w:webHidden/>
          </w:rPr>
          <w:fldChar w:fldCharType="separate"/>
        </w:r>
        <w:r w:rsidR="002942FF">
          <w:rPr>
            <w:webHidden/>
          </w:rPr>
          <w:t>1</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61" w:history="1">
        <w:r w:rsidRPr="008A26B2">
          <w:rPr>
            <w:rStyle w:val="Hyperlink"/>
            <w:rFonts w:asciiTheme="minorEastAsia" w:hAnsiTheme="minorEastAsia" w:hint="eastAsia"/>
          </w:rPr>
          <w:t>二、释</w:t>
        </w:r>
        <w:r w:rsidRPr="008A26B2">
          <w:rPr>
            <w:rStyle w:val="Hyperlink"/>
            <w:rFonts w:asciiTheme="minorEastAsia" w:hAnsiTheme="minorEastAsia"/>
          </w:rPr>
          <w:t xml:space="preserve">  </w:t>
        </w:r>
        <w:r w:rsidRPr="008A26B2">
          <w:rPr>
            <w:rStyle w:val="Hyperlink"/>
            <w:rFonts w:asciiTheme="minorEastAsia" w:hAnsiTheme="minorEastAsia" w:hint="eastAsia"/>
          </w:rPr>
          <w:t>义</w:t>
        </w:r>
        <w:r>
          <w:rPr>
            <w:webHidden/>
          </w:rPr>
          <w:tab/>
        </w:r>
        <w:r>
          <w:rPr>
            <w:webHidden/>
          </w:rPr>
          <w:fldChar w:fldCharType="begin"/>
        </w:r>
        <w:r>
          <w:rPr>
            <w:webHidden/>
          </w:rPr>
          <w:instrText xml:space="preserve"> PAGEREF _Toc91766961 \h </w:instrText>
        </w:r>
        <w:r>
          <w:rPr>
            <w:webHidden/>
          </w:rPr>
          <w:fldChar w:fldCharType="separate"/>
        </w:r>
        <w:r w:rsidR="002942FF">
          <w:rPr>
            <w:webHidden/>
          </w:rPr>
          <w:t>2</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62" w:history="1">
        <w:r w:rsidRPr="008A26B2">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_Toc91766962 \h </w:instrText>
        </w:r>
        <w:r>
          <w:rPr>
            <w:webHidden/>
          </w:rPr>
          <w:fldChar w:fldCharType="separate"/>
        </w:r>
        <w:r w:rsidR="002942FF">
          <w:rPr>
            <w:webHidden/>
          </w:rPr>
          <w:t>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63" w:history="1">
        <w:r w:rsidRPr="008A26B2">
          <w:rPr>
            <w:rStyle w:val="Hyperlink"/>
            <w:rFonts w:asciiTheme="minorEastAsia" w:hAnsiTheme="minorEastAsia" w:cs="仿宋_GB2312" w:hint="eastAsia"/>
            <w:bCs/>
            <w:kern w:val="0"/>
          </w:rPr>
          <w:t>（一）基金管理人基本情况</w:t>
        </w:r>
        <w:r>
          <w:rPr>
            <w:webHidden/>
          </w:rPr>
          <w:tab/>
        </w:r>
        <w:r>
          <w:rPr>
            <w:webHidden/>
          </w:rPr>
          <w:fldChar w:fldCharType="begin"/>
        </w:r>
        <w:r>
          <w:rPr>
            <w:webHidden/>
          </w:rPr>
          <w:instrText xml:space="preserve"> PAGEREF _Toc91766963 \h </w:instrText>
        </w:r>
        <w:r>
          <w:rPr>
            <w:webHidden/>
          </w:rPr>
          <w:fldChar w:fldCharType="separate"/>
        </w:r>
        <w:r w:rsidR="002942FF">
          <w:rPr>
            <w:webHidden/>
          </w:rPr>
          <w:t>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64" w:history="1">
        <w:r w:rsidRPr="008A26B2">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_Toc91766964 \h </w:instrText>
        </w:r>
        <w:r>
          <w:rPr>
            <w:webHidden/>
          </w:rPr>
          <w:fldChar w:fldCharType="separate"/>
        </w:r>
        <w:r w:rsidR="002942FF">
          <w:rPr>
            <w:webHidden/>
          </w:rPr>
          <w:t>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65" w:history="1">
        <w:r w:rsidRPr="008A26B2">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_Toc91766965 \h </w:instrText>
        </w:r>
        <w:r>
          <w:rPr>
            <w:webHidden/>
          </w:rPr>
          <w:fldChar w:fldCharType="separate"/>
        </w:r>
        <w:r w:rsidR="002942FF">
          <w:rPr>
            <w:webHidden/>
          </w:rPr>
          <w:t>14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66" w:history="1">
        <w:r w:rsidRPr="008A26B2">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_Toc91766966 \h </w:instrText>
        </w:r>
        <w:r>
          <w:rPr>
            <w:webHidden/>
          </w:rPr>
          <w:fldChar w:fldCharType="separate"/>
        </w:r>
        <w:r w:rsidR="002942FF">
          <w:rPr>
            <w:webHidden/>
          </w:rPr>
          <w:t>14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67" w:history="1">
        <w:r w:rsidRPr="008A26B2">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_Toc91766967 \h </w:instrText>
        </w:r>
        <w:r>
          <w:rPr>
            <w:webHidden/>
          </w:rPr>
          <w:fldChar w:fldCharType="separate"/>
        </w:r>
        <w:r w:rsidR="002942FF">
          <w:rPr>
            <w:webHidden/>
          </w:rPr>
          <w:t>15</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68" w:history="1">
        <w:r w:rsidRPr="008A26B2">
          <w:rPr>
            <w:rStyle w:val="Hyperlink"/>
            <w:rFonts w:asciiTheme="minorEastAsia" w:hAnsiTheme="minorEastAsia" w:hint="eastAsia"/>
            <w:bCs/>
          </w:rPr>
          <w:t>四、基金托管人</w:t>
        </w:r>
        <w:r>
          <w:rPr>
            <w:webHidden/>
          </w:rPr>
          <w:tab/>
        </w:r>
        <w:r>
          <w:rPr>
            <w:webHidden/>
          </w:rPr>
          <w:fldChar w:fldCharType="begin"/>
        </w:r>
        <w:r>
          <w:rPr>
            <w:webHidden/>
          </w:rPr>
          <w:instrText xml:space="preserve"> PAGEREF _Toc91766968 \h </w:instrText>
        </w:r>
        <w:r>
          <w:rPr>
            <w:webHidden/>
          </w:rPr>
          <w:fldChar w:fldCharType="separate"/>
        </w:r>
        <w:r w:rsidR="002942FF">
          <w:rPr>
            <w:webHidden/>
          </w:rPr>
          <w:t>19</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69" w:history="1">
        <w:r w:rsidRPr="008A26B2">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_Toc91766969 \h </w:instrText>
        </w:r>
        <w:r>
          <w:rPr>
            <w:webHidden/>
          </w:rPr>
          <w:fldChar w:fldCharType="separate"/>
        </w:r>
        <w:r w:rsidR="002942FF">
          <w:rPr>
            <w:webHidden/>
          </w:rPr>
          <w:t>23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0" w:history="1">
        <w:r w:rsidRPr="008A26B2">
          <w:rPr>
            <w:rStyle w:val="Hyperlink"/>
            <w:rFonts w:asciiTheme="minorEastAsia" w:hAnsiTheme="minorEastAsia" w:hint="eastAsia"/>
            <w:bCs/>
          </w:rPr>
          <w:t>（一）基金份额销售机构</w:t>
        </w:r>
        <w:r>
          <w:rPr>
            <w:webHidden/>
          </w:rPr>
          <w:tab/>
        </w:r>
        <w:r>
          <w:rPr>
            <w:webHidden/>
          </w:rPr>
          <w:fldChar w:fldCharType="begin"/>
        </w:r>
        <w:r>
          <w:rPr>
            <w:webHidden/>
          </w:rPr>
          <w:instrText xml:space="preserve"> PAGEREF _Toc91766970 \h </w:instrText>
        </w:r>
        <w:r>
          <w:rPr>
            <w:webHidden/>
          </w:rPr>
          <w:fldChar w:fldCharType="separate"/>
        </w:r>
        <w:r w:rsidR="002942FF">
          <w:rPr>
            <w:webHidden/>
          </w:rPr>
          <w:t>23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1" w:history="1">
        <w:r w:rsidRPr="008A26B2">
          <w:rPr>
            <w:rStyle w:val="Hyperlink"/>
            <w:rFonts w:asciiTheme="minorEastAsia" w:hAnsiTheme="minorEastAsia" w:hint="eastAsia"/>
            <w:bCs/>
          </w:rPr>
          <w:t>（二）登记结算机构</w:t>
        </w:r>
        <w:r>
          <w:rPr>
            <w:webHidden/>
          </w:rPr>
          <w:tab/>
        </w:r>
        <w:r>
          <w:rPr>
            <w:webHidden/>
          </w:rPr>
          <w:fldChar w:fldCharType="begin"/>
        </w:r>
        <w:r>
          <w:rPr>
            <w:webHidden/>
          </w:rPr>
          <w:instrText xml:space="preserve"> PAGEREF _Toc91766971 \h </w:instrText>
        </w:r>
        <w:r>
          <w:rPr>
            <w:webHidden/>
          </w:rPr>
          <w:fldChar w:fldCharType="separate"/>
        </w:r>
        <w:r w:rsidR="002942FF">
          <w:rPr>
            <w:webHidden/>
          </w:rPr>
          <w:t>23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2" w:history="1">
        <w:r w:rsidRPr="008A26B2">
          <w:rPr>
            <w:rStyle w:val="Hyperlink"/>
            <w:rFonts w:asciiTheme="minorEastAsia" w:hAnsiTheme="minorEastAsia" w:hint="eastAsia"/>
            <w:bCs/>
          </w:rPr>
          <w:t>（三）律师事务所和经办律师</w:t>
        </w:r>
        <w:r>
          <w:rPr>
            <w:webHidden/>
          </w:rPr>
          <w:tab/>
        </w:r>
        <w:r>
          <w:rPr>
            <w:webHidden/>
          </w:rPr>
          <w:fldChar w:fldCharType="begin"/>
        </w:r>
        <w:r>
          <w:rPr>
            <w:webHidden/>
          </w:rPr>
          <w:instrText xml:space="preserve"> PAGEREF _Toc91766972 \h </w:instrText>
        </w:r>
        <w:r>
          <w:rPr>
            <w:webHidden/>
          </w:rPr>
          <w:fldChar w:fldCharType="separate"/>
        </w:r>
        <w:r w:rsidR="002942FF">
          <w:rPr>
            <w:webHidden/>
          </w:rPr>
          <w:t>24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3" w:history="1">
        <w:r w:rsidRPr="008A26B2">
          <w:rPr>
            <w:rStyle w:val="Hyperlink"/>
            <w:rFonts w:asciiTheme="minorEastAsia" w:hAnsiTheme="minorEastAsia" w:hint="eastAsia"/>
            <w:bCs/>
          </w:rPr>
          <w:t>（四）会计师事务所和经办注册会计师</w:t>
        </w:r>
        <w:r>
          <w:rPr>
            <w:webHidden/>
          </w:rPr>
          <w:tab/>
        </w:r>
        <w:r>
          <w:rPr>
            <w:webHidden/>
          </w:rPr>
          <w:fldChar w:fldCharType="begin"/>
        </w:r>
        <w:r>
          <w:rPr>
            <w:webHidden/>
          </w:rPr>
          <w:instrText xml:space="preserve"> PAGEREF _Toc91766973 \h </w:instrText>
        </w:r>
        <w:r>
          <w:rPr>
            <w:webHidden/>
          </w:rPr>
          <w:fldChar w:fldCharType="separate"/>
        </w:r>
        <w:r w:rsidR="002942FF">
          <w:rPr>
            <w:webHidden/>
          </w:rPr>
          <w:t>24</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74" w:history="1">
        <w:r w:rsidRPr="008A26B2">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_Toc91766974 \h </w:instrText>
        </w:r>
        <w:r>
          <w:rPr>
            <w:webHidden/>
          </w:rPr>
          <w:fldChar w:fldCharType="separate"/>
        </w:r>
        <w:r w:rsidR="002942FF">
          <w:rPr>
            <w:webHidden/>
          </w:rPr>
          <w:t>25</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75" w:history="1">
        <w:r w:rsidRPr="008A26B2">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_Toc91766975 \h </w:instrText>
        </w:r>
        <w:r>
          <w:rPr>
            <w:webHidden/>
          </w:rPr>
          <w:fldChar w:fldCharType="separate"/>
        </w:r>
        <w:r w:rsidR="002942FF">
          <w:rPr>
            <w:webHidden/>
          </w:rPr>
          <w:t>26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6" w:history="1">
        <w:r w:rsidRPr="008A26B2">
          <w:rPr>
            <w:rStyle w:val="Hyperlink"/>
            <w:rFonts w:asciiTheme="minorEastAsia" w:hAnsiTheme="minorEastAsia" w:hint="eastAsia"/>
            <w:bCs/>
          </w:rPr>
          <w:t>（一）基金合同的生效</w:t>
        </w:r>
        <w:r>
          <w:rPr>
            <w:webHidden/>
          </w:rPr>
          <w:tab/>
        </w:r>
        <w:r>
          <w:rPr>
            <w:webHidden/>
          </w:rPr>
          <w:fldChar w:fldCharType="begin"/>
        </w:r>
        <w:r>
          <w:rPr>
            <w:webHidden/>
          </w:rPr>
          <w:instrText xml:space="preserve"> PAGEREF _Toc91766976 \h </w:instrText>
        </w:r>
        <w:r>
          <w:rPr>
            <w:webHidden/>
          </w:rPr>
          <w:fldChar w:fldCharType="separate"/>
        </w:r>
        <w:r w:rsidR="002942FF">
          <w:rPr>
            <w:webHidden/>
          </w:rPr>
          <w:t>26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77" w:history="1">
        <w:r w:rsidRPr="008A26B2">
          <w:rPr>
            <w:rStyle w:val="Hyperlink"/>
            <w:rFonts w:asciiTheme="minorEastAsia" w:hAnsiTheme="minorEastAsia" w:hint="eastAsia"/>
            <w:bCs/>
          </w:rPr>
          <w:t>（二）基金存续期内的基金份额持有人数量和资产规模</w:t>
        </w:r>
        <w:r>
          <w:rPr>
            <w:webHidden/>
          </w:rPr>
          <w:tab/>
        </w:r>
        <w:r>
          <w:rPr>
            <w:webHidden/>
          </w:rPr>
          <w:fldChar w:fldCharType="begin"/>
        </w:r>
        <w:r>
          <w:rPr>
            <w:webHidden/>
          </w:rPr>
          <w:instrText xml:space="preserve"> PAGEREF _Toc91766977 \h </w:instrText>
        </w:r>
        <w:r>
          <w:rPr>
            <w:webHidden/>
          </w:rPr>
          <w:fldChar w:fldCharType="separate"/>
        </w:r>
        <w:r w:rsidR="002942FF">
          <w:rPr>
            <w:webHidden/>
          </w:rPr>
          <w:t>26</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78" w:history="1">
        <w:r w:rsidRPr="008A26B2">
          <w:rPr>
            <w:rStyle w:val="Hyperlink"/>
            <w:rFonts w:asciiTheme="minorEastAsia" w:hAnsiTheme="minorEastAsia" w:hint="eastAsia"/>
            <w:bCs/>
          </w:rPr>
          <w:t>八、基金份额折算与变更登记</w:t>
        </w:r>
        <w:r>
          <w:rPr>
            <w:webHidden/>
          </w:rPr>
          <w:tab/>
        </w:r>
        <w:r>
          <w:rPr>
            <w:webHidden/>
          </w:rPr>
          <w:fldChar w:fldCharType="begin"/>
        </w:r>
        <w:r>
          <w:rPr>
            <w:webHidden/>
          </w:rPr>
          <w:instrText xml:space="preserve"> PAGEREF _Toc91766978 \h </w:instrText>
        </w:r>
        <w:r>
          <w:rPr>
            <w:webHidden/>
          </w:rPr>
          <w:fldChar w:fldCharType="separate"/>
        </w:r>
        <w:r w:rsidR="002942FF">
          <w:rPr>
            <w:webHidden/>
          </w:rPr>
          <w:t>27</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79" w:history="1">
        <w:r w:rsidRPr="008A26B2">
          <w:rPr>
            <w:rStyle w:val="Hyperlink"/>
            <w:rFonts w:asciiTheme="minorEastAsia" w:hAnsiTheme="minorEastAsia" w:hint="eastAsia"/>
            <w:bCs/>
          </w:rPr>
          <w:t>九、基金份额的交易</w:t>
        </w:r>
        <w:r>
          <w:rPr>
            <w:webHidden/>
          </w:rPr>
          <w:tab/>
        </w:r>
        <w:r>
          <w:rPr>
            <w:webHidden/>
          </w:rPr>
          <w:fldChar w:fldCharType="begin"/>
        </w:r>
        <w:r>
          <w:rPr>
            <w:webHidden/>
          </w:rPr>
          <w:instrText xml:space="preserve"> PAGEREF _Toc91766979 \h </w:instrText>
        </w:r>
        <w:r>
          <w:rPr>
            <w:webHidden/>
          </w:rPr>
          <w:fldChar w:fldCharType="separate"/>
        </w:r>
        <w:r w:rsidR="002942FF">
          <w:rPr>
            <w:webHidden/>
          </w:rPr>
          <w:t>28</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80" w:history="1">
        <w:r w:rsidRPr="008A26B2">
          <w:rPr>
            <w:rStyle w:val="Hyperlink"/>
            <w:rFonts w:asciiTheme="minorEastAsia" w:hAnsiTheme="minorEastAsia" w:hint="eastAsia"/>
            <w:bCs/>
          </w:rPr>
          <w:t>十、基金份额的申购、赎回</w:t>
        </w:r>
        <w:r>
          <w:rPr>
            <w:webHidden/>
          </w:rPr>
          <w:tab/>
        </w:r>
        <w:r>
          <w:rPr>
            <w:webHidden/>
          </w:rPr>
          <w:fldChar w:fldCharType="begin"/>
        </w:r>
        <w:r>
          <w:rPr>
            <w:webHidden/>
          </w:rPr>
          <w:instrText xml:space="preserve"> PAGEREF _Toc91766980 \h </w:instrText>
        </w:r>
        <w:r>
          <w:rPr>
            <w:webHidden/>
          </w:rPr>
          <w:fldChar w:fldCharType="separate"/>
        </w:r>
        <w:r w:rsidR="002942FF">
          <w:rPr>
            <w:webHidden/>
          </w:rPr>
          <w:t>29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1" w:history="1">
        <w:r w:rsidRPr="008A26B2">
          <w:rPr>
            <w:rStyle w:val="Hyperlink"/>
            <w:rFonts w:asciiTheme="minorEastAsia" w:hAnsiTheme="minorEastAsia" w:hint="eastAsia"/>
          </w:rPr>
          <w:t>（一）申购、赎回的场所</w:t>
        </w:r>
        <w:r>
          <w:rPr>
            <w:webHidden/>
          </w:rPr>
          <w:tab/>
        </w:r>
        <w:r>
          <w:rPr>
            <w:webHidden/>
          </w:rPr>
          <w:fldChar w:fldCharType="begin"/>
        </w:r>
        <w:r>
          <w:rPr>
            <w:webHidden/>
          </w:rPr>
          <w:instrText xml:space="preserve"> PAGEREF _Toc91766981 \h </w:instrText>
        </w:r>
        <w:r>
          <w:rPr>
            <w:webHidden/>
          </w:rPr>
          <w:fldChar w:fldCharType="separate"/>
        </w:r>
        <w:r w:rsidR="002942FF">
          <w:rPr>
            <w:webHidden/>
          </w:rPr>
          <w:t>29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2" w:history="1">
        <w:r w:rsidRPr="008A26B2">
          <w:rPr>
            <w:rStyle w:val="Hyperlink"/>
            <w:rFonts w:asciiTheme="minorEastAsia" w:hAnsiTheme="minorEastAsia" w:hint="eastAsia"/>
          </w:rPr>
          <w:t>（二）申购、赎回的开放日及时间</w:t>
        </w:r>
        <w:r>
          <w:rPr>
            <w:webHidden/>
          </w:rPr>
          <w:tab/>
        </w:r>
        <w:r>
          <w:rPr>
            <w:webHidden/>
          </w:rPr>
          <w:fldChar w:fldCharType="begin"/>
        </w:r>
        <w:r>
          <w:rPr>
            <w:webHidden/>
          </w:rPr>
          <w:instrText xml:space="preserve"> PAGEREF _Toc91766982 \h </w:instrText>
        </w:r>
        <w:r>
          <w:rPr>
            <w:webHidden/>
          </w:rPr>
          <w:fldChar w:fldCharType="separate"/>
        </w:r>
        <w:r w:rsidR="002942FF">
          <w:rPr>
            <w:webHidden/>
          </w:rPr>
          <w:t>29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3" w:history="1">
        <w:r w:rsidRPr="008A26B2">
          <w:rPr>
            <w:rStyle w:val="Hyperlink"/>
            <w:rFonts w:asciiTheme="minorEastAsia" w:hAnsiTheme="minorEastAsia" w:hint="eastAsia"/>
            <w:bCs/>
          </w:rPr>
          <w:t>（三）申购、赎回的原则</w:t>
        </w:r>
        <w:r>
          <w:rPr>
            <w:webHidden/>
          </w:rPr>
          <w:tab/>
        </w:r>
        <w:r>
          <w:rPr>
            <w:webHidden/>
          </w:rPr>
          <w:fldChar w:fldCharType="begin"/>
        </w:r>
        <w:r>
          <w:rPr>
            <w:webHidden/>
          </w:rPr>
          <w:instrText xml:space="preserve"> PAGEREF _Toc91766983 \h </w:instrText>
        </w:r>
        <w:r>
          <w:rPr>
            <w:webHidden/>
          </w:rPr>
          <w:fldChar w:fldCharType="separate"/>
        </w:r>
        <w:r w:rsidR="002942FF">
          <w:rPr>
            <w:webHidden/>
          </w:rPr>
          <w:t>30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4" w:history="1">
        <w:r w:rsidRPr="008A26B2">
          <w:rPr>
            <w:rStyle w:val="Hyperlink"/>
            <w:rFonts w:asciiTheme="minorEastAsia" w:hAnsiTheme="minorEastAsia" w:hint="eastAsia"/>
            <w:bCs/>
          </w:rPr>
          <w:t>（四）场内申购、赎回的程序</w:t>
        </w:r>
        <w:r>
          <w:rPr>
            <w:webHidden/>
          </w:rPr>
          <w:tab/>
        </w:r>
        <w:r>
          <w:rPr>
            <w:webHidden/>
          </w:rPr>
          <w:fldChar w:fldCharType="begin"/>
        </w:r>
        <w:r>
          <w:rPr>
            <w:webHidden/>
          </w:rPr>
          <w:instrText xml:space="preserve"> PAGEREF _Toc91766984 \h </w:instrText>
        </w:r>
        <w:r>
          <w:rPr>
            <w:webHidden/>
          </w:rPr>
          <w:fldChar w:fldCharType="separate"/>
        </w:r>
        <w:r w:rsidR="002942FF">
          <w:rPr>
            <w:webHidden/>
          </w:rPr>
          <w:t>30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5" w:history="1">
        <w:r w:rsidRPr="008A26B2">
          <w:rPr>
            <w:rStyle w:val="Hyperlink"/>
            <w:rFonts w:asciiTheme="minorEastAsia" w:hAnsiTheme="minorEastAsia" w:hint="eastAsia"/>
            <w:bCs/>
          </w:rPr>
          <w:t>（五）场外申购赎回的程序</w:t>
        </w:r>
        <w:r>
          <w:rPr>
            <w:webHidden/>
          </w:rPr>
          <w:tab/>
        </w:r>
        <w:r>
          <w:rPr>
            <w:webHidden/>
          </w:rPr>
          <w:fldChar w:fldCharType="begin"/>
        </w:r>
        <w:r>
          <w:rPr>
            <w:webHidden/>
          </w:rPr>
          <w:instrText xml:space="preserve"> PAGEREF _Toc91766985 \h </w:instrText>
        </w:r>
        <w:r>
          <w:rPr>
            <w:webHidden/>
          </w:rPr>
          <w:fldChar w:fldCharType="separate"/>
        </w:r>
        <w:r w:rsidR="002942FF">
          <w:rPr>
            <w:webHidden/>
          </w:rPr>
          <w:t>31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6" w:history="1">
        <w:r w:rsidRPr="008A26B2">
          <w:rPr>
            <w:rStyle w:val="Hyperlink"/>
            <w:rFonts w:asciiTheme="minorEastAsia" w:hAnsiTheme="minorEastAsia" w:hint="eastAsia"/>
            <w:bCs/>
          </w:rPr>
          <w:t>（六）场内申购与赎回的数额限制</w:t>
        </w:r>
        <w:r>
          <w:rPr>
            <w:webHidden/>
          </w:rPr>
          <w:tab/>
        </w:r>
        <w:r>
          <w:rPr>
            <w:webHidden/>
          </w:rPr>
          <w:fldChar w:fldCharType="begin"/>
        </w:r>
        <w:r>
          <w:rPr>
            <w:webHidden/>
          </w:rPr>
          <w:instrText xml:space="preserve"> PAGEREF _Toc91766986 \h </w:instrText>
        </w:r>
        <w:r>
          <w:rPr>
            <w:webHidden/>
          </w:rPr>
          <w:fldChar w:fldCharType="separate"/>
        </w:r>
        <w:r w:rsidR="002942FF">
          <w:rPr>
            <w:webHidden/>
          </w:rPr>
          <w:t>32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7" w:history="1">
        <w:r w:rsidRPr="008A26B2">
          <w:rPr>
            <w:rStyle w:val="Hyperlink"/>
            <w:rFonts w:asciiTheme="minorEastAsia" w:hAnsiTheme="minorEastAsia" w:hint="eastAsia"/>
            <w:bCs/>
          </w:rPr>
          <w:t>（七）场外申购与赎回的数额限制</w:t>
        </w:r>
        <w:r>
          <w:rPr>
            <w:webHidden/>
          </w:rPr>
          <w:tab/>
        </w:r>
        <w:r>
          <w:rPr>
            <w:webHidden/>
          </w:rPr>
          <w:fldChar w:fldCharType="begin"/>
        </w:r>
        <w:r>
          <w:rPr>
            <w:webHidden/>
          </w:rPr>
          <w:instrText xml:space="preserve"> PAGEREF _Toc91766987 \h </w:instrText>
        </w:r>
        <w:r>
          <w:rPr>
            <w:webHidden/>
          </w:rPr>
          <w:fldChar w:fldCharType="separate"/>
        </w:r>
        <w:r w:rsidR="002942FF">
          <w:rPr>
            <w:webHidden/>
          </w:rPr>
          <w:t>32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8" w:history="1">
        <w:r w:rsidRPr="008A26B2">
          <w:rPr>
            <w:rStyle w:val="Hyperlink"/>
            <w:rFonts w:asciiTheme="minorEastAsia" w:hAnsiTheme="minorEastAsia" w:hint="eastAsia"/>
            <w:bCs/>
          </w:rPr>
          <w:t>（八）场内申购、赎回的对价、费用及价格</w:t>
        </w:r>
        <w:r>
          <w:rPr>
            <w:webHidden/>
          </w:rPr>
          <w:tab/>
        </w:r>
        <w:r>
          <w:rPr>
            <w:webHidden/>
          </w:rPr>
          <w:fldChar w:fldCharType="begin"/>
        </w:r>
        <w:r>
          <w:rPr>
            <w:webHidden/>
          </w:rPr>
          <w:instrText xml:space="preserve"> PAGEREF _Toc91766988 \h </w:instrText>
        </w:r>
        <w:r>
          <w:rPr>
            <w:webHidden/>
          </w:rPr>
          <w:fldChar w:fldCharType="separate"/>
        </w:r>
        <w:r w:rsidR="002942FF">
          <w:rPr>
            <w:webHidden/>
          </w:rPr>
          <w:t>32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89" w:history="1">
        <w:r w:rsidRPr="008A26B2">
          <w:rPr>
            <w:rStyle w:val="Hyperlink"/>
            <w:rFonts w:asciiTheme="minorEastAsia" w:hAnsiTheme="minorEastAsia" w:hint="eastAsia"/>
            <w:bCs/>
          </w:rPr>
          <w:t>（九）场外申购、赎回的对价、费用及价格</w:t>
        </w:r>
        <w:r>
          <w:rPr>
            <w:webHidden/>
          </w:rPr>
          <w:tab/>
        </w:r>
        <w:r>
          <w:rPr>
            <w:webHidden/>
          </w:rPr>
          <w:fldChar w:fldCharType="begin"/>
        </w:r>
        <w:r>
          <w:rPr>
            <w:webHidden/>
          </w:rPr>
          <w:instrText xml:space="preserve"> PAGEREF _Toc91766989 \h </w:instrText>
        </w:r>
        <w:r>
          <w:rPr>
            <w:webHidden/>
          </w:rPr>
          <w:fldChar w:fldCharType="separate"/>
        </w:r>
        <w:r w:rsidR="002942FF">
          <w:rPr>
            <w:webHidden/>
          </w:rPr>
          <w:t>33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0" w:history="1">
        <w:r w:rsidRPr="008A26B2">
          <w:rPr>
            <w:rStyle w:val="Hyperlink"/>
            <w:rFonts w:asciiTheme="minorEastAsia" w:hAnsiTheme="minorEastAsia" w:hint="eastAsia"/>
          </w:rPr>
          <w:t>（十）申购、赎回清单的内容与格式</w:t>
        </w:r>
        <w:r>
          <w:rPr>
            <w:webHidden/>
          </w:rPr>
          <w:tab/>
        </w:r>
        <w:r>
          <w:rPr>
            <w:webHidden/>
          </w:rPr>
          <w:fldChar w:fldCharType="begin"/>
        </w:r>
        <w:r>
          <w:rPr>
            <w:webHidden/>
          </w:rPr>
          <w:instrText xml:space="preserve"> PAGEREF _Toc91766990 \h </w:instrText>
        </w:r>
        <w:r>
          <w:rPr>
            <w:webHidden/>
          </w:rPr>
          <w:fldChar w:fldCharType="separate"/>
        </w:r>
        <w:r w:rsidR="002942FF">
          <w:rPr>
            <w:webHidden/>
          </w:rPr>
          <w:t>34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1" w:history="1">
        <w:r w:rsidRPr="008A26B2">
          <w:rPr>
            <w:rStyle w:val="Hyperlink"/>
            <w:rFonts w:asciiTheme="minorEastAsia" w:hAnsiTheme="minorEastAsia" w:hint="eastAsia"/>
          </w:rPr>
          <w:t>（十一）拒绝或暂停申购的情形及处理方式</w:t>
        </w:r>
        <w:r>
          <w:rPr>
            <w:webHidden/>
          </w:rPr>
          <w:tab/>
        </w:r>
        <w:r>
          <w:rPr>
            <w:webHidden/>
          </w:rPr>
          <w:fldChar w:fldCharType="begin"/>
        </w:r>
        <w:r>
          <w:rPr>
            <w:webHidden/>
          </w:rPr>
          <w:instrText xml:space="preserve"> PAGEREF _Toc91766991 \h </w:instrText>
        </w:r>
        <w:r>
          <w:rPr>
            <w:webHidden/>
          </w:rPr>
          <w:fldChar w:fldCharType="separate"/>
        </w:r>
        <w:r w:rsidR="002942FF">
          <w:rPr>
            <w:webHidden/>
          </w:rPr>
          <w:t>43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2" w:history="1">
        <w:r w:rsidRPr="008A26B2">
          <w:rPr>
            <w:rStyle w:val="Hyperlink"/>
            <w:rFonts w:asciiTheme="minorEastAsia" w:hAnsiTheme="minorEastAsia" w:hint="eastAsia"/>
          </w:rPr>
          <w:t>（十二）暂停赎回或延缓支付赎回款项的情形</w:t>
        </w:r>
        <w:r>
          <w:rPr>
            <w:webHidden/>
          </w:rPr>
          <w:tab/>
        </w:r>
        <w:r>
          <w:rPr>
            <w:webHidden/>
          </w:rPr>
          <w:fldChar w:fldCharType="begin"/>
        </w:r>
        <w:r>
          <w:rPr>
            <w:webHidden/>
          </w:rPr>
          <w:instrText xml:space="preserve"> PAGEREF _Toc91766992 \h </w:instrText>
        </w:r>
        <w:r>
          <w:rPr>
            <w:webHidden/>
          </w:rPr>
          <w:fldChar w:fldCharType="separate"/>
        </w:r>
        <w:r w:rsidR="002942FF">
          <w:rPr>
            <w:webHidden/>
          </w:rPr>
          <w:t>44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3" w:history="1">
        <w:r w:rsidRPr="008A26B2">
          <w:rPr>
            <w:rStyle w:val="Hyperlink"/>
            <w:rFonts w:asciiTheme="minorEastAsia" w:hAnsiTheme="minorEastAsia" w:hint="eastAsia"/>
          </w:rPr>
          <w:t>（十三）场外巨额赎回的情形及处理方式</w:t>
        </w:r>
        <w:r>
          <w:rPr>
            <w:webHidden/>
          </w:rPr>
          <w:tab/>
        </w:r>
        <w:r>
          <w:rPr>
            <w:webHidden/>
          </w:rPr>
          <w:fldChar w:fldCharType="begin"/>
        </w:r>
        <w:r>
          <w:rPr>
            <w:webHidden/>
          </w:rPr>
          <w:instrText xml:space="preserve"> PAGEREF _Toc91766993 \h </w:instrText>
        </w:r>
        <w:r>
          <w:rPr>
            <w:webHidden/>
          </w:rPr>
          <w:fldChar w:fldCharType="separate"/>
        </w:r>
        <w:r w:rsidR="002942FF">
          <w:rPr>
            <w:webHidden/>
          </w:rPr>
          <w:t>45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4" w:history="1">
        <w:r w:rsidRPr="008A26B2">
          <w:rPr>
            <w:rStyle w:val="Hyperlink"/>
            <w:rFonts w:asciiTheme="minorEastAsia" w:hAnsiTheme="minorEastAsia" w:hint="eastAsia"/>
          </w:rPr>
          <w:t>（十四）基金转换</w:t>
        </w:r>
        <w:r>
          <w:rPr>
            <w:webHidden/>
          </w:rPr>
          <w:tab/>
        </w:r>
        <w:r>
          <w:rPr>
            <w:webHidden/>
          </w:rPr>
          <w:fldChar w:fldCharType="begin"/>
        </w:r>
        <w:r>
          <w:rPr>
            <w:webHidden/>
          </w:rPr>
          <w:instrText xml:space="preserve"> PAGEREF _Toc91766994 \h </w:instrText>
        </w:r>
        <w:r>
          <w:rPr>
            <w:webHidden/>
          </w:rPr>
          <w:fldChar w:fldCharType="separate"/>
        </w:r>
        <w:r w:rsidR="002942FF">
          <w:rPr>
            <w:webHidden/>
          </w:rPr>
          <w:t>46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5" w:history="1">
        <w:r w:rsidRPr="008A26B2">
          <w:rPr>
            <w:rStyle w:val="Hyperlink"/>
            <w:rFonts w:asciiTheme="minorEastAsia" w:hAnsiTheme="minorEastAsia" w:hint="eastAsia"/>
          </w:rPr>
          <w:t>（十五）基金的转托管</w:t>
        </w:r>
        <w:r>
          <w:rPr>
            <w:webHidden/>
          </w:rPr>
          <w:tab/>
        </w:r>
        <w:r>
          <w:rPr>
            <w:webHidden/>
          </w:rPr>
          <w:fldChar w:fldCharType="begin"/>
        </w:r>
        <w:r>
          <w:rPr>
            <w:webHidden/>
          </w:rPr>
          <w:instrText xml:space="preserve"> PAGEREF _Toc91766995 \h </w:instrText>
        </w:r>
        <w:r>
          <w:rPr>
            <w:webHidden/>
          </w:rPr>
          <w:fldChar w:fldCharType="separate"/>
        </w:r>
        <w:r w:rsidR="002942FF">
          <w:rPr>
            <w:webHidden/>
          </w:rPr>
          <w:t>46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6" w:history="1">
        <w:r w:rsidRPr="008A26B2">
          <w:rPr>
            <w:rStyle w:val="Hyperlink"/>
            <w:rFonts w:asciiTheme="minorEastAsia" w:hAnsiTheme="minorEastAsia" w:hint="eastAsia"/>
          </w:rPr>
          <w:t>（十六）集合申购与其他服务</w:t>
        </w:r>
        <w:r>
          <w:rPr>
            <w:webHidden/>
          </w:rPr>
          <w:tab/>
        </w:r>
        <w:r>
          <w:rPr>
            <w:webHidden/>
          </w:rPr>
          <w:fldChar w:fldCharType="begin"/>
        </w:r>
        <w:r>
          <w:rPr>
            <w:webHidden/>
          </w:rPr>
          <w:instrText xml:space="preserve"> PAGEREF _Toc91766996 \h </w:instrText>
        </w:r>
        <w:r>
          <w:rPr>
            <w:webHidden/>
          </w:rPr>
          <w:fldChar w:fldCharType="separate"/>
        </w:r>
        <w:r w:rsidR="002942FF">
          <w:rPr>
            <w:webHidden/>
          </w:rPr>
          <w:t>46</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6997" w:history="1">
        <w:r w:rsidRPr="008A26B2">
          <w:rPr>
            <w:rStyle w:val="Hyperlink"/>
            <w:rFonts w:asciiTheme="minorEastAsia" w:hAnsiTheme="minorEastAsia" w:hint="eastAsia"/>
            <w:bCs/>
          </w:rPr>
          <w:t>十一、基金的投资</w:t>
        </w:r>
        <w:r>
          <w:rPr>
            <w:webHidden/>
          </w:rPr>
          <w:tab/>
        </w:r>
        <w:r>
          <w:rPr>
            <w:webHidden/>
          </w:rPr>
          <w:fldChar w:fldCharType="begin"/>
        </w:r>
        <w:r>
          <w:rPr>
            <w:webHidden/>
          </w:rPr>
          <w:instrText xml:space="preserve"> PAGEREF _Toc91766997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8" w:history="1">
        <w:r w:rsidRPr="008A26B2">
          <w:rPr>
            <w:rStyle w:val="Hyperlink"/>
            <w:rFonts w:asciiTheme="minorEastAsia" w:hAnsiTheme="minorEastAsia" w:hint="eastAsia"/>
          </w:rPr>
          <w:t>（一）投资目标</w:t>
        </w:r>
        <w:r>
          <w:rPr>
            <w:webHidden/>
          </w:rPr>
          <w:tab/>
        </w:r>
        <w:r>
          <w:rPr>
            <w:webHidden/>
          </w:rPr>
          <w:fldChar w:fldCharType="begin"/>
        </w:r>
        <w:r>
          <w:rPr>
            <w:webHidden/>
          </w:rPr>
          <w:instrText xml:space="preserve"> PAGEREF _Toc91766998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6999" w:history="1">
        <w:r w:rsidRPr="008A26B2">
          <w:rPr>
            <w:rStyle w:val="Hyperlink"/>
            <w:rFonts w:asciiTheme="minorEastAsia" w:hAnsiTheme="minorEastAsia" w:hint="eastAsia"/>
          </w:rPr>
          <w:t>（</w:t>
        </w:r>
        <w:r w:rsidRPr="008A26B2">
          <w:rPr>
            <w:rStyle w:val="Hyperlink"/>
            <w:rFonts w:asciiTheme="minorEastAsia" w:hAnsiTheme="minorEastAsia" w:hint="eastAsia"/>
            <w:bCs/>
          </w:rPr>
          <w:t>二</w:t>
        </w:r>
        <w:r w:rsidRPr="008A26B2">
          <w:rPr>
            <w:rStyle w:val="Hyperlink"/>
            <w:rFonts w:asciiTheme="minorEastAsia" w:hAnsiTheme="minorEastAsia" w:hint="eastAsia"/>
          </w:rPr>
          <w:t>）</w:t>
        </w:r>
        <w:r w:rsidRPr="008A26B2">
          <w:rPr>
            <w:rStyle w:val="Hyperlink"/>
            <w:rFonts w:asciiTheme="minorEastAsia" w:hAnsiTheme="minorEastAsia" w:hint="eastAsia"/>
            <w:bCs/>
          </w:rPr>
          <w:t>投资范围</w:t>
        </w:r>
        <w:r>
          <w:rPr>
            <w:webHidden/>
          </w:rPr>
          <w:tab/>
        </w:r>
        <w:r>
          <w:rPr>
            <w:webHidden/>
          </w:rPr>
          <w:fldChar w:fldCharType="begin"/>
        </w:r>
        <w:r>
          <w:rPr>
            <w:webHidden/>
          </w:rPr>
          <w:instrText xml:space="preserve"> PAGEREF _Toc91766999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0" w:history="1">
        <w:r w:rsidRPr="008A26B2">
          <w:rPr>
            <w:rStyle w:val="Hyperlink"/>
            <w:rFonts w:asciiTheme="minorEastAsia" w:hAnsiTheme="minorEastAsia" w:hint="eastAsia"/>
            <w:bCs/>
          </w:rPr>
          <w:t>（三）投资理念</w:t>
        </w:r>
        <w:r>
          <w:rPr>
            <w:webHidden/>
          </w:rPr>
          <w:tab/>
        </w:r>
        <w:r>
          <w:rPr>
            <w:webHidden/>
          </w:rPr>
          <w:fldChar w:fldCharType="begin"/>
        </w:r>
        <w:r>
          <w:rPr>
            <w:webHidden/>
          </w:rPr>
          <w:instrText xml:space="preserve"> PAGEREF _Toc91767000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1" w:history="1">
        <w:r w:rsidRPr="008A26B2">
          <w:rPr>
            <w:rStyle w:val="Hyperlink"/>
            <w:rFonts w:asciiTheme="minorEastAsia" w:hAnsiTheme="minorEastAsia" w:hint="eastAsia"/>
            <w:bCs/>
          </w:rPr>
          <w:t>（四）投资策略</w:t>
        </w:r>
        <w:r>
          <w:rPr>
            <w:webHidden/>
          </w:rPr>
          <w:tab/>
        </w:r>
        <w:r>
          <w:rPr>
            <w:webHidden/>
          </w:rPr>
          <w:fldChar w:fldCharType="begin"/>
        </w:r>
        <w:r>
          <w:rPr>
            <w:webHidden/>
          </w:rPr>
          <w:instrText xml:space="preserve"> PAGEREF _Toc91767001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2" w:history="1">
        <w:r w:rsidRPr="008A26B2">
          <w:rPr>
            <w:rStyle w:val="Hyperlink"/>
            <w:rFonts w:asciiTheme="minorEastAsia" w:hAnsiTheme="minorEastAsia" w:hint="eastAsia"/>
            <w:bCs/>
          </w:rPr>
          <w:t>（五）投资决策程序</w:t>
        </w:r>
        <w:r>
          <w:rPr>
            <w:webHidden/>
          </w:rPr>
          <w:tab/>
        </w:r>
        <w:r>
          <w:rPr>
            <w:webHidden/>
          </w:rPr>
          <w:fldChar w:fldCharType="begin"/>
        </w:r>
        <w:r>
          <w:rPr>
            <w:webHidden/>
          </w:rPr>
          <w:instrText xml:space="preserve"> PAGEREF _Toc91767002 \h </w:instrText>
        </w:r>
        <w:r>
          <w:rPr>
            <w:webHidden/>
          </w:rPr>
          <w:fldChar w:fldCharType="separate"/>
        </w:r>
        <w:r w:rsidR="002942FF">
          <w:rPr>
            <w:webHidden/>
          </w:rPr>
          <w:t>47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3" w:history="1">
        <w:r w:rsidRPr="008A26B2">
          <w:rPr>
            <w:rStyle w:val="Hyperlink"/>
            <w:rFonts w:asciiTheme="minorEastAsia" w:hAnsiTheme="minorEastAsia" w:hint="eastAsia"/>
            <w:bCs/>
          </w:rPr>
          <w:t>（六）业绩比较基准</w:t>
        </w:r>
        <w:r>
          <w:rPr>
            <w:webHidden/>
          </w:rPr>
          <w:tab/>
        </w:r>
        <w:r>
          <w:rPr>
            <w:webHidden/>
          </w:rPr>
          <w:fldChar w:fldCharType="begin"/>
        </w:r>
        <w:r>
          <w:rPr>
            <w:webHidden/>
          </w:rPr>
          <w:instrText xml:space="preserve"> PAGEREF _Toc91767003 \h </w:instrText>
        </w:r>
        <w:r>
          <w:rPr>
            <w:webHidden/>
          </w:rPr>
          <w:fldChar w:fldCharType="separate"/>
        </w:r>
        <w:r w:rsidR="002942FF">
          <w:rPr>
            <w:webHidden/>
          </w:rPr>
          <w:t>48</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4" w:history="1">
        <w:r w:rsidRPr="008A26B2">
          <w:rPr>
            <w:rStyle w:val="Hyperlink"/>
            <w:rFonts w:asciiTheme="minorEastAsia" w:hAnsiTheme="minorEastAsia" w:hint="eastAsia"/>
            <w:bCs/>
          </w:rPr>
          <w:t>（七）风险收益特征</w:t>
        </w:r>
        <w:r>
          <w:rPr>
            <w:webHidden/>
          </w:rPr>
          <w:tab/>
        </w:r>
        <w:r>
          <w:rPr>
            <w:webHidden/>
          </w:rPr>
          <w:fldChar w:fldCharType="begin"/>
        </w:r>
        <w:r>
          <w:rPr>
            <w:webHidden/>
          </w:rPr>
          <w:instrText xml:space="preserve"> PAGEREF _Toc91767004 \h </w:instrText>
        </w:r>
        <w:r>
          <w:rPr>
            <w:webHidden/>
          </w:rPr>
          <w:fldChar w:fldCharType="separate"/>
        </w:r>
        <w:r w:rsidR="002942FF">
          <w:rPr>
            <w:webHidden/>
          </w:rPr>
          <w:t>48</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5" w:history="1">
        <w:r w:rsidRPr="008A26B2">
          <w:rPr>
            <w:rStyle w:val="Hyperlink"/>
            <w:rFonts w:asciiTheme="minorEastAsia" w:hAnsiTheme="minorEastAsia" w:hint="eastAsia"/>
            <w:bCs/>
          </w:rPr>
          <w:t>（八）禁止行为</w:t>
        </w:r>
        <w:r>
          <w:rPr>
            <w:webHidden/>
          </w:rPr>
          <w:tab/>
        </w:r>
        <w:r>
          <w:rPr>
            <w:webHidden/>
          </w:rPr>
          <w:fldChar w:fldCharType="begin"/>
        </w:r>
        <w:r>
          <w:rPr>
            <w:webHidden/>
          </w:rPr>
          <w:instrText xml:space="preserve"> PAGEREF _Toc91767005 \h </w:instrText>
        </w:r>
        <w:r>
          <w:rPr>
            <w:webHidden/>
          </w:rPr>
          <w:fldChar w:fldCharType="separate"/>
        </w:r>
        <w:r w:rsidR="002942FF">
          <w:rPr>
            <w:webHidden/>
          </w:rPr>
          <w:t>48</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6" w:history="1">
        <w:r w:rsidRPr="008A26B2">
          <w:rPr>
            <w:rStyle w:val="Hyperlink"/>
            <w:rFonts w:asciiTheme="minorEastAsia" w:hAnsiTheme="minorEastAsia" w:hint="eastAsia"/>
            <w:bCs/>
          </w:rPr>
          <w:t>（九）投资限制</w:t>
        </w:r>
        <w:r>
          <w:rPr>
            <w:webHidden/>
          </w:rPr>
          <w:tab/>
        </w:r>
        <w:r>
          <w:rPr>
            <w:webHidden/>
          </w:rPr>
          <w:fldChar w:fldCharType="begin"/>
        </w:r>
        <w:r>
          <w:rPr>
            <w:webHidden/>
          </w:rPr>
          <w:instrText xml:space="preserve"> PAGEREF _Toc91767006 \h </w:instrText>
        </w:r>
        <w:r>
          <w:rPr>
            <w:webHidden/>
          </w:rPr>
          <w:fldChar w:fldCharType="separate"/>
        </w:r>
        <w:r w:rsidR="002942FF">
          <w:rPr>
            <w:webHidden/>
          </w:rPr>
          <w:t>49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7" w:history="1">
        <w:r w:rsidRPr="008A26B2">
          <w:rPr>
            <w:rStyle w:val="Hyperlink"/>
            <w:rFonts w:asciiTheme="minorEastAsia" w:hAnsiTheme="minorEastAsia" w:hint="eastAsia"/>
            <w:bCs/>
          </w:rPr>
          <w:t>（十）</w:t>
        </w:r>
        <w:r w:rsidRPr="008A26B2">
          <w:rPr>
            <w:rStyle w:val="Hyperlink"/>
            <w:rFonts w:asciiTheme="minorEastAsia" w:hAnsiTheme="minorEastAsia" w:hint="eastAsia"/>
            <w:bCs/>
            <w:spacing w:val="-6"/>
          </w:rPr>
          <w:t>基金管理人代表基金行使所投资证券产生权利的处理原则及方法</w:t>
        </w:r>
        <w:r>
          <w:rPr>
            <w:webHidden/>
          </w:rPr>
          <w:tab/>
        </w:r>
        <w:r>
          <w:rPr>
            <w:webHidden/>
          </w:rPr>
          <w:fldChar w:fldCharType="begin"/>
        </w:r>
        <w:r>
          <w:rPr>
            <w:webHidden/>
          </w:rPr>
          <w:instrText xml:space="preserve"> PAGEREF _Toc91767007 \h </w:instrText>
        </w:r>
        <w:r>
          <w:rPr>
            <w:webHidden/>
          </w:rPr>
          <w:fldChar w:fldCharType="separate"/>
        </w:r>
        <w:r w:rsidR="002942FF">
          <w:rPr>
            <w:webHidden/>
          </w:rPr>
          <w:t>49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8" w:history="1">
        <w:r w:rsidRPr="008A26B2">
          <w:rPr>
            <w:rStyle w:val="Hyperlink"/>
            <w:rFonts w:asciiTheme="minorEastAsia" w:hAnsiTheme="minorEastAsia" w:hint="eastAsia"/>
            <w:bCs/>
          </w:rPr>
          <w:t>（十</w:t>
        </w:r>
        <w:r w:rsidRPr="008A26B2">
          <w:rPr>
            <w:rStyle w:val="Hyperlink"/>
            <w:rFonts w:asciiTheme="minorEastAsia" w:hAnsiTheme="minorEastAsia" w:hint="eastAsia"/>
          </w:rPr>
          <w:t>一</w:t>
        </w:r>
        <w:r w:rsidRPr="008A26B2">
          <w:rPr>
            <w:rStyle w:val="Hyperlink"/>
            <w:rFonts w:asciiTheme="minorEastAsia" w:hAnsiTheme="minorEastAsia" w:hint="eastAsia"/>
            <w:bCs/>
          </w:rPr>
          <w:t>）基金的融资、转融通</w:t>
        </w:r>
        <w:r>
          <w:rPr>
            <w:webHidden/>
          </w:rPr>
          <w:tab/>
        </w:r>
        <w:r>
          <w:rPr>
            <w:webHidden/>
          </w:rPr>
          <w:fldChar w:fldCharType="begin"/>
        </w:r>
        <w:r>
          <w:rPr>
            <w:webHidden/>
          </w:rPr>
          <w:instrText xml:space="preserve"> PAGEREF _Toc91767008 \h </w:instrText>
        </w:r>
        <w:r>
          <w:rPr>
            <w:webHidden/>
          </w:rPr>
          <w:fldChar w:fldCharType="separate"/>
        </w:r>
        <w:r w:rsidR="002942FF">
          <w:rPr>
            <w:webHidden/>
          </w:rPr>
          <w:t>49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09" w:history="1">
        <w:r w:rsidRPr="008A26B2">
          <w:rPr>
            <w:rStyle w:val="Hyperlink"/>
            <w:rFonts w:asciiTheme="minorEastAsia" w:hAnsiTheme="minorEastAsia" w:hint="eastAsia"/>
            <w:bCs/>
          </w:rPr>
          <w:t>（十二）基金投资组合报告</w:t>
        </w:r>
        <w:r w:rsidRPr="008A26B2">
          <w:rPr>
            <w:rStyle w:val="Hyperlink"/>
            <w:rFonts w:asciiTheme="minorEastAsia" w:hAnsiTheme="minorEastAsia"/>
            <w:bCs/>
          </w:rPr>
          <w:t>(</w:t>
        </w:r>
        <w:r w:rsidRPr="008A26B2">
          <w:rPr>
            <w:rStyle w:val="Hyperlink"/>
            <w:rFonts w:asciiTheme="minorEastAsia" w:hAnsiTheme="minorEastAsia" w:hint="eastAsia"/>
            <w:bCs/>
          </w:rPr>
          <w:t>未经审计</w:t>
        </w:r>
        <w:r w:rsidRPr="008A26B2">
          <w:rPr>
            <w:rStyle w:val="Hyperlink"/>
            <w:rFonts w:asciiTheme="minorEastAsia" w:hAnsiTheme="minorEastAsia"/>
            <w:bCs/>
          </w:rPr>
          <w:t>)</w:t>
        </w:r>
        <w:r>
          <w:rPr>
            <w:webHidden/>
          </w:rPr>
          <w:tab/>
        </w:r>
        <w:r>
          <w:rPr>
            <w:webHidden/>
          </w:rPr>
          <w:fldChar w:fldCharType="begin"/>
        </w:r>
        <w:r>
          <w:rPr>
            <w:webHidden/>
          </w:rPr>
          <w:instrText xml:space="preserve"> PAGEREF _Toc91767009 \h </w:instrText>
        </w:r>
        <w:r>
          <w:rPr>
            <w:webHidden/>
          </w:rPr>
          <w:fldChar w:fldCharType="separate"/>
        </w:r>
        <w:r w:rsidR="002942FF">
          <w:rPr>
            <w:webHidden/>
          </w:rPr>
          <w:t>50</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10" w:history="1">
        <w:r w:rsidRPr="008A26B2">
          <w:rPr>
            <w:rStyle w:val="Hyperlink"/>
            <w:rFonts w:asciiTheme="minorEastAsia" w:hAnsiTheme="minorEastAsia" w:hint="eastAsia"/>
            <w:bCs/>
          </w:rPr>
          <w:t>十二、基金的业绩</w:t>
        </w:r>
        <w:r>
          <w:rPr>
            <w:webHidden/>
          </w:rPr>
          <w:tab/>
        </w:r>
        <w:r>
          <w:rPr>
            <w:webHidden/>
          </w:rPr>
          <w:fldChar w:fldCharType="begin"/>
        </w:r>
        <w:r>
          <w:rPr>
            <w:webHidden/>
          </w:rPr>
          <w:instrText xml:space="preserve"> PAGEREF _Toc91767010 \h </w:instrText>
        </w:r>
        <w:r>
          <w:rPr>
            <w:webHidden/>
          </w:rPr>
          <w:fldChar w:fldCharType="separate"/>
        </w:r>
        <w:r w:rsidR="002942FF">
          <w:rPr>
            <w:webHidden/>
          </w:rPr>
          <w:t>53</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11" w:history="1">
        <w:r w:rsidRPr="008A26B2">
          <w:rPr>
            <w:rStyle w:val="Hyperlink"/>
            <w:rFonts w:asciiTheme="minorEastAsia" w:hAnsiTheme="minorEastAsia" w:hint="eastAsia"/>
            <w:bCs/>
          </w:rPr>
          <w:t>十三、基金的财产</w:t>
        </w:r>
        <w:r>
          <w:rPr>
            <w:webHidden/>
          </w:rPr>
          <w:tab/>
        </w:r>
        <w:r>
          <w:rPr>
            <w:webHidden/>
          </w:rPr>
          <w:fldChar w:fldCharType="begin"/>
        </w:r>
        <w:r>
          <w:rPr>
            <w:webHidden/>
          </w:rPr>
          <w:instrText xml:space="preserve"> PAGEREF _Toc91767011 \h </w:instrText>
        </w:r>
        <w:r>
          <w:rPr>
            <w:webHidden/>
          </w:rPr>
          <w:fldChar w:fldCharType="separate"/>
        </w:r>
        <w:r w:rsidR="002942FF">
          <w:rPr>
            <w:webHidden/>
          </w:rPr>
          <w:t>55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2" w:history="1">
        <w:r w:rsidRPr="008A26B2">
          <w:rPr>
            <w:rStyle w:val="Hyperlink"/>
            <w:rFonts w:asciiTheme="minorEastAsia" w:hAnsiTheme="minorEastAsia" w:hint="eastAsia"/>
            <w:bCs/>
          </w:rPr>
          <w:t>（一）基金资产总值</w:t>
        </w:r>
        <w:r>
          <w:rPr>
            <w:webHidden/>
          </w:rPr>
          <w:tab/>
        </w:r>
        <w:r>
          <w:rPr>
            <w:webHidden/>
          </w:rPr>
          <w:fldChar w:fldCharType="begin"/>
        </w:r>
        <w:r>
          <w:rPr>
            <w:webHidden/>
          </w:rPr>
          <w:instrText xml:space="preserve"> PAGEREF _Toc91767012 \h </w:instrText>
        </w:r>
        <w:r>
          <w:rPr>
            <w:webHidden/>
          </w:rPr>
          <w:fldChar w:fldCharType="separate"/>
        </w:r>
        <w:r w:rsidR="002942FF">
          <w:rPr>
            <w:webHidden/>
          </w:rPr>
          <w:t>55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3" w:history="1">
        <w:r w:rsidRPr="008A26B2">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_Toc91767013 \h </w:instrText>
        </w:r>
        <w:r>
          <w:rPr>
            <w:webHidden/>
          </w:rPr>
          <w:fldChar w:fldCharType="separate"/>
        </w:r>
        <w:r w:rsidR="002942FF">
          <w:rPr>
            <w:webHidden/>
          </w:rPr>
          <w:t>55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4" w:history="1">
        <w:r w:rsidRPr="008A26B2">
          <w:rPr>
            <w:rStyle w:val="Hyperlink"/>
            <w:rFonts w:asciiTheme="minorEastAsia" w:hAnsiTheme="minorEastAsia" w:hint="eastAsia"/>
          </w:rPr>
          <w:t>（三）基金财产的账户</w:t>
        </w:r>
        <w:r>
          <w:rPr>
            <w:webHidden/>
          </w:rPr>
          <w:tab/>
        </w:r>
        <w:r>
          <w:rPr>
            <w:webHidden/>
          </w:rPr>
          <w:fldChar w:fldCharType="begin"/>
        </w:r>
        <w:r>
          <w:rPr>
            <w:webHidden/>
          </w:rPr>
          <w:instrText xml:space="preserve"> PAGEREF _Toc91767014 \h </w:instrText>
        </w:r>
        <w:r>
          <w:rPr>
            <w:webHidden/>
          </w:rPr>
          <w:fldChar w:fldCharType="separate"/>
        </w:r>
        <w:r w:rsidR="002942FF">
          <w:rPr>
            <w:webHidden/>
          </w:rPr>
          <w:t>55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5" w:history="1">
        <w:r w:rsidRPr="008A26B2">
          <w:rPr>
            <w:rStyle w:val="Hyperlink"/>
            <w:rFonts w:asciiTheme="minorEastAsia" w:hAnsiTheme="minorEastAsia" w:hint="eastAsia"/>
          </w:rPr>
          <w:t>（四）基金财产的保管和处分</w:t>
        </w:r>
        <w:r>
          <w:rPr>
            <w:webHidden/>
          </w:rPr>
          <w:tab/>
        </w:r>
        <w:r>
          <w:rPr>
            <w:webHidden/>
          </w:rPr>
          <w:fldChar w:fldCharType="begin"/>
        </w:r>
        <w:r>
          <w:rPr>
            <w:webHidden/>
          </w:rPr>
          <w:instrText xml:space="preserve"> PAGEREF _Toc91767015 \h </w:instrText>
        </w:r>
        <w:r>
          <w:rPr>
            <w:webHidden/>
          </w:rPr>
          <w:fldChar w:fldCharType="separate"/>
        </w:r>
        <w:r w:rsidR="002942FF">
          <w:rPr>
            <w:webHidden/>
          </w:rPr>
          <w:t>55</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16" w:history="1">
        <w:r w:rsidRPr="008A26B2">
          <w:rPr>
            <w:rStyle w:val="Hyperlink"/>
            <w:rFonts w:asciiTheme="minorEastAsia" w:hAnsiTheme="minorEastAsia" w:hint="eastAsia"/>
            <w:bCs/>
          </w:rPr>
          <w:t>十四、基金资产估值</w:t>
        </w:r>
        <w:r>
          <w:rPr>
            <w:webHidden/>
          </w:rPr>
          <w:tab/>
        </w:r>
        <w:r>
          <w:rPr>
            <w:webHidden/>
          </w:rPr>
          <w:fldChar w:fldCharType="begin"/>
        </w:r>
        <w:r>
          <w:rPr>
            <w:webHidden/>
          </w:rPr>
          <w:instrText xml:space="preserve"> PAGEREF _Toc91767016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7" w:history="1">
        <w:r w:rsidRPr="008A26B2">
          <w:rPr>
            <w:rStyle w:val="Hyperlink"/>
            <w:rFonts w:asciiTheme="minorEastAsia" w:hAnsiTheme="minorEastAsia" w:hint="eastAsia"/>
          </w:rPr>
          <w:t>（一）估值目的</w:t>
        </w:r>
        <w:r>
          <w:rPr>
            <w:webHidden/>
          </w:rPr>
          <w:tab/>
        </w:r>
        <w:r>
          <w:rPr>
            <w:webHidden/>
          </w:rPr>
          <w:fldChar w:fldCharType="begin"/>
        </w:r>
        <w:r>
          <w:rPr>
            <w:webHidden/>
          </w:rPr>
          <w:instrText xml:space="preserve"> PAGEREF _Toc91767017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8" w:history="1">
        <w:r w:rsidRPr="008A26B2">
          <w:rPr>
            <w:rStyle w:val="Hyperlink"/>
            <w:rFonts w:asciiTheme="minorEastAsia" w:hAnsiTheme="minorEastAsia" w:hint="eastAsia"/>
          </w:rPr>
          <w:t>（二）估值日</w:t>
        </w:r>
        <w:r>
          <w:rPr>
            <w:webHidden/>
          </w:rPr>
          <w:tab/>
        </w:r>
        <w:r>
          <w:rPr>
            <w:webHidden/>
          </w:rPr>
          <w:fldChar w:fldCharType="begin"/>
        </w:r>
        <w:r>
          <w:rPr>
            <w:webHidden/>
          </w:rPr>
          <w:instrText xml:space="preserve"> PAGEREF _Toc91767018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19" w:history="1">
        <w:r w:rsidRPr="008A26B2">
          <w:rPr>
            <w:rStyle w:val="Hyperlink"/>
            <w:rFonts w:asciiTheme="minorEastAsia" w:hAnsiTheme="minorEastAsia" w:hint="eastAsia"/>
          </w:rPr>
          <w:t>（三）</w:t>
        </w:r>
        <w:r w:rsidRPr="008A26B2">
          <w:rPr>
            <w:rStyle w:val="Hyperlink"/>
            <w:rFonts w:asciiTheme="minorEastAsia" w:hAnsiTheme="minorEastAsia"/>
          </w:rPr>
          <w:t xml:space="preserve"> </w:t>
        </w:r>
        <w:r w:rsidRPr="008A26B2">
          <w:rPr>
            <w:rStyle w:val="Hyperlink"/>
            <w:rFonts w:asciiTheme="minorEastAsia" w:hAnsiTheme="minorEastAsia" w:hint="eastAsia"/>
          </w:rPr>
          <w:t>估值对象</w:t>
        </w:r>
        <w:r>
          <w:rPr>
            <w:webHidden/>
          </w:rPr>
          <w:tab/>
        </w:r>
        <w:r>
          <w:rPr>
            <w:webHidden/>
          </w:rPr>
          <w:fldChar w:fldCharType="begin"/>
        </w:r>
        <w:r>
          <w:rPr>
            <w:webHidden/>
          </w:rPr>
          <w:instrText xml:space="preserve"> PAGEREF _Toc91767019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0" w:history="1">
        <w:r w:rsidRPr="008A26B2">
          <w:rPr>
            <w:rStyle w:val="Hyperlink"/>
            <w:rFonts w:asciiTheme="minorEastAsia" w:hAnsiTheme="minorEastAsia" w:hint="eastAsia"/>
          </w:rPr>
          <w:t>（四）</w:t>
        </w:r>
        <w:r w:rsidRPr="008A26B2">
          <w:rPr>
            <w:rStyle w:val="Hyperlink"/>
            <w:rFonts w:asciiTheme="minorEastAsia" w:hAnsiTheme="minorEastAsia"/>
          </w:rPr>
          <w:t xml:space="preserve"> </w:t>
        </w:r>
        <w:r w:rsidRPr="008A26B2">
          <w:rPr>
            <w:rStyle w:val="Hyperlink"/>
            <w:rFonts w:asciiTheme="minorEastAsia" w:hAnsiTheme="minorEastAsia" w:hint="eastAsia"/>
          </w:rPr>
          <w:t>估值程序</w:t>
        </w:r>
        <w:r>
          <w:rPr>
            <w:webHidden/>
          </w:rPr>
          <w:tab/>
        </w:r>
        <w:r>
          <w:rPr>
            <w:webHidden/>
          </w:rPr>
          <w:fldChar w:fldCharType="begin"/>
        </w:r>
        <w:r>
          <w:rPr>
            <w:webHidden/>
          </w:rPr>
          <w:instrText xml:space="preserve"> PAGEREF _Toc91767020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1" w:history="1">
        <w:r w:rsidRPr="008A26B2">
          <w:rPr>
            <w:rStyle w:val="Hyperlink"/>
            <w:rFonts w:asciiTheme="minorEastAsia" w:hAnsiTheme="minorEastAsia" w:hint="eastAsia"/>
          </w:rPr>
          <w:t>（五）</w:t>
        </w:r>
        <w:r w:rsidRPr="008A26B2">
          <w:rPr>
            <w:rStyle w:val="Hyperlink"/>
            <w:rFonts w:asciiTheme="minorEastAsia" w:hAnsiTheme="minorEastAsia"/>
          </w:rPr>
          <w:t xml:space="preserve"> </w:t>
        </w:r>
        <w:r w:rsidRPr="008A26B2">
          <w:rPr>
            <w:rStyle w:val="Hyperlink"/>
            <w:rFonts w:asciiTheme="minorEastAsia" w:hAnsiTheme="minorEastAsia" w:hint="eastAsia"/>
          </w:rPr>
          <w:t>估值方法</w:t>
        </w:r>
        <w:r>
          <w:rPr>
            <w:webHidden/>
          </w:rPr>
          <w:tab/>
        </w:r>
        <w:r>
          <w:rPr>
            <w:webHidden/>
          </w:rPr>
          <w:fldChar w:fldCharType="begin"/>
        </w:r>
        <w:r>
          <w:rPr>
            <w:webHidden/>
          </w:rPr>
          <w:instrText xml:space="preserve"> PAGEREF _Toc91767021 \h </w:instrText>
        </w:r>
        <w:r>
          <w:rPr>
            <w:webHidden/>
          </w:rPr>
          <w:fldChar w:fldCharType="separate"/>
        </w:r>
        <w:r w:rsidR="002942FF">
          <w:rPr>
            <w:webHidden/>
          </w:rPr>
          <w:t>56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2" w:history="1">
        <w:r w:rsidRPr="008A26B2">
          <w:rPr>
            <w:rStyle w:val="Hyperlink"/>
            <w:rFonts w:asciiTheme="minorEastAsia" w:hAnsiTheme="minorEastAsia" w:hint="eastAsia"/>
          </w:rPr>
          <w:t>（六）</w:t>
        </w:r>
        <w:r w:rsidRPr="008A26B2">
          <w:rPr>
            <w:rStyle w:val="Hyperlink"/>
            <w:rFonts w:asciiTheme="minorEastAsia" w:hAnsiTheme="minorEastAsia"/>
          </w:rPr>
          <w:t xml:space="preserve"> </w:t>
        </w:r>
        <w:r w:rsidRPr="008A26B2">
          <w:rPr>
            <w:rStyle w:val="Hyperlink"/>
            <w:rFonts w:asciiTheme="minorEastAsia" w:hAnsiTheme="minorEastAsia" w:hint="eastAsia"/>
          </w:rPr>
          <w:t>基金份额净值的确认和估值错误的处理</w:t>
        </w:r>
        <w:r>
          <w:rPr>
            <w:webHidden/>
          </w:rPr>
          <w:tab/>
        </w:r>
        <w:r>
          <w:rPr>
            <w:webHidden/>
          </w:rPr>
          <w:fldChar w:fldCharType="begin"/>
        </w:r>
        <w:r>
          <w:rPr>
            <w:webHidden/>
          </w:rPr>
          <w:instrText xml:space="preserve"> PAGEREF _Toc91767022 \h </w:instrText>
        </w:r>
        <w:r>
          <w:rPr>
            <w:webHidden/>
          </w:rPr>
          <w:fldChar w:fldCharType="separate"/>
        </w:r>
        <w:r w:rsidR="002942FF">
          <w:rPr>
            <w:webHidden/>
          </w:rPr>
          <w:t>57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3" w:history="1">
        <w:r w:rsidRPr="008A26B2">
          <w:rPr>
            <w:rStyle w:val="Hyperlink"/>
            <w:rFonts w:asciiTheme="minorEastAsia" w:hAnsiTheme="minorEastAsia" w:hint="eastAsia"/>
          </w:rPr>
          <w:t>（七）</w:t>
        </w:r>
        <w:r w:rsidRPr="008A26B2">
          <w:rPr>
            <w:rStyle w:val="Hyperlink"/>
            <w:rFonts w:asciiTheme="minorEastAsia" w:hAnsiTheme="minorEastAsia"/>
          </w:rPr>
          <w:t xml:space="preserve"> </w:t>
        </w:r>
        <w:r w:rsidRPr="008A26B2">
          <w:rPr>
            <w:rStyle w:val="Hyperlink"/>
            <w:rFonts w:asciiTheme="minorEastAsia" w:hAnsiTheme="minorEastAsia" w:hint="eastAsia"/>
          </w:rPr>
          <w:t>暂停估值的情形</w:t>
        </w:r>
        <w:r>
          <w:rPr>
            <w:webHidden/>
          </w:rPr>
          <w:tab/>
        </w:r>
        <w:r>
          <w:rPr>
            <w:webHidden/>
          </w:rPr>
          <w:fldChar w:fldCharType="begin"/>
        </w:r>
        <w:r>
          <w:rPr>
            <w:webHidden/>
          </w:rPr>
          <w:instrText xml:space="preserve"> PAGEREF _Toc91767023 \h </w:instrText>
        </w:r>
        <w:r>
          <w:rPr>
            <w:webHidden/>
          </w:rPr>
          <w:fldChar w:fldCharType="separate"/>
        </w:r>
        <w:r w:rsidR="002942FF">
          <w:rPr>
            <w:webHidden/>
          </w:rPr>
          <w:t>59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4" w:history="1">
        <w:r w:rsidRPr="008A26B2">
          <w:rPr>
            <w:rStyle w:val="Hyperlink"/>
            <w:rFonts w:asciiTheme="minorEastAsia" w:hAnsiTheme="minorEastAsia" w:hint="eastAsia"/>
          </w:rPr>
          <w:t>（八）</w:t>
        </w:r>
        <w:r w:rsidRPr="008A26B2">
          <w:rPr>
            <w:rStyle w:val="Hyperlink"/>
            <w:rFonts w:asciiTheme="minorEastAsia" w:hAnsiTheme="minorEastAsia"/>
          </w:rPr>
          <w:t xml:space="preserve"> </w:t>
        </w:r>
        <w:r w:rsidRPr="008A26B2">
          <w:rPr>
            <w:rStyle w:val="Hyperlink"/>
            <w:rFonts w:asciiTheme="minorEastAsia" w:hAnsiTheme="minorEastAsia" w:hint="eastAsia"/>
          </w:rPr>
          <w:t>特殊情形的处理</w:t>
        </w:r>
        <w:r>
          <w:rPr>
            <w:webHidden/>
          </w:rPr>
          <w:tab/>
        </w:r>
        <w:r>
          <w:rPr>
            <w:webHidden/>
          </w:rPr>
          <w:fldChar w:fldCharType="begin"/>
        </w:r>
        <w:r>
          <w:rPr>
            <w:webHidden/>
          </w:rPr>
          <w:instrText xml:space="preserve"> PAGEREF _Toc91767024 \h </w:instrText>
        </w:r>
        <w:r>
          <w:rPr>
            <w:webHidden/>
          </w:rPr>
          <w:fldChar w:fldCharType="separate"/>
        </w:r>
        <w:r w:rsidR="002942FF">
          <w:rPr>
            <w:webHidden/>
          </w:rPr>
          <w:t>59</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25" w:history="1">
        <w:r w:rsidRPr="008A26B2">
          <w:rPr>
            <w:rStyle w:val="Hyperlink"/>
            <w:rFonts w:asciiTheme="minorEastAsia" w:hAnsiTheme="minorEastAsia" w:hint="eastAsia"/>
            <w:bCs/>
          </w:rPr>
          <w:t>十五、基金的收益与分配</w:t>
        </w:r>
        <w:r>
          <w:rPr>
            <w:webHidden/>
          </w:rPr>
          <w:tab/>
        </w:r>
        <w:r>
          <w:rPr>
            <w:webHidden/>
          </w:rPr>
          <w:fldChar w:fldCharType="begin"/>
        </w:r>
        <w:r>
          <w:rPr>
            <w:webHidden/>
          </w:rPr>
          <w:instrText xml:space="preserve"> PAGEREF _Toc91767025 \h </w:instrText>
        </w:r>
        <w:r>
          <w:rPr>
            <w:webHidden/>
          </w:rPr>
          <w:fldChar w:fldCharType="separate"/>
        </w:r>
        <w:r w:rsidR="002942FF">
          <w:rPr>
            <w:webHidden/>
          </w:rPr>
          <w:t>60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6" w:history="1">
        <w:r w:rsidRPr="008A26B2">
          <w:rPr>
            <w:rStyle w:val="Hyperlink"/>
            <w:rFonts w:asciiTheme="minorEastAsia" w:hAnsiTheme="minorEastAsia" w:hint="eastAsia"/>
          </w:rPr>
          <w:t>（一）收益分配原则</w:t>
        </w:r>
        <w:r>
          <w:rPr>
            <w:webHidden/>
          </w:rPr>
          <w:tab/>
        </w:r>
        <w:r>
          <w:rPr>
            <w:webHidden/>
          </w:rPr>
          <w:fldChar w:fldCharType="begin"/>
        </w:r>
        <w:r>
          <w:rPr>
            <w:webHidden/>
          </w:rPr>
          <w:instrText xml:space="preserve"> PAGEREF _Toc91767026 \h </w:instrText>
        </w:r>
        <w:r>
          <w:rPr>
            <w:webHidden/>
          </w:rPr>
          <w:fldChar w:fldCharType="separate"/>
        </w:r>
        <w:r w:rsidR="002942FF">
          <w:rPr>
            <w:webHidden/>
          </w:rPr>
          <w:t>60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7" w:history="1">
        <w:r w:rsidRPr="008A26B2">
          <w:rPr>
            <w:rStyle w:val="Hyperlink"/>
            <w:rFonts w:asciiTheme="minorEastAsia" w:hAnsiTheme="minorEastAsia" w:hint="eastAsia"/>
          </w:rPr>
          <w:t>（二）基金收益分配数额的确定原则</w:t>
        </w:r>
        <w:r>
          <w:rPr>
            <w:webHidden/>
          </w:rPr>
          <w:tab/>
        </w:r>
        <w:r>
          <w:rPr>
            <w:webHidden/>
          </w:rPr>
          <w:fldChar w:fldCharType="begin"/>
        </w:r>
        <w:r>
          <w:rPr>
            <w:webHidden/>
          </w:rPr>
          <w:instrText xml:space="preserve"> PAGEREF _Toc91767027 \h </w:instrText>
        </w:r>
        <w:r>
          <w:rPr>
            <w:webHidden/>
          </w:rPr>
          <w:fldChar w:fldCharType="separate"/>
        </w:r>
        <w:r w:rsidR="002942FF">
          <w:rPr>
            <w:webHidden/>
          </w:rPr>
          <w:t>60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8" w:history="1">
        <w:r w:rsidRPr="008A26B2">
          <w:rPr>
            <w:rStyle w:val="Hyperlink"/>
            <w:rFonts w:asciiTheme="minorEastAsia" w:hAnsiTheme="minorEastAsia" w:hint="eastAsia"/>
          </w:rPr>
          <w:t>（三）收益分配方案</w:t>
        </w:r>
        <w:r>
          <w:rPr>
            <w:webHidden/>
          </w:rPr>
          <w:tab/>
        </w:r>
        <w:r>
          <w:rPr>
            <w:webHidden/>
          </w:rPr>
          <w:fldChar w:fldCharType="begin"/>
        </w:r>
        <w:r>
          <w:rPr>
            <w:webHidden/>
          </w:rPr>
          <w:instrText xml:space="preserve"> PAGEREF _Toc91767028 \h </w:instrText>
        </w:r>
        <w:r>
          <w:rPr>
            <w:webHidden/>
          </w:rPr>
          <w:fldChar w:fldCharType="separate"/>
        </w:r>
        <w:r w:rsidR="002942FF">
          <w:rPr>
            <w:webHidden/>
          </w:rPr>
          <w:t>60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29" w:history="1">
        <w:r w:rsidRPr="008A26B2">
          <w:rPr>
            <w:rStyle w:val="Hyperlink"/>
            <w:rFonts w:asciiTheme="minorEastAsia" w:hAnsiTheme="minorEastAsia" w:hint="eastAsia"/>
          </w:rPr>
          <w:t>（四）收益分配方案的确定、公告与实施</w:t>
        </w:r>
        <w:r>
          <w:rPr>
            <w:webHidden/>
          </w:rPr>
          <w:tab/>
        </w:r>
        <w:r>
          <w:rPr>
            <w:webHidden/>
          </w:rPr>
          <w:fldChar w:fldCharType="begin"/>
        </w:r>
        <w:r>
          <w:rPr>
            <w:webHidden/>
          </w:rPr>
          <w:instrText xml:space="preserve"> PAGEREF _Toc91767029 \h </w:instrText>
        </w:r>
        <w:r>
          <w:rPr>
            <w:webHidden/>
          </w:rPr>
          <w:fldChar w:fldCharType="separate"/>
        </w:r>
        <w:r w:rsidR="002942FF">
          <w:rPr>
            <w:webHidden/>
          </w:rPr>
          <w:t>60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0" w:history="1">
        <w:r w:rsidRPr="008A26B2">
          <w:rPr>
            <w:rStyle w:val="Hyperlink"/>
            <w:rFonts w:asciiTheme="minorEastAsia" w:hAnsiTheme="minorEastAsia" w:hint="eastAsia"/>
          </w:rPr>
          <w:t>（五）场外份额收益分配中发生的费用</w:t>
        </w:r>
        <w:r>
          <w:rPr>
            <w:webHidden/>
          </w:rPr>
          <w:tab/>
        </w:r>
        <w:r>
          <w:rPr>
            <w:webHidden/>
          </w:rPr>
          <w:fldChar w:fldCharType="begin"/>
        </w:r>
        <w:r>
          <w:rPr>
            <w:webHidden/>
          </w:rPr>
          <w:instrText xml:space="preserve"> PAGEREF _Toc91767030 \h </w:instrText>
        </w:r>
        <w:r>
          <w:rPr>
            <w:webHidden/>
          </w:rPr>
          <w:fldChar w:fldCharType="separate"/>
        </w:r>
        <w:r w:rsidR="002942FF">
          <w:rPr>
            <w:webHidden/>
          </w:rPr>
          <w:t>60</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31" w:history="1">
        <w:r w:rsidRPr="008A26B2">
          <w:rPr>
            <w:rStyle w:val="Hyperlink"/>
            <w:rFonts w:asciiTheme="minorEastAsia" w:hAnsiTheme="minorEastAsia" w:hint="eastAsia"/>
            <w:bCs/>
          </w:rPr>
          <w:t>十六、基金的费用与税收</w:t>
        </w:r>
        <w:r>
          <w:rPr>
            <w:webHidden/>
          </w:rPr>
          <w:tab/>
        </w:r>
        <w:r>
          <w:rPr>
            <w:webHidden/>
          </w:rPr>
          <w:fldChar w:fldCharType="begin"/>
        </w:r>
        <w:r>
          <w:rPr>
            <w:webHidden/>
          </w:rPr>
          <w:instrText xml:space="preserve"> PAGEREF _Toc91767031 \h </w:instrText>
        </w:r>
        <w:r>
          <w:rPr>
            <w:webHidden/>
          </w:rPr>
          <w:fldChar w:fldCharType="separate"/>
        </w:r>
        <w:r w:rsidR="002942FF">
          <w:rPr>
            <w:webHidden/>
          </w:rPr>
          <w:t>61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2" w:history="1">
        <w:r w:rsidRPr="008A26B2">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_Toc91767032 \h </w:instrText>
        </w:r>
        <w:r>
          <w:rPr>
            <w:webHidden/>
          </w:rPr>
          <w:fldChar w:fldCharType="separate"/>
        </w:r>
        <w:r w:rsidR="002942FF">
          <w:rPr>
            <w:webHidden/>
          </w:rPr>
          <w:t>61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3" w:history="1">
        <w:r w:rsidRPr="008A26B2">
          <w:rPr>
            <w:rStyle w:val="Hyperlink"/>
            <w:rFonts w:asciiTheme="minorEastAsia" w:hAnsiTheme="minorEastAsia" w:hint="eastAsia"/>
          </w:rPr>
          <w:t>（二）与基金销售有关的费用</w:t>
        </w:r>
        <w:r>
          <w:rPr>
            <w:webHidden/>
          </w:rPr>
          <w:tab/>
        </w:r>
        <w:r>
          <w:rPr>
            <w:webHidden/>
          </w:rPr>
          <w:fldChar w:fldCharType="begin"/>
        </w:r>
        <w:r>
          <w:rPr>
            <w:webHidden/>
          </w:rPr>
          <w:instrText xml:space="preserve"> PAGEREF _Toc91767033 \h </w:instrText>
        </w:r>
        <w:r>
          <w:rPr>
            <w:webHidden/>
          </w:rPr>
          <w:fldChar w:fldCharType="separate"/>
        </w:r>
        <w:r w:rsidR="002942FF">
          <w:rPr>
            <w:webHidden/>
          </w:rPr>
          <w:t>62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4" w:history="1">
        <w:r w:rsidRPr="008A26B2">
          <w:rPr>
            <w:rStyle w:val="Hyperlink"/>
            <w:rFonts w:asciiTheme="minorEastAsia" w:hAnsiTheme="minorEastAsia" w:hint="eastAsia"/>
          </w:rPr>
          <w:t>（三）不列入基金费用的项目</w:t>
        </w:r>
        <w:r>
          <w:rPr>
            <w:webHidden/>
          </w:rPr>
          <w:tab/>
        </w:r>
        <w:r>
          <w:rPr>
            <w:webHidden/>
          </w:rPr>
          <w:fldChar w:fldCharType="begin"/>
        </w:r>
        <w:r>
          <w:rPr>
            <w:webHidden/>
          </w:rPr>
          <w:instrText xml:space="preserve"> PAGEREF _Toc91767034 \h </w:instrText>
        </w:r>
        <w:r>
          <w:rPr>
            <w:webHidden/>
          </w:rPr>
          <w:fldChar w:fldCharType="separate"/>
        </w:r>
        <w:r w:rsidR="002942FF">
          <w:rPr>
            <w:webHidden/>
          </w:rPr>
          <w:t>62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5" w:history="1">
        <w:r w:rsidRPr="008A26B2">
          <w:rPr>
            <w:rStyle w:val="Hyperlink"/>
            <w:rFonts w:asciiTheme="minorEastAsia" w:hAnsiTheme="minorEastAsia" w:hint="eastAsia"/>
          </w:rPr>
          <w:t>（四）基金税收</w:t>
        </w:r>
        <w:r>
          <w:rPr>
            <w:webHidden/>
          </w:rPr>
          <w:tab/>
        </w:r>
        <w:r>
          <w:rPr>
            <w:webHidden/>
          </w:rPr>
          <w:fldChar w:fldCharType="begin"/>
        </w:r>
        <w:r>
          <w:rPr>
            <w:webHidden/>
          </w:rPr>
          <w:instrText xml:space="preserve"> PAGEREF _Toc91767035 \h </w:instrText>
        </w:r>
        <w:r>
          <w:rPr>
            <w:webHidden/>
          </w:rPr>
          <w:fldChar w:fldCharType="separate"/>
        </w:r>
        <w:r w:rsidR="002942FF">
          <w:rPr>
            <w:webHidden/>
          </w:rPr>
          <w:t>63</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36" w:history="1">
        <w:r w:rsidRPr="008A26B2">
          <w:rPr>
            <w:rStyle w:val="Hyperlink"/>
            <w:rFonts w:asciiTheme="minorEastAsia" w:hAnsiTheme="minorEastAsia" w:hint="eastAsia"/>
            <w:bCs/>
          </w:rPr>
          <w:t>十七、基金的会计与审计</w:t>
        </w:r>
        <w:r>
          <w:rPr>
            <w:webHidden/>
          </w:rPr>
          <w:tab/>
        </w:r>
        <w:r>
          <w:rPr>
            <w:webHidden/>
          </w:rPr>
          <w:fldChar w:fldCharType="begin"/>
        </w:r>
        <w:r>
          <w:rPr>
            <w:webHidden/>
          </w:rPr>
          <w:instrText xml:space="preserve"> PAGEREF _Toc91767036 \h </w:instrText>
        </w:r>
        <w:r>
          <w:rPr>
            <w:webHidden/>
          </w:rPr>
          <w:fldChar w:fldCharType="separate"/>
        </w:r>
        <w:r w:rsidR="002942FF">
          <w:rPr>
            <w:webHidden/>
          </w:rPr>
          <w:t>64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7" w:history="1">
        <w:r w:rsidRPr="008A26B2">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_Toc91767037 \h </w:instrText>
        </w:r>
        <w:r>
          <w:rPr>
            <w:webHidden/>
          </w:rPr>
          <w:fldChar w:fldCharType="separate"/>
        </w:r>
        <w:r w:rsidR="002942FF">
          <w:rPr>
            <w:webHidden/>
          </w:rPr>
          <w:t>64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38" w:history="1">
        <w:r w:rsidRPr="008A26B2">
          <w:rPr>
            <w:rStyle w:val="Hyperlink"/>
            <w:rFonts w:asciiTheme="minorEastAsia" w:hAnsiTheme="minorEastAsia" w:hint="eastAsia"/>
          </w:rPr>
          <w:t>（二）基金年度审计</w:t>
        </w:r>
        <w:r>
          <w:rPr>
            <w:webHidden/>
          </w:rPr>
          <w:tab/>
        </w:r>
        <w:r>
          <w:rPr>
            <w:webHidden/>
          </w:rPr>
          <w:fldChar w:fldCharType="begin"/>
        </w:r>
        <w:r>
          <w:rPr>
            <w:webHidden/>
          </w:rPr>
          <w:instrText xml:space="preserve"> PAGEREF _Toc91767038 \h </w:instrText>
        </w:r>
        <w:r>
          <w:rPr>
            <w:webHidden/>
          </w:rPr>
          <w:fldChar w:fldCharType="separate"/>
        </w:r>
        <w:r w:rsidR="002942FF">
          <w:rPr>
            <w:webHidden/>
          </w:rPr>
          <w:t>64</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39" w:history="1">
        <w:r w:rsidRPr="008A26B2">
          <w:rPr>
            <w:rStyle w:val="Hyperlink"/>
            <w:rFonts w:asciiTheme="minorEastAsia" w:hAnsiTheme="minorEastAsia" w:hint="eastAsia"/>
            <w:bCs/>
          </w:rPr>
          <w:t>十八、基金的信息披露</w:t>
        </w:r>
        <w:r>
          <w:rPr>
            <w:webHidden/>
          </w:rPr>
          <w:tab/>
        </w:r>
        <w:r>
          <w:rPr>
            <w:webHidden/>
          </w:rPr>
          <w:fldChar w:fldCharType="begin"/>
        </w:r>
        <w:r>
          <w:rPr>
            <w:webHidden/>
          </w:rPr>
          <w:instrText xml:space="preserve"> PAGEREF _Toc91767039 \h </w:instrText>
        </w:r>
        <w:r>
          <w:rPr>
            <w:webHidden/>
          </w:rPr>
          <w:fldChar w:fldCharType="separate"/>
        </w:r>
        <w:r w:rsidR="002942FF">
          <w:rPr>
            <w:webHidden/>
          </w:rPr>
          <w:t>65</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40" w:history="1">
        <w:r w:rsidRPr="008A26B2">
          <w:rPr>
            <w:rStyle w:val="Hyperlink"/>
            <w:rFonts w:asciiTheme="minorEastAsia" w:hAnsiTheme="minorEastAsia" w:hint="eastAsia"/>
            <w:bCs/>
          </w:rPr>
          <w:t>十九、风险揭示</w:t>
        </w:r>
        <w:r>
          <w:rPr>
            <w:webHidden/>
          </w:rPr>
          <w:tab/>
        </w:r>
        <w:r>
          <w:rPr>
            <w:webHidden/>
          </w:rPr>
          <w:fldChar w:fldCharType="begin"/>
        </w:r>
        <w:r>
          <w:rPr>
            <w:webHidden/>
          </w:rPr>
          <w:instrText xml:space="preserve"> PAGEREF _Toc91767040 \h </w:instrText>
        </w:r>
        <w:r>
          <w:rPr>
            <w:webHidden/>
          </w:rPr>
          <w:fldChar w:fldCharType="separate"/>
        </w:r>
        <w:r w:rsidR="002942FF">
          <w:rPr>
            <w:webHidden/>
          </w:rPr>
          <w:t>70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1" w:history="1">
        <w:r w:rsidRPr="008A26B2">
          <w:rPr>
            <w:rStyle w:val="Hyperlink"/>
            <w:rFonts w:asciiTheme="minorEastAsia" w:hAnsiTheme="minorEastAsia" w:hint="eastAsia"/>
          </w:rPr>
          <w:t>（一）标的指数回报与股票市场平均回报偏离的风险</w:t>
        </w:r>
        <w:r>
          <w:rPr>
            <w:webHidden/>
          </w:rPr>
          <w:tab/>
        </w:r>
        <w:r>
          <w:rPr>
            <w:webHidden/>
          </w:rPr>
          <w:fldChar w:fldCharType="begin"/>
        </w:r>
        <w:r>
          <w:rPr>
            <w:webHidden/>
          </w:rPr>
          <w:instrText xml:space="preserve"> PAGEREF _Toc91767041 \h </w:instrText>
        </w:r>
        <w:r>
          <w:rPr>
            <w:webHidden/>
          </w:rPr>
          <w:fldChar w:fldCharType="separate"/>
        </w:r>
        <w:r w:rsidR="002942FF">
          <w:rPr>
            <w:webHidden/>
          </w:rPr>
          <w:t>70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2" w:history="1">
        <w:r w:rsidRPr="008A26B2">
          <w:rPr>
            <w:rStyle w:val="Hyperlink"/>
            <w:rFonts w:asciiTheme="minorEastAsia" w:hAnsiTheme="minorEastAsia" w:hint="eastAsia"/>
          </w:rPr>
          <w:t>（二）标的指数波动的风险</w:t>
        </w:r>
        <w:r>
          <w:rPr>
            <w:webHidden/>
          </w:rPr>
          <w:tab/>
        </w:r>
        <w:r>
          <w:rPr>
            <w:webHidden/>
          </w:rPr>
          <w:fldChar w:fldCharType="begin"/>
        </w:r>
        <w:r>
          <w:rPr>
            <w:webHidden/>
          </w:rPr>
          <w:instrText xml:space="preserve"> PAGEREF _Toc91767042 \h </w:instrText>
        </w:r>
        <w:r>
          <w:rPr>
            <w:webHidden/>
          </w:rPr>
          <w:fldChar w:fldCharType="separate"/>
        </w:r>
        <w:r w:rsidR="002942FF">
          <w:rPr>
            <w:webHidden/>
          </w:rPr>
          <w:t>70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3" w:history="1">
        <w:r w:rsidRPr="008A26B2">
          <w:rPr>
            <w:rStyle w:val="Hyperlink"/>
            <w:rFonts w:asciiTheme="minorEastAsia" w:hAnsiTheme="minorEastAsia" w:hint="eastAsia"/>
          </w:rPr>
          <w:t>（三）基金投资组合回报与标的指数回报偏离的风险</w:t>
        </w:r>
        <w:r>
          <w:rPr>
            <w:webHidden/>
          </w:rPr>
          <w:tab/>
        </w:r>
        <w:r>
          <w:rPr>
            <w:webHidden/>
          </w:rPr>
          <w:fldChar w:fldCharType="begin"/>
        </w:r>
        <w:r>
          <w:rPr>
            <w:webHidden/>
          </w:rPr>
          <w:instrText xml:space="preserve"> PAGEREF _Toc91767043 \h </w:instrText>
        </w:r>
        <w:r>
          <w:rPr>
            <w:webHidden/>
          </w:rPr>
          <w:fldChar w:fldCharType="separate"/>
        </w:r>
        <w:r w:rsidR="002942FF">
          <w:rPr>
            <w:webHidden/>
          </w:rPr>
          <w:t>70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4" w:history="1">
        <w:r w:rsidRPr="008A26B2">
          <w:rPr>
            <w:rStyle w:val="Hyperlink"/>
            <w:rFonts w:asciiTheme="minorEastAsia" w:hAnsiTheme="minorEastAsia" w:hint="eastAsia"/>
          </w:rPr>
          <w:t>（四）跟踪误差控制未达约定目标的风险</w:t>
        </w:r>
        <w:r>
          <w:rPr>
            <w:webHidden/>
          </w:rPr>
          <w:tab/>
        </w:r>
        <w:r>
          <w:rPr>
            <w:webHidden/>
          </w:rPr>
          <w:fldChar w:fldCharType="begin"/>
        </w:r>
        <w:r>
          <w:rPr>
            <w:webHidden/>
          </w:rPr>
          <w:instrText xml:space="preserve"> PAGEREF _Toc91767044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5" w:history="1">
        <w:r w:rsidRPr="008A26B2">
          <w:rPr>
            <w:rStyle w:val="Hyperlink"/>
            <w:rFonts w:asciiTheme="minorEastAsia" w:hAnsiTheme="minorEastAsia" w:hint="eastAsia"/>
          </w:rPr>
          <w:t>（五）指数编制机构停止服务的风险</w:t>
        </w:r>
        <w:r>
          <w:rPr>
            <w:webHidden/>
          </w:rPr>
          <w:tab/>
        </w:r>
        <w:r>
          <w:rPr>
            <w:webHidden/>
          </w:rPr>
          <w:fldChar w:fldCharType="begin"/>
        </w:r>
        <w:r>
          <w:rPr>
            <w:webHidden/>
          </w:rPr>
          <w:instrText xml:space="preserve"> PAGEREF _Toc91767045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6" w:history="1">
        <w:r w:rsidRPr="008A26B2">
          <w:rPr>
            <w:rStyle w:val="Hyperlink"/>
            <w:rFonts w:asciiTheme="minorEastAsia" w:hAnsiTheme="minorEastAsia" w:hint="eastAsia"/>
          </w:rPr>
          <w:t>（六）标的指数变更的风险</w:t>
        </w:r>
        <w:r>
          <w:rPr>
            <w:webHidden/>
          </w:rPr>
          <w:tab/>
        </w:r>
        <w:r>
          <w:rPr>
            <w:webHidden/>
          </w:rPr>
          <w:fldChar w:fldCharType="begin"/>
        </w:r>
        <w:r>
          <w:rPr>
            <w:webHidden/>
          </w:rPr>
          <w:instrText xml:space="preserve"> PAGEREF _Toc91767046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7" w:history="1">
        <w:r w:rsidRPr="008A26B2">
          <w:rPr>
            <w:rStyle w:val="Hyperlink"/>
            <w:rFonts w:asciiTheme="minorEastAsia" w:hAnsiTheme="minorEastAsia" w:hint="eastAsia"/>
          </w:rPr>
          <w:t>（七）基金份额二级市场交易价格折溢价的风险</w:t>
        </w:r>
        <w:r>
          <w:rPr>
            <w:webHidden/>
          </w:rPr>
          <w:tab/>
        </w:r>
        <w:r>
          <w:rPr>
            <w:webHidden/>
          </w:rPr>
          <w:fldChar w:fldCharType="begin"/>
        </w:r>
        <w:r>
          <w:rPr>
            <w:webHidden/>
          </w:rPr>
          <w:instrText xml:space="preserve"> PAGEREF _Toc91767047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8" w:history="1">
        <w:r w:rsidRPr="008A26B2">
          <w:rPr>
            <w:rStyle w:val="Hyperlink"/>
            <w:rFonts w:asciiTheme="minorEastAsia" w:hAnsiTheme="minorEastAsia" w:hint="eastAsia"/>
          </w:rPr>
          <w:t>（八）退市风险</w:t>
        </w:r>
        <w:r>
          <w:rPr>
            <w:webHidden/>
          </w:rPr>
          <w:tab/>
        </w:r>
        <w:r>
          <w:rPr>
            <w:webHidden/>
          </w:rPr>
          <w:fldChar w:fldCharType="begin"/>
        </w:r>
        <w:r>
          <w:rPr>
            <w:webHidden/>
          </w:rPr>
          <w:instrText xml:space="preserve"> PAGEREF _Toc91767048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49" w:history="1">
        <w:r w:rsidRPr="008A26B2">
          <w:rPr>
            <w:rStyle w:val="Hyperlink"/>
            <w:rFonts w:asciiTheme="minorEastAsia" w:hAnsiTheme="minorEastAsia" w:hint="eastAsia"/>
          </w:rPr>
          <w:t>（九）成份股停牌的风险</w:t>
        </w:r>
        <w:r>
          <w:rPr>
            <w:webHidden/>
          </w:rPr>
          <w:tab/>
        </w:r>
        <w:r>
          <w:rPr>
            <w:webHidden/>
          </w:rPr>
          <w:fldChar w:fldCharType="begin"/>
        </w:r>
        <w:r>
          <w:rPr>
            <w:webHidden/>
          </w:rPr>
          <w:instrText xml:space="preserve"> PAGEREF _Toc91767049 \h </w:instrText>
        </w:r>
        <w:r>
          <w:rPr>
            <w:webHidden/>
          </w:rPr>
          <w:fldChar w:fldCharType="separate"/>
        </w:r>
        <w:r w:rsidR="002942FF">
          <w:rPr>
            <w:webHidden/>
          </w:rPr>
          <w:t>71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0" w:history="1">
        <w:r w:rsidRPr="008A26B2">
          <w:rPr>
            <w:rStyle w:val="Hyperlink"/>
            <w:rFonts w:asciiTheme="minorEastAsia" w:hAnsiTheme="minorEastAsia" w:hint="eastAsia"/>
          </w:rPr>
          <w:t>（十）投资者申购失败的风险</w:t>
        </w:r>
        <w:r>
          <w:rPr>
            <w:webHidden/>
          </w:rPr>
          <w:tab/>
        </w:r>
        <w:r>
          <w:rPr>
            <w:webHidden/>
          </w:rPr>
          <w:fldChar w:fldCharType="begin"/>
        </w:r>
        <w:r>
          <w:rPr>
            <w:webHidden/>
          </w:rPr>
          <w:instrText xml:space="preserve"> PAGEREF _Toc91767050 \h </w:instrText>
        </w:r>
        <w:r>
          <w:rPr>
            <w:webHidden/>
          </w:rPr>
          <w:fldChar w:fldCharType="separate"/>
        </w:r>
        <w:r w:rsidR="002942FF">
          <w:rPr>
            <w:webHidden/>
          </w:rPr>
          <w:t>72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1" w:history="1">
        <w:r w:rsidRPr="008A26B2">
          <w:rPr>
            <w:rStyle w:val="Hyperlink"/>
            <w:rFonts w:asciiTheme="minorEastAsia" w:hAnsiTheme="minorEastAsia" w:hint="eastAsia"/>
          </w:rPr>
          <w:t>（十一）投资者赎回失败的风险</w:t>
        </w:r>
        <w:r>
          <w:rPr>
            <w:webHidden/>
          </w:rPr>
          <w:tab/>
        </w:r>
        <w:r>
          <w:rPr>
            <w:webHidden/>
          </w:rPr>
          <w:fldChar w:fldCharType="begin"/>
        </w:r>
        <w:r>
          <w:rPr>
            <w:webHidden/>
          </w:rPr>
          <w:instrText xml:space="preserve"> PAGEREF _Toc91767051 \h </w:instrText>
        </w:r>
        <w:r>
          <w:rPr>
            <w:webHidden/>
          </w:rPr>
          <w:fldChar w:fldCharType="separate"/>
        </w:r>
        <w:r w:rsidR="002942FF">
          <w:rPr>
            <w:webHidden/>
          </w:rPr>
          <w:t>72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2" w:history="1">
        <w:r w:rsidRPr="008A26B2">
          <w:rPr>
            <w:rStyle w:val="Hyperlink"/>
            <w:rFonts w:asciiTheme="minorEastAsia" w:hAnsiTheme="minorEastAsia" w:hint="eastAsia"/>
          </w:rPr>
          <w:t>（十二）基金份额赎回对价的变现风险</w:t>
        </w:r>
        <w:r>
          <w:rPr>
            <w:webHidden/>
          </w:rPr>
          <w:tab/>
        </w:r>
        <w:r>
          <w:rPr>
            <w:webHidden/>
          </w:rPr>
          <w:fldChar w:fldCharType="begin"/>
        </w:r>
        <w:r>
          <w:rPr>
            <w:webHidden/>
          </w:rPr>
          <w:instrText xml:space="preserve"> PAGEREF _Toc91767052 \h </w:instrText>
        </w:r>
        <w:r>
          <w:rPr>
            <w:webHidden/>
          </w:rPr>
          <w:fldChar w:fldCharType="separate"/>
        </w:r>
        <w:r w:rsidR="002942FF">
          <w:rPr>
            <w:webHidden/>
          </w:rPr>
          <w:t>72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3" w:history="1">
        <w:r w:rsidRPr="008A26B2">
          <w:rPr>
            <w:rStyle w:val="Hyperlink"/>
            <w:rFonts w:asciiTheme="minorEastAsia" w:hAnsiTheme="minorEastAsia" w:hint="eastAsia"/>
          </w:rPr>
          <w:t>（十三）参考</w:t>
        </w:r>
        <w:r w:rsidRPr="008A26B2">
          <w:rPr>
            <w:rStyle w:val="Hyperlink"/>
            <w:rFonts w:asciiTheme="minorEastAsia" w:hAnsiTheme="minorEastAsia"/>
          </w:rPr>
          <w:t>IOPV</w:t>
        </w:r>
        <w:r w:rsidRPr="008A26B2">
          <w:rPr>
            <w:rStyle w:val="Hyperlink"/>
            <w:rFonts w:asciiTheme="minorEastAsia" w:hAnsiTheme="minorEastAsia" w:hint="eastAsia"/>
          </w:rPr>
          <w:t>决策和</w:t>
        </w:r>
        <w:r w:rsidRPr="008A26B2">
          <w:rPr>
            <w:rStyle w:val="Hyperlink"/>
            <w:rFonts w:asciiTheme="minorEastAsia" w:hAnsiTheme="minorEastAsia"/>
          </w:rPr>
          <w:t>IOPV</w:t>
        </w:r>
        <w:r w:rsidRPr="008A26B2">
          <w:rPr>
            <w:rStyle w:val="Hyperlink"/>
            <w:rFonts w:asciiTheme="minorEastAsia" w:hAnsiTheme="minorEastAsia" w:hint="eastAsia"/>
          </w:rPr>
          <w:t>计算错误的风险</w:t>
        </w:r>
        <w:r>
          <w:rPr>
            <w:webHidden/>
          </w:rPr>
          <w:tab/>
        </w:r>
        <w:r>
          <w:rPr>
            <w:webHidden/>
          </w:rPr>
          <w:fldChar w:fldCharType="begin"/>
        </w:r>
        <w:r>
          <w:rPr>
            <w:webHidden/>
          </w:rPr>
          <w:instrText xml:space="preserve"> PAGEREF _Toc91767053 \h </w:instrText>
        </w:r>
        <w:r>
          <w:rPr>
            <w:webHidden/>
          </w:rPr>
          <w:fldChar w:fldCharType="separate"/>
        </w:r>
        <w:r w:rsidR="002942FF">
          <w:rPr>
            <w:webHidden/>
          </w:rPr>
          <w:t>72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4" w:history="1">
        <w:r w:rsidRPr="008A26B2">
          <w:rPr>
            <w:rStyle w:val="Hyperlink"/>
            <w:rFonts w:asciiTheme="minorEastAsia" w:hAnsiTheme="minorEastAsia" w:hint="eastAsia"/>
          </w:rPr>
          <w:t>（十四）第三方机构服务的风险</w:t>
        </w:r>
        <w:r>
          <w:rPr>
            <w:webHidden/>
          </w:rPr>
          <w:tab/>
        </w:r>
        <w:r>
          <w:rPr>
            <w:webHidden/>
          </w:rPr>
          <w:fldChar w:fldCharType="begin"/>
        </w:r>
        <w:r>
          <w:rPr>
            <w:webHidden/>
          </w:rPr>
          <w:instrText xml:space="preserve"> PAGEREF _Toc91767054 \h </w:instrText>
        </w:r>
        <w:r>
          <w:rPr>
            <w:webHidden/>
          </w:rPr>
          <w:fldChar w:fldCharType="separate"/>
        </w:r>
        <w:r w:rsidR="002942FF">
          <w:rPr>
            <w:webHidden/>
          </w:rPr>
          <w:t>72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5" w:history="1">
        <w:r w:rsidRPr="008A26B2">
          <w:rPr>
            <w:rStyle w:val="Hyperlink"/>
            <w:rFonts w:asciiTheme="minorEastAsia" w:hAnsiTheme="minorEastAsia" w:hint="eastAsia"/>
          </w:rPr>
          <w:t>（十五）场内外份额申购赎回对价方式、业务规则等不同的风险</w:t>
        </w:r>
        <w:r>
          <w:rPr>
            <w:webHidden/>
          </w:rPr>
          <w:tab/>
        </w:r>
        <w:r>
          <w:rPr>
            <w:webHidden/>
          </w:rPr>
          <w:fldChar w:fldCharType="begin"/>
        </w:r>
        <w:r>
          <w:rPr>
            <w:webHidden/>
          </w:rPr>
          <w:instrText xml:space="preserve"> PAGEREF _Toc91767055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6" w:history="1">
        <w:r w:rsidRPr="008A26B2">
          <w:rPr>
            <w:rStyle w:val="Hyperlink"/>
            <w:rFonts w:asciiTheme="minorEastAsia" w:hAnsiTheme="minorEastAsia" w:hint="eastAsia"/>
          </w:rPr>
          <w:t>（十六）场外申购费率、赎回费率调整的风险</w:t>
        </w:r>
        <w:r>
          <w:rPr>
            <w:webHidden/>
          </w:rPr>
          <w:tab/>
        </w:r>
        <w:r>
          <w:rPr>
            <w:webHidden/>
          </w:rPr>
          <w:fldChar w:fldCharType="begin"/>
        </w:r>
        <w:r>
          <w:rPr>
            <w:webHidden/>
          </w:rPr>
          <w:instrText xml:space="preserve"> PAGEREF _Toc91767056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7" w:history="1">
        <w:r w:rsidRPr="008A26B2">
          <w:rPr>
            <w:rStyle w:val="Hyperlink"/>
            <w:rFonts w:asciiTheme="minorEastAsia" w:hAnsiTheme="minorEastAsia" w:hint="eastAsia"/>
          </w:rPr>
          <w:t>（十七）场外份额暂不可上市交易的风险</w:t>
        </w:r>
        <w:r>
          <w:rPr>
            <w:webHidden/>
          </w:rPr>
          <w:tab/>
        </w:r>
        <w:r>
          <w:rPr>
            <w:webHidden/>
          </w:rPr>
          <w:fldChar w:fldCharType="begin"/>
        </w:r>
        <w:r>
          <w:rPr>
            <w:webHidden/>
          </w:rPr>
          <w:instrText xml:space="preserve"> PAGEREF _Toc91767057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8" w:history="1">
        <w:r w:rsidRPr="008A26B2">
          <w:rPr>
            <w:rStyle w:val="Hyperlink"/>
            <w:rFonts w:asciiTheme="minorEastAsia" w:hAnsiTheme="minorEastAsia" w:hint="eastAsia"/>
          </w:rPr>
          <w:t>（十八）投资存托凭证的特有风险</w:t>
        </w:r>
        <w:r>
          <w:rPr>
            <w:webHidden/>
          </w:rPr>
          <w:tab/>
        </w:r>
        <w:r>
          <w:rPr>
            <w:webHidden/>
          </w:rPr>
          <w:fldChar w:fldCharType="begin"/>
        </w:r>
        <w:r>
          <w:rPr>
            <w:webHidden/>
          </w:rPr>
          <w:instrText xml:space="preserve"> PAGEREF _Toc91767058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59" w:history="1">
        <w:r w:rsidRPr="008A26B2">
          <w:rPr>
            <w:rStyle w:val="Hyperlink"/>
            <w:rFonts w:asciiTheme="minorEastAsia" w:hAnsiTheme="minorEastAsia" w:hint="eastAsia"/>
          </w:rPr>
          <w:t>（十九）管理风险与操作风险</w:t>
        </w:r>
        <w:r>
          <w:rPr>
            <w:webHidden/>
          </w:rPr>
          <w:tab/>
        </w:r>
        <w:r>
          <w:rPr>
            <w:webHidden/>
          </w:rPr>
          <w:fldChar w:fldCharType="begin"/>
        </w:r>
        <w:r>
          <w:rPr>
            <w:webHidden/>
          </w:rPr>
          <w:instrText xml:space="preserve"> PAGEREF _Toc91767059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0" w:history="1">
        <w:r w:rsidRPr="008A26B2">
          <w:rPr>
            <w:rStyle w:val="Hyperlink"/>
            <w:rFonts w:asciiTheme="minorEastAsia" w:hAnsiTheme="minorEastAsia" w:hint="eastAsia"/>
          </w:rPr>
          <w:t>（二十）流动性风险</w:t>
        </w:r>
        <w:r>
          <w:rPr>
            <w:webHidden/>
          </w:rPr>
          <w:tab/>
        </w:r>
        <w:r>
          <w:rPr>
            <w:webHidden/>
          </w:rPr>
          <w:fldChar w:fldCharType="begin"/>
        </w:r>
        <w:r>
          <w:rPr>
            <w:webHidden/>
          </w:rPr>
          <w:instrText xml:space="preserve"> PAGEREF _Toc91767060 \h </w:instrText>
        </w:r>
        <w:r>
          <w:rPr>
            <w:webHidden/>
          </w:rPr>
          <w:fldChar w:fldCharType="separate"/>
        </w:r>
        <w:r w:rsidR="002942FF">
          <w:rPr>
            <w:webHidden/>
          </w:rPr>
          <w:t>73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1" w:history="1">
        <w:r w:rsidRPr="008A26B2">
          <w:rPr>
            <w:rStyle w:val="Hyperlink"/>
            <w:rFonts w:asciiTheme="minorEastAsia" w:hAnsiTheme="minorEastAsia" w:hint="eastAsia"/>
          </w:rPr>
          <w:t>（二十一）本基金法律文件中涉及基金风险特征的表述与销售机构对基金的风险评级可能不一致的风险</w:t>
        </w:r>
        <w:r>
          <w:rPr>
            <w:webHidden/>
          </w:rPr>
          <w:tab/>
        </w:r>
        <w:r>
          <w:rPr>
            <w:webHidden/>
          </w:rPr>
          <w:fldChar w:fldCharType="begin"/>
        </w:r>
        <w:r>
          <w:rPr>
            <w:webHidden/>
          </w:rPr>
          <w:instrText xml:space="preserve"> PAGEREF _Toc91767061 \h </w:instrText>
        </w:r>
        <w:r>
          <w:rPr>
            <w:webHidden/>
          </w:rPr>
          <w:fldChar w:fldCharType="separate"/>
        </w:r>
        <w:r w:rsidR="002942FF">
          <w:rPr>
            <w:webHidden/>
          </w:rPr>
          <w:t>74</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2" w:history="1">
        <w:r w:rsidRPr="008A26B2">
          <w:rPr>
            <w:rStyle w:val="Hyperlink"/>
            <w:rFonts w:asciiTheme="minorEastAsia" w:hAnsiTheme="minorEastAsia" w:hint="eastAsia"/>
          </w:rPr>
          <w:t>（二十二）技术风险</w:t>
        </w:r>
        <w:r>
          <w:rPr>
            <w:webHidden/>
          </w:rPr>
          <w:tab/>
        </w:r>
        <w:r>
          <w:rPr>
            <w:webHidden/>
          </w:rPr>
          <w:fldChar w:fldCharType="begin"/>
        </w:r>
        <w:r>
          <w:rPr>
            <w:webHidden/>
          </w:rPr>
          <w:instrText xml:space="preserve"> PAGEREF _Toc91767062 \h </w:instrText>
        </w:r>
        <w:r>
          <w:rPr>
            <w:webHidden/>
          </w:rPr>
          <w:fldChar w:fldCharType="separate"/>
        </w:r>
        <w:r w:rsidR="002942FF">
          <w:rPr>
            <w:webHidden/>
          </w:rPr>
          <w:t>75</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3" w:history="1">
        <w:r w:rsidRPr="008A26B2">
          <w:rPr>
            <w:rStyle w:val="Hyperlink"/>
            <w:rFonts w:asciiTheme="minorEastAsia" w:hAnsiTheme="minorEastAsia" w:hint="eastAsia"/>
          </w:rPr>
          <w:t>（二十三）不可抗力</w:t>
        </w:r>
        <w:r>
          <w:rPr>
            <w:webHidden/>
          </w:rPr>
          <w:tab/>
        </w:r>
        <w:r>
          <w:rPr>
            <w:webHidden/>
          </w:rPr>
          <w:fldChar w:fldCharType="begin"/>
        </w:r>
        <w:r>
          <w:rPr>
            <w:webHidden/>
          </w:rPr>
          <w:instrText xml:space="preserve"> PAGEREF _Toc91767063 \h </w:instrText>
        </w:r>
        <w:r>
          <w:rPr>
            <w:webHidden/>
          </w:rPr>
          <w:fldChar w:fldCharType="separate"/>
        </w:r>
        <w:r w:rsidR="002942FF">
          <w:rPr>
            <w:webHidden/>
          </w:rPr>
          <w:t>75</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64" w:history="1">
        <w:r w:rsidRPr="008A26B2">
          <w:rPr>
            <w:rStyle w:val="Hyperlink"/>
            <w:rFonts w:asciiTheme="minorEastAsia" w:hAnsiTheme="minorEastAsia" w:hint="eastAsia"/>
            <w:b/>
            <w:bCs/>
          </w:rPr>
          <w:t>二</w:t>
        </w:r>
        <w:r w:rsidRPr="008A26B2">
          <w:rPr>
            <w:rStyle w:val="Hyperlink"/>
            <w:rFonts w:asciiTheme="minorEastAsia" w:hAnsiTheme="minorEastAsia" w:hint="eastAsia"/>
            <w:bCs/>
          </w:rPr>
          <w:t>十、基金合同的变更、终止与基金财产的清算</w:t>
        </w:r>
        <w:r>
          <w:rPr>
            <w:webHidden/>
          </w:rPr>
          <w:tab/>
        </w:r>
        <w:r>
          <w:rPr>
            <w:webHidden/>
          </w:rPr>
          <w:fldChar w:fldCharType="begin"/>
        </w:r>
        <w:r>
          <w:rPr>
            <w:webHidden/>
          </w:rPr>
          <w:instrText xml:space="preserve"> PAGEREF _Toc91767064 \h </w:instrText>
        </w:r>
        <w:r>
          <w:rPr>
            <w:webHidden/>
          </w:rPr>
          <w:fldChar w:fldCharType="separate"/>
        </w:r>
        <w:r w:rsidR="002942FF">
          <w:rPr>
            <w:webHidden/>
          </w:rPr>
          <w:t>76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5" w:history="1">
        <w:r w:rsidRPr="008A26B2">
          <w:rPr>
            <w:rStyle w:val="Hyperlink"/>
            <w:rFonts w:asciiTheme="minorEastAsia" w:hAnsiTheme="minorEastAsia" w:hint="eastAsia"/>
            <w:bCs/>
          </w:rPr>
          <w:t>（一）基金合同的变更</w:t>
        </w:r>
        <w:r>
          <w:rPr>
            <w:webHidden/>
          </w:rPr>
          <w:tab/>
        </w:r>
        <w:r>
          <w:rPr>
            <w:webHidden/>
          </w:rPr>
          <w:fldChar w:fldCharType="begin"/>
        </w:r>
        <w:r>
          <w:rPr>
            <w:webHidden/>
          </w:rPr>
          <w:instrText xml:space="preserve"> PAGEREF _Toc91767065 \h </w:instrText>
        </w:r>
        <w:r>
          <w:rPr>
            <w:webHidden/>
          </w:rPr>
          <w:fldChar w:fldCharType="separate"/>
        </w:r>
        <w:r w:rsidR="002942FF">
          <w:rPr>
            <w:webHidden/>
          </w:rPr>
          <w:t>76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6" w:history="1">
        <w:r w:rsidRPr="008A26B2">
          <w:rPr>
            <w:rStyle w:val="Hyperlink"/>
            <w:rFonts w:asciiTheme="minorEastAsia" w:hAnsiTheme="minorEastAsia" w:hint="eastAsia"/>
            <w:bCs/>
          </w:rPr>
          <w:t>（二）基金合同的终止</w:t>
        </w:r>
        <w:r>
          <w:rPr>
            <w:webHidden/>
          </w:rPr>
          <w:tab/>
        </w:r>
        <w:r>
          <w:rPr>
            <w:webHidden/>
          </w:rPr>
          <w:fldChar w:fldCharType="begin"/>
        </w:r>
        <w:r>
          <w:rPr>
            <w:webHidden/>
          </w:rPr>
          <w:instrText xml:space="preserve"> PAGEREF _Toc91767066 \h </w:instrText>
        </w:r>
        <w:r>
          <w:rPr>
            <w:webHidden/>
          </w:rPr>
          <w:fldChar w:fldCharType="separate"/>
        </w:r>
        <w:r w:rsidR="002942FF">
          <w:rPr>
            <w:webHidden/>
          </w:rPr>
          <w:t>76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7" w:history="1">
        <w:r w:rsidRPr="008A26B2">
          <w:rPr>
            <w:rStyle w:val="Hyperlink"/>
            <w:rFonts w:asciiTheme="minorEastAsia" w:hAnsiTheme="minorEastAsia" w:hint="eastAsia"/>
            <w:bCs/>
          </w:rPr>
          <w:t>（三）基金财产的清算</w:t>
        </w:r>
        <w:r>
          <w:rPr>
            <w:webHidden/>
          </w:rPr>
          <w:tab/>
        </w:r>
        <w:r>
          <w:rPr>
            <w:webHidden/>
          </w:rPr>
          <w:fldChar w:fldCharType="begin"/>
        </w:r>
        <w:r>
          <w:rPr>
            <w:webHidden/>
          </w:rPr>
          <w:instrText xml:space="preserve"> PAGEREF _Toc91767067 \h </w:instrText>
        </w:r>
        <w:r>
          <w:rPr>
            <w:webHidden/>
          </w:rPr>
          <w:fldChar w:fldCharType="separate"/>
        </w:r>
        <w:r w:rsidR="002942FF">
          <w:rPr>
            <w:webHidden/>
          </w:rPr>
          <w:t>77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8" w:history="1">
        <w:r w:rsidRPr="008A26B2">
          <w:rPr>
            <w:rStyle w:val="Hyperlink"/>
            <w:rFonts w:asciiTheme="minorEastAsia" w:hAnsiTheme="minorEastAsia" w:hint="eastAsia"/>
            <w:bCs/>
          </w:rPr>
          <w:t>（四）清算费用</w:t>
        </w:r>
        <w:r>
          <w:rPr>
            <w:webHidden/>
          </w:rPr>
          <w:tab/>
        </w:r>
        <w:r>
          <w:rPr>
            <w:webHidden/>
          </w:rPr>
          <w:fldChar w:fldCharType="begin"/>
        </w:r>
        <w:r>
          <w:rPr>
            <w:webHidden/>
          </w:rPr>
          <w:instrText xml:space="preserve"> PAGEREF _Toc91767068 \h </w:instrText>
        </w:r>
        <w:r>
          <w:rPr>
            <w:webHidden/>
          </w:rPr>
          <w:fldChar w:fldCharType="separate"/>
        </w:r>
        <w:r w:rsidR="002942FF">
          <w:rPr>
            <w:webHidden/>
          </w:rPr>
          <w:t>77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69" w:history="1">
        <w:r w:rsidRPr="008A26B2">
          <w:rPr>
            <w:rStyle w:val="Hyperlink"/>
            <w:rFonts w:asciiTheme="minorEastAsia" w:hAnsiTheme="minorEastAsia" w:hint="eastAsia"/>
            <w:bCs/>
          </w:rPr>
          <w:t>（五）基金财产清算剩余资产的分配</w:t>
        </w:r>
        <w:r>
          <w:rPr>
            <w:webHidden/>
          </w:rPr>
          <w:tab/>
        </w:r>
        <w:r>
          <w:rPr>
            <w:webHidden/>
          </w:rPr>
          <w:fldChar w:fldCharType="begin"/>
        </w:r>
        <w:r>
          <w:rPr>
            <w:webHidden/>
          </w:rPr>
          <w:instrText xml:space="preserve"> PAGEREF _Toc91767069 \h </w:instrText>
        </w:r>
        <w:r>
          <w:rPr>
            <w:webHidden/>
          </w:rPr>
          <w:fldChar w:fldCharType="separate"/>
        </w:r>
        <w:r w:rsidR="002942FF">
          <w:rPr>
            <w:webHidden/>
          </w:rPr>
          <w:t>77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0" w:history="1">
        <w:r w:rsidRPr="008A26B2">
          <w:rPr>
            <w:rStyle w:val="Hyperlink"/>
            <w:rFonts w:asciiTheme="minorEastAsia" w:hAnsiTheme="minorEastAsia" w:hint="eastAsia"/>
            <w:bCs/>
          </w:rPr>
          <w:t>（六）基金财产清算的公告</w:t>
        </w:r>
        <w:r>
          <w:rPr>
            <w:webHidden/>
          </w:rPr>
          <w:tab/>
        </w:r>
        <w:r>
          <w:rPr>
            <w:webHidden/>
          </w:rPr>
          <w:fldChar w:fldCharType="begin"/>
        </w:r>
        <w:r>
          <w:rPr>
            <w:webHidden/>
          </w:rPr>
          <w:instrText xml:space="preserve"> PAGEREF _Toc91767070 \h </w:instrText>
        </w:r>
        <w:r>
          <w:rPr>
            <w:webHidden/>
          </w:rPr>
          <w:fldChar w:fldCharType="separate"/>
        </w:r>
        <w:r w:rsidR="002942FF">
          <w:rPr>
            <w:webHidden/>
          </w:rPr>
          <w:t>77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1" w:history="1">
        <w:r w:rsidRPr="008A26B2">
          <w:rPr>
            <w:rStyle w:val="Hyperlink"/>
            <w:rFonts w:asciiTheme="minorEastAsia" w:hAnsiTheme="minorEastAsia" w:hint="eastAsia"/>
            <w:bCs/>
          </w:rPr>
          <w:t>（七）基金财产清算账册及文件的保存</w:t>
        </w:r>
        <w:r>
          <w:rPr>
            <w:webHidden/>
          </w:rPr>
          <w:tab/>
        </w:r>
        <w:r>
          <w:rPr>
            <w:webHidden/>
          </w:rPr>
          <w:fldChar w:fldCharType="begin"/>
        </w:r>
        <w:r>
          <w:rPr>
            <w:webHidden/>
          </w:rPr>
          <w:instrText xml:space="preserve"> PAGEREF _Toc91767071 \h </w:instrText>
        </w:r>
        <w:r>
          <w:rPr>
            <w:webHidden/>
          </w:rPr>
          <w:fldChar w:fldCharType="separate"/>
        </w:r>
        <w:r w:rsidR="002942FF">
          <w:rPr>
            <w:webHidden/>
          </w:rPr>
          <w:t>77</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72" w:history="1">
        <w:r w:rsidRPr="008A26B2">
          <w:rPr>
            <w:rStyle w:val="Hyperlink"/>
            <w:rFonts w:asciiTheme="minorEastAsia" w:hAnsiTheme="minorEastAsia" w:hint="eastAsia"/>
            <w:bCs/>
          </w:rPr>
          <w:t>二十一、基金合同内容摘要</w:t>
        </w:r>
        <w:r>
          <w:rPr>
            <w:webHidden/>
          </w:rPr>
          <w:tab/>
        </w:r>
        <w:r>
          <w:rPr>
            <w:webHidden/>
          </w:rPr>
          <w:fldChar w:fldCharType="begin"/>
        </w:r>
        <w:r>
          <w:rPr>
            <w:webHidden/>
          </w:rPr>
          <w:instrText xml:space="preserve"> PAGEREF _Toc91767072 \h </w:instrText>
        </w:r>
        <w:r>
          <w:rPr>
            <w:webHidden/>
          </w:rPr>
          <w:fldChar w:fldCharType="separate"/>
        </w:r>
        <w:r w:rsidR="002942FF">
          <w:rPr>
            <w:webHidden/>
          </w:rPr>
          <w:t>78</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3" w:history="1">
        <w:r w:rsidRPr="008A26B2">
          <w:rPr>
            <w:rStyle w:val="Hyperlink"/>
            <w:rFonts w:asciiTheme="minorEastAsia" w:hAnsiTheme="minorEastAsia" w:hint="eastAsia"/>
            <w:bCs/>
          </w:rPr>
          <w:t>（一）基金管理人的权利与义务</w:t>
        </w:r>
        <w:r>
          <w:rPr>
            <w:webHidden/>
          </w:rPr>
          <w:tab/>
        </w:r>
        <w:r>
          <w:rPr>
            <w:webHidden/>
          </w:rPr>
          <w:fldChar w:fldCharType="begin"/>
        </w:r>
        <w:r>
          <w:rPr>
            <w:webHidden/>
          </w:rPr>
          <w:instrText xml:space="preserve"> PAGEREF _Toc91767073 \h </w:instrText>
        </w:r>
        <w:r>
          <w:rPr>
            <w:webHidden/>
          </w:rPr>
          <w:fldChar w:fldCharType="separate"/>
        </w:r>
        <w:r w:rsidR="002942FF">
          <w:rPr>
            <w:webHidden/>
          </w:rPr>
          <w:t>78</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4" w:history="1">
        <w:r w:rsidRPr="008A26B2">
          <w:rPr>
            <w:rStyle w:val="Hyperlink"/>
            <w:rFonts w:asciiTheme="minorEastAsia" w:hAnsiTheme="minorEastAsia" w:hint="eastAsia"/>
            <w:bCs/>
          </w:rPr>
          <w:t>（二）基金托管人的权利与义务</w:t>
        </w:r>
        <w:r>
          <w:rPr>
            <w:webHidden/>
          </w:rPr>
          <w:tab/>
        </w:r>
        <w:r>
          <w:rPr>
            <w:webHidden/>
          </w:rPr>
          <w:fldChar w:fldCharType="begin"/>
        </w:r>
        <w:r>
          <w:rPr>
            <w:webHidden/>
          </w:rPr>
          <w:instrText xml:space="preserve"> PAGEREF _Toc91767074 \h </w:instrText>
        </w:r>
        <w:r>
          <w:rPr>
            <w:webHidden/>
          </w:rPr>
          <w:fldChar w:fldCharType="separate"/>
        </w:r>
        <w:r w:rsidR="002942FF">
          <w:rPr>
            <w:webHidden/>
          </w:rPr>
          <w:t>80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5" w:history="1">
        <w:r w:rsidRPr="008A26B2">
          <w:rPr>
            <w:rStyle w:val="Hyperlink"/>
            <w:rFonts w:asciiTheme="minorEastAsia" w:hAnsiTheme="minorEastAsia" w:hint="eastAsia"/>
            <w:bCs/>
          </w:rPr>
          <w:t>（三）基金份额持有人的权利与义务</w:t>
        </w:r>
        <w:r>
          <w:rPr>
            <w:webHidden/>
          </w:rPr>
          <w:tab/>
        </w:r>
        <w:r>
          <w:rPr>
            <w:webHidden/>
          </w:rPr>
          <w:fldChar w:fldCharType="begin"/>
        </w:r>
        <w:r>
          <w:rPr>
            <w:webHidden/>
          </w:rPr>
          <w:instrText xml:space="preserve"> PAGEREF _Toc91767075 \h </w:instrText>
        </w:r>
        <w:r>
          <w:rPr>
            <w:webHidden/>
          </w:rPr>
          <w:fldChar w:fldCharType="separate"/>
        </w:r>
        <w:r w:rsidR="002942FF">
          <w:rPr>
            <w:webHidden/>
          </w:rPr>
          <w:t>82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6" w:history="1">
        <w:r w:rsidRPr="008A26B2">
          <w:rPr>
            <w:rStyle w:val="Hyperlink"/>
            <w:rFonts w:asciiTheme="minorEastAsia" w:hAnsiTheme="minorEastAsia" w:hint="eastAsia"/>
            <w:bCs/>
          </w:rPr>
          <w:t>（四）基金份额持有人大会</w:t>
        </w:r>
        <w:r>
          <w:rPr>
            <w:webHidden/>
          </w:rPr>
          <w:tab/>
        </w:r>
        <w:r>
          <w:rPr>
            <w:webHidden/>
          </w:rPr>
          <w:fldChar w:fldCharType="begin"/>
        </w:r>
        <w:r>
          <w:rPr>
            <w:webHidden/>
          </w:rPr>
          <w:instrText xml:space="preserve"> PAGEREF _Toc91767076 \h </w:instrText>
        </w:r>
        <w:r>
          <w:rPr>
            <w:webHidden/>
          </w:rPr>
          <w:fldChar w:fldCharType="separate"/>
        </w:r>
        <w:r w:rsidR="002942FF">
          <w:rPr>
            <w:webHidden/>
          </w:rPr>
          <w:t>83</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7" w:history="1">
        <w:r w:rsidRPr="008A26B2">
          <w:rPr>
            <w:rStyle w:val="Hyperlink"/>
            <w:rFonts w:asciiTheme="minorEastAsia" w:hAnsiTheme="minorEastAsia" w:hint="eastAsia"/>
            <w:bCs/>
          </w:rPr>
          <w:t>（五）基金合同的变更</w:t>
        </w:r>
        <w:r>
          <w:rPr>
            <w:webHidden/>
          </w:rPr>
          <w:tab/>
        </w:r>
        <w:r>
          <w:rPr>
            <w:webHidden/>
          </w:rPr>
          <w:fldChar w:fldCharType="begin"/>
        </w:r>
        <w:r>
          <w:rPr>
            <w:webHidden/>
          </w:rPr>
          <w:instrText xml:space="preserve"> PAGEREF _Toc91767077 \h </w:instrText>
        </w:r>
        <w:r>
          <w:rPr>
            <w:webHidden/>
          </w:rPr>
          <w:fldChar w:fldCharType="separate"/>
        </w:r>
        <w:r w:rsidR="002942FF">
          <w:rPr>
            <w:webHidden/>
          </w:rPr>
          <w:t>89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8" w:history="1">
        <w:r w:rsidRPr="008A26B2">
          <w:rPr>
            <w:rStyle w:val="Hyperlink"/>
            <w:rFonts w:asciiTheme="minorEastAsia" w:hAnsiTheme="minorEastAsia" w:hint="eastAsia"/>
            <w:bCs/>
          </w:rPr>
          <w:t>（六）基金合同的终止</w:t>
        </w:r>
        <w:r>
          <w:rPr>
            <w:webHidden/>
          </w:rPr>
          <w:tab/>
        </w:r>
        <w:r>
          <w:rPr>
            <w:webHidden/>
          </w:rPr>
          <w:fldChar w:fldCharType="begin"/>
        </w:r>
        <w:r>
          <w:rPr>
            <w:webHidden/>
          </w:rPr>
          <w:instrText xml:space="preserve"> PAGEREF _Toc91767078 \h </w:instrText>
        </w:r>
        <w:r>
          <w:rPr>
            <w:webHidden/>
          </w:rPr>
          <w:fldChar w:fldCharType="separate"/>
        </w:r>
        <w:r w:rsidR="002942FF">
          <w:rPr>
            <w:webHidden/>
          </w:rPr>
          <w:t>90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79" w:history="1">
        <w:r w:rsidRPr="008A26B2">
          <w:rPr>
            <w:rStyle w:val="Hyperlink"/>
            <w:rFonts w:asciiTheme="minorEastAsia" w:hAnsiTheme="minorEastAsia" w:hint="eastAsia"/>
            <w:bCs/>
          </w:rPr>
          <w:t>（七）争议的处理和适用的法律</w:t>
        </w:r>
        <w:r>
          <w:rPr>
            <w:webHidden/>
          </w:rPr>
          <w:tab/>
        </w:r>
        <w:r>
          <w:rPr>
            <w:webHidden/>
          </w:rPr>
          <w:fldChar w:fldCharType="begin"/>
        </w:r>
        <w:r>
          <w:rPr>
            <w:webHidden/>
          </w:rPr>
          <w:instrText xml:space="preserve"> PAGEREF _Toc91767079 \h </w:instrText>
        </w:r>
        <w:r>
          <w:rPr>
            <w:webHidden/>
          </w:rPr>
          <w:fldChar w:fldCharType="separate"/>
        </w:r>
        <w:r w:rsidR="002942FF">
          <w:rPr>
            <w:webHidden/>
          </w:rPr>
          <w:t>90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0" w:history="1">
        <w:r w:rsidRPr="008A26B2">
          <w:rPr>
            <w:rStyle w:val="Hyperlink"/>
            <w:rFonts w:asciiTheme="minorEastAsia" w:hAnsiTheme="minorEastAsia" w:hint="eastAsia"/>
            <w:bCs/>
          </w:rPr>
          <w:t>（八）基金合同的存放及查阅方式</w:t>
        </w:r>
        <w:r>
          <w:rPr>
            <w:webHidden/>
          </w:rPr>
          <w:tab/>
        </w:r>
        <w:r>
          <w:rPr>
            <w:webHidden/>
          </w:rPr>
          <w:fldChar w:fldCharType="begin"/>
        </w:r>
        <w:r>
          <w:rPr>
            <w:webHidden/>
          </w:rPr>
          <w:instrText xml:space="preserve"> PAGEREF _Toc91767080 \h </w:instrText>
        </w:r>
        <w:r>
          <w:rPr>
            <w:webHidden/>
          </w:rPr>
          <w:fldChar w:fldCharType="separate"/>
        </w:r>
        <w:r w:rsidR="002942FF">
          <w:rPr>
            <w:webHidden/>
          </w:rPr>
          <w:t>90</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81" w:history="1">
        <w:r w:rsidRPr="008A26B2">
          <w:rPr>
            <w:rStyle w:val="Hyperlink"/>
            <w:rFonts w:asciiTheme="minorEastAsia" w:hAnsiTheme="minorEastAsia" w:hint="eastAsia"/>
            <w:bCs/>
          </w:rPr>
          <w:t>二十二、基金托管协议的内容摘要</w:t>
        </w:r>
        <w:r>
          <w:rPr>
            <w:webHidden/>
          </w:rPr>
          <w:tab/>
        </w:r>
        <w:r>
          <w:rPr>
            <w:webHidden/>
          </w:rPr>
          <w:fldChar w:fldCharType="begin"/>
        </w:r>
        <w:r>
          <w:rPr>
            <w:webHidden/>
          </w:rPr>
          <w:instrText xml:space="preserve"> PAGEREF _Toc91767081 \h </w:instrText>
        </w:r>
        <w:r>
          <w:rPr>
            <w:webHidden/>
          </w:rPr>
          <w:fldChar w:fldCharType="separate"/>
        </w:r>
        <w:r w:rsidR="002942FF">
          <w:rPr>
            <w:webHidden/>
          </w:rPr>
          <w:t>91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2" w:history="1">
        <w:r w:rsidRPr="008A26B2">
          <w:rPr>
            <w:rStyle w:val="Hyperlink"/>
            <w:rFonts w:asciiTheme="minorEastAsia" w:hAnsiTheme="minorEastAsia" w:hint="eastAsia"/>
            <w:bCs/>
          </w:rPr>
          <w:t>（一）托管协议当事人</w:t>
        </w:r>
        <w:r>
          <w:rPr>
            <w:webHidden/>
          </w:rPr>
          <w:tab/>
        </w:r>
        <w:r>
          <w:rPr>
            <w:webHidden/>
          </w:rPr>
          <w:fldChar w:fldCharType="begin"/>
        </w:r>
        <w:r>
          <w:rPr>
            <w:webHidden/>
          </w:rPr>
          <w:instrText xml:space="preserve"> PAGEREF _Toc91767082 \h </w:instrText>
        </w:r>
        <w:r>
          <w:rPr>
            <w:webHidden/>
          </w:rPr>
          <w:fldChar w:fldCharType="separate"/>
        </w:r>
        <w:r w:rsidR="002942FF">
          <w:rPr>
            <w:webHidden/>
          </w:rPr>
          <w:t>91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3" w:history="1">
        <w:r w:rsidRPr="008A26B2">
          <w:rPr>
            <w:rStyle w:val="Hyperlink"/>
            <w:rFonts w:asciiTheme="minorEastAsia" w:hAnsiTheme="minorEastAsia" w:hint="eastAsia"/>
            <w:bCs/>
          </w:rPr>
          <w:t>（二）基金托管人对基金管理人的业务监督和核查</w:t>
        </w:r>
        <w:r>
          <w:rPr>
            <w:webHidden/>
          </w:rPr>
          <w:tab/>
        </w:r>
        <w:r>
          <w:rPr>
            <w:webHidden/>
          </w:rPr>
          <w:fldChar w:fldCharType="begin"/>
        </w:r>
        <w:r>
          <w:rPr>
            <w:webHidden/>
          </w:rPr>
          <w:instrText xml:space="preserve"> PAGEREF _Toc91767083 \h </w:instrText>
        </w:r>
        <w:r>
          <w:rPr>
            <w:webHidden/>
          </w:rPr>
          <w:fldChar w:fldCharType="separate"/>
        </w:r>
        <w:r w:rsidR="002942FF">
          <w:rPr>
            <w:webHidden/>
          </w:rPr>
          <w:t>92</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4" w:history="1">
        <w:r w:rsidRPr="008A26B2">
          <w:rPr>
            <w:rStyle w:val="Hyperlink"/>
            <w:rFonts w:asciiTheme="minorEastAsia" w:hAnsiTheme="minorEastAsia" w:hint="eastAsia"/>
            <w:bCs/>
          </w:rPr>
          <w:t>（三）基金管理人对基金托管人的业务核查</w:t>
        </w:r>
        <w:r>
          <w:rPr>
            <w:webHidden/>
          </w:rPr>
          <w:tab/>
        </w:r>
        <w:r>
          <w:rPr>
            <w:webHidden/>
          </w:rPr>
          <w:fldChar w:fldCharType="begin"/>
        </w:r>
        <w:r>
          <w:rPr>
            <w:webHidden/>
          </w:rPr>
          <w:instrText xml:space="preserve"> PAGEREF _Toc91767084 \h </w:instrText>
        </w:r>
        <w:r>
          <w:rPr>
            <w:webHidden/>
          </w:rPr>
          <w:fldChar w:fldCharType="separate"/>
        </w:r>
        <w:r w:rsidR="002942FF">
          <w:rPr>
            <w:webHidden/>
          </w:rPr>
          <w:t>96</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5" w:history="1">
        <w:r w:rsidRPr="008A26B2">
          <w:rPr>
            <w:rStyle w:val="Hyperlink"/>
            <w:rFonts w:asciiTheme="minorEastAsia" w:hAnsiTheme="minorEastAsia" w:hint="eastAsia"/>
            <w:bCs/>
          </w:rPr>
          <w:t>（四）基金财产保管</w:t>
        </w:r>
        <w:r>
          <w:rPr>
            <w:webHidden/>
          </w:rPr>
          <w:tab/>
        </w:r>
        <w:r>
          <w:rPr>
            <w:webHidden/>
          </w:rPr>
          <w:fldChar w:fldCharType="begin"/>
        </w:r>
        <w:r>
          <w:rPr>
            <w:webHidden/>
          </w:rPr>
          <w:instrText xml:space="preserve"> PAGEREF _Toc91767085 \h </w:instrText>
        </w:r>
        <w:r>
          <w:rPr>
            <w:webHidden/>
          </w:rPr>
          <w:fldChar w:fldCharType="separate"/>
        </w:r>
        <w:r w:rsidR="002942FF">
          <w:rPr>
            <w:webHidden/>
          </w:rPr>
          <w:t>97</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6" w:history="1">
        <w:r w:rsidRPr="008A26B2">
          <w:rPr>
            <w:rStyle w:val="Hyperlink"/>
            <w:rFonts w:asciiTheme="minorEastAsia" w:hAnsiTheme="minorEastAsia" w:hint="eastAsia"/>
            <w:bCs/>
          </w:rPr>
          <w:t>（五）基金资产净值计算与复核</w:t>
        </w:r>
        <w:r>
          <w:rPr>
            <w:webHidden/>
          </w:rPr>
          <w:tab/>
        </w:r>
        <w:r>
          <w:rPr>
            <w:webHidden/>
          </w:rPr>
          <w:fldChar w:fldCharType="begin"/>
        </w:r>
        <w:r>
          <w:rPr>
            <w:webHidden/>
          </w:rPr>
          <w:instrText xml:space="preserve"> PAGEREF _Toc91767086 \h </w:instrText>
        </w:r>
        <w:r>
          <w:rPr>
            <w:webHidden/>
          </w:rPr>
          <w:fldChar w:fldCharType="separate"/>
        </w:r>
        <w:r w:rsidR="002942FF">
          <w:rPr>
            <w:webHidden/>
          </w:rPr>
          <w:t>99</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7" w:history="1">
        <w:r w:rsidRPr="008A26B2">
          <w:rPr>
            <w:rStyle w:val="Hyperlink"/>
            <w:rFonts w:asciiTheme="minorEastAsia" w:hAnsiTheme="minorEastAsia" w:hint="eastAsia"/>
            <w:bCs/>
          </w:rPr>
          <w:t>（六）基金份额持有人名册的保管</w:t>
        </w:r>
        <w:r>
          <w:rPr>
            <w:webHidden/>
          </w:rPr>
          <w:tab/>
        </w:r>
        <w:r>
          <w:rPr>
            <w:webHidden/>
          </w:rPr>
          <w:fldChar w:fldCharType="begin"/>
        </w:r>
        <w:r>
          <w:rPr>
            <w:webHidden/>
          </w:rPr>
          <w:instrText xml:space="preserve"> PAGEREF _Toc91767087 \h </w:instrText>
        </w:r>
        <w:r>
          <w:rPr>
            <w:webHidden/>
          </w:rPr>
          <w:fldChar w:fldCharType="separate"/>
        </w:r>
        <w:r w:rsidR="002942FF">
          <w:rPr>
            <w:webHidden/>
          </w:rPr>
          <w:t>100</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8" w:history="1">
        <w:r w:rsidRPr="008A26B2">
          <w:rPr>
            <w:rStyle w:val="Hyperlink"/>
            <w:rFonts w:asciiTheme="minorEastAsia" w:hAnsiTheme="minorEastAsia" w:hint="eastAsia"/>
            <w:bCs/>
          </w:rPr>
          <w:t>（七）争议解决方式</w:t>
        </w:r>
        <w:r>
          <w:rPr>
            <w:webHidden/>
          </w:rPr>
          <w:tab/>
        </w:r>
        <w:r>
          <w:rPr>
            <w:webHidden/>
          </w:rPr>
          <w:fldChar w:fldCharType="begin"/>
        </w:r>
        <w:r>
          <w:rPr>
            <w:webHidden/>
          </w:rPr>
          <w:instrText xml:space="preserve"> PAGEREF _Toc91767088 \h </w:instrText>
        </w:r>
        <w:r>
          <w:rPr>
            <w:webHidden/>
          </w:rPr>
          <w:fldChar w:fldCharType="separate"/>
        </w:r>
        <w:r w:rsidR="002942FF">
          <w:rPr>
            <w:webHidden/>
          </w:rPr>
          <w:t>101</w:t>
        </w:r>
        <w:r>
          <w:rPr>
            <w:webHidden/>
          </w:rPr>
          <w:fldChar w:fldCharType="end"/>
        </w:r>
      </w:hyperlink>
    </w:p>
    <w:p w:rsidR="00F509B5">
      <w:pPr>
        <w:pStyle w:val="TOC2"/>
        <w:rPr>
          <w:rFonts w:asciiTheme="minorHAnsi" w:eastAsiaTheme="minorEastAsia" w:hAnsiTheme="minorHAnsi" w:cstheme="minorBidi"/>
          <w:smallCaps w:val="0"/>
          <w:szCs w:val="22"/>
        </w:rPr>
      </w:pPr>
      <w:hyperlink w:anchor="_Toc91767089" w:history="1">
        <w:r w:rsidRPr="008A26B2">
          <w:rPr>
            <w:rStyle w:val="Hyperlink"/>
            <w:rFonts w:asciiTheme="minorEastAsia" w:hAnsiTheme="minorEastAsia" w:hint="eastAsia"/>
            <w:bCs/>
          </w:rPr>
          <w:t>（八）托管协议的变更与终止</w:t>
        </w:r>
        <w:r>
          <w:rPr>
            <w:webHidden/>
          </w:rPr>
          <w:tab/>
        </w:r>
        <w:r>
          <w:rPr>
            <w:webHidden/>
          </w:rPr>
          <w:fldChar w:fldCharType="begin"/>
        </w:r>
        <w:r>
          <w:rPr>
            <w:webHidden/>
          </w:rPr>
          <w:instrText xml:space="preserve"> PAGEREF _Toc91767089 \h </w:instrText>
        </w:r>
        <w:r>
          <w:rPr>
            <w:webHidden/>
          </w:rPr>
          <w:fldChar w:fldCharType="separate"/>
        </w:r>
        <w:r w:rsidR="002942FF">
          <w:rPr>
            <w:webHidden/>
          </w:rPr>
          <w:t>101</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90" w:history="1">
        <w:r w:rsidRPr="008A26B2">
          <w:rPr>
            <w:rStyle w:val="Hyperlink"/>
            <w:rFonts w:asciiTheme="minorEastAsia" w:hAnsiTheme="minorEastAsia" w:hint="eastAsia"/>
            <w:bCs/>
          </w:rPr>
          <w:t>二十三、对基金份额持有人的服务</w:t>
        </w:r>
        <w:r>
          <w:rPr>
            <w:webHidden/>
          </w:rPr>
          <w:tab/>
        </w:r>
        <w:r>
          <w:rPr>
            <w:webHidden/>
          </w:rPr>
          <w:fldChar w:fldCharType="begin"/>
        </w:r>
        <w:r>
          <w:rPr>
            <w:webHidden/>
          </w:rPr>
          <w:instrText xml:space="preserve"> PAGEREF _Toc91767090 \h </w:instrText>
        </w:r>
        <w:r>
          <w:rPr>
            <w:webHidden/>
          </w:rPr>
          <w:fldChar w:fldCharType="separate"/>
        </w:r>
        <w:r w:rsidR="002942FF">
          <w:rPr>
            <w:webHidden/>
          </w:rPr>
          <w:t>102</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91" w:history="1">
        <w:r w:rsidRPr="008A26B2">
          <w:rPr>
            <w:rStyle w:val="Hyperlink"/>
            <w:rFonts w:asciiTheme="minorEastAsia" w:hAnsiTheme="minorEastAsia" w:hint="eastAsia"/>
            <w:bCs/>
          </w:rPr>
          <w:t>二十四、其他应披露事项</w:t>
        </w:r>
        <w:r>
          <w:rPr>
            <w:webHidden/>
          </w:rPr>
          <w:tab/>
        </w:r>
        <w:r>
          <w:rPr>
            <w:webHidden/>
          </w:rPr>
          <w:fldChar w:fldCharType="begin"/>
        </w:r>
        <w:r>
          <w:rPr>
            <w:webHidden/>
          </w:rPr>
          <w:instrText xml:space="preserve"> PAGEREF _Toc91767091 \h </w:instrText>
        </w:r>
        <w:r>
          <w:rPr>
            <w:webHidden/>
          </w:rPr>
          <w:fldChar w:fldCharType="separate"/>
        </w:r>
        <w:r w:rsidR="002942FF">
          <w:rPr>
            <w:webHidden/>
          </w:rPr>
          <w:t>103</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92" w:history="1">
        <w:r w:rsidRPr="008A26B2">
          <w:rPr>
            <w:rStyle w:val="Hyperlink"/>
            <w:rFonts w:asciiTheme="minorEastAsia" w:hAnsiTheme="minorEastAsia" w:hint="eastAsia"/>
            <w:bCs/>
          </w:rPr>
          <w:t>二十五、招募说明书存放及查阅方式</w:t>
        </w:r>
        <w:r>
          <w:rPr>
            <w:webHidden/>
          </w:rPr>
          <w:tab/>
        </w:r>
        <w:r>
          <w:rPr>
            <w:webHidden/>
          </w:rPr>
          <w:fldChar w:fldCharType="begin"/>
        </w:r>
        <w:r>
          <w:rPr>
            <w:webHidden/>
          </w:rPr>
          <w:instrText xml:space="preserve"> PAGEREF _Toc91767092 \h </w:instrText>
        </w:r>
        <w:r>
          <w:rPr>
            <w:webHidden/>
          </w:rPr>
          <w:fldChar w:fldCharType="separate"/>
        </w:r>
        <w:r w:rsidR="002942FF">
          <w:rPr>
            <w:webHidden/>
          </w:rPr>
          <w:t>104</w:t>
        </w:r>
        <w:r>
          <w:rPr>
            <w:webHidden/>
          </w:rPr>
          <w:fldChar w:fldCharType="end"/>
        </w:r>
      </w:hyperlink>
    </w:p>
    <w:p w:rsidR="00F509B5">
      <w:pPr>
        <w:pStyle w:val="TOC1"/>
        <w:rPr>
          <w:rFonts w:asciiTheme="minorHAnsi" w:eastAsiaTheme="minorEastAsia" w:hAnsiTheme="minorHAnsi" w:cstheme="minorBidi"/>
          <w:caps w:val="0"/>
          <w:sz w:val="21"/>
          <w:szCs w:val="22"/>
        </w:rPr>
      </w:pPr>
      <w:hyperlink w:anchor="_Toc91767093" w:history="1">
        <w:r w:rsidRPr="008A26B2">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_Toc91767093 \h </w:instrText>
        </w:r>
        <w:r>
          <w:rPr>
            <w:webHidden/>
          </w:rPr>
          <w:fldChar w:fldCharType="separate"/>
        </w:r>
        <w:r w:rsidR="002942FF">
          <w:rPr>
            <w:webHidden/>
          </w:rPr>
          <w:t>105</w:t>
        </w:r>
        <w:r>
          <w:rPr>
            <w:webHidden/>
          </w:rPr>
          <w:fldChar w:fldCharType="end"/>
        </w:r>
      </w:hyperlink>
    </w:p>
    <w:p w:rsidR="005D5BC7" w:rsidRPr="00172454" w:rsidP="00150642">
      <w:pPr>
        <w:snapToGrid w:val="0"/>
        <w:spacing w:line="360" w:lineRule="auto"/>
        <w:ind w:firstLine="560"/>
        <w:jc w:val="center"/>
        <w:rPr>
          <w:rFonts w:asciiTheme="minorEastAsia" w:eastAsiaTheme="minorEastAsia" w:hAnsiTheme="minorEastAsia"/>
          <w:color w:val="000000" w:themeColor="text1"/>
          <w:szCs w:val="21"/>
        </w:rPr>
        <w:sectPr w:rsidSect="00634CA1">
          <w:footerReference w:type="default" r:id="rId11"/>
          <w:footerReference w:type="first" r:id="rId12"/>
          <w:pgSz w:w="11907" w:h="16840" w:code="9"/>
          <w:pgMar w:top="1440" w:right="1800" w:bottom="1440" w:left="1800" w:header="1134" w:footer="1247" w:gutter="0"/>
          <w:pgNumType w:fmt="upperRoman" w:start="1"/>
          <w:cols w:space="425"/>
          <w:titlePg/>
          <w:docGrid w:type="lines" w:linePitch="447"/>
        </w:sectPr>
      </w:pPr>
      <w:r w:rsidRPr="00172454">
        <w:rPr>
          <w:rFonts w:asciiTheme="minorEastAsia" w:eastAsiaTheme="minorEastAsia" w:hAnsiTheme="minorEastAsia"/>
          <w:b/>
          <w:caps/>
          <w:noProof/>
          <w:color w:val="000000" w:themeColor="text1"/>
          <w:sz w:val="24"/>
          <w:szCs w:val="21"/>
        </w:rPr>
        <w:fldChar w:fldCharType="end"/>
      </w:r>
    </w:p>
    <w:p w:rsidR="005D5BC7" w:rsidRPr="00172454" w:rsidP="00F07B7D">
      <w:pPr>
        <w:pStyle w:val="1"/>
        <w:snapToGrid w:val="0"/>
        <w:spacing w:beforeLines="0" w:afterLines="0" w:line="360" w:lineRule="auto"/>
        <w:ind w:firstLine="0" w:firstLineChars="0"/>
        <w:rPr>
          <w:rFonts w:asciiTheme="minorEastAsia" w:eastAsiaTheme="minorEastAsia" w:hAnsiTheme="minorEastAsia"/>
          <w:b w:val="0"/>
          <w:color w:val="000000" w:themeColor="text1"/>
        </w:rPr>
      </w:pPr>
      <w:bookmarkStart w:id="0" w:name="_Toc38432421"/>
      <w:bookmarkStart w:id="1" w:name="_Toc91766960"/>
      <w:r w:rsidRPr="00172454">
        <w:rPr>
          <w:rFonts w:asciiTheme="minorEastAsia" w:eastAsiaTheme="minorEastAsia" w:hAnsiTheme="minorEastAsia" w:hint="eastAsia"/>
          <w:b w:val="0"/>
          <w:color w:val="000000" w:themeColor="text1"/>
        </w:rPr>
        <w:t>一、绪  言</w:t>
      </w:r>
      <w:bookmarkEnd w:id="0"/>
      <w:bookmarkEnd w:id="1"/>
    </w:p>
    <w:p w:rsidR="005D5BC7" w:rsidRPr="00172454" w:rsidP="00150642">
      <w:pPr>
        <w:snapToGrid w:val="0"/>
        <w:spacing w:line="360" w:lineRule="auto"/>
        <w:ind w:firstLine="48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本《招募说明书》依据《中华人民共和国证券投资基金法》（以下简称《基金法》）、《</w:t>
      </w:r>
      <w:bookmarkStart w:id="2" w:name="OLE_LINK108"/>
      <w:bookmarkStart w:id="3" w:name="OLE_LINK110"/>
      <w:r w:rsidRPr="00172454" w:rsidR="00135531">
        <w:rPr>
          <w:rFonts w:asciiTheme="minorEastAsia" w:eastAsiaTheme="minorEastAsia" w:hAnsiTheme="minorEastAsia" w:hint="eastAsia"/>
          <w:color w:val="000000" w:themeColor="text1"/>
          <w:szCs w:val="21"/>
        </w:rPr>
        <w:t>公开募集</w:t>
      </w:r>
      <w:bookmarkStart w:id="4" w:name="OLE_LINK111"/>
      <w:bookmarkStart w:id="5" w:name="OLE_LINK112"/>
      <w:bookmarkEnd w:id="2"/>
      <w:bookmarkEnd w:id="3"/>
      <w:r w:rsidRPr="00172454">
        <w:rPr>
          <w:rFonts w:asciiTheme="minorEastAsia" w:eastAsiaTheme="minorEastAsia" w:hAnsiTheme="minorEastAsia" w:hint="eastAsia"/>
          <w:color w:val="000000" w:themeColor="text1"/>
          <w:szCs w:val="21"/>
        </w:rPr>
        <w:t>证券投资基金运作管理办法</w:t>
      </w:r>
      <w:bookmarkEnd w:id="4"/>
      <w:bookmarkEnd w:id="5"/>
      <w:r w:rsidRPr="00172454">
        <w:rPr>
          <w:rFonts w:asciiTheme="minorEastAsia" w:eastAsiaTheme="minorEastAsia" w:hAnsiTheme="minorEastAsia" w:hint="eastAsia"/>
          <w:color w:val="000000" w:themeColor="text1"/>
          <w:szCs w:val="21"/>
        </w:rPr>
        <w:t>》（以下简称《</w:t>
      </w:r>
      <w:bookmarkStart w:id="6" w:name="OLE_LINK69"/>
      <w:bookmarkStart w:id="7" w:name="OLE_LINK70"/>
      <w:bookmarkStart w:id="8" w:name="OLE_LINK71"/>
      <w:r w:rsidRPr="00172454">
        <w:rPr>
          <w:rFonts w:asciiTheme="minorEastAsia" w:eastAsiaTheme="minorEastAsia" w:hAnsiTheme="minorEastAsia" w:hint="eastAsia"/>
          <w:color w:val="000000" w:themeColor="text1"/>
          <w:szCs w:val="21"/>
        </w:rPr>
        <w:t>运作办法</w:t>
      </w:r>
      <w:bookmarkEnd w:id="6"/>
      <w:bookmarkEnd w:id="7"/>
      <w:bookmarkEnd w:id="8"/>
      <w:r w:rsidRPr="00172454">
        <w:rPr>
          <w:rFonts w:asciiTheme="minorEastAsia" w:eastAsiaTheme="minorEastAsia" w:hAnsiTheme="minorEastAsia" w:hint="eastAsia"/>
          <w:color w:val="000000" w:themeColor="text1"/>
          <w:szCs w:val="21"/>
        </w:rPr>
        <w:t>》）、《证券投资基金销售管理办法》（以下简称《销售办法》）、《</w:t>
      </w:r>
      <w:r w:rsidRPr="00172454" w:rsidR="00307584">
        <w:rPr>
          <w:rFonts w:asciiTheme="minorEastAsia" w:eastAsiaTheme="minorEastAsia" w:hAnsiTheme="minorEastAsia" w:hint="eastAsia"/>
          <w:color w:val="000000" w:themeColor="text1"/>
          <w:szCs w:val="21"/>
        </w:rPr>
        <w:t>公开募集</w:t>
      </w:r>
      <w:r w:rsidRPr="00172454">
        <w:rPr>
          <w:rFonts w:asciiTheme="minorEastAsia" w:eastAsiaTheme="minorEastAsia" w:hAnsiTheme="minorEastAsia" w:hint="eastAsia"/>
          <w:color w:val="000000" w:themeColor="text1"/>
          <w:szCs w:val="21"/>
        </w:rPr>
        <w:t>证券投资基金信息披露管理办法》（以下简称《信息披露办法》）、</w:t>
      </w:r>
      <w:r w:rsidRPr="00172454">
        <w:rPr>
          <w:rFonts w:asciiTheme="minorEastAsia" w:eastAsiaTheme="minorEastAsia" w:hAnsiTheme="minorEastAsia" w:hint="eastAsia"/>
          <w:color w:val="000000" w:themeColor="text1"/>
        </w:rPr>
        <w:t>《证券投资基金信息披露内容与格式准则第</w:t>
      </w:r>
      <w:r w:rsidRPr="00172454">
        <w:rPr>
          <w:rFonts w:asciiTheme="minorEastAsia" w:eastAsiaTheme="minorEastAsia" w:hAnsiTheme="minorEastAsia"/>
          <w:color w:val="000000" w:themeColor="text1"/>
        </w:rPr>
        <w:t>5</w:t>
      </w:r>
      <w:r w:rsidRPr="00172454">
        <w:rPr>
          <w:rFonts w:asciiTheme="minorEastAsia" w:eastAsiaTheme="minorEastAsia" w:hAnsiTheme="minorEastAsia" w:hint="eastAsia"/>
          <w:color w:val="000000" w:themeColor="text1"/>
        </w:rPr>
        <w:t>号</w:t>
      </w:r>
      <w:r w:rsidRPr="00172454">
        <w:rPr>
          <w:rFonts w:asciiTheme="minorEastAsia" w:eastAsiaTheme="minorEastAsia" w:hAnsiTheme="minorEastAsia"/>
          <w:color w:val="000000" w:themeColor="text1"/>
        </w:rPr>
        <w:t>&lt;</w:t>
      </w:r>
      <w:r w:rsidRPr="00172454">
        <w:rPr>
          <w:rFonts w:asciiTheme="minorEastAsia" w:eastAsiaTheme="minorEastAsia" w:hAnsiTheme="minorEastAsia" w:hint="eastAsia"/>
          <w:color w:val="000000" w:themeColor="text1"/>
        </w:rPr>
        <w:t>招募说明书的内容与格式</w:t>
      </w:r>
      <w:r w:rsidRPr="00172454">
        <w:rPr>
          <w:rFonts w:asciiTheme="minorEastAsia" w:eastAsiaTheme="minorEastAsia" w:hAnsiTheme="minorEastAsia"/>
          <w:color w:val="000000" w:themeColor="text1"/>
        </w:rPr>
        <w:t>&gt;</w:t>
      </w:r>
      <w:r w:rsidRPr="00172454">
        <w:rPr>
          <w:rFonts w:asciiTheme="minorEastAsia" w:eastAsiaTheme="minorEastAsia" w:hAnsiTheme="minorEastAsia" w:hint="eastAsia"/>
          <w:color w:val="000000" w:themeColor="text1"/>
        </w:rPr>
        <w:t>》</w:t>
      </w:r>
      <w:r w:rsidRPr="00172454" w:rsidR="006B6F31">
        <w:rPr>
          <w:rFonts w:asciiTheme="minorEastAsia" w:eastAsiaTheme="minorEastAsia" w:hAnsiTheme="minorEastAsia" w:hint="eastAsia"/>
          <w:color w:val="000000" w:themeColor="text1"/>
        </w:rPr>
        <w:t>、</w:t>
      </w:r>
      <w:r w:rsidRPr="00172454" w:rsidR="0015746C">
        <w:rPr>
          <w:rFonts w:asciiTheme="minorEastAsia" w:eastAsiaTheme="minorEastAsia" w:hAnsiTheme="minorEastAsia" w:hint="eastAsia"/>
          <w:color w:val="000000" w:themeColor="text1"/>
        </w:rPr>
        <w:t>《公开募集开放式证券投资基金流动性风险管理规定》（以下简称“《管理规定》”）、《公开募集证券投资基金运作指引第3号——指数基金指引》（以下简称“《指数基金指引》”）</w:t>
      </w:r>
      <w:r w:rsidRPr="00172454">
        <w:rPr>
          <w:rFonts w:asciiTheme="minorEastAsia" w:eastAsiaTheme="minorEastAsia" w:hAnsiTheme="minorEastAsia" w:hint="eastAsia"/>
          <w:color w:val="000000" w:themeColor="text1"/>
          <w:szCs w:val="21"/>
        </w:rPr>
        <w:t>等有关法律法规以及《</w:t>
      </w:r>
      <w:r w:rsidRPr="00172454">
        <w:rPr>
          <w:rFonts w:asciiTheme="minorEastAsia" w:eastAsiaTheme="minorEastAsia" w:hAnsiTheme="minorEastAsia" w:cs="宋体" w:hint="eastAsia"/>
          <w:color w:val="000000" w:themeColor="text1"/>
          <w:szCs w:val="21"/>
        </w:rPr>
        <w:t>易方达上证中盘交易型开放式指数证券投资基金</w:t>
      </w:r>
      <w:r w:rsidRPr="00172454">
        <w:rPr>
          <w:rFonts w:asciiTheme="minorEastAsia" w:eastAsiaTheme="minorEastAsia" w:hAnsiTheme="minorEastAsia" w:hint="eastAsia"/>
          <w:color w:val="000000" w:themeColor="text1"/>
          <w:szCs w:val="21"/>
        </w:rPr>
        <w:t>基金合同》编写。</w:t>
      </w:r>
    </w:p>
    <w:p w:rsidR="005D5BC7" w:rsidRPr="00172454" w:rsidP="00150642">
      <w:pPr>
        <w:snapToGrid w:val="0"/>
        <w:spacing w:line="360" w:lineRule="auto"/>
        <w:ind w:firstLine="482"/>
        <w:rPr>
          <w:rStyle w:val="da"/>
          <w:rFonts w:asciiTheme="minorEastAsia" w:eastAsiaTheme="minorEastAsia" w:hAnsiTheme="minorEastAsia"/>
          <w:color w:val="000000" w:themeColor="text1"/>
        </w:rPr>
      </w:pPr>
      <w:r w:rsidRPr="00172454">
        <w:rPr>
          <w:rStyle w:val="da"/>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或对本招募说明书作任何解释或者说明。</w:t>
      </w:r>
    </w:p>
    <w:p w:rsidR="005D5BC7" w:rsidRPr="00172454" w:rsidP="00150642">
      <w:pPr>
        <w:snapToGrid w:val="0"/>
        <w:spacing w:line="360" w:lineRule="auto"/>
        <w:ind w:firstLine="482"/>
        <w:rPr>
          <w:rStyle w:val="da"/>
          <w:rFonts w:asciiTheme="minorEastAsia" w:eastAsiaTheme="minorEastAsia" w:hAnsiTheme="minorEastAsia"/>
          <w:color w:val="000000" w:themeColor="text1"/>
        </w:rPr>
      </w:pPr>
      <w:r w:rsidRPr="00172454">
        <w:rPr>
          <w:rStyle w:val="da"/>
          <w:rFonts w:asciiTheme="minorEastAsia" w:eastAsiaTheme="minorEastAsia" w:hAnsiTheme="minorEastAsia"/>
          <w:color w:val="000000" w:themeColor="text1"/>
        </w:rPr>
        <w:t>本招募说明书根据本基金的基金合同编写</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并经中国证监会核准。基金合同是约定基金当事人之间权利、义务的法律文件。基金投资者自依基金合同取得基金份额</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即成为基金份额持有人和本基金合同的当事人</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其持有基金份额的行为本身即表明其对基金合同的承认和接受</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并按照《基金法》、基金合同及其他有关规定享有权利、承担义务。基金投资者欲了解基金份额持有人的权利和义务</w:t>
      </w:r>
      <w:r w:rsidRPr="00172454">
        <w:rPr>
          <w:rStyle w:val="da"/>
          <w:rFonts w:asciiTheme="minorEastAsia" w:eastAsiaTheme="minorEastAsia" w:hAnsiTheme="minorEastAsia" w:hint="eastAsia"/>
          <w:color w:val="000000" w:themeColor="text1"/>
        </w:rPr>
        <w:t>，</w:t>
      </w:r>
      <w:r w:rsidRPr="00172454">
        <w:rPr>
          <w:rStyle w:val="da"/>
          <w:rFonts w:asciiTheme="minorEastAsia" w:eastAsiaTheme="minorEastAsia" w:hAnsiTheme="minorEastAsia"/>
          <w:color w:val="000000" w:themeColor="text1"/>
        </w:rPr>
        <w:t>应详细查阅基金合同</w:t>
      </w:r>
      <w:r w:rsidRPr="00172454">
        <w:rPr>
          <w:rStyle w:val="da"/>
          <w:rFonts w:asciiTheme="minorEastAsia" w:eastAsiaTheme="minorEastAsia" w:hAnsiTheme="minorEastAsia" w:hint="eastAsia"/>
          <w:color w:val="000000" w:themeColor="text1"/>
        </w:rPr>
        <w:t>。</w:t>
      </w:r>
    </w:p>
    <w:p w:rsidR="005D5BC7" w:rsidRPr="00172454" w:rsidP="00150642">
      <w:pPr>
        <w:snapToGrid w:val="0"/>
        <w:spacing w:line="360" w:lineRule="auto"/>
        <w:ind w:firstLine="482"/>
        <w:rPr>
          <w:rFonts w:asciiTheme="minorEastAsia" w:eastAsiaTheme="minorEastAsia" w:hAnsiTheme="minorEastAsia"/>
          <w:color w:val="000000" w:themeColor="text1"/>
          <w:szCs w:val="21"/>
        </w:rPr>
      </w:pPr>
    </w:p>
    <w:p w:rsidR="005D5BC7" w:rsidRPr="00172454" w:rsidP="00150642">
      <w:pPr>
        <w:snapToGrid w:val="0"/>
        <w:spacing w:line="360" w:lineRule="auto"/>
        <w:ind w:firstLine="482"/>
        <w:rPr>
          <w:rFonts w:asciiTheme="minorEastAsia" w:eastAsiaTheme="minorEastAsia" w:hAnsiTheme="minorEastAsia"/>
          <w:color w:val="000000" w:themeColor="text1"/>
          <w:szCs w:val="21"/>
        </w:rPr>
      </w:pPr>
    </w:p>
    <w:p w:rsidR="005D5BC7" w:rsidRPr="00172454" w:rsidP="00150642">
      <w:pPr>
        <w:snapToGrid w:val="0"/>
        <w:spacing w:line="360" w:lineRule="auto"/>
        <w:ind w:firstLine="482"/>
        <w:rPr>
          <w:rFonts w:asciiTheme="minorEastAsia" w:eastAsiaTheme="minorEastAsia" w:hAnsiTheme="minorEastAsia"/>
          <w:color w:val="000000" w:themeColor="text1"/>
          <w:szCs w:val="21"/>
        </w:rPr>
      </w:pPr>
    </w:p>
    <w:p w:rsidR="005D5BC7" w:rsidRPr="00172454" w:rsidP="00150642">
      <w:pPr>
        <w:snapToGrid w:val="0"/>
        <w:spacing w:line="360" w:lineRule="auto"/>
        <w:ind w:firstLine="482"/>
        <w:rPr>
          <w:rFonts w:asciiTheme="minorEastAsia" w:eastAsiaTheme="minorEastAsia" w:hAnsiTheme="minorEastAsia"/>
          <w:color w:val="000000" w:themeColor="text1"/>
          <w:szCs w:val="21"/>
        </w:rPr>
      </w:pPr>
    </w:p>
    <w:p w:rsidR="005D5BC7" w:rsidRPr="00172454" w:rsidP="00150642">
      <w:pPr>
        <w:snapToGrid w:val="0"/>
        <w:spacing w:line="360" w:lineRule="auto"/>
        <w:ind w:firstLine="482"/>
        <w:rPr>
          <w:rFonts w:asciiTheme="minorEastAsia" w:eastAsiaTheme="minorEastAsia" w:hAnsiTheme="minorEastAsia"/>
          <w:color w:val="000000" w:themeColor="text1"/>
          <w:szCs w:val="21"/>
        </w:rPr>
      </w:pPr>
    </w:p>
    <w:p w:rsidR="005D5BC7" w:rsidRPr="00172454" w:rsidP="00F07B7D">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9" w:name="_Toc38432422"/>
      <w:bookmarkStart w:id="10" w:name="_Toc91766961"/>
      <w:r w:rsidRPr="00172454">
        <w:rPr>
          <w:rFonts w:asciiTheme="minorEastAsia" w:eastAsiaTheme="minorEastAsia" w:hAnsiTheme="minorEastAsia" w:hint="eastAsia"/>
          <w:color w:val="000000" w:themeColor="text1"/>
          <w:szCs w:val="32"/>
        </w:rPr>
        <w:t>二、释  义</w:t>
      </w:r>
      <w:bookmarkEnd w:id="9"/>
      <w:bookmarkEnd w:id="10"/>
    </w:p>
    <w:p w:rsidR="005D5BC7" w:rsidRPr="00172454" w:rsidP="00150642">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本《招募说明书》中除非文意另有所指</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下列词语有如下含义：</w:t>
      </w:r>
    </w:p>
    <w:p w:rsidR="005D5BC7" w:rsidRPr="00172454" w:rsidP="00150642">
      <w:pPr>
        <w:snapToGrid w:val="0"/>
        <w:spacing w:line="360" w:lineRule="auto"/>
        <w:ind w:firstLine="480"/>
        <w:jc w:val="center"/>
        <w:rPr>
          <w:rFonts w:asciiTheme="minorEastAsia" w:eastAsiaTheme="minorEastAsia" w:hAnsiTheme="minorEastAsia"/>
          <w:color w:val="000000" w:themeColor="text1"/>
          <w:szCs w:val="21"/>
        </w:rPr>
      </w:pP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w:t>
      </w:r>
      <w:r w:rsidRPr="00172454">
        <w:rPr>
          <w:rFonts w:asciiTheme="minorEastAsia" w:eastAsiaTheme="minorEastAsia" w:hAnsiTheme="minorEastAsia" w:hint="eastAsia"/>
          <w:color w:val="000000" w:themeColor="text1"/>
          <w:szCs w:val="21"/>
        </w:rPr>
        <w:tab/>
        <w:t>《易方达上证中盘交易型开放式指数证券投资基金基金合同》及对本合同的任何有效的修订和补充</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中国</w:t>
      </w:r>
      <w:r w:rsidRPr="00172454">
        <w:rPr>
          <w:rFonts w:asciiTheme="minorEastAsia" w:eastAsiaTheme="minorEastAsia" w:hAnsiTheme="minorEastAsia" w:hint="eastAsia"/>
          <w:color w:val="000000" w:themeColor="text1"/>
          <w:szCs w:val="21"/>
        </w:rPr>
        <w:tab/>
        <w:t>中华人民共和国</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仅为《基金合同》目的不包括香港特别行政区、澳门特别行政区及台湾地区</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法律法规</w:t>
      </w:r>
      <w:r w:rsidRPr="00172454">
        <w:rPr>
          <w:rFonts w:asciiTheme="minorEastAsia" w:eastAsiaTheme="minorEastAsia" w:hAnsiTheme="minorEastAsia" w:hint="eastAsia"/>
          <w:color w:val="000000" w:themeColor="text1"/>
          <w:szCs w:val="21"/>
        </w:rPr>
        <w:tab/>
        <w:t>中国现时有效并公布实施的法律、行政法规、部门规章及规范性文件</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《基金法》</w:t>
      </w:r>
      <w:r w:rsidRPr="00172454">
        <w:rPr>
          <w:rFonts w:asciiTheme="minorEastAsia" w:eastAsiaTheme="minorEastAsia" w:hAnsiTheme="minorEastAsia" w:hint="eastAsia"/>
          <w:color w:val="000000" w:themeColor="text1"/>
          <w:szCs w:val="21"/>
        </w:rPr>
        <w:tab/>
        <w:t>《中华人民共和国证券投资基金法》</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《销售办法》</w:t>
      </w:r>
      <w:r w:rsidRPr="00172454">
        <w:rPr>
          <w:rFonts w:asciiTheme="minorEastAsia" w:eastAsiaTheme="minorEastAsia" w:hAnsiTheme="minorEastAsia" w:hint="eastAsia"/>
          <w:color w:val="000000" w:themeColor="text1"/>
          <w:szCs w:val="21"/>
        </w:rPr>
        <w:tab/>
        <w:t>《证券投资基金销售管理办法》</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《运作办法》</w:t>
      </w:r>
      <w:r w:rsidRPr="00172454">
        <w:rPr>
          <w:rFonts w:asciiTheme="minorEastAsia" w:eastAsiaTheme="minorEastAsia" w:hAnsiTheme="minorEastAsia" w:hint="eastAsia"/>
          <w:color w:val="000000" w:themeColor="text1"/>
          <w:szCs w:val="21"/>
        </w:rPr>
        <w:tab/>
        <w:t>《</w:t>
      </w:r>
      <w:r w:rsidRPr="00172454" w:rsidR="00EF07EB">
        <w:rPr>
          <w:rFonts w:asciiTheme="minorEastAsia" w:eastAsiaTheme="minorEastAsia" w:hAnsiTheme="minorEastAsia" w:hint="eastAsia"/>
          <w:color w:val="000000" w:themeColor="text1"/>
          <w:szCs w:val="21"/>
        </w:rPr>
        <w:t>公开募集</w:t>
      </w:r>
      <w:r w:rsidRPr="00172454">
        <w:rPr>
          <w:rFonts w:asciiTheme="minorEastAsia" w:eastAsiaTheme="minorEastAsia" w:hAnsiTheme="minorEastAsia" w:hint="eastAsia"/>
          <w:color w:val="000000" w:themeColor="text1"/>
          <w:szCs w:val="21"/>
        </w:rPr>
        <w:t>证券投资基金运作管理办法》</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《信息披露办法》</w:t>
      </w:r>
      <w:r w:rsidRPr="00172454">
        <w:rPr>
          <w:rFonts w:asciiTheme="minorEastAsia" w:eastAsiaTheme="minorEastAsia" w:hAnsiTheme="minorEastAsia" w:hint="eastAsia"/>
          <w:color w:val="000000" w:themeColor="text1"/>
          <w:szCs w:val="21"/>
        </w:rPr>
        <w:tab/>
      </w:r>
      <w:r w:rsidRPr="00172454" w:rsidR="00307584">
        <w:rPr>
          <w:rFonts w:asciiTheme="minorEastAsia" w:eastAsiaTheme="minorEastAsia" w:hAnsiTheme="minorEastAsia" w:hint="eastAsia"/>
          <w:color w:val="000000" w:themeColor="text1"/>
          <w:szCs w:val="21"/>
        </w:rPr>
        <w:t>中国证监会2019年7月26日颁布并于2019年9月1日实施的《公开募集证券投资基金信息披露管理办法》及不时作出的修订</w:t>
      </w:r>
    </w:p>
    <w:p w:rsidR="0015746C"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《管理规定》           指中国证监会2017年8月31日颁布、同年10月1日实施的《公开募集开放式证券投资基金流动性风险管理规定》及颁布机关对其不时做出的修订</w:t>
      </w:r>
    </w:p>
    <w:p w:rsidR="006B6F31"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《指数基金指引》</w:t>
      </w:r>
      <w:r w:rsidRPr="00172454" w:rsidR="00426DF2">
        <w:rPr>
          <w:rFonts w:asciiTheme="minorEastAsia" w:eastAsiaTheme="minorEastAsia" w:hAnsiTheme="minorEastAsia" w:hint="eastAsia"/>
          <w:color w:val="000000" w:themeColor="text1"/>
          <w:szCs w:val="21"/>
        </w:rPr>
        <w:t xml:space="preserve"> </w:t>
      </w:r>
      <w:r w:rsidRPr="00172454" w:rsidR="00426DF2">
        <w:rPr>
          <w:rFonts w:asciiTheme="minorEastAsia" w:eastAsiaTheme="minorEastAsia" w:hAnsiTheme="minorEastAsia"/>
          <w:color w:val="000000" w:themeColor="text1"/>
          <w:szCs w:val="21"/>
        </w:rPr>
        <w:t xml:space="preserve">      </w:t>
      </w:r>
      <w:r w:rsidRPr="00172454">
        <w:rPr>
          <w:rFonts w:asciiTheme="minorEastAsia" w:eastAsiaTheme="minorEastAsia" w:hAnsiTheme="minorEastAsia" w:hint="eastAsia"/>
          <w:color w:val="000000" w:themeColor="text1"/>
          <w:szCs w:val="21"/>
        </w:rPr>
        <w:t>指中国证监会2021年1月22日颁布、同年2月1日实施的《公开募集证券投资基金运作指引第3号——指数基金指引》及颁布机关对其不时做出的修订</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元</w:t>
      </w:r>
      <w:r w:rsidRPr="00172454">
        <w:rPr>
          <w:rFonts w:asciiTheme="minorEastAsia" w:eastAsiaTheme="minorEastAsia" w:hAnsiTheme="minorEastAsia" w:hint="eastAsia"/>
          <w:color w:val="000000" w:themeColor="text1"/>
          <w:szCs w:val="21"/>
        </w:rPr>
        <w:tab/>
        <w:t>中国法定货币人民币元</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基金或本基金</w:t>
      </w:r>
      <w:r w:rsidRPr="00172454">
        <w:rPr>
          <w:rFonts w:asciiTheme="minorEastAsia" w:eastAsiaTheme="minorEastAsia" w:hAnsiTheme="minorEastAsia" w:hint="eastAsia"/>
          <w:color w:val="000000" w:themeColor="text1"/>
          <w:szCs w:val="21"/>
        </w:rPr>
        <w:tab/>
        <w:t>依据《基金合同》所募集的易方达上证中盘交易型开放式指数证券投资基金</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交易型开放式指数    《上海证券交易所交易型开放式指数基金业务实施细则》</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证券投资基金</w:t>
      </w:r>
      <w:r w:rsidRPr="00172454">
        <w:rPr>
          <w:rFonts w:asciiTheme="minorEastAsia" w:eastAsiaTheme="minorEastAsia" w:hAnsiTheme="minorEastAsia" w:hint="eastAsia"/>
          <w:color w:val="000000" w:themeColor="text1"/>
          <w:szCs w:val="21"/>
        </w:rPr>
        <w:tab/>
        <w:t>定义的“交易型开放式指数基金”</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招募说明书          </w:t>
      </w:r>
      <w:r w:rsidRPr="00172454">
        <w:rPr>
          <w:rFonts w:asciiTheme="minorEastAsia" w:eastAsiaTheme="minorEastAsia" w:hAnsiTheme="minorEastAsia" w:hint="eastAsia"/>
          <w:color w:val="000000" w:themeColor="text1"/>
          <w:szCs w:val="21"/>
        </w:rPr>
        <w:tab/>
        <w:t>《易方达上证中盘交易型开放式指数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307584"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基金产品资料概要      指《易方达上证中盘交易型开放式指数证券投资基金基金产品资料概要》及其更新</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托管协议</w:t>
      </w:r>
      <w:r w:rsidRPr="00172454">
        <w:rPr>
          <w:rFonts w:asciiTheme="minorEastAsia" w:eastAsiaTheme="minorEastAsia" w:hAnsiTheme="minorEastAsia" w:hint="eastAsia"/>
          <w:color w:val="000000" w:themeColor="text1"/>
          <w:szCs w:val="21"/>
        </w:rPr>
        <w:tab/>
        <w:t>基金管理人与基金托管人签订的《易方达上证中盘交易型开放式指数证券投资基金托管协议》及其任何有效修订和补充</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发售公告</w:t>
      </w:r>
      <w:r w:rsidRPr="00172454">
        <w:rPr>
          <w:rFonts w:asciiTheme="minorEastAsia" w:eastAsiaTheme="minorEastAsia" w:hAnsiTheme="minorEastAsia" w:hint="eastAsia"/>
          <w:color w:val="000000" w:themeColor="text1"/>
          <w:szCs w:val="21"/>
        </w:rPr>
        <w:tab/>
        <w:t>《易方达上证中盘交易型开放式指数证券投资基金基金份额发售公告》</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中国证监会</w:t>
      </w:r>
      <w:r w:rsidRPr="00172454">
        <w:rPr>
          <w:rFonts w:asciiTheme="minorEastAsia" w:eastAsiaTheme="minorEastAsia" w:hAnsiTheme="minorEastAsia" w:hint="eastAsia"/>
          <w:color w:val="000000" w:themeColor="text1"/>
          <w:szCs w:val="21"/>
        </w:rPr>
        <w:tab/>
        <w:t>中国证券监督管理委员会</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银行监管机构</w:t>
      </w:r>
      <w:r w:rsidRPr="00172454">
        <w:rPr>
          <w:rFonts w:asciiTheme="minorEastAsia" w:eastAsiaTheme="minorEastAsia" w:hAnsiTheme="minorEastAsia" w:hint="eastAsia"/>
          <w:color w:val="000000" w:themeColor="text1"/>
          <w:szCs w:val="21"/>
        </w:rPr>
        <w:tab/>
      </w:r>
      <w:r w:rsidRPr="00172454" w:rsidR="00E60A96">
        <w:rPr>
          <w:rFonts w:asciiTheme="minorEastAsia" w:eastAsiaTheme="minorEastAsia" w:hAnsiTheme="minorEastAsia" w:hint="eastAsia"/>
          <w:bCs/>
          <w:color w:val="000000" w:themeColor="text1"/>
          <w:szCs w:val="21"/>
        </w:rPr>
        <w:t>中国银行保险监督管理委员会</w:t>
      </w:r>
      <w:r w:rsidRPr="00172454">
        <w:rPr>
          <w:rFonts w:asciiTheme="minorEastAsia" w:eastAsiaTheme="minorEastAsia" w:hAnsiTheme="minorEastAsia" w:hint="eastAsia"/>
          <w:color w:val="000000" w:themeColor="text1"/>
          <w:szCs w:val="21"/>
        </w:rPr>
        <w:t>或其他经国务院授权的机构</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w:t>
      </w:r>
      <w:r w:rsidRPr="00172454">
        <w:rPr>
          <w:rFonts w:asciiTheme="minorEastAsia" w:eastAsiaTheme="minorEastAsia" w:hAnsiTheme="minorEastAsia" w:hint="eastAsia"/>
          <w:color w:val="000000" w:themeColor="text1"/>
          <w:szCs w:val="21"/>
        </w:rPr>
        <w:tab/>
        <w:t>易方达基金管理有限公司</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w:t>
      </w:r>
      <w:r w:rsidRPr="00172454">
        <w:rPr>
          <w:rFonts w:asciiTheme="minorEastAsia" w:eastAsiaTheme="minorEastAsia" w:hAnsiTheme="minorEastAsia" w:hint="eastAsia"/>
          <w:color w:val="000000" w:themeColor="text1"/>
          <w:szCs w:val="21"/>
        </w:rPr>
        <w:tab/>
        <w:t>中国工商银行股份有限公司</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Style w:val="read"/>
          <w:rFonts w:asciiTheme="minorEastAsia" w:eastAsiaTheme="minorEastAsia" w:hAnsiTheme="minorEastAsia" w:hint="eastAsia"/>
          <w:color w:val="000000" w:themeColor="text1"/>
          <w:szCs w:val="21"/>
        </w:rPr>
        <w:t>基金份额持有人</w:t>
      </w:r>
      <w:r w:rsidRPr="00172454">
        <w:rPr>
          <w:rStyle w:val="read"/>
          <w:rFonts w:asciiTheme="minorEastAsia" w:eastAsiaTheme="minorEastAsia" w:hAnsiTheme="minorEastAsia" w:hint="eastAsia"/>
          <w:color w:val="000000" w:themeColor="text1"/>
          <w:szCs w:val="21"/>
        </w:rPr>
        <w:tab/>
        <w:t>根据《基金合同》及相关文件合法取得本基金基金份额的投资者；</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发售代理机构</w:t>
      </w:r>
      <w:r w:rsidRPr="00172454">
        <w:rPr>
          <w:rFonts w:asciiTheme="minorEastAsia" w:eastAsiaTheme="minorEastAsia" w:hAnsiTheme="minorEastAsia" w:hint="eastAsia"/>
          <w:color w:val="000000" w:themeColor="text1"/>
          <w:szCs w:val="21"/>
        </w:rPr>
        <w:tab/>
        <w:t>基金管理人指定的代理本基金发售业务的机构</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发售协调人</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基金管理人指定的协调本基金发售等工作的代理机构</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bookmarkStart w:id="11" w:name="OLE_LINK84"/>
      <w:bookmarkStart w:id="12" w:name="OLE_LINK85"/>
      <w:r w:rsidRPr="00172454">
        <w:rPr>
          <w:rFonts w:asciiTheme="minorEastAsia" w:eastAsiaTheme="minorEastAsia" w:hAnsiTheme="minorEastAsia" w:hint="eastAsia"/>
          <w:color w:val="000000" w:themeColor="text1"/>
          <w:szCs w:val="21"/>
        </w:rPr>
        <w:t>申购赎回代理券商</w:t>
      </w:r>
      <w:r w:rsidRPr="00172454">
        <w:rPr>
          <w:rFonts w:asciiTheme="minorEastAsia" w:eastAsiaTheme="minorEastAsia" w:hAnsiTheme="minorEastAsia" w:hint="eastAsia"/>
          <w:color w:val="000000" w:themeColor="text1"/>
          <w:szCs w:val="21"/>
        </w:rPr>
        <w:tab/>
      </w:r>
      <w:bookmarkStart w:id="13" w:name="OLE_LINK117"/>
      <w:bookmarkStart w:id="14" w:name="OLE_LINK80"/>
      <w:r w:rsidRPr="00172454" w:rsidR="008D5DC5">
        <w:rPr>
          <w:rFonts w:asciiTheme="minorEastAsia" w:eastAsiaTheme="minorEastAsia" w:hAnsiTheme="minorEastAsia" w:hint="eastAsia"/>
          <w:color w:val="000000" w:themeColor="text1"/>
          <w:szCs w:val="21"/>
        </w:rPr>
        <w:t>符合《销售办法》和中国证监会规定的其他条件，由</w:t>
      </w:r>
      <w:bookmarkEnd w:id="13"/>
      <w:r w:rsidRPr="00172454">
        <w:rPr>
          <w:rFonts w:asciiTheme="minorEastAsia" w:eastAsiaTheme="minorEastAsia" w:hAnsiTheme="minorEastAsia" w:hint="eastAsia"/>
          <w:color w:val="000000" w:themeColor="text1"/>
          <w:szCs w:val="21"/>
        </w:rPr>
        <w:t>基金管理人指定的、在</w:t>
      </w:r>
      <w:bookmarkStart w:id="15" w:name="OLE_LINK197"/>
      <w:bookmarkStart w:id="16" w:name="OLE_LINK118"/>
      <w:r w:rsidRPr="00172454" w:rsidR="008D5DC5">
        <w:rPr>
          <w:rFonts w:asciiTheme="minorEastAsia" w:eastAsiaTheme="minorEastAsia" w:hAnsiTheme="minorEastAsia" w:hint="eastAsia"/>
          <w:color w:val="000000" w:themeColor="text1"/>
          <w:szCs w:val="21"/>
        </w:rPr>
        <w:t>《</w:t>
      </w:r>
      <w:bookmarkEnd w:id="15"/>
      <w:bookmarkEnd w:id="16"/>
      <w:r w:rsidRPr="00172454">
        <w:rPr>
          <w:rFonts w:asciiTheme="minorEastAsia" w:eastAsiaTheme="minorEastAsia" w:hAnsiTheme="minorEastAsia" w:hint="eastAsia"/>
          <w:color w:val="000000" w:themeColor="text1"/>
          <w:szCs w:val="21"/>
        </w:rPr>
        <w:t>基金合同</w:t>
      </w:r>
      <w:bookmarkStart w:id="17" w:name="_Hlk410034057"/>
      <w:r w:rsidRPr="00172454" w:rsidR="008D5DC5">
        <w:rPr>
          <w:rFonts w:asciiTheme="minorEastAsia" w:eastAsiaTheme="minorEastAsia" w:hAnsiTheme="minorEastAsia" w:hint="eastAsia"/>
          <w:color w:val="000000" w:themeColor="text1"/>
          <w:szCs w:val="21"/>
        </w:rPr>
        <w:t>》</w:t>
      </w:r>
      <w:bookmarkEnd w:id="17"/>
      <w:r w:rsidRPr="00172454">
        <w:rPr>
          <w:rFonts w:asciiTheme="minorEastAsia" w:eastAsiaTheme="minorEastAsia" w:hAnsiTheme="minorEastAsia" w:hint="eastAsia"/>
          <w:color w:val="000000" w:themeColor="text1"/>
          <w:szCs w:val="21"/>
        </w:rPr>
        <w:t>生效后代理办理本基金</w:t>
      </w:r>
      <w:bookmarkStart w:id="18" w:name="OLE_LINK127"/>
      <w:r w:rsidRPr="00172454" w:rsidR="008D5DC5">
        <w:rPr>
          <w:rFonts w:asciiTheme="minorEastAsia" w:eastAsiaTheme="minorEastAsia" w:hAnsiTheme="minorEastAsia" w:hint="eastAsia"/>
          <w:color w:val="000000" w:themeColor="text1"/>
          <w:szCs w:val="21"/>
        </w:rPr>
        <w:t>场内</w:t>
      </w:r>
      <w:bookmarkEnd w:id="18"/>
      <w:r w:rsidRPr="00172454">
        <w:rPr>
          <w:rFonts w:asciiTheme="minorEastAsia" w:eastAsiaTheme="minorEastAsia" w:hAnsiTheme="minorEastAsia" w:hint="eastAsia"/>
          <w:color w:val="000000" w:themeColor="text1"/>
          <w:szCs w:val="21"/>
        </w:rPr>
        <w:t>申购、赎回业务的证</w:t>
      </w:r>
      <w:r w:rsidRPr="00172454" w:rsidR="00F12E4D">
        <w:rPr>
          <w:rFonts w:asciiTheme="minorEastAsia" w:eastAsiaTheme="minorEastAsia" w:hAnsiTheme="minorEastAsia" w:hint="eastAsia"/>
          <w:color w:val="000000" w:themeColor="text1"/>
          <w:szCs w:val="21"/>
        </w:rPr>
        <w:t>券</w:t>
      </w:r>
      <w:r w:rsidRPr="00172454">
        <w:rPr>
          <w:rFonts w:asciiTheme="minorEastAsia" w:eastAsiaTheme="minorEastAsia" w:hAnsiTheme="minorEastAsia" w:hint="eastAsia"/>
          <w:color w:val="000000" w:themeColor="text1"/>
          <w:szCs w:val="21"/>
        </w:rPr>
        <w:t>公司，又称为代办证</w:t>
      </w:r>
      <w:bookmarkStart w:id="19" w:name="OLE_LINK77"/>
      <w:bookmarkStart w:id="20" w:name="OLE_LINK78"/>
      <w:r w:rsidRPr="00172454">
        <w:rPr>
          <w:rFonts w:asciiTheme="minorEastAsia" w:eastAsiaTheme="minorEastAsia" w:hAnsiTheme="minorEastAsia" w:hint="eastAsia"/>
          <w:color w:val="000000" w:themeColor="text1"/>
          <w:szCs w:val="21"/>
        </w:rPr>
        <w:t>券</w:t>
      </w:r>
      <w:bookmarkEnd w:id="19"/>
      <w:bookmarkEnd w:id="20"/>
      <w:r w:rsidRPr="00172454">
        <w:rPr>
          <w:rFonts w:asciiTheme="minorEastAsia" w:eastAsiaTheme="minorEastAsia" w:hAnsiTheme="minorEastAsia" w:hint="eastAsia"/>
          <w:color w:val="000000" w:themeColor="text1"/>
          <w:szCs w:val="21"/>
        </w:rPr>
        <w:t>公司</w:t>
      </w:r>
      <w:bookmarkEnd w:id="14"/>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w:t>
      </w:r>
      <w:r w:rsidRPr="00172454" w:rsidR="00360EC6">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w:t>
      </w:r>
      <w:r w:rsidRPr="00172454">
        <w:rPr>
          <w:rFonts w:asciiTheme="minorEastAsia" w:eastAsiaTheme="minorEastAsia" w:hAnsiTheme="minorEastAsia" w:hint="eastAsia"/>
          <w:color w:val="000000" w:themeColor="text1"/>
          <w:szCs w:val="21"/>
        </w:rPr>
        <w:tab/>
      </w:r>
      <w:bookmarkStart w:id="21" w:name="OLE_LINK81"/>
      <w:bookmarkStart w:id="22" w:name="OLE_LINK202"/>
      <w:r w:rsidRPr="00172454" w:rsidR="00360EC6">
        <w:rPr>
          <w:rFonts w:asciiTheme="minorEastAsia" w:eastAsiaTheme="minorEastAsia" w:hAnsiTheme="minorEastAsia" w:hint="eastAsia"/>
          <w:color w:val="000000" w:themeColor="text1"/>
          <w:szCs w:val="21"/>
        </w:rPr>
        <w:t>基金管理人、发售代理机构、办理本基金场外申购赎回业务的其他销售机构和办理场内申购赎回业务的申购赎回代理券商</w:t>
      </w:r>
      <w:bookmarkEnd w:id="21"/>
      <w:bookmarkEnd w:id="22"/>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基金销售网点</w:t>
      </w:r>
      <w:r w:rsidRPr="00172454">
        <w:rPr>
          <w:rFonts w:asciiTheme="minorEastAsia" w:eastAsiaTheme="minorEastAsia" w:hAnsiTheme="minorEastAsia" w:hint="eastAsia"/>
          <w:color w:val="000000" w:themeColor="text1"/>
          <w:szCs w:val="21"/>
        </w:rPr>
        <w:tab/>
        <w:t>基金管理人的直销网点及</w:t>
      </w:r>
      <w:r w:rsidRPr="00172454" w:rsidR="002B7C31">
        <w:rPr>
          <w:rFonts w:asciiTheme="minorEastAsia" w:eastAsiaTheme="minorEastAsia" w:hAnsiTheme="minorEastAsia" w:hint="eastAsia"/>
          <w:color w:val="000000" w:themeColor="text1"/>
          <w:szCs w:val="21"/>
        </w:rPr>
        <w:t>其他</w:t>
      </w:r>
      <w:r w:rsidRPr="00172454">
        <w:rPr>
          <w:rFonts w:asciiTheme="minorEastAsia" w:eastAsiaTheme="minorEastAsia" w:hAnsiTheme="minorEastAsia" w:hint="eastAsia"/>
          <w:color w:val="000000" w:themeColor="text1"/>
          <w:szCs w:val="21"/>
        </w:rPr>
        <w:t>基金</w:t>
      </w:r>
      <w:r w:rsidRPr="00172454" w:rsidR="002B7C31">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机构的</w:t>
      </w:r>
      <w:bookmarkStart w:id="23" w:name="OLE_LINK154"/>
      <w:bookmarkStart w:id="24" w:name="OLE_LINK147"/>
      <w:bookmarkStart w:id="25" w:name="OLE_LINK253"/>
      <w:bookmarkStart w:id="26" w:name="OLE_LINK252"/>
      <w:r w:rsidRPr="00172454" w:rsidR="002B7C31">
        <w:rPr>
          <w:rFonts w:asciiTheme="minorEastAsia" w:eastAsiaTheme="minorEastAsia" w:hAnsiTheme="minorEastAsia" w:hint="eastAsia"/>
          <w:color w:val="000000" w:themeColor="text1"/>
          <w:szCs w:val="21"/>
        </w:rPr>
        <w:t>销售</w:t>
      </w:r>
      <w:bookmarkEnd w:id="23"/>
      <w:bookmarkEnd w:id="24"/>
      <w:bookmarkEnd w:id="25"/>
      <w:bookmarkEnd w:id="26"/>
      <w:r w:rsidRPr="00172454">
        <w:rPr>
          <w:rFonts w:asciiTheme="minorEastAsia" w:eastAsiaTheme="minorEastAsia" w:hAnsiTheme="minorEastAsia" w:hint="eastAsia"/>
          <w:color w:val="000000" w:themeColor="text1"/>
          <w:szCs w:val="21"/>
        </w:rPr>
        <w:t>网点</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登记结算业务</w:t>
      </w:r>
      <w:r w:rsidRPr="00172454">
        <w:rPr>
          <w:rFonts w:asciiTheme="minorEastAsia" w:eastAsiaTheme="minorEastAsia" w:hAnsiTheme="minorEastAsia" w:hint="eastAsia"/>
          <w:color w:val="000000" w:themeColor="text1"/>
          <w:szCs w:val="21"/>
        </w:rPr>
        <w:tab/>
      </w:r>
      <w:bookmarkStart w:id="27" w:name="OLE_LINK214"/>
      <w:bookmarkStart w:id="28" w:name="OLE_LINK213"/>
      <w:r w:rsidRPr="00172454" w:rsidR="00173F91">
        <w:rPr>
          <w:rFonts w:asciiTheme="minorEastAsia" w:eastAsiaTheme="minorEastAsia" w:hAnsiTheme="minorEastAsia" w:hint="eastAsia"/>
          <w:bCs/>
          <w:color w:val="000000" w:themeColor="text1"/>
          <w:szCs w:val="21"/>
        </w:rPr>
        <w:t>指基金登记、存管、过户、清算和结算业务，具体内容包括投资人基金账户的建立和管理、基金份额登记、基金销售业务的确认、清算和结算、代理发放红利、建立并保管基金份额持有人名册和办理非交易过户等</w:t>
      </w:r>
      <w:bookmarkEnd w:id="27"/>
      <w:bookmarkEnd w:id="28"/>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登记结算机构</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中国证券登记结算有限责任公司</w:t>
      </w:r>
      <w:bookmarkStart w:id="29" w:name="OLE_LINK13"/>
      <w:bookmarkStart w:id="30" w:name="OLE_LINK15"/>
      <w:r w:rsidRPr="00172454" w:rsidR="00173F91">
        <w:rPr>
          <w:rFonts w:asciiTheme="minorEastAsia" w:eastAsiaTheme="minorEastAsia" w:hAnsiTheme="minorEastAsia" w:hint="eastAsia"/>
          <w:color w:val="000000" w:themeColor="text1"/>
          <w:szCs w:val="21"/>
        </w:rPr>
        <w:t>（</w:t>
      </w:r>
      <w:r w:rsidRPr="00172454" w:rsidR="00173F91">
        <w:rPr>
          <w:rFonts w:asciiTheme="minorEastAsia" w:eastAsiaTheme="minorEastAsia" w:hAnsiTheme="minorEastAsia" w:hint="eastAsia"/>
          <w:bCs/>
          <w:color w:val="000000" w:themeColor="text1"/>
          <w:szCs w:val="21"/>
        </w:rPr>
        <w:t>简称"中国结算"</w:t>
      </w:r>
      <w:r w:rsidRPr="00172454" w:rsidR="00173F91">
        <w:rPr>
          <w:rFonts w:asciiTheme="minorEastAsia" w:eastAsiaTheme="minorEastAsia" w:hAnsiTheme="minorEastAsia" w:hint="eastAsia"/>
          <w:color w:val="000000" w:themeColor="text1"/>
          <w:szCs w:val="21"/>
        </w:rPr>
        <w:t>）</w:t>
      </w:r>
      <w:r w:rsidRPr="00172454" w:rsidR="00173F91">
        <w:rPr>
          <w:rFonts w:asciiTheme="minorEastAsia" w:eastAsiaTheme="minorEastAsia" w:hAnsiTheme="minorEastAsia" w:hint="eastAsia"/>
          <w:bCs/>
          <w:color w:val="000000" w:themeColor="text1"/>
          <w:szCs w:val="21"/>
        </w:rPr>
        <w:t>和易方达基金管理有限公司。其中：</w:t>
      </w:r>
      <w:bookmarkStart w:id="31" w:name="OLE_LINK14"/>
      <w:r w:rsidRPr="00172454" w:rsidR="00173F91">
        <w:rPr>
          <w:rFonts w:asciiTheme="minorEastAsia" w:eastAsiaTheme="minorEastAsia" w:hAnsiTheme="minorEastAsia" w:hint="eastAsia"/>
          <w:bCs/>
          <w:color w:val="000000" w:themeColor="text1"/>
          <w:szCs w:val="21"/>
        </w:rPr>
        <w:t>本基金认购份额的登记结算由中国结算负责办理；本基金份额在上海证券交易所场内上市交易以及申购、赎回等相关业务的登记结算由中国结算负责办理；本基金的场外申购、赎回等相关业务的登记结算由易方达基金管理有限公司负责办理</w:t>
      </w:r>
      <w:bookmarkEnd w:id="29"/>
      <w:bookmarkEnd w:id="30"/>
      <w:bookmarkEnd w:id="31"/>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《基金合同》当事人</w:t>
      </w:r>
      <w:r w:rsidRPr="00172454">
        <w:rPr>
          <w:rFonts w:asciiTheme="minorEastAsia" w:eastAsiaTheme="minorEastAsia" w:hAnsiTheme="minorEastAsia" w:hint="eastAsia"/>
          <w:color w:val="000000" w:themeColor="text1"/>
          <w:szCs w:val="21"/>
        </w:rPr>
        <w:tab/>
        <w:t>受《基金合同》约束，根据《基金合同》享受权利并承担义务的法律主体，包括基金管理人、基金托管人和基金份额持有人</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个人投资者</w:t>
      </w:r>
      <w:r w:rsidRPr="00172454">
        <w:rPr>
          <w:rFonts w:asciiTheme="minorEastAsia" w:eastAsiaTheme="minorEastAsia" w:hAnsiTheme="minorEastAsia" w:hint="eastAsia"/>
          <w:color w:val="000000" w:themeColor="text1"/>
          <w:szCs w:val="21"/>
        </w:rPr>
        <w:tab/>
        <w:t>符合法律法规规定的条件可以投资证券投资基金的自然人</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机构投资者</w:t>
      </w:r>
      <w:r w:rsidRPr="00172454">
        <w:rPr>
          <w:rFonts w:asciiTheme="minorEastAsia" w:eastAsiaTheme="minorEastAsia" w:hAnsiTheme="minorEastAsia" w:hint="eastAsia"/>
          <w:color w:val="000000" w:themeColor="text1"/>
          <w:szCs w:val="21"/>
        </w:rPr>
        <w:tab/>
        <w:t>符合法律法规规定可以投资证券投资基金的在中国合法注册登记并存续或经政府有关部门批准设立的并存续的企业法人、事业法人、社会团体和其他组织</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合格境外机构投资者</w:t>
      </w:r>
      <w:r w:rsidRPr="00172454">
        <w:rPr>
          <w:rFonts w:asciiTheme="minorEastAsia" w:eastAsiaTheme="minorEastAsia" w:hAnsiTheme="minorEastAsia" w:hint="eastAsia"/>
          <w:color w:val="000000" w:themeColor="text1"/>
          <w:szCs w:val="21"/>
        </w:rPr>
        <w:tab/>
        <w:t>符合《合格境外机构投资者境内证券投资管理办法》及相关法律法规规定的可投资于中国境内合法募集的证券投资基金的中国境外的</w:t>
      </w:r>
      <w:r w:rsidRPr="00172454">
        <w:rPr>
          <w:rFonts w:asciiTheme="minorEastAsia" w:eastAsiaTheme="minorEastAsia" w:hAnsiTheme="minorEastAsia"/>
          <w:color w:val="000000" w:themeColor="text1"/>
          <w:szCs w:val="21"/>
        </w:rPr>
        <w:t>基金管理机构、保险公司、证券公司以及其他资产管理机构</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投资者</w:t>
      </w:r>
      <w:r w:rsidRPr="00172454">
        <w:rPr>
          <w:rFonts w:asciiTheme="minorEastAsia" w:eastAsiaTheme="minorEastAsia" w:hAnsiTheme="minorEastAsia" w:hint="eastAsia"/>
          <w:color w:val="000000" w:themeColor="text1"/>
          <w:szCs w:val="21"/>
        </w:rPr>
        <w:tab/>
        <w:t>个人投资者、机构投资者、合格境外机构投资者和法律法规或中国证监会允许购买证券投资基金的其他投资者的总称</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基金合同生效日</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基金</w:t>
      </w:r>
      <w:r w:rsidRPr="00172454">
        <w:rPr>
          <w:rFonts w:asciiTheme="minorEastAsia" w:eastAsiaTheme="minorEastAsia" w:hAnsiTheme="minorEastAsia" w:hint="eastAsia"/>
          <w:color w:val="000000" w:themeColor="text1"/>
          <w:szCs w:val="21"/>
        </w:rPr>
        <w:t>募集</w:t>
      </w:r>
      <w:r w:rsidRPr="00172454">
        <w:rPr>
          <w:rFonts w:asciiTheme="minorEastAsia" w:eastAsiaTheme="minorEastAsia" w:hAnsiTheme="minorEastAsia"/>
          <w:color w:val="000000" w:themeColor="text1"/>
          <w:szCs w:val="21"/>
        </w:rPr>
        <w:t>达到法律规定及</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基金合同</w:t>
      </w:r>
      <w:r w:rsidRPr="00172454">
        <w:rPr>
          <w:rFonts w:asciiTheme="minorEastAsia" w:eastAsiaTheme="minorEastAsia" w:hAnsiTheme="minorEastAsia" w:hint="eastAsia"/>
          <w:color w:val="000000" w:themeColor="text1"/>
          <w:szCs w:val="21"/>
        </w:rPr>
        <w:t>》约定</w:t>
      </w:r>
      <w:r w:rsidRPr="00172454">
        <w:rPr>
          <w:rFonts w:asciiTheme="minorEastAsia" w:eastAsiaTheme="minorEastAsia" w:hAnsiTheme="minorEastAsia"/>
          <w:color w:val="000000" w:themeColor="text1"/>
          <w:szCs w:val="21"/>
        </w:rPr>
        <w:t>的条件，</w:t>
      </w:r>
      <w:r w:rsidRPr="00172454">
        <w:rPr>
          <w:rFonts w:asciiTheme="minorEastAsia" w:eastAsiaTheme="minorEastAsia" w:hAnsiTheme="minorEastAsia" w:hint="eastAsia"/>
          <w:color w:val="000000" w:themeColor="text1"/>
          <w:szCs w:val="21"/>
        </w:rPr>
        <w:t>基金管理人聘请法定机构验资并办理完毕基金备案手续，获得中国证监会书面确认之日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募集期</w:t>
      </w:r>
      <w:r w:rsidRPr="00172454">
        <w:rPr>
          <w:rFonts w:asciiTheme="minorEastAsia" w:eastAsiaTheme="minorEastAsia" w:hAnsiTheme="minorEastAsia" w:hint="eastAsia"/>
          <w:color w:val="000000" w:themeColor="text1"/>
          <w:szCs w:val="21"/>
        </w:rPr>
        <w:tab/>
        <w:t>自基金份额发售之日起不超过3个月的期限</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基金存续期</w:t>
      </w:r>
      <w:r w:rsidRPr="00172454">
        <w:rPr>
          <w:rFonts w:asciiTheme="minorEastAsia" w:eastAsiaTheme="minorEastAsia" w:hAnsiTheme="minorEastAsia" w:hint="eastAsia"/>
          <w:color w:val="000000" w:themeColor="text1"/>
          <w:szCs w:val="21"/>
        </w:rPr>
        <w:tab/>
        <w:t>《基金合同》生效后合法存续的不定期之期间</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日/天</w:t>
      </w:r>
      <w:r w:rsidRPr="00172454">
        <w:rPr>
          <w:rFonts w:asciiTheme="minorEastAsia" w:eastAsiaTheme="minorEastAsia" w:hAnsiTheme="minorEastAsia" w:hint="eastAsia"/>
          <w:color w:val="000000" w:themeColor="text1"/>
          <w:szCs w:val="21"/>
        </w:rPr>
        <w:tab/>
        <w:t>公历日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月</w:t>
      </w:r>
      <w:r w:rsidRPr="00172454">
        <w:rPr>
          <w:rFonts w:asciiTheme="minorEastAsia" w:eastAsiaTheme="minorEastAsia" w:hAnsiTheme="minorEastAsia" w:hint="eastAsia"/>
          <w:color w:val="000000" w:themeColor="text1"/>
          <w:szCs w:val="21"/>
        </w:rPr>
        <w:tab/>
        <w:t>公历月</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工作日</w:t>
      </w:r>
      <w:r w:rsidRPr="00172454">
        <w:rPr>
          <w:rFonts w:asciiTheme="minorEastAsia" w:eastAsiaTheme="minorEastAsia" w:hAnsiTheme="minorEastAsia" w:hint="eastAsia"/>
          <w:color w:val="000000" w:themeColor="text1"/>
          <w:szCs w:val="21"/>
        </w:rPr>
        <w:tab/>
        <w:t>上海证券交易所的正常交易日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开放日</w:t>
      </w:r>
      <w:r w:rsidRPr="00172454">
        <w:rPr>
          <w:rFonts w:asciiTheme="minorEastAsia" w:eastAsiaTheme="minorEastAsia" w:hAnsiTheme="minorEastAsia" w:hint="eastAsia"/>
          <w:color w:val="000000" w:themeColor="text1"/>
          <w:szCs w:val="21"/>
        </w:rPr>
        <w:tab/>
        <w:t>销售机构办理本基金份额申购、赎回等业务的工作日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T日</w:t>
      </w:r>
      <w:r w:rsidRPr="00172454">
        <w:rPr>
          <w:rFonts w:asciiTheme="minorEastAsia" w:eastAsiaTheme="minorEastAsia" w:hAnsiTheme="minorEastAsia" w:hint="eastAsia"/>
          <w:color w:val="000000" w:themeColor="text1"/>
          <w:szCs w:val="21"/>
        </w:rPr>
        <w:tab/>
        <w:t>申购、赎回或办理其他基金业务的申请日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T+</w:t>
      </w:r>
      <w:r w:rsidRPr="00172454">
        <w:rPr>
          <w:rFonts w:asciiTheme="minorEastAsia" w:eastAsiaTheme="minorEastAsia" w:hAnsiTheme="minorEastAsia"/>
          <w:color w:val="000000" w:themeColor="text1"/>
          <w:szCs w:val="21"/>
        </w:rPr>
        <w:t>n</w:t>
      </w:r>
      <w:r w:rsidRPr="00172454">
        <w:rPr>
          <w:rFonts w:asciiTheme="minorEastAsia" w:eastAsiaTheme="minorEastAsia" w:hAnsiTheme="minorEastAsia" w:hint="eastAsia"/>
          <w:color w:val="000000" w:themeColor="text1"/>
          <w:szCs w:val="21"/>
        </w:rPr>
        <w:t>日</w:t>
      </w:r>
      <w:r w:rsidRPr="00172454">
        <w:rPr>
          <w:rFonts w:asciiTheme="minorEastAsia" w:eastAsiaTheme="minorEastAsia" w:hAnsiTheme="minorEastAsia" w:hint="eastAsia"/>
          <w:color w:val="000000" w:themeColor="text1"/>
          <w:szCs w:val="21"/>
        </w:rPr>
        <w:tab/>
        <w:t>自T日起第</w:t>
      </w:r>
      <w:r w:rsidRPr="00172454">
        <w:rPr>
          <w:rFonts w:asciiTheme="minorEastAsia" w:eastAsiaTheme="minorEastAsia" w:hAnsiTheme="minorEastAsia"/>
          <w:color w:val="000000" w:themeColor="text1"/>
          <w:szCs w:val="21"/>
        </w:rPr>
        <w:t>n</w:t>
      </w:r>
      <w:r w:rsidRPr="00172454">
        <w:rPr>
          <w:rFonts w:asciiTheme="minorEastAsia" w:eastAsiaTheme="minorEastAsia" w:hAnsiTheme="minorEastAsia" w:hint="eastAsia"/>
          <w:color w:val="000000" w:themeColor="text1"/>
          <w:szCs w:val="21"/>
        </w:rPr>
        <w:t>个工作日（不包含T日）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认购</w:t>
      </w:r>
      <w:r w:rsidRPr="00172454">
        <w:rPr>
          <w:rFonts w:asciiTheme="minorEastAsia" w:eastAsiaTheme="minorEastAsia" w:hAnsiTheme="minorEastAsia" w:hint="eastAsia"/>
          <w:color w:val="000000" w:themeColor="text1"/>
          <w:szCs w:val="21"/>
        </w:rPr>
        <w:tab/>
        <w:t>在本基金募集期内投资者购买本基金基金份额的行为</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发售</w:t>
      </w:r>
      <w:r w:rsidRPr="00172454">
        <w:rPr>
          <w:rFonts w:asciiTheme="minorEastAsia" w:eastAsiaTheme="minorEastAsia" w:hAnsiTheme="minorEastAsia" w:hint="eastAsia"/>
          <w:color w:val="000000" w:themeColor="text1"/>
          <w:szCs w:val="21"/>
        </w:rPr>
        <w:tab/>
        <w:t>在本基金募集期内，销售机构向投资者销售本基金份额的行为</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申购</w:t>
      </w:r>
      <w:r w:rsidRPr="00172454">
        <w:rPr>
          <w:rFonts w:asciiTheme="minorEastAsia" w:eastAsiaTheme="minorEastAsia" w:hAnsiTheme="minorEastAsia" w:hint="eastAsia"/>
          <w:color w:val="000000" w:themeColor="text1"/>
          <w:szCs w:val="21"/>
        </w:rPr>
        <w:tab/>
      </w:r>
      <w:bookmarkStart w:id="32" w:name="OLE_LINK107"/>
      <w:bookmarkStart w:id="33" w:name="OLE_LINK198"/>
      <w:r w:rsidRPr="00172454" w:rsidR="00612ABA">
        <w:rPr>
          <w:rFonts w:asciiTheme="minorEastAsia" w:eastAsiaTheme="minorEastAsia" w:hAnsiTheme="minorEastAsia" w:hint="eastAsia"/>
          <w:color w:val="000000" w:themeColor="text1"/>
          <w:szCs w:val="21"/>
        </w:rPr>
        <w:t>指在基金存续期内，基金投资人按基金合同的约定申请购买基金份额的行为</w:t>
      </w:r>
      <w:bookmarkEnd w:id="32"/>
      <w:bookmarkEnd w:id="33"/>
    </w:p>
    <w:p w:rsidR="00612ABA"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赎回</w:t>
      </w:r>
      <w:r w:rsidRPr="00172454">
        <w:rPr>
          <w:rFonts w:asciiTheme="minorEastAsia" w:eastAsiaTheme="minorEastAsia" w:hAnsiTheme="minorEastAsia" w:hint="eastAsia"/>
          <w:color w:val="000000" w:themeColor="text1"/>
          <w:szCs w:val="21"/>
        </w:rPr>
        <w:tab/>
      </w:r>
      <w:bookmarkStart w:id="34" w:name="OLE_LINK220"/>
      <w:bookmarkStart w:id="35" w:name="OLE_LINK219"/>
      <w:r w:rsidRPr="00172454">
        <w:rPr>
          <w:rFonts w:asciiTheme="minorEastAsia" w:eastAsiaTheme="minorEastAsia" w:hAnsiTheme="minorEastAsia" w:hint="eastAsia"/>
          <w:color w:val="000000" w:themeColor="text1"/>
          <w:szCs w:val="21"/>
        </w:rPr>
        <w:t>在本基金存续期内，基金投资人按基金合同的约定向基金管理人申请将其持有的本基金基金份额兑换为基金合同约定的赎回对价的行为</w:t>
      </w:r>
      <w:bookmarkEnd w:id="34"/>
      <w:bookmarkEnd w:id="35"/>
    </w:p>
    <w:p w:rsidR="00612ABA" w:rsidRPr="00172454" w:rsidP="00150642">
      <w:pPr>
        <w:snapToGrid w:val="0"/>
        <w:spacing w:line="360" w:lineRule="auto"/>
        <w:ind w:left="2730" w:hanging="2310" w:leftChars="200" w:hangingChars="1100"/>
        <w:rPr>
          <w:rFonts w:asciiTheme="minorEastAsia" w:eastAsiaTheme="minorEastAsia" w:hAnsiTheme="minorEastAsia"/>
          <w:bCs/>
          <w:color w:val="000000" w:themeColor="text1"/>
          <w:szCs w:val="21"/>
        </w:rPr>
      </w:pPr>
      <w:bookmarkStart w:id="36" w:name="OLE_LINK16"/>
      <w:r w:rsidRPr="00172454">
        <w:rPr>
          <w:rFonts w:asciiTheme="minorEastAsia" w:eastAsiaTheme="minorEastAsia" w:hAnsiTheme="minorEastAsia" w:hint="eastAsia"/>
          <w:bCs/>
          <w:color w:val="000000" w:themeColor="text1"/>
          <w:szCs w:val="21"/>
        </w:rPr>
        <w:t xml:space="preserve">场外                 </w:t>
      </w:r>
      <w:bookmarkStart w:id="37" w:name="OLE_LINK223"/>
      <w:bookmarkStart w:id="38" w:name="OLE_LINK244"/>
      <w:r w:rsidRPr="00172454">
        <w:rPr>
          <w:rFonts w:asciiTheme="minorEastAsia" w:eastAsiaTheme="minorEastAsia" w:hAnsiTheme="minorEastAsia" w:hint="eastAsia"/>
          <w:bCs/>
          <w:color w:val="000000" w:themeColor="text1"/>
          <w:szCs w:val="21"/>
        </w:rPr>
        <w:t>不通过上海证券交易所交易系统而通过销售机构自身的柜台或者其他交易系统办理基金份额申购和赎回业务的场所</w:t>
      </w:r>
      <w:bookmarkEnd w:id="37"/>
      <w:bookmarkEnd w:id="38"/>
    </w:p>
    <w:p w:rsidR="005D5BC7" w:rsidRPr="00172454" w:rsidP="00150642">
      <w:pPr>
        <w:snapToGrid w:val="0"/>
        <w:spacing w:line="360" w:lineRule="auto"/>
        <w:ind w:left="2730" w:hanging="2310" w:leftChars="200" w:hangingChars="11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 xml:space="preserve">场内                 </w:t>
      </w:r>
      <w:bookmarkStart w:id="39" w:name="OLE_LINK247"/>
      <w:r w:rsidRPr="00172454">
        <w:rPr>
          <w:rFonts w:asciiTheme="minorEastAsia" w:eastAsiaTheme="minorEastAsia" w:hAnsiTheme="minorEastAsia" w:hint="eastAsia"/>
          <w:bCs/>
          <w:color w:val="000000" w:themeColor="text1"/>
          <w:szCs w:val="21"/>
        </w:rPr>
        <w:t xml:space="preserve"> 通过上海证券交易所交易系统办理基金份额申购、赎回和上市交易业务的场所</w:t>
      </w:r>
      <w:bookmarkEnd w:id="36"/>
      <w:bookmarkEnd w:id="39"/>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申购赎回清单</w:t>
      </w:r>
      <w:r w:rsidRPr="00172454">
        <w:rPr>
          <w:rFonts w:asciiTheme="minorEastAsia" w:eastAsiaTheme="minorEastAsia" w:hAnsiTheme="minorEastAsia" w:hint="eastAsia"/>
          <w:color w:val="000000" w:themeColor="text1"/>
          <w:szCs w:val="21"/>
        </w:rPr>
        <w:tab/>
        <w:t>由基金管理人编制的用以公告申购对价、赎回对价等信息的文件</w:t>
      </w:r>
      <w:bookmarkStart w:id="40" w:name="OLE_LINK17"/>
      <w:bookmarkStart w:id="41" w:name="OLE_LINK18"/>
      <w:r w:rsidRPr="00172454" w:rsidR="000D5B25">
        <w:rPr>
          <w:rFonts w:asciiTheme="minorEastAsia" w:eastAsiaTheme="minorEastAsia" w:hAnsiTheme="minorEastAsia" w:hint="eastAsia"/>
          <w:color w:val="000000" w:themeColor="text1"/>
          <w:szCs w:val="21"/>
        </w:rPr>
        <w:t>, 适用于场内份额的申购、赎回</w:t>
      </w:r>
      <w:bookmarkEnd w:id="40"/>
      <w:bookmarkEnd w:id="41"/>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申购对价</w:t>
      </w:r>
      <w:r w:rsidRPr="00172454">
        <w:rPr>
          <w:rFonts w:asciiTheme="minorEastAsia" w:eastAsiaTheme="minorEastAsia" w:hAnsiTheme="minorEastAsia" w:hint="eastAsia"/>
          <w:color w:val="000000" w:themeColor="text1"/>
          <w:szCs w:val="21"/>
        </w:rPr>
        <w:tab/>
      </w:r>
      <w:bookmarkStart w:id="42" w:name="OLE_LINK3"/>
      <w:bookmarkStart w:id="43" w:name="OLE_LINK19"/>
      <w:r w:rsidRPr="00172454" w:rsidR="000D5B25">
        <w:rPr>
          <w:rFonts w:asciiTheme="minorEastAsia" w:eastAsiaTheme="minorEastAsia" w:hAnsiTheme="minorEastAsia" w:hint="eastAsia"/>
          <w:color w:val="000000" w:themeColor="text1"/>
          <w:szCs w:val="21"/>
        </w:rPr>
        <w:t>在场内申购赎回方式下，申购对价指</w:t>
      </w:r>
      <w:bookmarkEnd w:id="42"/>
      <w:bookmarkEnd w:id="43"/>
      <w:r w:rsidRPr="00172454">
        <w:rPr>
          <w:rFonts w:asciiTheme="minorEastAsia" w:eastAsiaTheme="minorEastAsia" w:hAnsiTheme="minorEastAsia"/>
          <w:color w:val="000000" w:themeColor="text1"/>
          <w:szCs w:val="21"/>
        </w:rPr>
        <w:t>投资者申购基金份额时，按基金合同和招募说明书规定应交付的组合证券、现金替代、现金差额及其他对价</w:t>
      </w:r>
      <w:bookmarkStart w:id="44" w:name="_Hlk410034317"/>
      <w:r w:rsidRPr="00172454" w:rsidR="000D5B25">
        <w:rPr>
          <w:rFonts w:asciiTheme="minorEastAsia" w:eastAsiaTheme="minorEastAsia" w:hAnsiTheme="minorEastAsia" w:hint="eastAsia"/>
          <w:color w:val="000000" w:themeColor="text1"/>
          <w:szCs w:val="21"/>
        </w:rPr>
        <w:t>；</w:t>
      </w:r>
      <w:bookmarkStart w:id="45" w:name="_Hlk398714525"/>
      <w:r w:rsidRPr="00172454" w:rsidR="000D5B25">
        <w:rPr>
          <w:rFonts w:asciiTheme="minorEastAsia" w:eastAsiaTheme="minorEastAsia" w:hAnsiTheme="minorEastAsia" w:hint="eastAsia"/>
          <w:color w:val="000000" w:themeColor="text1"/>
          <w:szCs w:val="21"/>
        </w:rPr>
        <w:t>在场外申购赎回方式下，申购对价指现金</w:t>
      </w:r>
      <w:bookmarkEnd w:id="44"/>
      <w:bookmarkEnd w:id="45"/>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赎回对价</w:t>
      </w:r>
      <w:r w:rsidRPr="00172454">
        <w:rPr>
          <w:rFonts w:asciiTheme="minorEastAsia" w:eastAsiaTheme="minorEastAsia" w:hAnsiTheme="minorEastAsia" w:hint="eastAsia"/>
          <w:color w:val="000000" w:themeColor="text1"/>
          <w:szCs w:val="21"/>
        </w:rPr>
        <w:tab/>
      </w:r>
      <w:bookmarkStart w:id="46" w:name="OLE_LINK21"/>
      <w:bookmarkStart w:id="47" w:name="OLE_LINK22"/>
      <w:r w:rsidRPr="00172454" w:rsidR="000D5B25">
        <w:rPr>
          <w:rFonts w:asciiTheme="minorEastAsia" w:eastAsiaTheme="minorEastAsia" w:hAnsiTheme="minorEastAsia" w:hint="eastAsia"/>
          <w:color w:val="000000" w:themeColor="text1"/>
          <w:szCs w:val="21"/>
        </w:rPr>
        <w:t>在场内申购赎回方式下，赎回对价指</w:t>
      </w:r>
      <w:bookmarkEnd w:id="46"/>
      <w:bookmarkEnd w:id="47"/>
      <w:r w:rsidRPr="00172454">
        <w:rPr>
          <w:rFonts w:asciiTheme="minorEastAsia" w:eastAsiaTheme="minorEastAsia" w:hAnsiTheme="minorEastAsia"/>
          <w:color w:val="000000" w:themeColor="text1"/>
          <w:szCs w:val="21"/>
        </w:rPr>
        <w:t>基金份额持有人赎回基金份额时，基金管理人按基金合同和招募说明书规定应交付给赎回人的组合证券、现金替代、现金差额及其他对价</w:t>
      </w:r>
      <w:bookmarkStart w:id="48" w:name="_Hlk381965213"/>
      <w:bookmarkStart w:id="49" w:name="OLE_LINK23"/>
      <w:bookmarkStart w:id="50" w:name="OLE_LINK212"/>
      <w:r w:rsidRPr="00172454" w:rsidR="000D5B25">
        <w:rPr>
          <w:rFonts w:asciiTheme="minorEastAsia" w:eastAsiaTheme="minorEastAsia" w:hAnsiTheme="minorEastAsia" w:hint="eastAsia"/>
          <w:bCs/>
          <w:color w:val="000000" w:themeColor="text1"/>
          <w:szCs w:val="21"/>
        </w:rPr>
        <w:t>；在场外申购赎回方式下，赎回对价指现金</w:t>
      </w:r>
      <w:bookmarkEnd w:id="48"/>
      <w:bookmarkEnd w:id="49"/>
      <w:bookmarkEnd w:id="50"/>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组合证券</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本基金标的指数所包含的全部或部分证券</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标的指数</w:t>
      </w:r>
      <w:r w:rsidRPr="00172454">
        <w:rPr>
          <w:rFonts w:asciiTheme="minorEastAsia" w:eastAsiaTheme="minorEastAsia" w:hAnsiTheme="minorEastAsia" w:hint="eastAsia"/>
          <w:color w:val="000000" w:themeColor="text1"/>
          <w:szCs w:val="21"/>
        </w:rPr>
        <w:tab/>
        <w:t>中证指数公司</w:t>
      </w:r>
      <w:r w:rsidRPr="00172454">
        <w:rPr>
          <w:rFonts w:asciiTheme="minorEastAsia" w:eastAsiaTheme="minorEastAsia" w:hAnsiTheme="minorEastAsia"/>
          <w:color w:val="000000" w:themeColor="text1"/>
          <w:szCs w:val="21"/>
        </w:rPr>
        <w:t>编制并发布的</w:t>
      </w:r>
      <w:r w:rsidRPr="00172454">
        <w:rPr>
          <w:rFonts w:asciiTheme="minorEastAsia" w:eastAsiaTheme="minorEastAsia" w:hAnsiTheme="minorEastAsia" w:hint="eastAsia"/>
          <w:color w:val="000000" w:themeColor="text1"/>
          <w:szCs w:val="21"/>
        </w:rPr>
        <w:t>上证中盘</w:t>
      </w:r>
      <w:r w:rsidRPr="00172454">
        <w:rPr>
          <w:rFonts w:asciiTheme="minorEastAsia" w:eastAsiaTheme="minorEastAsia" w:hAnsiTheme="minorEastAsia"/>
          <w:color w:val="000000" w:themeColor="text1"/>
          <w:szCs w:val="21"/>
        </w:rPr>
        <w:t>指数及其未来可能发生的变更</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完全复制法</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一种跟踪指数的方法。通过购买标的指数中的所有成份证券，并且按照每种成份证券在标的指数中的权重确定购买的比例以构建指数组合，达到复制指数的目的</w:t>
      </w:r>
      <w:bookmarkEnd w:id="11"/>
      <w:bookmarkEnd w:id="12"/>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bookmarkStart w:id="51" w:name="OLE_LINK286"/>
      <w:bookmarkStart w:id="52" w:name="OLE_LINK287"/>
      <w:r w:rsidRPr="00172454">
        <w:rPr>
          <w:rFonts w:asciiTheme="minorEastAsia" w:eastAsiaTheme="minorEastAsia" w:hAnsiTheme="minorEastAsia" w:hint="eastAsia"/>
          <w:color w:val="000000" w:themeColor="text1"/>
          <w:szCs w:val="21"/>
        </w:rPr>
        <w:t>现金替代</w:t>
      </w:r>
      <w:r w:rsidRPr="00172454">
        <w:rPr>
          <w:rFonts w:asciiTheme="minorEastAsia" w:eastAsiaTheme="minorEastAsia" w:hAnsiTheme="minorEastAsia" w:hint="eastAsia"/>
          <w:color w:val="000000" w:themeColor="text1"/>
          <w:szCs w:val="21"/>
        </w:rPr>
        <w:tab/>
      </w:r>
      <w:bookmarkStart w:id="53" w:name="OLE_LINK24"/>
      <w:bookmarkStart w:id="54" w:name="OLE_LINK33"/>
      <w:bookmarkStart w:id="55" w:name="_Hlk398714597"/>
      <w:r w:rsidRPr="00172454" w:rsidR="00E81CE3">
        <w:rPr>
          <w:rFonts w:asciiTheme="minorEastAsia" w:eastAsiaTheme="minorEastAsia" w:hAnsiTheme="minorEastAsia" w:hint="eastAsia"/>
          <w:color w:val="000000" w:themeColor="text1"/>
          <w:szCs w:val="21"/>
        </w:rPr>
        <w:t>在场内申购赎回方式下</w:t>
      </w:r>
      <w:bookmarkEnd w:id="53"/>
      <w:bookmarkEnd w:id="54"/>
      <w:r w:rsidRPr="00172454" w:rsidR="00E81CE3">
        <w:rPr>
          <w:rFonts w:asciiTheme="minorEastAsia" w:eastAsiaTheme="minorEastAsia" w:hAnsiTheme="minorEastAsia" w:hint="eastAsia"/>
          <w:color w:val="000000" w:themeColor="text1"/>
          <w:szCs w:val="21"/>
        </w:rPr>
        <w:t>，指</w:t>
      </w:r>
      <w:bookmarkEnd w:id="55"/>
      <w:r w:rsidRPr="00172454">
        <w:rPr>
          <w:rFonts w:asciiTheme="minorEastAsia" w:eastAsiaTheme="minorEastAsia" w:hAnsiTheme="minorEastAsia"/>
          <w:color w:val="000000" w:themeColor="text1"/>
          <w:szCs w:val="21"/>
        </w:rPr>
        <w:t>申购、赎回过程中，投资者按基金合同和招募说明书的规定，用于替代组合证券中部分证券的一定数量的现金</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现金差额</w:t>
      </w:r>
      <w:r w:rsidRPr="00172454">
        <w:rPr>
          <w:rFonts w:asciiTheme="minorEastAsia" w:eastAsiaTheme="minorEastAsia" w:hAnsiTheme="minorEastAsia" w:hint="eastAsia"/>
          <w:color w:val="000000" w:themeColor="text1"/>
          <w:szCs w:val="21"/>
        </w:rPr>
        <w:tab/>
      </w:r>
      <w:bookmarkStart w:id="56" w:name="OLE_LINK34"/>
      <w:bookmarkStart w:id="57" w:name="OLE_LINK35"/>
      <w:bookmarkStart w:id="58" w:name="_Hlk398714621"/>
      <w:r w:rsidRPr="00172454" w:rsidR="00E81CE3">
        <w:rPr>
          <w:rFonts w:asciiTheme="minorEastAsia" w:eastAsiaTheme="minorEastAsia" w:hAnsiTheme="minorEastAsia" w:hint="eastAsia"/>
          <w:color w:val="000000" w:themeColor="text1"/>
          <w:szCs w:val="21"/>
        </w:rPr>
        <w:t>在场内申购赎回方式下，</w:t>
      </w:r>
      <w:bookmarkEnd w:id="56"/>
      <w:bookmarkEnd w:id="57"/>
      <w:r w:rsidRPr="00172454" w:rsidR="00E81CE3">
        <w:rPr>
          <w:rFonts w:asciiTheme="minorEastAsia" w:eastAsiaTheme="minorEastAsia" w:hAnsiTheme="minorEastAsia" w:hint="eastAsia"/>
          <w:color w:val="000000" w:themeColor="text1"/>
          <w:szCs w:val="21"/>
        </w:rPr>
        <w:t>指</w:t>
      </w:r>
      <w:bookmarkEnd w:id="58"/>
      <w:r w:rsidRPr="00172454">
        <w:rPr>
          <w:rFonts w:asciiTheme="minorEastAsia" w:eastAsiaTheme="minorEastAsia" w:hAnsiTheme="minorEastAsia"/>
          <w:color w:val="000000" w:themeColor="text1"/>
          <w:szCs w:val="21"/>
        </w:rPr>
        <w:t>最小申购赎回单位的资产净值与按T日收盘价计算的最小申购</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赎回单位中的组合证券市值和现金替代之差；投资者申购、赎回时应支付或应获得的现金差额根据最小申购</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赎回单位对应的现金差额和申购或赎回的最小申购</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赎回单位数量计算</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最小申购、赎回单位</w:t>
      </w:r>
      <w:r w:rsidRPr="00172454">
        <w:rPr>
          <w:rFonts w:asciiTheme="minorEastAsia" w:eastAsiaTheme="minorEastAsia" w:hAnsiTheme="minorEastAsia" w:hint="eastAsia"/>
          <w:color w:val="000000" w:themeColor="text1"/>
          <w:szCs w:val="21"/>
        </w:rPr>
        <w:tab/>
      </w:r>
      <w:bookmarkStart w:id="59" w:name="_Hlk410034379"/>
      <w:r w:rsidRPr="00172454" w:rsidR="00640961">
        <w:rPr>
          <w:rFonts w:asciiTheme="minorEastAsia" w:eastAsiaTheme="minorEastAsia" w:hAnsiTheme="minorEastAsia" w:hint="eastAsia"/>
          <w:color w:val="000000" w:themeColor="text1"/>
          <w:szCs w:val="21"/>
        </w:rPr>
        <w:t>指</w:t>
      </w:r>
      <w:bookmarkEnd w:id="59"/>
      <w:r w:rsidRPr="00172454">
        <w:rPr>
          <w:rFonts w:asciiTheme="minorEastAsia" w:eastAsiaTheme="minorEastAsia" w:hAnsiTheme="minorEastAsia"/>
          <w:color w:val="000000" w:themeColor="text1"/>
          <w:szCs w:val="21"/>
        </w:rPr>
        <w:t>本基金申购份额、赎回份额的最低数量，</w:t>
      </w:r>
      <w:bookmarkStart w:id="60" w:name="OLE_LINK36"/>
      <w:bookmarkStart w:id="61" w:name="OLE_LINK37"/>
      <w:r w:rsidRPr="00172454" w:rsidR="00640961">
        <w:rPr>
          <w:rFonts w:asciiTheme="minorEastAsia" w:eastAsiaTheme="minorEastAsia" w:hAnsiTheme="minorEastAsia" w:hint="eastAsia"/>
          <w:color w:val="000000" w:themeColor="text1"/>
          <w:szCs w:val="21"/>
        </w:rPr>
        <w:t>在场内申购赎回方式下，</w:t>
      </w:r>
      <w:bookmarkEnd w:id="60"/>
      <w:bookmarkEnd w:id="61"/>
      <w:r w:rsidRPr="00172454">
        <w:rPr>
          <w:rFonts w:asciiTheme="minorEastAsia" w:eastAsiaTheme="minorEastAsia" w:hAnsiTheme="minorEastAsia"/>
          <w:color w:val="000000" w:themeColor="text1"/>
          <w:szCs w:val="21"/>
        </w:rPr>
        <w:t>投资者申购、赎回的基金份额应为最小申购赎回单位的整数倍</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cs="宋体" w:hint="eastAsia"/>
          <w:color w:val="000000" w:themeColor="text1"/>
          <w:szCs w:val="21"/>
        </w:rPr>
        <w:t>基金份额</w:t>
      </w:r>
      <w:r w:rsidRPr="00172454" w:rsidR="009F0FA3">
        <w:rPr>
          <w:rFonts w:asciiTheme="minorEastAsia" w:eastAsiaTheme="minorEastAsia" w:hAnsiTheme="minorEastAsia" w:cs="宋体" w:hint="eastAsia"/>
          <w:color w:val="000000" w:themeColor="text1"/>
          <w:szCs w:val="21"/>
        </w:rPr>
        <w:t>参考</w:t>
      </w:r>
      <w:r w:rsidRPr="00172454">
        <w:rPr>
          <w:rFonts w:asciiTheme="minorEastAsia" w:eastAsiaTheme="minorEastAsia" w:hAnsiTheme="minorEastAsia" w:cs="宋体" w:hint="eastAsia"/>
          <w:color w:val="000000" w:themeColor="text1"/>
          <w:szCs w:val="21"/>
        </w:rPr>
        <w:t>净值</w:t>
      </w:r>
      <w:r w:rsidRPr="00172454">
        <w:rPr>
          <w:rFonts w:asciiTheme="minorEastAsia" w:eastAsiaTheme="minorEastAsia" w:hAnsiTheme="minorEastAsia" w:hint="eastAsia"/>
          <w:color w:val="000000" w:themeColor="text1"/>
          <w:szCs w:val="21"/>
        </w:rPr>
        <w:tab/>
        <w:t>指上海证券交易所在交易时间内根据基金管理人提供的申购、赎回清单和组合证券内各只证券的实时成交数据计算并发布的</w:t>
      </w:r>
      <w:r w:rsidRPr="00172454">
        <w:rPr>
          <w:rFonts w:asciiTheme="minorEastAsia" w:eastAsiaTheme="minorEastAsia" w:hAnsiTheme="minorEastAsia" w:cs="宋体" w:hint="eastAsia"/>
          <w:color w:val="000000" w:themeColor="text1"/>
          <w:szCs w:val="21"/>
        </w:rPr>
        <w:t>基金份额</w:t>
      </w:r>
      <w:r w:rsidRPr="00172454" w:rsidR="009F0FA3">
        <w:rPr>
          <w:rFonts w:asciiTheme="minorEastAsia" w:eastAsiaTheme="minorEastAsia" w:hAnsiTheme="minorEastAsia" w:cs="宋体" w:hint="eastAsia"/>
          <w:color w:val="000000" w:themeColor="text1"/>
          <w:szCs w:val="21"/>
        </w:rPr>
        <w:t>参考</w:t>
      </w:r>
      <w:r w:rsidRPr="00172454">
        <w:rPr>
          <w:rFonts w:asciiTheme="minorEastAsia" w:eastAsiaTheme="minorEastAsia" w:hAnsiTheme="minorEastAsia" w:cs="宋体" w:hint="eastAsia"/>
          <w:color w:val="000000" w:themeColor="text1"/>
          <w:szCs w:val="21"/>
        </w:rPr>
        <w:t>净值</w:t>
      </w:r>
      <w:r w:rsidRPr="00172454">
        <w:rPr>
          <w:rFonts w:asciiTheme="minorEastAsia" w:eastAsiaTheme="minorEastAsia" w:hAnsiTheme="minorEastAsia" w:hint="eastAsia"/>
          <w:color w:val="000000" w:themeColor="text1"/>
          <w:szCs w:val="21"/>
        </w:rPr>
        <w:t>，简称</w:t>
      </w:r>
      <w:r w:rsidRPr="00172454">
        <w:rPr>
          <w:rFonts w:asciiTheme="minorEastAsia" w:eastAsiaTheme="minorEastAsia" w:hAnsiTheme="minorEastAsia"/>
          <w:color w:val="000000" w:themeColor="text1"/>
          <w:szCs w:val="21"/>
        </w:rPr>
        <w:t xml:space="preserve">IOPV </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预估现金部分</w:t>
      </w:r>
      <w:r w:rsidRPr="00172454">
        <w:rPr>
          <w:rFonts w:asciiTheme="minorEastAsia" w:eastAsiaTheme="minorEastAsia" w:hAnsiTheme="minorEastAsia" w:hint="eastAsia"/>
          <w:color w:val="000000" w:themeColor="text1"/>
          <w:szCs w:val="21"/>
        </w:rPr>
        <w:tab/>
      </w:r>
      <w:bookmarkStart w:id="62" w:name="OLE_LINK38"/>
      <w:bookmarkStart w:id="63" w:name="OLE_LINK216"/>
      <w:r w:rsidRPr="00172454" w:rsidR="00640961">
        <w:rPr>
          <w:rFonts w:asciiTheme="minorEastAsia" w:eastAsiaTheme="minorEastAsia" w:hAnsiTheme="minorEastAsia" w:hint="eastAsia"/>
          <w:color w:val="000000" w:themeColor="text1"/>
          <w:szCs w:val="21"/>
        </w:rPr>
        <w:t>在场内申购赎回方式下，</w:t>
      </w:r>
      <w:bookmarkEnd w:id="62"/>
      <w:bookmarkEnd w:id="63"/>
      <w:r w:rsidRPr="00172454">
        <w:rPr>
          <w:rFonts w:asciiTheme="minorEastAsia" w:eastAsiaTheme="minorEastAsia" w:hAnsiTheme="minorEastAsia" w:hint="eastAsia"/>
          <w:color w:val="000000" w:themeColor="text1"/>
          <w:szCs w:val="21"/>
        </w:rPr>
        <w:t>指由基金管理人估计并在T日申购赎回清单中公布的当日现金差额的估计值，预估现金部分由申购赎回代理券商（代办证券公司）预先冻结</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指定交易</w:t>
      </w:r>
      <w:r w:rsidRPr="00172454">
        <w:rPr>
          <w:rFonts w:asciiTheme="minorEastAsia" w:eastAsiaTheme="minorEastAsia" w:hAnsiTheme="minorEastAsia" w:hint="eastAsia"/>
          <w:color w:val="000000" w:themeColor="text1"/>
          <w:szCs w:val="21"/>
        </w:rPr>
        <w:tab/>
        <w:t>《上海证券交易所全面指定交易制度试行办法》中定义的“全面指定交易”</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基金份额折算</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本基金建仓结束后，基金管理人根据本基金合同规定将投资者的基金份额进行变更登记的行为</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基金利润              基金利息收入、投资收益、公允价值变动收益和其他收入扣除相关费用后的余额</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收益评价日</w:t>
      </w:r>
      <w:r w:rsidRPr="00172454">
        <w:rPr>
          <w:rFonts w:asciiTheme="minorEastAsia" w:eastAsiaTheme="minorEastAsia" w:hAnsiTheme="minorEastAsia" w:hint="eastAsia"/>
          <w:color w:val="000000" w:themeColor="text1"/>
          <w:szCs w:val="21"/>
        </w:rPr>
        <w:tab/>
        <w:t>基金管理人计算本基金累计报酬率与标的指数累计报酬率差额之基准日</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基金累计报酬率</w:t>
      </w:r>
      <w:r w:rsidRPr="00172454">
        <w:rPr>
          <w:rFonts w:asciiTheme="minorEastAsia" w:eastAsiaTheme="minorEastAsia" w:hAnsiTheme="minorEastAsia" w:hint="eastAsia"/>
          <w:color w:val="000000" w:themeColor="text1"/>
          <w:szCs w:val="21"/>
        </w:rPr>
        <w:tab/>
        <w:t>收益评价日基金份额净值与基金份额折算日基金份额净值之比减去100%</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标的指数同期累计报    收益评价日标的指数收盘值与基金份额折算日标的指数收盘</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酬率</w:t>
      </w:r>
      <w:r w:rsidRPr="00172454">
        <w:rPr>
          <w:rFonts w:asciiTheme="minorEastAsia" w:eastAsiaTheme="minorEastAsia" w:hAnsiTheme="minorEastAsia" w:hint="eastAsia"/>
          <w:color w:val="000000" w:themeColor="text1"/>
          <w:szCs w:val="21"/>
        </w:rPr>
        <w:tab/>
        <w:t>值之比减去100%</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基金资产总值</w:t>
      </w:r>
      <w:r w:rsidRPr="00172454">
        <w:rPr>
          <w:rFonts w:asciiTheme="minorEastAsia" w:eastAsiaTheme="minorEastAsia" w:hAnsiTheme="minorEastAsia" w:hint="eastAsia"/>
          <w:color w:val="000000" w:themeColor="text1"/>
          <w:szCs w:val="21"/>
        </w:rPr>
        <w:tab/>
        <w:t>基金所拥有的各类证券及票据价值、银行存款本息和本基金应收的申购基金款以及其他投资所形成的价值总和</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基金资产净值</w:t>
      </w:r>
      <w:r w:rsidRPr="00172454">
        <w:rPr>
          <w:rFonts w:asciiTheme="minorEastAsia" w:eastAsiaTheme="minorEastAsia" w:hAnsiTheme="minorEastAsia" w:hint="eastAsia"/>
          <w:color w:val="000000" w:themeColor="text1"/>
          <w:szCs w:val="21"/>
        </w:rPr>
        <w:tab/>
        <w:t>基金资产总值减去基金负债后的价值</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基金资产估值</w:t>
      </w:r>
      <w:r w:rsidRPr="00172454">
        <w:rPr>
          <w:rFonts w:asciiTheme="minorEastAsia" w:eastAsiaTheme="minorEastAsia" w:hAnsiTheme="minorEastAsia" w:hint="eastAsia"/>
          <w:color w:val="000000" w:themeColor="text1"/>
          <w:szCs w:val="21"/>
        </w:rPr>
        <w:tab/>
        <w:t>计算评估基金资产和负债的价值，以确定基金资产净值的过程</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货币市场工具</w:t>
      </w:r>
      <w:r w:rsidRPr="00172454">
        <w:rPr>
          <w:rFonts w:asciiTheme="minorEastAsia" w:eastAsiaTheme="minorEastAsia" w:hAnsiTheme="minorEastAsia" w:hint="eastAsia"/>
          <w:color w:val="000000" w:themeColor="text1"/>
          <w:szCs w:val="21"/>
        </w:rPr>
        <w:tab/>
        <w:t>现金；</w:t>
      </w:r>
      <w:r w:rsidRPr="00172454">
        <w:rPr>
          <w:rFonts w:asciiTheme="minorEastAsia" w:eastAsiaTheme="minorEastAsia" w:hAnsiTheme="minorEastAsia"/>
          <w:color w:val="000000" w:themeColor="text1"/>
          <w:szCs w:val="21"/>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172454">
        <w:rPr>
          <w:rFonts w:asciiTheme="minorEastAsia" w:eastAsiaTheme="minorEastAsia" w:hAnsiTheme="minorEastAsia" w:hint="eastAsia"/>
          <w:color w:val="000000" w:themeColor="text1"/>
          <w:szCs w:val="21"/>
        </w:rPr>
        <w:t>金融</w:t>
      </w:r>
      <w:r w:rsidRPr="00172454">
        <w:rPr>
          <w:rFonts w:asciiTheme="minorEastAsia" w:eastAsiaTheme="minorEastAsia" w:hAnsiTheme="minorEastAsia"/>
          <w:color w:val="000000" w:themeColor="text1"/>
          <w:szCs w:val="21"/>
        </w:rPr>
        <w:t>工具</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指定</w:t>
      </w:r>
      <w:r w:rsidRPr="00172454" w:rsidR="00640961">
        <w:rPr>
          <w:rFonts w:asciiTheme="minorEastAsia" w:eastAsiaTheme="minorEastAsia" w:hAnsiTheme="minorEastAsia" w:hint="eastAsia"/>
          <w:color w:val="000000" w:themeColor="text1"/>
          <w:szCs w:val="21"/>
        </w:rPr>
        <w:t>媒介</w:t>
      </w:r>
      <w:r w:rsidRPr="00172454">
        <w:rPr>
          <w:rFonts w:asciiTheme="minorEastAsia" w:eastAsiaTheme="minorEastAsia" w:hAnsiTheme="minorEastAsia" w:hint="eastAsia"/>
          <w:color w:val="000000" w:themeColor="text1"/>
          <w:szCs w:val="21"/>
        </w:rPr>
        <w:tab/>
      </w:r>
      <w:r w:rsidRPr="00172454" w:rsidR="00307584">
        <w:rPr>
          <w:rFonts w:asciiTheme="minorEastAsia" w:eastAsiaTheme="minorEastAsia" w:hAnsiTheme="minorEastAsia" w:hint="eastAsia"/>
          <w:color w:val="000000" w:themeColor="text1"/>
          <w:szCs w:val="21"/>
        </w:rPr>
        <w:t>指中国证监会指定的用以进行信息披露的全国性报刊及指定互联网网站（包括基金管理人网站、基金托管人网站、中国证监会基金电子披露网站）等媒介</w:t>
      </w:r>
    </w:p>
    <w:p w:rsidR="005D5BC7"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不可抗力              本合同当事人不能预见、不能避免且不能克服的客观事件</w:t>
      </w:r>
      <w:bookmarkEnd w:id="51"/>
      <w:bookmarkEnd w:id="52"/>
    </w:p>
    <w:p w:rsidR="006B6F31" w:rsidRPr="00172454" w:rsidP="00150642">
      <w:pPr>
        <w:snapToGrid w:val="0"/>
        <w:spacing w:line="360" w:lineRule="auto"/>
        <w:ind w:left="2730" w:hanging="2310" w:leftChars="200" w:hangingChars="11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流动性受限资产        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5D5BC7" w:rsidRPr="00172454" w:rsidP="00F07B7D">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64" w:name="_Toc91766962"/>
      <w:r w:rsidRPr="00172454">
        <w:rPr>
          <w:rFonts w:asciiTheme="minorEastAsia" w:eastAsiaTheme="minorEastAsia" w:hAnsiTheme="minorEastAsia" w:hint="eastAsia"/>
          <w:color w:val="000000" w:themeColor="text1"/>
          <w:szCs w:val="32"/>
        </w:rPr>
        <w:t>三、基金管理人</w:t>
      </w:r>
      <w:bookmarkEnd w:id="64"/>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65" w:name="_Toc133292563"/>
      <w:bookmarkStart w:id="66" w:name="_Toc163189520"/>
      <w:bookmarkStart w:id="67" w:name="_Toc238024233"/>
      <w:bookmarkStart w:id="68" w:name="_Toc253577261"/>
      <w:bookmarkStart w:id="69" w:name="_Toc91766963"/>
      <w:r w:rsidRPr="00172454">
        <w:rPr>
          <w:rFonts w:asciiTheme="minorEastAsia" w:eastAsiaTheme="minorEastAsia" w:hAnsiTheme="minorEastAsia" w:cs="仿宋_GB2312" w:hint="eastAsia"/>
          <w:b w:val="0"/>
          <w:bCs/>
          <w:color w:val="000000" w:themeColor="text1"/>
          <w:kern w:val="0"/>
          <w:szCs w:val="24"/>
        </w:rPr>
        <w:t>（一）</w:t>
      </w:r>
      <w:r w:rsidRPr="00172454">
        <w:rPr>
          <w:rFonts w:asciiTheme="minorEastAsia" w:eastAsiaTheme="minorEastAsia" w:hAnsiTheme="minorEastAsia" w:cs="仿宋_GB2312"/>
          <w:b w:val="0"/>
          <w:bCs/>
          <w:color w:val="000000" w:themeColor="text1"/>
          <w:kern w:val="0"/>
          <w:szCs w:val="24"/>
        </w:rPr>
        <w:t>基金管理人</w:t>
      </w:r>
      <w:r w:rsidRPr="00172454">
        <w:rPr>
          <w:rFonts w:asciiTheme="minorEastAsia" w:eastAsiaTheme="minorEastAsia" w:hAnsiTheme="minorEastAsia" w:cs="仿宋_GB2312" w:hint="eastAsia"/>
          <w:b w:val="0"/>
          <w:bCs/>
          <w:color w:val="000000" w:themeColor="text1"/>
          <w:kern w:val="0"/>
          <w:szCs w:val="24"/>
        </w:rPr>
        <w:t>基本情况</w:t>
      </w:r>
      <w:bookmarkEnd w:id="65"/>
      <w:bookmarkEnd w:id="66"/>
      <w:bookmarkEnd w:id="67"/>
      <w:bookmarkEnd w:id="68"/>
      <w:bookmarkEnd w:id="69"/>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1、基金管理人：易方达基金管理有限公司</w:t>
      </w:r>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注册地址：</w:t>
      </w:r>
      <w:r w:rsidRPr="00172454" w:rsidR="008A4FAE">
        <w:rPr>
          <w:rFonts w:asciiTheme="minorEastAsia" w:eastAsiaTheme="minorEastAsia" w:hAnsiTheme="minorEastAsia" w:cs="仿宋_GB2312" w:hint="eastAsia"/>
          <w:color w:val="000000" w:themeColor="text1"/>
          <w:kern w:val="0"/>
        </w:rPr>
        <w:t>广东省珠海市横琴新区宝华路6号105室－42891（集中办公区）</w:t>
      </w:r>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办公地址：广州市</w:t>
      </w:r>
      <w:r w:rsidRPr="00172454" w:rsidR="00FD549C">
        <w:rPr>
          <w:rFonts w:asciiTheme="minorEastAsia" w:eastAsiaTheme="minorEastAsia" w:hAnsiTheme="minorEastAsia" w:cs="仿宋_GB2312" w:hint="eastAsia"/>
          <w:color w:val="000000" w:themeColor="text1"/>
          <w:kern w:val="0"/>
        </w:rPr>
        <w:t>天河区珠江新城珠江东路30号广州银行大厦40-43楼</w:t>
      </w:r>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设立日期：</w:t>
      </w:r>
      <w:smartTag w:uri="urn:schemas-microsoft-com:office:smarttags" w:element="chsdate">
        <w:smartTagPr>
          <w:attr w:name="Day" w:val="17"/>
          <w:attr w:name="IsLunarDate" w:val="False"/>
          <w:attr w:name="IsROCDate" w:val="False"/>
          <w:attr w:name="Month" w:val="4"/>
          <w:attr w:name="Year" w:val="2001"/>
        </w:smartTagPr>
        <w:r w:rsidRPr="00172454">
          <w:rPr>
            <w:rFonts w:asciiTheme="minorEastAsia" w:eastAsiaTheme="minorEastAsia" w:hAnsiTheme="minorEastAsia" w:cs="仿宋_GB2312" w:hint="eastAsia"/>
            <w:color w:val="000000" w:themeColor="text1"/>
            <w:kern w:val="0"/>
          </w:rPr>
          <w:t>2001年4月17日</w:t>
        </w:r>
      </w:smartTag>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法定代表人：</w:t>
      </w:r>
      <w:r w:rsidRPr="00172454" w:rsidR="00CB71A4">
        <w:rPr>
          <w:rFonts w:asciiTheme="minorEastAsia" w:eastAsiaTheme="minorEastAsia" w:hAnsiTheme="minorEastAsia" w:cs="仿宋_GB2312" w:hint="eastAsia"/>
          <w:color w:val="000000" w:themeColor="text1"/>
          <w:kern w:val="0"/>
        </w:rPr>
        <w:t>刘晓艳</w:t>
      </w:r>
      <w:r w:rsidRPr="00172454">
        <w:rPr>
          <w:rFonts w:asciiTheme="minorEastAsia" w:eastAsiaTheme="minorEastAsia" w:hAnsiTheme="minorEastAsia" w:cs="仿宋_GB2312" w:hint="eastAsia"/>
          <w:color w:val="000000" w:themeColor="text1"/>
          <w:kern w:val="0"/>
        </w:rPr>
        <w:t xml:space="preserve"> </w:t>
      </w:r>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联系电话：400 881 8088</w:t>
      </w:r>
    </w:p>
    <w:p w:rsidR="001A432C"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联系人：李红枫</w:t>
      </w:r>
    </w:p>
    <w:p w:rsidR="005D5BC7"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注册资本：13,244.2万元人民币</w:t>
      </w:r>
    </w:p>
    <w:p w:rsidR="00A96138" w:rsidRPr="00172454" w:rsidP="00150642">
      <w:pPr>
        <w:snapToGrid w:val="0"/>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批准设立机关及文号：中国证券监督管理委员会，证监基金字[2001]4号</w:t>
      </w:r>
    </w:p>
    <w:p w:rsidR="00A96138"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hint="eastAsia"/>
          <w:color w:val="000000" w:themeColor="text1"/>
        </w:rPr>
        <w:t>经营范围：</w:t>
      </w:r>
      <w:r w:rsidRPr="00172454" w:rsidR="008A4FAE">
        <w:rPr>
          <w:rFonts w:asciiTheme="minorEastAsia" w:eastAsiaTheme="minorEastAsia" w:hAnsiTheme="minorEastAsia" w:hint="eastAsia"/>
          <w:color w:val="000000" w:themeColor="text1"/>
        </w:rPr>
        <w:t>公开募集证券投资基金管理、基金销售、特定客户资产管理</w:t>
      </w:r>
    </w:p>
    <w:p w:rsidR="005D5BC7" w:rsidRPr="00172454" w:rsidP="00150642">
      <w:pPr>
        <w:snapToGrid w:val="0"/>
        <w:spacing w:line="360" w:lineRule="auto"/>
        <w:ind w:firstLine="420"/>
        <w:rPr>
          <w:rFonts w:asciiTheme="minorEastAsia" w:eastAsiaTheme="minorEastAsia" w:hAnsiTheme="minorEastAsia" w:cs="仿宋_GB2312"/>
          <w:color w:val="000000" w:themeColor="text1"/>
          <w:kern w:val="0"/>
        </w:rPr>
      </w:pPr>
      <w:r w:rsidRPr="00172454">
        <w:rPr>
          <w:rFonts w:asciiTheme="minorEastAsia" w:eastAsiaTheme="minorEastAsia" w:hAnsiTheme="minorEastAsia" w:cs="仿宋_GB2312" w:hint="eastAsia"/>
          <w:color w:val="000000" w:themeColor="text1"/>
          <w:kern w:val="0"/>
        </w:rPr>
        <w:t>2、股权结构：</w:t>
      </w:r>
    </w:p>
    <w:tbl>
      <w:tblPr>
        <w:tblW w:w="6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2"/>
        <w:gridCol w:w="1837"/>
      </w:tblGrid>
      <w:tr w:rsidTr="005511F7">
        <w:tblPrEx>
          <w:tblW w:w="6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772" w:type="dxa"/>
            <w:vAlign w:val="center"/>
          </w:tcPr>
          <w:p w:rsidR="005D5BC7" w:rsidRPr="00172454" w:rsidP="00150642">
            <w:pPr>
              <w:snapToGrid w:val="0"/>
              <w:spacing w:line="360" w:lineRule="auto"/>
              <w:ind w:firstLine="420"/>
              <w:jc w:val="center"/>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股东名称</w:t>
            </w:r>
          </w:p>
        </w:tc>
        <w:tc>
          <w:tcPr>
            <w:tcW w:w="1837" w:type="dxa"/>
            <w:vAlign w:val="center"/>
          </w:tcPr>
          <w:p w:rsidR="005D5BC7" w:rsidRPr="00172454" w:rsidP="00150642">
            <w:pPr>
              <w:snapToGrid w:val="0"/>
              <w:spacing w:line="360" w:lineRule="auto"/>
              <w:ind w:firstLine="420"/>
              <w:jc w:val="center"/>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出资比例</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广东粤财信托有限公司</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22.6514％</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广发证券股份有限公司</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22.6514％</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盈峰集团有限公司</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22.6514％</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广东省广晟控股集团有限公司</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15.1010％</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广州市广永国有资产经营有限公司</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7.5505％</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珠海祺荣宝股权投资合伙企业（有限合伙）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1.5087％</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珠海祺泰宝股权投资合伙企业（有限合伙）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1.6205％</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珠海祺丰宝股权投资合伙企业（有限合伙）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1.5309％</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珠海聚莱康股权投资合伙企业（有限合伙）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1.7558％</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珠海聚宁康股权投资合伙企业（有限合伙）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1.4396％</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珠海聚弘康股权投资合伙企业（有限合伙）</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1.5388％</w:t>
            </w:r>
          </w:p>
        </w:tc>
      </w:tr>
      <w:tr>
        <w:tblPrEx>
          <w:tblW w:w="6609" w:type="dxa"/>
          <w:jc w:val="center"/>
          <w:tblLayout w:type="fixed"/>
          <w:tblLook w:val="0000"/>
        </w:tblPrEx>
        <w:trPr>
          <w:jc w:val="center"/>
        </w:trPr>
        <w:tc>
          <w:tcPr>
            <w:tcW w:w="4772"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总   计</w:t>
            </w:r>
          </w:p>
        </w:tc>
        <w:tc>
          <w:tcPr>
            <w:tcW w:w="1837"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100%</w:t>
            </w:r>
          </w:p>
        </w:tc>
      </w:tr>
    </w:tbl>
    <w:p w:rsidR="005D5BC7" w:rsidRPr="00172454" w:rsidP="00150642">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kern w:val="0"/>
          <w:szCs w:val="24"/>
        </w:rPr>
      </w:pPr>
      <w:bookmarkStart w:id="70" w:name="_Toc133292564"/>
      <w:bookmarkStart w:id="71" w:name="_Toc163189521"/>
      <w:bookmarkStart w:id="72" w:name="_Toc238024234"/>
      <w:bookmarkStart w:id="73" w:name="_Toc253577262"/>
      <w:bookmarkStart w:id="74" w:name="_Toc91766964"/>
      <w:r w:rsidRPr="00172454">
        <w:rPr>
          <w:rFonts w:asciiTheme="minorEastAsia" w:eastAsiaTheme="minorEastAsia" w:hAnsiTheme="minorEastAsia" w:hint="eastAsia"/>
          <w:b w:val="0"/>
          <w:bCs/>
          <w:color w:val="000000" w:themeColor="text1"/>
          <w:szCs w:val="21"/>
        </w:rPr>
        <w:t>（二）</w:t>
      </w:r>
      <w:r w:rsidRPr="00172454">
        <w:rPr>
          <w:rFonts w:asciiTheme="minorEastAsia" w:eastAsiaTheme="minorEastAsia" w:hAnsiTheme="minorEastAsia"/>
          <w:b w:val="0"/>
          <w:bCs/>
          <w:color w:val="000000" w:themeColor="text1"/>
          <w:szCs w:val="21"/>
        </w:rPr>
        <w:t>主要人员情况</w:t>
      </w:r>
      <w:bookmarkEnd w:id="70"/>
      <w:bookmarkEnd w:id="71"/>
      <w:bookmarkEnd w:id="72"/>
      <w:bookmarkEnd w:id="73"/>
      <w:bookmarkEnd w:id="74"/>
    </w:p>
    <w:p w:rsidR="005D5BC7" w:rsidRPr="00172454" w:rsidP="00150642">
      <w:pPr>
        <w:pStyle w:val="CharCharCharCharCharCharChar"/>
        <w:numPr>
          <w:ilvl w:val="0"/>
          <w:numId w:val="0"/>
        </w:numPr>
        <w:adjustRightInd w:val="0"/>
        <w:snapToGrid w:val="0"/>
        <w:spacing w:after="0" w:line="360" w:lineRule="auto"/>
        <w:ind w:left="420"/>
        <w:textAlignment w:val="baseline"/>
        <w:rPr>
          <w:rFonts w:asciiTheme="minorEastAsia" w:eastAsiaTheme="minorEastAsia" w:hAnsiTheme="minorEastAsia"/>
          <w:bCs/>
          <w:color w:val="000000" w:themeColor="text1"/>
          <w:sz w:val="21"/>
          <w:szCs w:val="21"/>
        </w:rPr>
      </w:pPr>
      <w:r w:rsidRPr="00172454">
        <w:rPr>
          <w:rFonts w:asciiTheme="minorEastAsia" w:eastAsiaTheme="minorEastAsia" w:hAnsiTheme="minorEastAsia" w:cs="仿宋_GB2312"/>
          <w:bCs/>
          <w:color w:val="000000" w:themeColor="text1"/>
          <w:kern w:val="0"/>
          <w:sz w:val="21"/>
          <w:szCs w:val="21"/>
        </w:rPr>
        <w:t>1、</w:t>
      </w:r>
      <w:r w:rsidRPr="00172454">
        <w:rPr>
          <w:rFonts w:asciiTheme="minorEastAsia" w:eastAsiaTheme="minorEastAsia" w:hAnsiTheme="minorEastAsia" w:cs="仿宋_GB2312" w:hint="eastAsia"/>
          <w:bCs/>
          <w:color w:val="000000" w:themeColor="text1"/>
          <w:kern w:val="0"/>
          <w:sz w:val="21"/>
          <w:szCs w:val="21"/>
        </w:rPr>
        <w:t>董事、监事及高级管理人员</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刘晓艳女士，经济学博士、工商管理博士。现任易方达基金管理有限公司副董事长、总裁，易方达国际控股有限公司董事。曾任广发证券有限责任公司投资理财部副经理、基金经理</w:t>
      </w:r>
      <w:r w:rsidRPr="00172454">
        <w:rPr>
          <w:rFonts w:asciiTheme="minorEastAsia" w:eastAsiaTheme="minorEastAsia" w:hAnsiTheme="minorEastAsia"/>
          <w:color w:val="000000" w:themeColor="text1"/>
        </w:rPr>
        <w:t>、</w:t>
      </w:r>
      <w:r w:rsidRPr="00172454">
        <w:rPr>
          <w:rFonts w:asciiTheme="minorEastAsia" w:eastAsiaTheme="minorEastAsia" w:hAnsiTheme="minorEastAsia" w:hint="eastAsia"/>
          <w:color w:val="000000" w:themeColor="text1"/>
        </w:rPr>
        <w:t>基金投资理财部副总经理，易方达基金管理有限公司督察员、监察部总经理、市场部总经理、总裁助理、副总裁、常务副总裁，易方达资产管理有限公司董事，易方达资产管理（香港）有限公司董事长。</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刘炜先生，工商管理硕士（</w:t>
      </w:r>
      <w:r w:rsidRPr="00172454">
        <w:rPr>
          <w:rFonts w:asciiTheme="minorEastAsia" w:eastAsiaTheme="minorEastAsia" w:hAnsiTheme="minorEastAsia"/>
          <w:color w:val="000000" w:themeColor="text1"/>
        </w:rPr>
        <w:t>EMBA</w:t>
      </w:r>
      <w:r w:rsidRPr="00172454">
        <w:rPr>
          <w:rFonts w:asciiTheme="minorEastAsia" w:eastAsiaTheme="minorEastAsia" w:hAnsiTheme="minorEastAsia" w:hint="eastAsia"/>
          <w:color w:val="000000" w:themeColor="text1"/>
        </w:rPr>
        <w:t>）、法学硕士。现任易方达基金管理有限公司监事、人力资源部总经理。曾任易方达基金管理有限公司监察部监察员、上海分公司销售经理、市场部总经理助理、人力资源部副总经理、综合管理部总经理。</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马骏先生，工商管理硕士（</w:t>
      </w:r>
      <w:r w:rsidRPr="00172454">
        <w:rPr>
          <w:rFonts w:asciiTheme="minorEastAsia" w:eastAsiaTheme="minorEastAsia" w:hAnsiTheme="minorEastAsia"/>
          <w:color w:val="000000" w:themeColor="text1"/>
        </w:rPr>
        <w:t>EMBA</w:t>
      </w:r>
      <w:r w:rsidRPr="00172454">
        <w:rPr>
          <w:rFonts w:asciiTheme="minorEastAsia" w:eastAsiaTheme="minorEastAsia" w:hAnsiTheme="minorEastAsia" w:hint="eastAsia"/>
          <w:color w:val="000000" w:themeColor="text1"/>
        </w:rPr>
        <w:t>）。现任易方达基金管理有限公司常务副总裁、固定收益投资决策委员会委员，易方达资产管理（香港）有限公司董事长、人民币合格境外投资者（</w:t>
      </w:r>
      <w:r w:rsidRPr="00172454">
        <w:rPr>
          <w:rFonts w:asciiTheme="minorEastAsia" w:eastAsiaTheme="minorEastAsia" w:hAnsiTheme="minorEastAsia"/>
          <w:color w:val="000000" w:themeColor="text1"/>
        </w:rPr>
        <w:t>RQFII</w:t>
      </w:r>
      <w:r w:rsidRPr="00172454">
        <w:rPr>
          <w:rFonts w:asciiTheme="minorEastAsia" w:eastAsiaTheme="minorEastAsia" w:hAnsiTheme="minorEastAsia" w:hint="eastAsia"/>
          <w:color w:val="000000" w:themeColor="text1"/>
        </w:rPr>
        <w:t>）业务负责人、证券交易负责人员（</w:t>
      </w:r>
      <w:r w:rsidRPr="00172454">
        <w:rPr>
          <w:rFonts w:asciiTheme="minorEastAsia" w:eastAsiaTheme="minorEastAsia" w:hAnsiTheme="minorEastAsia"/>
          <w:color w:val="000000" w:themeColor="text1"/>
        </w:rPr>
        <w:t>RO</w:t>
      </w:r>
      <w:r w:rsidRPr="00172454">
        <w:rPr>
          <w:rFonts w:asciiTheme="minorEastAsia" w:eastAsiaTheme="minorEastAsia" w:hAnsiTheme="minorEastAsia" w:hint="eastAsia"/>
          <w:color w:val="000000" w:themeColor="text1"/>
        </w:rPr>
        <w:t>）、就证券提供意见负责人员（</w:t>
      </w:r>
      <w:r w:rsidRPr="00172454">
        <w:rPr>
          <w:rFonts w:asciiTheme="minorEastAsia" w:eastAsiaTheme="minorEastAsia" w:hAnsiTheme="minorEastAsia"/>
          <w:color w:val="000000" w:themeColor="text1"/>
        </w:rPr>
        <w:t>RO</w:t>
      </w:r>
      <w:r w:rsidRPr="00172454">
        <w:rPr>
          <w:rFonts w:asciiTheme="minorEastAsia" w:eastAsiaTheme="minorEastAsia" w:hAnsiTheme="minorEastAsia" w:hint="eastAsia"/>
          <w:color w:val="000000" w:themeColor="text1"/>
        </w:rPr>
        <w:t>）、提供资产管理负责人员（</w:t>
      </w:r>
      <w:r w:rsidRPr="00172454">
        <w:rPr>
          <w:rFonts w:asciiTheme="minorEastAsia" w:eastAsiaTheme="minorEastAsia" w:hAnsiTheme="minorEastAsia"/>
          <w:color w:val="000000" w:themeColor="text1"/>
        </w:rPr>
        <w:t>RO</w:t>
      </w:r>
      <w:r w:rsidRPr="00172454">
        <w:rPr>
          <w:rFonts w:asciiTheme="minorEastAsia" w:eastAsiaTheme="minorEastAsia" w:hAnsiTheme="minorEastAsia" w:hint="eastAsia"/>
          <w:color w:val="000000" w:themeColor="text1"/>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D821CD" w:rsidRPr="00172454" w:rsidP="00172454">
      <w:pPr>
        <w:spacing w:line="360" w:lineRule="auto"/>
        <w:ind w:firstLine="420"/>
        <w:rPr>
          <w:rFonts w:asciiTheme="minorEastAsia" w:eastAsiaTheme="minorEastAsia" w:hAnsiTheme="minorEastAsia"/>
          <w:color w:val="000000" w:themeColor="text1"/>
          <w:sz w:val="20"/>
          <w:szCs w:val="20"/>
        </w:rPr>
      </w:pPr>
      <w:r w:rsidRPr="00172454">
        <w:rPr>
          <w:rFonts w:asciiTheme="minorEastAsia" w:eastAsiaTheme="minorEastAsia" w:hAnsiTheme="minorEastAsia" w:hint="eastAsia"/>
          <w:color w:val="000000" w:themeColor="text1"/>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高松凡先生，工商管理硕士（</w:t>
      </w:r>
      <w:r w:rsidRPr="00172454">
        <w:rPr>
          <w:rFonts w:asciiTheme="minorEastAsia" w:eastAsiaTheme="minorEastAsia" w:hAnsiTheme="minorEastAsia"/>
          <w:color w:val="000000" w:themeColor="text1"/>
        </w:rPr>
        <w:t>EMBA</w:t>
      </w:r>
      <w:r w:rsidRPr="00172454">
        <w:rPr>
          <w:rFonts w:asciiTheme="minorEastAsia" w:eastAsiaTheme="minorEastAsia" w:hAnsiTheme="minorEastAsia" w:hint="eastAsia"/>
          <w:color w:val="000000" w:themeColor="text1"/>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关秀霞女士，工商管理硕士、金融学硕士。现任易方达基金管理有限公司副总经理级高级管理人员。曾任中国银行（香港）有限公司分析员，</w:t>
      </w:r>
      <w:r w:rsidRPr="00172454">
        <w:rPr>
          <w:rFonts w:asciiTheme="minorEastAsia" w:eastAsiaTheme="minorEastAsia" w:hAnsiTheme="minorEastAsia"/>
          <w:color w:val="000000" w:themeColor="text1"/>
        </w:rPr>
        <w:t>Daniel Dennis</w:t>
      </w:r>
      <w:r w:rsidRPr="00172454">
        <w:rPr>
          <w:rFonts w:asciiTheme="minorEastAsia" w:eastAsiaTheme="minorEastAsia" w:hAnsiTheme="minorEastAsia" w:hint="eastAsia"/>
          <w:color w:val="000000" w:themeColor="text1"/>
        </w:rPr>
        <w:t>高级审计师，美国道富银行公司内部审计部高级审计师、美国共同基金业务风险经理、亚洲区（除日本外）机构服务主管、亚洲区（除日本外）副总裁、大中华地区董事总经理、大中华地区高级副总裁、中国区行长。</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娄利舟女士，工商管理硕士（</w:t>
      </w:r>
      <w:r w:rsidRPr="00172454">
        <w:rPr>
          <w:rFonts w:asciiTheme="minorEastAsia" w:eastAsiaTheme="minorEastAsia" w:hAnsiTheme="minorEastAsia"/>
          <w:color w:val="000000" w:themeColor="text1"/>
        </w:rPr>
        <w:t>EMBA</w:t>
      </w:r>
      <w:r w:rsidRPr="00172454">
        <w:rPr>
          <w:rFonts w:asciiTheme="minorEastAsia" w:eastAsiaTheme="minorEastAsia" w:hAnsiTheme="minorEastAsia" w:hint="eastAsia"/>
          <w:color w:val="000000" w:themeColor="text1"/>
        </w:rPr>
        <w:t>）、经济学硕士。现任易方达基金管理有限公司副总经理级高级管理人员、</w:t>
      </w:r>
      <w:r w:rsidRPr="00172454">
        <w:rPr>
          <w:rFonts w:asciiTheme="minorEastAsia" w:eastAsiaTheme="minorEastAsia" w:hAnsiTheme="minorEastAsia"/>
          <w:color w:val="000000" w:themeColor="text1"/>
        </w:rPr>
        <w:t>FOF</w:t>
      </w:r>
      <w:r w:rsidRPr="00172454">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D821CD"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6B34B2" w:rsidRPr="00172454" w:rsidP="00172454">
      <w:pPr>
        <w:spacing w:line="360" w:lineRule="auto"/>
        <w:ind w:firstLine="420"/>
        <w:rPr>
          <w:rFonts w:asciiTheme="minorEastAsia" w:eastAsiaTheme="minorEastAsia" w:hAnsiTheme="minorEastAsia"/>
          <w:color w:val="000000" w:themeColor="text1"/>
          <w:szCs w:val="20"/>
        </w:rPr>
      </w:pPr>
      <w:r w:rsidRPr="00172454">
        <w:rPr>
          <w:rFonts w:asciiTheme="minorEastAsia" w:eastAsiaTheme="minorEastAsia" w:hAnsiTheme="minorEastAsia"/>
          <w:color w:val="000000" w:themeColor="text1"/>
        </w:rPr>
        <w:t>2、基金经理</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刘树荣先生，经济学硕士，本基金的基金经理。现任易方达基金管理有限公司易方达深证100交易型开放式指数证券投资基金基金经理（自2017年7月18日起任职）、易方达深证100交易型开放式指数证券投资基金联接基金基金经理（自2017年7月18日起任职）、易方达创业板交易型开放式指数证券投资基金基金经理（自2017年7月18日起任职）、易方达创业板交易型开放式指数证券投资基金联接基金基金经理（自2017年7月18日起任职）、易方达中小企业100指数证券投资基金（LOF）基金经理（自2017年7月18日起任职）、易方达中证万得并购重组指数证券投资基金（LOF）基金经理（自2017年7月18日起任职）、易方达上证中盘交易型开放式指数证券投资基金基金经理（自2018年8月11日起任职）、易方达上证中盘交易型开放式指数证券投资基金联接基金基金经理（自2018年8月11日起任职）、易方达香港恒生综合小型股指数证券投资基金（LOF）基金经理（自2018年8月11日起任职）、易方达中证800交易型开放式指数证券投资基金基金经理（自2019年10月8日起任职）、易方达中证800交易型开放式指数证券投资基金发起式联接基金基金经理（自2019年10月21日起任职）、易方达中证国企一带一路交易型开放式指数证券投资基金基金经理（自2020年3月20日起任职）、易方达中证国企一带一路交易型开放式指数证券投资基金发起式联接基金基金经理（自2020年3月20日起任职）、易方达中证银行指数证券投资基金（LOF）基金经理（自2020年8月7日起任职）、易方达中证银行交易型开放式指数证券投资基金基金经理（自2021年5月20日起任职）、易方达中证长江保护主题交易型开放式指数证券投资基金基金经理（自2021年11月26日起任职）。曾任招商银行资产托管部基金会计，易方达基金管理有限公司核算部基金核算专员、指数与量化投资部运作支持专员、基金经理助理、易方达深证成指交易型开放式指数证券投资基金基金经理（自2017年7月18日至2019年8月15日）、易方达深证成指交易型开放式指数证券投资基金联接基金基金经理（自2017年7月18日至2019年8月15日）、易方达标普医疗保健指数证券投资基金（LOF）基金经理（自2018年8月11日至2020年4月22日）、易方达标普生物科技指数证券投资基金（LOF）基金经理（自2018年8月11日至2020年4月22日）、易方达标普信息科技指数证券投资基金（LOF）基金经理（自2018年8月11日至2020年4月22日）、易方达银行指数分级证券投资基金基金经理（自2017年7月18日至2020年8月6日）、易方达生物科技指数分级证券投资基金基金经理（自2017年7月18日至2020年12月2日）、易方达标普500指数证券投资基金（LOF）基金经理（自2018年8月11日至2021年4月14日）、易方达中证浙江新动能交易型开放式指数证券投资基金基金经理（自2020年4月29日至2021年11月3日）、易方达中证浙江新动能交易型开放式指数证券投资基金联接基金基金经理（自2020年4月28日至2021年11月26日）。</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本基金历任基金经理情况：张胜记，管理时间为2010年3月29日至2018年8月10日。</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3、指数投资决策委员会成员</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本公司指数投资决策委员会成员包括：林伟斌先生、余海燕女士、FAN BING（范冰）先生。</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林伟斌先生，易方达基金管理有限公司指数投资部总经理、基金经理。</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余海燕女士，易方达基金管理有限公司指数投资部副总经理、基金经理。</w:t>
      </w:r>
    </w:p>
    <w:p w:rsidR="00CF59E4"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FAN BING（范冰）先生，易方达基金管理有限公司基金经理。</w:t>
      </w:r>
    </w:p>
    <w:p w:rsidR="00C430D9" w:rsidRPr="00172454" w:rsidP="00C430D9">
      <w:pPr>
        <w:pStyle w:val="a"/>
        <w:tabs>
          <w:tab w:val="left" w:pos="420"/>
        </w:tabs>
        <w:autoSpaceDE w:val="0"/>
        <w:autoSpaceDN w:val="0"/>
        <w:adjustRightInd w:val="0"/>
        <w:snapToGrid w:val="0"/>
        <w:spacing w:line="360" w:lineRule="auto"/>
        <w:ind w:firstLine="420" w:firstLineChars="200"/>
        <w:rPr>
          <w:rStyle w:val="da"/>
          <w:rFonts w:asciiTheme="minorEastAsia" w:eastAsiaTheme="minorEastAsia" w:hAnsiTheme="minorEastAsia"/>
          <w:color w:val="000000" w:themeColor="text1"/>
        </w:rPr>
      </w:pPr>
      <w:r w:rsidRPr="00172454">
        <w:rPr>
          <w:rFonts w:asciiTheme="minorEastAsia" w:eastAsiaTheme="minorEastAsia" w:hAnsiTheme="minorEastAsia" w:cs="仿宋_GB2312"/>
          <w:bCs/>
          <w:color w:val="000000" w:themeColor="text1"/>
          <w:kern w:val="0"/>
          <w:szCs w:val="21"/>
        </w:rPr>
        <w:t>4、上述人员之间均不存在近亲属关系。</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rPr>
      </w:pPr>
      <w:bookmarkStart w:id="75" w:name="_Toc133292565"/>
      <w:bookmarkStart w:id="76" w:name="_Toc163189522"/>
      <w:bookmarkStart w:id="77" w:name="_Toc238024235"/>
      <w:bookmarkStart w:id="78" w:name="_Toc253577263"/>
      <w:bookmarkStart w:id="79" w:name="_Toc91766965"/>
      <w:r w:rsidRPr="00172454">
        <w:rPr>
          <w:rFonts w:asciiTheme="minorEastAsia" w:eastAsiaTheme="minorEastAsia" w:hAnsiTheme="minorEastAsia" w:hint="eastAsia"/>
          <w:b w:val="0"/>
          <w:bCs/>
          <w:color w:val="000000" w:themeColor="text1"/>
          <w:szCs w:val="21"/>
        </w:rPr>
        <w:t>（三）</w:t>
      </w:r>
      <w:r w:rsidRPr="00172454">
        <w:rPr>
          <w:rFonts w:asciiTheme="minorEastAsia" w:eastAsiaTheme="minorEastAsia" w:hAnsiTheme="minorEastAsia"/>
          <w:b w:val="0"/>
          <w:bCs/>
          <w:color w:val="000000" w:themeColor="text1"/>
          <w:szCs w:val="21"/>
        </w:rPr>
        <w:t>基金管理人的职责</w:t>
      </w:r>
      <w:bookmarkEnd w:id="75"/>
      <w:bookmarkEnd w:id="76"/>
      <w:bookmarkEnd w:id="77"/>
      <w:bookmarkEnd w:id="78"/>
      <w:bookmarkEnd w:id="79"/>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1、</w:t>
      </w:r>
      <w:r w:rsidRPr="00172454" w:rsidR="005D7F0A">
        <w:rPr>
          <w:rFonts w:asciiTheme="minorEastAsia" w:eastAsiaTheme="minorEastAsia" w:hAnsiTheme="minorEastAsia" w:cs="Arial" w:hint="eastAsia"/>
          <w:color w:val="000000" w:themeColor="text1"/>
          <w:szCs w:val="21"/>
        </w:rPr>
        <w:t>依法募集资金，办理基金份额的发售和登记事宜；</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2、</w:t>
      </w:r>
      <w:r w:rsidRPr="00172454">
        <w:rPr>
          <w:rFonts w:asciiTheme="minorEastAsia" w:eastAsiaTheme="minorEastAsia" w:hAnsiTheme="minorEastAsia" w:cs="Arial"/>
          <w:color w:val="000000" w:themeColor="text1"/>
          <w:szCs w:val="21"/>
        </w:rPr>
        <w:t>办理基金备案手续；</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3、</w:t>
      </w:r>
      <w:r w:rsidRPr="00172454">
        <w:rPr>
          <w:rFonts w:asciiTheme="minorEastAsia" w:eastAsiaTheme="minorEastAsia" w:hAnsiTheme="minorEastAsia" w:cs="Arial"/>
          <w:color w:val="000000" w:themeColor="text1"/>
          <w:szCs w:val="21"/>
        </w:rPr>
        <w:t>对所管理的不同基金财产分别管理、分别记账，进行证券投资；</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4、</w:t>
      </w:r>
      <w:r w:rsidRPr="00172454">
        <w:rPr>
          <w:rFonts w:asciiTheme="minorEastAsia" w:eastAsiaTheme="minorEastAsia" w:hAnsiTheme="minorEastAsia" w:cs="Arial"/>
          <w:color w:val="000000" w:themeColor="text1"/>
          <w:szCs w:val="21"/>
        </w:rPr>
        <w:t>按照基金合同的约定确定基金收益分配方案，及时向基金份额持有人分配收益；</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5、</w:t>
      </w:r>
      <w:r w:rsidRPr="00172454">
        <w:rPr>
          <w:rFonts w:asciiTheme="minorEastAsia" w:eastAsiaTheme="minorEastAsia" w:hAnsiTheme="minorEastAsia" w:cs="Arial"/>
          <w:color w:val="000000" w:themeColor="text1"/>
          <w:szCs w:val="21"/>
        </w:rPr>
        <w:t>进行基金会计核算并编制基金财务会计报告；</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6、</w:t>
      </w:r>
      <w:r w:rsidRPr="00172454">
        <w:rPr>
          <w:rFonts w:asciiTheme="minorEastAsia" w:eastAsiaTheme="minorEastAsia" w:hAnsiTheme="minorEastAsia" w:cs="Arial"/>
          <w:color w:val="000000" w:themeColor="text1"/>
          <w:szCs w:val="21"/>
        </w:rPr>
        <w:t>编制</w:t>
      </w:r>
      <w:r w:rsidRPr="00172454">
        <w:rPr>
          <w:rFonts w:asciiTheme="minorEastAsia" w:eastAsiaTheme="minorEastAsia" w:hAnsiTheme="minorEastAsia" w:cs="Arial" w:hint="eastAsia"/>
          <w:color w:val="000000" w:themeColor="text1"/>
          <w:szCs w:val="21"/>
        </w:rPr>
        <w:t>季度</w:t>
      </w:r>
      <w:r w:rsidRPr="00172454" w:rsidR="00144A8E">
        <w:rPr>
          <w:rFonts w:asciiTheme="minorEastAsia" w:eastAsiaTheme="minorEastAsia" w:hAnsiTheme="minorEastAsia" w:cs="Arial" w:hint="eastAsia"/>
          <w:color w:val="000000" w:themeColor="text1"/>
          <w:szCs w:val="21"/>
        </w:rPr>
        <w:t>报告</w:t>
      </w:r>
      <w:r w:rsidRPr="00172454">
        <w:rPr>
          <w:rFonts w:asciiTheme="minorEastAsia" w:eastAsiaTheme="minorEastAsia" w:hAnsiTheme="minorEastAsia" w:cs="Arial" w:hint="eastAsia"/>
          <w:color w:val="000000" w:themeColor="text1"/>
          <w:szCs w:val="21"/>
        </w:rPr>
        <w:t>、</w:t>
      </w:r>
      <w:r w:rsidRPr="00172454" w:rsidR="00144A8E">
        <w:rPr>
          <w:rFonts w:asciiTheme="minorEastAsia" w:eastAsiaTheme="minorEastAsia" w:hAnsiTheme="minorEastAsia" w:cs="Arial" w:hint="eastAsia"/>
          <w:color w:val="000000" w:themeColor="text1"/>
          <w:szCs w:val="21"/>
        </w:rPr>
        <w:t>中期报告</w:t>
      </w:r>
      <w:r w:rsidRPr="00172454">
        <w:rPr>
          <w:rFonts w:asciiTheme="minorEastAsia" w:eastAsiaTheme="minorEastAsia" w:hAnsiTheme="minorEastAsia" w:cs="Arial"/>
          <w:color w:val="000000" w:themeColor="text1"/>
          <w:szCs w:val="21"/>
        </w:rPr>
        <w:t>和年度报告；</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7、</w:t>
      </w:r>
      <w:r w:rsidRPr="00172454">
        <w:rPr>
          <w:rFonts w:asciiTheme="minorEastAsia" w:eastAsiaTheme="minorEastAsia" w:hAnsiTheme="minorEastAsia" w:cs="Arial"/>
          <w:color w:val="000000" w:themeColor="text1"/>
          <w:szCs w:val="21"/>
        </w:rPr>
        <w:t>计算并公告基金净值</w:t>
      </w:r>
      <w:r w:rsidRPr="00172454" w:rsidR="00144A8E">
        <w:rPr>
          <w:rFonts w:asciiTheme="minorEastAsia" w:eastAsiaTheme="minorEastAsia" w:hAnsiTheme="minorEastAsia" w:cs="Arial"/>
          <w:color w:val="000000" w:themeColor="text1"/>
          <w:szCs w:val="21"/>
        </w:rPr>
        <w:t>信息</w:t>
      </w:r>
      <w:r w:rsidRPr="00172454">
        <w:rPr>
          <w:rFonts w:asciiTheme="minorEastAsia" w:eastAsiaTheme="minorEastAsia" w:hAnsiTheme="minorEastAsia" w:cs="Arial"/>
          <w:color w:val="000000" w:themeColor="text1"/>
          <w:szCs w:val="21"/>
        </w:rPr>
        <w:t>，确定基金份额申购、赎回</w:t>
      </w:r>
      <w:r w:rsidRPr="00172454">
        <w:rPr>
          <w:rFonts w:asciiTheme="minorEastAsia" w:eastAsiaTheme="minorEastAsia" w:hAnsiTheme="minorEastAsia" w:cs="Arial" w:hint="eastAsia"/>
          <w:color w:val="000000" w:themeColor="text1"/>
          <w:szCs w:val="21"/>
        </w:rPr>
        <w:t>的对价清单</w:t>
      </w:r>
      <w:r w:rsidRPr="00172454">
        <w:rPr>
          <w:rFonts w:asciiTheme="minorEastAsia" w:eastAsiaTheme="minorEastAsia" w:hAnsiTheme="minorEastAsia" w:cs="Arial"/>
          <w:color w:val="000000" w:themeColor="text1"/>
          <w:szCs w:val="21"/>
        </w:rPr>
        <w:t>；</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8、</w:t>
      </w:r>
      <w:r w:rsidRPr="00172454">
        <w:rPr>
          <w:rFonts w:asciiTheme="minorEastAsia" w:eastAsiaTheme="minorEastAsia" w:hAnsiTheme="minorEastAsia" w:cs="Arial"/>
          <w:color w:val="000000" w:themeColor="text1"/>
          <w:szCs w:val="21"/>
        </w:rPr>
        <w:t>办理与基金财产管理业务活动有关的信息披露事项；</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9、</w:t>
      </w:r>
      <w:r w:rsidRPr="00172454" w:rsidR="005D7F0A">
        <w:rPr>
          <w:rFonts w:asciiTheme="minorEastAsia" w:eastAsiaTheme="minorEastAsia" w:hAnsiTheme="minorEastAsia" w:cs="Arial" w:hint="eastAsia"/>
          <w:color w:val="000000" w:themeColor="text1"/>
          <w:szCs w:val="21"/>
        </w:rPr>
        <w:t>按照规定</w:t>
      </w:r>
      <w:r w:rsidRPr="00172454">
        <w:rPr>
          <w:rFonts w:asciiTheme="minorEastAsia" w:eastAsiaTheme="minorEastAsia" w:hAnsiTheme="minorEastAsia" w:cs="Arial"/>
          <w:color w:val="000000" w:themeColor="text1"/>
          <w:szCs w:val="21"/>
        </w:rPr>
        <w:t>召集基金份额持有人大会；</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10、保存基</w:t>
      </w:r>
      <w:r w:rsidRPr="00172454">
        <w:rPr>
          <w:rFonts w:asciiTheme="minorEastAsia" w:eastAsiaTheme="minorEastAsia" w:hAnsiTheme="minorEastAsia" w:cs="Arial"/>
          <w:color w:val="000000" w:themeColor="text1"/>
          <w:szCs w:val="21"/>
        </w:rPr>
        <w:t>金财产管理业务活动的记录、账册、报表和其他相关资料；</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11、</w:t>
      </w:r>
      <w:r w:rsidRPr="00172454">
        <w:rPr>
          <w:rFonts w:asciiTheme="minorEastAsia" w:eastAsiaTheme="minorEastAsia" w:hAnsiTheme="minorEastAsia" w:cs="Arial"/>
          <w:color w:val="000000" w:themeColor="text1"/>
          <w:szCs w:val="21"/>
        </w:rPr>
        <w:t>以基金管理人名义，代表基金份额持有人利益行使诉讼权利或者实施其他法律行为；</w:t>
      </w:r>
    </w:p>
    <w:p w:rsidR="005D5BC7" w:rsidRPr="00172454" w:rsidP="00150642">
      <w:pPr>
        <w:pStyle w:val="a"/>
        <w:snapToGrid w:val="0"/>
        <w:spacing w:line="360" w:lineRule="auto"/>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12、中国证监会</w:t>
      </w:r>
      <w:r w:rsidRPr="00172454">
        <w:rPr>
          <w:rFonts w:asciiTheme="minorEastAsia" w:eastAsiaTheme="minorEastAsia" w:hAnsiTheme="minorEastAsia" w:cs="Arial"/>
          <w:color w:val="000000" w:themeColor="text1"/>
          <w:szCs w:val="21"/>
        </w:rPr>
        <w:t>规定的其他职责。</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80" w:name="_Toc133292566"/>
      <w:bookmarkStart w:id="81" w:name="_Toc163189523"/>
      <w:bookmarkStart w:id="82" w:name="_Toc238024236"/>
      <w:bookmarkStart w:id="83" w:name="_Toc253577264"/>
      <w:bookmarkStart w:id="84" w:name="_Toc91766966"/>
      <w:r w:rsidRPr="00172454">
        <w:rPr>
          <w:rFonts w:asciiTheme="minorEastAsia" w:eastAsiaTheme="minorEastAsia" w:hAnsiTheme="minorEastAsia" w:hint="eastAsia"/>
          <w:b w:val="0"/>
          <w:bCs/>
          <w:color w:val="000000" w:themeColor="text1"/>
          <w:szCs w:val="21"/>
        </w:rPr>
        <w:t>（四）</w:t>
      </w:r>
      <w:r w:rsidRPr="00172454">
        <w:rPr>
          <w:rFonts w:asciiTheme="minorEastAsia" w:eastAsiaTheme="minorEastAsia" w:hAnsiTheme="minorEastAsia"/>
          <w:b w:val="0"/>
          <w:bCs/>
          <w:color w:val="000000" w:themeColor="text1"/>
          <w:szCs w:val="21"/>
        </w:rPr>
        <w:t>基金管理人的承诺</w:t>
      </w:r>
      <w:bookmarkEnd w:id="80"/>
      <w:bookmarkEnd w:id="81"/>
      <w:bookmarkEnd w:id="82"/>
      <w:bookmarkEnd w:id="83"/>
      <w:bookmarkEnd w:id="84"/>
    </w:p>
    <w:p w:rsidR="005D5BC7" w:rsidRPr="00172454" w:rsidP="00150642">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w:t>
      </w:r>
      <w:r w:rsidRPr="00172454" w:rsidR="001E55A5">
        <w:rPr>
          <w:rFonts w:asciiTheme="minorEastAsia" w:eastAsiaTheme="minorEastAsia" w:hAnsiTheme="minorEastAsia" w:hint="eastAsia"/>
          <w:color w:val="000000" w:themeColor="text1"/>
          <w:kern w:val="0"/>
          <w:szCs w:val="21"/>
        </w:rPr>
        <w:t>、</w:t>
      </w:r>
      <w:r w:rsidRPr="00172454">
        <w:rPr>
          <w:rFonts w:asciiTheme="minorEastAsia" w:eastAsiaTheme="minorEastAsia" w:hAnsiTheme="minorEastAsia"/>
          <w:color w:val="000000" w:themeColor="text1"/>
        </w:rPr>
        <w:t>本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szCs w:val="21"/>
        </w:rPr>
        <w:t>2</w:t>
      </w:r>
      <w:r w:rsidRPr="00172454" w:rsidR="001E55A5">
        <w:rPr>
          <w:rFonts w:asciiTheme="minorEastAsia" w:eastAsiaTheme="minorEastAsia" w:hAnsiTheme="minorEastAsia" w:hint="eastAsia"/>
          <w:color w:val="000000" w:themeColor="text1"/>
          <w:kern w:val="0"/>
          <w:szCs w:val="21"/>
        </w:rPr>
        <w:t>、</w:t>
      </w:r>
      <w:r w:rsidRPr="00172454">
        <w:rPr>
          <w:rFonts w:asciiTheme="minorEastAsia" w:eastAsiaTheme="minorEastAsia" w:hAnsiTheme="minorEastAsia"/>
          <w:color w:val="000000" w:themeColor="text1"/>
        </w:rPr>
        <w:t>本</w:t>
      </w:r>
      <w:r w:rsidRPr="00172454">
        <w:rPr>
          <w:rFonts w:asciiTheme="minorEastAsia" w:eastAsiaTheme="minorEastAsia" w:hAnsiTheme="minorEastAsia" w:hint="eastAsia"/>
          <w:color w:val="000000" w:themeColor="text1"/>
        </w:rPr>
        <w:t>基金管理人承诺严格遵守《证券法》、《基金法》及有关法律法规，建立健全内部控</w:t>
      </w:r>
      <w:r w:rsidRPr="00172454">
        <w:rPr>
          <w:rFonts w:asciiTheme="minorEastAsia" w:eastAsiaTheme="minorEastAsia" w:hAnsiTheme="minorEastAsia"/>
          <w:color w:val="000000" w:themeColor="text1"/>
        </w:rPr>
        <w:t>制制度，采取有效措施，防止下列行为发生：</w:t>
      </w:r>
    </w:p>
    <w:p w:rsidR="005D5BC7"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将其固有财产或者他人财产混同于基金财产从事证券投资；</w:t>
      </w:r>
    </w:p>
    <w:p w:rsidR="005D5BC7"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不公平地对待其管理的不同基金财产；</w:t>
      </w:r>
    </w:p>
    <w:p w:rsidR="005D5BC7"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利用基金财产</w:t>
      </w:r>
      <w:r w:rsidRPr="00172454" w:rsidR="005D7F0A">
        <w:rPr>
          <w:rFonts w:asciiTheme="minorEastAsia" w:eastAsiaTheme="minorEastAsia" w:hAnsiTheme="minorEastAsia" w:hint="eastAsia"/>
          <w:color w:val="000000" w:themeColor="text1"/>
        </w:rPr>
        <w:t>或者职务之便</w:t>
      </w:r>
      <w:r w:rsidRPr="00172454">
        <w:rPr>
          <w:rFonts w:asciiTheme="minorEastAsia" w:eastAsiaTheme="minorEastAsia" w:hAnsiTheme="minorEastAsia"/>
          <w:color w:val="000000" w:themeColor="text1"/>
        </w:rPr>
        <w:t>为基金份额持有人以外的第三人谋取利益；</w:t>
      </w:r>
    </w:p>
    <w:p w:rsidR="005D5BC7"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向基金份额持有人违规承诺收益或者承担损失；</w:t>
      </w:r>
    </w:p>
    <w:p w:rsidR="005D7F0A"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侵占、挪用基金财产；</w:t>
      </w:r>
    </w:p>
    <w:p w:rsidR="005D7F0A"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泄露因职务便利获取的未公开信息、利用该信息从事或者明示、暗示他人从事相关的交易活动；</w:t>
      </w:r>
    </w:p>
    <w:p w:rsidR="005D7F0A"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玩忽职守，不按照规定履行职责；</w:t>
      </w:r>
    </w:p>
    <w:p w:rsidR="005D5BC7" w:rsidRPr="00172454" w:rsidP="00150642">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法律、行政法规和中国证监会规定禁止的其他行为。</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3</w:t>
      </w:r>
      <w:r w:rsidRPr="00172454" w:rsidR="001E55A5">
        <w:rPr>
          <w:rFonts w:asciiTheme="minorEastAsia" w:eastAsiaTheme="minorEastAsia" w:hAnsiTheme="minorEastAsia" w:hint="eastAsia"/>
          <w:color w:val="000000" w:themeColor="text1"/>
          <w:kern w:val="0"/>
          <w:szCs w:val="21"/>
        </w:rPr>
        <w:t>、</w:t>
      </w:r>
      <w:r w:rsidRPr="00172454">
        <w:rPr>
          <w:rFonts w:asciiTheme="minorEastAsia" w:eastAsiaTheme="minorEastAsia" w:hAnsiTheme="minorEastAsia"/>
          <w:color w:val="000000" w:themeColor="text1"/>
          <w:kern w:val="0"/>
          <w:szCs w:val="21"/>
        </w:rPr>
        <w:t>本基金管理人承诺加强人员管理，强化职业操守，督促和约束员工遵守有关法律法规及行业规范，诚实信用、勤勉尽责，不从事以下活动：</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（1）越权或违规经营；</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（2）违反基金合同或托管协议；</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（3）故意损害基金份额持有人或其他基金</w:t>
      </w:r>
      <w:r w:rsidRPr="00172454">
        <w:rPr>
          <w:rFonts w:asciiTheme="minorEastAsia" w:eastAsiaTheme="minorEastAsia" w:hAnsiTheme="minorEastAsia" w:hint="eastAsia"/>
          <w:color w:val="000000" w:themeColor="text1"/>
          <w:kern w:val="0"/>
          <w:szCs w:val="21"/>
        </w:rPr>
        <w:t>合同当事人</w:t>
      </w:r>
      <w:r w:rsidRPr="00172454">
        <w:rPr>
          <w:rFonts w:asciiTheme="minorEastAsia" w:eastAsiaTheme="minorEastAsia" w:hAnsiTheme="minorEastAsia"/>
          <w:color w:val="000000" w:themeColor="text1"/>
          <w:kern w:val="0"/>
          <w:szCs w:val="21"/>
        </w:rPr>
        <w:t>的合法利益；</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（4）在向中国证监会报送的资料中弄虚作假；</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（5）拒绝、干扰、阻挠或严重影响中国证监会依法监管；</w:t>
      </w:r>
    </w:p>
    <w:p w:rsidR="005D5BC7" w:rsidRPr="00172454" w:rsidP="00150642">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（6）玩忽职守、滥用职权；</w:t>
      </w:r>
    </w:p>
    <w:p w:rsidR="005D5BC7" w:rsidRPr="00172454" w:rsidP="00150642">
      <w:pPr>
        <w:tabs>
          <w:tab w:val="left" w:pos="851"/>
        </w:tabs>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（7）违反现行有效的有关法律法规、基金合同和中国证监会的有关规定，泄漏在任职期间知悉的有关证券、基金的商业秘密，尚未依法公开的基金投资内容、基金投资计划等信息；</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（8）违反证券交易场所业务规则，利用对敲、倒仓等手段操纵市场价格，扰乱市场秩序；</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（9）贬损同行，以抬高自己；</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（10）以不正当手段谋求业务发展；</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（11）有悖社会公德，损害证券投资基金人员形象；</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（12）在公开信息披露和广告中故意含有虚假、误导、欺诈成分；</w:t>
      </w:r>
    </w:p>
    <w:p w:rsidR="005D5BC7" w:rsidRPr="00172454" w:rsidP="00150642">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（13）其他法律、行政法规以及中国证监会禁止的行为。</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4</w:t>
      </w:r>
      <w:r w:rsidRPr="00172454" w:rsidR="001E55A5">
        <w:rPr>
          <w:rFonts w:asciiTheme="minorEastAsia" w:eastAsiaTheme="minorEastAsia" w:hAnsiTheme="minorEastAsia" w:hint="eastAsia"/>
          <w:color w:val="000000" w:themeColor="text1"/>
          <w:kern w:val="0"/>
          <w:szCs w:val="21"/>
        </w:rPr>
        <w:t>、</w:t>
      </w:r>
      <w:r w:rsidRPr="00172454">
        <w:rPr>
          <w:rFonts w:asciiTheme="minorEastAsia" w:eastAsiaTheme="minorEastAsia" w:hAnsiTheme="minorEastAsia"/>
          <w:color w:val="000000" w:themeColor="text1"/>
          <w:kern w:val="0"/>
          <w:szCs w:val="21"/>
        </w:rPr>
        <w:t>基金经理承诺</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（1）依照有关法律法规和基金合同的规定，本着谨慎的原则为基金份额持有人谋取最大利益；</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kern w:val="0"/>
          <w:szCs w:val="21"/>
        </w:rPr>
        <w:t>（2）不利用职务之便为自己及其代理人、受雇人或任何第三人谋取利益；</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172454">
        <w:rPr>
          <w:rFonts w:asciiTheme="minorEastAsia" w:eastAsiaTheme="minorEastAsia" w:hAnsiTheme="minorEastAsia"/>
          <w:color w:val="000000" w:themeColor="text1"/>
          <w:kern w:val="0"/>
        </w:rPr>
        <w:t>（3）不</w:t>
      </w:r>
      <w:r w:rsidRPr="00172454">
        <w:rPr>
          <w:rFonts w:asciiTheme="minorEastAsia" w:eastAsiaTheme="minorEastAsia" w:hAnsiTheme="minorEastAsia"/>
          <w:color w:val="000000" w:themeColor="text1"/>
          <w:kern w:val="0"/>
          <w:szCs w:val="21"/>
        </w:rPr>
        <w:t>违反现行有效的有关法律法规、基金合同和中国证监会的有关规定，</w:t>
      </w:r>
      <w:r w:rsidRPr="00172454">
        <w:rPr>
          <w:rFonts w:asciiTheme="minorEastAsia" w:eastAsiaTheme="minorEastAsia" w:hAnsiTheme="minorEastAsia"/>
          <w:color w:val="000000" w:themeColor="text1"/>
          <w:kern w:val="0"/>
        </w:rPr>
        <w:t>泄漏在任职期间知悉的有关证券、基金的商业秘密、尚未依法公开的基金投资内容、基金投资计划等信息；</w:t>
      </w:r>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172454">
        <w:rPr>
          <w:rFonts w:asciiTheme="minorEastAsia" w:eastAsiaTheme="minorEastAsia" w:hAnsiTheme="minorEastAsia"/>
          <w:color w:val="000000" w:themeColor="text1"/>
          <w:kern w:val="0"/>
        </w:rPr>
        <w:t>（4）不从事损害基金财产和基金份额持有人利益的证券交易及其他活动。</w:t>
      </w:r>
    </w:p>
    <w:p w:rsidR="005D5BC7" w:rsidRPr="00172454" w:rsidP="00F07B7D">
      <w:pPr>
        <w:pStyle w:val="Heading2"/>
        <w:snapToGrid w:val="0"/>
        <w:spacing w:beforeLines="0" w:afterLines="0" w:line="360" w:lineRule="auto"/>
        <w:ind w:firstLine="0" w:firstLineChars="0"/>
        <w:rPr>
          <w:rStyle w:val="da"/>
          <w:rFonts w:asciiTheme="minorEastAsia" w:eastAsiaTheme="minorEastAsia" w:hAnsiTheme="minorEastAsia"/>
          <w:color w:val="000000" w:themeColor="text1"/>
          <w:sz w:val="21"/>
        </w:rPr>
      </w:pPr>
      <w:bookmarkStart w:id="85" w:name="_Toc133292567"/>
      <w:bookmarkStart w:id="86" w:name="_Toc163189524"/>
      <w:bookmarkStart w:id="87" w:name="_Toc238024237"/>
      <w:bookmarkStart w:id="88" w:name="_Toc253577265"/>
      <w:bookmarkStart w:id="89" w:name="_Toc91766967"/>
      <w:r w:rsidRPr="00172454">
        <w:rPr>
          <w:rFonts w:asciiTheme="minorEastAsia" w:eastAsiaTheme="minorEastAsia" w:hAnsiTheme="minorEastAsia" w:hint="eastAsia"/>
          <w:b w:val="0"/>
          <w:bCs/>
          <w:color w:val="000000" w:themeColor="text1"/>
          <w:szCs w:val="21"/>
        </w:rPr>
        <w:t>（五）</w:t>
      </w:r>
      <w:r w:rsidRPr="00172454">
        <w:rPr>
          <w:rFonts w:asciiTheme="minorEastAsia" w:eastAsiaTheme="minorEastAsia" w:hAnsiTheme="minorEastAsia"/>
          <w:b w:val="0"/>
          <w:bCs/>
          <w:color w:val="000000" w:themeColor="text1"/>
          <w:szCs w:val="21"/>
        </w:rPr>
        <w:t>基金管理人的内部控制制度</w:t>
      </w:r>
      <w:bookmarkEnd w:id="85"/>
      <w:bookmarkEnd w:id="86"/>
      <w:bookmarkEnd w:id="87"/>
      <w:bookmarkEnd w:id="88"/>
      <w:bookmarkEnd w:id="89"/>
    </w:p>
    <w:p w:rsidR="005D5BC7" w:rsidRPr="00172454" w:rsidP="00150642">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1、公司内部控制的总体目标</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（1）保证公司经营管理活动的合法合规性；</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（2）保证各类基金份额持有人及委托人的合法权益不受侵犯；</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（4）督促公司全体员工恪守职业操守，正直诚信，廉洁自律，勤勉尽责；</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（5）维护公司的声誉，保持公司的良好形象。</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2、公司内部控制遵循的原则</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（2）有效性原则。通过科学的内控手段和方法，建立合理的内控程序，维护内控制度的有效执行。</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（4）相互制约原则。公司内部部门和岗位的设置应当体现权责分明、相互制衡。</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3、内部控制的制度体系</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4、关于授权、研究、投资、交易等方面的控制点</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（1）授权制度</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（2）公司研究业务</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（3）基金投资业务</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（4）交易业务</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（5）基金会计核算</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（6）信息披露</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（7）监察与合规管理</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5、基金管理人关于内部控制制度声明书</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（1）本公司承诺以上关于内部控制制度的披露真实、准确；</w:t>
      </w:r>
    </w:p>
    <w:p w:rsidR="005D5BC7" w:rsidRPr="00172454" w:rsidP="009277E2">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sectPr w:rsidSect="00634CA1">
          <w:pgSz w:w="11907" w:h="16840" w:code="9"/>
          <w:pgMar w:top="1440" w:right="1800" w:bottom="1440" w:left="1800" w:header="1134" w:footer="1247" w:gutter="0"/>
          <w:pgNumType w:start="1"/>
          <w:cols w:space="425"/>
          <w:docGrid w:type="lines" w:linePitch="312"/>
        </w:sectPr>
      </w:pPr>
      <w:r w:rsidRPr="00172454">
        <w:rPr>
          <w:rFonts w:asciiTheme="minorEastAsia" w:eastAsiaTheme="minorEastAsia" w:hAnsiTheme="minorEastAsia" w:hint="eastAsia"/>
          <w:color w:val="000000" w:themeColor="text1"/>
          <w:szCs w:val="21"/>
        </w:rPr>
        <w:t>（2）本公司承诺根据市场变化和公司业务发展不断完善内部控制制度。</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90" w:name="_Toc91766968"/>
      <w:r w:rsidRPr="00172454">
        <w:rPr>
          <w:rFonts w:asciiTheme="minorEastAsia" w:eastAsiaTheme="minorEastAsia" w:hAnsiTheme="minorEastAsia" w:hint="eastAsia"/>
          <w:bCs/>
          <w:color w:val="000000" w:themeColor="text1"/>
        </w:rPr>
        <w:t>四、基金托管人</w:t>
      </w:r>
      <w:bookmarkEnd w:id="90"/>
    </w:p>
    <w:p w:rsidR="00D83048" w:rsidRPr="006603DD" w:rsidP="006603DD">
      <w:pPr>
        <w:spacing w:line="360" w:lineRule="auto"/>
        <w:ind w:firstLine="420"/>
        <w:rPr>
          <w:rFonts w:asciiTheme="minorEastAsia" w:eastAsiaTheme="minorEastAsia" w:hAnsiTheme="minorEastAsia"/>
          <w:color w:val="000000" w:themeColor="text1"/>
        </w:rPr>
      </w:pPr>
      <w:r w:rsidRPr="006603DD">
        <w:rPr>
          <w:rFonts w:asciiTheme="minorEastAsia" w:eastAsiaTheme="minorEastAsia" w:hAnsiTheme="minorEastAsia" w:hint="eastAsia"/>
          <w:color w:val="000000" w:themeColor="text1"/>
        </w:rPr>
        <w:t xml:space="preserve">（一）基金托管人基本情况 </w:t>
      </w:r>
    </w:p>
    <w:p w:rsidR="00D83048" w:rsidRPr="006603DD" w:rsidP="006603DD">
      <w:pPr>
        <w:spacing w:line="360" w:lineRule="auto"/>
        <w:ind w:firstLine="420"/>
        <w:rPr>
          <w:rFonts w:asciiTheme="minorEastAsia" w:eastAsiaTheme="minorEastAsia" w:hAnsiTheme="minorEastAsia"/>
          <w:color w:val="000000" w:themeColor="text1"/>
        </w:rPr>
      </w:pPr>
      <w:r w:rsidRPr="006603DD">
        <w:rPr>
          <w:rFonts w:asciiTheme="minorEastAsia" w:eastAsiaTheme="minorEastAsia" w:hAnsiTheme="minorEastAsia" w:hint="eastAsia"/>
          <w:color w:val="000000" w:themeColor="text1"/>
        </w:rPr>
        <w:t>名称：中国工商银行股份有限公司</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注册地址：北京市西城区复兴门内大街55号</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成立时间：</w:t>
      </w:r>
      <w:r w:rsidRPr="00172454" w:rsidR="00731B05">
        <w:rPr>
          <w:rFonts w:asciiTheme="minorEastAsia" w:eastAsiaTheme="minorEastAsia" w:hAnsiTheme="minorEastAsia"/>
          <w:color w:val="000000" w:themeColor="text1"/>
        </w:rPr>
        <w:t>198</w:t>
      </w:r>
      <w:r w:rsidRPr="00172454" w:rsidR="00731B05">
        <w:rPr>
          <w:rFonts w:asciiTheme="minorEastAsia" w:eastAsiaTheme="minorEastAsia" w:hAnsiTheme="minorEastAsia" w:hint="eastAsia"/>
          <w:color w:val="000000" w:themeColor="text1"/>
        </w:rPr>
        <w:t>4</w:t>
      </w:r>
      <w:r w:rsidRPr="00172454" w:rsidR="00731B05">
        <w:rPr>
          <w:rFonts w:asciiTheme="minorEastAsia" w:eastAsiaTheme="minorEastAsia" w:hAnsiTheme="minorEastAsia"/>
          <w:color w:val="000000" w:themeColor="text1"/>
        </w:rPr>
        <w:t>年</w:t>
      </w:r>
      <w:r w:rsidRPr="00172454" w:rsidR="00731B05">
        <w:rPr>
          <w:rFonts w:asciiTheme="minorEastAsia" w:eastAsiaTheme="minorEastAsia" w:hAnsiTheme="minorEastAsia" w:hint="eastAsia"/>
          <w:color w:val="000000" w:themeColor="text1"/>
        </w:rPr>
        <w:t>1</w:t>
      </w:r>
      <w:r w:rsidRPr="00172454" w:rsidR="00731B05">
        <w:rPr>
          <w:rFonts w:asciiTheme="minorEastAsia" w:eastAsiaTheme="minorEastAsia" w:hAnsiTheme="minorEastAsia"/>
          <w:color w:val="000000" w:themeColor="text1"/>
        </w:rPr>
        <w:t>月</w:t>
      </w:r>
      <w:r w:rsidRPr="00172454" w:rsidR="00731B05">
        <w:rPr>
          <w:rFonts w:asciiTheme="minorEastAsia" w:eastAsiaTheme="minorEastAsia" w:hAnsiTheme="minorEastAsia" w:hint="eastAsia"/>
          <w:color w:val="000000" w:themeColor="text1"/>
        </w:rPr>
        <w:t>1</w:t>
      </w:r>
      <w:r w:rsidRPr="00172454" w:rsidR="00731B05">
        <w:rPr>
          <w:rFonts w:asciiTheme="minorEastAsia" w:eastAsiaTheme="minorEastAsia" w:hAnsiTheme="minorEastAsia"/>
          <w:color w:val="000000" w:themeColor="text1"/>
        </w:rPr>
        <w:t>日</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法定代表人：</w:t>
      </w:r>
      <w:r w:rsidRPr="00172454" w:rsidR="007B082E">
        <w:rPr>
          <w:rFonts w:asciiTheme="minorEastAsia" w:eastAsiaTheme="minorEastAsia" w:hAnsiTheme="minorEastAsia" w:hint="eastAsia"/>
          <w:color w:val="000000" w:themeColor="text1"/>
        </w:rPr>
        <w:t>陈四清</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注册资本：</w:t>
      </w:r>
      <w:r w:rsidRPr="00172454" w:rsidR="008864C4">
        <w:rPr>
          <w:rFonts w:asciiTheme="minorEastAsia" w:eastAsiaTheme="minorEastAsia" w:hAnsiTheme="minorEastAsia" w:hint="eastAsia"/>
          <w:color w:val="000000" w:themeColor="text1"/>
        </w:rPr>
        <w:t>人民币35,640,625.7089万元</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联系电话：010-66105799</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联系人：郭明</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（二）主要人员情况</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截至2021年6月，中国工商银行资产托管部共有员工214人，平均年龄34岁，95%以上员工拥有大学本科以上学历，高管人员均拥有研究生以上学历或高级技术职称</w:t>
      </w:r>
      <w:r w:rsidRPr="00172454" w:rsidR="00125366">
        <w:rPr>
          <w:rFonts w:asciiTheme="minorEastAsia" w:eastAsiaTheme="minorEastAsia" w:hAnsiTheme="minorEastAsia" w:hint="eastAsia"/>
          <w:color w:val="000000" w:themeColor="text1"/>
        </w:rPr>
        <w:t>。</w:t>
      </w:r>
    </w:p>
    <w:p w:rsidR="00D83048"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（三）基金托管业务经营情况</w:t>
      </w:r>
    </w:p>
    <w:p w:rsidR="00AD0AAE"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r w:rsidRPr="00172454" w:rsidR="00125366">
        <w:rPr>
          <w:rFonts w:asciiTheme="minorEastAsia" w:eastAsiaTheme="minorEastAsia" w:hAnsiTheme="minorEastAsia"/>
          <w:color w:val="000000" w:themeColor="text1"/>
        </w:rPr>
        <w:t>。</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（四）基金托管人的内部控制制度</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172454" w:rsidR="00040DAE">
        <w:rPr>
          <w:rFonts w:asciiTheme="minorEastAsia" w:eastAsiaTheme="minorEastAsia" w:hAnsiTheme="minorEastAsia" w:hint="eastAsia"/>
          <w:color w:val="000000" w:themeColor="text1"/>
        </w:rPr>
        <w:t>十四</w:t>
      </w:r>
      <w:r w:rsidRPr="00172454">
        <w:rPr>
          <w:rFonts w:asciiTheme="minorEastAsia" w:eastAsiaTheme="minorEastAsia" w:hAnsiTheme="minorEastAsia" w:hint="eastAsia"/>
          <w:color w:val="000000" w:themeColor="text1"/>
        </w:rPr>
        <w:t>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Pr="00172454" w:rsidR="00DD2F95">
        <w:rPr>
          <w:rFonts w:asciiTheme="minorEastAsia" w:eastAsiaTheme="minorEastAsia" w:hAnsiTheme="minorEastAsia" w:hint="eastAsia"/>
          <w:color w:val="000000" w:themeColor="text1"/>
        </w:rPr>
        <w:t>审阅已经成为年度化、常规化的内控工作手段。</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1、内部风险控制目标</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2、内部风险控制组织结构</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3、内部风险控制原则</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（1）合法性原则。内控制度应当符合国家法律法规及监管机构的监管要求，并贯穿于托管业务经营管理活动的始终。</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（2）完整性原则。托管业务的各项经营管理活动都必须有相应的规范程序和监督制约；监督制约应渗透到托管业务的全过程和各个操作环节，覆盖所有的部门、岗位和人员。</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（3）及时性原则。托管业务经营活动必须在发生时能准确及时地记录；按照“内控优先”的原则，新设机构或新增业务品种时，必须做到已建立相关的规章制度。</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（4）审慎性原则。各项业务经营活动必须防范风险，审慎经营，保证基金资产和其他委托资产的安全与完整。</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（5）有效性原则。内控制度应根据国家政策、法律及经营管理的需要适时修改完善，并保证得到全面落实执行，不得有任何空间、时限及人员的例外。</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（6）独立性原则。设立专门履行托管人职责的管理部门；直接操作人员和控制人员必须相对独立，适当分离；内控制度的检查、评价部门必须独立于内控制度的制定和执行部门。</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4、内部风险控制措施实施</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（4）经营控制。资产托管部通过制定计划、编制预算等方法开展各种业务营销活动、处理各项事务，从而有效地控制和配置组织资源，达到资源利用和效益最大化目的。</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（6）数据安全控制。我们通过业务操作区相对独立、数据和传真加密、数据传输线路的冗余备份、监控设施的运用和保障等措施来保障数据安全。</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5、资产托管部内部风险控制情况</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（1）资产托管部内部设置专职稽核监察部门，配备专职稽核监察人员，在总经理的直接领导下，依照有关法律规章，全面贯彻落实全程监控思想，确保资产托管业务健康、稳定地发展。</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（五）基金托管人对基金管理人运作基金进行监督的方法和程序</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172454" w:rsidP="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172454" w:rsidP="00172454">
      <w:pPr>
        <w:spacing w:line="360" w:lineRule="auto"/>
        <w:ind w:firstLine="420"/>
        <w:rPr>
          <w:rFonts w:asciiTheme="minorEastAsia" w:eastAsiaTheme="minorEastAsia" w:hAnsiTheme="minorEastAsia"/>
          <w:color w:val="000000" w:themeColor="text1"/>
          <w:spacing w:val="6"/>
        </w:rPr>
      </w:pPr>
      <w:r w:rsidRPr="00172454">
        <w:rPr>
          <w:rFonts w:asciiTheme="minorEastAsia" w:eastAsiaTheme="minorEastAsia" w:hAnsiTheme="minorEastAsia" w:hint="eastAsia"/>
          <w:color w:val="000000" w:themeColor="text1"/>
        </w:rPr>
        <w:t>基金托管人发现基金管理人有重大违规行为，应立即报告中国证监会，同时通知基金管理人限期纠正。</w:t>
      </w:r>
      <w:r w:rsidRPr="00172454">
        <w:rPr>
          <w:rFonts w:asciiTheme="minorEastAsia" w:eastAsiaTheme="minorEastAsia" w:hAnsiTheme="minorEastAsia" w:hint="eastAsia"/>
          <w:color w:val="000000" w:themeColor="text1"/>
          <w:spacing w:val="6"/>
        </w:rPr>
        <w:br w:type="page"/>
      </w:r>
    </w:p>
    <w:p w:rsidR="005D5BC7" w:rsidRPr="00172454" w:rsidP="00F07B7D">
      <w:pPr>
        <w:pStyle w:val="111"/>
        <w:snapToGrid w:val="0"/>
        <w:spacing w:beforeLines="0" w:afterLines="0" w:line="360" w:lineRule="auto"/>
        <w:ind w:firstLine="0" w:firstLineChars="0"/>
        <w:rPr>
          <w:rFonts w:asciiTheme="minorEastAsia" w:eastAsiaTheme="minorEastAsia" w:hAnsiTheme="minorEastAsia"/>
          <w:b/>
          <w:color w:val="000000" w:themeColor="text1"/>
          <w:szCs w:val="32"/>
        </w:rPr>
      </w:pPr>
      <w:bookmarkStart w:id="91" w:name="_Toc91766969"/>
      <w:r w:rsidRPr="00172454">
        <w:rPr>
          <w:rFonts w:asciiTheme="minorEastAsia" w:eastAsiaTheme="minorEastAsia" w:hAnsiTheme="minorEastAsia" w:hint="eastAsia"/>
          <w:color w:val="000000" w:themeColor="text1"/>
          <w:szCs w:val="21"/>
        </w:rPr>
        <w:t>五、相关服务机构</w:t>
      </w:r>
      <w:bookmarkEnd w:id="91"/>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92" w:name="_Toc238024245"/>
      <w:bookmarkStart w:id="93" w:name="_Toc253577273"/>
      <w:bookmarkStart w:id="94" w:name="_Toc91766970"/>
      <w:r w:rsidRPr="00172454">
        <w:rPr>
          <w:rFonts w:asciiTheme="minorEastAsia" w:eastAsiaTheme="minorEastAsia" w:hAnsiTheme="minorEastAsia" w:hint="eastAsia"/>
          <w:b w:val="0"/>
          <w:bCs/>
          <w:color w:val="000000" w:themeColor="text1"/>
          <w:szCs w:val="21"/>
        </w:rPr>
        <w:t>（一）基金份额</w:t>
      </w:r>
      <w:r w:rsidRPr="00172454" w:rsidR="005C57A5">
        <w:rPr>
          <w:rFonts w:asciiTheme="minorEastAsia" w:eastAsiaTheme="minorEastAsia" w:hAnsiTheme="minorEastAsia" w:hint="eastAsia"/>
          <w:b w:val="0"/>
          <w:bCs/>
          <w:color w:val="000000" w:themeColor="text1"/>
          <w:szCs w:val="21"/>
        </w:rPr>
        <w:t>销售</w:t>
      </w:r>
      <w:r w:rsidRPr="00172454">
        <w:rPr>
          <w:rFonts w:asciiTheme="minorEastAsia" w:eastAsiaTheme="minorEastAsia" w:hAnsiTheme="minorEastAsia" w:hint="eastAsia"/>
          <w:b w:val="0"/>
          <w:bCs/>
          <w:color w:val="000000" w:themeColor="text1"/>
          <w:szCs w:val="21"/>
        </w:rPr>
        <w:t>机构</w:t>
      </w:r>
      <w:bookmarkEnd w:id="92"/>
      <w:bookmarkEnd w:id="93"/>
      <w:bookmarkEnd w:id="9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sidR="00B105C3">
        <w:rPr>
          <w:rFonts w:asciiTheme="minorEastAsia" w:eastAsiaTheme="minorEastAsia" w:hAnsiTheme="minorEastAsia" w:hint="eastAsia"/>
          <w:color w:val="000000" w:themeColor="text1"/>
          <w:szCs w:val="21"/>
        </w:rPr>
        <w:t>场内</w:t>
      </w:r>
      <w:r w:rsidRPr="00172454">
        <w:rPr>
          <w:rFonts w:asciiTheme="minorEastAsia" w:eastAsiaTheme="minorEastAsia" w:hAnsiTheme="minorEastAsia" w:hint="eastAsia"/>
          <w:color w:val="000000" w:themeColor="text1"/>
          <w:szCs w:val="21"/>
        </w:rPr>
        <w:t>申购、赎回代办证券公司</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本基金场内申购、赎回代办证券公司信息详见基金管理人网站公示。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2、二级市场交易代办证券公司</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投资者在上海证券交易所各会员单位证券营业部均可参与基金二级市场交易。</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 xml:space="preserve">场外份额销售机构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直销机构：易方达基金管理有限公司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注册地址：</w:t>
      </w:r>
      <w:r w:rsidRPr="00172454" w:rsidR="008A4FAE">
        <w:rPr>
          <w:rFonts w:asciiTheme="minorEastAsia" w:eastAsiaTheme="minorEastAsia" w:hAnsiTheme="minorEastAsia" w:hint="eastAsia"/>
          <w:color w:val="000000" w:themeColor="text1"/>
          <w:szCs w:val="21"/>
        </w:rPr>
        <w:t>广东省珠海市横琴新区宝华路6号105室－42891（集中办公区）</w:t>
      </w:r>
      <w:r w:rsidRPr="00172454">
        <w:rPr>
          <w:rFonts w:asciiTheme="minorEastAsia" w:eastAsiaTheme="minorEastAsia" w:hAnsiTheme="minorEastAsia" w:hint="eastAsia"/>
          <w:color w:val="000000" w:themeColor="text1"/>
          <w:szCs w:val="21"/>
        </w:rPr>
        <w:t xml:space="preserve">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办公地址：广州市天河区珠江新城珠江东路30号广州银行大厦40-43楼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法定代表人：</w:t>
      </w:r>
      <w:r w:rsidRPr="00172454" w:rsidR="00956795">
        <w:rPr>
          <w:rFonts w:asciiTheme="minorEastAsia" w:eastAsiaTheme="minorEastAsia" w:hAnsiTheme="minorEastAsia" w:hint="eastAsia"/>
          <w:color w:val="000000" w:themeColor="text1"/>
          <w:szCs w:val="21"/>
        </w:rPr>
        <w:t>刘晓艳</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电话：020-85102506</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传真：4008818099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rPr>
        <w:t>联系人：梁美</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网址：www.efunds.com.cn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直销机构网点信息：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rPr>
        <w:t xml:space="preserve">（1）易方达基金管理有限公司直销中心 </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办公地址：广州市天河区珠江新城珠江东路30号广州银行大厦40楼 </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电话：020-85102506</w:t>
      </w:r>
    </w:p>
    <w:p w:rsidR="0050161B" w:rsidRPr="00172454">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传真：4008818099</w:t>
      </w:r>
    </w:p>
    <w:p w:rsidR="003D7B1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rPr>
        <w:t>联系人：梁美</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5" w:name="_Toc238024246"/>
      <w:bookmarkStart w:id="96" w:name="_Toc253577274"/>
      <w:bookmarkStart w:id="97" w:name="_Toc91766971"/>
      <w:bookmarkStart w:id="98" w:name="_Toc38432429"/>
      <w:r w:rsidRPr="00172454">
        <w:rPr>
          <w:rFonts w:asciiTheme="minorEastAsia" w:eastAsiaTheme="minorEastAsia" w:hAnsiTheme="minorEastAsia" w:hint="eastAsia"/>
          <w:b w:val="0"/>
          <w:bCs/>
          <w:color w:val="000000" w:themeColor="text1"/>
          <w:szCs w:val="21"/>
        </w:rPr>
        <w:t>（二）</w:t>
      </w:r>
      <w:r w:rsidRPr="00172454">
        <w:rPr>
          <w:rFonts w:asciiTheme="minorEastAsia" w:eastAsiaTheme="minorEastAsia" w:hAnsiTheme="minorEastAsia"/>
          <w:b w:val="0"/>
          <w:bCs/>
          <w:color w:val="000000" w:themeColor="text1"/>
        </w:rPr>
        <w:t>登记结算机构</w:t>
      </w:r>
      <w:bookmarkEnd w:id="95"/>
      <w:bookmarkEnd w:id="96"/>
      <w:bookmarkEnd w:id="97"/>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99" w:name="_Toc238024247"/>
      <w:bookmarkStart w:id="100" w:name="_Toc253577275"/>
      <w:r w:rsidRPr="00172454">
        <w:rPr>
          <w:rFonts w:asciiTheme="minorEastAsia" w:eastAsiaTheme="minorEastAsia" w:hAnsiTheme="minorEastAsia" w:hint="eastAsia"/>
          <w:color w:val="000000" w:themeColor="text1"/>
          <w:szCs w:val="21"/>
        </w:rPr>
        <w:t>1、场内份额登记结算机构</w:t>
      </w:r>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名称：中国证券登记结算有限责任公司</w:t>
      </w:r>
      <w:bookmarkEnd w:id="99"/>
      <w:bookmarkEnd w:id="100"/>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01" w:name="_Toc238024248"/>
      <w:bookmarkStart w:id="102" w:name="_Toc253577276"/>
      <w:r w:rsidRPr="00172454">
        <w:rPr>
          <w:rFonts w:asciiTheme="minorEastAsia" w:eastAsiaTheme="minorEastAsia" w:hAnsiTheme="minorEastAsia"/>
          <w:color w:val="000000" w:themeColor="text1"/>
        </w:rPr>
        <w:t>地址：</w:t>
      </w:r>
      <w:r w:rsidRPr="00172454" w:rsidR="005D5BC7">
        <w:rPr>
          <w:rFonts w:asciiTheme="minorEastAsia" w:eastAsiaTheme="minorEastAsia" w:hAnsiTheme="minorEastAsia"/>
          <w:color w:val="000000" w:themeColor="text1"/>
          <w:szCs w:val="21"/>
        </w:rPr>
        <w:t>北京</w:t>
      </w:r>
      <w:r w:rsidRPr="00172454">
        <w:rPr>
          <w:rFonts w:asciiTheme="minorEastAsia" w:eastAsiaTheme="minorEastAsia" w:hAnsiTheme="minorEastAsia"/>
          <w:color w:val="000000" w:themeColor="text1"/>
        </w:rPr>
        <w:t>市西城区太平桥大街17号</w:t>
      </w:r>
      <w:bookmarkEnd w:id="101"/>
      <w:bookmarkEnd w:id="102"/>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法定代表人：于文强</w:t>
      </w:r>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03" w:name="_Toc238024250"/>
      <w:bookmarkStart w:id="104" w:name="_Toc253577278"/>
      <w:r w:rsidRPr="00172454">
        <w:rPr>
          <w:rFonts w:asciiTheme="minorEastAsia" w:eastAsiaTheme="minorEastAsia" w:hAnsiTheme="minorEastAsia"/>
          <w:color w:val="000000" w:themeColor="text1"/>
        </w:rPr>
        <w:t>联系人：</w:t>
      </w:r>
      <w:r w:rsidRPr="00172454" w:rsidR="005D5BC7">
        <w:rPr>
          <w:rFonts w:asciiTheme="minorEastAsia" w:eastAsiaTheme="minorEastAsia" w:hAnsiTheme="minorEastAsia"/>
          <w:color w:val="000000" w:themeColor="text1"/>
          <w:szCs w:val="21"/>
        </w:rPr>
        <w:t>郑奕莉</w:t>
      </w:r>
      <w:bookmarkEnd w:id="103"/>
      <w:bookmarkEnd w:id="104"/>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05" w:name="_Toc238024251"/>
      <w:bookmarkStart w:id="106" w:name="_Toc253577279"/>
      <w:r w:rsidRPr="00172454">
        <w:rPr>
          <w:rFonts w:asciiTheme="minorEastAsia" w:eastAsiaTheme="minorEastAsia" w:hAnsiTheme="minorEastAsia"/>
          <w:color w:val="000000" w:themeColor="text1"/>
        </w:rPr>
        <w:t>联系电话：</w:t>
      </w:r>
      <w:r w:rsidRPr="00172454">
        <w:rPr>
          <w:rFonts w:asciiTheme="minorEastAsia" w:eastAsiaTheme="minorEastAsia" w:hAnsiTheme="minorEastAsia" w:hint="eastAsia"/>
          <w:color w:val="000000" w:themeColor="text1"/>
        </w:rPr>
        <w:t>（</w:t>
      </w:r>
      <w:r w:rsidRPr="00172454">
        <w:rPr>
          <w:rFonts w:asciiTheme="minorEastAsia" w:eastAsiaTheme="minorEastAsia" w:hAnsiTheme="minorEastAsia"/>
          <w:color w:val="000000" w:themeColor="text1"/>
        </w:rPr>
        <w:t>021</w:t>
      </w:r>
      <w:r w:rsidRPr="00172454">
        <w:rPr>
          <w:rFonts w:asciiTheme="minorEastAsia" w:eastAsiaTheme="minorEastAsia" w:hAnsiTheme="minorEastAsia" w:hint="eastAsia"/>
          <w:color w:val="000000" w:themeColor="text1"/>
        </w:rPr>
        <w:t>）</w:t>
      </w:r>
      <w:r w:rsidRPr="00172454" w:rsidR="005D5BC7">
        <w:rPr>
          <w:rFonts w:asciiTheme="minorEastAsia" w:eastAsiaTheme="minorEastAsia" w:hAnsiTheme="minorEastAsia"/>
          <w:color w:val="000000" w:themeColor="text1"/>
          <w:szCs w:val="21"/>
        </w:rPr>
        <w:t>58872935</w:t>
      </w:r>
      <w:bookmarkEnd w:id="105"/>
      <w:bookmarkEnd w:id="106"/>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传真：（021）68870311</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2、场外份额登记结算机构</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名称：易方达基金管理有限公司</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注册地址：</w:t>
      </w:r>
      <w:r w:rsidRPr="00172454" w:rsidR="008A4FAE">
        <w:rPr>
          <w:rFonts w:asciiTheme="minorEastAsia" w:eastAsiaTheme="minorEastAsia" w:hAnsiTheme="minorEastAsia" w:hint="eastAsia"/>
          <w:color w:val="000000" w:themeColor="text1"/>
          <w:szCs w:val="21"/>
        </w:rPr>
        <w:t>广东省珠海市横琴新区宝华路6号105室－42891（集中办公区）</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办公地址：广州市天河区珠江新城珠江东路30号广州银行大厦40-43楼</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法定代表人：</w:t>
      </w:r>
      <w:r w:rsidRPr="00172454" w:rsidR="00680708">
        <w:rPr>
          <w:rFonts w:asciiTheme="minorEastAsia" w:eastAsiaTheme="minorEastAsia" w:hAnsiTheme="minorEastAsia" w:hint="eastAsia"/>
          <w:color w:val="000000" w:themeColor="text1"/>
          <w:szCs w:val="21"/>
        </w:rPr>
        <w:t>刘晓艳</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成立时间：</w:t>
      </w:r>
      <w:smartTag w:uri="urn:schemas-microsoft-com:office:smarttags" w:element="chsdate">
        <w:smartTagPr>
          <w:attr w:name="Day" w:val="17"/>
          <w:attr w:name="IsLunarDate" w:val="False"/>
          <w:attr w:name="IsROCDate" w:val="False"/>
          <w:attr w:name="Month" w:val="4"/>
          <w:attr w:name="Year" w:val="2001"/>
        </w:smartTagPr>
        <w:r w:rsidRPr="00172454">
          <w:rPr>
            <w:rFonts w:asciiTheme="minorEastAsia" w:eastAsiaTheme="minorEastAsia" w:hAnsiTheme="minorEastAsia" w:hint="eastAsia"/>
            <w:color w:val="000000" w:themeColor="text1"/>
            <w:szCs w:val="21"/>
          </w:rPr>
          <w:t>2001年4月17日</w:t>
        </w:r>
      </w:smartTag>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客户服务电话：400 881 8088（免长途话费）</w:t>
      </w:r>
    </w:p>
    <w:p w:rsidR="00BF21B4" w:rsidRPr="00172454" w:rsidP="0015064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传真：（020）38799249</w:t>
      </w:r>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szCs w:val="21"/>
        </w:rPr>
        <w:t>联系人：余贤高</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07" w:name="_Toc238024253"/>
      <w:bookmarkStart w:id="108" w:name="_Toc253577281"/>
      <w:bookmarkStart w:id="109" w:name="_Toc91766972"/>
      <w:r w:rsidRPr="00172454">
        <w:rPr>
          <w:rFonts w:asciiTheme="minorEastAsia" w:eastAsiaTheme="minorEastAsia" w:hAnsiTheme="minorEastAsia" w:hint="eastAsia"/>
          <w:b w:val="0"/>
          <w:bCs/>
          <w:color w:val="000000" w:themeColor="text1"/>
        </w:rPr>
        <w:t>（三）</w:t>
      </w:r>
      <w:r w:rsidRPr="00172454">
        <w:rPr>
          <w:rFonts w:asciiTheme="minorEastAsia" w:eastAsiaTheme="minorEastAsia" w:hAnsiTheme="minorEastAsia"/>
          <w:b w:val="0"/>
          <w:bCs/>
          <w:color w:val="000000" w:themeColor="text1"/>
        </w:rPr>
        <w:t>律师事务所和经办律师</w:t>
      </w:r>
      <w:bookmarkEnd w:id="107"/>
      <w:bookmarkEnd w:id="108"/>
      <w:bookmarkEnd w:id="109"/>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0" w:name="_Toc253577282"/>
      <w:r w:rsidRPr="00172454">
        <w:rPr>
          <w:rFonts w:asciiTheme="minorEastAsia" w:eastAsiaTheme="minorEastAsia" w:hAnsiTheme="minorEastAsia" w:hint="eastAsia"/>
          <w:color w:val="000000" w:themeColor="text1"/>
        </w:rPr>
        <w:t>名称：通力律师事务所</w:t>
      </w:r>
      <w:bookmarkEnd w:id="110"/>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1" w:name="_Toc253577283"/>
      <w:r w:rsidRPr="00172454">
        <w:rPr>
          <w:rFonts w:asciiTheme="minorEastAsia" w:eastAsiaTheme="minorEastAsia" w:hAnsiTheme="minorEastAsia" w:hint="eastAsia"/>
          <w:color w:val="000000" w:themeColor="text1"/>
        </w:rPr>
        <w:t>住所：上海市浦东新区银城中路</w:t>
      </w:r>
      <w:r w:rsidRPr="00172454">
        <w:rPr>
          <w:rFonts w:asciiTheme="minorEastAsia" w:eastAsiaTheme="minorEastAsia" w:hAnsiTheme="minorEastAsia"/>
          <w:color w:val="000000" w:themeColor="text1"/>
        </w:rPr>
        <w:t>68</w:t>
      </w:r>
      <w:r w:rsidRPr="00172454">
        <w:rPr>
          <w:rFonts w:asciiTheme="minorEastAsia" w:eastAsiaTheme="minorEastAsia" w:hAnsiTheme="minorEastAsia" w:hint="eastAsia"/>
          <w:color w:val="000000" w:themeColor="text1"/>
        </w:rPr>
        <w:t>号时代金融中心</w:t>
      </w:r>
      <w:r w:rsidRPr="00172454">
        <w:rPr>
          <w:rFonts w:asciiTheme="minorEastAsia" w:eastAsiaTheme="minorEastAsia" w:hAnsiTheme="minorEastAsia"/>
          <w:color w:val="000000" w:themeColor="text1"/>
        </w:rPr>
        <w:t>19</w:t>
      </w:r>
      <w:r w:rsidRPr="00172454">
        <w:rPr>
          <w:rFonts w:asciiTheme="minorEastAsia" w:eastAsiaTheme="minorEastAsia" w:hAnsiTheme="minorEastAsia" w:hint="eastAsia"/>
          <w:color w:val="000000" w:themeColor="text1"/>
        </w:rPr>
        <w:t>楼</w:t>
      </w:r>
      <w:bookmarkEnd w:id="111"/>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2" w:name="_Toc253577284"/>
      <w:r w:rsidRPr="00172454">
        <w:rPr>
          <w:rFonts w:asciiTheme="minorEastAsia" w:eastAsiaTheme="minorEastAsia" w:hAnsiTheme="minorEastAsia" w:hint="eastAsia"/>
          <w:color w:val="000000" w:themeColor="text1"/>
        </w:rPr>
        <w:t>负责人：韩炯</w:t>
      </w:r>
      <w:bookmarkEnd w:id="112"/>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3" w:name="_Toc253577285"/>
      <w:r w:rsidRPr="00172454">
        <w:rPr>
          <w:rFonts w:asciiTheme="minorEastAsia" w:eastAsiaTheme="minorEastAsia" w:hAnsiTheme="minorEastAsia" w:hint="eastAsia"/>
          <w:color w:val="000000" w:themeColor="text1"/>
        </w:rPr>
        <w:t>联系电话：（</w:t>
      </w:r>
      <w:r w:rsidRPr="00172454">
        <w:rPr>
          <w:rFonts w:asciiTheme="minorEastAsia" w:eastAsiaTheme="minorEastAsia" w:hAnsiTheme="minorEastAsia"/>
          <w:color w:val="000000" w:themeColor="text1"/>
        </w:rPr>
        <w:t>021</w:t>
      </w:r>
      <w:r w:rsidRPr="00172454">
        <w:rPr>
          <w:rFonts w:asciiTheme="minorEastAsia" w:eastAsiaTheme="minorEastAsia" w:hAnsiTheme="minorEastAsia" w:hint="eastAsia"/>
          <w:color w:val="000000" w:themeColor="text1"/>
        </w:rPr>
        <w:t>）</w:t>
      </w:r>
      <w:r w:rsidRPr="00172454">
        <w:rPr>
          <w:rFonts w:asciiTheme="minorEastAsia" w:eastAsiaTheme="minorEastAsia" w:hAnsiTheme="minorEastAsia"/>
          <w:color w:val="000000" w:themeColor="text1"/>
        </w:rPr>
        <w:t>31358666</w:t>
      </w:r>
      <w:bookmarkEnd w:id="113"/>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4" w:name="_Toc253577286"/>
      <w:r w:rsidRPr="00172454">
        <w:rPr>
          <w:rFonts w:asciiTheme="minorEastAsia" w:eastAsiaTheme="minorEastAsia" w:hAnsiTheme="minorEastAsia" w:hint="eastAsia"/>
          <w:color w:val="000000" w:themeColor="text1"/>
        </w:rPr>
        <w:t>传真：（</w:t>
      </w:r>
      <w:r w:rsidRPr="00172454">
        <w:rPr>
          <w:rFonts w:asciiTheme="minorEastAsia" w:eastAsiaTheme="minorEastAsia" w:hAnsiTheme="minorEastAsia"/>
          <w:color w:val="000000" w:themeColor="text1"/>
        </w:rPr>
        <w:t>021</w:t>
      </w:r>
      <w:r w:rsidRPr="00172454">
        <w:rPr>
          <w:rFonts w:asciiTheme="minorEastAsia" w:eastAsiaTheme="minorEastAsia" w:hAnsiTheme="minorEastAsia" w:hint="eastAsia"/>
          <w:color w:val="000000" w:themeColor="text1"/>
        </w:rPr>
        <w:t>）</w:t>
      </w:r>
      <w:r w:rsidRPr="00172454">
        <w:rPr>
          <w:rFonts w:asciiTheme="minorEastAsia" w:eastAsiaTheme="minorEastAsia" w:hAnsiTheme="minorEastAsia"/>
          <w:color w:val="000000" w:themeColor="text1"/>
        </w:rPr>
        <w:t>31358600</w:t>
      </w:r>
      <w:bookmarkEnd w:id="114"/>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5" w:name="_Toc253577287"/>
      <w:r w:rsidRPr="00172454">
        <w:rPr>
          <w:rFonts w:asciiTheme="minorEastAsia" w:eastAsiaTheme="minorEastAsia" w:hAnsiTheme="minorEastAsia" w:hint="eastAsia"/>
          <w:color w:val="000000" w:themeColor="text1"/>
        </w:rPr>
        <w:t>联系人：黎明</w:t>
      </w:r>
      <w:bookmarkEnd w:id="115"/>
    </w:p>
    <w:p w:rsidR="008D5DC5" w:rsidRPr="00172454" w:rsidP="00150642">
      <w:pPr>
        <w:snapToGrid w:val="0"/>
        <w:spacing w:line="360" w:lineRule="auto"/>
        <w:ind w:firstLine="420" w:firstLineChars="200"/>
        <w:rPr>
          <w:rFonts w:asciiTheme="minorEastAsia" w:eastAsiaTheme="minorEastAsia" w:hAnsiTheme="minorEastAsia"/>
          <w:color w:val="000000" w:themeColor="text1"/>
        </w:rPr>
      </w:pPr>
      <w:bookmarkStart w:id="116" w:name="_Toc253577288"/>
      <w:r w:rsidRPr="00172454">
        <w:rPr>
          <w:rFonts w:asciiTheme="minorEastAsia" w:eastAsiaTheme="minorEastAsia" w:hAnsiTheme="minorEastAsia" w:hint="eastAsia"/>
          <w:color w:val="000000" w:themeColor="text1"/>
        </w:rPr>
        <w:t>经办律师：吕红、黎明</w:t>
      </w:r>
      <w:bookmarkEnd w:id="116"/>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17" w:name="_Toc238024254"/>
      <w:bookmarkStart w:id="118" w:name="_Toc253577289"/>
      <w:bookmarkStart w:id="119" w:name="_Toc91766973"/>
      <w:r w:rsidRPr="00172454">
        <w:rPr>
          <w:rFonts w:asciiTheme="minorEastAsia" w:eastAsiaTheme="minorEastAsia" w:hAnsiTheme="minorEastAsia" w:hint="eastAsia"/>
          <w:b w:val="0"/>
          <w:bCs/>
          <w:color w:val="000000" w:themeColor="text1"/>
        </w:rPr>
        <w:t>（</w:t>
      </w:r>
      <w:r w:rsidRPr="00172454">
        <w:rPr>
          <w:rFonts w:asciiTheme="minorEastAsia" w:eastAsiaTheme="minorEastAsia" w:hAnsiTheme="minorEastAsia" w:hint="eastAsia"/>
          <w:b w:val="0"/>
          <w:bCs/>
          <w:color w:val="000000" w:themeColor="text1"/>
          <w:szCs w:val="21"/>
        </w:rPr>
        <w:t>四</w:t>
      </w:r>
      <w:r w:rsidRPr="00172454">
        <w:rPr>
          <w:rFonts w:asciiTheme="minorEastAsia" w:eastAsiaTheme="minorEastAsia" w:hAnsiTheme="minorEastAsia" w:hint="eastAsia"/>
          <w:b w:val="0"/>
          <w:bCs/>
          <w:color w:val="000000" w:themeColor="text1"/>
        </w:rPr>
        <w:t>）</w:t>
      </w:r>
      <w:r w:rsidRPr="00172454">
        <w:rPr>
          <w:rFonts w:asciiTheme="minorEastAsia" w:eastAsiaTheme="minorEastAsia" w:hAnsiTheme="minorEastAsia"/>
          <w:b w:val="0"/>
          <w:bCs/>
          <w:color w:val="000000" w:themeColor="text1"/>
        </w:rPr>
        <w:t>会计师事务所和经办注册会计师</w:t>
      </w:r>
      <w:bookmarkEnd w:id="117"/>
      <w:bookmarkEnd w:id="118"/>
      <w:bookmarkEnd w:id="119"/>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会计师事务所：普华永道中天会计师事务所（特殊普通合伙）</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住所：上海市湖滨路202号普华永道中心11楼</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办公地址：上海市湖滨路202号普华永道中心11楼</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首席合伙人：李丹</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电话：（021）23238888</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传真：（021）23238800</w:t>
      </w:r>
    </w:p>
    <w:p w:rsidR="00E053DA" w:rsidRPr="00172454" w:rsidP="00E053DA">
      <w:pPr>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经办注册会计师：</w:t>
      </w:r>
      <w:r w:rsidRPr="00172454" w:rsidR="00CD69FF">
        <w:rPr>
          <w:rFonts w:asciiTheme="minorEastAsia" w:eastAsiaTheme="minorEastAsia" w:hAnsiTheme="minorEastAsia" w:hint="eastAsia"/>
          <w:color w:val="000000" w:themeColor="text1"/>
        </w:rPr>
        <w:t>陈熹、</w:t>
      </w:r>
      <w:r w:rsidRPr="00172454" w:rsidR="00634CA1">
        <w:rPr>
          <w:rFonts w:asciiTheme="minorEastAsia" w:eastAsiaTheme="minorEastAsia" w:hAnsiTheme="minorEastAsia" w:hint="eastAsia"/>
          <w:color w:val="000000" w:themeColor="text1"/>
        </w:rPr>
        <w:t>陈轶杰</w:t>
      </w:r>
    </w:p>
    <w:p w:rsidR="005D5BC7" w:rsidRPr="00172454" w:rsidP="00E053DA">
      <w:pPr>
        <w:snapToGrid w:val="0"/>
        <w:spacing w:line="360" w:lineRule="auto"/>
        <w:ind w:left="420" w:leftChars="200"/>
        <w:rPr>
          <w:rStyle w:val="big1"/>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联系人：周祎</w:t>
      </w:r>
    </w:p>
    <w:bookmarkEnd w:id="98"/>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p>
    <w:p w:rsidR="005D5BC7" w:rsidRPr="00172454" w:rsidP="00150642">
      <w:pPr>
        <w:pStyle w:val="111"/>
        <w:pageBreakBefore w:val="0"/>
        <w:snapToGrid w:val="0"/>
        <w:spacing w:beforeLines="0" w:afterLines="0" w:line="360" w:lineRule="auto"/>
        <w:ind w:firstLine="0" w:firstLineChars="0"/>
        <w:rPr>
          <w:rFonts w:asciiTheme="minorEastAsia" w:eastAsiaTheme="minorEastAsia" w:hAnsiTheme="minorEastAsia"/>
          <w:color w:val="000000" w:themeColor="text1"/>
          <w:szCs w:val="21"/>
        </w:rPr>
        <w:sectPr w:rsidSect="00634CA1">
          <w:pgSz w:w="11907" w:h="16840" w:code="9"/>
          <w:pgMar w:top="1440" w:right="1800" w:bottom="1440" w:left="1800" w:header="1134" w:footer="1247" w:gutter="0"/>
          <w:cols w:space="425"/>
          <w:docGrid w:type="lines" w:linePitch="312"/>
        </w:sectPr>
      </w:pPr>
    </w:p>
    <w:p w:rsidR="005D5BC7" w:rsidRPr="00172454" w:rsidP="00F07B7D">
      <w:pPr>
        <w:pStyle w:val="111"/>
        <w:pageBreakBefore w:val="0"/>
        <w:snapToGrid w:val="0"/>
        <w:spacing w:beforeLines="0" w:afterLines="0" w:line="360" w:lineRule="auto"/>
        <w:ind w:firstLine="0" w:firstLineChars="0"/>
        <w:rPr>
          <w:rFonts w:asciiTheme="minorEastAsia" w:eastAsiaTheme="minorEastAsia" w:hAnsiTheme="minorEastAsia"/>
          <w:bCs/>
          <w:color w:val="000000" w:themeColor="text1"/>
          <w:szCs w:val="21"/>
        </w:rPr>
      </w:pPr>
      <w:bookmarkStart w:id="120" w:name="_Toc38432432"/>
      <w:bookmarkStart w:id="121" w:name="_Toc91766974"/>
      <w:r w:rsidRPr="00172454">
        <w:rPr>
          <w:rFonts w:asciiTheme="minorEastAsia" w:eastAsiaTheme="minorEastAsia" w:hAnsiTheme="minorEastAsia" w:hint="eastAsia"/>
          <w:bCs/>
          <w:color w:val="000000" w:themeColor="text1"/>
          <w:szCs w:val="21"/>
        </w:rPr>
        <w:t>六、基金的募集</w:t>
      </w:r>
      <w:bookmarkEnd w:id="120"/>
      <w:bookmarkEnd w:id="121"/>
    </w:p>
    <w:p w:rsidR="005D5BC7" w:rsidRPr="00172454" w:rsidP="00F509B5">
      <w:pPr>
        <w:spacing w:line="360" w:lineRule="auto"/>
        <w:ind w:firstLine="420"/>
        <w:rPr>
          <w:rFonts w:asciiTheme="minorEastAsia" w:eastAsiaTheme="minorEastAsia" w:hAnsiTheme="minorEastAsia"/>
          <w:color w:val="000000" w:themeColor="text1"/>
        </w:rPr>
      </w:pPr>
      <w:bookmarkStart w:id="122" w:name="_Toc38432433"/>
      <w:r w:rsidRPr="00F509B5">
        <w:rPr>
          <w:rFonts w:asciiTheme="minorEastAsia" w:eastAsiaTheme="minorEastAsia" w:hAnsiTheme="minorEastAsia" w:hint="eastAsia"/>
          <w:color w:val="000000" w:themeColor="text1"/>
        </w:rPr>
        <w:t>本基金由基金管理人依照《基金法》、《运作办法》、《销售办法》、基金合同的相关规定、并经中国证监会</w:t>
      </w:r>
      <w:r w:rsidRPr="00F509B5" w:rsidR="00634CA1">
        <w:rPr>
          <w:rFonts w:asciiTheme="minorEastAsia" w:eastAsiaTheme="minorEastAsia" w:hAnsiTheme="minorEastAsia" w:hint="eastAsia"/>
          <w:color w:val="000000" w:themeColor="text1"/>
        </w:rPr>
        <w:t>2009年12月31日</w:t>
      </w:r>
      <w:r w:rsidRPr="00F509B5">
        <w:rPr>
          <w:rFonts w:asciiTheme="minorEastAsia" w:eastAsiaTheme="minorEastAsia" w:hAnsiTheme="minorEastAsia" w:hint="eastAsia"/>
          <w:color w:val="000000" w:themeColor="text1"/>
        </w:rPr>
        <w:t>《关于核准易方达上证中盘交易型开放式指数证券投资基金及其联接基金募集的批复》（证监许可</w:t>
      </w:r>
      <w:r w:rsidRPr="00F509B5">
        <w:rPr>
          <w:rFonts w:asciiTheme="minorEastAsia" w:eastAsiaTheme="minorEastAsia" w:hAnsiTheme="minorEastAsia"/>
          <w:color w:val="000000" w:themeColor="text1"/>
        </w:rPr>
        <w:t>[</w:t>
      </w:r>
      <w:r w:rsidRPr="00F509B5">
        <w:rPr>
          <w:rFonts w:asciiTheme="minorEastAsia" w:eastAsiaTheme="minorEastAsia" w:hAnsiTheme="minorEastAsia" w:hint="eastAsia"/>
          <w:color w:val="000000" w:themeColor="text1"/>
        </w:rPr>
        <w:t>2009</w:t>
      </w:r>
      <w:r w:rsidRPr="00F509B5">
        <w:rPr>
          <w:rFonts w:asciiTheme="minorEastAsia" w:eastAsiaTheme="minorEastAsia" w:hAnsiTheme="minorEastAsia"/>
          <w:color w:val="000000" w:themeColor="text1"/>
        </w:rPr>
        <w:t>]</w:t>
      </w:r>
      <w:r w:rsidRPr="00F509B5">
        <w:rPr>
          <w:rFonts w:asciiTheme="minorEastAsia" w:eastAsiaTheme="minorEastAsia" w:hAnsiTheme="minorEastAsia" w:hint="eastAsia"/>
          <w:color w:val="000000" w:themeColor="text1"/>
        </w:rPr>
        <w:t>1498号）核准募集。</w:t>
      </w:r>
    </w:p>
    <w:p w:rsidR="005D5BC7" w:rsidRPr="00172454" w:rsidP="00F509B5">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本基金为交易</w:t>
      </w:r>
      <w:r w:rsidRPr="00172454">
        <w:rPr>
          <w:rFonts w:asciiTheme="minorEastAsia" w:eastAsiaTheme="minorEastAsia" w:hAnsiTheme="minorEastAsia"/>
          <w:color w:val="000000" w:themeColor="text1"/>
        </w:rPr>
        <w:t>型开放式</w:t>
      </w:r>
      <w:r w:rsidRPr="00172454">
        <w:rPr>
          <w:rFonts w:asciiTheme="minorEastAsia" w:eastAsiaTheme="minorEastAsia" w:hAnsiTheme="minorEastAsia" w:hint="eastAsia"/>
          <w:color w:val="000000" w:themeColor="text1"/>
        </w:rPr>
        <w:t>指数基金，</w:t>
      </w:r>
      <w:r w:rsidRPr="00172454">
        <w:rPr>
          <w:rFonts w:asciiTheme="minorEastAsia" w:eastAsiaTheme="minorEastAsia" w:hAnsiTheme="minorEastAsia"/>
          <w:color w:val="000000" w:themeColor="text1"/>
        </w:rPr>
        <w:t>基金</w:t>
      </w:r>
      <w:r w:rsidRPr="00172454">
        <w:rPr>
          <w:rFonts w:asciiTheme="minorEastAsia" w:eastAsiaTheme="minorEastAsia" w:hAnsiTheme="minorEastAsia" w:hint="eastAsia"/>
          <w:color w:val="000000" w:themeColor="text1"/>
        </w:rPr>
        <w:t>的</w:t>
      </w:r>
      <w:r w:rsidRPr="00172454">
        <w:rPr>
          <w:rFonts w:asciiTheme="minorEastAsia" w:eastAsiaTheme="minorEastAsia" w:hAnsiTheme="minorEastAsia"/>
          <w:color w:val="000000" w:themeColor="text1"/>
        </w:rPr>
        <w:t>存续期间</w:t>
      </w:r>
      <w:r w:rsidRPr="00172454">
        <w:rPr>
          <w:rFonts w:asciiTheme="minorEastAsia" w:eastAsiaTheme="minorEastAsia" w:hAnsiTheme="minorEastAsia" w:hint="eastAsia"/>
          <w:color w:val="000000" w:themeColor="text1"/>
        </w:rPr>
        <w:t>为</w:t>
      </w:r>
      <w:r w:rsidRPr="00172454">
        <w:rPr>
          <w:rFonts w:asciiTheme="minorEastAsia" w:eastAsiaTheme="minorEastAsia" w:hAnsiTheme="minorEastAsia"/>
          <w:color w:val="000000" w:themeColor="text1"/>
        </w:rPr>
        <w:t>不定期</w:t>
      </w:r>
      <w:r w:rsidRPr="00172454">
        <w:rPr>
          <w:rFonts w:asciiTheme="minorEastAsia" w:eastAsiaTheme="minorEastAsia" w:hAnsiTheme="minorEastAsia" w:hint="eastAsia"/>
          <w:color w:val="000000" w:themeColor="text1"/>
        </w:rPr>
        <w:t>。</w:t>
      </w:r>
    </w:p>
    <w:p w:rsidR="005D5BC7" w:rsidRPr="00172454" w:rsidP="00F509B5">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本基金募集期间每份基金份额的初始面值为人民币1.00元。</w:t>
      </w:r>
    </w:p>
    <w:p w:rsidR="005D5BC7" w:rsidRPr="00F509B5" w:rsidP="00F509B5">
      <w:pPr>
        <w:spacing w:line="360" w:lineRule="auto"/>
        <w:ind w:firstLine="420"/>
        <w:rPr>
          <w:rFonts w:asciiTheme="minorEastAsia" w:eastAsiaTheme="minorEastAsia" w:hAnsiTheme="minorEastAsia"/>
          <w:color w:val="000000" w:themeColor="text1"/>
        </w:rPr>
      </w:pPr>
      <w:r w:rsidRPr="00F509B5">
        <w:rPr>
          <w:rFonts w:asciiTheme="minorEastAsia" w:eastAsiaTheme="minorEastAsia" w:hAnsiTheme="minorEastAsia" w:hint="eastAsia"/>
          <w:color w:val="000000" w:themeColor="text1"/>
        </w:rPr>
        <w:t>本基金募集期自</w:t>
      </w:r>
      <w:smartTag w:uri="urn:schemas-microsoft-com:office:smarttags" w:element="chsdate">
        <w:smartTagPr>
          <w:attr w:name="Day" w:val="25"/>
          <w:attr w:name="IsLunarDate" w:val="False"/>
          <w:attr w:name="IsROCDate" w:val="False"/>
          <w:attr w:name="Month" w:val="2"/>
          <w:attr w:name="Year" w:val="2010"/>
        </w:smartTagPr>
        <w:r w:rsidRPr="00F509B5">
          <w:rPr>
            <w:rFonts w:asciiTheme="minorEastAsia" w:eastAsiaTheme="minorEastAsia" w:hAnsiTheme="minorEastAsia" w:hint="eastAsia"/>
            <w:color w:val="000000" w:themeColor="text1"/>
          </w:rPr>
          <w:t>2010年2月25日</w:t>
        </w:r>
      </w:smartTag>
      <w:r w:rsidRPr="00F509B5">
        <w:rPr>
          <w:rFonts w:asciiTheme="minorEastAsia" w:eastAsiaTheme="minorEastAsia" w:hAnsiTheme="minorEastAsia" w:hint="eastAsia"/>
          <w:color w:val="000000" w:themeColor="text1"/>
        </w:rPr>
        <w:t>至</w:t>
      </w:r>
      <w:smartTag w:uri="urn:schemas-microsoft-com:office:smarttags" w:element="chsdate">
        <w:smartTagPr>
          <w:attr w:name="Day" w:val="19"/>
          <w:attr w:name="IsLunarDate" w:val="False"/>
          <w:attr w:name="IsROCDate" w:val="False"/>
          <w:attr w:name="Month" w:val="3"/>
          <w:attr w:name="Year" w:val="2010"/>
        </w:smartTagPr>
        <w:r w:rsidRPr="00F509B5">
          <w:rPr>
            <w:rFonts w:asciiTheme="minorEastAsia" w:eastAsiaTheme="minorEastAsia" w:hAnsiTheme="minorEastAsia" w:hint="eastAsia"/>
            <w:color w:val="000000" w:themeColor="text1"/>
          </w:rPr>
          <w:t>2010年3月19日</w:t>
        </w:r>
      </w:smartTag>
      <w:r w:rsidRPr="00F509B5">
        <w:rPr>
          <w:rFonts w:asciiTheme="minorEastAsia" w:eastAsiaTheme="minorEastAsia" w:hAnsiTheme="minorEastAsia" w:hint="eastAsia"/>
          <w:color w:val="000000" w:themeColor="text1"/>
        </w:rPr>
        <w:t>。募集对象为符合法律法规规定的个人投资者、机构投资者及合格境外机构投资者，以及法律法规或中国证监会允许购买证券投资基金的其他投资者。</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123" w:name="_Toc238024267"/>
      <w:bookmarkEnd w:id="122"/>
    </w:p>
    <w:bookmarkEnd w:id="123"/>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kern w:val="0"/>
          <w:sz w:val="20"/>
          <w:szCs w:val="20"/>
        </w:rPr>
        <w:sectPr w:rsidSect="00634CA1">
          <w:pgSz w:w="11907" w:h="16840" w:code="9"/>
          <w:pgMar w:top="1440" w:right="1800" w:bottom="1440" w:left="1800" w:header="1134" w:footer="1247" w:gutter="0"/>
          <w:cols w:space="425"/>
          <w:docGrid w:type="lines" w:linePitch="312"/>
        </w:sectPr>
      </w:pPr>
    </w:p>
    <w:p w:rsidR="005D5BC7" w:rsidRPr="00172454" w:rsidP="00F07B7D">
      <w:pPr>
        <w:pStyle w:val="Heading1"/>
        <w:snapToGrid w:val="0"/>
        <w:spacing w:beforeLines="0" w:afterLines="0" w:line="360" w:lineRule="auto"/>
        <w:ind w:firstLine="640"/>
        <w:rPr>
          <w:rFonts w:asciiTheme="minorEastAsia" w:eastAsiaTheme="minorEastAsia" w:hAnsiTheme="minorEastAsia"/>
          <w:color w:val="000000" w:themeColor="text1"/>
        </w:rPr>
      </w:pPr>
      <w:bookmarkStart w:id="124" w:name="_Toc91766975"/>
      <w:r w:rsidRPr="00172454">
        <w:rPr>
          <w:rFonts w:asciiTheme="minorEastAsia" w:eastAsiaTheme="minorEastAsia" w:hAnsiTheme="minorEastAsia" w:hint="eastAsia"/>
          <w:bCs/>
          <w:color w:val="000000" w:themeColor="text1"/>
        </w:rPr>
        <w:t>七、基金合同的生效</w:t>
      </w:r>
      <w:bookmarkEnd w:id="124"/>
    </w:p>
    <w:p w:rsidR="00DD7A56"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5" w:name="_Toc91766976"/>
      <w:r w:rsidRPr="00172454">
        <w:rPr>
          <w:rFonts w:asciiTheme="minorEastAsia" w:eastAsiaTheme="minorEastAsia" w:hAnsiTheme="minorEastAsia" w:hint="eastAsia"/>
          <w:b w:val="0"/>
          <w:bCs/>
          <w:color w:val="000000" w:themeColor="text1"/>
        </w:rPr>
        <w:t>（一）基金合同的生效</w:t>
      </w:r>
      <w:bookmarkEnd w:id="125"/>
    </w:p>
    <w:p w:rsidR="005D5BC7" w:rsidRPr="00172454" w:rsidP="00150642">
      <w:pPr>
        <w:snapToGrid w:val="0"/>
        <w:spacing w:line="360" w:lineRule="auto"/>
        <w:ind w:firstLine="424" w:firstLineChars="202"/>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本基金</w:t>
      </w:r>
      <w:r w:rsidRPr="00172454">
        <w:rPr>
          <w:rFonts w:asciiTheme="minorEastAsia" w:eastAsiaTheme="minorEastAsia" w:hAnsiTheme="minorEastAsia" w:hint="eastAsia"/>
          <w:color w:val="000000" w:themeColor="text1"/>
        </w:rPr>
        <w:t>基金合同于</w:t>
      </w:r>
      <w:smartTag w:uri="urn:schemas-microsoft-com:office:smarttags" w:element="chsdate">
        <w:smartTagPr>
          <w:attr w:name="Day" w:val="29"/>
          <w:attr w:name="IsLunarDate" w:val="False"/>
          <w:attr w:name="IsROCDate" w:val="False"/>
          <w:attr w:name="Month" w:val="3"/>
          <w:attr w:name="Year" w:val="2010"/>
        </w:smartTagPr>
        <w:r w:rsidRPr="00172454">
          <w:rPr>
            <w:rFonts w:asciiTheme="minorEastAsia" w:eastAsiaTheme="minorEastAsia" w:hAnsiTheme="minorEastAsia" w:hint="eastAsia"/>
            <w:color w:val="000000" w:themeColor="text1"/>
          </w:rPr>
          <w:t>2010年3月29日</w:t>
        </w:r>
      </w:smartTag>
      <w:r w:rsidRPr="00172454">
        <w:rPr>
          <w:rFonts w:asciiTheme="minorEastAsia" w:eastAsiaTheme="minorEastAsia" w:hAnsiTheme="minorEastAsia" w:hint="eastAsia"/>
          <w:color w:val="000000" w:themeColor="text1"/>
        </w:rPr>
        <w:t>正式生效。自基金合同生效日起，本基金管理人正式开始管理本基金。</w:t>
      </w:r>
    </w:p>
    <w:p w:rsidR="00DD7A56"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6" w:name="_Toc91766977"/>
      <w:r w:rsidRPr="00172454">
        <w:rPr>
          <w:rFonts w:asciiTheme="minorEastAsia" w:eastAsiaTheme="minorEastAsia" w:hAnsiTheme="minorEastAsia" w:hint="eastAsia"/>
          <w:b w:val="0"/>
          <w:bCs/>
          <w:color w:val="000000" w:themeColor="text1"/>
        </w:rPr>
        <w:t>（二）基金存续期内的基金份额持有人数量和资产规模</w:t>
      </w:r>
      <w:bookmarkEnd w:id="126"/>
    </w:p>
    <w:p w:rsidR="00DD7A56" w:rsidRPr="00F509B5" w:rsidP="00F509B5">
      <w:pPr>
        <w:spacing w:line="360" w:lineRule="auto"/>
        <w:ind w:firstLine="42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szCs w:val="21"/>
        </w:rPr>
        <w:t>《</w:t>
      </w:r>
      <w:r w:rsidRPr="00F509B5">
        <w:rPr>
          <w:rFonts w:asciiTheme="minorEastAsia" w:eastAsiaTheme="minorEastAsia" w:hAnsiTheme="minorEastAsia" w:hint="eastAsia"/>
          <w:color w:val="000000" w:themeColor="text1"/>
        </w:rPr>
        <w:t>基金合同》生效后，</w:t>
      </w:r>
      <w:r w:rsidRPr="00F509B5" w:rsidR="003D5FE3">
        <w:rPr>
          <w:rFonts w:asciiTheme="minorEastAsia" w:eastAsiaTheme="minorEastAsia" w:hAnsiTheme="minorEastAsia" w:hint="eastAsia"/>
          <w:color w:val="000000" w:themeColor="text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DD7A56" w:rsidRPr="00F509B5" w:rsidP="00F509B5">
      <w:pPr>
        <w:spacing w:line="360" w:lineRule="auto"/>
        <w:ind w:firstLine="420"/>
        <w:rPr>
          <w:rFonts w:asciiTheme="minorEastAsia" w:eastAsiaTheme="minorEastAsia" w:hAnsiTheme="minorEastAsia"/>
          <w:color w:val="000000" w:themeColor="text1"/>
        </w:rPr>
      </w:pPr>
      <w:r w:rsidRPr="00F509B5">
        <w:rPr>
          <w:rFonts w:asciiTheme="minorEastAsia" w:eastAsiaTheme="minorEastAsia" w:hAnsiTheme="minorEastAsia" w:hint="eastAsia"/>
          <w:color w:val="000000" w:themeColor="text1"/>
        </w:rPr>
        <w:t>法律法规另有规定时，从其规定。</w:t>
      </w:r>
    </w:p>
    <w:p w:rsidR="005D5BC7" w:rsidRPr="008D780E" w:rsidP="008D780E">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127" w:name="_Toc91766978"/>
      <w:r w:rsidRPr="00172454">
        <w:rPr>
          <w:rFonts w:asciiTheme="minorEastAsia" w:eastAsiaTheme="minorEastAsia" w:hAnsiTheme="minorEastAsia"/>
          <w:bCs/>
          <w:color w:val="000000" w:themeColor="text1"/>
        </w:rPr>
        <w:t>八、基金份额折算与变更登记</w:t>
      </w:r>
      <w:bookmarkEnd w:id="127"/>
    </w:p>
    <w:p w:rsidR="005D5BC7" w:rsidRPr="00F509B5" w:rsidP="00F509B5">
      <w:pPr>
        <w:spacing w:line="360" w:lineRule="auto"/>
        <w:ind w:firstLine="420"/>
        <w:rPr>
          <w:rFonts w:asciiTheme="minorEastAsia" w:eastAsiaTheme="minorEastAsia" w:hAnsiTheme="minorEastAsia"/>
          <w:color w:val="000000" w:themeColor="text1"/>
        </w:rPr>
      </w:pPr>
      <w:r w:rsidRPr="00F509B5">
        <w:rPr>
          <w:rFonts w:asciiTheme="minorEastAsia" w:eastAsiaTheme="minorEastAsia" w:hAnsiTheme="minorEastAsia"/>
          <w:color w:val="000000" w:themeColor="text1"/>
        </w:rPr>
        <w:t>根据《易方达上证中盘交易型开放式指数证券投资基金基金合同》、《易方达上证中盘交易型开放式指数证券投资基金招募说明书》的有关规定，易方达基金管理有限公司（以下简称“本基金管理人”）确定</w:t>
      </w:r>
      <w:smartTag w:uri="urn:schemas-microsoft-com:office:smarttags" w:element="chsdate">
        <w:smartTagPr>
          <w:attr w:name="Day" w:val="28"/>
          <w:attr w:name="IsLunarDate" w:val="False"/>
          <w:attr w:name="IsROCDate" w:val="False"/>
          <w:attr w:name="Month" w:val="5"/>
          <w:attr w:name="Year" w:val="2010"/>
        </w:smartTagPr>
        <w:r w:rsidRPr="00F509B5">
          <w:rPr>
            <w:rFonts w:asciiTheme="minorEastAsia" w:eastAsiaTheme="minorEastAsia" w:hAnsiTheme="minorEastAsia"/>
            <w:color w:val="000000" w:themeColor="text1"/>
          </w:rPr>
          <w:t>2010年</w:t>
        </w:r>
        <w:r w:rsidRPr="00F509B5">
          <w:rPr>
            <w:rFonts w:asciiTheme="minorEastAsia" w:eastAsiaTheme="minorEastAsia" w:hAnsiTheme="minorEastAsia" w:hint="eastAsia"/>
            <w:color w:val="000000" w:themeColor="text1"/>
          </w:rPr>
          <w:t>5</w:t>
        </w:r>
        <w:r w:rsidRPr="00F509B5">
          <w:rPr>
            <w:rFonts w:asciiTheme="minorEastAsia" w:eastAsiaTheme="minorEastAsia" w:hAnsiTheme="minorEastAsia"/>
            <w:color w:val="000000" w:themeColor="text1"/>
          </w:rPr>
          <w:t>月</w:t>
        </w:r>
        <w:r w:rsidRPr="00F509B5">
          <w:rPr>
            <w:rFonts w:asciiTheme="minorEastAsia" w:eastAsiaTheme="minorEastAsia" w:hAnsiTheme="minorEastAsia" w:hint="eastAsia"/>
            <w:color w:val="000000" w:themeColor="text1"/>
          </w:rPr>
          <w:t>28</w:t>
        </w:r>
        <w:r w:rsidRPr="00F509B5">
          <w:rPr>
            <w:rFonts w:asciiTheme="minorEastAsia" w:eastAsiaTheme="minorEastAsia" w:hAnsiTheme="minorEastAsia"/>
            <w:color w:val="000000" w:themeColor="text1"/>
          </w:rPr>
          <w:t>日</w:t>
        </w:r>
      </w:smartTag>
      <w:r w:rsidRPr="00F509B5">
        <w:rPr>
          <w:rFonts w:asciiTheme="minorEastAsia" w:eastAsiaTheme="minorEastAsia" w:hAnsiTheme="minorEastAsia"/>
          <w:color w:val="000000" w:themeColor="text1"/>
        </w:rPr>
        <w:t>为易方达上证中盘交易型开放式指数证券投资基金的基金份额折算日。当日上证</w:t>
      </w:r>
      <w:r w:rsidRPr="00F509B5">
        <w:rPr>
          <w:rFonts w:asciiTheme="minorEastAsia" w:eastAsiaTheme="minorEastAsia" w:hAnsiTheme="minorEastAsia" w:hint="eastAsia"/>
          <w:color w:val="000000" w:themeColor="text1"/>
        </w:rPr>
        <w:t>中</w:t>
      </w:r>
      <w:r w:rsidRPr="00F509B5">
        <w:rPr>
          <w:rFonts w:asciiTheme="minorEastAsia" w:eastAsiaTheme="minorEastAsia" w:hAnsiTheme="minorEastAsia"/>
          <w:color w:val="000000" w:themeColor="text1"/>
        </w:rPr>
        <w:t>盘指数收盘值为</w:t>
      </w:r>
      <w:r w:rsidRPr="00F509B5">
        <w:rPr>
          <w:rFonts w:asciiTheme="minorEastAsia" w:eastAsiaTheme="minorEastAsia" w:hAnsiTheme="minorEastAsia" w:hint="eastAsia"/>
          <w:color w:val="000000" w:themeColor="text1"/>
        </w:rPr>
        <w:t>2706.88</w:t>
      </w:r>
      <w:r w:rsidRPr="00F509B5">
        <w:rPr>
          <w:rFonts w:asciiTheme="minorEastAsia" w:eastAsiaTheme="minorEastAsia" w:hAnsiTheme="minorEastAsia"/>
          <w:color w:val="000000" w:themeColor="text1"/>
        </w:rPr>
        <w:t>点，基金资产净值为</w:t>
      </w:r>
      <w:r w:rsidRPr="00F509B5">
        <w:rPr>
          <w:rFonts w:asciiTheme="minorEastAsia" w:eastAsiaTheme="minorEastAsia" w:hAnsiTheme="minorEastAsia" w:hint="eastAsia"/>
          <w:color w:val="000000" w:themeColor="text1"/>
        </w:rPr>
        <w:t>2,562,624,152.24</w:t>
      </w:r>
      <w:r w:rsidRPr="00F509B5">
        <w:rPr>
          <w:rFonts w:asciiTheme="minorEastAsia" w:eastAsiaTheme="minorEastAsia" w:hAnsiTheme="minorEastAsia"/>
          <w:color w:val="000000" w:themeColor="text1"/>
        </w:rPr>
        <w:t>元，折算前基金份额总额为</w:t>
      </w:r>
      <w:r w:rsidRPr="00F509B5">
        <w:rPr>
          <w:rFonts w:asciiTheme="minorEastAsia" w:eastAsiaTheme="minorEastAsia" w:hAnsiTheme="minorEastAsia" w:hint="eastAsia"/>
          <w:color w:val="000000" w:themeColor="text1"/>
        </w:rPr>
        <w:t xml:space="preserve">2,752,478,065 </w:t>
      </w:r>
      <w:r w:rsidRPr="00F509B5">
        <w:rPr>
          <w:rFonts w:asciiTheme="minorEastAsia" w:eastAsiaTheme="minorEastAsia" w:hAnsiTheme="minorEastAsia"/>
          <w:color w:val="000000" w:themeColor="text1"/>
        </w:rPr>
        <w:t>份，折算前基金份额净值为</w:t>
      </w:r>
      <w:r w:rsidRPr="00F509B5">
        <w:rPr>
          <w:rFonts w:asciiTheme="minorEastAsia" w:eastAsiaTheme="minorEastAsia" w:hAnsiTheme="minorEastAsia" w:hint="eastAsia"/>
          <w:color w:val="000000" w:themeColor="text1"/>
        </w:rPr>
        <w:t>0.931</w:t>
      </w:r>
      <w:r w:rsidRPr="00F509B5">
        <w:rPr>
          <w:rFonts w:asciiTheme="minorEastAsia" w:eastAsiaTheme="minorEastAsia" w:hAnsiTheme="minorEastAsia"/>
          <w:color w:val="000000" w:themeColor="text1"/>
        </w:rPr>
        <w:t>元。</w:t>
      </w:r>
    </w:p>
    <w:p w:rsidR="005D5BC7" w:rsidRPr="00F509B5" w:rsidP="00F509B5">
      <w:pPr>
        <w:spacing w:line="360" w:lineRule="auto"/>
        <w:ind w:firstLine="420"/>
        <w:rPr>
          <w:rFonts w:asciiTheme="minorEastAsia" w:eastAsiaTheme="minorEastAsia" w:hAnsiTheme="minorEastAsia"/>
          <w:color w:val="000000" w:themeColor="text1"/>
        </w:rPr>
      </w:pPr>
      <w:r w:rsidRPr="00F509B5">
        <w:rPr>
          <w:rFonts w:asciiTheme="minorEastAsia" w:eastAsiaTheme="minorEastAsia" w:hAnsiTheme="minorEastAsia"/>
          <w:color w:val="000000" w:themeColor="text1"/>
        </w:rPr>
        <w:t>根据《易方达上证中盘交易型开放式指数证券投资基金招募说明书》中约定的基金份额折算公式，基金份额折算比例为</w:t>
      </w:r>
      <w:r w:rsidRPr="00F509B5">
        <w:rPr>
          <w:rFonts w:asciiTheme="minorEastAsia" w:eastAsiaTheme="minorEastAsia" w:hAnsiTheme="minorEastAsia" w:hint="eastAsia"/>
          <w:color w:val="000000" w:themeColor="text1"/>
        </w:rPr>
        <w:t>0.34394741</w:t>
      </w:r>
      <w:r w:rsidRPr="00F509B5">
        <w:rPr>
          <w:rFonts w:asciiTheme="minorEastAsia" w:eastAsiaTheme="minorEastAsia" w:hAnsiTheme="minorEastAsia"/>
          <w:color w:val="000000" w:themeColor="text1"/>
        </w:rPr>
        <w:t>（以四舍五入的方法保留小数点后8位），折算后基金份额总额为</w:t>
      </w:r>
      <w:r w:rsidRPr="00F509B5">
        <w:rPr>
          <w:rFonts w:asciiTheme="minorEastAsia" w:eastAsiaTheme="minorEastAsia" w:hAnsiTheme="minorEastAsia" w:hint="eastAsia"/>
          <w:color w:val="000000" w:themeColor="text1"/>
        </w:rPr>
        <w:t xml:space="preserve">946,685,089 </w:t>
      </w:r>
      <w:r w:rsidRPr="00F509B5">
        <w:rPr>
          <w:rFonts w:asciiTheme="minorEastAsia" w:eastAsiaTheme="minorEastAsia" w:hAnsiTheme="minorEastAsia"/>
          <w:color w:val="000000" w:themeColor="text1"/>
        </w:rPr>
        <w:t>份，折算后基金份额净值为</w:t>
      </w:r>
      <w:r w:rsidRPr="00F509B5">
        <w:rPr>
          <w:rFonts w:asciiTheme="minorEastAsia" w:eastAsiaTheme="minorEastAsia" w:hAnsiTheme="minorEastAsia" w:hint="eastAsia"/>
          <w:color w:val="000000" w:themeColor="text1"/>
        </w:rPr>
        <w:t xml:space="preserve">2.707 </w:t>
      </w:r>
      <w:r w:rsidRPr="00F509B5">
        <w:rPr>
          <w:rFonts w:asciiTheme="minorEastAsia" w:eastAsiaTheme="minorEastAsia" w:hAnsiTheme="minorEastAsia"/>
          <w:color w:val="000000" w:themeColor="text1"/>
        </w:rPr>
        <w:t>元。</w:t>
      </w:r>
    </w:p>
    <w:p w:rsidR="005D5BC7" w:rsidRPr="00F509B5" w:rsidP="00F509B5">
      <w:pPr>
        <w:spacing w:line="360" w:lineRule="auto"/>
        <w:ind w:firstLine="420"/>
        <w:rPr>
          <w:rFonts w:asciiTheme="minorEastAsia" w:eastAsiaTheme="minorEastAsia" w:hAnsiTheme="minorEastAsia"/>
          <w:color w:val="000000" w:themeColor="text1"/>
        </w:rPr>
      </w:pPr>
      <w:r w:rsidRPr="00F509B5">
        <w:rPr>
          <w:rFonts w:asciiTheme="minorEastAsia" w:eastAsiaTheme="minorEastAsia" w:hAnsiTheme="minorEastAsia"/>
          <w:color w:val="000000" w:themeColor="text1"/>
        </w:rPr>
        <w:t>本基金管理人已根据上述折算比例，对各基金份额持有人认购的基金份额进行了折算，并由中国证券登记结算有限责任公司上海分公司于</w:t>
      </w:r>
      <w:smartTag w:uri="urn:schemas-microsoft-com:office:smarttags" w:element="chsdate">
        <w:smartTagPr>
          <w:attr w:name="Day" w:val="31"/>
          <w:attr w:name="IsLunarDate" w:val="False"/>
          <w:attr w:name="IsROCDate" w:val="False"/>
          <w:attr w:name="Month" w:val="5"/>
          <w:attr w:name="Year" w:val="2010"/>
        </w:smartTagPr>
        <w:r w:rsidRPr="00F509B5">
          <w:rPr>
            <w:rFonts w:asciiTheme="minorEastAsia" w:eastAsiaTheme="minorEastAsia" w:hAnsiTheme="minorEastAsia"/>
            <w:color w:val="000000" w:themeColor="text1"/>
          </w:rPr>
          <w:t>2010年</w:t>
        </w:r>
        <w:r w:rsidRPr="00F509B5">
          <w:rPr>
            <w:rFonts w:asciiTheme="minorEastAsia" w:eastAsiaTheme="minorEastAsia" w:hAnsiTheme="minorEastAsia" w:hint="eastAsia"/>
            <w:color w:val="000000" w:themeColor="text1"/>
          </w:rPr>
          <w:t>5</w:t>
        </w:r>
        <w:r w:rsidRPr="00F509B5">
          <w:rPr>
            <w:rFonts w:asciiTheme="minorEastAsia" w:eastAsiaTheme="minorEastAsia" w:hAnsiTheme="minorEastAsia"/>
            <w:color w:val="000000" w:themeColor="text1"/>
          </w:rPr>
          <w:t>月</w:t>
        </w:r>
        <w:r w:rsidRPr="00F509B5">
          <w:rPr>
            <w:rFonts w:asciiTheme="minorEastAsia" w:eastAsiaTheme="minorEastAsia" w:hAnsiTheme="minorEastAsia" w:hint="eastAsia"/>
            <w:color w:val="000000" w:themeColor="text1"/>
          </w:rPr>
          <w:t>31</w:t>
        </w:r>
        <w:r w:rsidRPr="00F509B5">
          <w:rPr>
            <w:rFonts w:asciiTheme="minorEastAsia" w:eastAsiaTheme="minorEastAsia" w:hAnsiTheme="minorEastAsia"/>
            <w:color w:val="000000" w:themeColor="text1"/>
          </w:rPr>
          <w:t>日</w:t>
        </w:r>
      </w:smartTag>
      <w:r w:rsidRPr="00F509B5">
        <w:rPr>
          <w:rFonts w:asciiTheme="minorEastAsia" w:eastAsiaTheme="minorEastAsia" w:hAnsiTheme="minorEastAsia"/>
          <w:color w:val="000000" w:themeColor="text1"/>
        </w:rPr>
        <w:t>进行了变更登记。折算后的基金份额保留到整数位</w:t>
      </w:r>
      <w:r w:rsidRPr="00F509B5">
        <w:rPr>
          <w:rFonts w:asciiTheme="minorEastAsia" w:eastAsiaTheme="minorEastAsia" w:hAnsiTheme="minorEastAsia" w:hint="eastAsia"/>
          <w:color w:val="000000" w:themeColor="text1"/>
        </w:rPr>
        <w:t>（</w:t>
      </w:r>
      <w:r w:rsidRPr="00F509B5">
        <w:rPr>
          <w:rFonts w:asciiTheme="minorEastAsia" w:eastAsiaTheme="minorEastAsia" w:hAnsiTheme="minorEastAsia"/>
          <w:color w:val="000000" w:themeColor="text1"/>
        </w:rPr>
        <w:t>小数部分舍去，由此产生的误差计入基金财产</w:t>
      </w:r>
      <w:r w:rsidRPr="00F509B5">
        <w:rPr>
          <w:rFonts w:asciiTheme="minorEastAsia" w:eastAsiaTheme="minorEastAsia" w:hAnsiTheme="minorEastAsia" w:hint="eastAsia"/>
          <w:color w:val="000000" w:themeColor="text1"/>
        </w:rPr>
        <w:t>）</w:t>
      </w:r>
      <w:r w:rsidRPr="00F509B5">
        <w:rPr>
          <w:rFonts w:asciiTheme="minorEastAsia" w:eastAsiaTheme="minorEastAsia" w:hAnsiTheme="minorEastAsia"/>
          <w:color w:val="000000" w:themeColor="text1"/>
        </w:rPr>
        <w:t>。投资者可以自</w:t>
      </w:r>
      <w:smartTag w:uri="urn:schemas-microsoft-com:office:smarttags" w:element="chsdate">
        <w:smartTagPr>
          <w:attr w:name="Day" w:val="1"/>
          <w:attr w:name="IsLunarDate" w:val="False"/>
          <w:attr w:name="IsROCDate" w:val="False"/>
          <w:attr w:name="Month" w:val="6"/>
          <w:attr w:name="Year" w:val="2010"/>
        </w:smartTagPr>
        <w:r w:rsidRPr="00F509B5">
          <w:rPr>
            <w:rFonts w:asciiTheme="minorEastAsia" w:eastAsiaTheme="minorEastAsia" w:hAnsiTheme="minorEastAsia"/>
            <w:color w:val="000000" w:themeColor="text1"/>
          </w:rPr>
          <w:t>2010年</w:t>
        </w:r>
        <w:r w:rsidRPr="00F509B5">
          <w:rPr>
            <w:rFonts w:asciiTheme="minorEastAsia" w:eastAsiaTheme="minorEastAsia" w:hAnsiTheme="minorEastAsia" w:hint="eastAsia"/>
            <w:color w:val="000000" w:themeColor="text1"/>
          </w:rPr>
          <w:t>6</w:t>
        </w:r>
        <w:r w:rsidRPr="00F509B5">
          <w:rPr>
            <w:rFonts w:asciiTheme="minorEastAsia" w:eastAsiaTheme="minorEastAsia" w:hAnsiTheme="minorEastAsia"/>
            <w:color w:val="000000" w:themeColor="text1"/>
          </w:rPr>
          <w:t>月</w:t>
        </w:r>
        <w:r w:rsidRPr="00F509B5">
          <w:rPr>
            <w:rFonts w:asciiTheme="minorEastAsia" w:eastAsiaTheme="minorEastAsia" w:hAnsiTheme="minorEastAsia" w:hint="eastAsia"/>
            <w:color w:val="000000" w:themeColor="text1"/>
          </w:rPr>
          <w:t>1</w:t>
        </w:r>
        <w:r w:rsidRPr="00F509B5">
          <w:rPr>
            <w:rFonts w:asciiTheme="minorEastAsia" w:eastAsiaTheme="minorEastAsia" w:hAnsiTheme="minorEastAsia"/>
            <w:color w:val="000000" w:themeColor="text1"/>
          </w:rPr>
          <w:t>日起</w:t>
        </w:r>
      </w:smartTag>
      <w:r w:rsidRPr="00F509B5">
        <w:rPr>
          <w:rFonts w:asciiTheme="minorEastAsia" w:eastAsiaTheme="minorEastAsia" w:hAnsiTheme="minorEastAsia"/>
          <w:color w:val="000000" w:themeColor="text1"/>
        </w:rPr>
        <w:t>在其上海证券交易所证券账户指定的销售机构查询折算后其持有的基金份额。</w:t>
      </w: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150642">
      <w:pPr>
        <w:snapToGrid w:val="0"/>
        <w:spacing w:line="360" w:lineRule="auto"/>
        <w:ind w:firstLine="420" w:firstLineChars="200"/>
        <w:rPr>
          <w:rFonts w:asciiTheme="minorEastAsia" w:eastAsiaTheme="minorEastAsia" w:hAnsiTheme="minorEastAsia" w:cs="Arial"/>
          <w:color w:val="000000" w:themeColor="text1"/>
          <w:szCs w:val="21"/>
        </w:rPr>
      </w:pPr>
    </w:p>
    <w:p w:rsidR="001E55A5" w:rsidRPr="00172454" w:rsidP="008D780E">
      <w:pPr>
        <w:snapToGrid w:val="0"/>
        <w:spacing w:line="360" w:lineRule="auto"/>
        <w:rPr>
          <w:rFonts w:asciiTheme="minorEastAsia" w:eastAsiaTheme="minorEastAsia" w:hAnsiTheme="minorEastAsia"/>
          <w:color w:val="000000" w:themeColor="text1"/>
          <w:szCs w:val="21"/>
        </w:rPr>
      </w:pPr>
    </w:p>
    <w:p w:rsidR="008D780E">
      <w:pPr>
        <w:widowControl/>
        <w:jc w:val="left"/>
        <w:rPr>
          <w:rFonts w:asciiTheme="minorEastAsia" w:eastAsiaTheme="minorEastAsia" w:hAnsiTheme="minorEastAsia"/>
          <w:bCs/>
          <w:color w:val="000000" w:themeColor="text1"/>
          <w:sz w:val="32"/>
          <w:szCs w:val="32"/>
        </w:rPr>
      </w:pPr>
      <w:bookmarkStart w:id="128" w:name="_Toc91766979"/>
      <w:r>
        <w:rPr>
          <w:rFonts w:asciiTheme="minorEastAsia" w:eastAsiaTheme="minorEastAsia" w:hAnsiTheme="minorEastAsia"/>
          <w:bCs/>
          <w:color w:val="000000" w:themeColor="text1"/>
        </w:rPr>
        <w:br w:type="page"/>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Cs/>
          <w:color w:val="000000" w:themeColor="text1"/>
        </w:rPr>
        <w:t>九、基金份额的交易</w:t>
      </w:r>
      <w:bookmarkEnd w:id="128"/>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129" w:name="_Toc450637593"/>
      <w:r w:rsidRPr="00172454">
        <w:rPr>
          <w:rFonts w:asciiTheme="minorEastAsia" w:eastAsiaTheme="minorEastAsia" w:hAnsiTheme="minorEastAsia"/>
          <w:color w:val="000000" w:themeColor="text1"/>
          <w:szCs w:val="21"/>
        </w:rPr>
        <w:t>（一）基金份额上市</w:t>
      </w:r>
      <w:bookmarkEnd w:id="129"/>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根据有关规定，本基金合同生效后，具备上市条件，自</w:t>
      </w:r>
      <w:smartTag w:uri="urn:schemas-microsoft-com:office:smarttags" w:element="chsdate">
        <w:smartTagPr>
          <w:attr w:name="Day" w:val="23"/>
          <w:attr w:name="IsLunarDate" w:val="False"/>
          <w:attr w:name="IsROCDate" w:val="False"/>
          <w:attr w:name="Month" w:val="6"/>
          <w:attr w:name="Year" w:val="2010"/>
        </w:smartTagPr>
        <w:r w:rsidRPr="00172454">
          <w:rPr>
            <w:rFonts w:asciiTheme="minorEastAsia" w:eastAsiaTheme="minorEastAsia" w:hAnsiTheme="minorEastAsia"/>
            <w:color w:val="000000" w:themeColor="text1"/>
            <w:szCs w:val="21"/>
          </w:rPr>
          <w:t>2010年</w:t>
        </w: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color w:val="000000" w:themeColor="text1"/>
            <w:szCs w:val="21"/>
          </w:rPr>
          <w:t>月</w:t>
        </w:r>
        <w:r w:rsidRPr="00172454">
          <w:rPr>
            <w:rFonts w:asciiTheme="minorEastAsia" w:eastAsiaTheme="minorEastAsia" w:hAnsiTheme="minorEastAsia" w:hint="eastAsia"/>
            <w:color w:val="000000" w:themeColor="text1"/>
            <w:szCs w:val="21"/>
          </w:rPr>
          <w:t>23</w:t>
        </w:r>
        <w:r w:rsidRPr="00172454">
          <w:rPr>
            <w:rFonts w:asciiTheme="minorEastAsia" w:eastAsiaTheme="minorEastAsia" w:hAnsiTheme="minorEastAsia"/>
            <w:color w:val="000000" w:themeColor="text1"/>
            <w:szCs w:val="21"/>
          </w:rPr>
          <w:t>日</w:t>
        </w:r>
        <w:r w:rsidRPr="00172454">
          <w:rPr>
            <w:rFonts w:asciiTheme="minorEastAsia" w:eastAsiaTheme="minorEastAsia" w:hAnsiTheme="minorEastAsia" w:hint="eastAsia"/>
            <w:color w:val="000000" w:themeColor="text1"/>
            <w:szCs w:val="21"/>
          </w:rPr>
          <w:t>起</w:t>
        </w:r>
      </w:smartTag>
      <w:r w:rsidRPr="00172454">
        <w:rPr>
          <w:rFonts w:asciiTheme="minorEastAsia" w:eastAsiaTheme="minorEastAsia" w:hAnsiTheme="minorEastAsia" w:hint="eastAsia"/>
          <w:color w:val="000000" w:themeColor="text1"/>
          <w:szCs w:val="21"/>
        </w:rPr>
        <w:t>在上海证券交易所上市交易（</w:t>
      </w:r>
      <w:r w:rsidRPr="00172454" w:rsidR="00DC6E7D">
        <w:rPr>
          <w:rFonts w:asciiTheme="minorEastAsia" w:eastAsiaTheme="minorEastAsia" w:hAnsiTheme="minorEastAsia" w:hint="eastAsia"/>
          <w:color w:val="000000" w:themeColor="text1"/>
          <w:szCs w:val="21"/>
        </w:rPr>
        <w:t>场内简称：中盘ETF，扩位证券简称：中盘ETF，</w:t>
      </w:r>
      <w:r w:rsidRPr="00172454">
        <w:rPr>
          <w:rFonts w:asciiTheme="minorEastAsia" w:eastAsiaTheme="minorEastAsia" w:hAnsiTheme="minorEastAsia" w:hint="eastAsia"/>
          <w:color w:val="000000" w:themeColor="text1"/>
          <w:szCs w:val="21"/>
        </w:rPr>
        <w:t>交易代码：510130）</w:t>
      </w:r>
      <w:r w:rsidRPr="00172454" w:rsidR="00DC6E7D">
        <w:rPr>
          <w:rFonts w:asciiTheme="minorEastAsia" w:eastAsiaTheme="minorEastAsia" w:hAnsiTheme="minorEastAsia" w:hint="eastAsia"/>
          <w:color w:val="000000" w:themeColor="text1"/>
          <w:szCs w:val="21"/>
        </w:rPr>
        <w:t>。</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130" w:name="_Toc450637594"/>
      <w:r w:rsidRPr="00172454">
        <w:rPr>
          <w:rFonts w:asciiTheme="minorEastAsia" w:eastAsiaTheme="minorEastAsia" w:hAnsiTheme="minorEastAsia"/>
          <w:color w:val="000000" w:themeColor="text1"/>
          <w:szCs w:val="21"/>
        </w:rPr>
        <w:t>（二）基金份额的上市交易</w:t>
      </w:r>
      <w:bookmarkEnd w:id="130"/>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本基金基金份额在上海证券交易所的上市交易需遵照《上海证券交易所交易规则》、《上海证券交易所证券投资基金上市规则》、《上海证券交易所交易型开放式指数基金业务实施细则》等有关规定。</w:t>
      </w:r>
    </w:p>
    <w:p w:rsidR="00653193"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31" w:name="OLE_LINK151"/>
      <w:bookmarkStart w:id="132" w:name="OLE_LINK290"/>
      <w:r w:rsidRPr="00172454">
        <w:rPr>
          <w:rFonts w:asciiTheme="minorEastAsia" w:eastAsiaTheme="minorEastAsia" w:hAnsiTheme="minorEastAsia" w:hint="eastAsia"/>
          <w:color w:val="000000" w:themeColor="text1"/>
          <w:szCs w:val="21"/>
        </w:rPr>
        <w:t>在具备相关条件的情况下，场外份额的基金份额持有人通过申请办理跨系统转托管，在将场外份额转为场内份额后，方可上市交易。</w:t>
      </w:r>
      <w:bookmarkEnd w:id="131"/>
      <w:bookmarkEnd w:id="132"/>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133" w:name="_Toc450637595"/>
      <w:r w:rsidRPr="00172454">
        <w:rPr>
          <w:rFonts w:asciiTheme="minorEastAsia" w:eastAsiaTheme="minorEastAsia" w:hAnsiTheme="minorEastAsia" w:hint="eastAsia"/>
          <w:color w:val="000000" w:themeColor="text1"/>
          <w:szCs w:val="21"/>
        </w:rPr>
        <w:t>（三）终止上市交易</w:t>
      </w:r>
      <w:bookmarkEnd w:id="133"/>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基金份额上市交易后，有下列情形之一的，上海证券交易所可终止基金份额的上市交易</w:t>
      </w:r>
      <w:r w:rsidRPr="00172454" w:rsidR="0095684A">
        <w:rPr>
          <w:rFonts w:asciiTheme="minorEastAsia" w:eastAsiaTheme="minorEastAsia" w:hAnsiTheme="minorEastAsia" w:hint="eastAsia"/>
          <w:color w:val="000000" w:themeColor="text1"/>
          <w:szCs w:val="21"/>
        </w:rPr>
        <w:t>，并报中国证监会备案</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不再具备《基金合同》第六部分第（一）款规定的上市条件；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基金合同终止；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基金份额持有人大会决定终止上市；</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基金合同约定的终止上市的其他情形；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5、上海证券交易所认为应当终止上市的其他情形。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基金管理人应当在收到上海证券交易所终止基金上市的决定之日起</w:t>
      </w:r>
      <w:r w:rsidRPr="00172454">
        <w:rPr>
          <w:rFonts w:asciiTheme="minorEastAsia" w:eastAsiaTheme="minorEastAsia" w:hAnsiTheme="minorEastAsia"/>
          <w:color w:val="000000" w:themeColor="text1"/>
          <w:szCs w:val="21"/>
        </w:rPr>
        <w:t xml:space="preserve">2 </w:t>
      </w:r>
      <w:r w:rsidRPr="00172454">
        <w:rPr>
          <w:rFonts w:asciiTheme="minorEastAsia" w:eastAsiaTheme="minorEastAsia" w:hAnsiTheme="minorEastAsia" w:hint="eastAsia"/>
          <w:color w:val="000000" w:themeColor="text1"/>
          <w:szCs w:val="21"/>
        </w:rPr>
        <w:t>个工作日内发布基金份额终止上市交易公告。</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134" w:name="_Toc450637596"/>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四</w:t>
      </w:r>
      <w:r w:rsidRPr="00172454">
        <w:rPr>
          <w:rFonts w:asciiTheme="minorEastAsia" w:eastAsiaTheme="minorEastAsia" w:hAnsiTheme="minorEastAsia"/>
          <w:color w:val="000000" w:themeColor="text1"/>
          <w:szCs w:val="21"/>
        </w:rPr>
        <w:t>）参考基金份额净值的计算与公告</w:t>
      </w:r>
      <w:bookmarkEnd w:id="13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管理人在每一交易日开市前向上海证券交易所提供当日的申购、赎回清单,上海证券交易所在开市后根据申购、赎回清单和组合证券内各只证券的实时成交数据,计算并发布参考基金份额净值（IOPV）,供投资人交易、</w:t>
      </w:r>
      <w:r w:rsidRPr="00172454" w:rsidR="00DD6459">
        <w:rPr>
          <w:rFonts w:asciiTheme="minorEastAsia" w:eastAsiaTheme="minorEastAsia" w:hAnsiTheme="minorEastAsia" w:hint="eastAsia"/>
          <w:color w:val="000000" w:themeColor="text1"/>
          <w:szCs w:val="21"/>
        </w:rPr>
        <w:t>场内</w:t>
      </w:r>
      <w:r w:rsidRPr="00172454">
        <w:rPr>
          <w:rFonts w:asciiTheme="minorEastAsia" w:eastAsiaTheme="minorEastAsia" w:hAnsiTheme="minorEastAsia"/>
          <w:color w:val="000000" w:themeColor="text1"/>
          <w:szCs w:val="21"/>
        </w:rPr>
        <w:t>申购、赎回基金份额时参考。</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参考基金份额净值计算公式为：</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参考基金份额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参考基金份额净值的计算以四舍五入的方法保留小数点后3位。</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w:t>
      </w:r>
      <w:r w:rsidRPr="00172454">
        <w:rPr>
          <w:rFonts w:asciiTheme="minorEastAsia" w:eastAsiaTheme="minorEastAsia" w:hAnsiTheme="minorEastAsia"/>
          <w:color w:val="000000" w:themeColor="text1"/>
          <w:szCs w:val="21"/>
        </w:rPr>
        <w:t>可以调整参考基金份额净值计算公式</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并予以公告。</w:t>
      </w:r>
    </w:p>
    <w:p w:rsidR="00F509B5" w:rsidRPr="00F509B5" w:rsidP="008D780E">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35" w:name="_Toc91766980"/>
      <w:r w:rsidRPr="00172454">
        <w:rPr>
          <w:rFonts w:asciiTheme="minorEastAsia" w:eastAsiaTheme="minorEastAsia" w:hAnsiTheme="minorEastAsia" w:hint="eastAsia"/>
          <w:bCs/>
          <w:color w:val="000000" w:themeColor="text1"/>
        </w:rPr>
        <w:t>十、基金份额的申购、赎回</w:t>
      </w:r>
      <w:bookmarkEnd w:id="135"/>
    </w:p>
    <w:p w:rsidR="00340BB4" w:rsidRPr="00172454" w:rsidP="00150642">
      <w:pPr>
        <w:snapToGrid w:val="0"/>
        <w:spacing w:line="360" w:lineRule="auto"/>
        <w:rPr>
          <w:rFonts w:asciiTheme="minorEastAsia" w:eastAsiaTheme="minorEastAsia" w:hAnsiTheme="minorEastAsia"/>
          <w:b/>
          <w:bCs/>
          <w:color w:val="000000" w:themeColor="text1"/>
          <w:szCs w:val="21"/>
        </w:rPr>
      </w:pPr>
      <w:bookmarkStart w:id="136" w:name="OLE_LINK157"/>
      <w:bookmarkStart w:id="137" w:name="_Toc238024275"/>
      <w:bookmarkStart w:id="138" w:name="_Toc253577311"/>
      <w:r w:rsidRPr="00172454">
        <w:rPr>
          <w:rFonts w:asciiTheme="minorEastAsia" w:eastAsiaTheme="minorEastAsia" w:hAnsiTheme="minorEastAsia" w:hint="eastAsia"/>
          <w:bCs/>
          <w:color w:val="000000" w:themeColor="text1"/>
          <w:szCs w:val="21"/>
        </w:rPr>
        <w:t>本基金的基金份额分为场内份额与场外份额两种，分别适用不同的申购赎回办法。</w:t>
      </w:r>
      <w:bookmarkEnd w:id="136"/>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39" w:name="_Toc91766981"/>
      <w:r w:rsidRPr="00172454">
        <w:rPr>
          <w:rFonts w:asciiTheme="minorEastAsia" w:eastAsiaTheme="minorEastAsia" w:hAnsiTheme="minorEastAsia" w:hint="eastAsia"/>
          <w:b w:val="0"/>
          <w:color w:val="000000" w:themeColor="text1"/>
        </w:rPr>
        <w:t>（一）申购、赎回的场所</w:t>
      </w:r>
      <w:bookmarkEnd w:id="137"/>
      <w:bookmarkEnd w:id="138"/>
      <w:bookmarkEnd w:id="139"/>
    </w:p>
    <w:p w:rsidR="008A45A8" w:rsidRPr="00172454" w:rsidP="00150642">
      <w:pPr>
        <w:snapToGrid w:val="0"/>
        <w:spacing w:line="360" w:lineRule="auto"/>
        <w:ind w:firstLine="420"/>
        <w:rPr>
          <w:rFonts w:asciiTheme="minorEastAsia" w:eastAsiaTheme="minorEastAsia" w:hAnsiTheme="minorEastAsia"/>
          <w:color w:val="000000" w:themeColor="text1"/>
          <w:szCs w:val="21"/>
        </w:rPr>
      </w:pPr>
      <w:bookmarkStart w:id="140" w:name="OLE_LINK278"/>
      <w:bookmarkStart w:id="141" w:name="OLE_LINK279"/>
      <w:bookmarkStart w:id="142" w:name="OLE_LINK280"/>
      <w:bookmarkStart w:id="143" w:name="OLE_LINK224"/>
      <w:bookmarkStart w:id="144" w:name="OLE_LINK225"/>
      <w:r w:rsidRPr="00172454">
        <w:rPr>
          <w:rFonts w:asciiTheme="minorEastAsia" w:eastAsiaTheme="minorEastAsia" w:hAnsiTheme="minorEastAsia" w:hint="eastAsia"/>
          <w:color w:val="000000" w:themeColor="text1"/>
          <w:szCs w:val="21"/>
        </w:rPr>
        <w:t>1</w:t>
      </w:r>
      <w:bookmarkEnd w:id="140"/>
      <w:bookmarkEnd w:id="141"/>
      <w:bookmarkEnd w:id="142"/>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场内申购赎回</w:t>
      </w:r>
    </w:p>
    <w:p w:rsidR="008A45A8"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对于在场内申购赎回的投资人，应当在申购赎回代理券商办理基金申购、赎回业务的营业场所或按申购赎回代理券商提供的其他方式办理本基金的申购和赎回。</w:t>
      </w:r>
      <w:r w:rsidRPr="00172454" w:rsidR="00144A8E">
        <w:rPr>
          <w:rFonts w:asciiTheme="minorEastAsia" w:eastAsiaTheme="minorEastAsia" w:hAnsiTheme="minorEastAsia" w:hint="eastAsia"/>
          <w:color w:val="000000" w:themeColor="text1"/>
          <w:szCs w:val="21"/>
        </w:rPr>
        <w:t>具体的申购赎回代理券商将由基金管理人在招募说明书或其他相关公告列明。基金管理人可根据情况变更或增减申购赎回代理券商，并在基金管理人网站公示</w:t>
      </w:r>
      <w:r w:rsidRPr="00172454">
        <w:rPr>
          <w:rFonts w:asciiTheme="minorEastAsia" w:eastAsiaTheme="minorEastAsia" w:hAnsiTheme="minorEastAsia" w:hint="eastAsia"/>
          <w:color w:val="000000" w:themeColor="text1"/>
          <w:szCs w:val="21"/>
        </w:rPr>
        <w:t>。</w:t>
      </w:r>
    </w:p>
    <w:p w:rsidR="008A45A8" w:rsidRPr="00172454" w:rsidP="00150642">
      <w:pPr>
        <w:snapToGrid w:val="0"/>
        <w:spacing w:line="360" w:lineRule="auto"/>
        <w:ind w:firstLine="48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2、场外申购赎回</w:t>
      </w:r>
    </w:p>
    <w:p w:rsidR="00340BB4"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对于在场外申购赎回的投资人，应当在基金管理人或其指定的其他销售机构办理本基金的申购和赎回</w:t>
      </w:r>
      <w:r w:rsidRPr="00172454" w:rsidR="001B75E8">
        <w:rPr>
          <w:rFonts w:asciiTheme="minorEastAsia" w:eastAsiaTheme="minorEastAsia" w:hAnsiTheme="minorEastAsia" w:hint="eastAsia"/>
          <w:color w:val="000000" w:themeColor="text1"/>
          <w:szCs w:val="21"/>
        </w:rPr>
        <w:t>。有关场外申购赎回的具体办法，包括但不限于：适用场外申购赎回方式的条件、开放日场外申购赎回的截止时间、业务规则等，详见基金管理人于2015 年1 月23日发布的《易方达基金管理有限公司关于易方达上证中盘交易型开放式指数证券投资基金场外日常申购、赎回业务的提示性公告》</w:t>
      </w:r>
      <w:r w:rsidRPr="00172454">
        <w:rPr>
          <w:rFonts w:asciiTheme="minorEastAsia" w:eastAsiaTheme="minorEastAsia" w:hAnsiTheme="minorEastAsia" w:hint="eastAsia"/>
          <w:color w:val="000000" w:themeColor="text1"/>
          <w:szCs w:val="21"/>
        </w:rPr>
        <w:t>。</w:t>
      </w:r>
    </w:p>
    <w:p w:rsidR="00340BB4"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不违反法律法规及对基金份额持有人利益无实质不利影响的前提下，基金管理人可根据市场情况停止办理场外申购赎回业务。在决定停止场外申购赎回业务情况下，基金管理人应采取适当措施对原有场外份额持有人作出妥善安排并提前公告。</w:t>
      </w:r>
      <w:bookmarkEnd w:id="143"/>
      <w:bookmarkEnd w:id="144"/>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5" w:name="_Toc238024276"/>
      <w:bookmarkStart w:id="146" w:name="_Toc253577312"/>
      <w:bookmarkStart w:id="147" w:name="_Toc91766982"/>
      <w:r w:rsidRPr="00172454">
        <w:rPr>
          <w:rFonts w:asciiTheme="minorEastAsia" w:eastAsiaTheme="minorEastAsia" w:hAnsiTheme="minorEastAsia" w:hint="eastAsia"/>
          <w:b w:val="0"/>
          <w:color w:val="000000" w:themeColor="text1"/>
        </w:rPr>
        <w:t>（二）申购、赎回的开放日及时间</w:t>
      </w:r>
      <w:bookmarkEnd w:id="145"/>
      <w:bookmarkEnd w:id="146"/>
      <w:bookmarkEnd w:id="147"/>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148" w:name="OLE_LINK276"/>
      <w:bookmarkStart w:id="149" w:name="OLE_LINK277"/>
      <w:r w:rsidRPr="00172454">
        <w:rPr>
          <w:rFonts w:asciiTheme="minorEastAsia" w:eastAsiaTheme="minorEastAsia" w:hAnsiTheme="minorEastAsia"/>
          <w:color w:val="000000" w:themeColor="text1"/>
          <w:szCs w:val="21"/>
        </w:rPr>
        <w:t>1</w:t>
      </w:r>
      <w:bookmarkEnd w:id="148"/>
      <w:bookmarkEnd w:id="149"/>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申购、赎回的开始时间</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w:t>
      </w:r>
      <w:r w:rsidRPr="00172454">
        <w:rPr>
          <w:rFonts w:asciiTheme="minorEastAsia" w:eastAsiaTheme="minorEastAsia" w:hAnsiTheme="minorEastAsia" w:hint="eastAsia"/>
          <w:color w:val="000000" w:themeColor="text1"/>
        </w:rPr>
        <w:t>已于</w:t>
      </w:r>
      <w:smartTag w:uri="urn:schemas-microsoft-com:office:smarttags" w:element="chsdate">
        <w:smartTagPr>
          <w:attr w:name="Day" w:val="23"/>
          <w:attr w:name="IsLunarDate" w:val="False"/>
          <w:attr w:name="IsROCDate" w:val="False"/>
          <w:attr w:name="Month" w:val="6"/>
          <w:attr w:name="Year" w:val="2010"/>
        </w:smartTagPr>
        <w:r w:rsidRPr="00172454">
          <w:rPr>
            <w:rFonts w:asciiTheme="minorEastAsia" w:eastAsiaTheme="minorEastAsia" w:hAnsiTheme="minorEastAsia" w:cs="Arial"/>
            <w:color w:val="000000" w:themeColor="text1"/>
            <w:szCs w:val="21"/>
          </w:rPr>
          <w:t>2010年</w:t>
        </w:r>
        <w:r w:rsidRPr="00172454">
          <w:rPr>
            <w:rFonts w:asciiTheme="minorEastAsia" w:eastAsiaTheme="minorEastAsia" w:hAnsiTheme="minorEastAsia" w:cs="Arial" w:hint="eastAsia"/>
            <w:color w:val="000000" w:themeColor="text1"/>
            <w:szCs w:val="21"/>
          </w:rPr>
          <w:t>6</w:t>
        </w:r>
        <w:r w:rsidRPr="00172454">
          <w:rPr>
            <w:rFonts w:asciiTheme="minorEastAsia" w:eastAsiaTheme="minorEastAsia" w:hAnsiTheme="minorEastAsia" w:cs="Arial"/>
            <w:color w:val="000000" w:themeColor="text1"/>
            <w:szCs w:val="21"/>
          </w:rPr>
          <w:t>月</w:t>
        </w:r>
        <w:r w:rsidRPr="00172454">
          <w:rPr>
            <w:rFonts w:asciiTheme="minorEastAsia" w:eastAsiaTheme="minorEastAsia" w:hAnsiTheme="minorEastAsia" w:cs="Arial" w:hint="eastAsia"/>
            <w:color w:val="000000" w:themeColor="text1"/>
            <w:szCs w:val="21"/>
          </w:rPr>
          <w:t>23</w:t>
        </w:r>
        <w:r w:rsidRPr="00172454">
          <w:rPr>
            <w:rFonts w:asciiTheme="minorEastAsia" w:eastAsiaTheme="minorEastAsia" w:hAnsiTheme="minorEastAsia" w:cs="Arial"/>
            <w:color w:val="000000" w:themeColor="text1"/>
            <w:szCs w:val="21"/>
          </w:rPr>
          <w:t>日</w:t>
        </w:r>
      </w:smartTag>
      <w:r w:rsidRPr="00172454">
        <w:rPr>
          <w:rFonts w:asciiTheme="minorEastAsia" w:eastAsiaTheme="minorEastAsia" w:hAnsiTheme="minorEastAsia" w:hint="eastAsia"/>
          <w:color w:val="000000" w:themeColor="text1"/>
        </w:rPr>
        <w:t>开放申购赎回业务</w:t>
      </w:r>
      <w:r w:rsidRPr="00172454" w:rsidR="00E14A71">
        <w:rPr>
          <w:rFonts w:asciiTheme="minorEastAsia" w:eastAsiaTheme="minorEastAsia" w:hAnsiTheme="minorEastAsia" w:hint="eastAsia"/>
          <w:color w:val="000000" w:themeColor="text1"/>
        </w:rPr>
        <w:t>，已于</w:t>
      </w:r>
      <w:r w:rsidRPr="00172454" w:rsidR="00E14A71">
        <w:rPr>
          <w:rFonts w:asciiTheme="minorEastAsia" w:eastAsiaTheme="minorEastAsia" w:hAnsiTheme="minorEastAsia" w:cs="Arial" w:hint="eastAsia"/>
          <w:color w:val="000000" w:themeColor="text1"/>
          <w:szCs w:val="21"/>
        </w:rPr>
        <w:t>2015年1月26日</w:t>
      </w:r>
      <w:r w:rsidRPr="00172454" w:rsidR="00E14A71">
        <w:rPr>
          <w:rFonts w:asciiTheme="minorEastAsia" w:eastAsiaTheme="minorEastAsia" w:hAnsiTheme="minorEastAsia" w:hint="eastAsia"/>
          <w:color w:val="000000" w:themeColor="text1"/>
        </w:rPr>
        <w:t>开始办理场外申购、赎回业务</w:t>
      </w:r>
      <w:r w:rsidRPr="00172454">
        <w:rPr>
          <w:rFonts w:asciiTheme="minorEastAsia" w:eastAsiaTheme="minorEastAsia" w:hAnsiTheme="minorEastAsia" w:hint="eastAsia"/>
          <w:color w:val="000000" w:themeColor="text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开放日及开放时间</w:t>
      </w:r>
    </w:p>
    <w:p w:rsidR="005D5BC7" w:rsidRPr="00172454" w:rsidP="00150642">
      <w:pPr>
        <w:snapToGrid w:val="0"/>
        <w:spacing w:line="360" w:lineRule="auto"/>
        <w:ind w:firstLine="424" w:firstLineChars="202"/>
        <w:rPr>
          <w:rFonts w:asciiTheme="minorEastAsia" w:eastAsiaTheme="minorEastAsia" w:hAnsiTheme="minorEastAsia"/>
          <w:bCs/>
          <w:color w:val="000000" w:themeColor="text1"/>
          <w:szCs w:val="21"/>
        </w:rPr>
      </w:pPr>
      <w:bookmarkStart w:id="150" w:name="OLE_LINK25"/>
      <w:bookmarkStart w:id="151" w:name="OLE_LINK26"/>
      <w:r w:rsidRPr="00172454">
        <w:rPr>
          <w:rFonts w:asciiTheme="minorEastAsia" w:eastAsiaTheme="minorEastAsia" w:hAnsiTheme="minorEastAsia" w:hint="eastAsia"/>
          <w:color w:val="000000" w:themeColor="text1"/>
          <w:szCs w:val="21"/>
        </w:rPr>
        <w:t>投资者可办理</w:t>
      </w:r>
      <w:bookmarkStart w:id="152" w:name="OLE_LINK228"/>
      <w:r w:rsidRPr="00172454" w:rsidR="00E117AD">
        <w:rPr>
          <w:rFonts w:asciiTheme="minorEastAsia" w:eastAsiaTheme="minorEastAsia" w:hAnsiTheme="minorEastAsia" w:hint="eastAsia"/>
          <w:color w:val="000000" w:themeColor="text1"/>
          <w:szCs w:val="21"/>
        </w:rPr>
        <w:t>场内基金份额</w:t>
      </w:r>
      <w:bookmarkEnd w:id="152"/>
      <w:r w:rsidRPr="00172454">
        <w:rPr>
          <w:rFonts w:asciiTheme="minorEastAsia" w:eastAsiaTheme="minorEastAsia" w:hAnsiTheme="minorEastAsia" w:hint="eastAsia"/>
          <w:color w:val="000000" w:themeColor="text1"/>
          <w:szCs w:val="21"/>
        </w:rPr>
        <w:t>申购、赎回等业务的开放日为</w:t>
      </w:r>
      <w:bookmarkStart w:id="153" w:name="OLE_LINK31"/>
      <w:bookmarkStart w:id="154" w:name="OLE_LINK32"/>
      <w:bookmarkStart w:id="155" w:name="OLE_LINK39"/>
      <w:r w:rsidRPr="00172454">
        <w:rPr>
          <w:rFonts w:asciiTheme="minorEastAsia" w:eastAsiaTheme="minorEastAsia" w:hAnsiTheme="minorEastAsia" w:hint="eastAsia"/>
          <w:color w:val="000000" w:themeColor="text1"/>
          <w:szCs w:val="21"/>
        </w:rPr>
        <w:t>上海证券交易所</w:t>
      </w:r>
      <w:bookmarkEnd w:id="153"/>
      <w:bookmarkEnd w:id="154"/>
      <w:bookmarkEnd w:id="155"/>
      <w:r w:rsidRPr="00172454">
        <w:rPr>
          <w:rFonts w:asciiTheme="minorEastAsia" w:eastAsiaTheme="minorEastAsia" w:hAnsiTheme="minorEastAsia" w:hint="eastAsia"/>
          <w:color w:val="000000" w:themeColor="text1"/>
          <w:szCs w:val="21"/>
        </w:rPr>
        <w:t>的交易日，开放时间为上午</w:t>
      </w:r>
      <w:r w:rsidRPr="00172454">
        <w:rPr>
          <w:rFonts w:asciiTheme="minorEastAsia" w:eastAsiaTheme="minorEastAsia" w:hAnsiTheme="minorEastAsia"/>
          <w:color w:val="000000" w:themeColor="text1"/>
          <w:szCs w:val="21"/>
        </w:rPr>
        <w:t xml:space="preserve">9:30-11:30 </w:t>
      </w:r>
      <w:r w:rsidRPr="00172454">
        <w:rPr>
          <w:rFonts w:asciiTheme="minorEastAsia" w:eastAsiaTheme="minorEastAsia" w:hAnsiTheme="minorEastAsia" w:hint="eastAsia"/>
          <w:color w:val="000000" w:themeColor="text1"/>
          <w:szCs w:val="21"/>
        </w:rPr>
        <w:t>和下午</w:t>
      </w:r>
      <w:r w:rsidRPr="00172454">
        <w:rPr>
          <w:rFonts w:asciiTheme="minorEastAsia" w:eastAsiaTheme="minorEastAsia" w:hAnsiTheme="minorEastAsia"/>
          <w:color w:val="000000" w:themeColor="text1"/>
          <w:szCs w:val="21"/>
        </w:rPr>
        <w:t>1:00-3:00</w:t>
      </w:r>
      <w:r w:rsidRPr="00172454">
        <w:rPr>
          <w:rFonts w:asciiTheme="minorEastAsia" w:eastAsiaTheme="minorEastAsia" w:hAnsiTheme="minorEastAsia" w:hint="eastAsia"/>
          <w:color w:val="000000" w:themeColor="text1"/>
          <w:szCs w:val="21"/>
        </w:rPr>
        <w:t>。在此时间之外不办理基金份额的申购、赎回</w:t>
      </w:r>
      <w:bookmarkStart w:id="156" w:name="OLE_LINK229"/>
      <w:r w:rsidRPr="00172454" w:rsidR="00E117AD">
        <w:rPr>
          <w:rFonts w:asciiTheme="minorEastAsia" w:eastAsiaTheme="minorEastAsia" w:hAnsiTheme="minorEastAsia" w:hint="eastAsia"/>
          <w:bCs/>
          <w:color w:val="000000" w:themeColor="text1"/>
          <w:szCs w:val="21"/>
        </w:rPr>
        <w:t>；但基金管理人根据法律法规、中国证监会的要求或本基金合同的规定公告暂停申购、赎回时除外。</w:t>
      </w:r>
      <w:bookmarkEnd w:id="156"/>
    </w:p>
    <w:bookmarkEnd w:id="150"/>
    <w:bookmarkEnd w:id="151"/>
    <w:p w:rsidR="004D4CB8" w:rsidRPr="00172454" w:rsidP="00150642">
      <w:pPr>
        <w:snapToGrid w:val="0"/>
        <w:spacing w:line="360" w:lineRule="auto"/>
        <w:ind w:firstLine="424" w:firstLineChars="202"/>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投资</w:t>
      </w:r>
      <w:r w:rsidRPr="00172454">
        <w:rPr>
          <w:rFonts w:asciiTheme="minorEastAsia" w:eastAsiaTheme="minorEastAsia" w:hAnsiTheme="minorEastAsia" w:hint="eastAsia"/>
          <w:color w:val="000000" w:themeColor="text1"/>
          <w:szCs w:val="21"/>
        </w:rPr>
        <w:t>者</w:t>
      </w:r>
      <w:r w:rsidRPr="00172454">
        <w:rPr>
          <w:rFonts w:asciiTheme="minorEastAsia" w:eastAsiaTheme="minorEastAsia" w:hAnsiTheme="minorEastAsia" w:hint="eastAsia"/>
          <w:bCs/>
          <w:color w:val="000000" w:themeColor="text1"/>
          <w:szCs w:val="21"/>
        </w:rPr>
        <w:t>可办理场外基金份额的申购和赎回等业务的开放日为</w:t>
      </w:r>
      <w:r w:rsidRPr="00172454">
        <w:rPr>
          <w:rFonts w:asciiTheme="minorEastAsia" w:eastAsiaTheme="minorEastAsia" w:hAnsiTheme="minorEastAsia" w:hint="eastAsia"/>
          <w:color w:val="000000" w:themeColor="text1"/>
          <w:szCs w:val="21"/>
        </w:rPr>
        <w:t>上海证券交易所交易日</w:t>
      </w:r>
      <w:r w:rsidRPr="00172454">
        <w:rPr>
          <w:rFonts w:asciiTheme="minorEastAsia" w:eastAsiaTheme="minorEastAsia" w:hAnsiTheme="minorEastAsia" w:hint="eastAsia"/>
          <w:bCs/>
          <w:color w:val="000000" w:themeColor="text1"/>
          <w:szCs w:val="21"/>
        </w:rPr>
        <w:t>，</w:t>
      </w:r>
      <w:r w:rsidRPr="00172454">
        <w:rPr>
          <w:rFonts w:asciiTheme="minorEastAsia" w:eastAsiaTheme="minorEastAsia" w:hAnsiTheme="minorEastAsia" w:hint="eastAsia"/>
          <w:color w:val="000000" w:themeColor="text1"/>
          <w:szCs w:val="21"/>
        </w:rPr>
        <w:t>交易截止时间为开放日的下午2：00，基金管理人可根据实际情况需要加以调整，具体办理时间以基金管理人的规定为准。</w:t>
      </w:r>
      <w:r w:rsidRPr="00172454">
        <w:rPr>
          <w:rFonts w:asciiTheme="minorEastAsia" w:eastAsiaTheme="minorEastAsia" w:hAnsiTheme="minorEastAsia" w:hint="eastAsia"/>
          <w:bCs/>
          <w:color w:val="000000" w:themeColor="text1"/>
          <w:szCs w:val="21"/>
        </w:rPr>
        <w:t>但基金管理人根据法律法规、中国证监会的要求或基金合同的规定公告暂停申购、赎回时除外。本基金场外申购赎回的开放时间与场内申购赎回的开放时间可能存在差异，投资者应关注基金管理人发布的有关公告并注意其提交交易申请的时间。</w:t>
      </w:r>
    </w:p>
    <w:p w:rsidR="00340BB4"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bookmarkStart w:id="157" w:name="OLE_LINK40"/>
      <w:bookmarkStart w:id="158" w:name="OLE_LINK41"/>
      <w:bookmarkStart w:id="159" w:name="OLE_LINK43"/>
      <w:r w:rsidRPr="00172454">
        <w:rPr>
          <w:rFonts w:asciiTheme="minorEastAsia" w:eastAsiaTheme="minorEastAsia" w:hAnsiTheme="minorEastAsia" w:hint="eastAsia"/>
          <w:bCs/>
          <w:color w:val="000000" w:themeColor="text1"/>
          <w:szCs w:val="21"/>
        </w:rPr>
        <w:t>场外投资</w:t>
      </w:r>
      <w:r w:rsidRPr="00172454">
        <w:rPr>
          <w:rFonts w:asciiTheme="minorEastAsia" w:eastAsiaTheme="minorEastAsia" w:hAnsiTheme="minorEastAsia" w:hint="eastAsia"/>
          <w:color w:val="000000" w:themeColor="text1"/>
          <w:szCs w:val="21"/>
        </w:rPr>
        <w:t>者</w:t>
      </w:r>
      <w:r w:rsidRPr="00172454">
        <w:rPr>
          <w:rFonts w:asciiTheme="minorEastAsia" w:eastAsiaTheme="minorEastAsia" w:hAnsiTheme="minorEastAsia" w:hint="eastAsia"/>
          <w:bCs/>
          <w:color w:val="000000" w:themeColor="text1"/>
          <w:szCs w:val="21"/>
        </w:rPr>
        <w:t>在开放时间以外提交的申购、赎回等交易申请，且登记结算机构确认接受的，其基金份额申购、赎回价格为下一开放日基金份额申购、赎回的价格。</w:t>
      </w:r>
      <w:bookmarkEnd w:id="157"/>
      <w:bookmarkEnd w:id="158"/>
      <w:bookmarkEnd w:id="159"/>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若上海证券交易所变更交易时间或出现其他特殊情况，基金管理人可对开放日、开放时间进行相应的调整并公告。</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0" w:name="_Toc238024277"/>
      <w:bookmarkStart w:id="161" w:name="_Toc253577313"/>
      <w:bookmarkStart w:id="162" w:name="_Toc91766983"/>
      <w:r w:rsidRPr="00172454">
        <w:rPr>
          <w:rFonts w:asciiTheme="minorEastAsia" w:eastAsiaTheme="minorEastAsia" w:hAnsiTheme="minorEastAsia" w:hint="eastAsia"/>
          <w:b w:val="0"/>
          <w:bCs/>
          <w:color w:val="000000" w:themeColor="text1"/>
        </w:rPr>
        <w:t>（三）申购、赎回的原则</w:t>
      </w:r>
      <w:bookmarkEnd w:id="160"/>
      <w:bookmarkEnd w:id="161"/>
      <w:bookmarkEnd w:id="16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163" w:name="OLE_LINK346"/>
      <w:bookmarkStart w:id="164" w:name="OLE_LINK348"/>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本基金</w:t>
      </w:r>
      <w:bookmarkStart w:id="165" w:name="OLE_LINK52"/>
      <w:bookmarkStart w:id="166" w:name="OLE_LINK53"/>
      <w:r w:rsidRPr="00172454" w:rsidR="00C42045">
        <w:rPr>
          <w:rFonts w:asciiTheme="minorEastAsia" w:eastAsiaTheme="minorEastAsia" w:hAnsiTheme="minorEastAsia" w:hint="eastAsia"/>
          <w:bCs/>
          <w:color w:val="000000" w:themeColor="text1"/>
          <w:szCs w:val="21"/>
        </w:rPr>
        <w:t>的</w:t>
      </w:r>
      <w:bookmarkStart w:id="167" w:name="OLE_LINK51"/>
      <w:r w:rsidRPr="00172454" w:rsidR="00C42045">
        <w:rPr>
          <w:rFonts w:asciiTheme="minorEastAsia" w:eastAsiaTheme="minorEastAsia" w:hAnsiTheme="minorEastAsia" w:hint="eastAsia"/>
          <w:bCs/>
          <w:color w:val="000000" w:themeColor="text1"/>
          <w:szCs w:val="21"/>
        </w:rPr>
        <w:t>场内</w:t>
      </w:r>
      <w:bookmarkEnd w:id="165"/>
      <w:bookmarkEnd w:id="167"/>
      <w:r w:rsidRPr="00172454" w:rsidR="00C42045">
        <w:rPr>
          <w:rFonts w:asciiTheme="minorEastAsia" w:eastAsiaTheme="minorEastAsia" w:hAnsiTheme="minorEastAsia" w:hint="eastAsia"/>
          <w:bCs/>
          <w:color w:val="000000" w:themeColor="text1"/>
          <w:szCs w:val="21"/>
        </w:rPr>
        <w:t>份额</w:t>
      </w:r>
      <w:bookmarkEnd w:id="166"/>
      <w:r w:rsidRPr="00172454">
        <w:rPr>
          <w:rFonts w:asciiTheme="minorEastAsia" w:eastAsiaTheme="minorEastAsia" w:hAnsiTheme="minorEastAsia" w:hint="eastAsia"/>
          <w:color w:val="000000" w:themeColor="text1"/>
          <w:szCs w:val="21"/>
        </w:rPr>
        <w:t>采用份额申购和份额赎回的方式，即申购和赎回均以份额申请</w:t>
      </w:r>
      <w:bookmarkStart w:id="168" w:name="OLE_LINK232"/>
      <w:bookmarkStart w:id="169" w:name="OLE_LINK335"/>
      <w:r w:rsidRPr="00172454" w:rsidR="00C42045">
        <w:rPr>
          <w:rFonts w:asciiTheme="minorEastAsia" w:eastAsiaTheme="minorEastAsia" w:hAnsiTheme="minorEastAsia" w:hint="eastAsia"/>
          <w:color w:val="000000" w:themeColor="text1"/>
          <w:szCs w:val="21"/>
        </w:rPr>
        <w:t>；本基金的场外份额采用金额申购、份额赎回的方式，即申购以金额申请、赎回以份额申请</w:t>
      </w:r>
      <w:bookmarkEnd w:id="168"/>
      <w:r w:rsidRPr="00172454" w:rsidR="00C42045">
        <w:rPr>
          <w:rFonts w:asciiTheme="minorEastAsia" w:eastAsiaTheme="minorEastAsia" w:hAnsiTheme="minorEastAsia" w:hint="eastAsia"/>
          <w:color w:val="000000" w:themeColor="text1"/>
          <w:szCs w:val="21"/>
        </w:rPr>
        <w:t>；</w:t>
      </w:r>
      <w:bookmarkEnd w:id="169"/>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本基金</w:t>
      </w:r>
      <w:r w:rsidRPr="00172454" w:rsidR="00DC3C9F">
        <w:rPr>
          <w:rFonts w:asciiTheme="minorEastAsia" w:eastAsiaTheme="minorEastAsia" w:hAnsiTheme="minorEastAsia" w:hint="eastAsia"/>
          <w:bCs/>
          <w:color w:val="000000" w:themeColor="text1"/>
          <w:szCs w:val="21"/>
        </w:rPr>
        <w:t>场内份额</w:t>
      </w:r>
      <w:r w:rsidRPr="00172454">
        <w:rPr>
          <w:rFonts w:asciiTheme="minorEastAsia" w:eastAsiaTheme="minorEastAsia" w:hAnsiTheme="minorEastAsia" w:hint="eastAsia"/>
          <w:color w:val="000000" w:themeColor="text1"/>
          <w:szCs w:val="21"/>
        </w:rPr>
        <w:t>的申购对价、赎回对价包括组合证券、现金替代、现金差额及其他对价</w:t>
      </w:r>
      <w:bookmarkStart w:id="170" w:name="OLE_LINK57"/>
      <w:bookmarkStart w:id="171" w:name="OLE_LINK235"/>
      <w:r w:rsidRPr="00172454" w:rsidR="00D342D1">
        <w:rPr>
          <w:rFonts w:asciiTheme="minorEastAsia" w:eastAsiaTheme="minorEastAsia" w:hAnsiTheme="minorEastAsia" w:hint="eastAsia"/>
          <w:bCs/>
          <w:color w:val="000000" w:themeColor="text1"/>
          <w:szCs w:val="21"/>
        </w:rPr>
        <w:t>；本基金场外份额的申购对价、赎回对价为现金</w:t>
      </w:r>
      <w:bookmarkEnd w:id="170"/>
      <w:bookmarkEnd w:id="171"/>
      <w:r w:rsidRPr="00172454" w:rsidR="00D342D1">
        <w:rPr>
          <w:rFonts w:asciiTheme="minorEastAsia" w:eastAsiaTheme="minorEastAsia" w:hAnsiTheme="minorEastAsia" w:hint="eastAsia"/>
          <w:color w:val="000000" w:themeColor="text1"/>
          <w:szCs w:val="21"/>
        </w:rPr>
        <w:t>；</w:t>
      </w:r>
    </w:p>
    <w:p w:rsidR="00F26B3F"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bCs/>
          <w:color w:val="000000" w:themeColor="text1"/>
          <w:szCs w:val="21"/>
        </w:rPr>
        <w:t>场外份额申购赎回遵循“未知价”原则，即申购、赎回价格以申请当日收市后计算的基金份额净值为基准进行计算</w:t>
      </w:r>
      <w:bookmarkStart w:id="172" w:name="OLE_LINK238"/>
      <w:bookmarkStart w:id="173" w:name="OLE_LINK239"/>
      <w:bookmarkStart w:id="174" w:name="OLE_LINK240"/>
      <w:r w:rsidRPr="00172454">
        <w:rPr>
          <w:rFonts w:asciiTheme="minorEastAsia" w:eastAsiaTheme="minorEastAsia" w:hAnsiTheme="minorEastAsia" w:hint="eastAsia"/>
          <w:color w:val="000000" w:themeColor="text1"/>
          <w:szCs w:val="21"/>
        </w:rPr>
        <w:t>；</w:t>
      </w:r>
      <w:bookmarkEnd w:id="172"/>
      <w:bookmarkEnd w:id="173"/>
      <w:bookmarkEnd w:id="174"/>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bCs/>
          <w:color w:val="000000" w:themeColor="text1"/>
          <w:szCs w:val="21"/>
        </w:rPr>
        <w:t>场外份额赎回遵循“先进先出”原则，即按照投资人申购的先后次序进行顺序赎回</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175" w:name="OLE_LINK74"/>
      <w:bookmarkStart w:id="176" w:name="OLE_LINK406"/>
      <w:r w:rsidRPr="00172454">
        <w:rPr>
          <w:rFonts w:asciiTheme="minorEastAsia" w:eastAsiaTheme="minorEastAsia" w:hAnsiTheme="minorEastAsia" w:hint="eastAsia"/>
          <w:bCs/>
          <w:color w:val="000000" w:themeColor="text1"/>
          <w:szCs w:val="21"/>
        </w:rPr>
        <w:t>5</w:t>
      </w:r>
      <w:r w:rsidRPr="00172454" w:rsidR="001E55A5">
        <w:rPr>
          <w:rFonts w:asciiTheme="minorEastAsia" w:eastAsiaTheme="minorEastAsia" w:hAnsiTheme="minorEastAsia" w:hint="eastAsia"/>
          <w:bCs/>
          <w:color w:val="000000" w:themeColor="text1"/>
          <w:szCs w:val="21"/>
        </w:rPr>
        <w:t>、</w:t>
      </w:r>
      <w:r w:rsidRPr="00172454">
        <w:rPr>
          <w:rFonts w:asciiTheme="minorEastAsia" w:eastAsiaTheme="minorEastAsia" w:hAnsiTheme="minorEastAsia" w:hint="eastAsia"/>
          <w:bCs/>
          <w:color w:val="000000" w:themeColor="text1"/>
          <w:szCs w:val="21"/>
        </w:rPr>
        <w:t>场内</w:t>
      </w:r>
      <w:bookmarkEnd w:id="175"/>
      <w:bookmarkEnd w:id="176"/>
      <w:r w:rsidRPr="00172454">
        <w:rPr>
          <w:rFonts w:asciiTheme="minorEastAsia" w:eastAsiaTheme="minorEastAsia" w:hAnsiTheme="minorEastAsia" w:hint="eastAsia"/>
          <w:color w:val="000000" w:themeColor="text1"/>
          <w:szCs w:val="21"/>
        </w:rPr>
        <w:t>申购、赎回申请提交后不得撤销</w:t>
      </w:r>
      <w:bookmarkStart w:id="177" w:name="OLE_LINK245"/>
      <w:bookmarkStart w:id="178" w:name="OLE_LINK246"/>
      <w:r w:rsidRPr="00172454">
        <w:rPr>
          <w:rFonts w:asciiTheme="minorEastAsia" w:eastAsiaTheme="minorEastAsia" w:hAnsiTheme="minorEastAsia" w:hint="eastAsia"/>
          <w:bCs/>
          <w:color w:val="000000" w:themeColor="text1"/>
          <w:szCs w:val="21"/>
        </w:rPr>
        <w:t>；当日的场外申购、赎回申请可以在当日业务办理时间结束前撤销，在当日的业务办理时间结束后不得撤销；</w:t>
      </w:r>
      <w:bookmarkEnd w:id="177"/>
      <w:bookmarkEnd w:id="178"/>
    </w:p>
    <w:p w:rsidR="00F26B3F" w:rsidRPr="00172454" w:rsidP="00150642">
      <w:pPr>
        <w:snapToGrid w:val="0"/>
        <w:spacing w:line="360" w:lineRule="auto"/>
        <w:ind w:firstLine="480"/>
        <w:rPr>
          <w:rFonts w:asciiTheme="minorEastAsia" w:eastAsiaTheme="minorEastAsia" w:hAnsiTheme="minorEastAsia"/>
          <w:color w:val="000000" w:themeColor="text1"/>
          <w:szCs w:val="21"/>
        </w:rPr>
      </w:pPr>
      <w:bookmarkStart w:id="179" w:name="OLE_LINK408"/>
      <w:r w:rsidRPr="00172454">
        <w:rPr>
          <w:rFonts w:asciiTheme="minorEastAsia" w:eastAsiaTheme="minorEastAsia" w:hAnsiTheme="minorEastAsia" w:hint="eastAsia"/>
          <w:color w:val="000000" w:themeColor="text1"/>
          <w:szCs w:val="21"/>
        </w:rPr>
        <w:t>6</w:t>
      </w:r>
      <w:bookmarkStart w:id="180" w:name="OLE_LINK76"/>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bCs/>
          <w:color w:val="000000" w:themeColor="text1"/>
          <w:szCs w:val="21"/>
        </w:rPr>
        <w:t>场内</w:t>
      </w:r>
      <w:bookmarkEnd w:id="179"/>
      <w:bookmarkEnd w:id="180"/>
      <w:r w:rsidRPr="00172454" w:rsidR="005D5BC7">
        <w:rPr>
          <w:rFonts w:asciiTheme="minorEastAsia" w:eastAsiaTheme="minorEastAsia" w:hAnsiTheme="minorEastAsia" w:hint="eastAsia"/>
          <w:color w:val="000000" w:themeColor="text1"/>
          <w:szCs w:val="21"/>
        </w:rPr>
        <w:t>申购、赎回应遵守《上海证券交易所交易型开放式指数基金业务实施细则》</w:t>
      </w:r>
      <w:r w:rsidRPr="00172454">
        <w:rPr>
          <w:rFonts w:asciiTheme="minorEastAsia" w:eastAsiaTheme="minorEastAsia" w:hAnsiTheme="minorEastAsia" w:hint="eastAsia"/>
          <w:bCs/>
          <w:color w:val="000000" w:themeColor="text1"/>
          <w:szCs w:val="21"/>
        </w:rPr>
        <w:t>等</w:t>
      </w:r>
      <w:r w:rsidRPr="00172454">
        <w:rPr>
          <w:rFonts w:asciiTheme="minorEastAsia" w:eastAsiaTheme="minorEastAsia" w:hAnsiTheme="minorEastAsia" w:hint="eastAsia"/>
          <w:color w:val="000000" w:themeColor="text1"/>
          <w:szCs w:val="21"/>
        </w:rPr>
        <w:t>规定；场外申购赎回应遵守易方达基金管理有限公司的相关业务规则；</w:t>
      </w:r>
    </w:p>
    <w:p w:rsidR="00340BB4"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bookmarkStart w:id="181" w:name="OLE_LINK68"/>
      <w:bookmarkStart w:id="182" w:name="OLE_LINK75"/>
      <w:bookmarkStart w:id="183" w:name="OLE_LINK82"/>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可根据基金运作的实际情况，在对基金份额持有人利益无实质不利影响的前提下调整上述原则，或依据上海证券交易所或登记结算机构相关规则及其变更调整上述规则，但应在新的原则实施前依照有关规定在指定媒介上予以公告</w:t>
      </w:r>
      <w:bookmarkEnd w:id="181"/>
      <w:bookmarkEnd w:id="182"/>
      <w:bookmarkEnd w:id="183"/>
      <w:r w:rsidRPr="00172454">
        <w:rPr>
          <w:rFonts w:asciiTheme="minorEastAsia" w:eastAsiaTheme="minorEastAsia" w:hAnsiTheme="minorEastAsia" w:hint="eastAsia"/>
          <w:color w:val="000000" w:themeColor="text1"/>
          <w:szCs w:val="21"/>
        </w:rPr>
        <w:t>。</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84" w:name="_Toc238024278"/>
      <w:bookmarkStart w:id="185" w:name="_Toc253577314"/>
      <w:bookmarkStart w:id="186" w:name="_Toc91766984"/>
      <w:bookmarkEnd w:id="163"/>
      <w:bookmarkEnd w:id="164"/>
      <w:r w:rsidRPr="00172454">
        <w:rPr>
          <w:rFonts w:asciiTheme="minorEastAsia" w:eastAsiaTheme="minorEastAsia" w:hAnsiTheme="minorEastAsia" w:hint="eastAsia"/>
          <w:b w:val="0"/>
          <w:bCs/>
          <w:color w:val="000000" w:themeColor="text1"/>
        </w:rPr>
        <w:t>（四）</w:t>
      </w:r>
      <w:r w:rsidRPr="00172454" w:rsidR="00CD6410">
        <w:rPr>
          <w:rFonts w:asciiTheme="minorEastAsia" w:eastAsiaTheme="minorEastAsia" w:hAnsiTheme="minorEastAsia" w:hint="eastAsia"/>
          <w:b w:val="0"/>
          <w:bCs/>
          <w:color w:val="000000" w:themeColor="text1"/>
        </w:rPr>
        <w:t>场内</w:t>
      </w:r>
      <w:r w:rsidRPr="00172454">
        <w:rPr>
          <w:rFonts w:asciiTheme="minorEastAsia" w:eastAsiaTheme="minorEastAsia" w:hAnsiTheme="minorEastAsia" w:hint="eastAsia"/>
          <w:b w:val="0"/>
          <w:bCs/>
          <w:color w:val="000000" w:themeColor="text1"/>
        </w:rPr>
        <w:t>申购、赎回的程序</w:t>
      </w:r>
      <w:bookmarkEnd w:id="184"/>
      <w:bookmarkEnd w:id="185"/>
      <w:bookmarkEnd w:id="186"/>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申购与赎回申请的提出</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投资者须按申购赎回代理券商规定，在开放日的开放时间提出申购或赎回的申请。</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投资者申购本基金时，须根据申购、赎回清单备足相应数量的股票和现金。投资者提交赎回申请时，其必须有足够的基金份额余额和现金。</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申购与赎回申请的确认</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申购和赎回的清算交收与登记</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w:t>
      </w:r>
      <w:r w:rsidRPr="00172454" w:rsidR="00121CF7">
        <w:rPr>
          <w:rFonts w:asciiTheme="minorEastAsia" w:eastAsiaTheme="minorEastAsia" w:hAnsiTheme="minorEastAsia" w:hint="eastAsia"/>
          <w:color w:val="000000" w:themeColor="text1"/>
          <w:szCs w:val="21"/>
        </w:rPr>
        <w:t>场内</w:t>
      </w:r>
      <w:r w:rsidRPr="00172454">
        <w:rPr>
          <w:rFonts w:asciiTheme="minorEastAsia" w:eastAsiaTheme="minorEastAsia" w:hAnsiTheme="minorEastAsia" w:hint="eastAsia"/>
          <w:color w:val="000000" w:themeColor="text1"/>
          <w:szCs w:val="21"/>
        </w:rPr>
        <w:t>申购赎回过程中涉及的股票和基金份额交收适用上海证券交易所的结算规则。</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投资者</w:t>
      </w:r>
      <w:r w:rsidRPr="00172454">
        <w:rPr>
          <w:rFonts w:asciiTheme="minorEastAsia" w:eastAsiaTheme="minorEastAsia" w:hAnsiTheme="minorEastAsia"/>
          <w:color w:val="000000" w:themeColor="text1"/>
          <w:szCs w:val="21"/>
        </w:rPr>
        <w:t>T</w:t>
      </w:r>
      <w:r w:rsidRPr="00172454">
        <w:rPr>
          <w:rFonts w:asciiTheme="minorEastAsia" w:eastAsiaTheme="minorEastAsia" w:hAnsiTheme="minorEastAsia" w:hint="eastAsia"/>
          <w:color w:val="000000" w:themeColor="text1"/>
          <w:szCs w:val="21"/>
        </w:rPr>
        <w:t>日申购、赎回成功后，登记结算机构在</w:t>
      </w:r>
      <w:r w:rsidRPr="00172454">
        <w:rPr>
          <w:rFonts w:asciiTheme="minorEastAsia" w:eastAsiaTheme="minorEastAsia" w:hAnsiTheme="minorEastAsia"/>
          <w:color w:val="000000" w:themeColor="text1"/>
          <w:szCs w:val="21"/>
        </w:rPr>
        <w:t>T</w:t>
      </w:r>
      <w:r w:rsidRPr="00172454">
        <w:rPr>
          <w:rFonts w:asciiTheme="minorEastAsia" w:eastAsiaTheme="minorEastAsia" w:hAnsiTheme="minorEastAsia" w:hint="eastAsia"/>
          <w:color w:val="000000" w:themeColor="text1"/>
          <w:szCs w:val="21"/>
        </w:rPr>
        <w:t>日收市后为投资者办理基金份额与组合证券的清算交收以及现金替代等的清算，在</w:t>
      </w:r>
      <w:r w:rsidRPr="00172454">
        <w:rPr>
          <w:rFonts w:asciiTheme="minorEastAsia" w:eastAsiaTheme="minorEastAsia" w:hAnsiTheme="minorEastAsia"/>
          <w:color w:val="000000" w:themeColor="text1"/>
          <w:szCs w:val="21"/>
        </w:rPr>
        <w:t>T+1</w:t>
      </w:r>
      <w:r w:rsidRPr="00172454">
        <w:rPr>
          <w:rFonts w:asciiTheme="minorEastAsia" w:eastAsiaTheme="minorEastAsia" w:hAnsiTheme="minorEastAsia" w:hint="eastAsia"/>
          <w:color w:val="000000" w:themeColor="text1"/>
          <w:szCs w:val="21"/>
        </w:rPr>
        <w:t>日办理现金替代等的交收以及现金差额的清算，在</w:t>
      </w:r>
      <w:r w:rsidRPr="00172454">
        <w:rPr>
          <w:rFonts w:asciiTheme="minorEastAsia" w:eastAsiaTheme="minorEastAsia" w:hAnsiTheme="minorEastAsia"/>
          <w:color w:val="000000" w:themeColor="text1"/>
          <w:szCs w:val="21"/>
        </w:rPr>
        <w:t>T+2</w:t>
      </w:r>
      <w:r w:rsidRPr="00172454">
        <w:rPr>
          <w:rFonts w:asciiTheme="minorEastAsia" w:eastAsiaTheme="minorEastAsia" w:hAnsiTheme="minorEastAsia" w:hint="eastAsia"/>
          <w:color w:val="000000" w:themeColor="text1"/>
          <w:szCs w:val="21"/>
        </w:rPr>
        <w:t>日办理现金差额的交收，并将结果发送给申购赎回代理券商、基金管理人和基金托管人。如果登记结算机构在清算交收时发现不能正常履约的情形，则依据《中国证券登记结算有限责任公司交易型开放式指数基金登记结算业务实施细则》的有关规定进行处理。</w:t>
      </w:r>
      <w:r w:rsidRPr="00172454">
        <w:rPr>
          <w:rFonts w:asciiTheme="minorEastAsia" w:eastAsiaTheme="minorEastAsia" w:hAnsiTheme="minorEastAsia"/>
          <w:color w:val="000000" w:themeColor="text1"/>
          <w:szCs w:val="21"/>
        </w:rPr>
        <w:t xml:space="preserve"> </w:t>
      </w:r>
    </w:p>
    <w:p w:rsidR="00340BB4" w:rsidRPr="00172454" w:rsidP="00150642">
      <w:pPr>
        <w:snapToGrid w:val="0"/>
        <w:spacing w:line="360" w:lineRule="auto"/>
        <w:ind w:firstLine="424" w:firstLineChars="202"/>
        <w:rPr>
          <w:rFonts w:asciiTheme="minorEastAsia" w:eastAsiaTheme="minorEastAsia" w:hAnsiTheme="minorEastAsia"/>
          <w:bCs/>
          <w:color w:val="000000" w:themeColor="text1"/>
          <w:sz w:val="28"/>
          <w:szCs w:val="28"/>
        </w:rPr>
      </w:pPr>
      <w:r w:rsidRPr="00172454">
        <w:rPr>
          <w:rFonts w:asciiTheme="minorEastAsia" w:eastAsiaTheme="minorEastAsia" w:hAnsiTheme="minorEastAsia" w:hint="eastAsia"/>
          <w:color w:val="000000" w:themeColor="text1"/>
          <w:szCs w:val="21"/>
        </w:rPr>
        <w:t>登记结算机构可在法律法规允许的范围内，对清算交收和登记的办理时间、方式进行调整，并最迟于开始实施前</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个工作日在</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公告。</w:t>
      </w:r>
      <w:r w:rsidRPr="00172454">
        <w:rPr>
          <w:rFonts w:asciiTheme="minorEastAsia" w:eastAsiaTheme="minorEastAsia" w:hAnsiTheme="minorEastAsia"/>
          <w:color w:val="000000" w:themeColor="text1"/>
          <w:szCs w:val="21"/>
        </w:rPr>
        <w:t xml:space="preserve"> </w:t>
      </w:r>
      <w:bookmarkStart w:id="187" w:name="OLE_LINK418"/>
      <w:bookmarkStart w:id="188" w:name="OLE_LINK419"/>
      <w:bookmarkStart w:id="189" w:name="_Toc238024279"/>
      <w:bookmarkStart w:id="190" w:name="_Toc253577315"/>
    </w:p>
    <w:p w:rsidR="00340BB4"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91" w:name="_Toc91766985"/>
      <w:r w:rsidRPr="00172454">
        <w:rPr>
          <w:rFonts w:asciiTheme="minorEastAsia" w:eastAsiaTheme="minorEastAsia" w:hAnsiTheme="minorEastAsia" w:hint="eastAsia"/>
          <w:b w:val="0"/>
          <w:bCs/>
          <w:color w:val="000000" w:themeColor="text1"/>
        </w:rPr>
        <w:t>（五）</w:t>
      </w:r>
      <w:bookmarkStart w:id="192" w:name="OLE_LINK88"/>
      <w:bookmarkStart w:id="193" w:name="OLE_LINK89"/>
      <w:r w:rsidRPr="00172454">
        <w:rPr>
          <w:rFonts w:asciiTheme="minorEastAsia" w:eastAsiaTheme="minorEastAsia" w:hAnsiTheme="minorEastAsia" w:hint="eastAsia"/>
          <w:b w:val="0"/>
          <w:bCs/>
          <w:color w:val="000000" w:themeColor="text1"/>
        </w:rPr>
        <w:t>场外申购赎回的程序</w:t>
      </w:r>
      <w:bookmarkEnd w:id="191"/>
      <w:bookmarkEnd w:id="192"/>
      <w:bookmarkEnd w:id="193"/>
    </w:p>
    <w:p w:rsidR="00121CF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bookmarkStart w:id="194" w:name="OLE_LINK90"/>
      <w:bookmarkStart w:id="195" w:name="OLE_LINK91"/>
      <w:bookmarkStart w:id="196" w:name="OLE_LINK397"/>
      <w:bookmarkEnd w:id="187"/>
      <w:bookmarkEnd w:id="188"/>
      <w:r w:rsidRPr="00172454">
        <w:rPr>
          <w:rFonts w:asciiTheme="minorEastAsia" w:eastAsiaTheme="minorEastAsia" w:hAnsiTheme="minorEastAsia" w:hint="eastAsia"/>
          <w:bCs/>
          <w:color w:val="000000" w:themeColor="text1"/>
          <w:szCs w:val="21"/>
        </w:rPr>
        <w:t>1、申购和赎回的申请方式</w:t>
      </w:r>
    </w:p>
    <w:p w:rsidR="00121CF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bookmarkStart w:id="197" w:name="OLE_LINK349"/>
      <w:r w:rsidRPr="00172454">
        <w:rPr>
          <w:rFonts w:asciiTheme="minorEastAsia" w:eastAsiaTheme="minorEastAsia" w:hAnsiTheme="minorEastAsia" w:hint="eastAsia"/>
          <w:bCs/>
          <w:color w:val="000000" w:themeColor="text1"/>
          <w:szCs w:val="21"/>
        </w:rPr>
        <w:t>投资者必须根据基金管理人规定的程序，在开放日的开放时间内提出申购或赎回的申请。</w:t>
      </w:r>
    </w:p>
    <w:p w:rsidR="00121CF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投资者在提交申购申请时须全额交付申购款项，并在规定的截止时间前划到销售机构指定的账户上，投资者在提交赎回申请时须持有足够的基金份额余额，否则所提交的申购、赎回申请不成立而不予成交。</w:t>
      </w:r>
    </w:p>
    <w:bookmarkEnd w:id="197"/>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2、申购和赎回申请的确认</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在场外申购、赎回开放日截止时间前受理申购和赎回申请的当天作为申购或赎回申请日（T日），在正常情况下，本基金登记结算机构在T+1日对该交易的有效性进行确认。申购、赎回的确认以基金登记结算机构的确认结果为准。</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3、申购和赎回的款项支付</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申购采用全额缴款方式，</w:t>
      </w:r>
      <w:r w:rsidRPr="00172454">
        <w:rPr>
          <w:rFonts w:asciiTheme="minorEastAsia" w:eastAsiaTheme="minorEastAsia" w:hAnsiTheme="minorEastAsia"/>
          <w:color w:val="000000" w:themeColor="text1"/>
          <w:szCs w:val="21"/>
        </w:rPr>
        <w:t>投资人交付</w:t>
      </w:r>
      <w:r w:rsidRPr="00172454">
        <w:rPr>
          <w:rFonts w:asciiTheme="minorEastAsia" w:eastAsiaTheme="minorEastAsia" w:hAnsiTheme="minorEastAsia" w:hint="eastAsia"/>
          <w:color w:val="000000" w:themeColor="text1"/>
          <w:szCs w:val="21"/>
        </w:rPr>
        <w:t>申购</w:t>
      </w:r>
      <w:r w:rsidRPr="00172454">
        <w:rPr>
          <w:rFonts w:asciiTheme="minorEastAsia" w:eastAsiaTheme="minorEastAsia" w:hAnsiTheme="minorEastAsia"/>
          <w:color w:val="000000" w:themeColor="text1"/>
          <w:szCs w:val="21"/>
        </w:rPr>
        <w:t>款项，申购</w:t>
      </w:r>
      <w:r w:rsidRPr="00172454">
        <w:rPr>
          <w:rFonts w:asciiTheme="minorEastAsia" w:eastAsiaTheme="minorEastAsia" w:hAnsiTheme="minorEastAsia" w:hint="eastAsia"/>
          <w:color w:val="000000" w:themeColor="text1"/>
          <w:szCs w:val="21"/>
        </w:rPr>
        <w:t>成立；登记结算机构确认基金份额时，申购生效。若申购资金在规定的截止时间内未全额到账则申购不成立。若申购不成立或无效，基金管理人将投资者已缴付的申购款项本金退还给投资者。</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基金管理人将在接受投资者有效赎回申请之日起七个工作日内支付赎回款项。在发生场外巨额赎回或本基金合同载明的其他暂停赎回或延缓支付赎回款项的情形时，款项的支付办法参照本基金合同有关条款处理。</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4、申购和赎回的注册登记</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正常情况下，投资者T日申购基金成功后，登记结算机构在T+1日为投资者增加权益并办理注册登记手续，投资人自T+1日起有权申请赎回该部分基金份额，或在条件许可情况下申请办理跨系统转托管；</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基金份额持有人T日赎回基金成功后，正常情况下，登记结算机构在T+1日为投资者办理扣除权益的注册登记手续；</w:t>
      </w:r>
    </w:p>
    <w:p w:rsidR="00121CF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在法律法规允许的范围内，登记结算机构可以对上述注册登记办理时间进行调整，但不得实质影响投资者的合法权益，基金管理人最迟于实施前在</w:t>
      </w:r>
      <w:bookmarkStart w:id="198" w:name="OLE_LINK129"/>
      <w:bookmarkStart w:id="199" w:name="OLE_LINK130"/>
      <w:r w:rsidRPr="00172454">
        <w:rPr>
          <w:rFonts w:asciiTheme="minorEastAsia" w:eastAsiaTheme="minorEastAsia" w:hAnsiTheme="minorEastAsia" w:hint="eastAsia"/>
          <w:bCs/>
          <w:color w:val="000000" w:themeColor="text1"/>
          <w:szCs w:val="21"/>
        </w:rPr>
        <w:t>指定媒介</w:t>
      </w:r>
      <w:bookmarkEnd w:id="198"/>
      <w:bookmarkEnd w:id="199"/>
      <w:r w:rsidRPr="00172454">
        <w:rPr>
          <w:rFonts w:asciiTheme="minorEastAsia" w:eastAsiaTheme="minorEastAsia" w:hAnsiTheme="minorEastAsia" w:hint="eastAsia"/>
          <w:bCs/>
          <w:color w:val="000000" w:themeColor="text1"/>
          <w:szCs w:val="21"/>
        </w:rPr>
        <w:t>上公告。</w:t>
      </w:r>
    </w:p>
    <w:p w:rsidR="00121CF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5、申购和赎回的投资交易</w:t>
      </w:r>
    </w:p>
    <w:p w:rsidR="00340BB4" w:rsidRPr="00172454" w:rsidP="00150642">
      <w:pPr>
        <w:snapToGrid w:val="0"/>
        <w:spacing w:line="360" w:lineRule="auto"/>
        <w:ind w:firstLine="420" w:firstLineChars="200"/>
        <w:rPr>
          <w:rFonts w:asciiTheme="minorEastAsia" w:eastAsiaTheme="minorEastAsia" w:hAnsiTheme="minorEastAsia"/>
          <w:b/>
          <w:bCs/>
          <w:color w:val="000000" w:themeColor="text1"/>
          <w:szCs w:val="21"/>
        </w:rPr>
      </w:pPr>
      <w:r w:rsidRPr="00172454">
        <w:rPr>
          <w:rFonts w:asciiTheme="minorEastAsia" w:eastAsiaTheme="minorEastAsia" w:hAnsiTheme="minorEastAsia" w:hint="eastAsia"/>
          <w:bCs/>
          <w:color w:val="000000" w:themeColor="text1"/>
          <w:szCs w:val="21"/>
        </w:rPr>
        <w:t>对于T日截止时间前收到的有效申购及有效赎回申请，基金管理人将根据轧差之后的净申购金额或净赎回数量，采用算法交易系统，按尽可能贴近收盘价的原则，在T日完成相应的证券交易。</w:t>
      </w:r>
      <w:bookmarkEnd w:id="194"/>
      <w:bookmarkEnd w:id="195"/>
      <w:bookmarkEnd w:id="196"/>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00" w:name="_Toc91766986"/>
      <w:r w:rsidRPr="00172454">
        <w:rPr>
          <w:rFonts w:asciiTheme="minorEastAsia" w:eastAsiaTheme="minorEastAsia" w:hAnsiTheme="minorEastAsia" w:hint="eastAsia"/>
          <w:b w:val="0"/>
          <w:bCs/>
          <w:color w:val="000000" w:themeColor="text1"/>
        </w:rPr>
        <w:t>（六）</w:t>
      </w:r>
      <w:bookmarkStart w:id="201" w:name="OLE_LINK2"/>
      <w:bookmarkStart w:id="202" w:name="OLE_LINK4"/>
      <w:r w:rsidRPr="00172454">
        <w:rPr>
          <w:rFonts w:asciiTheme="minorEastAsia" w:eastAsiaTheme="minorEastAsia" w:hAnsiTheme="minorEastAsia" w:hint="eastAsia"/>
          <w:b w:val="0"/>
          <w:bCs/>
          <w:color w:val="000000" w:themeColor="text1"/>
        </w:rPr>
        <w:t>场内申购</w:t>
      </w:r>
      <w:r w:rsidRPr="00172454" w:rsidR="009A0815">
        <w:rPr>
          <w:rFonts w:asciiTheme="minorEastAsia" w:eastAsiaTheme="minorEastAsia" w:hAnsiTheme="minorEastAsia" w:hint="eastAsia"/>
          <w:b w:val="0"/>
          <w:bCs/>
          <w:color w:val="000000" w:themeColor="text1"/>
        </w:rPr>
        <w:t>与</w:t>
      </w:r>
      <w:r w:rsidRPr="00172454">
        <w:rPr>
          <w:rFonts w:asciiTheme="minorEastAsia" w:eastAsiaTheme="minorEastAsia" w:hAnsiTheme="minorEastAsia" w:hint="eastAsia"/>
          <w:b w:val="0"/>
          <w:bCs/>
          <w:color w:val="000000" w:themeColor="text1"/>
        </w:rPr>
        <w:t>赎回的</w:t>
      </w:r>
      <w:bookmarkStart w:id="203" w:name="OLE_LINK5"/>
      <w:bookmarkStart w:id="204" w:name="OLE_LINK6"/>
      <w:r w:rsidRPr="00172454">
        <w:rPr>
          <w:rFonts w:asciiTheme="minorEastAsia" w:eastAsiaTheme="minorEastAsia" w:hAnsiTheme="minorEastAsia" w:hint="eastAsia"/>
          <w:b w:val="0"/>
          <w:bCs/>
          <w:color w:val="000000" w:themeColor="text1"/>
        </w:rPr>
        <w:t>数额限制</w:t>
      </w:r>
      <w:bookmarkEnd w:id="189"/>
      <w:bookmarkEnd w:id="190"/>
      <w:bookmarkEnd w:id="200"/>
      <w:bookmarkEnd w:id="201"/>
      <w:bookmarkEnd w:id="202"/>
      <w:bookmarkEnd w:id="203"/>
      <w:bookmarkEnd w:id="204"/>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投资人申购、赎回的基金份额需为最小申购、赎回单位的整数倍。</w:t>
      </w:r>
    </w:p>
    <w:p w:rsidR="00340BB4"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本基金最小申购、赎回单位为40万份，基金管理人有权对其进行更改，并在更改前至少</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个工作日在至少一种</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公告。</w:t>
      </w:r>
      <w:bookmarkStart w:id="205" w:name="OLE_LINK428"/>
      <w:bookmarkStart w:id="206" w:name="OLE_LINK429"/>
      <w:bookmarkStart w:id="207" w:name="_Toc238024280"/>
      <w:bookmarkStart w:id="208" w:name="_Toc253577316"/>
    </w:p>
    <w:p w:rsidR="00802E56" w:rsidRPr="00172454" w:rsidP="00F0079F">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具体请参见相关公告。</w:t>
      </w:r>
    </w:p>
    <w:p w:rsidR="00BE3AF9"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可根据市场情况，在法律法规允许的情况下，调整申购和赎回的数额限制，如规定每个基金交易账户的最低场内基金份额余额、单个投资者单日或单笔申购份额上限和净申购比例上限等，或者新增基金规模控制措施。基金管理人必须在调整生效前依照《信息披露办法》的有关规定在指定媒介公告。</w:t>
      </w:r>
    </w:p>
    <w:p w:rsidR="00340BB4"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09" w:name="_Toc91766987"/>
      <w:r w:rsidRPr="00172454">
        <w:rPr>
          <w:rFonts w:asciiTheme="minorEastAsia" w:eastAsiaTheme="minorEastAsia" w:hAnsiTheme="minorEastAsia" w:hint="eastAsia"/>
          <w:b w:val="0"/>
          <w:bCs/>
          <w:color w:val="000000" w:themeColor="text1"/>
        </w:rPr>
        <w:t>（七）</w:t>
      </w:r>
      <w:bookmarkStart w:id="210" w:name="OLE_LINK92"/>
      <w:bookmarkStart w:id="211" w:name="OLE_LINK95"/>
      <w:bookmarkEnd w:id="205"/>
      <w:bookmarkEnd w:id="206"/>
      <w:r w:rsidRPr="00172454">
        <w:rPr>
          <w:rFonts w:asciiTheme="minorEastAsia" w:eastAsiaTheme="minorEastAsia" w:hAnsiTheme="minorEastAsia" w:hint="eastAsia"/>
          <w:b w:val="0"/>
          <w:bCs/>
          <w:color w:val="000000" w:themeColor="text1"/>
        </w:rPr>
        <w:t>场外申购与赎回的数额限制</w:t>
      </w:r>
      <w:bookmarkEnd w:id="209"/>
      <w:bookmarkEnd w:id="210"/>
      <w:bookmarkEnd w:id="211"/>
    </w:p>
    <w:p w:rsidR="00A41B23"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1、投资者每次申购的单笔最低金额为人民币200万元，每次赎回的单笔最低份额为100万份。 </w:t>
      </w:r>
    </w:p>
    <w:p w:rsidR="00A41B23"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2、投资者可将其全部或部分基金份额赎回。单笔赎回不得少于100万份（如该账户在该场外销售机构托管的基金份额余额不足100万份，则必须一次性赎回该基金全部场外份额）</w:t>
      </w:r>
      <w:r w:rsidRPr="00172454" w:rsidR="005B348F">
        <w:rPr>
          <w:rFonts w:asciiTheme="minorEastAsia" w:eastAsiaTheme="minorEastAsia" w:hAnsiTheme="minorEastAsia" w:hint="eastAsia"/>
          <w:color w:val="000000" w:themeColor="text1"/>
          <w:szCs w:val="21"/>
        </w:rPr>
        <w:t>，且申请份额数需为整数份额</w:t>
      </w:r>
      <w:r w:rsidRPr="00172454">
        <w:rPr>
          <w:rFonts w:asciiTheme="minorEastAsia" w:eastAsiaTheme="minorEastAsia" w:hAnsiTheme="minorEastAsia" w:hint="eastAsia"/>
          <w:color w:val="000000" w:themeColor="text1"/>
          <w:szCs w:val="21"/>
        </w:rPr>
        <w:t xml:space="preserve">；若某笔赎回将导致投资者在该场外销售机构托管的该只基金份额余额不足100万份时，基金管理人有权将投资者在该销售机构托管的该基金剩余场外份额一次性全部赎回。 </w:t>
      </w:r>
    </w:p>
    <w:p w:rsidR="00802E56"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340BB4"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sidR="00A41B23">
        <w:rPr>
          <w:rFonts w:asciiTheme="minorEastAsia" w:eastAsiaTheme="minorEastAsia" w:hAnsiTheme="minorEastAsia" w:hint="eastAsia"/>
          <w:color w:val="000000" w:themeColor="text1"/>
          <w:szCs w:val="21"/>
        </w:rPr>
        <w:t>、上述规定详见基金管理人相关业务规则。基金管理人可以根据市场情况，在法律法规允许的情况下，调整上述规定申购金额和赎回份额的数量限制</w:t>
      </w:r>
      <w:r w:rsidRPr="00172454">
        <w:rPr>
          <w:rFonts w:asciiTheme="minorEastAsia" w:eastAsiaTheme="minorEastAsia" w:hAnsiTheme="minorEastAsia" w:hint="eastAsia"/>
          <w:color w:val="000000" w:themeColor="text1"/>
          <w:szCs w:val="21"/>
        </w:rPr>
        <w:t>，或者新增基金规模控制措施</w:t>
      </w:r>
      <w:r w:rsidRPr="00172454" w:rsidR="00A41B23">
        <w:rPr>
          <w:rFonts w:asciiTheme="minorEastAsia" w:eastAsiaTheme="minorEastAsia" w:hAnsiTheme="minorEastAsia" w:hint="eastAsia"/>
          <w:color w:val="000000" w:themeColor="text1"/>
          <w:szCs w:val="21"/>
        </w:rPr>
        <w:t>。基金管理人必须在调整前依照《信息披露办法》的有关规定在</w:t>
      </w:r>
      <w:r w:rsidRPr="00172454" w:rsidR="00307584">
        <w:rPr>
          <w:rFonts w:asciiTheme="minorEastAsia" w:eastAsiaTheme="minorEastAsia" w:hAnsiTheme="minorEastAsia" w:hint="eastAsia"/>
          <w:color w:val="000000" w:themeColor="text1"/>
          <w:szCs w:val="21"/>
        </w:rPr>
        <w:t>指定媒介</w:t>
      </w:r>
      <w:r w:rsidRPr="00172454" w:rsidR="00A41B23">
        <w:rPr>
          <w:rFonts w:asciiTheme="minorEastAsia" w:eastAsiaTheme="minorEastAsia" w:hAnsiTheme="minorEastAsia" w:hint="eastAsia"/>
          <w:color w:val="000000" w:themeColor="text1"/>
          <w:szCs w:val="21"/>
        </w:rPr>
        <w:t>上公告。</w:t>
      </w:r>
    </w:p>
    <w:p w:rsidR="00340BB4"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12" w:name="_Toc91766988"/>
      <w:bookmarkStart w:id="213" w:name="OLE_LINK430"/>
      <w:bookmarkStart w:id="214" w:name="OLE_LINK431"/>
      <w:r w:rsidRPr="00172454">
        <w:rPr>
          <w:rFonts w:asciiTheme="minorEastAsia" w:eastAsiaTheme="minorEastAsia" w:hAnsiTheme="minorEastAsia" w:hint="eastAsia"/>
          <w:b w:val="0"/>
          <w:bCs/>
          <w:color w:val="000000" w:themeColor="text1"/>
        </w:rPr>
        <w:t>（八）</w:t>
      </w:r>
      <w:r w:rsidRPr="00172454" w:rsidR="00360490">
        <w:rPr>
          <w:rFonts w:asciiTheme="minorEastAsia" w:eastAsiaTheme="minorEastAsia" w:hAnsiTheme="minorEastAsia" w:hint="eastAsia"/>
          <w:b w:val="0"/>
          <w:bCs/>
          <w:color w:val="000000" w:themeColor="text1"/>
        </w:rPr>
        <w:t>场内</w:t>
      </w:r>
      <w:r w:rsidRPr="00172454" w:rsidR="005D5BC7">
        <w:rPr>
          <w:rFonts w:asciiTheme="minorEastAsia" w:eastAsiaTheme="minorEastAsia" w:hAnsiTheme="minorEastAsia" w:hint="eastAsia"/>
          <w:b w:val="0"/>
          <w:bCs/>
          <w:color w:val="000000" w:themeColor="text1"/>
        </w:rPr>
        <w:t>申购、赎回的对价、费用及价格</w:t>
      </w:r>
      <w:bookmarkEnd w:id="207"/>
      <w:bookmarkEnd w:id="208"/>
      <w:bookmarkEnd w:id="212"/>
    </w:p>
    <w:bookmarkEnd w:id="213"/>
    <w:bookmarkEnd w:id="214"/>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对价是指投资者申购基金份额时应交付的组合证券、现金替代、现金差额及其他对价。赎回对价是指投资者赎回基金份额时，基金管理人应交付给赎回投资者的组合证券、现金替代、现金差额及其他对价。申购对价、赎回对价根据申购、赎回清单和投资者申购、赎回的基金份额数额确定。</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T</w:t>
      </w:r>
      <w:r w:rsidRPr="00172454">
        <w:rPr>
          <w:rFonts w:asciiTheme="minorEastAsia" w:eastAsiaTheme="minorEastAsia" w:hAnsiTheme="minorEastAsia" w:hint="eastAsia"/>
          <w:color w:val="000000" w:themeColor="text1"/>
          <w:szCs w:val="21"/>
        </w:rPr>
        <w:t>日的基金份额净值在当天收市后计算，并在</w:t>
      </w:r>
      <w:r w:rsidRPr="00172454">
        <w:rPr>
          <w:rFonts w:asciiTheme="minorEastAsia" w:eastAsiaTheme="minorEastAsia" w:hAnsiTheme="minorEastAsia"/>
          <w:color w:val="000000" w:themeColor="text1"/>
          <w:szCs w:val="21"/>
        </w:rPr>
        <w:t>T+1</w:t>
      </w:r>
      <w:r w:rsidRPr="00172454">
        <w:rPr>
          <w:rFonts w:asciiTheme="minorEastAsia" w:eastAsiaTheme="minorEastAsia" w:hAnsiTheme="minorEastAsia" w:hint="eastAsia"/>
          <w:color w:val="000000" w:themeColor="text1"/>
          <w:szCs w:val="21"/>
        </w:rPr>
        <w:t>日公告，计算公式为计算日基金资产净值除以计算日发售在外的基金份额总数。如遇特殊情况，可以适当延迟计算或公告。</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申购对价、赎回对价根据申购、赎回清单和投资者申购、赎回的基金份额数额确定。申购、赎回清单由基金管理人编制。</w:t>
      </w:r>
      <w:r w:rsidRPr="00172454">
        <w:rPr>
          <w:rFonts w:asciiTheme="minorEastAsia" w:eastAsiaTheme="minorEastAsia" w:hAnsiTheme="minorEastAsia"/>
          <w:color w:val="000000" w:themeColor="text1"/>
          <w:szCs w:val="21"/>
        </w:rPr>
        <w:t>T</w:t>
      </w:r>
      <w:r w:rsidRPr="00172454">
        <w:rPr>
          <w:rFonts w:asciiTheme="minorEastAsia" w:eastAsiaTheme="minorEastAsia" w:hAnsiTheme="minorEastAsia" w:hint="eastAsia"/>
          <w:color w:val="000000" w:themeColor="text1"/>
          <w:szCs w:val="21"/>
        </w:rPr>
        <w:t>日的申购、赎回清单在当日上海证券交易所开市前公告。</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投资者在申购或赎回基金份额时，申购赎回代理券商可按照不超过申购或赎回份额</w:t>
      </w:r>
      <w:r w:rsidRPr="00172454">
        <w:rPr>
          <w:rFonts w:asciiTheme="minorEastAsia" w:eastAsiaTheme="minorEastAsia" w:hAnsiTheme="minorEastAsia"/>
          <w:color w:val="000000" w:themeColor="text1"/>
          <w:szCs w:val="21"/>
        </w:rPr>
        <w:t>0.5</w:t>
      </w:r>
      <w:r w:rsidRPr="00172454">
        <w:rPr>
          <w:rFonts w:asciiTheme="minorEastAsia" w:eastAsiaTheme="minorEastAsia" w:hAnsiTheme="minorEastAsia" w:hint="eastAsia"/>
          <w:color w:val="000000" w:themeColor="text1"/>
          <w:szCs w:val="21"/>
        </w:rPr>
        <w:t>％的标准收取佣金，其中包含证券交易所、登记结算机构等收取的相关费用。</w:t>
      </w:r>
      <w:r w:rsidRPr="00172454">
        <w:rPr>
          <w:rFonts w:asciiTheme="minorEastAsia" w:eastAsiaTheme="minorEastAsia" w:hAnsiTheme="minorEastAsia"/>
          <w:color w:val="000000" w:themeColor="text1"/>
          <w:szCs w:val="21"/>
        </w:rPr>
        <w:t xml:space="preserve"> </w:t>
      </w:r>
    </w:p>
    <w:p w:rsidR="00917DAC"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15" w:name="OLE_LINK433"/>
      <w:bookmarkStart w:id="216" w:name="OLE_LINK434"/>
      <w:bookmarkStart w:id="217" w:name="_Toc91766989"/>
      <w:r w:rsidRPr="00172454">
        <w:rPr>
          <w:rFonts w:asciiTheme="minorEastAsia" w:eastAsiaTheme="minorEastAsia" w:hAnsiTheme="minorEastAsia" w:hint="eastAsia"/>
          <w:b w:val="0"/>
          <w:bCs/>
          <w:color w:val="000000" w:themeColor="text1"/>
        </w:rPr>
        <w:t>（九）</w:t>
      </w:r>
      <w:bookmarkStart w:id="218" w:name="OLE_LINK54"/>
      <w:bookmarkEnd w:id="215"/>
      <w:bookmarkEnd w:id="216"/>
      <w:r w:rsidRPr="00172454">
        <w:rPr>
          <w:rFonts w:asciiTheme="minorEastAsia" w:eastAsiaTheme="minorEastAsia" w:hAnsiTheme="minorEastAsia" w:hint="eastAsia"/>
          <w:b w:val="0"/>
          <w:bCs/>
          <w:color w:val="000000" w:themeColor="text1"/>
        </w:rPr>
        <w:t>场外申购、赎回的对价、费用及价格</w:t>
      </w:r>
      <w:bookmarkEnd w:id="217"/>
      <w:bookmarkEnd w:id="218"/>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19" w:name="OLE_LINK106"/>
      <w:r w:rsidRPr="00172454">
        <w:rPr>
          <w:rFonts w:asciiTheme="minorEastAsia" w:eastAsiaTheme="minorEastAsia" w:hAnsiTheme="minorEastAsia"/>
          <w:color w:val="000000" w:themeColor="text1"/>
          <w:szCs w:val="21"/>
        </w:rPr>
        <w:t>1、本基金份额净值的计算，保留到小数点后4位，小数点后第5位四舍五入。</w:t>
      </w:r>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申购份额的计算及余额的处理方式：申购的有效份额为净申购金额除以当日的基金份额净值，有效份额单位为份，份额计算结果均按四舍五入方法，保留到整数位，申购费用以人民币元为单位，四舍五入保留至小数点后两位，由此产生的收益或损失由基金财产承担。</w:t>
      </w:r>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赎回金额的计算及处理方式：赎回金额为赎回份额乘以当日基金份额净值减去赎回相关费用（如有），赎回金额、赎回费用的单位为人民币元，四舍五入保留到小数点两位，由此产生的收益或损失由基金财产承担。</w:t>
      </w:r>
    </w:p>
    <w:p w:rsidR="008D5DC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olor w:val="000000" w:themeColor="text1"/>
          <w:szCs w:val="21"/>
        </w:rPr>
        <w:t>4、投资者在申购或赎回基金份额时，基金管理人参考当时市场的交易佣金、印花税等相关交易成本水平，收取一定的申购费和/或赎回费并归入基金资产，力争覆盖场外现金申赎引起的证券交易费用。</w:t>
      </w:r>
      <w:r w:rsidRPr="00172454" w:rsidR="000E17D5">
        <w:rPr>
          <w:rFonts w:asciiTheme="minorEastAsia" w:eastAsiaTheme="minorEastAsia" w:hAnsiTheme="minorEastAsia" w:cs="Arial" w:hint="eastAsia"/>
          <w:color w:val="000000" w:themeColor="text1"/>
          <w:szCs w:val="21"/>
        </w:rPr>
        <w:t>当前的申购、赎回费率如下：</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申购费率：0.05%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赎回费率：0.15%</w:t>
      </w:r>
    </w:p>
    <w:p w:rsidR="000E17D5" w:rsidRPr="00172454" w:rsidP="00150642">
      <w:pPr>
        <w:snapToGrid w:val="0"/>
        <w:spacing w:line="360" w:lineRule="auto"/>
        <w:ind w:firstLine="424" w:firstLineChars="202"/>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本基金的申购费由申购人承担，赎回费由赎回人承担，申购费与赎回费均全部归入基金财产。</w:t>
      </w:r>
    </w:p>
    <w:p w:rsidR="00340BB4"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基金管理人可根据市场情况调整申购费率、赎回费率，经公告后实施。</w:t>
      </w:r>
    </w:p>
    <w:p w:rsidR="00340BB4"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5、</w:t>
      </w:r>
      <w:r w:rsidRPr="00172454" w:rsidR="000E17D5">
        <w:rPr>
          <w:rFonts w:asciiTheme="minorEastAsia" w:eastAsiaTheme="minorEastAsia" w:hAnsiTheme="minorEastAsia" w:hint="eastAsia"/>
          <w:color w:val="000000" w:themeColor="text1"/>
          <w:szCs w:val="21"/>
        </w:rPr>
        <w:t xml:space="preserve">申购份额、赎回金额的计算方式：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（1）申购份额的计算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本基金的申购金额包括申购费用和净申购金额，其通用的计算方式为：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净申购金额=申购金额÷（1+申购费率）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申购费用=申购金额-净申购金额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申购份数=净申购金额÷T日基金份额净值</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（2）基金赎回金额的计算 </w:t>
      </w:r>
    </w:p>
    <w:p w:rsidR="000E17D5" w:rsidRPr="00172454" w:rsidP="00150642">
      <w:pPr>
        <w:snapToGrid w:val="0"/>
        <w:spacing w:line="360" w:lineRule="auto"/>
        <w:ind w:firstLine="420" w:firstLineChars="200"/>
        <w:jc w:val="left"/>
        <w:mirrorIndents/>
        <w:rPr>
          <w:rFonts w:asciiTheme="minorEastAsia" w:eastAsiaTheme="minorEastAsia" w:hAnsiTheme="minorEastAsia" w:cs="Arial"/>
          <w:color w:val="000000" w:themeColor="text1"/>
          <w:szCs w:val="21"/>
        </w:rPr>
      </w:pPr>
      <w:r w:rsidRPr="00172454">
        <w:rPr>
          <w:rFonts w:asciiTheme="minorEastAsia" w:eastAsiaTheme="minorEastAsia" w:hAnsiTheme="minorEastAsia" w:cs="Arial" w:hint="eastAsia"/>
          <w:color w:val="000000" w:themeColor="text1"/>
          <w:szCs w:val="21"/>
        </w:rPr>
        <w:t xml:space="preserve">赎回费用=赎回份额×T日基金份额净值×赎回费率 </w:t>
      </w:r>
    </w:p>
    <w:p w:rsidR="000E17D5"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s="Arial" w:hint="eastAsia"/>
          <w:color w:val="000000" w:themeColor="text1"/>
          <w:szCs w:val="21"/>
        </w:rPr>
        <w:t>赎回金额=赎回份额×T日基金份额净值-赎回费用</w:t>
      </w:r>
    </w:p>
    <w:p w:rsidR="00340BB4"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6、由于场内与场外申购、赎回方式上的差异，本基金投资者依据基金份额净值所支付、取得的场外申购、赎回现金对价，与场内申购、赎回所支付、取得的对价方式不同。投资者可自行判断并选择适合自身的申购赎回场所、方式。</w:t>
      </w:r>
      <w:bookmarkEnd w:id="219"/>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20" w:name="_Toc238024281"/>
      <w:bookmarkStart w:id="221" w:name="_Toc253577317"/>
      <w:bookmarkStart w:id="222" w:name="_Toc91766990"/>
      <w:r w:rsidRPr="00172454">
        <w:rPr>
          <w:rFonts w:asciiTheme="minorEastAsia" w:eastAsiaTheme="minorEastAsia" w:hAnsiTheme="minorEastAsia" w:hint="eastAsia"/>
          <w:b w:val="0"/>
          <w:color w:val="000000" w:themeColor="text1"/>
        </w:rPr>
        <w:t>（</w:t>
      </w:r>
      <w:r w:rsidRPr="00172454" w:rsidR="001B5B67">
        <w:rPr>
          <w:rFonts w:asciiTheme="minorEastAsia" w:eastAsiaTheme="minorEastAsia" w:hAnsiTheme="minorEastAsia" w:hint="eastAsia"/>
          <w:b w:val="0"/>
          <w:color w:val="000000" w:themeColor="text1"/>
        </w:rPr>
        <w:t>十</w:t>
      </w:r>
      <w:r w:rsidRPr="00172454">
        <w:rPr>
          <w:rFonts w:asciiTheme="minorEastAsia" w:eastAsiaTheme="minorEastAsia" w:hAnsiTheme="minorEastAsia" w:hint="eastAsia"/>
          <w:b w:val="0"/>
          <w:color w:val="000000" w:themeColor="text1"/>
        </w:rPr>
        <w:t>）申购、赎回清单的内容与格式</w:t>
      </w:r>
      <w:bookmarkEnd w:id="220"/>
      <w:bookmarkEnd w:id="221"/>
      <w:bookmarkEnd w:id="22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申购、赎回清单的内容</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T日申购、赎回清单公告内容包括最小申购、赎回单位所对应的组合证券内各成份证券数据、现金替代、T日预估现金部分、T-1日现金差额、基金份额净值及其他相关内容。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组合证券相关内容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组合证券是指本基金标的指数所包含的全部或部分证券。申购、赎回清单将公告最小申购、赎回单位所对应的各成份证券名称、证券代码及数量。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现金替代相关内容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现金替代是指申购、赎回过程中,投资人按基金合同和招募说明书的规定,用于替代组合证券中部分证券的一定数量的现金。</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1）现金替代分为3种类型：禁止现金替代（标志为"禁止"）、可以现金替代（标志为"允许"）和必须现金替代（标志为"必须"）。</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禁止现金替代是指在申购、赎回基金份额时,该成份证券不允许使用现金作为替代。</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可以现金替代是指在申购基金份额时,允许使用现金作为全部或部分该成份证券的替代,但在赎回基金份额时,该成份证券不允许使用现金作为替代。</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必须现金替代是指在申购、赎回基金份额时,该成份证券必须使用现金作为替代。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2）可以现金替代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适用情形：可以现金替代的证券一般是由于停牌等原因导致投资人无法在申购时买入的证券。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替代金额：对于可以现金替代的证券,替代金额的计算公式为：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 xml:space="preserve">    替代金额＝替代证券数量×该证券</w:t>
      </w:r>
      <w:r w:rsidRPr="00172454">
        <w:rPr>
          <w:rFonts w:asciiTheme="minorEastAsia" w:eastAsiaTheme="minorEastAsia" w:hAnsiTheme="minorEastAsia" w:hint="eastAsia"/>
          <w:color w:val="000000" w:themeColor="text1"/>
          <w:szCs w:val="21"/>
        </w:rPr>
        <w:t>参考</w:t>
      </w:r>
      <w:r w:rsidRPr="00172454">
        <w:rPr>
          <w:rFonts w:asciiTheme="minorEastAsia" w:eastAsiaTheme="minorEastAsia" w:hAnsiTheme="minorEastAsia"/>
          <w:color w:val="000000" w:themeColor="text1"/>
          <w:szCs w:val="21"/>
        </w:rPr>
        <w:t>价格×（1＋现金替代溢价比例）</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其中,</w:t>
      </w:r>
      <w:r w:rsidRPr="00172454" w:rsidR="00A95DE9">
        <w:rPr>
          <w:rFonts w:asciiTheme="minorEastAsia" w:eastAsiaTheme="minorEastAsia" w:hAnsiTheme="minorEastAsia" w:hint="eastAsia"/>
          <w:color w:val="000000" w:themeColor="text1"/>
          <w:szCs w:val="21"/>
        </w:rPr>
        <w:t>“该证券参考价格”目前为“该证券前一交易日除权除息后的收盘价”；</w:t>
      </w:r>
      <w:r w:rsidRPr="00172454">
        <w:rPr>
          <w:rFonts w:asciiTheme="minorEastAsia" w:eastAsiaTheme="minorEastAsia" w:hAnsiTheme="minorEastAsia" w:hint="eastAsia"/>
          <w:color w:val="000000" w:themeColor="text1"/>
          <w:szCs w:val="21"/>
        </w:rPr>
        <w:t>如果上海证券交易所参考价格确定原则发生变化，以上海证券交易所通知规定的参考价格为准。</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收取现金替代溢价的原因是</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对于使用现金替代的证券</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基金管理人需在证券恢复交易后买入</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而实际买入价格加上相关交易费用后与申购时的</w:t>
      </w:r>
      <w:r w:rsidRPr="00172454">
        <w:rPr>
          <w:rFonts w:asciiTheme="minorEastAsia" w:eastAsiaTheme="minorEastAsia" w:hAnsiTheme="minorEastAsia" w:hint="eastAsia"/>
          <w:color w:val="000000" w:themeColor="text1"/>
          <w:szCs w:val="21"/>
        </w:rPr>
        <w:t>参考</w:t>
      </w:r>
      <w:r w:rsidRPr="00172454">
        <w:rPr>
          <w:rFonts w:asciiTheme="minorEastAsia" w:eastAsiaTheme="minorEastAsia" w:hAnsiTheme="minorEastAsia"/>
          <w:color w:val="000000" w:themeColor="text1"/>
          <w:szCs w:val="21"/>
        </w:rPr>
        <w:t>价格可能有所差异。为便于操作</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基金管理人在申购、赎回清单中预先确定现金替代溢价比例</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并据此收取替代金额。如果预先收取的金额高于基金购入该部分证券的实际成本</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则基金管理人将退还多收取的差额；如果预先收取的金额低于基金购入该部分证券的实际成本</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则基金管理人将向投资人收取欠缺的差额。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替代金额的处理程序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T日,基金管理人在申购、赎回清单中公布现金替代溢价比例,并据此收取替代金额。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在T日后被替代的成份证券有正常交易的2个交易日（简称为T+2日）内,基金管理人将以收到的替代金额买入被替代的部分证券。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2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T+2日收盘价计算的未购入的部分被替代证券价值的差额,确定基金应退还投资人或投资人应补交的款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特例情况：若自T日起,上海证券交易所正常交易日已达到20日而该证券正常交易日低于2日,则以替代金额与所购入的部分被替代证券实际购入成本加上按照最近一次收盘价计算的未购入的部分被替代证券价值的差额,确定基金应退还投资人或投资人应补交的款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若现金替代日（T日）后至T+2日（若在特例情况下,则为T日起第20个交易日）期间发生除息、送股（转增）、配股以及由于股权分置改革等发生的权益变动,则进行相应调整。</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T+2日后第1个工作日（若在特例情况下,则为T日起第21个交易日）,基金管理人将应退款和补款的明细及汇总数据发送给相关申购赎回代理券商和基金托管人,相关款项的清算交收将于此后3个工作日内完成。</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color w:val="000000" w:themeColor="text1"/>
          <w:szCs w:val="21"/>
        </w:rPr>
        <w:t>替代限制：为有效控制基金的跟踪偏离度和跟踪误差,基金管理人可规定投资人使用可以现金替代的比例合计不得超过申购基金份额资产净值的一定比例。现金替代比例的计算公式为：</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position w:val="-26"/>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50.25pt" o:oleicon="f" o:ole="">
            <v:imagedata r:id="rId13" o:title=""/>
          </v:shape>
          <o:OLEObject Type="Embed" ProgID="Equation.3" ShapeID="_x0000_i1025" DrawAspect="Content" ObjectID="_1702387252" r:id="rId14"/>
        </w:objec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“该证券参考价格”目前</w:t>
      </w:r>
      <w:r w:rsidRPr="00172454" w:rsidR="00215C7A">
        <w:rPr>
          <w:rFonts w:asciiTheme="minorEastAsia" w:eastAsiaTheme="minorEastAsia" w:hAnsiTheme="minorEastAsia" w:hint="eastAsia"/>
          <w:color w:val="000000" w:themeColor="text1"/>
          <w:szCs w:val="21"/>
        </w:rPr>
        <w:t>为“该证券前一交易日除权除息后的收盘价”,如果上海证券交易所参考价格确定原则发生变化，以上海证券交易所通知规定的参考价格为准；</w:t>
      </w:r>
      <w:r w:rsidRPr="00172454" w:rsidR="00505097">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参考基金份额净值</w:t>
      </w:r>
      <w:r w:rsidRPr="00172454" w:rsidR="00505097">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目前为</w:t>
      </w:r>
      <w:r w:rsidRPr="00172454" w:rsidR="00505097">
        <w:rPr>
          <w:rFonts w:asciiTheme="minorEastAsia" w:eastAsiaTheme="minorEastAsia" w:hAnsiTheme="minorEastAsia" w:hint="eastAsia"/>
          <w:color w:val="000000" w:themeColor="text1"/>
          <w:szCs w:val="21"/>
        </w:rPr>
        <w:t>“该ETF前一交易日除权除息后的收盘价”</w:t>
      </w:r>
      <w:r w:rsidRPr="00172454">
        <w:rPr>
          <w:rFonts w:asciiTheme="minorEastAsia" w:eastAsiaTheme="minorEastAsia" w:hAnsiTheme="minorEastAsia" w:hint="eastAsia"/>
          <w:color w:val="000000" w:themeColor="text1"/>
          <w:szCs w:val="21"/>
        </w:rPr>
        <w:t>，如果上海证券交易所参考基金份额净值计算方式发生变化，以上海证券交易所通知规定的参考基金份额净值为准。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3）必须现金替代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适用情形：必须现金替代的证券一般是由于标的指数调整,即将被剔除的成份证券。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替代金额：对于必须现金替代的证券,基金管理人将在申购、赎回清单中公告替代的一定数量的现金,即</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固定替代金额</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。固定替代金额的计算方法为申购、赎回清单中该证券的数量乘以其T日预计开盘价。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预估现金部分相关内容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预估现金部分是指为便于计算参考基金份额净值及申购赎回代理券商预先冻结申请申购、赎回的投资人的相应资金,由基金管理人计算的现金数额。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T日申购、赎回清单中公告T日预估现金部分。其计算公式为：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预估现金部分＝T-1日最小申购、赎回单位的基金资产净值－（申购、赎回清单中必须用现金替代的固定替代金额＋申购、赎回清单中可以用现金替代成份证券的数量与T日预计开盘价相乘之和+申购、赎回清单中禁止用现金替代成份证券的数量与T日预计开盘价相乘之和）</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其中</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T日预计开盘价主要根据</w:t>
      </w:r>
      <w:r w:rsidRPr="00172454" w:rsidR="00FC0536">
        <w:rPr>
          <w:rFonts w:asciiTheme="minorEastAsia" w:eastAsiaTheme="minorEastAsia" w:hAnsiTheme="minorEastAsia"/>
          <w:color w:val="000000" w:themeColor="text1"/>
          <w:szCs w:val="21"/>
        </w:rPr>
        <w:t>中证指数公司</w:t>
      </w:r>
      <w:r w:rsidRPr="00172454">
        <w:rPr>
          <w:rFonts w:asciiTheme="minorEastAsia" w:eastAsiaTheme="minorEastAsia" w:hAnsiTheme="minorEastAsia"/>
          <w:color w:val="000000" w:themeColor="text1"/>
          <w:szCs w:val="21"/>
        </w:rPr>
        <w:t>提供的标的指数成份证券的预计开盘价确定。另外</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若T日为基金分红除息日</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则计算公式中的"T-1日最小申购、赎回单位的基金资产净值"需扣减相应的收益分配数额。</w:t>
      </w:r>
      <w:r w:rsidRPr="00172454" w:rsidR="00463E58">
        <w:rPr>
          <w:rFonts w:asciiTheme="minorEastAsia" w:eastAsiaTheme="minorEastAsia" w:hAnsiTheme="minorEastAsia" w:hint="eastAsia"/>
          <w:color w:val="000000" w:themeColor="text1"/>
          <w:szCs w:val="21"/>
        </w:rPr>
        <w:t>若T日为最小申购、赎回单位调整生效日，则计算公式中的“T-1日最小申购、赎回单位的基金资产净值”需根据调整前后最小申购、赎回单位按比例计算。</w:t>
      </w:r>
      <w:r w:rsidRPr="00172454">
        <w:rPr>
          <w:rFonts w:asciiTheme="minorEastAsia" w:eastAsiaTheme="minorEastAsia" w:hAnsiTheme="minorEastAsia"/>
          <w:color w:val="000000" w:themeColor="text1"/>
          <w:szCs w:val="21"/>
        </w:rPr>
        <w:t>预估现金部分的数值可能为正、为负或为零。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5</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现金差额相关内容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T日现金差额在T+1日的申购、赎回清单中公告,其计算公式为：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现金差额＝T日最小申购、赎回单位的基金资产净值－（申购、赎回清单中必须用现金替代的固定替代金额＋申购、赎回清单中可以用现金替代成份证券的数量与T日收盘价相乘之和+申购、赎回清单中禁止用现金替代成份证券的数量与T日收盘价相乘之和）</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T日投资人申购、赎回基金份额时,需按T+1日公告的T日现金差额进行资金的清算交收。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现金差额的数值可能为正、为负或为零。在投资人申购时</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如现金差额为正数</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则投资人应根据其申购的基金份额支付相应的现金</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如现金差额为负数</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则投资人将根据其申购的基金份额获得相应的现金；在投资人赎回时</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如现金差额为正数</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则投资人将根据其赎回的基金份额获得相应的现金</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如现金差额为负数</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则投资人应根据其赎回的基金份额支付相应的现金。</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6</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申购、赎回清单的格式</w:t>
      </w:r>
    </w:p>
    <w:p w:rsidR="005D5BC7" w:rsidRPr="00172454" w:rsidP="00150642">
      <w:pPr>
        <w:snapToGrid w:val="0"/>
        <w:spacing w:line="360" w:lineRule="auto"/>
        <w:jc w:val="left"/>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 xml:space="preserve">    </w:t>
      </w:r>
      <w:r w:rsidRPr="00172454">
        <w:rPr>
          <w:rFonts w:asciiTheme="minorEastAsia" w:eastAsiaTheme="minorEastAsia" w:hAnsiTheme="minorEastAsia" w:hint="eastAsia"/>
          <w:color w:val="000000" w:themeColor="text1"/>
          <w:szCs w:val="21"/>
        </w:rPr>
        <w:t>T日</w:t>
      </w:r>
      <w:r w:rsidRPr="00172454">
        <w:rPr>
          <w:rFonts w:asciiTheme="minorEastAsia" w:eastAsiaTheme="minorEastAsia" w:hAnsiTheme="minorEastAsia"/>
          <w:color w:val="000000" w:themeColor="text1"/>
          <w:szCs w:val="21"/>
        </w:rPr>
        <w:t>申购、赎回清单的格式举例如下：</w:t>
      </w:r>
    </w:p>
    <w:p w:rsidR="00FD100C" w:rsidRPr="00172454" w:rsidP="00FD100C">
      <w:pPr>
        <w:snapToGrid w:val="0"/>
        <w:spacing w:line="360" w:lineRule="auto"/>
        <w:jc w:val="left"/>
        <w:rPr>
          <w:rFonts w:asciiTheme="minorEastAsia" w:eastAsiaTheme="minorEastAsia" w:hAnsiTheme="minorEastAsia"/>
          <w:color w:val="000000" w:themeColor="text1"/>
          <w:szCs w:val="21"/>
        </w:rPr>
      </w:pPr>
      <w:bookmarkStart w:id="223" w:name="OLE_LINK1"/>
      <w:r w:rsidRPr="00172454">
        <w:rPr>
          <w:rFonts w:asciiTheme="minorEastAsia" w:eastAsiaTheme="minorEastAsia" w:hAnsiTheme="minorEastAsia"/>
          <w:b/>
          <w:color w:val="000000" w:themeColor="text1"/>
          <w:szCs w:val="21"/>
        </w:rPr>
        <w:t>基本信息</w:t>
      </w:r>
      <w:r w:rsidRPr="00172454">
        <w:rPr>
          <w:rFonts w:asciiTheme="minorEastAsia" w:eastAsiaTheme="minorEastAsia" w:hAnsiTheme="minorEastAsia"/>
          <w:color w:val="000000" w:themeColor="text1"/>
          <w:szCs w:val="21"/>
        </w:rPr>
        <w:t xml:space="preserve">   </w:t>
      </w:r>
    </w:p>
    <w:tbl>
      <w:tblPr>
        <w:tblW w:w="5000" w:type="pct"/>
        <w:tblLook w:val="04A0"/>
      </w:tblPr>
      <w:tblGrid>
        <w:gridCol w:w="4077"/>
        <w:gridCol w:w="4446"/>
      </w:tblGrid>
      <w:tr w:rsidTr="00FD100C">
        <w:tblPrEx>
          <w:tblW w:w="5000" w:type="pct"/>
          <w:tblLook w:val="04A0"/>
        </w:tblPrEx>
        <w:trPr>
          <w:trHeight w:val="270"/>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最新公告日期</w:t>
            </w:r>
          </w:p>
        </w:tc>
        <w:tc>
          <w:tcPr>
            <w:tcW w:w="2608" w:type="pct"/>
            <w:tcBorders>
              <w:top w:val="single" w:sz="4" w:space="0" w:color="auto"/>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X</w:t>
            </w:r>
          </w:p>
        </w:tc>
      </w:tr>
      <w:tr w:rsidTr="00FD100C">
        <w:tblPrEx>
          <w:tblW w:w="5000" w:type="pct"/>
          <w:tblLook w:val="04A0"/>
        </w:tblPrEx>
        <w:trPr>
          <w:trHeight w:val="270"/>
        </w:trPr>
        <w:tc>
          <w:tcPr>
            <w:tcW w:w="2392" w:type="pct"/>
            <w:tcBorders>
              <w:top w:val="nil"/>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基金名称</w:t>
            </w:r>
          </w:p>
        </w:tc>
        <w:tc>
          <w:tcPr>
            <w:tcW w:w="2608" w:type="pct"/>
            <w:tcBorders>
              <w:top w:val="nil"/>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X</w:t>
            </w:r>
          </w:p>
        </w:tc>
      </w:tr>
      <w:tr w:rsidTr="00FD100C">
        <w:tblPrEx>
          <w:tblW w:w="5000" w:type="pct"/>
          <w:tblLook w:val="04A0"/>
        </w:tblPrEx>
        <w:trPr>
          <w:trHeight w:val="270"/>
        </w:trPr>
        <w:tc>
          <w:tcPr>
            <w:tcW w:w="2392" w:type="pct"/>
            <w:tcBorders>
              <w:top w:val="nil"/>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基金管理公司名称</w:t>
            </w:r>
          </w:p>
        </w:tc>
        <w:tc>
          <w:tcPr>
            <w:tcW w:w="2608" w:type="pct"/>
            <w:tcBorders>
              <w:top w:val="nil"/>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易方达基金管理有限公司</w:t>
            </w:r>
          </w:p>
        </w:tc>
      </w:tr>
      <w:tr w:rsidTr="00FD100C">
        <w:tblPrEx>
          <w:tblW w:w="5000" w:type="pct"/>
          <w:tblLook w:val="04A0"/>
        </w:tblPrEx>
        <w:trPr>
          <w:trHeight w:val="270"/>
        </w:trPr>
        <w:tc>
          <w:tcPr>
            <w:tcW w:w="2392" w:type="pct"/>
            <w:tcBorders>
              <w:top w:val="nil"/>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一级市场基金代码</w:t>
            </w:r>
          </w:p>
        </w:tc>
        <w:tc>
          <w:tcPr>
            <w:tcW w:w="2608" w:type="pct"/>
            <w:tcBorders>
              <w:top w:val="nil"/>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X</w:t>
            </w:r>
          </w:p>
        </w:tc>
      </w:tr>
    </w:tbl>
    <w:p w:rsidR="00FD100C" w:rsidRPr="00172454" w:rsidP="00FD100C">
      <w:pPr>
        <w:snapToGrid w:val="0"/>
        <w:spacing w:line="360" w:lineRule="auto"/>
        <w:jc w:val="distribute"/>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   </w:t>
      </w:r>
    </w:p>
    <w:p w:rsidR="00FD100C" w:rsidRPr="00172454" w:rsidP="00FD100C">
      <w:pPr>
        <w:snapToGrid w:val="0"/>
        <w:spacing w:line="360" w:lineRule="auto"/>
        <w:jc w:val="left"/>
        <w:rPr>
          <w:rFonts w:asciiTheme="minorEastAsia" w:eastAsiaTheme="minorEastAsia" w:hAnsiTheme="minorEastAsia"/>
          <w:b/>
          <w:color w:val="000000" w:themeColor="text1"/>
          <w:szCs w:val="21"/>
        </w:rPr>
      </w:pPr>
      <w:r w:rsidRPr="00172454">
        <w:rPr>
          <w:rFonts w:asciiTheme="minorEastAsia" w:eastAsiaTheme="minorEastAsia" w:hAnsiTheme="minorEastAsia"/>
          <w:b/>
          <w:color w:val="000000" w:themeColor="text1"/>
          <w:szCs w:val="21"/>
        </w:rPr>
        <w:t>T-1</w:t>
      </w:r>
      <w:r w:rsidRPr="00172454">
        <w:rPr>
          <w:rFonts w:asciiTheme="minorEastAsia" w:eastAsiaTheme="minorEastAsia" w:hAnsiTheme="minorEastAsia" w:hint="eastAsia"/>
          <w:b/>
          <w:color w:val="000000" w:themeColor="text1"/>
          <w:szCs w:val="21"/>
        </w:rPr>
        <w:t>日信息内容</w:t>
      </w:r>
    </w:p>
    <w:tbl>
      <w:tblPr>
        <w:tblW w:w="5000" w:type="pct"/>
        <w:tblLook w:val="04A0"/>
      </w:tblPr>
      <w:tblGrid>
        <w:gridCol w:w="4050"/>
        <w:gridCol w:w="4473"/>
      </w:tblGrid>
      <w:tr w:rsidTr="00FD100C">
        <w:tblPrEx>
          <w:tblW w:w="5000" w:type="pct"/>
          <w:tblLook w:val="04A0"/>
        </w:tblPrEx>
        <w:trPr>
          <w:trHeight w:val="450"/>
        </w:trPr>
        <w:tc>
          <w:tcPr>
            <w:tcW w:w="2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最小申购、赎回单位的现金差额</w:t>
            </w:r>
            <w:r w:rsidRPr="00172454">
              <w:rPr>
                <w:rFonts w:asciiTheme="minorEastAsia" w:eastAsiaTheme="minorEastAsia" w:hAnsiTheme="minorEastAsia" w:cs="宋体"/>
                <w:color w:val="000000" w:themeColor="text1"/>
                <w:kern w:val="0"/>
                <w:szCs w:val="21"/>
              </w:rPr>
              <w:t>(单位:元)</w:t>
            </w:r>
          </w:p>
        </w:tc>
        <w:tc>
          <w:tcPr>
            <w:tcW w:w="2624" w:type="pct"/>
            <w:tcBorders>
              <w:top w:val="single" w:sz="4" w:space="0" w:color="auto"/>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szCs w:val="21"/>
              </w:rPr>
              <w:t>X</w:t>
            </w:r>
          </w:p>
        </w:tc>
      </w:tr>
      <w:tr w:rsidTr="00FD100C">
        <w:tblPrEx>
          <w:tblW w:w="5000" w:type="pct"/>
          <w:tblLook w:val="04A0"/>
        </w:tblPrEx>
        <w:trPr>
          <w:trHeight w:val="450"/>
        </w:trPr>
        <w:tc>
          <w:tcPr>
            <w:tcW w:w="2376" w:type="pct"/>
            <w:tcBorders>
              <w:top w:val="nil"/>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最小申购、赎回单位净值</w:t>
            </w:r>
            <w:r w:rsidRPr="00172454">
              <w:rPr>
                <w:rFonts w:asciiTheme="minorEastAsia" w:eastAsiaTheme="minorEastAsia" w:hAnsiTheme="minorEastAsia" w:cs="宋体"/>
                <w:color w:val="000000" w:themeColor="text1"/>
                <w:kern w:val="0"/>
                <w:szCs w:val="21"/>
              </w:rPr>
              <w:t>(单位:元)</w:t>
            </w:r>
          </w:p>
        </w:tc>
        <w:tc>
          <w:tcPr>
            <w:tcW w:w="2624" w:type="pct"/>
            <w:tcBorders>
              <w:top w:val="nil"/>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szCs w:val="21"/>
              </w:rPr>
              <w:t>X</w:t>
            </w:r>
          </w:p>
        </w:tc>
      </w:tr>
      <w:tr w:rsidTr="00FD100C">
        <w:tblPrEx>
          <w:tblW w:w="5000" w:type="pct"/>
          <w:tblLook w:val="04A0"/>
        </w:tblPrEx>
        <w:trPr>
          <w:trHeight w:val="450"/>
        </w:trPr>
        <w:tc>
          <w:tcPr>
            <w:tcW w:w="2376" w:type="pct"/>
            <w:tcBorders>
              <w:top w:val="nil"/>
              <w:left w:val="single" w:sz="4" w:space="0" w:color="auto"/>
              <w:bottom w:val="single" w:sz="4" w:space="0" w:color="auto"/>
              <w:right w:val="single" w:sz="4" w:space="0" w:color="auto"/>
            </w:tcBorders>
            <w:shd w:val="clear" w:color="auto" w:fill="auto"/>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基金份额净值</w:t>
            </w:r>
            <w:r w:rsidRPr="00172454">
              <w:rPr>
                <w:rFonts w:asciiTheme="minorEastAsia" w:eastAsiaTheme="minorEastAsia" w:hAnsiTheme="minorEastAsia" w:cs="宋体"/>
                <w:color w:val="000000" w:themeColor="text1"/>
                <w:kern w:val="0"/>
                <w:szCs w:val="21"/>
              </w:rPr>
              <w:t>(单位:元)</w:t>
            </w:r>
          </w:p>
        </w:tc>
        <w:tc>
          <w:tcPr>
            <w:tcW w:w="2624" w:type="pct"/>
            <w:tcBorders>
              <w:top w:val="nil"/>
              <w:left w:val="nil"/>
              <w:bottom w:val="single" w:sz="4" w:space="0" w:color="auto"/>
              <w:right w:val="single" w:sz="4" w:space="0" w:color="auto"/>
            </w:tcBorders>
            <w:shd w:val="clear" w:color="auto" w:fill="auto"/>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szCs w:val="21"/>
              </w:rPr>
              <w:t>X</w:t>
            </w:r>
          </w:p>
        </w:tc>
      </w:tr>
    </w:tbl>
    <w:p w:rsidR="00FD100C" w:rsidRPr="00172454" w:rsidP="00FD100C">
      <w:pPr>
        <w:snapToGrid w:val="0"/>
        <w:spacing w:line="360" w:lineRule="auto"/>
        <w:jc w:val="left"/>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 xml:space="preserve">    </w:t>
      </w:r>
    </w:p>
    <w:p w:rsidR="00FD100C" w:rsidRPr="00172454" w:rsidP="00FD100C">
      <w:pPr>
        <w:snapToGrid w:val="0"/>
        <w:spacing w:line="360" w:lineRule="auto"/>
        <w:jc w:val="left"/>
        <w:rPr>
          <w:rFonts w:asciiTheme="minorEastAsia" w:eastAsiaTheme="minorEastAsia" w:hAnsiTheme="minorEastAsia"/>
          <w:color w:val="000000" w:themeColor="text1"/>
          <w:szCs w:val="21"/>
        </w:rPr>
      </w:pPr>
      <w:r w:rsidRPr="00172454">
        <w:rPr>
          <w:rFonts w:asciiTheme="minorEastAsia" w:eastAsiaTheme="minorEastAsia" w:hAnsiTheme="minorEastAsia"/>
          <w:b/>
          <w:color w:val="000000" w:themeColor="text1"/>
          <w:szCs w:val="21"/>
        </w:rPr>
        <w:t>T</w:t>
      </w:r>
      <w:r w:rsidRPr="00172454">
        <w:rPr>
          <w:rFonts w:asciiTheme="minorEastAsia" w:eastAsiaTheme="minorEastAsia" w:hAnsiTheme="minorEastAsia" w:hint="eastAsia"/>
          <w:b/>
          <w:color w:val="000000" w:themeColor="text1"/>
          <w:szCs w:val="21"/>
        </w:rPr>
        <w:t>日信息内容</w:t>
      </w:r>
      <w:r w:rsidRPr="00172454">
        <w:rPr>
          <w:rFonts w:asciiTheme="minorEastAsia" w:eastAsiaTheme="minorEastAsia" w:hAnsiTheme="minorEastAsia"/>
          <w:color w:val="000000" w:themeColor="text1"/>
          <w:szCs w:val="21"/>
        </w:rPr>
        <w:t xml:space="preserve">    </w:t>
      </w:r>
    </w:p>
    <w:tbl>
      <w:tblPr>
        <w:tblW w:w="5000" w:type="pct"/>
        <w:tblLook w:val="04A0"/>
      </w:tblPr>
      <w:tblGrid>
        <w:gridCol w:w="4804"/>
        <w:gridCol w:w="3719"/>
      </w:tblGrid>
      <w:tr w:rsidTr="00FD100C">
        <w:tblPrEx>
          <w:tblW w:w="5000" w:type="pct"/>
          <w:tblLook w:val="04A0"/>
        </w:tblPrEx>
        <w:trPr>
          <w:trHeight w:val="270"/>
        </w:trPr>
        <w:tc>
          <w:tcPr>
            <w:tcW w:w="28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最小申购、赎回单位的预估现金部分</w:t>
            </w:r>
            <w:r w:rsidRPr="00172454">
              <w:rPr>
                <w:rFonts w:asciiTheme="minorEastAsia" w:eastAsiaTheme="minorEastAsia" w:hAnsiTheme="minorEastAsia" w:cs="宋体"/>
                <w:color w:val="000000" w:themeColor="text1"/>
                <w:kern w:val="0"/>
                <w:szCs w:val="21"/>
              </w:rPr>
              <w:t>(单位:元)</w:t>
            </w:r>
          </w:p>
        </w:tc>
        <w:tc>
          <w:tcPr>
            <w:tcW w:w="2182" w:type="pct"/>
            <w:tcBorders>
              <w:top w:val="single" w:sz="4" w:space="0" w:color="auto"/>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szCs w:val="21"/>
              </w:rPr>
              <w:t>X</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现金替代比例上限</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olor w:val="000000" w:themeColor="text1"/>
                <w:szCs w:val="21"/>
              </w:rPr>
              <w:t>X</w:t>
            </w:r>
            <w:r w:rsidRPr="00172454">
              <w:rPr>
                <w:rFonts w:asciiTheme="minorEastAsia" w:eastAsiaTheme="minorEastAsia" w:hAnsiTheme="minorEastAsia"/>
                <w:color w:val="000000" w:themeColor="text1"/>
                <w:szCs w:val="21"/>
              </w:rPr>
              <w:t>%</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是否需要公布</w:t>
            </w:r>
            <w:r w:rsidRPr="00172454">
              <w:rPr>
                <w:rFonts w:asciiTheme="minorEastAsia" w:eastAsiaTheme="minorEastAsia" w:hAnsiTheme="minorEastAsia" w:cs="宋体"/>
                <w:color w:val="000000" w:themeColor="text1"/>
                <w:kern w:val="0"/>
                <w:szCs w:val="21"/>
              </w:rPr>
              <w:t>IOPV</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hint="eastAsia"/>
                <w:color w:val="000000" w:themeColor="text1"/>
                <w:szCs w:val="21"/>
              </w:rPr>
              <w:t>是</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最小申购、赎回单位</w:t>
            </w:r>
            <w:r w:rsidRPr="00172454">
              <w:rPr>
                <w:rFonts w:asciiTheme="minorEastAsia" w:eastAsiaTheme="minorEastAsia" w:hAnsiTheme="minorEastAsia" w:cs="宋体"/>
                <w:color w:val="000000" w:themeColor="text1"/>
                <w:kern w:val="0"/>
                <w:szCs w:val="21"/>
              </w:rPr>
              <w:t>(单位:份)</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olor w:val="000000" w:themeColor="text1"/>
                <w:szCs w:val="21"/>
              </w:rPr>
              <w:t>X</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申购的允许情况</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hint="eastAsia"/>
                <w:color w:val="000000" w:themeColor="text1"/>
                <w:szCs w:val="21"/>
              </w:rPr>
              <w:t>是</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赎回的允许情况</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hint="eastAsia"/>
                <w:color w:val="000000" w:themeColor="text1"/>
                <w:szCs w:val="21"/>
              </w:rPr>
              <w:t>是</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当日累计申购上限</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olor w:val="000000" w:themeColor="text1"/>
                <w:szCs w:val="21"/>
              </w:rPr>
              <w:t>无</w:t>
            </w:r>
          </w:p>
        </w:tc>
      </w:tr>
      <w:tr w:rsidTr="00FD100C">
        <w:tblPrEx>
          <w:tblW w:w="5000" w:type="pct"/>
          <w:tblLook w:val="04A0"/>
        </w:tblPrEx>
        <w:trPr>
          <w:trHeight w:val="270"/>
        </w:trPr>
        <w:tc>
          <w:tcPr>
            <w:tcW w:w="2818" w:type="pct"/>
            <w:tcBorders>
              <w:top w:val="nil"/>
              <w:left w:val="single" w:sz="4" w:space="0" w:color="auto"/>
              <w:bottom w:val="single" w:sz="4" w:space="0" w:color="auto"/>
              <w:right w:val="single" w:sz="4" w:space="0" w:color="auto"/>
            </w:tcBorders>
            <w:shd w:val="clear" w:color="auto" w:fill="auto"/>
            <w:noWrap/>
            <w:vAlign w:val="center"/>
            <w:hideMark/>
          </w:tcPr>
          <w:p w:rsidR="00FD100C" w:rsidRPr="00172454" w:rsidP="00B747C3">
            <w:pPr>
              <w:widowControl/>
              <w:jc w:val="left"/>
              <w:rPr>
                <w:rFonts w:asciiTheme="minorEastAsia" w:eastAsiaTheme="minorEastAsia" w:hAnsiTheme="minorEastAsia" w:cs="宋体"/>
                <w:color w:val="000000" w:themeColor="text1"/>
                <w:kern w:val="0"/>
                <w:szCs w:val="21"/>
              </w:rPr>
            </w:pPr>
            <w:r w:rsidRPr="00172454">
              <w:rPr>
                <w:rFonts w:asciiTheme="minorEastAsia" w:eastAsiaTheme="minorEastAsia" w:hAnsiTheme="minorEastAsia" w:cs="宋体" w:hint="eastAsia"/>
                <w:color w:val="000000" w:themeColor="text1"/>
                <w:kern w:val="0"/>
                <w:szCs w:val="21"/>
              </w:rPr>
              <w:t>当日累计赎回上限</w:t>
            </w:r>
          </w:p>
        </w:tc>
        <w:tc>
          <w:tcPr>
            <w:tcW w:w="2182" w:type="pct"/>
            <w:tcBorders>
              <w:top w:val="nil"/>
              <w:left w:val="nil"/>
              <w:bottom w:val="single" w:sz="4" w:space="0" w:color="auto"/>
              <w:right w:val="single" w:sz="4" w:space="0" w:color="auto"/>
            </w:tcBorders>
            <w:shd w:val="clear" w:color="auto" w:fill="auto"/>
            <w:noWrap/>
            <w:vAlign w:val="center"/>
            <w:hideMark/>
          </w:tcPr>
          <w:p w:rsidR="00FD100C" w:rsidRPr="00172454" w:rsidP="00FD100C">
            <w:pPr>
              <w:widowControl/>
              <w:jc w:val="left"/>
              <w:rPr>
                <w:rFonts w:asciiTheme="minorEastAsia" w:eastAsiaTheme="minorEastAsia" w:hAnsiTheme="minorEastAsia" w:cs="宋体"/>
                <w:color w:val="000000" w:themeColor="text1"/>
                <w:kern w:val="0"/>
                <w:szCs w:val="21"/>
              </w:rPr>
            </w:pPr>
            <w:bookmarkStart w:id="224" w:name="_GoBack"/>
            <w:bookmarkEnd w:id="224"/>
            <w:r>
              <w:rPr>
                <w:rFonts w:asciiTheme="minorEastAsia" w:eastAsiaTheme="minorEastAsia" w:hAnsiTheme="minorEastAsia"/>
                <w:color w:val="000000" w:themeColor="text1"/>
                <w:szCs w:val="21"/>
              </w:rPr>
              <w:t>无</w:t>
            </w:r>
          </w:p>
        </w:tc>
      </w:tr>
    </w:tbl>
    <w:p w:rsidR="00FD100C" w:rsidRPr="00172454" w:rsidP="00FD100C">
      <w:pPr>
        <w:snapToGrid w:val="0"/>
        <w:spacing w:line="360" w:lineRule="auto"/>
        <w:jc w:val="left"/>
        <w:rPr>
          <w:rFonts w:asciiTheme="minorEastAsia" w:eastAsiaTheme="minorEastAsia" w:hAnsiTheme="minorEastAsia"/>
          <w:color w:val="000000" w:themeColor="text1"/>
          <w:szCs w:val="21"/>
        </w:rPr>
      </w:pPr>
    </w:p>
    <w:p w:rsidR="00FD100C" w:rsidP="00FD100C">
      <w:pPr>
        <w:snapToGrid w:val="0"/>
        <w:spacing w:line="360" w:lineRule="auto"/>
        <w:jc w:val="left"/>
        <w:rPr>
          <w:rFonts w:asciiTheme="minorEastAsia" w:eastAsiaTheme="minorEastAsia" w:hAnsiTheme="minorEastAsia"/>
          <w:b/>
          <w:color w:val="000000" w:themeColor="text1"/>
          <w:szCs w:val="21"/>
        </w:rPr>
      </w:pPr>
      <w:r w:rsidRPr="00172454">
        <w:rPr>
          <w:rFonts w:asciiTheme="minorEastAsia" w:eastAsiaTheme="minorEastAsia" w:hAnsiTheme="minorEastAsia"/>
          <w:b/>
          <w:color w:val="000000" w:themeColor="text1"/>
          <w:szCs w:val="21"/>
        </w:rPr>
        <w:t>成份股信息内容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873"/>
        <w:gridCol w:w="1366"/>
        <w:gridCol w:w="1202"/>
        <w:gridCol w:w="1859"/>
        <w:gridCol w:w="2351"/>
      </w:tblGrid>
      <w:tr w:rsidTr="00FD100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jc w:val="center"/>
        </w:trPr>
        <w:tc>
          <w:tcPr>
            <w:tcW w:w="509" w:type="pct"/>
            <w:shd w:val="clear" w:color="auto" w:fill="auto"/>
            <w:noWrap/>
            <w:vAlign w:val="center"/>
            <w:hideMark/>
          </w:tcPr>
          <w:p w:rsidR="00FD100C" w:rsidRPr="00474498" w:rsidP="00B747C3">
            <w:pPr>
              <w:widowControl/>
              <w:jc w:val="center"/>
              <w:rPr>
                <w:color w:val="000000"/>
                <w:kern w:val="0"/>
                <w:szCs w:val="21"/>
              </w:rPr>
            </w:pPr>
            <w:r w:rsidRPr="00474498">
              <w:rPr>
                <w:rFonts w:hint="eastAsia"/>
                <w:color w:val="000000"/>
                <w:kern w:val="0"/>
                <w:szCs w:val="21"/>
              </w:rPr>
              <w:t>证券代码</w:t>
            </w:r>
          </w:p>
        </w:tc>
        <w:tc>
          <w:tcPr>
            <w:tcW w:w="497" w:type="pct"/>
            <w:shd w:val="clear" w:color="auto" w:fill="auto"/>
            <w:noWrap/>
            <w:vAlign w:val="center"/>
            <w:hideMark/>
          </w:tcPr>
          <w:p w:rsidR="00FD100C" w:rsidRPr="00474498" w:rsidP="00B747C3">
            <w:pPr>
              <w:widowControl/>
              <w:jc w:val="center"/>
              <w:rPr>
                <w:color w:val="000000"/>
                <w:kern w:val="0"/>
                <w:szCs w:val="21"/>
              </w:rPr>
            </w:pPr>
            <w:r w:rsidRPr="00474498">
              <w:rPr>
                <w:rFonts w:hint="eastAsia"/>
                <w:color w:val="000000"/>
                <w:kern w:val="0"/>
                <w:szCs w:val="21"/>
              </w:rPr>
              <w:t>证券简称</w:t>
            </w:r>
          </w:p>
        </w:tc>
        <w:tc>
          <w:tcPr>
            <w:tcW w:w="807" w:type="pct"/>
            <w:shd w:val="clear" w:color="auto" w:fill="auto"/>
            <w:noWrap/>
            <w:vAlign w:val="center"/>
            <w:hideMark/>
          </w:tcPr>
          <w:p w:rsidR="00FD100C" w:rsidRPr="00474498" w:rsidP="00B747C3">
            <w:pPr>
              <w:widowControl/>
              <w:jc w:val="center"/>
              <w:rPr>
                <w:color w:val="000000"/>
                <w:kern w:val="0"/>
                <w:szCs w:val="21"/>
              </w:rPr>
            </w:pPr>
            <w:r w:rsidRPr="00474498">
              <w:rPr>
                <w:rFonts w:hint="eastAsia"/>
                <w:color w:val="000000"/>
                <w:kern w:val="0"/>
                <w:szCs w:val="21"/>
              </w:rPr>
              <w:t>股份数量（股）</w:t>
            </w:r>
          </w:p>
        </w:tc>
        <w:tc>
          <w:tcPr>
            <w:tcW w:w="807" w:type="pct"/>
            <w:shd w:val="clear" w:color="auto" w:fill="auto"/>
            <w:noWrap/>
            <w:vAlign w:val="center"/>
            <w:hideMark/>
          </w:tcPr>
          <w:p w:rsidR="00FD100C" w:rsidRPr="00474498" w:rsidP="00B747C3">
            <w:pPr>
              <w:widowControl/>
              <w:jc w:val="center"/>
              <w:rPr>
                <w:color w:val="000000"/>
                <w:kern w:val="0"/>
                <w:szCs w:val="21"/>
              </w:rPr>
            </w:pPr>
            <w:r w:rsidRPr="00474498">
              <w:rPr>
                <w:rFonts w:hint="eastAsia"/>
                <w:color w:val="000000"/>
                <w:kern w:val="0"/>
                <w:szCs w:val="21"/>
              </w:rPr>
              <w:t>现金替代标志</w:t>
            </w:r>
          </w:p>
        </w:tc>
        <w:tc>
          <w:tcPr>
            <w:tcW w:w="1110" w:type="pct"/>
            <w:shd w:val="clear" w:color="auto" w:fill="auto"/>
            <w:noWrap/>
            <w:vAlign w:val="center"/>
            <w:hideMark/>
          </w:tcPr>
          <w:p w:rsidR="00FD100C" w:rsidRPr="00474498" w:rsidP="00B74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kern w:val="0"/>
                <w:szCs w:val="21"/>
              </w:rPr>
            </w:pPr>
            <w:r w:rsidRPr="00474498">
              <w:rPr>
                <w:rFonts w:hint="eastAsia"/>
                <w:color w:val="000000"/>
                <w:kern w:val="0"/>
                <w:szCs w:val="21"/>
              </w:rPr>
              <w:t>申购现金替代溢价比率</w:t>
            </w:r>
          </w:p>
        </w:tc>
        <w:tc>
          <w:tcPr>
            <w:tcW w:w="1270" w:type="pct"/>
            <w:shd w:val="clear" w:color="auto" w:fill="auto"/>
            <w:noWrap/>
            <w:vAlign w:val="center"/>
            <w:hideMark/>
          </w:tcPr>
          <w:p w:rsidR="00FD100C" w:rsidRPr="00474498" w:rsidP="00B747C3">
            <w:pPr>
              <w:widowControl/>
              <w:jc w:val="center"/>
              <w:rPr>
                <w:color w:val="000000"/>
                <w:kern w:val="0"/>
                <w:szCs w:val="21"/>
              </w:rPr>
            </w:pPr>
            <w:r w:rsidRPr="00474498">
              <w:rPr>
                <w:rFonts w:hint="eastAsia"/>
                <w:color w:val="000000"/>
                <w:kern w:val="0"/>
                <w:szCs w:val="21"/>
              </w:rPr>
              <w:t>替代金额（单位：人民币元）</w:t>
            </w:r>
          </w:p>
        </w:tc>
      </w:tr>
      <w:tr w:rsidTr="00FD100C">
        <w:tblPrEx>
          <w:tblW w:w="5000" w:type="pct"/>
          <w:jc w:val="center"/>
          <w:tblLook w:val="04A0"/>
        </w:tblPrEx>
        <w:trPr>
          <w:trHeight w:val="533"/>
          <w:jc w:val="center"/>
        </w:trPr>
        <w:tc>
          <w:tcPr>
            <w:tcW w:w="509"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c>
          <w:tcPr>
            <w:tcW w:w="497"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c>
          <w:tcPr>
            <w:tcW w:w="807"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c>
          <w:tcPr>
            <w:tcW w:w="807"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c>
          <w:tcPr>
            <w:tcW w:w="1110"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c>
          <w:tcPr>
            <w:tcW w:w="1270" w:type="pct"/>
            <w:shd w:val="clear" w:color="auto" w:fill="auto"/>
            <w:noWrap/>
            <w:vAlign w:val="center"/>
          </w:tcPr>
          <w:p w:rsidR="00FD100C" w:rsidRPr="00FD100C" w:rsidP="00B747C3">
            <w:pPr>
              <w:widowControl/>
              <w:jc w:val="center"/>
              <w:rPr>
                <w:rFonts w:asciiTheme="minorEastAsia" w:eastAsiaTheme="minorEastAsia" w:hAnsiTheme="minorEastAsia"/>
                <w:color w:val="000000"/>
                <w:kern w:val="0"/>
                <w:szCs w:val="21"/>
              </w:rPr>
            </w:pPr>
            <w:r w:rsidRPr="00FD100C">
              <w:rPr>
                <w:rFonts w:asciiTheme="minorEastAsia" w:eastAsiaTheme="minorEastAsia" w:hAnsiTheme="minorEastAsia"/>
                <w:color w:val="000000"/>
                <w:kern w:val="0"/>
                <w:szCs w:val="21"/>
              </w:rPr>
              <w:t>X</w:t>
            </w:r>
          </w:p>
        </w:tc>
      </w:tr>
    </w:tbl>
    <w:p w:rsidR="00FD100C" w:rsidP="00634CA1">
      <w:pPr>
        <w:snapToGrid w:val="0"/>
        <w:spacing w:line="360" w:lineRule="auto"/>
        <w:ind w:firstLine="420" w:firstLineChars="200"/>
        <w:rPr>
          <w:rFonts w:asciiTheme="minorEastAsia" w:eastAsiaTheme="minorEastAsia" w:hAnsiTheme="minorEastAsia"/>
          <w:color w:val="000000" w:themeColor="text1"/>
          <w:szCs w:val="21"/>
        </w:rPr>
      </w:pPr>
    </w:p>
    <w:p w:rsidR="00B53EAB" w:rsidRPr="00172454" w:rsidP="00634CA1">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以上申购赎回清单仅为示例，具体以实际公布的为准。</w:t>
      </w:r>
    </w:p>
    <w:p w:rsidR="00FC0536" w:rsidRPr="00172454" w:rsidP="00150642">
      <w:pPr>
        <w:snapToGrid w:val="0"/>
        <w:spacing w:line="360" w:lineRule="auto"/>
        <w:jc w:val="left"/>
        <w:rPr>
          <w:rFonts w:asciiTheme="minorEastAsia" w:eastAsiaTheme="minorEastAsia" w:hAnsiTheme="minorEastAsia"/>
          <w:b/>
          <w:color w:val="000000" w:themeColor="text1"/>
          <w:szCs w:val="21"/>
        </w:rPr>
      </w:pPr>
    </w:p>
    <w:p w:rsidR="00340BB4" w:rsidRPr="00172454" w:rsidP="0015064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25" w:name="OLE_LINK116"/>
      <w:bookmarkStart w:id="226" w:name="_Toc91766991"/>
      <w:bookmarkStart w:id="227" w:name="OLE_LINK436"/>
      <w:bookmarkStart w:id="228" w:name="OLE_LINK435"/>
      <w:bookmarkStart w:id="229" w:name="OLE_LINK104"/>
      <w:bookmarkStart w:id="230" w:name="OLE_LINK103"/>
      <w:bookmarkStart w:id="231" w:name="_Toc238024282"/>
      <w:bookmarkStart w:id="232" w:name="_Toc253577318"/>
      <w:bookmarkEnd w:id="223"/>
      <w:r w:rsidRPr="00172454">
        <w:rPr>
          <w:rFonts w:asciiTheme="minorEastAsia" w:eastAsiaTheme="minorEastAsia" w:hAnsiTheme="minorEastAsia" w:hint="eastAsia"/>
          <w:b w:val="0"/>
          <w:color w:val="000000" w:themeColor="text1"/>
        </w:rPr>
        <w:t>（十一）拒绝</w:t>
      </w:r>
      <w:bookmarkEnd w:id="225"/>
      <w:r w:rsidRPr="00172454">
        <w:rPr>
          <w:rFonts w:asciiTheme="minorEastAsia" w:eastAsiaTheme="minorEastAsia" w:hAnsiTheme="minorEastAsia" w:hint="eastAsia"/>
          <w:b w:val="0"/>
          <w:color w:val="000000" w:themeColor="text1"/>
        </w:rPr>
        <w:t>或暂停申购的情形</w:t>
      </w:r>
      <w:bookmarkStart w:id="233" w:name="OLE_LINK120"/>
      <w:bookmarkStart w:id="234" w:name="OLE_LINK119"/>
      <w:r w:rsidRPr="00172454">
        <w:rPr>
          <w:rFonts w:asciiTheme="minorEastAsia" w:eastAsiaTheme="minorEastAsia" w:hAnsiTheme="minorEastAsia" w:hint="eastAsia"/>
          <w:b w:val="0"/>
          <w:color w:val="000000" w:themeColor="text1"/>
        </w:rPr>
        <w:t>及处理方式</w:t>
      </w:r>
      <w:bookmarkEnd w:id="226"/>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35" w:name="OLE_LINK180"/>
      <w:bookmarkStart w:id="236" w:name="OLE_LINK135"/>
      <w:bookmarkStart w:id="237" w:name="OLE_LINK139"/>
      <w:bookmarkStart w:id="238" w:name="OLE_LINK140"/>
      <w:bookmarkEnd w:id="227"/>
      <w:bookmarkEnd w:id="228"/>
      <w:bookmarkEnd w:id="233"/>
      <w:bookmarkEnd w:id="234"/>
      <w:r w:rsidRPr="00172454">
        <w:rPr>
          <w:rFonts w:asciiTheme="minorEastAsia" w:eastAsiaTheme="minorEastAsia" w:hAnsiTheme="minorEastAsia" w:hint="eastAsia"/>
          <w:color w:val="000000" w:themeColor="text1"/>
          <w:szCs w:val="21"/>
        </w:rPr>
        <w:t>在如下情况下，基金管理人可以拒绝或暂停接受投资者的申购申请</w:t>
      </w:r>
      <w:bookmarkStart w:id="239" w:name="OLE_LINK122"/>
      <w:bookmarkStart w:id="240" w:name="OLE_LINK121"/>
      <w:bookmarkStart w:id="241" w:name="OLE_LINK114"/>
      <w:bookmarkStart w:id="242" w:name="OLE_LINK113"/>
      <w:r w:rsidRPr="00172454">
        <w:rPr>
          <w:rFonts w:asciiTheme="minorEastAsia" w:eastAsiaTheme="minorEastAsia" w:hAnsiTheme="minorEastAsia" w:hint="eastAsia"/>
          <w:bCs/>
          <w:color w:val="000000" w:themeColor="text1"/>
          <w:szCs w:val="21"/>
        </w:rPr>
        <w:t>（基金管理人可视情况同时暂停或拒绝场内和场外两种申购方式，也可以只拒绝或暂停其中一种方式的申购）</w:t>
      </w:r>
      <w:bookmarkEnd w:id="235"/>
      <w:bookmarkEnd w:id="239"/>
      <w:bookmarkEnd w:id="240"/>
      <w:bookmarkEnd w:id="241"/>
      <w:bookmarkEnd w:id="242"/>
      <w:r w:rsidRPr="00172454">
        <w:rPr>
          <w:rFonts w:asciiTheme="minorEastAsia" w:eastAsiaTheme="minorEastAsia" w:hAnsiTheme="minorEastAsia" w:hint="eastAsia"/>
          <w:color w:val="000000" w:themeColor="text1"/>
          <w:szCs w:val="21"/>
        </w:rPr>
        <w:t xml:space="preserve">：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1、不可抗力导致基金无法接受申购；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2、上海证券交易所决定临时停市或在交易时间非正常停市，导致基金管理人无法计算当日基金资产净值；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3、发生《基金合同》规定的暂停基金资产估值的情况；</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4、上海证券交易所、申购赎回代理券商、登记结算机构因异常情况无法办理申购，或者指数编制单位、上海证券交易所等因异常情况使申购赎回清单无法编制或编制不当；</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5、基金管理人开市前未能公布申购赎回清单；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6、基金管理人认为接受某些申购申请将明显损害其他基金份额持有人的利益时；</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bookmarkStart w:id="243" w:name="OLE_LINK124"/>
      <w:bookmarkStart w:id="244" w:name="OLE_LINK123"/>
      <w:r w:rsidRPr="00172454">
        <w:rPr>
          <w:rFonts w:asciiTheme="minorEastAsia" w:eastAsiaTheme="minorEastAsia" w:hAnsiTheme="minorEastAsia" w:hint="eastAsia"/>
          <w:color w:val="000000" w:themeColor="text1"/>
          <w:szCs w:val="21"/>
        </w:rPr>
        <w:t>基金管理人可根据市场情况在申购赎回清单中设置申购上限，当一笔新的申购申请被确认成功，会使本基金当日申购超过申购赎回清单中规定的申购上限时，该笔申购申请将被拒绝；</w:t>
      </w:r>
    </w:p>
    <w:p w:rsidR="001B5B6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8、在发生基金所投资的投资品种的估值出现重大转变时；</w:t>
      </w:r>
    </w:p>
    <w:p w:rsidR="00706862" w:rsidRPr="00172454" w:rsidP="0070686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当一笔新的申购申请被确认成功，使本基金总规模超过基金管理人规定的本基金总规模上限时；或使本基金单日申购金额、申购份额或净申购比例超过基金管理人规定的当日申购金额、申购份额或净申购比例上限时；或该投资人累计持有的份额超过单个投资人累计持有的份额上限时；或该投资人当日申购金额、申购份额超过单个投资人单日或单笔申购金额上限、申购份额上限时；</w:t>
      </w:r>
    </w:p>
    <w:p w:rsidR="00706862" w:rsidRPr="00172454" w:rsidP="0070686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10、当前一估值日基金资产净值50%以上的资产出现无可参考的活跃市场价格且采用估值技术仍导致公允价值存在重大不确定性时，经与基金托管人协商确认后，基金管理人应当采取暂停接受基金申购申请的措施；</w:t>
      </w:r>
    </w:p>
    <w:bookmarkEnd w:id="243"/>
    <w:bookmarkEnd w:id="244"/>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11、法律法规、中国证监会或上海证券交易所规定的其他情形。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45" w:name="OLE_LINK125"/>
      <w:bookmarkStart w:id="246" w:name="OLE_LINK128"/>
      <w:r w:rsidRPr="00172454">
        <w:rPr>
          <w:rFonts w:asciiTheme="minorEastAsia" w:eastAsiaTheme="minorEastAsia" w:hAnsiTheme="minorEastAsia" w:hint="eastAsia"/>
          <w:color w:val="000000" w:themeColor="text1"/>
          <w:szCs w:val="21"/>
        </w:rPr>
        <w:t>发生除上述第6 、7项以外的暂停申购情形之一且基金管理人决定暂停申购时，基金管理人应当根据有关规定在</w:t>
      </w:r>
      <w:bookmarkStart w:id="247" w:name="OLE_LINK136"/>
      <w:r w:rsidRPr="00172454">
        <w:rPr>
          <w:rFonts w:asciiTheme="minorEastAsia" w:eastAsiaTheme="minorEastAsia" w:hAnsiTheme="minorEastAsia" w:hint="eastAsia"/>
          <w:color w:val="000000" w:themeColor="text1"/>
          <w:szCs w:val="21"/>
        </w:rPr>
        <w:t>指定媒介</w:t>
      </w:r>
      <w:bookmarkEnd w:id="247"/>
      <w:r w:rsidRPr="00172454">
        <w:rPr>
          <w:rFonts w:asciiTheme="minorEastAsia" w:eastAsiaTheme="minorEastAsia" w:hAnsiTheme="minorEastAsia" w:hint="eastAsia"/>
          <w:color w:val="000000" w:themeColor="text1"/>
          <w:szCs w:val="21"/>
        </w:rPr>
        <w:t>上刊登暂停申购公告。如果投资人的申购申请被拒绝，被拒绝的申购对价将退还给投资人。在暂停申购的情况消除时，基金管理人应及时恢复申购业务的办理。</w:t>
      </w:r>
      <w:bookmarkEnd w:id="229"/>
      <w:bookmarkEnd w:id="230"/>
      <w:bookmarkEnd w:id="236"/>
      <w:bookmarkEnd w:id="237"/>
      <w:bookmarkEnd w:id="238"/>
      <w:r w:rsidRPr="00172454">
        <w:rPr>
          <w:rFonts w:asciiTheme="minorEastAsia" w:eastAsiaTheme="minorEastAsia" w:hAnsiTheme="minorEastAsia" w:hint="eastAsia"/>
          <w:color w:val="000000" w:themeColor="text1"/>
          <w:szCs w:val="21"/>
        </w:rPr>
        <w:t xml:space="preserve"> </w:t>
      </w:r>
    </w:p>
    <w:p w:rsidR="00340BB4"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48" w:name="OLE_LINK281"/>
      <w:bookmarkStart w:id="249" w:name="OLE_LINK282"/>
      <w:bookmarkStart w:id="250" w:name="OLE_LINK283"/>
      <w:bookmarkStart w:id="251" w:name="_Toc91766992"/>
      <w:bookmarkEnd w:id="245"/>
      <w:bookmarkEnd w:id="246"/>
      <w:r w:rsidRPr="00172454">
        <w:rPr>
          <w:rFonts w:asciiTheme="minorEastAsia" w:eastAsiaTheme="minorEastAsia" w:hAnsiTheme="minorEastAsia" w:hint="eastAsia"/>
          <w:b w:val="0"/>
          <w:color w:val="000000" w:themeColor="text1"/>
        </w:rPr>
        <w:t>（十二）</w:t>
      </w:r>
      <w:bookmarkStart w:id="252" w:name="OLE_LINK143"/>
      <w:bookmarkStart w:id="253" w:name="OLE_LINK142"/>
      <w:bookmarkEnd w:id="248"/>
      <w:bookmarkEnd w:id="249"/>
      <w:bookmarkEnd w:id="250"/>
      <w:r w:rsidRPr="00172454">
        <w:rPr>
          <w:rFonts w:asciiTheme="minorEastAsia" w:eastAsiaTheme="minorEastAsia" w:hAnsiTheme="minorEastAsia" w:hint="eastAsia"/>
          <w:b w:val="0"/>
          <w:color w:val="000000" w:themeColor="text1"/>
        </w:rPr>
        <w:t>暂停赎回或延缓支付赎回款项的情形</w:t>
      </w:r>
      <w:bookmarkEnd w:id="251"/>
      <w:bookmarkEnd w:id="252"/>
      <w:bookmarkEnd w:id="253"/>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54" w:name="OLE_LINK97"/>
      <w:bookmarkStart w:id="255" w:name="OLE_LINK83"/>
      <w:bookmarkStart w:id="256" w:name="OLE_LINK443"/>
      <w:bookmarkStart w:id="257" w:name="OLE_LINK441"/>
      <w:r w:rsidRPr="00172454">
        <w:rPr>
          <w:rFonts w:asciiTheme="minorEastAsia" w:eastAsiaTheme="minorEastAsia" w:hAnsiTheme="minorEastAsia" w:hint="eastAsia"/>
          <w:color w:val="000000" w:themeColor="text1"/>
          <w:szCs w:val="21"/>
        </w:rPr>
        <w:t>在如下情况下，基金管理人可暂停接受投资人的赎回申请或延缓支付赎回款项（基金管理人可同时对场内和场外两种赎回方式实施暂停或延缓支付赎回款项，也可以只针对其中一种方式）：</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58" w:name="OLE_LINK79"/>
      <w:bookmarkStart w:id="259" w:name="OLE_LINK30"/>
      <w:r w:rsidRPr="00172454">
        <w:rPr>
          <w:rFonts w:asciiTheme="minorEastAsia" w:eastAsiaTheme="minorEastAsia" w:hAnsiTheme="minorEastAsia" w:hint="eastAsia"/>
          <w:color w:val="000000" w:themeColor="text1"/>
          <w:szCs w:val="21"/>
        </w:rPr>
        <w:t xml:space="preserve">1、不可抗力导致基金无法接受赎回；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2、上海证券交易所决定临时停市或在交易时间非正常停市，导致基金管理人无法计算当日基金资产净值； </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3、发生《基金合同》规定的暂停基金资产估值的情况；</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260" w:name="OLE_LINK73"/>
      <w:bookmarkStart w:id="261" w:name="OLE_LINK72"/>
      <w:r w:rsidRPr="00172454">
        <w:rPr>
          <w:rFonts w:asciiTheme="minorEastAsia" w:eastAsiaTheme="minorEastAsia" w:hAnsiTheme="minorEastAsia" w:hint="eastAsia"/>
          <w:color w:val="000000" w:themeColor="text1"/>
          <w:szCs w:val="21"/>
        </w:rPr>
        <w:t>4、</w:t>
      </w:r>
      <w:bookmarkEnd w:id="260"/>
      <w:bookmarkEnd w:id="261"/>
      <w:r w:rsidRPr="00172454">
        <w:rPr>
          <w:rFonts w:asciiTheme="minorEastAsia" w:eastAsiaTheme="minorEastAsia" w:hAnsiTheme="minorEastAsia" w:hint="eastAsia"/>
          <w:color w:val="000000" w:themeColor="text1"/>
          <w:szCs w:val="21"/>
        </w:rPr>
        <w:t>上海证券交易所、申购赎回代理券商、登记结算机构因异常情况无法办理赎回；</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5、在发生基金所投资的投资品种的估值出现重大转变时，可针对场外份额暂停赎回或延缓支付赎回款项；</w:t>
      </w:r>
    </w:p>
    <w:p w:rsidR="001B5B67"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bookmarkStart w:id="262" w:name="OLE_LINK42"/>
      <w:bookmarkStart w:id="263" w:name="OLE_LINK11"/>
      <w:r w:rsidRPr="00172454">
        <w:rPr>
          <w:rFonts w:asciiTheme="minorEastAsia" w:eastAsiaTheme="minorEastAsia" w:hAnsiTheme="minorEastAsia" w:hint="eastAsia"/>
          <w:bCs/>
          <w:color w:val="000000" w:themeColor="text1"/>
          <w:szCs w:val="21"/>
        </w:rPr>
        <w:t>6、</w:t>
      </w:r>
      <w:bookmarkEnd w:id="262"/>
      <w:bookmarkEnd w:id="263"/>
      <w:r w:rsidRPr="00172454">
        <w:rPr>
          <w:rFonts w:asciiTheme="minorEastAsia" w:eastAsiaTheme="minorEastAsia" w:hAnsiTheme="minorEastAsia" w:hint="eastAsia"/>
          <w:bCs/>
          <w:color w:val="000000" w:themeColor="text1"/>
          <w:szCs w:val="21"/>
        </w:rPr>
        <w:t>场外份额连续两个或两个以上开放日发生巨额赎回；</w:t>
      </w:r>
    </w:p>
    <w:p w:rsidR="00706862"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7、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1B5B6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bCs/>
          <w:color w:val="000000" w:themeColor="text1"/>
          <w:szCs w:val="21"/>
        </w:rPr>
        <w:t>8、</w:t>
      </w:r>
      <w:r w:rsidRPr="00172454">
        <w:rPr>
          <w:rFonts w:asciiTheme="minorEastAsia" w:eastAsiaTheme="minorEastAsia" w:hAnsiTheme="minorEastAsia" w:hint="eastAsia"/>
          <w:color w:val="000000" w:themeColor="text1"/>
          <w:szCs w:val="21"/>
        </w:rPr>
        <w:t>法律法规、中国证监会或上海证券交易所规定的其他情形。</w:t>
      </w:r>
      <w:bookmarkEnd w:id="254"/>
      <w:bookmarkEnd w:id="255"/>
      <w:r w:rsidRPr="00172454">
        <w:rPr>
          <w:rFonts w:asciiTheme="minorEastAsia" w:eastAsiaTheme="minorEastAsia" w:hAnsiTheme="minorEastAsia" w:hint="eastAsia"/>
          <w:color w:val="000000" w:themeColor="text1"/>
          <w:szCs w:val="21"/>
        </w:rPr>
        <w:t xml:space="preserve"> </w:t>
      </w:r>
    </w:p>
    <w:p w:rsidR="002967C2"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bookmarkStart w:id="264" w:name="OLE_LINK184"/>
      <w:bookmarkStart w:id="265" w:name="OLE_LINK183"/>
      <w:r w:rsidRPr="00172454">
        <w:rPr>
          <w:rFonts w:asciiTheme="minorEastAsia" w:eastAsiaTheme="minorEastAsia" w:hAnsiTheme="minorEastAsia" w:hint="eastAsia"/>
          <w:bCs/>
          <w:color w:val="000000" w:themeColor="text1"/>
          <w:szCs w:val="21"/>
        </w:rPr>
        <w:t>发生上述情形之一且基金管理人决定暂停赎回或延缓支付赎回款项时，基金管理人应报中国证监会备案。发生场外巨额赎回的情形时，基金份额持有人在申请赎回时可事先选择将当日可能未获受理部分予以撤销。在暂停赎回的情况消除时，基金管理人应及时恢复赎回业务的办理并予以公告。</w:t>
      </w:r>
      <w:bookmarkStart w:id="266" w:name="OLE_LINK148"/>
      <w:bookmarkStart w:id="267" w:name="OLE_LINK149"/>
      <w:bookmarkStart w:id="268" w:name="OLE_LINK150"/>
      <w:bookmarkStart w:id="269" w:name="OLE_LINK28"/>
      <w:bookmarkStart w:id="270" w:name="OLE_LINK29"/>
      <w:bookmarkEnd w:id="256"/>
      <w:bookmarkEnd w:id="257"/>
      <w:bookmarkEnd w:id="258"/>
      <w:bookmarkEnd w:id="259"/>
      <w:bookmarkEnd w:id="264"/>
      <w:bookmarkEnd w:id="265"/>
    </w:p>
    <w:p w:rsidR="00340BB4" w:rsidRPr="00172454" w:rsidP="00F07B7D">
      <w:pPr>
        <w:pStyle w:val="Heading2"/>
        <w:snapToGrid w:val="0"/>
        <w:spacing w:beforeLines="0" w:afterLines="0" w:line="360" w:lineRule="auto"/>
        <w:ind w:firstLine="422" w:firstLineChars="0"/>
        <w:rPr>
          <w:rFonts w:asciiTheme="minorEastAsia" w:eastAsiaTheme="minorEastAsia" w:hAnsiTheme="minorEastAsia"/>
          <w:b w:val="0"/>
          <w:color w:val="000000" w:themeColor="text1"/>
        </w:rPr>
      </w:pPr>
      <w:bookmarkStart w:id="271" w:name="_Toc91766993"/>
      <w:r w:rsidRPr="00172454">
        <w:rPr>
          <w:rFonts w:asciiTheme="minorEastAsia" w:eastAsiaTheme="minorEastAsia" w:hAnsiTheme="minorEastAsia" w:hint="eastAsia"/>
          <w:b w:val="0"/>
          <w:color w:val="000000" w:themeColor="text1"/>
        </w:rPr>
        <w:t>（十三）</w:t>
      </w:r>
      <w:r w:rsidRPr="00172454" w:rsidR="008D5DC5">
        <w:rPr>
          <w:rFonts w:asciiTheme="minorEastAsia" w:eastAsiaTheme="minorEastAsia" w:hAnsiTheme="minorEastAsia" w:hint="eastAsia"/>
          <w:b w:val="0"/>
          <w:color w:val="000000" w:themeColor="text1"/>
        </w:rPr>
        <w:t>场外巨额赎回的情形及处理方式</w:t>
      </w:r>
      <w:bookmarkEnd w:id="266"/>
      <w:bookmarkEnd w:id="267"/>
      <w:bookmarkEnd w:id="268"/>
      <w:bookmarkEnd w:id="271"/>
    </w:p>
    <w:bookmarkEnd w:id="269"/>
    <w:bookmarkEnd w:id="270"/>
    <w:p w:rsidR="00205648"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1、巨额赎回的认定</w:t>
      </w:r>
    </w:p>
    <w:p w:rsidR="00205648"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若本基金单个开放日内的场外基金份额净赎回申请（场外</w:t>
      </w:r>
      <w:r w:rsidRPr="00172454">
        <w:rPr>
          <w:rFonts w:asciiTheme="minorEastAsia" w:eastAsiaTheme="minorEastAsia" w:hAnsiTheme="minorEastAsia"/>
          <w:bCs/>
          <w:color w:val="000000" w:themeColor="text1"/>
          <w:szCs w:val="21"/>
        </w:rPr>
        <w:t>赎回申请份额总数加上基金转换中转出申请份额总数后扣除</w:t>
      </w:r>
      <w:r w:rsidRPr="00172454">
        <w:rPr>
          <w:rFonts w:asciiTheme="minorEastAsia" w:eastAsiaTheme="minorEastAsia" w:hAnsiTheme="minorEastAsia" w:hint="eastAsia"/>
          <w:bCs/>
          <w:color w:val="000000" w:themeColor="text1"/>
          <w:szCs w:val="21"/>
        </w:rPr>
        <w:t>场外</w:t>
      </w:r>
      <w:r w:rsidRPr="00172454">
        <w:rPr>
          <w:rFonts w:asciiTheme="minorEastAsia" w:eastAsiaTheme="minorEastAsia" w:hAnsiTheme="minorEastAsia"/>
          <w:bCs/>
          <w:color w:val="000000" w:themeColor="text1"/>
          <w:szCs w:val="21"/>
        </w:rPr>
        <w:t>申购申请份额总数及基金转换中转入申请份额总数后的余额</w:t>
      </w:r>
      <w:r w:rsidRPr="00172454">
        <w:rPr>
          <w:rFonts w:asciiTheme="minorEastAsia" w:eastAsiaTheme="minorEastAsia" w:hAnsiTheme="minorEastAsia" w:hint="eastAsia"/>
          <w:bCs/>
          <w:color w:val="000000" w:themeColor="text1"/>
          <w:szCs w:val="21"/>
        </w:rPr>
        <w:t>）超过前一开放日的基金总份额的10%，即认为是发生了巨额赎回。</w:t>
      </w:r>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2、巨额赎回的处理方式</w:t>
      </w:r>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当基金出现场外巨额赎回时，基金管理人可以根据基金当时的资产组合状况对场外赎回决定全额赎回或部分延期赎回。</w:t>
      </w:r>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（1）全额赎回：当基金管理人认为有能力支付投资人的全部场外赎回申请时，按正常赎回程序执行。</w:t>
      </w:r>
    </w:p>
    <w:p w:rsidR="00205648"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color w:val="000000" w:themeColor="text1"/>
          <w:szCs w:val="21"/>
        </w:rPr>
        <w:t>（2）部分延期赎回：当基金管理人认为支付投资人的场外赎回申请有困难或认为因支付投资人的场外赎回申请而进行的财产变现可能会对基金资产净值造成较大波动时，基金管理人在当日接受场外赎回比例不低于上一开放日基金总份额的10%的前提下，可对其余场外赎回申请延期办理。对于当日的场外赎回申请，应当按单个账户场外赎回申请量占场外</w:t>
      </w:r>
      <w:r w:rsidRPr="00172454">
        <w:rPr>
          <w:rFonts w:asciiTheme="minorEastAsia" w:eastAsiaTheme="minorEastAsia" w:hAnsiTheme="minorEastAsia" w:hint="eastAsia"/>
          <w:bCs/>
          <w:color w:val="000000" w:themeColor="text1"/>
          <w:szCs w:val="21"/>
        </w:rPr>
        <w:t>赎回申请总量的比例，确定当日受理的场外赎回份额；对于未能赎回部分，投资人在提交场外赎回申请时可以选择延期赎回或取消赎回。选择延期赎回的，将自动转入下一个开放日继续赎回，直到全部赎回为止；选择取消赎回的，当日未获受理的部分场外赎回申请将被撤销。延期的场外赎回申请与下一开放日场外赎回申请一并处理，无优先权并以下一开放日的基金份额净值为基础计算赎回金额，以此类推，直到全部赎回为止。如投资人在提交场外赎回申请时未作明确选择，投资人未能赎回部分作自动延期赎回处理。</w:t>
      </w:r>
    </w:p>
    <w:p w:rsidR="00706862"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若本基金发生场外巨额赎回且单个基金份额持有人的场外赎回申请超过上一开放日基金总份额10%的，基金管理人有权对该单个基金份额持有人超出该比例的场外赎回申请实施延期办理，对该单个基金份额持有人剩余场外赎回申请与其他账户场外赎回申请按前述条款处理。</w:t>
      </w:r>
    </w:p>
    <w:p w:rsidR="00205648" w:rsidRPr="00172454" w:rsidP="00150642">
      <w:pPr>
        <w:snapToGrid w:val="0"/>
        <w:spacing w:line="360" w:lineRule="auto"/>
        <w:ind w:firstLine="420" w:firstLineChars="20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（3）暂停赎回：连续2日以上（含本数）发生场外巨额赎回，如基金管理人认为有必要，可暂停接受基金的场外赎回申请；已经接受的场外赎回申请可以延缓支付赎回款项，但不得超过20个工作日，并应当在</w:t>
      </w:r>
      <w:bookmarkStart w:id="272" w:name="OLE_LINK137"/>
      <w:bookmarkStart w:id="273" w:name="OLE_LINK138"/>
      <w:r w:rsidRPr="00172454">
        <w:rPr>
          <w:rFonts w:asciiTheme="minorEastAsia" w:eastAsiaTheme="minorEastAsia" w:hAnsiTheme="minorEastAsia" w:hint="eastAsia"/>
          <w:bCs/>
          <w:color w:val="000000" w:themeColor="text1"/>
          <w:szCs w:val="21"/>
        </w:rPr>
        <w:t>指定媒介</w:t>
      </w:r>
      <w:bookmarkEnd w:id="272"/>
      <w:bookmarkEnd w:id="273"/>
      <w:r w:rsidRPr="00172454">
        <w:rPr>
          <w:rFonts w:asciiTheme="minorEastAsia" w:eastAsiaTheme="minorEastAsia" w:hAnsiTheme="minorEastAsia" w:hint="eastAsia"/>
          <w:bCs/>
          <w:color w:val="000000" w:themeColor="text1"/>
          <w:szCs w:val="21"/>
        </w:rPr>
        <w:t>上进行公告。</w:t>
      </w:r>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3、巨额赎回的公告</w:t>
      </w:r>
    </w:p>
    <w:p w:rsidR="00340BB4" w:rsidRPr="00172454" w:rsidP="00150642">
      <w:pPr>
        <w:snapToGrid w:val="0"/>
        <w:spacing w:line="360" w:lineRule="auto"/>
        <w:ind w:firstLine="420"/>
        <w:rPr>
          <w:rFonts w:asciiTheme="minorEastAsia" w:eastAsiaTheme="minorEastAsia" w:hAnsiTheme="minorEastAsia"/>
          <w:bCs/>
          <w:color w:val="000000" w:themeColor="text1"/>
          <w:szCs w:val="21"/>
        </w:rPr>
      </w:pPr>
      <w:r w:rsidRPr="00172454">
        <w:rPr>
          <w:rFonts w:asciiTheme="minorEastAsia" w:eastAsiaTheme="minorEastAsia" w:hAnsiTheme="minorEastAsia" w:hint="eastAsia"/>
          <w:bCs/>
          <w:color w:val="000000" w:themeColor="text1"/>
          <w:szCs w:val="21"/>
        </w:rPr>
        <w:t>当发生上述场外巨额赎回并延期办理时，基金管理人应当通过邮寄、传真或者招募说明书规定的其他方式在三个交易日内通知基金份额持有人，说明有关处理方法，</w:t>
      </w:r>
      <w:r w:rsidRPr="00172454" w:rsidR="00144A8E">
        <w:rPr>
          <w:rFonts w:asciiTheme="minorEastAsia" w:eastAsiaTheme="minorEastAsia" w:hAnsiTheme="minorEastAsia" w:hint="eastAsia"/>
          <w:bCs/>
          <w:color w:val="000000" w:themeColor="text1"/>
          <w:szCs w:val="21"/>
        </w:rPr>
        <w:t>并在2日内</w:t>
      </w:r>
      <w:r w:rsidRPr="00172454">
        <w:rPr>
          <w:rFonts w:asciiTheme="minorEastAsia" w:eastAsiaTheme="minorEastAsia" w:hAnsiTheme="minorEastAsia" w:hint="eastAsia"/>
          <w:bCs/>
          <w:color w:val="000000" w:themeColor="text1"/>
          <w:szCs w:val="21"/>
        </w:rPr>
        <w:t>在指定媒介上刊登公告。</w:t>
      </w:r>
      <w:bookmarkStart w:id="274" w:name="OLE_LINK284"/>
      <w:bookmarkStart w:id="275" w:name="OLE_LINK285"/>
    </w:p>
    <w:p w:rsidR="00340BB4" w:rsidRPr="00172454" w:rsidP="00F07B7D">
      <w:pPr>
        <w:pStyle w:val="Heading2"/>
        <w:snapToGrid w:val="0"/>
        <w:spacing w:beforeLines="0" w:afterLines="0" w:line="360" w:lineRule="auto"/>
        <w:ind w:firstLineChars="0"/>
        <w:rPr>
          <w:rFonts w:asciiTheme="minorEastAsia" w:eastAsiaTheme="minorEastAsia" w:hAnsiTheme="minorEastAsia"/>
          <w:b w:val="0"/>
          <w:color w:val="000000" w:themeColor="text1"/>
          <w:szCs w:val="21"/>
        </w:rPr>
      </w:pPr>
      <w:bookmarkStart w:id="276" w:name="_Toc91766994"/>
      <w:r w:rsidRPr="00172454">
        <w:rPr>
          <w:rFonts w:asciiTheme="minorEastAsia" w:eastAsiaTheme="minorEastAsia" w:hAnsiTheme="minorEastAsia" w:hint="eastAsia"/>
          <w:b w:val="0"/>
          <w:color w:val="000000" w:themeColor="text1"/>
          <w:szCs w:val="21"/>
        </w:rPr>
        <w:t>（十四）</w:t>
      </w:r>
      <w:bookmarkEnd w:id="274"/>
      <w:bookmarkEnd w:id="275"/>
      <w:r w:rsidRPr="00172454">
        <w:rPr>
          <w:rFonts w:asciiTheme="minorEastAsia" w:eastAsiaTheme="minorEastAsia" w:hAnsiTheme="minorEastAsia" w:hint="eastAsia"/>
          <w:b w:val="0"/>
          <w:color w:val="000000" w:themeColor="text1"/>
          <w:szCs w:val="21"/>
        </w:rPr>
        <w:t>基金转换</w:t>
      </w:r>
      <w:bookmarkEnd w:id="276"/>
    </w:p>
    <w:p w:rsidR="008D5DC5"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可以根据相关法律法规以及本基金合同的规定决定开办本基金场外份额与基金管理人管理的其他基金之间的转换业务，基金转换可以收取一定的转换费，具体规定由基金管理人届时根据相关法律法规及本基金合同的规定制定并公告，并提前告知基金托管人与相关机构</w:t>
      </w:r>
      <w:r w:rsidRPr="00172454" w:rsidR="000B27D2">
        <w:rPr>
          <w:rFonts w:asciiTheme="minorEastAsia" w:eastAsiaTheme="minorEastAsia" w:hAnsiTheme="minorEastAsia" w:hint="eastAsia"/>
          <w:color w:val="000000" w:themeColor="text1"/>
          <w:szCs w:val="21"/>
        </w:rPr>
        <w:t>。</w:t>
      </w:r>
    </w:p>
    <w:p w:rsidR="00340BB4" w:rsidRPr="00172454" w:rsidP="00F07B7D">
      <w:pPr>
        <w:pStyle w:val="Heading2"/>
        <w:snapToGrid w:val="0"/>
        <w:spacing w:beforeLines="0" w:afterLines="0" w:line="360" w:lineRule="auto"/>
        <w:ind w:firstLineChars="0"/>
        <w:rPr>
          <w:rFonts w:asciiTheme="minorEastAsia" w:eastAsiaTheme="minorEastAsia" w:hAnsiTheme="minorEastAsia"/>
          <w:color w:val="000000" w:themeColor="text1"/>
        </w:rPr>
      </w:pPr>
      <w:bookmarkStart w:id="277" w:name="_Toc91766995"/>
      <w:r w:rsidRPr="00172454">
        <w:rPr>
          <w:rFonts w:asciiTheme="minorEastAsia" w:eastAsiaTheme="minorEastAsia" w:hAnsiTheme="minorEastAsia" w:hint="eastAsia"/>
          <w:b w:val="0"/>
          <w:color w:val="000000" w:themeColor="text1"/>
        </w:rPr>
        <w:t>（十五）</w:t>
      </w:r>
      <w:bookmarkStart w:id="278" w:name="OLE_LINK66"/>
      <w:bookmarkStart w:id="279" w:name="OLE_LINK67"/>
      <w:r w:rsidRPr="00172454" w:rsidR="008D5DC5">
        <w:rPr>
          <w:rFonts w:asciiTheme="minorEastAsia" w:eastAsiaTheme="minorEastAsia" w:hAnsiTheme="minorEastAsia" w:hint="eastAsia"/>
          <w:b w:val="0"/>
          <w:color w:val="000000" w:themeColor="text1"/>
        </w:rPr>
        <w:t>基金的转托管</w:t>
      </w:r>
      <w:bookmarkEnd w:id="277"/>
      <w:bookmarkEnd w:id="278"/>
      <w:bookmarkEnd w:id="279"/>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本基金的转托管包括场外份额的系统内转托管及场内外份额的跨系统转托管。</w:t>
      </w:r>
    </w:p>
    <w:p w:rsidR="00205648"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条件许可情况下，在基金管理人制定并发布有关规则后，本基金场外份额可跨系统转托管为场内份额，并进行场内赎回、上市交易。但除非基金管理人另行公告，场内份额不可跨系统转托管为场外份额。</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80" w:name="_Toc238024283"/>
      <w:bookmarkStart w:id="281" w:name="_Toc253577319"/>
      <w:bookmarkStart w:id="282" w:name="_Toc91766996"/>
      <w:bookmarkEnd w:id="231"/>
      <w:bookmarkEnd w:id="232"/>
      <w:r w:rsidRPr="00172454">
        <w:rPr>
          <w:rFonts w:asciiTheme="minorEastAsia" w:eastAsiaTheme="minorEastAsia" w:hAnsiTheme="minorEastAsia" w:hint="eastAsia"/>
          <w:b w:val="0"/>
          <w:color w:val="000000" w:themeColor="text1"/>
        </w:rPr>
        <w:t>（</w:t>
      </w:r>
      <w:r w:rsidRPr="00172454" w:rsidR="001B5B67">
        <w:rPr>
          <w:rFonts w:asciiTheme="minorEastAsia" w:eastAsiaTheme="minorEastAsia" w:hAnsiTheme="minorEastAsia" w:hint="eastAsia"/>
          <w:b w:val="0"/>
          <w:color w:val="000000" w:themeColor="text1"/>
        </w:rPr>
        <w:t>十</w:t>
      </w:r>
      <w:r w:rsidRPr="00172454" w:rsidR="002967C2">
        <w:rPr>
          <w:rFonts w:asciiTheme="minorEastAsia" w:eastAsiaTheme="minorEastAsia" w:hAnsiTheme="minorEastAsia" w:hint="eastAsia"/>
          <w:b w:val="0"/>
          <w:color w:val="000000" w:themeColor="text1"/>
        </w:rPr>
        <w:t>六</w:t>
      </w:r>
      <w:r w:rsidRPr="00172454">
        <w:rPr>
          <w:rFonts w:asciiTheme="minorEastAsia" w:eastAsiaTheme="minorEastAsia" w:hAnsiTheme="minorEastAsia" w:hint="eastAsia"/>
          <w:b w:val="0"/>
          <w:color w:val="000000" w:themeColor="text1"/>
        </w:rPr>
        <w:t>）集合申购与其他服务</w:t>
      </w:r>
      <w:bookmarkEnd w:id="280"/>
      <w:bookmarkEnd w:id="281"/>
      <w:bookmarkEnd w:id="28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在条件允许时，基金管理人可开放集合申购，即允许多个投资者集合其持有的组合证券，共同构成最小申购、赎回单位或其整数倍，进行申购。</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在条件允许时，基金管理人也可采取其他合理的申购方式，并于新的申购方式开始执行前予以公告。</w:t>
      </w:r>
      <w:r w:rsidRPr="00172454">
        <w:rPr>
          <w:rFonts w:asciiTheme="minorEastAsia" w:eastAsiaTheme="minorEastAsia" w:hAnsiTheme="minorEastAsia"/>
          <w:color w:val="000000" w:themeColor="text1"/>
          <w:szCs w:val="21"/>
        </w:rPr>
        <w:t xml:space="preserve">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基金管理人指定的代理机构可依据本基金合同开展其他服务，双方需签订书面委托代理协议，并报中国证监会备案。</w:t>
      </w:r>
      <w:r w:rsidRPr="00172454">
        <w:rPr>
          <w:rFonts w:asciiTheme="minorEastAsia" w:eastAsiaTheme="minorEastAsia" w:hAnsiTheme="minorEastAsia"/>
          <w:color w:val="000000" w:themeColor="text1"/>
          <w:szCs w:val="21"/>
        </w:rPr>
        <w:t xml:space="preserve"> </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283" w:name="_Toc236639827"/>
      <w:bookmarkStart w:id="284" w:name="_Toc236640272"/>
      <w:bookmarkStart w:id="285" w:name="_Toc236640728"/>
      <w:bookmarkStart w:id="286" w:name="_Toc236641051"/>
      <w:bookmarkStart w:id="287" w:name="_Toc52310853"/>
      <w:bookmarkEnd w:id="283"/>
      <w:bookmarkEnd w:id="284"/>
      <w:bookmarkEnd w:id="285"/>
      <w:bookmarkEnd w:id="286"/>
      <w:r w:rsidRPr="00172454">
        <w:rPr>
          <w:rFonts w:asciiTheme="minorEastAsia" w:eastAsiaTheme="minorEastAsia" w:hAnsiTheme="minorEastAsia"/>
          <w:bCs/>
          <w:color w:val="000000" w:themeColor="text1"/>
        </w:rPr>
        <w:br w:type="column"/>
      </w:r>
      <w:bookmarkStart w:id="288" w:name="_Toc91766997"/>
      <w:r w:rsidRPr="00172454">
        <w:rPr>
          <w:rFonts w:asciiTheme="minorEastAsia" w:eastAsiaTheme="minorEastAsia" w:hAnsiTheme="minorEastAsia" w:hint="eastAsia"/>
          <w:bCs/>
          <w:color w:val="000000" w:themeColor="text1"/>
        </w:rPr>
        <w:t>十一、基金的投资</w:t>
      </w:r>
      <w:bookmarkEnd w:id="288"/>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89" w:name="_Toc52310848"/>
      <w:bookmarkStart w:id="290" w:name="_Toc64861723"/>
      <w:bookmarkStart w:id="291" w:name="_Toc238024285"/>
      <w:bookmarkStart w:id="292" w:name="_Toc253577321"/>
      <w:bookmarkStart w:id="293" w:name="_Toc91766998"/>
      <w:r w:rsidRPr="00172454">
        <w:rPr>
          <w:rFonts w:asciiTheme="minorEastAsia" w:eastAsiaTheme="minorEastAsia" w:hAnsiTheme="minorEastAsia" w:hint="eastAsia"/>
          <w:b w:val="0"/>
          <w:color w:val="000000" w:themeColor="text1"/>
        </w:rPr>
        <w:t>（一）投资目标</w:t>
      </w:r>
      <w:bookmarkEnd w:id="289"/>
      <w:bookmarkEnd w:id="290"/>
      <w:bookmarkEnd w:id="291"/>
      <w:bookmarkEnd w:id="292"/>
      <w:bookmarkEnd w:id="293"/>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紧密跟踪标的指数，追求跟踪偏离度及跟踪误差的最小化。</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94" w:name="_Toc52310849"/>
      <w:bookmarkStart w:id="295" w:name="_Toc64861724"/>
      <w:bookmarkStart w:id="296" w:name="_Toc238024286"/>
      <w:bookmarkStart w:id="297" w:name="_Toc253577322"/>
      <w:bookmarkStart w:id="298" w:name="_Toc91766999"/>
      <w:r w:rsidRPr="00172454">
        <w:rPr>
          <w:rFonts w:asciiTheme="minorEastAsia" w:eastAsiaTheme="minorEastAsia" w:hAnsiTheme="minorEastAsia" w:hint="eastAsia"/>
          <w:b w:val="0"/>
          <w:color w:val="000000" w:themeColor="text1"/>
        </w:rPr>
        <w:t>（</w:t>
      </w:r>
      <w:r w:rsidRPr="00172454">
        <w:rPr>
          <w:rFonts w:asciiTheme="minorEastAsia" w:eastAsiaTheme="minorEastAsia" w:hAnsiTheme="minorEastAsia" w:hint="eastAsia"/>
          <w:b w:val="0"/>
          <w:bCs/>
          <w:color w:val="000000" w:themeColor="text1"/>
        </w:rPr>
        <w:t>二</w:t>
      </w:r>
      <w:r w:rsidRPr="00172454">
        <w:rPr>
          <w:rFonts w:asciiTheme="minorEastAsia" w:eastAsiaTheme="minorEastAsia" w:hAnsiTheme="minorEastAsia" w:hint="eastAsia"/>
          <w:b w:val="0"/>
          <w:color w:val="000000" w:themeColor="text1"/>
        </w:rPr>
        <w:t>）</w:t>
      </w:r>
      <w:r w:rsidRPr="00172454">
        <w:rPr>
          <w:rFonts w:asciiTheme="minorEastAsia" w:eastAsiaTheme="minorEastAsia" w:hAnsiTheme="minorEastAsia" w:hint="eastAsia"/>
          <w:b w:val="0"/>
          <w:bCs/>
          <w:color w:val="000000" w:themeColor="text1"/>
        </w:rPr>
        <w:t>投资范围</w:t>
      </w:r>
      <w:bookmarkEnd w:id="294"/>
      <w:bookmarkEnd w:id="295"/>
      <w:bookmarkEnd w:id="296"/>
      <w:bookmarkEnd w:id="297"/>
      <w:bookmarkEnd w:id="298"/>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299" w:name="_Toc52310850"/>
      <w:bookmarkStart w:id="300" w:name="_Toc64861725"/>
      <w:r w:rsidRPr="00172454">
        <w:rPr>
          <w:rFonts w:asciiTheme="minorEastAsia" w:eastAsiaTheme="minorEastAsia" w:hAnsiTheme="minorEastAsia" w:hint="eastAsia"/>
          <w:color w:val="000000" w:themeColor="text1"/>
          <w:szCs w:val="21"/>
        </w:rPr>
        <w:t>本基金以标的指数成份股、备选成份股</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为主要投资对象。此外，为更好地实现投资目标，本基金可少量投资于部分非成份股</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、一级市场新发股票</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债券、权证以及中国证监会允许基金投资的其他金融工具。如法律法规或监管机构以后允许基金投资其他品种，基金管理人在履行适当程序后，可以将其纳入投资范围。基金投资标的指数成份股及备选成份股的比例不低于基金资产净值的95%。</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01" w:name="_Toc238024287"/>
      <w:bookmarkStart w:id="302" w:name="_Toc253577323"/>
      <w:bookmarkStart w:id="303" w:name="_Toc91767000"/>
      <w:r w:rsidRPr="00172454">
        <w:rPr>
          <w:rFonts w:asciiTheme="minorEastAsia" w:eastAsiaTheme="minorEastAsia" w:hAnsiTheme="minorEastAsia" w:hint="eastAsia"/>
          <w:b w:val="0"/>
          <w:bCs/>
          <w:color w:val="000000" w:themeColor="text1"/>
        </w:rPr>
        <w:t>（三）投资理念</w:t>
      </w:r>
      <w:bookmarkEnd w:id="299"/>
      <w:bookmarkEnd w:id="300"/>
      <w:bookmarkEnd w:id="301"/>
      <w:bookmarkEnd w:id="302"/>
      <w:bookmarkEnd w:id="303"/>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304" w:name="_Toc52310851"/>
      <w:bookmarkStart w:id="305" w:name="_Toc64861726"/>
      <w:r w:rsidRPr="00172454">
        <w:rPr>
          <w:rFonts w:asciiTheme="minorEastAsia" w:eastAsiaTheme="minorEastAsia" w:hAnsiTheme="minorEastAsia" w:hint="eastAsia"/>
          <w:color w:val="000000" w:themeColor="text1"/>
          <w:szCs w:val="21"/>
        </w:rPr>
        <w:t>通过完全复制的被动式投资，争取跟踪偏离度和跟踪误差的最小化，给投资者带来与上证中盘指数涨跌幅相近的回报，提供一种管理透明、低成本、分散程度高的投资工具。</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06" w:name="_Toc238024288"/>
      <w:bookmarkStart w:id="307" w:name="_Toc253577324"/>
      <w:bookmarkStart w:id="308" w:name="_Toc91767001"/>
      <w:r w:rsidRPr="00172454">
        <w:rPr>
          <w:rFonts w:asciiTheme="minorEastAsia" w:eastAsiaTheme="minorEastAsia" w:hAnsiTheme="minorEastAsia" w:hint="eastAsia"/>
          <w:b w:val="0"/>
          <w:bCs/>
          <w:color w:val="000000" w:themeColor="text1"/>
        </w:rPr>
        <w:t>（四）投资策略</w:t>
      </w:r>
      <w:bookmarkEnd w:id="306"/>
      <w:bookmarkEnd w:id="307"/>
      <w:bookmarkEnd w:id="308"/>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309" w:name="_Toc44900772"/>
      <w:bookmarkStart w:id="310" w:name="_Toc52616499"/>
      <w:r w:rsidRPr="00172454">
        <w:rPr>
          <w:rFonts w:asciiTheme="minorEastAsia" w:eastAsiaTheme="minorEastAsia" w:hAnsiTheme="minorEastAsia" w:hint="eastAsia"/>
          <w:color w:val="000000" w:themeColor="text1"/>
          <w:szCs w:val="21"/>
        </w:rPr>
        <w:t>本基金采取完全复制法进行投资，即按照上证中盘指数的成份股</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组成及权重构建股票投资组合。但是当指数编制方法变更、成份股发生变更、成份股权重由于自由流通量发生变化、成份股派发现金股息、配股及增发、股票长期停牌、市场流动性不足等情况发生，基金管理人无法按照指数构成及权重进行同步调整时，基金管理人将对投资组合进行优化，尽量降低跟踪误差。本基金力争将年化跟踪误差控制在2%以内。</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311" w:name="_Toc253577325"/>
      <w:bookmarkStart w:id="312" w:name="_Toc91767002"/>
      <w:r w:rsidRPr="00172454">
        <w:rPr>
          <w:rFonts w:asciiTheme="minorEastAsia" w:eastAsiaTheme="minorEastAsia" w:hAnsiTheme="minorEastAsia" w:hint="eastAsia"/>
          <w:b w:val="0"/>
          <w:bCs/>
          <w:color w:val="000000" w:themeColor="text1"/>
          <w:szCs w:val="21"/>
        </w:rPr>
        <w:t>（五）投资决策程序</w:t>
      </w:r>
      <w:bookmarkEnd w:id="311"/>
      <w:bookmarkEnd w:id="31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1、投资决策依据</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（1）法律、法规和《基金合同》的规定</w:t>
      </w:r>
      <w:r w:rsidRPr="00172454" w:rsidR="00E67308">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（2）上证中盘指数的编制方法及调整公告等</w:t>
      </w:r>
      <w:r w:rsidRPr="00172454" w:rsidR="00E67308">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（3）对证券市场发展趋势的研究与判断</w:t>
      </w:r>
      <w:r w:rsidRPr="00172454" w:rsidR="00E67308">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2、投资决策流程</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基金经理依据指数编制</w:t>
      </w:r>
      <w:r w:rsidRPr="00172454">
        <w:rPr>
          <w:rFonts w:asciiTheme="minorEastAsia" w:eastAsiaTheme="minorEastAsia" w:hAnsiTheme="minorEastAsia" w:hint="eastAsia"/>
          <w:color w:val="000000" w:themeColor="text1"/>
          <w:szCs w:val="21"/>
        </w:rPr>
        <w:t>单位</w:t>
      </w:r>
      <w:r w:rsidRPr="00172454">
        <w:rPr>
          <w:rFonts w:asciiTheme="minorEastAsia" w:eastAsiaTheme="minorEastAsia" w:hAnsiTheme="minorEastAsia"/>
          <w:color w:val="000000" w:themeColor="text1"/>
          <w:szCs w:val="21"/>
        </w:rPr>
        <w:t>公布的指数成</w:t>
      </w:r>
      <w:r w:rsidRPr="00172454">
        <w:rPr>
          <w:rFonts w:asciiTheme="minorEastAsia" w:eastAsiaTheme="minorEastAsia" w:hAnsiTheme="minorEastAsia" w:hint="eastAsia"/>
          <w:color w:val="000000" w:themeColor="text1"/>
          <w:szCs w:val="21"/>
        </w:rPr>
        <w:t>份</w:t>
      </w:r>
      <w:r w:rsidRPr="00172454">
        <w:rPr>
          <w:rFonts w:asciiTheme="minorEastAsia" w:eastAsiaTheme="minorEastAsia" w:hAnsiTheme="minorEastAsia"/>
          <w:color w:val="000000" w:themeColor="text1"/>
          <w:szCs w:val="21"/>
        </w:rPr>
        <w:t>股名单及权重，进行投资组合构建</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（2）当发生以下情况时，基金管理人将对投资组合进行调整，以降低跟踪误差,实现对标的指数的紧密跟踪。</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1）指数编制方法发生变更。基金管理人将评估指数编制方法变更对指数成份股及权重的影响，适时进行投资组合调整。</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2）指数成份股定期或临时调整。基金管理人将预测指数成份股调整方案，并判断指数成份股调整对投资组合的影响，在此基础上确定组合调整策略。</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3）指数成份股出现股本变化、增发、配股、派发现金股息等情形。基金管理人将密切关注这些情形对指数的影响，并据此确定相应的投资组合调整策略。</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4）法律法规限制、基金参与新股申购、股票长期停牌、股票流动性不足等情形。基金管理人将分析这些情形对跟踪误差的影响，据此对投资组合进行相应调整。</w:t>
      </w:r>
    </w:p>
    <w:p w:rsidR="00430F3A" w:rsidRPr="00172454" w:rsidP="00430F3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p w:rsidR="005D5BC7" w:rsidRPr="00172454" w:rsidP="00430F3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（4）投资风险管理部定期</w:t>
      </w:r>
      <w:r w:rsidRPr="00172454">
        <w:rPr>
          <w:rFonts w:asciiTheme="minorEastAsia" w:eastAsiaTheme="minorEastAsia" w:hAnsiTheme="minorEastAsia"/>
          <w:color w:val="000000" w:themeColor="text1"/>
          <w:szCs w:val="21"/>
        </w:rPr>
        <w:t>对投资组合</w:t>
      </w:r>
      <w:r w:rsidRPr="00172454">
        <w:rPr>
          <w:rFonts w:asciiTheme="minorEastAsia" w:eastAsiaTheme="minorEastAsia" w:hAnsiTheme="minorEastAsia" w:hint="eastAsia"/>
          <w:color w:val="000000" w:themeColor="text1"/>
          <w:szCs w:val="21"/>
        </w:rPr>
        <w:t>与业绩比较基准</w:t>
      </w:r>
      <w:r w:rsidRPr="00172454">
        <w:rPr>
          <w:rFonts w:asciiTheme="minorEastAsia" w:eastAsiaTheme="minorEastAsia" w:hAnsiTheme="minorEastAsia"/>
          <w:color w:val="000000" w:themeColor="text1"/>
          <w:szCs w:val="21"/>
        </w:rPr>
        <w:t>的偏离度</w:t>
      </w:r>
      <w:r w:rsidRPr="00172454">
        <w:rPr>
          <w:rFonts w:asciiTheme="minorEastAsia" w:eastAsiaTheme="minorEastAsia" w:hAnsiTheme="minorEastAsia" w:hint="eastAsia"/>
          <w:color w:val="000000" w:themeColor="text1"/>
          <w:szCs w:val="21"/>
        </w:rPr>
        <w:t>和跟踪误差</w:t>
      </w:r>
      <w:r w:rsidRPr="00172454">
        <w:rPr>
          <w:rFonts w:asciiTheme="minorEastAsia" w:eastAsiaTheme="minorEastAsia" w:hAnsiTheme="minorEastAsia"/>
          <w:color w:val="000000" w:themeColor="text1"/>
          <w:szCs w:val="21"/>
        </w:rPr>
        <w:t>进行跟踪和评估；</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sidR="00430F3A">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基金经理参考有关研究报告及</w:t>
      </w:r>
      <w:r w:rsidRPr="00172454">
        <w:rPr>
          <w:rFonts w:asciiTheme="minorEastAsia" w:eastAsiaTheme="minorEastAsia" w:hAnsiTheme="minorEastAsia" w:hint="eastAsia"/>
          <w:color w:val="000000" w:themeColor="text1"/>
          <w:szCs w:val="21"/>
        </w:rPr>
        <w:t>投资风险管理部</w:t>
      </w:r>
      <w:r w:rsidRPr="00172454">
        <w:rPr>
          <w:rFonts w:asciiTheme="minorEastAsia" w:eastAsiaTheme="minorEastAsia" w:hAnsiTheme="minorEastAsia"/>
          <w:color w:val="000000" w:themeColor="text1"/>
          <w:szCs w:val="21"/>
        </w:rPr>
        <w:t>的报告，</w:t>
      </w:r>
      <w:r w:rsidRPr="00172454">
        <w:rPr>
          <w:rFonts w:asciiTheme="minorEastAsia" w:eastAsiaTheme="minorEastAsia" w:hAnsiTheme="minorEastAsia" w:hint="eastAsia"/>
          <w:color w:val="000000" w:themeColor="text1"/>
          <w:szCs w:val="21"/>
        </w:rPr>
        <w:t>及</w:t>
      </w:r>
      <w:r w:rsidRPr="00172454">
        <w:rPr>
          <w:rFonts w:asciiTheme="minorEastAsia" w:eastAsiaTheme="minorEastAsia" w:hAnsiTheme="minorEastAsia"/>
          <w:color w:val="000000" w:themeColor="text1"/>
          <w:szCs w:val="21"/>
        </w:rPr>
        <w:t>时进行投资组合调整。</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13" w:name="_Toc238024289"/>
      <w:bookmarkStart w:id="314" w:name="_Toc253577326"/>
      <w:bookmarkStart w:id="315" w:name="_Toc91767003"/>
      <w:bookmarkEnd w:id="309"/>
      <w:bookmarkEnd w:id="310"/>
      <w:r w:rsidRPr="00172454">
        <w:rPr>
          <w:rFonts w:asciiTheme="minorEastAsia" w:eastAsiaTheme="minorEastAsia" w:hAnsiTheme="minorEastAsia" w:hint="eastAsia"/>
          <w:b w:val="0"/>
          <w:bCs/>
          <w:color w:val="000000" w:themeColor="text1"/>
        </w:rPr>
        <w:t>（六）业绩</w:t>
      </w:r>
      <w:r w:rsidRPr="00172454">
        <w:rPr>
          <w:rFonts w:asciiTheme="minorEastAsia" w:eastAsiaTheme="minorEastAsia" w:hAnsiTheme="minorEastAsia"/>
          <w:b w:val="0"/>
          <w:bCs/>
          <w:color w:val="000000" w:themeColor="text1"/>
        </w:rPr>
        <w:t>比较基准</w:t>
      </w:r>
      <w:bookmarkEnd w:id="304"/>
      <w:bookmarkEnd w:id="305"/>
      <w:bookmarkEnd w:id="313"/>
      <w:bookmarkEnd w:id="314"/>
      <w:bookmarkEnd w:id="315"/>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316" w:name="_Toc200522667"/>
      <w:bookmarkStart w:id="317" w:name="_Toc200522803"/>
      <w:bookmarkStart w:id="318" w:name="_Toc200522940"/>
      <w:r w:rsidRPr="00172454">
        <w:rPr>
          <w:rFonts w:asciiTheme="minorEastAsia" w:eastAsiaTheme="minorEastAsia" w:hAnsiTheme="minorEastAsia" w:hint="eastAsia"/>
          <w:color w:val="000000" w:themeColor="text1"/>
          <w:szCs w:val="21"/>
        </w:rPr>
        <w:t>本基金的业绩比较基准为标的指数。本基金标的指数为上证中盘指数。</w:t>
      </w:r>
    </w:p>
    <w:p w:rsidR="001F4E0B" w:rsidRPr="00172454" w:rsidP="001F4E0B">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5D5BC7" w:rsidRPr="00172454" w:rsidP="001F4E0B">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19" w:name="_Toc87269125"/>
      <w:bookmarkStart w:id="320" w:name="_Toc238024290"/>
      <w:bookmarkStart w:id="321" w:name="_Toc253577327"/>
      <w:bookmarkStart w:id="322" w:name="_Toc91767004"/>
      <w:bookmarkStart w:id="323" w:name="_Toc84149642"/>
      <w:bookmarkEnd w:id="316"/>
      <w:bookmarkEnd w:id="317"/>
      <w:bookmarkEnd w:id="318"/>
      <w:r w:rsidRPr="00172454">
        <w:rPr>
          <w:rFonts w:asciiTheme="minorEastAsia" w:eastAsiaTheme="minorEastAsia" w:hAnsiTheme="minorEastAsia" w:hint="eastAsia"/>
          <w:b w:val="0"/>
          <w:bCs/>
          <w:color w:val="000000" w:themeColor="text1"/>
        </w:rPr>
        <w:t>（七）风险收益特征</w:t>
      </w:r>
      <w:bookmarkEnd w:id="319"/>
      <w:bookmarkEnd w:id="320"/>
      <w:bookmarkEnd w:id="321"/>
      <w:bookmarkEnd w:id="322"/>
    </w:p>
    <w:bookmarkEnd w:id="323"/>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本基金属股票型基金，预期风险与收益水平高于混合基金、债券基金与货币市场基金。本基金为指数型基金，采用完全复制法跟踪标的指数的表现，具有与标的指数相似的风险收益特征。</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324" w:name="_Toc238024292"/>
      <w:bookmarkStart w:id="325" w:name="_Toc253577328"/>
      <w:bookmarkStart w:id="326" w:name="_Toc91767005"/>
      <w:r w:rsidRPr="00172454">
        <w:rPr>
          <w:rFonts w:asciiTheme="minorEastAsia" w:eastAsiaTheme="minorEastAsia" w:hAnsiTheme="minorEastAsia" w:hint="eastAsia"/>
          <w:b w:val="0"/>
          <w:bCs/>
          <w:color w:val="000000" w:themeColor="text1"/>
        </w:rPr>
        <w:t>（八）禁止行为</w:t>
      </w:r>
      <w:bookmarkEnd w:id="287"/>
      <w:bookmarkEnd w:id="324"/>
      <w:bookmarkEnd w:id="325"/>
      <w:bookmarkEnd w:id="326"/>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为维护基金份额持有人的合法权益，本基金禁止从事下列行为：</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327" w:name="OLE_LINK438"/>
      <w:bookmarkStart w:id="328" w:name="OLE_LINK439"/>
      <w:r w:rsidRPr="00172454">
        <w:rPr>
          <w:rFonts w:asciiTheme="minorEastAsia" w:eastAsiaTheme="minorEastAsia" w:hAnsiTheme="minorEastAsia" w:hint="eastAsia"/>
          <w:color w:val="000000" w:themeColor="text1"/>
          <w:szCs w:val="21"/>
        </w:rPr>
        <w:t>1、承销证券；</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sidR="00DE6626">
        <w:rPr>
          <w:rFonts w:asciiTheme="minorEastAsia" w:eastAsiaTheme="minorEastAsia" w:hAnsiTheme="minorEastAsia" w:hint="eastAsia"/>
          <w:bCs/>
          <w:color w:val="000000" w:themeColor="text1"/>
          <w:szCs w:val="21"/>
        </w:rPr>
        <w:t>违反规定</w:t>
      </w:r>
      <w:r w:rsidRPr="00172454">
        <w:rPr>
          <w:rFonts w:asciiTheme="minorEastAsia" w:eastAsiaTheme="minorEastAsia" w:hAnsiTheme="minorEastAsia" w:hint="eastAsia"/>
          <w:color w:val="000000" w:themeColor="text1"/>
          <w:szCs w:val="21"/>
        </w:rPr>
        <w:t>向他人贷款或提供担保；</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从事承担无限责任的投资；</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4、买卖其他基金份额，但中国证监会另有规定的除外；</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5、向基金管理人、基金托管人出资或者买卖其基金管理人、基金托管人发行的股票或债券；</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6、买卖与基金管理人、基金托管人有控股关系的股东或者与基金管理人、基金托管人有其他重大利害关系的公司发行的证券或者承销期内承销的证券，但标的指数成份股不受此限；</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7、从事内幕交易、操纵证券价格及其他不正当的证券交易活动；</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8、法律</w:t>
      </w:r>
      <w:r w:rsidRPr="00172454" w:rsidR="00DE6626">
        <w:rPr>
          <w:rFonts w:asciiTheme="minorEastAsia" w:eastAsiaTheme="minorEastAsia" w:hAnsiTheme="minorEastAsia" w:hint="eastAsia"/>
          <w:color w:val="000000" w:themeColor="text1"/>
          <w:szCs w:val="21"/>
        </w:rPr>
        <w:t>、行政</w:t>
      </w:r>
      <w:r w:rsidRPr="00172454">
        <w:rPr>
          <w:rFonts w:asciiTheme="minorEastAsia" w:eastAsiaTheme="minorEastAsia" w:hAnsiTheme="minorEastAsia" w:hint="eastAsia"/>
          <w:color w:val="000000" w:themeColor="text1"/>
          <w:szCs w:val="21"/>
        </w:rPr>
        <w:t>法规</w:t>
      </w:r>
      <w:bookmarkStart w:id="329" w:name="OLE_LINK347"/>
      <w:r w:rsidRPr="00172454" w:rsidR="00DE6626">
        <w:rPr>
          <w:rFonts w:asciiTheme="minorEastAsia" w:eastAsiaTheme="minorEastAsia" w:hAnsiTheme="minorEastAsia" w:hint="eastAsia"/>
          <w:color w:val="000000" w:themeColor="text1"/>
          <w:szCs w:val="21"/>
        </w:rPr>
        <w:t>和</w:t>
      </w:r>
      <w:bookmarkEnd w:id="329"/>
      <w:r w:rsidRPr="00172454">
        <w:rPr>
          <w:rFonts w:asciiTheme="minorEastAsia" w:eastAsiaTheme="minorEastAsia" w:hAnsiTheme="minorEastAsia" w:hint="eastAsia"/>
          <w:color w:val="000000" w:themeColor="text1"/>
          <w:szCs w:val="21"/>
        </w:rPr>
        <w:t>中国证监会禁止的其他</w:t>
      </w:r>
      <w:bookmarkStart w:id="330" w:name="OLE_LINK364"/>
      <w:r w:rsidRPr="00172454" w:rsidR="00DE6626">
        <w:rPr>
          <w:rFonts w:asciiTheme="minorEastAsia" w:eastAsiaTheme="minorEastAsia" w:hAnsiTheme="minorEastAsia" w:hint="eastAsia"/>
          <w:color w:val="000000" w:themeColor="text1"/>
          <w:szCs w:val="21"/>
        </w:rPr>
        <w:t>活动</w:t>
      </w:r>
      <w:bookmarkEnd w:id="330"/>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如</w:t>
      </w:r>
      <w:r w:rsidRPr="00172454">
        <w:rPr>
          <w:rFonts w:asciiTheme="minorEastAsia" w:eastAsiaTheme="minorEastAsia" w:hAnsiTheme="minorEastAsia"/>
          <w:color w:val="000000" w:themeColor="text1"/>
          <w:szCs w:val="21"/>
        </w:rPr>
        <w:t>法律法规或监管部门</w:t>
      </w:r>
      <w:r w:rsidRPr="00172454">
        <w:rPr>
          <w:rFonts w:asciiTheme="minorEastAsia" w:eastAsiaTheme="minorEastAsia" w:hAnsiTheme="minorEastAsia" w:hint="eastAsia"/>
          <w:color w:val="000000" w:themeColor="text1"/>
          <w:szCs w:val="21"/>
        </w:rPr>
        <w:t>取消上述禁止性规定，本基金管理人在履行适当程序后可不受上述规定的限制</w:t>
      </w:r>
      <w:r w:rsidRPr="00172454">
        <w:rPr>
          <w:rFonts w:asciiTheme="minorEastAsia" w:eastAsiaTheme="minorEastAsia" w:hAnsiTheme="minorEastAsia"/>
          <w:color w:val="000000" w:themeColor="text1"/>
          <w:szCs w:val="21"/>
        </w:rPr>
        <w:t>。对于因上述</w:t>
      </w:r>
      <w:r w:rsidRPr="00172454">
        <w:rPr>
          <w:rFonts w:asciiTheme="minorEastAsia" w:eastAsiaTheme="minorEastAsia" w:hAnsiTheme="minorEastAsia" w:hint="eastAsia"/>
          <w:color w:val="000000" w:themeColor="text1"/>
          <w:szCs w:val="21"/>
        </w:rPr>
        <w:t>第5</w:t>
      </w:r>
      <w:r w:rsidRPr="00172454">
        <w:rPr>
          <w:rFonts w:asciiTheme="minorEastAsia" w:eastAsiaTheme="minorEastAsia" w:hAnsiTheme="minorEastAsia"/>
          <w:color w:val="000000" w:themeColor="text1"/>
          <w:szCs w:val="21"/>
        </w:rPr>
        <w:t>项情形导致无法投资的</w:t>
      </w:r>
      <w:r w:rsidRPr="00172454">
        <w:rPr>
          <w:rFonts w:asciiTheme="minorEastAsia" w:eastAsiaTheme="minorEastAsia" w:hAnsiTheme="minorEastAsia" w:hint="eastAsia"/>
          <w:color w:val="000000" w:themeColor="text1"/>
          <w:szCs w:val="21"/>
        </w:rPr>
        <w:t>标的</w:t>
      </w:r>
      <w:r w:rsidRPr="00172454">
        <w:rPr>
          <w:rFonts w:asciiTheme="minorEastAsia" w:eastAsiaTheme="minorEastAsia" w:hAnsiTheme="minorEastAsia"/>
          <w:color w:val="000000" w:themeColor="text1"/>
          <w:szCs w:val="21"/>
        </w:rPr>
        <w:t>指数成份股，基金管理人</w:t>
      </w:r>
      <w:r w:rsidRPr="00172454">
        <w:rPr>
          <w:rFonts w:asciiTheme="minorEastAsia" w:eastAsiaTheme="minorEastAsia" w:hAnsiTheme="minorEastAsia" w:hint="eastAsia"/>
          <w:color w:val="000000" w:themeColor="text1"/>
          <w:szCs w:val="21"/>
        </w:rPr>
        <w:t>应</w:t>
      </w:r>
      <w:r w:rsidRPr="00172454">
        <w:rPr>
          <w:rFonts w:asciiTheme="minorEastAsia" w:eastAsiaTheme="minorEastAsia" w:hAnsiTheme="minorEastAsia"/>
          <w:color w:val="000000" w:themeColor="text1"/>
          <w:szCs w:val="21"/>
        </w:rPr>
        <w:t>在严格控制跟踪误差的前提下，结合使用其他合理方法进行适当替代</w:t>
      </w:r>
      <w:r w:rsidRPr="00172454">
        <w:rPr>
          <w:rFonts w:asciiTheme="minorEastAsia" w:eastAsiaTheme="minorEastAsia" w:hAnsiTheme="minorEastAsia" w:hint="eastAsia"/>
          <w:color w:val="000000" w:themeColor="text1"/>
          <w:szCs w:val="21"/>
        </w:rPr>
        <w:t>。</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331" w:name="_Toc238024293"/>
      <w:bookmarkStart w:id="332" w:name="_Toc253577329"/>
      <w:bookmarkStart w:id="333" w:name="_Toc91767006"/>
      <w:bookmarkEnd w:id="327"/>
      <w:bookmarkEnd w:id="328"/>
      <w:r w:rsidRPr="00172454">
        <w:rPr>
          <w:rFonts w:asciiTheme="minorEastAsia" w:eastAsiaTheme="minorEastAsia" w:hAnsiTheme="minorEastAsia" w:hint="eastAsia"/>
          <w:b w:val="0"/>
          <w:bCs/>
          <w:color w:val="000000" w:themeColor="text1"/>
        </w:rPr>
        <w:t>（九）</w:t>
      </w:r>
      <w:bookmarkStart w:id="334" w:name="_Toc52310854"/>
      <w:r w:rsidRPr="00172454">
        <w:rPr>
          <w:rFonts w:asciiTheme="minorEastAsia" w:eastAsiaTheme="minorEastAsia" w:hAnsiTheme="minorEastAsia" w:hint="eastAsia"/>
          <w:b w:val="0"/>
          <w:bCs/>
          <w:color w:val="000000" w:themeColor="text1"/>
        </w:rPr>
        <w:t>投资限制</w:t>
      </w:r>
      <w:bookmarkEnd w:id="331"/>
      <w:bookmarkEnd w:id="332"/>
      <w:bookmarkEnd w:id="333"/>
      <w:bookmarkEnd w:id="334"/>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本基金的投资组合将遵循以下限制：</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1、本基金进入全国银行间同业市场进行债券回购的资金余额不得超过基金资产净值的40%</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2、基金财产参与股票发行申购，本基金所申报的金额不得超过本基金的总资产，所申报的股票数量不得超过拟发行股票公司本次发行股票的总量；</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3、本基金不得违反《基金合同》关于投资范围和投资比例的约定；</w:t>
      </w:r>
    </w:p>
    <w:p w:rsidR="00331177" w:rsidRPr="00172454" w:rsidP="00331177">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4、本基金主动投资于流动性受限资产的市值合计不得超过本基金资产净值的15%。</w:t>
      </w:r>
    </w:p>
    <w:p w:rsidR="00331177" w:rsidRPr="00172454" w:rsidP="00331177">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5、本基金与私募类证券资管产品及中国证监会认定的其他主体为交易对手开展逆回购交易的，可接受质押品的资质要求应当与基金合同约定的投资范围保持一致。</w:t>
      </w:r>
    </w:p>
    <w:p w:rsidR="00D551BB" w:rsidRPr="00172454" w:rsidP="00D551BB">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6、本基金投资存托凭证的比例限制依照境内上市交易的股票执行，与境内上市交易的股票合并计算。</w:t>
      </w:r>
    </w:p>
    <w:p w:rsidR="005D5BC7" w:rsidRPr="00172454" w:rsidP="00D551BB">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相关法律法规以及监管部门规定的其他投资限制。</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35" w:name="_Toc238024294"/>
      <w:bookmarkStart w:id="336" w:name="_Toc253577330"/>
      <w:bookmarkStart w:id="337" w:name="_Toc91767007"/>
      <w:r w:rsidRPr="00172454">
        <w:rPr>
          <w:rFonts w:asciiTheme="minorEastAsia" w:eastAsiaTheme="minorEastAsia" w:hAnsiTheme="minorEastAsia" w:hint="eastAsia"/>
          <w:b w:val="0"/>
          <w:bCs/>
          <w:color w:val="000000" w:themeColor="text1"/>
        </w:rPr>
        <w:t>（十）</w:t>
      </w:r>
      <w:r w:rsidRPr="00172454">
        <w:rPr>
          <w:rFonts w:asciiTheme="minorEastAsia" w:eastAsiaTheme="minorEastAsia" w:hAnsiTheme="minorEastAsia" w:hint="eastAsia"/>
          <w:b w:val="0"/>
          <w:bCs/>
          <w:color w:val="000000" w:themeColor="text1"/>
          <w:spacing w:val="-6"/>
        </w:rPr>
        <w:t>基金管理人代表基金行使所投资证券产生权利的处理原则及方法</w:t>
      </w:r>
      <w:bookmarkEnd w:id="335"/>
      <w:bookmarkEnd w:id="336"/>
      <w:bookmarkEnd w:id="337"/>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不谋求对上市公司的控股，不参与所投资上市公司的经营管理；</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2、有利于基金资产的安全与增值；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3、基金管理人按照国家有关规定代表基金独立行使股东权利，保护基金份额持有人的利益。</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38" w:name="_Toc238024295"/>
      <w:bookmarkStart w:id="339" w:name="_Toc253577331"/>
      <w:bookmarkStart w:id="340" w:name="_Toc91767008"/>
      <w:r w:rsidRPr="00172454">
        <w:rPr>
          <w:rFonts w:asciiTheme="minorEastAsia" w:eastAsiaTheme="minorEastAsia" w:hAnsiTheme="minorEastAsia" w:hint="eastAsia"/>
          <w:b w:val="0"/>
          <w:bCs/>
          <w:color w:val="000000" w:themeColor="text1"/>
        </w:rPr>
        <w:t>（十</w:t>
      </w:r>
      <w:r w:rsidRPr="00172454">
        <w:rPr>
          <w:rFonts w:asciiTheme="minorEastAsia" w:eastAsiaTheme="minorEastAsia" w:hAnsiTheme="minorEastAsia" w:hint="eastAsia"/>
          <w:b w:val="0"/>
          <w:color w:val="000000" w:themeColor="text1"/>
        </w:rPr>
        <w:t>一</w:t>
      </w:r>
      <w:r w:rsidRPr="00172454">
        <w:rPr>
          <w:rFonts w:asciiTheme="minorEastAsia" w:eastAsiaTheme="minorEastAsia" w:hAnsiTheme="minorEastAsia" w:hint="eastAsia"/>
          <w:b w:val="0"/>
          <w:bCs/>
          <w:color w:val="000000" w:themeColor="text1"/>
        </w:rPr>
        <w:t>）基金的融资</w:t>
      </w:r>
      <w:r w:rsidRPr="00172454" w:rsidR="00B810E3">
        <w:rPr>
          <w:rFonts w:asciiTheme="minorEastAsia" w:eastAsiaTheme="minorEastAsia" w:hAnsiTheme="minorEastAsia" w:hint="eastAsia"/>
          <w:b w:val="0"/>
          <w:bCs/>
          <w:color w:val="000000" w:themeColor="text1"/>
        </w:rPr>
        <w:t>、转融通</w:t>
      </w:r>
      <w:bookmarkEnd w:id="338"/>
      <w:bookmarkEnd w:id="339"/>
      <w:bookmarkEnd w:id="340"/>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条件许可的情况下，基金管理人可在不改变本基金既有投资目标、策略和风险收益特征并在控制风险的前提下，根据相关法律法规，参与融资及转融通证券出借业务，以提高投资效率及进行风险管理。届时基金参与融资及转融通证券出借业务的风险控制原则、具体参与比例限制、费用收支、信息披露、估值方法及其他相关事项按照中国证监会的规定及其他相关法律法规的要求执行，无需召开基金份额持有人大会审议。</w:t>
      </w:r>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（1）融资策略</w:t>
      </w:r>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本基金可在综合考虑预期收益、风险、流动性等因素的基础上，参与融资业务。</w:t>
      </w:r>
      <w:r w:rsidRPr="00172454" w:rsidR="00505238">
        <w:rPr>
          <w:rFonts w:asciiTheme="minorEastAsia" w:eastAsiaTheme="minorEastAsia" w:hAnsiTheme="minorEastAsia" w:hint="eastAsia"/>
          <w:color w:val="000000" w:themeColor="text1"/>
          <w:szCs w:val="21"/>
        </w:rPr>
        <w:t>基金参与融资业务后，在任何交易日日终，持有的融资买入股票与其他有价证券市值之和，不得超过基金资产净值的95%。</w:t>
      </w:r>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（2）转融通证券出借策略</w:t>
      </w:r>
    </w:p>
    <w:p w:rsidR="00B810E3"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本基金可根据风险管理的原则，参与转融通证券出借交易。转融通证券出借策略按照分散化投资原则，分批、分期进行转融通证券出借交易，以分散风险。</w:t>
      </w:r>
      <w:r w:rsidRPr="00172454" w:rsidR="00505238">
        <w:rPr>
          <w:rFonts w:asciiTheme="minorEastAsia" w:eastAsiaTheme="minorEastAsia" w:hAnsiTheme="minorEastAsia" w:hint="eastAsia"/>
          <w:color w:val="000000" w:themeColor="text1"/>
          <w:szCs w:val="21"/>
        </w:rPr>
        <w:t>本基金在任何交易日日终，参与转融通证券出借交易的资产不得超过基金资产净值的50%，证券出借的平均剩余期限不得超过30天，平均剩余期限按照市值加权平均计算。</w:t>
      </w:r>
    </w:p>
    <w:p w:rsidR="00505238" w:rsidRPr="00172454" w:rsidP="00B810E3">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法律法规或监管部门取消上述组合限制，本基金可不受相关限制。法律法规或监管部门对上述组合限制进行变更的，本基金可以变更后的规定为准。经与基金托管人协商一致，基金管理人可依据法律法规或监管部门规定直接对基金合同进行变更，该变更无须召开基金份额持有人大会审议。</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41" w:name="_Toc91767009"/>
      <w:r w:rsidRPr="00172454">
        <w:rPr>
          <w:rFonts w:asciiTheme="minorEastAsia" w:eastAsiaTheme="minorEastAsia" w:hAnsiTheme="minorEastAsia" w:hint="eastAsia"/>
          <w:b w:val="0"/>
          <w:bCs/>
          <w:color w:val="000000" w:themeColor="text1"/>
        </w:rPr>
        <w:t>（十二）基金投资组合报告(未经审计)</w:t>
      </w:r>
      <w:bookmarkEnd w:id="341"/>
    </w:p>
    <w:p w:rsidR="005D5BC7" w:rsidRPr="00172454" w:rsidP="00150642">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hint="eastAsia"/>
          <w:color w:val="000000" w:themeColor="text1"/>
          <w:sz w:val="21"/>
          <w:szCs w:val="21"/>
        </w:rPr>
        <w:t>本基金管理人的董事会及董事保证本报告所载资料不存在虚假记载、误导性陈述或重大遗漏，并对其内容的真实性、准确性和完整性承担个别及连带责任。</w:t>
      </w:r>
    </w:p>
    <w:p w:rsidR="005D5BC7" w:rsidRPr="00172454" w:rsidP="00150642">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hint="eastAsia"/>
          <w:color w:val="000000" w:themeColor="text1"/>
          <w:sz w:val="21"/>
          <w:szCs w:val="21"/>
        </w:rPr>
        <w:t>本基金的托管人中国工商银行股份有限公司根据本基金合同的规定，复核了本报告的内容，保证复核内容不存在虚假记载、误导性陈述或者重大遗漏。</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rPr>
        <w:t>本投资组合报告有关数据的期间为2021年7月1日至2021年9月30日。</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254,691,870.05</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98.95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254,691,870.05</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98.95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50161B" w:rsidRPr="00172454">
            <w:pPr>
              <w:ind w:left="105" w:leftChars="5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2,706,502.43</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1.05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3,961.92</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0.00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257,402,334.40</w:t>
            </w:r>
          </w:p>
        </w:tc>
        <w:tc>
          <w:tcPr>
            <w:tcW w:w="1843"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100.00</w:t>
            </w:r>
          </w:p>
        </w:tc>
      </w:tr>
    </w:tbl>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注：上表中的权益投资含可退替代款估值增值。</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2、 报告期末按行业分类的股票投资组合</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569,640.00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0.22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6,309,005.10</w:t>
            </w:r>
          </w:p>
          <w:p w:rsidR="0050161B" w:rsidRPr="00172454">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2.46</w:t>
            </w:r>
          </w:p>
          <w:p w:rsidR="0050161B" w:rsidRPr="00172454">
            <w:pPr>
              <w:jc w:val="right"/>
              <w:rPr>
                <w:rFonts w:asciiTheme="minorEastAsia" w:eastAsiaTheme="minorEastAsia" w:hAnsi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112,709,766.62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43.88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20,337,413.44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7.92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11,706,950.50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4.56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5,184,314.69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2.02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15,980,733.20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6.22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10,667,056.68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4.15</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60,837,608.54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23.69</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5,216,979.28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2.03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5,170,258.00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adjustRightInd w:val="0"/>
              <w:snapToGrid w:val="0"/>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254,689,726.05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0161B" w:rsidRPr="00172454">
            <w:pPr>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99.16</w:t>
            </w:r>
          </w:p>
        </w:tc>
      </w:tr>
    </w:tbl>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3、 期末按公允价值占基金资产净值比例大小排序的股票投资明细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 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600900</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长江电力</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608,926</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13,396,372.00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5.22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601328</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交通银行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1,469,800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6,614,100.00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2.58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600436</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片仔癀</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16,300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6,164,660.00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2.40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601919</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中远海控</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336,580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5,816,102.40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2.26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600406</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国电南瑞</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148,472</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5,331,629.52</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2.08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600111</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北方稀土</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116,800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5,170,736.00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2.01</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601816</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京沪高铁</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1,050,800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5,001,808.00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1.95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600089</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特变电工</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198,950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4,824,537.50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1.88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603799</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华友钴业</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45,496</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4,704,286.40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1.83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600019</w:t>
            </w:r>
          </w:p>
        </w:tc>
        <w:tc>
          <w:tcPr>
            <w:tcW w:w="1418" w:type="dxa"/>
            <w:tcBorders>
              <w:top w:val="single" w:sz="0" w:space="0" w:color="000000"/>
              <w:left w:val="single" w:sz="0" w:space="0" w:color="000000"/>
              <w:bottom w:val="single" w:sz="0" w:space="0" w:color="000000"/>
              <w:right w:val="single" w:sz="0" w:space="0" w:color="000000"/>
            </w:tcBorders>
            <w:vAlign w:val="center"/>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宝钢股份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477,000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4,149,900.00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0161B" w:rsidRPr="00172454">
            <w:pPr>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kern w:val="0"/>
              </w:rPr>
              <w:t>1.62</w:t>
            </w:r>
          </w:p>
        </w:tc>
      </w:tr>
    </w:tbl>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4、 报告期末按债券品种分类的债券投资组合</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本基金本报告期末未持有债券。</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5、 报告期末按公允价值占基金资产净值比例大小排序的前五名债券投资明细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本基金本报告期末未持有债券。</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6、 报告期末按公允价值占基金资产净值比例大小排序的前十名资产支持证券投资明细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本基金本报告期末未持有资产支持证券。</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7、 报告期末按公允价值占基金资产净值比例大小排序的前五名贵金属投资明细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本基金本报告期末未持有贵金属。</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8、 报告期末按公允价值占基金资产净值比例大小排序的前五名权证投资明细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本基金本报告期末未持有权证。</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9、 报告期末本基金投资的股指期货交易情况说明</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本基金本报告期末未投资股指期货。</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10、 报告期末本基金投资的国债期货交易情况说明</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本基金本报告期末未投资国债期货。</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11、 投资组合报告附注</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（1） 本基金投资的前十名证券的发行主体中，交通银行股份有限公司在报告编制日前一年内曾受到中国银行保险监督管理委员会、中国人民银行的处罚。宝山钢铁股份有限公司在报告编制日前一年内曾受到上海市生态环境局的处罚。</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（2） 本基金投资的前十名股票没有超出基金合同规定的备选股票库。</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7"/>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3,726.28</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235.64</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center"/>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lef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50161B" w:rsidRPr="00172454">
            <w:pPr>
              <w:autoSpaceDE w:val="0"/>
              <w:autoSpaceDN w:val="0"/>
              <w:adjustRightInd w:val="0"/>
              <w:ind w:left="15"/>
              <w:jc w:val="right"/>
              <w:rPr>
                <w:rFonts w:asciiTheme="minorEastAsia" w:eastAsiaTheme="minorEastAsia" w:hAnsiTheme="minorEastAsia"/>
                <w:color w:val="000000" w:themeColor="text1"/>
                <w:kern w:val="0"/>
                <w:sz w:val="24"/>
              </w:rPr>
            </w:pPr>
            <w:r w:rsidRPr="00172454">
              <w:rPr>
                <w:rFonts w:asciiTheme="minorEastAsia" w:eastAsiaTheme="minorEastAsia" w:hAnsiTheme="minorEastAsia"/>
                <w:color w:val="000000" w:themeColor="text1"/>
                <w:kern w:val="0"/>
              </w:rPr>
              <w:t>3,961.92</w:t>
            </w:r>
          </w:p>
        </w:tc>
      </w:tr>
    </w:tbl>
    <w:p w:rsidR="0050161B" w:rsidRPr="00172454" w:rsidP="00172454">
      <w:pPr>
        <w:pStyle w:val="NormalWeb"/>
        <w:snapToGrid w:val="0"/>
        <w:spacing w:line="360" w:lineRule="auto"/>
        <w:ind w:firstLine="48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rPr>
        <w:t>（</w:t>
      </w:r>
      <w:r w:rsidRPr="00172454">
        <w:rPr>
          <w:rFonts w:asciiTheme="minorEastAsia" w:eastAsiaTheme="minorEastAsia" w:hAnsiTheme="minorEastAsia"/>
          <w:color w:val="000000" w:themeColor="text1"/>
          <w:sz w:val="21"/>
          <w:szCs w:val="21"/>
        </w:rPr>
        <w:t>4）报告期末持有的处于转股期的可转换债券明细</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本基金本报告期末未持有处于转股期的可转换债券。</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 w:val="21"/>
          <w:szCs w:val="21"/>
        </w:rPr>
        <w:t>（5）报告期末前十名股票中存在流通受限情况的说明</w:t>
      </w:r>
    </w:p>
    <w:p w:rsidR="0050161B" w:rsidRPr="00172454" w:rsidP="00172454">
      <w:pPr>
        <w:pStyle w:val="NormalWeb"/>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sz w:val="21"/>
          <w:szCs w:val="21"/>
        </w:rPr>
        <w:t>本基金本报告期末前十名股票中不存在流通受限情况。</w:t>
      </w:r>
      <w:r w:rsidRPr="00172454">
        <w:rPr>
          <w:rFonts w:asciiTheme="minorEastAsia" w:eastAsiaTheme="minorEastAsia" w:hAnsiTheme="minorEastAsia"/>
          <w:color w:val="000000" w:themeColor="text1"/>
        </w:rPr>
        <w:br w:type="page"/>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342" w:name="_Toc91767010"/>
      <w:r w:rsidRPr="00172454">
        <w:rPr>
          <w:rFonts w:asciiTheme="minorEastAsia" w:eastAsiaTheme="minorEastAsia" w:hAnsiTheme="minorEastAsia" w:hint="eastAsia"/>
          <w:bCs/>
          <w:color w:val="000000" w:themeColor="text1"/>
        </w:rPr>
        <w:t>十二、基金的业绩</w:t>
      </w:r>
      <w:bookmarkEnd w:id="342"/>
    </w:p>
    <w:p w:rsidR="005D5BC7" w:rsidRPr="00172454" w:rsidP="00150642">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172454">
        <w:rPr>
          <w:rFonts w:asciiTheme="minorEastAsia" w:eastAsiaTheme="minorEastAsia" w:hAnsiTheme="minor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w:t>
      </w:r>
      <w:r w:rsidRPr="00172454">
        <w:rPr>
          <w:rFonts w:asciiTheme="minorEastAsia" w:eastAsiaTheme="minorEastAsia" w:hAnsiTheme="minorEastAsia" w:hint="eastAsia"/>
          <w:color w:val="000000" w:themeColor="text1"/>
          <w:kern w:val="0"/>
        </w:rPr>
        <w:t>作出</w:t>
      </w:r>
      <w:r w:rsidRPr="00172454">
        <w:rPr>
          <w:rFonts w:asciiTheme="minorEastAsia" w:eastAsiaTheme="minorEastAsia" w:hAnsiTheme="minorEastAsia"/>
          <w:color w:val="000000" w:themeColor="text1"/>
          <w:kern w:val="0"/>
        </w:rPr>
        <w:t>投资决策前应仔细阅读本基金的招募说明书。</w:t>
      </w:r>
    </w:p>
    <w:p w:rsidR="005D5BC7" w:rsidRPr="00172454" w:rsidP="00150642">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172454">
        <w:rPr>
          <w:rFonts w:asciiTheme="minorEastAsia" w:eastAsiaTheme="minorEastAsia" w:hAnsiTheme="minorEastAsia"/>
          <w:color w:val="000000" w:themeColor="text1"/>
        </w:rPr>
        <w:t>本基金合同生效日为</w:t>
      </w:r>
      <w:smartTag w:uri="urn:schemas-microsoft-com:office:smarttags" w:element="chsdate">
        <w:smartTagPr>
          <w:attr w:name="Day" w:val="29"/>
          <w:attr w:name="IsLunarDate" w:val="False"/>
          <w:attr w:name="IsROCDate" w:val="False"/>
          <w:attr w:name="Month" w:val="3"/>
          <w:attr w:name="Year" w:val="2010"/>
        </w:smartTagPr>
        <w:r w:rsidRPr="00172454">
          <w:rPr>
            <w:rFonts w:asciiTheme="minorEastAsia" w:eastAsiaTheme="minorEastAsia" w:hAnsiTheme="minorEastAsia" w:hint="eastAsia"/>
            <w:color w:val="000000" w:themeColor="text1"/>
          </w:rPr>
          <w:t>2010年3月29日</w:t>
        </w:r>
      </w:smartTag>
      <w:r w:rsidRPr="00172454">
        <w:rPr>
          <w:rFonts w:asciiTheme="minorEastAsia" w:eastAsiaTheme="minorEastAsia" w:hAnsiTheme="minorEastAsia"/>
          <w:color w:val="000000" w:themeColor="text1"/>
        </w:rPr>
        <w:t>，本基金最近10个完整会计年度（截至2020年12月31日）的投资业绩及与同期基准的比较如下表所示：</w:t>
      </w:r>
    </w:p>
    <w:tbl>
      <w:tblPr>
        <w:tblW w:w="8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4"/>
        <w:gridCol w:w="1080"/>
        <w:gridCol w:w="1080"/>
        <w:gridCol w:w="1440"/>
        <w:gridCol w:w="1440"/>
        <w:gridCol w:w="900"/>
        <w:gridCol w:w="900"/>
      </w:tblGrid>
      <w:tr w:rsidTr="001E55A5">
        <w:tblPrEx>
          <w:tblW w:w="8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trPr>
        <w:tc>
          <w:tcPr>
            <w:tcW w:w="1724" w:type="dxa"/>
            <w:vAlign w:val="center"/>
          </w:tcPr>
          <w:p w:rsidR="005D5BC7" w:rsidRPr="00172454" w:rsidP="00150642">
            <w:pPr>
              <w:snapToGrid w:val="0"/>
              <w:spacing w:line="360" w:lineRule="auto"/>
              <w:jc w:val="center"/>
              <w:rPr>
                <w:rFonts w:asciiTheme="minorEastAsia" w:eastAsiaTheme="minorEastAsia" w:hAnsiTheme="minorEastAsia" w:cs="Arial Unicode MS"/>
                <w:color w:val="000000" w:themeColor="text1"/>
                <w:szCs w:val="21"/>
              </w:rPr>
            </w:pPr>
            <w:r w:rsidRPr="00172454">
              <w:rPr>
                <w:rFonts w:asciiTheme="minorEastAsia" w:eastAsiaTheme="minorEastAsia" w:hAnsiTheme="minorEastAsia" w:hint="eastAsia"/>
                <w:color w:val="000000" w:themeColor="text1"/>
                <w:szCs w:val="21"/>
              </w:rPr>
              <w:t>阶段</w:t>
            </w:r>
          </w:p>
        </w:tc>
        <w:tc>
          <w:tcPr>
            <w:tcW w:w="1080" w:type="dxa"/>
            <w:vAlign w:val="center"/>
          </w:tcPr>
          <w:p w:rsidR="005D5BC7" w:rsidRPr="00172454" w:rsidP="00150642">
            <w:pPr>
              <w:snapToGrid w:val="0"/>
              <w:spacing w:line="360" w:lineRule="auto"/>
              <w:jc w:val="center"/>
              <w:rPr>
                <w:rFonts w:asciiTheme="minorEastAsia" w:eastAsiaTheme="minorEastAsia" w:hAnsiTheme="minorEastAsia" w:cs="Arial Unicode MS"/>
                <w:color w:val="000000" w:themeColor="text1"/>
                <w:szCs w:val="21"/>
              </w:rPr>
            </w:pPr>
            <w:r w:rsidRPr="00172454">
              <w:rPr>
                <w:rFonts w:asciiTheme="minorEastAsia" w:eastAsiaTheme="minorEastAsia" w:hAnsiTheme="minorEastAsia" w:hint="eastAsia"/>
                <w:color w:val="000000" w:themeColor="text1"/>
                <w:szCs w:val="21"/>
              </w:rPr>
              <w:t>净值增长率（</w:t>
            </w:r>
            <w:r w:rsidRPr="00172454">
              <w:rPr>
                <w:rFonts w:asciiTheme="minorEastAsia" w:eastAsiaTheme="minorEastAsia" w:hAnsiTheme="minorEastAsia"/>
                <w:color w:val="000000" w:themeColor="text1"/>
                <w:szCs w:val="21"/>
              </w:rPr>
              <w:t>1）</w:t>
            </w:r>
          </w:p>
        </w:tc>
        <w:tc>
          <w:tcPr>
            <w:tcW w:w="1080" w:type="dxa"/>
            <w:vAlign w:val="center"/>
          </w:tcPr>
          <w:p w:rsidR="005D5BC7" w:rsidRPr="00172454" w:rsidP="00150642">
            <w:pPr>
              <w:snapToGrid w:val="0"/>
              <w:spacing w:line="360" w:lineRule="auto"/>
              <w:jc w:val="center"/>
              <w:rPr>
                <w:rFonts w:asciiTheme="minorEastAsia" w:eastAsiaTheme="minorEastAsia" w:hAnsiTheme="minorEastAsia" w:cs="Arial Unicode MS"/>
                <w:color w:val="000000" w:themeColor="text1"/>
                <w:szCs w:val="21"/>
              </w:rPr>
            </w:pPr>
            <w:r w:rsidRPr="00172454">
              <w:rPr>
                <w:rFonts w:asciiTheme="minorEastAsia" w:eastAsiaTheme="minorEastAsia" w:hAnsiTheme="minorEastAsia" w:hint="eastAsia"/>
                <w:color w:val="000000" w:themeColor="text1"/>
                <w:szCs w:val="21"/>
              </w:rPr>
              <w:t>净值增长率标准差（</w:t>
            </w:r>
            <w:r w:rsidRPr="00172454">
              <w:rPr>
                <w:rFonts w:asciiTheme="minorEastAsia" w:eastAsiaTheme="minorEastAsia" w:hAnsiTheme="minorEastAsia"/>
                <w:color w:val="000000" w:themeColor="text1"/>
                <w:szCs w:val="21"/>
              </w:rPr>
              <w:t>2）</w:t>
            </w:r>
          </w:p>
        </w:tc>
        <w:tc>
          <w:tcPr>
            <w:tcW w:w="1440" w:type="dxa"/>
            <w:vAlign w:val="center"/>
          </w:tcPr>
          <w:p w:rsidR="005D5BC7" w:rsidRPr="00172454" w:rsidP="00150642">
            <w:pPr>
              <w:snapToGrid w:val="0"/>
              <w:spacing w:line="360" w:lineRule="auto"/>
              <w:jc w:val="center"/>
              <w:rPr>
                <w:rFonts w:asciiTheme="minorEastAsia" w:eastAsiaTheme="minorEastAsia" w:hAnsiTheme="minorEastAsia" w:cs="Arial Unicode MS"/>
                <w:color w:val="000000" w:themeColor="text1"/>
                <w:szCs w:val="21"/>
              </w:rPr>
            </w:pPr>
            <w:r w:rsidRPr="00172454">
              <w:rPr>
                <w:rFonts w:asciiTheme="minorEastAsia" w:eastAsiaTheme="minorEastAsia" w:hAnsiTheme="minorEastAsia" w:hint="eastAsia"/>
                <w:color w:val="000000" w:themeColor="text1"/>
                <w:szCs w:val="21"/>
              </w:rPr>
              <w:t>业绩比较基准收益率（</w:t>
            </w:r>
            <w:r w:rsidRPr="00172454">
              <w:rPr>
                <w:rFonts w:asciiTheme="minorEastAsia" w:eastAsiaTheme="minorEastAsia" w:hAnsiTheme="minorEastAsia"/>
                <w:color w:val="000000" w:themeColor="text1"/>
                <w:szCs w:val="21"/>
              </w:rPr>
              <w:t>3）</w:t>
            </w:r>
          </w:p>
        </w:tc>
        <w:tc>
          <w:tcPr>
            <w:tcW w:w="1440" w:type="dxa"/>
            <w:vAlign w:val="center"/>
          </w:tcPr>
          <w:p w:rsidR="005D5BC7" w:rsidRPr="00172454" w:rsidP="00150642">
            <w:pPr>
              <w:snapToGrid w:val="0"/>
              <w:spacing w:line="360" w:lineRule="auto"/>
              <w:jc w:val="center"/>
              <w:rPr>
                <w:rFonts w:asciiTheme="minorEastAsia" w:eastAsiaTheme="minorEastAsia" w:hAnsiTheme="minorEastAsia" w:cs="Arial Unicode MS"/>
                <w:color w:val="000000" w:themeColor="text1"/>
                <w:szCs w:val="21"/>
              </w:rPr>
            </w:pPr>
            <w:r w:rsidRPr="00172454">
              <w:rPr>
                <w:rFonts w:asciiTheme="minorEastAsia" w:eastAsiaTheme="minorEastAsia" w:hAnsiTheme="minorEastAsia" w:hint="eastAsia"/>
                <w:color w:val="000000" w:themeColor="text1"/>
                <w:szCs w:val="21"/>
              </w:rPr>
              <w:t>业绩比较基准收益率标准差（</w:t>
            </w:r>
            <w:r w:rsidRPr="00172454">
              <w:rPr>
                <w:rFonts w:asciiTheme="minorEastAsia" w:eastAsiaTheme="minorEastAsia" w:hAnsiTheme="minorEastAsia"/>
                <w:color w:val="000000" w:themeColor="text1"/>
                <w:szCs w:val="21"/>
              </w:rPr>
              <w:t>4）</w:t>
            </w:r>
          </w:p>
        </w:tc>
        <w:tc>
          <w:tcPr>
            <w:tcW w:w="900" w:type="dxa"/>
            <w:vAlign w:val="center"/>
          </w:tcPr>
          <w:p w:rsidR="005D5BC7" w:rsidRPr="00172454" w:rsidP="00150642">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(3)</w:t>
            </w:r>
          </w:p>
        </w:tc>
        <w:tc>
          <w:tcPr>
            <w:tcW w:w="900" w:type="dxa"/>
            <w:vAlign w:val="center"/>
          </w:tcPr>
          <w:p w:rsidR="005D5BC7" w:rsidRPr="00172454" w:rsidP="00150642">
            <w:pPr>
              <w:snapToGrid w:val="0"/>
              <w:spacing w:line="360" w:lineRule="auto"/>
              <w:ind w:left="-107" w:leftChars="-51"/>
              <w:jc w:val="center"/>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(4)</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2011年1月1日至2011年12月31日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-31.27%</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1.41%</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-31.35%</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1.43%</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0.08%</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2012年1月1日至2012年12月31日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3.95%</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1.37%</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3.59%</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1.39%</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0.36%</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2013年1月1日至2013年12月31日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3.76%</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1.31%</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3.03%</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1.33%</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0.73%</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2014年1月1日至2014年12月31日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53.94%</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1.16%</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52.66%</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1.18%</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1.28%</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2015年1月1日至2015年12月31日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11.44%</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2.70%</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9.10%</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2.74%</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2.34%</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-0.04%</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2016年1月1日至2016年12月31日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-12.96%</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1.56%</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-15.87%</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1.59%</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2.91%</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-0.03%</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2017年1月1日至2017年12月31日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15.01%</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0.59%</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11.13%</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0.61%</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3.88%</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2018年1月1日至2018年12月31日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-21.93%</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1.22%</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-23.89%</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1.26%</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1.96%</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-0.04%</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2019年1月1日至2019年12月31日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29.64%</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1.29%</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24.37%</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1.30%</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5.27%</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-0.01%</w:t>
            </w:r>
          </w:p>
        </w:tc>
      </w:tr>
      <w:tr>
        <w:tblPrEx>
          <w:tblW w:w="8564" w:type="dxa"/>
          <w:tblInd w:w="-176" w:type="dxa"/>
          <w:tblLayout w:type="fixed"/>
          <w:tblLook w:val="0000"/>
        </w:tblPrEx>
        <w:tc>
          <w:tcPr>
            <w:tcW w:w="1724"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2020年1月1日至2020年12月31日</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36.22%</w:t>
            </w:r>
          </w:p>
        </w:tc>
        <w:tc>
          <w:tcPr>
            <w:tcW w:w="108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1.41%</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23.12%</w:t>
            </w:r>
          </w:p>
        </w:tc>
        <w:tc>
          <w:tcPr>
            <w:tcW w:w="144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1.43%</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13.10%</w:t>
            </w:r>
          </w:p>
        </w:tc>
        <w:tc>
          <w:tcPr>
            <w:tcW w:w="900"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-0.02%</w:t>
            </w:r>
          </w:p>
        </w:tc>
      </w:tr>
    </w:tbl>
    <w:p w:rsidR="006B34B2" w:rsidRPr="00172454" w:rsidP="00634CA1">
      <w:pPr>
        <w:snapToGrid w:val="0"/>
        <w:spacing w:line="360" w:lineRule="auto"/>
        <w:ind w:firstLine="424" w:firstLineChars="202"/>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本基金历任基金经理情况：张胜记，管理时间为2010年3月29日至2018年8月10日。</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color w:val="000000" w:themeColor="text1"/>
        </w:rPr>
        <w:br w:type="page"/>
      </w:r>
      <w:bookmarkStart w:id="343" w:name="_Toc91767011"/>
      <w:r w:rsidRPr="00172454">
        <w:rPr>
          <w:rFonts w:asciiTheme="minorEastAsia" w:eastAsiaTheme="minorEastAsia" w:hAnsiTheme="minorEastAsia" w:hint="eastAsia"/>
          <w:bCs/>
          <w:color w:val="000000" w:themeColor="text1"/>
        </w:rPr>
        <w:t>十三、基金的财产</w:t>
      </w:r>
      <w:bookmarkEnd w:id="343"/>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344" w:name="_Toc238024297"/>
      <w:bookmarkStart w:id="345" w:name="_Toc253577333"/>
      <w:bookmarkStart w:id="346" w:name="_Toc91767012"/>
      <w:r w:rsidRPr="00172454">
        <w:rPr>
          <w:rFonts w:asciiTheme="minorEastAsia" w:eastAsiaTheme="minorEastAsia" w:hAnsiTheme="minorEastAsia" w:hint="eastAsia"/>
          <w:b w:val="0"/>
          <w:bCs/>
          <w:color w:val="000000" w:themeColor="text1"/>
        </w:rPr>
        <w:t>（一）基金资产总值</w:t>
      </w:r>
      <w:bookmarkEnd w:id="344"/>
      <w:bookmarkEnd w:id="345"/>
      <w:bookmarkEnd w:id="346"/>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347" w:name="_Toc79392635"/>
      <w:bookmarkStart w:id="348" w:name="_Toc79556449"/>
      <w:r w:rsidRPr="00172454">
        <w:rPr>
          <w:rFonts w:asciiTheme="minorEastAsia" w:eastAsiaTheme="minorEastAsia" w:hAnsiTheme="minorEastAsia" w:hint="eastAsia"/>
          <w:color w:val="000000" w:themeColor="text1"/>
          <w:szCs w:val="21"/>
        </w:rPr>
        <w:t>基金资产总值是指购买的各类有价证券、银行存款本息和基金应收的申购基金款以及其他投资所形成的价值总和。</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49" w:name="_Toc238024298"/>
      <w:bookmarkStart w:id="350" w:name="_Toc253577334"/>
      <w:bookmarkStart w:id="351" w:name="_Toc91767013"/>
      <w:bookmarkEnd w:id="347"/>
      <w:bookmarkEnd w:id="348"/>
      <w:r w:rsidRPr="00172454">
        <w:rPr>
          <w:rFonts w:asciiTheme="minorEastAsia" w:eastAsiaTheme="minorEastAsia" w:hAnsiTheme="minorEastAsia" w:hint="eastAsia"/>
          <w:b w:val="0"/>
          <w:color w:val="000000" w:themeColor="text1"/>
        </w:rPr>
        <w:t>（二）基金资产净值</w:t>
      </w:r>
      <w:bookmarkEnd w:id="349"/>
      <w:bookmarkEnd w:id="350"/>
      <w:bookmarkEnd w:id="351"/>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基金资产净值是指基金资产总值减去基金负债后的价值。</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52" w:name="_Toc238024299"/>
      <w:bookmarkStart w:id="353" w:name="_Toc253577335"/>
      <w:bookmarkStart w:id="354" w:name="_Toc91767014"/>
      <w:r w:rsidRPr="00172454">
        <w:rPr>
          <w:rFonts w:asciiTheme="minorEastAsia" w:eastAsiaTheme="minorEastAsia" w:hAnsiTheme="minorEastAsia" w:hint="eastAsia"/>
          <w:b w:val="0"/>
          <w:color w:val="000000" w:themeColor="text1"/>
        </w:rPr>
        <w:t>（三）基金财产的账户</w:t>
      </w:r>
      <w:bookmarkEnd w:id="352"/>
      <w:bookmarkEnd w:id="353"/>
      <w:bookmarkEnd w:id="354"/>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bookmarkStart w:id="355" w:name="OLE_LINK420"/>
      <w:bookmarkStart w:id="356" w:name="OLE_LINK421"/>
      <w:r w:rsidRPr="00172454" w:rsidR="00300CAC">
        <w:rPr>
          <w:rFonts w:asciiTheme="minorEastAsia" w:eastAsiaTheme="minorEastAsia" w:hAnsiTheme="minorEastAsia" w:hint="eastAsia"/>
          <w:color w:val="000000" w:themeColor="text1"/>
          <w:szCs w:val="21"/>
        </w:rPr>
        <w:t>销售</w:t>
      </w:r>
      <w:bookmarkEnd w:id="355"/>
      <w:bookmarkEnd w:id="356"/>
      <w:r w:rsidRPr="00172454">
        <w:rPr>
          <w:rFonts w:asciiTheme="minorEastAsia" w:eastAsiaTheme="minorEastAsia" w:hAnsiTheme="minorEastAsia" w:hint="eastAsia"/>
          <w:color w:val="000000" w:themeColor="text1"/>
          <w:szCs w:val="21"/>
        </w:rPr>
        <w:t>机构和基金登记结算机构自有的财产账户以及其他基金财产账户相独立。</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57" w:name="_Toc238024300"/>
      <w:bookmarkStart w:id="358" w:name="_Toc253577336"/>
      <w:bookmarkStart w:id="359" w:name="_Toc91767015"/>
      <w:r w:rsidRPr="00172454">
        <w:rPr>
          <w:rFonts w:asciiTheme="minorEastAsia" w:eastAsiaTheme="minorEastAsia" w:hAnsiTheme="minorEastAsia" w:hint="eastAsia"/>
          <w:b w:val="0"/>
          <w:color w:val="000000" w:themeColor="text1"/>
        </w:rPr>
        <w:t>（四）基金财产的保管和处分</w:t>
      </w:r>
      <w:bookmarkEnd w:id="357"/>
      <w:bookmarkEnd w:id="358"/>
      <w:bookmarkEnd w:id="359"/>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本基金财产独立于基金管理人、基金托管人和基金</w:t>
      </w:r>
      <w:r w:rsidRPr="00172454" w:rsidR="00F45B0D">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的财产，并由基金托管人保管。基金管理人、基金托管人不得将基金财产归入其固有财产；基金管理人、基金托管人因基金财产的管理、运用或其他情形而取得的财产和收益，归入基金财产。基金管理人、基金托管人、基金登记结算机构和基金</w:t>
      </w:r>
      <w:r w:rsidRPr="00172454" w:rsidR="00F45B0D">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机构以其自有的财产承担其自身的法律责任，其债权人不得对本基金财产行使请求冻结、扣押或其他权利。除依法律法规和《基金合同》的规定处分外，基金财产不得被处分。</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基金管理人管理运作基金财产所产生的债权，不得与其固有资产产生的债务相互抵销；基金管理人管理运作不同基金的基金财产所产生的债权债务不得相互抵销。</w:t>
      </w:r>
    </w:p>
    <w:p w:rsidR="005D5BC7" w:rsidRPr="00172454" w:rsidP="00150642">
      <w:pPr>
        <w:snapToGrid w:val="0"/>
        <w:spacing w:line="360" w:lineRule="auto"/>
        <w:rPr>
          <w:rFonts w:asciiTheme="minorEastAsia" w:eastAsiaTheme="minorEastAsia" w:hAnsiTheme="minorEastAsia"/>
          <w:color w:val="000000" w:themeColor="text1"/>
        </w:rPr>
      </w:pP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360" w:name="_Toc91767016"/>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四</w:t>
      </w:r>
      <w:r w:rsidRPr="00172454">
        <w:rPr>
          <w:rFonts w:asciiTheme="minorEastAsia" w:eastAsiaTheme="minorEastAsia" w:hAnsiTheme="minorEastAsia" w:hint="eastAsia"/>
          <w:bCs/>
          <w:color w:val="000000" w:themeColor="text1"/>
        </w:rPr>
        <w:t>、基金资产估值</w:t>
      </w:r>
      <w:bookmarkEnd w:id="360"/>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61" w:name="_Toc44229106"/>
      <w:bookmarkStart w:id="362" w:name="_Toc44229201"/>
      <w:bookmarkStart w:id="363" w:name="_Toc44229107"/>
      <w:bookmarkStart w:id="364" w:name="_Toc44229202"/>
      <w:bookmarkStart w:id="365" w:name="_Toc44229108"/>
      <w:bookmarkStart w:id="366" w:name="_Toc44229203"/>
      <w:bookmarkStart w:id="367" w:name="_Toc44229109"/>
      <w:bookmarkStart w:id="368" w:name="_Toc44229204"/>
      <w:bookmarkStart w:id="369" w:name="_Toc44229110"/>
      <w:bookmarkStart w:id="370" w:name="_Toc44229205"/>
      <w:bookmarkStart w:id="371" w:name="_Toc44229111"/>
      <w:bookmarkStart w:id="372" w:name="_Toc44229206"/>
      <w:bookmarkStart w:id="373" w:name="_Toc44229112"/>
      <w:bookmarkStart w:id="374" w:name="_Toc44229207"/>
      <w:bookmarkStart w:id="375" w:name="_Toc44229113"/>
      <w:bookmarkStart w:id="376" w:name="_Toc44229208"/>
      <w:bookmarkStart w:id="377" w:name="_Toc97031289"/>
      <w:bookmarkStart w:id="378" w:name="_Toc97107249"/>
      <w:bookmarkStart w:id="379" w:name="_Toc238024302"/>
      <w:bookmarkStart w:id="380" w:name="_Toc253577338"/>
      <w:bookmarkStart w:id="381" w:name="_Toc9176701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172454">
        <w:rPr>
          <w:rFonts w:asciiTheme="minorEastAsia" w:eastAsiaTheme="minorEastAsia" w:hAnsiTheme="minorEastAsia" w:hint="eastAsia"/>
          <w:b w:val="0"/>
          <w:color w:val="000000" w:themeColor="text1"/>
        </w:rPr>
        <w:t>（一）估值目的</w:t>
      </w:r>
      <w:bookmarkEnd w:id="379"/>
      <w:bookmarkEnd w:id="380"/>
      <w:bookmarkEnd w:id="381"/>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基金资产估值的目的是客观、准确地反映基金资产是否保值、增值，依据经基金资产估值后确定的基金资产净值而计算出的基金份额净值，是计算基金申购与赎回价格的基础。</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82" w:name="_Toc238024303"/>
      <w:bookmarkStart w:id="383" w:name="_Toc253577339"/>
      <w:bookmarkStart w:id="384" w:name="_Toc91767018"/>
      <w:r w:rsidRPr="00172454">
        <w:rPr>
          <w:rFonts w:asciiTheme="minorEastAsia" w:eastAsiaTheme="minorEastAsia" w:hAnsiTheme="minorEastAsia" w:hint="eastAsia"/>
          <w:b w:val="0"/>
          <w:color w:val="000000" w:themeColor="text1"/>
        </w:rPr>
        <w:t>（二）估值日</w:t>
      </w:r>
      <w:bookmarkEnd w:id="382"/>
      <w:bookmarkEnd w:id="383"/>
      <w:bookmarkEnd w:id="384"/>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本基金的估值日为相关的证券交易场所的正常营业日以及国家法律法规规定需要对外披露基金净值的非营业日。</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85" w:name="_Toc238024304"/>
      <w:bookmarkStart w:id="386" w:name="_Toc253577340"/>
      <w:bookmarkStart w:id="387" w:name="_Toc91767019"/>
      <w:r w:rsidRPr="00172454">
        <w:rPr>
          <w:rFonts w:asciiTheme="minorEastAsia" w:eastAsiaTheme="minorEastAsia" w:hAnsiTheme="minorEastAsia" w:hint="eastAsia"/>
          <w:b w:val="0"/>
          <w:color w:val="000000" w:themeColor="text1"/>
        </w:rPr>
        <w:t>（三） 估值对象</w:t>
      </w:r>
      <w:bookmarkEnd w:id="385"/>
      <w:bookmarkEnd w:id="386"/>
      <w:bookmarkEnd w:id="387"/>
    </w:p>
    <w:p w:rsidR="005D5BC7" w:rsidRPr="00172454" w:rsidP="00150642">
      <w:pPr>
        <w:snapToGrid w:val="0"/>
        <w:spacing w:line="360" w:lineRule="auto"/>
        <w:ind w:firstLine="420" w:firstLineChars="200"/>
        <w:rPr>
          <w:rFonts w:asciiTheme="minorEastAsia" w:eastAsiaTheme="minorEastAsia" w:hAnsiTheme="minorEastAsia"/>
          <w:b/>
          <w:bCs/>
          <w:color w:val="000000" w:themeColor="text1"/>
          <w:szCs w:val="21"/>
        </w:rPr>
      </w:pPr>
      <w:r w:rsidRPr="00172454">
        <w:rPr>
          <w:rFonts w:asciiTheme="minorEastAsia" w:eastAsiaTheme="minorEastAsia" w:hAnsiTheme="minorEastAsia" w:hint="eastAsia"/>
          <w:color w:val="000000" w:themeColor="text1"/>
          <w:szCs w:val="21"/>
        </w:rPr>
        <w:t>基金所拥有的股票、债券、权证和银行存款本息等资产和负债。</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88" w:name="_Toc238024305"/>
      <w:bookmarkStart w:id="389" w:name="_Toc253577341"/>
      <w:bookmarkStart w:id="390" w:name="_Toc91767020"/>
      <w:r w:rsidRPr="00172454">
        <w:rPr>
          <w:rFonts w:asciiTheme="minorEastAsia" w:eastAsiaTheme="minorEastAsia" w:hAnsiTheme="minorEastAsia" w:hint="eastAsia"/>
          <w:b w:val="0"/>
          <w:color w:val="000000" w:themeColor="text1"/>
        </w:rPr>
        <w:t>（四） 估值程序</w:t>
      </w:r>
      <w:bookmarkEnd w:id="388"/>
      <w:bookmarkEnd w:id="389"/>
      <w:bookmarkEnd w:id="390"/>
    </w:p>
    <w:p w:rsidR="005D5BC7" w:rsidRPr="00172454" w:rsidP="00150642">
      <w:pPr>
        <w:snapToGrid w:val="0"/>
        <w:spacing w:line="360" w:lineRule="auto"/>
        <w:ind w:firstLine="420" w:firstLineChars="200"/>
        <w:rPr>
          <w:rFonts w:asciiTheme="minorEastAsia" w:eastAsiaTheme="minorEastAsia" w:hAnsiTheme="minorEastAsia"/>
          <w:b/>
          <w:bCs/>
          <w:color w:val="000000" w:themeColor="text1"/>
          <w:szCs w:val="21"/>
        </w:rPr>
      </w:pPr>
      <w:r w:rsidRPr="00172454">
        <w:rPr>
          <w:rFonts w:asciiTheme="minorEastAsia" w:eastAsiaTheme="minorEastAsia" w:hAnsiTheme="minorEastAsia" w:hint="eastAsia"/>
          <w:color w:val="000000" w:themeColor="text1"/>
          <w:szCs w:val="21"/>
        </w:rPr>
        <w:t>基金日常估值由基金管理人进行。基金管理人完成估值后，将估值结果加盖业务公章以书面形式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91" w:name="_Toc238024306"/>
      <w:bookmarkStart w:id="392" w:name="_Toc253577342"/>
      <w:bookmarkStart w:id="393" w:name="_Toc91767021"/>
      <w:r w:rsidRPr="00172454">
        <w:rPr>
          <w:rFonts w:asciiTheme="minorEastAsia" w:eastAsiaTheme="minorEastAsia" w:hAnsiTheme="minorEastAsia" w:hint="eastAsia"/>
          <w:b w:val="0"/>
          <w:color w:val="000000" w:themeColor="text1"/>
        </w:rPr>
        <w:t>（五） 估值方法</w:t>
      </w:r>
      <w:bookmarkEnd w:id="391"/>
      <w:bookmarkEnd w:id="392"/>
      <w:bookmarkEnd w:id="393"/>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本基金按以下方式进行估值：</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1、证券交易所上市的有价证券的估值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（1）交易所上市的有价证券（包括股票、权证等），以其估值日在证券交易所挂牌的收盘价估值；估值日无交易的，以最近交易日的收盘价估值。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（2）交易所上市实行净价交易的债券按估值日收盘价估值，估值日没有交易的，按最近交易日的收盘价估值。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（3）交易所上市未实行净价交易的债券按估值日收盘价减去债券收盘价中所含的债券应收利息得到的净价进行估值；估值日没有交易的，按最近交易日所采用的净价进行估值。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2、处于未上市期间的有价证券应区分如下情况处理：</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（1）送股、转增股、配股和公开增发的新股，按估值日在证券交易所挂牌的同一股票的估值价格估值；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（3）首次公开发行有明确锁定期的股票，同一股票在交易所上市后，按交易所上市的同一股票的估值价格估值；非公开发行有明确锁定期的股票，按监管机构或行业协会有关规定确定公允价值。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3、因持有股票而享有的配股权，以及停止交易、但未行权的权证，采用估值技术确定公允价值。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4、全国银行间债券市场交易的债券、资产支持证券等固定收益品种，采用估值技术确定公允价值。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5、同一债券同时在两个或两个以上市场交易的，按债券所处的市场分别估值。</w:t>
      </w:r>
    </w:p>
    <w:p w:rsidR="00D551BB"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6、本基金投资存托凭证的估值核算，依照境内上市交易的股票执行。</w:t>
      </w:r>
    </w:p>
    <w:p w:rsidR="00B810E3"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sidR="001E55A5">
        <w:rPr>
          <w:rFonts w:asciiTheme="minorEastAsia" w:eastAsiaTheme="minorEastAsia" w:hAnsiTheme="minorEastAsia" w:hint="eastAsia"/>
          <w:color w:val="000000" w:themeColor="text1"/>
          <w:szCs w:val="21"/>
        </w:rPr>
        <w:t>、</w:t>
      </w:r>
      <w:r w:rsidRPr="00172454" w:rsidR="005D5BC7">
        <w:rPr>
          <w:rFonts w:asciiTheme="minorEastAsia" w:eastAsiaTheme="minorEastAsia" w:hAnsiTheme="minorEastAsia" w:hint="eastAsia"/>
          <w:color w:val="000000" w:themeColor="text1"/>
          <w:szCs w:val="21"/>
        </w:rPr>
        <w:t>如有确凿证据表明按上述方法进行估值不能客观反映其公允价值的，基金管理人可根据具体情况与基金托管人商定后，按最能反映公允价值的价格估值。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94" w:name="_Toc238024307"/>
      <w:bookmarkStart w:id="395" w:name="_Toc253577343"/>
      <w:bookmarkStart w:id="396" w:name="_Toc91767022"/>
      <w:r w:rsidRPr="00172454">
        <w:rPr>
          <w:rFonts w:asciiTheme="minorEastAsia" w:eastAsiaTheme="minorEastAsia" w:hAnsiTheme="minorEastAsia" w:hint="eastAsia"/>
          <w:b w:val="0"/>
          <w:color w:val="000000" w:themeColor="text1"/>
        </w:rPr>
        <w:t>（六） 基金份额净值的确认和估值错误的处理</w:t>
      </w:r>
      <w:bookmarkEnd w:id="394"/>
      <w:bookmarkEnd w:id="395"/>
      <w:bookmarkEnd w:id="396"/>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净值的计算保留到小数点后4位，小数点后第5位四舍五入。当基金估值出现影响基金份额净值的错误时，基金管理人应当立即纠正，并采取合理的措施防止损失进一步扩大。当错误达到或超过基金资产净值的0.25%时，基金管理人应</w:t>
      </w:r>
      <w:r w:rsidRPr="00172454">
        <w:rPr>
          <w:rFonts w:asciiTheme="minorEastAsia" w:eastAsiaTheme="minorEastAsia" w:hAnsiTheme="minorEastAsia"/>
          <w:color w:val="000000" w:themeColor="text1"/>
          <w:szCs w:val="21"/>
        </w:rPr>
        <w:t>报</w:t>
      </w:r>
      <w:r w:rsidRPr="00172454">
        <w:rPr>
          <w:rFonts w:asciiTheme="minorEastAsia" w:eastAsiaTheme="minorEastAsia" w:hAnsiTheme="minorEastAsia" w:hint="eastAsia"/>
          <w:color w:val="000000" w:themeColor="text1"/>
          <w:szCs w:val="21"/>
        </w:rPr>
        <w:t>中国证监会</w:t>
      </w:r>
      <w:r w:rsidRPr="00172454">
        <w:rPr>
          <w:rFonts w:asciiTheme="minorEastAsia" w:eastAsiaTheme="minorEastAsia" w:hAnsiTheme="minorEastAsia"/>
          <w:color w:val="000000" w:themeColor="text1"/>
          <w:szCs w:val="21"/>
        </w:rPr>
        <w:t>备案</w:t>
      </w:r>
      <w:r w:rsidRPr="00172454">
        <w:rPr>
          <w:rFonts w:asciiTheme="minorEastAsia" w:eastAsiaTheme="minorEastAsia" w:hAnsiTheme="minorEastAsia" w:hint="eastAsia"/>
          <w:color w:val="000000" w:themeColor="text1"/>
          <w:szCs w:val="21"/>
        </w:rPr>
        <w:t>；估值错误偏差达到</w:t>
      </w:r>
      <w:r w:rsidRPr="00172454">
        <w:rPr>
          <w:rFonts w:asciiTheme="minorEastAsia" w:eastAsiaTheme="minorEastAsia" w:hAnsiTheme="minorEastAsia"/>
          <w:color w:val="000000" w:themeColor="text1"/>
          <w:szCs w:val="21"/>
        </w:rPr>
        <w:t>基金份额净值</w:t>
      </w:r>
      <w:r w:rsidRPr="00172454">
        <w:rPr>
          <w:rFonts w:asciiTheme="minorEastAsia" w:eastAsiaTheme="minorEastAsia" w:hAnsiTheme="minorEastAsia" w:hint="eastAsia"/>
          <w:color w:val="000000" w:themeColor="text1"/>
          <w:szCs w:val="21"/>
        </w:rPr>
        <w:t>的</w:t>
      </w:r>
      <w:r w:rsidRPr="00172454">
        <w:rPr>
          <w:rFonts w:asciiTheme="minorEastAsia" w:eastAsiaTheme="minorEastAsia" w:hAnsiTheme="minorEastAsia"/>
          <w:color w:val="000000" w:themeColor="text1"/>
          <w:szCs w:val="21"/>
        </w:rPr>
        <w:t>0.5%</w:t>
      </w:r>
      <w:r w:rsidRPr="00172454">
        <w:rPr>
          <w:rFonts w:asciiTheme="minorEastAsia" w:eastAsiaTheme="minorEastAsia" w:hAnsiTheme="minorEastAsia" w:hint="eastAsia"/>
          <w:color w:val="000000" w:themeColor="text1"/>
          <w:szCs w:val="21"/>
        </w:rPr>
        <w:t>时，基金管理人</w:t>
      </w:r>
      <w:r w:rsidRPr="00172454">
        <w:rPr>
          <w:rFonts w:asciiTheme="minorEastAsia" w:eastAsiaTheme="minorEastAsia" w:hAnsiTheme="minorEastAsia"/>
          <w:color w:val="000000" w:themeColor="text1"/>
          <w:szCs w:val="21"/>
        </w:rPr>
        <w:t>应当公告，并报</w:t>
      </w:r>
      <w:r w:rsidRPr="00172454">
        <w:rPr>
          <w:rFonts w:asciiTheme="minorEastAsia" w:eastAsiaTheme="minorEastAsia" w:hAnsiTheme="minorEastAsia" w:hint="eastAsia"/>
          <w:color w:val="000000" w:themeColor="text1"/>
          <w:szCs w:val="21"/>
        </w:rPr>
        <w:t>中国证监会</w:t>
      </w:r>
      <w:r w:rsidRPr="00172454">
        <w:rPr>
          <w:rFonts w:asciiTheme="minorEastAsia" w:eastAsiaTheme="minorEastAsia" w:hAnsiTheme="minorEastAsia"/>
          <w:color w:val="000000" w:themeColor="text1"/>
          <w:szCs w:val="21"/>
        </w:rPr>
        <w:t>备案。</w:t>
      </w:r>
      <w:r w:rsidRPr="00172454">
        <w:rPr>
          <w:rFonts w:asciiTheme="minorEastAsia" w:eastAsiaTheme="minorEastAsia" w:hAnsiTheme="minorEastAsia" w:hint="eastAsia"/>
          <w:color w:val="000000" w:themeColor="text1"/>
          <w:szCs w:val="21"/>
        </w:rPr>
        <w:t>因基金估值错误给投资者造成损失的，应先由基金管理人承担，基金管理人对不应由其承担的责任，有权向责任方追偿。</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关于差错处理，本合同的当事人按照以下约定处理：</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差错类型</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本基金运作过程中，如果由于基金管理人或基金托管人、或登记结算机构、或</w:t>
      </w:r>
      <w:r w:rsidRPr="00172454" w:rsidR="00105482">
        <w:rPr>
          <w:rFonts w:asciiTheme="minorEastAsia" w:eastAsiaTheme="minorEastAsia" w:hAnsiTheme="minorEastAsia" w:hint="eastAsia"/>
          <w:color w:val="000000" w:themeColor="text1"/>
          <w:szCs w:val="21"/>
        </w:rPr>
        <w:t>基金</w:t>
      </w:r>
      <w:r w:rsidRPr="00172454">
        <w:rPr>
          <w:rFonts w:asciiTheme="minorEastAsia" w:eastAsiaTheme="minorEastAsia" w:hAnsiTheme="minorEastAsia" w:hint="eastAsia"/>
          <w:color w:val="000000" w:themeColor="text1"/>
          <w:szCs w:val="21"/>
        </w:rPr>
        <w:t>销售机构、或投资者自身的过错造成差错，导致其他当事人遭受损失的，过错的责任人应当对由于该差错遭受损失的当事人（“受损方”）按下述“差错处理原则”给予赔偿承担赔偿责任。</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差错处理原则</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）差错的责任方对可能导致有关当事人的直接损失负责，不对间接损失负责，并且仅对差错的有关直接当事人负责，不对第三方负责。</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4</w:t>
      </w:r>
      <w:r w:rsidRPr="00172454">
        <w:rPr>
          <w:rFonts w:asciiTheme="minorEastAsia" w:eastAsiaTheme="minorEastAsia" w:hAnsiTheme="minorEastAsia" w:hint="eastAsia"/>
          <w:color w:val="000000" w:themeColor="text1"/>
          <w:szCs w:val="21"/>
        </w:rPr>
        <w:t>）差错调整采用尽量恢复至假设未发生差错的正确情形的方式。</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5</w:t>
      </w:r>
      <w:r w:rsidRPr="00172454">
        <w:rPr>
          <w:rFonts w:asciiTheme="minorEastAsia" w:eastAsiaTheme="minorEastAsia" w:hAnsiTheme="minorEastAsia" w:hint="eastAsia"/>
          <w:color w:val="000000" w:themeColor="text1"/>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6</w:t>
      </w:r>
      <w:r w:rsidRPr="00172454">
        <w:rPr>
          <w:rFonts w:asciiTheme="minorEastAsia" w:eastAsiaTheme="minorEastAsia" w:hAnsiTheme="minorEastAsia" w:hint="eastAsia"/>
          <w:color w:val="000000" w:themeColor="text1"/>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7</w:t>
      </w:r>
      <w:r w:rsidRPr="00172454">
        <w:rPr>
          <w:rFonts w:asciiTheme="minorEastAsia" w:eastAsiaTheme="minorEastAsia" w:hAnsiTheme="minorEastAsia" w:hint="eastAsia"/>
          <w:color w:val="000000" w:themeColor="text1"/>
          <w:szCs w:val="21"/>
        </w:rPr>
        <w:t>）按法律法规规定的其他原则处理差错。</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差错处理程序</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差错被发现后，有关的当事人应当及时进行处理，处理的程序如下：</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）查明差错发生的原因，列明所有的当事人，并根据差错发生的原因确定差错的责任方；</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）根据差错处理原则或当事人协商的方法对因差错造成的损失进行评估；</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）根据差错处理原则或当事人协商的方法由差错的责任方进行更正和赔偿损失；</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4</w:t>
      </w:r>
      <w:r w:rsidRPr="00172454">
        <w:rPr>
          <w:rFonts w:asciiTheme="minorEastAsia" w:eastAsiaTheme="minorEastAsia" w:hAnsiTheme="minorEastAsia" w:hint="eastAsia"/>
          <w:color w:val="000000" w:themeColor="text1"/>
          <w:szCs w:val="21"/>
        </w:rPr>
        <w:t>）根据差错处理的方法，需要修改基金登记结算机构的交易数据的，由基金登记结算机构进行更正，并就差错的更正向有关当事人进行确认；</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5</w:t>
      </w:r>
      <w:r w:rsidRPr="00172454">
        <w:rPr>
          <w:rFonts w:asciiTheme="minorEastAsia" w:eastAsiaTheme="minorEastAsia" w:hAnsiTheme="minorEastAsia" w:hint="eastAsia"/>
          <w:color w:val="000000" w:themeColor="text1"/>
          <w:szCs w:val="21"/>
        </w:rPr>
        <w:t>）基金管理人及基金托管人基金份额净值计算错误偏差达到基金份额净值的</w:t>
      </w:r>
      <w:r w:rsidRPr="00172454">
        <w:rPr>
          <w:rFonts w:asciiTheme="minorEastAsia" w:eastAsiaTheme="minorEastAsia" w:hAnsiTheme="minorEastAsia"/>
          <w:color w:val="000000" w:themeColor="text1"/>
          <w:szCs w:val="21"/>
        </w:rPr>
        <w:t>0.</w:t>
      </w: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5%</w:t>
      </w:r>
      <w:r w:rsidRPr="00172454">
        <w:rPr>
          <w:rFonts w:asciiTheme="minorEastAsia" w:eastAsiaTheme="minorEastAsia" w:hAnsiTheme="minorEastAsia" w:hint="eastAsia"/>
          <w:color w:val="000000" w:themeColor="text1"/>
          <w:szCs w:val="21"/>
        </w:rPr>
        <w:t>时，基金管理人应当报告中国证监会；基金管理人及基金托管人基金份额净值计算错误偏差达到基金份额净值的</w:t>
      </w:r>
      <w:r w:rsidRPr="00172454">
        <w:rPr>
          <w:rFonts w:asciiTheme="minorEastAsia" w:eastAsiaTheme="minorEastAsia" w:hAnsiTheme="minorEastAsia"/>
          <w:color w:val="000000" w:themeColor="text1"/>
          <w:szCs w:val="21"/>
        </w:rPr>
        <w:t>0.5%</w:t>
      </w:r>
      <w:r w:rsidRPr="00172454">
        <w:rPr>
          <w:rFonts w:asciiTheme="minorEastAsia" w:eastAsiaTheme="minorEastAsia" w:hAnsiTheme="minorEastAsia" w:hint="eastAsia"/>
          <w:color w:val="000000" w:themeColor="text1"/>
          <w:szCs w:val="21"/>
        </w:rPr>
        <w:t>时，基金管理人应当公告并报中国证监会备案。</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97" w:name="_Toc238024308"/>
      <w:bookmarkStart w:id="398" w:name="_Toc253577344"/>
      <w:bookmarkStart w:id="399" w:name="_Toc91767023"/>
      <w:r w:rsidRPr="00172454">
        <w:rPr>
          <w:rFonts w:asciiTheme="minorEastAsia" w:eastAsiaTheme="minorEastAsia" w:hAnsiTheme="minorEastAsia" w:hint="eastAsia"/>
          <w:b w:val="0"/>
          <w:color w:val="000000" w:themeColor="text1"/>
        </w:rPr>
        <w:t>（七） 暂停估值的情形</w:t>
      </w:r>
      <w:bookmarkEnd w:id="397"/>
      <w:bookmarkEnd w:id="398"/>
      <w:bookmarkEnd w:id="399"/>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1、与本基金投资有关的证券交易场所遇法定节假日或因其他原因暂停营业时；</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2、因不可抗力或其他情形致使基金管理人无法准确评估基金资产价值时；</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3、占基金相当比例的投资品种的估值出现重大转变，而基金管理人为保障投资者的利益，已决定延迟估值；</w:t>
      </w:r>
    </w:p>
    <w:p w:rsidR="0033117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4、当前一估值日基金资产净值 50%以上的资产出现无可参考的活跃市场价格且采用估值技术仍导致公允价值存在重大不确定性时，经与基金托管人协商一致的；</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中国证监会认定的其他情形。</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00" w:name="_Toc238024309"/>
      <w:bookmarkStart w:id="401" w:name="_Toc253577345"/>
      <w:bookmarkStart w:id="402" w:name="_Toc91767024"/>
      <w:r w:rsidRPr="00172454">
        <w:rPr>
          <w:rFonts w:asciiTheme="minorEastAsia" w:eastAsiaTheme="minorEastAsia" w:hAnsiTheme="minorEastAsia" w:hint="eastAsia"/>
          <w:b w:val="0"/>
          <w:color w:val="000000" w:themeColor="text1"/>
        </w:rPr>
        <w:t>（八） 特殊情形的处理</w:t>
      </w:r>
      <w:bookmarkEnd w:id="400"/>
      <w:bookmarkEnd w:id="401"/>
      <w:bookmarkEnd w:id="40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1、基金管理人按估值方法的第</w:t>
      </w:r>
      <w:r w:rsidRPr="00172454" w:rsidR="00D551BB">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项进行估值时，所造成的误差不作为基金资产估值错误处理；</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403" w:name="_Toc91767025"/>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五</w:t>
      </w:r>
      <w:r w:rsidRPr="00172454">
        <w:rPr>
          <w:rFonts w:asciiTheme="minorEastAsia" w:eastAsiaTheme="minorEastAsia" w:hAnsiTheme="minorEastAsia" w:hint="eastAsia"/>
          <w:bCs/>
          <w:color w:val="000000" w:themeColor="text1"/>
        </w:rPr>
        <w:t>、基金的收益与分配</w:t>
      </w:r>
      <w:bookmarkEnd w:id="403"/>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04" w:name="_Toc84149665"/>
      <w:bookmarkStart w:id="405" w:name="_Toc86584640"/>
      <w:bookmarkStart w:id="406" w:name="_Toc238024311"/>
      <w:bookmarkStart w:id="407" w:name="_Toc253577347"/>
      <w:bookmarkStart w:id="408" w:name="_Toc91767026"/>
      <w:r w:rsidRPr="00172454">
        <w:rPr>
          <w:rFonts w:asciiTheme="minorEastAsia" w:eastAsiaTheme="minorEastAsia" w:hAnsiTheme="minorEastAsia" w:hint="eastAsia"/>
          <w:b w:val="0"/>
          <w:color w:val="000000" w:themeColor="text1"/>
        </w:rPr>
        <w:t>（一）收益分配原则</w:t>
      </w:r>
      <w:bookmarkEnd w:id="404"/>
      <w:bookmarkEnd w:id="405"/>
      <w:bookmarkEnd w:id="406"/>
      <w:bookmarkEnd w:id="407"/>
      <w:bookmarkEnd w:id="408"/>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1、每一基金份额享有同等分配权；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2、本基金</w:t>
      </w:r>
      <w:bookmarkStart w:id="409" w:name="OLE_LINK167"/>
      <w:r w:rsidRPr="00172454" w:rsidR="00C42C64">
        <w:rPr>
          <w:rFonts w:asciiTheme="minorEastAsia" w:eastAsiaTheme="minorEastAsia" w:hAnsiTheme="minorEastAsia" w:hint="eastAsia"/>
          <w:bCs/>
          <w:color w:val="000000" w:themeColor="text1"/>
          <w:szCs w:val="21"/>
        </w:rPr>
        <w:t>场内及场外份额的</w:t>
      </w:r>
      <w:bookmarkEnd w:id="409"/>
      <w:r w:rsidRPr="00172454">
        <w:rPr>
          <w:rFonts w:asciiTheme="minorEastAsia" w:eastAsiaTheme="minorEastAsia" w:hAnsiTheme="minorEastAsia" w:hint="eastAsia"/>
          <w:color w:val="000000" w:themeColor="text1"/>
          <w:szCs w:val="21"/>
        </w:rPr>
        <w:t>收益分配方式</w:t>
      </w:r>
      <w:bookmarkStart w:id="410" w:name="OLE_LINK168"/>
      <w:r w:rsidRPr="00172454" w:rsidR="00C42C64">
        <w:rPr>
          <w:rFonts w:asciiTheme="minorEastAsia" w:eastAsiaTheme="minorEastAsia" w:hAnsiTheme="minorEastAsia" w:hint="eastAsia"/>
          <w:bCs/>
          <w:color w:val="000000" w:themeColor="text1"/>
          <w:szCs w:val="21"/>
        </w:rPr>
        <w:t>均</w:t>
      </w:r>
      <w:bookmarkEnd w:id="410"/>
      <w:r w:rsidRPr="00172454">
        <w:rPr>
          <w:rFonts w:asciiTheme="minorEastAsia" w:eastAsiaTheme="minorEastAsia" w:hAnsiTheme="minorEastAsia" w:hint="eastAsia"/>
          <w:color w:val="000000" w:themeColor="text1"/>
          <w:szCs w:val="21"/>
        </w:rPr>
        <w:t xml:space="preserve">采用现金分红； </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3、基金收益评价日核定的基金累计报酬率超过标的指数同期累计报酬率达到</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以上</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基金管理人可进行收益分配；</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在符合基金收益分配条件的前提下，本基金每年收益分配最多4次，收益分配比例根据以下原则确定：使收益分配后基金累计报酬率尽可能贴近标的指数同期累计报酬率。基于本基金的性质和特点，本基金收益分配不须以弥补亏损为前提，收益分配后基金份额净值有可能低于面值；若基金合同生效不满3个月，可不进行收益分配；</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5、法律法规或监管机关另有规定的，从其规定。</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11" w:name="_Toc238024312"/>
      <w:bookmarkStart w:id="412" w:name="_Toc253577348"/>
      <w:bookmarkStart w:id="413" w:name="_Toc91767027"/>
      <w:r w:rsidRPr="00172454">
        <w:rPr>
          <w:rFonts w:asciiTheme="minorEastAsia" w:eastAsiaTheme="minorEastAsia" w:hAnsiTheme="minorEastAsia" w:hint="eastAsia"/>
          <w:b w:val="0"/>
          <w:color w:val="000000" w:themeColor="text1"/>
        </w:rPr>
        <w:t>（二）基金收益分配数额的确定原则</w:t>
      </w:r>
      <w:bookmarkEnd w:id="411"/>
      <w:bookmarkEnd w:id="412"/>
      <w:bookmarkEnd w:id="413"/>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在收益评价日，基金管理人计算基金累计报酬率、标的指数同期累计报酬率。</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基金收益评价日本基金相对标的指数的超额收益率＝基金累计报酬率-标的指数同期累计报酬率</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基金累计报酬率=收益评价日基金份额净值/基金份额折算日基金份额净值-100%</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标的指数同期累计报酬率=收益评价日标的指数收盘值/基金份额折算日标         的指数收盘值-100%</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当超额收益率超过</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时，基金管理人有权进行收益分配。</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根据前述收益分配原则计算截至基金收益评价日本基金的份额可分配收益，并确定收益分配比例。</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每基金份额的应分配收益为份额可分配收益乘以收益分配比例</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保留小数点后</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位</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第</w:t>
      </w:r>
      <w:r w:rsidRPr="00172454">
        <w:rPr>
          <w:rFonts w:asciiTheme="minorEastAsia" w:eastAsiaTheme="minorEastAsia" w:hAnsiTheme="minorEastAsia"/>
          <w:color w:val="000000" w:themeColor="text1"/>
          <w:szCs w:val="21"/>
        </w:rPr>
        <w:t>4</w:t>
      </w:r>
      <w:r w:rsidRPr="00172454">
        <w:rPr>
          <w:rFonts w:asciiTheme="minorEastAsia" w:eastAsiaTheme="minorEastAsia" w:hAnsiTheme="minorEastAsia" w:hint="eastAsia"/>
          <w:color w:val="000000" w:themeColor="text1"/>
          <w:szCs w:val="21"/>
        </w:rPr>
        <w:t>位舍去。</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14" w:name="_Toc84149666"/>
      <w:bookmarkStart w:id="415" w:name="_Toc86584642"/>
      <w:bookmarkStart w:id="416" w:name="_Toc238024313"/>
      <w:bookmarkStart w:id="417" w:name="_Toc253577349"/>
      <w:bookmarkStart w:id="418" w:name="_Toc91767028"/>
      <w:r w:rsidRPr="00172454">
        <w:rPr>
          <w:rFonts w:asciiTheme="minorEastAsia" w:eastAsiaTheme="minorEastAsia" w:hAnsiTheme="minorEastAsia" w:hint="eastAsia"/>
          <w:b w:val="0"/>
          <w:color w:val="000000" w:themeColor="text1"/>
        </w:rPr>
        <w:t>（三）收益分配方案</w:t>
      </w:r>
      <w:bookmarkEnd w:id="414"/>
      <w:bookmarkEnd w:id="415"/>
      <w:bookmarkEnd w:id="416"/>
      <w:bookmarkEnd w:id="417"/>
      <w:bookmarkEnd w:id="418"/>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基金收益分配方案中应载明基金收益分配评价日份额可分配收益、基金收益分配对象、分配时间、份额分配金额、分配方式等内容。  </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19" w:name="_Toc84149667"/>
      <w:bookmarkStart w:id="420" w:name="_Toc86584643"/>
      <w:bookmarkStart w:id="421" w:name="_Toc238024314"/>
      <w:bookmarkStart w:id="422" w:name="_Toc253577350"/>
      <w:bookmarkStart w:id="423" w:name="_Toc91767029"/>
      <w:bookmarkStart w:id="424" w:name="OLE_LINK432"/>
      <w:bookmarkStart w:id="425" w:name="OLE_LINK437"/>
      <w:r w:rsidRPr="00172454">
        <w:rPr>
          <w:rFonts w:asciiTheme="minorEastAsia" w:eastAsiaTheme="minorEastAsia" w:hAnsiTheme="minorEastAsia" w:hint="eastAsia"/>
          <w:b w:val="0"/>
          <w:color w:val="000000" w:themeColor="text1"/>
        </w:rPr>
        <w:t>（四）</w:t>
      </w:r>
      <w:bookmarkEnd w:id="419"/>
      <w:bookmarkEnd w:id="420"/>
      <w:r w:rsidRPr="00172454">
        <w:rPr>
          <w:rFonts w:asciiTheme="minorEastAsia" w:eastAsiaTheme="minorEastAsia" w:hAnsiTheme="minorEastAsia" w:hint="eastAsia"/>
          <w:b w:val="0"/>
          <w:color w:val="000000" w:themeColor="text1"/>
        </w:rPr>
        <w:t>收益分配方案的确定、公告与实施</w:t>
      </w:r>
      <w:bookmarkEnd w:id="421"/>
      <w:bookmarkEnd w:id="422"/>
      <w:bookmarkEnd w:id="423"/>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bookmarkStart w:id="426" w:name="OLE_LINK446"/>
      <w:bookmarkStart w:id="427" w:name="OLE_LINK447"/>
      <w:bookmarkEnd w:id="424"/>
      <w:bookmarkEnd w:id="425"/>
      <w:r w:rsidRPr="00172454">
        <w:rPr>
          <w:rFonts w:asciiTheme="minorEastAsia" w:eastAsiaTheme="minorEastAsia" w:hAnsiTheme="minorEastAsia" w:hint="eastAsia"/>
          <w:color w:val="000000" w:themeColor="text1"/>
          <w:szCs w:val="21"/>
        </w:rPr>
        <w:t>本基金收益分配方案由基金管理人拟定，并由基金托管人复核，</w:t>
      </w:r>
      <w:r w:rsidRPr="00172454" w:rsidR="00144A8E">
        <w:rPr>
          <w:rFonts w:asciiTheme="minorEastAsia" w:eastAsiaTheme="minorEastAsia" w:hAnsiTheme="minorEastAsia" w:hint="eastAsia"/>
          <w:color w:val="000000" w:themeColor="text1"/>
          <w:szCs w:val="21"/>
        </w:rPr>
        <w:t>在2日内在指定媒介公告</w:t>
      </w:r>
      <w:bookmarkEnd w:id="426"/>
      <w:bookmarkEnd w:id="427"/>
      <w:r w:rsidRPr="00172454">
        <w:rPr>
          <w:rFonts w:asciiTheme="minorEastAsia" w:eastAsiaTheme="minorEastAsia" w:hAnsiTheme="minorEastAsia" w:hint="eastAsia"/>
          <w:color w:val="000000" w:themeColor="text1"/>
          <w:szCs w:val="21"/>
        </w:rPr>
        <w:t>。</w:t>
      </w:r>
    </w:p>
    <w:p w:rsidR="00340BB4"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法律法规或监管机关另有规定的，从其规定。</w:t>
      </w:r>
    </w:p>
    <w:p w:rsidR="00DB4EBB"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28" w:name="_Toc91767030"/>
      <w:r w:rsidRPr="00172454">
        <w:rPr>
          <w:rFonts w:asciiTheme="minorEastAsia" w:eastAsiaTheme="minorEastAsia" w:hAnsiTheme="minorEastAsia" w:hint="eastAsia"/>
          <w:b w:val="0"/>
          <w:color w:val="000000" w:themeColor="text1"/>
        </w:rPr>
        <w:t>（五）</w:t>
      </w:r>
      <w:bookmarkStart w:id="429" w:name="OLE_LINK177"/>
      <w:bookmarkStart w:id="430" w:name="OLE_LINK181"/>
      <w:r w:rsidRPr="00172454" w:rsidR="008D5DC5">
        <w:rPr>
          <w:rFonts w:asciiTheme="minorEastAsia" w:eastAsiaTheme="minorEastAsia" w:hAnsiTheme="minorEastAsia" w:hint="eastAsia"/>
          <w:b w:val="0"/>
          <w:color w:val="000000" w:themeColor="text1"/>
        </w:rPr>
        <w:t>场外份额收益分配中发生的费用</w:t>
      </w:r>
      <w:bookmarkEnd w:id="428"/>
      <w:bookmarkEnd w:id="429"/>
      <w:bookmarkEnd w:id="430"/>
    </w:p>
    <w:p w:rsidR="00D26785" w:rsidRPr="00172454" w:rsidP="00150642">
      <w:pPr>
        <w:snapToGrid w:val="0"/>
        <w:spacing w:line="360" w:lineRule="auto"/>
        <w:ind w:firstLine="420" w:firstLineChars="200"/>
        <w:jc w:val="center"/>
        <w:rPr>
          <w:rFonts w:asciiTheme="minorEastAsia" w:eastAsiaTheme="minorEastAsia" w:hAnsiTheme="minorEastAsia"/>
          <w:color w:val="000000" w:themeColor="text1"/>
          <w:szCs w:val="21"/>
        </w:rPr>
      </w:pPr>
      <w:bookmarkStart w:id="431" w:name="OLE_LINK192"/>
      <w:bookmarkStart w:id="432" w:name="OLE_LINK193"/>
      <w:bookmarkStart w:id="433" w:name="OLE_LINK182"/>
      <w:r w:rsidRPr="00172454">
        <w:rPr>
          <w:rFonts w:asciiTheme="minorEastAsia" w:eastAsiaTheme="minorEastAsia" w:hAnsiTheme="minorEastAsia" w:hint="eastAsia"/>
          <w:color w:val="000000" w:themeColor="text1"/>
          <w:szCs w:val="21"/>
        </w:rPr>
        <w:t>场外份额收益分配时所发生的银行汇划或其他手续费用由投资者自行承担。</w:t>
      </w:r>
      <w:bookmarkEnd w:id="431"/>
      <w:bookmarkEnd w:id="432"/>
      <w:bookmarkEnd w:id="433"/>
    </w:p>
    <w:p w:rsidR="00150642" w:rsidRPr="00172454" w:rsidP="00F07B7D">
      <w:pPr>
        <w:pStyle w:val="Heading1"/>
        <w:snapToGrid w:val="0"/>
        <w:spacing w:beforeLines="0" w:afterLines="0" w:line="360" w:lineRule="auto"/>
        <w:ind w:firstLine="640"/>
        <w:rPr>
          <w:rFonts w:asciiTheme="minorEastAsia" w:eastAsiaTheme="minorEastAsia" w:hAnsiTheme="minorEastAsia"/>
          <w:bCs/>
          <w:color w:val="000000" w:themeColor="text1"/>
        </w:rPr>
      </w:pPr>
      <w:bookmarkStart w:id="434" w:name="_Toc91767031"/>
      <w:r w:rsidRPr="00172454">
        <w:rPr>
          <w:rFonts w:asciiTheme="minorEastAsia" w:eastAsiaTheme="minorEastAsia" w:hAnsiTheme="minorEastAsia" w:hint="eastAsia"/>
          <w:bCs/>
          <w:color w:val="000000" w:themeColor="text1"/>
        </w:rPr>
        <w:t>十六、基金的费用与税收</w:t>
      </w:r>
      <w:bookmarkEnd w:id="434"/>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35" w:name="_Toc84149669"/>
      <w:bookmarkStart w:id="436" w:name="_Toc86584633"/>
      <w:bookmarkStart w:id="437" w:name="_Toc238024316"/>
      <w:bookmarkStart w:id="438" w:name="_Toc253577352"/>
      <w:bookmarkStart w:id="439" w:name="_Toc91767032"/>
      <w:r w:rsidRPr="00172454">
        <w:rPr>
          <w:rFonts w:asciiTheme="minorEastAsia" w:eastAsiaTheme="minorEastAsia" w:hAnsiTheme="minorEastAsia" w:hint="eastAsia"/>
          <w:b w:val="0"/>
          <w:color w:val="000000" w:themeColor="text1"/>
        </w:rPr>
        <w:t>（一）与基金运作相关的费用</w:t>
      </w:r>
      <w:bookmarkEnd w:id="435"/>
      <w:bookmarkEnd w:id="436"/>
      <w:bookmarkEnd w:id="437"/>
      <w:bookmarkEnd w:id="438"/>
      <w:bookmarkEnd w:id="439"/>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1、基金费用的种类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（1）基金管理人的管理费；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（2）基金托管人的托管费；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（3）《基金合同》生效后与基金相关的信息披露费用；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（4）《基金合同》生效后与基金相关的会计师费和律师费；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（5）基金份额持有人大会费用；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（6）基金收益分配中发生的费用；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（7）基金的银行汇划费用；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（8）基金的指数使用费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（9）基金上市费及年费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（10）基金的证券交易费用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（11）按照国家有关规定和《基金合同》约定，可以在基金财产中列支的其他费用。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本基金终止清算时所发生费用，按实际支出额从基金财产总值中扣除。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2、基金费用计提方法、计提标准和支付方式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（1）基金管理人的管理费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w:t>
      </w:r>
      <w:r w:rsidRPr="00172454">
        <w:rPr>
          <w:rFonts w:asciiTheme="minorEastAsia" w:eastAsiaTheme="minorEastAsia" w:hAnsiTheme="minorEastAsia"/>
          <w:color w:val="000000" w:themeColor="text1"/>
          <w:szCs w:val="21"/>
        </w:rPr>
        <w:t>的管理费</w:t>
      </w:r>
      <w:r w:rsidRPr="00172454">
        <w:rPr>
          <w:rFonts w:asciiTheme="minorEastAsia" w:eastAsiaTheme="minorEastAsia" w:hAnsiTheme="minorEastAsia" w:hint="eastAsia"/>
          <w:color w:val="000000" w:themeColor="text1"/>
          <w:szCs w:val="21"/>
        </w:rPr>
        <w:t>按前一日</w:t>
      </w:r>
      <w:r w:rsidRPr="00172454">
        <w:rPr>
          <w:rFonts w:asciiTheme="minorEastAsia" w:eastAsiaTheme="minorEastAsia" w:hAnsiTheme="minorEastAsia"/>
          <w:color w:val="000000" w:themeColor="text1"/>
          <w:szCs w:val="21"/>
        </w:rPr>
        <w:t>基金资产净值的</w:t>
      </w:r>
      <w:r w:rsidRPr="00172454">
        <w:rPr>
          <w:rFonts w:asciiTheme="minorEastAsia" w:eastAsiaTheme="minorEastAsia" w:hAnsiTheme="minorEastAsia" w:hint="eastAsia"/>
          <w:color w:val="000000" w:themeColor="text1"/>
          <w:szCs w:val="21"/>
        </w:rPr>
        <w:t>0.5</w:t>
      </w:r>
      <w:r w:rsidRPr="00172454">
        <w:rPr>
          <w:rFonts w:asciiTheme="minorEastAsia" w:eastAsiaTheme="minorEastAsia" w:hAnsiTheme="minorEastAsia"/>
          <w:color w:val="000000" w:themeColor="text1"/>
          <w:szCs w:val="21"/>
        </w:rPr>
        <w:t>%年费率计提。</w:t>
      </w:r>
      <w:r w:rsidRPr="00172454">
        <w:rPr>
          <w:rFonts w:asciiTheme="minorEastAsia" w:eastAsiaTheme="minorEastAsia" w:hAnsiTheme="minorEastAsia" w:hint="eastAsia"/>
          <w:color w:val="000000" w:themeColor="text1"/>
          <w:szCs w:val="21"/>
        </w:rPr>
        <w:t>管理费的</w:t>
      </w:r>
      <w:r w:rsidRPr="00172454">
        <w:rPr>
          <w:rFonts w:asciiTheme="minorEastAsia" w:eastAsiaTheme="minorEastAsia" w:hAnsiTheme="minorEastAsia"/>
          <w:color w:val="000000" w:themeColor="text1"/>
          <w:szCs w:val="21"/>
        </w:rPr>
        <w:t>计算方法如下：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H＝E×</w:t>
      </w:r>
      <w:r w:rsidRPr="00172454">
        <w:rPr>
          <w:rFonts w:asciiTheme="minorEastAsia" w:eastAsiaTheme="minorEastAsia" w:hAnsiTheme="minorEastAsia" w:hint="eastAsia"/>
          <w:color w:val="000000" w:themeColor="text1"/>
          <w:szCs w:val="21"/>
        </w:rPr>
        <w:t>0.5</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当年天数</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H为每日应</w:t>
      </w:r>
      <w:r w:rsidRPr="00172454">
        <w:rPr>
          <w:rFonts w:asciiTheme="minorEastAsia" w:eastAsiaTheme="minorEastAsia" w:hAnsiTheme="minorEastAsia" w:hint="eastAsia"/>
          <w:color w:val="000000" w:themeColor="text1"/>
          <w:szCs w:val="21"/>
        </w:rPr>
        <w:t>计提</w:t>
      </w:r>
      <w:r w:rsidRPr="00172454">
        <w:rPr>
          <w:rFonts w:asciiTheme="minorEastAsia" w:eastAsiaTheme="minorEastAsia" w:hAnsiTheme="minorEastAsia"/>
          <w:color w:val="000000" w:themeColor="text1"/>
          <w:szCs w:val="21"/>
        </w:rPr>
        <w:t>的基金管理费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E</w:t>
      </w:r>
      <w:r w:rsidRPr="00172454">
        <w:rPr>
          <w:rFonts w:asciiTheme="minorEastAsia" w:eastAsiaTheme="minorEastAsia" w:hAnsiTheme="minorEastAsia"/>
          <w:color w:val="000000" w:themeColor="text1"/>
          <w:szCs w:val="21"/>
        </w:rPr>
        <w:t>为前一日的基金资产净值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基金管理费每日计算</w:t>
      </w:r>
      <w:r w:rsidRPr="00172454">
        <w:rPr>
          <w:rFonts w:asciiTheme="minorEastAsia" w:eastAsiaTheme="minorEastAsia" w:hAnsiTheme="minorEastAsia" w:hint="eastAsia"/>
          <w:color w:val="000000" w:themeColor="text1"/>
          <w:szCs w:val="21"/>
        </w:rPr>
        <w:t>，逐日累计至每月月末，</w:t>
      </w:r>
      <w:r w:rsidRPr="00172454">
        <w:rPr>
          <w:rFonts w:asciiTheme="minorEastAsia" w:eastAsiaTheme="minorEastAsia" w:hAnsiTheme="minorEastAsia"/>
          <w:color w:val="000000" w:themeColor="text1"/>
          <w:szCs w:val="21"/>
        </w:rPr>
        <w:t>按月支付</w:t>
      </w:r>
      <w:r w:rsidRPr="00172454">
        <w:rPr>
          <w:rFonts w:asciiTheme="minorEastAsia" w:eastAsiaTheme="minorEastAsia" w:hAnsiTheme="minorEastAsia" w:hint="eastAsia"/>
          <w:color w:val="000000" w:themeColor="text1"/>
          <w:szCs w:val="21"/>
        </w:rPr>
        <w:t>，由基金管理人向基金托管人发送基金管理费划款指令，</w:t>
      </w:r>
      <w:r w:rsidRPr="00172454">
        <w:rPr>
          <w:rFonts w:asciiTheme="minorEastAsia" w:eastAsiaTheme="minorEastAsia" w:hAnsiTheme="minorEastAsia"/>
          <w:color w:val="000000" w:themeColor="text1"/>
          <w:szCs w:val="21"/>
        </w:rPr>
        <w:t>基金托管人</w:t>
      </w:r>
      <w:r w:rsidRPr="00172454">
        <w:rPr>
          <w:rFonts w:asciiTheme="minorEastAsia" w:eastAsiaTheme="minorEastAsia" w:hAnsiTheme="minorEastAsia" w:hint="eastAsia"/>
          <w:color w:val="000000" w:themeColor="text1"/>
          <w:szCs w:val="21"/>
        </w:rPr>
        <w:t>复核后</w:t>
      </w:r>
      <w:r w:rsidRPr="00172454">
        <w:rPr>
          <w:rFonts w:asciiTheme="minorEastAsia" w:eastAsiaTheme="minorEastAsia" w:hAnsiTheme="minorEastAsia"/>
          <w:color w:val="000000" w:themeColor="text1"/>
          <w:szCs w:val="21"/>
        </w:rPr>
        <w:t>于次月前</w:t>
      </w: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个工作日内从基金</w:t>
      </w:r>
      <w:r w:rsidRPr="00172454">
        <w:rPr>
          <w:rFonts w:asciiTheme="minorEastAsia" w:eastAsiaTheme="minorEastAsia" w:hAnsiTheme="minorEastAsia" w:hint="eastAsia"/>
          <w:color w:val="000000" w:themeColor="text1"/>
          <w:szCs w:val="21"/>
        </w:rPr>
        <w:t>财产</w:t>
      </w:r>
      <w:r w:rsidRPr="00172454">
        <w:rPr>
          <w:rFonts w:asciiTheme="minorEastAsia" w:eastAsiaTheme="minorEastAsia" w:hAnsiTheme="minorEastAsia"/>
          <w:color w:val="000000" w:themeColor="text1"/>
          <w:szCs w:val="21"/>
        </w:rPr>
        <w:t>中一次性支付给基金管理人</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若遇法定节假日、</w:t>
      </w:r>
      <w:r w:rsidRPr="00172454">
        <w:rPr>
          <w:rFonts w:asciiTheme="minorEastAsia" w:eastAsiaTheme="minorEastAsia" w:hAnsiTheme="minorEastAsia" w:hint="eastAsia"/>
          <w:color w:val="000000" w:themeColor="text1"/>
          <w:szCs w:val="21"/>
        </w:rPr>
        <w:t>公休假</w:t>
      </w:r>
      <w:r w:rsidRPr="00172454">
        <w:rPr>
          <w:rFonts w:asciiTheme="minorEastAsia" w:eastAsiaTheme="minorEastAsia" w:hAnsiTheme="minorEastAsia"/>
          <w:color w:val="000000" w:themeColor="text1"/>
          <w:szCs w:val="21"/>
        </w:rPr>
        <w:t>等,支付日期顺延。</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（2）基金托管人的托管费</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w:t>
      </w:r>
      <w:r w:rsidRPr="00172454">
        <w:rPr>
          <w:rFonts w:asciiTheme="minorEastAsia" w:eastAsiaTheme="minorEastAsia" w:hAnsiTheme="minorEastAsia"/>
          <w:color w:val="000000" w:themeColor="text1"/>
          <w:szCs w:val="21"/>
        </w:rPr>
        <w:t>基金的托管费按</w:t>
      </w:r>
      <w:r w:rsidRPr="00172454">
        <w:rPr>
          <w:rFonts w:asciiTheme="minorEastAsia" w:eastAsiaTheme="minorEastAsia" w:hAnsiTheme="minorEastAsia" w:hint="eastAsia"/>
          <w:color w:val="000000" w:themeColor="text1"/>
          <w:szCs w:val="21"/>
        </w:rPr>
        <w:t>前一日</w:t>
      </w:r>
      <w:r w:rsidRPr="00172454">
        <w:rPr>
          <w:rFonts w:asciiTheme="minorEastAsia" w:eastAsiaTheme="minorEastAsia" w:hAnsiTheme="minorEastAsia"/>
          <w:color w:val="000000" w:themeColor="text1"/>
          <w:szCs w:val="21"/>
        </w:rPr>
        <w:t>基金资产净值的</w:t>
      </w:r>
      <w:r w:rsidRPr="00172454">
        <w:rPr>
          <w:rFonts w:asciiTheme="minorEastAsia" w:eastAsiaTheme="minorEastAsia" w:hAnsiTheme="minorEastAsia" w:hint="eastAsia"/>
          <w:color w:val="000000" w:themeColor="text1"/>
          <w:szCs w:val="21"/>
        </w:rPr>
        <w:t>0.1%</w:t>
      </w:r>
      <w:r w:rsidRPr="00172454">
        <w:rPr>
          <w:rFonts w:asciiTheme="minorEastAsia" w:eastAsiaTheme="minorEastAsia" w:hAnsiTheme="minorEastAsia"/>
          <w:color w:val="000000" w:themeColor="text1"/>
          <w:szCs w:val="21"/>
        </w:rPr>
        <w:t>的年费率计提。</w:t>
      </w:r>
      <w:r w:rsidRPr="00172454">
        <w:rPr>
          <w:rFonts w:asciiTheme="minorEastAsia" w:eastAsiaTheme="minorEastAsia" w:hAnsiTheme="minorEastAsia" w:hint="eastAsia"/>
          <w:color w:val="000000" w:themeColor="text1"/>
          <w:szCs w:val="21"/>
        </w:rPr>
        <w:t>托管费的</w:t>
      </w:r>
      <w:r w:rsidRPr="00172454">
        <w:rPr>
          <w:rFonts w:asciiTheme="minorEastAsia" w:eastAsiaTheme="minorEastAsia" w:hAnsiTheme="minorEastAsia"/>
          <w:color w:val="000000" w:themeColor="text1"/>
          <w:szCs w:val="21"/>
        </w:rPr>
        <w:t>计算方法如下：</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H＝E×</w:t>
      </w:r>
      <w:r w:rsidRPr="00172454">
        <w:rPr>
          <w:rFonts w:asciiTheme="minorEastAsia" w:eastAsiaTheme="minorEastAsia" w:hAnsiTheme="minorEastAsia" w:hint="eastAsia"/>
          <w:color w:val="000000" w:themeColor="text1"/>
          <w:szCs w:val="21"/>
        </w:rPr>
        <w:t>0.1%÷</w:t>
      </w:r>
      <w:r w:rsidRPr="00172454">
        <w:rPr>
          <w:rFonts w:asciiTheme="minorEastAsia" w:eastAsiaTheme="minorEastAsia" w:hAnsiTheme="minorEastAsia"/>
          <w:color w:val="000000" w:themeColor="text1"/>
          <w:szCs w:val="21"/>
        </w:rPr>
        <w:t>当年天数</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H为每日应</w:t>
      </w:r>
      <w:r w:rsidRPr="00172454">
        <w:rPr>
          <w:rFonts w:asciiTheme="minorEastAsia" w:eastAsiaTheme="minorEastAsia" w:hAnsiTheme="minorEastAsia" w:hint="eastAsia"/>
          <w:color w:val="000000" w:themeColor="text1"/>
          <w:szCs w:val="21"/>
        </w:rPr>
        <w:t>计提</w:t>
      </w:r>
      <w:r w:rsidRPr="00172454">
        <w:rPr>
          <w:rFonts w:asciiTheme="minorEastAsia" w:eastAsiaTheme="minorEastAsia" w:hAnsiTheme="minorEastAsia"/>
          <w:color w:val="000000" w:themeColor="text1"/>
          <w:szCs w:val="21"/>
        </w:rPr>
        <w:t>的基金托管费</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E为前一日的基金资产净值</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基金托管费每日计算</w:t>
      </w:r>
      <w:r w:rsidRPr="00172454">
        <w:rPr>
          <w:rFonts w:asciiTheme="minorEastAsia" w:eastAsiaTheme="minorEastAsia" w:hAnsiTheme="minorEastAsia" w:hint="eastAsia"/>
          <w:color w:val="000000" w:themeColor="text1"/>
          <w:szCs w:val="21"/>
        </w:rPr>
        <w:t>，逐日累计至每月月末，</w:t>
      </w:r>
      <w:r w:rsidRPr="00172454">
        <w:rPr>
          <w:rFonts w:asciiTheme="minorEastAsia" w:eastAsiaTheme="minorEastAsia" w:hAnsiTheme="minorEastAsia"/>
          <w:color w:val="000000" w:themeColor="text1"/>
          <w:szCs w:val="21"/>
        </w:rPr>
        <w:t>按月支付</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由</w:t>
      </w:r>
      <w:r w:rsidRPr="00172454">
        <w:rPr>
          <w:rFonts w:asciiTheme="minorEastAsia" w:eastAsiaTheme="minorEastAsia" w:hAnsiTheme="minorEastAsia" w:hint="eastAsia"/>
          <w:color w:val="000000" w:themeColor="text1"/>
          <w:szCs w:val="21"/>
        </w:rPr>
        <w:t>基金管理人向基金托管人发送基金托管费划款指令，</w:t>
      </w:r>
      <w:r w:rsidRPr="00172454">
        <w:rPr>
          <w:rFonts w:asciiTheme="minorEastAsia" w:eastAsiaTheme="minorEastAsia" w:hAnsiTheme="minorEastAsia"/>
          <w:color w:val="000000" w:themeColor="text1"/>
          <w:szCs w:val="21"/>
        </w:rPr>
        <w:t>基金托管人</w:t>
      </w:r>
      <w:r w:rsidRPr="00172454">
        <w:rPr>
          <w:rFonts w:asciiTheme="minorEastAsia" w:eastAsiaTheme="minorEastAsia" w:hAnsiTheme="minorEastAsia" w:hint="eastAsia"/>
          <w:color w:val="000000" w:themeColor="text1"/>
          <w:szCs w:val="21"/>
        </w:rPr>
        <w:t>复核后</w:t>
      </w:r>
      <w:r w:rsidRPr="00172454">
        <w:rPr>
          <w:rFonts w:asciiTheme="minorEastAsia" w:eastAsiaTheme="minorEastAsia" w:hAnsiTheme="minorEastAsia"/>
          <w:color w:val="000000" w:themeColor="text1"/>
          <w:szCs w:val="21"/>
        </w:rPr>
        <w:t>于次月前</w:t>
      </w: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个工作日内从基金财产中一次性支取</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若遇法定节假日、</w:t>
      </w:r>
      <w:r w:rsidRPr="00172454">
        <w:rPr>
          <w:rFonts w:asciiTheme="minorEastAsia" w:eastAsiaTheme="minorEastAsia" w:hAnsiTheme="minorEastAsia" w:hint="eastAsia"/>
          <w:color w:val="000000" w:themeColor="text1"/>
          <w:szCs w:val="21"/>
        </w:rPr>
        <w:t>公休日</w:t>
      </w:r>
      <w:r w:rsidRPr="00172454">
        <w:rPr>
          <w:rFonts w:asciiTheme="minorEastAsia" w:eastAsiaTheme="minorEastAsia" w:hAnsiTheme="minorEastAsia"/>
          <w:color w:val="000000" w:themeColor="text1"/>
          <w:szCs w:val="21"/>
        </w:rPr>
        <w:t>等,支付日期顺延。</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（3）基金的指数使用费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本基金作为指数基金，需根据与中证指数有限公司签署的指数使用许可协议的约定向中证指数有限公司支付指数使用费。通常情况下，指数使用费</w:t>
      </w:r>
      <w:r w:rsidRPr="00172454">
        <w:rPr>
          <w:rFonts w:asciiTheme="minorEastAsia" w:eastAsiaTheme="minorEastAsia" w:hAnsiTheme="minorEastAsia"/>
          <w:color w:val="000000" w:themeColor="text1"/>
          <w:szCs w:val="21"/>
        </w:rPr>
        <w:t>按前一日的基金资产净值的</w:t>
      </w:r>
      <w:r w:rsidRPr="00172454">
        <w:rPr>
          <w:rFonts w:asciiTheme="minorEastAsia" w:eastAsiaTheme="minorEastAsia" w:hAnsiTheme="minorEastAsia" w:hint="eastAsia"/>
          <w:color w:val="000000" w:themeColor="text1"/>
          <w:szCs w:val="21"/>
        </w:rPr>
        <w:t>0.03%</w:t>
      </w:r>
      <w:r w:rsidRPr="00172454">
        <w:rPr>
          <w:rFonts w:asciiTheme="minorEastAsia" w:eastAsiaTheme="minorEastAsia" w:hAnsiTheme="minorEastAsia"/>
          <w:color w:val="000000" w:themeColor="text1"/>
          <w:szCs w:val="21"/>
        </w:rPr>
        <w:t>的年费率计提。</w:t>
      </w:r>
      <w:r w:rsidRPr="00172454">
        <w:rPr>
          <w:rFonts w:asciiTheme="minorEastAsia" w:eastAsiaTheme="minorEastAsia" w:hAnsiTheme="minorEastAsia" w:hint="eastAsia"/>
          <w:color w:val="000000" w:themeColor="text1"/>
          <w:szCs w:val="21"/>
        </w:rPr>
        <w:t>指数使用</w:t>
      </w:r>
      <w:r w:rsidRPr="00172454">
        <w:rPr>
          <w:rFonts w:asciiTheme="minorEastAsia" w:eastAsiaTheme="minorEastAsia" w:hAnsiTheme="minorEastAsia"/>
          <w:color w:val="000000" w:themeColor="text1"/>
          <w:szCs w:val="21"/>
        </w:rPr>
        <w:t>费每日计算，逐日累计</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计算方法如下：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H=E×</w:t>
      </w:r>
      <w:r w:rsidRPr="00172454">
        <w:rPr>
          <w:rFonts w:asciiTheme="minorEastAsia" w:eastAsiaTheme="minorEastAsia" w:hAnsiTheme="minorEastAsia" w:hint="eastAsia"/>
          <w:color w:val="000000" w:themeColor="text1"/>
          <w:szCs w:val="21"/>
        </w:rPr>
        <w:t>0.03%/</w:t>
      </w:r>
      <w:r w:rsidRPr="00172454">
        <w:rPr>
          <w:rFonts w:asciiTheme="minorEastAsia" w:eastAsiaTheme="minorEastAsia" w:hAnsiTheme="minorEastAsia"/>
          <w:color w:val="000000" w:themeColor="text1"/>
          <w:szCs w:val="21"/>
        </w:rPr>
        <w:t>当年天数</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H为每日</w:t>
      </w:r>
      <w:r w:rsidRPr="00172454">
        <w:rPr>
          <w:rFonts w:asciiTheme="minorEastAsia" w:eastAsiaTheme="minorEastAsia" w:hAnsiTheme="minorEastAsia" w:hint="eastAsia"/>
          <w:color w:val="000000" w:themeColor="text1"/>
          <w:szCs w:val="21"/>
        </w:rPr>
        <w:t>计提</w:t>
      </w:r>
      <w:r w:rsidRPr="00172454">
        <w:rPr>
          <w:rFonts w:asciiTheme="minorEastAsia" w:eastAsiaTheme="minorEastAsia" w:hAnsiTheme="minorEastAsia"/>
          <w:color w:val="000000" w:themeColor="text1"/>
          <w:szCs w:val="21"/>
        </w:rPr>
        <w:t>的</w:t>
      </w:r>
      <w:r w:rsidRPr="00172454">
        <w:rPr>
          <w:rFonts w:asciiTheme="minorEastAsia" w:eastAsiaTheme="minorEastAsia" w:hAnsiTheme="minorEastAsia" w:hint="eastAsia"/>
          <w:color w:val="000000" w:themeColor="text1"/>
          <w:szCs w:val="21"/>
        </w:rPr>
        <w:t>指数使用费，</w:t>
      </w:r>
      <w:r w:rsidRPr="00172454">
        <w:rPr>
          <w:rFonts w:asciiTheme="minorEastAsia" w:eastAsiaTheme="minorEastAsia" w:hAnsiTheme="minorEastAsia"/>
          <w:color w:val="000000" w:themeColor="text1"/>
          <w:szCs w:val="21"/>
        </w:rPr>
        <w:t>E为前一日的基金资产净值</w:t>
      </w:r>
    </w:p>
    <w:p w:rsidR="00126ACB" w:rsidRPr="00172454" w:rsidP="00126ACB">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如当季度日均基金资产净值（日均基金资产净值=基金当季存续日的基金资产净值之和/基金当季存续天数，下同）大于人民币5000万元的，</w:t>
      </w:r>
      <w:r w:rsidRPr="00172454">
        <w:rPr>
          <w:rFonts w:asciiTheme="minorEastAsia" w:eastAsiaTheme="minorEastAsia" w:hAnsiTheme="minorEastAsia" w:hint="eastAsia"/>
          <w:color w:val="000000" w:themeColor="text1"/>
          <w:szCs w:val="21"/>
        </w:rPr>
        <w:t>指数使用费</w:t>
      </w:r>
      <w:r w:rsidRPr="00172454">
        <w:rPr>
          <w:rFonts w:asciiTheme="minorEastAsia" w:eastAsiaTheme="minorEastAsia" w:hAnsiTheme="minorEastAsia"/>
          <w:color w:val="000000" w:themeColor="text1"/>
          <w:szCs w:val="21"/>
        </w:rPr>
        <w:t>的收取下限为每季度人民币3.5万元；如当季度日均基金资产净值小于或等于人民币5000万元的，</w:t>
      </w:r>
      <w:r w:rsidRPr="00172454">
        <w:rPr>
          <w:rFonts w:asciiTheme="minorEastAsia" w:eastAsiaTheme="minorEastAsia" w:hAnsiTheme="minorEastAsia" w:hint="eastAsia"/>
          <w:color w:val="000000" w:themeColor="text1"/>
          <w:szCs w:val="21"/>
        </w:rPr>
        <w:t>指数使用费</w:t>
      </w:r>
      <w:r w:rsidRPr="00172454">
        <w:rPr>
          <w:rFonts w:asciiTheme="minorEastAsia" w:eastAsiaTheme="minorEastAsia" w:hAnsiTheme="minorEastAsia"/>
          <w:color w:val="000000" w:themeColor="text1"/>
          <w:szCs w:val="21"/>
        </w:rPr>
        <w:t>不设收取下限。</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指数使用费的支付由基金管理人向基金托管人发送划付指令，经基金托管人复核后于次季初10个工作日内从基金财产中一次性支付给中证指数有限公司。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由于中证指数有限公司保留变更或提高指数使用费的权利，如果指数使用费的计算方法、费率等发生调整，本基金将采用调整后的方法或费率计算指数使用费。基金管理人应及时按照《信息披露管理办法》的规定在</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进行公告。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上述</w:t>
      </w: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基金费用</w:t>
      </w:r>
      <w:r w:rsidRPr="00172454">
        <w:rPr>
          <w:rFonts w:asciiTheme="minorEastAsia" w:eastAsiaTheme="minorEastAsia" w:hAnsiTheme="minorEastAsia" w:hint="eastAsia"/>
          <w:color w:val="000000" w:themeColor="text1"/>
          <w:szCs w:val="21"/>
        </w:rPr>
        <w:t>的种类</w:t>
      </w:r>
      <w:r w:rsidRPr="00172454">
        <w:rPr>
          <w:rFonts w:asciiTheme="minorEastAsia" w:eastAsiaTheme="minorEastAsia" w:hAnsiTheme="minorEastAsia"/>
          <w:color w:val="000000" w:themeColor="text1"/>
          <w:szCs w:val="21"/>
        </w:rPr>
        <w:t>”中第</w:t>
      </w:r>
      <w:r w:rsidRPr="00172454">
        <w:rPr>
          <w:rFonts w:asciiTheme="minorEastAsia" w:eastAsiaTheme="minorEastAsia" w:hAnsiTheme="minorEastAsia" w:hint="eastAsia"/>
          <w:color w:val="000000" w:themeColor="text1"/>
          <w:szCs w:val="21"/>
        </w:rPr>
        <w:t>3－10</w:t>
      </w:r>
      <w:r w:rsidRPr="00172454">
        <w:rPr>
          <w:rFonts w:asciiTheme="minorEastAsia" w:eastAsiaTheme="minorEastAsia" w:hAnsiTheme="minorEastAsia"/>
          <w:color w:val="000000" w:themeColor="text1"/>
          <w:szCs w:val="21"/>
        </w:rPr>
        <w:t>项费用</w:t>
      </w:r>
      <w:r w:rsidRPr="00172454">
        <w:rPr>
          <w:rFonts w:asciiTheme="minorEastAsia" w:eastAsiaTheme="minorEastAsia" w:hAnsiTheme="minorEastAsia" w:hint="eastAsia"/>
          <w:color w:val="000000" w:themeColor="text1"/>
          <w:szCs w:val="21"/>
        </w:rPr>
        <w:t>，由基金管理人和基金托管人</w:t>
      </w:r>
      <w:r w:rsidRPr="00172454">
        <w:rPr>
          <w:rFonts w:asciiTheme="minorEastAsia" w:eastAsiaTheme="minorEastAsia" w:hAnsiTheme="minorEastAsia"/>
          <w:color w:val="000000" w:themeColor="text1"/>
          <w:szCs w:val="21"/>
        </w:rPr>
        <w:t>根据有关法规及相应协议规定</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从基金财产中支付。</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3、基金费用的调整</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基金管理人和基金托管人协商一致后，可根据基金发展情况调整基金管理费率、基金托管费率等相关费率。</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调高基金管理费率和基金托管费率，须召开基金份额持有人大会审议，除非基金合同、相关法律法规或监管机构另有规定；调低基金管理费率和基金托管费率，无须召开基金份额持有人大会。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基金管理人必须按照《信息披露办法》或其他相关规定在新的费率实施日前在至少一种</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和基金管理人网站上公告。</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40" w:name="_Toc238024317"/>
      <w:bookmarkStart w:id="441" w:name="_Toc91767033"/>
      <w:r w:rsidRPr="00172454">
        <w:rPr>
          <w:rFonts w:asciiTheme="minorEastAsia" w:eastAsiaTheme="minorEastAsia" w:hAnsiTheme="minorEastAsia" w:hint="eastAsia"/>
          <w:b w:val="0"/>
          <w:color w:val="000000" w:themeColor="text1"/>
        </w:rPr>
        <w:t>（二）与基金销售有关的费用</w:t>
      </w:r>
      <w:bookmarkEnd w:id="440"/>
      <w:bookmarkEnd w:id="44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s="宋体" w:hint="eastAsia"/>
          <w:color w:val="000000" w:themeColor="text1"/>
          <w:szCs w:val="21"/>
        </w:rPr>
        <w:t>本基金申购费、赎回费的费率水平、计算公式、收取方式和使用方式请详见本招募说明书“十、基金份额的申购、赎回”中“</w:t>
      </w:r>
      <w:r w:rsidRPr="00172454">
        <w:rPr>
          <w:rFonts w:asciiTheme="minorEastAsia" w:eastAsiaTheme="minorEastAsia" w:hAnsiTheme="minorEastAsia" w:hint="eastAsia"/>
          <w:color w:val="000000" w:themeColor="text1"/>
          <w:szCs w:val="21"/>
        </w:rPr>
        <w:t>（八）</w:t>
      </w:r>
      <w:r w:rsidRPr="00172454">
        <w:rPr>
          <w:rFonts w:asciiTheme="minorEastAsia" w:eastAsiaTheme="minorEastAsia" w:hAnsiTheme="minorEastAsia" w:hint="eastAsia"/>
          <w:bCs/>
          <w:color w:val="000000" w:themeColor="text1"/>
        </w:rPr>
        <w:t>场内申购、赎回的对价、费用及价格</w:t>
      </w:r>
      <w:r w:rsidRPr="00172454">
        <w:rPr>
          <w:rFonts w:asciiTheme="minorEastAsia" w:eastAsiaTheme="minorEastAsia" w:hAnsiTheme="minorEastAsia" w:cs="宋体" w:hint="eastAsia"/>
          <w:color w:val="000000" w:themeColor="text1"/>
          <w:szCs w:val="21"/>
        </w:rPr>
        <w:t>”与“</w:t>
      </w:r>
      <w:r w:rsidRPr="00172454">
        <w:rPr>
          <w:rFonts w:asciiTheme="minorEastAsia" w:eastAsiaTheme="minorEastAsia" w:hAnsiTheme="minorEastAsia" w:cs="宋体" w:hint="eastAsia"/>
          <w:color w:val="000000" w:themeColor="text1"/>
          <w:spacing w:val="-2"/>
          <w:szCs w:val="21"/>
        </w:rPr>
        <w:t>（九）</w:t>
      </w:r>
      <w:r w:rsidRPr="00172454">
        <w:rPr>
          <w:rFonts w:asciiTheme="minorEastAsia" w:eastAsiaTheme="minorEastAsia" w:hAnsiTheme="minorEastAsia" w:hint="eastAsia"/>
          <w:bCs/>
          <w:color w:val="000000" w:themeColor="text1"/>
        </w:rPr>
        <w:t>场外申购、赎回的对价、费用及价格</w:t>
      </w:r>
      <w:r w:rsidRPr="00172454">
        <w:rPr>
          <w:rFonts w:asciiTheme="minorEastAsia" w:eastAsiaTheme="minorEastAsia" w:hAnsiTheme="minorEastAsia" w:cs="宋体" w:hint="eastAsia"/>
          <w:color w:val="000000" w:themeColor="text1"/>
          <w:szCs w:val="21"/>
        </w:rPr>
        <w:t>”中的相关规定。</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42" w:name="_Toc253577353"/>
      <w:bookmarkStart w:id="443" w:name="_Toc91767034"/>
      <w:bookmarkStart w:id="444" w:name="_Toc84149673"/>
      <w:bookmarkStart w:id="445" w:name="_Toc86584637"/>
      <w:bookmarkStart w:id="446" w:name="_Toc238024318"/>
      <w:r w:rsidRPr="00172454">
        <w:rPr>
          <w:rFonts w:asciiTheme="minorEastAsia" w:eastAsiaTheme="minorEastAsia" w:hAnsiTheme="minorEastAsia" w:hint="eastAsia"/>
          <w:b w:val="0"/>
          <w:color w:val="000000" w:themeColor="text1"/>
        </w:rPr>
        <w:t>（三）不列入基金费用的项目</w:t>
      </w:r>
      <w:bookmarkEnd w:id="442"/>
      <w:bookmarkEnd w:id="443"/>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下列费用不列入基金费用：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2、基金管理人和基金托管人处理与基金运作无关的事项发生的费用；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3、《基金合同》生效前的相关费用，包括但不限于验资费、会计师和律师费、信息披露费用等费用；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szCs w:val="21"/>
        </w:rPr>
        <w:t>4、其他根据相关法律法规及中国证监会的有关规定不得列入基金费用的项目。</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47" w:name="_Toc253577354"/>
      <w:bookmarkStart w:id="448" w:name="_Toc91767035"/>
      <w:r w:rsidRPr="00172454">
        <w:rPr>
          <w:rFonts w:asciiTheme="minorEastAsia" w:eastAsiaTheme="minorEastAsia" w:hAnsiTheme="minorEastAsia" w:hint="eastAsia"/>
          <w:b w:val="0"/>
          <w:color w:val="000000" w:themeColor="text1"/>
        </w:rPr>
        <w:t>（四）基金税收</w:t>
      </w:r>
      <w:bookmarkEnd w:id="444"/>
      <w:bookmarkEnd w:id="445"/>
      <w:bookmarkEnd w:id="446"/>
      <w:bookmarkEnd w:id="447"/>
      <w:bookmarkEnd w:id="448"/>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本基金运作过程中涉及的各纳税主体，其纳税义务按国家税收法律、法规执行。</w:t>
      </w:r>
    </w:p>
    <w:p w:rsidR="005D5BC7" w:rsidRPr="00172454" w:rsidP="00150642">
      <w:pPr>
        <w:snapToGrid w:val="0"/>
        <w:spacing w:line="360" w:lineRule="auto"/>
        <w:ind w:firstLine="480"/>
        <w:rPr>
          <w:rFonts w:asciiTheme="minorEastAsia" w:eastAsiaTheme="minorEastAsia" w:hAnsiTheme="minorEastAsia"/>
          <w:color w:val="000000" w:themeColor="text1"/>
          <w:szCs w:val="21"/>
        </w:rPr>
      </w:pPr>
    </w:p>
    <w:p w:rsidR="005D5BC7" w:rsidRPr="00172454" w:rsidP="00150642">
      <w:pPr>
        <w:snapToGrid w:val="0"/>
        <w:spacing w:line="360" w:lineRule="auto"/>
        <w:ind w:firstLine="480"/>
        <w:rPr>
          <w:rFonts w:asciiTheme="minorEastAsia" w:eastAsiaTheme="minorEastAsia" w:hAnsiTheme="minorEastAsia"/>
          <w:color w:val="000000" w:themeColor="text1"/>
          <w:szCs w:val="21"/>
        </w:rPr>
      </w:pP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449" w:name="_Toc91767036"/>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七</w:t>
      </w:r>
      <w:r w:rsidRPr="00172454">
        <w:rPr>
          <w:rFonts w:asciiTheme="minorEastAsia" w:eastAsiaTheme="minorEastAsia" w:hAnsiTheme="minorEastAsia" w:hint="eastAsia"/>
          <w:bCs/>
          <w:color w:val="000000" w:themeColor="text1"/>
        </w:rPr>
        <w:t>、基金的会计与审计</w:t>
      </w:r>
      <w:bookmarkEnd w:id="449"/>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50" w:name="_Toc238024320"/>
      <w:bookmarkStart w:id="451" w:name="_Toc253577356"/>
      <w:bookmarkStart w:id="452" w:name="_Toc91767037"/>
      <w:r w:rsidRPr="00172454">
        <w:rPr>
          <w:rFonts w:asciiTheme="minorEastAsia" w:eastAsiaTheme="minorEastAsia" w:hAnsiTheme="minorEastAsia" w:hint="eastAsia"/>
          <w:b w:val="0"/>
          <w:color w:val="000000" w:themeColor="text1"/>
        </w:rPr>
        <w:t>（一）基金会计政策</w:t>
      </w:r>
      <w:bookmarkEnd w:id="450"/>
      <w:bookmarkEnd w:id="451"/>
      <w:bookmarkEnd w:id="452"/>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基金管理人为本基金的基金会计责任方；</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基金的会计年度为公历年度的</w:t>
      </w:r>
      <w:smartTag w:uri="urn:schemas-microsoft-com:office:smarttags" w:element="chsdate">
        <w:smartTagPr>
          <w:attr w:name="Day" w:val="1"/>
          <w:attr w:name="IsLunarDate" w:val="False"/>
          <w:attr w:name="IsROCDate" w:val="False"/>
          <w:attr w:name="Month" w:val="1"/>
          <w:attr w:name="Year" w:val="2014"/>
        </w:smartTagP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月</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日</w:t>
        </w:r>
      </w:smartTag>
      <w:r w:rsidRPr="00172454">
        <w:rPr>
          <w:rFonts w:asciiTheme="minorEastAsia" w:eastAsiaTheme="minorEastAsia" w:hAnsiTheme="minorEastAsia" w:hint="eastAsia"/>
          <w:color w:val="000000" w:themeColor="text1"/>
          <w:szCs w:val="21"/>
        </w:rPr>
        <w:t>至</w:t>
      </w:r>
      <w:smartTag w:uri="urn:schemas-microsoft-com:office:smarttags" w:element="chsdate">
        <w:smartTagPr>
          <w:attr w:name="Day" w:val="31"/>
          <w:attr w:name="IsLunarDate" w:val="False"/>
          <w:attr w:name="IsROCDate" w:val="False"/>
          <w:attr w:name="Month" w:val="12"/>
          <w:attr w:name="Year" w:val="2014"/>
        </w:smartTagPr>
        <w:r w:rsidRPr="00172454">
          <w:rPr>
            <w:rFonts w:asciiTheme="minorEastAsia" w:eastAsiaTheme="minorEastAsia" w:hAnsiTheme="minorEastAsia"/>
            <w:color w:val="000000" w:themeColor="text1"/>
            <w:szCs w:val="21"/>
          </w:rPr>
          <w:t>12</w:t>
        </w:r>
        <w:r w:rsidRPr="00172454">
          <w:rPr>
            <w:rFonts w:asciiTheme="minorEastAsia" w:eastAsiaTheme="minorEastAsia" w:hAnsiTheme="minorEastAsia" w:hint="eastAsia"/>
            <w:color w:val="000000" w:themeColor="text1"/>
            <w:szCs w:val="21"/>
          </w:rPr>
          <w:t>月</w:t>
        </w:r>
        <w:r w:rsidRPr="00172454">
          <w:rPr>
            <w:rFonts w:asciiTheme="minorEastAsia" w:eastAsiaTheme="minorEastAsia" w:hAnsiTheme="minorEastAsia"/>
            <w:color w:val="000000" w:themeColor="text1"/>
            <w:szCs w:val="21"/>
          </w:rPr>
          <w:t>31</w:t>
        </w:r>
        <w:r w:rsidRPr="00172454">
          <w:rPr>
            <w:rFonts w:asciiTheme="minorEastAsia" w:eastAsiaTheme="minorEastAsia" w:hAnsiTheme="minorEastAsia" w:hint="eastAsia"/>
            <w:color w:val="000000" w:themeColor="text1"/>
            <w:szCs w:val="21"/>
          </w:rPr>
          <w:t>日</w:t>
        </w:r>
      </w:smartTag>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基金核算以人民币为记账本位币，以人民币元为记账单位；</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会计制度执行国家有关会计制度；</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5</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本基金独立建账、独立核算；</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6</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基金管理人及基金托管人各自保留完整的会计账目、凭证并进行日常的会计核算，按照有关规定编制基金会计报表；</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7</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基金托管人每月与基金管理人就基金的会计核算、报表编制等进行核对并以书面方式确认。</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53" w:name="_Toc238024321"/>
      <w:bookmarkStart w:id="454" w:name="_Toc253577357"/>
      <w:bookmarkStart w:id="455" w:name="_Toc91767038"/>
      <w:r w:rsidRPr="00172454">
        <w:rPr>
          <w:rFonts w:asciiTheme="minorEastAsia" w:eastAsiaTheme="minorEastAsia" w:hAnsiTheme="minorEastAsia" w:hint="eastAsia"/>
          <w:b w:val="0"/>
          <w:color w:val="000000" w:themeColor="text1"/>
        </w:rPr>
        <w:t>（二）基金年度审计</w:t>
      </w:r>
      <w:bookmarkEnd w:id="453"/>
      <w:bookmarkEnd w:id="454"/>
      <w:bookmarkEnd w:id="455"/>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基金管理人聘请与基金管理人、基金托管人相互独立的具有证券</w:t>
      </w:r>
      <w:r w:rsidRPr="00172454" w:rsidR="00144A8E">
        <w:rPr>
          <w:rFonts w:asciiTheme="minorEastAsia" w:eastAsiaTheme="minorEastAsia" w:hAnsiTheme="minorEastAsia" w:hint="eastAsia"/>
          <w:color w:val="000000" w:themeColor="text1"/>
          <w:szCs w:val="21"/>
        </w:rPr>
        <w:t>、期货相关业务</w:t>
      </w:r>
      <w:r w:rsidRPr="00172454">
        <w:rPr>
          <w:rFonts w:asciiTheme="minorEastAsia" w:eastAsiaTheme="minorEastAsia" w:hAnsiTheme="minorEastAsia" w:hint="eastAsia"/>
          <w:color w:val="000000" w:themeColor="text1"/>
          <w:szCs w:val="21"/>
        </w:rPr>
        <w:t>资格的会计师事务所及其注册会计师对本基金的年度财务报表进行审计。</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会计师事务所更换经办注册会计师，应事先征得基金管理人同意。</w:t>
      </w:r>
    </w:p>
    <w:p w:rsidR="005D5BC7" w:rsidRPr="00172454" w:rsidP="00150642">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基金管理人认为有充足理由更换会计师事务所，须通报基金托管人。更换会计师事务所需在2日内在至少一家</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及基金管理人网站公告。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456" w:name="_Toc91767039"/>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八</w:t>
      </w:r>
      <w:r w:rsidRPr="00172454">
        <w:rPr>
          <w:rFonts w:asciiTheme="minorEastAsia" w:eastAsiaTheme="minorEastAsia" w:hAnsiTheme="minorEastAsia" w:hint="eastAsia"/>
          <w:bCs/>
          <w:color w:val="000000" w:themeColor="text1"/>
        </w:rPr>
        <w:t>、基金的信息披露</w:t>
      </w:r>
      <w:bookmarkEnd w:id="456"/>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（一）本基金的信息披露应符合《基金法》、《运作办法》、《信息披露办法》、《基金合同》及其他有关规定。</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（二）信息披露义务人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w:t>
      </w:r>
      <w:r w:rsidRPr="00172454" w:rsidR="00144A8E">
        <w:rPr>
          <w:rFonts w:asciiTheme="minorEastAsia" w:eastAsiaTheme="minorEastAsia" w:hAnsiTheme="minorEastAsia" w:hint="eastAsia"/>
          <w:color w:val="000000" w:themeColor="text1"/>
          <w:szCs w:val="21"/>
        </w:rPr>
        <w:t>、行政</w:t>
      </w:r>
      <w:r w:rsidRPr="00172454">
        <w:rPr>
          <w:rFonts w:asciiTheme="minorEastAsia" w:eastAsiaTheme="minorEastAsia" w:hAnsiTheme="minorEastAsia" w:hint="eastAsia"/>
          <w:color w:val="000000" w:themeColor="text1"/>
          <w:szCs w:val="21"/>
        </w:rPr>
        <w:t>法规和中国证监会规定的自然人、法人和</w:t>
      </w:r>
      <w:r w:rsidRPr="00172454" w:rsidR="00144A8E">
        <w:rPr>
          <w:rFonts w:asciiTheme="minorEastAsia" w:eastAsiaTheme="minorEastAsia" w:hAnsiTheme="minorEastAsia" w:hint="eastAsia"/>
          <w:color w:val="000000" w:themeColor="text1"/>
          <w:szCs w:val="21"/>
        </w:rPr>
        <w:t>非法人</w:t>
      </w:r>
      <w:r w:rsidRPr="00172454">
        <w:rPr>
          <w:rFonts w:asciiTheme="minorEastAsia" w:eastAsiaTheme="minorEastAsia" w:hAnsiTheme="minorEastAsia" w:hint="eastAsia"/>
          <w:color w:val="000000" w:themeColor="text1"/>
          <w:szCs w:val="21"/>
        </w:rPr>
        <w:t>组织。</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（三）本基金信息披露义务人承诺公开披露的基金信息，不得有下列行为：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虚假记载、误导性陈述或者重大遗漏；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对证券投资业绩进行预测；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3</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违规承诺收益或者承担损失；</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4</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诋毁其他基金管理人、基金托管人或者基金销售机构；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5</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登载任何自然人、法人</w:t>
      </w:r>
      <w:r w:rsidRPr="00172454" w:rsidR="00144A8E">
        <w:rPr>
          <w:rFonts w:asciiTheme="minorEastAsia" w:eastAsiaTheme="minorEastAsia" w:hAnsiTheme="minorEastAsia" w:hint="eastAsia"/>
          <w:color w:val="000000" w:themeColor="text1"/>
          <w:szCs w:val="21"/>
        </w:rPr>
        <w:t>和非法人</w:t>
      </w:r>
      <w:r w:rsidRPr="00172454">
        <w:rPr>
          <w:rFonts w:asciiTheme="minorEastAsia" w:eastAsiaTheme="minorEastAsia" w:hAnsiTheme="minorEastAsia" w:hint="eastAsia"/>
          <w:color w:val="000000" w:themeColor="text1"/>
          <w:szCs w:val="21"/>
        </w:rPr>
        <w:t>组织的祝贺性、恭维性或推荐性的文字；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6</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中国证监会禁止的其他行为。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（四）</w:t>
      </w:r>
      <w:r w:rsidRPr="00172454" w:rsidR="00144A8E">
        <w:rPr>
          <w:rFonts w:asciiTheme="minorEastAsia" w:eastAsiaTheme="minorEastAsia" w:hAnsiTheme="minorEastAsia" w:hint="eastAsia"/>
          <w:color w:val="000000" w:themeColor="text1"/>
          <w:szCs w:val="21"/>
        </w:rPr>
        <w:t>本基金公开披露的信息应采用中文文本。如同时采用外文文本的，基金信息披露义务人应保证不同文本的内容一致。不同文本之间发生歧义的，以中文文本为准</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本基金公开披露的信息采用阿拉伯数字；除特别说明外，货币单位为人民币元。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（五）公开披露的基金信息</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公开披露的基金信息包括：</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1、招募说明书、《基金合同》、《托管协议》</w:t>
      </w:r>
      <w:r w:rsidRPr="00172454" w:rsidR="00144A8E">
        <w:rPr>
          <w:rFonts w:asciiTheme="minorEastAsia" w:eastAsiaTheme="minorEastAsia" w:hAnsiTheme="minorEastAsia" w:hint="eastAsia"/>
          <w:color w:val="000000" w:themeColor="text1"/>
          <w:szCs w:val="21"/>
        </w:rPr>
        <w:t>、基金产品资料概要</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基金募集申请经中国证监会核准后，基金管理人在基金份额发售的</w:t>
      </w:r>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日前，将基金招募说明书、《基金合同》摘要登载在</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和基金管理人网站上；基金管理人、基金托管人应当将《基金合同》、《托管协议》登载在网站上。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（1）招募说明书应当最大限度地披露影响基金投资者决策的全部事项，说明基金认购、申购和赎回安排、基金投资、基金产品特性、风险揭示、信息披露及基金份额持有人服务等内容。</w:t>
      </w:r>
      <w:r w:rsidRPr="00172454" w:rsidR="00144A8E">
        <w:rPr>
          <w:rFonts w:asciiTheme="minorEastAsia" w:eastAsiaTheme="minorEastAsia" w:hAnsiTheme="minorEastAsia" w:hint="eastAsia"/>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（2）《基金合同》是界定《基金合同》当事人的各项权利、义务关系，明确基金份额持有人大会召开的规则及具体程序，说明基金产品的特性等涉及基金投资者重大利益的事项的法律文件。</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（3）《托管协议》是界定基金托管人和基金管理人在基金财产保管及基金运作监督等活动中的权利、义务关系的法律文件。</w:t>
      </w:r>
    </w:p>
    <w:p w:rsidR="00941E7A"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2、基金份额发售公告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3、《基金合同》生效公告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基金管理人应当在《基金合同》生效的次日在</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和基金管理人网站上登载《基金合同》生效公告。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4、基金份额折算日公告、基金份额折算结果公告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基金建仓期结束后，基金管理人确定基金份额折算日，并至少提前将基金份额折算日公告登载于指定报刊及网站上。</w:t>
      </w:r>
      <w:r w:rsidRPr="00172454">
        <w:rPr>
          <w:rFonts w:asciiTheme="minorEastAsia" w:eastAsiaTheme="minorEastAsia" w:hAnsiTheme="minorEastAsia"/>
          <w:color w:val="000000" w:themeColor="text1"/>
          <w:szCs w:val="21"/>
        </w:rPr>
        <w:t xml:space="preserve"> </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基金份额进行折算并由登记结算机构完成基金份额的变更登记后，基金管理人将基金份额折算结果公告登载于指定报刊及网站上。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5、基金开始申购、赎回公告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基金管理人应于申购开始日、赎回开始日前在指定报刊及网站上公告。</w:t>
      </w:r>
      <w:r w:rsidRPr="00172454">
        <w:rPr>
          <w:rFonts w:asciiTheme="minorEastAsia" w:eastAsiaTheme="minorEastAsia" w:hAnsiTheme="minorEastAsia"/>
          <w:color w:val="000000" w:themeColor="text1"/>
          <w:szCs w:val="21"/>
        </w:rPr>
        <w:t xml:space="preserve"> </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6、基金份额上市交易公告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基金份额获准在证券交易所上市交易的，基金管理人应当在基金份额上市交易前，将基金份额上市交易公告书登载在指定报刊和网站上。</w:t>
      </w:r>
    </w:p>
    <w:p w:rsidR="005D5BC7" w:rsidRPr="00172454" w:rsidP="00D7595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7、基金净值</w:t>
      </w:r>
      <w:r w:rsidRPr="00172454" w:rsidR="00941E7A">
        <w:rPr>
          <w:rFonts w:asciiTheme="minorEastAsia" w:eastAsiaTheme="minorEastAsia" w:hAnsiTheme="minorEastAsia" w:hint="eastAsia"/>
          <w:color w:val="000000" w:themeColor="text1"/>
          <w:szCs w:val="21"/>
        </w:rPr>
        <w:t>信息</w:t>
      </w:r>
    </w:p>
    <w:p w:rsidR="00941E7A" w:rsidRPr="00172454" w:rsidP="00941E7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941E7A" w:rsidRPr="00172454" w:rsidP="00941E7A">
      <w:pPr>
        <w:snapToGrid w:val="0"/>
        <w:spacing w:line="360" w:lineRule="auto"/>
        <w:ind w:firstLine="424" w:firstLineChars="202"/>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457" w:name="OLE_LINK448"/>
      <w:bookmarkStart w:id="458" w:name="OLE_LINK449"/>
      <w:r w:rsidRPr="00172454">
        <w:rPr>
          <w:rFonts w:asciiTheme="minorEastAsia" w:eastAsiaTheme="minorEastAsia" w:hAnsiTheme="minorEastAsia" w:hint="eastAsia"/>
          <w:color w:val="000000" w:themeColor="text1"/>
          <w:szCs w:val="21"/>
        </w:rPr>
        <w:t>8、</w:t>
      </w:r>
      <w:r w:rsidRPr="00172454" w:rsidR="00D13DC9">
        <w:rPr>
          <w:rFonts w:asciiTheme="minorEastAsia" w:eastAsiaTheme="minorEastAsia" w:hAnsiTheme="minorEastAsia" w:hint="eastAsia"/>
          <w:color w:val="000000" w:themeColor="text1"/>
          <w:szCs w:val="21"/>
        </w:rPr>
        <w:t>基金份额</w:t>
      </w:r>
      <w:r w:rsidRPr="00172454">
        <w:rPr>
          <w:rFonts w:asciiTheme="minorEastAsia" w:eastAsiaTheme="minorEastAsia" w:hAnsiTheme="minorEastAsia" w:hint="eastAsia"/>
          <w:color w:val="000000" w:themeColor="text1"/>
          <w:szCs w:val="21"/>
        </w:rPr>
        <w:t>申购、赎回清单</w:t>
      </w:r>
      <w:bookmarkStart w:id="459" w:name="_Hlk410207307"/>
      <w:r w:rsidRPr="00172454" w:rsidR="00D13DC9">
        <w:rPr>
          <w:rFonts w:asciiTheme="minorEastAsia" w:eastAsiaTheme="minorEastAsia" w:hAnsiTheme="minorEastAsia" w:hint="eastAsia"/>
          <w:color w:val="000000" w:themeColor="text1"/>
          <w:szCs w:val="21"/>
        </w:rPr>
        <w:t>及申购、赎回价格公告</w:t>
      </w:r>
      <w:bookmarkEnd w:id="459"/>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在开始办理基金</w:t>
      </w:r>
      <w:bookmarkStart w:id="460" w:name="OLE_LINK190"/>
      <w:bookmarkStart w:id="461" w:name="OLE_LINK295"/>
      <w:bookmarkStart w:id="462" w:name="OLE_LINK451"/>
      <w:r w:rsidRPr="00172454" w:rsidR="00EB479F">
        <w:rPr>
          <w:rFonts w:asciiTheme="minorEastAsia" w:eastAsiaTheme="minorEastAsia" w:hAnsiTheme="minorEastAsia" w:hint="eastAsia"/>
          <w:color w:val="000000" w:themeColor="text1"/>
          <w:szCs w:val="21"/>
        </w:rPr>
        <w:t>场内</w:t>
      </w:r>
      <w:bookmarkEnd w:id="460"/>
      <w:bookmarkEnd w:id="461"/>
      <w:bookmarkEnd w:id="462"/>
      <w:r w:rsidRPr="00172454">
        <w:rPr>
          <w:rFonts w:asciiTheme="minorEastAsia" w:eastAsiaTheme="minorEastAsia" w:hAnsiTheme="minorEastAsia" w:hint="eastAsia"/>
          <w:color w:val="000000" w:themeColor="text1"/>
          <w:szCs w:val="21"/>
        </w:rPr>
        <w:t>份额申购或者赎回之后，基金管理人应当在每个开放日，通过网站、基金份额发售网点以及其他媒介公告当日的申购、赎回清单。</w:t>
      </w:r>
    </w:p>
    <w:p w:rsidR="00D13DC9"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463" w:name="_Hlk402275635"/>
      <w:r w:rsidRPr="00172454">
        <w:rPr>
          <w:rFonts w:asciiTheme="minorEastAsia" w:eastAsiaTheme="minorEastAsia" w:hAnsiTheme="minorEastAsia"/>
          <w:color w:val="000000" w:themeColor="text1"/>
          <w:szCs w:val="21"/>
        </w:rPr>
        <w:t>基金管理人应当在《基金合同》、招募说明书等信息披露文件上载明</w:t>
      </w:r>
      <w:r w:rsidRPr="00172454">
        <w:rPr>
          <w:rFonts w:asciiTheme="minorEastAsia" w:eastAsiaTheme="minorEastAsia" w:hAnsiTheme="minorEastAsia" w:hint="eastAsia"/>
          <w:color w:val="000000" w:themeColor="text1"/>
          <w:szCs w:val="21"/>
        </w:rPr>
        <w:t>场外</w:t>
      </w:r>
      <w:r w:rsidRPr="00172454">
        <w:rPr>
          <w:rFonts w:asciiTheme="minorEastAsia" w:eastAsiaTheme="minorEastAsia" w:hAnsiTheme="minorEastAsia"/>
          <w:color w:val="000000" w:themeColor="text1"/>
          <w:szCs w:val="21"/>
        </w:rPr>
        <w:t>基金份额申购、赎回价格的计算方式及有关申购、赎回费率，并保证投资者能够在基金</w:t>
      </w:r>
      <w:r w:rsidRPr="00172454" w:rsidR="00941E7A">
        <w:rPr>
          <w:rFonts w:asciiTheme="minorEastAsia" w:eastAsiaTheme="minorEastAsia" w:hAnsiTheme="minorEastAsia" w:hint="eastAsia"/>
          <w:color w:val="000000" w:themeColor="text1"/>
          <w:szCs w:val="21"/>
        </w:rPr>
        <w:t>销售机构网站或营业网点</w:t>
      </w:r>
      <w:r w:rsidRPr="00172454">
        <w:rPr>
          <w:rFonts w:asciiTheme="minorEastAsia" w:eastAsiaTheme="minorEastAsia" w:hAnsiTheme="minorEastAsia"/>
          <w:color w:val="000000" w:themeColor="text1"/>
          <w:szCs w:val="21"/>
        </w:rPr>
        <w:t>查阅或者复制前述信息资料。</w:t>
      </w:r>
      <w:bookmarkEnd w:id="463"/>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464" w:name="OLE_LINK453"/>
      <w:bookmarkStart w:id="465" w:name="OLE_LINK454"/>
      <w:bookmarkStart w:id="466" w:name="OLE_LINK455"/>
      <w:bookmarkEnd w:id="457"/>
      <w:bookmarkEnd w:id="458"/>
      <w:r w:rsidRPr="00172454">
        <w:rPr>
          <w:rFonts w:asciiTheme="minorEastAsia" w:eastAsiaTheme="minorEastAsia" w:hAnsiTheme="minorEastAsia" w:hint="eastAsia"/>
          <w:color w:val="000000" w:themeColor="text1"/>
          <w:szCs w:val="21"/>
        </w:rPr>
        <w:t>9、基金定期报告、包括基金年度报告、基金</w:t>
      </w:r>
      <w:r w:rsidRPr="00172454" w:rsidR="00941E7A">
        <w:rPr>
          <w:rFonts w:asciiTheme="minorEastAsia" w:eastAsiaTheme="minorEastAsia" w:hAnsiTheme="minorEastAsia" w:hint="eastAsia"/>
          <w:color w:val="000000" w:themeColor="text1"/>
          <w:szCs w:val="21"/>
        </w:rPr>
        <w:t>中期</w:t>
      </w:r>
      <w:r w:rsidRPr="00172454">
        <w:rPr>
          <w:rFonts w:asciiTheme="minorEastAsia" w:eastAsiaTheme="minorEastAsia" w:hAnsiTheme="minorEastAsia" w:hint="eastAsia"/>
          <w:color w:val="000000" w:themeColor="text1"/>
          <w:szCs w:val="21"/>
        </w:rPr>
        <w:t>报告和基金季度报告</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基金管理人应当在上半年结束之日起两个月内，编制完成基金中期报告，将中期报告登载在指定网站上，并将中期报告提示性公告登载在指定报刊上。</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基金管理人应当在季度结束之日起15个工作日内，编制完成基金季度报告，将季度报告登载在指定网站上，并将季度报告提示性公告登载在指定报刊上。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《基金合同》生效不足2个月的，基金管理人可以不编制当期季度报告、中期报告或者年度报告。</w:t>
      </w:r>
    </w:p>
    <w:p w:rsidR="00331177" w:rsidRPr="00172454" w:rsidP="00331177">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报告期内出现单一投资者持有基金份额比例达到或超过20%的情形，基金管理人应当在季度报告、</w:t>
      </w:r>
      <w:r w:rsidRPr="00172454" w:rsidR="00110E12">
        <w:rPr>
          <w:rFonts w:asciiTheme="minorEastAsia" w:eastAsiaTheme="minorEastAsia" w:hAnsiTheme="minorEastAsia" w:hint="eastAsia"/>
          <w:color w:val="000000" w:themeColor="text1"/>
          <w:szCs w:val="21"/>
        </w:rPr>
        <w:t>中期</w:t>
      </w:r>
      <w:r w:rsidRPr="00172454">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331177" w:rsidRPr="00172454" w:rsidP="00331177">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基金持续运作过程中，基金管理人应当在基金年度报告和</w:t>
      </w:r>
      <w:r w:rsidRPr="00172454" w:rsidR="00110E12">
        <w:rPr>
          <w:rFonts w:asciiTheme="minorEastAsia" w:eastAsiaTheme="minorEastAsia" w:hAnsiTheme="minorEastAsia" w:hint="eastAsia"/>
          <w:color w:val="000000" w:themeColor="text1"/>
          <w:szCs w:val="21"/>
        </w:rPr>
        <w:t>中期</w:t>
      </w:r>
      <w:r w:rsidRPr="00172454">
        <w:rPr>
          <w:rFonts w:asciiTheme="minorEastAsia" w:eastAsiaTheme="minorEastAsia" w:hAnsiTheme="minorEastAsia" w:hint="eastAsia"/>
          <w:color w:val="000000" w:themeColor="text1"/>
          <w:szCs w:val="21"/>
        </w:rPr>
        <w:t>报告中披露基金组合资产情况及其流动性风险分析等。</w:t>
      </w:r>
    </w:p>
    <w:bookmarkEnd w:id="464"/>
    <w:bookmarkEnd w:id="465"/>
    <w:bookmarkEnd w:id="466"/>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10、临时报告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本基金发生重大事件，有关信息披露义务人应当在2日内编制临时报告书，予以公告，</w:t>
      </w:r>
      <w:r w:rsidRPr="00172454" w:rsidR="00941E7A">
        <w:rPr>
          <w:rFonts w:asciiTheme="minorEastAsia" w:eastAsiaTheme="minorEastAsia" w:hAnsiTheme="minorEastAsia" w:hint="eastAsia"/>
          <w:color w:val="000000" w:themeColor="text1"/>
          <w:szCs w:val="21"/>
        </w:rPr>
        <w:t>并登载在指定报刊和指定网站上</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（1）基金份额持有人大会的召开及决定的事项；</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（2）基金终止上市交易、基金合同终止、基金清算；</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（3）转换基金运作方式、基金合并；</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（4）更换基金管理人、基金托管人、基金份额登记机构，基金改聘会计师事务所；</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（6）基金管理人、基金托管人的法定名称、住所发生变更；</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（8）基金募集期延长或提前结束募集；</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（10）基金管理人的董事在最近12个月内变更超过百分之五十，基金管理人、基金托管人专门基金托管部门的主要业务人员在最近12个月内变动超过百分之三十；</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（11）涉及基金管理业务、基金财产、基金托管业务的诉讼或者仲裁；</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（14）基金收益分配事项；</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（15）管理费、托管费、申购费、赎回费等费用计提标准、计提方式和费率发生变更；</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（16）基金份额净值计价错误达基金份额净值百分之零点五；</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（17）本基金开始办理申购、赎回；</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（18）本基金暂停接受申购、赎回申请或重新接受申购、赎回申请；</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（19）本基金变更标的指数；</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（20）基金份额停牌、复牌、暂停上市、恢复上市或终止上市交易；</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（21）调整最小申购赎回单位、申购赎回方式及申购对价、赎回对价组成；</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（22）调整基金份额类别的设置；</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（23）基金推出新业务或服务；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（24）基金信息披露义务人认为可能对基金份额持有人权益或者基金份额的价格产生重大影响的其他事项或中国证监会规定的其他事项。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11、澄清公告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12、清算报告</w:t>
      </w:r>
    </w:p>
    <w:p w:rsidR="00941E7A" w:rsidRPr="00172454" w:rsidP="00941E7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13、基金份额持有人大会决议</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基金份额持有人大会决定的事项，应当依法报中国证监会备案，并予以公告。召开基金份额持有人大会的，召集人应当至少提前4</w:t>
      </w:r>
      <w:r w:rsidRPr="00172454">
        <w:rPr>
          <w:rFonts w:asciiTheme="minorEastAsia" w:eastAsiaTheme="minorEastAsia" w:hAnsiTheme="minorEastAsia"/>
          <w:color w:val="000000" w:themeColor="text1"/>
          <w:szCs w:val="21"/>
        </w:rPr>
        <w:t>0</w:t>
      </w:r>
      <w:r w:rsidRPr="00172454">
        <w:rPr>
          <w:rFonts w:asciiTheme="minorEastAsia" w:eastAsiaTheme="minorEastAsia" w:hAnsiTheme="minorEastAsia" w:hint="eastAsia"/>
          <w:color w:val="000000" w:themeColor="text1"/>
          <w:szCs w:val="21"/>
        </w:rPr>
        <w:t>日公告基金份额持有人大会的召开时间、会议形式、审议事项、议事程序和表决方式等事项。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基金份额持有人依法自行召集基金份额持有人大会，基金管理人、基金托管人对基金份额持有人大会决定的事项不依法履行信息披露义务的，召集人应当履行相关信息披露义务。</w:t>
      </w:r>
    </w:p>
    <w:p w:rsidR="00B810E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sidR="00941E7A">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w:t>
      </w:r>
      <w:r w:rsidRPr="00172454" w:rsidR="005D5BC7">
        <w:rPr>
          <w:rFonts w:asciiTheme="minorEastAsia" w:eastAsiaTheme="minorEastAsia" w:hAnsiTheme="minorEastAsia" w:hint="eastAsia"/>
          <w:color w:val="000000" w:themeColor="text1"/>
          <w:szCs w:val="21"/>
        </w:rPr>
        <w:t>中国证监会规定的其他信息</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若本基金参与融资及转融通证券出借业务，基金管理人将按相关法律法规要求进行披露。</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（六）信息披露事务管理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基金管理人、基金托管人应当建立健全信息披露管理制度，指定</w:t>
      </w:r>
      <w:r w:rsidRPr="00172454" w:rsidR="00941E7A">
        <w:rPr>
          <w:rFonts w:asciiTheme="minorEastAsia" w:eastAsiaTheme="minorEastAsia" w:hAnsiTheme="minorEastAsia" w:hint="eastAsia"/>
          <w:color w:val="000000" w:themeColor="text1"/>
          <w:szCs w:val="21"/>
        </w:rPr>
        <w:t>专门部门及高级管理人员</w:t>
      </w:r>
      <w:r w:rsidRPr="00172454">
        <w:rPr>
          <w:rFonts w:asciiTheme="minorEastAsia" w:eastAsiaTheme="minorEastAsia" w:hAnsiTheme="minorEastAsia" w:hint="eastAsia"/>
          <w:color w:val="000000" w:themeColor="text1"/>
          <w:szCs w:val="21"/>
        </w:rPr>
        <w:t>负责管理信息披露事务。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w:t>
      </w:r>
      <w:r w:rsidRPr="00172454" w:rsidR="00941E7A">
        <w:rPr>
          <w:rFonts w:asciiTheme="minorEastAsia" w:eastAsiaTheme="minorEastAsia" w:hAnsiTheme="minorEastAsia" w:hint="eastAsia"/>
          <w:color w:val="000000" w:themeColor="text1"/>
          <w:szCs w:val="21"/>
        </w:rPr>
        <w:t>等法规</w:t>
      </w:r>
      <w:r w:rsidRPr="00172454">
        <w:rPr>
          <w:rFonts w:asciiTheme="minorEastAsia" w:eastAsiaTheme="minorEastAsia" w:hAnsiTheme="minorEastAsia" w:hint="eastAsia"/>
          <w:color w:val="000000" w:themeColor="text1"/>
          <w:szCs w:val="21"/>
        </w:rPr>
        <w:t>的规定。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w:t>
      </w:r>
      <w:r w:rsidRPr="00172454" w:rsidR="00941E7A">
        <w:rPr>
          <w:rFonts w:asciiTheme="minorEastAsia" w:eastAsiaTheme="minorEastAsia" w:hAnsiTheme="minorEastAsia" w:hint="eastAsia"/>
          <w:color w:val="000000" w:themeColor="text1"/>
          <w:szCs w:val="21"/>
        </w:rPr>
        <w:t>、更新的招募说明书、基金产品资料概要、基金清算报告</w:t>
      </w:r>
      <w:r w:rsidRPr="00172454">
        <w:rPr>
          <w:rFonts w:asciiTheme="minorEastAsia" w:eastAsiaTheme="minorEastAsia" w:hAnsiTheme="minorEastAsia" w:hint="eastAsia"/>
          <w:color w:val="000000" w:themeColor="text1"/>
          <w:szCs w:val="21"/>
        </w:rPr>
        <w:t>等公开披露的相关基金信息进行复核、审查，</w:t>
      </w:r>
      <w:r w:rsidRPr="00172454" w:rsidR="00941E7A">
        <w:rPr>
          <w:rFonts w:asciiTheme="minorEastAsia" w:eastAsiaTheme="minorEastAsia" w:hAnsiTheme="minorEastAsia" w:hint="eastAsia"/>
          <w:color w:val="000000" w:themeColor="text1"/>
          <w:szCs w:val="21"/>
        </w:rPr>
        <w:t>并向基金管理人进行书面或者电子确认</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基金管理人、基金托管人除依法在</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和基金管理人网站上披露信息外，还可以根据需要在其他公共媒体披露信息，但是其他公共媒体不得早于</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和基金管理人网站披露信息，并且在不同媒介上披露同一信息的内容应当一致。</w:t>
      </w:r>
    </w:p>
    <w:p w:rsidR="00941E7A"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（七）信息披露文件的存放与查阅</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依法必须披露的信息发布后，基金管理人、基金托管人应当按照相关法律法规规定将信息置备于公司办公场所、基金上市交易的证券交易所，供社会公众查阅、复制。</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467" w:name="_Toc91767040"/>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九</w:t>
      </w:r>
      <w:r w:rsidRPr="00172454">
        <w:rPr>
          <w:rFonts w:asciiTheme="minorEastAsia" w:eastAsiaTheme="minorEastAsia" w:hAnsiTheme="minorEastAsia" w:hint="eastAsia"/>
          <w:bCs/>
          <w:color w:val="000000" w:themeColor="text1"/>
        </w:rPr>
        <w:t>、风险揭示</w:t>
      </w:r>
      <w:bookmarkEnd w:id="467"/>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68" w:name="_Toc91767041"/>
      <w:bookmarkStart w:id="469" w:name="_Toc253577360"/>
      <w:bookmarkStart w:id="470" w:name="_Toc253682713"/>
      <w:r w:rsidRPr="00172454">
        <w:rPr>
          <w:rFonts w:asciiTheme="minorEastAsia" w:eastAsiaTheme="minorEastAsia" w:hAnsiTheme="minorEastAsia" w:hint="eastAsia"/>
          <w:b w:val="0"/>
          <w:color w:val="000000" w:themeColor="text1"/>
        </w:rPr>
        <w:t>（一）标的指数回报与股票市场平均回报偏离的风险</w:t>
      </w:r>
      <w:bookmarkEnd w:id="468"/>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471" w:name="OLE_LINK457"/>
      <w:r w:rsidRPr="00172454">
        <w:rPr>
          <w:rFonts w:asciiTheme="minorEastAsia" w:eastAsiaTheme="minorEastAsia" w:hAnsiTheme="minorEastAsia" w:hint="eastAsia"/>
          <w:color w:val="000000" w:themeColor="text1"/>
          <w:szCs w:val="21"/>
        </w:rPr>
        <w:t>标的指数并不能代表整个股票市场</w:t>
      </w:r>
      <w:bookmarkEnd w:id="471"/>
      <w:r w:rsidRPr="00172454">
        <w:rPr>
          <w:rFonts w:asciiTheme="minorEastAsia" w:eastAsiaTheme="minorEastAsia" w:hAnsiTheme="minorEastAsia" w:hint="eastAsia"/>
          <w:color w:val="000000" w:themeColor="text1"/>
          <w:szCs w:val="21"/>
        </w:rPr>
        <w:t>。标的指数成份股的平均回报率与整个股票市场的平均回报率可能存在偏离。</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2" w:name="_Toc91767042"/>
      <w:r w:rsidRPr="00172454">
        <w:rPr>
          <w:rFonts w:asciiTheme="minorEastAsia" w:eastAsiaTheme="minorEastAsia" w:hAnsiTheme="minorEastAsia" w:hint="eastAsia"/>
          <w:b w:val="0"/>
          <w:color w:val="000000" w:themeColor="text1"/>
        </w:rPr>
        <w:t>（二）标的指数波动的风险</w:t>
      </w:r>
      <w:bookmarkEnd w:id="472"/>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标的指数成份股的价格可能受到政治因素、经济因素、上市公司经营状况、投资者心理和交易制度等各种因素的影响而波动,导致指数波动,从而使基金收益水平发生变化，产生风险。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3" w:name="_Toc91767043"/>
      <w:r w:rsidRPr="00172454">
        <w:rPr>
          <w:rFonts w:asciiTheme="minorEastAsia" w:eastAsiaTheme="minorEastAsia" w:hAnsiTheme="minorEastAsia" w:hint="eastAsia"/>
          <w:b w:val="0"/>
          <w:color w:val="000000" w:themeColor="text1"/>
        </w:rPr>
        <w:t>（三）基金投资组合回报与标的指数回报偏离的风险</w:t>
      </w:r>
      <w:bookmarkEnd w:id="473"/>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以下因素可能使基金投资组合的收益率与标的指数的收益率发生偏离：</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1、由于标的指数调整成份股或变更编制方法,使ETF基金在相应的组合调整中产生跟踪偏离度与跟踪误差；</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2、由于标的指数成份股发生配股、增发等行为导致成份股在标的指数中的权重发生变化,使ETF基金在相应的组合调整中产生跟踪偏离度和跟踪误差；</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3、由于</w:t>
      </w:r>
      <w:r w:rsidRPr="00172454" w:rsidR="002273D1">
        <w:rPr>
          <w:rFonts w:asciiTheme="minorEastAsia" w:eastAsiaTheme="minorEastAsia" w:hAnsiTheme="minorEastAsia" w:hint="eastAsia"/>
          <w:color w:val="000000" w:themeColor="text1"/>
          <w:szCs w:val="21"/>
        </w:rPr>
        <w:t>成份股摘牌</w:t>
      </w:r>
      <w:r w:rsidRPr="00172454">
        <w:rPr>
          <w:rFonts w:asciiTheme="minorEastAsia" w:eastAsiaTheme="minorEastAsia" w:hAnsiTheme="minorEastAsia" w:hint="eastAsia"/>
          <w:color w:val="000000" w:themeColor="text1"/>
          <w:szCs w:val="21"/>
        </w:rPr>
        <w:t>或流动性差等原因使ETF基金无法及时调整投资组合或承担冲击成本而产生跟踪偏离度和跟踪误差；</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bookmarkStart w:id="474" w:name="OLE_LINK460"/>
      <w:bookmarkStart w:id="475" w:name="OLE_LINK461"/>
      <w:bookmarkStart w:id="476" w:name="OLE_LINK462"/>
      <w:r w:rsidRPr="00172454">
        <w:rPr>
          <w:rFonts w:asciiTheme="minorEastAsia" w:eastAsiaTheme="minorEastAsia" w:hAnsiTheme="minorEastAsia" w:hint="eastAsia"/>
          <w:color w:val="000000" w:themeColor="text1"/>
          <w:szCs w:val="21"/>
        </w:rPr>
        <w:t>成份股派发现金红利</w:t>
      </w:r>
      <w:bookmarkEnd w:id="474"/>
      <w:bookmarkEnd w:id="475"/>
      <w:bookmarkEnd w:id="476"/>
      <w:r w:rsidRPr="00172454">
        <w:rPr>
          <w:rFonts w:asciiTheme="minorEastAsia" w:eastAsiaTheme="minorEastAsia" w:hAnsiTheme="minorEastAsia" w:hint="eastAsia"/>
          <w:color w:val="000000" w:themeColor="text1"/>
          <w:szCs w:val="21"/>
        </w:rPr>
        <w:t>、送配等所获收益可能导致基金收益率偏离标的指数收益率，从而产生跟踪偏离度；</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5、由于基金投资过程中的证券交易成本,以及基金管理费和托管费的存在,使基金投资组合与标的指数产生跟踪偏离度与跟踪误差；</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6、在ETF基金指数化投资过程中,基金管理人的管理能力,例如跟踪指数的水平、技术手段、买入卖出的时机选择等,都会对ETF基金的收益产生影响,从而影响ETF基金对标的指数的跟踪程度；</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7、如果指数编制机构发布的指数数据出现错误，基金投资组合的收益率与标的指数的收益率也可能发生偏离；</w:t>
      </w:r>
    </w:p>
    <w:p w:rsidR="008D3713" w:rsidRPr="00172454" w:rsidP="00150642">
      <w:pPr>
        <w:snapToGrid w:val="0"/>
        <w:spacing w:line="360" w:lineRule="auto"/>
        <w:ind w:firstLine="420" w:firstLineChars="200"/>
        <w:rPr>
          <w:rFonts w:asciiTheme="minorEastAsia" w:eastAsiaTheme="minorEastAsia" w:hAnsiTheme="minorEastAsia" w:cs="宋体"/>
          <w:color w:val="000000" w:themeColor="text1"/>
          <w:spacing w:val="-2"/>
          <w:szCs w:val="21"/>
        </w:rPr>
      </w:pPr>
      <w:r w:rsidRPr="00172454">
        <w:rPr>
          <w:rFonts w:asciiTheme="minorEastAsia" w:eastAsiaTheme="minorEastAsia" w:hAnsiTheme="minorEastAsia" w:cs="宋体" w:hint="eastAsia"/>
          <w:color w:val="000000" w:themeColor="text1"/>
          <w:spacing w:val="-2"/>
          <w:szCs w:val="21"/>
        </w:rPr>
        <w:t>8、对于场外份额的申购与赎回，基金管理人公布的申购费率、赎回费率与基金资产因投资人申购、赎回而受到的实际冲击可能存在差异，两者之间的差异由基金资产承担。因此，如果基金管理人对申购费率、赎回费率的估计结果同实际冲击程度差异较大，本基金也可能产生跟踪偏离风险。</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其他因素产生的偏离。如因受到最低买入股数的限制,基金投资组合中个别股票的持有比例与标的指数中该股票的权重可能不完全相同；缺乏卖空、对冲机制及其他工具造成的指数跟踪成本较大；基金申购与赎回带来的现金变动。</w:t>
      </w:r>
    </w:p>
    <w:p w:rsidR="009A5C4D" w:rsidRPr="00172454" w:rsidP="009A5C4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7" w:name="_Toc91767044"/>
      <w:r w:rsidRPr="00172454">
        <w:rPr>
          <w:rFonts w:asciiTheme="minorEastAsia" w:eastAsiaTheme="minorEastAsia" w:hAnsiTheme="minorEastAsia" w:hint="eastAsia"/>
          <w:b w:val="0"/>
          <w:color w:val="000000" w:themeColor="text1"/>
        </w:rPr>
        <w:t>（四）跟踪误差控制未达约定目标的风险</w:t>
      </w:r>
      <w:bookmarkEnd w:id="477"/>
    </w:p>
    <w:p w:rsidR="009A5C4D" w:rsidRPr="00172454" w:rsidP="009A5C4D">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本基金力争将年化跟踪误差控制在2%以内，但因标的指数编制规则调整或其他因素可能导致跟踪误差超过上述范围，本基金净值表现与指数价格走势可能发生较大偏离。</w:t>
      </w:r>
    </w:p>
    <w:p w:rsidR="009A5C4D" w:rsidRPr="00172454" w:rsidP="009A5C4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8" w:name="_Toc91767045"/>
      <w:r w:rsidRPr="00172454">
        <w:rPr>
          <w:rFonts w:asciiTheme="minorEastAsia" w:eastAsiaTheme="minorEastAsia" w:hAnsiTheme="minorEastAsia" w:hint="eastAsia"/>
          <w:b w:val="0"/>
          <w:color w:val="000000" w:themeColor="text1"/>
        </w:rPr>
        <w:t>（五）指数编制机构停止服务的风险</w:t>
      </w:r>
      <w:bookmarkEnd w:id="478"/>
    </w:p>
    <w:p w:rsidR="009A5C4D" w:rsidRPr="00172454" w:rsidP="009A5C4D">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7F06A4" w:rsidRPr="00172454" w:rsidP="009A5C4D">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9" w:name="_Toc91767046"/>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六</w:t>
      </w:r>
      <w:r w:rsidRPr="00172454">
        <w:rPr>
          <w:rFonts w:asciiTheme="minorEastAsia" w:eastAsiaTheme="minorEastAsia" w:hAnsiTheme="minorEastAsia" w:hint="eastAsia"/>
          <w:b w:val="0"/>
          <w:color w:val="000000" w:themeColor="text1"/>
        </w:rPr>
        <w:t>）标的指数变更的风险</w:t>
      </w:r>
      <w:bookmarkEnd w:id="479"/>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尽管可能性很小,但根据基金合同规定,如发生导致标的指数变更的情形，本基金管理人可以依据维护投资者合法权益的原则，履行必要手续后，调整业绩比较基准并及时公告。若标的指数发生变更，本基金的投资组合将相应进行调整。届时本基金的风险收益特征可能发生变化，且投资组合调整可能产生交易成本和机会成本。投资者须承担因标的指数变更而产生的风险与成本。</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0" w:name="_Toc91767047"/>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七</w:t>
      </w:r>
      <w:r w:rsidRPr="00172454">
        <w:rPr>
          <w:rFonts w:asciiTheme="minorEastAsia" w:eastAsiaTheme="minorEastAsia" w:hAnsiTheme="minorEastAsia" w:hint="eastAsia"/>
          <w:b w:val="0"/>
          <w:color w:val="000000" w:themeColor="text1"/>
        </w:rPr>
        <w:t>）基金份额二级市场交易价格折溢价的风险</w:t>
      </w:r>
      <w:bookmarkEnd w:id="480"/>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1" w:name="_Toc91767048"/>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八</w:t>
      </w:r>
      <w:r w:rsidRPr="00172454">
        <w:rPr>
          <w:rFonts w:asciiTheme="minorEastAsia" w:eastAsiaTheme="minorEastAsia" w:hAnsiTheme="minorEastAsia" w:hint="eastAsia"/>
          <w:b w:val="0"/>
          <w:color w:val="000000" w:themeColor="text1"/>
        </w:rPr>
        <w:t>）退市风险</w:t>
      </w:r>
      <w:bookmarkEnd w:id="481"/>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因本基金不再符合证券交易所上市条件被终止上市,或被基金份额持有人大会决议提前终止上市,导致基金份额不能继续进行二级市场交易的风险。</w:t>
      </w:r>
    </w:p>
    <w:p w:rsidR="009A5C4D" w:rsidRPr="00172454" w:rsidP="009A3FEE">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482" w:name="_Toc91767049"/>
      <w:r w:rsidRPr="00172454">
        <w:rPr>
          <w:rFonts w:asciiTheme="minorEastAsia" w:eastAsiaTheme="minorEastAsia" w:hAnsiTheme="minorEastAsia" w:hint="eastAsia"/>
          <w:b w:val="0"/>
          <w:color w:val="000000" w:themeColor="text1"/>
        </w:rPr>
        <w:t>（九）成份股停牌的风险</w:t>
      </w:r>
      <w:bookmarkEnd w:id="482"/>
    </w:p>
    <w:p w:rsidR="009A5C4D" w:rsidRPr="00172454" w:rsidP="009A3FE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标的指数成份股可能因各种原因临时或长期停牌，发生成份股停牌时可能面临如下风险：</w:t>
      </w:r>
    </w:p>
    <w:p w:rsidR="009A5C4D" w:rsidRPr="00172454" w:rsidP="009A3FE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（1）基金可能因无法及时调整投资组合而导致跟踪偏离度和跟踪误差扩大。</w:t>
      </w:r>
    </w:p>
    <w:p w:rsidR="009A5C4D" w:rsidRPr="00172454" w:rsidP="009A3FE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（2）停牌成份股可能因其权重占比、市场复牌预期、现金替代标识等因素影响本基金二级市场价格的折溢价水平。</w:t>
      </w:r>
    </w:p>
    <w:p w:rsidR="009A5C4D" w:rsidRPr="00172454" w:rsidP="009A3FEE">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若成份股停牌时间较长，在约定时间内仍未能及时买入或卖出的，则该部分款项将按照约定方式进行结算（具体见招募说明书“基金份额的申购、赎回”之“申购、赎回清单的内容与格式”相关约定），由此可能影响投资者的投资损益并使基金产生跟踪偏离度和跟踪误差。</w:t>
      </w:r>
    </w:p>
    <w:p w:rsidR="009A5C4D" w:rsidRPr="00172454" w:rsidP="009A5C4D">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在极端情况下，标的指数成份股可能大面积停牌，基金可能无法及时卖出成份股以获取足额的符合要求的赎回对价，由此基金管理人可能在申购赎回清单中设置较低的赎回份额上限或者采取暂停赎回的措施，投资者将面临无法赎回全部或部分ETF份额的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3" w:name="_Toc91767050"/>
      <w:r w:rsidRPr="00172454">
        <w:rPr>
          <w:rFonts w:asciiTheme="minorEastAsia" w:eastAsiaTheme="minorEastAsia" w:hAnsiTheme="minorEastAsia" w:hint="eastAsia"/>
          <w:b w:val="0"/>
          <w:color w:val="000000" w:themeColor="text1"/>
        </w:rPr>
        <w:t>（</w:t>
      </w:r>
      <w:r w:rsidRPr="00172454" w:rsidR="007C6A3E">
        <w:rPr>
          <w:rFonts w:asciiTheme="minorEastAsia" w:eastAsiaTheme="minorEastAsia" w:hAnsiTheme="minorEastAsia" w:hint="eastAsia"/>
          <w:b w:val="0"/>
          <w:color w:val="000000" w:themeColor="text1"/>
        </w:rPr>
        <w:t>十</w:t>
      </w:r>
      <w:r w:rsidRPr="00172454">
        <w:rPr>
          <w:rFonts w:asciiTheme="minorEastAsia" w:eastAsiaTheme="minorEastAsia" w:hAnsiTheme="minorEastAsia" w:hint="eastAsia"/>
          <w:b w:val="0"/>
          <w:color w:val="000000" w:themeColor="text1"/>
        </w:rPr>
        <w:t>）投资者申购失败的风险</w:t>
      </w:r>
      <w:bookmarkEnd w:id="483"/>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本基金的申购赎回清单中,可能仅允许对部分成份股使用现金替代。因此,投资者在进行申购时,可能存在因个别成份股涨停、临时停牌等原因而无法买入申购所需的足够的成份股,导致申购失败的风险。</w:t>
      </w:r>
    </w:p>
    <w:p w:rsidR="00C35876" w:rsidRPr="00172454" w:rsidP="00634CA1">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4" w:name="_Toc91767051"/>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一</w:t>
      </w:r>
      <w:r w:rsidRPr="00172454">
        <w:rPr>
          <w:rFonts w:asciiTheme="minorEastAsia" w:eastAsiaTheme="minorEastAsia" w:hAnsiTheme="minorEastAsia" w:hint="eastAsia"/>
          <w:b w:val="0"/>
          <w:color w:val="000000" w:themeColor="text1"/>
        </w:rPr>
        <w:t>）投资者赎回失败的风险</w:t>
      </w:r>
      <w:bookmarkEnd w:id="484"/>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投资者提交赎回申请时，如本基金投资组合内不具备足额的符合要求的赎回对价，可能导致出现赎回失败的情形。另外，基金管理人可能根据成份股市值规模变化等因素调整最小申购赎回单位,由此可能导致投资者按原最小申购赎回单位申购并持有的基金份额无法按照新的最小申购赎回单位全部赎回,而只能在二级市场卖出全部或部分基金份额。</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5" w:name="_Toc91767052"/>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二</w:t>
      </w:r>
      <w:r w:rsidRPr="00172454">
        <w:rPr>
          <w:rFonts w:asciiTheme="minorEastAsia" w:eastAsiaTheme="minorEastAsia" w:hAnsiTheme="minorEastAsia" w:hint="eastAsia"/>
          <w:b w:val="0"/>
          <w:color w:val="000000" w:themeColor="text1"/>
        </w:rPr>
        <w:t>）基金份额赎回对价的变现风险</w:t>
      </w:r>
      <w:bookmarkEnd w:id="485"/>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本基金赎回对价主要为组合证券,在组合证券变现过程中,由于市场变化、部分成份股流动性差等因素,导致投资者变现后的价值与赎回时赎回对价的价值有差异,存在变现风险。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6" w:name="_Toc91767053"/>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三</w:t>
      </w:r>
      <w:r w:rsidRPr="00172454">
        <w:rPr>
          <w:rFonts w:asciiTheme="minorEastAsia" w:eastAsiaTheme="minorEastAsia" w:hAnsiTheme="minorEastAsia" w:hint="eastAsia"/>
          <w:b w:val="0"/>
          <w:color w:val="000000" w:themeColor="text1"/>
        </w:rPr>
        <w:t>）参考IOPV决策和IOPV计算错误的风险</w:t>
      </w:r>
      <w:bookmarkEnd w:id="486"/>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证券交易所在开市后根据基金管理人提供的计算依据及计算方法，实时计算并发布参考基金份额净值(IOPV)，供投资者交易、申购、赎回基金份额时参考。IOPV与实时的基金份额净值可能存在差异，IOPV计算可能出现错误，投资者若参考IOPV进行投资决策可能导致损失。</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7" w:name="_Toc91767054"/>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四</w:t>
      </w:r>
      <w:r w:rsidRPr="00172454">
        <w:rPr>
          <w:rFonts w:asciiTheme="minorEastAsia" w:eastAsiaTheme="minorEastAsia" w:hAnsiTheme="minorEastAsia" w:hint="eastAsia"/>
          <w:b w:val="0"/>
          <w:color w:val="000000" w:themeColor="text1"/>
        </w:rPr>
        <w:t>）第三方机构服务的风险</w:t>
      </w:r>
      <w:bookmarkEnd w:id="487"/>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本基金的多项服务委托第三方机构办理,存在以下风险：</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1、受多种因素影响, 申购赎回代理券商代理申购、赎回业务可能受到限制、暂停或终止,从而影响投资者申购、赎回。</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2、登记结算机构可能调整结算制度,如实施货银对付制度,对投资者基金份额、组合证券及资金的结算方式发生变化,制度调整可能给投资者带来理解偏差的风险。</w:t>
      </w:r>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3、证券交易所、登记结算机构、基金托管人及其他代理机构可能违约,导致基金或投资者利益受损。</w:t>
      </w:r>
    </w:p>
    <w:p w:rsidR="008D3713"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8" w:name="_Toc91767055"/>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五</w:t>
      </w:r>
      <w:r w:rsidRPr="00172454">
        <w:rPr>
          <w:rFonts w:asciiTheme="minorEastAsia" w:eastAsiaTheme="minorEastAsia" w:hAnsiTheme="minorEastAsia" w:hint="eastAsia"/>
          <w:b w:val="0"/>
          <w:color w:val="000000" w:themeColor="text1"/>
        </w:rPr>
        <w:t>）场内外份额申购赎回对价方式、业务规则等不同的风险</w:t>
      </w:r>
      <w:bookmarkEnd w:id="488"/>
    </w:p>
    <w:p w:rsidR="009E7203" w:rsidRPr="00172454" w:rsidP="00150642">
      <w:pPr>
        <w:snapToGrid w:val="0"/>
        <w:spacing w:line="360" w:lineRule="auto"/>
        <w:ind w:firstLine="420" w:firstLineChars="200"/>
        <w:rPr>
          <w:rFonts w:asciiTheme="minorEastAsia" w:eastAsiaTheme="minorEastAsia" w:hAnsiTheme="minorEastAsia" w:cs="Calibri"/>
          <w:color w:val="000000" w:themeColor="text1"/>
          <w:szCs w:val="21"/>
        </w:rPr>
      </w:pPr>
      <w:r w:rsidRPr="00172454">
        <w:rPr>
          <w:rFonts w:asciiTheme="minorEastAsia" w:eastAsiaTheme="minorEastAsia" w:hAnsiTheme="minorEastAsia" w:cs="Calibri" w:hint="eastAsia"/>
          <w:color w:val="000000" w:themeColor="text1"/>
          <w:szCs w:val="21"/>
        </w:rPr>
        <w:t>1、由于场内与场外申购、赎回方式上的差异，本基金投资者依据基金份额净值所支付、取得的场外申购、赎回现金对价，与场内申购赎回所支付、取得的对价方式不同。</w:t>
      </w:r>
    </w:p>
    <w:p w:rsidR="009E720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2、场外份额申购赎回交易截止时间为开放日的</w:t>
      </w:r>
      <w:r w:rsidRPr="00172454">
        <w:rPr>
          <w:rFonts w:asciiTheme="minorEastAsia" w:eastAsiaTheme="minorEastAsia" w:hAnsiTheme="minorEastAsia"/>
          <w:color w:val="000000" w:themeColor="text1"/>
          <w:szCs w:val="21"/>
        </w:rPr>
        <w:t>14</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00</w:t>
      </w:r>
      <w:r w:rsidRPr="00172454">
        <w:rPr>
          <w:rFonts w:asciiTheme="minorEastAsia" w:eastAsiaTheme="minorEastAsia" w:hAnsiTheme="minorEastAsia" w:hint="eastAsia"/>
          <w:color w:val="000000" w:themeColor="text1"/>
          <w:szCs w:val="21"/>
        </w:rPr>
        <w:t>，并遵循“未知价”、“先进先出”等原则，与场内申购赎回的业务规则不同。</w:t>
      </w:r>
    </w:p>
    <w:p w:rsidR="009E720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s="Calibri" w:hint="eastAsia"/>
          <w:color w:val="000000" w:themeColor="text1"/>
          <w:szCs w:val="21"/>
        </w:rPr>
        <w:t>投资者需自行判断并选择适合自身的申购赎回场所、方式。</w:t>
      </w:r>
    </w:p>
    <w:p w:rsidR="008D3713"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89" w:name="_Toc91767056"/>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六</w:t>
      </w:r>
      <w:r w:rsidRPr="00172454">
        <w:rPr>
          <w:rFonts w:asciiTheme="minorEastAsia" w:eastAsiaTheme="minorEastAsia" w:hAnsiTheme="minorEastAsia" w:hint="eastAsia"/>
          <w:b w:val="0"/>
          <w:color w:val="000000" w:themeColor="text1"/>
        </w:rPr>
        <w:t>）场外申购费率、赎回费率调整的风险</w:t>
      </w:r>
      <w:bookmarkEnd w:id="489"/>
    </w:p>
    <w:p w:rsidR="009E7203" w:rsidRPr="00172454" w:rsidP="00150642">
      <w:pPr>
        <w:snapToGrid w:val="0"/>
        <w:spacing w:line="360" w:lineRule="auto"/>
        <w:ind w:firstLine="420" w:firstLineChars="200"/>
        <w:rPr>
          <w:rFonts w:asciiTheme="minorEastAsia" w:eastAsiaTheme="minorEastAsia" w:hAnsiTheme="minorEastAsia" w:cs="宋体"/>
          <w:color w:val="000000" w:themeColor="text1"/>
          <w:spacing w:val="-2"/>
          <w:szCs w:val="21"/>
        </w:rPr>
      </w:pPr>
      <w:r w:rsidRPr="00172454">
        <w:rPr>
          <w:rFonts w:asciiTheme="minorEastAsia" w:eastAsiaTheme="minorEastAsia" w:hAnsiTheme="minorEastAsia" w:cs="宋体" w:hint="eastAsia"/>
          <w:color w:val="000000" w:themeColor="text1"/>
          <w:szCs w:val="21"/>
        </w:rPr>
        <w:t>场外申购赎回业务的申购费率、赎回费率可能会根据市场交易佣金水平、印</w:t>
      </w:r>
      <w:r w:rsidRPr="00172454">
        <w:rPr>
          <w:rFonts w:asciiTheme="minorEastAsia" w:eastAsiaTheme="minorEastAsia" w:hAnsiTheme="minorEastAsia" w:cs="宋体" w:hint="eastAsia"/>
          <w:color w:val="000000" w:themeColor="text1"/>
          <w:spacing w:val="-2"/>
          <w:szCs w:val="21"/>
        </w:rPr>
        <w:t>花税率等相关交易成本的变动而调整，场外份额投资人申购、赎回的成本可能受到影响。</w:t>
      </w:r>
    </w:p>
    <w:p w:rsidR="008D3713"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0" w:name="_Toc91767057"/>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七</w:t>
      </w:r>
      <w:r w:rsidRPr="00172454">
        <w:rPr>
          <w:rFonts w:asciiTheme="minorEastAsia" w:eastAsiaTheme="minorEastAsia" w:hAnsiTheme="minorEastAsia" w:hint="eastAsia"/>
          <w:b w:val="0"/>
          <w:color w:val="000000" w:themeColor="text1"/>
        </w:rPr>
        <w:t>）场外份额暂不可上市交易的风险</w:t>
      </w:r>
      <w:bookmarkEnd w:id="490"/>
    </w:p>
    <w:p w:rsidR="008D3713" w:rsidRPr="00172454" w:rsidP="00150642">
      <w:pPr>
        <w:snapToGrid w:val="0"/>
        <w:spacing w:line="360" w:lineRule="auto"/>
        <w:ind w:firstLine="420" w:firstLineChars="200"/>
        <w:rPr>
          <w:rFonts w:asciiTheme="minorEastAsia" w:eastAsiaTheme="minorEastAsia" w:hAnsiTheme="minorEastAsia" w:cs="宋体"/>
          <w:color w:val="000000" w:themeColor="text1"/>
          <w:spacing w:val="-2"/>
          <w:szCs w:val="21"/>
        </w:rPr>
      </w:pPr>
      <w:r w:rsidRPr="00172454">
        <w:rPr>
          <w:rFonts w:asciiTheme="minorEastAsia" w:eastAsiaTheme="minorEastAsia" w:hAnsiTheme="minorEastAsia" w:cs="宋体" w:hint="eastAsia"/>
          <w:color w:val="000000" w:themeColor="text1"/>
          <w:spacing w:val="-2"/>
          <w:szCs w:val="21"/>
        </w:rPr>
        <w:t>本基金场外份额采取“金额申购、份额赎回”的方式，申购、赎回业务通过场外销售机构办理，由基金管理人办理基金份额的登记结算业务。目前场外份额、场内份额之间尚未开通跨系统转托管业务，因此场外份额暂不可转托管至场内，也不可上市交易。</w:t>
      </w:r>
    </w:p>
    <w:p w:rsidR="00D551BB" w:rsidRPr="00172454" w:rsidP="00D551BB">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1" w:name="_Toc91767058"/>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八</w:t>
      </w:r>
      <w:r w:rsidRPr="00172454" w:rsidR="0082185E">
        <w:rPr>
          <w:rFonts w:asciiTheme="minorEastAsia" w:eastAsiaTheme="minorEastAsia" w:hAnsiTheme="minorEastAsia" w:hint="eastAsia"/>
          <w:b w:val="0"/>
          <w:color w:val="000000" w:themeColor="text1"/>
        </w:rPr>
        <w:t>）</w:t>
      </w:r>
      <w:r w:rsidRPr="00172454">
        <w:rPr>
          <w:rFonts w:asciiTheme="minorEastAsia" w:eastAsiaTheme="minorEastAsia" w:hAnsiTheme="minorEastAsia" w:hint="eastAsia"/>
          <w:b w:val="0"/>
          <w:color w:val="000000" w:themeColor="text1"/>
        </w:rPr>
        <w:t>投资存托凭证的特有风险</w:t>
      </w:r>
      <w:bookmarkEnd w:id="491"/>
    </w:p>
    <w:p w:rsidR="00D551BB" w:rsidRPr="00172454" w:rsidP="00D551BB">
      <w:pPr>
        <w:snapToGrid w:val="0"/>
        <w:spacing w:line="360" w:lineRule="auto"/>
        <w:ind w:firstLine="420" w:firstLineChars="200"/>
        <w:rPr>
          <w:rFonts w:asciiTheme="minorEastAsia" w:eastAsiaTheme="minorEastAsia" w:hAnsiTheme="minorEastAsia" w:cs="宋体"/>
          <w:color w:val="000000" w:themeColor="text1"/>
          <w:spacing w:val="-2"/>
          <w:szCs w:val="21"/>
        </w:rPr>
      </w:pPr>
      <w:r w:rsidRPr="00172454">
        <w:rPr>
          <w:rFonts w:asciiTheme="minorEastAsia" w:eastAsiaTheme="minorEastAsia" w:hAnsiTheme="minorEastAsia" w:hint="eastAsia"/>
          <w:color w:val="000000" w:themeColor="text1"/>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2" w:name="_Toc91767059"/>
      <w:r w:rsidRPr="00172454">
        <w:rPr>
          <w:rFonts w:asciiTheme="minorEastAsia" w:eastAsiaTheme="minorEastAsia" w:hAnsiTheme="minorEastAsia" w:hint="eastAsia"/>
          <w:b w:val="0"/>
          <w:color w:val="000000" w:themeColor="text1"/>
        </w:rPr>
        <w:t>（十</w:t>
      </w:r>
      <w:r w:rsidRPr="00172454" w:rsidR="00DA62EF">
        <w:rPr>
          <w:rFonts w:asciiTheme="minorEastAsia" w:eastAsiaTheme="minorEastAsia" w:hAnsiTheme="minorEastAsia" w:hint="eastAsia"/>
          <w:b w:val="0"/>
          <w:color w:val="000000" w:themeColor="text1"/>
        </w:rPr>
        <w:t>九</w:t>
      </w:r>
      <w:r w:rsidRPr="00172454">
        <w:rPr>
          <w:rFonts w:asciiTheme="minorEastAsia" w:eastAsiaTheme="minorEastAsia" w:hAnsiTheme="minorEastAsia" w:hint="eastAsia"/>
          <w:b w:val="0"/>
          <w:color w:val="000000" w:themeColor="text1"/>
        </w:rPr>
        <w:t>）管理风险与操作风险</w:t>
      </w:r>
      <w:bookmarkEnd w:id="492"/>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等相关当事人的业务发展状况、人员配备、管理经验等因素可能影响基金收益水平。此外，相关当事人在业务各环节操作过程中，可能因操作失误或违反操作规程等人为因素造成操作风险，例如申购赎回清单编制错误、交易错误等。</w:t>
      </w:r>
    </w:p>
    <w:p w:rsidR="00033173" w:rsidRPr="00172454" w:rsidP="00033173">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3" w:name="_Toc91767060"/>
      <w:r w:rsidRPr="00172454">
        <w:rPr>
          <w:rFonts w:asciiTheme="minorEastAsia" w:eastAsiaTheme="minorEastAsia" w:hAnsiTheme="minorEastAsia" w:hint="eastAsia"/>
          <w:b w:val="0"/>
          <w:color w:val="000000" w:themeColor="text1"/>
        </w:rPr>
        <w:t>（</w:t>
      </w:r>
      <w:r w:rsidRPr="00172454" w:rsidR="00DA62EF">
        <w:rPr>
          <w:rFonts w:asciiTheme="minorEastAsia" w:eastAsiaTheme="minorEastAsia" w:hAnsiTheme="minorEastAsia" w:hint="eastAsia"/>
          <w:b w:val="0"/>
          <w:color w:val="000000" w:themeColor="text1"/>
        </w:rPr>
        <w:t>二十</w:t>
      </w:r>
      <w:r w:rsidRPr="00172454">
        <w:rPr>
          <w:rFonts w:asciiTheme="minorEastAsia" w:eastAsiaTheme="minorEastAsia" w:hAnsiTheme="minorEastAsia" w:hint="eastAsia"/>
          <w:b w:val="0"/>
          <w:color w:val="000000" w:themeColor="text1"/>
        </w:rPr>
        <w:t>）流动性风险</w:t>
      </w:r>
      <w:bookmarkEnd w:id="493"/>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（1）拟投资市场、行业及资产的流动性风险评估</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本基金为跟踪</w:t>
      </w:r>
      <w:r w:rsidRPr="00172454" w:rsidR="00EE3D4C">
        <w:rPr>
          <w:rFonts w:asciiTheme="minorEastAsia" w:eastAsiaTheme="minorEastAsia" w:hAnsiTheme="minorEastAsia" w:hint="eastAsia"/>
          <w:color w:val="000000" w:themeColor="text1"/>
          <w:szCs w:val="21"/>
        </w:rPr>
        <w:t>上证中盘</w:t>
      </w:r>
      <w:r w:rsidRPr="00172454">
        <w:rPr>
          <w:rFonts w:asciiTheme="minorEastAsia" w:eastAsiaTheme="minorEastAsia" w:hAnsiTheme="minorEastAsia" w:hint="eastAsia"/>
          <w:color w:val="000000" w:themeColor="text1"/>
          <w:szCs w:val="21"/>
        </w:rPr>
        <w:t>指数的ETF，主要投资于标的指数成份股、备选成份股，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其他指数投资技术适当调整基金投资组合，以期有效控制本基金的流动性风险。</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（2）场外份额巨额赎回情形下的流动性风险管理措施</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当本基金发生场外份额巨额赎回时，基金管理人可以根据基金当时的资产组合状况决定全额赎回或部分延期赎回；此外，如出现连续两个或两个以上开放日发生场外份额巨额赎回，可暂停接受投资人的赎回申请或延缓支付赎回款项；当本基金发生场外份额巨额赎回且单个基金份额持有人的场外份额赎回申请超过上一开放日基金总份额10%的，基金管理人有权对该单个基金份额持有人超出该比例的赎回申请实施延期办理。具体情形、程序见招募说明书“</w:t>
      </w:r>
      <w:r w:rsidRPr="00172454" w:rsidR="00EE3D4C">
        <w:rPr>
          <w:rFonts w:asciiTheme="minorEastAsia" w:eastAsiaTheme="minorEastAsia" w:hAnsiTheme="minorEastAsia" w:hint="eastAsia"/>
          <w:color w:val="000000" w:themeColor="text1"/>
          <w:szCs w:val="21"/>
        </w:rPr>
        <w:t>十</w:t>
      </w:r>
      <w:r w:rsidRPr="00172454">
        <w:rPr>
          <w:rFonts w:asciiTheme="minorEastAsia" w:eastAsiaTheme="minorEastAsia" w:hAnsiTheme="minorEastAsia" w:hint="eastAsia"/>
          <w:color w:val="000000" w:themeColor="text1"/>
          <w:szCs w:val="21"/>
        </w:rPr>
        <w:t>、基金份额的申购与赎回”</w:t>
      </w:r>
      <w:r w:rsidRPr="00172454" w:rsidR="00DD3B74">
        <w:rPr>
          <w:rFonts w:asciiTheme="minorEastAsia" w:eastAsiaTheme="minorEastAsia" w:hAnsiTheme="minorEastAsia" w:hint="eastAsia"/>
          <w:color w:val="000000" w:themeColor="text1"/>
          <w:szCs w:val="21"/>
        </w:rPr>
        <w:t>之</w:t>
      </w:r>
      <w:r w:rsidRPr="00172454">
        <w:rPr>
          <w:rFonts w:asciiTheme="minorEastAsia" w:eastAsiaTheme="minorEastAsia" w:hAnsiTheme="minorEastAsia" w:hint="eastAsia"/>
          <w:color w:val="000000" w:themeColor="text1"/>
          <w:szCs w:val="21"/>
        </w:rPr>
        <w:t>“</w:t>
      </w:r>
      <w:r w:rsidRPr="00172454" w:rsidR="00EE3D4C">
        <w:rPr>
          <w:rFonts w:asciiTheme="minorEastAsia" w:eastAsiaTheme="minorEastAsia" w:hAnsiTheme="minorEastAsia" w:hint="eastAsia"/>
          <w:color w:val="000000" w:themeColor="text1"/>
          <w:szCs w:val="21"/>
        </w:rPr>
        <w:t>（十三）场外巨额赎回的情形及处理方式</w:t>
      </w:r>
      <w:r w:rsidRPr="00172454">
        <w:rPr>
          <w:rFonts w:asciiTheme="minorEastAsia" w:eastAsiaTheme="minorEastAsia" w:hAnsiTheme="minorEastAsia" w:hint="eastAsia"/>
          <w:color w:val="000000" w:themeColor="text1"/>
          <w:szCs w:val="21"/>
        </w:rPr>
        <w:t>”</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发生上述情形时，投资人面临无法全部赎回或无法及时获得赎回资金的风险。在本基金暂停或延期办理投资者赎回申请的情况下，投资者未能赎回的基金份额还将面临净值波动的风险。</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（3）除场外份额巨额赎回情形外实施备用的流动性风险管理工具的情形、程序及对投资者的潜在影响</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除场外份额巨额赎回情形外，本基金备用流动性风险管理工具包括但不限于暂停接受赎回申请、延缓支付赎回款项、暂停基金估值以及证监会认定的其他措施。</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暂停接受赎回申请、延缓支付赎回款项等工具的情形、程序见招募说明书“</w:t>
      </w:r>
      <w:r w:rsidRPr="00172454" w:rsidR="00EE3D4C">
        <w:rPr>
          <w:rFonts w:asciiTheme="minorEastAsia" w:eastAsiaTheme="minorEastAsia" w:hAnsiTheme="minorEastAsia" w:hint="eastAsia"/>
          <w:color w:val="000000" w:themeColor="text1"/>
          <w:szCs w:val="21"/>
        </w:rPr>
        <w:t>十</w:t>
      </w:r>
      <w:r w:rsidRPr="00172454">
        <w:rPr>
          <w:rFonts w:asciiTheme="minorEastAsia" w:eastAsiaTheme="minorEastAsia" w:hAnsiTheme="minorEastAsia" w:hint="eastAsia"/>
          <w:color w:val="000000" w:themeColor="text1"/>
          <w:szCs w:val="21"/>
        </w:rPr>
        <w:t>、基金份额的申购与赎回”之“（</w:t>
      </w:r>
      <w:r w:rsidRPr="00172454" w:rsidR="00EE3D4C">
        <w:rPr>
          <w:rFonts w:asciiTheme="minorEastAsia" w:eastAsiaTheme="minorEastAsia" w:hAnsiTheme="minorEastAsia" w:hint="eastAsia"/>
          <w:color w:val="000000" w:themeColor="text1"/>
          <w:szCs w:val="21"/>
        </w:rPr>
        <w:t>十二</w:t>
      </w:r>
      <w:r w:rsidRPr="00172454">
        <w:rPr>
          <w:rFonts w:asciiTheme="minorEastAsia" w:eastAsiaTheme="minorEastAsia" w:hAnsiTheme="minorEastAsia" w:hint="eastAsia"/>
          <w:color w:val="000000" w:themeColor="text1"/>
          <w:szCs w:val="21"/>
        </w:rPr>
        <w:t>）暂停赎回或延缓支付赎回款项的情形”的相关规定。若本基金暂停赎回申请，投资者在暂停赎回期间将无法赎回其持有的基金份额。若本基金延缓支付赎回款项，赎回款支付时间将后延，可能对投资者的资金安排带来不利影响。</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暂停基金估值的情形、程序见招募说明书“十四、基金资产估值”之“（</w:t>
      </w:r>
      <w:r w:rsidRPr="00172454" w:rsidR="00EE3D4C">
        <w:rPr>
          <w:rFonts w:asciiTheme="minorEastAsia" w:eastAsiaTheme="minorEastAsia" w:hAnsiTheme="minorEastAsia" w:hint="eastAsia"/>
          <w:color w:val="000000" w:themeColor="text1"/>
          <w:szCs w:val="21"/>
        </w:rPr>
        <w:t>七</w:t>
      </w:r>
      <w:r w:rsidRPr="00172454">
        <w:rPr>
          <w:rFonts w:asciiTheme="minorEastAsia" w:eastAsiaTheme="minorEastAsia" w:hAnsiTheme="minorEastAsia" w:hint="eastAsia"/>
          <w:color w:val="000000" w:themeColor="text1"/>
          <w:szCs w:val="21"/>
        </w:rPr>
        <w:t>）暂停估值的情形”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033173" w:rsidRPr="00172454" w:rsidP="00033173">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（4）对ETF基金投资人而言，ETF可在二级市场进行买卖，因此也可能面临因市场交易量不足而造成的流动性问题，带来基金在二级市场的流动性风险。</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4" w:name="_Toc91767061"/>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二十</w:t>
      </w:r>
      <w:r w:rsidRPr="00172454" w:rsidR="00DA62EF">
        <w:rPr>
          <w:rFonts w:asciiTheme="minorEastAsia" w:eastAsiaTheme="minorEastAsia" w:hAnsiTheme="minorEastAsia" w:hint="eastAsia"/>
          <w:b w:val="0"/>
          <w:color w:val="000000" w:themeColor="text1"/>
        </w:rPr>
        <w:t>一</w:t>
      </w:r>
      <w:r w:rsidRPr="00172454">
        <w:rPr>
          <w:rFonts w:asciiTheme="minorEastAsia" w:eastAsiaTheme="minorEastAsia" w:hAnsiTheme="minorEastAsia" w:hint="eastAsia"/>
          <w:b w:val="0"/>
          <w:color w:val="000000" w:themeColor="text1"/>
        </w:rPr>
        <w:t>）</w:t>
      </w:r>
      <w:r w:rsidRPr="00172454" w:rsidR="00307584">
        <w:rPr>
          <w:rFonts w:asciiTheme="minorEastAsia" w:eastAsiaTheme="minorEastAsia" w:hAnsiTheme="minorEastAsia" w:hint="eastAsia"/>
          <w:b w:val="0"/>
          <w:color w:val="000000" w:themeColor="text1"/>
        </w:rPr>
        <w:t>本基金法律文件中涉及基金风险特征的表述与销售机构对基金的风险评级可能不一致的风险</w:t>
      </w:r>
      <w:bookmarkEnd w:id="494"/>
    </w:p>
    <w:p w:rsidR="00307584" w:rsidRPr="00172454" w:rsidP="005C294C">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307584" w:rsidRPr="00172454" w:rsidP="00307584">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5" w:name="_Toc91767062"/>
      <w:r w:rsidRPr="00172454">
        <w:rPr>
          <w:rFonts w:asciiTheme="minorEastAsia" w:eastAsiaTheme="minorEastAsia" w:hAnsiTheme="minorEastAsia" w:hint="eastAsia"/>
          <w:b w:val="0"/>
          <w:color w:val="000000" w:themeColor="text1"/>
        </w:rPr>
        <w:t>（</w:t>
      </w:r>
      <w:r w:rsidRPr="00172454" w:rsidR="009A5C4D">
        <w:rPr>
          <w:rFonts w:asciiTheme="minorEastAsia" w:eastAsiaTheme="minorEastAsia" w:hAnsiTheme="minorEastAsia" w:hint="eastAsia"/>
          <w:b w:val="0"/>
          <w:color w:val="000000" w:themeColor="text1"/>
        </w:rPr>
        <w:t>二十</w:t>
      </w:r>
      <w:r w:rsidRPr="00172454" w:rsidR="00DA62EF">
        <w:rPr>
          <w:rFonts w:asciiTheme="minorEastAsia" w:eastAsiaTheme="minorEastAsia" w:hAnsiTheme="minorEastAsia" w:hint="eastAsia"/>
          <w:b w:val="0"/>
          <w:color w:val="000000" w:themeColor="text1"/>
        </w:rPr>
        <w:t>二</w:t>
      </w:r>
      <w:r w:rsidRPr="00172454">
        <w:rPr>
          <w:rFonts w:asciiTheme="minorEastAsia" w:eastAsiaTheme="minorEastAsia" w:hAnsiTheme="minorEastAsia" w:hint="eastAsia"/>
          <w:b w:val="0"/>
          <w:color w:val="000000" w:themeColor="text1"/>
        </w:rPr>
        <w:t>）技术风险</w:t>
      </w:r>
      <w:bookmarkEnd w:id="495"/>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在本基金的投资、交易、服务与后台运作等业务过程中,可能因为技术系统的故障或差错导致投资者的利益受到影响。这种技术风险可能来自基金管理人、基金托管人、证券交易所、登记结算机构及代销机构等。</w:t>
      </w:r>
    </w:p>
    <w:p w:rsidR="00C35876"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6" w:name="_Toc91767063"/>
      <w:r w:rsidRPr="00172454">
        <w:rPr>
          <w:rFonts w:asciiTheme="minorEastAsia" w:eastAsiaTheme="minorEastAsia" w:hAnsiTheme="minorEastAsia" w:hint="eastAsia"/>
          <w:b w:val="0"/>
          <w:color w:val="000000" w:themeColor="text1"/>
        </w:rPr>
        <w:t>（</w:t>
      </w:r>
      <w:r w:rsidRPr="00172454" w:rsidR="00D551BB">
        <w:rPr>
          <w:rFonts w:asciiTheme="minorEastAsia" w:eastAsiaTheme="minorEastAsia" w:hAnsiTheme="minorEastAsia" w:hint="eastAsia"/>
          <w:b w:val="0"/>
          <w:color w:val="000000" w:themeColor="text1"/>
        </w:rPr>
        <w:t>二十</w:t>
      </w:r>
      <w:r w:rsidRPr="00172454" w:rsidR="00DA62EF">
        <w:rPr>
          <w:rFonts w:asciiTheme="minorEastAsia" w:eastAsiaTheme="minorEastAsia" w:hAnsiTheme="minorEastAsia" w:hint="eastAsia"/>
          <w:b w:val="0"/>
          <w:color w:val="000000" w:themeColor="text1"/>
        </w:rPr>
        <w:t>三</w:t>
      </w:r>
      <w:r w:rsidRPr="00172454">
        <w:rPr>
          <w:rFonts w:asciiTheme="minorEastAsia" w:eastAsiaTheme="minorEastAsia" w:hAnsiTheme="minorEastAsia" w:hint="eastAsia"/>
          <w:b w:val="0"/>
          <w:color w:val="000000" w:themeColor="text1"/>
        </w:rPr>
        <w:t>）不可抗力</w:t>
      </w:r>
      <w:bookmarkEnd w:id="496"/>
    </w:p>
    <w:p w:rsidR="004B7185"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497" w:name="OLE_LINK458"/>
      <w:bookmarkStart w:id="498" w:name="OLE_LINK459"/>
      <w:r w:rsidRPr="00172454">
        <w:rPr>
          <w:rFonts w:asciiTheme="minorEastAsia" w:eastAsiaTheme="minorEastAsia" w:hAnsiTheme="minorEastAsia" w:hint="eastAsia"/>
          <w:color w:val="000000" w:themeColor="text1"/>
          <w:szCs w:val="21"/>
        </w:rPr>
        <w:t>战争、自然灾害等不可抗力可能导致基金资产有遭受损失的风险</w:t>
      </w:r>
      <w:bookmarkEnd w:id="497"/>
      <w:bookmarkEnd w:id="498"/>
      <w:r w:rsidRPr="00172454">
        <w:rPr>
          <w:rFonts w:asciiTheme="minorEastAsia" w:eastAsiaTheme="minorEastAsia" w:hAnsiTheme="minorEastAsia" w:hint="eastAsia"/>
          <w:color w:val="000000" w:themeColor="text1"/>
          <w:szCs w:val="21"/>
        </w:rPr>
        <w:t>。基金管理人、基金托管人、证券交易所、登记结算机构和代销机构等可能因不可抗力无法正常工作,从而影响基金的各项业务按正常时限完成。</w:t>
      </w:r>
      <w:bookmarkEnd w:id="469"/>
      <w:bookmarkEnd w:id="470"/>
    </w:p>
    <w:p w:rsidR="00C35876" w:rsidRPr="00172454" w:rsidP="00150642">
      <w:pPr>
        <w:snapToGrid w:val="0"/>
        <w:spacing w:line="360" w:lineRule="auto"/>
        <w:ind w:firstLine="420" w:firstLineChars="200"/>
        <w:rPr>
          <w:rFonts w:asciiTheme="minorEastAsia" w:eastAsiaTheme="minorEastAsia" w:hAnsiTheme="minorEastAsia"/>
          <w:color w:val="000000" w:themeColor="text1"/>
          <w:szCs w:val="21"/>
        </w:rPr>
      </w:pP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column"/>
      </w:r>
      <w:bookmarkStart w:id="499" w:name="_Toc91767064"/>
      <w:r w:rsidRPr="00172454" w:rsidR="00150642">
        <w:rPr>
          <w:rFonts w:asciiTheme="minorEastAsia" w:eastAsiaTheme="minorEastAsia" w:hAnsiTheme="minorEastAsia" w:hint="eastAsia"/>
          <w:b/>
          <w:bCs/>
          <w:color w:val="000000" w:themeColor="text1"/>
        </w:rPr>
        <w:t>二</w:t>
      </w:r>
      <w:r w:rsidRPr="00172454">
        <w:rPr>
          <w:rFonts w:asciiTheme="minorEastAsia" w:eastAsiaTheme="minorEastAsia" w:hAnsiTheme="minorEastAsia" w:hint="eastAsia"/>
          <w:bCs/>
          <w:color w:val="000000" w:themeColor="text1"/>
        </w:rPr>
        <w:t>十、基金合同的变更、终止与基金财产的清算</w:t>
      </w:r>
      <w:bookmarkEnd w:id="499"/>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00" w:name="_Toc97031319"/>
      <w:bookmarkStart w:id="501" w:name="_Toc97107279"/>
      <w:bookmarkStart w:id="502" w:name="_Toc238024327"/>
      <w:bookmarkStart w:id="503" w:name="_Toc253577367"/>
      <w:bookmarkStart w:id="504" w:name="_Toc91767065"/>
      <w:bookmarkStart w:id="505" w:name="_Toc86584659"/>
      <w:bookmarkEnd w:id="500"/>
      <w:bookmarkEnd w:id="501"/>
      <w:r w:rsidRPr="00172454">
        <w:rPr>
          <w:rFonts w:asciiTheme="minorEastAsia" w:eastAsiaTheme="minorEastAsia" w:hAnsiTheme="minorEastAsia" w:hint="eastAsia"/>
          <w:b w:val="0"/>
          <w:bCs/>
          <w:color w:val="000000" w:themeColor="text1"/>
        </w:rPr>
        <w:t>（一）基金合同的变更</w:t>
      </w:r>
      <w:bookmarkEnd w:id="502"/>
      <w:bookmarkEnd w:id="503"/>
      <w:bookmarkEnd w:id="50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1、按照法律法规或《基金合同》的规定，对《基金合同》的变更应当召开基金份额持有人大会的，《基金合同》变更的内容应经基金份额持有人大会决议通过，并依法报中国证监会</w:t>
      </w:r>
      <w:r w:rsidRPr="00172454" w:rsidR="00421D1A">
        <w:rPr>
          <w:rFonts w:asciiTheme="minorEastAsia" w:eastAsiaTheme="minorEastAsia" w:hAnsiTheme="minorEastAsia" w:hint="eastAsia"/>
          <w:color w:val="000000" w:themeColor="text1"/>
          <w:szCs w:val="21"/>
        </w:rPr>
        <w:t>备案</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2、上述对《基金合同》的变更事项自</w:t>
      </w:r>
      <w:r w:rsidRPr="00172454" w:rsidR="00C860F4">
        <w:rPr>
          <w:rFonts w:asciiTheme="minorEastAsia" w:eastAsiaTheme="minorEastAsia" w:hAnsiTheme="minorEastAsia" w:hint="eastAsia"/>
          <w:color w:val="000000" w:themeColor="text1"/>
          <w:szCs w:val="21"/>
        </w:rPr>
        <w:t>表决通过</w:t>
      </w:r>
      <w:r w:rsidRPr="00172454">
        <w:rPr>
          <w:rFonts w:asciiTheme="minorEastAsia" w:eastAsiaTheme="minorEastAsia" w:hAnsiTheme="minorEastAsia" w:hint="eastAsia"/>
          <w:color w:val="000000" w:themeColor="text1"/>
          <w:szCs w:val="21"/>
        </w:rPr>
        <w:t>之日起生效。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3、但出现下列情况时，可不经基金份额持有人大会决议，由基金管理人和基金托管人同意后变更并公告，并报中国证监会备案：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06" w:name="OLE_LINK463"/>
      <w:r w:rsidRPr="00172454">
        <w:rPr>
          <w:rFonts w:asciiTheme="minorEastAsia" w:eastAsiaTheme="minorEastAsia" w:hAnsiTheme="minorEastAsia" w:hint="eastAsia"/>
          <w:color w:val="000000" w:themeColor="text1"/>
          <w:szCs w:val="21"/>
        </w:rPr>
        <w:t>（1）调低基金管理费、基金托管费；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（2）法律法规要求增加的基金费用的收取；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（3）在法律法规和《基金合同》规定的范围内调整本基金的申购费率、调低赎回费率</w:t>
      </w:r>
      <w:bookmarkStart w:id="507" w:name="OLE_LINK376"/>
      <w:bookmarkStart w:id="508" w:name="OLE_LINK377"/>
      <w:bookmarkStart w:id="509" w:name="OLE_LINK378"/>
      <w:r w:rsidRPr="00172454" w:rsidR="00581431">
        <w:rPr>
          <w:rFonts w:asciiTheme="minorEastAsia" w:eastAsiaTheme="minorEastAsia" w:hAnsiTheme="minorEastAsia" w:hint="eastAsia"/>
          <w:color w:val="000000" w:themeColor="text1"/>
          <w:szCs w:val="21"/>
        </w:rPr>
        <w:t>或调整收费方式</w:t>
      </w:r>
      <w:bookmarkEnd w:id="507"/>
      <w:bookmarkEnd w:id="508"/>
      <w:bookmarkEnd w:id="509"/>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（4）因相应的法律法规</w:t>
      </w:r>
      <w:r w:rsidRPr="00172454" w:rsidR="002647E5">
        <w:rPr>
          <w:rFonts w:asciiTheme="minorEastAsia" w:eastAsiaTheme="minorEastAsia" w:hAnsiTheme="minorEastAsia" w:hint="eastAsia"/>
          <w:color w:val="000000" w:themeColor="text1"/>
          <w:szCs w:val="21"/>
        </w:rPr>
        <w:t>、上海证券交易所或者登记结算机构的相关业务规则</w:t>
      </w:r>
      <w:r w:rsidRPr="00172454">
        <w:rPr>
          <w:rFonts w:asciiTheme="minorEastAsia" w:eastAsiaTheme="minorEastAsia" w:hAnsiTheme="minorEastAsia" w:hint="eastAsia"/>
          <w:color w:val="000000" w:themeColor="text1"/>
          <w:szCs w:val="21"/>
        </w:rPr>
        <w:t>发生变动而应当对《基金合同》进行修改；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（5）对《基金合同》的修改对基金份额持有人利益无实质性不利影响或修改不涉及《基金合同》当事人权利义务关系发生重大变化；</w:t>
      </w:r>
    </w:p>
    <w:p w:rsidR="005E4DA1"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bookmarkStart w:id="510" w:name="_Hlk404871532"/>
      <w:bookmarkStart w:id="511" w:name="OLE_LINK521"/>
      <w:bookmarkStart w:id="512" w:name="OLE_LINK467"/>
      <w:r w:rsidRPr="00172454">
        <w:rPr>
          <w:rFonts w:asciiTheme="minorEastAsia" w:eastAsiaTheme="minorEastAsia" w:hAnsiTheme="minorEastAsia" w:hint="eastAsia"/>
          <w:color w:val="000000" w:themeColor="text1"/>
          <w:szCs w:val="21"/>
        </w:rPr>
        <w:t>基金管理人、上海证券交易所和登记结算机构在法律法规、《基金合同》规定的范围内调整有关基金认购、申购、赎回、交易、转托管、非交易过户等业务的规则；</w:t>
      </w:r>
    </w:p>
    <w:p w:rsidR="005E4DA1"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13" w:name="OLE_LINK176"/>
      <w:r w:rsidRPr="00172454">
        <w:rPr>
          <w:rFonts w:asciiTheme="minorEastAsia" w:eastAsiaTheme="minorEastAsia" w:hAnsiTheme="minorEastAsia" w:hint="eastAsia"/>
          <w:color w:val="000000" w:themeColor="text1"/>
          <w:szCs w:val="21"/>
        </w:rPr>
        <w:t>（7）在不违反法律法规及对基金份额持有人利益无实质不利影响的前提下，增设新的份额类别或者调整基金份额类别设置、在其他证券交易所上市、调整场外申购赎回方式、开通跨系统转托管业务或暂停、停止场外申购赎回业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14" w:name="OLE_LINK468"/>
      <w:bookmarkEnd w:id="510"/>
      <w:bookmarkEnd w:id="511"/>
      <w:bookmarkEnd w:id="512"/>
      <w:bookmarkEnd w:id="513"/>
      <w:r w:rsidRPr="00172454">
        <w:rPr>
          <w:rFonts w:asciiTheme="minorEastAsia" w:eastAsiaTheme="minorEastAsia" w:hAnsiTheme="minorEastAsia" w:hint="eastAsia"/>
          <w:color w:val="000000" w:themeColor="text1"/>
          <w:szCs w:val="21"/>
        </w:rPr>
        <w:t>（8）</w:t>
      </w:r>
      <w:bookmarkEnd w:id="514"/>
      <w:r w:rsidRPr="00172454">
        <w:rPr>
          <w:rFonts w:asciiTheme="minorEastAsia" w:eastAsiaTheme="minorEastAsia" w:hAnsiTheme="minorEastAsia" w:hint="eastAsia"/>
          <w:color w:val="000000" w:themeColor="text1"/>
          <w:szCs w:val="21"/>
        </w:rPr>
        <w:t>除按照法律法规和《基金合同》规定应当召开基金份额持有人大会的以外的其他情形。</w:t>
      </w:r>
    </w:p>
    <w:bookmarkEnd w:id="506"/>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4、法律法规对基金合同变更另有规定的，从其规定。</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15" w:name="_Toc238024328"/>
      <w:bookmarkStart w:id="516" w:name="_Toc253577368"/>
      <w:bookmarkStart w:id="517" w:name="_Toc91767066"/>
      <w:r w:rsidRPr="00172454">
        <w:rPr>
          <w:rFonts w:asciiTheme="minorEastAsia" w:eastAsiaTheme="minorEastAsia" w:hAnsiTheme="minorEastAsia" w:hint="eastAsia"/>
          <w:b w:val="0"/>
          <w:bCs/>
          <w:color w:val="000000" w:themeColor="text1"/>
        </w:rPr>
        <w:t>（二）基金合同的终止</w:t>
      </w:r>
      <w:bookmarkEnd w:id="505"/>
      <w:bookmarkEnd w:id="515"/>
      <w:bookmarkEnd w:id="516"/>
      <w:bookmarkEnd w:id="517"/>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有下列情形之一的，《基金合同》应当终止：</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1、基金份额持有人大会决定终止的；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2、基金管理人、基金托管人职责终止，在6个月内没有新基金管理人、新基金托管人承接的；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3、《基金合同》约定的其他情形；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 w:val="24"/>
        </w:rPr>
      </w:pPr>
      <w:r w:rsidRPr="00172454">
        <w:rPr>
          <w:rFonts w:asciiTheme="minorEastAsia" w:eastAsiaTheme="minorEastAsia" w:hAnsiTheme="minorEastAsia" w:hint="eastAsia"/>
          <w:color w:val="000000" w:themeColor="text1"/>
          <w:szCs w:val="21"/>
        </w:rPr>
        <w:t>4、相关法律法规和中国证监会规定的其他情况。</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18" w:name="_Toc86584660"/>
      <w:bookmarkStart w:id="519" w:name="_Toc238024329"/>
      <w:bookmarkStart w:id="520" w:name="_Toc253577369"/>
      <w:bookmarkStart w:id="521" w:name="_Toc91767067"/>
      <w:r w:rsidRPr="00172454">
        <w:rPr>
          <w:rFonts w:asciiTheme="minorEastAsia" w:eastAsiaTheme="minorEastAsia" w:hAnsiTheme="minorEastAsia" w:hint="eastAsia"/>
          <w:b w:val="0"/>
          <w:bCs/>
          <w:color w:val="000000" w:themeColor="text1"/>
        </w:rPr>
        <w:t>（三）基金财产的清算</w:t>
      </w:r>
      <w:bookmarkEnd w:id="518"/>
      <w:bookmarkEnd w:id="519"/>
      <w:bookmarkEnd w:id="520"/>
      <w:bookmarkEnd w:id="52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1、基金财产清算小组：自出现《基金合同》终止事由之日起</w:t>
      </w:r>
      <w:r w:rsidRPr="00172454">
        <w:rPr>
          <w:rFonts w:asciiTheme="minorEastAsia" w:eastAsiaTheme="minorEastAsia" w:hAnsiTheme="minorEastAsia"/>
          <w:color w:val="000000" w:themeColor="text1"/>
          <w:szCs w:val="21"/>
        </w:rPr>
        <w:t>30</w:t>
      </w:r>
      <w:r w:rsidRPr="00172454">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3、基金财产清算小组职责：基金财产清算小组负责基金财产的保管、清理、估价、变现和分配。基金财产清算小组可以依法进行必要的民事活动。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4、基金财产清算程序：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（1）《基金合同》终止后，由基金财产清算小组统一接管基金；</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（2）对基金财产和债权债务进行清理和确认；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（3）对基金财产进行估价和变现；</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（4）制作清算报告</w:t>
      </w:r>
      <w:bookmarkStart w:id="522" w:name="OLE_LINK469"/>
      <w:bookmarkStart w:id="523" w:name="OLE_LINK470"/>
      <w:r w:rsidRPr="00172454">
        <w:rPr>
          <w:rFonts w:asciiTheme="minorEastAsia" w:eastAsiaTheme="minorEastAsia" w:hAnsiTheme="minorEastAsia" w:hint="eastAsia"/>
          <w:color w:val="000000" w:themeColor="text1"/>
          <w:szCs w:val="21"/>
        </w:rPr>
        <w:t>；</w:t>
      </w:r>
      <w:bookmarkEnd w:id="522"/>
      <w:bookmarkEnd w:id="523"/>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（5）聘请会计师事务所对清算报告进行外部审计，聘请律师事务所对清算报告出具法律意见书；</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（6）将清算报告报中国证监会备案并公告</w:t>
      </w:r>
      <w:r w:rsidRPr="00172454" w:rsidR="00F135FE">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（7）对基金财产进行分配</w:t>
      </w:r>
      <w:r w:rsidRPr="00172454" w:rsidR="00F135FE">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5、基金财产清算的期限为6个月。</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24" w:name="_Toc238024330"/>
      <w:bookmarkStart w:id="525" w:name="_Toc253577370"/>
      <w:bookmarkStart w:id="526" w:name="_Toc91767068"/>
      <w:r w:rsidRPr="00172454">
        <w:rPr>
          <w:rFonts w:asciiTheme="minorEastAsia" w:eastAsiaTheme="minorEastAsia" w:hAnsiTheme="minorEastAsia" w:hint="eastAsia"/>
          <w:b w:val="0"/>
          <w:bCs/>
          <w:color w:val="000000" w:themeColor="text1"/>
        </w:rPr>
        <w:t>（四）清算费用</w:t>
      </w:r>
      <w:bookmarkEnd w:id="524"/>
      <w:bookmarkEnd w:id="525"/>
      <w:bookmarkEnd w:id="526"/>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27" w:name="_Toc238024331"/>
      <w:bookmarkStart w:id="528" w:name="_Toc253577371"/>
      <w:bookmarkStart w:id="529" w:name="_Toc91767069"/>
      <w:r w:rsidRPr="00172454">
        <w:rPr>
          <w:rFonts w:asciiTheme="minorEastAsia" w:eastAsiaTheme="minorEastAsia" w:hAnsiTheme="minorEastAsia" w:hint="eastAsia"/>
          <w:b w:val="0"/>
          <w:bCs/>
          <w:color w:val="000000" w:themeColor="text1"/>
        </w:rPr>
        <w:t>（五）基金财产清算剩余资产的分配</w:t>
      </w:r>
      <w:bookmarkEnd w:id="527"/>
      <w:bookmarkEnd w:id="528"/>
      <w:bookmarkEnd w:id="529"/>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30" w:name="_Toc238024332"/>
      <w:bookmarkStart w:id="531" w:name="_Toc253577372"/>
      <w:bookmarkStart w:id="532" w:name="_Toc91767070"/>
      <w:r w:rsidRPr="00172454">
        <w:rPr>
          <w:rFonts w:asciiTheme="minorEastAsia" w:eastAsiaTheme="minorEastAsia" w:hAnsiTheme="minorEastAsia" w:hint="eastAsia"/>
          <w:b w:val="0"/>
          <w:bCs/>
          <w:color w:val="000000" w:themeColor="text1"/>
        </w:rPr>
        <w:t>（六）基金财产清算的公告</w:t>
      </w:r>
      <w:bookmarkEnd w:id="530"/>
      <w:bookmarkEnd w:id="531"/>
      <w:bookmarkEnd w:id="532"/>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w:t>
      </w:r>
      <w:r w:rsidRPr="00172454">
        <w:rPr>
          <w:rFonts w:asciiTheme="minorEastAsia" w:eastAsiaTheme="minorEastAsia" w:hAnsiTheme="minorEastAsia"/>
          <w:color w:val="000000" w:themeColor="text1"/>
          <w:szCs w:val="21"/>
        </w:rPr>
        <w:t>基金财产清算公告于</w:t>
      </w:r>
      <w:r w:rsidRPr="00172454">
        <w:rPr>
          <w:rFonts w:asciiTheme="minorEastAsia" w:eastAsiaTheme="minorEastAsia" w:hAnsiTheme="minorEastAsia" w:hint="eastAsia"/>
          <w:color w:val="000000" w:themeColor="text1"/>
          <w:szCs w:val="21"/>
        </w:rPr>
        <w:t>《基金合同》终止并报中国证监会备案后</w:t>
      </w:r>
      <w:r w:rsidRPr="00172454">
        <w:rPr>
          <w:rFonts w:asciiTheme="minorEastAsia" w:eastAsiaTheme="minorEastAsia" w:hAnsiTheme="minorEastAsia"/>
          <w:color w:val="000000" w:themeColor="text1"/>
          <w:szCs w:val="21"/>
        </w:rPr>
        <w:t>5</w:t>
      </w:r>
      <w:r w:rsidRPr="00172454">
        <w:rPr>
          <w:rFonts w:asciiTheme="minorEastAsia" w:eastAsiaTheme="minorEastAsia" w:hAnsiTheme="minorEastAsia" w:hint="eastAsia"/>
          <w:color w:val="000000" w:themeColor="text1"/>
          <w:szCs w:val="21"/>
        </w:rPr>
        <w:t>个工作日内由基金财产清算小组进行公告。</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33" w:name="_Toc238024333"/>
      <w:bookmarkStart w:id="534" w:name="_Toc253577373"/>
      <w:bookmarkStart w:id="535" w:name="_Toc91767071"/>
      <w:r w:rsidRPr="00172454">
        <w:rPr>
          <w:rFonts w:asciiTheme="minorEastAsia" w:eastAsiaTheme="minorEastAsia" w:hAnsiTheme="minorEastAsia" w:hint="eastAsia"/>
          <w:b w:val="0"/>
          <w:bCs/>
          <w:color w:val="000000" w:themeColor="text1"/>
        </w:rPr>
        <w:t>（七）基金财产清算账册及文件的保存</w:t>
      </w:r>
      <w:bookmarkEnd w:id="533"/>
      <w:bookmarkEnd w:id="534"/>
      <w:bookmarkEnd w:id="535"/>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36" w:name="_Toc200522988"/>
      <w:r w:rsidRPr="00172454">
        <w:rPr>
          <w:rFonts w:asciiTheme="minorEastAsia" w:eastAsiaTheme="minorEastAsia" w:hAnsiTheme="minorEastAsia" w:hint="eastAsia"/>
          <w:color w:val="000000" w:themeColor="text1"/>
          <w:szCs w:val="21"/>
        </w:rPr>
        <w:t>基金财产清算账册及有关文件由基金托管人保存</w:t>
      </w:r>
      <w:r w:rsidRPr="00172454">
        <w:rPr>
          <w:rFonts w:asciiTheme="minorEastAsia" w:eastAsiaTheme="minorEastAsia" w:hAnsiTheme="minorEastAsia"/>
          <w:color w:val="000000" w:themeColor="text1"/>
          <w:szCs w:val="21"/>
        </w:rPr>
        <w:t>15</w:t>
      </w:r>
      <w:r w:rsidRPr="00172454">
        <w:rPr>
          <w:rFonts w:asciiTheme="minorEastAsia" w:eastAsiaTheme="minorEastAsia" w:hAnsiTheme="minorEastAsia" w:hint="eastAsia"/>
          <w:color w:val="000000" w:themeColor="text1"/>
          <w:szCs w:val="21"/>
        </w:rPr>
        <w:t>年以上。</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sz w:val="21"/>
          <w:szCs w:val="21"/>
        </w:rPr>
      </w:pPr>
      <w:r w:rsidRPr="00172454">
        <w:rPr>
          <w:rFonts w:asciiTheme="minorEastAsia" w:eastAsiaTheme="minorEastAsia" w:hAnsiTheme="minorEastAsia"/>
          <w:color w:val="000000" w:themeColor="text1"/>
          <w:szCs w:val="21"/>
        </w:rPr>
        <w:br w:type="page"/>
      </w:r>
      <w:bookmarkStart w:id="537" w:name="_Toc91767072"/>
      <w:r w:rsidRPr="00172454">
        <w:rPr>
          <w:rFonts w:asciiTheme="minorEastAsia" w:eastAsiaTheme="minorEastAsia" w:hAnsiTheme="minorEastAsia" w:hint="eastAsia"/>
          <w:bCs/>
          <w:color w:val="000000" w:themeColor="text1"/>
        </w:rPr>
        <w:t>二十</w:t>
      </w:r>
      <w:r w:rsidRPr="00172454" w:rsidR="00150642">
        <w:rPr>
          <w:rFonts w:asciiTheme="minorEastAsia" w:eastAsiaTheme="minorEastAsia" w:hAnsiTheme="minorEastAsia" w:hint="eastAsia"/>
          <w:bCs/>
          <w:color w:val="000000" w:themeColor="text1"/>
        </w:rPr>
        <w:t>一</w:t>
      </w:r>
      <w:r w:rsidRPr="00172454">
        <w:rPr>
          <w:rFonts w:asciiTheme="minorEastAsia" w:eastAsiaTheme="minorEastAsia" w:hAnsiTheme="minorEastAsia" w:hint="eastAsia"/>
          <w:bCs/>
          <w:color w:val="000000" w:themeColor="text1"/>
        </w:rPr>
        <w:t>、基金合同内容摘要</w:t>
      </w:r>
      <w:bookmarkEnd w:id="536"/>
      <w:bookmarkEnd w:id="537"/>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538" w:name="_Toc238024335"/>
      <w:bookmarkStart w:id="539" w:name="_Toc253577375"/>
      <w:bookmarkStart w:id="540" w:name="_Toc91767073"/>
      <w:r w:rsidRPr="00172454">
        <w:rPr>
          <w:rFonts w:asciiTheme="minorEastAsia" w:eastAsiaTheme="minorEastAsia" w:hAnsiTheme="minorEastAsia" w:hint="eastAsia"/>
          <w:b w:val="0"/>
          <w:bCs/>
          <w:color w:val="000000" w:themeColor="text1"/>
        </w:rPr>
        <w:t>（一）基金管理人的权利与义务</w:t>
      </w:r>
      <w:bookmarkEnd w:id="538"/>
      <w:bookmarkEnd w:id="539"/>
      <w:bookmarkEnd w:id="540"/>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1、根据《基金法》、《运作办法》及其他有关规定，基金管理人的权利包括但不限于：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r>
      <w:bookmarkStart w:id="541" w:name="OLE_LINK465"/>
      <w:r w:rsidRPr="00172454">
        <w:rPr>
          <w:rFonts w:asciiTheme="minorEastAsia" w:eastAsiaTheme="minorEastAsia" w:hAnsiTheme="minorEastAsia" w:hint="eastAsia"/>
          <w:color w:val="000000" w:themeColor="text1"/>
          <w:szCs w:val="21"/>
        </w:rPr>
        <w:t>依法募集基金</w:t>
      </w:r>
      <w:bookmarkEnd w:id="541"/>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hint="eastAsia"/>
          <w:color w:val="000000" w:themeColor="text1"/>
          <w:szCs w:val="21"/>
        </w:rPr>
        <w:tab/>
        <w:t>自《基金合同》生效之日起，根据法律法规和《基金合同》独立运用并管理基金财产；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hint="eastAsia"/>
          <w:color w:val="000000" w:themeColor="text1"/>
          <w:szCs w:val="21"/>
        </w:rPr>
        <w:tab/>
        <w:t>依照《基金合同》收取基金管理费以及法律法规规定或中国证监会批准的其他费用；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t>销售基金份额；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t>召集基金份额持有人大会；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hint="eastAsia"/>
          <w:color w:val="000000" w:themeColor="text1"/>
          <w:szCs w:val="21"/>
        </w:rPr>
        <w:tab/>
        <w:t>依据《基金合同》及有关法律规定监督基金托管人，如认为基金托管人违反了《基金合同》及国家有关法律规定，应呈报中国证监会和其他监管部门，并采取必要措施保护基金投资者的利益；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ab/>
        <w:t>在基金托管人更换时，提名新的基金托管人；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ab/>
        <w:t>选择、委托、更换基金</w:t>
      </w:r>
      <w:r w:rsidRPr="00172454" w:rsidR="009825BF">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机构，对基金</w:t>
      </w:r>
      <w:r w:rsidRPr="00172454" w:rsidR="009825BF">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 xml:space="preserve">机构的相关行为进行监督和处理；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hint="eastAsia"/>
          <w:color w:val="000000" w:themeColor="text1"/>
          <w:szCs w:val="21"/>
        </w:rPr>
        <w:tab/>
        <w:t xml:space="preserve">担任或委托其他符合条件的机构担任基金登记结算机构办理基金登记结算业务并获得《基金合同》规定的费用；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  依据《基金合同》及有关法律规定决定基金收益的分配方案；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w:t>
      </w:r>
      <w:r w:rsidRPr="00172454">
        <w:rPr>
          <w:rFonts w:asciiTheme="minorEastAsia" w:eastAsiaTheme="minorEastAsia" w:hAnsiTheme="minorEastAsia" w:hint="eastAsia"/>
          <w:color w:val="000000" w:themeColor="text1"/>
          <w:szCs w:val="21"/>
        </w:rPr>
        <w:tab/>
        <w:t>在《基金合同》约定的范围内，拒绝或暂停受理申购与赎回申请；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  在符合有关法律法规和《基金合同》的前提下，制订和调整《业务规则》，决定和调整除调高管理费率和托管费率之外的基金相关费率结构和收费方式；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（13）  依照法律法规为基金的利益对被投资公司行使股东权利，为基金的利益行使因基金财产投资于证券所产生的权利；</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（14）</w:t>
      </w:r>
      <w:r w:rsidRPr="00172454">
        <w:rPr>
          <w:rFonts w:asciiTheme="minorEastAsia" w:eastAsiaTheme="minorEastAsia" w:hAnsiTheme="minorEastAsia" w:hint="eastAsia"/>
          <w:color w:val="000000" w:themeColor="text1"/>
          <w:szCs w:val="21"/>
        </w:rPr>
        <w:tab/>
        <w:t>在法律法规允许的前提下，为基金的利益依法为基金进行融资；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（15）  以基金管理人的名义，代表基金份额持有人的利益行使诉讼权利或者实施其他法律行为；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（16）  选择、更换律师事务所、会计师事务所、证券经纪商或其他为基金提供服务的外部机构；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（17）  法律法规和《基金合同》规定的其他权利。</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2、根据《基金法》、《运作办法》及其他有关规定，基金管理人的义务包括但不限于：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t>依法募集基金，办理或者委托经中国证监会认定的其他机构代为办理基金份额的发售、申购、赎回和登记事宜;如认为基金</w:t>
      </w:r>
      <w:r w:rsidRPr="00172454" w:rsidR="002A765C">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机构违反《基金合同》、基金销售协议及国家有关法律规定，应呈报中国证监会和其他监管部门，并采取必要措施保护基金投资者的利益；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 xml:space="preserve">   办理基金备案手续；</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ab/>
        <w:t>自《基金合同》生效之日起</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以诚实信用、谨慎勤勉的原则管理和运用基金财产；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t>配备足够的具有专业资格的人员进行基金投资分析、决策，以专业化的经营方式管理和运作基金财产；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t>建立健全内部风险控制、监察与稽核、财务管理及人事管理等制度，保证所管理的基金财产和基金管理人的财产相互独立</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对所管理的不同基金分别管理，分别记账，进行证券投资；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hint="eastAsia"/>
          <w:color w:val="000000" w:themeColor="text1"/>
          <w:szCs w:val="21"/>
        </w:rPr>
        <w:tab/>
        <w:t>除依据《基金法》、《基金合同》及其他有关规定外</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不得利用基金财产为自己及任何第三人谋取利益，不得委托第三人运作基金财产；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ab/>
        <w:t>依法接受基金托管人的监督；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ab/>
        <w:t>采取适当合理的措施使计算基金份额认购、申购、赎回和注销价格的方法符合《基金合同》等法律文件的规定，按有关规定计算并公告基金净值</w:t>
      </w:r>
      <w:r w:rsidRPr="00172454" w:rsidR="00940DC0">
        <w:rPr>
          <w:rFonts w:asciiTheme="minorEastAsia" w:eastAsiaTheme="minorEastAsia" w:hAnsiTheme="minorEastAsia" w:hint="eastAsia"/>
          <w:color w:val="000000" w:themeColor="text1"/>
          <w:szCs w:val="21"/>
        </w:rPr>
        <w:t>信息</w:t>
      </w:r>
      <w:r w:rsidRPr="00172454">
        <w:rPr>
          <w:rFonts w:asciiTheme="minorEastAsia" w:eastAsiaTheme="minorEastAsia" w:hAnsiTheme="minorEastAsia" w:hint="eastAsia"/>
          <w:color w:val="000000" w:themeColor="text1"/>
          <w:szCs w:val="21"/>
        </w:rPr>
        <w:t>，确定基金份额申购、赎回的对价</w:t>
      </w:r>
      <w:r w:rsidRPr="00172454" w:rsidR="005D0468">
        <w:rPr>
          <w:rFonts w:asciiTheme="minorEastAsia" w:eastAsiaTheme="minorEastAsia" w:hAnsiTheme="minorEastAsia" w:hint="eastAsia"/>
          <w:color w:val="000000" w:themeColor="text1"/>
          <w:szCs w:val="21"/>
        </w:rPr>
        <w:t>及申购赎回价格</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hint="eastAsia"/>
          <w:color w:val="000000" w:themeColor="text1"/>
          <w:szCs w:val="21"/>
        </w:rPr>
        <w:tab/>
        <w:t>进行基金会计核算并编制基金财务会计报告；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hint="eastAsia"/>
          <w:color w:val="000000" w:themeColor="text1"/>
          <w:szCs w:val="21"/>
        </w:rPr>
        <w:tab/>
        <w:t>编制季度</w:t>
      </w:r>
      <w:r w:rsidRPr="00172454" w:rsidR="00940DC0">
        <w:rPr>
          <w:rFonts w:asciiTheme="minorEastAsia" w:eastAsiaTheme="minorEastAsia" w:hAnsiTheme="minorEastAsia" w:hint="eastAsia"/>
          <w:color w:val="000000" w:themeColor="text1"/>
          <w:szCs w:val="21"/>
        </w:rPr>
        <w:t>报告</w:t>
      </w:r>
      <w:r w:rsidRPr="00172454">
        <w:rPr>
          <w:rFonts w:asciiTheme="minorEastAsia" w:eastAsiaTheme="minorEastAsia" w:hAnsiTheme="minorEastAsia" w:hint="eastAsia"/>
          <w:color w:val="000000" w:themeColor="text1"/>
          <w:szCs w:val="21"/>
        </w:rPr>
        <w:t>、</w:t>
      </w:r>
      <w:r w:rsidRPr="00172454" w:rsidR="00940DC0">
        <w:rPr>
          <w:rFonts w:asciiTheme="minorEastAsia" w:eastAsiaTheme="minorEastAsia" w:hAnsiTheme="minorEastAsia" w:hint="eastAsia"/>
          <w:color w:val="000000" w:themeColor="text1"/>
          <w:szCs w:val="21"/>
        </w:rPr>
        <w:t>中期报告</w:t>
      </w:r>
      <w:r w:rsidRPr="00172454">
        <w:rPr>
          <w:rFonts w:asciiTheme="minorEastAsia" w:eastAsiaTheme="minorEastAsia" w:hAnsiTheme="minorEastAsia" w:hint="eastAsia"/>
          <w:color w:val="000000" w:themeColor="text1"/>
          <w:szCs w:val="21"/>
        </w:rPr>
        <w:t>和年度报告；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w:t>
      </w:r>
      <w:r w:rsidRPr="00172454">
        <w:rPr>
          <w:rFonts w:asciiTheme="minorEastAsia" w:eastAsiaTheme="minorEastAsia" w:hAnsiTheme="minorEastAsia" w:hint="eastAsia"/>
          <w:color w:val="000000" w:themeColor="text1"/>
          <w:szCs w:val="21"/>
        </w:rPr>
        <w:tab/>
        <w:t>严格按照《基金法》、《基金合同》及其他有关规定，履行信息披露及报告义务；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w:t>
      </w:r>
      <w:r w:rsidRPr="00172454">
        <w:rPr>
          <w:rFonts w:asciiTheme="minorEastAsia" w:eastAsiaTheme="minorEastAsia" w:hAnsiTheme="minorEastAsia" w:hint="eastAsia"/>
          <w:color w:val="000000" w:themeColor="text1"/>
          <w:szCs w:val="21"/>
        </w:rPr>
        <w:tab/>
        <w:t>保守基金商业秘密，不泄露基金投资计划、投资意向等。除《基金法》、《基金合同》及其他有关规定另有规定外，在基金信息公开披露前应予保密，不向他人泄露；</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（13）</w:t>
      </w:r>
      <w:r w:rsidRPr="00172454">
        <w:rPr>
          <w:rFonts w:asciiTheme="minorEastAsia" w:eastAsiaTheme="minorEastAsia" w:hAnsiTheme="minorEastAsia" w:hint="eastAsia"/>
          <w:color w:val="000000" w:themeColor="text1"/>
          <w:szCs w:val="21"/>
        </w:rPr>
        <w:tab/>
        <w:t>按《基金合同》的约定确定基金收益分配方案，及时向基金份额持有人分配基金收益；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（14）</w:t>
      </w:r>
      <w:r w:rsidRPr="00172454">
        <w:rPr>
          <w:rFonts w:asciiTheme="minorEastAsia" w:eastAsiaTheme="minorEastAsia" w:hAnsiTheme="minorEastAsia" w:hint="eastAsia"/>
          <w:color w:val="000000" w:themeColor="text1"/>
          <w:szCs w:val="21"/>
        </w:rPr>
        <w:tab/>
        <w:t>按规定受理申购与赎回申请，及时、足额支付投资者申购之基金份额或赎回之对价；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（15）</w:t>
      </w:r>
      <w:r w:rsidRPr="00172454">
        <w:rPr>
          <w:rFonts w:asciiTheme="minorEastAsia" w:eastAsiaTheme="minorEastAsia" w:hAnsiTheme="minorEastAsia" w:hint="eastAsia"/>
          <w:color w:val="000000" w:themeColor="text1"/>
          <w:szCs w:val="21"/>
        </w:rPr>
        <w:tab/>
        <w:t>依据《基金法》、《基金合同》及其他有关规定召集基金份额持有人大会</w:t>
      </w:r>
      <w:r w:rsidRPr="00172454">
        <w:rPr>
          <w:rFonts w:asciiTheme="minorEastAsia" w:eastAsiaTheme="minorEastAsia" w:hAnsiTheme="minorEastAsia"/>
          <w:color w:val="000000" w:themeColor="text1"/>
          <w:szCs w:val="21"/>
        </w:rPr>
        <w:t>或配合基金托管人、基金份额持有人依法召集基金份额持有人大会</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（16）</w:t>
      </w:r>
      <w:r w:rsidRPr="00172454">
        <w:rPr>
          <w:rFonts w:asciiTheme="minorEastAsia" w:eastAsiaTheme="minorEastAsia" w:hAnsiTheme="minorEastAsia" w:hint="eastAsia"/>
          <w:color w:val="000000" w:themeColor="text1"/>
          <w:szCs w:val="21"/>
        </w:rPr>
        <w:tab/>
        <w:t>按规定保存基金财产管理业务活动的会计账册、报表、记录和其他相关资料15年以上；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（17）</w:t>
      </w:r>
      <w:r w:rsidRPr="00172454">
        <w:rPr>
          <w:rFonts w:asciiTheme="minorEastAsia" w:eastAsiaTheme="minorEastAsia" w:hAnsiTheme="minorEastAsia" w:hint="eastAsia"/>
          <w:color w:val="000000" w:themeColor="text1"/>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（18）</w:t>
      </w:r>
      <w:r w:rsidRPr="00172454">
        <w:rPr>
          <w:rFonts w:asciiTheme="minorEastAsia" w:eastAsiaTheme="minorEastAsia" w:hAnsiTheme="minorEastAsia" w:hint="eastAsia"/>
          <w:color w:val="000000" w:themeColor="text1"/>
          <w:szCs w:val="21"/>
        </w:rPr>
        <w:tab/>
        <w:t>组织并参加基金财产清算小组</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参与基金财产的保管、清理、估价、变现和分配；</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（19）</w:t>
      </w:r>
      <w:r w:rsidRPr="00172454">
        <w:rPr>
          <w:rFonts w:asciiTheme="minorEastAsia" w:eastAsiaTheme="minorEastAsia" w:hAnsiTheme="minorEastAsia" w:hint="eastAsia"/>
          <w:color w:val="000000" w:themeColor="text1"/>
          <w:szCs w:val="21"/>
        </w:rPr>
        <w:tab/>
        <w:t>面临解散、依法被撤销或者被依法宣告破产时，及时报告中国证监会并通知基金托管人；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（20）</w:t>
      </w:r>
      <w:r w:rsidRPr="00172454">
        <w:rPr>
          <w:rFonts w:asciiTheme="minorEastAsia" w:eastAsiaTheme="minorEastAsia" w:hAnsiTheme="minorEastAsia" w:hint="eastAsia"/>
          <w:color w:val="000000" w:themeColor="text1"/>
          <w:szCs w:val="21"/>
        </w:rPr>
        <w:tab/>
        <w:t>因违反《基金合同》导致基金财产的损失</w:t>
      </w:r>
      <w:r w:rsidRPr="00172454">
        <w:rPr>
          <w:rFonts w:asciiTheme="minorEastAsia" w:eastAsiaTheme="minorEastAsia" w:hAnsiTheme="minorEastAsia"/>
          <w:color w:val="000000" w:themeColor="text1"/>
          <w:szCs w:val="21"/>
        </w:rPr>
        <w:t>或损害基金份额持有人合法权益</w:t>
      </w:r>
      <w:r w:rsidRPr="00172454">
        <w:rPr>
          <w:rFonts w:asciiTheme="minorEastAsia" w:eastAsiaTheme="minorEastAsia" w:hAnsiTheme="minorEastAsia" w:hint="eastAsia"/>
          <w:color w:val="000000" w:themeColor="text1"/>
          <w:szCs w:val="21"/>
        </w:rPr>
        <w:t>时，应当承担赔偿责任，其赔偿责任不因其退任而免除；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（21）  监督基金托管人按法律法规和《基金合同》规定履行自己的义务，基金托管人违反《基金合同》造成基金财产损失时，基金管理人应为基金份额持有人利益向基金托管人追偿；</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（22）</w:t>
      </w:r>
      <w:r w:rsidRPr="00172454">
        <w:rPr>
          <w:rFonts w:asciiTheme="minorEastAsia" w:eastAsiaTheme="minorEastAsia" w:hAnsiTheme="minorEastAsia" w:hint="eastAsia"/>
          <w:color w:val="000000" w:themeColor="text1"/>
          <w:szCs w:val="21"/>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（23）  以基金管理人名义，代表基金份额持有人利益行使诉讼权利或实施其他法律行为；</w:t>
      </w:r>
      <w:r w:rsidRPr="00172454">
        <w:rPr>
          <w:rFonts w:asciiTheme="minorEastAsia" w:eastAsiaTheme="minorEastAsia" w:hAnsiTheme="minorEastAsia" w:hint="eastAsia"/>
          <w:color w:val="000000" w:themeColor="text1"/>
          <w:szCs w:val="21"/>
        </w:rPr>
        <w:tab/>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（24）  基金管理人在募集期间未能达到基金的备案条件，《基金合同》不能生效，基金管理人承担全部募集费用，将已募集资金并加计银行同期存款利息在基金募集期结束后30日内退还基金认购人；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（25</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 xml:space="preserve">  </w:t>
      </w:r>
      <w:r w:rsidRPr="00172454">
        <w:rPr>
          <w:rFonts w:asciiTheme="minorEastAsia" w:eastAsiaTheme="minorEastAsia" w:hAnsiTheme="minorEastAsia"/>
          <w:color w:val="000000" w:themeColor="text1"/>
          <w:szCs w:val="21"/>
        </w:rPr>
        <w:t>执行生效的基金份额持有人大会的决定</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（26）  </w:t>
      </w:r>
      <w:r w:rsidRPr="00172454">
        <w:rPr>
          <w:rFonts w:asciiTheme="minorEastAsia" w:eastAsiaTheme="minorEastAsia" w:hAnsiTheme="minorEastAsia"/>
          <w:color w:val="000000" w:themeColor="text1"/>
          <w:szCs w:val="21"/>
        </w:rPr>
        <w:t>建立并保存基金份额持有人名册</w:t>
      </w:r>
      <w:r w:rsidRPr="00172454">
        <w:rPr>
          <w:rFonts w:asciiTheme="minorEastAsia" w:eastAsiaTheme="minorEastAsia" w:hAnsiTheme="minorEastAsia" w:hint="eastAsia"/>
          <w:color w:val="000000" w:themeColor="text1"/>
          <w:szCs w:val="21"/>
        </w:rPr>
        <w:t>，根据托管协议的约定向基金托管人提供基金份额持有人名册</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（27）  </w:t>
      </w:r>
      <w:r w:rsidRPr="00172454">
        <w:rPr>
          <w:rFonts w:asciiTheme="minorEastAsia" w:eastAsiaTheme="minorEastAsia" w:hAnsiTheme="minorEastAsia"/>
          <w:color w:val="000000" w:themeColor="text1"/>
          <w:szCs w:val="21"/>
        </w:rPr>
        <w:t>法律法规</w:t>
      </w:r>
      <w:r w:rsidRPr="00172454">
        <w:rPr>
          <w:rFonts w:asciiTheme="minorEastAsia" w:eastAsiaTheme="minorEastAsia" w:hAnsiTheme="minorEastAsia" w:hint="eastAsia"/>
          <w:color w:val="000000" w:themeColor="text1"/>
          <w:szCs w:val="21"/>
        </w:rPr>
        <w:t>及中国证监会规定的</w:t>
      </w:r>
      <w:r w:rsidRPr="00172454">
        <w:rPr>
          <w:rFonts w:asciiTheme="minorEastAsia" w:eastAsiaTheme="minorEastAsia" w:hAnsiTheme="minorEastAsia"/>
          <w:color w:val="000000" w:themeColor="text1"/>
          <w:szCs w:val="21"/>
        </w:rPr>
        <w:t>和《基金合同》</w:t>
      </w:r>
      <w:r w:rsidRPr="00172454">
        <w:rPr>
          <w:rFonts w:asciiTheme="minorEastAsia" w:eastAsiaTheme="minorEastAsia" w:hAnsiTheme="minorEastAsia" w:hint="eastAsia"/>
          <w:color w:val="000000" w:themeColor="text1"/>
          <w:szCs w:val="21"/>
        </w:rPr>
        <w:t>约</w:t>
      </w:r>
      <w:r w:rsidRPr="00172454">
        <w:rPr>
          <w:rFonts w:asciiTheme="minorEastAsia" w:eastAsiaTheme="minorEastAsia" w:hAnsiTheme="minorEastAsia"/>
          <w:color w:val="000000" w:themeColor="text1"/>
          <w:szCs w:val="21"/>
        </w:rPr>
        <w:t>定的其他义务。</w:t>
      </w:r>
    </w:p>
    <w:p w:rsidR="005D5BC7" w:rsidRPr="00172454" w:rsidP="00F07B7D">
      <w:pPr>
        <w:pStyle w:val="Heading2"/>
        <w:adjustRightInd w:val="0"/>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542" w:name="_Toc238024336"/>
      <w:bookmarkStart w:id="543" w:name="_Toc253577376"/>
      <w:bookmarkStart w:id="544" w:name="_Toc91767074"/>
      <w:r w:rsidRPr="00172454">
        <w:rPr>
          <w:rFonts w:asciiTheme="minorEastAsia" w:eastAsiaTheme="minorEastAsia" w:hAnsiTheme="minorEastAsia" w:hint="eastAsia"/>
          <w:b w:val="0"/>
          <w:bCs/>
          <w:color w:val="000000" w:themeColor="text1"/>
        </w:rPr>
        <w:t>（二）基金托管人的权利与义务</w:t>
      </w:r>
      <w:bookmarkEnd w:id="542"/>
      <w:bookmarkEnd w:id="543"/>
      <w:bookmarkEnd w:id="54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1、根据《基金法》、《运作办法》及其他有关规定，基金托管人的权利包括但不限于：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t>自《基金合同》生效之日起，依法律法规和《基金合同》的规定安全保管基金财产；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hint="eastAsia"/>
          <w:color w:val="000000" w:themeColor="text1"/>
          <w:szCs w:val="21"/>
        </w:rPr>
        <w:tab/>
        <w:t>依《基金合同》约定获得基金托管费以及法律法规规定或监管部门批准的其他收入；</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ab/>
        <w:t>监督基金管理人对本基金的投资运作，如发现基金管理人有违反《基金合同》及国家法律法规行为，</w:t>
      </w:r>
      <w:r w:rsidRPr="00172454">
        <w:rPr>
          <w:rFonts w:asciiTheme="minorEastAsia" w:eastAsiaTheme="minorEastAsia" w:hAnsiTheme="minorEastAsia"/>
          <w:color w:val="000000" w:themeColor="text1"/>
          <w:szCs w:val="21"/>
        </w:rPr>
        <w:t>对基金</w:t>
      </w:r>
      <w:r w:rsidRPr="00172454">
        <w:rPr>
          <w:rFonts w:asciiTheme="minorEastAsia" w:eastAsiaTheme="minorEastAsia" w:hAnsiTheme="minorEastAsia" w:hint="eastAsia"/>
          <w:color w:val="000000" w:themeColor="text1"/>
          <w:szCs w:val="21"/>
        </w:rPr>
        <w:t>财</w:t>
      </w:r>
      <w:r w:rsidRPr="00172454">
        <w:rPr>
          <w:rFonts w:asciiTheme="minorEastAsia" w:eastAsiaTheme="minorEastAsia" w:hAnsiTheme="minorEastAsia"/>
          <w:color w:val="000000" w:themeColor="text1"/>
          <w:szCs w:val="21"/>
        </w:rPr>
        <w:t>产、其他当事人的利益造成重大损失的</w:t>
      </w:r>
      <w:r w:rsidRPr="00172454">
        <w:rPr>
          <w:rFonts w:asciiTheme="minorEastAsia" w:eastAsiaTheme="minorEastAsia" w:hAnsiTheme="minorEastAsia" w:hint="eastAsia"/>
          <w:color w:val="000000" w:themeColor="text1"/>
          <w:szCs w:val="21"/>
        </w:rPr>
        <w:t>情形</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应呈报中国证监会，并采取必要措施保护基金投资者的利益；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以基金托管人和基金联名的方式在中国证券登记结算有限公司上海分公司和深圳分公司开设证券账户；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以基金托管人名义开立证券交易资金账户，用于证券交易资金清算；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以基金的名义在中央国债登记结算有限公司开设</w:t>
      </w:r>
      <w:r w:rsidRPr="00172454">
        <w:rPr>
          <w:rFonts w:asciiTheme="minorEastAsia" w:eastAsiaTheme="minorEastAsia" w:hAnsiTheme="minorEastAsia" w:hint="eastAsia"/>
          <w:color w:val="000000" w:themeColor="text1"/>
          <w:szCs w:val="21"/>
        </w:rPr>
        <w:t>银行间</w:t>
      </w:r>
      <w:r w:rsidRPr="00172454">
        <w:rPr>
          <w:rFonts w:asciiTheme="minorEastAsia" w:eastAsiaTheme="minorEastAsia" w:hAnsiTheme="minorEastAsia"/>
          <w:color w:val="000000" w:themeColor="text1"/>
          <w:szCs w:val="21"/>
        </w:rPr>
        <w:t>债券托管账户</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负责基金</w:t>
      </w:r>
      <w:r w:rsidRPr="00172454">
        <w:rPr>
          <w:rFonts w:asciiTheme="minorEastAsia" w:eastAsiaTheme="minorEastAsia" w:hAnsiTheme="minorEastAsia" w:hint="eastAsia"/>
          <w:color w:val="000000" w:themeColor="text1"/>
          <w:szCs w:val="21"/>
        </w:rPr>
        <w:t>投资</w:t>
      </w:r>
      <w:r w:rsidRPr="00172454">
        <w:rPr>
          <w:rFonts w:asciiTheme="minorEastAsia" w:eastAsiaTheme="minorEastAsia" w:hAnsiTheme="minorEastAsia"/>
          <w:color w:val="000000" w:themeColor="text1"/>
          <w:szCs w:val="21"/>
        </w:rPr>
        <w:t>债券</w:t>
      </w:r>
      <w:r w:rsidRPr="00172454">
        <w:rPr>
          <w:rFonts w:asciiTheme="minorEastAsia" w:eastAsiaTheme="minorEastAsia" w:hAnsiTheme="minorEastAsia" w:hint="eastAsia"/>
          <w:color w:val="000000" w:themeColor="text1"/>
          <w:szCs w:val="21"/>
        </w:rPr>
        <w:t>的后台匹配</w:t>
      </w:r>
      <w:r w:rsidRPr="00172454">
        <w:rPr>
          <w:rFonts w:asciiTheme="minorEastAsia" w:eastAsiaTheme="minorEastAsia" w:hAnsiTheme="minorEastAsia"/>
          <w:color w:val="000000" w:themeColor="text1"/>
          <w:szCs w:val="21"/>
        </w:rPr>
        <w:t>及资金的清算；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ab/>
        <w:t>提议召开或召集基金份额持有人大会；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ab/>
        <w:t>在基金管理人更换时，提名新的基金管理人；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hint="eastAsia"/>
          <w:color w:val="000000" w:themeColor="text1"/>
          <w:szCs w:val="21"/>
        </w:rPr>
        <w:tab/>
        <w:t>法律法规和《基金合同》规定的其他权利。</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2、根据《基金法》、《运作办法》及其他有关规定，基金托管人的义务包括但不限于：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t>以诚实信用、勤勉尽责的原则持有并安全保管基金财产；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hint="eastAsia"/>
          <w:color w:val="000000" w:themeColor="text1"/>
          <w:szCs w:val="21"/>
        </w:rPr>
        <w:tab/>
        <w:t>设立专门的基金托管部门，具有符合要求的营业场所，配备足够的、合格的熟悉基金托管业务的专职人员，负责基金财产托管事宜；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hint="eastAsia"/>
          <w:color w:val="000000" w:themeColor="text1"/>
          <w:szCs w:val="21"/>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t>除依据《基金法》、《基金合同》及其他有关规定外，不得利用基金财产为自己及任何第三人谋取利益，不得委托第三人托管基金财产；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t>保管由基金管理人代表基金签订的与基金有关的重大合同及有关凭证；</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hint="eastAsia"/>
          <w:color w:val="000000" w:themeColor="text1"/>
          <w:szCs w:val="21"/>
        </w:rPr>
        <w:tab/>
        <w:t>按规定开设基金财产的资金账户和证券账户</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按照《基金合同》的约定，根据基金管理人的投资指令，及时办理清算、交割事宜；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ab/>
        <w:t>保守基金商业秘密，除《基金法》、《基金合同》及其他有关规定另有规定外，在基金信息公开披露前予以保密，不得向他人泄露；</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ab/>
        <w:t>复核、审查基金管理人计算的基金净值</w:t>
      </w:r>
      <w:r w:rsidRPr="00172454" w:rsidR="00940DC0">
        <w:rPr>
          <w:rFonts w:asciiTheme="minorEastAsia" w:eastAsiaTheme="minorEastAsia" w:hAnsiTheme="minorEastAsia" w:hint="eastAsia"/>
          <w:color w:val="000000" w:themeColor="text1"/>
          <w:szCs w:val="21"/>
        </w:rPr>
        <w:t>信息</w:t>
      </w:r>
      <w:r w:rsidRPr="00172454" w:rsidR="002745F9">
        <w:rPr>
          <w:rFonts w:asciiTheme="minorEastAsia" w:eastAsiaTheme="minorEastAsia" w:hAnsiTheme="minorEastAsia" w:hint="eastAsia"/>
          <w:color w:val="000000" w:themeColor="text1"/>
          <w:szCs w:val="21"/>
        </w:rPr>
        <w:t>、基金份额申购、赎回对价及申购赎回价格</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hint="eastAsia"/>
          <w:color w:val="000000" w:themeColor="text1"/>
          <w:szCs w:val="21"/>
        </w:rPr>
        <w:tab/>
        <w:t>办理与基金托管业务活动有关的信息披露事项；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hint="eastAsia"/>
          <w:color w:val="000000" w:themeColor="text1"/>
          <w:szCs w:val="21"/>
        </w:rPr>
        <w:tab/>
        <w:t>对基金财务会计报告、季度</w:t>
      </w:r>
      <w:r w:rsidRPr="00172454" w:rsidR="00940DC0">
        <w:rPr>
          <w:rFonts w:asciiTheme="minorEastAsia" w:eastAsiaTheme="minorEastAsia" w:hAnsiTheme="minorEastAsia" w:hint="eastAsia"/>
          <w:color w:val="000000" w:themeColor="text1"/>
          <w:szCs w:val="21"/>
        </w:rPr>
        <w:t>报告</w:t>
      </w:r>
      <w:r w:rsidRPr="00172454">
        <w:rPr>
          <w:rFonts w:asciiTheme="minorEastAsia" w:eastAsiaTheme="minorEastAsia" w:hAnsiTheme="minorEastAsia" w:hint="eastAsia"/>
          <w:color w:val="000000" w:themeColor="text1"/>
          <w:szCs w:val="21"/>
        </w:rPr>
        <w:t>、</w:t>
      </w:r>
      <w:r w:rsidRPr="00172454" w:rsidR="00940DC0">
        <w:rPr>
          <w:rFonts w:asciiTheme="minorEastAsia" w:eastAsiaTheme="minorEastAsia" w:hAnsiTheme="minorEastAsia" w:hint="eastAsia"/>
          <w:color w:val="000000" w:themeColor="text1"/>
          <w:szCs w:val="21"/>
        </w:rPr>
        <w:t>中期报告</w:t>
      </w:r>
      <w:r w:rsidRPr="00172454">
        <w:rPr>
          <w:rFonts w:asciiTheme="minorEastAsia" w:eastAsiaTheme="minorEastAsia" w:hAnsiTheme="minorEastAsia" w:hint="eastAsia"/>
          <w:color w:val="000000" w:themeColor="text1"/>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w:t>
      </w:r>
      <w:r w:rsidRPr="00172454">
        <w:rPr>
          <w:rFonts w:asciiTheme="minorEastAsia" w:eastAsiaTheme="minorEastAsia" w:hAnsiTheme="minorEastAsia" w:hint="eastAsia"/>
          <w:color w:val="000000" w:themeColor="text1"/>
          <w:szCs w:val="21"/>
        </w:rPr>
        <w:tab/>
        <w:t>保存基金托管业务活动的记录、账册、报表和其他相关资料15年以上；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建立并保存基金份额持有人名册</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（13）</w:t>
      </w:r>
      <w:r w:rsidRPr="00172454">
        <w:rPr>
          <w:rFonts w:asciiTheme="minorEastAsia" w:eastAsiaTheme="minorEastAsia" w:hAnsiTheme="minorEastAsia" w:hint="eastAsia"/>
          <w:color w:val="000000" w:themeColor="text1"/>
          <w:szCs w:val="21"/>
        </w:rPr>
        <w:tab/>
        <w:t>按规定制作相关账册并与基金管理人核对；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（14）</w:t>
      </w:r>
      <w:r w:rsidRPr="00172454">
        <w:rPr>
          <w:rFonts w:asciiTheme="minorEastAsia" w:eastAsiaTheme="minorEastAsia" w:hAnsiTheme="minorEastAsia" w:hint="eastAsia"/>
          <w:color w:val="000000" w:themeColor="text1"/>
          <w:szCs w:val="21"/>
        </w:rPr>
        <w:tab/>
        <w:t>依据基金管理人的指令或有关规定向基金份额持有人支付基金收益和赎回对价；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（15）</w:t>
      </w:r>
      <w:r w:rsidRPr="00172454">
        <w:rPr>
          <w:rFonts w:asciiTheme="minorEastAsia" w:eastAsiaTheme="minorEastAsia" w:hAnsiTheme="minorEastAsia" w:hint="eastAsia"/>
          <w:color w:val="000000" w:themeColor="text1"/>
          <w:szCs w:val="21"/>
        </w:rPr>
        <w:tab/>
        <w:t>按照规定召集基金份额持有人大会或配合基金份额持有人依法召集基金份额持有人大会；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（16）</w:t>
      </w:r>
      <w:r w:rsidRPr="00172454">
        <w:rPr>
          <w:rFonts w:asciiTheme="minorEastAsia" w:eastAsiaTheme="minorEastAsia" w:hAnsiTheme="minorEastAsia" w:hint="eastAsia"/>
          <w:color w:val="000000" w:themeColor="text1"/>
          <w:szCs w:val="21"/>
        </w:rPr>
        <w:tab/>
        <w:t>按照法律法规和《基金合同》的规定监督基金管理人的投资运作；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（17）</w:t>
      </w:r>
      <w:r w:rsidRPr="00172454">
        <w:rPr>
          <w:rFonts w:asciiTheme="minorEastAsia" w:eastAsiaTheme="minorEastAsia" w:hAnsiTheme="minorEastAsia" w:hint="eastAsia"/>
          <w:color w:val="000000" w:themeColor="text1"/>
          <w:szCs w:val="21"/>
        </w:rPr>
        <w:tab/>
        <w:t>参加基金财产清算小组，参与基金财产的保管、清理、估价、变现和分配；</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（18）</w:t>
      </w:r>
      <w:r w:rsidRPr="00172454">
        <w:rPr>
          <w:rFonts w:asciiTheme="minorEastAsia" w:eastAsiaTheme="minorEastAsia" w:hAnsiTheme="minorEastAsia" w:hint="eastAsia"/>
          <w:color w:val="000000" w:themeColor="text1"/>
          <w:szCs w:val="21"/>
        </w:rPr>
        <w:tab/>
        <w:t>面临解散、依法被撤销或者被依法宣告破产时，及时报告中国证监会和银行监管机构，并通知基金管理人；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（19）</w:t>
      </w:r>
      <w:r w:rsidRPr="00172454">
        <w:rPr>
          <w:rFonts w:asciiTheme="minorEastAsia" w:eastAsiaTheme="minorEastAsia" w:hAnsiTheme="minorEastAsia" w:hint="eastAsia"/>
          <w:color w:val="000000" w:themeColor="text1"/>
          <w:szCs w:val="21"/>
        </w:rPr>
        <w:tab/>
        <w:t>因违反《基金合同》导致基金财产损失时，应承担赔偿责任，其赔偿责任不因其退任而免除；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（20）</w:t>
      </w:r>
      <w:r w:rsidRPr="00172454">
        <w:rPr>
          <w:rFonts w:asciiTheme="minorEastAsia" w:eastAsiaTheme="minorEastAsia" w:hAnsiTheme="minorEastAsia" w:hint="eastAsia"/>
          <w:color w:val="000000" w:themeColor="text1"/>
          <w:szCs w:val="21"/>
        </w:rPr>
        <w:tab/>
        <w:t>按规定监督基金管理人按法律法规和《基金合同》规定履行自己的义务，基金管理人因违反《基金合同》造成基金财产损失时，应为基金利益向基金管理人追偿；</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（21）</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执行生效的基金份额持有人大会的决定</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（22）</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法律法规</w:t>
      </w:r>
      <w:r w:rsidRPr="00172454">
        <w:rPr>
          <w:rFonts w:asciiTheme="minorEastAsia" w:eastAsiaTheme="minorEastAsia" w:hAnsiTheme="minorEastAsia" w:hint="eastAsia"/>
          <w:color w:val="000000" w:themeColor="text1"/>
          <w:szCs w:val="21"/>
        </w:rPr>
        <w:t>及中国证监会规定的</w:t>
      </w:r>
      <w:r w:rsidRPr="00172454">
        <w:rPr>
          <w:rFonts w:asciiTheme="minorEastAsia" w:eastAsiaTheme="minorEastAsia" w:hAnsiTheme="minorEastAsia"/>
          <w:color w:val="000000" w:themeColor="text1"/>
          <w:szCs w:val="21"/>
        </w:rPr>
        <w:t>和《基金合同》</w:t>
      </w:r>
      <w:r w:rsidRPr="00172454">
        <w:rPr>
          <w:rFonts w:asciiTheme="minorEastAsia" w:eastAsiaTheme="minorEastAsia" w:hAnsiTheme="minorEastAsia" w:hint="eastAsia"/>
          <w:color w:val="000000" w:themeColor="text1"/>
          <w:szCs w:val="21"/>
        </w:rPr>
        <w:t>约</w:t>
      </w:r>
      <w:r w:rsidRPr="00172454">
        <w:rPr>
          <w:rFonts w:asciiTheme="minorEastAsia" w:eastAsiaTheme="minorEastAsia" w:hAnsiTheme="minorEastAsia"/>
          <w:color w:val="000000" w:themeColor="text1"/>
          <w:szCs w:val="21"/>
        </w:rPr>
        <w:t>定的其他义务。</w:t>
      </w:r>
    </w:p>
    <w:p w:rsidR="005D5BC7" w:rsidRPr="00172454" w:rsidP="00F07B7D">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szCs w:val="21"/>
        </w:rPr>
      </w:pPr>
      <w:bookmarkStart w:id="545" w:name="_Toc238024337"/>
      <w:bookmarkStart w:id="546" w:name="_Toc253577377"/>
      <w:bookmarkStart w:id="547" w:name="_Toc91767075"/>
      <w:r w:rsidRPr="00172454">
        <w:rPr>
          <w:rFonts w:asciiTheme="minorEastAsia" w:eastAsiaTheme="minorEastAsia" w:hAnsiTheme="minorEastAsia" w:hint="eastAsia"/>
          <w:b w:val="0"/>
          <w:bCs/>
          <w:color w:val="000000" w:themeColor="text1"/>
        </w:rPr>
        <w:t>（三）基金份额持有人的权利与义务</w:t>
      </w:r>
      <w:bookmarkEnd w:id="545"/>
      <w:bookmarkEnd w:id="546"/>
      <w:bookmarkEnd w:id="547"/>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每份基金份额具有同等的合法权益。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1、根据《基金法》、《运作办法》及其他有关规定，基金份额持有人的权利包括但不限于：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48" w:name="OLE_LINK466"/>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t>分享基金财产收益；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参与分配清算后的剩余基金财产</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hint="eastAsia"/>
          <w:color w:val="000000" w:themeColor="text1"/>
          <w:szCs w:val="21"/>
        </w:rPr>
        <w:tab/>
        <w:t>依法</w:t>
      </w:r>
      <w:r w:rsidRPr="00172454" w:rsidR="007443B0">
        <w:rPr>
          <w:rFonts w:asciiTheme="minorEastAsia" w:eastAsiaTheme="minorEastAsia" w:hAnsiTheme="minorEastAsia" w:hint="eastAsia"/>
          <w:color w:val="000000" w:themeColor="text1"/>
          <w:szCs w:val="21"/>
        </w:rPr>
        <w:t>转让或</w:t>
      </w:r>
      <w:r w:rsidRPr="00172454">
        <w:rPr>
          <w:rFonts w:asciiTheme="minorEastAsia" w:eastAsiaTheme="minorEastAsia" w:hAnsiTheme="minorEastAsia" w:hint="eastAsia"/>
          <w:color w:val="000000" w:themeColor="text1"/>
          <w:szCs w:val="21"/>
        </w:rPr>
        <w:t>申请赎回其持有的基金份额</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按照规定要求召开基金份额持有人大会</w:t>
      </w:r>
      <w:r w:rsidRPr="00172454" w:rsidR="007443B0">
        <w:rPr>
          <w:rFonts w:asciiTheme="minorEastAsia" w:eastAsiaTheme="minorEastAsia" w:hAnsiTheme="minorEastAsia" w:hint="eastAsia"/>
          <w:bCs/>
          <w:color w:val="000000" w:themeColor="text1"/>
          <w:szCs w:val="21"/>
        </w:rPr>
        <w:t>或者召集基金份额持有人大会</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t>出席或者委派代表出席基金</w:t>
      </w:r>
      <w:r w:rsidRPr="00172454">
        <w:rPr>
          <w:rFonts w:asciiTheme="minorEastAsia" w:eastAsiaTheme="minorEastAsia" w:hAnsiTheme="minorEastAsia"/>
          <w:color w:val="000000" w:themeColor="text1"/>
          <w:szCs w:val="21"/>
        </w:rPr>
        <w:t>份额</w:t>
      </w:r>
      <w:r w:rsidRPr="00172454">
        <w:rPr>
          <w:rFonts w:asciiTheme="minorEastAsia" w:eastAsiaTheme="minorEastAsia" w:hAnsiTheme="minorEastAsia" w:hint="eastAsia"/>
          <w:color w:val="000000" w:themeColor="text1"/>
          <w:szCs w:val="21"/>
        </w:rPr>
        <w:t>持有人大会，</w:t>
      </w:r>
      <w:r w:rsidRPr="00172454">
        <w:rPr>
          <w:rFonts w:asciiTheme="minorEastAsia" w:eastAsiaTheme="minorEastAsia" w:hAnsiTheme="minorEastAsia"/>
          <w:color w:val="000000" w:themeColor="text1"/>
          <w:szCs w:val="21"/>
        </w:rPr>
        <w:t>对基金份额持有人大会审议事项行使表决权</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查阅或者复制公开披露的基金信息资料；</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ab/>
      </w:r>
      <w:r w:rsidRPr="00172454">
        <w:rPr>
          <w:rFonts w:asciiTheme="minorEastAsia" w:eastAsiaTheme="minorEastAsia" w:hAnsiTheme="minorEastAsia"/>
          <w:color w:val="000000" w:themeColor="text1"/>
          <w:szCs w:val="21"/>
        </w:rPr>
        <w:t>监督基金管理人的投资运作</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ab/>
        <w:t>对基金管理人、基金托管人、基金</w:t>
      </w:r>
      <w:r w:rsidRPr="00172454" w:rsidR="00E50E74">
        <w:rPr>
          <w:rFonts w:asciiTheme="minorEastAsia" w:eastAsiaTheme="minorEastAsia" w:hAnsiTheme="minorEastAsia" w:hint="eastAsia"/>
          <w:color w:val="000000" w:themeColor="text1"/>
          <w:szCs w:val="21"/>
        </w:rPr>
        <w:t>服务</w:t>
      </w:r>
      <w:r w:rsidRPr="00172454">
        <w:rPr>
          <w:rFonts w:asciiTheme="minorEastAsia" w:eastAsiaTheme="minorEastAsia" w:hAnsiTheme="minorEastAsia" w:hint="eastAsia"/>
          <w:color w:val="000000" w:themeColor="text1"/>
          <w:szCs w:val="21"/>
        </w:rPr>
        <w:t>机构损害其合法权益的行为依法提起诉讼；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hint="eastAsia"/>
          <w:color w:val="000000" w:themeColor="text1"/>
          <w:szCs w:val="21"/>
        </w:rPr>
        <w:tab/>
        <w:t>法律法规和《基金合同》规定的其他权利。</w:t>
      </w:r>
    </w:p>
    <w:p w:rsidR="00E50E74"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由于场内与场外申购、赎回方式上的差异，本基金投资者依据基金份额净值所支付、取得的场外申购、赎回现金对价，与场内申购、赎回所支付、取得的对价方式不同。投资者可自行判断并选择适合自身的申购赎回场所、方式。</w:t>
      </w:r>
    </w:p>
    <w:bookmarkEnd w:id="548"/>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2、根据《基金法》、《运作办法》及其他有关规定，基金份额持有人的义务包括但不限于：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hint="eastAsia"/>
          <w:color w:val="000000" w:themeColor="text1"/>
          <w:szCs w:val="21"/>
        </w:rPr>
        <w:tab/>
        <w:t>遵守《基金合同》；</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hint="eastAsia"/>
          <w:color w:val="000000" w:themeColor="text1"/>
          <w:szCs w:val="21"/>
        </w:rPr>
        <w:tab/>
        <w:t>缴纳基金认购、申购、赎回款项及法律法规和《基金合同》所规定的费用；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hint="eastAsia"/>
          <w:color w:val="000000" w:themeColor="text1"/>
          <w:szCs w:val="21"/>
        </w:rPr>
        <w:tab/>
        <w:t>在其持有的基金份额范围内，承担基金亏损或者《基金合同》终止的有限责任；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hint="eastAsia"/>
          <w:color w:val="000000" w:themeColor="text1"/>
          <w:szCs w:val="21"/>
        </w:rPr>
        <w:tab/>
        <w:t>不从事任何有损基金及其他《基金合同》当事人</w:t>
      </w:r>
      <w:r w:rsidRPr="00172454">
        <w:rPr>
          <w:rFonts w:asciiTheme="minorEastAsia" w:eastAsiaTheme="minorEastAsia" w:hAnsiTheme="minorEastAsia"/>
          <w:color w:val="000000" w:themeColor="text1"/>
          <w:szCs w:val="21"/>
        </w:rPr>
        <w:t>合法权益</w:t>
      </w:r>
      <w:r w:rsidRPr="00172454">
        <w:rPr>
          <w:rFonts w:asciiTheme="minorEastAsia" w:eastAsiaTheme="minorEastAsia" w:hAnsiTheme="minorEastAsia" w:hint="eastAsia"/>
          <w:color w:val="000000" w:themeColor="text1"/>
          <w:szCs w:val="21"/>
        </w:rPr>
        <w:t>的活动；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hint="eastAsia"/>
          <w:color w:val="000000" w:themeColor="text1"/>
          <w:szCs w:val="21"/>
        </w:rPr>
        <w:tab/>
        <w:t>返还在基金交易过程中因任何原因，自基金管理人、基金托管人及</w:t>
      </w:r>
      <w:r w:rsidRPr="00172454" w:rsidR="007E111A">
        <w:rPr>
          <w:rFonts w:asciiTheme="minorEastAsia" w:eastAsiaTheme="minorEastAsia" w:hAnsiTheme="minorEastAsia" w:hint="eastAsia"/>
          <w:color w:val="000000" w:themeColor="text1"/>
          <w:szCs w:val="21"/>
        </w:rPr>
        <w:t>销售</w:t>
      </w:r>
      <w:r w:rsidRPr="00172454">
        <w:rPr>
          <w:rFonts w:asciiTheme="minorEastAsia" w:eastAsiaTheme="minorEastAsia" w:hAnsiTheme="minorEastAsia" w:hint="eastAsia"/>
          <w:color w:val="000000" w:themeColor="text1"/>
          <w:szCs w:val="21"/>
        </w:rPr>
        <w:t>机构处获得的不当得利；</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   执行生效的基金份额持有人大会的决定；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color w:val="000000" w:themeColor="text1"/>
          <w:szCs w:val="21"/>
        </w:rPr>
        <w:tab/>
        <w:t>法律法规</w:t>
      </w:r>
      <w:r w:rsidRPr="00172454">
        <w:rPr>
          <w:rFonts w:asciiTheme="minorEastAsia" w:eastAsiaTheme="minorEastAsia" w:hAnsiTheme="minorEastAsia" w:hint="eastAsia"/>
          <w:color w:val="000000" w:themeColor="text1"/>
          <w:szCs w:val="21"/>
        </w:rPr>
        <w:t>及中国证监会规定的</w:t>
      </w:r>
      <w:r w:rsidRPr="00172454">
        <w:rPr>
          <w:rFonts w:asciiTheme="minorEastAsia" w:eastAsiaTheme="minorEastAsia" w:hAnsiTheme="minorEastAsia"/>
          <w:color w:val="000000" w:themeColor="text1"/>
          <w:szCs w:val="21"/>
        </w:rPr>
        <w:t>和《基金合同》</w:t>
      </w:r>
      <w:r w:rsidRPr="00172454">
        <w:rPr>
          <w:rFonts w:asciiTheme="minorEastAsia" w:eastAsiaTheme="minorEastAsia" w:hAnsiTheme="minorEastAsia" w:hint="eastAsia"/>
          <w:color w:val="000000" w:themeColor="text1"/>
          <w:szCs w:val="21"/>
        </w:rPr>
        <w:t>约</w:t>
      </w:r>
      <w:r w:rsidRPr="00172454">
        <w:rPr>
          <w:rFonts w:asciiTheme="minorEastAsia" w:eastAsiaTheme="minorEastAsia" w:hAnsiTheme="minorEastAsia"/>
          <w:color w:val="000000" w:themeColor="text1"/>
          <w:szCs w:val="21"/>
        </w:rPr>
        <w:t>定的其他义务。</w:t>
      </w:r>
    </w:p>
    <w:p w:rsidR="005D5BC7" w:rsidRPr="00172454" w:rsidP="00F07B7D">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549" w:name="_Toc238024338"/>
      <w:bookmarkStart w:id="550" w:name="_Toc253577378"/>
      <w:bookmarkStart w:id="551" w:name="_Toc91767076"/>
      <w:r w:rsidRPr="00172454">
        <w:rPr>
          <w:rFonts w:asciiTheme="minorEastAsia" w:eastAsiaTheme="minorEastAsia" w:hAnsiTheme="minorEastAsia" w:hint="eastAsia"/>
          <w:b w:val="0"/>
          <w:bCs/>
          <w:color w:val="000000" w:themeColor="text1"/>
        </w:rPr>
        <w:t>（四）基金份额持有人大会</w:t>
      </w:r>
      <w:bookmarkEnd w:id="549"/>
      <w:bookmarkEnd w:id="550"/>
      <w:bookmarkEnd w:id="55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1、基金份额持有人大会的组成</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（1）本基金的基金份额持有人大会，由本基金的基金份额持有人组成，基金份额持有人可委托代理人参加会议并行使表决权。基金份额持有人持有的每一基金份额</w:t>
      </w:r>
      <w:r w:rsidRPr="00172454" w:rsidR="007E111A">
        <w:rPr>
          <w:rFonts w:asciiTheme="minorEastAsia" w:eastAsiaTheme="minorEastAsia" w:hAnsiTheme="minorEastAsia" w:hint="eastAsia"/>
          <w:color w:val="000000" w:themeColor="text1"/>
          <w:szCs w:val="21"/>
        </w:rPr>
        <w:t>（包括场内份额和场外份额）</w:t>
      </w:r>
      <w:r w:rsidRPr="00172454">
        <w:rPr>
          <w:rFonts w:asciiTheme="minorEastAsia" w:eastAsiaTheme="minorEastAsia" w:hAnsiTheme="minorEastAsia" w:hint="eastAsia"/>
          <w:color w:val="000000" w:themeColor="text1"/>
          <w:szCs w:val="21"/>
        </w:rPr>
        <w:t>拥有平等的投票权。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鉴于本基金和本基金的联接基金（即“易方达上证中盘交易型开放式指数证券投资基金联接基金”，以下简称“联接基金”）的相关性，联接基金的基金份额持有人可以凭所持有的联接基金的份额直接参加本基金的基金份额持有人大会表决。在计算参会份额和计票时，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552" w:name="_Toc15641220"/>
      <w:bookmarkStart w:id="553" w:name="_Toc57530243"/>
      <w:bookmarkStart w:id="554" w:name="_Toc79392584"/>
      <w:r w:rsidRPr="00172454">
        <w:rPr>
          <w:rFonts w:asciiTheme="minorEastAsia" w:eastAsiaTheme="minorEastAsia" w:hAnsiTheme="minorEastAsia" w:hint="eastAsia"/>
          <w:color w:val="000000" w:themeColor="text1"/>
          <w:szCs w:val="21"/>
        </w:rPr>
        <w:t>2、召开事由</w:t>
      </w:r>
      <w:bookmarkEnd w:id="552"/>
      <w:bookmarkEnd w:id="553"/>
      <w:bookmarkEnd w:id="55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（1）当出现或需要决定下列事由之一的，应当召开基金份额持有人大会：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1）终止《基金合同》；</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2）更换基金管理人；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3）更换基金托管人；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4）转换基金运作方式；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5）提高基金管理人、基金托管人的报酬标准；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color w:val="000000" w:themeColor="text1"/>
          <w:szCs w:val="21"/>
        </w:rPr>
        <w:t>变更基金类别</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本基金与其他基金的合并；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color w:val="000000" w:themeColor="text1"/>
          <w:szCs w:val="21"/>
        </w:rPr>
        <w:t>变更基金投资目标、范围或策略</w:t>
      </w:r>
      <w:r w:rsidRPr="00172454">
        <w:rPr>
          <w:rFonts w:asciiTheme="minorEastAsia" w:eastAsiaTheme="minorEastAsia" w:hAnsiTheme="minorEastAsia" w:hint="eastAsia"/>
          <w:color w:val="000000" w:themeColor="text1"/>
          <w:szCs w:val="21"/>
        </w:rPr>
        <w:t>（法律法规和中国证监会另有规定的除外）；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Pr>
          <w:rFonts w:asciiTheme="minorEastAsia" w:eastAsiaTheme="minorEastAsia" w:hAnsiTheme="minorEastAsia"/>
          <w:color w:val="000000" w:themeColor="text1"/>
          <w:szCs w:val="21"/>
        </w:rPr>
        <w:t>变更基金份额持有人大会程序</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10）基金管理人或基金托管人要求召开基金份额持有人大会；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12）对基金当事人权利和义务产生重大影响的其他事项；</w:t>
      </w:r>
    </w:p>
    <w:p w:rsidR="00207CED"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55" w:name="OLE_LINK501"/>
      <w:r w:rsidRPr="00172454">
        <w:rPr>
          <w:rFonts w:asciiTheme="minorEastAsia" w:eastAsiaTheme="minorEastAsia" w:hAnsiTheme="minorEastAsia" w:hint="eastAsia"/>
          <w:color w:val="000000" w:themeColor="text1"/>
          <w:szCs w:val="21"/>
        </w:rPr>
        <w:t>13）终止基金上市，但因基金不再具备上市条件而被上海证券交易所终止上市的除外；</w:t>
      </w:r>
      <w:bookmarkEnd w:id="555"/>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14）法律法规、《基金合同》或中国证监会规定的其他应当召开基金份额持有人大会的事项。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（2）以下情况可由基金管理人和基金托管人协商后修改，不需召开基金份额持有人大会：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1）调低基金管理费、基金托管费；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2）法律法规要求增加的基金费用的收取；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在</w:t>
      </w:r>
      <w:r w:rsidRPr="00172454">
        <w:rPr>
          <w:rFonts w:asciiTheme="minorEastAsia" w:eastAsiaTheme="minorEastAsia" w:hAnsiTheme="minorEastAsia" w:hint="eastAsia"/>
          <w:color w:val="000000" w:themeColor="text1"/>
          <w:szCs w:val="21"/>
        </w:rPr>
        <w:t>法律法规和</w:t>
      </w:r>
      <w:r w:rsidRPr="00172454">
        <w:rPr>
          <w:rFonts w:asciiTheme="minorEastAsia" w:eastAsiaTheme="minorEastAsia" w:hAnsiTheme="minorEastAsia"/>
          <w:color w:val="000000" w:themeColor="text1"/>
          <w:szCs w:val="21"/>
        </w:rPr>
        <w:t>《基金合同》规定的范围内</w:t>
      </w:r>
      <w:r w:rsidRPr="00172454">
        <w:rPr>
          <w:rFonts w:asciiTheme="minorEastAsia" w:eastAsiaTheme="minorEastAsia" w:hAnsiTheme="minorEastAsia" w:hint="eastAsia"/>
          <w:color w:val="000000" w:themeColor="text1"/>
          <w:szCs w:val="21"/>
        </w:rPr>
        <w:t>调整</w:t>
      </w:r>
      <w:r w:rsidRPr="00172454">
        <w:rPr>
          <w:rFonts w:asciiTheme="minorEastAsia" w:eastAsiaTheme="minorEastAsia" w:hAnsiTheme="minorEastAsia"/>
          <w:color w:val="000000" w:themeColor="text1"/>
          <w:szCs w:val="21"/>
        </w:rPr>
        <w:t>本基金的申购费率、调低赎回费率</w:t>
      </w:r>
      <w:bookmarkStart w:id="556" w:name="OLE_LINK338"/>
      <w:bookmarkStart w:id="557" w:name="OLE_LINK339"/>
      <w:r w:rsidRPr="00172454" w:rsidR="00B674B2">
        <w:rPr>
          <w:rFonts w:asciiTheme="minorEastAsia" w:eastAsiaTheme="minorEastAsia" w:hAnsiTheme="minorEastAsia" w:hint="eastAsia"/>
          <w:color w:val="000000" w:themeColor="text1"/>
          <w:szCs w:val="21"/>
        </w:rPr>
        <w:t>或调整收费方式</w:t>
      </w:r>
      <w:bookmarkEnd w:id="556"/>
      <w:bookmarkEnd w:id="557"/>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4）因相应的法律法规</w:t>
      </w:r>
      <w:r w:rsidRPr="00172454" w:rsidR="004B1B18">
        <w:rPr>
          <w:rFonts w:asciiTheme="minorEastAsia" w:eastAsiaTheme="minorEastAsia" w:hAnsiTheme="minorEastAsia" w:hint="eastAsia"/>
          <w:color w:val="000000" w:themeColor="text1"/>
          <w:szCs w:val="21"/>
        </w:rPr>
        <w:t>、上海证券交易所或者登记结算机构的相关业务规则</w:t>
      </w:r>
      <w:r w:rsidRPr="00172454">
        <w:rPr>
          <w:rFonts w:asciiTheme="minorEastAsia" w:eastAsiaTheme="minorEastAsia" w:hAnsiTheme="minorEastAsia" w:hint="eastAsia"/>
          <w:color w:val="000000" w:themeColor="text1"/>
          <w:szCs w:val="21"/>
        </w:rPr>
        <w:t>发生变动而应当对《基金合同》进行修改；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w:t>
      </w:r>
      <w:bookmarkStart w:id="558" w:name="OLE_LINK504"/>
      <w:r w:rsidRPr="00172454" w:rsidR="000C4839">
        <w:rPr>
          <w:rFonts w:asciiTheme="minorEastAsia" w:eastAsiaTheme="minorEastAsia" w:hAnsiTheme="minorEastAsia" w:hint="eastAsia"/>
          <w:color w:val="000000" w:themeColor="text1"/>
          <w:szCs w:val="21"/>
        </w:rPr>
        <w:t>重大</w:t>
      </w:r>
      <w:bookmarkEnd w:id="558"/>
      <w:r w:rsidRPr="00172454">
        <w:rPr>
          <w:rFonts w:asciiTheme="minorEastAsia" w:eastAsiaTheme="minorEastAsia" w:hAnsiTheme="minorEastAsia" w:hint="eastAsia"/>
          <w:color w:val="000000" w:themeColor="text1"/>
          <w:szCs w:val="21"/>
        </w:rPr>
        <w:t>变化；</w:t>
      </w:r>
    </w:p>
    <w:p w:rsidR="000C4839"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6）基金管理人、上海证券交易所和登记结算机构在法律法规、《基金合同》规定的范围内调整有关基金认购、申购、赎回、交易、转托管、非交易过户等业务的规则；</w:t>
      </w:r>
    </w:p>
    <w:p w:rsidR="000C4839"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在不违反法律法规及对基金份额持有人利益无实质不利影响的前提下，增设新的份额类别或者调整基金份额类别设置、在其他证券交易所上市、调整场外申购赎回方式、开通跨系统转托管业务或暂停、停止场外申购赎回业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8）除按照法律法规和《基金合同》规定应当召开基金份额持有人大会的以外的其他情形。</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559" w:name="_Toc15641221"/>
      <w:bookmarkStart w:id="560" w:name="_Toc57530244"/>
      <w:bookmarkStart w:id="561" w:name="_Toc79392585"/>
      <w:r w:rsidRPr="00172454">
        <w:rPr>
          <w:rFonts w:asciiTheme="minorEastAsia" w:eastAsiaTheme="minorEastAsia" w:hAnsiTheme="minorEastAsia" w:hint="eastAsia"/>
          <w:color w:val="000000" w:themeColor="text1"/>
          <w:szCs w:val="21"/>
        </w:rPr>
        <w:t>3、会议召集人及召集方式</w:t>
      </w:r>
      <w:bookmarkEnd w:id="559"/>
      <w:bookmarkEnd w:id="560"/>
      <w:bookmarkEnd w:id="56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62" w:name="_Toc15641222"/>
      <w:bookmarkStart w:id="563" w:name="_Toc57530245"/>
      <w:r w:rsidRPr="00172454">
        <w:rPr>
          <w:rFonts w:asciiTheme="minorEastAsia" w:eastAsiaTheme="minorEastAsia" w:hAnsiTheme="minorEastAsia" w:hint="eastAsia"/>
          <w:color w:val="000000" w:themeColor="text1"/>
          <w:szCs w:val="21"/>
        </w:rPr>
        <w:t>（1）除法律法规规定或《基金合同》另有约定外，基金份额持有人大会由基金管理人召集；</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（2）基金管理人未按规定召集或不能召集时，由基金托管人召集；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基金托管人认为有必要召开基金份额持有人大会的，应当向基金管理人提出书面提议。基金管理人应当自收到书面提议之日起</w:t>
      </w: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color w:val="000000" w:themeColor="text1"/>
          <w:szCs w:val="21"/>
        </w:rPr>
        <w:t>日内决定是否召集，并书面告知基金托管人。基金管理人决定召集的，应当自出具书面决定之日起</w:t>
      </w:r>
      <w:r w:rsidRPr="00172454">
        <w:rPr>
          <w:rFonts w:asciiTheme="minorEastAsia" w:eastAsiaTheme="minorEastAsia" w:hAnsiTheme="minorEastAsia" w:hint="eastAsia"/>
          <w:color w:val="000000" w:themeColor="text1"/>
          <w:szCs w:val="21"/>
        </w:rPr>
        <w:t>60</w:t>
      </w:r>
      <w:r w:rsidRPr="00172454">
        <w:rPr>
          <w:rFonts w:asciiTheme="minorEastAsia" w:eastAsiaTheme="minorEastAsia" w:hAnsiTheme="minorEastAsia"/>
          <w:color w:val="000000" w:themeColor="text1"/>
          <w:szCs w:val="21"/>
        </w:rPr>
        <w:t>日内召开；基金管理人决定不召集，基金托管人仍认为有必要召开的，应当</w:t>
      </w:r>
      <w:r w:rsidRPr="00172454">
        <w:rPr>
          <w:rFonts w:asciiTheme="minorEastAsia" w:eastAsiaTheme="minorEastAsia" w:hAnsiTheme="minorEastAsia" w:hint="eastAsia"/>
          <w:color w:val="000000" w:themeColor="text1"/>
          <w:szCs w:val="21"/>
        </w:rPr>
        <w:t>由基金托管人</w:t>
      </w:r>
      <w:r w:rsidRPr="00172454">
        <w:rPr>
          <w:rFonts w:asciiTheme="minorEastAsia" w:eastAsiaTheme="minorEastAsia" w:hAnsiTheme="minorEastAsia"/>
          <w:color w:val="000000" w:themeColor="text1"/>
          <w:szCs w:val="21"/>
        </w:rPr>
        <w:t>自行召集</w:t>
      </w:r>
      <w:r w:rsidRPr="00172454" w:rsidR="00FE287B">
        <w:rPr>
          <w:rFonts w:asciiTheme="minorEastAsia" w:eastAsiaTheme="minorEastAsia" w:hAnsiTheme="minorEastAsia" w:hint="eastAsia"/>
          <w:color w:val="000000" w:themeColor="text1"/>
          <w:szCs w:val="21"/>
        </w:rPr>
        <w:t>，并自出具书面决定之日起六十日内召开并告知基金管理人，基金管理人应当配合</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（4）代表基金份额10%以上（含10%）的基金份额持有人就同一事项书面要求召开基金份额持有人大会，</w:t>
      </w:r>
      <w:r w:rsidRPr="00172454">
        <w:rPr>
          <w:rFonts w:asciiTheme="minorEastAsia" w:eastAsiaTheme="minorEastAsia" w:hAnsiTheme="minorEastAsia"/>
          <w:color w:val="000000" w:themeColor="text1"/>
          <w:szCs w:val="21"/>
        </w:rPr>
        <w:t>应当向基金管理人提出书面提议。基金管理人应当自收到书面提议之日起</w:t>
      </w: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color w:val="000000" w:themeColor="text1"/>
          <w:szCs w:val="21"/>
        </w:rPr>
        <w:t>日内决定是否召集，并书面告知提出提议的基金份额持有人代表和基金托管人。基金管理人决定召集的，应当自出具书面决定之日起</w:t>
      </w:r>
      <w:r w:rsidRPr="00172454">
        <w:rPr>
          <w:rFonts w:asciiTheme="minorEastAsia" w:eastAsiaTheme="minorEastAsia" w:hAnsiTheme="minorEastAsia" w:hint="eastAsia"/>
          <w:color w:val="000000" w:themeColor="text1"/>
          <w:szCs w:val="21"/>
        </w:rPr>
        <w:t>60</w:t>
      </w:r>
      <w:r w:rsidRPr="00172454">
        <w:rPr>
          <w:rFonts w:asciiTheme="minorEastAsia" w:eastAsiaTheme="minorEastAsia" w:hAnsiTheme="minorEastAsia"/>
          <w:color w:val="000000" w:themeColor="text1"/>
          <w:szCs w:val="21"/>
        </w:rPr>
        <w:t>日内召开；基金管理人决定不召集，代表基金份额</w:t>
      </w: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color w:val="000000" w:themeColor="text1"/>
          <w:szCs w:val="21"/>
        </w:rPr>
        <w:t>以上</w:t>
      </w:r>
      <w:r w:rsidRPr="00172454">
        <w:rPr>
          <w:rFonts w:asciiTheme="minorEastAsia" w:eastAsiaTheme="minorEastAsia" w:hAnsiTheme="minorEastAsia" w:hint="eastAsia"/>
          <w:color w:val="000000" w:themeColor="text1"/>
          <w:szCs w:val="21"/>
        </w:rPr>
        <w:t>（含10%）</w:t>
      </w:r>
      <w:r w:rsidRPr="00172454">
        <w:rPr>
          <w:rFonts w:asciiTheme="minorEastAsia" w:eastAsiaTheme="minorEastAsia" w:hAnsiTheme="minorEastAsia"/>
          <w:color w:val="000000" w:themeColor="text1"/>
          <w:szCs w:val="21"/>
        </w:rPr>
        <w:t>的基金份额持有人仍认为有必要召开的，应当向基金托管人提出书面提议。基金托管人应当自收到书面提议之日起</w:t>
      </w:r>
      <w:r w:rsidRPr="00172454">
        <w:rPr>
          <w:rFonts w:asciiTheme="minorEastAsia" w:eastAsiaTheme="minorEastAsia" w:hAnsiTheme="minorEastAsia" w:hint="eastAsia"/>
          <w:color w:val="000000" w:themeColor="text1"/>
          <w:szCs w:val="21"/>
        </w:rPr>
        <w:t>10</w:t>
      </w:r>
      <w:r w:rsidRPr="00172454">
        <w:rPr>
          <w:rFonts w:asciiTheme="minorEastAsia" w:eastAsiaTheme="minorEastAsia" w:hAnsiTheme="minorEastAsia"/>
          <w:color w:val="000000" w:themeColor="text1"/>
          <w:szCs w:val="21"/>
        </w:rPr>
        <w:t>日内决定是否召集，并书面告知提出提议的基金份额持有人代表和基金管理人；基金托管人决定召集的，应当自出具书面决定之日起</w:t>
      </w:r>
      <w:r w:rsidRPr="00172454">
        <w:rPr>
          <w:rFonts w:asciiTheme="minorEastAsia" w:eastAsiaTheme="minorEastAsia" w:hAnsiTheme="minorEastAsia" w:hint="eastAsia"/>
          <w:color w:val="000000" w:themeColor="text1"/>
          <w:szCs w:val="21"/>
        </w:rPr>
        <w:t>60</w:t>
      </w:r>
      <w:r w:rsidRPr="00172454">
        <w:rPr>
          <w:rFonts w:asciiTheme="minorEastAsia" w:eastAsiaTheme="minorEastAsia" w:hAnsiTheme="minorEastAsia"/>
          <w:color w:val="000000" w:themeColor="text1"/>
          <w:szCs w:val="21"/>
        </w:rPr>
        <w:t>日内召开。</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color w:val="000000" w:themeColor="text1"/>
          <w:szCs w:val="21"/>
        </w:rPr>
        <w:t>代表基金份额</w:t>
      </w:r>
      <w:r w:rsidRPr="00172454">
        <w:rPr>
          <w:rFonts w:asciiTheme="minorEastAsia" w:eastAsiaTheme="minorEastAsia" w:hAnsiTheme="minorEastAsia" w:hint="eastAsia"/>
          <w:color w:val="000000" w:themeColor="text1"/>
          <w:szCs w:val="21"/>
        </w:rPr>
        <w:t>10%以上（含10%）</w:t>
      </w:r>
      <w:r w:rsidRPr="00172454">
        <w:rPr>
          <w:rFonts w:asciiTheme="minorEastAsia" w:eastAsiaTheme="minorEastAsia" w:hAnsiTheme="minorEastAsia"/>
          <w:color w:val="000000" w:themeColor="text1"/>
          <w:szCs w:val="21"/>
        </w:rPr>
        <w:t>的基金份额持有人就同一事项要求召开基金份额持有人大会，而</w:t>
      </w:r>
      <w:r w:rsidRPr="00172454">
        <w:rPr>
          <w:rFonts w:asciiTheme="minorEastAsia" w:eastAsiaTheme="minorEastAsia" w:hAnsiTheme="minorEastAsia" w:hint="eastAsia"/>
          <w:color w:val="000000" w:themeColor="text1"/>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（6）基金份额持有人会议的召集人负责选择确定开会时间、地点、方式和权益登记日。</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bookmarkStart w:id="564" w:name="_Toc79392586"/>
      <w:r w:rsidRPr="00172454">
        <w:rPr>
          <w:rFonts w:asciiTheme="minorEastAsia" w:eastAsiaTheme="minorEastAsia" w:hAnsiTheme="minorEastAsia" w:hint="eastAsia"/>
          <w:color w:val="000000" w:themeColor="text1"/>
          <w:szCs w:val="21"/>
        </w:rPr>
        <w:t>4、召开基金份额持有人大会的通知时间、通知内容、通知方式</w:t>
      </w:r>
      <w:bookmarkEnd w:id="562"/>
      <w:bookmarkEnd w:id="563"/>
      <w:bookmarkEnd w:id="56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（1）召开基金份额持有人大会，召集人应于会议召开前4</w:t>
      </w:r>
      <w:r w:rsidRPr="00172454">
        <w:rPr>
          <w:rFonts w:asciiTheme="minorEastAsia" w:eastAsiaTheme="minorEastAsia" w:hAnsiTheme="minorEastAsia"/>
          <w:color w:val="000000" w:themeColor="text1"/>
          <w:szCs w:val="21"/>
        </w:rPr>
        <w:t>0</w:t>
      </w:r>
      <w:r w:rsidRPr="00172454">
        <w:rPr>
          <w:rFonts w:asciiTheme="minorEastAsia" w:eastAsiaTheme="minorEastAsia" w:hAnsiTheme="minorEastAsia" w:hint="eastAsia"/>
          <w:color w:val="000000" w:themeColor="text1"/>
          <w:szCs w:val="21"/>
        </w:rPr>
        <w:t>天，在至少一家</w:t>
      </w:r>
      <w:r w:rsidRPr="00172454" w:rsidR="00640961">
        <w:rPr>
          <w:rFonts w:asciiTheme="minorEastAsia" w:eastAsiaTheme="minorEastAsia" w:hAnsiTheme="minorEastAsia" w:hint="eastAsia"/>
          <w:color w:val="000000" w:themeColor="text1"/>
          <w:szCs w:val="21"/>
        </w:rPr>
        <w:t>指定媒介</w:t>
      </w:r>
      <w:r w:rsidRPr="00172454">
        <w:rPr>
          <w:rFonts w:asciiTheme="minorEastAsia" w:eastAsiaTheme="minorEastAsia" w:hAnsiTheme="minorEastAsia" w:hint="eastAsia"/>
          <w:color w:val="000000" w:themeColor="text1"/>
          <w:szCs w:val="21"/>
        </w:rPr>
        <w:t>及基金管理人网站公告。基金份额持有人大会通知应至少载明以下内容：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1）会议召开的时间、地点、方式和会议形式；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2）会议拟审议的事项、议事程序和表决形式；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3）有权出席基金份额持有人大会的基金份额持有人的权益登记日；</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授权委托书的内容要求（包括但不限于代理人身份，代理权限和代理有效期限等）、送达时间和地点；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5）会务常设联系人姓名及联系电话；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6）出席会议者必须准备的文件和必须履行的手续；</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7）召集人需要通知的其他事项。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（2）采</w:t>
      </w:r>
      <w:r w:rsidRPr="00172454">
        <w:rPr>
          <w:rFonts w:asciiTheme="minorEastAsia" w:eastAsiaTheme="minorEastAsia" w:hAnsiTheme="minorEastAsia"/>
          <w:color w:val="000000" w:themeColor="text1"/>
          <w:szCs w:val="21"/>
        </w:rPr>
        <w:t>取通讯开会方式并进行表决的情况下，</w:t>
      </w:r>
      <w:r w:rsidRPr="00172454">
        <w:rPr>
          <w:rFonts w:asciiTheme="minorEastAsia" w:eastAsiaTheme="minorEastAsia" w:hAnsiTheme="minorEastAsia" w:hint="eastAsia"/>
          <w:color w:val="000000" w:themeColor="text1"/>
          <w:szCs w:val="21"/>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和表决效力。</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65" w:name="_Toc15641223"/>
      <w:bookmarkStart w:id="566" w:name="_Toc57530246"/>
      <w:bookmarkStart w:id="567" w:name="_Toc79392587"/>
      <w:r w:rsidRPr="00172454">
        <w:rPr>
          <w:rFonts w:asciiTheme="minorEastAsia" w:eastAsiaTheme="minorEastAsia" w:hAnsiTheme="minorEastAsia" w:hint="eastAsia"/>
          <w:color w:val="000000" w:themeColor="text1"/>
          <w:szCs w:val="21"/>
        </w:rPr>
        <w:t>5、基金份额持有人出席</w:t>
      </w:r>
      <w:r w:rsidRPr="00172454">
        <w:rPr>
          <w:rFonts w:asciiTheme="minorEastAsia" w:eastAsiaTheme="minorEastAsia" w:hAnsiTheme="minorEastAsia"/>
          <w:color w:val="000000" w:themeColor="text1"/>
          <w:szCs w:val="21"/>
        </w:rPr>
        <w:t>会议</w:t>
      </w:r>
      <w:r w:rsidRPr="00172454">
        <w:rPr>
          <w:rFonts w:asciiTheme="minorEastAsia" w:eastAsiaTheme="minorEastAsia" w:hAnsiTheme="minorEastAsia" w:hint="eastAsia"/>
          <w:color w:val="000000" w:themeColor="text1"/>
          <w:szCs w:val="21"/>
        </w:rPr>
        <w:t>的</w:t>
      </w:r>
      <w:r w:rsidRPr="00172454">
        <w:rPr>
          <w:rFonts w:asciiTheme="minorEastAsia" w:eastAsiaTheme="minorEastAsia" w:hAnsiTheme="minorEastAsia"/>
          <w:color w:val="000000" w:themeColor="text1"/>
          <w:szCs w:val="21"/>
        </w:rPr>
        <w:t>方式</w:t>
      </w:r>
      <w:bookmarkEnd w:id="565"/>
      <w:bookmarkEnd w:id="566"/>
      <w:bookmarkEnd w:id="567"/>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w:t>
      </w:r>
      <w:r w:rsidRPr="00172454">
        <w:rPr>
          <w:rFonts w:asciiTheme="minorEastAsia" w:eastAsiaTheme="minorEastAsia" w:hAnsiTheme="minorEastAsia" w:hint="eastAsia"/>
          <w:color w:val="000000" w:themeColor="text1"/>
          <w:szCs w:val="21"/>
        </w:rPr>
        <w:t>可通过现场开会方式或通讯开会方式召开。</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会议的召开方式由</w:t>
      </w:r>
      <w:r w:rsidRPr="00172454">
        <w:rPr>
          <w:rFonts w:asciiTheme="minorEastAsia" w:eastAsiaTheme="minorEastAsia" w:hAnsiTheme="minorEastAsia" w:hint="eastAsia"/>
          <w:color w:val="000000" w:themeColor="text1"/>
          <w:szCs w:val="21"/>
        </w:rPr>
        <w:t>会议</w:t>
      </w:r>
      <w:r w:rsidRPr="00172454">
        <w:rPr>
          <w:rFonts w:asciiTheme="minorEastAsia" w:eastAsiaTheme="minorEastAsia" w:hAnsiTheme="minorEastAsia"/>
          <w:color w:val="000000" w:themeColor="text1"/>
          <w:szCs w:val="21"/>
        </w:rPr>
        <w:t>召集人确定，但更换基金管理人和基金托管人必须以现场开会方式召开。</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现场开会。由基金份额持有人本人出席或以代理投票授权委托书委派代表出席，现场开会时基金管理人和基金托管人的授权代表应当</w:t>
      </w:r>
      <w:r w:rsidRPr="00172454">
        <w:rPr>
          <w:rFonts w:asciiTheme="minorEastAsia" w:eastAsiaTheme="minorEastAsia" w:hAnsiTheme="minorEastAsia" w:hint="eastAsia"/>
          <w:color w:val="000000" w:themeColor="text1"/>
          <w:szCs w:val="21"/>
        </w:rPr>
        <w:t>列席</w:t>
      </w:r>
      <w:r w:rsidRPr="00172454">
        <w:rPr>
          <w:rFonts w:asciiTheme="minorEastAsia" w:eastAsiaTheme="minorEastAsia" w:hAnsiTheme="minorEastAsia"/>
          <w:color w:val="000000" w:themeColor="text1"/>
          <w:szCs w:val="21"/>
        </w:rPr>
        <w:t>基金份额持有人大会</w:t>
      </w:r>
      <w:r w:rsidRPr="00172454">
        <w:rPr>
          <w:rFonts w:asciiTheme="minorEastAsia" w:eastAsiaTheme="minorEastAsia" w:hAnsiTheme="minorEastAsia" w:hint="eastAsia"/>
          <w:color w:val="000000" w:themeColor="text1"/>
          <w:szCs w:val="21"/>
        </w:rPr>
        <w:t>，基金管理人或托管人不派代表列席的，不影响表决效力</w:t>
      </w:r>
      <w:r w:rsidRPr="00172454">
        <w:rPr>
          <w:rFonts w:asciiTheme="minorEastAsia" w:eastAsiaTheme="minorEastAsia" w:hAnsiTheme="minorEastAsia"/>
          <w:color w:val="000000" w:themeColor="text1"/>
          <w:szCs w:val="21"/>
        </w:rPr>
        <w:t>。现场开会同时符合以下条件时，可以进行基金份额持有人大会议程：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经核对，汇总到会者出示的在权利登记日持有基金份额的凭证显示，有效的基金份额</w:t>
      </w:r>
      <w:r w:rsidRPr="00172454">
        <w:rPr>
          <w:rFonts w:asciiTheme="minorEastAsia" w:eastAsiaTheme="minorEastAsia" w:hAnsiTheme="minorEastAsia" w:hint="eastAsia"/>
          <w:color w:val="000000" w:themeColor="text1"/>
          <w:szCs w:val="21"/>
        </w:rPr>
        <w:t>不少</w:t>
      </w:r>
      <w:r w:rsidRPr="00172454">
        <w:rPr>
          <w:rFonts w:asciiTheme="minorEastAsia" w:eastAsiaTheme="minorEastAsia" w:hAnsiTheme="minorEastAsia"/>
          <w:color w:val="000000" w:themeColor="text1"/>
          <w:szCs w:val="21"/>
        </w:rPr>
        <w:t>于本基金在</w:t>
      </w:r>
      <w:r w:rsidRPr="00172454">
        <w:rPr>
          <w:rFonts w:asciiTheme="minorEastAsia" w:eastAsiaTheme="minorEastAsia" w:hAnsiTheme="minorEastAsia" w:hint="eastAsia"/>
          <w:color w:val="000000" w:themeColor="text1"/>
          <w:szCs w:val="21"/>
        </w:rPr>
        <w:t>权益</w:t>
      </w:r>
      <w:r w:rsidRPr="00172454">
        <w:rPr>
          <w:rFonts w:asciiTheme="minorEastAsia" w:eastAsiaTheme="minorEastAsia" w:hAnsiTheme="minorEastAsia"/>
          <w:color w:val="000000" w:themeColor="text1"/>
          <w:szCs w:val="21"/>
        </w:rPr>
        <w:t>登记日基金总</w:t>
      </w:r>
      <w:r w:rsidRPr="00172454">
        <w:rPr>
          <w:rFonts w:asciiTheme="minorEastAsia" w:eastAsiaTheme="minorEastAsia" w:hAnsiTheme="minorEastAsia" w:hint="eastAsia"/>
          <w:color w:val="000000" w:themeColor="text1"/>
          <w:szCs w:val="21"/>
        </w:rPr>
        <w:t>份</w:t>
      </w:r>
      <w:r w:rsidRPr="00172454">
        <w:rPr>
          <w:rFonts w:asciiTheme="minorEastAsia" w:eastAsiaTheme="minorEastAsia" w:hAnsiTheme="minorEastAsia"/>
          <w:color w:val="000000" w:themeColor="text1"/>
          <w:szCs w:val="21"/>
        </w:rPr>
        <w:t>额的</w:t>
      </w:r>
      <w:r w:rsidRPr="00172454">
        <w:rPr>
          <w:rFonts w:asciiTheme="minorEastAsia" w:eastAsiaTheme="minorEastAsia" w:hAnsiTheme="minorEastAsia" w:hint="eastAsia"/>
          <w:color w:val="000000" w:themeColor="text1"/>
          <w:szCs w:val="21"/>
        </w:rPr>
        <w:t>50</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（含50%）</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通讯开会。</w:t>
      </w:r>
      <w:r w:rsidRPr="00172454">
        <w:rPr>
          <w:rFonts w:asciiTheme="minorEastAsia" w:eastAsiaTheme="minorEastAsia" w:hAnsiTheme="minorEastAsia" w:hint="eastAsia"/>
          <w:color w:val="000000" w:themeColor="text1"/>
          <w:szCs w:val="21"/>
        </w:rPr>
        <w:t>通讯开会系指基金份额持有人将其对表决事项的投票以书面形式在表决截至日以前送达至召集人指定的地址。</w:t>
      </w:r>
      <w:r w:rsidRPr="00172454">
        <w:rPr>
          <w:rFonts w:asciiTheme="minorEastAsia" w:eastAsiaTheme="minorEastAsia" w:hAnsiTheme="minorEastAsia"/>
          <w:color w:val="000000" w:themeColor="text1"/>
          <w:szCs w:val="21"/>
        </w:rPr>
        <w:t>通讯开会应以书面方式进行表决。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在</w:t>
      </w:r>
      <w:r w:rsidRPr="00172454">
        <w:rPr>
          <w:rFonts w:asciiTheme="minorEastAsia" w:eastAsiaTheme="minorEastAsia" w:hAnsiTheme="minorEastAsia" w:hint="eastAsia"/>
          <w:color w:val="000000" w:themeColor="text1"/>
          <w:szCs w:val="21"/>
        </w:rPr>
        <w:t>同时</w:t>
      </w:r>
      <w:r w:rsidRPr="00172454">
        <w:rPr>
          <w:rFonts w:asciiTheme="minorEastAsia" w:eastAsiaTheme="minorEastAsia" w:hAnsiTheme="minorEastAsia"/>
          <w:color w:val="000000" w:themeColor="text1"/>
          <w:szCs w:val="21"/>
        </w:rPr>
        <w:t>符合以下条件时，通讯开会的方式视为有效：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1）会议召集人</w:t>
      </w:r>
      <w:r w:rsidRPr="00172454">
        <w:rPr>
          <w:rFonts w:asciiTheme="minorEastAsia" w:eastAsiaTheme="minorEastAsia" w:hAnsiTheme="minorEastAsia"/>
          <w:color w:val="000000" w:themeColor="text1"/>
          <w:szCs w:val="21"/>
        </w:rPr>
        <w:t>按《基金合同》规定公布会议通知后，在</w:t>
      </w: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个工作日内连续公布相关提示性公告；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2）会议召集人</w:t>
      </w:r>
      <w:r w:rsidRPr="00172454">
        <w:rPr>
          <w:rFonts w:asciiTheme="minorEastAsia" w:eastAsiaTheme="minorEastAsia" w:hAnsiTheme="minorEastAsia"/>
          <w:color w:val="000000" w:themeColor="text1"/>
          <w:szCs w:val="21"/>
        </w:rPr>
        <w:t>在基金托管人</w:t>
      </w:r>
      <w:r w:rsidRPr="00172454">
        <w:rPr>
          <w:rFonts w:asciiTheme="minorEastAsia" w:eastAsiaTheme="minorEastAsia" w:hAnsiTheme="minorEastAsia" w:hint="eastAsia"/>
          <w:color w:val="000000" w:themeColor="text1"/>
          <w:szCs w:val="21"/>
        </w:rPr>
        <w:t>（如果基金托管人为召集人，则为基金管理人）</w:t>
      </w:r>
      <w:r w:rsidRPr="00172454">
        <w:rPr>
          <w:rFonts w:asciiTheme="minorEastAsia" w:eastAsiaTheme="minorEastAsia" w:hAnsiTheme="minorEastAsia"/>
          <w:color w:val="000000" w:themeColor="text1"/>
          <w:szCs w:val="21"/>
        </w:rPr>
        <w:t>和公证机关的监督下按照会议通知规定的方式收取基金份额持有人的书面表决意见；</w:t>
      </w:r>
      <w:r w:rsidRPr="00172454">
        <w:rPr>
          <w:rFonts w:asciiTheme="minorEastAsia" w:eastAsiaTheme="minorEastAsia" w:hAnsiTheme="minorEastAsia" w:hint="eastAsia"/>
          <w:color w:val="000000" w:themeColor="text1"/>
          <w:szCs w:val="21"/>
        </w:rPr>
        <w:t>基金托管人或基金管理人经通知不参加收取书面表决意见的，不影响表决效力</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本人直接出具书面意见或授权他人代表出具书面意见的，基金份额持有人所持有的基金份额</w:t>
      </w:r>
      <w:r w:rsidRPr="00172454">
        <w:rPr>
          <w:rFonts w:asciiTheme="minorEastAsia" w:eastAsiaTheme="minorEastAsia" w:hAnsiTheme="minorEastAsia" w:hint="eastAsia"/>
          <w:color w:val="000000" w:themeColor="text1"/>
          <w:szCs w:val="21"/>
        </w:rPr>
        <w:t>不小</w:t>
      </w:r>
      <w:r w:rsidRPr="00172454">
        <w:rPr>
          <w:rFonts w:asciiTheme="minorEastAsia" w:eastAsiaTheme="minorEastAsia" w:hAnsiTheme="minorEastAsia"/>
          <w:color w:val="000000" w:themeColor="text1"/>
          <w:szCs w:val="21"/>
        </w:rPr>
        <w:t>于在</w:t>
      </w:r>
      <w:r w:rsidRPr="00172454">
        <w:rPr>
          <w:rFonts w:asciiTheme="minorEastAsia" w:eastAsiaTheme="minorEastAsia" w:hAnsiTheme="minorEastAsia" w:hint="eastAsia"/>
          <w:color w:val="000000" w:themeColor="text1"/>
          <w:szCs w:val="21"/>
        </w:rPr>
        <w:t>权益</w:t>
      </w:r>
      <w:r w:rsidRPr="00172454">
        <w:rPr>
          <w:rFonts w:asciiTheme="minorEastAsia" w:eastAsiaTheme="minorEastAsia" w:hAnsiTheme="minorEastAsia"/>
          <w:color w:val="000000" w:themeColor="text1"/>
          <w:szCs w:val="21"/>
        </w:rPr>
        <w:t>登记日基金总份额的</w:t>
      </w:r>
      <w:r w:rsidRPr="00172454">
        <w:rPr>
          <w:rFonts w:asciiTheme="minorEastAsia" w:eastAsiaTheme="minorEastAsia" w:hAnsiTheme="minorEastAsia" w:hint="eastAsia"/>
          <w:color w:val="000000" w:themeColor="text1"/>
          <w:szCs w:val="21"/>
        </w:rPr>
        <w:t>50%（含50%）</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4）上述第（3）项中</w:t>
      </w:r>
      <w:r w:rsidRPr="00172454">
        <w:rPr>
          <w:rFonts w:asciiTheme="minorEastAsia" w:eastAsiaTheme="minorEastAsia" w:hAnsiTheme="minorEastAsia"/>
          <w:color w:val="000000" w:themeColor="text1"/>
          <w:szCs w:val="21"/>
        </w:rPr>
        <w:t>直接出具书面意见的基金份额持有人或受托代表他人出具书面意见的代理人，同时提交的持有基金份额的凭证、受托</w:t>
      </w:r>
      <w:r w:rsidRPr="00172454">
        <w:rPr>
          <w:rFonts w:asciiTheme="minorEastAsia" w:eastAsiaTheme="minorEastAsia" w:hAnsiTheme="minorEastAsia" w:hint="eastAsia"/>
          <w:color w:val="000000" w:themeColor="text1"/>
          <w:szCs w:val="21"/>
        </w:rPr>
        <w:t>出具书面意见的代理人</w:t>
      </w:r>
      <w:r w:rsidRPr="00172454">
        <w:rPr>
          <w:rFonts w:asciiTheme="minorEastAsia" w:eastAsiaTheme="minorEastAsia" w:hAnsiTheme="minorEastAsia"/>
          <w:color w:val="000000" w:themeColor="text1"/>
          <w:szCs w:val="21"/>
        </w:rPr>
        <w:t>出具的委托人持有基金份额的凭证及委托人的代理投票授权委托书符合法律法规、《基金合同》和会议通知的规定</w:t>
      </w:r>
      <w:r w:rsidRPr="00172454">
        <w:rPr>
          <w:rFonts w:asciiTheme="minorEastAsia" w:eastAsiaTheme="minorEastAsia" w:hAnsiTheme="minorEastAsia" w:hint="eastAsia"/>
          <w:color w:val="000000" w:themeColor="text1"/>
          <w:szCs w:val="21"/>
        </w:rPr>
        <w:t>，并与基金登记注册机构记录相符，并且委托人出具的代理投票授权委托书符合法律法规、《基金合同》和会议通知的规定</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w:t>
      </w:r>
      <w:r w:rsidRPr="00172454">
        <w:rPr>
          <w:rFonts w:asciiTheme="minorEastAsia" w:eastAsiaTheme="minorEastAsia" w:hAnsiTheme="minorEastAsia"/>
          <w:color w:val="000000" w:themeColor="text1"/>
          <w:szCs w:val="21"/>
        </w:rPr>
        <w:t>会议通知公布前报中国证监会备案。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444163"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（3）重新召集基金份额持有人大会的条件</w:t>
      </w:r>
    </w:p>
    <w:p w:rsidR="0044416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基金份额持有人大会应当有代表二分之一以上基金份额的持有人参加，方可召开。</w:t>
      </w:r>
    </w:p>
    <w:p w:rsidR="0044416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444163"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（4）在法律法规和监管机关允许的情况下，本基金亦可采用网络、电话等其他非现场方式由基金份额持有人对其代表进行授权或召开基金份额持有人大会，会议程序比照现场开会或通讯开会。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68" w:name="_Toc15641224"/>
      <w:bookmarkStart w:id="569" w:name="_Toc57530247"/>
      <w:bookmarkStart w:id="570" w:name="_Toc79392588"/>
      <w:r w:rsidRPr="00172454">
        <w:rPr>
          <w:rFonts w:asciiTheme="minorEastAsia" w:eastAsiaTheme="minorEastAsia" w:hAnsiTheme="minorEastAsia" w:hint="eastAsia"/>
          <w:color w:val="000000" w:themeColor="text1"/>
          <w:szCs w:val="21"/>
        </w:rPr>
        <w:t>6、</w:t>
      </w:r>
      <w:r w:rsidRPr="00172454">
        <w:rPr>
          <w:rFonts w:asciiTheme="minorEastAsia" w:eastAsiaTheme="minorEastAsia" w:hAnsiTheme="minorEastAsia"/>
          <w:color w:val="000000" w:themeColor="text1"/>
          <w:szCs w:val="21"/>
        </w:rPr>
        <w:t>议事内容与程序</w:t>
      </w:r>
      <w:bookmarkEnd w:id="568"/>
      <w:bookmarkEnd w:id="569"/>
      <w:bookmarkEnd w:id="570"/>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议事内容及提案权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议事内容为关系基金份额持有人利益的重大事项，如</w:t>
      </w:r>
      <w:r w:rsidRPr="00172454">
        <w:rPr>
          <w:rFonts w:asciiTheme="minorEastAsia" w:eastAsiaTheme="minorEastAsia" w:hAnsiTheme="minorEastAsia" w:hint="eastAsia"/>
          <w:color w:val="000000" w:themeColor="text1"/>
          <w:szCs w:val="21"/>
        </w:rPr>
        <w:t>《基金合同》的重大修改</w:t>
      </w:r>
      <w:r w:rsidRPr="00172454">
        <w:rPr>
          <w:rFonts w:asciiTheme="minorEastAsia" w:eastAsiaTheme="minorEastAsia" w:hAnsiTheme="minorEastAsia"/>
          <w:color w:val="000000" w:themeColor="text1"/>
          <w:szCs w:val="21"/>
        </w:rPr>
        <w:t>、决定终止</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w:t>
      </w:r>
      <w:r w:rsidRPr="00172454">
        <w:rPr>
          <w:rFonts w:asciiTheme="minorEastAsia" w:eastAsiaTheme="minorEastAsia" w:hAnsiTheme="minorEastAsia" w:hint="eastAsia"/>
          <w:color w:val="000000" w:themeColor="text1"/>
          <w:szCs w:val="21"/>
        </w:rPr>
        <w:t>合同》</w:t>
      </w:r>
      <w:r w:rsidRPr="00172454">
        <w:rPr>
          <w:rFonts w:asciiTheme="minorEastAsia" w:eastAsiaTheme="minorEastAsia" w:hAnsiTheme="minorEastAsia"/>
          <w:color w:val="000000" w:themeColor="text1"/>
          <w:szCs w:val="21"/>
        </w:rPr>
        <w:t>、更换基金管理人、更换基金托管人、与其他基金合并</w:t>
      </w:r>
      <w:r w:rsidRPr="00172454">
        <w:rPr>
          <w:rFonts w:asciiTheme="minorEastAsia" w:eastAsiaTheme="minorEastAsia" w:hAnsiTheme="minorEastAsia" w:hint="eastAsia"/>
          <w:color w:val="000000" w:themeColor="text1"/>
          <w:szCs w:val="21"/>
        </w:rPr>
        <w:t>、法律法规及《基金合同》规定的其他事项</w:t>
      </w:r>
      <w:r w:rsidRPr="00172454">
        <w:rPr>
          <w:rFonts w:asciiTheme="minorEastAsia" w:eastAsiaTheme="minorEastAsia" w:hAnsiTheme="minorEastAsia"/>
          <w:color w:val="000000" w:themeColor="text1"/>
          <w:szCs w:val="21"/>
        </w:rPr>
        <w:t>以及</w:t>
      </w:r>
      <w:r w:rsidRPr="00172454">
        <w:rPr>
          <w:rFonts w:asciiTheme="minorEastAsia" w:eastAsiaTheme="minorEastAsia" w:hAnsiTheme="minorEastAsia" w:hint="eastAsia"/>
          <w:color w:val="000000" w:themeColor="text1"/>
          <w:szCs w:val="21"/>
        </w:rPr>
        <w:t>会议</w:t>
      </w:r>
      <w:r w:rsidRPr="00172454">
        <w:rPr>
          <w:rFonts w:asciiTheme="minorEastAsia" w:eastAsiaTheme="minorEastAsia" w:hAnsiTheme="minorEastAsia"/>
          <w:color w:val="000000" w:themeColor="text1"/>
          <w:szCs w:val="21"/>
        </w:rPr>
        <w:t>召集人认为需提交基金份额持有人大会讨论的其他事项。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基金管理人、基金托管人、单独或合并持有权</w:t>
      </w:r>
      <w:r w:rsidRPr="00172454">
        <w:rPr>
          <w:rFonts w:asciiTheme="minorEastAsia" w:eastAsiaTheme="minorEastAsia" w:hAnsiTheme="minorEastAsia" w:hint="eastAsia"/>
          <w:color w:val="000000" w:themeColor="text1"/>
          <w:szCs w:val="21"/>
        </w:rPr>
        <w:t>益</w:t>
      </w:r>
      <w:r w:rsidRPr="00172454">
        <w:rPr>
          <w:rFonts w:asciiTheme="minorEastAsia" w:eastAsiaTheme="minorEastAsia" w:hAnsiTheme="minorEastAsia"/>
          <w:color w:val="000000" w:themeColor="text1"/>
          <w:szCs w:val="21"/>
        </w:rPr>
        <w:t>登记日基金总份额10%</w:t>
      </w:r>
      <w:r w:rsidRPr="00172454">
        <w:rPr>
          <w:rFonts w:asciiTheme="minorEastAsia" w:eastAsiaTheme="minorEastAsia" w:hAnsiTheme="minorEastAsia" w:hint="eastAsia"/>
          <w:color w:val="000000" w:themeColor="text1"/>
          <w:szCs w:val="21"/>
        </w:rPr>
        <w:t>（含10%）</w:t>
      </w:r>
      <w:r w:rsidRPr="00172454">
        <w:rPr>
          <w:rFonts w:asciiTheme="minorEastAsia" w:eastAsiaTheme="minorEastAsia" w:hAnsiTheme="minorEastAsia"/>
          <w:color w:val="000000" w:themeColor="text1"/>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172454">
        <w:rPr>
          <w:rFonts w:asciiTheme="minorEastAsia" w:eastAsiaTheme="minorEastAsia" w:hAnsiTheme="minorEastAsia" w:hint="eastAsia"/>
          <w:color w:val="000000" w:themeColor="text1"/>
          <w:szCs w:val="21"/>
        </w:rPr>
        <w:t>至少35</w:t>
      </w:r>
      <w:r w:rsidRPr="00172454">
        <w:rPr>
          <w:rFonts w:asciiTheme="minorEastAsia" w:eastAsiaTheme="minorEastAsia" w:hAnsiTheme="minorEastAsia"/>
          <w:color w:val="000000" w:themeColor="text1"/>
          <w:szCs w:val="21"/>
        </w:rPr>
        <w:t>天</w:t>
      </w:r>
      <w:r w:rsidRPr="00172454">
        <w:rPr>
          <w:rFonts w:asciiTheme="minorEastAsia" w:eastAsiaTheme="minorEastAsia" w:hAnsiTheme="minorEastAsia" w:hint="eastAsia"/>
          <w:color w:val="000000" w:themeColor="text1"/>
          <w:szCs w:val="21"/>
        </w:rPr>
        <w:t>前</w:t>
      </w:r>
      <w:r w:rsidRPr="00172454">
        <w:rPr>
          <w:rFonts w:asciiTheme="minorEastAsia" w:eastAsiaTheme="minorEastAsia" w:hAnsiTheme="minorEastAsia"/>
          <w:color w:val="000000" w:themeColor="text1"/>
          <w:szCs w:val="21"/>
        </w:rPr>
        <w:t>提交召集人</w:t>
      </w:r>
      <w:r w:rsidRPr="00172454">
        <w:rPr>
          <w:rFonts w:asciiTheme="minorEastAsia" w:eastAsiaTheme="minorEastAsia" w:hAnsiTheme="minorEastAsia" w:hint="eastAsia"/>
          <w:color w:val="000000" w:themeColor="text1"/>
          <w:szCs w:val="21"/>
        </w:rPr>
        <w:t>并由召集人公告</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基金份额持有人大会的召集人发出召集会议的通知后，对原有提案的修改应当在基金份额持有人大会召开日</w:t>
      </w:r>
      <w:r w:rsidRPr="00172454">
        <w:rPr>
          <w:rFonts w:asciiTheme="minorEastAsia" w:eastAsiaTheme="minorEastAsia" w:hAnsiTheme="minorEastAsia" w:hint="eastAsia"/>
          <w:color w:val="000000" w:themeColor="text1"/>
          <w:szCs w:val="21"/>
        </w:rPr>
        <w:t>30</w:t>
      </w:r>
      <w:r w:rsidRPr="00172454">
        <w:rPr>
          <w:rFonts w:asciiTheme="minorEastAsia" w:eastAsiaTheme="minorEastAsia" w:hAnsiTheme="minorEastAsia"/>
          <w:color w:val="000000" w:themeColor="text1"/>
          <w:szCs w:val="21"/>
        </w:rPr>
        <w:t>天</w:t>
      </w:r>
      <w:r w:rsidRPr="00172454">
        <w:rPr>
          <w:rFonts w:asciiTheme="minorEastAsia" w:eastAsiaTheme="minorEastAsia" w:hAnsiTheme="minorEastAsia" w:hint="eastAsia"/>
          <w:color w:val="000000" w:themeColor="text1"/>
          <w:szCs w:val="21"/>
        </w:rPr>
        <w:t>前</w:t>
      </w:r>
      <w:r w:rsidRPr="00172454">
        <w:rPr>
          <w:rFonts w:asciiTheme="minorEastAsia" w:eastAsiaTheme="minorEastAsia" w:hAnsiTheme="minorEastAsia"/>
          <w:color w:val="000000" w:themeColor="text1"/>
          <w:szCs w:val="21"/>
        </w:rPr>
        <w:t>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基金份额持有人大会不得对未事先公告的议事内容进行表决。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召集人对于基金管理人</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基金托管人和</w:t>
      </w:r>
      <w:r w:rsidRPr="00172454">
        <w:rPr>
          <w:rFonts w:asciiTheme="minorEastAsia" w:eastAsiaTheme="minorEastAsia" w:hAnsiTheme="minorEastAsia" w:hint="eastAsia"/>
          <w:color w:val="000000" w:themeColor="text1"/>
          <w:szCs w:val="21"/>
        </w:rPr>
        <w:t>基金份额持有人</w:t>
      </w:r>
      <w:r w:rsidRPr="00172454">
        <w:rPr>
          <w:rFonts w:asciiTheme="minorEastAsia" w:eastAsiaTheme="minorEastAsia" w:hAnsiTheme="minorEastAsia"/>
          <w:color w:val="000000" w:themeColor="text1"/>
          <w:szCs w:val="21"/>
        </w:rPr>
        <w:t>提交的临时提案</w:t>
      </w:r>
      <w:r w:rsidRPr="00172454">
        <w:rPr>
          <w:rFonts w:asciiTheme="minorEastAsia" w:eastAsiaTheme="minorEastAsia" w:hAnsiTheme="minorEastAsia" w:hint="eastAsia"/>
          <w:color w:val="000000" w:themeColor="text1"/>
          <w:szCs w:val="21"/>
        </w:rPr>
        <w:t>进行审核，符合条件的</w:t>
      </w:r>
      <w:r w:rsidRPr="00172454">
        <w:rPr>
          <w:rFonts w:asciiTheme="minorEastAsia" w:eastAsiaTheme="minorEastAsia" w:hAnsiTheme="minorEastAsia"/>
          <w:color w:val="000000" w:themeColor="text1"/>
          <w:szCs w:val="21"/>
        </w:rPr>
        <w:t>应当在大会召开日</w:t>
      </w:r>
      <w:r w:rsidRPr="00172454">
        <w:rPr>
          <w:rFonts w:asciiTheme="minorEastAsia" w:eastAsiaTheme="minorEastAsia" w:hAnsiTheme="minorEastAsia" w:hint="eastAsia"/>
          <w:color w:val="000000" w:themeColor="text1"/>
          <w:szCs w:val="21"/>
        </w:rPr>
        <w:t>30</w:t>
      </w:r>
      <w:r w:rsidRPr="00172454">
        <w:rPr>
          <w:rFonts w:asciiTheme="minorEastAsia" w:eastAsiaTheme="minorEastAsia" w:hAnsiTheme="minorEastAsia"/>
          <w:color w:val="000000" w:themeColor="text1"/>
          <w:szCs w:val="21"/>
        </w:rPr>
        <w:t>天前公告。大会召集人应当按照以下原则对提案进行审核：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关联性。大会召集人对于提案涉及事项与基金有直接关系，并且不超出法律法规和</w:t>
      </w:r>
      <w:r w:rsidRPr="00172454">
        <w:rPr>
          <w:rFonts w:asciiTheme="minorEastAsia" w:eastAsiaTheme="minorEastAsia" w:hAnsiTheme="minorEastAsia" w:hint="eastAsia"/>
          <w:color w:val="000000" w:themeColor="text1"/>
          <w:szCs w:val="21"/>
        </w:rPr>
        <w:t>《基金合同》</w:t>
      </w:r>
      <w:r w:rsidRPr="00172454">
        <w:rPr>
          <w:rFonts w:asciiTheme="minorEastAsia" w:eastAsiaTheme="minorEastAsia" w:hAnsiTheme="minorEastAsia"/>
          <w:color w:val="000000" w:themeColor="text1"/>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程序性。大会召集人可以对提案涉及的程序性问题</w:t>
      </w:r>
      <w:r w:rsidRPr="00172454">
        <w:rPr>
          <w:rFonts w:asciiTheme="minorEastAsia" w:eastAsiaTheme="minorEastAsia" w:hAnsiTheme="minorEastAsia" w:hint="eastAsia"/>
          <w:color w:val="000000" w:themeColor="text1"/>
          <w:szCs w:val="21"/>
        </w:rPr>
        <w:t>做</w:t>
      </w:r>
      <w:r w:rsidRPr="00172454">
        <w:rPr>
          <w:rFonts w:asciiTheme="minorEastAsia" w:eastAsiaTheme="minorEastAsia" w:hAnsiTheme="minorEastAsia"/>
          <w:color w:val="000000" w:themeColor="text1"/>
          <w:szCs w:val="21"/>
        </w:rPr>
        <w:t>出决定。如将提案进行分拆或合并表决，需征得原提案人同意；原提案人不同意变更的，大会主持人可以就程序性问题提请基金份额持有人大会</w:t>
      </w:r>
      <w:r w:rsidRPr="00172454">
        <w:rPr>
          <w:rFonts w:asciiTheme="minorEastAsia" w:eastAsiaTheme="minorEastAsia" w:hAnsiTheme="minorEastAsia" w:hint="eastAsia"/>
          <w:color w:val="000000" w:themeColor="text1"/>
          <w:szCs w:val="21"/>
        </w:rPr>
        <w:t>做</w:t>
      </w:r>
      <w:r w:rsidRPr="00172454">
        <w:rPr>
          <w:rFonts w:asciiTheme="minorEastAsia" w:eastAsiaTheme="minorEastAsia" w:hAnsiTheme="minorEastAsia"/>
          <w:color w:val="000000" w:themeColor="text1"/>
          <w:szCs w:val="21"/>
        </w:rPr>
        <w:t>出决定，并按照基金份额持有人大会决定的程序进行审议。</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议事程序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现场开会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在现场开会的方式下，首先由大会主持人按照下列第七</w:t>
      </w:r>
      <w:r w:rsidRPr="00172454">
        <w:rPr>
          <w:rFonts w:asciiTheme="minorEastAsia" w:eastAsiaTheme="minorEastAsia" w:hAnsiTheme="minorEastAsia" w:hint="eastAsia"/>
          <w:color w:val="000000" w:themeColor="text1"/>
          <w:szCs w:val="21"/>
        </w:rPr>
        <w:t>条</w:t>
      </w:r>
      <w:r w:rsidRPr="00172454">
        <w:rPr>
          <w:rFonts w:asciiTheme="minorEastAsia" w:eastAsiaTheme="minorEastAsia" w:hAnsiTheme="minorEastAsia"/>
          <w:color w:val="000000" w:themeColor="text1"/>
          <w:szCs w:val="21"/>
        </w:rPr>
        <w:t>规定程序确定和公布监票人，然后由大会主持人宣读提案，经讨论后进行表决，并形成大会决议。大会主持人为基金管理人授权出席会议的代表，在基金管理人</w:t>
      </w:r>
      <w:r w:rsidRPr="00172454">
        <w:rPr>
          <w:rFonts w:asciiTheme="minorEastAsia" w:eastAsiaTheme="minorEastAsia" w:hAnsiTheme="minorEastAsia" w:hint="eastAsia"/>
          <w:color w:val="000000" w:themeColor="text1"/>
          <w:szCs w:val="21"/>
        </w:rPr>
        <w:t>授权代表</w:t>
      </w:r>
      <w:r w:rsidRPr="00172454">
        <w:rPr>
          <w:rFonts w:asciiTheme="minorEastAsia" w:eastAsiaTheme="minorEastAsia" w:hAnsiTheme="minorEastAsia"/>
          <w:color w:val="000000" w:themeColor="text1"/>
          <w:szCs w:val="21"/>
        </w:rPr>
        <w:t>未能主持大会的情况下，由基金托管人授权其出席会议的代表主持；如果基金管理人</w:t>
      </w:r>
      <w:r w:rsidRPr="00172454">
        <w:rPr>
          <w:rFonts w:asciiTheme="minorEastAsia" w:eastAsiaTheme="minorEastAsia" w:hAnsiTheme="minorEastAsia" w:hint="eastAsia"/>
          <w:color w:val="000000" w:themeColor="text1"/>
          <w:szCs w:val="21"/>
        </w:rPr>
        <w:t>授权代表</w:t>
      </w:r>
      <w:r w:rsidRPr="00172454">
        <w:rPr>
          <w:rFonts w:asciiTheme="minorEastAsia" w:eastAsiaTheme="minorEastAsia" w:hAnsiTheme="minorEastAsia"/>
          <w:color w:val="000000" w:themeColor="text1"/>
          <w:szCs w:val="21"/>
        </w:rPr>
        <w:t>和基金托管人</w:t>
      </w:r>
      <w:r w:rsidRPr="00172454">
        <w:rPr>
          <w:rFonts w:asciiTheme="minorEastAsia" w:eastAsiaTheme="minorEastAsia" w:hAnsiTheme="minorEastAsia" w:hint="eastAsia"/>
          <w:color w:val="000000" w:themeColor="text1"/>
          <w:szCs w:val="21"/>
        </w:rPr>
        <w:t>授权代表</w:t>
      </w:r>
      <w:r w:rsidRPr="00172454">
        <w:rPr>
          <w:rFonts w:asciiTheme="minorEastAsia" w:eastAsiaTheme="minorEastAsia" w:hAnsiTheme="minorEastAsia"/>
          <w:color w:val="000000" w:themeColor="text1"/>
          <w:szCs w:val="21"/>
        </w:rPr>
        <w:t>均未能主持大会，则由出席大会的基金份额持有人</w:t>
      </w:r>
      <w:r w:rsidRPr="00172454">
        <w:rPr>
          <w:rFonts w:asciiTheme="minorEastAsia" w:eastAsiaTheme="minorEastAsia" w:hAnsiTheme="minorEastAsia" w:hint="eastAsia"/>
          <w:color w:val="000000" w:themeColor="text1"/>
          <w:szCs w:val="21"/>
        </w:rPr>
        <w:t>所持表决权的</w:t>
      </w:r>
      <w:r w:rsidRPr="00172454">
        <w:rPr>
          <w:rFonts w:asciiTheme="minorEastAsia" w:eastAsiaTheme="minorEastAsia" w:hAnsiTheme="minorEastAsia"/>
          <w:color w:val="000000" w:themeColor="text1"/>
          <w:szCs w:val="21"/>
        </w:rPr>
        <w:t>50%以上（含50%）</w:t>
      </w:r>
      <w:r w:rsidRPr="00172454">
        <w:rPr>
          <w:rFonts w:asciiTheme="minorEastAsia" w:eastAsiaTheme="minorEastAsia" w:hAnsiTheme="minorEastAsia" w:hint="eastAsia"/>
          <w:color w:val="000000" w:themeColor="text1"/>
          <w:szCs w:val="21"/>
        </w:rPr>
        <w:t>选举</w:t>
      </w:r>
      <w:r w:rsidRPr="00172454">
        <w:rPr>
          <w:rFonts w:asciiTheme="minorEastAsia" w:eastAsiaTheme="minorEastAsia" w:hAnsiTheme="minorEastAsia"/>
          <w:color w:val="000000" w:themeColor="text1"/>
          <w:szCs w:val="21"/>
        </w:rPr>
        <w:t>产生一名基金份额持有人作为该次基金份额持有人大会的主持人。</w:t>
      </w:r>
      <w:r w:rsidRPr="00172454">
        <w:rPr>
          <w:rFonts w:asciiTheme="minorEastAsia" w:eastAsiaTheme="minorEastAsia" w:hAnsiTheme="minorEastAsia" w:hint="eastAsia"/>
          <w:color w:val="000000" w:themeColor="text1"/>
          <w:szCs w:val="21"/>
        </w:rPr>
        <w:t>基金管理人和基金托管人不出席或主持基金份额持有人大会，不影响基金份额持有人大会作出的决议的效力。</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会议</w:t>
      </w:r>
      <w:r w:rsidRPr="00172454">
        <w:rPr>
          <w:rFonts w:asciiTheme="minorEastAsia" w:eastAsiaTheme="minorEastAsia" w:hAnsiTheme="minorEastAsia"/>
          <w:color w:val="000000" w:themeColor="text1"/>
          <w:szCs w:val="21"/>
        </w:rPr>
        <w:t>召集人应当制作出席会议人员的签名册。签名册载明参加会议人员姓名（或单位名称）、身份证号码、住所地址、持有或代表有表决权的基金份额、委托人姓名（或单位名称）等事项。</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通讯开会</w:t>
      </w:r>
    </w:p>
    <w:p w:rsidR="005D5BC7" w:rsidRPr="00172454" w:rsidP="0066350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在通讯开会的情况下，</w:t>
      </w:r>
      <w:r w:rsidRPr="00172454">
        <w:rPr>
          <w:rFonts w:asciiTheme="minorEastAsia" w:eastAsiaTheme="minorEastAsia" w:hAnsiTheme="minorEastAsia" w:hint="eastAsia"/>
          <w:color w:val="000000" w:themeColor="text1"/>
          <w:szCs w:val="21"/>
        </w:rPr>
        <w:t>首先由召集人提前30日公布提案</w:t>
      </w:r>
      <w:r w:rsidRPr="00172454">
        <w:rPr>
          <w:rFonts w:asciiTheme="minorEastAsia" w:eastAsiaTheme="minorEastAsia" w:hAnsiTheme="minorEastAsia"/>
          <w:color w:val="000000" w:themeColor="text1"/>
          <w:szCs w:val="21"/>
        </w:rPr>
        <w:t>，在所通知的表决截止日期</w:t>
      </w:r>
      <w:r w:rsidRPr="00172454">
        <w:rPr>
          <w:rFonts w:asciiTheme="minorEastAsia" w:eastAsiaTheme="minorEastAsia" w:hAnsiTheme="minorEastAsia" w:hint="eastAsia"/>
          <w:color w:val="000000" w:themeColor="text1"/>
          <w:szCs w:val="21"/>
        </w:rPr>
        <w:t>后2个工作日内在公证机关监督下由召集人统计全部有效表决</w:t>
      </w:r>
      <w:r w:rsidRPr="00172454">
        <w:rPr>
          <w:rFonts w:asciiTheme="minorEastAsia" w:eastAsiaTheme="minorEastAsia" w:hAnsiTheme="minorEastAsia"/>
          <w:color w:val="000000" w:themeColor="text1"/>
          <w:szCs w:val="21"/>
        </w:rPr>
        <w:t>，在公证</w:t>
      </w:r>
      <w:r w:rsidRPr="00172454">
        <w:rPr>
          <w:rFonts w:asciiTheme="minorEastAsia" w:eastAsiaTheme="minorEastAsia" w:hAnsiTheme="minorEastAsia" w:hint="eastAsia"/>
          <w:color w:val="000000" w:themeColor="text1"/>
          <w:szCs w:val="21"/>
        </w:rPr>
        <w:t>机关</w:t>
      </w:r>
      <w:r w:rsidRPr="00172454">
        <w:rPr>
          <w:rFonts w:asciiTheme="minorEastAsia" w:eastAsiaTheme="minorEastAsia" w:hAnsiTheme="minorEastAsia"/>
          <w:color w:val="000000" w:themeColor="text1"/>
          <w:szCs w:val="21"/>
        </w:rPr>
        <w:t>监督下形成决议。</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71" w:name="_Toc15641225"/>
      <w:bookmarkStart w:id="572" w:name="_Toc57530248"/>
      <w:bookmarkStart w:id="573" w:name="_Toc79392589"/>
      <w:r w:rsidRPr="00172454">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color w:val="000000" w:themeColor="text1"/>
          <w:szCs w:val="21"/>
        </w:rPr>
        <w:t>表决</w:t>
      </w:r>
      <w:bookmarkEnd w:id="571"/>
      <w:bookmarkEnd w:id="572"/>
      <w:bookmarkEnd w:id="573"/>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基金份额持有人所持每份基金份额有一票表决权。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基金份额持有人大会决议分为一般决议和特别决议：</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一般决议，一般决议须经参加大会的基金份额持有人</w:t>
      </w:r>
      <w:r w:rsidRPr="00172454">
        <w:rPr>
          <w:rFonts w:asciiTheme="minorEastAsia" w:eastAsiaTheme="minorEastAsia" w:hAnsiTheme="minorEastAsia" w:hint="eastAsia"/>
          <w:color w:val="000000" w:themeColor="text1"/>
          <w:szCs w:val="21"/>
        </w:rPr>
        <w:t>或其代理人</w:t>
      </w:r>
      <w:r w:rsidRPr="00172454">
        <w:rPr>
          <w:rFonts w:asciiTheme="minorEastAsia" w:eastAsiaTheme="minorEastAsia" w:hAnsiTheme="minorEastAsia"/>
          <w:color w:val="000000" w:themeColor="text1"/>
          <w:szCs w:val="21"/>
        </w:rPr>
        <w:t>所持表决权的</w:t>
      </w:r>
      <w:r w:rsidRPr="00172454">
        <w:rPr>
          <w:rFonts w:asciiTheme="minorEastAsia" w:eastAsiaTheme="minorEastAsia" w:hAnsiTheme="minorEastAsia" w:hint="eastAsia"/>
          <w:color w:val="000000" w:themeColor="text1"/>
          <w:szCs w:val="21"/>
        </w:rPr>
        <w:t>50%</w:t>
      </w:r>
      <w:r w:rsidRPr="00172454">
        <w:rPr>
          <w:rFonts w:asciiTheme="minorEastAsia" w:eastAsiaTheme="minorEastAsia" w:hAnsiTheme="minorEastAsia"/>
          <w:color w:val="000000" w:themeColor="text1"/>
          <w:szCs w:val="21"/>
        </w:rPr>
        <w:t>以上（含</w:t>
      </w:r>
      <w:r w:rsidRPr="00172454">
        <w:rPr>
          <w:rFonts w:asciiTheme="minorEastAsia" w:eastAsiaTheme="minorEastAsia" w:hAnsiTheme="minorEastAsia" w:hint="eastAsia"/>
          <w:color w:val="000000" w:themeColor="text1"/>
          <w:szCs w:val="21"/>
        </w:rPr>
        <w:t>50%</w:t>
      </w:r>
      <w:r w:rsidRPr="00172454">
        <w:rPr>
          <w:rFonts w:asciiTheme="minorEastAsia" w:eastAsiaTheme="minorEastAsia" w:hAnsiTheme="minorEastAsia"/>
          <w:color w:val="000000" w:themeColor="text1"/>
          <w:szCs w:val="21"/>
        </w:rPr>
        <w:t>）通过方为有效；除下列</w:t>
      </w:r>
      <w:r w:rsidRPr="00172454">
        <w:rPr>
          <w:rFonts w:asciiTheme="minorEastAsia" w:eastAsiaTheme="minorEastAsia" w:hAnsiTheme="minorEastAsia" w:hint="eastAsia"/>
          <w:color w:val="000000" w:themeColor="text1"/>
          <w:szCs w:val="21"/>
        </w:rPr>
        <w:t>第2项</w:t>
      </w:r>
      <w:r w:rsidRPr="00172454">
        <w:rPr>
          <w:rFonts w:asciiTheme="minorEastAsia" w:eastAsiaTheme="minorEastAsia" w:hAnsiTheme="minorEastAsia"/>
          <w:color w:val="000000" w:themeColor="text1"/>
          <w:szCs w:val="21"/>
        </w:rPr>
        <w:t>所规定的须以特别决议通过事项以外的其他事项均以一般决议的方式通过。</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特别决议，特别决议应当经参加大会的基金份额持有人</w:t>
      </w:r>
      <w:r w:rsidRPr="00172454">
        <w:rPr>
          <w:rFonts w:asciiTheme="minorEastAsia" w:eastAsiaTheme="minorEastAsia" w:hAnsiTheme="minorEastAsia" w:hint="eastAsia"/>
          <w:color w:val="000000" w:themeColor="text1"/>
          <w:szCs w:val="21"/>
        </w:rPr>
        <w:t>或其代理人</w:t>
      </w:r>
      <w:r w:rsidRPr="00172454">
        <w:rPr>
          <w:rFonts w:asciiTheme="minorEastAsia" w:eastAsiaTheme="minorEastAsia" w:hAnsiTheme="minorEastAsia"/>
          <w:color w:val="000000" w:themeColor="text1"/>
          <w:szCs w:val="21"/>
        </w:rPr>
        <w:t>所持表决权的三分之二</w:t>
      </w:r>
      <w:r w:rsidRPr="00172454">
        <w:rPr>
          <w:rFonts w:asciiTheme="minorEastAsia" w:eastAsiaTheme="minorEastAsia" w:hAnsiTheme="minorEastAsia" w:hint="eastAsia"/>
          <w:color w:val="000000" w:themeColor="text1"/>
          <w:szCs w:val="21"/>
        </w:rPr>
        <w:t>以上（含</w:t>
      </w:r>
      <w:r w:rsidRPr="00172454">
        <w:rPr>
          <w:rFonts w:asciiTheme="minorEastAsia" w:eastAsiaTheme="minorEastAsia" w:hAnsiTheme="minorEastAsia"/>
          <w:color w:val="000000" w:themeColor="text1"/>
          <w:szCs w:val="21"/>
        </w:rPr>
        <w:t>三分之二</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通过方可</w:t>
      </w:r>
      <w:r w:rsidRPr="00172454">
        <w:rPr>
          <w:rFonts w:asciiTheme="minorEastAsia" w:eastAsiaTheme="minorEastAsia" w:hAnsiTheme="minorEastAsia" w:hint="eastAsia"/>
          <w:color w:val="000000" w:themeColor="text1"/>
          <w:szCs w:val="21"/>
        </w:rPr>
        <w:t>做</w:t>
      </w:r>
      <w:r w:rsidRPr="00172454">
        <w:rPr>
          <w:rFonts w:asciiTheme="minorEastAsia" w:eastAsiaTheme="minorEastAsia" w:hAnsiTheme="minorEastAsia"/>
          <w:color w:val="000000" w:themeColor="text1"/>
          <w:szCs w:val="21"/>
        </w:rPr>
        <w:t>出。转换基金运作方式、更换基金管理人或者基金托管人、</w:t>
      </w:r>
      <w:bookmarkStart w:id="574" w:name="OLE_LINK512"/>
      <w:r w:rsidRPr="00172454" w:rsidR="00D65464">
        <w:rPr>
          <w:rFonts w:asciiTheme="minorEastAsia" w:eastAsiaTheme="minorEastAsia" w:hAnsiTheme="minorEastAsia" w:hint="eastAsia"/>
          <w:color w:val="000000" w:themeColor="text1"/>
          <w:szCs w:val="21"/>
        </w:rPr>
        <w:t>提前</w:t>
      </w:r>
      <w:bookmarkEnd w:id="574"/>
      <w:r w:rsidRPr="00172454">
        <w:rPr>
          <w:rFonts w:asciiTheme="minorEastAsia" w:eastAsiaTheme="minorEastAsia" w:hAnsiTheme="minorEastAsia"/>
          <w:color w:val="000000" w:themeColor="text1"/>
          <w:szCs w:val="21"/>
        </w:rPr>
        <w:t>终止基金合同</w:t>
      </w:r>
      <w:r w:rsidRPr="00172454" w:rsidR="00D65464">
        <w:rPr>
          <w:rFonts w:asciiTheme="minorEastAsia" w:eastAsiaTheme="minorEastAsia" w:hAnsiTheme="minorEastAsia" w:hint="eastAsia"/>
          <w:color w:val="000000" w:themeColor="text1"/>
          <w:szCs w:val="21"/>
        </w:rPr>
        <w:t>、</w:t>
      </w:r>
      <w:bookmarkStart w:id="575" w:name="_Hlk410217948"/>
      <w:r w:rsidRPr="00172454" w:rsidR="00D65464">
        <w:rPr>
          <w:rFonts w:asciiTheme="minorEastAsia" w:eastAsiaTheme="minorEastAsia" w:hAnsiTheme="minorEastAsia" w:hint="eastAsia"/>
          <w:color w:val="000000" w:themeColor="text1"/>
          <w:szCs w:val="21"/>
        </w:rPr>
        <w:t>与其他基金合并</w:t>
      </w:r>
      <w:bookmarkEnd w:id="575"/>
      <w:r w:rsidRPr="00172454">
        <w:rPr>
          <w:rFonts w:asciiTheme="minorEastAsia" w:eastAsiaTheme="minorEastAsia" w:hAnsiTheme="minorEastAsia"/>
          <w:color w:val="000000" w:themeColor="text1"/>
          <w:szCs w:val="21"/>
        </w:rPr>
        <w:t>以特别决议通过方为有效。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基金份额持有人大会采取记名方式进行投票表决。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采取通讯方式进行表决时，</w:t>
      </w:r>
      <w:r w:rsidRPr="00172454">
        <w:rPr>
          <w:rFonts w:asciiTheme="minorEastAsia" w:eastAsiaTheme="minorEastAsia" w:hAnsiTheme="minorEastAsia" w:hint="eastAsia"/>
          <w:color w:val="000000" w:themeColor="text1"/>
          <w:szCs w:val="21"/>
        </w:rPr>
        <w:t>除非在计票时有充分的相反证据证明，提交符合会议通知中规定的确认投资者身份文件的表决视为有效出席的投资者，</w:t>
      </w:r>
      <w:r w:rsidRPr="00172454">
        <w:rPr>
          <w:rFonts w:asciiTheme="minorEastAsia" w:eastAsiaTheme="minorEastAsia" w:hAnsiTheme="minorEastAsia"/>
          <w:color w:val="000000" w:themeColor="text1"/>
          <w:szCs w:val="21"/>
        </w:rPr>
        <w:t>符合会议通知规定的书面表决意见视为有效表决</w:t>
      </w:r>
      <w:r w:rsidRPr="00172454">
        <w:rPr>
          <w:rFonts w:asciiTheme="minorEastAsia" w:eastAsiaTheme="minorEastAsia" w:hAnsiTheme="minorEastAsia" w:hint="eastAsia"/>
          <w:color w:val="000000" w:themeColor="text1"/>
          <w:szCs w:val="21"/>
        </w:rPr>
        <w:t>，表决意见模糊不清或相互矛盾的视为弃权表决，但应当计入出具书面意见的基金份额持有人所代表的基金份额总数。</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基金份额持有人大会的各项提案或同一项提案内并列的各项议题应当分开审议、逐项表决。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76" w:name="_Toc15641226"/>
      <w:bookmarkStart w:id="577" w:name="_Toc57530249"/>
      <w:bookmarkStart w:id="578" w:name="_Toc79392590"/>
      <w:r w:rsidRPr="00172454">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color w:val="000000" w:themeColor="text1"/>
          <w:szCs w:val="21"/>
        </w:rPr>
        <w:t>计票</w:t>
      </w:r>
      <w:bookmarkEnd w:id="576"/>
      <w:bookmarkEnd w:id="577"/>
      <w:bookmarkEnd w:id="578"/>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现场开会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w:t>
      </w:r>
      <w:r w:rsidRPr="00172454">
        <w:rPr>
          <w:rFonts w:asciiTheme="minorEastAsia" w:eastAsiaTheme="minorEastAsia" w:hAnsiTheme="minorEastAsia"/>
          <w:color w:val="000000" w:themeColor="text1"/>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172454">
        <w:rPr>
          <w:rFonts w:asciiTheme="minorEastAsia" w:eastAsiaTheme="minorEastAsia" w:hAnsiTheme="minorEastAsia" w:hint="eastAsia"/>
          <w:color w:val="000000" w:themeColor="text1"/>
          <w:szCs w:val="21"/>
        </w:rPr>
        <w:t>或大会虽然由基金管理人或基金托管人召集，但是基金管理人或基金托管人未出席大会的</w:t>
      </w:r>
      <w:r w:rsidRPr="00172454">
        <w:rPr>
          <w:rFonts w:asciiTheme="minorEastAsia" w:eastAsiaTheme="minorEastAsia" w:hAnsiTheme="minorEastAsia"/>
          <w:color w:val="000000" w:themeColor="text1"/>
          <w:szCs w:val="21"/>
        </w:rPr>
        <w:t>，基金份额持有人大会的主持人应当在会议开始后宣布在出席会议的基金份额持有人中选举三名基金份额持有人代表担任监票人。</w:t>
      </w:r>
      <w:r w:rsidRPr="00172454">
        <w:rPr>
          <w:rFonts w:asciiTheme="minorEastAsia" w:eastAsiaTheme="minorEastAsia" w:hAnsiTheme="minorEastAsia" w:hint="eastAsia"/>
          <w:color w:val="000000" w:themeColor="text1"/>
          <w:szCs w:val="21"/>
        </w:rPr>
        <w:t>基金管理人或基金托管人不出席大会的，不影响计票的效力。</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监票人应当在基金份额持有人表决后立即进行清点并由大会主持人当场公布计票结果。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如果会议主持人</w:t>
      </w:r>
      <w:r w:rsidRPr="00172454">
        <w:rPr>
          <w:rFonts w:asciiTheme="minorEastAsia" w:eastAsiaTheme="minorEastAsia" w:hAnsiTheme="minorEastAsia" w:hint="eastAsia"/>
          <w:color w:val="000000" w:themeColor="text1"/>
          <w:szCs w:val="21"/>
        </w:rPr>
        <w:t>或</w:t>
      </w:r>
      <w:r w:rsidRPr="00172454">
        <w:rPr>
          <w:rFonts w:asciiTheme="minorEastAsia" w:eastAsiaTheme="minorEastAsia" w:hAnsiTheme="minorEastAsia"/>
          <w:color w:val="000000" w:themeColor="text1"/>
          <w:szCs w:val="21"/>
        </w:rPr>
        <w:t>基金份额持有人对于提交的表决结果有怀疑，可以在宣布表决结果后立即对所投票数</w:t>
      </w:r>
      <w:r w:rsidRPr="00172454">
        <w:rPr>
          <w:rFonts w:asciiTheme="minorEastAsia" w:eastAsiaTheme="minorEastAsia" w:hAnsiTheme="minorEastAsia" w:hint="eastAsia"/>
          <w:color w:val="000000" w:themeColor="text1"/>
          <w:szCs w:val="21"/>
        </w:rPr>
        <w:t>要求</w:t>
      </w:r>
      <w:r w:rsidRPr="00172454">
        <w:rPr>
          <w:rFonts w:asciiTheme="minorEastAsia" w:eastAsiaTheme="minorEastAsia" w:hAnsiTheme="minorEastAsia"/>
          <w:color w:val="000000" w:themeColor="text1"/>
          <w:szCs w:val="21"/>
        </w:rPr>
        <w:t>进行重新清点</w:t>
      </w:r>
      <w:r w:rsidRPr="00172454">
        <w:rPr>
          <w:rFonts w:asciiTheme="minorEastAsia" w:eastAsiaTheme="minorEastAsia" w:hAnsiTheme="minorEastAsia" w:hint="eastAsia"/>
          <w:color w:val="000000" w:themeColor="text1"/>
          <w:szCs w:val="21"/>
        </w:rPr>
        <w:t>。监票人应当进行重新清点，重新清点以一次为限。重新清点后，大会主持人应当当场公布重新清点结果。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4）计票过程应由公证机关予以公证,基金管理人或基金托管人拒不出席大会的，不影响计票的效力。</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通讯开会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在通讯开会的情况下，计票方式为：由大会召集人授权的两名监督员在基金托管人授权代表</w:t>
      </w:r>
      <w:r w:rsidRPr="00172454">
        <w:rPr>
          <w:rFonts w:asciiTheme="minorEastAsia" w:eastAsiaTheme="minorEastAsia" w:hAnsiTheme="minorEastAsia" w:hint="eastAsia"/>
          <w:color w:val="000000" w:themeColor="text1"/>
          <w:szCs w:val="21"/>
        </w:rPr>
        <w:t>（若由基金托管人召集，则为基金管理人</w:t>
      </w:r>
      <w:r w:rsidRPr="00172454">
        <w:rPr>
          <w:rFonts w:asciiTheme="minorEastAsia" w:eastAsiaTheme="minorEastAsia" w:hAnsiTheme="minorEastAsia"/>
          <w:color w:val="000000" w:themeColor="text1"/>
          <w:szCs w:val="21"/>
        </w:rPr>
        <w:t>授权代表</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的监督下进行计票，并由公证机关对其计票过程予以公证</w:t>
      </w:r>
      <w:bookmarkStart w:id="579" w:name="_Toc15641227"/>
      <w:bookmarkStart w:id="580" w:name="_Toc57530250"/>
      <w:bookmarkStart w:id="581" w:name="_Toc79392591"/>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基金管理人或基金托管人拒派代表对书面表决意见的计票进行监督的，不影响计票和表决结果。</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w:t>
      </w:r>
      <w:r w:rsidRPr="00172454" w:rsidR="001E55A5">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生效与公告</w:t>
      </w:r>
      <w:bookmarkEnd w:id="579"/>
      <w:bookmarkEnd w:id="580"/>
      <w:bookmarkEnd w:id="58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82" w:name="OLE_LINK514"/>
      <w:r w:rsidRPr="00172454">
        <w:rPr>
          <w:rFonts w:asciiTheme="minorEastAsia" w:eastAsiaTheme="minorEastAsia" w:hAnsiTheme="minorEastAsia" w:hint="eastAsia"/>
          <w:color w:val="000000" w:themeColor="text1"/>
          <w:szCs w:val="21"/>
        </w:rPr>
        <w:t>基金份额持有人大会的决议，召集人应当自通过之日起5日内报中国证监会备案。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基金份额持有人大会的决议自</w:t>
      </w:r>
      <w:r w:rsidRPr="00172454" w:rsidR="007C3211">
        <w:rPr>
          <w:rFonts w:asciiTheme="minorEastAsia" w:eastAsiaTheme="minorEastAsia" w:hAnsiTheme="minorEastAsia" w:hint="eastAsia"/>
          <w:color w:val="000000" w:themeColor="text1"/>
          <w:szCs w:val="21"/>
        </w:rPr>
        <w:t>表决通过</w:t>
      </w:r>
      <w:r w:rsidRPr="00172454">
        <w:rPr>
          <w:rFonts w:asciiTheme="minorEastAsia" w:eastAsiaTheme="minorEastAsia" w:hAnsiTheme="minorEastAsia" w:hint="eastAsia"/>
          <w:color w:val="000000" w:themeColor="text1"/>
          <w:szCs w:val="21"/>
        </w:rPr>
        <w:t>之日起生效。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基金份额持有人大会决议自生效之日起</w:t>
      </w:r>
      <w:r w:rsidRPr="00172454">
        <w:rPr>
          <w:rFonts w:asciiTheme="minorEastAsia" w:eastAsiaTheme="minorEastAsia" w:hAnsiTheme="minorEastAsia" w:hint="eastAsia"/>
          <w:color w:val="000000" w:themeColor="text1"/>
          <w:szCs w:val="21"/>
        </w:rPr>
        <w:t>2</w:t>
      </w:r>
      <w:r w:rsidRPr="00172454">
        <w:rPr>
          <w:rFonts w:asciiTheme="minorEastAsia" w:eastAsiaTheme="minorEastAsia" w:hAnsiTheme="minorEastAsia"/>
          <w:color w:val="000000" w:themeColor="text1"/>
          <w:szCs w:val="21"/>
        </w:rPr>
        <w:t>日内在至少一</w:t>
      </w:r>
      <w:r w:rsidRPr="00172454">
        <w:rPr>
          <w:rFonts w:asciiTheme="minorEastAsia" w:eastAsiaTheme="minorEastAsia" w:hAnsiTheme="minorEastAsia" w:hint="eastAsia"/>
          <w:color w:val="000000" w:themeColor="text1"/>
          <w:szCs w:val="21"/>
        </w:rPr>
        <w:t>家</w:t>
      </w:r>
      <w:r w:rsidRPr="00172454" w:rsidR="00640961">
        <w:rPr>
          <w:rFonts w:asciiTheme="minorEastAsia" w:eastAsiaTheme="minorEastAsia" w:hAnsiTheme="minorEastAsia"/>
          <w:color w:val="000000" w:themeColor="text1"/>
          <w:szCs w:val="21"/>
        </w:rPr>
        <w:t>指定媒介</w:t>
      </w:r>
      <w:r w:rsidRPr="00172454">
        <w:rPr>
          <w:rFonts w:asciiTheme="minorEastAsia" w:eastAsiaTheme="minorEastAsia" w:hAnsiTheme="minorEastAsia" w:hint="eastAsia"/>
          <w:color w:val="000000" w:themeColor="text1"/>
          <w:szCs w:val="21"/>
        </w:rPr>
        <w:t>及基金管理人网站上</w:t>
      </w:r>
      <w:r w:rsidRPr="00172454">
        <w:rPr>
          <w:rFonts w:asciiTheme="minorEastAsia" w:eastAsiaTheme="minorEastAsia" w:hAnsiTheme="minorEastAsia"/>
          <w:color w:val="000000" w:themeColor="text1"/>
          <w:szCs w:val="21"/>
        </w:rPr>
        <w:t>公告。</w:t>
      </w:r>
      <w:r w:rsidRPr="00172454">
        <w:rPr>
          <w:rFonts w:asciiTheme="minorEastAsia" w:eastAsiaTheme="minorEastAsia" w:hAnsiTheme="minorEastAsia" w:hint="eastAsia"/>
          <w:color w:val="000000" w:themeColor="text1"/>
          <w:szCs w:val="21"/>
        </w:rPr>
        <w:t>如果采用通讯方式进行表决，在公告基金份额持有人大会决议时，必须将公证书全文、公证机构、公证员姓名等一同公告。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基金管理人、基金托管人和基金份额持有人应当执行生效的基金份额持有人大会的决议。</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基金份额持有人大会决议对全体基金份额持有人、基金管理人、基金托管人均有约束力。</w:t>
      </w:r>
    </w:p>
    <w:p w:rsidR="005D5BC7" w:rsidRPr="00172454" w:rsidP="00F07B7D">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583" w:name="OLE_LINK542"/>
      <w:bookmarkStart w:id="584" w:name="_Toc238024339"/>
      <w:bookmarkStart w:id="585" w:name="_Toc253577379"/>
      <w:bookmarkStart w:id="586" w:name="_Toc91767077"/>
      <w:bookmarkEnd w:id="582"/>
      <w:r w:rsidRPr="00172454">
        <w:rPr>
          <w:rFonts w:asciiTheme="minorEastAsia" w:eastAsiaTheme="minorEastAsia" w:hAnsiTheme="minorEastAsia" w:hint="eastAsia"/>
          <w:b w:val="0"/>
          <w:bCs/>
          <w:color w:val="000000" w:themeColor="text1"/>
        </w:rPr>
        <w:t>（五）</w:t>
      </w:r>
      <w:bookmarkEnd w:id="583"/>
      <w:r w:rsidRPr="00172454">
        <w:rPr>
          <w:rFonts w:asciiTheme="minorEastAsia" w:eastAsiaTheme="minorEastAsia" w:hAnsiTheme="minorEastAsia" w:hint="eastAsia"/>
          <w:b w:val="0"/>
          <w:bCs/>
          <w:color w:val="000000" w:themeColor="text1"/>
        </w:rPr>
        <w:t>基金合同的变更</w:t>
      </w:r>
      <w:bookmarkEnd w:id="584"/>
      <w:bookmarkEnd w:id="585"/>
      <w:bookmarkEnd w:id="586"/>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587" w:name="OLE_LINK497"/>
      <w:bookmarkStart w:id="588" w:name="OLE_LINK491"/>
      <w:bookmarkStart w:id="589" w:name="OLE_LINK492"/>
      <w:r w:rsidRPr="00172454">
        <w:rPr>
          <w:rFonts w:asciiTheme="minorEastAsia" w:eastAsiaTheme="minorEastAsia" w:hAnsiTheme="minorEastAsia" w:hint="eastAsia"/>
          <w:color w:val="000000" w:themeColor="text1"/>
          <w:szCs w:val="21"/>
        </w:rPr>
        <w:t>1、按照法律法规或《基金合同》的规定，对《基金合同》的变更应当召开基金份额持有人大会的，《基金合同》变更的内容应经基金份额持有人大会决议通过，并依法报中国证监会</w:t>
      </w:r>
      <w:r w:rsidRPr="00172454" w:rsidR="00D03C59">
        <w:rPr>
          <w:rFonts w:asciiTheme="minorEastAsia" w:eastAsiaTheme="minorEastAsia" w:hAnsiTheme="minorEastAsia" w:hint="eastAsia"/>
          <w:color w:val="000000" w:themeColor="text1"/>
          <w:szCs w:val="21"/>
        </w:rPr>
        <w:t>备案</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2、上述对《基金合同》的变更事项自</w:t>
      </w:r>
      <w:r w:rsidRPr="00172454" w:rsidR="002207A2">
        <w:rPr>
          <w:rFonts w:asciiTheme="minorEastAsia" w:eastAsiaTheme="minorEastAsia" w:hAnsiTheme="minorEastAsia" w:hint="eastAsia"/>
          <w:color w:val="000000" w:themeColor="text1"/>
          <w:szCs w:val="21"/>
        </w:rPr>
        <w:t>表决通过</w:t>
      </w:r>
      <w:r w:rsidRPr="00172454">
        <w:rPr>
          <w:rFonts w:asciiTheme="minorEastAsia" w:eastAsiaTheme="minorEastAsia" w:hAnsiTheme="minorEastAsia" w:hint="eastAsia"/>
          <w:color w:val="000000" w:themeColor="text1"/>
          <w:szCs w:val="21"/>
        </w:rPr>
        <w:t>之日起生效。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3、但出现下列情况时，可不经基金份额持有人大会决议，由基金管理人和基金托管人同意后变更并公告，并报中国证监会备案：</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（1）调低基金管理费、基金托管费；</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（2）法律法规要求增加的基金费用的收取；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（3）在法律法规和《基金合同》规定的范围内调整本基金的申购费率、调低赎回费率</w:t>
      </w:r>
      <w:r w:rsidRPr="00172454" w:rsidR="00484D0D">
        <w:rPr>
          <w:rFonts w:asciiTheme="minorEastAsia" w:eastAsiaTheme="minorEastAsia" w:hAnsiTheme="minorEastAsia" w:hint="eastAsia"/>
          <w:color w:val="000000" w:themeColor="text1"/>
          <w:szCs w:val="21"/>
        </w:rPr>
        <w:t>或调整收费方式</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（4）因相应的法律法规</w:t>
      </w:r>
      <w:bookmarkStart w:id="590" w:name="_Hlk410308126"/>
      <w:r w:rsidRPr="00172454" w:rsidR="00484D0D">
        <w:rPr>
          <w:rFonts w:asciiTheme="minorEastAsia" w:eastAsiaTheme="minorEastAsia" w:hAnsiTheme="minorEastAsia" w:hint="eastAsia"/>
          <w:color w:val="000000" w:themeColor="text1"/>
          <w:szCs w:val="21"/>
        </w:rPr>
        <w:t>、上海证券交易所或者登记结算机构的相关业务规则</w:t>
      </w:r>
      <w:bookmarkEnd w:id="590"/>
      <w:r w:rsidRPr="00172454">
        <w:rPr>
          <w:rFonts w:asciiTheme="minorEastAsia" w:eastAsiaTheme="minorEastAsia" w:hAnsiTheme="minorEastAsia" w:hint="eastAsia"/>
          <w:color w:val="000000" w:themeColor="text1"/>
          <w:szCs w:val="21"/>
        </w:rPr>
        <w:t>发生变动而应当对《基金合同》进行修改；</w:t>
      </w:r>
    </w:p>
    <w:p w:rsidR="00484D0D"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w:t>
      </w:r>
      <w:bookmarkStart w:id="591" w:name="OLE_LINK495"/>
      <w:r w:rsidRPr="00172454" w:rsidR="003C3E72">
        <w:rPr>
          <w:rFonts w:asciiTheme="minorEastAsia" w:eastAsiaTheme="minorEastAsia" w:hAnsiTheme="minorEastAsia" w:hint="eastAsia"/>
          <w:color w:val="000000" w:themeColor="text1"/>
          <w:szCs w:val="21"/>
        </w:rPr>
        <w:t>重大</w:t>
      </w:r>
      <w:bookmarkEnd w:id="591"/>
      <w:r w:rsidRPr="00172454">
        <w:rPr>
          <w:rFonts w:asciiTheme="minorEastAsia" w:eastAsiaTheme="minorEastAsia" w:hAnsiTheme="minorEastAsia" w:hint="eastAsia"/>
          <w:color w:val="000000" w:themeColor="text1"/>
          <w:szCs w:val="21"/>
        </w:rPr>
        <w:t>变化；</w:t>
      </w:r>
    </w:p>
    <w:p w:rsidR="00484D0D"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（6）基金管理人、上海证券交易所和登记结算机构在法律法规、《基金合同》规定的范围内调整有关基金认购、申购、赎回、交易、转托管、非交易过户等业务的规则；</w:t>
      </w:r>
    </w:p>
    <w:p w:rsidR="00484D0D"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在不违反法律法规及对基金份额持有人利益无实质不利影响的前提下，增设新的份额类别或者调整基金份额类别设置、在其他证券交易所上市、调整场外申购赎回方式、开通跨系统转托管业务或暂停、停止场外申购赎回业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（8）除按照法律法规和《基金合同》规定应当召开基金份额持有人大会的以外的其他情形。</w:t>
      </w:r>
    </w:p>
    <w:bookmarkEnd w:id="587"/>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4、法律法规对基金合同变更另有规定的，从其规定。</w:t>
      </w:r>
      <w:bookmarkEnd w:id="588"/>
      <w:bookmarkEnd w:id="589"/>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92" w:name="_Toc238024340"/>
      <w:bookmarkStart w:id="593" w:name="_Toc253577380"/>
      <w:bookmarkStart w:id="594" w:name="_Toc91767078"/>
      <w:r w:rsidRPr="00172454">
        <w:rPr>
          <w:rFonts w:asciiTheme="minorEastAsia" w:eastAsiaTheme="minorEastAsia" w:hAnsiTheme="minorEastAsia" w:hint="eastAsia"/>
          <w:b w:val="0"/>
          <w:bCs/>
          <w:color w:val="000000" w:themeColor="text1"/>
        </w:rPr>
        <w:t>（六）基金合同的终止</w:t>
      </w:r>
      <w:bookmarkEnd w:id="592"/>
      <w:bookmarkEnd w:id="593"/>
      <w:bookmarkEnd w:id="59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有下列情形之一的，《基金合同》应当终止：</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1、基金份额持有人大会决定终止的；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2、基金管理人、基金托管人职责终止，在6个月内没有新基金管理人、新基金托管人承接的；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3、《基金合同》约定的其他情形；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4、相关法律法规和中国证监会规定的其他情况。</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595" w:name="_Toc38437218"/>
      <w:bookmarkStart w:id="596" w:name="_Toc38437354"/>
      <w:bookmarkStart w:id="597" w:name="_Toc38437490"/>
      <w:bookmarkStart w:id="598" w:name="_Toc38437626"/>
      <w:bookmarkStart w:id="599" w:name="_Toc38437772"/>
      <w:bookmarkStart w:id="600" w:name="_Toc38437918"/>
      <w:bookmarkStart w:id="601" w:name="_Toc38438064"/>
      <w:bookmarkStart w:id="602" w:name="_Toc38438210"/>
      <w:bookmarkStart w:id="603" w:name="_Toc38438547"/>
      <w:bookmarkStart w:id="604" w:name="_Toc38438884"/>
      <w:bookmarkStart w:id="605" w:name="_Toc38439221"/>
      <w:bookmarkStart w:id="606" w:name="_Toc38439558"/>
      <w:bookmarkStart w:id="607" w:name="_Toc38439895"/>
      <w:bookmarkStart w:id="608" w:name="_Toc38440232"/>
      <w:bookmarkStart w:id="609" w:name="_Toc38440569"/>
      <w:bookmarkStart w:id="610" w:name="_Toc38440768"/>
      <w:bookmarkStart w:id="611" w:name="_Toc38441101"/>
      <w:bookmarkStart w:id="612" w:name="_Toc38441433"/>
      <w:bookmarkStart w:id="613" w:name="_Toc38441765"/>
      <w:bookmarkStart w:id="614" w:name="_Toc38442093"/>
      <w:bookmarkStart w:id="615" w:name="_Toc38442425"/>
      <w:bookmarkStart w:id="616" w:name="_Toc38442757"/>
      <w:bookmarkStart w:id="617" w:name="_Toc38443088"/>
      <w:bookmarkStart w:id="618" w:name="_Toc38443419"/>
      <w:bookmarkStart w:id="619" w:name="_Toc38443750"/>
      <w:bookmarkStart w:id="620" w:name="_Toc38433500"/>
      <w:bookmarkStart w:id="621" w:name="_Toc38433635"/>
      <w:bookmarkStart w:id="622" w:name="_Toc38433769"/>
      <w:bookmarkStart w:id="623" w:name="_Toc38433919"/>
      <w:bookmarkStart w:id="624" w:name="_Toc38434067"/>
      <w:bookmarkStart w:id="625" w:name="_Toc38434215"/>
      <w:bookmarkStart w:id="626" w:name="_Toc38434361"/>
      <w:bookmarkStart w:id="627" w:name="_Toc38434504"/>
      <w:bookmarkStart w:id="628" w:name="_Toc38434647"/>
      <w:bookmarkStart w:id="629" w:name="_Toc38434790"/>
      <w:bookmarkStart w:id="630" w:name="_Toc38434934"/>
      <w:bookmarkStart w:id="631" w:name="_Toc38437630"/>
      <w:bookmarkStart w:id="632" w:name="_Toc38437776"/>
      <w:bookmarkStart w:id="633" w:name="_Toc38437922"/>
      <w:bookmarkStart w:id="634" w:name="_Toc38438068"/>
      <w:bookmarkStart w:id="635" w:name="_Toc38438214"/>
      <w:bookmarkStart w:id="636" w:name="_Toc38438551"/>
      <w:bookmarkStart w:id="637" w:name="_Toc38438888"/>
      <w:bookmarkStart w:id="638" w:name="_Toc38439225"/>
      <w:bookmarkStart w:id="639" w:name="_Toc38439562"/>
      <w:bookmarkStart w:id="640" w:name="_Toc38439899"/>
      <w:bookmarkStart w:id="641" w:name="_Toc38440236"/>
      <w:bookmarkStart w:id="642" w:name="_Toc38440573"/>
      <w:bookmarkStart w:id="643" w:name="_Toc38440772"/>
      <w:bookmarkStart w:id="644" w:name="_Toc38441105"/>
      <w:bookmarkStart w:id="645" w:name="_Toc38441437"/>
      <w:bookmarkStart w:id="646" w:name="_Toc38441769"/>
      <w:bookmarkStart w:id="647" w:name="_Toc38442097"/>
      <w:bookmarkStart w:id="648" w:name="_Toc38442429"/>
      <w:bookmarkStart w:id="649" w:name="_Toc38442761"/>
      <w:bookmarkStart w:id="650" w:name="_Toc38443092"/>
      <w:bookmarkStart w:id="651" w:name="_Toc38443423"/>
      <w:bookmarkStart w:id="652" w:name="_Toc38443754"/>
      <w:bookmarkStart w:id="653" w:name="_Toc38433501"/>
      <w:bookmarkStart w:id="654" w:name="_Toc38433636"/>
      <w:bookmarkStart w:id="655" w:name="_Toc38433770"/>
      <w:bookmarkStart w:id="656" w:name="_Toc38433920"/>
      <w:bookmarkStart w:id="657" w:name="_Toc38434068"/>
      <w:bookmarkStart w:id="658" w:name="_Toc38434216"/>
      <w:bookmarkStart w:id="659" w:name="_Toc38434362"/>
      <w:bookmarkStart w:id="660" w:name="_Toc38434505"/>
      <w:bookmarkStart w:id="661" w:name="_Toc38434648"/>
      <w:bookmarkStart w:id="662" w:name="_Toc38434791"/>
      <w:bookmarkStart w:id="663" w:name="_Toc38434935"/>
      <w:bookmarkStart w:id="664" w:name="_Toc38437631"/>
      <w:bookmarkStart w:id="665" w:name="_Toc38437777"/>
      <w:bookmarkStart w:id="666" w:name="_Toc38437923"/>
      <w:bookmarkStart w:id="667" w:name="_Toc38438069"/>
      <w:bookmarkStart w:id="668" w:name="_Toc38438215"/>
      <w:bookmarkStart w:id="669" w:name="_Toc38438552"/>
      <w:bookmarkStart w:id="670" w:name="_Toc38438889"/>
      <w:bookmarkStart w:id="671" w:name="_Toc38439226"/>
      <w:bookmarkStart w:id="672" w:name="_Toc38439563"/>
      <w:bookmarkStart w:id="673" w:name="_Toc38439900"/>
      <w:bookmarkStart w:id="674" w:name="_Toc38440237"/>
      <w:bookmarkStart w:id="675" w:name="_Toc38440574"/>
      <w:bookmarkStart w:id="676" w:name="_Toc38440773"/>
      <w:bookmarkStart w:id="677" w:name="_Toc38441106"/>
      <w:bookmarkStart w:id="678" w:name="_Toc38441438"/>
      <w:bookmarkStart w:id="679" w:name="_Toc38441770"/>
      <w:bookmarkStart w:id="680" w:name="_Toc38442098"/>
      <w:bookmarkStart w:id="681" w:name="_Toc38442430"/>
      <w:bookmarkStart w:id="682" w:name="_Toc38442762"/>
      <w:bookmarkStart w:id="683" w:name="_Toc38443093"/>
      <w:bookmarkStart w:id="684" w:name="_Toc38443424"/>
      <w:bookmarkStart w:id="685" w:name="_Toc38443755"/>
      <w:bookmarkStart w:id="686" w:name="_Toc38433502"/>
      <w:bookmarkStart w:id="687" w:name="_Toc38433637"/>
      <w:bookmarkStart w:id="688" w:name="_Toc38433771"/>
      <w:bookmarkStart w:id="689" w:name="_Toc38433921"/>
      <w:bookmarkStart w:id="690" w:name="_Toc38434069"/>
      <w:bookmarkStart w:id="691" w:name="_Toc38434217"/>
      <w:bookmarkStart w:id="692" w:name="_Toc38434363"/>
      <w:bookmarkStart w:id="693" w:name="_Toc38434506"/>
      <w:bookmarkStart w:id="694" w:name="_Toc38434649"/>
      <w:bookmarkStart w:id="695" w:name="_Toc38434792"/>
      <w:bookmarkStart w:id="696" w:name="_Toc38434936"/>
      <w:bookmarkStart w:id="697" w:name="_Toc38437632"/>
      <w:bookmarkStart w:id="698" w:name="_Toc38437778"/>
      <w:bookmarkStart w:id="699" w:name="_Toc38437924"/>
      <w:bookmarkStart w:id="700" w:name="_Toc38438070"/>
      <w:bookmarkStart w:id="701" w:name="_Toc38438216"/>
      <w:bookmarkStart w:id="702" w:name="_Toc38438553"/>
      <w:bookmarkStart w:id="703" w:name="_Toc38438890"/>
      <w:bookmarkStart w:id="704" w:name="_Toc38439227"/>
      <w:bookmarkStart w:id="705" w:name="_Toc38439564"/>
      <w:bookmarkStart w:id="706" w:name="_Toc38439901"/>
      <w:bookmarkStart w:id="707" w:name="_Toc38440238"/>
      <w:bookmarkStart w:id="708" w:name="_Toc38440575"/>
      <w:bookmarkStart w:id="709" w:name="_Toc38440774"/>
      <w:bookmarkStart w:id="710" w:name="_Toc38441107"/>
      <w:bookmarkStart w:id="711" w:name="_Toc38441439"/>
      <w:bookmarkStart w:id="712" w:name="_Toc38441771"/>
      <w:bookmarkStart w:id="713" w:name="_Toc38442099"/>
      <w:bookmarkStart w:id="714" w:name="_Toc38442431"/>
      <w:bookmarkStart w:id="715" w:name="_Toc38442763"/>
      <w:bookmarkStart w:id="716" w:name="_Toc38443094"/>
      <w:bookmarkStart w:id="717" w:name="_Toc38443425"/>
      <w:bookmarkStart w:id="718" w:name="_Toc38443756"/>
      <w:bookmarkStart w:id="719" w:name="_Toc38433503"/>
      <w:bookmarkStart w:id="720" w:name="_Toc38433638"/>
      <w:bookmarkStart w:id="721" w:name="_Toc38433772"/>
      <w:bookmarkStart w:id="722" w:name="_Toc38433922"/>
      <w:bookmarkStart w:id="723" w:name="_Toc38434070"/>
      <w:bookmarkStart w:id="724" w:name="_Toc38434218"/>
      <w:bookmarkStart w:id="725" w:name="_Toc38434364"/>
      <w:bookmarkStart w:id="726" w:name="_Toc38434507"/>
      <w:bookmarkStart w:id="727" w:name="_Toc38434650"/>
      <w:bookmarkStart w:id="728" w:name="_Toc38434793"/>
      <w:bookmarkStart w:id="729" w:name="_Toc38434937"/>
      <w:bookmarkStart w:id="730" w:name="_Toc38437633"/>
      <w:bookmarkStart w:id="731" w:name="_Toc38437779"/>
      <w:bookmarkStart w:id="732" w:name="_Toc38437925"/>
      <w:bookmarkStart w:id="733" w:name="_Toc38438071"/>
      <w:bookmarkStart w:id="734" w:name="_Toc38438217"/>
      <w:bookmarkStart w:id="735" w:name="_Toc38438554"/>
      <w:bookmarkStart w:id="736" w:name="_Toc38438891"/>
      <w:bookmarkStart w:id="737" w:name="_Toc38439228"/>
      <w:bookmarkStart w:id="738" w:name="_Toc38439565"/>
      <w:bookmarkStart w:id="739" w:name="_Toc38439902"/>
      <w:bookmarkStart w:id="740" w:name="_Toc38440239"/>
      <w:bookmarkStart w:id="741" w:name="_Toc38440576"/>
      <w:bookmarkStart w:id="742" w:name="_Toc38440775"/>
      <w:bookmarkStart w:id="743" w:name="_Toc38441108"/>
      <w:bookmarkStart w:id="744" w:name="_Toc38441440"/>
      <w:bookmarkStart w:id="745" w:name="_Toc38441772"/>
      <w:bookmarkStart w:id="746" w:name="_Toc38442100"/>
      <w:bookmarkStart w:id="747" w:name="_Toc38442432"/>
      <w:bookmarkStart w:id="748" w:name="_Toc38442764"/>
      <w:bookmarkStart w:id="749" w:name="_Toc38443095"/>
      <w:bookmarkStart w:id="750" w:name="_Toc38443426"/>
      <w:bookmarkStart w:id="751" w:name="_Toc38443757"/>
      <w:bookmarkStart w:id="752" w:name="_Toc38433504"/>
      <w:bookmarkStart w:id="753" w:name="_Toc38433639"/>
      <w:bookmarkStart w:id="754" w:name="_Toc38433773"/>
      <w:bookmarkStart w:id="755" w:name="_Toc38433923"/>
      <w:bookmarkStart w:id="756" w:name="_Toc38434071"/>
      <w:bookmarkStart w:id="757" w:name="_Toc38434219"/>
      <w:bookmarkStart w:id="758" w:name="_Toc38434365"/>
      <w:bookmarkStart w:id="759" w:name="_Toc38434508"/>
      <w:bookmarkStart w:id="760" w:name="_Toc38434651"/>
      <w:bookmarkStart w:id="761" w:name="_Toc38434794"/>
      <w:bookmarkStart w:id="762" w:name="_Toc38434938"/>
      <w:bookmarkStart w:id="763" w:name="_Toc38437634"/>
      <w:bookmarkStart w:id="764" w:name="_Toc38437780"/>
      <w:bookmarkStart w:id="765" w:name="_Toc38437926"/>
      <w:bookmarkStart w:id="766" w:name="_Toc38438072"/>
      <w:bookmarkStart w:id="767" w:name="_Toc38438218"/>
      <w:bookmarkStart w:id="768" w:name="_Toc38438555"/>
      <w:bookmarkStart w:id="769" w:name="_Toc38438892"/>
      <w:bookmarkStart w:id="770" w:name="_Toc38439229"/>
      <w:bookmarkStart w:id="771" w:name="_Toc38439566"/>
      <w:bookmarkStart w:id="772" w:name="_Toc38439903"/>
      <w:bookmarkStart w:id="773" w:name="_Toc38440240"/>
      <w:bookmarkStart w:id="774" w:name="_Toc38440577"/>
      <w:bookmarkStart w:id="775" w:name="_Toc38440776"/>
      <w:bookmarkStart w:id="776" w:name="_Toc38441109"/>
      <w:bookmarkStart w:id="777" w:name="_Toc38441441"/>
      <w:bookmarkStart w:id="778" w:name="_Toc38441773"/>
      <w:bookmarkStart w:id="779" w:name="_Toc38442101"/>
      <w:bookmarkStart w:id="780" w:name="_Toc38442433"/>
      <w:bookmarkStart w:id="781" w:name="_Toc38442765"/>
      <w:bookmarkStart w:id="782" w:name="_Toc38443096"/>
      <w:bookmarkStart w:id="783" w:name="_Toc38443427"/>
      <w:bookmarkStart w:id="784" w:name="_Toc38443758"/>
      <w:bookmarkStart w:id="785" w:name="_Toc38433505"/>
      <w:bookmarkStart w:id="786" w:name="_Toc38433640"/>
      <w:bookmarkStart w:id="787" w:name="_Toc38433774"/>
      <w:bookmarkStart w:id="788" w:name="_Toc38433924"/>
      <w:bookmarkStart w:id="789" w:name="_Toc38434072"/>
      <w:bookmarkStart w:id="790" w:name="_Toc38434220"/>
      <w:bookmarkStart w:id="791" w:name="_Toc38434366"/>
      <w:bookmarkStart w:id="792" w:name="_Toc38434509"/>
      <w:bookmarkStart w:id="793" w:name="_Toc38434652"/>
      <w:bookmarkStart w:id="794" w:name="_Toc38434795"/>
      <w:bookmarkStart w:id="795" w:name="_Toc38434939"/>
      <w:bookmarkStart w:id="796" w:name="_Toc38437635"/>
      <w:bookmarkStart w:id="797" w:name="_Toc38437781"/>
      <w:bookmarkStart w:id="798" w:name="_Toc38437927"/>
      <w:bookmarkStart w:id="799" w:name="_Toc38438073"/>
      <w:bookmarkStart w:id="800" w:name="_Toc38438219"/>
      <w:bookmarkStart w:id="801" w:name="_Toc38438556"/>
      <w:bookmarkStart w:id="802" w:name="_Toc38438893"/>
      <w:bookmarkStart w:id="803" w:name="_Toc38439230"/>
      <w:bookmarkStart w:id="804" w:name="_Toc38439567"/>
      <w:bookmarkStart w:id="805" w:name="_Toc38439904"/>
      <w:bookmarkStart w:id="806" w:name="_Toc38440241"/>
      <w:bookmarkStart w:id="807" w:name="_Toc38440578"/>
      <w:bookmarkStart w:id="808" w:name="_Toc38440777"/>
      <w:bookmarkStart w:id="809" w:name="_Toc38441110"/>
      <w:bookmarkStart w:id="810" w:name="_Toc38441442"/>
      <w:bookmarkStart w:id="811" w:name="_Toc38441774"/>
      <w:bookmarkStart w:id="812" w:name="_Toc38442102"/>
      <w:bookmarkStart w:id="813" w:name="_Toc38442434"/>
      <w:bookmarkStart w:id="814" w:name="_Toc38442766"/>
      <w:bookmarkStart w:id="815" w:name="_Toc38443097"/>
      <w:bookmarkStart w:id="816" w:name="_Toc38443428"/>
      <w:bookmarkStart w:id="817" w:name="_Toc38443759"/>
      <w:bookmarkStart w:id="818" w:name="_Toc38433506"/>
      <w:bookmarkStart w:id="819" w:name="_Toc38433641"/>
      <w:bookmarkStart w:id="820" w:name="_Toc38433775"/>
      <w:bookmarkStart w:id="821" w:name="_Toc38433925"/>
      <w:bookmarkStart w:id="822" w:name="_Toc38434073"/>
      <w:bookmarkStart w:id="823" w:name="_Toc38434221"/>
      <w:bookmarkStart w:id="824" w:name="_Toc38434367"/>
      <w:bookmarkStart w:id="825" w:name="_Toc38434510"/>
      <w:bookmarkStart w:id="826" w:name="_Toc38434653"/>
      <w:bookmarkStart w:id="827" w:name="_Toc38434796"/>
      <w:bookmarkStart w:id="828" w:name="_Toc38434940"/>
      <w:bookmarkStart w:id="829" w:name="_Toc38437636"/>
      <w:bookmarkStart w:id="830" w:name="_Toc38437782"/>
      <w:bookmarkStart w:id="831" w:name="_Toc38437928"/>
      <w:bookmarkStart w:id="832" w:name="_Toc38438074"/>
      <w:bookmarkStart w:id="833" w:name="_Toc38438220"/>
      <w:bookmarkStart w:id="834" w:name="_Toc38438557"/>
      <w:bookmarkStart w:id="835" w:name="_Toc38438894"/>
      <w:bookmarkStart w:id="836" w:name="_Toc38439231"/>
      <w:bookmarkStart w:id="837" w:name="_Toc38439568"/>
      <w:bookmarkStart w:id="838" w:name="_Toc38439905"/>
      <w:bookmarkStart w:id="839" w:name="_Toc38440242"/>
      <w:bookmarkStart w:id="840" w:name="_Toc38440579"/>
      <w:bookmarkStart w:id="841" w:name="_Toc38440778"/>
      <w:bookmarkStart w:id="842" w:name="_Toc38441111"/>
      <w:bookmarkStart w:id="843" w:name="_Toc38441443"/>
      <w:bookmarkStart w:id="844" w:name="_Toc38441775"/>
      <w:bookmarkStart w:id="845" w:name="_Toc38442103"/>
      <w:bookmarkStart w:id="846" w:name="_Toc38442435"/>
      <w:bookmarkStart w:id="847" w:name="_Toc38442767"/>
      <w:bookmarkStart w:id="848" w:name="_Toc38443098"/>
      <w:bookmarkStart w:id="849" w:name="_Toc38443429"/>
      <w:bookmarkStart w:id="850" w:name="_Toc38443760"/>
      <w:bookmarkStart w:id="851" w:name="_Toc38433507"/>
      <w:bookmarkStart w:id="852" w:name="_Toc38433642"/>
      <w:bookmarkStart w:id="853" w:name="_Toc38433776"/>
      <w:bookmarkStart w:id="854" w:name="_Toc38433926"/>
      <w:bookmarkStart w:id="855" w:name="_Toc38434074"/>
      <w:bookmarkStart w:id="856" w:name="_Toc38434222"/>
      <w:bookmarkStart w:id="857" w:name="_Toc38434368"/>
      <w:bookmarkStart w:id="858" w:name="_Toc38434511"/>
      <w:bookmarkStart w:id="859" w:name="_Toc38434654"/>
      <w:bookmarkStart w:id="860" w:name="_Toc38434797"/>
      <w:bookmarkStart w:id="861" w:name="_Toc38434941"/>
      <w:bookmarkStart w:id="862" w:name="_Toc38437637"/>
      <w:bookmarkStart w:id="863" w:name="_Toc38437783"/>
      <w:bookmarkStart w:id="864" w:name="_Toc38437929"/>
      <w:bookmarkStart w:id="865" w:name="_Toc38438075"/>
      <w:bookmarkStart w:id="866" w:name="_Toc38438221"/>
      <w:bookmarkStart w:id="867" w:name="_Toc38438558"/>
      <w:bookmarkStart w:id="868" w:name="_Toc38438895"/>
      <w:bookmarkStart w:id="869" w:name="_Toc38439232"/>
      <w:bookmarkStart w:id="870" w:name="_Toc38439569"/>
      <w:bookmarkStart w:id="871" w:name="_Toc38439906"/>
      <w:bookmarkStart w:id="872" w:name="_Toc38440243"/>
      <w:bookmarkStart w:id="873" w:name="_Toc38440580"/>
      <w:bookmarkStart w:id="874" w:name="_Toc38440779"/>
      <w:bookmarkStart w:id="875" w:name="_Toc38441112"/>
      <w:bookmarkStart w:id="876" w:name="_Toc38441444"/>
      <w:bookmarkStart w:id="877" w:name="_Toc38441776"/>
      <w:bookmarkStart w:id="878" w:name="_Toc38442104"/>
      <w:bookmarkStart w:id="879" w:name="_Toc38442436"/>
      <w:bookmarkStart w:id="880" w:name="_Toc38442768"/>
      <w:bookmarkStart w:id="881" w:name="_Toc38443099"/>
      <w:bookmarkStart w:id="882" w:name="_Toc38443430"/>
      <w:bookmarkStart w:id="883" w:name="_Toc38443761"/>
      <w:bookmarkStart w:id="884" w:name="_Toc38433508"/>
      <w:bookmarkStart w:id="885" w:name="_Toc38433643"/>
      <w:bookmarkStart w:id="886" w:name="_Toc38433777"/>
      <w:bookmarkStart w:id="887" w:name="_Toc38433927"/>
      <w:bookmarkStart w:id="888" w:name="_Toc38434075"/>
      <w:bookmarkStart w:id="889" w:name="_Toc38434223"/>
      <w:bookmarkStart w:id="890" w:name="_Toc38434369"/>
      <w:bookmarkStart w:id="891" w:name="_Toc38434512"/>
      <w:bookmarkStart w:id="892" w:name="_Toc38434655"/>
      <w:bookmarkStart w:id="893" w:name="_Toc38434798"/>
      <w:bookmarkStart w:id="894" w:name="_Toc38434942"/>
      <w:bookmarkStart w:id="895" w:name="_Toc38437638"/>
      <w:bookmarkStart w:id="896" w:name="_Toc38437784"/>
      <w:bookmarkStart w:id="897" w:name="_Toc38437930"/>
      <w:bookmarkStart w:id="898" w:name="_Toc38438076"/>
      <w:bookmarkStart w:id="899" w:name="_Toc38438222"/>
      <w:bookmarkStart w:id="900" w:name="_Toc38438559"/>
      <w:bookmarkStart w:id="901" w:name="_Toc38438896"/>
      <w:bookmarkStart w:id="902" w:name="_Toc38439233"/>
      <w:bookmarkStart w:id="903" w:name="_Toc38439570"/>
      <w:bookmarkStart w:id="904" w:name="_Toc38439907"/>
      <w:bookmarkStart w:id="905" w:name="_Toc38440244"/>
      <w:bookmarkStart w:id="906" w:name="_Toc38440581"/>
      <w:bookmarkStart w:id="907" w:name="_Toc38440780"/>
      <w:bookmarkStart w:id="908" w:name="_Toc38441113"/>
      <w:bookmarkStart w:id="909" w:name="_Toc38441445"/>
      <w:bookmarkStart w:id="910" w:name="_Toc38441777"/>
      <w:bookmarkStart w:id="911" w:name="_Toc38442105"/>
      <w:bookmarkStart w:id="912" w:name="_Toc38442437"/>
      <w:bookmarkStart w:id="913" w:name="_Toc38442769"/>
      <w:bookmarkStart w:id="914" w:name="_Toc38443100"/>
      <w:bookmarkStart w:id="915" w:name="_Toc38443431"/>
      <w:bookmarkStart w:id="916" w:name="_Toc38443762"/>
      <w:bookmarkStart w:id="917" w:name="_Toc38433510"/>
      <w:bookmarkStart w:id="918" w:name="_Toc38433645"/>
      <w:bookmarkStart w:id="919" w:name="_Toc38433779"/>
      <w:bookmarkStart w:id="920" w:name="_Toc38433929"/>
      <w:bookmarkStart w:id="921" w:name="_Toc38434077"/>
      <w:bookmarkStart w:id="922" w:name="_Toc38434225"/>
      <w:bookmarkStart w:id="923" w:name="_Toc38434371"/>
      <w:bookmarkStart w:id="924" w:name="_Toc38434514"/>
      <w:bookmarkStart w:id="925" w:name="_Toc38434657"/>
      <w:bookmarkStart w:id="926" w:name="_Toc38434800"/>
      <w:bookmarkStart w:id="927" w:name="_Toc38434944"/>
      <w:bookmarkStart w:id="928" w:name="_Toc38437640"/>
      <w:bookmarkStart w:id="929" w:name="_Toc38437786"/>
      <w:bookmarkStart w:id="930" w:name="_Toc38437932"/>
      <w:bookmarkStart w:id="931" w:name="_Toc38438078"/>
      <w:bookmarkStart w:id="932" w:name="_Toc38438224"/>
      <w:bookmarkStart w:id="933" w:name="_Toc38438561"/>
      <w:bookmarkStart w:id="934" w:name="_Toc38438898"/>
      <w:bookmarkStart w:id="935" w:name="_Toc38439235"/>
      <w:bookmarkStart w:id="936" w:name="_Toc38439572"/>
      <w:bookmarkStart w:id="937" w:name="_Toc38439909"/>
      <w:bookmarkStart w:id="938" w:name="_Toc38440246"/>
      <w:bookmarkStart w:id="939" w:name="_Toc38440583"/>
      <w:bookmarkStart w:id="940" w:name="_Toc38440782"/>
      <w:bookmarkStart w:id="941" w:name="_Toc38441115"/>
      <w:bookmarkStart w:id="942" w:name="_Toc38441447"/>
      <w:bookmarkStart w:id="943" w:name="_Toc38441779"/>
      <w:bookmarkStart w:id="944" w:name="_Toc38442107"/>
      <w:bookmarkStart w:id="945" w:name="_Toc38442439"/>
      <w:bookmarkStart w:id="946" w:name="_Toc38442771"/>
      <w:bookmarkStart w:id="947" w:name="_Toc38443102"/>
      <w:bookmarkStart w:id="948" w:name="_Toc38443433"/>
      <w:bookmarkStart w:id="949" w:name="_Toc38443764"/>
      <w:bookmarkStart w:id="950" w:name="_Toc13148353"/>
      <w:bookmarkStart w:id="951" w:name="_Toc13150581"/>
      <w:bookmarkStart w:id="952" w:name="_Toc13291966"/>
      <w:bookmarkStart w:id="953" w:name="_Toc13504692"/>
      <w:bookmarkStart w:id="954" w:name="_Toc13504808"/>
      <w:bookmarkStart w:id="955" w:name="_Toc13556301"/>
      <w:bookmarkStart w:id="956" w:name="_Toc14337423"/>
      <w:bookmarkStart w:id="957" w:name="_Toc13148354"/>
      <w:bookmarkStart w:id="958" w:name="_Toc13150582"/>
      <w:bookmarkStart w:id="959" w:name="_Toc13291967"/>
      <w:bookmarkStart w:id="960" w:name="_Toc13504693"/>
      <w:bookmarkStart w:id="961" w:name="_Toc13504809"/>
      <w:bookmarkStart w:id="962" w:name="_Toc13556302"/>
      <w:bookmarkStart w:id="963" w:name="_Toc14337424"/>
      <w:bookmarkStart w:id="964" w:name="_Toc13148355"/>
      <w:bookmarkStart w:id="965" w:name="_Toc13150583"/>
      <w:bookmarkStart w:id="966" w:name="_Toc13291968"/>
      <w:bookmarkStart w:id="967" w:name="_Toc13504694"/>
      <w:bookmarkStart w:id="968" w:name="_Toc13504810"/>
      <w:bookmarkStart w:id="969" w:name="_Toc13556303"/>
      <w:bookmarkStart w:id="970" w:name="_Toc14337425"/>
      <w:bookmarkStart w:id="971" w:name="_Toc13148356"/>
      <w:bookmarkStart w:id="972" w:name="_Toc13150584"/>
      <w:bookmarkStart w:id="973" w:name="_Toc13291969"/>
      <w:bookmarkStart w:id="974" w:name="_Toc13504695"/>
      <w:bookmarkStart w:id="975" w:name="_Toc13504811"/>
      <w:bookmarkStart w:id="976" w:name="_Toc13556304"/>
      <w:bookmarkStart w:id="977" w:name="_Toc14337426"/>
      <w:bookmarkStart w:id="978" w:name="_Toc13148357"/>
      <w:bookmarkStart w:id="979" w:name="_Toc13150585"/>
      <w:bookmarkStart w:id="980" w:name="_Toc13291970"/>
      <w:bookmarkStart w:id="981" w:name="_Toc13504696"/>
      <w:bookmarkStart w:id="982" w:name="_Toc13504812"/>
      <w:bookmarkStart w:id="983" w:name="_Toc13556305"/>
      <w:bookmarkStart w:id="984" w:name="_Toc14337427"/>
      <w:bookmarkStart w:id="985" w:name="_Toc13148358"/>
      <w:bookmarkStart w:id="986" w:name="_Toc13150586"/>
      <w:bookmarkStart w:id="987" w:name="_Toc13291971"/>
      <w:bookmarkStart w:id="988" w:name="_Toc13504697"/>
      <w:bookmarkStart w:id="989" w:name="_Toc13504813"/>
      <w:bookmarkStart w:id="990" w:name="_Toc13556306"/>
      <w:bookmarkStart w:id="991" w:name="_Toc14337428"/>
      <w:bookmarkStart w:id="992" w:name="_Toc13148359"/>
      <w:bookmarkStart w:id="993" w:name="_Toc13150587"/>
      <w:bookmarkStart w:id="994" w:name="_Toc13291972"/>
      <w:bookmarkStart w:id="995" w:name="_Toc13504698"/>
      <w:bookmarkStart w:id="996" w:name="_Toc13504814"/>
      <w:bookmarkStart w:id="997" w:name="_Toc13556307"/>
      <w:bookmarkStart w:id="998" w:name="_Toc14337429"/>
      <w:bookmarkStart w:id="999" w:name="_Toc13148360"/>
      <w:bookmarkStart w:id="1000" w:name="_Toc13150588"/>
      <w:bookmarkStart w:id="1001" w:name="_Toc13291973"/>
      <w:bookmarkStart w:id="1002" w:name="_Toc13504699"/>
      <w:bookmarkStart w:id="1003" w:name="_Toc13504815"/>
      <w:bookmarkStart w:id="1004" w:name="_Toc13556308"/>
      <w:bookmarkStart w:id="1005" w:name="_Toc14337430"/>
      <w:bookmarkStart w:id="1006" w:name="_Toc13148361"/>
      <w:bookmarkStart w:id="1007" w:name="_Toc13150589"/>
      <w:bookmarkStart w:id="1008" w:name="_Toc13291974"/>
      <w:bookmarkStart w:id="1009" w:name="_Toc13504700"/>
      <w:bookmarkStart w:id="1010" w:name="_Toc13504816"/>
      <w:bookmarkStart w:id="1011" w:name="_Toc13556309"/>
      <w:bookmarkStart w:id="1012" w:name="_Toc14337431"/>
      <w:bookmarkStart w:id="1013" w:name="_Toc13148362"/>
      <w:bookmarkStart w:id="1014" w:name="_Toc13150590"/>
      <w:bookmarkStart w:id="1015" w:name="_Toc13291975"/>
      <w:bookmarkStart w:id="1016" w:name="_Toc13504701"/>
      <w:bookmarkStart w:id="1017" w:name="_Toc13504817"/>
      <w:bookmarkStart w:id="1018" w:name="_Toc13556310"/>
      <w:bookmarkStart w:id="1019" w:name="_Toc14337432"/>
      <w:bookmarkStart w:id="1020" w:name="_Toc13148369"/>
      <w:bookmarkStart w:id="1021" w:name="_Toc13150597"/>
      <w:bookmarkStart w:id="1022" w:name="_Toc13291982"/>
      <w:bookmarkStart w:id="1023" w:name="_Toc13504708"/>
      <w:bookmarkStart w:id="1024" w:name="_Toc13504824"/>
      <w:bookmarkStart w:id="1025" w:name="_Toc13556317"/>
      <w:bookmarkStart w:id="1026" w:name="_Toc14337439"/>
      <w:bookmarkStart w:id="1027" w:name="_Toc13148370"/>
      <w:bookmarkStart w:id="1028" w:name="_Toc13150598"/>
      <w:bookmarkStart w:id="1029" w:name="_Toc13291983"/>
      <w:bookmarkStart w:id="1030" w:name="_Toc13504709"/>
      <w:bookmarkStart w:id="1031" w:name="_Toc13504825"/>
      <w:bookmarkStart w:id="1032" w:name="_Toc13556318"/>
      <w:bookmarkStart w:id="1033" w:name="_Toc14337440"/>
      <w:bookmarkStart w:id="1034" w:name="_Toc13148371"/>
      <w:bookmarkStart w:id="1035" w:name="_Toc13150599"/>
      <w:bookmarkStart w:id="1036" w:name="_Toc13291984"/>
      <w:bookmarkStart w:id="1037" w:name="_Toc13504710"/>
      <w:bookmarkStart w:id="1038" w:name="_Toc13504826"/>
      <w:bookmarkStart w:id="1039" w:name="_Toc13556319"/>
      <w:bookmarkStart w:id="1040" w:name="_Toc14337441"/>
      <w:bookmarkStart w:id="1041" w:name="_Toc13148372"/>
      <w:bookmarkStart w:id="1042" w:name="_Toc13150600"/>
      <w:bookmarkStart w:id="1043" w:name="_Toc13291985"/>
      <w:bookmarkStart w:id="1044" w:name="_Toc13504711"/>
      <w:bookmarkStart w:id="1045" w:name="_Toc13504827"/>
      <w:bookmarkStart w:id="1046" w:name="_Toc13556320"/>
      <w:bookmarkStart w:id="1047" w:name="_Toc14337442"/>
      <w:bookmarkStart w:id="1048" w:name="_Toc13148373"/>
      <w:bookmarkStart w:id="1049" w:name="_Toc13150601"/>
      <w:bookmarkStart w:id="1050" w:name="_Toc13291986"/>
      <w:bookmarkStart w:id="1051" w:name="_Toc13504712"/>
      <w:bookmarkStart w:id="1052" w:name="_Toc13504828"/>
      <w:bookmarkStart w:id="1053" w:name="_Toc13556321"/>
      <w:bookmarkStart w:id="1054" w:name="_Toc14337443"/>
      <w:bookmarkStart w:id="1055" w:name="_Toc13148374"/>
      <w:bookmarkStart w:id="1056" w:name="_Toc13150602"/>
      <w:bookmarkStart w:id="1057" w:name="_Toc13291987"/>
      <w:bookmarkStart w:id="1058" w:name="_Toc13504713"/>
      <w:bookmarkStart w:id="1059" w:name="_Toc13504829"/>
      <w:bookmarkStart w:id="1060" w:name="_Toc13556322"/>
      <w:bookmarkStart w:id="1061" w:name="_Toc14337444"/>
      <w:bookmarkStart w:id="1062" w:name="_Toc13148376"/>
      <w:bookmarkStart w:id="1063" w:name="_Toc13150604"/>
      <w:bookmarkStart w:id="1064" w:name="_Toc13291989"/>
      <w:bookmarkStart w:id="1065" w:name="_Toc13504715"/>
      <w:bookmarkStart w:id="1066" w:name="_Toc13504831"/>
      <w:bookmarkStart w:id="1067" w:name="_Toc13556324"/>
      <w:bookmarkStart w:id="1068" w:name="_Toc14337446"/>
      <w:bookmarkStart w:id="1069" w:name="_Toc13148377"/>
      <w:bookmarkStart w:id="1070" w:name="_Toc13150605"/>
      <w:bookmarkStart w:id="1071" w:name="_Toc13291990"/>
      <w:bookmarkStart w:id="1072" w:name="_Toc13504716"/>
      <w:bookmarkStart w:id="1073" w:name="_Toc13504832"/>
      <w:bookmarkStart w:id="1074" w:name="_Toc13556325"/>
      <w:bookmarkStart w:id="1075" w:name="_Toc14337447"/>
      <w:bookmarkStart w:id="1076" w:name="_Toc13148379"/>
      <w:bookmarkStart w:id="1077" w:name="_Toc13150607"/>
      <w:bookmarkStart w:id="1078" w:name="_Toc13291992"/>
      <w:bookmarkStart w:id="1079" w:name="_Toc13504718"/>
      <w:bookmarkStart w:id="1080" w:name="_Toc13504834"/>
      <w:bookmarkStart w:id="1081" w:name="_Toc13556327"/>
      <w:bookmarkStart w:id="1082" w:name="_Toc14337449"/>
      <w:bookmarkStart w:id="1083" w:name="_Toc13148381"/>
      <w:bookmarkStart w:id="1084" w:name="_Toc13150609"/>
      <w:bookmarkStart w:id="1085" w:name="_Toc13291994"/>
      <w:bookmarkStart w:id="1086" w:name="_Toc13504720"/>
      <w:bookmarkStart w:id="1087" w:name="_Toc13504836"/>
      <w:bookmarkStart w:id="1088" w:name="_Toc13556329"/>
      <w:bookmarkStart w:id="1089" w:name="_Toc14337451"/>
      <w:bookmarkStart w:id="1090" w:name="_Toc13148384"/>
      <w:bookmarkStart w:id="1091" w:name="_Toc13150612"/>
      <w:bookmarkStart w:id="1092" w:name="_Toc13291997"/>
      <w:bookmarkStart w:id="1093" w:name="_Toc13504723"/>
      <w:bookmarkStart w:id="1094" w:name="_Toc13504839"/>
      <w:bookmarkStart w:id="1095" w:name="_Toc13556332"/>
      <w:bookmarkStart w:id="1096" w:name="_Toc14337454"/>
      <w:bookmarkStart w:id="1097" w:name="_Toc13148385"/>
      <w:bookmarkStart w:id="1098" w:name="_Toc13150613"/>
      <w:bookmarkStart w:id="1099" w:name="_Toc13291998"/>
      <w:bookmarkStart w:id="1100" w:name="_Toc13504724"/>
      <w:bookmarkStart w:id="1101" w:name="_Toc13504840"/>
      <w:bookmarkStart w:id="1102" w:name="_Toc13556333"/>
      <w:bookmarkStart w:id="1103" w:name="_Toc14337455"/>
      <w:bookmarkStart w:id="1104" w:name="_Toc13148390"/>
      <w:bookmarkStart w:id="1105" w:name="_Toc13150618"/>
      <w:bookmarkStart w:id="1106" w:name="_Toc13292003"/>
      <w:bookmarkStart w:id="1107" w:name="_Toc13504729"/>
      <w:bookmarkStart w:id="1108" w:name="_Toc13504845"/>
      <w:bookmarkStart w:id="1109" w:name="_Toc13556338"/>
      <w:bookmarkStart w:id="1110" w:name="_Toc14337460"/>
      <w:bookmarkStart w:id="1111" w:name="_Toc13148391"/>
      <w:bookmarkStart w:id="1112" w:name="_Toc13150619"/>
      <w:bookmarkStart w:id="1113" w:name="_Toc13292004"/>
      <w:bookmarkStart w:id="1114" w:name="_Toc13504730"/>
      <w:bookmarkStart w:id="1115" w:name="_Toc13504846"/>
      <w:bookmarkStart w:id="1116" w:name="_Toc13556339"/>
      <w:bookmarkStart w:id="1117" w:name="_Toc14337461"/>
      <w:bookmarkStart w:id="1118" w:name="_Toc13148392"/>
      <w:bookmarkStart w:id="1119" w:name="_Toc13150620"/>
      <w:bookmarkStart w:id="1120" w:name="_Toc13292005"/>
      <w:bookmarkStart w:id="1121" w:name="_Toc13504731"/>
      <w:bookmarkStart w:id="1122" w:name="_Toc13504847"/>
      <w:bookmarkStart w:id="1123" w:name="_Toc13556340"/>
      <w:bookmarkStart w:id="1124" w:name="_Toc14337462"/>
      <w:bookmarkStart w:id="1125" w:name="_Toc13148393"/>
      <w:bookmarkStart w:id="1126" w:name="_Toc13150621"/>
      <w:bookmarkStart w:id="1127" w:name="_Toc13292006"/>
      <w:bookmarkStart w:id="1128" w:name="_Toc13504732"/>
      <w:bookmarkStart w:id="1129" w:name="_Toc13504848"/>
      <w:bookmarkStart w:id="1130" w:name="_Toc13556341"/>
      <w:bookmarkStart w:id="1131" w:name="_Toc14337463"/>
      <w:bookmarkStart w:id="1132" w:name="_Toc13148394"/>
      <w:bookmarkStart w:id="1133" w:name="_Toc13150622"/>
      <w:bookmarkStart w:id="1134" w:name="_Toc13292007"/>
      <w:bookmarkStart w:id="1135" w:name="_Toc13504733"/>
      <w:bookmarkStart w:id="1136" w:name="_Toc13504849"/>
      <w:bookmarkStart w:id="1137" w:name="_Toc13556342"/>
      <w:bookmarkStart w:id="1138" w:name="_Toc14337464"/>
      <w:bookmarkStart w:id="1139" w:name="_Toc13148395"/>
      <w:bookmarkStart w:id="1140" w:name="_Toc13150623"/>
      <w:bookmarkStart w:id="1141" w:name="_Toc13292008"/>
      <w:bookmarkStart w:id="1142" w:name="_Toc13504734"/>
      <w:bookmarkStart w:id="1143" w:name="_Toc13504850"/>
      <w:bookmarkStart w:id="1144" w:name="_Toc13556343"/>
      <w:bookmarkStart w:id="1145" w:name="_Toc14337465"/>
      <w:bookmarkStart w:id="1146" w:name="_Toc13148396"/>
      <w:bookmarkStart w:id="1147" w:name="_Toc13150624"/>
      <w:bookmarkStart w:id="1148" w:name="_Toc13292009"/>
      <w:bookmarkStart w:id="1149" w:name="_Toc13504735"/>
      <w:bookmarkStart w:id="1150" w:name="_Toc13504851"/>
      <w:bookmarkStart w:id="1151" w:name="_Toc13556344"/>
      <w:bookmarkStart w:id="1152" w:name="_Toc14337466"/>
      <w:bookmarkStart w:id="1153" w:name="_Toc13148397"/>
      <w:bookmarkStart w:id="1154" w:name="_Toc13150625"/>
      <w:bookmarkStart w:id="1155" w:name="_Toc13292010"/>
      <w:bookmarkStart w:id="1156" w:name="_Toc13504736"/>
      <w:bookmarkStart w:id="1157" w:name="_Toc13504852"/>
      <w:bookmarkStart w:id="1158" w:name="_Toc13556345"/>
      <w:bookmarkStart w:id="1159" w:name="_Toc14337467"/>
      <w:bookmarkStart w:id="1160" w:name="_Toc13148398"/>
      <w:bookmarkStart w:id="1161" w:name="_Toc13150626"/>
      <w:bookmarkStart w:id="1162" w:name="_Toc13292011"/>
      <w:bookmarkStart w:id="1163" w:name="_Toc13504737"/>
      <w:bookmarkStart w:id="1164" w:name="_Toc13504853"/>
      <w:bookmarkStart w:id="1165" w:name="_Toc13556346"/>
      <w:bookmarkStart w:id="1166" w:name="_Toc14337468"/>
      <w:bookmarkStart w:id="1167" w:name="_Toc13148399"/>
      <w:bookmarkStart w:id="1168" w:name="_Toc13150627"/>
      <w:bookmarkStart w:id="1169" w:name="_Toc13292012"/>
      <w:bookmarkStart w:id="1170" w:name="_Toc13504738"/>
      <w:bookmarkStart w:id="1171" w:name="_Toc13504854"/>
      <w:bookmarkStart w:id="1172" w:name="_Toc13556347"/>
      <w:bookmarkStart w:id="1173" w:name="_Toc14337469"/>
      <w:bookmarkStart w:id="1174" w:name="_Toc13148400"/>
      <w:bookmarkStart w:id="1175" w:name="_Toc13150628"/>
      <w:bookmarkStart w:id="1176" w:name="_Toc13292013"/>
      <w:bookmarkStart w:id="1177" w:name="_Toc13504739"/>
      <w:bookmarkStart w:id="1178" w:name="_Toc13504855"/>
      <w:bookmarkStart w:id="1179" w:name="_Toc13556348"/>
      <w:bookmarkStart w:id="1180" w:name="_Toc14337470"/>
      <w:bookmarkStart w:id="1181" w:name="_Toc13148401"/>
      <w:bookmarkStart w:id="1182" w:name="_Toc13150629"/>
      <w:bookmarkStart w:id="1183" w:name="_Toc13292014"/>
      <w:bookmarkStart w:id="1184" w:name="_Toc13504740"/>
      <w:bookmarkStart w:id="1185" w:name="_Toc13504856"/>
      <w:bookmarkStart w:id="1186" w:name="_Toc13556349"/>
      <w:bookmarkStart w:id="1187" w:name="_Toc14337471"/>
      <w:bookmarkStart w:id="1188" w:name="_Toc13148402"/>
      <w:bookmarkStart w:id="1189" w:name="_Toc13150630"/>
      <w:bookmarkStart w:id="1190" w:name="_Toc13292015"/>
      <w:bookmarkStart w:id="1191" w:name="_Toc13504741"/>
      <w:bookmarkStart w:id="1192" w:name="_Toc13504857"/>
      <w:bookmarkStart w:id="1193" w:name="_Toc13556350"/>
      <w:bookmarkStart w:id="1194" w:name="_Toc14337472"/>
      <w:bookmarkStart w:id="1195" w:name="_Toc13148408"/>
      <w:bookmarkStart w:id="1196" w:name="_Toc13150636"/>
      <w:bookmarkStart w:id="1197" w:name="_Toc13292021"/>
      <w:bookmarkStart w:id="1198" w:name="_Toc13504747"/>
      <w:bookmarkStart w:id="1199" w:name="_Toc13504863"/>
      <w:bookmarkStart w:id="1200" w:name="_Toc13556356"/>
      <w:bookmarkStart w:id="1201" w:name="_Toc14337478"/>
      <w:bookmarkStart w:id="1202" w:name="_Toc13148409"/>
      <w:bookmarkStart w:id="1203" w:name="_Toc13150637"/>
      <w:bookmarkStart w:id="1204" w:name="_Toc13292022"/>
      <w:bookmarkStart w:id="1205" w:name="_Toc13504748"/>
      <w:bookmarkStart w:id="1206" w:name="_Toc13504864"/>
      <w:bookmarkStart w:id="1207" w:name="_Toc13556357"/>
      <w:bookmarkStart w:id="1208" w:name="_Toc14337479"/>
      <w:bookmarkStart w:id="1209" w:name="_Toc13148411"/>
      <w:bookmarkStart w:id="1210" w:name="_Toc13150639"/>
      <w:bookmarkStart w:id="1211" w:name="_Toc13292024"/>
      <w:bookmarkStart w:id="1212" w:name="_Toc13504750"/>
      <w:bookmarkStart w:id="1213" w:name="_Toc13504866"/>
      <w:bookmarkStart w:id="1214" w:name="_Toc13556359"/>
      <w:bookmarkStart w:id="1215" w:name="_Toc14337481"/>
      <w:bookmarkStart w:id="1216" w:name="_Toc13148412"/>
      <w:bookmarkStart w:id="1217" w:name="_Toc13150640"/>
      <w:bookmarkStart w:id="1218" w:name="_Toc13292025"/>
      <w:bookmarkStart w:id="1219" w:name="_Toc13504751"/>
      <w:bookmarkStart w:id="1220" w:name="_Toc13504867"/>
      <w:bookmarkStart w:id="1221" w:name="_Toc13556360"/>
      <w:bookmarkStart w:id="1222" w:name="_Toc14337482"/>
      <w:bookmarkStart w:id="1223" w:name="_Toc13148413"/>
      <w:bookmarkStart w:id="1224" w:name="_Toc13150641"/>
      <w:bookmarkStart w:id="1225" w:name="_Toc13292026"/>
      <w:bookmarkStart w:id="1226" w:name="_Toc13504752"/>
      <w:bookmarkStart w:id="1227" w:name="_Toc13504868"/>
      <w:bookmarkStart w:id="1228" w:name="_Toc13556361"/>
      <w:bookmarkStart w:id="1229" w:name="_Toc14337483"/>
      <w:bookmarkStart w:id="1230" w:name="_Toc238024341"/>
      <w:bookmarkStart w:id="1231" w:name="_Toc253577381"/>
      <w:bookmarkStart w:id="1232" w:name="_Toc91767079"/>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172454">
        <w:rPr>
          <w:rFonts w:asciiTheme="minorEastAsia" w:eastAsiaTheme="minorEastAsia" w:hAnsiTheme="minorEastAsia" w:hint="eastAsia"/>
          <w:b w:val="0"/>
          <w:bCs/>
          <w:color w:val="000000" w:themeColor="text1"/>
        </w:rPr>
        <w:t>（七）争议的处理</w:t>
      </w:r>
      <w:bookmarkStart w:id="1233" w:name="_Toc38438236"/>
      <w:bookmarkStart w:id="1234" w:name="_Toc38438573"/>
      <w:bookmarkStart w:id="1235" w:name="_Toc38438910"/>
      <w:bookmarkStart w:id="1236" w:name="_Toc38439247"/>
      <w:bookmarkStart w:id="1237" w:name="_Toc38439584"/>
      <w:bookmarkStart w:id="1238" w:name="_Toc38439921"/>
      <w:bookmarkStart w:id="1239" w:name="_Toc38440258"/>
      <w:bookmarkStart w:id="1240" w:name="_Toc38440595"/>
      <w:bookmarkStart w:id="1241" w:name="_Toc38440794"/>
      <w:bookmarkStart w:id="1242" w:name="_Toc38441127"/>
      <w:bookmarkStart w:id="1243" w:name="_Toc38441459"/>
      <w:bookmarkStart w:id="1244" w:name="_Toc38441791"/>
      <w:bookmarkStart w:id="1245" w:name="_Toc38442119"/>
      <w:bookmarkStart w:id="1246" w:name="_Toc38442451"/>
      <w:bookmarkStart w:id="1247" w:name="_Toc38442783"/>
      <w:bookmarkStart w:id="1248" w:name="_Toc38443114"/>
      <w:bookmarkStart w:id="1249" w:name="_Toc38443445"/>
      <w:bookmarkStart w:id="1250" w:name="_Toc38443776"/>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172454">
        <w:rPr>
          <w:rFonts w:asciiTheme="minorEastAsia" w:eastAsiaTheme="minorEastAsia" w:hAnsiTheme="minorEastAsia" w:hint="eastAsia"/>
          <w:b w:val="0"/>
          <w:bCs/>
          <w:color w:val="000000" w:themeColor="text1"/>
        </w:rPr>
        <w:t>和适用的法律</w:t>
      </w:r>
      <w:bookmarkEnd w:id="1230"/>
      <w:bookmarkEnd w:id="1231"/>
      <w:bookmarkEnd w:id="1232"/>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《基金合同》受中国法律管辖。</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51" w:name="_Toc110945633"/>
      <w:bookmarkStart w:id="1252" w:name="_Toc136870035"/>
      <w:bookmarkStart w:id="1253" w:name="_Toc238024342"/>
      <w:bookmarkStart w:id="1254" w:name="_Toc253577382"/>
      <w:bookmarkStart w:id="1255" w:name="_Toc91767080"/>
      <w:r w:rsidRPr="00172454">
        <w:rPr>
          <w:rFonts w:asciiTheme="minorEastAsia" w:eastAsiaTheme="minorEastAsia" w:hAnsiTheme="minorEastAsia" w:hint="eastAsia"/>
          <w:b w:val="0"/>
          <w:bCs/>
          <w:color w:val="000000" w:themeColor="text1"/>
        </w:rPr>
        <w:t>（八）基金合同的存放及查阅方式</w:t>
      </w:r>
      <w:bookmarkEnd w:id="1251"/>
      <w:bookmarkEnd w:id="1252"/>
      <w:bookmarkEnd w:id="1253"/>
      <w:bookmarkEnd w:id="1254"/>
      <w:bookmarkEnd w:id="1255"/>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《基金合同》</w:t>
      </w:r>
      <w:r w:rsidRPr="00172454">
        <w:rPr>
          <w:rFonts w:asciiTheme="minorEastAsia" w:eastAsiaTheme="minorEastAsia" w:hAnsiTheme="minorEastAsia"/>
          <w:color w:val="000000" w:themeColor="text1"/>
          <w:szCs w:val="21"/>
        </w:rPr>
        <w:t>可印制成册</w:t>
      </w:r>
      <w:r w:rsidRPr="00172454">
        <w:rPr>
          <w:rFonts w:asciiTheme="minorEastAsia" w:eastAsiaTheme="minorEastAsia" w:hAnsiTheme="minorEastAsia" w:hint="eastAsia"/>
          <w:color w:val="000000" w:themeColor="text1"/>
          <w:szCs w:val="21"/>
        </w:rPr>
        <w:t>，供投资者在基金管理人、基金托管人、代销机构的办公场所和营业场所查阅；投资者也可按工本费购买《基金合同》复制件或复印件，但内容应以《基金合同》正本为准。</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1256" w:name="_Toc91767081"/>
      <w:r w:rsidRPr="00172454">
        <w:rPr>
          <w:rFonts w:asciiTheme="minorEastAsia" w:eastAsiaTheme="minorEastAsia" w:hAnsiTheme="minorEastAsia" w:hint="eastAsia"/>
          <w:bCs/>
          <w:color w:val="000000" w:themeColor="text1"/>
        </w:rPr>
        <w:t>二十</w:t>
      </w:r>
      <w:r w:rsidRPr="00172454" w:rsidR="00150642">
        <w:rPr>
          <w:rFonts w:asciiTheme="minorEastAsia" w:eastAsiaTheme="minorEastAsia" w:hAnsiTheme="minorEastAsia" w:hint="eastAsia"/>
          <w:bCs/>
          <w:color w:val="000000" w:themeColor="text1"/>
        </w:rPr>
        <w:t>二</w:t>
      </w:r>
      <w:r w:rsidRPr="00172454">
        <w:rPr>
          <w:rFonts w:asciiTheme="minorEastAsia" w:eastAsiaTheme="minorEastAsia" w:hAnsiTheme="minorEastAsia" w:hint="eastAsia"/>
          <w:bCs/>
          <w:color w:val="000000" w:themeColor="text1"/>
        </w:rPr>
        <w:t>、基金托管协议的内容摘要</w:t>
      </w:r>
      <w:bookmarkEnd w:id="1256"/>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color w:val="000000" w:themeColor="text1"/>
          <w:sz w:val="24"/>
        </w:rPr>
      </w:pPr>
      <w:bookmarkStart w:id="1257" w:name="_Toc40511576"/>
      <w:bookmarkStart w:id="1258" w:name="_Toc238024344"/>
      <w:bookmarkStart w:id="1259" w:name="_Toc253577384"/>
      <w:bookmarkStart w:id="1260" w:name="_Toc91767082"/>
      <w:r w:rsidRPr="00172454">
        <w:rPr>
          <w:rFonts w:asciiTheme="minorEastAsia" w:eastAsiaTheme="minorEastAsia" w:hAnsiTheme="minorEastAsia" w:hint="eastAsia"/>
          <w:b w:val="0"/>
          <w:bCs/>
          <w:color w:val="000000" w:themeColor="text1"/>
        </w:rPr>
        <w:t>（一）托管协议当事人</w:t>
      </w:r>
      <w:bookmarkEnd w:id="1257"/>
      <w:bookmarkEnd w:id="1258"/>
      <w:bookmarkEnd w:id="1259"/>
      <w:bookmarkEnd w:id="1260"/>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1、基金管理人（或简称“管理人”）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61" w:name="_Toc15118236"/>
      <w:r w:rsidRPr="00172454">
        <w:rPr>
          <w:rFonts w:asciiTheme="minorEastAsia" w:eastAsiaTheme="minorEastAsia" w:hAnsiTheme="minorEastAsia" w:hint="eastAsia"/>
          <w:color w:val="000000" w:themeColor="text1"/>
          <w:szCs w:val="21"/>
        </w:rPr>
        <w:t>名称：易方达基金管理有限公司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住所：</w:t>
      </w:r>
      <w:r w:rsidRPr="00172454" w:rsidR="008A4FAE">
        <w:rPr>
          <w:rFonts w:asciiTheme="minorEastAsia" w:eastAsiaTheme="minorEastAsia" w:hAnsiTheme="minorEastAsia" w:hint="eastAsia"/>
          <w:color w:val="000000" w:themeColor="text1"/>
          <w:szCs w:val="21"/>
        </w:rPr>
        <w:t>广东省珠海市横琴新区宝华路6号105室－42891（集中办公区）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法定代表人：</w:t>
      </w:r>
      <w:r w:rsidRPr="00172454" w:rsidR="00CB71A4">
        <w:rPr>
          <w:rFonts w:asciiTheme="minorEastAsia" w:eastAsiaTheme="minorEastAsia" w:hAnsiTheme="minorEastAsia" w:hint="eastAsia"/>
          <w:color w:val="000000" w:themeColor="text1"/>
          <w:szCs w:val="21"/>
        </w:rPr>
        <w:t>刘晓艳</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设立日期： </w:t>
      </w:r>
      <w:smartTag w:uri="urn:schemas-microsoft-com:office:smarttags" w:element="chsdate">
        <w:smartTagPr>
          <w:attr w:name="Day" w:val="17"/>
          <w:attr w:name="IsLunarDate" w:val="False"/>
          <w:attr w:name="IsROCDate" w:val="False"/>
          <w:attr w:name="Month" w:val="4"/>
          <w:attr w:name="Year" w:val="2001"/>
        </w:smartTagPr>
        <w:r w:rsidRPr="00172454">
          <w:rPr>
            <w:rFonts w:asciiTheme="minorEastAsia" w:eastAsiaTheme="minorEastAsia" w:hAnsiTheme="minorEastAsia" w:hint="eastAsia"/>
            <w:color w:val="000000" w:themeColor="text1"/>
            <w:szCs w:val="21"/>
          </w:rPr>
          <w:t>2001年4月17日</w:t>
        </w:r>
      </w:smartTag>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批准设立机关：中国证券监督管理委员会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批准设立文号：证监基金字[2001</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4号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组织形式：有限责任公司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注册资本：13,244.2万元人民币</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存续期限：持续经营</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联系</w:t>
      </w:r>
      <w:r w:rsidRPr="00172454">
        <w:rPr>
          <w:rFonts w:asciiTheme="minorEastAsia" w:eastAsiaTheme="minorEastAsia" w:hAnsiTheme="minorEastAsia"/>
          <w:color w:val="000000" w:themeColor="text1"/>
          <w:szCs w:val="21"/>
        </w:rPr>
        <w:t>电话：</w:t>
      </w:r>
      <w:r w:rsidRPr="00172454" w:rsidR="00530EDF">
        <w:rPr>
          <w:rFonts w:asciiTheme="minorEastAsia" w:eastAsiaTheme="minorEastAsia" w:hAnsiTheme="minorEastAsia" w:hint="eastAsia"/>
          <w:color w:val="000000" w:themeColor="text1"/>
          <w:szCs w:val="21"/>
        </w:rPr>
        <w:t>400 881 8088</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传真： 020-38799488</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联系人：李红枫</w:t>
      </w:r>
    </w:p>
    <w:bookmarkEnd w:id="1261"/>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2、基金托管人（或简称“托管人”）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名称：中国工商银行股份有限公司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住所：北京市西城区复兴门内大街</w:t>
      </w:r>
      <w:r w:rsidRPr="00172454">
        <w:rPr>
          <w:rFonts w:asciiTheme="minorEastAsia" w:eastAsiaTheme="minorEastAsia" w:hAnsiTheme="minorEastAsia"/>
          <w:color w:val="000000" w:themeColor="text1"/>
          <w:szCs w:val="21"/>
        </w:rPr>
        <w:t>55</w:t>
      </w:r>
      <w:r w:rsidRPr="00172454">
        <w:rPr>
          <w:rFonts w:asciiTheme="minorEastAsia" w:eastAsiaTheme="minorEastAsia" w:hAnsiTheme="minorEastAsia" w:hint="eastAsia"/>
          <w:color w:val="000000" w:themeColor="text1"/>
          <w:szCs w:val="21"/>
        </w:rPr>
        <w:t>号（100032）</w:t>
      </w:r>
    </w:p>
    <w:p w:rsidR="008A4FAE" w:rsidRPr="00172454" w:rsidP="008A4FAE">
      <w:pPr>
        <w:adjustRightInd w:val="0"/>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szCs w:val="21"/>
        </w:rPr>
        <w:t>法定代表人：</w:t>
      </w:r>
      <w:r w:rsidRPr="00172454" w:rsidR="00843486">
        <w:rPr>
          <w:rFonts w:asciiTheme="minorEastAsia" w:eastAsiaTheme="minorEastAsia" w:hAnsiTheme="minorEastAsia" w:hint="eastAsia"/>
          <w:color w:val="000000" w:themeColor="text1"/>
        </w:rPr>
        <w:t>陈四清</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电话：（</w:t>
      </w:r>
      <w:r w:rsidRPr="00172454">
        <w:rPr>
          <w:rFonts w:asciiTheme="minorEastAsia" w:eastAsiaTheme="minorEastAsia" w:hAnsiTheme="minorEastAsia"/>
          <w:color w:val="000000" w:themeColor="text1"/>
          <w:szCs w:val="21"/>
        </w:rPr>
        <w:t>010</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6610</w:t>
      </w:r>
      <w:r w:rsidRPr="00172454">
        <w:rPr>
          <w:rFonts w:asciiTheme="minorEastAsia" w:eastAsiaTheme="minorEastAsia" w:hAnsiTheme="minorEastAsia" w:hint="eastAsia"/>
          <w:color w:val="000000" w:themeColor="text1"/>
          <w:szCs w:val="21"/>
        </w:rPr>
        <w:t>5799</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传真：（</w:t>
      </w:r>
      <w:r w:rsidRPr="00172454">
        <w:rPr>
          <w:rFonts w:asciiTheme="minorEastAsia" w:eastAsiaTheme="minorEastAsia" w:hAnsiTheme="minorEastAsia"/>
          <w:color w:val="000000" w:themeColor="text1"/>
          <w:szCs w:val="21"/>
        </w:rPr>
        <w:t>010</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6610</w:t>
      </w:r>
      <w:r w:rsidRPr="00172454">
        <w:rPr>
          <w:rFonts w:asciiTheme="minorEastAsia" w:eastAsiaTheme="minorEastAsia" w:hAnsiTheme="minorEastAsia" w:hint="eastAsia"/>
          <w:color w:val="000000" w:themeColor="text1"/>
          <w:szCs w:val="21"/>
        </w:rPr>
        <w:t>5798</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联系人：</w:t>
      </w:r>
      <w:r w:rsidRPr="00172454" w:rsidR="008D6088">
        <w:rPr>
          <w:rFonts w:asciiTheme="minorEastAsia" w:eastAsiaTheme="minorEastAsia" w:hAnsiTheme="minorEastAsia" w:hint="eastAsia"/>
          <w:color w:val="000000" w:themeColor="text1"/>
          <w:spacing w:val="6"/>
        </w:rPr>
        <w:t>郭明</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成立时间：</w:t>
      </w:r>
      <w:smartTag w:uri="urn:schemas-microsoft-com:office:smarttags" w:element="chsdate">
        <w:smartTagPr>
          <w:attr w:name="Day" w:val="1"/>
          <w:attr w:name="IsLunarDate" w:val="False"/>
          <w:attr w:name="IsROCDate" w:val="False"/>
          <w:attr w:name="Month" w:val="1"/>
          <w:attr w:name="Year" w:val="1984"/>
        </w:smartTagPr>
        <w:r w:rsidRPr="00172454">
          <w:rPr>
            <w:rFonts w:asciiTheme="minorEastAsia" w:eastAsiaTheme="minorEastAsia" w:hAnsiTheme="minorEastAsia"/>
            <w:color w:val="000000" w:themeColor="text1"/>
            <w:szCs w:val="21"/>
          </w:rPr>
          <w:t>1984</w:t>
        </w:r>
        <w:r w:rsidRPr="00172454">
          <w:rPr>
            <w:rFonts w:asciiTheme="minorEastAsia" w:eastAsiaTheme="minorEastAsia" w:hAnsiTheme="minorEastAsia" w:hint="eastAsia"/>
            <w:color w:val="000000" w:themeColor="text1"/>
            <w:szCs w:val="21"/>
          </w:rPr>
          <w:t>年</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月</w:t>
        </w:r>
        <w:r w:rsidRPr="00172454">
          <w:rPr>
            <w:rFonts w:asciiTheme="minorEastAsia" w:eastAsiaTheme="minorEastAsia" w:hAnsiTheme="minorEastAsia"/>
            <w:color w:val="000000" w:themeColor="text1"/>
            <w:szCs w:val="21"/>
          </w:rPr>
          <w:t>1</w:t>
        </w:r>
        <w:r w:rsidRPr="00172454">
          <w:rPr>
            <w:rFonts w:asciiTheme="minorEastAsia" w:eastAsiaTheme="minorEastAsia" w:hAnsiTheme="minorEastAsia" w:hint="eastAsia"/>
            <w:color w:val="000000" w:themeColor="text1"/>
            <w:szCs w:val="21"/>
          </w:rPr>
          <w:t>日</w:t>
        </w:r>
      </w:smartTag>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组织形式：股份有限公司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注册资本：</w:t>
      </w:r>
      <w:r w:rsidRPr="00172454" w:rsidR="00940DC0">
        <w:rPr>
          <w:rFonts w:asciiTheme="minorEastAsia" w:eastAsiaTheme="minorEastAsia" w:hAnsiTheme="minorEastAsia" w:hint="eastAsia"/>
          <w:color w:val="000000" w:themeColor="text1"/>
          <w:szCs w:val="21"/>
        </w:rPr>
        <w:t>人民币35,640,625.7089万元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批准设立机关和设立文号：国务院《关于中国人民银行专门行使中央银行职能的决定》（国发[1983]146号）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存续期间：持续经营</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62" w:name="_Toc40511578"/>
      <w:bookmarkStart w:id="1263" w:name="_Toc238024345"/>
      <w:bookmarkStart w:id="1264" w:name="_Toc253577385"/>
      <w:bookmarkStart w:id="1265" w:name="_Toc91767083"/>
      <w:r w:rsidRPr="00172454">
        <w:rPr>
          <w:rFonts w:asciiTheme="minorEastAsia" w:eastAsiaTheme="minorEastAsia" w:hAnsiTheme="minorEastAsia" w:hint="eastAsia"/>
          <w:b w:val="0"/>
          <w:bCs/>
          <w:color w:val="000000" w:themeColor="text1"/>
        </w:rPr>
        <w:t>（二）</w:t>
      </w:r>
      <w:bookmarkStart w:id="1266" w:name="_Toc124749227"/>
      <w:bookmarkStart w:id="1267" w:name="_Toc124749938"/>
      <w:bookmarkStart w:id="1268" w:name="_Toc125361075"/>
      <w:r w:rsidRPr="00172454">
        <w:rPr>
          <w:rFonts w:asciiTheme="minorEastAsia" w:eastAsiaTheme="minorEastAsia" w:hAnsiTheme="minorEastAsia" w:hint="eastAsia"/>
          <w:b w:val="0"/>
          <w:bCs/>
          <w:color w:val="000000" w:themeColor="text1"/>
        </w:rPr>
        <w:t>基金托管人对基金管理人的</w:t>
      </w:r>
      <w:bookmarkStart w:id="1269" w:name="OLE_LINK499"/>
      <w:bookmarkStart w:id="1270" w:name="OLE_LINK500"/>
      <w:r w:rsidRPr="00172454">
        <w:rPr>
          <w:rFonts w:asciiTheme="minorEastAsia" w:eastAsiaTheme="minorEastAsia" w:hAnsiTheme="minorEastAsia" w:hint="eastAsia"/>
          <w:b w:val="0"/>
          <w:bCs/>
          <w:color w:val="000000" w:themeColor="text1"/>
        </w:rPr>
        <w:t>业务监督和核查</w:t>
      </w:r>
      <w:bookmarkEnd w:id="1262"/>
      <w:bookmarkEnd w:id="1263"/>
      <w:bookmarkEnd w:id="1264"/>
      <w:bookmarkEnd w:id="1265"/>
      <w:bookmarkEnd w:id="1266"/>
      <w:bookmarkEnd w:id="1267"/>
      <w:bookmarkEnd w:id="1268"/>
      <w:bookmarkEnd w:id="1269"/>
      <w:bookmarkEnd w:id="1270"/>
    </w:p>
    <w:p w:rsidR="005D5BC7" w:rsidRPr="00172454" w:rsidP="00150642">
      <w:pPr>
        <w:snapToGrid w:val="0"/>
        <w:spacing w:line="360" w:lineRule="auto"/>
        <w:ind w:firstLine="420" w:firstLineChars="200"/>
        <w:rPr>
          <w:rFonts w:asciiTheme="minorEastAsia" w:eastAsiaTheme="minorEastAsia" w:hAnsiTheme="minorEastAsia"/>
          <w:b/>
          <w:color w:val="000000" w:themeColor="text1"/>
          <w:szCs w:val="21"/>
        </w:rPr>
      </w:pPr>
      <w:bookmarkStart w:id="1271" w:name="_Toc200523000"/>
      <w:r w:rsidRPr="00172454">
        <w:rPr>
          <w:rFonts w:asciiTheme="minorEastAsia" w:eastAsiaTheme="minorEastAsia" w:hAnsiTheme="minorEastAsia" w:hint="eastAsia"/>
          <w:b/>
          <w:color w:val="000000" w:themeColor="text1"/>
          <w:szCs w:val="21"/>
        </w:rPr>
        <w:t>1、基金托管人对基金管理人的投资行为行使监督权</w:t>
      </w:r>
      <w:bookmarkEnd w:id="127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（1）基金托管人根据有关法律法规的规定和《基金合同》的约定，对下述基金投资范围、投资对象进行监督。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本基金将投资于以下金融工具：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本基金投资范围主要为标的指数成份股及备选成份股</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。此外，为更好地实现投资目标，本基金可少量投资于部分非成份股</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、一级市场新发股票</w:t>
      </w:r>
      <w:r w:rsidRPr="00172454" w:rsidR="00D551BB">
        <w:rPr>
          <w:rFonts w:asciiTheme="minorEastAsia" w:eastAsiaTheme="minorEastAsia" w:hAnsiTheme="minorEastAsia" w:hint="eastAsia"/>
          <w:color w:val="000000" w:themeColor="text1"/>
          <w:szCs w:val="21"/>
        </w:rPr>
        <w:t>（含存托凭证）</w:t>
      </w:r>
      <w:r w:rsidRPr="00172454">
        <w:rPr>
          <w:rFonts w:asciiTheme="minorEastAsia" w:eastAsiaTheme="minorEastAsia" w:hAnsiTheme="minorEastAsia" w:hint="eastAsia"/>
          <w:color w:val="000000" w:themeColor="text1"/>
          <w:szCs w:val="21"/>
        </w:rPr>
        <w:t>、债券、权证以及中国证监会允许基金投资的其他金融工具。</w:t>
      </w:r>
      <w:r w:rsidRPr="00172454">
        <w:rPr>
          <w:rFonts w:asciiTheme="minorEastAsia" w:eastAsiaTheme="minorEastAsia" w:hAnsiTheme="minorEastAsia"/>
          <w:color w:val="000000" w:themeColor="text1"/>
          <w:szCs w:val="21"/>
        </w:rPr>
        <w:t>如法律法规或监管机构以后允许基金投资其他品种，基金管理人在履行适当程序后，可以将其纳入投资范围</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本基金不得投资于</w:t>
      </w:r>
      <w:r w:rsidRPr="00172454">
        <w:rPr>
          <w:rFonts w:asciiTheme="minorEastAsia" w:eastAsiaTheme="minorEastAsia" w:hAnsiTheme="minorEastAsia" w:hint="eastAsia"/>
          <w:color w:val="000000" w:themeColor="text1"/>
          <w:szCs w:val="21"/>
        </w:rPr>
        <w:t>相关法律、法规、部门规章及《基金合同》禁止投资的投资工具</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（2）基金托管人根据有关法律法规的规定及《基金合同》的约定对下述基金投融资比例进行监督：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1）按法律法规的规定及《基金合同》的约定，本基金的投资资产配置比例为：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基金投资标的指数成份股及备选成份股的比例不低于基金资产净值的95%，因法律法规的规定而受限制的情形除外。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因基金规模或市场变化等因素导致投资组合不符合上述规定的，基金管理人应在合理的期限内调整基金的投资组合，以符合上述比例限定。法律法规另有规定时，从其规定。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如法律法规或监管机构以后允许本基金投资其他品种，基金管理人在履行适当程序后，可以将其纳入投资范围，并可依据届时有效的法律法规适时合理地调整投资范围。</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2）根据法律法规的规定及《基金合同》的约定，本基金投资组合遵循以下投资限制：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a.本基金进入全国银行间同业市场进行债券回购的资金余额不得超过基金资产净值的40%</w:t>
      </w:r>
      <w:r w:rsidRPr="00172454">
        <w:rPr>
          <w:rFonts w:asciiTheme="minorEastAsia" w:eastAsiaTheme="minorEastAsia" w:hAnsiTheme="minor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b.基金财产参与股票发行申购，本基金所申报的金额不得超过本基金的总资产，所申报的股票数量不得超过拟发行股票公司本次发行股票的总量；</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c.本基金不得违反《基金合同》关于投资范围和投资比例的约定；</w:t>
      </w:r>
    </w:p>
    <w:p w:rsidR="00876CBF"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d.本基金主动投资于流动性受限资产的市值合计不得超过本基金资产净值的15%；</w:t>
      </w:r>
    </w:p>
    <w:p w:rsidR="00D551BB"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e.本基金投资存托凭证的比例限制依照境内上市交易的股票执行，与境内上市交易的股票合并计算。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f.相关法律法规以及监管部门规定的其他投资限制。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《基金法》及其他有关法律法规或监管部门</w:t>
      </w:r>
      <w:r w:rsidRPr="00172454">
        <w:rPr>
          <w:rFonts w:asciiTheme="minorEastAsia" w:eastAsiaTheme="minorEastAsia" w:hAnsiTheme="minorEastAsia" w:hint="eastAsia"/>
          <w:color w:val="000000" w:themeColor="text1"/>
          <w:szCs w:val="21"/>
        </w:rPr>
        <w:t>取消</w:t>
      </w:r>
      <w:r w:rsidRPr="00172454">
        <w:rPr>
          <w:rFonts w:asciiTheme="minorEastAsia" w:eastAsiaTheme="minorEastAsia" w:hAnsiTheme="minorEastAsia"/>
          <w:color w:val="000000" w:themeColor="text1"/>
          <w:szCs w:val="21"/>
        </w:rPr>
        <w:t>上述限制</w:t>
      </w:r>
      <w:r w:rsidRPr="00172454">
        <w:rPr>
          <w:rFonts w:asciiTheme="minorEastAsia" w:eastAsiaTheme="minorEastAsia" w:hAnsiTheme="minorEastAsia" w:hint="eastAsia"/>
          <w:color w:val="000000" w:themeColor="text1"/>
          <w:szCs w:val="21"/>
        </w:rPr>
        <w:t>的</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履行适当程序后，基金不受上述限制</w:t>
      </w:r>
      <w:r w:rsidRPr="00172454">
        <w:rPr>
          <w:rFonts w:asciiTheme="minorEastAsia" w:eastAsiaTheme="minorEastAsia" w:hAnsiTheme="minorEastAsia"/>
          <w:color w:val="000000" w:themeColor="text1"/>
          <w:szCs w:val="21"/>
        </w:rPr>
        <w:t>。</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3）法规允许的基金投资比例调整期限</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除上述2）的b、d以外，</w:t>
      </w:r>
      <w:r w:rsidRPr="00172454">
        <w:rPr>
          <w:rFonts w:asciiTheme="minorEastAsia" w:eastAsiaTheme="minorEastAsia" w:hAnsiTheme="minorEastAsia"/>
          <w:color w:val="000000" w:themeColor="text1"/>
          <w:szCs w:val="21"/>
        </w:rPr>
        <w:t>由于</w:t>
      </w:r>
      <w:r w:rsidRPr="00172454">
        <w:rPr>
          <w:rFonts w:asciiTheme="minorEastAsia" w:eastAsiaTheme="minorEastAsia" w:hAnsiTheme="minorEastAsia" w:hint="eastAsia"/>
          <w:color w:val="000000" w:themeColor="text1"/>
          <w:szCs w:val="21"/>
        </w:rPr>
        <w:t>证券市场波动、上市公司合并</w:t>
      </w:r>
      <w:r w:rsidRPr="00172454">
        <w:rPr>
          <w:rFonts w:asciiTheme="minorEastAsia" w:eastAsiaTheme="minorEastAsia" w:hAnsiTheme="minorEastAsia"/>
          <w:color w:val="000000" w:themeColor="text1"/>
          <w:szCs w:val="21"/>
        </w:rPr>
        <w:t>或</w:t>
      </w:r>
      <w:r w:rsidRPr="00172454">
        <w:rPr>
          <w:rFonts w:asciiTheme="minorEastAsia" w:eastAsiaTheme="minorEastAsia" w:hAnsiTheme="minorEastAsia" w:hint="eastAsia"/>
          <w:color w:val="000000" w:themeColor="text1"/>
          <w:szCs w:val="21"/>
        </w:rPr>
        <w:t>基金规模变动等基金管理人之外的原因</w:t>
      </w:r>
      <w:r w:rsidRPr="00172454">
        <w:rPr>
          <w:rFonts w:asciiTheme="minorEastAsia" w:eastAsiaTheme="minorEastAsia" w:hAnsiTheme="minorEastAsia"/>
          <w:color w:val="000000" w:themeColor="text1"/>
          <w:szCs w:val="21"/>
        </w:rPr>
        <w:t>导致的投资组合</w:t>
      </w:r>
      <w:r w:rsidRPr="00172454">
        <w:rPr>
          <w:rFonts w:asciiTheme="minorEastAsia" w:eastAsiaTheme="minorEastAsia" w:hAnsiTheme="minorEastAsia" w:hint="eastAsia"/>
          <w:color w:val="000000" w:themeColor="text1"/>
          <w:szCs w:val="21"/>
        </w:rPr>
        <w:t>不符合</w:t>
      </w:r>
      <w:r w:rsidRPr="00172454">
        <w:rPr>
          <w:rFonts w:asciiTheme="minorEastAsia" w:eastAsiaTheme="minorEastAsia" w:hAnsiTheme="minorEastAsia"/>
          <w:color w:val="000000" w:themeColor="text1"/>
          <w:szCs w:val="21"/>
        </w:rPr>
        <w:t>上述约定的比例</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不在限制之内，但基金管理人应在</w:t>
      </w:r>
      <w:r w:rsidRPr="00172454">
        <w:rPr>
          <w:rFonts w:asciiTheme="minorEastAsia" w:eastAsiaTheme="minorEastAsia" w:hAnsiTheme="minorEastAsia" w:hint="eastAsia"/>
          <w:color w:val="000000" w:themeColor="text1"/>
          <w:szCs w:val="21"/>
        </w:rPr>
        <w:t>10个交易日</w:t>
      </w:r>
      <w:r w:rsidRPr="00172454">
        <w:rPr>
          <w:rFonts w:asciiTheme="minorEastAsia" w:eastAsiaTheme="minorEastAsia" w:hAnsiTheme="minorEastAsia"/>
          <w:color w:val="000000" w:themeColor="text1"/>
          <w:szCs w:val="21"/>
        </w:rPr>
        <w:t>内进行调整，以达到</w:t>
      </w:r>
      <w:r w:rsidRPr="00172454">
        <w:rPr>
          <w:rFonts w:asciiTheme="minorEastAsia" w:eastAsiaTheme="minorEastAsia" w:hAnsiTheme="minorEastAsia" w:hint="eastAsia"/>
          <w:color w:val="000000" w:themeColor="text1"/>
          <w:szCs w:val="21"/>
        </w:rPr>
        <w:t>规定的投资比例限制要求。法律法规另有规定的从其规定。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基金管理人应在出现可预见资产规模大幅变动的情况下，至少提前</w:t>
      </w: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个工作日正式向基金托管人发函说明基金可能变动规模和公司应对措施，便于托管人实施交易监督。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4）本基金可以按照国家的有关规定进行融资融券。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5）相关法律、法规或部门规章规定的其他比例限制。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基金托管人对基金投资的监督和检查自《基金合同》生效之日起开始。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 xml:space="preserve">（3）基金托管人根据有关法律法规的规定及《基金合同》的约定对下述基金投资禁止行为进行监督：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根据法律法规的规定及《基金合同》的约定，本基金禁止从事下列行为：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72" w:name="OLE_LINK502"/>
      <w:bookmarkStart w:id="1273" w:name="OLE_LINK503"/>
      <w:r w:rsidRPr="00172454">
        <w:rPr>
          <w:rFonts w:asciiTheme="minorEastAsia" w:eastAsiaTheme="minorEastAsia" w:hAnsiTheme="minorEastAsia" w:hint="eastAsia"/>
          <w:color w:val="000000" w:themeColor="text1"/>
          <w:szCs w:val="21"/>
        </w:rPr>
        <w:t>1）承销证券；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w:t>
      </w:r>
      <w:r w:rsidRPr="00172454" w:rsidR="001E5E00">
        <w:rPr>
          <w:rFonts w:asciiTheme="minorEastAsia" w:eastAsiaTheme="minorEastAsia" w:hAnsiTheme="minorEastAsia" w:hint="eastAsia"/>
          <w:color w:val="000000" w:themeColor="text1"/>
          <w:szCs w:val="21"/>
        </w:rPr>
        <w:t>违反规定</w:t>
      </w:r>
      <w:r w:rsidRPr="00172454">
        <w:rPr>
          <w:rFonts w:asciiTheme="minorEastAsia" w:eastAsiaTheme="minorEastAsia" w:hAnsiTheme="minorEastAsia" w:hint="eastAsia"/>
          <w:color w:val="000000" w:themeColor="text1"/>
          <w:szCs w:val="21"/>
        </w:rPr>
        <w:t>向他人贷款或提供担保；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w:t>
      </w:r>
      <w:r w:rsidRPr="00172454">
        <w:rPr>
          <w:rFonts w:asciiTheme="minorEastAsia" w:eastAsiaTheme="minorEastAsia" w:hAnsiTheme="minorEastAsia"/>
          <w:color w:val="000000" w:themeColor="text1"/>
          <w:szCs w:val="21"/>
        </w:rPr>
        <w:t>从事承担无限责任的投资；</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4）买卖其他基金份额，但中国证监会另有规定的除外；</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5）向基金管理人、基金托管人出资或者买卖其基金管理人、基金托管人发行的股票或债券；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6）买卖与基金管理人、基金托管人有控股关系的股东或者与基金管理人、基金托管人有其他重大利害关系的公司发行的证券或者承销期内承销的证券</w:t>
      </w:r>
      <w:r w:rsidRPr="00172454" w:rsidR="008D5DC5">
        <w:rPr>
          <w:rFonts w:asciiTheme="minorEastAsia" w:eastAsiaTheme="minorEastAsia" w:hAnsiTheme="minorEastAsia" w:hint="eastAsia"/>
          <w:bCs/>
          <w:color w:val="000000" w:themeColor="text1"/>
          <w:szCs w:val="21"/>
        </w:rPr>
        <w:t>，但标的指数成份股不受此限</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7）从事内幕交易、操纵证券价格及其他不正当的证券交易活动；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8）法律</w:t>
      </w:r>
      <w:r w:rsidRPr="00172454" w:rsidR="000B632B">
        <w:rPr>
          <w:rFonts w:asciiTheme="minorEastAsia" w:eastAsiaTheme="minorEastAsia" w:hAnsiTheme="minorEastAsia" w:hint="eastAsia"/>
          <w:color w:val="000000" w:themeColor="text1"/>
          <w:szCs w:val="21"/>
        </w:rPr>
        <w:t>、</w:t>
      </w:r>
      <w:r w:rsidRPr="00172454" w:rsidR="008D5DC5">
        <w:rPr>
          <w:rFonts w:asciiTheme="minorEastAsia" w:eastAsiaTheme="minorEastAsia" w:hAnsiTheme="minorEastAsia" w:hint="eastAsia"/>
          <w:color w:val="000000" w:themeColor="text1"/>
          <w:szCs w:val="21"/>
        </w:rPr>
        <w:t>行政</w:t>
      </w:r>
      <w:r w:rsidRPr="00172454">
        <w:rPr>
          <w:rFonts w:asciiTheme="minorEastAsia" w:eastAsiaTheme="minorEastAsia" w:hAnsiTheme="minorEastAsia" w:hint="eastAsia"/>
          <w:color w:val="000000" w:themeColor="text1"/>
          <w:szCs w:val="21"/>
        </w:rPr>
        <w:t>法规</w:t>
      </w:r>
      <w:bookmarkStart w:id="1274" w:name="OLE_LINK566"/>
      <w:r w:rsidRPr="00172454" w:rsidR="008D5DC5">
        <w:rPr>
          <w:rFonts w:asciiTheme="minorEastAsia" w:eastAsiaTheme="minorEastAsia" w:hAnsiTheme="minorEastAsia" w:hint="eastAsia"/>
          <w:color w:val="000000" w:themeColor="text1"/>
          <w:szCs w:val="21"/>
        </w:rPr>
        <w:t>和</w:t>
      </w:r>
      <w:bookmarkEnd w:id="1274"/>
      <w:r w:rsidRPr="00172454">
        <w:rPr>
          <w:rFonts w:asciiTheme="minorEastAsia" w:eastAsiaTheme="minorEastAsia" w:hAnsiTheme="minorEastAsia" w:hint="eastAsia"/>
          <w:color w:val="000000" w:themeColor="text1"/>
          <w:szCs w:val="21"/>
        </w:rPr>
        <w:t>中国证监会禁止的其他</w:t>
      </w:r>
      <w:r w:rsidRPr="00172454" w:rsidR="008D5DC5">
        <w:rPr>
          <w:rFonts w:asciiTheme="minorEastAsia" w:eastAsiaTheme="minorEastAsia" w:hAnsiTheme="minorEastAsia" w:hint="eastAsia"/>
          <w:color w:val="000000" w:themeColor="text1"/>
          <w:szCs w:val="21"/>
        </w:rPr>
        <w:t>活动</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75" w:name="OLE_LINK507"/>
      <w:r w:rsidRPr="00172454">
        <w:rPr>
          <w:rFonts w:asciiTheme="minorEastAsia" w:eastAsiaTheme="minorEastAsia" w:hAnsiTheme="minorEastAsia" w:hint="eastAsia"/>
          <w:color w:val="000000" w:themeColor="text1"/>
          <w:szCs w:val="21"/>
        </w:rPr>
        <w:t>如</w:t>
      </w:r>
      <w:r w:rsidRPr="00172454">
        <w:rPr>
          <w:rFonts w:asciiTheme="minorEastAsia" w:eastAsiaTheme="minorEastAsia" w:hAnsiTheme="minorEastAsia"/>
          <w:color w:val="000000" w:themeColor="text1"/>
          <w:szCs w:val="21"/>
        </w:rPr>
        <w:t>法律法规或监管部门</w:t>
      </w:r>
      <w:r w:rsidRPr="00172454">
        <w:rPr>
          <w:rFonts w:asciiTheme="minorEastAsia" w:eastAsiaTheme="minorEastAsia" w:hAnsiTheme="minorEastAsia" w:hint="eastAsia"/>
          <w:color w:val="000000" w:themeColor="text1"/>
          <w:szCs w:val="21"/>
        </w:rPr>
        <w:t>取消上述禁止性规定，基金管理人在履行适当程序后可不受上述规定的限制</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对</w:t>
      </w:r>
      <w:r w:rsidRPr="00172454">
        <w:rPr>
          <w:rFonts w:asciiTheme="minorEastAsia" w:eastAsiaTheme="minorEastAsia" w:hAnsiTheme="minorEastAsia"/>
          <w:color w:val="000000" w:themeColor="text1"/>
          <w:szCs w:val="21"/>
        </w:rPr>
        <w:t>于因上述</w:t>
      </w:r>
      <w:r w:rsidRPr="00172454">
        <w:rPr>
          <w:rFonts w:asciiTheme="minorEastAsia" w:eastAsiaTheme="minorEastAsia" w:hAnsiTheme="minorEastAsia" w:hint="eastAsia"/>
          <w:color w:val="000000" w:themeColor="text1"/>
          <w:szCs w:val="21"/>
        </w:rPr>
        <w:t>第5）</w:t>
      </w:r>
      <w:r w:rsidRPr="00172454">
        <w:rPr>
          <w:rFonts w:asciiTheme="minorEastAsia" w:eastAsiaTheme="minorEastAsia" w:hAnsiTheme="minorEastAsia"/>
          <w:color w:val="000000" w:themeColor="text1"/>
          <w:szCs w:val="21"/>
        </w:rPr>
        <w:t>项情形导致无法投资的</w:t>
      </w:r>
      <w:r w:rsidRPr="00172454">
        <w:rPr>
          <w:rFonts w:asciiTheme="minorEastAsia" w:eastAsiaTheme="minorEastAsia" w:hAnsiTheme="minorEastAsia" w:hint="eastAsia"/>
          <w:color w:val="000000" w:themeColor="text1"/>
          <w:szCs w:val="21"/>
        </w:rPr>
        <w:t>标的</w:t>
      </w:r>
      <w:r w:rsidRPr="00172454">
        <w:rPr>
          <w:rFonts w:asciiTheme="minorEastAsia" w:eastAsiaTheme="minorEastAsia" w:hAnsiTheme="minorEastAsia"/>
          <w:color w:val="000000" w:themeColor="text1"/>
          <w:szCs w:val="21"/>
        </w:rPr>
        <w:t>指数成份股，基金管理人</w:t>
      </w:r>
      <w:r w:rsidRPr="00172454">
        <w:rPr>
          <w:rFonts w:asciiTheme="minorEastAsia" w:eastAsiaTheme="minorEastAsia" w:hAnsiTheme="minorEastAsia" w:hint="eastAsia"/>
          <w:color w:val="000000" w:themeColor="text1"/>
          <w:szCs w:val="21"/>
        </w:rPr>
        <w:t>应</w:t>
      </w:r>
      <w:r w:rsidRPr="00172454">
        <w:rPr>
          <w:rFonts w:asciiTheme="minorEastAsia" w:eastAsiaTheme="minorEastAsia" w:hAnsiTheme="minorEastAsia"/>
          <w:color w:val="000000" w:themeColor="text1"/>
          <w:szCs w:val="21"/>
        </w:rPr>
        <w:t>在严格控制跟踪误差的前提下，结合使用其他合理方法进行适当替代</w:t>
      </w:r>
      <w:r w:rsidRPr="00172454">
        <w:rPr>
          <w:rFonts w:asciiTheme="minorEastAsia" w:eastAsiaTheme="minorEastAsia" w:hAnsiTheme="minorEastAsia" w:hint="eastAsia"/>
          <w:color w:val="000000" w:themeColor="text1"/>
          <w:szCs w:val="21"/>
        </w:rPr>
        <w:t>。</w:t>
      </w:r>
    </w:p>
    <w:bookmarkEnd w:id="1272"/>
    <w:bookmarkEnd w:id="1273"/>
    <w:bookmarkEnd w:id="1275"/>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（4）基金托管人依据有关法律法规的规定和《基金合同》的约定对于基金关联投资限制进行监督。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根据法律法规有关基金禁止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（5）基金托管人依据有关法律法规的规定和《基金合同》的约定对基金管理人参与银行间债券市场进行监督。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1）基金托管人</w:t>
      </w:r>
      <w:r w:rsidRPr="00172454">
        <w:rPr>
          <w:rFonts w:asciiTheme="minorEastAsia" w:eastAsiaTheme="minorEastAsia" w:hAnsiTheme="minorEastAsia" w:cs="宋体" w:hint="eastAsia"/>
          <w:color w:val="000000" w:themeColor="text1"/>
          <w:kern w:val="0"/>
          <w:szCs w:val="21"/>
        </w:rPr>
        <w:t>依据有关法律法规的规定和《基金合同》的约定</w:t>
      </w:r>
      <w:r w:rsidRPr="00172454">
        <w:rPr>
          <w:rFonts w:asciiTheme="minorEastAsia" w:eastAsiaTheme="minorEastAsia" w:hAnsiTheme="minorEastAsia" w:hint="eastAsia"/>
          <w:color w:val="000000" w:themeColor="text1"/>
          <w:szCs w:val="21"/>
        </w:rPr>
        <w:t>对于基金管理人参与银行间市场交易时面临的交易对手资信风险进行监督。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2）基金托管人对于基金管理人参与银行间市场交易的交易方式的控制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（6）基金托管人对基金管理人选择存款银行进行监督。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5D5BC7" w:rsidRPr="00172454" w:rsidP="00D7595A">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（7）基金托管人对基金投资流通受限证券的监督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1）基金投资流通受限证券，应遵守《关于规范基金投资非公开发行证券行为的紧急通知》、《关于基金投资非公开发行股票等流通受限证券有关问题的通知》等有关法律法规规定。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2）流通受限证券，包括由《上市公司证券发行管理办法》规范的非公开发行股票、公开发行股票网下配售部分等在发行时明确一定期限锁定期的可交易证券</w:t>
      </w:r>
      <w:r w:rsidRPr="00172454">
        <w:rPr>
          <w:rFonts w:asciiTheme="minorEastAsia" w:eastAsiaTheme="minorEastAsia" w:hAnsiTheme="minorEastAsia"/>
          <w:color w:val="000000" w:themeColor="text1"/>
          <w:szCs w:val="21"/>
        </w:rPr>
        <w:t>,</w:t>
      </w:r>
      <w:r w:rsidRPr="00172454">
        <w:rPr>
          <w:rFonts w:asciiTheme="minorEastAsia" w:eastAsiaTheme="minorEastAsia" w:hAnsiTheme="minorEastAsia" w:hint="eastAsia"/>
          <w:color w:val="000000" w:themeColor="text1"/>
          <w:szCs w:val="21"/>
        </w:rPr>
        <w:t>不包括由于发布重大消息或其他原因而临时停牌的证券、已发行未上市证券、回购交易中的质押券等流通受限证券。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管理人应在所管理的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有流通受限证券市值占资产净值的比例、资金划付时间等。基金管理人应保证上述信息的真实、完整，并于拟执行投资指令前将上述信息书面发至基金托管人，保证基金托管人有足够的时间进行审核。</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如基金管理人和基金托管人无法达成一致，应及时上报中国证监会请求解决。如果基金托管人</w:t>
      </w:r>
      <w:r w:rsidRPr="00172454">
        <w:rPr>
          <w:rFonts w:asciiTheme="minorEastAsia" w:eastAsiaTheme="minorEastAsia" w:hAnsiTheme="minorEastAsia"/>
          <w:color w:val="000000" w:themeColor="text1"/>
          <w:szCs w:val="21"/>
        </w:rPr>
        <w:t>切实履行监督职责</w:t>
      </w:r>
      <w:r w:rsidRPr="00172454">
        <w:rPr>
          <w:rFonts w:asciiTheme="minorEastAsia" w:eastAsiaTheme="minorEastAsia" w:hAnsiTheme="minorEastAsia" w:hint="eastAsia"/>
          <w:color w:val="000000" w:themeColor="text1"/>
          <w:szCs w:val="21"/>
        </w:rPr>
        <w:t>，则不承担任何责任。</w:t>
      </w:r>
      <w:r w:rsidRPr="00172454">
        <w:rPr>
          <w:rFonts w:asciiTheme="minorEastAsia" w:eastAsiaTheme="minorEastAsia" w:hAnsiTheme="minorEastAsia"/>
          <w:color w:val="000000" w:themeColor="text1"/>
          <w:szCs w:val="21"/>
        </w:rPr>
        <w:t>如果基金托管</w:t>
      </w:r>
      <w:r w:rsidRPr="00172454">
        <w:rPr>
          <w:rFonts w:asciiTheme="minorEastAsia" w:eastAsiaTheme="minorEastAsia" w:hAnsiTheme="minorEastAsia" w:hint="eastAsia"/>
          <w:color w:val="000000" w:themeColor="text1"/>
          <w:szCs w:val="21"/>
        </w:rPr>
        <w:t>人</w:t>
      </w:r>
      <w:r w:rsidRPr="00172454">
        <w:rPr>
          <w:rFonts w:asciiTheme="minorEastAsia" w:eastAsiaTheme="minorEastAsia" w:hAnsiTheme="minorEastAsia"/>
          <w:color w:val="000000" w:themeColor="text1"/>
          <w:szCs w:val="21"/>
        </w:rPr>
        <w:t>没有切实履行监督职责，导致基金出现风险，基金托管</w:t>
      </w:r>
      <w:r w:rsidRPr="00172454">
        <w:rPr>
          <w:rFonts w:asciiTheme="minorEastAsia" w:eastAsiaTheme="minorEastAsia" w:hAnsiTheme="minorEastAsia" w:hint="eastAsia"/>
          <w:color w:val="000000" w:themeColor="text1"/>
          <w:szCs w:val="21"/>
        </w:rPr>
        <w:t>人</w:t>
      </w:r>
      <w:r w:rsidRPr="00172454">
        <w:rPr>
          <w:rFonts w:asciiTheme="minorEastAsia" w:eastAsiaTheme="minorEastAsia" w:hAnsiTheme="minorEastAsia"/>
          <w:color w:val="000000" w:themeColor="text1"/>
          <w:szCs w:val="21"/>
        </w:rPr>
        <w:t>应承担连带责任。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76" w:name="_Toc200523001"/>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276"/>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77" w:name="_Toc200523002"/>
      <w:r w:rsidRPr="00172454">
        <w:rPr>
          <w:rFonts w:asciiTheme="minorEastAsia" w:eastAsiaTheme="minorEastAsia" w:hAnsiTheme="minorEastAsia"/>
          <w:color w:val="000000" w:themeColor="text1"/>
          <w:szCs w:val="21"/>
        </w:rPr>
        <w:t>3、</w:t>
      </w:r>
      <w:r w:rsidRPr="00172454">
        <w:rPr>
          <w:rFonts w:asciiTheme="minorEastAsia" w:eastAsiaTheme="minorEastAsia" w:hAnsiTheme="minorEastAsia" w:hint="eastAsia"/>
          <w:color w:val="000000" w:themeColor="text1"/>
          <w:szCs w:val="21"/>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bookmarkEnd w:id="1277"/>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基金托管人发现基金管理人的投资指令违反相关法律法规规定或者违反《基金合同》约定的，应当拒绝执行，立即通知基金管理人，并向中国证监会报告。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基金托管人发现基金管理人依据交易程序已经生效的投资指令违反法律、行政法规和其他有关规定，或者违反《基金合同》约定的，应当立即通知基金管理人，并报告中国证监会。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78" w:name="_Toc238024346"/>
      <w:bookmarkStart w:id="1279" w:name="_Toc253577386"/>
      <w:bookmarkStart w:id="1280" w:name="_Toc91767084"/>
      <w:r w:rsidRPr="00172454">
        <w:rPr>
          <w:rFonts w:asciiTheme="minorEastAsia" w:eastAsiaTheme="minorEastAsia" w:hAnsiTheme="minorEastAsia" w:hint="eastAsia"/>
          <w:b w:val="0"/>
          <w:bCs/>
          <w:color w:val="000000" w:themeColor="text1"/>
        </w:rPr>
        <w:t>（三）</w:t>
      </w:r>
      <w:bookmarkStart w:id="1281" w:name="_Toc123705448"/>
      <w:bookmarkStart w:id="1282" w:name="_Toc124749228"/>
      <w:bookmarkStart w:id="1283" w:name="_Toc124749939"/>
      <w:bookmarkStart w:id="1284" w:name="_Toc125361076"/>
      <w:r w:rsidRPr="00172454">
        <w:rPr>
          <w:rFonts w:asciiTheme="minorEastAsia" w:eastAsiaTheme="minorEastAsia" w:hAnsiTheme="minorEastAsia" w:hint="eastAsia"/>
          <w:b w:val="0"/>
          <w:bCs/>
          <w:color w:val="000000" w:themeColor="text1"/>
        </w:rPr>
        <w:t>基金管理人对基金托管人的业务核查</w:t>
      </w:r>
      <w:bookmarkEnd w:id="1278"/>
      <w:bookmarkEnd w:id="1279"/>
      <w:bookmarkEnd w:id="1280"/>
      <w:bookmarkEnd w:id="1281"/>
      <w:bookmarkEnd w:id="1282"/>
      <w:bookmarkEnd w:id="1283"/>
      <w:bookmarkEnd w:id="128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172454">
        <w:rPr>
          <w:rFonts w:asciiTheme="minorEastAsia" w:eastAsiaTheme="minorEastAsia" w:hAnsiTheme="minorEastAsia" w:hint="eastAsia"/>
          <w:color w:val="000000" w:themeColor="text1"/>
          <w:kern w:val="0"/>
          <w:szCs w:val="21"/>
        </w:rPr>
        <w:t>基金管理人有义务要求基金托管人赔偿基金因此所遭受的损失。</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基金管理人发现基金托管人有重大违规行为，应立即报告中国证监会和银行业监督管理机构，同时通知基金托管人限期纠正。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基金托管人应积极配合基金管理人的核查行为，包括但不限于：提交相关资料以供基金管理人核查托管财产的完整性和真实性，在规定时间内答复基金管理人并改正。</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85" w:name="_Toc40511579"/>
      <w:bookmarkStart w:id="1286" w:name="_Toc238024347"/>
      <w:bookmarkStart w:id="1287" w:name="_Toc253577387"/>
      <w:bookmarkStart w:id="1288" w:name="_Toc91767085"/>
      <w:r w:rsidRPr="00172454">
        <w:rPr>
          <w:rFonts w:asciiTheme="minorEastAsia" w:eastAsiaTheme="minorEastAsia" w:hAnsiTheme="minorEastAsia" w:hint="eastAsia"/>
          <w:b w:val="0"/>
          <w:bCs/>
          <w:color w:val="000000" w:themeColor="text1"/>
        </w:rPr>
        <w:t>（四）</w:t>
      </w:r>
      <w:bookmarkStart w:id="1289" w:name="OLE_LINK7"/>
      <w:bookmarkStart w:id="1290" w:name="OLE_LINK8"/>
      <w:r w:rsidRPr="00172454">
        <w:rPr>
          <w:rFonts w:asciiTheme="minorEastAsia" w:eastAsiaTheme="minorEastAsia" w:hAnsiTheme="minorEastAsia" w:hint="eastAsia"/>
          <w:b w:val="0"/>
          <w:bCs/>
          <w:color w:val="000000" w:themeColor="text1"/>
        </w:rPr>
        <w:t>基金财产保管</w:t>
      </w:r>
      <w:bookmarkEnd w:id="1285"/>
      <w:bookmarkEnd w:id="1286"/>
      <w:bookmarkEnd w:id="1287"/>
      <w:bookmarkEnd w:id="1288"/>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91" w:name="_Toc200523005"/>
      <w:bookmarkStart w:id="1292" w:name="_Toc37159173"/>
      <w:bookmarkEnd w:id="1289"/>
      <w:bookmarkEnd w:id="1290"/>
      <w:r w:rsidRPr="00172454">
        <w:rPr>
          <w:rFonts w:asciiTheme="minorEastAsia" w:eastAsiaTheme="minorEastAsia" w:hAnsiTheme="minorEastAsia" w:hint="eastAsia"/>
          <w:color w:val="000000" w:themeColor="text1"/>
          <w:szCs w:val="21"/>
        </w:rPr>
        <w:t>1、基金财产保管的原则</w:t>
      </w:r>
      <w:bookmarkEnd w:id="1291"/>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（1）基金财产应独立于基金管理人、基金托管人的固有财产。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（2）基金托管人应安全保管基金财产。未经基金管理人的正当指令，不得自行运用、处分、分配基金的任何财产。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（3）基金托管人按照规定开设基金财产的资金账户和证券账户。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（4）基金托管人对所托管的不同基金财产分别设置账户，与基金托管人的其他业务和其他基金的托管业务实行严格的分账管理，确保基金财产的完整与独立。</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对于因基金认（申）购、基金投资过程中产生的应收财产，如基金托管人无法从公开信息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93" w:name="_Toc200523006"/>
      <w:r w:rsidRPr="00172454">
        <w:rPr>
          <w:rFonts w:asciiTheme="minorEastAsia" w:eastAsiaTheme="minorEastAsia" w:hAnsiTheme="minorEastAsia" w:hint="eastAsia"/>
          <w:color w:val="000000" w:themeColor="text1"/>
          <w:szCs w:val="21"/>
        </w:rPr>
        <w:t>2、募集资金的验证</w:t>
      </w:r>
      <w:bookmarkEnd w:id="1293"/>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基金募集期间募集的资金应当存入基金管理人在具有托管资格的商业银行开设的基金认购专户，该账户由基金管理人开立并管理；</w:t>
      </w:r>
      <w:r w:rsidRPr="00172454">
        <w:rPr>
          <w:rFonts w:asciiTheme="minorEastAsia" w:eastAsiaTheme="minorEastAsia" w:hAnsiTheme="minorEastAsia"/>
          <w:color w:val="000000" w:themeColor="text1"/>
          <w:szCs w:val="21"/>
        </w:rPr>
        <w:t>通过基金管理人提交的网下现金认购申请</w:t>
      </w:r>
      <w:r w:rsidRPr="00172454">
        <w:rPr>
          <w:rFonts w:asciiTheme="minorEastAsia" w:eastAsiaTheme="minorEastAsia" w:hAnsiTheme="minorEastAsia" w:hint="eastAsia"/>
          <w:color w:val="000000" w:themeColor="text1"/>
          <w:szCs w:val="21"/>
        </w:rPr>
        <w:t>，</w:t>
      </w:r>
      <w:r w:rsidRPr="00172454">
        <w:rPr>
          <w:rFonts w:asciiTheme="minorEastAsia" w:eastAsiaTheme="minorEastAsia" w:hAnsiTheme="minorEastAsia"/>
          <w:color w:val="000000" w:themeColor="text1"/>
          <w:szCs w:val="21"/>
        </w:rPr>
        <w:t>由基金管理人于T+2日内将认购款项划往基金</w:t>
      </w:r>
      <w:r w:rsidRPr="00172454">
        <w:rPr>
          <w:rFonts w:asciiTheme="minorEastAsia" w:eastAsiaTheme="minorEastAsia" w:hAnsiTheme="minorEastAsia" w:hint="eastAsia"/>
          <w:color w:val="000000" w:themeColor="text1"/>
          <w:szCs w:val="21"/>
        </w:rPr>
        <w:t>认购</w:t>
      </w:r>
      <w:r w:rsidRPr="00172454">
        <w:rPr>
          <w:rFonts w:asciiTheme="minorEastAsia" w:eastAsiaTheme="minorEastAsia" w:hAnsiTheme="minorEastAsia"/>
          <w:color w:val="000000" w:themeColor="text1"/>
          <w:szCs w:val="21"/>
        </w:rPr>
        <w:t>专户</w:t>
      </w:r>
      <w:r w:rsidRPr="00172454">
        <w:rPr>
          <w:rFonts w:asciiTheme="minorEastAsia" w:eastAsiaTheme="minorEastAsia" w:hAnsiTheme="minorEastAsia" w:hint="eastAsia"/>
          <w:color w:val="000000" w:themeColor="text1"/>
          <w:szCs w:val="21"/>
        </w:rPr>
        <w:t>；通过发售代理机构提交的网上、网下现金认购申请，于认购结束后由发售协调人</w:t>
      </w:r>
      <w:r w:rsidRPr="00172454">
        <w:rPr>
          <w:rFonts w:asciiTheme="minorEastAsia" w:eastAsiaTheme="minorEastAsia" w:hAnsiTheme="minorEastAsia"/>
          <w:color w:val="000000" w:themeColor="text1"/>
          <w:szCs w:val="21"/>
        </w:rPr>
        <w:t>将实际到位的认购资金划往基金</w:t>
      </w:r>
      <w:r w:rsidRPr="00172454">
        <w:rPr>
          <w:rFonts w:asciiTheme="minorEastAsia" w:eastAsiaTheme="minorEastAsia" w:hAnsiTheme="minorEastAsia" w:hint="eastAsia"/>
          <w:color w:val="000000" w:themeColor="text1"/>
          <w:szCs w:val="21"/>
        </w:rPr>
        <w:t>募集</w:t>
      </w:r>
      <w:r w:rsidRPr="00172454">
        <w:rPr>
          <w:rFonts w:asciiTheme="minorEastAsia" w:eastAsiaTheme="minorEastAsia" w:hAnsiTheme="minorEastAsia"/>
          <w:color w:val="000000" w:themeColor="text1"/>
          <w:szCs w:val="21"/>
        </w:rPr>
        <w:t>专户</w:t>
      </w:r>
      <w:r w:rsidRPr="00172454">
        <w:rPr>
          <w:rFonts w:asciiTheme="minorEastAsia" w:eastAsiaTheme="minorEastAsia" w:hAnsiTheme="minorEastAsia" w:hint="eastAsia"/>
          <w:color w:val="000000" w:themeColor="text1"/>
          <w:szCs w:val="21"/>
        </w:rPr>
        <w:t>；募集的股票由登记结算机构予以冻结，并在募集结束后划入中国证券登记结算公司上海分公司预先开立的组合证券认购专户。基金募集期满，募集的基金份额总额、基金募集金额（含募集股票市值）、基金份额持有人人数符合《基金法》、《运作办法》等有关规定后，由基金管理人聘请具有从事证券业务资格的会计师事务所进行验资，出具验资报告，出具的验资报告应由参加验资的</w:t>
      </w: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名以上（含</w:t>
      </w:r>
      <w:r w:rsidRPr="00172454">
        <w:rPr>
          <w:rFonts w:asciiTheme="minorEastAsia" w:eastAsiaTheme="minorEastAsia" w:hAnsiTheme="minorEastAsia"/>
          <w:color w:val="000000" w:themeColor="text1"/>
          <w:szCs w:val="21"/>
        </w:rPr>
        <w:t>2</w:t>
      </w:r>
      <w:r w:rsidRPr="00172454">
        <w:rPr>
          <w:rFonts w:asciiTheme="minorEastAsia" w:eastAsiaTheme="minorEastAsia" w:hAnsiTheme="minorEastAsia" w:hint="eastAsia"/>
          <w:color w:val="000000" w:themeColor="text1"/>
          <w:szCs w:val="21"/>
        </w:rPr>
        <w:t>名）中国注册会计师签字有效。验资完成，基金管理人应将募集的属于本基金财产的全部资金划入基金托管人为基金开立的资产托管专户中，基金募集的股票存放在以基金托管人和本基金联名方式开立的证券账户下，基金托管人在收到资金和股票当日出具确认文件。</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若基金募集期限届满，未能达到《基金合同》生效的条件，由基金管理人按规定办理退款、股票解冻事宜。</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94" w:name="_Toc200523007"/>
      <w:r w:rsidRPr="00172454">
        <w:rPr>
          <w:rFonts w:asciiTheme="minorEastAsia" w:eastAsiaTheme="minorEastAsia" w:hAnsiTheme="minorEastAsia" w:hint="eastAsia"/>
          <w:color w:val="000000" w:themeColor="text1"/>
          <w:szCs w:val="21"/>
        </w:rPr>
        <w:t>3、基金的银行账户的开立和管理</w:t>
      </w:r>
      <w:bookmarkEnd w:id="1294"/>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资产托管专户的管理应符合有关法律法规规定。</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295" w:name="_Toc200523008"/>
      <w:r w:rsidRPr="00172454">
        <w:rPr>
          <w:rFonts w:asciiTheme="minorEastAsia" w:eastAsiaTheme="minorEastAsia" w:hAnsiTheme="minorEastAsia" w:hint="eastAsia"/>
          <w:color w:val="000000" w:themeColor="text1"/>
          <w:szCs w:val="21"/>
        </w:rPr>
        <w:t>4、基金证券账户与证券交易资金账户的开设和管理</w:t>
      </w:r>
      <w:bookmarkEnd w:id="1295"/>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基金托管人以基金托管人和本基金联名的方式在中国证券登记结算有限公司上海分公司/深圳分公司开设证券账户。</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w:t>
      </w:r>
      <w:r w:rsidRPr="00172454">
        <w:rPr>
          <w:rFonts w:asciiTheme="minorEastAsia" w:eastAsiaTheme="minorEastAsia" w:hAnsiTheme="minorEastAsia"/>
          <w:color w:val="000000" w:themeColor="text1"/>
          <w:szCs w:val="21"/>
        </w:rPr>
        <w:t>以</w:t>
      </w:r>
      <w:r w:rsidRPr="00172454">
        <w:rPr>
          <w:rFonts w:asciiTheme="minorEastAsia" w:eastAsiaTheme="minorEastAsia" w:hAnsiTheme="minorEastAsia" w:hint="eastAsia"/>
          <w:color w:val="000000" w:themeColor="text1"/>
          <w:szCs w:val="21"/>
        </w:rPr>
        <w:t>基金托管人的名义在中国证券登记结算有限责任公司上海分公司/深圳分公司开立基金证券交易资金账户，用于证券清算。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5、投资者申购或赎回时现金替代、现金差额的查收与划付</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基金托管人应根据登记结算机构的交收指令办理本基金因申购、赎回产生的现金替代、现金差额的结算。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6、债券托管账户的开立和管理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（2）基金管理人和基金托管人应一起负责为基金对外签订全国银行间国债市场回购主协议，正本由基金托管人保管，基金管理人保存副本。</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7、其他账户的开设和管理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8、基金财产投资的有关实物证券、银行定期存款存单等有价凭证的保管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9、与基金财产有关的重大合同的保管</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10个工作日内通过专人送达、挂号邮寄等安全方式将合同原件送达基金托管人处。合同原件应存放于基金管理人和基金托管人各自文件保管部门15年以上。</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296" w:name="_Toc238024348"/>
      <w:bookmarkStart w:id="1297" w:name="_Toc253577388"/>
      <w:bookmarkStart w:id="1298" w:name="_Toc91767086"/>
      <w:bookmarkEnd w:id="1292"/>
      <w:r w:rsidRPr="00172454">
        <w:rPr>
          <w:rFonts w:asciiTheme="minorEastAsia" w:eastAsiaTheme="minorEastAsia" w:hAnsiTheme="minorEastAsia" w:hint="eastAsia"/>
          <w:b w:val="0"/>
          <w:bCs/>
          <w:color w:val="000000" w:themeColor="text1"/>
        </w:rPr>
        <w:t>（五）基金资产净值计算与复核</w:t>
      </w:r>
      <w:bookmarkEnd w:id="1296"/>
      <w:bookmarkEnd w:id="1297"/>
      <w:bookmarkEnd w:id="1298"/>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1、基金资产净值是指基金资产总值减去负债后的价值。基金份额净值是指计算日基金资产净值除以该计算日基金份额总份额后的数值。基金份额净值的计算保留到小数点后4位，小数点后第5位四舍五入。</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管理人应每工作日对基金资产估值。估值原则应符合法律法规和《基金合同》的规定。用于基金信息披露的基金资产净值和基金份额净值由基金管理人负责计算，基金托管人复核。基金管理人应于每个工作日交易结束后计算当日的基金份额净值并以传真方式发送给基金托管人。基金托管人对净值计算结果复核后，签名、盖章并以传真方式传送给基金管理人，由基金管理人对基金净值予以公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4、本基金的估值方法为：</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（1）证券交易所上市的有价证券的估值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1）交易所上市的有价证券（包括股票、权证等），以其估值日在证券交易所挂牌的收盘价估值；估值日无交易的，以最近交易日的收盘价估值。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2）交易所上市实行净价交易的债券按估值日收盘价估值，估值日没有交易的，按最近交易日的收盘价估值。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3）交易所上市未实行净价交易的债券按估值日收盘价减去债券收盘价中所含的债券应收利息得到的净价进行估值；估值日没有交易的，按最近交易日采用的净价进行估值。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（2）处于未上市期间的有价证券应区分如下情况处理：</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1）送股、转增股、配股和公开增发的新股，按估值日在证券交易所挂牌的同一股票的估值价格估值；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3）首次公开发行有明确锁定期的股票，同一股票在交易所上市后，按交易所上市的同一股票的估值价格估值；非公开发行有明确锁定期的股票，按监管机构或行业协会有关规定确定公允价值。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（3）因持有股票而享有的配股权，以及停止交易、但未行权的权证，采用估值技术确定公允价值。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（4）全国银行间债券市场交易的债券、资产支持证券等固定收益品种，采用估值技术确定公允价值。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（5）同一债券同时在两个或两个以上市场交易的，按债券所处的市场分别估值。</w:t>
      </w:r>
    </w:p>
    <w:p w:rsidR="00D551BB"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（6）本基金投资存托凭证的估值核算，依照境内上市交易的股票执行。</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sidR="00D551BB">
        <w:rPr>
          <w:rFonts w:asciiTheme="minorEastAsia" w:eastAsiaTheme="minorEastAsia" w:hAnsiTheme="minorEastAsia" w:hint="eastAsia"/>
          <w:color w:val="000000" w:themeColor="text1"/>
          <w:szCs w:val="21"/>
        </w:rPr>
        <w:t>7</w:t>
      </w:r>
      <w:r w:rsidRPr="00172454">
        <w:rPr>
          <w:rFonts w:asciiTheme="minorEastAsia" w:eastAsiaTheme="minorEastAsia" w:hAnsiTheme="minorEastAsia" w:hint="eastAsia"/>
          <w:color w:val="000000" w:themeColor="text1"/>
          <w:szCs w:val="21"/>
        </w:rPr>
        <w:t>）如有确凿证据表明按上述方法进行估值不能客观反映其公允价值的，基金管理人可根据具体情况与基金托管人商定后，按最能反映公允价值的价格估值。</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w:t>
      </w:r>
      <w:r w:rsidRPr="00172454" w:rsidR="00D551BB">
        <w:rPr>
          <w:rFonts w:asciiTheme="minorEastAsia" w:eastAsiaTheme="minorEastAsia" w:hAnsiTheme="minorEastAsia" w:hint="eastAsia"/>
          <w:color w:val="000000" w:themeColor="text1"/>
          <w:szCs w:val="21"/>
        </w:rPr>
        <w:t>8</w:t>
      </w:r>
      <w:r w:rsidRPr="00172454">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299" w:name="_Toc238024349"/>
      <w:bookmarkStart w:id="1300" w:name="_Toc253577389"/>
      <w:bookmarkStart w:id="1301" w:name="_Toc91767087"/>
      <w:r w:rsidRPr="00172454">
        <w:rPr>
          <w:rFonts w:asciiTheme="minorEastAsia" w:eastAsiaTheme="minorEastAsia" w:hAnsiTheme="minorEastAsia" w:hint="eastAsia"/>
          <w:b w:val="0"/>
          <w:bCs/>
          <w:color w:val="000000" w:themeColor="text1"/>
        </w:rPr>
        <w:t>（六）基金份额持有人名册的保管</w:t>
      </w:r>
      <w:bookmarkEnd w:id="1299"/>
      <w:bookmarkEnd w:id="1300"/>
      <w:bookmarkEnd w:id="1301"/>
      <w:r w:rsidRPr="00172454">
        <w:rPr>
          <w:rFonts w:asciiTheme="minorEastAsia" w:eastAsiaTheme="minorEastAsia" w:hAnsiTheme="minorEastAsia"/>
          <w:b w:val="0"/>
          <w:bCs/>
          <w:color w:val="000000" w:themeColor="text1"/>
        </w:rPr>
        <w:t xml:space="preserve">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基金管理人和基金托管人须分别妥善保管的基金份额持有人名册，包括《基金合同》生效日、《基金合同》终止日、基金份额持有人大会权利登记日、每年6月30日、</w:t>
      </w:r>
      <w:smartTag w:uri="urn:schemas-microsoft-com:office:smarttags" w:element="chsdate">
        <w:smartTagPr>
          <w:attr w:name="Day" w:val="31"/>
          <w:attr w:name="IsLunarDate" w:val="False"/>
          <w:attr w:name="IsROCDate" w:val="False"/>
          <w:attr w:name="Month" w:val="12"/>
          <w:attr w:name="Year" w:val="2014"/>
        </w:smartTagPr>
        <w:r w:rsidRPr="00172454">
          <w:rPr>
            <w:rFonts w:asciiTheme="minorEastAsia" w:eastAsiaTheme="minorEastAsia" w:hAnsiTheme="minorEastAsia" w:hint="eastAsia"/>
            <w:color w:val="000000" w:themeColor="text1"/>
            <w:szCs w:val="21"/>
          </w:rPr>
          <w:t>12月31日</w:t>
        </w:r>
      </w:smartTag>
      <w:r w:rsidRPr="00172454">
        <w:rPr>
          <w:rFonts w:asciiTheme="minorEastAsia" w:eastAsiaTheme="minorEastAsia" w:hAnsiTheme="minorEastAsia" w:hint="eastAsia"/>
          <w:color w:val="000000" w:themeColor="text1"/>
          <w:szCs w:val="21"/>
        </w:rPr>
        <w:t>的基金份额持有人名册。基金份额持有人名册的内容必须包括基金份额持有人的名称和持有的基金份额。</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份额持有人名册由基金的基金登记结算机构注册登记机构根据基金管理人的指令编制和保管，基金管理人和基金托管人应按照目前相关规则分别保管基金份额持有人名册。保管方式可以采用电子或文档的形式。保管期限为15年。</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基金托管人以电子版形式妥善保管基金份额持有人名册，并定期刻成光盘备份，保存期限为15年。基金托管人不得将所保管的基金份额持有人名册用于基金托管业务以外的其他用途，并应遵守保密义务。</w:t>
      </w:r>
      <w:bookmarkStart w:id="1302" w:name="OLE_LINK9"/>
      <w:r w:rsidRPr="00172454" w:rsidR="00230B48">
        <w:rPr>
          <w:rFonts w:asciiTheme="minorEastAsia" w:eastAsiaTheme="minorEastAsia" w:hAnsiTheme="minorEastAsia" w:hint="eastAsia"/>
          <w:color w:val="000000" w:themeColor="text1"/>
          <w:szCs w:val="21"/>
        </w:rPr>
        <w:t>法律法规另有规定或有权机关另有要求的除外。</w:t>
      </w:r>
      <w:bookmarkEnd w:id="1302"/>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若基金管理人或基金托管人由于自身原因无法妥善保管基金份额持有人名册，应按有关法规规定各自承担相应的责任。</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303" w:name="_Toc238024350"/>
      <w:bookmarkStart w:id="1304" w:name="_Toc253577390"/>
      <w:bookmarkStart w:id="1305" w:name="_Toc91767088"/>
      <w:r w:rsidRPr="00172454">
        <w:rPr>
          <w:rFonts w:asciiTheme="minorEastAsia" w:eastAsiaTheme="minorEastAsia" w:hAnsiTheme="minorEastAsia" w:hint="eastAsia"/>
          <w:b w:val="0"/>
          <w:bCs/>
          <w:color w:val="000000" w:themeColor="text1"/>
        </w:rPr>
        <w:t>（七）争议解决方式</w:t>
      </w:r>
      <w:bookmarkEnd w:id="1303"/>
      <w:bookmarkEnd w:id="1304"/>
      <w:bookmarkEnd w:id="1305"/>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bookmarkStart w:id="1306" w:name="OLE_LINK510"/>
      <w:bookmarkStart w:id="1307" w:name="OLE_LINK511"/>
      <w:r w:rsidRPr="00172454">
        <w:rPr>
          <w:rFonts w:asciiTheme="minorEastAsia" w:eastAsiaTheme="minorEastAsia" w:hAnsiTheme="minorEastAsia" w:hint="eastAsia"/>
          <w:color w:val="000000" w:themeColor="text1"/>
          <w:szCs w:val="21"/>
        </w:rPr>
        <w:t>相关各方当事人同意，因本协议而产生的或与本协议有关的一切争议</w:t>
      </w:r>
      <w:bookmarkEnd w:id="1306"/>
      <w:bookmarkEnd w:id="1307"/>
      <w:r w:rsidRPr="00172454">
        <w:rPr>
          <w:rFonts w:asciiTheme="minorEastAsia" w:eastAsiaTheme="minorEastAsia" w:hAnsiTheme="minorEastAsia" w:hint="eastAsia"/>
          <w:color w:val="000000" w:themeColor="text1"/>
          <w:szCs w:val="21"/>
        </w:rPr>
        <w:t>，除经友好协商可以解决的，应提交中国国际经济贸易仲裁委员会根据该会当时有效的仲裁规则进行仲裁，仲裁的地点在北京，仲裁裁决是终局性的并对相关各方均有约束力，仲裁费用由败诉方承担。</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争议处理期间，相关各方当事人应恪守基金管理人和基金托管人职责，继续忠实、勤勉、尽责地履行《基金合同》和托管协议规定的义务，维护基金份额持有人的合法权益。</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本协议受中国法律管辖。</w:t>
      </w:r>
    </w:p>
    <w:p w:rsidR="005D5BC7" w:rsidRPr="00172454" w:rsidP="00F07B7D">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308" w:name="_Toc238024351"/>
      <w:bookmarkStart w:id="1309" w:name="_Toc253577391"/>
      <w:bookmarkStart w:id="1310" w:name="_Toc91767089"/>
      <w:r w:rsidRPr="00172454">
        <w:rPr>
          <w:rFonts w:asciiTheme="minorEastAsia" w:eastAsiaTheme="minorEastAsia" w:hAnsiTheme="minorEastAsia" w:hint="eastAsia"/>
          <w:b w:val="0"/>
          <w:bCs/>
          <w:color w:val="000000" w:themeColor="text1"/>
        </w:rPr>
        <w:t>（八）托管协议的变更与终止</w:t>
      </w:r>
      <w:bookmarkEnd w:id="1308"/>
      <w:bookmarkEnd w:id="1309"/>
      <w:bookmarkEnd w:id="1310"/>
    </w:p>
    <w:p w:rsidR="005D5BC7" w:rsidRPr="00172454" w:rsidP="00150642">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1</w:t>
      </w:r>
      <w:r w:rsidRPr="00172454" w:rsidR="00381A1C">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本协议双方当事人经协商一致，可以对协议的内容进行变更。变更后的托管协议，其内容不得与《基金合同》的规定有任何冲突。基金托管协议的变更报中国证监会</w:t>
      </w:r>
      <w:r w:rsidRPr="00172454" w:rsidR="00FA0889">
        <w:rPr>
          <w:rFonts w:asciiTheme="minorEastAsia" w:eastAsiaTheme="minorEastAsia" w:hAnsiTheme="minorEastAsia" w:hint="eastAsia"/>
          <w:color w:val="000000" w:themeColor="text1"/>
          <w:szCs w:val="21"/>
        </w:rPr>
        <w:t>备案</w:t>
      </w:r>
      <w:r w:rsidRPr="00172454">
        <w:rPr>
          <w:rFonts w:asciiTheme="minorEastAsia" w:eastAsiaTheme="minorEastAsia" w:hAnsiTheme="minorEastAsia" w:hint="eastAsia"/>
          <w:color w:val="000000" w:themeColor="text1"/>
          <w:szCs w:val="21"/>
        </w:rPr>
        <w:t>。</w:t>
      </w:r>
    </w:p>
    <w:p w:rsidR="005D5BC7" w:rsidRPr="00172454" w:rsidP="00150642">
      <w:pPr>
        <w:snapToGrid w:val="0"/>
        <w:spacing w:line="360" w:lineRule="auto"/>
        <w:ind w:right="28"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color w:val="000000" w:themeColor="text1"/>
          <w:szCs w:val="21"/>
        </w:rPr>
        <w:t>2</w:t>
      </w:r>
      <w:r w:rsidRPr="00172454" w:rsidR="00381A1C">
        <w:rPr>
          <w:rFonts w:asciiTheme="minorEastAsia" w:eastAsiaTheme="minorEastAsia" w:hAnsiTheme="minorEastAsia" w:hint="eastAsia"/>
          <w:color w:val="000000" w:themeColor="text1"/>
          <w:szCs w:val="21"/>
        </w:rPr>
        <w:t>、</w:t>
      </w:r>
      <w:r w:rsidRPr="00172454">
        <w:rPr>
          <w:rFonts w:asciiTheme="minorEastAsia" w:eastAsiaTheme="minorEastAsia" w:hAnsiTheme="minorEastAsia" w:hint="eastAsia"/>
          <w:color w:val="000000" w:themeColor="text1"/>
          <w:szCs w:val="21"/>
        </w:rPr>
        <w:t>发生以下情况，本托管协议终止：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（1）《基金合同》终止；</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（2）基金托管人解散、依法被撤销、破产或有其他基金托管人接管基金财产；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（3）基金管理人解散、依法被撤销、破产或有其他基金管理人接管基金管理权；</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（4）发生法律法规或《基金合同》规定的终止事项。</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172454">
        <w:rPr>
          <w:rFonts w:asciiTheme="minorEastAsia" w:eastAsiaTheme="minorEastAsia" w:hAnsiTheme="minorEastAsia"/>
          <w:b/>
          <w:bCs/>
          <w:color w:val="000000" w:themeColor="text1"/>
        </w:rPr>
        <w:br w:type="page"/>
      </w:r>
      <w:bookmarkStart w:id="1311" w:name="_Toc91767090"/>
      <w:r w:rsidRPr="00172454">
        <w:rPr>
          <w:rFonts w:asciiTheme="minorEastAsia" w:eastAsiaTheme="minorEastAsia" w:hAnsiTheme="minorEastAsia" w:hint="eastAsia"/>
          <w:bCs/>
          <w:color w:val="000000" w:themeColor="text1"/>
        </w:rPr>
        <w:t>二</w:t>
      </w:r>
      <w:bookmarkStart w:id="1312" w:name="_Toc38438238"/>
      <w:bookmarkStart w:id="1313" w:name="_Toc38438575"/>
      <w:bookmarkStart w:id="1314" w:name="_Toc38438912"/>
      <w:bookmarkStart w:id="1315" w:name="_Toc38439249"/>
      <w:bookmarkStart w:id="1316" w:name="_Toc38439586"/>
      <w:bookmarkStart w:id="1317" w:name="_Toc38439923"/>
      <w:bookmarkStart w:id="1318" w:name="_Toc38440260"/>
      <w:bookmarkStart w:id="1319" w:name="_Toc38440597"/>
      <w:bookmarkStart w:id="1320" w:name="_Toc38440796"/>
      <w:bookmarkStart w:id="1321" w:name="_Toc38441129"/>
      <w:bookmarkStart w:id="1322" w:name="_Toc38441461"/>
      <w:bookmarkStart w:id="1323" w:name="_Toc38441793"/>
      <w:bookmarkStart w:id="1324" w:name="_Toc38442121"/>
      <w:bookmarkStart w:id="1325" w:name="_Toc38442453"/>
      <w:bookmarkStart w:id="1326" w:name="_Toc38442785"/>
      <w:bookmarkStart w:id="1327" w:name="_Toc38443116"/>
      <w:bookmarkStart w:id="1328" w:name="_Toc38443447"/>
      <w:bookmarkStart w:id="1329" w:name="_Toc38443778"/>
      <w:bookmarkStart w:id="1330" w:name="_Toc38438239"/>
      <w:bookmarkStart w:id="1331" w:name="_Toc38438576"/>
      <w:bookmarkStart w:id="1332" w:name="_Toc38438913"/>
      <w:bookmarkStart w:id="1333" w:name="_Toc38439250"/>
      <w:bookmarkStart w:id="1334" w:name="_Toc38439587"/>
      <w:bookmarkStart w:id="1335" w:name="_Toc38439924"/>
      <w:bookmarkStart w:id="1336" w:name="_Toc38440261"/>
      <w:bookmarkStart w:id="1337" w:name="_Toc38440598"/>
      <w:bookmarkStart w:id="1338" w:name="_Toc38440797"/>
      <w:bookmarkStart w:id="1339" w:name="_Toc38441130"/>
      <w:bookmarkStart w:id="1340" w:name="_Toc38441462"/>
      <w:bookmarkStart w:id="1341" w:name="_Toc38441794"/>
      <w:bookmarkStart w:id="1342" w:name="_Toc38442122"/>
      <w:bookmarkStart w:id="1343" w:name="_Toc38442454"/>
      <w:bookmarkStart w:id="1344" w:name="_Toc38442786"/>
      <w:bookmarkStart w:id="1345" w:name="_Toc38443117"/>
      <w:bookmarkStart w:id="1346" w:name="_Toc38443448"/>
      <w:bookmarkStart w:id="1347" w:name="_Toc38443779"/>
      <w:bookmarkStart w:id="1348" w:name="_Toc38438240"/>
      <w:bookmarkStart w:id="1349" w:name="_Toc38438577"/>
      <w:bookmarkStart w:id="1350" w:name="_Toc38438914"/>
      <w:bookmarkStart w:id="1351" w:name="_Toc38439251"/>
      <w:bookmarkStart w:id="1352" w:name="_Toc38439588"/>
      <w:bookmarkStart w:id="1353" w:name="_Toc38439925"/>
      <w:bookmarkStart w:id="1354" w:name="_Toc38440262"/>
      <w:bookmarkStart w:id="1355" w:name="_Toc38440599"/>
      <w:bookmarkStart w:id="1356" w:name="_Toc38440798"/>
      <w:bookmarkStart w:id="1357" w:name="_Toc38441131"/>
      <w:bookmarkStart w:id="1358" w:name="_Toc38441463"/>
      <w:bookmarkStart w:id="1359" w:name="_Toc38441795"/>
      <w:bookmarkStart w:id="1360" w:name="_Toc38442123"/>
      <w:bookmarkStart w:id="1361" w:name="_Toc38442455"/>
      <w:bookmarkStart w:id="1362" w:name="_Toc38442787"/>
      <w:bookmarkStart w:id="1363" w:name="_Toc38443118"/>
      <w:bookmarkStart w:id="1364" w:name="_Toc38443449"/>
      <w:bookmarkStart w:id="1365" w:name="_Toc38443780"/>
      <w:bookmarkStart w:id="1366" w:name="_Toc38438241"/>
      <w:bookmarkStart w:id="1367" w:name="_Toc38438578"/>
      <w:bookmarkStart w:id="1368" w:name="_Toc38438915"/>
      <w:bookmarkStart w:id="1369" w:name="_Toc38439252"/>
      <w:bookmarkStart w:id="1370" w:name="_Toc38439589"/>
      <w:bookmarkStart w:id="1371" w:name="_Toc38439926"/>
      <w:bookmarkStart w:id="1372" w:name="_Toc38440263"/>
      <w:bookmarkStart w:id="1373" w:name="_Toc38440600"/>
      <w:bookmarkStart w:id="1374" w:name="_Toc38440799"/>
      <w:bookmarkStart w:id="1375" w:name="_Toc38441132"/>
      <w:bookmarkStart w:id="1376" w:name="_Toc38441464"/>
      <w:bookmarkStart w:id="1377" w:name="_Toc38441796"/>
      <w:bookmarkStart w:id="1378" w:name="_Toc38442124"/>
      <w:bookmarkStart w:id="1379" w:name="_Toc38442456"/>
      <w:bookmarkStart w:id="1380" w:name="_Toc38442788"/>
      <w:bookmarkStart w:id="1381" w:name="_Toc38443119"/>
      <w:bookmarkStart w:id="1382" w:name="_Toc38443450"/>
      <w:bookmarkStart w:id="1383" w:name="_Toc38443781"/>
      <w:bookmarkStart w:id="1384" w:name="_Toc38438242"/>
      <w:bookmarkStart w:id="1385" w:name="_Toc38438579"/>
      <w:bookmarkStart w:id="1386" w:name="_Toc38438916"/>
      <w:bookmarkStart w:id="1387" w:name="_Toc38439253"/>
      <w:bookmarkStart w:id="1388" w:name="_Toc38439590"/>
      <w:bookmarkStart w:id="1389" w:name="_Toc38439927"/>
      <w:bookmarkStart w:id="1390" w:name="_Toc38440264"/>
      <w:bookmarkStart w:id="1391" w:name="_Toc38440601"/>
      <w:bookmarkStart w:id="1392" w:name="_Toc38440800"/>
      <w:bookmarkStart w:id="1393" w:name="_Toc38441133"/>
      <w:bookmarkStart w:id="1394" w:name="_Toc38441465"/>
      <w:bookmarkStart w:id="1395" w:name="_Toc38441797"/>
      <w:bookmarkStart w:id="1396" w:name="_Toc38442125"/>
      <w:bookmarkStart w:id="1397" w:name="_Toc38442457"/>
      <w:bookmarkStart w:id="1398" w:name="_Toc38442789"/>
      <w:bookmarkStart w:id="1399" w:name="_Toc38443120"/>
      <w:bookmarkStart w:id="1400" w:name="_Toc38443451"/>
      <w:bookmarkStart w:id="1401" w:name="_Toc38443782"/>
      <w:bookmarkStart w:id="1402" w:name="_Toc38438243"/>
      <w:bookmarkStart w:id="1403" w:name="_Toc38438580"/>
      <w:bookmarkStart w:id="1404" w:name="_Toc38438917"/>
      <w:bookmarkStart w:id="1405" w:name="_Toc38439254"/>
      <w:bookmarkStart w:id="1406" w:name="_Toc38439591"/>
      <w:bookmarkStart w:id="1407" w:name="_Toc38439928"/>
      <w:bookmarkStart w:id="1408" w:name="_Toc38440265"/>
      <w:bookmarkStart w:id="1409" w:name="_Toc38440602"/>
      <w:bookmarkStart w:id="1410" w:name="_Toc38440801"/>
      <w:bookmarkStart w:id="1411" w:name="_Toc38441134"/>
      <w:bookmarkStart w:id="1412" w:name="_Toc38441466"/>
      <w:bookmarkStart w:id="1413" w:name="_Toc38441798"/>
      <w:bookmarkStart w:id="1414" w:name="_Toc38442126"/>
      <w:bookmarkStart w:id="1415" w:name="_Toc38442458"/>
      <w:bookmarkStart w:id="1416" w:name="_Toc38442790"/>
      <w:bookmarkStart w:id="1417" w:name="_Toc38443121"/>
      <w:bookmarkStart w:id="1418" w:name="_Toc38443452"/>
      <w:bookmarkStart w:id="1419" w:name="_Toc38443783"/>
      <w:bookmarkStart w:id="1420" w:name="_Toc38438244"/>
      <w:bookmarkStart w:id="1421" w:name="_Toc38438581"/>
      <w:bookmarkStart w:id="1422" w:name="_Toc38438918"/>
      <w:bookmarkStart w:id="1423" w:name="_Toc38439255"/>
      <w:bookmarkStart w:id="1424" w:name="_Toc38439592"/>
      <w:bookmarkStart w:id="1425" w:name="_Toc38439929"/>
      <w:bookmarkStart w:id="1426" w:name="_Toc38440266"/>
      <w:bookmarkStart w:id="1427" w:name="_Toc38440603"/>
      <w:bookmarkStart w:id="1428" w:name="_Toc38440802"/>
      <w:bookmarkStart w:id="1429" w:name="_Toc38441135"/>
      <w:bookmarkStart w:id="1430" w:name="_Toc38441467"/>
      <w:bookmarkStart w:id="1431" w:name="_Toc38441799"/>
      <w:bookmarkStart w:id="1432" w:name="_Toc38442127"/>
      <w:bookmarkStart w:id="1433" w:name="_Toc38442459"/>
      <w:bookmarkStart w:id="1434" w:name="_Toc38442791"/>
      <w:bookmarkStart w:id="1435" w:name="_Toc38443122"/>
      <w:bookmarkStart w:id="1436" w:name="_Toc38443453"/>
      <w:bookmarkStart w:id="1437" w:name="_Toc38443784"/>
      <w:bookmarkStart w:id="1438" w:name="_Toc38438245"/>
      <w:bookmarkStart w:id="1439" w:name="_Toc38438582"/>
      <w:bookmarkStart w:id="1440" w:name="_Toc38438919"/>
      <w:bookmarkStart w:id="1441" w:name="_Toc38439256"/>
      <w:bookmarkStart w:id="1442" w:name="_Toc38439593"/>
      <w:bookmarkStart w:id="1443" w:name="_Toc38439930"/>
      <w:bookmarkStart w:id="1444" w:name="_Toc38440267"/>
      <w:bookmarkStart w:id="1445" w:name="_Toc38440604"/>
      <w:bookmarkStart w:id="1446" w:name="_Toc38440803"/>
      <w:bookmarkStart w:id="1447" w:name="_Toc38441136"/>
      <w:bookmarkStart w:id="1448" w:name="_Toc38441468"/>
      <w:bookmarkStart w:id="1449" w:name="_Toc38441800"/>
      <w:bookmarkStart w:id="1450" w:name="_Toc38442128"/>
      <w:bookmarkStart w:id="1451" w:name="_Toc38442460"/>
      <w:bookmarkStart w:id="1452" w:name="_Toc38442792"/>
      <w:bookmarkStart w:id="1453" w:name="_Toc38443123"/>
      <w:bookmarkStart w:id="1454" w:name="_Toc38443454"/>
      <w:bookmarkStart w:id="1455" w:name="_Toc38443785"/>
      <w:bookmarkStart w:id="1456" w:name="_Toc38438246"/>
      <w:bookmarkStart w:id="1457" w:name="_Toc38438583"/>
      <w:bookmarkStart w:id="1458" w:name="_Toc38438920"/>
      <w:bookmarkStart w:id="1459" w:name="_Toc38439257"/>
      <w:bookmarkStart w:id="1460" w:name="_Toc38439594"/>
      <w:bookmarkStart w:id="1461" w:name="_Toc38439931"/>
      <w:bookmarkStart w:id="1462" w:name="_Toc38440268"/>
      <w:bookmarkStart w:id="1463" w:name="_Toc38440605"/>
      <w:bookmarkStart w:id="1464" w:name="_Toc38440804"/>
      <w:bookmarkStart w:id="1465" w:name="_Toc38441137"/>
      <w:bookmarkStart w:id="1466" w:name="_Toc38441469"/>
      <w:bookmarkStart w:id="1467" w:name="_Toc38441801"/>
      <w:bookmarkStart w:id="1468" w:name="_Toc38442129"/>
      <w:bookmarkStart w:id="1469" w:name="_Toc38442461"/>
      <w:bookmarkStart w:id="1470" w:name="_Toc38442793"/>
      <w:bookmarkStart w:id="1471" w:name="_Toc38443124"/>
      <w:bookmarkStart w:id="1472" w:name="_Toc38443455"/>
      <w:bookmarkStart w:id="1473" w:name="_Toc38443786"/>
      <w:bookmarkStart w:id="1474" w:name="_Toc38438247"/>
      <w:bookmarkStart w:id="1475" w:name="_Toc38438584"/>
      <w:bookmarkStart w:id="1476" w:name="_Toc38438921"/>
      <w:bookmarkStart w:id="1477" w:name="_Toc38439258"/>
      <w:bookmarkStart w:id="1478" w:name="_Toc38439595"/>
      <w:bookmarkStart w:id="1479" w:name="_Toc38439932"/>
      <w:bookmarkStart w:id="1480" w:name="_Toc38440269"/>
      <w:bookmarkStart w:id="1481" w:name="_Toc38440606"/>
      <w:bookmarkStart w:id="1482" w:name="_Toc38440805"/>
      <w:bookmarkStart w:id="1483" w:name="_Toc38441138"/>
      <w:bookmarkStart w:id="1484" w:name="_Toc38441470"/>
      <w:bookmarkStart w:id="1485" w:name="_Toc38441802"/>
      <w:bookmarkStart w:id="1486" w:name="_Toc38442130"/>
      <w:bookmarkStart w:id="1487" w:name="_Toc38442462"/>
      <w:bookmarkStart w:id="1488" w:name="_Toc38442794"/>
      <w:bookmarkStart w:id="1489" w:name="_Toc38443125"/>
      <w:bookmarkStart w:id="1490" w:name="_Toc38443456"/>
      <w:bookmarkStart w:id="1491" w:name="_Toc38443787"/>
      <w:bookmarkStart w:id="1492" w:name="_Toc38438248"/>
      <w:bookmarkStart w:id="1493" w:name="_Toc38438585"/>
      <w:bookmarkStart w:id="1494" w:name="_Toc38438922"/>
      <w:bookmarkStart w:id="1495" w:name="_Toc38439259"/>
      <w:bookmarkStart w:id="1496" w:name="_Toc38439596"/>
      <w:bookmarkStart w:id="1497" w:name="_Toc38439933"/>
      <w:bookmarkStart w:id="1498" w:name="_Toc38440270"/>
      <w:bookmarkStart w:id="1499" w:name="_Toc38440607"/>
      <w:bookmarkStart w:id="1500" w:name="_Toc38440806"/>
      <w:bookmarkStart w:id="1501" w:name="_Toc38441139"/>
      <w:bookmarkStart w:id="1502" w:name="_Toc38441471"/>
      <w:bookmarkStart w:id="1503" w:name="_Toc38441803"/>
      <w:bookmarkStart w:id="1504" w:name="_Toc38442131"/>
      <w:bookmarkStart w:id="1505" w:name="_Toc38442463"/>
      <w:bookmarkStart w:id="1506" w:name="_Toc38442795"/>
      <w:bookmarkStart w:id="1507" w:name="_Toc38443126"/>
      <w:bookmarkStart w:id="1508" w:name="_Toc38443457"/>
      <w:bookmarkStart w:id="1509" w:name="_Toc38443788"/>
      <w:bookmarkStart w:id="1510" w:name="_Toc38438249"/>
      <w:bookmarkStart w:id="1511" w:name="_Toc38438586"/>
      <w:bookmarkStart w:id="1512" w:name="_Toc38438923"/>
      <w:bookmarkStart w:id="1513" w:name="_Toc38439260"/>
      <w:bookmarkStart w:id="1514" w:name="_Toc38439597"/>
      <w:bookmarkStart w:id="1515" w:name="_Toc38439934"/>
      <w:bookmarkStart w:id="1516" w:name="_Toc38440271"/>
      <w:bookmarkStart w:id="1517" w:name="_Toc38440608"/>
      <w:bookmarkStart w:id="1518" w:name="_Toc38440807"/>
      <w:bookmarkStart w:id="1519" w:name="_Toc38441140"/>
      <w:bookmarkStart w:id="1520" w:name="_Toc38441472"/>
      <w:bookmarkStart w:id="1521" w:name="_Toc38441804"/>
      <w:bookmarkStart w:id="1522" w:name="_Toc38442132"/>
      <w:bookmarkStart w:id="1523" w:name="_Toc38442464"/>
      <w:bookmarkStart w:id="1524" w:name="_Toc38442796"/>
      <w:bookmarkStart w:id="1525" w:name="_Toc38443127"/>
      <w:bookmarkStart w:id="1526" w:name="_Toc38443458"/>
      <w:bookmarkStart w:id="1527" w:name="_Toc38443789"/>
      <w:bookmarkStart w:id="1528" w:name="_Toc38438250"/>
      <w:bookmarkStart w:id="1529" w:name="_Toc38438587"/>
      <w:bookmarkStart w:id="1530" w:name="_Toc38438924"/>
      <w:bookmarkStart w:id="1531" w:name="_Toc38439261"/>
      <w:bookmarkStart w:id="1532" w:name="_Toc38439598"/>
      <w:bookmarkStart w:id="1533" w:name="_Toc38439935"/>
      <w:bookmarkStart w:id="1534" w:name="_Toc38440272"/>
      <w:bookmarkStart w:id="1535" w:name="_Toc38440609"/>
      <w:bookmarkStart w:id="1536" w:name="_Toc38440808"/>
      <w:bookmarkStart w:id="1537" w:name="_Toc38441141"/>
      <w:bookmarkStart w:id="1538" w:name="_Toc38441473"/>
      <w:bookmarkStart w:id="1539" w:name="_Toc38441805"/>
      <w:bookmarkStart w:id="1540" w:name="_Toc38442133"/>
      <w:bookmarkStart w:id="1541" w:name="_Toc38442465"/>
      <w:bookmarkStart w:id="1542" w:name="_Toc38442797"/>
      <w:bookmarkStart w:id="1543" w:name="_Toc38443128"/>
      <w:bookmarkStart w:id="1544" w:name="_Toc38443459"/>
      <w:bookmarkStart w:id="1545" w:name="_Toc38443790"/>
      <w:bookmarkStart w:id="1546" w:name="_Toc38438251"/>
      <w:bookmarkStart w:id="1547" w:name="_Toc38438588"/>
      <w:bookmarkStart w:id="1548" w:name="_Toc38438925"/>
      <w:bookmarkStart w:id="1549" w:name="_Toc38439262"/>
      <w:bookmarkStart w:id="1550" w:name="_Toc38439599"/>
      <w:bookmarkStart w:id="1551" w:name="_Toc38439936"/>
      <w:bookmarkStart w:id="1552" w:name="_Toc38440273"/>
      <w:bookmarkStart w:id="1553" w:name="_Toc38440610"/>
      <w:bookmarkStart w:id="1554" w:name="_Toc38440809"/>
      <w:bookmarkStart w:id="1555" w:name="_Toc38441142"/>
      <w:bookmarkStart w:id="1556" w:name="_Toc38441474"/>
      <w:bookmarkStart w:id="1557" w:name="_Toc38441806"/>
      <w:bookmarkStart w:id="1558" w:name="_Toc38442134"/>
      <w:bookmarkStart w:id="1559" w:name="_Toc38442466"/>
      <w:bookmarkStart w:id="1560" w:name="_Toc38442798"/>
      <w:bookmarkStart w:id="1561" w:name="_Toc38443129"/>
      <w:bookmarkStart w:id="1562" w:name="_Toc38443460"/>
      <w:bookmarkStart w:id="1563" w:name="_Toc38443791"/>
      <w:bookmarkStart w:id="1564" w:name="_Toc38438252"/>
      <w:bookmarkStart w:id="1565" w:name="_Toc38438589"/>
      <w:bookmarkStart w:id="1566" w:name="_Toc38438926"/>
      <w:bookmarkStart w:id="1567" w:name="_Toc38439263"/>
      <w:bookmarkStart w:id="1568" w:name="_Toc38439600"/>
      <w:bookmarkStart w:id="1569" w:name="_Toc38439937"/>
      <w:bookmarkStart w:id="1570" w:name="_Toc38440274"/>
      <w:bookmarkStart w:id="1571" w:name="_Toc38440611"/>
      <w:bookmarkStart w:id="1572" w:name="_Toc38440810"/>
      <w:bookmarkStart w:id="1573" w:name="_Toc38441143"/>
      <w:bookmarkStart w:id="1574" w:name="_Toc38441475"/>
      <w:bookmarkStart w:id="1575" w:name="_Toc38441807"/>
      <w:bookmarkStart w:id="1576" w:name="_Toc38442135"/>
      <w:bookmarkStart w:id="1577" w:name="_Toc38442467"/>
      <w:bookmarkStart w:id="1578" w:name="_Toc38442799"/>
      <w:bookmarkStart w:id="1579" w:name="_Toc38443130"/>
      <w:bookmarkStart w:id="1580" w:name="_Toc38443461"/>
      <w:bookmarkStart w:id="1581" w:name="_Toc38443792"/>
      <w:bookmarkStart w:id="1582" w:name="_Toc38438253"/>
      <w:bookmarkStart w:id="1583" w:name="_Toc38438590"/>
      <w:bookmarkStart w:id="1584" w:name="_Toc38438927"/>
      <w:bookmarkStart w:id="1585" w:name="_Toc38439264"/>
      <w:bookmarkStart w:id="1586" w:name="_Toc38439601"/>
      <w:bookmarkStart w:id="1587" w:name="_Toc38439938"/>
      <w:bookmarkStart w:id="1588" w:name="_Toc38440275"/>
      <w:bookmarkStart w:id="1589" w:name="_Toc38440612"/>
      <w:bookmarkStart w:id="1590" w:name="_Toc38440811"/>
      <w:bookmarkStart w:id="1591" w:name="_Toc38441144"/>
      <w:bookmarkStart w:id="1592" w:name="_Toc38441476"/>
      <w:bookmarkStart w:id="1593" w:name="_Toc38441808"/>
      <w:bookmarkStart w:id="1594" w:name="_Toc38442136"/>
      <w:bookmarkStart w:id="1595" w:name="_Toc38442468"/>
      <w:bookmarkStart w:id="1596" w:name="_Toc38442800"/>
      <w:bookmarkStart w:id="1597" w:name="_Toc38443131"/>
      <w:bookmarkStart w:id="1598" w:name="_Toc38443462"/>
      <w:bookmarkStart w:id="1599" w:name="_Toc38443793"/>
      <w:bookmarkStart w:id="1600" w:name="_Toc38438254"/>
      <w:bookmarkStart w:id="1601" w:name="_Toc38438591"/>
      <w:bookmarkStart w:id="1602" w:name="_Toc38438928"/>
      <w:bookmarkStart w:id="1603" w:name="_Toc38439265"/>
      <w:bookmarkStart w:id="1604" w:name="_Toc38439602"/>
      <w:bookmarkStart w:id="1605" w:name="_Toc38439939"/>
      <w:bookmarkStart w:id="1606" w:name="_Toc38440276"/>
      <w:bookmarkStart w:id="1607" w:name="_Toc38440613"/>
      <w:bookmarkStart w:id="1608" w:name="_Toc38440812"/>
      <w:bookmarkStart w:id="1609" w:name="_Toc38441145"/>
      <w:bookmarkStart w:id="1610" w:name="_Toc38441477"/>
      <w:bookmarkStart w:id="1611" w:name="_Toc38441809"/>
      <w:bookmarkStart w:id="1612" w:name="_Toc38442137"/>
      <w:bookmarkStart w:id="1613" w:name="_Toc38442469"/>
      <w:bookmarkStart w:id="1614" w:name="_Toc38442801"/>
      <w:bookmarkStart w:id="1615" w:name="_Toc38443132"/>
      <w:bookmarkStart w:id="1616" w:name="_Toc38443463"/>
      <w:bookmarkStart w:id="1617" w:name="_Toc38443794"/>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172454">
        <w:rPr>
          <w:rFonts w:asciiTheme="minorEastAsia" w:eastAsiaTheme="minorEastAsia" w:hAnsiTheme="minorEastAsia" w:hint="eastAsia"/>
          <w:bCs/>
          <w:color w:val="000000" w:themeColor="text1"/>
        </w:rPr>
        <w:t>十</w:t>
      </w:r>
      <w:r w:rsidRPr="00172454" w:rsidR="00150642">
        <w:rPr>
          <w:rFonts w:asciiTheme="minorEastAsia" w:eastAsiaTheme="minorEastAsia" w:hAnsiTheme="minorEastAsia" w:hint="eastAsia"/>
          <w:bCs/>
          <w:color w:val="000000" w:themeColor="text1"/>
        </w:rPr>
        <w:t>三</w:t>
      </w:r>
      <w:r w:rsidRPr="00172454">
        <w:rPr>
          <w:rFonts w:asciiTheme="minorEastAsia" w:eastAsiaTheme="minorEastAsia" w:hAnsiTheme="minorEastAsia" w:hint="eastAsia"/>
          <w:bCs/>
          <w:color w:val="000000" w:themeColor="text1"/>
        </w:rPr>
        <w:t>、对基金份额持有人的服务</w:t>
      </w:r>
      <w:bookmarkStart w:id="1618" w:name="_Toc38186634"/>
      <w:bookmarkEnd w:id="1311"/>
    </w:p>
    <w:p w:rsidR="004625F7" w:rsidRPr="00172454" w:rsidP="00150642">
      <w:pPr>
        <w:pStyle w:val="Default"/>
        <w:snapToGrid w:val="0"/>
        <w:spacing w:line="360" w:lineRule="auto"/>
        <w:ind w:firstLine="567" w:firstLineChars="270"/>
        <w:rPr>
          <w:rFonts w:asciiTheme="minorEastAsia" w:eastAsiaTheme="minorEastAsia" w:hAnsiTheme="minorEastAsia" w:cs="宋体"/>
          <w:color w:val="000000" w:themeColor="text1"/>
          <w:sz w:val="21"/>
          <w:szCs w:val="21"/>
        </w:rPr>
      </w:pPr>
      <w:r w:rsidRPr="00172454">
        <w:rPr>
          <w:rFonts w:asciiTheme="minorEastAsia" w:eastAsiaTheme="minorEastAsia" w:hAnsiTheme="minorEastAsia" w:cs="宋体" w:hint="eastAsia"/>
          <w:color w:val="000000" w:themeColor="text1"/>
          <w:sz w:val="21"/>
          <w:szCs w:val="21"/>
        </w:rPr>
        <w:t>对本基金份额持有人的服务主要由基金管理人、</w:t>
      </w:r>
      <w:r w:rsidRPr="00172454" w:rsidR="00390529">
        <w:rPr>
          <w:rFonts w:asciiTheme="minorEastAsia" w:eastAsiaTheme="minorEastAsia" w:hAnsiTheme="minorEastAsia" w:cs="宋体" w:hint="eastAsia"/>
          <w:color w:val="000000" w:themeColor="text1"/>
          <w:sz w:val="21"/>
          <w:szCs w:val="21"/>
        </w:rPr>
        <w:t>代办</w:t>
      </w:r>
      <w:r w:rsidRPr="00172454">
        <w:rPr>
          <w:rFonts w:asciiTheme="minorEastAsia" w:eastAsiaTheme="minorEastAsia" w:hAnsiTheme="minorEastAsia" w:cs="宋体" w:hint="eastAsia"/>
          <w:color w:val="000000" w:themeColor="text1"/>
          <w:sz w:val="21"/>
          <w:szCs w:val="21"/>
        </w:rPr>
        <w:t>证券公司提供。投资者可通过以下方式了解基金产品与服务，进行各类业务咨询，或反馈投资过程中需要投诉与建议的情况</w:t>
      </w:r>
      <w:r w:rsidRPr="00172454" w:rsidR="005F33C1">
        <w:rPr>
          <w:rFonts w:asciiTheme="minorEastAsia" w:eastAsiaTheme="minorEastAsia" w:hAnsiTheme="minorEastAsia" w:cs="宋体" w:hint="eastAsia"/>
          <w:color w:val="000000" w:themeColor="text1"/>
          <w:sz w:val="21"/>
          <w:szCs w:val="21"/>
        </w:rPr>
        <w:t>，投资者如果认为自己不能准确理解本基金《招募说明书》、《基金合同》的具体内容，也可拨打以下电话详询</w:t>
      </w:r>
      <w:r w:rsidRPr="00172454">
        <w:rPr>
          <w:rFonts w:asciiTheme="minorEastAsia" w:eastAsiaTheme="minorEastAsia" w:hAnsiTheme="minorEastAsia" w:cs="宋体" w:hint="eastAsia"/>
          <w:color w:val="000000" w:themeColor="text1"/>
          <w:sz w:val="21"/>
          <w:szCs w:val="21"/>
        </w:rPr>
        <w:t xml:space="preserve">： </w:t>
      </w:r>
    </w:p>
    <w:p w:rsidR="004625F7" w:rsidRPr="00172454" w:rsidP="00150642">
      <w:pPr>
        <w:pStyle w:val="Default"/>
        <w:snapToGrid w:val="0"/>
        <w:spacing w:line="360" w:lineRule="auto"/>
        <w:ind w:firstLine="567" w:firstLineChars="270"/>
        <w:rPr>
          <w:rFonts w:asciiTheme="minorEastAsia" w:eastAsiaTheme="minorEastAsia" w:hAnsiTheme="minorEastAsia" w:cs="宋体"/>
          <w:color w:val="000000" w:themeColor="text1"/>
          <w:sz w:val="21"/>
          <w:szCs w:val="21"/>
        </w:rPr>
      </w:pPr>
      <w:r w:rsidRPr="00172454">
        <w:rPr>
          <w:rFonts w:asciiTheme="minorEastAsia" w:eastAsiaTheme="minorEastAsia" w:hAnsiTheme="minorEastAsia" w:cs="宋体" w:hint="eastAsia"/>
          <w:color w:val="000000" w:themeColor="text1"/>
          <w:sz w:val="21"/>
          <w:szCs w:val="21"/>
        </w:rPr>
        <w:t>客服热线：</w:t>
      </w:r>
      <w:r w:rsidRPr="00172454">
        <w:rPr>
          <w:rFonts w:asciiTheme="minorEastAsia" w:eastAsiaTheme="minorEastAsia" w:hAnsiTheme="minorEastAsia" w:cs="Times New Roman"/>
          <w:color w:val="000000" w:themeColor="text1"/>
          <w:sz w:val="21"/>
          <w:szCs w:val="21"/>
        </w:rPr>
        <w:t>4008818088</w:t>
      </w:r>
    </w:p>
    <w:p w:rsidR="004625F7" w:rsidRPr="00172454" w:rsidP="00150642">
      <w:pPr>
        <w:pStyle w:val="Default"/>
        <w:snapToGrid w:val="0"/>
        <w:spacing w:line="360" w:lineRule="auto"/>
        <w:ind w:firstLine="567" w:firstLineChars="270"/>
        <w:rPr>
          <w:rFonts w:asciiTheme="minorEastAsia" w:eastAsiaTheme="minorEastAsia" w:hAnsiTheme="minorEastAsia" w:cs="Times New Roman"/>
          <w:color w:val="000000" w:themeColor="text1"/>
          <w:sz w:val="21"/>
          <w:szCs w:val="21"/>
        </w:rPr>
      </w:pPr>
      <w:r w:rsidRPr="00172454">
        <w:rPr>
          <w:rFonts w:asciiTheme="minorEastAsia" w:eastAsiaTheme="minorEastAsia" w:hAnsiTheme="minorEastAsia" w:cs="宋体" w:hint="eastAsia"/>
          <w:color w:val="000000" w:themeColor="text1"/>
          <w:sz w:val="21"/>
          <w:szCs w:val="21"/>
        </w:rPr>
        <w:t>网址：</w:t>
      </w:r>
      <w:r w:rsidRPr="00172454">
        <w:rPr>
          <w:rFonts w:asciiTheme="minorEastAsia" w:eastAsiaTheme="minorEastAsia" w:hAnsiTheme="minorEastAsia" w:cs="Times New Roman"/>
          <w:color w:val="000000" w:themeColor="text1"/>
          <w:sz w:val="21"/>
          <w:szCs w:val="21"/>
        </w:rPr>
        <w:t xml:space="preserve">http://www.efunds.com.cn </w:t>
      </w:r>
    </w:p>
    <w:p w:rsidR="004625F7" w:rsidRPr="00172454" w:rsidP="00150642">
      <w:pPr>
        <w:snapToGrid w:val="0"/>
        <w:spacing w:line="360" w:lineRule="auto"/>
        <w:ind w:firstLine="567" w:firstLineChars="270"/>
        <w:rPr>
          <w:rFonts w:asciiTheme="minorEastAsia" w:eastAsiaTheme="minorEastAsia" w:hAnsiTheme="minorEastAsia"/>
          <w:color w:val="000000" w:themeColor="text1"/>
          <w:szCs w:val="22"/>
        </w:rPr>
      </w:pPr>
      <w:r w:rsidRPr="00172454">
        <w:rPr>
          <w:rFonts w:asciiTheme="minorEastAsia" w:eastAsiaTheme="minorEastAsia" w:hAnsiTheme="minorEastAsia" w:cs="宋体" w:hint="eastAsia"/>
          <w:color w:val="000000" w:themeColor="text1"/>
          <w:szCs w:val="21"/>
        </w:rPr>
        <w:t>电子信箱：</w:t>
      </w:r>
      <w:r w:rsidRPr="00172454">
        <w:rPr>
          <w:rFonts w:asciiTheme="minorEastAsia" w:eastAsiaTheme="minorEastAsia" w:hAnsiTheme="minorEastAsia"/>
          <w:color w:val="000000" w:themeColor="text1"/>
          <w:szCs w:val="21"/>
        </w:rPr>
        <w:t>service@efunds.com.cn</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619" w:name="_Toc38438275"/>
      <w:bookmarkStart w:id="1620" w:name="_Toc38438612"/>
      <w:bookmarkStart w:id="1621" w:name="_Toc38438949"/>
      <w:bookmarkStart w:id="1622" w:name="_Toc38439286"/>
      <w:bookmarkStart w:id="1623" w:name="_Toc38439623"/>
      <w:bookmarkStart w:id="1624" w:name="_Toc38439960"/>
      <w:bookmarkStart w:id="1625" w:name="_Toc38440297"/>
      <w:bookmarkStart w:id="1626" w:name="_Toc38440630"/>
      <w:bookmarkStart w:id="1627" w:name="_Toc38440829"/>
      <w:bookmarkStart w:id="1628" w:name="_Toc38441161"/>
      <w:bookmarkStart w:id="1629" w:name="_Toc38441493"/>
      <w:bookmarkStart w:id="1630" w:name="_Toc38441821"/>
      <w:bookmarkStart w:id="1631" w:name="_Toc38442153"/>
      <w:bookmarkStart w:id="1632" w:name="_Toc38442485"/>
      <w:bookmarkStart w:id="1633" w:name="_Toc38442816"/>
      <w:bookmarkStart w:id="1634" w:name="_Toc38443147"/>
      <w:bookmarkStart w:id="1635" w:name="_Toc38443478"/>
      <w:bookmarkStart w:id="1636" w:name="_Toc38443809"/>
      <w:bookmarkStart w:id="1637" w:name="_Toc38438277"/>
      <w:bookmarkStart w:id="1638" w:name="_Toc38438614"/>
      <w:bookmarkStart w:id="1639" w:name="_Toc38438951"/>
      <w:bookmarkStart w:id="1640" w:name="_Toc38439288"/>
      <w:bookmarkStart w:id="1641" w:name="_Toc38439625"/>
      <w:bookmarkStart w:id="1642" w:name="_Toc38439962"/>
      <w:bookmarkStart w:id="1643" w:name="_Toc38440299"/>
      <w:bookmarkStart w:id="1644" w:name="_Toc38440632"/>
      <w:bookmarkStart w:id="1645" w:name="_Toc38440831"/>
      <w:bookmarkStart w:id="1646" w:name="_Toc38441163"/>
      <w:bookmarkStart w:id="1647" w:name="_Toc38441495"/>
      <w:bookmarkStart w:id="1648" w:name="_Toc38441823"/>
      <w:bookmarkStart w:id="1649" w:name="_Toc38442155"/>
      <w:bookmarkStart w:id="1650" w:name="_Toc38442487"/>
      <w:bookmarkStart w:id="1651" w:name="_Toc38442818"/>
      <w:bookmarkStart w:id="1652" w:name="_Toc38443149"/>
      <w:bookmarkStart w:id="1653" w:name="_Toc38443480"/>
      <w:bookmarkStart w:id="1654" w:name="_Toc38443811"/>
      <w:bookmarkStart w:id="1655" w:name="_Toc38438278"/>
      <w:bookmarkStart w:id="1656" w:name="_Toc38438615"/>
      <w:bookmarkStart w:id="1657" w:name="_Toc38438952"/>
      <w:bookmarkStart w:id="1658" w:name="_Toc38439289"/>
      <w:bookmarkStart w:id="1659" w:name="_Toc38439626"/>
      <w:bookmarkStart w:id="1660" w:name="_Toc38439963"/>
      <w:bookmarkStart w:id="1661" w:name="_Toc38440300"/>
      <w:bookmarkStart w:id="1662" w:name="_Toc38440633"/>
      <w:bookmarkStart w:id="1663" w:name="_Toc38440832"/>
      <w:bookmarkStart w:id="1664" w:name="_Toc38441164"/>
      <w:bookmarkStart w:id="1665" w:name="_Toc38441496"/>
      <w:bookmarkStart w:id="1666" w:name="_Toc38441824"/>
      <w:bookmarkStart w:id="1667" w:name="_Toc38442156"/>
      <w:bookmarkStart w:id="1668" w:name="_Toc38442488"/>
      <w:bookmarkStart w:id="1669" w:name="_Toc38442819"/>
      <w:bookmarkStart w:id="1670" w:name="_Toc38443150"/>
      <w:bookmarkStart w:id="1671" w:name="_Toc38443481"/>
      <w:bookmarkStart w:id="1672" w:name="_Toc38443812"/>
      <w:bookmarkStart w:id="1673" w:name="_Toc38438279"/>
      <w:bookmarkStart w:id="1674" w:name="_Toc38438616"/>
      <w:bookmarkStart w:id="1675" w:name="_Toc38438953"/>
      <w:bookmarkStart w:id="1676" w:name="_Toc38439290"/>
      <w:bookmarkStart w:id="1677" w:name="_Toc38439627"/>
      <w:bookmarkStart w:id="1678" w:name="_Toc38439964"/>
      <w:bookmarkStart w:id="1679" w:name="_Toc38440301"/>
      <w:bookmarkStart w:id="1680" w:name="_Toc38440634"/>
      <w:bookmarkStart w:id="1681" w:name="_Toc38440833"/>
      <w:bookmarkStart w:id="1682" w:name="_Toc38441165"/>
      <w:bookmarkStart w:id="1683" w:name="_Toc38441497"/>
      <w:bookmarkStart w:id="1684" w:name="_Toc38441825"/>
      <w:bookmarkStart w:id="1685" w:name="_Toc38442157"/>
      <w:bookmarkStart w:id="1686" w:name="_Toc38442489"/>
      <w:bookmarkStart w:id="1687" w:name="_Toc38442820"/>
      <w:bookmarkStart w:id="1688" w:name="_Toc38443151"/>
      <w:bookmarkStart w:id="1689" w:name="_Toc38443482"/>
      <w:bookmarkStart w:id="1690" w:name="_Toc38443813"/>
      <w:bookmarkStart w:id="1691" w:name="_Toc38438280"/>
      <w:bookmarkStart w:id="1692" w:name="_Toc38438617"/>
      <w:bookmarkStart w:id="1693" w:name="_Toc38438954"/>
      <w:bookmarkStart w:id="1694" w:name="_Toc38439291"/>
      <w:bookmarkStart w:id="1695" w:name="_Toc38439628"/>
      <w:bookmarkStart w:id="1696" w:name="_Toc38439965"/>
      <w:bookmarkStart w:id="1697" w:name="_Toc38440302"/>
      <w:bookmarkStart w:id="1698" w:name="_Toc38440635"/>
      <w:bookmarkStart w:id="1699" w:name="_Toc38440834"/>
      <w:bookmarkStart w:id="1700" w:name="_Toc38441166"/>
      <w:bookmarkStart w:id="1701" w:name="_Toc38441498"/>
      <w:bookmarkStart w:id="1702" w:name="_Toc38441826"/>
      <w:bookmarkStart w:id="1703" w:name="_Toc38442158"/>
      <w:bookmarkStart w:id="1704" w:name="_Toc38442490"/>
      <w:bookmarkStart w:id="1705" w:name="_Toc38442821"/>
      <w:bookmarkStart w:id="1706" w:name="_Toc38443152"/>
      <w:bookmarkStart w:id="1707" w:name="_Toc38443483"/>
      <w:bookmarkStart w:id="1708" w:name="_Toc38443814"/>
      <w:bookmarkStart w:id="1709" w:name="_Toc38438281"/>
      <w:bookmarkStart w:id="1710" w:name="_Toc38438618"/>
      <w:bookmarkStart w:id="1711" w:name="_Toc38438955"/>
      <w:bookmarkStart w:id="1712" w:name="_Toc38439292"/>
      <w:bookmarkStart w:id="1713" w:name="_Toc38439629"/>
      <w:bookmarkStart w:id="1714" w:name="_Toc38439966"/>
      <w:bookmarkStart w:id="1715" w:name="_Toc38440303"/>
      <w:bookmarkStart w:id="1716" w:name="_Toc38440636"/>
      <w:bookmarkStart w:id="1717" w:name="_Toc38440835"/>
      <w:bookmarkStart w:id="1718" w:name="_Toc38441167"/>
      <w:bookmarkStart w:id="1719" w:name="_Toc38441499"/>
      <w:bookmarkStart w:id="1720" w:name="_Toc38441827"/>
      <w:bookmarkStart w:id="1721" w:name="_Toc38442159"/>
      <w:bookmarkStart w:id="1722" w:name="_Toc38442491"/>
      <w:bookmarkStart w:id="1723" w:name="_Toc38442822"/>
      <w:bookmarkStart w:id="1724" w:name="_Toc38443153"/>
      <w:bookmarkStart w:id="1725" w:name="_Toc38443484"/>
      <w:bookmarkStart w:id="1726" w:name="_Toc38443815"/>
      <w:bookmarkStart w:id="1727" w:name="_Toc38438282"/>
      <w:bookmarkStart w:id="1728" w:name="_Toc38438619"/>
      <w:bookmarkStart w:id="1729" w:name="_Toc38438956"/>
      <w:bookmarkStart w:id="1730" w:name="_Toc38439293"/>
      <w:bookmarkStart w:id="1731" w:name="_Toc38439630"/>
      <w:bookmarkStart w:id="1732" w:name="_Toc38439967"/>
      <w:bookmarkStart w:id="1733" w:name="_Toc38440304"/>
      <w:bookmarkStart w:id="1734" w:name="_Toc38440637"/>
      <w:bookmarkStart w:id="1735" w:name="_Toc38440836"/>
      <w:bookmarkStart w:id="1736" w:name="_Toc38441168"/>
      <w:bookmarkStart w:id="1737" w:name="_Toc38441500"/>
      <w:bookmarkStart w:id="1738" w:name="_Toc38441828"/>
      <w:bookmarkStart w:id="1739" w:name="_Toc38442160"/>
      <w:bookmarkStart w:id="1740" w:name="_Toc38442492"/>
      <w:bookmarkStart w:id="1741" w:name="_Toc38442823"/>
      <w:bookmarkStart w:id="1742" w:name="_Toc38443154"/>
      <w:bookmarkStart w:id="1743" w:name="_Toc38443485"/>
      <w:bookmarkStart w:id="1744" w:name="_Toc38443816"/>
      <w:bookmarkStart w:id="1745" w:name="_Toc38438283"/>
      <w:bookmarkStart w:id="1746" w:name="_Toc38438620"/>
      <w:bookmarkStart w:id="1747" w:name="_Toc38438957"/>
      <w:bookmarkStart w:id="1748" w:name="_Toc38439294"/>
      <w:bookmarkStart w:id="1749" w:name="_Toc38439631"/>
      <w:bookmarkStart w:id="1750" w:name="_Toc38439968"/>
      <w:bookmarkStart w:id="1751" w:name="_Toc38440305"/>
      <w:bookmarkStart w:id="1752" w:name="_Toc38440638"/>
      <w:bookmarkStart w:id="1753" w:name="_Toc38440837"/>
      <w:bookmarkStart w:id="1754" w:name="_Toc38441169"/>
      <w:bookmarkStart w:id="1755" w:name="_Toc38441501"/>
      <w:bookmarkStart w:id="1756" w:name="_Toc38441829"/>
      <w:bookmarkStart w:id="1757" w:name="_Toc38442161"/>
      <w:bookmarkStart w:id="1758" w:name="_Toc38442493"/>
      <w:bookmarkStart w:id="1759" w:name="_Toc38442824"/>
      <w:bookmarkStart w:id="1760" w:name="_Toc38443155"/>
      <w:bookmarkStart w:id="1761" w:name="_Toc38443486"/>
      <w:bookmarkStart w:id="1762" w:name="_Toc38443817"/>
      <w:bookmarkStart w:id="1763" w:name="_Toc38438284"/>
      <w:bookmarkStart w:id="1764" w:name="_Toc38438621"/>
      <w:bookmarkStart w:id="1765" w:name="_Toc38438958"/>
      <w:bookmarkStart w:id="1766" w:name="_Toc38439295"/>
      <w:bookmarkStart w:id="1767" w:name="_Toc38439632"/>
      <w:bookmarkStart w:id="1768" w:name="_Toc38439969"/>
      <w:bookmarkStart w:id="1769" w:name="_Toc38440306"/>
      <w:bookmarkStart w:id="1770" w:name="_Toc38440639"/>
      <w:bookmarkStart w:id="1771" w:name="_Toc38440838"/>
      <w:bookmarkStart w:id="1772" w:name="_Toc38441170"/>
      <w:bookmarkStart w:id="1773" w:name="_Toc38441502"/>
      <w:bookmarkStart w:id="1774" w:name="_Toc38441830"/>
      <w:bookmarkStart w:id="1775" w:name="_Toc38442162"/>
      <w:bookmarkStart w:id="1776" w:name="_Toc38442494"/>
      <w:bookmarkStart w:id="1777" w:name="_Toc38442825"/>
      <w:bookmarkStart w:id="1778" w:name="_Toc38443156"/>
      <w:bookmarkStart w:id="1779" w:name="_Toc38443487"/>
      <w:bookmarkStart w:id="1780" w:name="_Toc38443818"/>
      <w:bookmarkStart w:id="1781" w:name="_Toc38438285"/>
      <w:bookmarkStart w:id="1782" w:name="_Toc38438622"/>
      <w:bookmarkStart w:id="1783" w:name="_Toc38438959"/>
      <w:bookmarkStart w:id="1784" w:name="_Toc38439296"/>
      <w:bookmarkStart w:id="1785" w:name="_Toc38439633"/>
      <w:bookmarkStart w:id="1786" w:name="_Toc38439970"/>
      <w:bookmarkStart w:id="1787" w:name="_Toc38440307"/>
      <w:bookmarkStart w:id="1788" w:name="_Toc38440640"/>
      <w:bookmarkStart w:id="1789" w:name="_Toc38440839"/>
      <w:bookmarkStart w:id="1790" w:name="_Toc38441171"/>
      <w:bookmarkStart w:id="1791" w:name="_Toc38441503"/>
      <w:bookmarkStart w:id="1792" w:name="_Toc38441831"/>
      <w:bookmarkStart w:id="1793" w:name="_Toc38442163"/>
      <w:bookmarkStart w:id="1794" w:name="_Toc38442495"/>
      <w:bookmarkStart w:id="1795" w:name="_Toc38442826"/>
      <w:bookmarkStart w:id="1796" w:name="_Toc38443157"/>
      <w:bookmarkStart w:id="1797" w:name="_Toc38443488"/>
      <w:bookmarkStart w:id="1798" w:name="_Toc38443819"/>
      <w:bookmarkStart w:id="1799" w:name="_Toc38438286"/>
      <w:bookmarkStart w:id="1800" w:name="_Toc38438623"/>
      <w:bookmarkStart w:id="1801" w:name="_Toc38438960"/>
      <w:bookmarkStart w:id="1802" w:name="_Toc38439297"/>
      <w:bookmarkStart w:id="1803" w:name="_Toc38439634"/>
      <w:bookmarkStart w:id="1804" w:name="_Toc38439971"/>
      <w:bookmarkStart w:id="1805" w:name="_Toc38440308"/>
      <w:bookmarkStart w:id="1806" w:name="_Toc38440641"/>
      <w:bookmarkStart w:id="1807" w:name="_Toc38440840"/>
      <w:bookmarkStart w:id="1808" w:name="_Toc38441172"/>
      <w:bookmarkStart w:id="1809" w:name="_Toc38441504"/>
      <w:bookmarkStart w:id="1810" w:name="_Toc38441832"/>
      <w:bookmarkStart w:id="1811" w:name="_Toc38442164"/>
      <w:bookmarkStart w:id="1812" w:name="_Toc38442496"/>
      <w:bookmarkStart w:id="1813" w:name="_Toc38442827"/>
      <w:bookmarkStart w:id="1814" w:name="_Toc38443158"/>
      <w:bookmarkStart w:id="1815" w:name="_Toc38443489"/>
      <w:bookmarkStart w:id="1816" w:name="_Toc38443820"/>
      <w:bookmarkStart w:id="1817" w:name="_Toc38438287"/>
      <w:bookmarkStart w:id="1818" w:name="_Toc38438624"/>
      <w:bookmarkStart w:id="1819" w:name="_Toc38438961"/>
      <w:bookmarkStart w:id="1820" w:name="_Toc38439298"/>
      <w:bookmarkStart w:id="1821" w:name="_Toc38439635"/>
      <w:bookmarkStart w:id="1822" w:name="_Toc38439972"/>
      <w:bookmarkStart w:id="1823" w:name="_Toc38440309"/>
      <w:bookmarkStart w:id="1824" w:name="_Toc38440642"/>
      <w:bookmarkStart w:id="1825" w:name="_Toc38440841"/>
      <w:bookmarkStart w:id="1826" w:name="_Toc38441173"/>
      <w:bookmarkStart w:id="1827" w:name="_Toc38441505"/>
      <w:bookmarkStart w:id="1828" w:name="_Toc38441833"/>
      <w:bookmarkStart w:id="1829" w:name="_Toc38442165"/>
      <w:bookmarkStart w:id="1830" w:name="_Toc38442497"/>
      <w:bookmarkStart w:id="1831" w:name="_Toc38442828"/>
      <w:bookmarkStart w:id="1832" w:name="_Toc38443159"/>
      <w:bookmarkStart w:id="1833" w:name="_Toc38443490"/>
      <w:bookmarkStart w:id="1834" w:name="_Toc38443821"/>
      <w:bookmarkStart w:id="1835" w:name="_Toc38438288"/>
      <w:bookmarkStart w:id="1836" w:name="_Toc38438625"/>
      <w:bookmarkStart w:id="1837" w:name="_Toc38438962"/>
      <w:bookmarkStart w:id="1838" w:name="_Toc38439299"/>
      <w:bookmarkStart w:id="1839" w:name="_Toc38439636"/>
      <w:bookmarkStart w:id="1840" w:name="_Toc38439973"/>
      <w:bookmarkStart w:id="1841" w:name="_Toc38440310"/>
      <w:bookmarkStart w:id="1842" w:name="_Toc38440643"/>
      <w:bookmarkStart w:id="1843" w:name="_Toc38440842"/>
      <w:bookmarkStart w:id="1844" w:name="_Toc38441174"/>
      <w:bookmarkStart w:id="1845" w:name="_Toc38441506"/>
      <w:bookmarkStart w:id="1846" w:name="_Toc38441834"/>
      <w:bookmarkStart w:id="1847" w:name="_Toc38442166"/>
      <w:bookmarkStart w:id="1848" w:name="_Toc38442498"/>
      <w:bookmarkStart w:id="1849" w:name="_Toc38442829"/>
      <w:bookmarkStart w:id="1850" w:name="_Toc38443160"/>
      <w:bookmarkStart w:id="1851" w:name="_Toc38443491"/>
      <w:bookmarkStart w:id="1852" w:name="_Toc38443822"/>
      <w:bookmarkStart w:id="1853" w:name="_Toc38438289"/>
      <w:bookmarkStart w:id="1854" w:name="_Toc38438626"/>
      <w:bookmarkStart w:id="1855" w:name="_Toc38438963"/>
      <w:bookmarkStart w:id="1856" w:name="_Toc38439300"/>
      <w:bookmarkStart w:id="1857" w:name="_Toc38439637"/>
      <w:bookmarkStart w:id="1858" w:name="_Toc38439974"/>
      <w:bookmarkStart w:id="1859" w:name="_Toc38440311"/>
      <w:bookmarkStart w:id="1860" w:name="_Toc38440644"/>
      <w:bookmarkStart w:id="1861" w:name="_Toc38440843"/>
      <w:bookmarkStart w:id="1862" w:name="_Toc38441175"/>
      <w:bookmarkStart w:id="1863" w:name="_Toc38441507"/>
      <w:bookmarkStart w:id="1864" w:name="_Toc38441835"/>
      <w:bookmarkStart w:id="1865" w:name="_Toc38442167"/>
      <w:bookmarkStart w:id="1866" w:name="_Toc38442499"/>
      <w:bookmarkStart w:id="1867" w:name="_Toc38442830"/>
      <w:bookmarkStart w:id="1868" w:name="_Toc38443161"/>
      <w:bookmarkStart w:id="1869" w:name="_Toc38443492"/>
      <w:bookmarkStart w:id="1870" w:name="_Toc38443823"/>
      <w:bookmarkStart w:id="1871" w:name="_Toc38438290"/>
      <w:bookmarkStart w:id="1872" w:name="_Toc38438627"/>
      <w:bookmarkStart w:id="1873" w:name="_Toc38438964"/>
      <w:bookmarkStart w:id="1874" w:name="_Toc38439301"/>
      <w:bookmarkStart w:id="1875" w:name="_Toc38439638"/>
      <w:bookmarkStart w:id="1876" w:name="_Toc38439975"/>
      <w:bookmarkStart w:id="1877" w:name="_Toc38440312"/>
      <w:bookmarkStart w:id="1878" w:name="_Toc38440645"/>
      <w:bookmarkStart w:id="1879" w:name="_Toc38440844"/>
      <w:bookmarkStart w:id="1880" w:name="_Toc38441176"/>
      <w:bookmarkStart w:id="1881" w:name="_Toc38441508"/>
      <w:bookmarkStart w:id="1882" w:name="_Toc38441836"/>
      <w:bookmarkStart w:id="1883" w:name="_Toc38442168"/>
      <w:bookmarkStart w:id="1884" w:name="_Toc38442500"/>
      <w:bookmarkStart w:id="1885" w:name="_Toc38442831"/>
      <w:bookmarkStart w:id="1886" w:name="_Toc38443162"/>
      <w:bookmarkStart w:id="1887" w:name="_Toc38443493"/>
      <w:bookmarkStart w:id="1888" w:name="_Toc38443824"/>
      <w:bookmarkStart w:id="1889" w:name="_Toc38438291"/>
      <w:bookmarkStart w:id="1890" w:name="_Toc38438628"/>
      <w:bookmarkStart w:id="1891" w:name="_Toc38438965"/>
      <w:bookmarkStart w:id="1892" w:name="_Toc38439302"/>
      <w:bookmarkStart w:id="1893" w:name="_Toc38439639"/>
      <w:bookmarkStart w:id="1894" w:name="_Toc38439976"/>
      <w:bookmarkStart w:id="1895" w:name="_Toc38440313"/>
      <w:bookmarkStart w:id="1896" w:name="_Toc38440646"/>
      <w:bookmarkStart w:id="1897" w:name="_Toc38440845"/>
      <w:bookmarkStart w:id="1898" w:name="_Toc38441177"/>
      <w:bookmarkStart w:id="1899" w:name="_Toc38441509"/>
      <w:bookmarkStart w:id="1900" w:name="_Toc38441837"/>
      <w:bookmarkStart w:id="1901" w:name="_Toc38442169"/>
      <w:bookmarkStart w:id="1902" w:name="_Toc38442501"/>
      <w:bookmarkStart w:id="1903" w:name="_Toc38442832"/>
      <w:bookmarkStart w:id="1904" w:name="_Toc38443163"/>
      <w:bookmarkStart w:id="1905" w:name="_Toc38443494"/>
      <w:bookmarkStart w:id="1906" w:name="_Toc38443825"/>
      <w:bookmarkStart w:id="1907" w:name="_Toc38438292"/>
      <w:bookmarkStart w:id="1908" w:name="_Toc38438629"/>
      <w:bookmarkStart w:id="1909" w:name="_Toc38438966"/>
      <w:bookmarkStart w:id="1910" w:name="_Toc38439303"/>
      <w:bookmarkStart w:id="1911" w:name="_Toc38439640"/>
      <w:bookmarkStart w:id="1912" w:name="_Toc38439977"/>
      <w:bookmarkStart w:id="1913" w:name="_Toc38440314"/>
      <w:bookmarkStart w:id="1914" w:name="_Toc38440647"/>
      <w:bookmarkStart w:id="1915" w:name="_Toc38440846"/>
      <w:bookmarkStart w:id="1916" w:name="_Toc38441178"/>
      <w:bookmarkStart w:id="1917" w:name="_Toc38441510"/>
      <w:bookmarkStart w:id="1918" w:name="_Toc38441838"/>
      <w:bookmarkStart w:id="1919" w:name="_Toc38442170"/>
      <w:bookmarkStart w:id="1920" w:name="_Toc38442502"/>
      <w:bookmarkStart w:id="1921" w:name="_Toc38442833"/>
      <w:bookmarkStart w:id="1922" w:name="_Toc38443164"/>
      <w:bookmarkStart w:id="1923" w:name="_Toc38443495"/>
      <w:bookmarkStart w:id="1924" w:name="_Toc38443826"/>
      <w:bookmarkStart w:id="1925" w:name="_Toc38438293"/>
      <w:bookmarkStart w:id="1926" w:name="_Toc38438630"/>
      <w:bookmarkStart w:id="1927" w:name="_Toc38438967"/>
      <w:bookmarkStart w:id="1928" w:name="_Toc38439304"/>
      <w:bookmarkStart w:id="1929" w:name="_Toc38439641"/>
      <w:bookmarkStart w:id="1930" w:name="_Toc38439978"/>
      <w:bookmarkStart w:id="1931" w:name="_Toc38440315"/>
      <w:bookmarkStart w:id="1932" w:name="_Toc38440648"/>
      <w:bookmarkStart w:id="1933" w:name="_Toc38440847"/>
      <w:bookmarkStart w:id="1934" w:name="_Toc38441179"/>
      <w:bookmarkStart w:id="1935" w:name="_Toc38441511"/>
      <w:bookmarkStart w:id="1936" w:name="_Toc38441839"/>
      <w:bookmarkStart w:id="1937" w:name="_Toc38442171"/>
      <w:bookmarkStart w:id="1938" w:name="_Toc38442503"/>
      <w:bookmarkStart w:id="1939" w:name="_Toc38442834"/>
      <w:bookmarkStart w:id="1940" w:name="_Toc38443165"/>
      <w:bookmarkStart w:id="1941" w:name="_Toc38443496"/>
      <w:bookmarkStart w:id="1942" w:name="_Toc38443827"/>
      <w:bookmarkStart w:id="1943" w:name="_Toc38438296"/>
      <w:bookmarkStart w:id="1944" w:name="_Toc38438633"/>
      <w:bookmarkStart w:id="1945" w:name="_Toc38438970"/>
      <w:bookmarkStart w:id="1946" w:name="_Toc38439307"/>
      <w:bookmarkStart w:id="1947" w:name="_Toc38439644"/>
      <w:bookmarkStart w:id="1948" w:name="_Toc38439981"/>
      <w:bookmarkStart w:id="1949" w:name="_Toc38440318"/>
      <w:bookmarkStart w:id="1950" w:name="_Toc38440651"/>
      <w:bookmarkStart w:id="1951" w:name="_Toc38440850"/>
      <w:bookmarkStart w:id="1952" w:name="_Toc38441182"/>
      <w:bookmarkStart w:id="1953" w:name="_Toc38441514"/>
      <w:bookmarkStart w:id="1954" w:name="_Toc38441842"/>
      <w:bookmarkStart w:id="1955" w:name="_Toc38442174"/>
      <w:bookmarkStart w:id="1956" w:name="_Toc38442506"/>
      <w:bookmarkStart w:id="1957" w:name="_Toc38442837"/>
      <w:bookmarkStart w:id="1958" w:name="_Toc38443168"/>
      <w:bookmarkStart w:id="1959" w:name="_Toc38443499"/>
      <w:bookmarkStart w:id="1960" w:name="_Toc38443830"/>
      <w:bookmarkStart w:id="1961" w:name="_Toc38438297"/>
      <w:bookmarkStart w:id="1962" w:name="_Toc38438634"/>
      <w:bookmarkStart w:id="1963" w:name="_Toc38438971"/>
      <w:bookmarkStart w:id="1964" w:name="_Toc38439308"/>
      <w:bookmarkStart w:id="1965" w:name="_Toc38439645"/>
      <w:bookmarkStart w:id="1966" w:name="_Toc38439982"/>
      <w:bookmarkStart w:id="1967" w:name="_Toc38440319"/>
      <w:bookmarkStart w:id="1968" w:name="_Toc38440652"/>
      <w:bookmarkStart w:id="1969" w:name="_Toc38440851"/>
      <w:bookmarkStart w:id="1970" w:name="_Toc38441183"/>
      <w:bookmarkStart w:id="1971" w:name="_Toc38441515"/>
      <w:bookmarkStart w:id="1972" w:name="_Toc38441843"/>
      <w:bookmarkStart w:id="1973" w:name="_Toc38442175"/>
      <w:bookmarkStart w:id="1974" w:name="_Toc38442507"/>
      <w:bookmarkStart w:id="1975" w:name="_Toc38442838"/>
      <w:bookmarkStart w:id="1976" w:name="_Toc38443169"/>
      <w:bookmarkStart w:id="1977" w:name="_Toc38443500"/>
      <w:bookmarkStart w:id="1978" w:name="_Toc38443831"/>
      <w:bookmarkStart w:id="1979" w:name="_Toc38438298"/>
      <w:bookmarkStart w:id="1980" w:name="_Toc38438635"/>
      <w:bookmarkStart w:id="1981" w:name="_Toc38438972"/>
      <w:bookmarkStart w:id="1982" w:name="_Toc38439309"/>
      <w:bookmarkStart w:id="1983" w:name="_Toc38439646"/>
      <w:bookmarkStart w:id="1984" w:name="_Toc38439983"/>
      <w:bookmarkStart w:id="1985" w:name="_Toc38440320"/>
      <w:bookmarkStart w:id="1986" w:name="_Toc38440653"/>
      <w:bookmarkStart w:id="1987" w:name="_Toc38440852"/>
      <w:bookmarkStart w:id="1988" w:name="_Toc38441184"/>
      <w:bookmarkStart w:id="1989" w:name="_Toc38441516"/>
      <w:bookmarkStart w:id="1990" w:name="_Toc38441844"/>
      <w:bookmarkStart w:id="1991" w:name="_Toc38442176"/>
      <w:bookmarkStart w:id="1992" w:name="_Toc38442508"/>
      <w:bookmarkStart w:id="1993" w:name="_Toc38442839"/>
      <w:bookmarkStart w:id="1994" w:name="_Toc38443170"/>
      <w:bookmarkStart w:id="1995" w:name="_Toc38443501"/>
      <w:bookmarkStart w:id="1996" w:name="_Toc38443832"/>
      <w:bookmarkStart w:id="1997" w:name="_Toc38438299"/>
      <w:bookmarkStart w:id="1998" w:name="_Toc38438636"/>
      <w:bookmarkStart w:id="1999" w:name="_Toc38438973"/>
      <w:bookmarkStart w:id="2000" w:name="_Toc38439310"/>
      <w:bookmarkStart w:id="2001" w:name="_Toc38439647"/>
      <w:bookmarkStart w:id="2002" w:name="_Toc38439984"/>
      <w:bookmarkStart w:id="2003" w:name="_Toc38440321"/>
      <w:bookmarkStart w:id="2004" w:name="_Toc38440654"/>
      <w:bookmarkStart w:id="2005" w:name="_Toc38440853"/>
      <w:bookmarkStart w:id="2006" w:name="_Toc38441185"/>
      <w:bookmarkStart w:id="2007" w:name="_Toc38441517"/>
      <w:bookmarkStart w:id="2008" w:name="_Toc38441845"/>
      <w:bookmarkStart w:id="2009" w:name="_Toc38442177"/>
      <w:bookmarkStart w:id="2010" w:name="_Toc38442509"/>
      <w:bookmarkStart w:id="2011" w:name="_Toc38442840"/>
      <w:bookmarkStart w:id="2012" w:name="_Toc38443171"/>
      <w:bookmarkStart w:id="2013" w:name="_Toc38443502"/>
      <w:bookmarkStart w:id="2014" w:name="_Toc38443833"/>
      <w:bookmarkStart w:id="2015" w:name="_Toc38438301"/>
      <w:bookmarkStart w:id="2016" w:name="_Toc38438638"/>
      <w:bookmarkStart w:id="2017" w:name="_Toc38438975"/>
      <w:bookmarkStart w:id="2018" w:name="_Toc38439312"/>
      <w:bookmarkStart w:id="2019" w:name="_Toc38439649"/>
      <w:bookmarkStart w:id="2020" w:name="_Toc38439986"/>
      <w:bookmarkStart w:id="2021" w:name="_Toc38440323"/>
      <w:bookmarkStart w:id="2022" w:name="_Toc38440656"/>
      <w:bookmarkStart w:id="2023" w:name="_Toc38440855"/>
      <w:bookmarkStart w:id="2024" w:name="_Toc38441187"/>
      <w:bookmarkStart w:id="2025" w:name="_Toc38441519"/>
      <w:bookmarkStart w:id="2026" w:name="_Toc38441847"/>
      <w:bookmarkStart w:id="2027" w:name="_Toc38442179"/>
      <w:bookmarkStart w:id="2028" w:name="_Toc38442511"/>
      <w:bookmarkStart w:id="2029" w:name="_Toc38442842"/>
      <w:bookmarkStart w:id="2030" w:name="_Toc38443173"/>
      <w:bookmarkStart w:id="2031" w:name="_Toc38443504"/>
      <w:bookmarkStart w:id="2032" w:name="_Toc38443835"/>
      <w:bookmarkStart w:id="2033" w:name="_Toc38438302"/>
      <w:bookmarkStart w:id="2034" w:name="_Toc38438639"/>
      <w:bookmarkStart w:id="2035" w:name="_Toc38438976"/>
      <w:bookmarkStart w:id="2036" w:name="_Toc38439313"/>
      <w:bookmarkStart w:id="2037" w:name="_Toc38439650"/>
      <w:bookmarkStart w:id="2038" w:name="_Toc38439987"/>
      <w:bookmarkStart w:id="2039" w:name="_Toc38440324"/>
      <w:bookmarkStart w:id="2040" w:name="_Toc38440657"/>
      <w:bookmarkStart w:id="2041" w:name="_Toc38440856"/>
      <w:bookmarkStart w:id="2042" w:name="_Toc38441188"/>
      <w:bookmarkStart w:id="2043" w:name="_Toc38441520"/>
      <w:bookmarkStart w:id="2044" w:name="_Toc38441848"/>
      <w:bookmarkStart w:id="2045" w:name="_Toc38442180"/>
      <w:bookmarkStart w:id="2046" w:name="_Toc38442512"/>
      <w:bookmarkStart w:id="2047" w:name="_Toc38442843"/>
      <w:bookmarkStart w:id="2048" w:name="_Toc38443174"/>
      <w:bookmarkStart w:id="2049" w:name="_Toc38443505"/>
      <w:bookmarkStart w:id="2050" w:name="_Toc38443836"/>
      <w:bookmarkStart w:id="2051" w:name="_Toc38438303"/>
      <w:bookmarkStart w:id="2052" w:name="_Toc38438640"/>
      <w:bookmarkStart w:id="2053" w:name="_Toc38438977"/>
      <w:bookmarkStart w:id="2054" w:name="_Toc38439314"/>
      <w:bookmarkStart w:id="2055" w:name="_Toc38439651"/>
      <w:bookmarkStart w:id="2056" w:name="_Toc38439988"/>
      <w:bookmarkStart w:id="2057" w:name="_Toc38440325"/>
      <w:bookmarkStart w:id="2058" w:name="_Toc38440658"/>
      <w:bookmarkStart w:id="2059" w:name="_Toc38440857"/>
      <w:bookmarkStart w:id="2060" w:name="_Toc38441189"/>
      <w:bookmarkStart w:id="2061" w:name="_Toc38441521"/>
      <w:bookmarkStart w:id="2062" w:name="_Toc38441849"/>
      <w:bookmarkStart w:id="2063" w:name="_Toc38442181"/>
      <w:bookmarkStart w:id="2064" w:name="_Toc38442513"/>
      <w:bookmarkStart w:id="2065" w:name="_Toc38442844"/>
      <w:bookmarkStart w:id="2066" w:name="_Toc38443175"/>
      <w:bookmarkStart w:id="2067" w:name="_Toc38443506"/>
      <w:bookmarkStart w:id="2068" w:name="_Toc38443837"/>
      <w:bookmarkStart w:id="2069" w:name="_Toc38438304"/>
      <w:bookmarkStart w:id="2070" w:name="_Toc38438641"/>
      <w:bookmarkStart w:id="2071" w:name="_Toc38438978"/>
      <w:bookmarkStart w:id="2072" w:name="_Toc38439315"/>
      <w:bookmarkStart w:id="2073" w:name="_Toc38439652"/>
      <w:bookmarkStart w:id="2074" w:name="_Toc38439989"/>
      <w:bookmarkStart w:id="2075" w:name="_Toc38440326"/>
      <w:bookmarkStart w:id="2076" w:name="_Toc38440659"/>
      <w:bookmarkStart w:id="2077" w:name="_Toc38440858"/>
      <w:bookmarkStart w:id="2078" w:name="_Toc38441190"/>
      <w:bookmarkStart w:id="2079" w:name="_Toc38441522"/>
      <w:bookmarkStart w:id="2080" w:name="_Toc38441850"/>
      <w:bookmarkStart w:id="2081" w:name="_Toc38442182"/>
      <w:bookmarkStart w:id="2082" w:name="_Toc38442514"/>
      <w:bookmarkStart w:id="2083" w:name="_Toc38442845"/>
      <w:bookmarkStart w:id="2084" w:name="_Toc38443176"/>
      <w:bookmarkStart w:id="2085" w:name="_Toc38443507"/>
      <w:bookmarkStart w:id="2086" w:name="_Toc38443838"/>
      <w:bookmarkStart w:id="2087" w:name="_Toc38438305"/>
      <w:bookmarkStart w:id="2088" w:name="_Toc38438642"/>
      <w:bookmarkStart w:id="2089" w:name="_Toc38438979"/>
      <w:bookmarkStart w:id="2090" w:name="_Toc38439316"/>
      <w:bookmarkStart w:id="2091" w:name="_Toc38439653"/>
      <w:bookmarkStart w:id="2092" w:name="_Toc38439990"/>
      <w:bookmarkStart w:id="2093" w:name="_Toc38440327"/>
      <w:bookmarkStart w:id="2094" w:name="_Toc38440660"/>
      <w:bookmarkStart w:id="2095" w:name="_Toc38440859"/>
      <w:bookmarkStart w:id="2096" w:name="_Toc38441191"/>
      <w:bookmarkStart w:id="2097" w:name="_Toc38441523"/>
      <w:bookmarkStart w:id="2098" w:name="_Toc38441851"/>
      <w:bookmarkStart w:id="2099" w:name="_Toc38442183"/>
      <w:bookmarkStart w:id="2100" w:name="_Toc38442515"/>
      <w:bookmarkStart w:id="2101" w:name="_Toc38442846"/>
      <w:bookmarkStart w:id="2102" w:name="_Toc38443177"/>
      <w:bookmarkStart w:id="2103" w:name="_Toc38443508"/>
      <w:bookmarkStart w:id="2104" w:name="_Toc38443839"/>
      <w:bookmarkStart w:id="2105" w:name="_Toc38438306"/>
      <w:bookmarkStart w:id="2106" w:name="_Toc38438643"/>
      <w:bookmarkStart w:id="2107" w:name="_Toc38438980"/>
      <w:bookmarkStart w:id="2108" w:name="_Toc38439317"/>
      <w:bookmarkStart w:id="2109" w:name="_Toc38439654"/>
      <w:bookmarkStart w:id="2110" w:name="_Toc38439991"/>
      <w:bookmarkStart w:id="2111" w:name="_Toc38440328"/>
      <w:bookmarkStart w:id="2112" w:name="_Toc38440661"/>
      <w:bookmarkStart w:id="2113" w:name="_Toc38440860"/>
      <w:bookmarkStart w:id="2114" w:name="_Toc38441192"/>
      <w:bookmarkStart w:id="2115" w:name="_Toc38441524"/>
      <w:bookmarkStart w:id="2116" w:name="_Toc38441852"/>
      <w:bookmarkStart w:id="2117" w:name="_Toc38442184"/>
      <w:bookmarkStart w:id="2118" w:name="_Toc38442516"/>
      <w:bookmarkStart w:id="2119" w:name="_Toc38442847"/>
      <w:bookmarkStart w:id="2120" w:name="_Toc38443178"/>
      <w:bookmarkStart w:id="2121" w:name="_Toc38443509"/>
      <w:bookmarkStart w:id="2122" w:name="_Toc38443840"/>
      <w:bookmarkStart w:id="2123" w:name="_Toc38438310"/>
      <w:bookmarkStart w:id="2124" w:name="_Toc38438647"/>
      <w:bookmarkStart w:id="2125" w:name="_Toc38438984"/>
      <w:bookmarkStart w:id="2126" w:name="_Toc38439321"/>
      <w:bookmarkStart w:id="2127" w:name="_Toc38439658"/>
      <w:bookmarkStart w:id="2128" w:name="_Toc38439995"/>
      <w:bookmarkStart w:id="2129" w:name="_Toc38440332"/>
      <w:bookmarkStart w:id="2130" w:name="_Toc38440665"/>
      <w:bookmarkStart w:id="2131" w:name="_Toc38440864"/>
      <w:bookmarkStart w:id="2132" w:name="_Toc38441196"/>
      <w:bookmarkStart w:id="2133" w:name="_Toc38441528"/>
      <w:bookmarkStart w:id="2134" w:name="_Toc38441856"/>
      <w:bookmarkStart w:id="2135" w:name="_Toc38442188"/>
      <w:bookmarkStart w:id="2136" w:name="_Toc38442520"/>
      <w:bookmarkStart w:id="2137" w:name="_Toc38442851"/>
      <w:bookmarkStart w:id="2138" w:name="_Toc38443182"/>
      <w:bookmarkStart w:id="2139" w:name="_Toc38443513"/>
      <w:bookmarkStart w:id="2140" w:name="_Toc38443844"/>
      <w:bookmarkStart w:id="2141" w:name="_Toc38438311"/>
      <w:bookmarkStart w:id="2142" w:name="_Toc38438648"/>
      <w:bookmarkStart w:id="2143" w:name="_Toc38438985"/>
      <w:bookmarkStart w:id="2144" w:name="_Toc38439322"/>
      <w:bookmarkStart w:id="2145" w:name="_Toc38439659"/>
      <w:bookmarkStart w:id="2146" w:name="_Toc38439996"/>
      <w:bookmarkStart w:id="2147" w:name="_Toc38440333"/>
      <w:bookmarkStart w:id="2148" w:name="_Toc38440666"/>
      <w:bookmarkStart w:id="2149" w:name="_Toc38440865"/>
      <w:bookmarkStart w:id="2150" w:name="_Toc38441197"/>
      <w:bookmarkStart w:id="2151" w:name="_Toc38441529"/>
      <w:bookmarkStart w:id="2152" w:name="_Toc38441857"/>
      <w:bookmarkStart w:id="2153" w:name="_Toc38442189"/>
      <w:bookmarkStart w:id="2154" w:name="_Toc38442521"/>
      <w:bookmarkStart w:id="2155" w:name="_Toc38442852"/>
      <w:bookmarkStart w:id="2156" w:name="_Toc38443183"/>
      <w:bookmarkStart w:id="2157" w:name="_Toc38443514"/>
      <w:bookmarkStart w:id="2158" w:name="_Toc38443845"/>
      <w:bookmarkStart w:id="2159" w:name="_Toc38438312"/>
      <w:bookmarkStart w:id="2160" w:name="_Toc38438649"/>
      <w:bookmarkStart w:id="2161" w:name="_Toc38438986"/>
      <w:bookmarkStart w:id="2162" w:name="_Toc38439323"/>
      <w:bookmarkStart w:id="2163" w:name="_Toc38439660"/>
      <w:bookmarkStart w:id="2164" w:name="_Toc38439997"/>
      <w:bookmarkStart w:id="2165" w:name="_Toc38440334"/>
      <w:bookmarkStart w:id="2166" w:name="_Toc38440667"/>
      <w:bookmarkStart w:id="2167" w:name="_Toc38440866"/>
      <w:bookmarkStart w:id="2168" w:name="_Toc38441198"/>
      <w:bookmarkStart w:id="2169" w:name="_Toc38441530"/>
      <w:bookmarkStart w:id="2170" w:name="_Toc38441858"/>
      <w:bookmarkStart w:id="2171" w:name="_Toc38442190"/>
      <w:bookmarkStart w:id="2172" w:name="_Toc38442522"/>
      <w:bookmarkStart w:id="2173" w:name="_Toc38442853"/>
      <w:bookmarkStart w:id="2174" w:name="_Toc38443184"/>
      <w:bookmarkStart w:id="2175" w:name="_Toc38443515"/>
      <w:bookmarkStart w:id="2176" w:name="_Toc38443846"/>
      <w:bookmarkStart w:id="2177" w:name="_Toc38438313"/>
      <w:bookmarkStart w:id="2178" w:name="_Toc38438650"/>
      <w:bookmarkStart w:id="2179" w:name="_Toc38438987"/>
      <w:bookmarkStart w:id="2180" w:name="_Toc38439324"/>
      <w:bookmarkStart w:id="2181" w:name="_Toc38439661"/>
      <w:bookmarkStart w:id="2182" w:name="_Toc38439998"/>
      <w:bookmarkStart w:id="2183" w:name="_Toc38440335"/>
      <w:bookmarkStart w:id="2184" w:name="_Toc38440668"/>
      <w:bookmarkStart w:id="2185" w:name="_Toc38440867"/>
      <w:bookmarkStart w:id="2186" w:name="_Toc38441199"/>
      <w:bookmarkStart w:id="2187" w:name="_Toc38441531"/>
      <w:bookmarkStart w:id="2188" w:name="_Toc38441859"/>
      <w:bookmarkStart w:id="2189" w:name="_Toc38442191"/>
      <w:bookmarkStart w:id="2190" w:name="_Toc38442523"/>
      <w:bookmarkStart w:id="2191" w:name="_Toc38442854"/>
      <w:bookmarkStart w:id="2192" w:name="_Toc38443185"/>
      <w:bookmarkStart w:id="2193" w:name="_Toc38443516"/>
      <w:bookmarkStart w:id="2194" w:name="_Toc38443847"/>
      <w:bookmarkStart w:id="2195" w:name="_Toc38438314"/>
      <w:bookmarkStart w:id="2196" w:name="_Toc38438651"/>
      <w:bookmarkStart w:id="2197" w:name="_Toc38438988"/>
      <w:bookmarkStart w:id="2198" w:name="_Toc38439325"/>
      <w:bookmarkStart w:id="2199" w:name="_Toc38439662"/>
      <w:bookmarkStart w:id="2200" w:name="_Toc38439999"/>
      <w:bookmarkStart w:id="2201" w:name="_Toc38440336"/>
      <w:bookmarkStart w:id="2202" w:name="_Toc38440669"/>
      <w:bookmarkStart w:id="2203" w:name="_Toc38440868"/>
      <w:bookmarkStart w:id="2204" w:name="_Toc38441200"/>
      <w:bookmarkStart w:id="2205" w:name="_Toc38441532"/>
      <w:bookmarkStart w:id="2206" w:name="_Toc38441860"/>
      <w:bookmarkStart w:id="2207" w:name="_Toc38442192"/>
      <w:bookmarkStart w:id="2208" w:name="_Toc38442524"/>
      <w:bookmarkStart w:id="2209" w:name="_Toc38442855"/>
      <w:bookmarkStart w:id="2210" w:name="_Toc38443186"/>
      <w:bookmarkStart w:id="2211" w:name="_Toc38443517"/>
      <w:bookmarkStart w:id="2212" w:name="_Toc38443848"/>
      <w:bookmarkStart w:id="2213" w:name="_Toc38438315"/>
      <w:bookmarkStart w:id="2214" w:name="_Toc38438652"/>
      <w:bookmarkStart w:id="2215" w:name="_Toc38438989"/>
      <w:bookmarkStart w:id="2216" w:name="_Toc38439326"/>
      <w:bookmarkStart w:id="2217" w:name="_Toc38439663"/>
      <w:bookmarkStart w:id="2218" w:name="_Toc38440000"/>
      <w:bookmarkStart w:id="2219" w:name="_Toc38440337"/>
      <w:bookmarkStart w:id="2220" w:name="_Toc38440670"/>
      <w:bookmarkStart w:id="2221" w:name="_Toc38440869"/>
      <w:bookmarkStart w:id="2222" w:name="_Toc38441201"/>
      <w:bookmarkStart w:id="2223" w:name="_Toc38441533"/>
      <w:bookmarkStart w:id="2224" w:name="_Toc38441861"/>
      <w:bookmarkStart w:id="2225" w:name="_Toc38442193"/>
      <w:bookmarkStart w:id="2226" w:name="_Toc38442525"/>
      <w:bookmarkStart w:id="2227" w:name="_Toc38442856"/>
      <w:bookmarkStart w:id="2228" w:name="_Toc38443187"/>
      <w:bookmarkStart w:id="2229" w:name="_Toc38443518"/>
      <w:bookmarkStart w:id="2230" w:name="_Toc38443849"/>
      <w:bookmarkStart w:id="2231" w:name="_Toc38438316"/>
      <w:bookmarkStart w:id="2232" w:name="_Toc38438653"/>
      <w:bookmarkStart w:id="2233" w:name="_Toc38438990"/>
      <w:bookmarkStart w:id="2234" w:name="_Toc38439327"/>
      <w:bookmarkStart w:id="2235" w:name="_Toc38439664"/>
      <w:bookmarkStart w:id="2236" w:name="_Toc38440001"/>
      <w:bookmarkStart w:id="2237" w:name="_Toc38440338"/>
      <w:bookmarkStart w:id="2238" w:name="_Toc38440671"/>
      <w:bookmarkStart w:id="2239" w:name="_Toc38440870"/>
      <w:bookmarkStart w:id="2240" w:name="_Toc38441202"/>
      <w:bookmarkStart w:id="2241" w:name="_Toc38441534"/>
      <w:bookmarkStart w:id="2242" w:name="_Toc38441862"/>
      <w:bookmarkStart w:id="2243" w:name="_Toc38442194"/>
      <w:bookmarkStart w:id="2244" w:name="_Toc38442526"/>
      <w:bookmarkStart w:id="2245" w:name="_Toc38442857"/>
      <w:bookmarkStart w:id="2246" w:name="_Toc38443188"/>
      <w:bookmarkStart w:id="2247" w:name="_Toc38443519"/>
      <w:bookmarkStart w:id="2248" w:name="_Toc38443850"/>
      <w:bookmarkStart w:id="2249" w:name="_Toc38438317"/>
      <w:bookmarkStart w:id="2250" w:name="_Toc38438654"/>
      <w:bookmarkStart w:id="2251" w:name="_Toc38438991"/>
      <w:bookmarkStart w:id="2252" w:name="_Toc38439328"/>
      <w:bookmarkStart w:id="2253" w:name="_Toc38439665"/>
      <w:bookmarkStart w:id="2254" w:name="_Toc38440002"/>
      <w:bookmarkStart w:id="2255" w:name="_Toc38440339"/>
      <w:bookmarkStart w:id="2256" w:name="_Toc38440672"/>
      <w:bookmarkStart w:id="2257" w:name="_Toc38440871"/>
      <w:bookmarkStart w:id="2258" w:name="_Toc38441203"/>
      <w:bookmarkStart w:id="2259" w:name="_Toc38441535"/>
      <w:bookmarkStart w:id="2260" w:name="_Toc38441863"/>
      <w:bookmarkStart w:id="2261" w:name="_Toc38442195"/>
      <w:bookmarkStart w:id="2262" w:name="_Toc38442527"/>
      <w:bookmarkStart w:id="2263" w:name="_Toc38442858"/>
      <w:bookmarkStart w:id="2264" w:name="_Toc38443189"/>
      <w:bookmarkStart w:id="2265" w:name="_Toc38443520"/>
      <w:bookmarkStart w:id="2266" w:name="_Toc38443851"/>
      <w:bookmarkStart w:id="2267" w:name="_Toc38438318"/>
      <w:bookmarkStart w:id="2268" w:name="_Toc38438655"/>
      <w:bookmarkStart w:id="2269" w:name="_Toc38438992"/>
      <w:bookmarkStart w:id="2270" w:name="_Toc38439329"/>
      <w:bookmarkStart w:id="2271" w:name="_Toc38439666"/>
      <w:bookmarkStart w:id="2272" w:name="_Toc38440003"/>
      <w:bookmarkStart w:id="2273" w:name="_Toc38440340"/>
      <w:bookmarkStart w:id="2274" w:name="_Toc38440673"/>
      <w:bookmarkStart w:id="2275" w:name="_Toc38440872"/>
      <w:bookmarkStart w:id="2276" w:name="_Toc38441204"/>
      <w:bookmarkStart w:id="2277" w:name="_Toc38441536"/>
      <w:bookmarkStart w:id="2278" w:name="_Toc38441864"/>
      <w:bookmarkStart w:id="2279" w:name="_Toc38442196"/>
      <w:bookmarkStart w:id="2280" w:name="_Toc38442528"/>
      <w:bookmarkStart w:id="2281" w:name="_Toc38442859"/>
      <w:bookmarkStart w:id="2282" w:name="_Toc38443190"/>
      <w:bookmarkStart w:id="2283" w:name="_Toc38443521"/>
      <w:bookmarkStart w:id="2284" w:name="_Toc38443852"/>
      <w:bookmarkStart w:id="2285" w:name="_Toc38438319"/>
      <w:bookmarkStart w:id="2286" w:name="_Toc38438656"/>
      <w:bookmarkStart w:id="2287" w:name="_Toc38438993"/>
      <w:bookmarkStart w:id="2288" w:name="_Toc38439330"/>
      <w:bookmarkStart w:id="2289" w:name="_Toc38439667"/>
      <w:bookmarkStart w:id="2290" w:name="_Toc38440004"/>
      <w:bookmarkStart w:id="2291" w:name="_Toc38440341"/>
      <w:bookmarkStart w:id="2292" w:name="_Toc38440674"/>
      <w:bookmarkStart w:id="2293" w:name="_Toc38440873"/>
      <w:bookmarkStart w:id="2294" w:name="_Toc38441205"/>
      <w:bookmarkStart w:id="2295" w:name="_Toc38441537"/>
      <w:bookmarkStart w:id="2296" w:name="_Toc38441865"/>
      <w:bookmarkStart w:id="2297" w:name="_Toc38442197"/>
      <w:bookmarkStart w:id="2298" w:name="_Toc38442529"/>
      <w:bookmarkStart w:id="2299" w:name="_Toc38442860"/>
      <w:bookmarkStart w:id="2300" w:name="_Toc38443191"/>
      <w:bookmarkStart w:id="2301" w:name="_Toc38443522"/>
      <w:bookmarkStart w:id="2302" w:name="_Toc38443853"/>
      <w:bookmarkStart w:id="2303" w:name="_Toc38438320"/>
      <w:bookmarkStart w:id="2304" w:name="_Toc38438657"/>
      <w:bookmarkStart w:id="2305" w:name="_Toc38438994"/>
      <w:bookmarkStart w:id="2306" w:name="_Toc38439331"/>
      <w:bookmarkStart w:id="2307" w:name="_Toc38439668"/>
      <w:bookmarkStart w:id="2308" w:name="_Toc38440005"/>
      <w:bookmarkStart w:id="2309" w:name="_Toc38440342"/>
      <w:bookmarkStart w:id="2310" w:name="_Toc38440675"/>
      <w:bookmarkStart w:id="2311" w:name="_Toc38440874"/>
      <w:bookmarkStart w:id="2312" w:name="_Toc38441206"/>
      <w:bookmarkStart w:id="2313" w:name="_Toc38441538"/>
      <w:bookmarkStart w:id="2314" w:name="_Toc38441866"/>
      <w:bookmarkStart w:id="2315" w:name="_Toc38442198"/>
      <w:bookmarkStart w:id="2316" w:name="_Toc38442530"/>
      <w:bookmarkStart w:id="2317" w:name="_Toc38442861"/>
      <w:bookmarkStart w:id="2318" w:name="_Toc38443192"/>
      <w:bookmarkStart w:id="2319" w:name="_Toc38443523"/>
      <w:bookmarkStart w:id="2320" w:name="_Toc38443854"/>
      <w:bookmarkStart w:id="2321" w:name="_Toc38438321"/>
      <w:bookmarkStart w:id="2322" w:name="_Toc38438658"/>
      <w:bookmarkStart w:id="2323" w:name="_Toc38438995"/>
      <w:bookmarkStart w:id="2324" w:name="_Toc38439332"/>
      <w:bookmarkStart w:id="2325" w:name="_Toc38439669"/>
      <w:bookmarkStart w:id="2326" w:name="_Toc38440006"/>
      <w:bookmarkStart w:id="2327" w:name="_Toc38440343"/>
      <w:bookmarkStart w:id="2328" w:name="_Toc38440676"/>
      <w:bookmarkStart w:id="2329" w:name="_Toc38440875"/>
      <w:bookmarkStart w:id="2330" w:name="_Toc38441207"/>
      <w:bookmarkStart w:id="2331" w:name="_Toc38441539"/>
      <w:bookmarkStart w:id="2332" w:name="_Toc38441867"/>
      <w:bookmarkStart w:id="2333" w:name="_Toc38442199"/>
      <w:bookmarkStart w:id="2334" w:name="_Toc38442531"/>
      <w:bookmarkStart w:id="2335" w:name="_Toc38442862"/>
      <w:bookmarkStart w:id="2336" w:name="_Toc38443193"/>
      <w:bookmarkStart w:id="2337" w:name="_Toc38443524"/>
      <w:bookmarkStart w:id="2338" w:name="_Toc38443855"/>
      <w:bookmarkStart w:id="2339" w:name="_Toc38438322"/>
      <w:bookmarkStart w:id="2340" w:name="_Toc38438659"/>
      <w:bookmarkStart w:id="2341" w:name="_Toc38438996"/>
      <w:bookmarkStart w:id="2342" w:name="_Toc38439333"/>
      <w:bookmarkStart w:id="2343" w:name="_Toc38439670"/>
      <w:bookmarkStart w:id="2344" w:name="_Toc38440007"/>
      <w:bookmarkStart w:id="2345" w:name="_Toc38440344"/>
      <w:bookmarkStart w:id="2346" w:name="_Toc38440677"/>
      <w:bookmarkStart w:id="2347" w:name="_Toc38440876"/>
      <w:bookmarkStart w:id="2348" w:name="_Toc38441208"/>
      <w:bookmarkStart w:id="2349" w:name="_Toc38441540"/>
      <w:bookmarkStart w:id="2350" w:name="_Toc38441868"/>
      <w:bookmarkStart w:id="2351" w:name="_Toc38442200"/>
      <w:bookmarkStart w:id="2352" w:name="_Toc38442532"/>
      <w:bookmarkStart w:id="2353" w:name="_Toc38442863"/>
      <w:bookmarkStart w:id="2354" w:name="_Toc38443194"/>
      <w:bookmarkStart w:id="2355" w:name="_Toc38443525"/>
      <w:bookmarkStart w:id="2356" w:name="_Toc38443856"/>
      <w:bookmarkStart w:id="2357" w:name="_Toc38438323"/>
      <w:bookmarkStart w:id="2358" w:name="_Toc38438660"/>
      <w:bookmarkStart w:id="2359" w:name="_Toc38438997"/>
      <w:bookmarkStart w:id="2360" w:name="_Toc38439334"/>
      <w:bookmarkStart w:id="2361" w:name="_Toc38439671"/>
      <w:bookmarkStart w:id="2362" w:name="_Toc38440008"/>
      <w:bookmarkStart w:id="2363" w:name="_Toc38440345"/>
      <w:bookmarkStart w:id="2364" w:name="_Toc38440678"/>
      <w:bookmarkStart w:id="2365" w:name="_Toc38440877"/>
      <w:bookmarkStart w:id="2366" w:name="_Toc38441209"/>
      <w:bookmarkStart w:id="2367" w:name="_Toc38441541"/>
      <w:bookmarkStart w:id="2368" w:name="_Toc38441869"/>
      <w:bookmarkStart w:id="2369" w:name="_Toc38442201"/>
      <w:bookmarkStart w:id="2370" w:name="_Toc38442533"/>
      <w:bookmarkStart w:id="2371" w:name="_Toc38442864"/>
      <w:bookmarkStart w:id="2372" w:name="_Toc38443195"/>
      <w:bookmarkStart w:id="2373" w:name="_Toc38443526"/>
      <w:bookmarkStart w:id="2374" w:name="_Toc38443857"/>
      <w:bookmarkStart w:id="2375" w:name="_Toc38438324"/>
      <w:bookmarkStart w:id="2376" w:name="_Toc38438661"/>
      <w:bookmarkStart w:id="2377" w:name="_Toc38438998"/>
      <w:bookmarkStart w:id="2378" w:name="_Toc38439335"/>
      <w:bookmarkStart w:id="2379" w:name="_Toc38439672"/>
      <w:bookmarkStart w:id="2380" w:name="_Toc38440009"/>
      <w:bookmarkStart w:id="2381" w:name="_Toc38440346"/>
      <w:bookmarkStart w:id="2382" w:name="_Toc38440679"/>
      <w:bookmarkStart w:id="2383" w:name="_Toc38440878"/>
      <w:bookmarkStart w:id="2384" w:name="_Toc38441210"/>
      <w:bookmarkStart w:id="2385" w:name="_Toc38441542"/>
      <w:bookmarkStart w:id="2386" w:name="_Toc38441870"/>
      <w:bookmarkStart w:id="2387" w:name="_Toc38442202"/>
      <w:bookmarkStart w:id="2388" w:name="_Toc38442534"/>
      <w:bookmarkStart w:id="2389" w:name="_Toc38442865"/>
      <w:bookmarkStart w:id="2390" w:name="_Toc38443196"/>
      <w:bookmarkStart w:id="2391" w:name="_Toc38443527"/>
      <w:bookmarkStart w:id="2392" w:name="_Toc38443858"/>
      <w:bookmarkStart w:id="2393" w:name="_Toc38438325"/>
      <w:bookmarkStart w:id="2394" w:name="_Toc38438662"/>
      <w:bookmarkStart w:id="2395" w:name="_Toc38438999"/>
      <w:bookmarkStart w:id="2396" w:name="_Toc38439336"/>
      <w:bookmarkStart w:id="2397" w:name="_Toc38439673"/>
      <w:bookmarkStart w:id="2398" w:name="_Toc38440010"/>
      <w:bookmarkStart w:id="2399" w:name="_Toc38440347"/>
      <w:bookmarkStart w:id="2400" w:name="_Toc38440879"/>
      <w:bookmarkStart w:id="2401" w:name="_Toc38441211"/>
      <w:bookmarkStart w:id="2402" w:name="_Toc38441543"/>
      <w:bookmarkStart w:id="2403" w:name="_Toc38441871"/>
      <w:bookmarkStart w:id="2404" w:name="_Toc38442203"/>
      <w:bookmarkStart w:id="2405" w:name="_Toc38442535"/>
      <w:bookmarkStart w:id="2406" w:name="_Toc38442866"/>
      <w:bookmarkStart w:id="2407" w:name="_Toc38443197"/>
      <w:bookmarkStart w:id="2408" w:name="_Toc38443528"/>
      <w:bookmarkStart w:id="2409" w:name="_Toc38443859"/>
      <w:bookmarkStart w:id="2410" w:name="_Toc38438326"/>
      <w:bookmarkStart w:id="2411" w:name="_Toc38438663"/>
      <w:bookmarkStart w:id="2412" w:name="_Toc38439000"/>
      <w:bookmarkStart w:id="2413" w:name="_Toc38439337"/>
      <w:bookmarkStart w:id="2414" w:name="_Toc38439674"/>
      <w:bookmarkStart w:id="2415" w:name="_Toc38440011"/>
      <w:bookmarkStart w:id="2416" w:name="_Toc38440348"/>
      <w:bookmarkStart w:id="2417" w:name="_Toc38440880"/>
      <w:bookmarkStart w:id="2418" w:name="_Toc38441212"/>
      <w:bookmarkStart w:id="2419" w:name="_Toc38441544"/>
      <w:bookmarkStart w:id="2420" w:name="_Toc38441872"/>
      <w:bookmarkStart w:id="2421" w:name="_Toc38442204"/>
      <w:bookmarkStart w:id="2422" w:name="_Toc38442536"/>
      <w:bookmarkStart w:id="2423" w:name="_Toc38442867"/>
      <w:bookmarkStart w:id="2424" w:name="_Toc38443198"/>
      <w:bookmarkStart w:id="2425" w:name="_Toc38443529"/>
      <w:bookmarkStart w:id="2426" w:name="_Toc38443860"/>
      <w:bookmarkStart w:id="2427" w:name="_Toc38438327"/>
      <w:bookmarkStart w:id="2428" w:name="_Toc38438664"/>
      <w:bookmarkStart w:id="2429" w:name="_Toc38439001"/>
      <w:bookmarkStart w:id="2430" w:name="_Toc38439338"/>
      <w:bookmarkStart w:id="2431" w:name="_Toc38439675"/>
      <w:bookmarkStart w:id="2432" w:name="_Toc38440012"/>
      <w:bookmarkStart w:id="2433" w:name="_Toc38440349"/>
      <w:bookmarkStart w:id="2434" w:name="_Toc38440881"/>
      <w:bookmarkStart w:id="2435" w:name="_Toc38441213"/>
      <w:bookmarkStart w:id="2436" w:name="_Toc38441545"/>
      <w:bookmarkStart w:id="2437" w:name="_Toc38441873"/>
      <w:bookmarkStart w:id="2438" w:name="_Toc38442205"/>
      <w:bookmarkStart w:id="2439" w:name="_Toc38442537"/>
      <w:bookmarkStart w:id="2440" w:name="_Toc38442868"/>
      <w:bookmarkStart w:id="2441" w:name="_Toc38443199"/>
      <w:bookmarkStart w:id="2442" w:name="_Toc38443530"/>
      <w:bookmarkStart w:id="2443" w:name="_Toc38443861"/>
      <w:bookmarkStart w:id="2444" w:name="_Toc38438328"/>
      <w:bookmarkStart w:id="2445" w:name="_Toc38438665"/>
      <w:bookmarkStart w:id="2446" w:name="_Toc38439002"/>
      <w:bookmarkStart w:id="2447" w:name="_Toc38439339"/>
      <w:bookmarkStart w:id="2448" w:name="_Toc38439676"/>
      <w:bookmarkStart w:id="2449" w:name="_Toc38440013"/>
      <w:bookmarkStart w:id="2450" w:name="_Toc38440350"/>
      <w:bookmarkStart w:id="2451" w:name="_Toc38440882"/>
      <w:bookmarkStart w:id="2452" w:name="_Toc38441214"/>
      <w:bookmarkStart w:id="2453" w:name="_Toc38441546"/>
      <w:bookmarkStart w:id="2454" w:name="_Toc38441874"/>
      <w:bookmarkStart w:id="2455" w:name="_Toc38442206"/>
      <w:bookmarkStart w:id="2456" w:name="_Toc38442538"/>
      <w:bookmarkStart w:id="2457" w:name="_Toc38442869"/>
      <w:bookmarkStart w:id="2458" w:name="_Toc38443200"/>
      <w:bookmarkStart w:id="2459" w:name="_Toc38443531"/>
      <w:bookmarkStart w:id="2460" w:name="_Toc38443862"/>
      <w:bookmarkStart w:id="2461" w:name="_Toc38438329"/>
      <w:bookmarkStart w:id="2462" w:name="_Toc38438666"/>
      <w:bookmarkStart w:id="2463" w:name="_Toc38439003"/>
      <w:bookmarkStart w:id="2464" w:name="_Toc38439340"/>
      <w:bookmarkStart w:id="2465" w:name="_Toc38439677"/>
      <w:bookmarkStart w:id="2466" w:name="_Toc38440014"/>
      <w:bookmarkStart w:id="2467" w:name="_Toc38440351"/>
      <w:bookmarkStart w:id="2468" w:name="_Toc38440883"/>
      <w:bookmarkStart w:id="2469" w:name="_Toc38441215"/>
      <w:bookmarkStart w:id="2470" w:name="_Toc38441547"/>
      <w:bookmarkStart w:id="2471" w:name="_Toc38441875"/>
      <w:bookmarkStart w:id="2472" w:name="_Toc38442207"/>
      <w:bookmarkStart w:id="2473" w:name="_Toc38442539"/>
      <w:bookmarkStart w:id="2474" w:name="_Toc38442870"/>
      <w:bookmarkStart w:id="2475" w:name="_Toc38443201"/>
      <w:bookmarkStart w:id="2476" w:name="_Toc38443532"/>
      <w:bookmarkStart w:id="2477" w:name="_Toc38443863"/>
      <w:bookmarkStart w:id="2478" w:name="_Toc38438330"/>
      <w:bookmarkStart w:id="2479" w:name="_Toc38438667"/>
      <w:bookmarkStart w:id="2480" w:name="_Toc38439004"/>
      <w:bookmarkStart w:id="2481" w:name="_Toc38439341"/>
      <w:bookmarkStart w:id="2482" w:name="_Toc38439678"/>
      <w:bookmarkStart w:id="2483" w:name="_Toc38440015"/>
      <w:bookmarkStart w:id="2484" w:name="_Toc38440352"/>
      <w:bookmarkStart w:id="2485" w:name="_Toc38440884"/>
      <w:bookmarkStart w:id="2486" w:name="_Toc38441216"/>
      <w:bookmarkStart w:id="2487" w:name="_Toc38441548"/>
      <w:bookmarkStart w:id="2488" w:name="_Toc38441876"/>
      <w:bookmarkStart w:id="2489" w:name="_Toc38442208"/>
      <w:bookmarkStart w:id="2490" w:name="_Toc38442540"/>
      <w:bookmarkStart w:id="2491" w:name="_Toc38442871"/>
      <w:bookmarkStart w:id="2492" w:name="_Toc38443202"/>
      <w:bookmarkStart w:id="2493" w:name="_Toc38443533"/>
      <w:bookmarkStart w:id="2494" w:name="_Toc38443864"/>
      <w:bookmarkStart w:id="2495" w:name="_Toc38438331"/>
      <w:bookmarkStart w:id="2496" w:name="_Toc38438668"/>
      <w:bookmarkStart w:id="2497" w:name="_Toc38439005"/>
      <w:bookmarkStart w:id="2498" w:name="_Toc38439342"/>
      <w:bookmarkStart w:id="2499" w:name="_Toc38439679"/>
      <w:bookmarkStart w:id="2500" w:name="_Toc38440016"/>
      <w:bookmarkStart w:id="2501" w:name="_Toc38440353"/>
      <w:bookmarkStart w:id="2502" w:name="_Toc38440885"/>
      <w:bookmarkStart w:id="2503" w:name="_Toc38441217"/>
      <w:bookmarkStart w:id="2504" w:name="_Toc38441549"/>
      <w:bookmarkStart w:id="2505" w:name="_Toc38441877"/>
      <w:bookmarkStart w:id="2506" w:name="_Toc38442209"/>
      <w:bookmarkStart w:id="2507" w:name="_Toc38442541"/>
      <w:bookmarkStart w:id="2508" w:name="_Toc38442872"/>
      <w:bookmarkStart w:id="2509" w:name="_Toc38443203"/>
      <w:bookmarkStart w:id="2510" w:name="_Toc38443534"/>
      <w:bookmarkStart w:id="2511" w:name="_Toc38443865"/>
      <w:bookmarkStart w:id="2512" w:name="_Toc38438332"/>
      <w:bookmarkStart w:id="2513" w:name="_Toc38438669"/>
      <w:bookmarkStart w:id="2514" w:name="_Toc38439006"/>
      <w:bookmarkStart w:id="2515" w:name="_Toc38439343"/>
      <w:bookmarkStart w:id="2516" w:name="_Toc38439680"/>
      <w:bookmarkStart w:id="2517" w:name="_Toc38440017"/>
      <w:bookmarkStart w:id="2518" w:name="_Toc38440354"/>
      <w:bookmarkStart w:id="2519" w:name="_Toc38440886"/>
      <w:bookmarkStart w:id="2520" w:name="_Toc38441218"/>
      <w:bookmarkStart w:id="2521" w:name="_Toc38441550"/>
      <w:bookmarkStart w:id="2522" w:name="_Toc38441878"/>
      <w:bookmarkStart w:id="2523" w:name="_Toc38442210"/>
      <w:bookmarkStart w:id="2524" w:name="_Toc38442542"/>
      <w:bookmarkStart w:id="2525" w:name="_Toc38442873"/>
      <w:bookmarkStart w:id="2526" w:name="_Toc38443204"/>
      <w:bookmarkStart w:id="2527" w:name="_Toc38443535"/>
      <w:bookmarkStart w:id="2528" w:name="_Toc38443866"/>
      <w:bookmarkStart w:id="2529" w:name="_Toc38438333"/>
      <w:bookmarkStart w:id="2530" w:name="_Toc38438670"/>
      <w:bookmarkStart w:id="2531" w:name="_Toc38439007"/>
      <w:bookmarkStart w:id="2532" w:name="_Toc38439344"/>
      <w:bookmarkStart w:id="2533" w:name="_Toc38439681"/>
      <w:bookmarkStart w:id="2534" w:name="_Toc38440018"/>
      <w:bookmarkStart w:id="2535" w:name="_Toc38440355"/>
      <w:bookmarkStart w:id="2536" w:name="_Toc38440887"/>
      <w:bookmarkStart w:id="2537" w:name="_Toc38441219"/>
      <w:bookmarkStart w:id="2538" w:name="_Toc38441551"/>
      <w:bookmarkStart w:id="2539" w:name="_Toc38441879"/>
      <w:bookmarkStart w:id="2540" w:name="_Toc38442211"/>
      <w:bookmarkStart w:id="2541" w:name="_Toc38442543"/>
      <w:bookmarkStart w:id="2542" w:name="_Toc38442874"/>
      <w:bookmarkStart w:id="2543" w:name="_Toc38443205"/>
      <w:bookmarkStart w:id="2544" w:name="_Toc38443536"/>
      <w:bookmarkStart w:id="2545" w:name="_Toc38443867"/>
      <w:bookmarkStart w:id="2546" w:name="_Toc38438334"/>
      <w:bookmarkStart w:id="2547" w:name="_Toc38438671"/>
      <w:bookmarkStart w:id="2548" w:name="_Toc38439008"/>
      <w:bookmarkStart w:id="2549" w:name="_Toc38439345"/>
      <w:bookmarkStart w:id="2550" w:name="_Toc38439682"/>
      <w:bookmarkStart w:id="2551" w:name="_Toc38440019"/>
      <w:bookmarkStart w:id="2552" w:name="_Toc38440356"/>
      <w:bookmarkStart w:id="2553" w:name="_Toc38440888"/>
      <w:bookmarkStart w:id="2554" w:name="_Toc38441220"/>
      <w:bookmarkStart w:id="2555" w:name="_Toc38441552"/>
      <w:bookmarkStart w:id="2556" w:name="_Toc38441880"/>
      <w:bookmarkStart w:id="2557" w:name="_Toc38442212"/>
      <w:bookmarkStart w:id="2558" w:name="_Toc38442544"/>
      <w:bookmarkStart w:id="2559" w:name="_Toc38442875"/>
      <w:bookmarkStart w:id="2560" w:name="_Toc38443206"/>
      <w:bookmarkStart w:id="2561" w:name="_Toc38443537"/>
      <w:bookmarkStart w:id="2562" w:name="_Toc38443868"/>
      <w:bookmarkStart w:id="2563" w:name="_Toc38438335"/>
      <w:bookmarkStart w:id="2564" w:name="_Toc38438672"/>
      <w:bookmarkStart w:id="2565" w:name="_Toc38439009"/>
      <w:bookmarkStart w:id="2566" w:name="_Toc38439346"/>
      <w:bookmarkStart w:id="2567" w:name="_Toc38439683"/>
      <w:bookmarkStart w:id="2568" w:name="_Toc38440020"/>
      <w:bookmarkStart w:id="2569" w:name="_Toc38440357"/>
      <w:bookmarkStart w:id="2570" w:name="_Toc38440889"/>
      <w:bookmarkStart w:id="2571" w:name="_Toc38441221"/>
      <w:bookmarkStart w:id="2572" w:name="_Toc38441553"/>
      <w:bookmarkStart w:id="2573" w:name="_Toc38441881"/>
      <w:bookmarkStart w:id="2574" w:name="_Toc38442213"/>
      <w:bookmarkStart w:id="2575" w:name="_Toc38442545"/>
      <w:bookmarkStart w:id="2576" w:name="_Toc38442876"/>
      <w:bookmarkStart w:id="2577" w:name="_Toc38443207"/>
      <w:bookmarkStart w:id="2578" w:name="_Toc38443538"/>
      <w:bookmarkStart w:id="2579" w:name="_Toc38443869"/>
      <w:bookmarkStart w:id="2580" w:name="_Toc38438336"/>
      <w:bookmarkStart w:id="2581" w:name="_Toc38438673"/>
      <w:bookmarkStart w:id="2582" w:name="_Toc38439010"/>
      <w:bookmarkStart w:id="2583" w:name="_Toc38439347"/>
      <w:bookmarkStart w:id="2584" w:name="_Toc38439684"/>
      <w:bookmarkStart w:id="2585" w:name="_Toc38440021"/>
      <w:bookmarkStart w:id="2586" w:name="_Toc38440358"/>
      <w:bookmarkStart w:id="2587" w:name="_Toc38440890"/>
      <w:bookmarkStart w:id="2588" w:name="_Toc38441222"/>
      <w:bookmarkStart w:id="2589" w:name="_Toc38441554"/>
      <w:bookmarkStart w:id="2590" w:name="_Toc38441882"/>
      <w:bookmarkStart w:id="2591" w:name="_Toc38442214"/>
      <w:bookmarkStart w:id="2592" w:name="_Toc38442546"/>
      <w:bookmarkStart w:id="2593" w:name="_Toc38442877"/>
      <w:bookmarkStart w:id="2594" w:name="_Toc38443208"/>
      <w:bookmarkStart w:id="2595" w:name="_Toc38443539"/>
      <w:bookmarkStart w:id="2596" w:name="_Toc38443870"/>
      <w:bookmarkStart w:id="2597" w:name="_Toc38438337"/>
      <w:bookmarkStart w:id="2598" w:name="_Toc38438674"/>
      <w:bookmarkStart w:id="2599" w:name="_Toc38439011"/>
      <w:bookmarkStart w:id="2600" w:name="_Toc38439348"/>
      <w:bookmarkStart w:id="2601" w:name="_Toc38439685"/>
      <w:bookmarkStart w:id="2602" w:name="_Toc38440022"/>
      <w:bookmarkStart w:id="2603" w:name="_Toc38440359"/>
      <w:bookmarkStart w:id="2604" w:name="_Toc38440891"/>
      <w:bookmarkStart w:id="2605" w:name="_Toc38441223"/>
      <w:bookmarkStart w:id="2606" w:name="_Toc38441555"/>
      <w:bookmarkStart w:id="2607" w:name="_Toc38441883"/>
      <w:bookmarkStart w:id="2608" w:name="_Toc38442215"/>
      <w:bookmarkStart w:id="2609" w:name="_Toc38442547"/>
      <w:bookmarkStart w:id="2610" w:name="_Toc38442878"/>
      <w:bookmarkStart w:id="2611" w:name="_Toc38443209"/>
      <w:bookmarkStart w:id="2612" w:name="_Toc38443540"/>
      <w:bookmarkStart w:id="2613" w:name="_Toc38443871"/>
      <w:bookmarkStart w:id="2614" w:name="_Toc38438338"/>
      <w:bookmarkStart w:id="2615" w:name="_Toc38438675"/>
      <w:bookmarkStart w:id="2616" w:name="_Toc38439012"/>
      <w:bookmarkStart w:id="2617" w:name="_Toc38439349"/>
      <w:bookmarkStart w:id="2618" w:name="_Toc38439686"/>
      <w:bookmarkStart w:id="2619" w:name="_Toc38440023"/>
      <w:bookmarkStart w:id="2620" w:name="_Toc38440360"/>
      <w:bookmarkStart w:id="2621" w:name="_Toc38440892"/>
      <w:bookmarkStart w:id="2622" w:name="_Toc38441224"/>
      <w:bookmarkStart w:id="2623" w:name="_Toc38441556"/>
      <w:bookmarkStart w:id="2624" w:name="_Toc38441884"/>
      <w:bookmarkStart w:id="2625" w:name="_Toc38442216"/>
      <w:bookmarkStart w:id="2626" w:name="_Toc38442548"/>
      <w:bookmarkStart w:id="2627" w:name="_Toc38442879"/>
      <w:bookmarkStart w:id="2628" w:name="_Toc38443210"/>
      <w:bookmarkStart w:id="2629" w:name="_Toc38443541"/>
      <w:bookmarkStart w:id="2630" w:name="_Toc38443872"/>
      <w:bookmarkStart w:id="2631" w:name="_Toc38438339"/>
      <w:bookmarkStart w:id="2632" w:name="_Toc38438676"/>
      <w:bookmarkStart w:id="2633" w:name="_Toc38439013"/>
      <w:bookmarkStart w:id="2634" w:name="_Toc38439350"/>
      <w:bookmarkStart w:id="2635" w:name="_Toc38439687"/>
      <w:bookmarkStart w:id="2636" w:name="_Toc38440024"/>
      <w:bookmarkStart w:id="2637" w:name="_Toc38440361"/>
      <w:bookmarkStart w:id="2638" w:name="_Toc38440893"/>
      <w:bookmarkStart w:id="2639" w:name="_Toc38441225"/>
      <w:bookmarkStart w:id="2640" w:name="_Toc38441557"/>
      <w:bookmarkStart w:id="2641" w:name="_Toc38441885"/>
      <w:bookmarkStart w:id="2642" w:name="_Toc38442217"/>
      <w:bookmarkStart w:id="2643" w:name="_Toc38442549"/>
      <w:bookmarkStart w:id="2644" w:name="_Toc38442880"/>
      <w:bookmarkStart w:id="2645" w:name="_Toc38443211"/>
      <w:bookmarkStart w:id="2646" w:name="_Toc38443542"/>
      <w:bookmarkStart w:id="2647" w:name="_Toc38443873"/>
      <w:bookmarkStart w:id="2648" w:name="_Toc38438340"/>
      <w:bookmarkStart w:id="2649" w:name="_Toc38438677"/>
      <w:bookmarkStart w:id="2650" w:name="_Toc38439014"/>
      <w:bookmarkStart w:id="2651" w:name="_Toc38439351"/>
      <w:bookmarkStart w:id="2652" w:name="_Toc38439688"/>
      <w:bookmarkStart w:id="2653" w:name="_Toc38440025"/>
      <w:bookmarkStart w:id="2654" w:name="_Toc38440362"/>
      <w:bookmarkStart w:id="2655" w:name="_Toc38440894"/>
      <w:bookmarkStart w:id="2656" w:name="_Toc38441226"/>
      <w:bookmarkStart w:id="2657" w:name="_Toc38441558"/>
      <w:bookmarkStart w:id="2658" w:name="_Toc38441886"/>
      <w:bookmarkStart w:id="2659" w:name="_Toc38442218"/>
      <w:bookmarkStart w:id="2660" w:name="_Toc38442550"/>
      <w:bookmarkStart w:id="2661" w:name="_Toc38442881"/>
      <w:bookmarkStart w:id="2662" w:name="_Toc38443212"/>
      <w:bookmarkStart w:id="2663" w:name="_Toc38443543"/>
      <w:bookmarkStart w:id="2664" w:name="_Toc38443874"/>
      <w:bookmarkStart w:id="2665" w:name="_Toc38438341"/>
      <w:bookmarkStart w:id="2666" w:name="_Toc38438678"/>
      <w:bookmarkStart w:id="2667" w:name="_Toc38439015"/>
      <w:bookmarkStart w:id="2668" w:name="_Toc38439352"/>
      <w:bookmarkStart w:id="2669" w:name="_Toc38439689"/>
      <w:bookmarkStart w:id="2670" w:name="_Toc38440026"/>
      <w:bookmarkStart w:id="2671" w:name="_Toc38440363"/>
      <w:bookmarkStart w:id="2672" w:name="_Toc38440895"/>
      <w:bookmarkStart w:id="2673" w:name="_Toc38441227"/>
      <w:bookmarkStart w:id="2674" w:name="_Toc38441559"/>
      <w:bookmarkStart w:id="2675" w:name="_Toc38441887"/>
      <w:bookmarkStart w:id="2676" w:name="_Toc38442219"/>
      <w:bookmarkStart w:id="2677" w:name="_Toc38442551"/>
      <w:bookmarkStart w:id="2678" w:name="_Toc38442882"/>
      <w:bookmarkStart w:id="2679" w:name="_Toc38443213"/>
      <w:bookmarkStart w:id="2680" w:name="_Toc38443544"/>
      <w:bookmarkStart w:id="2681" w:name="_Toc38443875"/>
      <w:bookmarkStart w:id="2682" w:name="_Toc38438342"/>
      <w:bookmarkStart w:id="2683" w:name="_Toc38438679"/>
      <w:bookmarkStart w:id="2684" w:name="_Toc38439016"/>
      <w:bookmarkStart w:id="2685" w:name="_Toc38439353"/>
      <w:bookmarkStart w:id="2686" w:name="_Toc38439690"/>
      <w:bookmarkStart w:id="2687" w:name="_Toc38440027"/>
      <w:bookmarkStart w:id="2688" w:name="_Toc38440364"/>
      <w:bookmarkStart w:id="2689" w:name="_Toc38440896"/>
      <w:bookmarkStart w:id="2690" w:name="_Toc38441228"/>
      <w:bookmarkStart w:id="2691" w:name="_Toc38441560"/>
      <w:bookmarkStart w:id="2692" w:name="_Toc38441888"/>
      <w:bookmarkStart w:id="2693" w:name="_Toc38442220"/>
      <w:bookmarkStart w:id="2694" w:name="_Toc38442552"/>
      <w:bookmarkStart w:id="2695" w:name="_Toc38442883"/>
      <w:bookmarkStart w:id="2696" w:name="_Toc38443214"/>
      <w:bookmarkStart w:id="2697" w:name="_Toc38443545"/>
      <w:bookmarkStart w:id="2698" w:name="_Toc38443876"/>
      <w:bookmarkStart w:id="2699" w:name="_Toc38438343"/>
      <w:bookmarkStart w:id="2700" w:name="_Toc38438680"/>
      <w:bookmarkStart w:id="2701" w:name="_Toc38439017"/>
      <w:bookmarkStart w:id="2702" w:name="_Toc38439354"/>
      <w:bookmarkStart w:id="2703" w:name="_Toc38439691"/>
      <w:bookmarkStart w:id="2704" w:name="_Toc38440028"/>
      <w:bookmarkStart w:id="2705" w:name="_Toc38440365"/>
      <w:bookmarkStart w:id="2706" w:name="_Toc38440897"/>
      <w:bookmarkStart w:id="2707" w:name="_Toc38441229"/>
      <w:bookmarkStart w:id="2708" w:name="_Toc38441561"/>
      <w:bookmarkStart w:id="2709" w:name="_Toc38441889"/>
      <w:bookmarkStart w:id="2710" w:name="_Toc38442221"/>
      <w:bookmarkStart w:id="2711" w:name="_Toc38442553"/>
      <w:bookmarkStart w:id="2712" w:name="_Toc38442884"/>
      <w:bookmarkStart w:id="2713" w:name="_Toc38443215"/>
      <w:bookmarkStart w:id="2714" w:name="_Toc38443546"/>
      <w:bookmarkStart w:id="2715" w:name="_Toc38443877"/>
      <w:bookmarkStart w:id="2716" w:name="_Toc13148422"/>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sidRPr="00172454">
        <w:rPr>
          <w:rFonts w:asciiTheme="minorEastAsia" w:eastAsiaTheme="minorEastAsia" w:hAnsiTheme="minorEastAsia"/>
          <w:b/>
          <w:bCs/>
          <w:color w:val="000000" w:themeColor="text1"/>
        </w:rPr>
        <w:br w:type="page"/>
      </w:r>
      <w:bookmarkStart w:id="2717" w:name="_Toc91767091"/>
      <w:r w:rsidRPr="00172454">
        <w:rPr>
          <w:rFonts w:asciiTheme="minorEastAsia" w:eastAsiaTheme="minorEastAsia" w:hAnsiTheme="minorEastAsia" w:hint="eastAsia"/>
          <w:bCs/>
          <w:color w:val="000000" w:themeColor="text1"/>
        </w:rPr>
        <w:t>二十</w:t>
      </w:r>
      <w:r w:rsidRPr="00172454" w:rsidR="00150642">
        <w:rPr>
          <w:rFonts w:asciiTheme="minorEastAsia" w:eastAsiaTheme="minorEastAsia" w:hAnsiTheme="minorEastAsia" w:hint="eastAsia"/>
          <w:bCs/>
          <w:color w:val="000000" w:themeColor="text1"/>
        </w:rPr>
        <w:t>四</w:t>
      </w:r>
      <w:r w:rsidRPr="00172454">
        <w:rPr>
          <w:rFonts w:asciiTheme="minorEastAsia" w:eastAsiaTheme="minorEastAsia" w:hAnsiTheme="minorEastAsia" w:hint="eastAsia"/>
          <w:bCs/>
          <w:color w:val="000000" w:themeColor="text1"/>
        </w:rPr>
        <w:t>、</w:t>
      </w:r>
      <w:bookmarkEnd w:id="2716"/>
      <w:r w:rsidRPr="00172454">
        <w:rPr>
          <w:rFonts w:asciiTheme="minorEastAsia" w:eastAsiaTheme="minorEastAsia" w:hAnsiTheme="minorEastAsia" w:hint="eastAsia"/>
          <w:bCs/>
          <w:color w:val="000000" w:themeColor="text1"/>
        </w:rPr>
        <w:t>其他应披露事项</w:t>
      </w:r>
      <w:bookmarkEnd w:id="2717"/>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2"/>
        <w:gridCol w:w="1843"/>
      </w:tblGrid>
      <w:tr w:rsidTr="00634CA1">
        <w:tblPrEx>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42"/>
        </w:trPr>
        <w:tc>
          <w:tcPr>
            <w:tcW w:w="6252" w:type="dxa"/>
            <w:shd w:val="clear" w:color="auto" w:fill="auto"/>
            <w:vAlign w:val="center"/>
            <w:hideMark/>
          </w:tcPr>
          <w:p w:rsidR="003B551D" w:rsidRPr="00172454" w:rsidP="00843486">
            <w:pPr>
              <w:spacing w:line="360" w:lineRule="auto"/>
              <w:ind w:firstLine="420" w:firstLineChars="200"/>
              <w:jc w:val="center"/>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公告事项</w:t>
            </w:r>
          </w:p>
        </w:tc>
        <w:tc>
          <w:tcPr>
            <w:tcW w:w="1843" w:type="dxa"/>
            <w:shd w:val="clear" w:color="auto" w:fill="auto"/>
            <w:vAlign w:val="center"/>
            <w:hideMark/>
          </w:tcPr>
          <w:p w:rsidR="003B551D" w:rsidRPr="00172454" w:rsidP="007330BA">
            <w:pPr>
              <w:spacing w:line="360" w:lineRule="auto"/>
              <w:jc w:val="center"/>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披露日期</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易方达基金管理有限公司旗下部分ETF增加南京证券为申购赎回代办证券公司的公告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2021-01-08</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易方达基金管理有限公司旗下部分ETF增加银河证券为申购赎回代办证券公司的公告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2021-01-20</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易方达基金管理有限公司旗下基金2020年第4季度报告提示性公告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2021-01-21</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易方达基金管理有限公司高级管理人员变更公告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2021-01-23</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易方达基金管理有限公司旗下部分ETF增加方正证券为申购赎回代办证券公司的公告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2021-02-05</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易方达基金管理有限公司关于部分基金变更申赎简称的公告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2021-03-12</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易方达基金管理有限公司旗下部分ETF增加第一创业证券为申购赎回代办证券公司的公告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2021-03-26</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易方达基金管理有限公司关于旗下部分基金根据《公开募集证券投资基金运作指引第3号——指数基金指引》修改基金合同部分条款的公告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2021-03-30</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易方达基金管理有限公司旗下基金2020年年度报告提示性公告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2021-03-30</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易方达基金管理有限公司旗下部分ETF增加东方证券为申购赎回代办证券公司的公告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2021-04-01</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易方达基金管理有限公司关于提醒投资者及时提供或更新身份信息资料的公告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2021-04-02</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易方达基金管理有限公司旗下基金2021年第1季度报告提示性公告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2021-04-19</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易方达基金管理有限公司高级管理人员变更公告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2021-07-17</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易方达基金管理有限公司旗下基金2021年第2季度报告提示性公告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2021-07-20</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易方达基金管理有限公司高级管理人员变更公告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2021-07-24</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易方达基金管理有限公司高级管理人员变更公告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2021-07-24</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易方达基金管理有限公司关于南京分公司营业场所变更的公告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2021-07-28</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易方达基金管理有限公司高级管理人员变更公告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2021-07-30</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易方达基金管理有限公司关于调整旗下部分ETF场外基金份额赎回转申购易方达货币市场基金有关业务规则的公告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2021-08-18</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易方达基金管理有限公司旗下基金2021年中期报告提示性公告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2021-08-28</w:t>
            </w:r>
          </w:p>
        </w:tc>
      </w:tr>
      <w:tr>
        <w:tblPrEx>
          <w:tblW w:w="8095" w:type="dxa"/>
          <w:tblInd w:w="93" w:type="dxa"/>
          <w:tblLayout w:type="fixed"/>
          <w:tblLook w:val="04A0"/>
        </w:tblPrEx>
        <w:tc>
          <w:tcPr>
            <w:tcW w:w="6252" w:type="dxa"/>
          </w:tcPr>
          <w:p w:rsidR="0050161B" w:rsidRPr="00172454">
            <w:pPr>
              <w:jc w:val="lef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843" w:type="dxa"/>
          </w:tcPr>
          <w:p w:rsidR="0050161B" w:rsidRPr="00172454">
            <w:pPr>
              <w:jc w:val="center"/>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2021-11-15</w:t>
            </w:r>
          </w:p>
        </w:tc>
      </w:tr>
    </w:tbl>
    <w:p w:rsidR="005D5BC7" w:rsidRPr="00172454" w:rsidP="00150642">
      <w:pPr>
        <w:autoSpaceDE w:val="0"/>
        <w:autoSpaceDN w:val="0"/>
        <w:adjustRightInd w:val="0"/>
        <w:snapToGrid w:val="0"/>
        <w:spacing w:line="360" w:lineRule="auto"/>
        <w:jc w:val="left"/>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注：以上公告事项披露在</w:t>
      </w:r>
      <w:r w:rsidRPr="00172454" w:rsidR="00634CA1">
        <w:rPr>
          <w:rFonts w:asciiTheme="minorEastAsia" w:eastAsiaTheme="minorEastAsia" w:hAnsiTheme="minorEastAsia" w:hint="eastAsia"/>
          <w:color w:val="000000" w:themeColor="text1"/>
        </w:rPr>
        <w:t>规</w:t>
      </w:r>
      <w:r w:rsidRPr="00172454">
        <w:rPr>
          <w:rFonts w:asciiTheme="minorEastAsia" w:eastAsiaTheme="minorEastAsia" w:hAnsiTheme="minorEastAsia" w:hint="eastAsia"/>
          <w:color w:val="000000" w:themeColor="text1"/>
        </w:rPr>
        <w:t>定媒介及基金管理人网站上。</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2718" w:name="_Toc38438350"/>
      <w:bookmarkStart w:id="2719" w:name="_Toc38438687"/>
      <w:bookmarkStart w:id="2720" w:name="_Toc38439024"/>
      <w:bookmarkStart w:id="2721" w:name="_Toc38439361"/>
      <w:bookmarkStart w:id="2722" w:name="_Toc38439698"/>
      <w:bookmarkStart w:id="2723" w:name="_Toc38440035"/>
      <w:bookmarkStart w:id="2724" w:name="_Toc38440372"/>
      <w:bookmarkStart w:id="2725" w:name="_Toc38440904"/>
      <w:bookmarkStart w:id="2726" w:name="_Toc38441236"/>
      <w:bookmarkStart w:id="2727" w:name="_Toc38441568"/>
      <w:bookmarkStart w:id="2728" w:name="_Toc38441896"/>
      <w:bookmarkStart w:id="2729" w:name="_Toc38442228"/>
      <w:bookmarkStart w:id="2730" w:name="_Toc38442560"/>
      <w:bookmarkStart w:id="2731" w:name="_Toc38442891"/>
      <w:bookmarkStart w:id="2732" w:name="_Toc38443222"/>
      <w:bookmarkStart w:id="2733" w:name="_Toc38443553"/>
      <w:bookmarkStart w:id="2734" w:name="_Toc38443883"/>
      <w:bookmarkStart w:id="2735" w:name="_Toc38438351"/>
      <w:bookmarkStart w:id="2736" w:name="_Toc38438688"/>
      <w:bookmarkStart w:id="2737" w:name="_Toc38439025"/>
      <w:bookmarkStart w:id="2738" w:name="_Toc38439362"/>
      <w:bookmarkStart w:id="2739" w:name="_Toc38439699"/>
      <w:bookmarkStart w:id="2740" w:name="_Toc38440036"/>
      <w:bookmarkStart w:id="2741" w:name="_Toc38440373"/>
      <w:bookmarkStart w:id="2742" w:name="_Toc38440905"/>
      <w:bookmarkStart w:id="2743" w:name="_Toc38441237"/>
      <w:bookmarkStart w:id="2744" w:name="_Toc38441569"/>
      <w:bookmarkStart w:id="2745" w:name="_Toc38441897"/>
      <w:bookmarkStart w:id="2746" w:name="_Toc38442229"/>
      <w:bookmarkStart w:id="2747" w:name="_Toc38442561"/>
      <w:bookmarkStart w:id="2748" w:name="_Toc38442892"/>
      <w:bookmarkStart w:id="2749" w:name="_Toc38443223"/>
      <w:bookmarkStart w:id="2750" w:name="_Toc38443554"/>
      <w:bookmarkStart w:id="2751" w:name="_Toc38443884"/>
      <w:bookmarkStart w:id="2752" w:name="_Toc38438352"/>
      <w:bookmarkStart w:id="2753" w:name="_Toc38438689"/>
      <w:bookmarkStart w:id="2754" w:name="_Toc38439026"/>
      <w:bookmarkStart w:id="2755" w:name="_Toc38439363"/>
      <w:bookmarkStart w:id="2756" w:name="_Toc38439700"/>
      <w:bookmarkStart w:id="2757" w:name="_Toc38440037"/>
      <w:bookmarkStart w:id="2758" w:name="_Toc38440374"/>
      <w:bookmarkStart w:id="2759" w:name="_Toc38440906"/>
      <w:bookmarkStart w:id="2760" w:name="_Toc38441238"/>
      <w:bookmarkStart w:id="2761" w:name="_Toc38441570"/>
      <w:bookmarkStart w:id="2762" w:name="_Toc38441898"/>
      <w:bookmarkStart w:id="2763" w:name="_Toc38442230"/>
      <w:bookmarkStart w:id="2764" w:name="_Toc38442562"/>
      <w:bookmarkStart w:id="2765" w:name="_Toc38442893"/>
      <w:bookmarkStart w:id="2766" w:name="_Toc38443224"/>
      <w:bookmarkStart w:id="2767" w:name="_Toc38443555"/>
      <w:bookmarkStart w:id="2768" w:name="_Toc38443885"/>
      <w:bookmarkStart w:id="2769" w:name="_Toc38438353"/>
      <w:bookmarkStart w:id="2770" w:name="_Toc38438690"/>
      <w:bookmarkStart w:id="2771" w:name="_Toc38439027"/>
      <w:bookmarkStart w:id="2772" w:name="_Toc38439364"/>
      <w:bookmarkStart w:id="2773" w:name="_Toc38439701"/>
      <w:bookmarkStart w:id="2774" w:name="_Toc38440038"/>
      <w:bookmarkStart w:id="2775" w:name="_Toc38440375"/>
      <w:bookmarkStart w:id="2776" w:name="_Toc38440907"/>
      <w:bookmarkStart w:id="2777" w:name="_Toc38441239"/>
      <w:bookmarkStart w:id="2778" w:name="_Toc38441571"/>
      <w:bookmarkStart w:id="2779" w:name="_Toc38441899"/>
      <w:bookmarkStart w:id="2780" w:name="_Toc38442231"/>
      <w:bookmarkStart w:id="2781" w:name="_Toc38442563"/>
      <w:bookmarkStart w:id="2782" w:name="_Toc38442894"/>
      <w:bookmarkStart w:id="2783" w:name="_Toc38443225"/>
      <w:bookmarkStart w:id="2784" w:name="_Toc38443556"/>
      <w:bookmarkStart w:id="2785" w:name="_Toc38443886"/>
      <w:bookmarkStart w:id="2786" w:name="_Toc38438354"/>
      <w:bookmarkStart w:id="2787" w:name="_Toc38438691"/>
      <w:bookmarkStart w:id="2788" w:name="_Toc38439028"/>
      <w:bookmarkStart w:id="2789" w:name="_Toc38439365"/>
      <w:bookmarkStart w:id="2790" w:name="_Toc38439702"/>
      <w:bookmarkStart w:id="2791" w:name="_Toc38440039"/>
      <w:bookmarkStart w:id="2792" w:name="_Toc38440376"/>
      <w:bookmarkStart w:id="2793" w:name="_Toc38440908"/>
      <w:bookmarkStart w:id="2794" w:name="_Toc38441240"/>
      <w:bookmarkStart w:id="2795" w:name="_Toc38441572"/>
      <w:bookmarkStart w:id="2796" w:name="_Toc38441900"/>
      <w:bookmarkStart w:id="2797" w:name="_Toc38442232"/>
      <w:bookmarkStart w:id="2798" w:name="_Toc38442564"/>
      <w:bookmarkStart w:id="2799" w:name="_Toc38442895"/>
      <w:bookmarkStart w:id="2800" w:name="_Toc38443226"/>
      <w:bookmarkStart w:id="2801" w:name="_Toc38443557"/>
      <w:bookmarkStart w:id="2802" w:name="_Toc38443887"/>
      <w:bookmarkStart w:id="2803" w:name="_Toc38438355"/>
      <w:bookmarkStart w:id="2804" w:name="_Toc38438692"/>
      <w:bookmarkStart w:id="2805" w:name="_Toc38439029"/>
      <w:bookmarkStart w:id="2806" w:name="_Toc38439366"/>
      <w:bookmarkStart w:id="2807" w:name="_Toc38439703"/>
      <w:bookmarkStart w:id="2808" w:name="_Toc38440040"/>
      <w:bookmarkStart w:id="2809" w:name="_Toc38440377"/>
      <w:bookmarkStart w:id="2810" w:name="_Toc38440909"/>
      <w:bookmarkStart w:id="2811" w:name="_Toc38441241"/>
      <w:bookmarkStart w:id="2812" w:name="_Toc38441573"/>
      <w:bookmarkStart w:id="2813" w:name="_Toc38441901"/>
      <w:bookmarkStart w:id="2814" w:name="_Toc38442233"/>
      <w:bookmarkStart w:id="2815" w:name="_Toc38442565"/>
      <w:bookmarkStart w:id="2816" w:name="_Toc38442896"/>
      <w:bookmarkStart w:id="2817" w:name="_Toc38443227"/>
      <w:bookmarkStart w:id="2818" w:name="_Toc38443558"/>
      <w:bookmarkStart w:id="2819" w:name="_Toc38443888"/>
      <w:bookmarkStart w:id="2820" w:name="_Toc38438356"/>
      <w:bookmarkStart w:id="2821" w:name="_Toc38438693"/>
      <w:bookmarkStart w:id="2822" w:name="_Toc38439030"/>
      <w:bookmarkStart w:id="2823" w:name="_Toc38439367"/>
      <w:bookmarkStart w:id="2824" w:name="_Toc38439704"/>
      <w:bookmarkStart w:id="2825" w:name="_Toc38440041"/>
      <w:bookmarkStart w:id="2826" w:name="_Toc38440378"/>
      <w:bookmarkStart w:id="2827" w:name="_Toc38440910"/>
      <w:bookmarkStart w:id="2828" w:name="_Toc38441242"/>
      <w:bookmarkStart w:id="2829" w:name="_Toc38441574"/>
      <w:bookmarkStart w:id="2830" w:name="_Toc38441902"/>
      <w:bookmarkStart w:id="2831" w:name="_Toc38442234"/>
      <w:bookmarkStart w:id="2832" w:name="_Toc38442566"/>
      <w:bookmarkStart w:id="2833" w:name="_Toc38442897"/>
      <w:bookmarkStart w:id="2834" w:name="_Toc38443228"/>
      <w:bookmarkStart w:id="2835" w:name="_Toc38443559"/>
      <w:bookmarkStart w:id="2836" w:name="_Toc38443889"/>
      <w:bookmarkStart w:id="2837" w:name="_Toc38438357"/>
      <w:bookmarkStart w:id="2838" w:name="_Toc38438694"/>
      <w:bookmarkStart w:id="2839" w:name="_Toc38439031"/>
      <w:bookmarkStart w:id="2840" w:name="_Toc38439368"/>
      <w:bookmarkStart w:id="2841" w:name="_Toc38439705"/>
      <w:bookmarkStart w:id="2842" w:name="_Toc38440042"/>
      <w:bookmarkStart w:id="2843" w:name="_Toc38440379"/>
      <w:bookmarkStart w:id="2844" w:name="_Toc38440911"/>
      <w:bookmarkStart w:id="2845" w:name="_Toc38441243"/>
      <w:bookmarkStart w:id="2846" w:name="_Toc38441575"/>
      <w:bookmarkStart w:id="2847" w:name="_Toc38441903"/>
      <w:bookmarkStart w:id="2848" w:name="_Toc38442235"/>
      <w:bookmarkStart w:id="2849" w:name="_Toc38442567"/>
      <w:bookmarkStart w:id="2850" w:name="_Toc38442898"/>
      <w:bookmarkStart w:id="2851" w:name="_Toc38443229"/>
      <w:bookmarkStart w:id="2852" w:name="_Toc38443560"/>
      <w:bookmarkStart w:id="2853" w:name="_Toc38443890"/>
      <w:bookmarkStart w:id="2854" w:name="_Toc38438358"/>
      <w:bookmarkStart w:id="2855" w:name="_Toc38438695"/>
      <w:bookmarkStart w:id="2856" w:name="_Toc38439032"/>
      <w:bookmarkStart w:id="2857" w:name="_Toc38439369"/>
      <w:bookmarkStart w:id="2858" w:name="_Toc38439706"/>
      <w:bookmarkStart w:id="2859" w:name="_Toc38440043"/>
      <w:bookmarkStart w:id="2860" w:name="_Toc38440380"/>
      <w:bookmarkStart w:id="2861" w:name="_Toc38440912"/>
      <w:bookmarkStart w:id="2862" w:name="_Toc38441244"/>
      <w:bookmarkStart w:id="2863" w:name="_Toc38441576"/>
      <w:bookmarkStart w:id="2864" w:name="_Toc38441904"/>
      <w:bookmarkStart w:id="2865" w:name="_Toc38442236"/>
      <w:bookmarkStart w:id="2866" w:name="_Toc38442568"/>
      <w:bookmarkStart w:id="2867" w:name="_Toc38442899"/>
      <w:bookmarkStart w:id="2868" w:name="_Toc38443230"/>
      <w:bookmarkStart w:id="2869" w:name="_Toc38443561"/>
      <w:bookmarkStart w:id="2870" w:name="_Toc38443891"/>
      <w:bookmarkStart w:id="2871" w:name="_Toc38438359"/>
      <w:bookmarkStart w:id="2872" w:name="_Toc38438696"/>
      <w:bookmarkStart w:id="2873" w:name="_Toc38439033"/>
      <w:bookmarkStart w:id="2874" w:name="_Toc38439370"/>
      <w:bookmarkStart w:id="2875" w:name="_Toc38439707"/>
      <w:bookmarkStart w:id="2876" w:name="_Toc38440044"/>
      <w:bookmarkStart w:id="2877" w:name="_Toc38440381"/>
      <w:bookmarkStart w:id="2878" w:name="_Toc38440913"/>
      <w:bookmarkStart w:id="2879" w:name="_Toc38441245"/>
      <w:bookmarkStart w:id="2880" w:name="_Toc38441577"/>
      <w:bookmarkStart w:id="2881" w:name="_Toc38441905"/>
      <w:bookmarkStart w:id="2882" w:name="_Toc38442237"/>
      <w:bookmarkStart w:id="2883" w:name="_Toc38442569"/>
      <w:bookmarkStart w:id="2884" w:name="_Toc38442900"/>
      <w:bookmarkStart w:id="2885" w:name="_Toc38443231"/>
      <w:bookmarkStart w:id="2886" w:name="_Toc38443562"/>
      <w:bookmarkStart w:id="2887" w:name="_Toc38443892"/>
      <w:bookmarkStart w:id="2888" w:name="_Toc38438360"/>
      <w:bookmarkStart w:id="2889" w:name="_Toc38438697"/>
      <w:bookmarkStart w:id="2890" w:name="_Toc38439034"/>
      <w:bookmarkStart w:id="2891" w:name="_Toc38439371"/>
      <w:bookmarkStart w:id="2892" w:name="_Toc38439708"/>
      <w:bookmarkStart w:id="2893" w:name="_Toc38440045"/>
      <w:bookmarkStart w:id="2894" w:name="_Toc38440382"/>
      <w:bookmarkStart w:id="2895" w:name="_Toc38440914"/>
      <w:bookmarkStart w:id="2896" w:name="_Toc38441246"/>
      <w:bookmarkStart w:id="2897" w:name="_Toc38441578"/>
      <w:bookmarkStart w:id="2898" w:name="_Toc38441906"/>
      <w:bookmarkStart w:id="2899" w:name="_Toc38442238"/>
      <w:bookmarkStart w:id="2900" w:name="_Toc38442570"/>
      <w:bookmarkStart w:id="2901" w:name="_Toc38442901"/>
      <w:bookmarkStart w:id="2902" w:name="_Toc38443232"/>
      <w:bookmarkStart w:id="2903" w:name="_Toc38443563"/>
      <w:bookmarkStart w:id="2904" w:name="_Toc38443893"/>
      <w:bookmarkStart w:id="2905" w:name="_Toc38438361"/>
      <w:bookmarkStart w:id="2906" w:name="_Toc38438698"/>
      <w:bookmarkStart w:id="2907" w:name="_Toc38439035"/>
      <w:bookmarkStart w:id="2908" w:name="_Toc38439372"/>
      <w:bookmarkStart w:id="2909" w:name="_Toc38439709"/>
      <w:bookmarkStart w:id="2910" w:name="_Toc38440046"/>
      <w:bookmarkStart w:id="2911" w:name="_Toc38440383"/>
      <w:bookmarkStart w:id="2912" w:name="_Toc38440915"/>
      <w:bookmarkStart w:id="2913" w:name="_Toc38441247"/>
      <w:bookmarkStart w:id="2914" w:name="_Toc38441579"/>
      <w:bookmarkStart w:id="2915" w:name="_Toc38441907"/>
      <w:bookmarkStart w:id="2916" w:name="_Toc38442239"/>
      <w:bookmarkStart w:id="2917" w:name="_Toc38442571"/>
      <w:bookmarkStart w:id="2918" w:name="_Toc38442902"/>
      <w:bookmarkStart w:id="2919" w:name="_Toc38443233"/>
      <w:bookmarkStart w:id="2920" w:name="_Toc38443564"/>
      <w:bookmarkStart w:id="2921" w:name="_Toc38443894"/>
      <w:bookmarkStart w:id="2922" w:name="_Toc38438362"/>
      <w:bookmarkStart w:id="2923" w:name="_Toc38438699"/>
      <w:bookmarkStart w:id="2924" w:name="_Toc38439036"/>
      <w:bookmarkStart w:id="2925" w:name="_Toc38439373"/>
      <w:bookmarkStart w:id="2926" w:name="_Toc38439710"/>
      <w:bookmarkStart w:id="2927" w:name="_Toc38440047"/>
      <w:bookmarkStart w:id="2928" w:name="_Toc38440384"/>
      <w:bookmarkStart w:id="2929" w:name="_Toc38440916"/>
      <w:bookmarkStart w:id="2930" w:name="_Toc38441248"/>
      <w:bookmarkStart w:id="2931" w:name="_Toc38441580"/>
      <w:bookmarkStart w:id="2932" w:name="_Toc38441908"/>
      <w:bookmarkStart w:id="2933" w:name="_Toc38442240"/>
      <w:bookmarkStart w:id="2934" w:name="_Toc38442572"/>
      <w:bookmarkStart w:id="2935" w:name="_Toc38442903"/>
      <w:bookmarkStart w:id="2936" w:name="_Toc38443234"/>
      <w:bookmarkStart w:id="2937" w:name="_Toc38443565"/>
      <w:bookmarkStart w:id="2938" w:name="_Toc38443895"/>
      <w:bookmarkStart w:id="2939" w:name="_Toc38438363"/>
      <w:bookmarkStart w:id="2940" w:name="_Toc38438700"/>
      <w:bookmarkStart w:id="2941" w:name="_Toc38439037"/>
      <w:bookmarkStart w:id="2942" w:name="_Toc38439374"/>
      <w:bookmarkStart w:id="2943" w:name="_Toc38439711"/>
      <w:bookmarkStart w:id="2944" w:name="_Toc38440048"/>
      <w:bookmarkStart w:id="2945" w:name="_Toc38440385"/>
      <w:bookmarkStart w:id="2946" w:name="_Toc38440917"/>
      <w:bookmarkStart w:id="2947" w:name="_Toc38441249"/>
      <w:bookmarkStart w:id="2948" w:name="_Toc38441581"/>
      <w:bookmarkStart w:id="2949" w:name="_Toc38441909"/>
      <w:bookmarkStart w:id="2950" w:name="_Toc38442241"/>
      <w:bookmarkStart w:id="2951" w:name="_Toc38442573"/>
      <w:bookmarkStart w:id="2952" w:name="_Toc38442904"/>
      <w:bookmarkStart w:id="2953" w:name="_Toc38443235"/>
      <w:bookmarkStart w:id="2954" w:name="_Toc38443566"/>
      <w:bookmarkStart w:id="2955" w:name="_Toc38443896"/>
      <w:bookmarkStart w:id="2956" w:name="_Toc38438364"/>
      <w:bookmarkStart w:id="2957" w:name="_Toc38438701"/>
      <w:bookmarkStart w:id="2958" w:name="_Toc38439038"/>
      <w:bookmarkStart w:id="2959" w:name="_Toc38439375"/>
      <w:bookmarkStart w:id="2960" w:name="_Toc38439712"/>
      <w:bookmarkStart w:id="2961" w:name="_Toc38440049"/>
      <w:bookmarkStart w:id="2962" w:name="_Toc38440386"/>
      <w:bookmarkStart w:id="2963" w:name="_Toc38440918"/>
      <w:bookmarkStart w:id="2964" w:name="_Toc38441250"/>
      <w:bookmarkStart w:id="2965" w:name="_Toc38441582"/>
      <w:bookmarkStart w:id="2966" w:name="_Toc38441910"/>
      <w:bookmarkStart w:id="2967" w:name="_Toc38442242"/>
      <w:bookmarkStart w:id="2968" w:name="_Toc38442574"/>
      <w:bookmarkStart w:id="2969" w:name="_Toc38442905"/>
      <w:bookmarkStart w:id="2970" w:name="_Toc38443236"/>
      <w:bookmarkStart w:id="2971" w:name="_Toc38443567"/>
      <w:bookmarkStart w:id="2972" w:name="_Toc38443897"/>
      <w:bookmarkStart w:id="2973" w:name="_Toc38438365"/>
      <w:bookmarkStart w:id="2974" w:name="_Toc38438702"/>
      <w:bookmarkStart w:id="2975" w:name="_Toc38439039"/>
      <w:bookmarkStart w:id="2976" w:name="_Toc38439376"/>
      <w:bookmarkStart w:id="2977" w:name="_Toc38439713"/>
      <w:bookmarkStart w:id="2978" w:name="_Toc38440050"/>
      <w:bookmarkStart w:id="2979" w:name="_Toc38440387"/>
      <w:bookmarkStart w:id="2980" w:name="_Toc38440919"/>
      <w:bookmarkStart w:id="2981" w:name="_Toc38441251"/>
      <w:bookmarkStart w:id="2982" w:name="_Toc38441583"/>
      <w:bookmarkStart w:id="2983" w:name="_Toc38441911"/>
      <w:bookmarkStart w:id="2984" w:name="_Toc38442243"/>
      <w:bookmarkStart w:id="2985" w:name="_Toc38442575"/>
      <w:bookmarkStart w:id="2986" w:name="_Toc38442906"/>
      <w:bookmarkStart w:id="2987" w:name="_Toc38443237"/>
      <w:bookmarkStart w:id="2988" w:name="_Toc38443568"/>
      <w:bookmarkStart w:id="2989" w:name="_Toc38443898"/>
      <w:bookmarkStart w:id="2990" w:name="_Toc38438366"/>
      <w:bookmarkStart w:id="2991" w:name="_Toc38438703"/>
      <w:bookmarkStart w:id="2992" w:name="_Toc38439040"/>
      <w:bookmarkStart w:id="2993" w:name="_Toc38439377"/>
      <w:bookmarkStart w:id="2994" w:name="_Toc38439714"/>
      <w:bookmarkStart w:id="2995" w:name="_Toc38440051"/>
      <w:bookmarkStart w:id="2996" w:name="_Toc38440388"/>
      <w:bookmarkStart w:id="2997" w:name="_Toc38440920"/>
      <w:bookmarkStart w:id="2998" w:name="_Toc38441252"/>
      <w:bookmarkStart w:id="2999" w:name="_Toc38441584"/>
      <w:bookmarkStart w:id="3000" w:name="_Toc38441912"/>
      <w:bookmarkStart w:id="3001" w:name="_Toc38442244"/>
      <w:bookmarkStart w:id="3002" w:name="_Toc38442576"/>
      <w:bookmarkStart w:id="3003" w:name="_Toc38442907"/>
      <w:bookmarkStart w:id="3004" w:name="_Toc38443238"/>
      <w:bookmarkStart w:id="3005" w:name="_Toc38443569"/>
      <w:bookmarkStart w:id="3006" w:name="_Toc38443899"/>
      <w:bookmarkStart w:id="3007" w:name="_Toc38438367"/>
      <w:bookmarkStart w:id="3008" w:name="_Toc38438704"/>
      <w:bookmarkStart w:id="3009" w:name="_Toc38439041"/>
      <w:bookmarkStart w:id="3010" w:name="_Toc38439378"/>
      <w:bookmarkStart w:id="3011" w:name="_Toc38439715"/>
      <w:bookmarkStart w:id="3012" w:name="_Toc38440052"/>
      <w:bookmarkStart w:id="3013" w:name="_Toc38440389"/>
      <w:bookmarkStart w:id="3014" w:name="_Toc38440921"/>
      <w:bookmarkStart w:id="3015" w:name="_Toc38441253"/>
      <w:bookmarkStart w:id="3016" w:name="_Toc38441585"/>
      <w:bookmarkStart w:id="3017" w:name="_Toc38441913"/>
      <w:bookmarkStart w:id="3018" w:name="_Toc38442245"/>
      <w:bookmarkStart w:id="3019" w:name="_Toc38442577"/>
      <w:bookmarkStart w:id="3020" w:name="_Toc38442908"/>
      <w:bookmarkStart w:id="3021" w:name="_Toc38443239"/>
      <w:bookmarkStart w:id="3022" w:name="_Toc38443570"/>
      <w:bookmarkStart w:id="3023" w:name="_Toc38443900"/>
      <w:bookmarkStart w:id="3024" w:name="_Toc38438368"/>
      <w:bookmarkStart w:id="3025" w:name="_Toc38438705"/>
      <w:bookmarkStart w:id="3026" w:name="_Toc38439042"/>
      <w:bookmarkStart w:id="3027" w:name="_Toc38439379"/>
      <w:bookmarkStart w:id="3028" w:name="_Toc38439716"/>
      <w:bookmarkStart w:id="3029" w:name="_Toc38440053"/>
      <w:bookmarkStart w:id="3030" w:name="_Toc38440390"/>
      <w:bookmarkStart w:id="3031" w:name="_Toc38440922"/>
      <w:bookmarkStart w:id="3032" w:name="_Toc38441254"/>
      <w:bookmarkStart w:id="3033" w:name="_Toc38441586"/>
      <w:bookmarkStart w:id="3034" w:name="_Toc38441914"/>
      <w:bookmarkStart w:id="3035" w:name="_Toc38442246"/>
      <w:bookmarkStart w:id="3036" w:name="_Toc38442578"/>
      <w:bookmarkStart w:id="3037" w:name="_Toc38442909"/>
      <w:bookmarkStart w:id="3038" w:name="_Toc38443240"/>
      <w:bookmarkStart w:id="3039" w:name="_Toc38443571"/>
      <w:bookmarkStart w:id="3040" w:name="_Toc38443901"/>
      <w:bookmarkStart w:id="3041" w:name="_Toc38438369"/>
      <w:bookmarkStart w:id="3042" w:name="_Toc38438706"/>
      <w:bookmarkStart w:id="3043" w:name="_Toc38439043"/>
      <w:bookmarkStart w:id="3044" w:name="_Toc38439380"/>
      <w:bookmarkStart w:id="3045" w:name="_Toc38439717"/>
      <w:bookmarkStart w:id="3046" w:name="_Toc38440054"/>
      <w:bookmarkStart w:id="3047" w:name="_Toc38440391"/>
      <w:bookmarkStart w:id="3048" w:name="_Toc38440923"/>
      <w:bookmarkStart w:id="3049" w:name="_Toc38441255"/>
      <w:bookmarkStart w:id="3050" w:name="_Toc38441587"/>
      <w:bookmarkStart w:id="3051" w:name="_Toc38441915"/>
      <w:bookmarkStart w:id="3052" w:name="_Toc38442247"/>
      <w:bookmarkStart w:id="3053" w:name="_Toc38442579"/>
      <w:bookmarkStart w:id="3054" w:name="_Toc38442910"/>
      <w:bookmarkStart w:id="3055" w:name="_Toc38443241"/>
      <w:bookmarkStart w:id="3056" w:name="_Toc38443572"/>
      <w:bookmarkStart w:id="3057" w:name="_Toc38443902"/>
      <w:bookmarkStart w:id="3058" w:name="_Toc38438371"/>
      <w:bookmarkStart w:id="3059" w:name="_Toc38438708"/>
      <w:bookmarkStart w:id="3060" w:name="_Toc38439045"/>
      <w:bookmarkStart w:id="3061" w:name="_Toc38439382"/>
      <w:bookmarkStart w:id="3062" w:name="_Toc38439719"/>
      <w:bookmarkStart w:id="3063" w:name="_Toc38440056"/>
      <w:bookmarkStart w:id="3064" w:name="_Toc38440393"/>
      <w:bookmarkStart w:id="3065" w:name="_Toc38440925"/>
      <w:bookmarkStart w:id="3066" w:name="_Toc38441257"/>
      <w:bookmarkStart w:id="3067" w:name="_Toc38441589"/>
      <w:bookmarkStart w:id="3068" w:name="_Toc38441917"/>
      <w:bookmarkStart w:id="3069" w:name="_Toc38442249"/>
      <w:bookmarkStart w:id="3070" w:name="_Toc38442581"/>
      <w:bookmarkStart w:id="3071" w:name="_Toc38442912"/>
      <w:bookmarkStart w:id="3072" w:name="_Toc38443243"/>
      <w:bookmarkStart w:id="3073" w:name="_Toc38443574"/>
      <w:bookmarkStart w:id="3074" w:name="_Toc38443904"/>
      <w:bookmarkStart w:id="3075" w:name="_Toc38438372"/>
      <w:bookmarkStart w:id="3076" w:name="_Toc38438709"/>
      <w:bookmarkStart w:id="3077" w:name="_Toc38439046"/>
      <w:bookmarkStart w:id="3078" w:name="_Toc38439383"/>
      <w:bookmarkStart w:id="3079" w:name="_Toc38439720"/>
      <w:bookmarkStart w:id="3080" w:name="_Toc38440057"/>
      <w:bookmarkStart w:id="3081" w:name="_Toc38440394"/>
      <w:bookmarkStart w:id="3082" w:name="_Toc38440926"/>
      <w:bookmarkStart w:id="3083" w:name="_Toc38441258"/>
      <w:bookmarkStart w:id="3084" w:name="_Toc38441590"/>
      <w:bookmarkStart w:id="3085" w:name="_Toc38441918"/>
      <w:bookmarkStart w:id="3086" w:name="_Toc38442250"/>
      <w:bookmarkStart w:id="3087" w:name="_Toc38442582"/>
      <w:bookmarkStart w:id="3088" w:name="_Toc38442913"/>
      <w:bookmarkStart w:id="3089" w:name="_Toc38443244"/>
      <w:bookmarkStart w:id="3090" w:name="_Toc38443575"/>
      <w:bookmarkStart w:id="3091" w:name="_Toc38443905"/>
      <w:bookmarkStart w:id="3092" w:name="_Toc38438373"/>
      <w:bookmarkStart w:id="3093" w:name="_Toc38438710"/>
      <w:bookmarkStart w:id="3094" w:name="_Toc38439047"/>
      <w:bookmarkStart w:id="3095" w:name="_Toc38439384"/>
      <w:bookmarkStart w:id="3096" w:name="_Toc38439721"/>
      <w:bookmarkStart w:id="3097" w:name="_Toc38440058"/>
      <w:bookmarkStart w:id="3098" w:name="_Toc38440395"/>
      <w:bookmarkStart w:id="3099" w:name="_Toc38440927"/>
      <w:bookmarkStart w:id="3100" w:name="_Toc38441259"/>
      <w:bookmarkStart w:id="3101" w:name="_Toc38441591"/>
      <w:bookmarkStart w:id="3102" w:name="_Toc38441919"/>
      <w:bookmarkStart w:id="3103" w:name="_Toc38442251"/>
      <w:bookmarkStart w:id="3104" w:name="_Toc38442583"/>
      <w:bookmarkStart w:id="3105" w:name="_Toc38442914"/>
      <w:bookmarkStart w:id="3106" w:name="_Toc38443245"/>
      <w:bookmarkStart w:id="3107" w:name="_Toc38443576"/>
      <w:bookmarkStart w:id="3108" w:name="_Toc38443906"/>
      <w:bookmarkStart w:id="3109" w:name="_Toc38438374"/>
      <w:bookmarkStart w:id="3110" w:name="_Toc38438711"/>
      <w:bookmarkStart w:id="3111" w:name="_Toc38439048"/>
      <w:bookmarkStart w:id="3112" w:name="_Toc38439385"/>
      <w:bookmarkStart w:id="3113" w:name="_Toc38439722"/>
      <w:bookmarkStart w:id="3114" w:name="_Toc38440059"/>
      <w:bookmarkStart w:id="3115" w:name="_Toc38440396"/>
      <w:bookmarkStart w:id="3116" w:name="_Toc38440928"/>
      <w:bookmarkStart w:id="3117" w:name="_Toc38441260"/>
      <w:bookmarkStart w:id="3118" w:name="_Toc38441592"/>
      <w:bookmarkStart w:id="3119" w:name="_Toc38441920"/>
      <w:bookmarkStart w:id="3120" w:name="_Toc38442252"/>
      <w:bookmarkStart w:id="3121" w:name="_Toc38442584"/>
      <w:bookmarkStart w:id="3122" w:name="_Toc38442915"/>
      <w:bookmarkStart w:id="3123" w:name="_Toc38443246"/>
      <w:bookmarkStart w:id="3124" w:name="_Toc38443577"/>
      <w:bookmarkStart w:id="3125" w:name="_Toc38443907"/>
      <w:bookmarkStart w:id="3126" w:name="_Toc38438375"/>
      <w:bookmarkStart w:id="3127" w:name="_Toc38438712"/>
      <w:bookmarkStart w:id="3128" w:name="_Toc38439049"/>
      <w:bookmarkStart w:id="3129" w:name="_Toc38439386"/>
      <w:bookmarkStart w:id="3130" w:name="_Toc38439723"/>
      <w:bookmarkStart w:id="3131" w:name="_Toc38440060"/>
      <w:bookmarkStart w:id="3132" w:name="_Toc38440397"/>
      <w:bookmarkStart w:id="3133" w:name="_Toc38440929"/>
      <w:bookmarkStart w:id="3134" w:name="_Toc38441261"/>
      <w:bookmarkStart w:id="3135" w:name="_Toc38441593"/>
      <w:bookmarkStart w:id="3136" w:name="_Toc38441921"/>
      <w:bookmarkStart w:id="3137" w:name="_Toc38442253"/>
      <w:bookmarkStart w:id="3138" w:name="_Toc38442585"/>
      <w:bookmarkStart w:id="3139" w:name="_Toc38442916"/>
      <w:bookmarkStart w:id="3140" w:name="_Toc38443247"/>
      <w:bookmarkStart w:id="3141" w:name="_Toc38443578"/>
      <w:bookmarkStart w:id="3142" w:name="_Toc38443908"/>
      <w:bookmarkStart w:id="3143" w:name="_Toc38438376"/>
      <w:bookmarkStart w:id="3144" w:name="_Toc38438713"/>
      <w:bookmarkStart w:id="3145" w:name="_Toc38439050"/>
      <w:bookmarkStart w:id="3146" w:name="_Toc38439387"/>
      <w:bookmarkStart w:id="3147" w:name="_Toc38439724"/>
      <w:bookmarkStart w:id="3148" w:name="_Toc38440061"/>
      <w:bookmarkStart w:id="3149" w:name="_Toc38440398"/>
      <w:bookmarkStart w:id="3150" w:name="_Toc38440930"/>
      <w:bookmarkStart w:id="3151" w:name="_Toc38441262"/>
      <w:bookmarkStart w:id="3152" w:name="_Toc38441594"/>
      <w:bookmarkStart w:id="3153" w:name="_Toc38441922"/>
      <w:bookmarkStart w:id="3154" w:name="_Toc38442254"/>
      <w:bookmarkStart w:id="3155" w:name="_Toc38442586"/>
      <w:bookmarkStart w:id="3156" w:name="_Toc38442917"/>
      <w:bookmarkStart w:id="3157" w:name="_Toc38443248"/>
      <w:bookmarkStart w:id="3158" w:name="_Toc38443579"/>
      <w:bookmarkStart w:id="3159" w:name="_Toc38443909"/>
      <w:bookmarkStart w:id="3160" w:name="_Toc38438377"/>
      <w:bookmarkStart w:id="3161" w:name="_Toc38438714"/>
      <w:bookmarkStart w:id="3162" w:name="_Toc38439051"/>
      <w:bookmarkStart w:id="3163" w:name="_Toc38439388"/>
      <w:bookmarkStart w:id="3164" w:name="_Toc38439725"/>
      <w:bookmarkStart w:id="3165" w:name="_Toc38440062"/>
      <w:bookmarkStart w:id="3166" w:name="_Toc38440399"/>
      <w:bookmarkStart w:id="3167" w:name="_Toc38440931"/>
      <w:bookmarkStart w:id="3168" w:name="_Toc38441263"/>
      <w:bookmarkStart w:id="3169" w:name="_Toc38441595"/>
      <w:bookmarkStart w:id="3170" w:name="_Toc38441923"/>
      <w:bookmarkStart w:id="3171" w:name="_Toc38442255"/>
      <w:bookmarkStart w:id="3172" w:name="_Toc38442587"/>
      <w:bookmarkStart w:id="3173" w:name="_Toc38442918"/>
      <w:bookmarkStart w:id="3174" w:name="_Toc38443249"/>
      <w:bookmarkStart w:id="3175" w:name="_Toc38443580"/>
      <w:bookmarkStart w:id="3176" w:name="_Toc38443910"/>
      <w:bookmarkStart w:id="3177" w:name="_Toc38438378"/>
      <w:bookmarkStart w:id="3178" w:name="_Toc38438715"/>
      <w:bookmarkStart w:id="3179" w:name="_Toc38439052"/>
      <w:bookmarkStart w:id="3180" w:name="_Toc38439389"/>
      <w:bookmarkStart w:id="3181" w:name="_Toc38439726"/>
      <w:bookmarkStart w:id="3182" w:name="_Toc38440063"/>
      <w:bookmarkStart w:id="3183" w:name="_Toc38440400"/>
      <w:bookmarkStart w:id="3184" w:name="_Toc38440932"/>
      <w:bookmarkStart w:id="3185" w:name="_Toc38441264"/>
      <w:bookmarkStart w:id="3186" w:name="_Toc38441596"/>
      <w:bookmarkStart w:id="3187" w:name="_Toc38441924"/>
      <w:bookmarkStart w:id="3188" w:name="_Toc38442256"/>
      <w:bookmarkStart w:id="3189" w:name="_Toc38442588"/>
      <w:bookmarkStart w:id="3190" w:name="_Toc38442919"/>
      <w:bookmarkStart w:id="3191" w:name="_Toc38443250"/>
      <w:bookmarkStart w:id="3192" w:name="_Toc38443581"/>
      <w:bookmarkStart w:id="3193" w:name="_Toc38443911"/>
      <w:bookmarkStart w:id="3194" w:name="_Toc38438379"/>
      <w:bookmarkStart w:id="3195" w:name="_Toc38438716"/>
      <w:bookmarkStart w:id="3196" w:name="_Toc38439053"/>
      <w:bookmarkStart w:id="3197" w:name="_Toc38439390"/>
      <w:bookmarkStart w:id="3198" w:name="_Toc38439727"/>
      <w:bookmarkStart w:id="3199" w:name="_Toc38440064"/>
      <w:bookmarkStart w:id="3200" w:name="_Toc38440401"/>
      <w:bookmarkStart w:id="3201" w:name="_Toc38440933"/>
      <w:bookmarkStart w:id="3202" w:name="_Toc38441265"/>
      <w:bookmarkStart w:id="3203" w:name="_Toc38441597"/>
      <w:bookmarkStart w:id="3204" w:name="_Toc38441925"/>
      <w:bookmarkStart w:id="3205" w:name="_Toc38442257"/>
      <w:bookmarkStart w:id="3206" w:name="_Toc38442589"/>
      <w:bookmarkStart w:id="3207" w:name="_Toc38442920"/>
      <w:bookmarkStart w:id="3208" w:name="_Toc38443251"/>
      <w:bookmarkStart w:id="3209" w:name="_Toc38443582"/>
      <w:bookmarkStart w:id="3210" w:name="_Toc38443912"/>
      <w:bookmarkStart w:id="3211" w:name="_Toc38438380"/>
      <w:bookmarkStart w:id="3212" w:name="_Toc38438717"/>
      <w:bookmarkStart w:id="3213" w:name="_Toc38439054"/>
      <w:bookmarkStart w:id="3214" w:name="_Toc38439391"/>
      <w:bookmarkStart w:id="3215" w:name="_Toc38439728"/>
      <w:bookmarkStart w:id="3216" w:name="_Toc38440065"/>
      <w:bookmarkStart w:id="3217" w:name="_Toc38440402"/>
      <w:bookmarkStart w:id="3218" w:name="_Toc38440934"/>
      <w:bookmarkStart w:id="3219" w:name="_Toc38441266"/>
      <w:bookmarkStart w:id="3220" w:name="_Toc38441598"/>
      <w:bookmarkStart w:id="3221" w:name="_Toc38441926"/>
      <w:bookmarkStart w:id="3222" w:name="_Toc38442258"/>
      <w:bookmarkStart w:id="3223" w:name="_Toc38442590"/>
      <w:bookmarkStart w:id="3224" w:name="_Toc38442921"/>
      <w:bookmarkStart w:id="3225" w:name="_Toc38443252"/>
      <w:bookmarkStart w:id="3226" w:name="_Toc38443583"/>
      <w:bookmarkStart w:id="3227" w:name="_Toc38443913"/>
      <w:bookmarkStart w:id="3228" w:name="_Toc38438381"/>
      <w:bookmarkStart w:id="3229" w:name="_Toc38438718"/>
      <w:bookmarkStart w:id="3230" w:name="_Toc38439055"/>
      <w:bookmarkStart w:id="3231" w:name="_Toc38439392"/>
      <w:bookmarkStart w:id="3232" w:name="_Toc38439729"/>
      <w:bookmarkStart w:id="3233" w:name="_Toc38440066"/>
      <w:bookmarkStart w:id="3234" w:name="_Toc38440403"/>
      <w:bookmarkStart w:id="3235" w:name="_Toc38440935"/>
      <w:bookmarkStart w:id="3236" w:name="_Toc38441267"/>
      <w:bookmarkStart w:id="3237" w:name="_Toc38441599"/>
      <w:bookmarkStart w:id="3238" w:name="_Toc38441927"/>
      <w:bookmarkStart w:id="3239" w:name="_Toc38442259"/>
      <w:bookmarkStart w:id="3240" w:name="_Toc38442591"/>
      <w:bookmarkStart w:id="3241" w:name="_Toc38442922"/>
      <w:bookmarkStart w:id="3242" w:name="_Toc38443253"/>
      <w:bookmarkStart w:id="3243" w:name="_Toc38443584"/>
      <w:bookmarkStart w:id="3244" w:name="_Toc38443914"/>
      <w:bookmarkStart w:id="3245" w:name="_Toc38438382"/>
      <w:bookmarkStart w:id="3246" w:name="_Toc38438719"/>
      <w:bookmarkStart w:id="3247" w:name="_Toc38439056"/>
      <w:bookmarkStart w:id="3248" w:name="_Toc38439393"/>
      <w:bookmarkStart w:id="3249" w:name="_Toc38439730"/>
      <w:bookmarkStart w:id="3250" w:name="_Toc38440067"/>
      <w:bookmarkStart w:id="3251" w:name="_Toc38440404"/>
      <w:bookmarkStart w:id="3252" w:name="_Toc38440936"/>
      <w:bookmarkStart w:id="3253" w:name="_Toc38441268"/>
      <w:bookmarkStart w:id="3254" w:name="_Toc38441600"/>
      <w:bookmarkStart w:id="3255" w:name="_Toc38441928"/>
      <w:bookmarkStart w:id="3256" w:name="_Toc38442260"/>
      <w:bookmarkStart w:id="3257" w:name="_Toc38442592"/>
      <w:bookmarkStart w:id="3258" w:name="_Toc38442923"/>
      <w:bookmarkStart w:id="3259" w:name="_Toc38443254"/>
      <w:bookmarkStart w:id="3260" w:name="_Toc38443585"/>
      <w:bookmarkStart w:id="3261" w:name="_Toc38443915"/>
      <w:bookmarkStart w:id="3262" w:name="_Toc38438383"/>
      <w:bookmarkStart w:id="3263" w:name="_Toc38438720"/>
      <w:bookmarkStart w:id="3264" w:name="_Toc38439057"/>
      <w:bookmarkStart w:id="3265" w:name="_Toc38439394"/>
      <w:bookmarkStart w:id="3266" w:name="_Toc38439731"/>
      <w:bookmarkStart w:id="3267" w:name="_Toc38440068"/>
      <w:bookmarkStart w:id="3268" w:name="_Toc38440405"/>
      <w:bookmarkStart w:id="3269" w:name="_Toc38440937"/>
      <w:bookmarkStart w:id="3270" w:name="_Toc38441269"/>
      <w:bookmarkStart w:id="3271" w:name="_Toc38441601"/>
      <w:bookmarkStart w:id="3272" w:name="_Toc38441929"/>
      <w:bookmarkStart w:id="3273" w:name="_Toc38442261"/>
      <w:bookmarkStart w:id="3274" w:name="_Toc38442593"/>
      <w:bookmarkStart w:id="3275" w:name="_Toc38442924"/>
      <w:bookmarkStart w:id="3276" w:name="_Toc38443255"/>
      <w:bookmarkStart w:id="3277" w:name="_Toc38443586"/>
      <w:bookmarkStart w:id="3278" w:name="_Toc38443916"/>
      <w:bookmarkStart w:id="3279" w:name="_Toc38438384"/>
      <w:bookmarkStart w:id="3280" w:name="_Toc38438721"/>
      <w:bookmarkStart w:id="3281" w:name="_Toc38439058"/>
      <w:bookmarkStart w:id="3282" w:name="_Toc38439395"/>
      <w:bookmarkStart w:id="3283" w:name="_Toc38439732"/>
      <w:bookmarkStart w:id="3284" w:name="_Toc38440069"/>
      <w:bookmarkStart w:id="3285" w:name="_Toc38440406"/>
      <w:bookmarkStart w:id="3286" w:name="_Toc38440938"/>
      <w:bookmarkStart w:id="3287" w:name="_Toc38441270"/>
      <w:bookmarkStart w:id="3288" w:name="_Toc38441602"/>
      <w:bookmarkStart w:id="3289" w:name="_Toc38441930"/>
      <w:bookmarkStart w:id="3290" w:name="_Toc38442262"/>
      <w:bookmarkStart w:id="3291" w:name="_Toc38442594"/>
      <w:bookmarkStart w:id="3292" w:name="_Toc38442925"/>
      <w:bookmarkStart w:id="3293" w:name="_Toc38443256"/>
      <w:bookmarkStart w:id="3294" w:name="_Toc38443587"/>
      <w:bookmarkStart w:id="3295" w:name="_Toc38443917"/>
      <w:bookmarkStart w:id="3296" w:name="_Toc38438385"/>
      <w:bookmarkStart w:id="3297" w:name="_Toc38438722"/>
      <w:bookmarkStart w:id="3298" w:name="_Toc38439059"/>
      <w:bookmarkStart w:id="3299" w:name="_Toc38439396"/>
      <w:bookmarkStart w:id="3300" w:name="_Toc38439733"/>
      <w:bookmarkStart w:id="3301" w:name="_Toc38440070"/>
      <w:bookmarkStart w:id="3302" w:name="_Toc38440407"/>
      <w:bookmarkStart w:id="3303" w:name="_Toc38440939"/>
      <w:bookmarkStart w:id="3304" w:name="_Toc38441271"/>
      <w:bookmarkStart w:id="3305" w:name="_Toc38441603"/>
      <w:bookmarkStart w:id="3306" w:name="_Toc38441931"/>
      <w:bookmarkStart w:id="3307" w:name="_Toc38442263"/>
      <w:bookmarkStart w:id="3308" w:name="_Toc38442595"/>
      <w:bookmarkStart w:id="3309" w:name="_Toc38442926"/>
      <w:bookmarkStart w:id="3310" w:name="_Toc38443257"/>
      <w:bookmarkStart w:id="3311" w:name="_Toc38443588"/>
      <w:bookmarkStart w:id="3312" w:name="_Toc38443918"/>
      <w:bookmarkStart w:id="3313" w:name="_Toc38438386"/>
      <w:bookmarkStart w:id="3314" w:name="_Toc38438723"/>
      <w:bookmarkStart w:id="3315" w:name="_Toc38439060"/>
      <w:bookmarkStart w:id="3316" w:name="_Toc38439397"/>
      <w:bookmarkStart w:id="3317" w:name="_Toc38439734"/>
      <w:bookmarkStart w:id="3318" w:name="_Toc38440071"/>
      <w:bookmarkStart w:id="3319" w:name="_Toc38440408"/>
      <w:bookmarkStart w:id="3320" w:name="_Toc38440940"/>
      <w:bookmarkStart w:id="3321" w:name="_Toc38441272"/>
      <w:bookmarkStart w:id="3322" w:name="_Toc38441604"/>
      <w:bookmarkStart w:id="3323" w:name="_Toc38441932"/>
      <w:bookmarkStart w:id="3324" w:name="_Toc38442264"/>
      <w:bookmarkStart w:id="3325" w:name="_Toc38442596"/>
      <w:bookmarkStart w:id="3326" w:name="_Toc38442927"/>
      <w:bookmarkStart w:id="3327" w:name="_Toc38443258"/>
      <w:bookmarkStart w:id="3328" w:name="_Toc38443589"/>
      <w:bookmarkStart w:id="3329" w:name="_Toc38443919"/>
      <w:bookmarkStart w:id="3330" w:name="_Toc38438387"/>
      <w:bookmarkStart w:id="3331" w:name="_Toc38438724"/>
      <w:bookmarkStart w:id="3332" w:name="_Toc38439061"/>
      <w:bookmarkStart w:id="3333" w:name="_Toc38439398"/>
      <w:bookmarkStart w:id="3334" w:name="_Toc38439735"/>
      <w:bookmarkStart w:id="3335" w:name="_Toc38440072"/>
      <w:bookmarkStart w:id="3336" w:name="_Toc38440409"/>
      <w:bookmarkStart w:id="3337" w:name="_Toc38440941"/>
      <w:bookmarkStart w:id="3338" w:name="_Toc38441273"/>
      <w:bookmarkStart w:id="3339" w:name="_Toc38441605"/>
      <w:bookmarkStart w:id="3340" w:name="_Toc38441933"/>
      <w:bookmarkStart w:id="3341" w:name="_Toc38442265"/>
      <w:bookmarkStart w:id="3342" w:name="_Toc38442597"/>
      <w:bookmarkStart w:id="3343" w:name="_Toc38442928"/>
      <w:bookmarkStart w:id="3344" w:name="_Toc38443259"/>
      <w:bookmarkStart w:id="3345" w:name="_Toc38443590"/>
      <w:bookmarkStart w:id="3346" w:name="_Toc38443920"/>
      <w:bookmarkStart w:id="3347" w:name="_Toc38438388"/>
      <w:bookmarkStart w:id="3348" w:name="_Toc38438725"/>
      <w:bookmarkStart w:id="3349" w:name="_Toc38439062"/>
      <w:bookmarkStart w:id="3350" w:name="_Toc38439399"/>
      <w:bookmarkStart w:id="3351" w:name="_Toc38439736"/>
      <w:bookmarkStart w:id="3352" w:name="_Toc38440073"/>
      <w:bookmarkStart w:id="3353" w:name="_Toc38440410"/>
      <w:bookmarkStart w:id="3354" w:name="_Toc38440942"/>
      <w:bookmarkStart w:id="3355" w:name="_Toc38441274"/>
      <w:bookmarkStart w:id="3356" w:name="_Toc38441606"/>
      <w:bookmarkStart w:id="3357" w:name="_Toc38441934"/>
      <w:bookmarkStart w:id="3358" w:name="_Toc38442266"/>
      <w:bookmarkStart w:id="3359" w:name="_Toc38442598"/>
      <w:bookmarkStart w:id="3360" w:name="_Toc38442929"/>
      <w:bookmarkStart w:id="3361" w:name="_Toc38443260"/>
      <w:bookmarkStart w:id="3362" w:name="_Toc38443591"/>
      <w:bookmarkStart w:id="3363" w:name="_Toc38443921"/>
      <w:bookmarkStart w:id="3364" w:name="_Toc38438389"/>
      <w:bookmarkStart w:id="3365" w:name="_Toc38438726"/>
      <w:bookmarkStart w:id="3366" w:name="_Toc38439063"/>
      <w:bookmarkStart w:id="3367" w:name="_Toc38439400"/>
      <w:bookmarkStart w:id="3368" w:name="_Toc38439737"/>
      <w:bookmarkStart w:id="3369" w:name="_Toc38440074"/>
      <w:bookmarkStart w:id="3370" w:name="_Toc38440411"/>
      <w:bookmarkStart w:id="3371" w:name="_Toc38440943"/>
      <w:bookmarkStart w:id="3372" w:name="_Toc38441275"/>
      <w:bookmarkStart w:id="3373" w:name="_Toc38441607"/>
      <w:bookmarkStart w:id="3374" w:name="_Toc38441935"/>
      <w:bookmarkStart w:id="3375" w:name="_Toc38442267"/>
      <w:bookmarkStart w:id="3376" w:name="_Toc38442599"/>
      <w:bookmarkStart w:id="3377" w:name="_Toc38442930"/>
      <w:bookmarkStart w:id="3378" w:name="_Toc38443261"/>
      <w:bookmarkStart w:id="3379" w:name="_Toc38443592"/>
      <w:bookmarkStart w:id="3380" w:name="_Toc38443922"/>
      <w:bookmarkStart w:id="3381" w:name="_Toc38438390"/>
      <w:bookmarkStart w:id="3382" w:name="_Toc38438727"/>
      <w:bookmarkStart w:id="3383" w:name="_Toc38439064"/>
      <w:bookmarkStart w:id="3384" w:name="_Toc38439401"/>
      <w:bookmarkStart w:id="3385" w:name="_Toc38439738"/>
      <w:bookmarkStart w:id="3386" w:name="_Toc38440075"/>
      <w:bookmarkStart w:id="3387" w:name="_Toc38440412"/>
      <w:bookmarkStart w:id="3388" w:name="_Toc38440944"/>
      <w:bookmarkStart w:id="3389" w:name="_Toc38441276"/>
      <w:bookmarkStart w:id="3390" w:name="_Toc38441608"/>
      <w:bookmarkStart w:id="3391" w:name="_Toc38441936"/>
      <w:bookmarkStart w:id="3392" w:name="_Toc38442268"/>
      <w:bookmarkStart w:id="3393" w:name="_Toc38442600"/>
      <w:bookmarkStart w:id="3394" w:name="_Toc38442931"/>
      <w:bookmarkStart w:id="3395" w:name="_Toc38443262"/>
      <w:bookmarkStart w:id="3396" w:name="_Toc38443593"/>
      <w:bookmarkStart w:id="3397" w:name="_Toc38443923"/>
      <w:bookmarkStart w:id="3398" w:name="_Toc38438391"/>
      <w:bookmarkStart w:id="3399" w:name="_Toc38438728"/>
      <w:bookmarkStart w:id="3400" w:name="_Toc38439065"/>
      <w:bookmarkStart w:id="3401" w:name="_Toc38439402"/>
      <w:bookmarkStart w:id="3402" w:name="_Toc38439739"/>
      <w:bookmarkStart w:id="3403" w:name="_Toc38440076"/>
      <w:bookmarkStart w:id="3404" w:name="_Toc38440413"/>
      <w:bookmarkStart w:id="3405" w:name="_Toc38440945"/>
      <w:bookmarkStart w:id="3406" w:name="_Toc38441277"/>
      <w:bookmarkStart w:id="3407" w:name="_Toc38441609"/>
      <w:bookmarkStart w:id="3408" w:name="_Toc38441937"/>
      <w:bookmarkStart w:id="3409" w:name="_Toc38442269"/>
      <w:bookmarkStart w:id="3410" w:name="_Toc38442601"/>
      <w:bookmarkStart w:id="3411" w:name="_Toc38442932"/>
      <w:bookmarkStart w:id="3412" w:name="_Toc38443263"/>
      <w:bookmarkStart w:id="3413" w:name="_Toc38443594"/>
      <w:bookmarkStart w:id="3414" w:name="_Toc38443924"/>
      <w:bookmarkStart w:id="3415" w:name="_Toc38438392"/>
      <w:bookmarkStart w:id="3416" w:name="_Toc38438729"/>
      <w:bookmarkStart w:id="3417" w:name="_Toc38439066"/>
      <w:bookmarkStart w:id="3418" w:name="_Toc38439403"/>
      <w:bookmarkStart w:id="3419" w:name="_Toc38439740"/>
      <w:bookmarkStart w:id="3420" w:name="_Toc38440077"/>
      <w:bookmarkStart w:id="3421" w:name="_Toc38440414"/>
      <w:bookmarkStart w:id="3422" w:name="_Toc38440946"/>
      <w:bookmarkStart w:id="3423" w:name="_Toc38441278"/>
      <w:bookmarkStart w:id="3424" w:name="_Toc38441610"/>
      <w:bookmarkStart w:id="3425" w:name="_Toc38441938"/>
      <w:bookmarkStart w:id="3426" w:name="_Toc38442270"/>
      <w:bookmarkStart w:id="3427" w:name="_Toc38442602"/>
      <w:bookmarkStart w:id="3428" w:name="_Toc38442933"/>
      <w:bookmarkStart w:id="3429" w:name="_Toc38443264"/>
      <w:bookmarkStart w:id="3430" w:name="_Toc38443595"/>
      <w:bookmarkStart w:id="3431" w:name="_Toc38443925"/>
      <w:bookmarkStart w:id="3432" w:name="_Toc38438393"/>
      <w:bookmarkStart w:id="3433" w:name="_Toc38438730"/>
      <w:bookmarkStart w:id="3434" w:name="_Toc38439067"/>
      <w:bookmarkStart w:id="3435" w:name="_Toc38439404"/>
      <w:bookmarkStart w:id="3436" w:name="_Toc38439741"/>
      <w:bookmarkStart w:id="3437" w:name="_Toc38440078"/>
      <w:bookmarkStart w:id="3438" w:name="_Toc38440415"/>
      <w:bookmarkStart w:id="3439" w:name="_Toc38440947"/>
      <w:bookmarkStart w:id="3440" w:name="_Toc38441279"/>
      <w:bookmarkStart w:id="3441" w:name="_Toc38441611"/>
      <w:bookmarkStart w:id="3442" w:name="_Toc38441939"/>
      <w:bookmarkStart w:id="3443" w:name="_Toc38442271"/>
      <w:bookmarkStart w:id="3444" w:name="_Toc38442603"/>
      <w:bookmarkStart w:id="3445" w:name="_Toc38442934"/>
      <w:bookmarkStart w:id="3446" w:name="_Toc38443265"/>
      <w:bookmarkStart w:id="3447" w:name="_Toc38443596"/>
      <w:bookmarkStart w:id="3448" w:name="_Toc38443926"/>
      <w:bookmarkStart w:id="3449" w:name="_Toc38438394"/>
      <w:bookmarkStart w:id="3450" w:name="_Toc38438731"/>
      <w:bookmarkStart w:id="3451" w:name="_Toc38439068"/>
      <w:bookmarkStart w:id="3452" w:name="_Toc38439405"/>
      <w:bookmarkStart w:id="3453" w:name="_Toc38439742"/>
      <w:bookmarkStart w:id="3454" w:name="_Toc38440079"/>
      <w:bookmarkStart w:id="3455" w:name="_Toc38440416"/>
      <w:bookmarkStart w:id="3456" w:name="_Toc38440948"/>
      <w:bookmarkStart w:id="3457" w:name="_Toc38441280"/>
      <w:bookmarkStart w:id="3458" w:name="_Toc38441612"/>
      <w:bookmarkStart w:id="3459" w:name="_Toc38441940"/>
      <w:bookmarkStart w:id="3460" w:name="_Toc38442272"/>
      <w:bookmarkStart w:id="3461" w:name="_Toc38442604"/>
      <w:bookmarkStart w:id="3462" w:name="_Toc38442935"/>
      <w:bookmarkStart w:id="3463" w:name="_Toc38443266"/>
      <w:bookmarkStart w:id="3464" w:name="_Toc38443597"/>
      <w:bookmarkStart w:id="3465" w:name="_Toc38443927"/>
      <w:bookmarkStart w:id="3466" w:name="_Toc38438395"/>
      <w:bookmarkStart w:id="3467" w:name="_Toc38438732"/>
      <w:bookmarkStart w:id="3468" w:name="_Toc38439069"/>
      <w:bookmarkStart w:id="3469" w:name="_Toc38439406"/>
      <w:bookmarkStart w:id="3470" w:name="_Toc38439743"/>
      <w:bookmarkStart w:id="3471" w:name="_Toc38440080"/>
      <w:bookmarkStart w:id="3472" w:name="_Toc38440417"/>
      <w:bookmarkStart w:id="3473" w:name="_Toc38440949"/>
      <w:bookmarkStart w:id="3474" w:name="_Toc38441281"/>
      <w:bookmarkStart w:id="3475" w:name="_Toc38441613"/>
      <w:bookmarkStart w:id="3476" w:name="_Toc38441941"/>
      <w:bookmarkStart w:id="3477" w:name="_Toc38442273"/>
      <w:bookmarkStart w:id="3478" w:name="_Toc38442605"/>
      <w:bookmarkStart w:id="3479" w:name="_Toc38442936"/>
      <w:bookmarkStart w:id="3480" w:name="_Toc38443267"/>
      <w:bookmarkStart w:id="3481" w:name="_Toc38443598"/>
      <w:bookmarkStart w:id="3482" w:name="_Toc38443928"/>
      <w:bookmarkStart w:id="3483" w:name="_Toc38438396"/>
      <w:bookmarkStart w:id="3484" w:name="_Toc38438733"/>
      <w:bookmarkStart w:id="3485" w:name="_Toc38439070"/>
      <w:bookmarkStart w:id="3486" w:name="_Toc38439407"/>
      <w:bookmarkStart w:id="3487" w:name="_Toc38439744"/>
      <w:bookmarkStart w:id="3488" w:name="_Toc38440081"/>
      <w:bookmarkStart w:id="3489" w:name="_Toc38440418"/>
      <w:bookmarkStart w:id="3490" w:name="_Toc38440950"/>
      <w:bookmarkStart w:id="3491" w:name="_Toc38441282"/>
      <w:bookmarkStart w:id="3492" w:name="_Toc38441614"/>
      <w:bookmarkStart w:id="3493" w:name="_Toc38441942"/>
      <w:bookmarkStart w:id="3494" w:name="_Toc38442274"/>
      <w:bookmarkStart w:id="3495" w:name="_Toc38442606"/>
      <w:bookmarkStart w:id="3496" w:name="_Toc38442937"/>
      <w:bookmarkStart w:id="3497" w:name="_Toc38443268"/>
      <w:bookmarkStart w:id="3498" w:name="_Toc38443599"/>
      <w:bookmarkStart w:id="3499" w:name="_Toc38443929"/>
      <w:bookmarkStart w:id="3500" w:name="_Toc38438397"/>
      <w:bookmarkStart w:id="3501" w:name="_Toc38438734"/>
      <w:bookmarkStart w:id="3502" w:name="_Toc38439071"/>
      <w:bookmarkStart w:id="3503" w:name="_Toc38439408"/>
      <w:bookmarkStart w:id="3504" w:name="_Toc38439745"/>
      <w:bookmarkStart w:id="3505" w:name="_Toc38440082"/>
      <w:bookmarkStart w:id="3506" w:name="_Toc38440419"/>
      <w:bookmarkStart w:id="3507" w:name="_Toc38440951"/>
      <w:bookmarkStart w:id="3508" w:name="_Toc38441283"/>
      <w:bookmarkStart w:id="3509" w:name="_Toc38441615"/>
      <w:bookmarkStart w:id="3510" w:name="_Toc38441943"/>
      <w:bookmarkStart w:id="3511" w:name="_Toc38442275"/>
      <w:bookmarkStart w:id="3512" w:name="_Toc38442607"/>
      <w:bookmarkStart w:id="3513" w:name="_Toc38442938"/>
      <w:bookmarkStart w:id="3514" w:name="_Toc38443269"/>
      <w:bookmarkStart w:id="3515" w:name="_Toc38443600"/>
      <w:bookmarkStart w:id="3516" w:name="_Toc38443930"/>
      <w:bookmarkStart w:id="3517" w:name="_Toc38438398"/>
      <w:bookmarkStart w:id="3518" w:name="_Toc38438735"/>
      <w:bookmarkStart w:id="3519" w:name="_Toc38439072"/>
      <w:bookmarkStart w:id="3520" w:name="_Toc38439409"/>
      <w:bookmarkStart w:id="3521" w:name="_Toc38439746"/>
      <w:bookmarkStart w:id="3522" w:name="_Toc38440083"/>
      <w:bookmarkStart w:id="3523" w:name="_Toc38440420"/>
      <w:bookmarkStart w:id="3524" w:name="_Toc38440952"/>
      <w:bookmarkStart w:id="3525" w:name="_Toc38441284"/>
      <w:bookmarkStart w:id="3526" w:name="_Toc38441616"/>
      <w:bookmarkStart w:id="3527" w:name="_Toc38441944"/>
      <w:bookmarkStart w:id="3528" w:name="_Toc38442276"/>
      <w:bookmarkStart w:id="3529" w:name="_Toc38442608"/>
      <w:bookmarkStart w:id="3530" w:name="_Toc38442939"/>
      <w:bookmarkStart w:id="3531" w:name="_Toc38443270"/>
      <w:bookmarkStart w:id="3532" w:name="_Toc38443601"/>
      <w:bookmarkStart w:id="3533" w:name="_Toc38443931"/>
      <w:bookmarkStart w:id="3534" w:name="_Toc38438400"/>
      <w:bookmarkStart w:id="3535" w:name="_Toc38438737"/>
      <w:bookmarkStart w:id="3536" w:name="_Toc38439074"/>
      <w:bookmarkStart w:id="3537" w:name="_Toc38439411"/>
      <w:bookmarkStart w:id="3538" w:name="_Toc38439748"/>
      <w:bookmarkStart w:id="3539" w:name="_Toc38440085"/>
      <w:bookmarkStart w:id="3540" w:name="_Toc38440422"/>
      <w:bookmarkStart w:id="3541" w:name="_Toc38440954"/>
      <w:bookmarkStart w:id="3542" w:name="_Toc38441286"/>
      <w:bookmarkStart w:id="3543" w:name="_Toc38441618"/>
      <w:bookmarkStart w:id="3544" w:name="_Toc38441946"/>
      <w:bookmarkStart w:id="3545" w:name="_Toc38442278"/>
      <w:bookmarkStart w:id="3546" w:name="_Toc38442610"/>
      <w:bookmarkStart w:id="3547" w:name="_Toc38442941"/>
      <w:bookmarkStart w:id="3548" w:name="_Toc38443272"/>
      <w:bookmarkStart w:id="3549" w:name="_Toc38443603"/>
      <w:bookmarkStart w:id="3550" w:name="_Toc38443933"/>
      <w:bookmarkStart w:id="3551" w:name="_Toc38438401"/>
      <w:bookmarkStart w:id="3552" w:name="_Toc38438738"/>
      <w:bookmarkStart w:id="3553" w:name="_Toc38439075"/>
      <w:bookmarkStart w:id="3554" w:name="_Toc38439412"/>
      <w:bookmarkStart w:id="3555" w:name="_Toc38439749"/>
      <w:bookmarkStart w:id="3556" w:name="_Toc38440086"/>
      <w:bookmarkStart w:id="3557" w:name="_Toc38440423"/>
      <w:bookmarkStart w:id="3558" w:name="_Toc38440955"/>
      <w:bookmarkStart w:id="3559" w:name="_Toc38441287"/>
      <w:bookmarkStart w:id="3560" w:name="_Toc38441619"/>
      <w:bookmarkStart w:id="3561" w:name="_Toc38441947"/>
      <w:bookmarkStart w:id="3562" w:name="_Toc38442279"/>
      <w:bookmarkStart w:id="3563" w:name="_Toc38442611"/>
      <w:bookmarkStart w:id="3564" w:name="_Toc38442942"/>
      <w:bookmarkStart w:id="3565" w:name="_Toc38443273"/>
      <w:bookmarkStart w:id="3566" w:name="_Toc38443604"/>
      <w:bookmarkStart w:id="3567" w:name="_Toc38443934"/>
      <w:bookmarkStart w:id="3568" w:name="_Toc38438402"/>
      <w:bookmarkStart w:id="3569" w:name="_Toc38438739"/>
      <w:bookmarkStart w:id="3570" w:name="_Toc38439076"/>
      <w:bookmarkStart w:id="3571" w:name="_Toc38439413"/>
      <w:bookmarkStart w:id="3572" w:name="_Toc38439750"/>
      <w:bookmarkStart w:id="3573" w:name="_Toc38440087"/>
      <w:bookmarkStart w:id="3574" w:name="_Toc38440424"/>
      <w:bookmarkStart w:id="3575" w:name="_Toc38440956"/>
      <w:bookmarkStart w:id="3576" w:name="_Toc38441288"/>
      <w:bookmarkStart w:id="3577" w:name="_Toc38441620"/>
      <w:bookmarkStart w:id="3578" w:name="_Toc38441948"/>
      <w:bookmarkStart w:id="3579" w:name="_Toc38442280"/>
      <w:bookmarkStart w:id="3580" w:name="_Toc38442612"/>
      <w:bookmarkStart w:id="3581" w:name="_Toc38442943"/>
      <w:bookmarkStart w:id="3582" w:name="_Toc38443274"/>
      <w:bookmarkStart w:id="3583" w:name="_Toc38443605"/>
      <w:bookmarkStart w:id="3584" w:name="_Toc38443935"/>
      <w:bookmarkStart w:id="3585" w:name="_Toc38438404"/>
      <w:bookmarkStart w:id="3586" w:name="_Toc38438741"/>
      <w:bookmarkStart w:id="3587" w:name="_Toc38439078"/>
      <w:bookmarkStart w:id="3588" w:name="_Toc38439415"/>
      <w:bookmarkStart w:id="3589" w:name="_Toc38439752"/>
      <w:bookmarkStart w:id="3590" w:name="_Toc38440089"/>
      <w:bookmarkStart w:id="3591" w:name="_Toc38440426"/>
      <w:bookmarkStart w:id="3592" w:name="_Toc38440958"/>
      <w:bookmarkStart w:id="3593" w:name="_Toc38441290"/>
      <w:bookmarkStart w:id="3594" w:name="_Toc38441622"/>
      <w:bookmarkStart w:id="3595" w:name="_Toc38441950"/>
      <w:bookmarkStart w:id="3596" w:name="_Toc38442282"/>
      <w:bookmarkStart w:id="3597" w:name="_Toc38442614"/>
      <w:bookmarkStart w:id="3598" w:name="_Toc38442945"/>
      <w:bookmarkStart w:id="3599" w:name="_Toc38443276"/>
      <w:bookmarkStart w:id="3600" w:name="_Toc38443607"/>
      <w:bookmarkStart w:id="3601" w:name="_Toc38443937"/>
      <w:bookmarkStart w:id="3602" w:name="_Toc38438405"/>
      <w:bookmarkStart w:id="3603" w:name="_Toc38438742"/>
      <w:bookmarkStart w:id="3604" w:name="_Toc38439079"/>
      <w:bookmarkStart w:id="3605" w:name="_Toc38439416"/>
      <w:bookmarkStart w:id="3606" w:name="_Toc38439753"/>
      <w:bookmarkStart w:id="3607" w:name="_Toc38440090"/>
      <w:bookmarkStart w:id="3608" w:name="_Toc38440427"/>
      <w:bookmarkStart w:id="3609" w:name="_Toc38440959"/>
      <w:bookmarkStart w:id="3610" w:name="_Toc38441291"/>
      <w:bookmarkStart w:id="3611" w:name="_Toc38441623"/>
      <w:bookmarkStart w:id="3612" w:name="_Toc38441951"/>
      <w:bookmarkStart w:id="3613" w:name="_Toc38442283"/>
      <w:bookmarkStart w:id="3614" w:name="_Toc38442615"/>
      <w:bookmarkStart w:id="3615" w:name="_Toc38442946"/>
      <w:bookmarkStart w:id="3616" w:name="_Toc38443277"/>
      <w:bookmarkStart w:id="3617" w:name="_Toc38443608"/>
      <w:bookmarkStart w:id="3618" w:name="_Toc38443938"/>
      <w:bookmarkStart w:id="3619" w:name="_Toc38438406"/>
      <w:bookmarkStart w:id="3620" w:name="_Toc38438743"/>
      <w:bookmarkStart w:id="3621" w:name="_Toc38439080"/>
      <w:bookmarkStart w:id="3622" w:name="_Toc38439417"/>
      <w:bookmarkStart w:id="3623" w:name="_Toc38439754"/>
      <w:bookmarkStart w:id="3624" w:name="_Toc38440091"/>
      <w:bookmarkStart w:id="3625" w:name="_Toc38440428"/>
      <w:bookmarkStart w:id="3626" w:name="_Toc38440960"/>
      <w:bookmarkStart w:id="3627" w:name="_Toc38441292"/>
      <w:bookmarkStart w:id="3628" w:name="_Toc38441624"/>
      <w:bookmarkStart w:id="3629" w:name="_Toc38441952"/>
      <w:bookmarkStart w:id="3630" w:name="_Toc38442284"/>
      <w:bookmarkStart w:id="3631" w:name="_Toc38442616"/>
      <w:bookmarkStart w:id="3632" w:name="_Toc38442947"/>
      <w:bookmarkStart w:id="3633" w:name="_Toc38443278"/>
      <w:bookmarkStart w:id="3634" w:name="_Toc38443609"/>
      <w:bookmarkStart w:id="3635" w:name="_Toc38443939"/>
      <w:bookmarkStart w:id="3636" w:name="_Toc38438407"/>
      <w:bookmarkStart w:id="3637" w:name="_Toc38438744"/>
      <w:bookmarkStart w:id="3638" w:name="_Toc38439081"/>
      <w:bookmarkStart w:id="3639" w:name="_Toc38439418"/>
      <w:bookmarkStart w:id="3640" w:name="_Toc38439755"/>
      <w:bookmarkStart w:id="3641" w:name="_Toc38440092"/>
      <w:bookmarkStart w:id="3642" w:name="_Toc38440429"/>
      <w:bookmarkStart w:id="3643" w:name="_Toc38440961"/>
      <w:bookmarkStart w:id="3644" w:name="_Toc38441293"/>
      <w:bookmarkStart w:id="3645" w:name="_Toc38441625"/>
      <w:bookmarkStart w:id="3646" w:name="_Toc38441953"/>
      <w:bookmarkStart w:id="3647" w:name="_Toc38442285"/>
      <w:bookmarkStart w:id="3648" w:name="_Toc38442617"/>
      <w:bookmarkStart w:id="3649" w:name="_Toc38442948"/>
      <w:bookmarkStart w:id="3650" w:name="_Toc38443279"/>
      <w:bookmarkStart w:id="3651" w:name="_Toc38443610"/>
      <w:bookmarkStart w:id="3652" w:name="_Toc38443940"/>
      <w:bookmarkStart w:id="3653" w:name="_Toc38438408"/>
      <w:bookmarkStart w:id="3654" w:name="_Toc38438745"/>
      <w:bookmarkStart w:id="3655" w:name="_Toc38439082"/>
      <w:bookmarkStart w:id="3656" w:name="_Toc38439419"/>
      <w:bookmarkStart w:id="3657" w:name="_Toc38439756"/>
      <w:bookmarkStart w:id="3658" w:name="_Toc38440093"/>
      <w:bookmarkStart w:id="3659" w:name="_Toc38440430"/>
      <w:bookmarkStart w:id="3660" w:name="_Toc38440962"/>
      <w:bookmarkStart w:id="3661" w:name="_Toc38441294"/>
      <w:bookmarkStart w:id="3662" w:name="_Toc38441626"/>
      <w:bookmarkStart w:id="3663" w:name="_Toc38441954"/>
      <w:bookmarkStart w:id="3664" w:name="_Toc38442286"/>
      <w:bookmarkStart w:id="3665" w:name="_Toc38442618"/>
      <w:bookmarkStart w:id="3666" w:name="_Toc38442949"/>
      <w:bookmarkStart w:id="3667" w:name="_Toc38443280"/>
      <w:bookmarkStart w:id="3668" w:name="_Toc38443611"/>
      <w:bookmarkStart w:id="3669" w:name="_Toc38443941"/>
      <w:bookmarkStart w:id="3670" w:name="_Toc38438409"/>
      <w:bookmarkStart w:id="3671" w:name="_Toc38438746"/>
      <w:bookmarkStart w:id="3672" w:name="_Toc38439083"/>
      <w:bookmarkStart w:id="3673" w:name="_Toc38439420"/>
      <w:bookmarkStart w:id="3674" w:name="_Toc38439757"/>
      <w:bookmarkStart w:id="3675" w:name="_Toc38440094"/>
      <w:bookmarkStart w:id="3676" w:name="_Toc38440431"/>
      <w:bookmarkStart w:id="3677" w:name="_Toc38440963"/>
      <w:bookmarkStart w:id="3678" w:name="_Toc38441295"/>
      <w:bookmarkStart w:id="3679" w:name="_Toc38441627"/>
      <w:bookmarkStart w:id="3680" w:name="_Toc38441955"/>
      <w:bookmarkStart w:id="3681" w:name="_Toc38442287"/>
      <w:bookmarkStart w:id="3682" w:name="_Toc38442619"/>
      <w:bookmarkStart w:id="3683" w:name="_Toc38442950"/>
      <w:bookmarkStart w:id="3684" w:name="_Toc38443281"/>
      <w:bookmarkStart w:id="3685" w:name="_Toc38443612"/>
      <w:bookmarkStart w:id="3686" w:name="_Toc38443942"/>
      <w:bookmarkStart w:id="3687" w:name="_Toc38438410"/>
      <w:bookmarkStart w:id="3688" w:name="_Toc38438747"/>
      <w:bookmarkStart w:id="3689" w:name="_Toc38439084"/>
      <w:bookmarkStart w:id="3690" w:name="_Toc38439421"/>
      <w:bookmarkStart w:id="3691" w:name="_Toc38439758"/>
      <w:bookmarkStart w:id="3692" w:name="_Toc38440095"/>
      <w:bookmarkStart w:id="3693" w:name="_Toc38440432"/>
      <w:bookmarkStart w:id="3694" w:name="_Toc38440964"/>
      <w:bookmarkStart w:id="3695" w:name="_Toc38441296"/>
      <w:bookmarkStart w:id="3696" w:name="_Toc38441628"/>
      <w:bookmarkStart w:id="3697" w:name="_Toc38441956"/>
      <w:bookmarkStart w:id="3698" w:name="_Toc38442288"/>
      <w:bookmarkStart w:id="3699" w:name="_Toc38442620"/>
      <w:bookmarkStart w:id="3700" w:name="_Toc38442951"/>
      <w:bookmarkStart w:id="3701" w:name="_Toc38443282"/>
      <w:bookmarkStart w:id="3702" w:name="_Toc38443613"/>
      <w:bookmarkStart w:id="3703" w:name="_Toc38443943"/>
      <w:bookmarkStart w:id="3704" w:name="_Toc38438411"/>
      <w:bookmarkStart w:id="3705" w:name="_Toc38438748"/>
      <w:bookmarkStart w:id="3706" w:name="_Toc38439085"/>
      <w:bookmarkStart w:id="3707" w:name="_Toc38439422"/>
      <w:bookmarkStart w:id="3708" w:name="_Toc38439759"/>
      <w:bookmarkStart w:id="3709" w:name="_Toc38440096"/>
      <w:bookmarkStart w:id="3710" w:name="_Toc38440433"/>
      <w:bookmarkStart w:id="3711" w:name="_Toc38440965"/>
      <w:bookmarkStart w:id="3712" w:name="_Toc38441297"/>
      <w:bookmarkStart w:id="3713" w:name="_Toc38441629"/>
      <w:bookmarkStart w:id="3714" w:name="_Toc38441957"/>
      <w:bookmarkStart w:id="3715" w:name="_Toc38442289"/>
      <w:bookmarkStart w:id="3716" w:name="_Toc38442621"/>
      <w:bookmarkStart w:id="3717" w:name="_Toc38442952"/>
      <w:bookmarkStart w:id="3718" w:name="_Toc38443283"/>
      <w:bookmarkStart w:id="3719" w:name="_Toc38443614"/>
      <w:bookmarkStart w:id="3720" w:name="_Toc38443944"/>
      <w:bookmarkStart w:id="3721" w:name="_Toc38438412"/>
      <w:bookmarkStart w:id="3722" w:name="_Toc38438749"/>
      <w:bookmarkStart w:id="3723" w:name="_Toc38439086"/>
      <w:bookmarkStart w:id="3724" w:name="_Toc38439423"/>
      <w:bookmarkStart w:id="3725" w:name="_Toc38439760"/>
      <w:bookmarkStart w:id="3726" w:name="_Toc38440097"/>
      <w:bookmarkStart w:id="3727" w:name="_Toc38440434"/>
      <w:bookmarkStart w:id="3728" w:name="_Toc38440966"/>
      <w:bookmarkStart w:id="3729" w:name="_Toc38441298"/>
      <w:bookmarkStart w:id="3730" w:name="_Toc38441630"/>
      <w:bookmarkStart w:id="3731" w:name="_Toc38441958"/>
      <w:bookmarkStart w:id="3732" w:name="_Toc38442290"/>
      <w:bookmarkStart w:id="3733" w:name="_Toc38442622"/>
      <w:bookmarkStart w:id="3734" w:name="_Toc38442953"/>
      <w:bookmarkStart w:id="3735" w:name="_Toc38443284"/>
      <w:bookmarkStart w:id="3736" w:name="_Toc38443615"/>
      <w:bookmarkStart w:id="3737" w:name="_Toc38443945"/>
      <w:bookmarkStart w:id="3738" w:name="_Toc38438413"/>
      <w:bookmarkStart w:id="3739" w:name="_Toc38438750"/>
      <w:bookmarkStart w:id="3740" w:name="_Toc38439087"/>
      <w:bookmarkStart w:id="3741" w:name="_Toc38439424"/>
      <w:bookmarkStart w:id="3742" w:name="_Toc38439761"/>
      <w:bookmarkStart w:id="3743" w:name="_Toc38440098"/>
      <w:bookmarkStart w:id="3744" w:name="_Toc38440435"/>
      <w:bookmarkStart w:id="3745" w:name="_Toc38440967"/>
      <w:bookmarkStart w:id="3746" w:name="_Toc38441299"/>
      <w:bookmarkStart w:id="3747" w:name="_Toc38441631"/>
      <w:bookmarkStart w:id="3748" w:name="_Toc38441959"/>
      <w:bookmarkStart w:id="3749" w:name="_Toc38442291"/>
      <w:bookmarkStart w:id="3750" w:name="_Toc38442623"/>
      <w:bookmarkStart w:id="3751" w:name="_Toc38442954"/>
      <w:bookmarkStart w:id="3752" w:name="_Toc38443285"/>
      <w:bookmarkStart w:id="3753" w:name="_Toc38443616"/>
      <w:bookmarkStart w:id="3754" w:name="_Toc38443946"/>
      <w:bookmarkStart w:id="3755" w:name="_Toc38438414"/>
      <w:bookmarkStart w:id="3756" w:name="_Toc38438751"/>
      <w:bookmarkStart w:id="3757" w:name="_Toc38439088"/>
      <w:bookmarkStart w:id="3758" w:name="_Toc38439425"/>
      <w:bookmarkStart w:id="3759" w:name="_Toc38439762"/>
      <w:bookmarkStart w:id="3760" w:name="_Toc38440099"/>
      <w:bookmarkStart w:id="3761" w:name="_Toc38440436"/>
      <w:bookmarkStart w:id="3762" w:name="_Toc38440968"/>
      <w:bookmarkStart w:id="3763" w:name="_Toc38441300"/>
      <w:bookmarkStart w:id="3764" w:name="_Toc38441632"/>
      <w:bookmarkStart w:id="3765" w:name="_Toc38441960"/>
      <w:bookmarkStart w:id="3766" w:name="_Toc38442292"/>
      <w:bookmarkStart w:id="3767" w:name="_Toc38442624"/>
      <w:bookmarkStart w:id="3768" w:name="_Toc38442955"/>
      <w:bookmarkStart w:id="3769" w:name="_Toc38443286"/>
      <w:bookmarkStart w:id="3770" w:name="_Toc38443617"/>
      <w:bookmarkStart w:id="3771" w:name="_Toc38443947"/>
      <w:bookmarkStart w:id="3772" w:name="_Toc38438415"/>
      <w:bookmarkStart w:id="3773" w:name="_Toc38438752"/>
      <w:bookmarkStart w:id="3774" w:name="_Toc38439089"/>
      <w:bookmarkStart w:id="3775" w:name="_Toc38439426"/>
      <w:bookmarkStart w:id="3776" w:name="_Toc38439763"/>
      <w:bookmarkStart w:id="3777" w:name="_Toc38440100"/>
      <w:bookmarkStart w:id="3778" w:name="_Toc38440437"/>
      <w:bookmarkStart w:id="3779" w:name="_Toc38440969"/>
      <w:bookmarkStart w:id="3780" w:name="_Toc38441301"/>
      <w:bookmarkStart w:id="3781" w:name="_Toc38441633"/>
      <w:bookmarkStart w:id="3782" w:name="_Toc38441961"/>
      <w:bookmarkStart w:id="3783" w:name="_Toc38442293"/>
      <w:bookmarkStart w:id="3784" w:name="_Toc38442625"/>
      <w:bookmarkStart w:id="3785" w:name="_Toc38442956"/>
      <w:bookmarkStart w:id="3786" w:name="_Toc38443287"/>
      <w:bookmarkStart w:id="3787" w:name="_Toc38443618"/>
      <w:bookmarkStart w:id="3788" w:name="_Toc38443948"/>
      <w:bookmarkStart w:id="3789" w:name="_Toc38438416"/>
      <w:bookmarkStart w:id="3790" w:name="_Toc38438753"/>
      <w:bookmarkStart w:id="3791" w:name="_Toc38439090"/>
      <w:bookmarkStart w:id="3792" w:name="_Toc38439427"/>
      <w:bookmarkStart w:id="3793" w:name="_Toc38439764"/>
      <w:bookmarkStart w:id="3794" w:name="_Toc38440101"/>
      <w:bookmarkStart w:id="3795" w:name="_Toc38440438"/>
      <w:bookmarkStart w:id="3796" w:name="_Toc38440970"/>
      <w:bookmarkStart w:id="3797" w:name="_Toc38441302"/>
      <w:bookmarkStart w:id="3798" w:name="_Toc38441634"/>
      <w:bookmarkStart w:id="3799" w:name="_Toc38441962"/>
      <w:bookmarkStart w:id="3800" w:name="_Toc38442294"/>
      <w:bookmarkStart w:id="3801" w:name="_Toc38442626"/>
      <w:bookmarkStart w:id="3802" w:name="_Toc38442957"/>
      <w:bookmarkStart w:id="3803" w:name="_Toc38443288"/>
      <w:bookmarkStart w:id="3804" w:name="_Toc38443619"/>
      <w:bookmarkStart w:id="3805" w:name="_Toc38443949"/>
      <w:bookmarkStart w:id="3806" w:name="_Toc38438417"/>
      <w:bookmarkStart w:id="3807" w:name="_Toc38438754"/>
      <w:bookmarkStart w:id="3808" w:name="_Toc38439091"/>
      <w:bookmarkStart w:id="3809" w:name="_Toc38439428"/>
      <w:bookmarkStart w:id="3810" w:name="_Toc38439765"/>
      <w:bookmarkStart w:id="3811" w:name="_Toc38440102"/>
      <w:bookmarkStart w:id="3812" w:name="_Toc38440439"/>
      <w:bookmarkStart w:id="3813" w:name="_Toc38440971"/>
      <w:bookmarkStart w:id="3814" w:name="_Toc38441303"/>
      <w:bookmarkStart w:id="3815" w:name="_Toc38441635"/>
      <w:bookmarkStart w:id="3816" w:name="_Toc38441963"/>
      <w:bookmarkStart w:id="3817" w:name="_Toc38442295"/>
      <w:bookmarkStart w:id="3818" w:name="_Toc38442627"/>
      <w:bookmarkStart w:id="3819" w:name="_Toc38442958"/>
      <w:bookmarkStart w:id="3820" w:name="_Toc38443289"/>
      <w:bookmarkStart w:id="3821" w:name="_Toc38443620"/>
      <w:bookmarkStart w:id="3822" w:name="_Toc38443950"/>
      <w:bookmarkStart w:id="3823" w:name="_Toc38438418"/>
      <w:bookmarkStart w:id="3824" w:name="_Toc38438755"/>
      <w:bookmarkStart w:id="3825" w:name="_Toc38439092"/>
      <w:bookmarkStart w:id="3826" w:name="_Toc38439429"/>
      <w:bookmarkStart w:id="3827" w:name="_Toc38439766"/>
      <w:bookmarkStart w:id="3828" w:name="_Toc38440103"/>
      <w:bookmarkStart w:id="3829" w:name="_Toc38440440"/>
      <w:bookmarkStart w:id="3830" w:name="_Toc38440972"/>
      <w:bookmarkStart w:id="3831" w:name="_Toc38441304"/>
      <w:bookmarkStart w:id="3832" w:name="_Toc38441636"/>
      <w:bookmarkStart w:id="3833" w:name="_Toc38441964"/>
      <w:bookmarkStart w:id="3834" w:name="_Toc38442296"/>
      <w:bookmarkStart w:id="3835" w:name="_Toc38442628"/>
      <w:bookmarkStart w:id="3836" w:name="_Toc38442959"/>
      <w:bookmarkStart w:id="3837" w:name="_Toc38443290"/>
      <w:bookmarkStart w:id="3838" w:name="_Toc38443621"/>
      <w:bookmarkStart w:id="3839" w:name="_Toc38443951"/>
      <w:bookmarkStart w:id="3840" w:name="_Toc38438419"/>
      <w:bookmarkStart w:id="3841" w:name="_Toc38438756"/>
      <w:bookmarkStart w:id="3842" w:name="_Toc38439093"/>
      <w:bookmarkStart w:id="3843" w:name="_Toc38439430"/>
      <w:bookmarkStart w:id="3844" w:name="_Toc38439767"/>
      <w:bookmarkStart w:id="3845" w:name="_Toc38440104"/>
      <w:bookmarkStart w:id="3846" w:name="_Toc38440441"/>
      <w:bookmarkStart w:id="3847" w:name="_Toc38440973"/>
      <w:bookmarkStart w:id="3848" w:name="_Toc38441305"/>
      <w:bookmarkStart w:id="3849" w:name="_Toc38441637"/>
      <w:bookmarkStart w:id="3850" w:name="_Toc38441965"/>
      <w:bookmarkStart w:id="3851" w:name="_Toc38442297"/>
      <w:bookmarkStart w:id="3852" w:name="_Toc38442629"/>
      <w:bookmarkStart w:id="3853" w:name="_Toc38442960"/>
      <w:bookmarkStart w:id="3854" w:name="_Toc38443291"/>
      <w:bookmarkStart w:id="3855" w:name="_Toc38443622"/>
      <w:bookmarkStart w:id="3856" w:name="_Toc38443952"/>
      <w:bookmarkStart w:id="3857" w:name="_Toc38438420"/>
      <w:bookmarkStart w:id="3858" w:name="_Toc38438757"/>
      <w:bookmarkStart w:id="3859" w:name="_Toc38439094"/>
      <w:bookmarkStart w:id="3860" w:name="_Toc38439431"/>
      <w:bookmarkStart w:id="3861" w:name="_Toc38439768"/>
      <w:bookmarkStart w:id="3862" w:name="_Toc38440105"/>
      <w:bookmarkStart w:id="3863" w:name="_Toc38440442"/>
      <w:bookmarkStart w:id="3864" w:name="_Toc38440974"/>
      <w:bookmarkStart w:id="3865" w:name="_Toc38441306"/>
      <w:bookmarkStart w:id="3866" w:name="_Toc38441638"/>
      <w:bookmarkStart w:id="3867" w:name="_Toc38441966"/>
      <w:bookmarkStart w:id="3868" w:name="_Toc38442298"/>
      <w:bookmarkStart w:id="3869" w:name="_Toc38442630"/>
      <w:bookmarkStart w:id="3870" w:name="_Toc38442961"/>
      <w:bookmarkStart w:id="3871" w:name="_Toc38443292"/>
      <w:bookmarkStart w:id="3872" w:name="_Toc38443623"/>
      <w:bookmarkStart w:id="3873" w:name="_Toc38443953"/>
      <w:bookmarkStart w:id="3874" w:name="_Toc38438421"/>
      <w:bookmarkStart w:id="3875" w:name="_Toc38438758"/>
      <w:bookmarkStart w:id="3876" w:name="_Toc38439095"/>
      <w:bookmarkStart w:id="3877" w:name="_Toc38439432"/>
      <w:bookmarkStart w:id="3878" w:name="_Toc38439769"/>
      <w:bookmarkStart w:id="3879" w:name="_Toc38440106"/>
      <w:bookmarkStart w:id="3880" w:name="_Toc38440443"/>
      <w:bookmarkStart w:id="3881" w:name="_Toc38440975"/>
      <w:bookmarkStart w:id="3882" w:name="_Toc38441307"/>
      <w:bookmarkStart w:id="3883" w:name="_Toc38441639"/>
      <w:bookmarkStart w:id="3884" w:name="_Toc38441967"/>
      <w:bookmarkStart w:id="3885" w:name="_Toc38442299"/>
      <w:bookmarkStart w:id="3886" w:name="_Toc38442631"/>
      <w:bookmarkStart w:id="3887" w:name="_Toc38442962"/>
      <w:bookmarkStart w:id="3888" w:name="_Toc38443293"/>
      <w:bookmarkStart w:id="3889" w:name="_Toc38443624"/>
      <w:bookmarkStart w:id="3890" w:name="_Toc38443954"/>
      <w:bookmarkStart w:id="3891" w:name="_Toc38438422"/>
      <w:bookmarkStart w:id="3892" w:name="_Toc38438759"/>
      <w:bookmarkStart w:id="3893" w:name="_Toc38439096"/>
      <w:bookmarkStart w:id="3894" w:name="_Toc38439433"/>
      <w:bookmarkStart w:id="3895" w:name="_Toc38439770"/>
      <w:bookmarkStart w:id="3896" w:name="_Toc38440107"/>
      <w:bookmarkStart w:id="3897" w:name="_Toc38440444"/>
      <w:bookmarkStart w:id="3898" w:name="_Toc38440976"/>
      <w:bookmarkStart w:id="3899" w:name="_Toc38441308"/>
      <w:bookmarkStart w:id="3900" w:name="_Toc38441640"/>
      <w:bookmarkStart w:id="3901" w:name="_Toc38441968"/>
      <w:bookmarkStart w:id="3902" w:name="_Toc38442300"/>
      <w:bookmarkStart w:id="3903" w:name="_Toc38442632"/>
      <w:bookmarkStart w:id="3904" w:name="_Toc38442963"/>
      <w:bookmarkStart w:id="3905" w:name="_Toc38443294"/>
      <w:bookmarkStart w:id="3906" w:name="_Toc38443625"/>
      <w:bookmarkStart w:id="3907" w:name="_Toc38443955"/>
      <w:bookmarkStart w:id="3908" w:name="_Toc38438423"/>
      <w:bookmarkStart w:id="3909" w:name="_Toc38438760"/>
      <w:bookmarkStart w:id="3910" w:name="_Toc38439097"/>
      <w:bookmarkStart w:id="3911" w:name="_Toc38439434"/>
      <w:bookmarkStart w:id="3912" w:name="_Toc38439771"/>
      <w:bookmarkStart w:id="3913" w:name="_Toc38440108"/>
      <w:bookmarkStart w:id="3914" w:name="_Toc38440445"/>
      <w:bookmarkStart w:id="3915" w:name="_Toc38440977"/>
      <w:bookmarkStart w:id="3916" w:name="_Toc38441309"/>
      <w:bookmarkStart w:id="3917" w:name="_Toc38441641"/>
      <w:bookmarkStart w:id="3918" w:name="_Toc38441969"/>
      <w:bookmarkStart w:id="3919" w:name="_Toc38442301"/>
      <w:bookmarkStart w:id="3920" w:name="_Toc38442633"/>
      <w:bookmarkStart w:id="3921" w:name="_Toc38442964"/>
      <w:bookmarkStart w:id="3922" w:name="_Toc38443295"/>
      <w:bookmarkStart w:id="3923" w:name="_Toc38443626"/>
      <w:bookmarkStart w:id="3924" w:name="_Toc38443956"/>
      <w:bookmarkStart w:id="3925" w:name="_Toc38438424"/>
      <w:bookmarkStart w:id="3926" w:name="_Toc38438761"/>
      <w:bookmarkStart w:id="3927" w:name="_Toc38439098"/>
      <w:bookmarkStart w:id="3928" w:name="_Toc38439435"/>
      <w:bookmarkStart w:id="3929" w:name="_Toc38439772"/>
      <w:bookmarkStart w:id="3930" w:name="_Toc38440109"/>
      <w:bookmarkStart w:id="3931" w:name="_Toc38440446"/>
      <w:bookmarkStart w:id="3932" w:name="_Toc38440978"/>
      <w:bookmarkStart w:id="3933" w:name="_Toc38441310"/>
      <w:bookmarkStart w:id="3934" w:name="_Toc38441642"/>
      <w:bookmarkStart w:id="3935" w:name="_Toc38441970"/>
      <w:bookmarkStart w:id="3936" w:name="_Toc38442302"/>
      <w:bookmarkStart w:id="3937" w:name="_Toc38442634"/>
      <w:bookmarkStart w:id="3938" w:name="_Toc38442965"/>
      <w:bookmarkStart w:id="3939" w:name="_Toc38443296"/>
      <w:bookmarkStart w:id="3940" w:name="_Toc38443627"/>
      <w:bookmarkStart w:id="3941" w:name="_Toc38443957"/>
      <w:bookmarkStart w:id="3942" w:name="_Toc38438425"/>
      <w:bookmarkStart w:id="3943" w:name="_Toc38438762"/>
      <w:bookmarkStart w:id="3944" w:name="_Toc38439099"/>
      <w:bookmarkStart w:id="3945" w:name="_Toc38439436"/>
      <w:bookmarkStart w:id="3946" w:name="_Toc38439773"/>
      <w:bookmarkStart w:id="3947" w:name="_Toc38440110"/>
      <w:bookmarkStart w:id="3948" w:name="_Toc38440447"/>
      <w:bookmarkStart w:id="3949" w:name="_Toc38440979"/>
      <w:bookmarkStart w:id="3950" w:name="_Toc38441311"/>
      <w:bookmarkStart w:id="3951" w:name="_Toc38441643"/>
      <w:bookmarkStart w:id="3952" w:name="_Toc38441971"/>
      <w:bookmarkStart w:id="3953" w:name="_Toc38442303"/>
      <w:bookmarkStart w:id="3954" w:name="_Toc38442635"/>
      <w:bookmarkStart w:id="3955" w:name="_Toc38442966"/>
      <w:bookmarkStart w:id="3956" w:name="_Toc38443297"/>
      <w:bookmarkStart w:id="3957" w:name="_Toc38443628"/>
      <w:bookmarkStart w:id="3958" w:name="_Toc38443958"/>
      <w:bookmarkStart w:id="3959" w:name="_Toc38438426"/>
      <w:bookmarkStart w:id="3960" w:name="_Toc38438763"/>
      <w:bookmarkStart w:id="3961" w:name="_Toc38439100"/>
      <w:bookmarkStart w:id="3962" w:name="_Toc38439437"/>
      <w:bookmarkStart w:id="3963" w:name="_Toc38439774"/>
      <w:bookmarkStart w:id="3964" w:name="_Toc38440111"/>
      <w:bookmarkStart w:id="3965" w:name="_Toc38440448"/>
      <w:bookmarkStart w:id="3966" w:name="_Toc38440980"/>
      <w:bookmarkStart w:id="3967" w:name="_Toc38441312"/>
      <w:bookmarkStart w:id="3968" w:name="_Toc38441644"/>
      <w:bookmarkStart w:id="3969" w:name="_Toc38441972"/>
      <w:bookmarkStart w:id="3970" w:name="_Toc38442304"/>
      <w:bookmarkStart w:id="3971" w:name="_Toc38442636"/>
      <w:bookmarkStart w:id="3972" w:name="_Toc38442967"/>
      <w:bookmarkStart w:id="3973" w:name="_Toc38443298"/>
      <w:bookmarkStart w:id="3974" w:name="_Toc38443629"/>
      <w:bookmarkStart w:id="3975" w:name="_Toc38443959"/>
      <w:bookmarkStart w:id="3976" w:name="_Toc38438427"/>
      <w:bookmarkStart w:id="3977" w:name="_Toc38438764"/>
      <w:bookmarkStart w:id="3978" w:name="_Toc38439101"/>
      <w:bookmarkStart w:id="3979" w:name="_Toc38439438"/>
      <w:bookmarkStart w:id="3980" w:name="_Toc38439775"/>
      <w:bookmarkStart w:id="3981" w:name="_Toc38440112"/>
      <w:bookmarkStart w:id="3982" w:name="_Toc38440449"/>
      <w:bookmarkStart w:id="3983" w:name="_Toc38440981"/>
      <w:bookmarkStart w:id="3984" w:name="_Toc38441313"/>
      <w:bookmarkStart w:id="3985" w:name="_Toc38441645"/>
      <w:bookmarkStart w:id="3986" w:name="_Toc38441973"/>
      <w:bookmarkStart w:id="3987" w:name="_Toc38442305"/>
      <w:bookmarkStart w:id="3988" w:name="_Toc38442637"/>
      <w:bookmarkStart w:id="3989" w:name="_Toc38442968"/>
      <w:bookmarkStart w:id="3990" w:name="_Toc38443299"/>
      <w:bookmarkStart w:id="3991" w:name="_Toc38443630"/>
      <w:bookmarkStart w:id="3992" w:name="_Toc38443960"/>
      <w:bookmarkStart w:id="3993" w:name="_Toc38438428"/>
      <w:bookmarkStart w:id="3994" w:name="_Toc38438765"/>
      <w:bookmarkStart w:id="3995" w:name="_Toc38439102"/>
      <w:bookmarkStart w:id="3996" w:name="_Toc38439439"/>
      <w:bookmarkStart w:id="3997" w:name="_Toc38439776"/>
      <w:bookmarkStart w:id="3998" w:name="_Toc38440113"/>
      <w:bookmarkStart w:id="3999" w:name="_Toc38440450"/>
      <w:bookmarkStart w:id="4000" w:name="_Toc38440982"/>
      <w:bookmarkStart w:id="4001" w:name="_Toc38441314"/>
      <w:bookmarkStart w:id="4002" w:name="_Toc38441646"/>
      <w:bookmarkStart w:id="4003" w:name="_Toc38441974"/>
      <w:bookmarkStart w:id="4004" w:name="_Toc38442306"/>
      <w:bookmarkStart w:id="4005" w:name="_Toc38442638"/>
      <w:bookmarkStart w:id="4006" w:name="_Toc38442969"/>
      <w:bookmarkStart w:id="4007" w:name="_Toc38443300"/>
      <w:bookmarkStart w:id="4008" w:name="_Toc38443631"/>
      <w:bookmarkStart w:id="4009" w:name="_Toc38443961"/>
      <w:bookmarkStart w:id="4010" w:name="_Toc38438429"/>
      <w:bookmarkStart w:id="4011" w:name="_Toc38438766"/>
      <w:bookmarkStart w:id="4012" w:name="_Toc38439103"/>
      <w:bookmarkStart w:id="4013" w:name="_Toc38439440"/>
      <w:bookmarkStart w:id="4014" w:name="_Toc38439777"/>
      <w:bookmarkStart w:id="4015" w:name="_Toc38440114"/>
      <w:bookmarkStart w:id="4016" w:name="_Toc38440451"/>
      <w:bookmarkStart w:id="4017" w:name="_Toc38440983"/>
      <w:bookmarkStart w:id="4018" w:name="_Toc38441315"/>
      <w:bookmarkStart w:id="4019" w:name="_Toc38441647"/>
      <w:bookmarkStart w:id="4020" w:name="_Toc38441975"/>
      <w:bookmarkStart w:id="4021" w:name="_Toc38442307"/>
      <w:bookmarkStart w:id="4022" w:name="_Toc38442639"/>
      <w:bookmarkStart w:id="4023" w:name="_Toc38442970"/>
      <w:bookmarkStart w:id="4024" w:name="_Toc38443301"/>
      <w:bookmarkStart w:id="4025" w:name="_Toc38443632"/>
      <w:bookmarkStart w:id="4026" w:name="_Toc38443962"/>
      <w:bookmarkStart w:id="4027" w:name="_Toc38438430"/>
      <w:bookmarkStart w:id="4028" w:name="_Toc38438767"/>
      <w:bookmarkStart w:id="4029" w:name="_Toc38439104"/>
      <w:bookmarkStart w:id="4030" w:name="_Toc38439441"/>
      <w:bookmarkStart w:id="4031" w:name="_Toc38439778"/>
      <w:bookmarkStart w:id="4032" w:name="_Toc38440115"/>
      <w:bookmarkStart w:id="4033" w:name="_Toc38440452"/>
      <w:bookmarkStart w:id="4034" w:name="_Toc38440984"/>
      <w:bookmarkStart w:id="4035" w:name="_Toc38441316"/>
      <w:bookmarkStart w:id="4036" w:name="_Toc38441648"/>
      <w:bookmarkStart w:id="4037" w:name="_Toc38441976"/>
      <w:bookmarkStart w:id="4038" w:name="_Toc38442308"/>
      <w:bookmarkStart w:id="4039" w:name="_Toc38442640"/>
      <w:bookmarkStart w:id="4040" w:name="_Toc38442971"/>
      <w:bookmarkStart w:id="4041" w:name="_Toc38443302"/>
      <w:bookmarkStart w:id="4042" w:name="_Toc38443633"/>
      <w:bookmarkStart w:id="4043" w:name="_Toc38443963"/>
      <w:bookmarkStart w:id="4044" w:name="_Toc38438431"/>
      <w:bookmarkStart w:id="4045" w:name="_Toc38438768"/>
      <w:bookmarkStart w:id="4046" w:name="_Toc38439105"/>
      <w:bookmarkStart w:id="4047" w:name="_Toc38439442"/>
      <w:bookmarkStart w:id="4048" w:name="_Toc38439779"/>
      <w:bookmarkStart w:id="4049" w:name="_Toc38440116"/>
      <w:bookmarkStart w:id="4050" w:name="_Toc38440453"/>
      <w:bookmarkStart w:id="4051" w:name="_Toc38440985"/>
      <w:bookmarkStart w:id="4052" w:name="_Toc38441317"/>
      <w:bookmarkStart w:id="4053" w:name="_Toc38441649"/>
      <w:bookmarkStart w:id="4054" w:name="_Toc38441977"/>
      <w:bookmarkStart w:id="4055" w:name="_Toc38442309"/>
      <w:bookmarkStart w:id="4056" w:name="_Toc38442641"/>
      <w:bookmarkStart w:id="4057" w:name="_Toc38442972"/>
      <w:bookmarkStart w:id="4058" w:name="_Toc38443303"/>
      <w:bookmarkStart w:id="4059" w:name="_Toc38443634"/>
      <w:bookmarkStart w:id="4060" w:name="_Toc38443964"/>
      <w:bookmarkStart w:id="4061" w:name="_Toc38438432"/>
      <w:bookmarkStart w:id="4062" w:name="_Toc38438769"/>
      <w:bookmarkStart w:id="4063" w:name="_Toc38439106"/>
      <w:bookmarkStart w:id="4064" w:name="_Toc38439443"/>
      <w:bookmarkStart w:id="4065" w:name="_Toc38439780"/>
      <w:bookmarkStart w:id="4066" w:name="_Toc38440117"/>
      <w:bookmarkStart w:id="4067" w:name="_Toc38440454"/>
      <w:bookmarkStart w:id="4068" w:name="_Toc38440986"/>
      <w:bookmarkStart w:id="4069" w:name="_Toc38441318"/>
      <w:bookmarkStart w:id="4070" w:name="_Toc38441650"/>
      <w:bookmarkStart w:id="4071" w:name="_Toc38441978"/>
      <w:bookmarkStart w:id="4072" w:name="_Toc38442310"/>
      <w:bookmarkStart w:id="4073" w:name="_Toc38442642"/>
      <w:bookmarkStart w:id="4074" w:name="_Toc38442973"/>
      <w:bookmarkStart w:id="4075" w:name="_Toc38443304"/>
      <w:bookmarkStart w:id="4076" w:name="_Toc38443635"/>
      <w:bookmarkStart w:id="4077" w:name="_Toc38443965"/>
      <w:bookmarkStart w:id="4078" w:name="_Toc38438433"/>
      <w:bookmarkStart w:id="4079" w:name="_Toc38438770"/>
      <w:bookmarkStart w:id="4080" w:name="_Toc38439107"/>
      <w:bookmarkStart w:id="4081" w:name="_Toc38439444"/>
      <w:bookmarkStart w:id="4082" w:name="_Toc38439781"/>
      <w:bookmarkStart w:id="4083" w:name="_Toc38440118"/>
      <w:bookmarkStart w:id="4084" w:name="_Toc38440455"/>
      <w:bookmarkStart w:id="4085" w:name="_Toc38440987"/>
      <w:bookmarkStart w:id="4086" w:name="_Toc38441319"/>
      <w:bookmarkStart w:id="4087" w:name="_Toc38441651"/>
      <w:bookmarkStart w:id="4088" w:name="_Toc38441979"/>
      <w:bookmarkStart w:id="4089" w:name="_Toc38442311"/>
      <w:bookmarkStart w:id="4090" w:name="_Toc38442643"/>
      <w:bookmarkStart w:id="4091" w:name="_Toc38442974"/>
      <w:bookmarkStart w:id="4092" w:name="_Toc38443305"/>
      <w:bookmarkStart w:id="4093" w:name="_Toc38443636"/>
      <w:bookmarkStart w:id="4094" w:name="_Toc38443966"/>
      <w:bookmarkStart w:id="4095" w:name="_Toc38438434"/>
      <w:bookmarkStart w:id="4096" w:name="_Toc38438771"/>
      <w:bookmarkStart w:id="4097" w:name="_Toc38439108"/>
      <w:bookmarkStart w:id="4098" w:name="_Toc38439445"/>
      <w:bookmarkStart w:id="4099" w:name="_Toc38439782"/>
      <w:bookmarkStart w:id="4100" w:name="_Toc38440119"/>
      <w:bookmarkStart w:id="4101" w:name="_Toc38440456"/>
      <w:bookmarkStart w:id="4102" w:name="_Toc38440988"/>
      <w:bookmarkStart w:id="4103" w:name="_Toc38441320"/>
      <w:bookmarkStart w:id="4104" w:name="_Toc38441652"/>
      <w:bookmarkStart w:id="4105" w:name="_Toc38441980"/>
      <w:bookmarkStart w:id="4106" w:name="_Toc38442312"/>
      <w:bookmarkStart w:id="4107" w:name="_Toc38442644"/>
      <w:bookmarkStart w:id="4108" w:name="_Toc38442975"/>
      <w:bookmarkStart w:id="4109" w:name="_Toc38443306"/>
      <w:bookmarkStart w:id="4110" w:name="_Toc38443637"/>
      <w:bookmarkStart w:id="4111" w:name="_Toc38443967"/>
      <w:bookmarkStart w:id="4112" w:name="_Toc38438435"/>
      <w:bookmarkStart w:id="4113" w:name="_Toc38438772"/>
      <w:bookmarkStart w:id="4114" w:name="_Toc38439109"/>
      <w:bookmarkStart w:id="4115" w:name="_Toc38439446"/>
      <w:bookmarkStart w:id="4116" w:name="_Toc38439783"/>
      <w:bookmarkStart w:id="4117" w:name="_Toc38440120"/>
      <w:bookmarkStart w:id="4118" w:name="_Toc38440457"/>
      <w:bookmarkStart w:id="4119" w:name="_Toc38440989"/>
      <w:bookmarkStart w:id="4120" w:name="_Toc38441321"/>
      <w:bookmarkStart w:id="4121" w:name="_Toc38441653"/>
      <w:bookmarkStart w:id="4122" w:name="_Toc38441981"/>
      <w:bookmarkStart w:id="4123" w:name="_Toc38442313"/>
      <w:bookmarkStart w:id="4124" w:name="_Toc38442645"/>
      <w:bookmarkStart w:id="4125" w:name="_Toc38442976"/>
      <w:bookmarkStart w:id="4126" w:name="_Toc38443307"/>
      <w:bookmarkStart w:id="4127" w:name="_Toc38443638"/>
      <w:bookmarkStart w:id="4128" w:name="_Toc38443968"/>
      <w:bookmarkStart w:id="4129" w:name="_Toc38438436"/>
      <w:bookmarkStart w:id="4130" w:name="_Toc38438773"/>
      <w:bookmarkStart w:id="4131" w:name="_Toc38439110"/>
      <w:bookmarkStart w:id="4132" w:name="_Toc38439447"/>
      <w:bookmarkStart w:id="4133" w:name="_Toc38439784"/>
      <w:bookmarkStart w:id="4134" w:name="_Toc38440121"/>
      <w:bookmarkStart w:id="4135" w:name="_Toc38440458"/>
      <w:bookmarkStart w:id="4136" w:name="_Toc38440990"/>
      <w:bookmarkStart w:id="4137" w:name="_Toc38441322"/>
      <w:bookmarkStart w:id="4138" w:name="_Toc38441654"/>
      <w:bookmarkStart w:id="4139" w:name="_Toc38441982"/>
      <w:bookmarkStart w:id="4140" w:name="_Toc38442314"/>
      <w:bookmarkStart w:id="4141" w:name="_Toc38442646"/>
      <w:bookmarkStart w:id="4142" w:name="_Toc38442977"/>
      <w:bookmarkStart w:id="4143" w:name="_Toc38443308"/>
      <w:bookmarkStart w:id="4144" w:name="_Toc38443639"/>
      <w:bookmarkStart w:id="4145" w:name="_Toc38443969"/>
      <w:bookmarkStart w:id="4146" w:name="_Toc38438437"/>
      <w:bookmarkStart w:id="4147" w:name="_Toc38438774"/>
      <w:bookmarkStart w:id="4148" w:name="_Toc38439111"/>
      <w:bookmarkStart w:id="4149" w:name="_Toc38439448"/>
      <w:bookmarkStart w:id="4150" w:name="_Toc38439785"/>
      <w:bookmarkStart w:id="4151" w:name="_Toc38440122"/>
      <w:bookmarkStart w:id="4152" w:name="_Toc38440459"/>
      <w:bookmarkStart w:id="4153" w:name="_Toc38440991"/>
      <w:bookmarkStart w:id="4154" w:name="_Toc38441323"/>
      <w:bookmarkStart w:id="4155" w:name="_Toc38441655"/>
      <w:bookmarkStart w:id="4156" w:name="_Toc38441983"/>
      <w:bookmarkStart w:id="4157" w:name="_Toc38442315"/>
      <w:bookmarkStart w:id="4158" w:name="_Toc38442647"/>
      <w:bookmarkStart w:id="4159" w:name="_Toc38442978"/>
      <w:bookmarkStart w:id="4160" w:name="_Toc38443309"/>
      <w:bookmarkStart w:id="4161" w:name="_Toc38443640"/>
      <w:bookmarkStart w:id="4162" w:name="_Toc38443970"/>
      <w:bookmarkStart w:id="4163" w:name="_Toc38438438"/>
      <w:bookmarkStart w:id="4164" w:name="_Toc38438775"/>
      <w:bookmarkStart w:id="4165" w:name="_Toc38439112"/>
      <w:bookmarkStart w:id="4166" w:name="_Toc38439449"/>
      <w:bookmarkStart w:id="4167" w:name="_Toc38439786"/>
      <w:bookmarkStart w:id="4168" w:name="_Toc38440123"/>
      <w:bookmarkStart w:id="4169" w:name="_Toc38440460"/>
      <w:bookmarkStart w:id="4170" w:name="_Toc38440992"/>
      <w:bookmarkStart w:id="4171" w:name="_Toc38441324"/>
      <w:bookmarkStart w:id="4172" w:name="_Toc38441656"/>
      <w:bookmarkStart w:id="4173" w:name="_Toc38441984"/>
      <w:bookmarkStart w:id="4174" w:name="_Toc38442316"/>
      <w:bookmarkStart w:id="4175" w:name="_Toc38442648"/>
      <w:bookmarkStart w:id="4176" w:name="_Toc38442979"/>
      <w:bookmarkStart w:id="4177" w:name="_Toc38443310"/>
      <w:bookmarkStart w:id="4178" w:name="_Toc38443641"/>
      <w:bookmarkStart w:id="4179" w:name="_Toc38443971"/>
      <w:bookmarkStart w:id="4180" w:name="_Toc38438439"/>
      <w:bookmarkStart w:id="4181" w:name="_Toc38438776"/>
      <w:bookmarkStart w:id="4182" w:name="_Toc38439113"/>
      <w:bookmarkStart w:id="4183" w:name="_Toc38439450"/>
      <w:bookmarkStart w:id="4184" w:name="_Toc38439787"/>
      <w:bookmarkStart w:id="4185" w:name="_Toc38440124"/>
      <w:bookmarkStart w:id="4186" w:name="_Toc38440461"/>
      <w:bookmarkStart w:id="4187" w:name="_Toc38440993"/>
      <w:bookmarkStart w:id="4188" w:name="_Toc38441325"/>
      <w:bookmarkStart w:id="4189" w:name="_Toc38441657"/>
      <w:bookmarkStart w:id="4190" w:name="_Toc38441985"/>
      <w:bookmarkStart w:id="4191" w:name="_Toc38442317"/>
      <w:bookmarkStart w:id="4192" w:name="_Toc38442649"/>
      <w:bookmarkStart w:id="4193" w:name="_Toc38442980"/>
      <w:bookmarkStart w:id="4194" w:name="_Toc38443311"/>
      <w:bookmarkStart w:id="4195" w:name="_Toc38443642"/>
      <w:bookmarkStart w:id="4196" w:name="_Toc38443972"/>
      <w:bookmarkStart w:id="4197" w:name="_Toc38438440"/>
      <w:bookmarkStart w:id="4198" w:name="_Toc38438777"/>
      <w:bookmarkStart w:id="4199" w:name="_Toc38439114"/>
      <w:bookmarkStart w:id="4200" w:name="_Toc38439451"/>
      <w:bookmarkStart w:id="4201" w:name="_Toc38439788"/>
      <w:bookmarkStart w:id="4202" w:name="_Toc38440125"/>
      <w:bookmarkStart w:id="4203" w:name="_Toc38440462"/>
      <w:bookmarkStart w:id="4204" w:name="_Toc38440994"/>
      <w:bookmarkStart w:id="4205" w:name="_Toc38441326"/>
      <w:bookmarkStart w:id="4206" w:name="_Toc38441658"/>
      <w:bookmarkStart w:id="4207" w:name="_Toc38441986"/>
      <w:bookmarkStart w:id="4208" w:name="_Toc38442318"/>
      <w:bookmarkStart w:id="4209" w:name="_Toc38442650"/>
      <w:bookmarkStart w:id="4210" w:name="_Toc38442981"/>
      <w:bookmarkStart w:id="4211" w:name="_Toc38443312"/>
      <w:bookmarkStart w:id="4212" w:name="_Toc38443643"/>
      <w:bookmarkStart w:id="4213" w:name="_Toc38443973"/>
      <w:bookmarkStart w:id="4214" w:name="_Toc38438441"/>
      <w:bookmarkStart w:id="4215" w:name="_Toc38438778"/>
      <w:bookmarkStart w:id="4216" w:name="_Toc38439115"/>
      <w:bookmarkStart w:id="4217" w:name="_Toc38439452"/>
      <w:bookmarkStart w:id="4218" w:name="_Toc38439789"/>
      <w:bookmarkStart w:id="4219" w:name="_Toc38440126"/>
      <w:bookmarkStart w:id="4220" w:name="_Toc38440463"/>
      <w:bookmarkStart w:id="4221" w:name="_Toc38440995"/>
      <w:bookmarkStart w:id="4222" w:name="_Toc38441327"/>
      <w:bookmarkStart w:id="4223" w:name="_Toc38441659"/>
      <w:bookmarkStart w:id="4224" w:name="_Toc38441987"/>
      <w:bookmarkStart w:id="4225" w:name="_Toc38442319"/>
      <w:bookmarkStart w:id="4226" w:name="_Toc38442651"/>
      <w:bookmarkStart w:id="4227" w:name="_Toc38442982"/>
      <w:bookmarkStart w:id="4228" w:name="_Toc38443313"/>
      <w:bookmarkStart w:id="4229" w:name="_Toc38443644"/>
      <w:bookmarkStart w:id="4230" w:name="_Toc38443974"/>
      <w:bookmarkStart w:id="4231" w:name="_Toc38438442"/>
      <w:bookmarkStart w:id="4232" w:name="_Toc38438779"/>
      <w:bookmarkStart w:id="4233" w:name="_Toc38439116"/>
      <w:bookmarkStart w:id="4234" w:name="_Toc38439453"/>
      <w:bookmarkStart w:id="4235" w:name="_Toc38439790"/>
      <w:bookmarkStart w:id="4236" w:name="_Toc38440127"/>
      <w:bookmarkStart w:id="4237" w:name="_Toc38440464"/>
      <w:bookmarkStart w:id="4238" w:name="_Toc38440996"/>
      <w:bookmarkStart w:id="4239" w:name="_Toc38441328"/>
      <w:bookmarkStart w:id="4240" w:name="_Toc38441660"/>
      <w:bookmarkStart w:id="4241" w:name="_Toc38441988"/>
      <w:bookmarkStart w:id="4242" w:name="_Toc38442320"/>
      <w:bookmarkStart w:id="4243" w:name="_Toc38442652"/>
      <w:bookmarkStart w:id="4244" w:name="_Toc38442983"/>
      <w:bookmarkStart w:id="4245" w:name="_Toc38443314"/>
      <w:bookmarkStart w:id="4246" w:name="_Toc38443645"/>
      <w:bookmarkStart w:id="4247" w:name="_Toc38443975"/>
      <w:bookmarkStart w:id="4248" w:name="_Toc38438443"/>
      <w:bookmarkStart w:id="4249" w:name="_Toc38438780"/>
      <w:bookmarkStart w:id="4250" w:name="_Toc38439117"/>
      <w:bookmarkStart w:id="4251" w:name="_Toc38439454"/>
      <w:bookmarkStart w:id="4252" w:name="_Toc38439791"/>
      <w:bookmarkStart w:id="4253" w:name="_Toc38440128"/>
      <w:bookmarkStart w:id="4254" w:name="_Toc38440465"/>
      <w:bookmarkStart w:id="4255" w:name="_Toc38440997"/>
      <w:bookmarkStart w:id="4256" w:name="_Toc38441329"/>
      <w:bookmarkStart w:id="4257" w:name="_Toc38441661"/>
      <w:bookmarkStart w:id="4258" w:name="_Toc38441989"/>
      <w:bookmarkStart w:id="4259" w:name="_Toc38442321"/>
      <w:bookmarkStart w:id="4260" w:name="_Toc38442653"/>
      <w:bookmarkStart w:id="4261" w:name="_Toc38442984"/>
      <w:bookmarkStart w:id="4262" w:name="_Toc38443315"/>
      <w:bookmarkStart w:id="4263" w:name="_Toc38443646"/>
      <w:bookmarkStart w:id="4264" w:name="_Toc38443976"/>
      <w:bookmarkStart w:id="4265" w:name="_Toc38438444"/>
      <w:bookmarkStart w:id="4266" w:name="_Toc38438781"/>
      <w:bookmarkStart w:id="4267" w:name="_Toc38439118"/>
      <w:bookmarkStart w:id="4268" w:name="_Toc38439455"/>
      <w:bookmarkStart w:id="4269" w:name="_Toc38439792"/>
      <w:bookmarkStart w:id="4270" w:name="_Toc38440129"/>
      <w:bookmarkStart w:id="4271" w:name="_Toc38440466"/>
      <w:bookmarkStart w:id="4272" w:name="_Toc38440998"/>
      <w:bookmarkStart w:id="4273" w:name="_Toc38441330"/>
      <w:bookmarkStart w:id="4274" w:name="_Toc38441662"/>
      <w:bookmarkStart w:id="4275" w:name="_Toc38441990"/>
      <w:bookmarkStart w:id="4276" w:name="_Toc38442322"/>
      <w:bookmarkStart w:id="4277" w:name="_Toc38442654"/>
      <w:bookmarkStart w:id="4278" w:name="_Toc38442985"/>
      <w:bookmarkStart w:id="4279" w:name="_Toc38443316"/>
      <w:bookmarkStart w:id="4280" w:name="_Toc38443647"/>
      <w:bookmarkStart w:id="4281" w:name="_Toc38443977"/>
      <w:bookmarkStart w:id="4282" w:name="_Toc38438445"/>
      <w:bookmarkStart w:id="4283" w:name="_Toc38438782"/>
      <w:bookmarkStart w:id="4284" w:name="_Toc38439119"/>
      <w:bookmarkStart w:id="4285" w:name="_Toc38439456"/>
      <w:bookmarkStart w:id="4286" w:name="_Toc38439793"/>
      <w:bookmarkStart w:id="4287" w:name="_Toc38440130"/>
      <w:bookmarkStart w:id="4288" w:name="_Toc38440467"/>
      <w:bookmarkStart w:id="4289" w:name="_Toc38440999"/>
      <w:bookmarkStart w:id="4290" w:name="_Toc38441331"/>
      <w:bookmarkStart w:id="4291" w:name="_Toc38441663"/>
      <w:bookmarkStart w:id="4292" w:name="_Toc38441991"/>
      <w:bookmarkStart w:id="4293" w:name="_Toc38442323"/>
      <w:bookmarkStart w:id="4294" w:name="_Toc38442655"/>
      <w:bookmarkStart w:id="4295" w:name="_Toc38442986"/>
      <w:bookmarkStart w:id="4296" w:name="_Toc38443317"/>
      <w:bookmarkStart w:id="4297" w:name="_Toc38443648"/>
      <w:bookmarkStart w:id="4298" w:name="_Toc38443978"/>
      <w:bookmarkStart w:id="4299" w:name="_Toc38438446"/>
      <w:bookmarkStart w:id="4300" w:name="_Toc38438783"/>
      <w:bookmarkStart w:id="4301" w:name="_Toc38439120"/>
      <w:bookmarkStart w:id="4302" w:name="_Toc38439457"/>
      <w:bookmarkStart w:id="4303" w:name="_Toc38439794"/>
      <w:bookmarkStart w:id="4304" w:name="_Toc38440131"/>
      <w:bookmarkStart w:id="4305" w:name="_Toc38440468"/>
      <w:bookmarkStart w:id="4306" w:name="_Toc38441000"/>
      <w:bookmarkStart w:id="4307" w:name="_Toc38441332"/>
      <w:bookmarkStart w:id="4308" w:name="_Toc38441664"/>
      <w:bookmarkStart w:id="4309" w:name="_Toc38441992"/>
      <w:bookmarkStart w:id="4310" w:name="_Toc38442324"/>
      <w:bookmarkStart w:id="4311" w:name="_Toc38442656"/>
      <w:bookmarkStart w:id="4312" w:name="_Toc38442987"/>
      <w:bookmarkStart w:id="4313" w:name="_Toc38443318"/>
      <w:bookmarkStart w:id="4314" w:name="_Toc38443649"/>
      <w:bookmarkStart w:id="4315" w:name="_Toc38443979"/>
      <w:bookmarkStart w:id="4316" w:name="_Toc38438447"/>
      <w:bookmarkStart w:id="4317" w:name="_Toc38438784"/>
      <w:bookmarkStart w:id="4318" w:name="_Toc38439121"/>
      <w:bookmarkStart w:id="4319" w:name="_Toc38439458"/>
      <w:bookmarkStart w:id="4320" w:name="_Toc38439795"/>
      <w:bookmarkStart w:id="4321" w:name="_Toc38440132"/>
      <w:bookmarkStart w:id="4322" w:name="_Toc38440469"/>
      <w:bookmarkStart w:id="4323" w:name="_Toc38441001"/>
      <w:bookmarkStart w:id="4324" w:name="_Toc38441333"/>
      <w:bookmarkStart w:id="4325" w:name="_Toc38441665"/>
      <w:bookmarkStart w:id="4326" w:name="_Toc38441993"/>
      <w:bookmarkStart w:id="4327" w:name="_Toc38442325"/>
      <w:bookmarkStart w:id="4328" w:name="_Toc38442657"/>
      <w:bookmarkStart w:id="4329" w:name="_Toc38442988"/>
      <w:bookmarkStart w:id="4330" w:name="_Toc38443319"/>
      <w:bookmarkStart w:id="4331" w:name="_Toc38443650"/>
      <w:bookmarkStart w:id="4332" w:name="_Toc38443980"/>
      <w:bookmarkStart w:id="4333" w:name="_Toc38438448"/>
      <w:bookmarkStart w:id="4334" w:name="_Toc38438785"/>
      <w:bookmarkStart w:id="4335" w:name="_Toc38439122"/>
      <w:bookmarkStart w:id="4336" w:name="_Toc38439459"/>
      <w:bookmarkStart w:id="4337" w:name="_Toc38439796"/>
      <w:bookmarkStart w:id="4338" w:name="_Toc38440133"/>
      <w:bookmarkStart w:id="4339" w:name="_Toc38440470"/>
      <w:bookmarkStart w:id="4340" w:name="_Toc38441002"/>
      <w:bookmarkStart w:id="4341" w:name="_Toc38441334"/>
      <w:bookmarkStart w:id="4342" w:name="_Toc38441666"/>
      <w:bookmarkStart w:id="4343" w:name="_Toc38441994"/>
      <w:bookmarkStart w:id="4344" w:name="_Toc38442326"/>
      <w:bookmarkStart w:id="4345" w:name="_Toc38442658"/>
      <w:bookmarkStart w:id="4346" w:name="_Toc38442989"/>
      <w:bookmarkStart w:id="4347" w:name="_Toc38443320"/>
      <w:bookmarkStart w:id="4348" w:name="_Toc38443651"/>
      <w:bookmarkStart w:id="4349" w:name="_Toc38443981"/>
      <w:bookmarkStart w:id="4350" w:name="_Toc38438449"/>
      <w:bookmarkStart w:id="4351" w:name="_Toc38438786"/>
      <w:bookmarkStart w:id="4352" w:name="_Toc38439123"/>
      <w:bookmarkStart w:id="4353" w:name="_Toc38439460"/>
      <w:bookmarkStart w:id="4354" w:name="_Toc38439797"/>
      <w:bookmarkStart w:id="4355" w:name="_Toc38440134"/>
      <w:bookmarkStart w:id="4356" w:name="_Toc38440471"/>
      <w:bookmarkStart w:id="4357" w:name="_Toc38441003"/>
      <w:bookmarkStart w:id="4358" w:name="_Toc38441335"/>
      <w:bookmarkStart w:id="4359" w:name="_Toc38441667"/>
      <w:bookmarkStart w:id="4360" w:name="_Toc38441995"/>
      <w:bookmarkStart w:id="4361" w:name="_Toc38442327"/>
      <w:bookmarkStart w:id="4362" w:name="_Toc38442659"/>
      <w:bookmarkStart w:id="4363" w:name="_Toc38442990"/>
      <w:bookmarkStart w:id="4364" w:name="_Toc38443321"/>
      <w:bookmarkStart w:id="4365" w:name="_Toc38443652"/>
      <w:bookmarkStart w:id="4366" w:name="_Toc38443982"/>
      <w:bookmarkStart w:id="4367" w:name="_Toc38438450"/>
      <w:bookmarkStart w:id="4368" w:name="_Toc38438787"/>
      <w:bookmarkStart w:id="4369" w:name="_Toc38439124"/>
      <w:bookmarkStart w:id="4370" w:name="_Toc38439461"/>
      <w:bookmarkStart w:id="4371" w:name="_Toc38439798"/>
      <w:bookmarkStart w:id="4372" w:name="_Toc38440135"/>
      <w:bookmarkStart w:id="4373" w:name="_Toc38440472"/>
      <w:bookmarkStart w:id="4374" w:name="_Toc38441004"/>
      <w:bookmarkStart w:id="4375" w:name="_Toc38441336"/>
      <w:bookmarkStart w:id="4376" w:name="_Toc38441668"/>
      <w:bookmarkStart w:id="4377" w:name="_Toc38441996"/>
      <w:bookmarkStart w:id="4378" w:name="_Toc38442328"/>
      <w:bookmarkStart w:id="4379" w:name="_Toc38442660"/>
      <w:bookmarkStart w:id="4380" w:name="_Toc38442991"/>
      <w:bookmarkStart w:id="4381" w:name="_Toc38443322"/>
      <w:bookmarkStart w:id="4382" w:name="_Toc38443653"/>
      <w:bookmarkStart w:id="4383" w:name="_Toc38443983"/>
      <w:bookmarkStart w:id="4384" w:name="_Toc38438451"/>
      <w:bookmarkStart w:id="4385" w:name="_Toc38438788"/>
      <w:bookmarkStart w:id="4386" w:name="_Toc38439125"/>
      <w:bookmarkStart w:id="4387" w:name="_Toc38439462"/>
      <w:bookmarkStart w:id="4388" w:name="_Toc38439799"/>
      <w:bookmarkStart w:id="4389" w:name="_Toc38440136"/>
      <w:bookmarkStart w:id="4390" w:name="_Toc38440473"/>
      <w:bookmarkStart w:id="4391" w:name="_Toc38441005"/>
      <w:bookmarkStart w:id="4392" w:name="_Toc38441337"/>
      <w:bookmarkStart w:id="4393" w:name="_Toc38441669"/>
      <w:bookmarkStart w:id="4394" w:name="_Toc38441997"/>
      <w:bookmarkStart w:id="4395" w:name="_Toc38442329"/>
      <w:bookmarkStart w:id="4396" w:name="_Toc38442661"/>
      <w:bookmarkStart w:id="4397" w:name="_Toc38442992"/>
      <w:bookmarkStart w:id="4398" w:name="_Toc38443323"/>
      <w:bookmarkStart w:id="4399" w:name="_Toc38443654"/>
      <w:bookmarkStart w:id="4400" w:name="_Toc38443984"/>
      <w:bookmarkStart w:id="4401" w:name="_Toc38438452"/>
      <w:bookmarkStart w:id="4402" w:name="_Toc38438789"/>
      <w:bookmarkStart w:id="4403" w:name="_Toc38439126"/>
      <w:bookmarkStart w:id="4404" w:name="_Toc38439463"/>
      <w:bookmarkStart w:id="4405" w:name="_Toc38439800"/>
      <w:bookmarkStart w:id="4406" w:name="_Toc38440137"/>
      <w:bookmarkStart w:id="4407" w:name="_Toc38440474"/>
      <w:bookmarkStart w:id="4408" w:name="_Toc38441006"/>
      <w:bookmarkStart w:id="4409" w:name="_Toc38441338"/>
      <w:bookmarkStart w:id="4410" w:name="_Toc38441670"/>
      <w:bookmarkStart w:id="4411" w:name="_Toc38441998"/>
      <w:bookmarkStart w:id="4412" w:name="_Toc38442330"/>
      <w:bookmarkStart w:id="4413" w:name="_Toc38442662"/>
      <w:bookmarkStart w:id="4414" w:name="_Toc38442993"/>
      <w:bookmarkStart w:id="4415" w:name="_Toc38443324"/>
      <w:bookmarkStart w:id="4416" w:name="_Toc38443655"/>
      <w:bookmarkStart w:id="4417" w:name="_Toc38443985"/>
      <w:bookmarkStart w:id="4418" w:name="_Toc38438453"/>
      <w:bookmarkStart w:id="4419" w:name="_Toc38438790"/>
      <w:bookmarkStart w:id="4420" w:name="_Toc38439127"/>
      <w:bookmarkStart w:id="4421" w:name="_Toc38439464"/>
      <w:bookmarkStart w:id="4422" w:name="_Toc38439801"/>
      <w:bookmarkStart w:id="4423" w:name="_Toc38440138"/>
      <w:bookmarkStart w:id="4424" w:name="_Toc38440475"/>
      <w:bookmarkStart w:id="4425" w:name="_Toc38441007"/>
      <w:bookmarkStart w:id="4426" w:name="_Toc38441339"/>
      <w:bookmarkStart w:id="4427" w:name="_Toc38441671"/>
      <w:bookmarkStart w:id="4428" w:name="_Toc38441999"/>
      <w:bookmarkStart w:id="4429" w:name="_Toc38442331"/>
      <w:bookmarkStart w:id="4430" w:name="_Toc38442663"/>
      <w:bookmarkStart w:id="4431" w:name="_Toc38442994"/>
      <w:bookmarkStart w:id="4432" w:name="_Toc38443325"/>
      <w:bookmarkStart w:id="4433" w:name="_Toc38443656"/>
      <w:bookmarkStart w:id="4434" w:name="_Toc38443986"/>
      <w:bookmarkStart w:id="4435" w:name="_Toc38438454"/>
      <w:bookmarkStart w:id="4436" w:name="_Toc38438791"/>
      <w:bookmarkStart w:id="4437" w:name="_Toc38439128"/>
      <w:bookmarkStart w:id="4438" w:name="_Toc38439465"/>
      <w:bookmarkStart w:id="4439" w:name="_Toc38439802"/>
      <w:bookmarkStart w:id="4440" w:name="_Toc38440139"/>
      <w:bookmarkStart w:id="4441" w:name="_Toc38440476"/>
      <w:bookmarkStart w:id="4442" w:name="_Toc38441008"/>
      <w:bookmarkStart w:id="4443" w:name="_Toc38441340"/>
      <w:bookmarkStart w:id="4444" w:name="_Toc38441672"/>
      <w:bookmarkStart w:id="4445" w:name="_Toc38442000"/>
      <w:bookmarkStart w:id="4446" w:name="_Toc38442332"/>
      <w:bookmarkStart w:id="4447" w:name="_Toc38442664"/>
      <w:bookmarkStart w:id="4448" w:name="_Toc38442995"/>
      <w:bookmarkStart w:id="4449" w:name="_Toc38443326"/>
      <w:bookmarkStart w:id="4450" w:name="_Toc38443657"/>
      <w:bookmarkStart w:id="4451" w:name="_Toc38443987"/>
      <w:bookmarkStart w:id="4452" w:name="_Toc38438455"/>
      <w:bookmarkStart w:id="4453" w:name="_Toc38438792"/>
      <w:bookmarkStart w:id="4454" w:name="_Toc38439129"/>
      <w:bookmarkStart w:id="4455" w:name="_Toc38439466"/>
      <w:bookmarkStart w:id="4456" w:name="_Toc38439803"/>
      <w:bookmarkStart w:id="4457" w:name="_Toc38440140"/>
      <w:bookmarkStart w:id="4458" w:name="_Toc38440477"/>
      <w:bookmarkStart w:id="4459" w:name="_Toc38441009"/>
      <w:bookmarkStart w:id="4460" w:name="_Toc38441341"/>
      <w:bookmarkStart w:id="4461" w:name="_Toc38441673"/>
      <w:bookmarkStart w:id="4462" w:name="_Toc38442001"/>
      <w:bookmarkStart w:id="4463" w:name="_Toc38442333"/>
      <w:bookmarkStart w:id="4464" w:name="_Toc38442665"/>
      <w:bookmarkStart w:id="4465" w:name="_Toc38442996"/>
      <w:bookmarkStart w:id="4466" w:name="_Toc38443327"/>
      <w:bookmarkStart w:id="4467" w:name="_Toc38443658"/>
      <w:bookmarkStart w:id="4468" w:name="_Toc38443988"/>
      <w:bookmarkStart w:id="4469" w:name="_Toc38438456"/>
      <w:bookmarkStart w:id="4470" w:name="_Toc38438793"/>
      <w:bookmarkStart w:id="4471" w:name="_Toc38439130"/>
      <w:bookmarkStart w:id="4472" w:name="_Toc38439467"/>
      <w:bookmarkStart w:id="4473" w:name="_Toc38439804"/>
      <w:bookmarkStart w:id="4474" w:name="_Toc38440141"/>
      <w:bookmarkStart w:id="4475" w:name="_Toc38440478"/>
      <w:bookmarkStart w:id="4476" w:name="_Toc38441010"/>
      <w:bookmarkStart w:id="4477" w:name="_Toc38441342"/>
      <w:bookmarkStart w:id="4478" w:name="_Toc38441674"/>
      <w:bookmarkStart w:id="4479" w:name="_Toc38442002"/>
      <w:bookmarkStart w:id="4480" w:name="_Toc38442334"/>
      <w:bookmarkStart w:id="4481" w:name="_Toc38442666"/>
      <w:bookmarkStart w:id="4482" w:name="_Toc38442997"/>
      <w:bookmarkStart w:id="4483" w:name="_Toc38443328"/>
      <w:bookmarkStart w:id="4484" w:name="_Toc38443659"/>
      <w:bookmarkStart w:id="4485" w:name="_Toc38443989"/>
      <w:bookmarkStart w:id="4486" w:name="_Toc38438457"/>
      <w:bookmarkStart w:id="4487" w:name="_Toc38438794"/>
      <w:bookmarkStart w:id="4488" w:name="_Toc38439131"/>
      <w:bookmarkStart w:id="4489" w:name="_Toc38439468"/>
      <w:bookmarkStart w:id="4490" w:name="_Toc38439805"/>
      <w:bookmarkStart w:id="4491" w:name="_Toc38440142"/>
      <w:bookmarkStart w:id="4492" w:name="_Toc38440479"/>
      <w:bookmarkStart w:id="4493" w:name="_Toc38441011"/>
      <w:bookmarkStart w:id="4494" w:name="_Toc38441343"/>
      <w:bookmarkStart w:id="4495" w:name="_Toc38441675"/>
      <w:bookmarkStart w:id="4496" w:name="_Toc38442003"/>
      <w:bookmarkStart w:id="4497" w:name="_Toc38442335"/>
      <w:bookmarkStart w:id="4498" w:name="_Toc38442667"/>
      <w:bookmarkStart w:id="4499" w:name="_Toc38442998"/>
      <w:bookmarkStart w:id="4500" w:name="_Toc38443329"/>
      <w:bookmarkStart w:id="4501" w:name="_Toc38443660"/>
      <w:bookmarkStart w:id="4502" w:name="_Toc38443990"/>
      <w:bookmarkStart w:id="4503" w:name="_Toc38438458"/>
      <w:bookmarkStart w:id="4504" w:name="_Toc38438795"/>
      <w:bookmarkStart w:id="4505" w:name="_Toc38439132"/>
      <w:bookmarkStart w:id="4506" w:name="_Toc38439469"/>
      <w:bookmarkStart w:id="4507" w:name="_Toc38439806"/>
      <w:bookmarkStart w:id="4508" w:name="_Toc38440143"/>
      <w:bookmarkStart w:id="4509" w:name="_Toc38440480"/>
      <w:bookmarkStart w:id="4510" w:name="_Toc38441012"/>
      <w:bookmarkStart w:id="4511" w:name="_Toc38441344"/>
      <w:bookmarkStart w:id="4512" w:name="_Toc38441676"/>
      <w:bookmarkStart w:id="4513" w:name="_Toc38442004"/>
      <w:bookmarkStart w:id="4514" w:name="_Toc38442336"/>
      <w:bookmarkStart w:id="4515" w:name="_Toc38442668"/>
      <w:bookmarkStart w:id="4516" w:name="_Toc38442999"/>
      <w:bookmarkStart w:id="4517" w:name="_Toc38443330"/>
      <w:bookmarkStart w:id="4518" w:name="_Toc38443661"/>
      <w:bookmarkStart w:id="4519" w:name="_Toc38443991"/>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r w:rsidRPr="00172454">
        <w:rPr>
          <w:rFonts w:asciiTheme="minorEastAsia" w:eastAsiaTheme="minorEastAsia" w:hAnsiTheme="minorEastAsia"/>
          <w:b/>
          <w:bCs/>
          <w:color w:val="000000" w:themeColor="text1"/>
        </w:rPr>
        <w:br w:type="page"/>
      </w:r>
      <w:bookmarkStart w:id="4520" w:name="_Toc91767092"/>
      <w:r w:rsidRPr="00172454">
        <w:rPr>
          <w:rFonts w:asciiTheme="minorEastAsia" w:eastAsiaTheme="minorEastAsia" w:hAnsiTheme="minorEastAsia" w:hint="eastAsia"/>
          <w:bCs/>
          <w:color w:val="000000" w:themeColor="text1"/>
        </w:rPr>
        <w:t>二十</w:t>
      </w:r>
      <w:r w:rsidRPr="00172454" w:rsidR="00150642">
        <w:rPr>
          <w:rFonts w:asciiTheme="minorEastAsia" w:eastAsiaTheme="minorEastAsia" w:hAnsiTheme="minorEastAsia" w:hint="eastAsia"/>
          <w:bCs/>
          <w:color w:val="000000" w:themeColor="text1"/>
        </w:rPr>
        <w:t>五</w:t>
      </w:r>
      <w:r w:rsidRPr="00172454">
        <w:rPr>
          <w:rFonts w:asciiTheme="minorEastAsia" w:eastAsiaTheme="minorEastAsia" w:hAnsiTheme="minorEastAsia" w:hint="eastAsia"/>
          <w:bCs/>
          <w:color w:val="000000" w:themeColor="text1"/>
        </w:rPr>
        <w:t>、招募说明书存放及查阅方式</w:t>
      </w:r>
      <w:bookmarkEnd w:id="4520"/>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本《招募说明书》存放在基金管理人、基金托管人及基金代销机构</w:t>
      </w:r>
      <w:r w:rsidRPr="00172454" w:rsidR="00634CA1">
        <w:rPr>
          <w:rFonts w:asciiTheme="minorEastAsia" w:eastAsiaTheme="minorEastAsia" w:hAnsiTheme="minorEastAsia" w:hint="eastAsia"/>
          <w:color w:val="000000" w:themeColor="text1"/>
          <w:szCs w:val="21"/>
        </w:rPr>
        <w:t>处</w:t>
      </w:r>
      <w:r w:rsidRPr="00172454">
        <w:rPr>
          <w:rFonts w:asciiTheme="minorEastAsia" w:eastAsiaTheme="minorEastAsia" w:hAnsiTheme="minorEastAsia" w:hint="eastAsia"/>
          <w:color w:val="000000" w:themeColor="text1"/>
          <w:szCs w:val="21"/>
        </w:rPr>
        <w:t>，投资者可在营业时间免费查阅，也可按工本费购买复印件。</w:t>
      </w:r>
      <w:r w:rsidRPr="00172454">
        <w:rPr>
          <w:rFonts w:asciiTheme="minorEastAsia" w:eastAsiaTheme="minorEastAsia" w:hAnsiTheme="minorEastAsia"/>
          <w:color w:val="000000" w:themeColor="text1"/>
          <w:szCs w:val="21"/>
        </w:rPr>
        <w:t>基金管理人和基金托管人保证</w:t>
      </w:r>
      <w:r w:rsidRPr="00172454">
        <w:rPr>
          <w:rFonts w:asciiTheme="minorEastAsia" w:eastAsiaTheme="minorEastAsia" w:hAnsiTheme="minorEastAsia" w:hint="eastAsia"/>
          <w:color w:val="000000" w:themeColor="text1"/>
          <w:szCs w:val="21"/>
        </w:rPr>
        <w:t>其所提供的</w:t>
      </w:r>
      <w:r w:rsidRPr="00172454">
        <w:rPr>
          <w:rFonts w:asciiTheme="minorEastAsia" w:eastAsiaTheme="minorEastAsia" w:hAnsiTheme="minorEastAsia"/>
          <w:color w:val="000000" w:themeColor="text1"/>
          <w:szCs w:val="21"/>
        </w:rPr>
        <w:t>文本的内容与所公告的内容完全一致。</w:t>
      </w:r>
    </w:p>
    <w:p w:rsidR="005D5BC7" w:rsidRPr="00172454" w:rsidP="00F07B7D">
      <w:pPr>
        <w:pStyle w:val="Heading1"/>
        <w:snapToGrid w:val="0"/>
        <w:spacing w:beforeLines="0" w:afterLines="0" w:line="360" w:lineRule="auto"/>
        <w:ind w:firstLine="0" w:firstLineChars="0"/>
        <w:rPr>
          <w:rFonts w:asciiTheme="minorEastAsia" w:eastAsiaTheme="minorEastAsia" w:hAnsiTheme="minorEastAsia"/>
          <w:color w:val="000000" w:themeColor="text1"/>
          <w:szCs w:val="21"/>
        </w:rPr>
      </w:pPr>
      <w:r w:rsidRPr="00172454">
        <w:rPr>
          <w:rFonts w:asciiTheme="minorEastAsia" w:eastAsiaTheme="minorEastAsia" w:hAnsiTheme="minorEastAsia"/>
          <w:b/>
          <w:color w:val="000000" w:themeColor="text1"/>
        </w:rPr>
        <w:br w:type="page"/>
      </w:r>
      <w:bookmarkStart w:id="4521" w:name="_Toc91767093"/>
      <w:r w:rsidRPr="00172454">
        <w:rPr>
          <w:rFonts w:asciiTheme="minorEastAsia" w:eastAsiaTheme="minorEastAsia" w:hAnsiTheme="minorEastAsia" w:hint="eastAsia"/>
          <w:color w:val="000000" w:themeColor="text1"/>
        </w:rPr>
        <w:t>二十</w:t>
      </w:r>
      <w:r w:rsidRPr="00172454" w:rsidR="00150642">
        <w:rPr>
          <w:rFonts w:asciiTheme="minorEastAsia" w:eastAsiaTheme="minorEastAsia" w:hAnsiTheme="minorEastAsia" w:hint="eastAsia"/>
          <w:color w:val="000000" w:themeColor="text1"/>
        </w:rPr>
        <w:t>六</w:t>
      </w:r>
      <w:r w:rsidRPr="00172454">
        <w:rPr>
          <w:rFonts w:asciiTheme="minorEastAsia" w:eastAsiaTheme="minorEastAsia" w:hAnsiTheme="minorEastAsia" w:hint="eastAsia"/>
          <w:color w:val="000000" w:themeColor="text1"/>
        </w:rPr>
        <w:t>、备查文件</w:t>
      </w:r>
      <w:bookmarkEnd w:id="4521"/>
    </w:p>
    <w:p w:rsidR="005D5BC7" w:rsidRPr="00172454" w:rsidP="00150642">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1、中国证监会核准</w:t>
      </w:r>
      <w:r w:rsidRPr="00172454">
        <w:rPr>
          <w:rFonts w:asciiTheme="minorEastAsia" w:eastAsiaTheme="minorEastAsia" w:hAnsiTheme="minorEastAsia" w:cs="宋体" w:hint="eastAsia"/>
          <w:color w:val="000000" w:themeColor="text1"/>
        </w:rPr>
        <w:t>易方达上证中盘交易型开放式指数证券投资基金</w:t>
      </w:r>
      <w:r w:rsidRPr="00172454">
        <w:rPr>
          <w:rFonts w:asciiTheme="minorEastAsia" w:eastAsiaTheme="minorEastAsia" w:hAnsiTheme="minorEastAsia" w:hint="eastAsia"/>
          <w:color w:val="000000" w:themeColor="text1"/>
        </w:rPr>
        <w:t>募集的文件；</w:t>
      </w:r>
    </w:p>
    <w:p w:rsidR="005D5BC7" w:rsidRPr="00172454" w:rsidP="00150642">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2、《</w:t>
      </w:r>
      <w:r w:rsidRPr="00172454">
        <w:rPr>
          <w:rFonts w:asciiTheme="minorEastAsia" w:eastAsiaTheme="minorEastAsia" w:hAnsiTheme="minorEastAsia" w:cs="宋体" w:hint="eastAsia"/>
          <w:color w:val="000000" w:themeColor="text1"/>
        </w:rPr>
        <w:t>易方达上证中盘交易型开放式指数证券投资基金</w:t>
      </w:r>
      <w:r w:rsidRPr="00172454">
        <w:rPr>
          <w:rFonts w:asciiTheme="minorEastAsia" w:eastAsiaTheme="minorEastAsia" w:hAnsiTheme="minorEastAsia" w:hint="eastAsia"/>
          <w:color w:val="000000" w:themeColor="text1"/>
        </w:rPr>
        <w:t>基金合同》；</w:t>
      </w:r>
    </w:p>
    <w:p w:rsidR="005D5BC7" w:rsidRPr="00172454" w:rsidP="00150642">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3、《易方达上证中盘交易型开放式指数证券投资基金托管协议》；</w:t>
      </w:r>
    </w:p>
    <w:p w:rsidR="005D5BC7"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4、法律意见书；</w:t>
      </w:r>
    </w:p>
    <w:p w:rsidR="005D5BC7"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5、基金管理人业务资格批件和营业执照；</w:t>
      </w:r>
    </w:p>
    <w:p w:rsidR="005D5BC7" w:rsidRPr="00172454" w:rsidP="00150642">
      <w:pPr>
        <w:snapToGrid w:val="0"/>
        <w:spacing w:line="360" w:lineRule="auto"/>
        <w:ind w:firstLine="42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szCs w:val="21"/>
        </w:rPr>
        <w:t>6、基金托管人业务资格批件和营业执照。</w:t>
      </w:r>
    </w:p>
    <w:p w:rsidR="005D5BC7" w:rsidRPr="00172454" w:rsidP="00150642">
      <w:pPr>
        <w:snapToGrid w:val="0"/>
        <w:spacing w:line="360" w:lineRule="auto"/>
        <w:ind w:firstLine="420" w:firstLineChars="200"/>
        <w:rPr>
          <w:rFonts w:asciiTheme="minorEastAsia" w:eastAsiaTheme="minorEastAsia" w:hAnsiTheme="minorEastAsia"/>
          <w:color w:val="000000" w:themeColor="text1"/>
        </w:rPr>
      </w:pPr>
      <w:r w:rsidRPr="00172454">
        <w:rPr>
          <w:rFonts w:asciiTheme="minorEastAsia" w:eastAsiaTheme="minorEastAsia" w:hAnsiTheme="minorEastAsia" w:hint="eastAsia"/>
          <w:color w:val="000000" w:themeColor="text1"/>
        </w:rPr>
        <w:t xml:space="preserve">存放地点：基金管理人、基金托管人处 </w:t>
      </w:r>
    </w:p>
    <w:p w:rsidR="005D5BC7" w:rsidRPr="00172454" w:rsidP="00150642">
      <w:pPr>
        <w:snapToGrid w:val="0"/>
        <w:spacing w:line="360" w:lineRule="auto"/>
        <w:ind w:firstLine="420" w:firstLineChars="200"/>
        <w:rPr>
          <w:rFonts w:asciiTheme="minorEastAsia" w:eastAsiaTheme="minorEastAsia" w:hAnsiTheme="minorEastAsia"/>
          <w:color w:val="000000" w:themeColor="text1"/>
          <w:szCs w:val="21"/>
        </w:rPr>
      </w:pPr>
      <w:r w:rsidRPr="00172454">
        <w:rPr>
          <w:rFonts w:asciiTheme="minorEastAsia" w:eastAsiaTheme="minorEastAsia" w:hAnsiTheme="minorEastAsia" w:hint="eastAsia"/>
          <w:color w:val="000000" w:themeColor="text1"/>
        </w:rPr>
        <w:t>查阅方式：投资者可在营业时间免费查阅，也可按工本费购买复印件。</w:t>
      </w:r>
    </w:p>
    <w:p w:rsidR="005D5BC7" w:rsidRPr="00172454" w:rsidP="00150642">
      <w:pPr>
        <w:snapToGrid w:val="0"/>
        <w:spacing w:line="360" w:lineRule="auto"/>
        <w:ind w:left="480"/>
        <w:rPr>
          <w:rFonts w:asciiTheme="minorEastAsia" w:eastAsiaTheme="minorEastAsia" w:hAnsiTheme="minorEastAsia"/>
          <w:color w:val="000000" w:themeColor="text1"/>
          <w:szCs w:val="21"/>
        </w:rPr>
      </w:pPr>
    </w:p>
    <w:p w:rsidR="00381A1C" w:rsidRPr="00172454" w:rsidP="00150642">
      <w:pPr>
        <w:snapToGrid w:val="0"/>
        <w:spacing w:line="360" w:lineRule="auto"/>
        <w:ind w:left="480"/>
        <w:rPr>
          <w:rFonts w:asciiTheme="minorEastAsia" w:eastAsiaTheme="minorEastAsia" w:hAnsiTheme="minorEastAsia"/>
          <w:color w:val="000000" w:themeColor="text1"/>
          <w:szCs w:val="21"/>
        </w:rPr>
      </w:pPr>
    </w:p>
    <w:p w:rsidR="005D5BC7" w:rsidRPr="00172454" w:rsidP="00150642">
      <w:pPr>
        <w:snapToGrid w:val="0"/>
        <w:spacing w:line="360" w:lineRule="auto"/>
        <w:ind w:firstLine="420" w:firstLineChars="200"/>
        <w:jc w:val="right"/>
        <w:rPr>
          <w:rFonts w:asciiTheme="minorEastAsia" w:eastAsiaTheme="minorEastAsia" w:hAnsiTheme="minorEastAsia"/>
          <w:color w:val="000000" w:themeColor="text1"/>
        </w:rPr>
      </w:pPr>
      <w:bookmarkStart w:id="4522" w:name="_PictureBullets"/>
      <w:bookmarkEnd w:id="4522"/>
      <w:r w:rsidRPr="00172454">
        <w:rPr>
          <w:rFonts w:asciiTheme="minorEastAsia" w:eastAsiaTheme="minorEastAsia" w:hAnsiTheme="minorEastAsia" w:hint="eastAsia"/>
          <w:color w:val="000000" w:themeColor="text1"/>
        </w:rPr>
        <w:t>易方达基金管理有限公司</w:t>
      </w:r>
    </w:p>
    <w:p w:rsidR="000B6D42" w:rsidRPr="00172454" w:rsidP="009F0B1D">
      <w:pPr>
        <w:wordWrap w:val="0"/>
        <w:snapToGrid w:val="0"/>
        <w:spacing w:line="360" w:lineRule="auto"/>
        <w:ind w:right="315"/>
        <w:jc w:val="right"/>
        <w:rPr>
          <w:rFonts w:asciiTheme="minorEastAsia" w:eastAsiaTheme="minorEastAsia" w:hAnsiTheme="minorEastAsia"/>
          <w:color w:val="000000" w:themeColor="text1"/>
        </w:rPr>
      </w:pPr>
      <w:r w:rsidRPr="00172454">
        <w:rPr>
          <w:rFonts w:asciiTheme="minorEastAsia" w:eastAsiaTheme="minorEastAsia" w:hAnsiTheme="minorEastAsia"/>
          <w:color w:val="000000" w:themeColor="text1"/>
        </w:rPr>
        <w:t>2021年12月31日</w:t>
      </w:r>
    </w:p>
    <w:sectPr w:rsidSect="00634CA1">
      <w:pgSz w:w="11907" w:h="16840" w:code="9"/>
      <w:pgMar w:top="1440" w:right="1800" w:bottom="1440" w:left="1800" w:header="1134"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8D780E" w:rsidP="000B6D4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Footer"/>
      <w:ind w:right="360" w:firstLine="4050" w:firstLineChars="2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Footer"/>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Footer"/>
      <w:ind w:right="360" w:firstLine="4050" w:firstLineChars="2250"/>
    </w:pPr>
    <w:r>
      <w:fldChar w:fldCharType="begin"/>
    </w:r>
    <w:r>
      <w:instrText>PAGE   \* MERGEFORMAT</w:instrText>
    </w:r>
    <w:r>
      <w:fldChar w:fldCharType="separate"/>
    </w:r>
    <w:r w:rsidRPr="00FD100C" w:rsidR="00FD100C">
      <w:rPr>
        <w:noProof/>
        <w:lang w:val="zh-CN"/>
      </w:rPr>
      <w:t>98</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Footer"/>
      <w:ind w:firstLine="360"/>
      <w:jc w:val="center"/>
    </w:pPr>
    <w:r>
      <w:fldChar w:fldCharType="begin"/>
    </w:r>
    <w:r>
      <w:instrText xml:space="preserve"> PAGE   \* MERGEFORMAT </w:instrText>
    </w:r>
    <w:r>
      <w:fldChar w:fldCharType="separate"/>
    </w:r>
    <w:r w:rsidRPr="00FD100C" w:rsidR="00FD100C">
      <w:rPr>
        <w:noProof/>
        <w:lang w:val="zh-CN"/>
      </w:rPr>
      <w:t>I</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0B6D4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P="00FB5A12">
    <w:pPr>
      <w:pStyle w:val="Header"/>
      <w:pBdr>
        <w:bottom w:val="none" w:sz="0" w:space="0" w:color="auto"/>
      </w:pBdr>
      <w:tabs>
        <w:tab w:val="right" w:pos="8280"/>
      </w:tabs>
      <w:wordWrap w:val="0"/>
      <w:adjustRightInd w:val="0"/>
      <w:ind w:firstLine="0" w:firstLineChars="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80E" w:rsidRPr="00E072DA" w:rsidP="000B6D42">
    <w:pPr>
      <w:pStyle w:val="Header"/>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CharCharCharCharCharCharChar"/>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5562621F"/>
    <w:multiLevelType w:val="hybridMultilevel"/>
    <w:tmpl w:val="1A3A79AA"/>
    <w:lvl w:ilvl="0">
      <w:start w:val="1"/>
      <w:numFmt w:val="decimal"/>
      <w:lvlText w:val="%1."/>
      <w:lvlJc w:val="left"/>
      <w:pPr>
        <w:tabs>
          <w:tab w:val="num" w:pos="780"/>
        </w:tabs>
        <w:ind w:left="420" w:firstLine="0"/>
      </w:pPr>
      <w:rPr>
        <w:rFonts w:hint="eastAsia"/>
      </w:rPr>
    </w:lvl>
    <w:lvl w:ilvl="1">
      <w:start w:val="1"/>
      <w:numFmt w:val="decimal"/>
      <w:lvlText w:val="（%2）"/>
      <w:lvlJc w:val="left"/>
      <w:pPr>
        <w:tabs>
          <w:tab w:val="num" w:pos="1134"/>
        </w:tabs>
        <w:ind w:left="1134" w:hanging="714"/>
      </w:pPr>
      <w:rPr>
        <w:rFonts w:hint="eastAsia"/>
      </w:rPr>
    </w:lvl>
    <w:lvl w:ilvl="2">
      <w:start w:val="1"/>
      <w:numFmt w:val="decimal"/>
      <w:lvlText w:val="%3"/>
      <w:lvlJc w:val="left"/>
      <w:pPr>
        <w:tabs>
          <w:tab w:val="num" w:pos="780"/>
        </w:tabs>
        <w:ind w:left="420" w:firstLine="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defaultTabStop w:val="42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5D5BC7"/>
    <w:rsid w:val="0000012B"/>
    <w:rsid w:val="00001F6E"/>
    <w:rsid w:val="0000393A"/>
    <w:rsid w:val="0000570A"/>
    <w:rsid w:val="00010BBE"/>
    <w:rsid w:val="0001263A"/>
    <w:rsid w:val="000136B9"/>
    <w:rsid w:val="00020B59"/>
    <w:rsid w:val="00020BA4"/>
    <w:rsid w:val="00022A6B"/>
    <w:rsid w:val="00023889"/>
    <w:rsid w:val="0002669D"/>
    <w:rsid w:val="0003225B"/>
    <w:rsid w:val="00033173"/>
    <w:rsid w:val="0003479C"/>
    <w:rsid w:val="00035242"/>
    <w:rsid w:val="00035634"/>
    <w:rsid w:val="00040DAE"/>
    <w:rsid w:val="000413E8"/>
    <w:rsid w:val="00046207"/>
    <w:rsid w:val="000617DB"/>
    <w:rsid w:val="00063CA4"/>
    <w:rsid w:val="00063F4C"/>
    <w:rsid w:val="00070E10"/>
    <w:rsid w:val="0007197E"/>
    <w:rsid w:val="00076B48"/>
    <w:rsid w:val="0008380D"/>
    <w:rsid w:val="000903F3"/>
    <w:rsid w:val="000909FA"/>
    <w:rsid w:val="000A053B"/>
    <w:rsid w:val="000A7674"/>
    <w:rsid w:val="000A7B53"/>
    <w:rsid w:val="000B16C7"/>
    <w:rsid w:val="000B27D2"/>
    <w:rsid w:val="000B35F3"/>
    <w:rsid w:val="000B5C39"/>
    <w:rsid w:val="000B5C4A"/>
    <w:rsid w:val="000B632B"/>
    <w:rsid w:val="000B6D42"/>
    <w:rsid w:val="000C4839"/>
    <w:rsid w:val="000C5D59"/>
    <w:rsid w:val="000D5B25"/>
    <w:rsid w:val="000D5E61"/>
    <w:rsid w:val="000E0989"/>
    <w:rsid w:val="000E17D5"/>
    <w:rsid w:val="000E29C1"/>
    <w:rsid w:val="000E6211"/>
    <w:rsid w:val="000F0644"/>
    <w:rsid w:val="000F0C91"/>
    <w:rsid w:val="000F0C9E"/>
    <w:rsid w:val="000F15C2"/>
    <w:rsid w:val="000F326B"/>
    <w:rsid w:val="00100D77"/>
    <w:rsid w:val="00101E39"/>
    <w:rsid w:val="00103E72"/>
    <w:rsid w:val="00105482"/>
    <w:rsid w:val="0011043B"/>
    <w:rsid w:val="00110E12"/>
    <w:rsid w:val="00111B5C"/>
    <w:rsid w:val="00111D5D"/>
    <w:rsid w:val="001153E0"/>
    <w:rsid w:val="0011779F"/>
    <w:rsid w:val="00121CF7"/>
    <w:rsid w:val="00124A0E"/>
    <w:rsid w:val="00125366"/>
    <w:rsid w:val="00126ACB"/>
    <w:rsid w:val="0012725B"/>
    <w:rsid w:val="001273BD"/>
    <w:rsid w:val="00131A77"/>
    <w:rsid w:val="00133200"/>
    <w:rsid w:val="00133369"/>
    <w:rsid w:val="00133633"/>
    <w:rsid w:val="0013542E"/>
    <w:rsid w:val="00135531"/>
    <w:rsid w:val="00136E3D"/>
    <w:rsid w:val="001400B9"/>
    <w:rsid w:val="001417A4"/>
    <w:rsid w:val="00144A8E"/>
    <w:rsid w:val="00150642"/>
    <w:rsid w:val="001525D4"/>
    <w:rsid w:val="00154BBB"/>
    <w:rsid w:val="00156079"/>
    <w:rsid w:val="0015746C"/>
    <w:rsid w:val="00164D0A"/>
    <w:rsid w:val="00165F4B"/>
    <w:rsid w:val="001708F5"/>
    <w:rsid w:val="00171DFF"/>
    <w:rsid w:val="00172454"/>
    <w:rsid w:val="00172B77"/>
    <w:rsid w:val="00173F91"/>
    <w:rsid w:val="00176493"/>
    <w:rsid w:val="0017772F"/>
    <w:rsid w:val="001805EA"/>
    <w:rsid w:val="001835BF"/>
    <w:rsid w:val="00186144"/>
    <w:rsid w:val="001947A3"/>
    <w:rsid w:val="001968FE"/>
    <w:rsid w:val="001A2482"/>
    <w:rsid w:val="001A432C"/>
    <w:rsid w:val="001A54E6"/>
    <w:rsid w:val="001A560F"/>
    <w:rsid w:val="001A6E56"/>
    <w:rsid w:val="001B2FC1"/>
    <w:rsid w:val="001B5AAE"/>
    <w:rsid w:val="001B5B67"/>
    <w:rsid w:val="001B6173"/>
    <w:rsid w:val="001B75E8"/>
    <w:rsid w:val="001C0284"/>
    <w:rsid w:val="001C115A"/>
    <w:rsid w:val="001C17A5"/>
    <w:rsid w:val="001C3379"/>
    <w:rsid w:val="001E0752"/>
    <w:rsid w:val="001E32F9"/>
    <w:rsid w:val="001E420F"/>
    <w:rsid w:val="001E55A5"/>
    <w:rsid w:val="001E5E00"/>
    <w:rsid w:val="001F2E59"/>
    <w:rsid w:val="001F4E0B"/>
    <w:rsid w:val="001F5816"/>
    <w:rsid w:val="0020315C"/>
    <w:rsid w:val="002037CC"/>
    <w:rsid w:val="00204FFC"/>
    <w:rsid w:val="00205648"/>
    <w:rsid w:val="00207CED"/>
    <w:rsid w:val="00215C7A"/>
    <w:rsid w:val="00216995"/>
    <w:rsid w:val="002207A2"/>
    <w:rsid w:val="00220E8E"/>
    <w:rsid w:val="002273D1"/>
    <w:rsid w:val="00230B48"/>
    <w:rsid w:val="002346FC"/>
    <w:rsid w:val="0023478F"/>
    <w:rsid w:val="00235A35"/>
    <w:rsid w:val="00237E19"/>
    <w:rsid w:val="0024098F"/>
    <w:rsid w:val="00242A6C"/>
    <w:rsid w:val="0024732D"/>
    <w:rsid w:val="00251169"/>
    <w:rsid w:val="00255AE4"/>
    <w:rsid w:val="00257932"/>
    <w:rsid w:val="00260A59"/>
    <w:rsid w:val="00262CFB"/>
    <w:rsid w:val="0026331D"/>
    <w:rsid w:val="0026458F"/>
    <w:rsid w:val="002647C0"/>
    <w:rsid w:val="002647E5"/>
    <w:rsid w:val="00267EE6"/>
    <w:rsid w:val="00272F51"/>
    <w:rsid w:val="002743A1"/>
    <w:rsid w:val="002745F9"/>
    <w:rsid w:val="002765BF"/>
    <w:rsid w:val="002771F5"/>
    <w:rsid w:val="002815BB"/>
    <w:rsid w:val="00285579"/>
    <w:rsid w:val="00285AF2"/>
    <w:rsid w:val="00287B8D"/>
    <w:rsid w:val="00290737"/>
    <w:rsid w:val="0029211B"/>
    <w:rsid w:val="00293627"/>
    <w:rsid w:val="002942FF"/>
    <w:rsid w:val="00294D97"/>
    <w:rsid w:val="00295720"/>
    <w:rsid w:val="002967C2"/>
    <w:rsid w:val="00297375"/>
    <w:rsid w:val="00297E0E"/>
    <w:rsid w:val="002A0E87"/>
    <w:rsid w:val="002A2572"/>
    <w:rsid w:val="002A35AF"/>
    <w:rsid w:val="002A39C3"/>
    <w:rsid w:val="002A720D"/>
    <w:rsid w:val="002A765C"/>
    <w:rsid w:val="002B5D93"/>
    <w:rsid w:val="002B7C31"/>
    <w:rsid w:val="002B7D4E"/>
    <w:rsid w:val="002C2A97"/>
    <w:rsid w:val="002C2AF0"/>
    <w:rsid w:val="002C736E"/>
    <w:rsid w:val="002D418D"/>
    <w:rsid w:val="002D6483"/>
    <w:rsid w:val="002F3EEC"/>
    <w:rsid w:val="002F5218"/>
    <w:rsid w:val="002F5349"/>
    <w:rsid w:val="002F6EB8"/>
    <w:rsid w:val="00300CAC"/>
    <w:rsid w:val="00300DDB"/>
    <w:rsid w:val="003065E4"/>
    <w:rsid w:val="00307584"/>
    <w:rsid w:val="003103B4"/>
    <w:rsid w:val="00313A85"/>
    <w:rsid w:val="00317064"/>
    <w:rsid w:val="003171AF"/>
    <w:rsid w:val="00326E39"/>
    <w:rsid w:val="00330551"/>
    <w:rsid w:val="00331177"/>
    <w:rsid w:val="00331987"/>
    <w:rsid w:val="003330A5"/>
    <w:rsid w:val="00334FD9"/>
    <w:rsid w:val="00340BB4"/>
    <w:rsid w:val="0034257F"/>
    <w:rsid w:val="003435C7"/>
    <w:rsid w:val="00346411"/>
    <w:rsid w:val="00347215"/>
    <w:rsid w:val="003555EF"/>
    <w:rsid w:val="00360490"/>
    <w:rsid w:val="00360EC6"/>
    <w:rsid w:val="00363671"/>
    <w:rsid w:val="0036480C"/>
    <w:rsid w:val="00367CD8"/>
    <w:rsid w:val="00372A8D"/>
    <w:rsid w:val="00372D10"/>
    <w:rsid w:val="00373DF3"/>
    <w:rsid w:val="00376799"/>
    <w:rsid w:val="003800EC"/>
    <w:rsid w:val="003802DB"/>
    <w:rsid w:val="00381A1C"/>
    <w:rsid w:val="00382F2E"/>
    <w:rsid w:val="00383F7E"/>
    <w:rsid w:val="00386865"/>
    <w:rsid w:val="00390529"/>
    <w:rsid w:val="00395217"/>
    <w:rsid w:val="003A1236"/>
    <w:rsid w:val="003A297E"/>
    <w:rsid w:val="003B11DB"/>
    <w:rsid w:val="003B1A24"/>
    <w:rsid w:val="003B1B71"/>
    <w:rsid w:val="003B3E19"/>
    <w:rsid w:val="003B551D"/>
    <w:rsid w:val="003B5BFE"/>
    <w:rsid w:val="003B77AA"/>
    <w:rsid w:val="003B7FCD"/>
    <w:rsid w:val="003C0345"/>
    <w:rsid w:val="003C16F4"/>
    <w:rsid w:val="003C1FFA"/>
    <w:rsid w:val="003C3E72"/>
    <w:rsid w:val="003C4CE3"/>
    <w:rsid w:val="003C58F0"/>
    <w:rsid w:val="003D2A30"/>
    <w:rsid w:val="003D3FAE"/>
    <w:rsid w:val="003D4480"/>
    <w:rsid w:val="003D450A"/>
    <w:rsid w:val="003D5FE3"/>
    <w:rsid w:val="003D7B16"/>
    <w:rsid w:val="003D7CB2"/>
    <w:rsid w:val="003E3E3E"/>
    <w:rsid w:val="003F3934"/>
    <w:rsid w:val="003F60E7"/>
    <w:rsid w:val="00401819"/>
    <w:rsid w:val="00402666"/>
    <w:rsid w:val="00406944"/>
    <w:rsid w:val="004179E5"/>
    <w:rsid w:val="004203C1"/>
    <w:rsid w:val="00421D1A"/>
    <w:rsid w:val="0042652B"/>
    <w:rsid w:val="00426DF2"/>
    <w:rsid w:val="00430F3A"/>
    <w:rsid w:val="00435DAB"/>
    <w:rsid w:val="00444163"/>
    <w:rsid w:val="00444381"/>
    <w:rsid w:val="00444BA7"/>
    <w:rsid w:val="00446A90"/>
    <w:rsid w:val="00447E20"/>
    <w:rsid w:val="004530A8"/>
    <w:rsid w:val="004539C6"/>
    <w:rsid w:val="00454DAE"/>
    <w:rsid w:val="0045768E"/>
    <w:rsid w:val="004579CC"/>
    <w:rsid w:val="004625F7"/>
    <w:rsid w:val="00462D18"/>
    <w:rsid w:val="00463546"/>
    <w:rsid w:val="00463E58"/>
    <w:rsid w:val="004657AF"/>
    <w:rsid w:val="00465C01"/>
    <w:rsid w:val="00466735"/>
    <w:rsid w:val="004706F9"/>
    <w:rsid w:val="00471BC6"/>
    <w:rsid w:val="00474498"/>
    <w:rsid w:val="00474653"/>
    <w:rsid w:val="004770D7"/>
    <w:rsid w:val="004806C6"/>
    <w:rsid w:val="00480FC5"/>
    <w:rsid w:val="004821BB"/>
    <w:rsid w:val="00484D0D"/>
    <w:rsid w:val="00484F70"/>
    <w:rsid w:val="0048640D"/>
    <w:rsid w:val="00487D3D"/>
    <w:rsid w:val="004901EE"/>
    <w:rsid w:val="0049119C"/>
    <w:rsid w:val="004921BA"/>
    <w:rsid w:val="0049782D"/>
    <w:rsid w:val="004A0765"/>
    <w:rsid w:val="004A0DBD"/>
    <w:rsid w:val="004B1B18"/>
    <w:rsid w:val="004B1E8D"/>
    <w:rsid w:val="004B216A"/>
    <w:rsid w:val="004B7185"/>
    <w:rsid w:val="004C5062"/>
    <w:rsid w:val="004C6C72"/>
    <w:rsid w:val="004D1CDE"/>
    <w:rsid w:val="004D23F9"/>
    <w:rsid w:val="004D3B26"/>
    <w:rsid w:val="004D4CB8"/>
    <w:rsid w:val="004E04E8"/>
    <w:rsid w:val="004E673A"/>
    <w:rsid w:val="004E724C"/>
    <w:rsid w:val="004F284D"/>
    <w:rsid w:val="004F3240"/>
    <w:rsid w:val="004F4AE2"/>
    <w:rsid w:val="005002B4"/>
    <w:rsid w:val="0050161B"/>
    <w:rsid w:val="00502001"/>
    <w:rsid w:val="00503EE1"/>
    <w:rsid w:val="0050458E"/>
    <w:rsid w:val="00505097"/>
    <w:rsid w:val="00505238"/>
    <w:rsid w:val="00506734"/>
    <w:rsid w:val="005121E1"/>
    <w:rsid w:val="00516584"/>
    <w:rsid w:val="005207B8"/>
    <w:rsid w:val="00522798"/>
    <w:rsid w:val="00523836"/>
    <w:rsid w:val="005268CA"/>
    <w:rsid w:val="00526FCA"/>
    <w:rsid w:val="005270F2"/>
    <w:rsid w:val="00530EDF"/>
    <w:rsid w:val="005365B4"/>
    <w:rsid w:val="00543804"/>
    <w:rsid w:val="00546FF5"/>
    <w:rsid w:val="005511F7"/>
    <w:rsid w:val="00551C3B"/>
    <w:rsid w:val="00553207"/>
    <w:rsid w:val="0055752F"/>
    <w:rsid w:val="005609C7"/>
    <w:rsid w:val="005640F0"/>
    <w:rsid w:val="005710F1"/>
    <w:rsid w:val="005722E6"/>
    <w:rsid w:val="00572D74"/>
    <w:rsid w:val="00574A5C"/>
    <w:rsid w:val="005807C2"/>
    <w:rsid w:val="00581431"/>
    <w:rsid w:val="005873CE"/>
    <w:rsid w:val="00587459"/>
    <w:rsid w:val="0059416A"/>
    <w:rsid w:val="00596F75"/>
    <w:rsid w:val="005A15A8"/>
    <w:rsid w:val="005A2D8F"/>
    <w:rsid w:val="005A527B"/>
    <w:rsid w:val="005A54E6"/>
    <w:rsid w:val="005A5B0C"/>
    <w:rsid w:val="005B348F"/>
    <w:rsid w:val="005C0F15"/>
    <w:rsid w:val="005C1CE2"/>
    <w:rsid w:val="005C294C"/>
    <w:rsid w:val="005C4DF4"/>
    <w:rsid w:val="005C5140"/>
    <w:rsid w:val="005C57A5"/>
    <w:rsid w:val="005C6ED6"/>
    <w:rsid w:val="005D0468"/>
    <w:rsid w:val="005D13C7"/>
    <w:rsid w:val="005D1ED3"/>
    <w:rsid w:val="005D5BC7"/>
    <w:rsid w:val="005D7F0A"/>
    <w:rsid w:val="005E3858"/>
    <w:rsid w:val="005E4DA1"/>
    <w:rsid w:val="005F1184"/>
    <w:rsid w:val="005F33C1"/>
    <w:rsid w:val="005F413A"/>
    <w:rsid w:val="005F44B2"/>
    <w:rsid w:val="005F5684"/>
    <w:rsid w:val="005F774D"/>
    <w:rsid w:val="005F7C89"/>
    <w:rsid w:val="0060076E"/>
    <w:rsid w:val="00600BE2"/>
    <w:rsid w:val="00602269"/>
    <w:rsid w:val="00604CBD"/>
    <w:rsid w:val="00607C81"/>
    <w:rsid w:val="00612A2F"/>
    <w:rsid w:val="00612ABA"/>
    <w:rsid w:val="00621EFE"/>
    <w:rsid w:val="0062228E"/>
    <w:rsid w:val="00624882"/>
    <w:rsid w:val="00626774"/>
    <w:rsid w:val="00627C1A"/>
    <w:rsid w:val="00634CA1"/>
    <w:rsid w:val="006355B6"/>
    <w:rsid w:val="00635C1B"/>
    <w:rsid w:val="00637791"/>
    <w:rsid w:val="00637C59"/>
    <w:rsid w:val="00640462"/>
    <w:rsid w:val="00640961"/>
    <w:rsid w:val="00643677"/>
    <w:rsid w:val="0064531C"/>
    <w:rsid w:val="00651CC3"/>
    <w:rsid w:val="00653193"/>
    <w:rsid w:val="00656704"/>
    <w:rsid w:val="00656811"/>
    <w:rsid w:val="006603DD"/>
    <w:rsid w:val="0066350A"/>
    <w:rsid w:val="00665624"/>
    <w:rsid w:val="006658B2"/>
    <w:rsid w:val="00670179"/>
    <w:rsid w:val="00670D8C"/>
    <w:rsid w:val="00673783"/>
    <w:rsid w:val="00675962"/>
    <w:rsid w:val="0067667A"/>
    <w:rsid w:val="0067744D"/>
    <w:rsid w:val="00680708"/>
    <w:rsid w:val="00682BC2"/>
    <w:rsid w:val="00686F5D"/>
    <w:rsid w:val="006909D4"/>
    <w:rsid w:val="006911D1"/>
    <w:rsid w:val="00691A5A"/>
    <w:rsid w:val="006A3626"/>
    <w:rsid w:val="006A5A5B"/>
    <w:rsid w:val="006A7CEC"/>
    <w:rsid w:val="006B0C2E"/>
    <w:rsid w:val="006B271F"/>
    <w:rsid w:val="006B34B2"/>
    <w:rsid w:val="006B4449"/>
    <w:rsid w:val="006B5E33"/>
    <w:rsid w:val="006B6F31"/>
    <w:rsid w:val="006C4245"/>
    <w:rsid w:val="006D00DA"/>
    <w:rsid w:val="006D0B50"/>
    <w:rsid w:val="006D384A"/>
    <w:rsid w:val="006D3CF9"/>
    <w:rsid w:val="006E1D0A"/>
    <w:rsid w:val="006E34FE"/>
    <w:rsid w:val="006E414C"/>
    <w:rsid w:val="006E71C8"/>
    <w:rsid w:val="00700A2A"/>
    <w:rsid w:val="007014E8"/>
    <w:rsid w:val="00704CB7"/>
    <w:rsid w:val="00706198"/>
    <w:rsid w:val="00706862"/>
    <w:rsid w:val="0071098F"/>
    <w:rsid w:val="00715051"/>
    <w:rsid w:val="007216AD"/>
    <w:rsid w:val="007227B1"/>
    <w:rsid w:val="0072556D"/>
    <w:rsid w:val="00725B86"/>
    <w:rsid w:val="00731B05"/>
    <w:rsid w:val="007330BA"/>
    <w:rsid w:val="00735B0E"/>
    <w:rsid w:val="007361E1"/>
    <w:rsid w:val="00743463"/>
    <w:rsid w:val="007443B0"/>
    <w:rsid w:val="00744809"/>
    <w:rsid w:val="007449A6"/>
    <w:rsid w:val="00745ECD"/>
    <w:rsid w:val="00750831"/>
    <w:rsid w:val="007543DD"/>
    <w:rsid w:val="00757AB6"/>
    <w:rsid w:val="00762127"/>
    <w:rsid w:val="00762CA9"/>
    <w:rsid w:val="0076351E"/>
    <w:rsid w:val="00763958"/>
    <w:rsid w:val="0077488E"/>
    <w:rsid w:val="00775199"/>
    <w:rsid w:val="00780545"/>
    <w:rsid w:val="00781C5C"/>
    <w:rsid w:val="00785140"/>
    <w:rsid w:val="0078566E"/>
    <w:rsid w:val="007873A1"/>
    <w:rsid w:val="00790D6E"/>
    <w:rsid w:val="007963EF"/>
    <w:rsid w:val="007970AE"/>
    <w:rsid w:val="007A26F6"/>
    <w:rsid w:val="007A5B1D"/>
    <w:rsid w:val="007B082E"/>
    <w:rsid w:val="007B1B87"/>
    <w:rsid w:val="007B2582"/>
    <w:rsid w:val="007B285E"/>
    <w:rsid w:val="007B43BC"/>
    <w:rsid w:val="007B5B4A"/>
    <w:rsid w:val="007B5BF6"/>
    <w:rsid w:val="007C3039"/>
    <w:rsid w:val="007C3211"/>
    <w:rsid w:val="007C6A3E"/>
    <w:rsid w:val="007C74DE"/>
    <w:rsid w:val="007D3A1D"/>
    <w:rsid w:val="007D483B"/>
    <w:rsid w:val="007D6EEC"/>
    <w:rsid w:val="007E111A"/>
    <w:rsid w:val="007E544A"/>
    <w:rsid w:val="007E6EBA"/>
    <w:rsid w:val="007F06A4"/>
    <w:rsid w:val="007F2278"/>
    <w:rsid w:val="007F3160"/>
    <w:rsid w:val="007F600F"/>
    <w:rsid w:val="007F6DCD"/>
    <w:rsid w:val="007F7497"/>
    <w:rsid w:val="00800396"/>
    <w:rsid w:val="00800563"/>
    <w:rsid w:val="00801597"/>
    <w:rsid w:val="00802E56"/>
    <w:rsid w:val="00804327"/>
    <w:rsid w:val="00810372"/>
    <w:rsid w:val="00811C7E"/>
    <w:rsid w:val="00815FCE"/>
    <w:rsid w:val="0081691C"/>
    <w:rsid w:val="00820328"/>
    <w:rsid w:val="0082038E"/>
    <w:rsid w:val="00820AB3"/>
    <w:rsid w:val="0082185E"/>
    <w:rsid w:val="008278EA"/>
    <w:rsid w:val="00827D22"/>
    <w:rsid w:val="008306F0"/>
    <w:rsid w:val="00831D76"/>
    <w:rsid w:val="00833E4F"/>
    <w:rsid w:val="00834223"/>
    <w:rsid w:val="00834518"/>
    <w:rsid w:val="0083455E"/>
    <w:rsid w:val="00834EFC"/>
    <w:rsid w:val="00835145"/>
    <w:rsid w:val="00837A2E"/>
    <w:rsid w:val="008405E6"/>
    <w:rsid w:val="008427C6"/>
    <w:rsid w:val="00843486"/>
    <w:rsid w:val="00853819"/>
    <w:rsid w:val="00870B11"/>
    <w:rsid w:val="008753C8"/>
    <w:rsid w:val="00876146"/>
    <w:rsid w:val="00876CBF"/>
    <w:rsid w:val="00880AEA"/>
    <w:rsid w:val="008861C1"/>
    <w:rsid w:val="008864C4"/>
    <w:rsid w:val="008917C1"/>
    <w:rsid w:val="00895783"/>
    <w:rsid w:val="008A26B2"/>
    <w:rsid w:val="008A45A8"/>
    <w:rsid w:val="008A4FAE"/>
    <w:rsid w:val="008A5A65"/>
    <w:rsid w:val="008A5AC8"/>
    <w:rsid w:val="008B20DF"/>
    <w:rsid w:val="008B5B93"/>
    <w:rsid w:val="008B76E3"/>
    <w:rsid w:val="008C1942"/>
    <w:rsid w:val="008C1CBD"/>
    <w:rsid w:val="008C22B2"/>
    <w:rsid w:val="008C2B1A"/>
    <w:rsid w:val="008C2BEB"/>
    <w:rsid w:val="008C60E5"/>
    <w:rsid w:val="008D2C37"/>
    <w:rsid w:val="008D3206"/>
    <w:rsid w:val="008D336A"/>
    <w:rsid w:val="008D3713"/>
    <w:rsid w:val="008D5DC5"/>
    <w:rsid w:val="008D6088"/>
    <w:rsid w:val="008D741B"/>
    <w:rsid w:val="008D780E"/>
    <w:rsid w:val="008E4255"/>
    <w:rsid w:val="008E5B2F"/>
    <w:rsid w:val="008E6E5D"/>
    <w:rsid w:val="008E77DC"/>
    <w:rsid w:val="008F2CB5"/>
    <w:rsid w:val="008F4198"/>
    <w:rsid w:val="00901581"/>
    <w:rsid w:val="00905B20"/>
    <w:rsid w:val="00911838"/>
    <w:rsid w:val="00917791"/>
    <w:rsid w:val="00917DAC"/>
    <w:rsid w:val="00922846"/>
    <w:rsid w:val="00924A35"/>
    <w:rsid w:val="009277E2"/>
    <w:rsid w:val="00933E42"/>
    <w:rsid w:val="00936ACC"/>
    <w:rsid w:val="00940DC0"/>
    <w:rsid w:val="00941E7A"/>
    <w:rsid w:val="0094649B"/>
    <w:rsid w:val="00950715"/>
    <w:rsid w:val="00950A9E"/>
    <w:rsid w:val="009522A1"/>
    <w:rsid w:val="00956795"/>
    <w:rsid w:val="0095684A"/>
    <w:rsid w:val="009571A8"/>
    <w:rsid w:val="00962451"/>
    <w:rsid w:val="009632F1"/>
    <w:rsid w:val="00964874"/>
    <w:rsid w:val="00966BA2"/>
    <w:rsid w:val="0097394D"/>
    <w:rsid w:val="009749E7"/>
    <w:rsid w:val="00975687"/>
    <w:rsid w:val="009808F4"/>
    <w:rsid w:val="009825BF"/>
    <w:rsid w:val="00985172"/>
    <w:rsid w:val="0099143A"/>
    <w:rsid w:val="0099296E"/>
    <w:rsid w:val="009A0815"/>
    <w:rsid w:val="009A2ADA"/>
    <w:rsid w:val="009A3FEE"/>
    <w:rsid w:val="009A5C4D"/>
    <w:rsid w:val="009A7B20"/>
    <w:rsid w:val="009B10CE"/>
    <w:rsid w:val="009B439B"/>
    <w:rsid w:val="009B70EA"/>
    <w:rsid w:val="009B73DA"/>
    <w:rsid w:val="009B77E2"/>
    <w:rsid w:val="009C33D3"/>
    <w:rsid w:val="009D1111"/>
    <w:rsid w:val="009D1B54"/>
    <w:rsid w:val="009D221D"/>
    <w:rsid w:val="009D6CEB"/>
    <w:rsid w:val="009D71B3"/>
    <w:rsid w:val="009D7A0D"/>
    <w:rsid w:val="009D7D9C"/>
    <w:rsid w:val="009E3534"/>
    <w:rsid w:val="009E4BB3"/>
    <w:rsid w:val="009E7203"/>
    <w:rsid w:val="009E7D0A"/>
    <w:rsid w:val="009F0B1D"/>
    <w:rsid w:val="009F0FA3"/>
    <w:rsid w:val="009F315C"/>
    <w:rsid w:val="009F7740"/>
    <w:rsid w:val="00A00992"/>
    <w:rsid w:val="00A13C7B"/>
    <w:rsid w:val="00A14EF0"/>
    <w:rsid w:val="00A162F9"/>
    <w:rsid w:val="00A27D80"/>
    <w:rsid w:val="00A3571F"/>
    <w:rsid w:val="00A41B23"/>
    <w:rsid w:val="00A41E64"/>
    <w:rsid w:val="00A44CA9"/>
    <w:rsid w:val="00A50487"/>
    <w:rsid w:val="00A51CE6"/>
    <w:rsid w:val="00A53023"/>
    <w:rsid w:val="00A603FD"/>
    <w:rsid w:val="00A60D6C"/>
    <w:rsid w:val="00A6257C"/>
    <w:rsid w:val="00A6330C"/>
    <w:rsid w:val="00A639B8"/>
    <w:rsid w:val="00A6521F"/>
    <w:rsid w:val="00A70715"/>
    <w:rsid w:val="00A75DC2"/>
    <w:rsid w:val="00A82B15"/>
    <w:rsid w:val="00A83E74"/>
    <w:rsid w:val="00A84302"/>
    <w:rsid w:val="00A86510"/>
    <w:rsid w:val="00A87A2A"/>
    <w:rsid w:val="00A9491C"/>
    <w:rsid w:val="00A95DE9"/>
    <w:rsid w:val="00A96138"/>
    <w:rsid w:val="00A978E0"/>
    <w:rsid w:val="00A97E8D"/>
    <w:rsid w:val="00AA1759"/>
    <w:rsid w:val="00AB15FF"/>
    <w:rsid w:val="00AB1B9D"/>
    <w:rsid w:val="00AB7B09"/>
    <w:rsid w:val="00AC1520"/>
    <w:rsid w:val="00AD0AAE"/>
    <w:rsid w:val="00AD5D5F"/>
    <w:rsid w:val="00AE123C"/>
    <w:rsid w:val="00AE44CC"/>
    <w:rsid w:val="00AF4220"/>
    <w:rsid w:val="00B00752"/>
    <w:rsid w:val="00B0095F"/>
    <w:rsid w:val="00B02D4B"/>
    <w:rsid w:val="00B07ACF"/>
    <w:rsid w:val="00B105C3"/>
    <w:rsid w:val="00B106E6"/>
    <w:rsid w:val="00B134D0"/>
    <w:rsid w:val="00B16D62"/>
    <w:rsid w:val="00B3260D"/>
    <w:rsid w:val="00B367CF"/>
    <w:rsid w:val="00B43DC9"/>
    <w:rsid w:val="00B451E1"/>
    <w:rsid w:val="00B45A5F"/>
    <w:rsid w:val="00B47315"/>
    <w:rsid w:val="00B52153"/>
    <w:rsid w:val="00B52D3A"/>
    <w:rsid w:val="00B53EAB"/>
    <w:rsid w:val="00B55A6F"/>
    <w:rsid w:val="00B64C5F"/>
    <w:rsid w:val="00B65F3E"/>
    <w:rsid w:val="00B65F62"/>
    <w:rsid w:val="00B674B2"/>
    <w:rsid w:val="00B747C3"/>
    <w:rsid w:val="00B74ACE"/>
    <w:rsid w:val="00B764B0"/>
    <w:rsid w:val="00B7659D"/>
    <w:rsid w:val="00B810E3"/>
    <w:rsid w:val="00B81B26"/>
    <w:rsid w:val="00B8791D"/>
    <w:rsid w:val="00B90084"/>
    <w:rsid w:val="00B902E7"/>
    <w:rsid w:val="00B92606"/>
    <w:rsid w:val="00B92A04"/>
    <w:rsid w:val="00B959BF"/>
    <w:rsid w:val="00B97026"/>
    <w:rsid w:val="00BA0EA0"/>
    <w:rsid w:val="00BA5B49"/>
    <w:rsid w:val="00BA5C82"/>
    <w:rsid w:val="00BB029E"/>
    <w:rsid w:val="00BB06D8"/>
    <w:rsid w:val="00BB3C79"/>
    <w:rsid w:val="00BB73BF"/>
    <w:rsid w:val="00BC52CA"/>
    <w:rsid w:val="00BD1425"/>
    <w:rsid w:val="00BD311F"/>
    <w:rsid w:val="00BD4F36"/>
    <w:rsid w:val="00BE01C9"/>
    <w:rsid w:val="00BE1D91"/>
    <w:rsid w:val="00BE24E6"/>
    <w:rsid w:val="00BE3AF9"/>
    <w:rsid w:val="00BE481F"/>
    <w:rsid w:val="00BE6B54"/>
    <w:rsid w:val="00BF21B4"/>
    <w:rsid w:val="00BF4F81"/>
    <w:rsid w:val="00BF616F"/>
    <w:rsid w:val="00BF7BC8"/>
    <w:rsid w:val="00C0065D"/>
    <w:rsid w:val="00C01997"/>
    <w:rsid w:val="00C03318"/>
    <w:rsid w:val="00C116F4"/>
    <w:rsid w:val="00C13D20"/>
    <w:rsid w:val="00C14D83"/>
    <w:rsid w:val="00C15EFA"/>
    <w:rsid w:val="00C17E78"/>
    <w:rsid w:val="00C23184"/>
    <w:rsid w:val="00C25F2A"/>
    <w:rsid w:val="00C2660F"/>
    <w:rsid w:val="00C322B5"/>
    <w:rsid w:val="00C330B2"/>
    <w:rsid w:val="00C35876"/>
    <w:rsid w:val="00C409A8"/>
    <w:rsid w:val="00C40D6B"/>
    <w:rsid w:val="00C42045"/>
    <w:rsid w:val="00C42C64"/>
    <w:rsid w:val="00C430D9"/>
    <w:rsid w:val="00C47CDA"/>
    <w:rsid w:val="00C54462"/>
    <w:rsid w:val="00C5791F"/>
    <w:rsid w:val="00C60A47"/>
    <w:rsid w:val="00C61054"/>
    <w:rsid w:val="00C62526"/>
    <w:rsid w:val="00C67E4D"/>
    <w:rsid w:val="00C703BB"/>
    <w:rsid w:val="00C7084D"/>
    <w:rsid w:val="00C708EC"/>
    <w:rsid w:val="00C7587E"/>
    <w:rsid w:val="00C772FE"/>
    <w:rsid w:val="00C8116F"/>
    <w:rsid w:val="00C84087"/>
    <w:rsid w:val="00C860F4"/>
    <w:rsid w:val="00C92489"/>
    <w:rsid w:val="00C93329"/>
    <w:rsid w:val="00CB71A4"/>
    <w:rsid w:val="00CC0D08"/>
    <w:rsid w:val="00CC13B5"/>
    <w:rsid w:val="00CC4044"/>
    <w:rsid w:val="00CC4879"/>
    <w:rsid w:val="00CC7E16"/>
    <w:rsid w:val="00CD0C12"/>
    <w:rsid w:val="00CD2EF5"/>
    <w:rsid w:val="00CD4772"/>
    <w:rsid w:val="00CD548B"/>
    <w:rsid w:val="00CD6410"/>
    <w:rsid w:val="00CD69FF"/>
    <w:rsid w:val="00CD7813"/>
    <w:rsid w:val="00CE16FF"/>
    <w:rsid w:val="00CE178B"/>
    <w:rsid w:val="00CE50C5"/>
    <w:rsid w:val="00CE552F"/>
    <w:rsid w:val="00CE6591"/>
    <w:rsid w:val="00CF4205"/>
    <w:rsid w:val="00CF59E4"/>
    <w:rsid w:val="00CF6E21"/>
    <w:rsid w:val="00D02ABC"/>
    <w:rsid w:val="00D03171"/>
    <w:rsid w:val="00D03C59"/>
    <w:rsid w:val="00D05286"/>
    <w:rsid w:val="00D069B8"/>
    <w:rsid w:val="00D1036D"/>
    <w:rsid w:val="00D1159D"/>
    <w:rsid w:val="00D13DC9"/>
    <w:rsid w:val="00D21F4C"/>
    <w:rsid w:val="00D22235"/>
    <w:rsid w:val="00D23733"/>
    <w:rsid w:val="00D24A16"/>
    <w:rsid w:val="00D26785"/>
    <w:rsid w:val="00D30676"/>
    <w:rsid w:val="00D30939"/>
    <w:rsid w:val="00D342D1"/>
    <w:rsid w:val="00D4734F"/>
    <w:rsid w:val="00D47E9A"/>
    <w:rsid w:val="00D551BB"/>
    <w:rsid w:val="00D5666A"/>
    <w:rsid w:val="00D5755E"/>
    <w:rsid w:val="00D62530"/>
    <w:rsid w:val="00D65464"/>
    <w:rsid w:val="00D67DC9"/>
    <w:rsid w:val="00D67EF8"/>
    <w:rsid w:val="00D71D6F"/>
    <w:rsid w:val="00D7595A"/>
    <w:rsid w:val="00D772F3"/>
    <w:rsid w:val="00D821CD"/>
    <w:rsid w:val="00D83048"/>
    <w:rsid w:val="00D84372"/>
    <w:rsid w:val="00D84591"/>
    <w:rsid w:val="00D869EC"/>
    <w:rsid w:val="00D86DFA"/>
    <w:rsid w:val="00D871E8"/>
    <w:rsid w:val="00D92B15"/>
    <w:rsid w:val="00DA4BDC"/>
    <w:rsid w:val="00DA55BE"/>
    <w:rsid w:val="00DA62EF"/>
    <w:rsid w:val="00DB14BC"/>
    <w:rsid w:val="00DB2FBD"/>
    <w:rsid w:val="00DB4EBB"/>
    <w:rsid w:val="00DB5AF6"/>
    <w:rsid w:val="00DC1FF6"/>
    <w:rsid w:val="00DC3C9F"/>
    <w:rsid w:val="00DC4CD4"/>
    <w:rsid w:val="00DC5C60"/>
    <w:rsid w:val="00DC68D7"/>
    <w:rsid w:val="00DC6E7D"/>
    <w:rsid w:val="00DD1378"/>
    <w:rsid w:val="00DD2F95"/>
    <w:rsid w:val="00DD3B74"/>
    <w:rsid w:val="00DD6459"/>
    <w:rsid w:val="00DD79D7"/>
    <w:rsid w:val="00DD7A56"/>
    <w:rsid w:val="00DE091C"/>
    <w:rsid w:val="00DE5FDD"/>
    <w:rsid w:val="00DE62CA"/>
    <w:rsid w:val="00DE6626"/>
    <w:rsid w:val="00DF1769"/>
    <w:rsid w:val="00DF76FC"/>
    <w:rsid w:val="00E053DA"/>
    <w:rsid w:val="00E072DA"/>
    <w:rsid w:val="00E07908"/>
    <w:rsid w:val="00E0794F"/>
    <w:rsid w:val="00E117AD"/>
    <w:rsid w:val="00E117B4"/>
    <w:rsid w:val="00E14A71"/>
    <w:rsid w:val="00E177D6"/>
    <w:rsid w:val="00E21148"/>
    <w:rsid w:val="00E22146"/>
    <w:rsid w:val="00E23835"/>
    <w:rsid w:val="00E258E4"/>
    <w:rsid w:val="00E27E17"/>
    <w:rsid w:val="00E3047C"/>
    <w:rsid w:val="00E30C5B"/>
    <w:rsid w:val="00E31784"/>
    <w:rsid w:val="00E34FE5"/>
    <w:rsid w:val="00E35C9A"/>
    <w:rsid w:val="00E40462"/>
    <w:rsid w:val="00E40E5B"/>
    <w:rsid w:val="00E41C77"/>
    <w:rsid w:val="00E43D29"/>
    <w:rsid w:val="00E457A8"/>
    <w:rsid w:val="00E459B2"/>
    <w:rsid w:val="00E50E74"/>
    <w:rsid w:val="00E566D9"/>
    <w:rsid w:val="00E60A96"/>
    <w:rsid w:val="00E60F15"/>
    <w:rsid w:val="00E630AE"/>
    <w:rsid w:val="00E65403"/>
    <w:rsid w:val="00E666B2"/>
    <w:rsid w:val="00E67308"/>
    <w:rsid w:val="00E70E52"/>
    <w:rsid w:val="00E70F72"/>
    <w:rsid w:val="00E74AAF"/>
    <w:rsid w:val="00E750E5"/>
    <w:rsid w:val="00E761FE"/>
    <w:rsid w:val="00E76794"/>
    <w:rsid w:val="00E81CE3"/>
    <w:rsid w:val="00E8392C"/>
    <w:rsid w:val="00E849F9"/>
    <w:rsid w:val="00E84E80"/>
    <w:rsid w:val="00E862A5"/>
    <w:rsid w:val="00E93775"/>
    <w:rsid w:val="00E9447A"/>
    <w:rsid w:val="00E96DAE"/>
    <w:rsid w:val="00E9736D"/>
    <w:rsid w:val="00E97A16"/>
    <w:rsid w:val="00EA09A2"/>
    <w:rsid w:val="00EA213A"/>
    <w:rsid w:val="00EA4DA1"/>
    <w:rsid w:val="00EB030F"/>
    <w:rsid w:val="00EB0ADE"/>
    <w:rsid w:val="00EB0C88"/>
    <w:rsid w:val="00EB479F"/>
    <w:rsid w:val="00EB6589"/>
    <w:rsid w:val="00EB6999"/>
    <w:rsid w:val="00EB7835"/>
    <w:rsid w:val="00EC276F"/>
    <w:rsid w:val="00EC3513"/>
    <w:rsid w:val="00ED04D2"/>
    <w:rsid w:val="00ED0F65"/>
    <w:rsid w:val="00ED1DA1"/>
    <w:rsid w:val="00ED405D"/>
    <w:rsid w:val="00ED49F5"/>
    <w:rsid w:val="00ED7BBA"/>
    <w:rsid w:val="00EE0564"/>
    <w:rsid w:val="00EE3D4C"/>
    <w:rsid w:val="00EF07EB"/>
    <w:rsid w:val="00EF0BC9"/>
    <w:rsid w:val="00EF638A"/>
    <w:rsid w:val="00F0002F"/>
    <w:rsid w:val="00F0079F"/>
    <w:rsid w:val="00F02A89"/>
    <w:rsid w:val="00F02F61"/>
    <w:rsid w:val="00F0460F"/>
    <w:rsid w:val="00F06A0D"/>
    <w:rsid w:val="00F07B7D"/>
    <w:rsid w:val="00F10E77"/>
    <w:rsid w:val="00F12564"/>
    <w:rsid w:val="00F12D2D"/>
    <w:rsid w:val="00F12E4D"/>
    <w:rsid w:val="00F135FE"/>
    <w:rsid w:val="00F16ACE"/>
    <w:rsid w:val="00F22CBD"/>
    <w:rsid w:val="00F24CD5"/>
    <w:rsid w:val="00F24F85"/>
    <w:rsid w:val="00F25D8B"/>
    <w:rsid w:val="00F26629"/>
    <w:rsid w:val="00F266FC"/>
    <w:rsid w:val="00F26B3F"/>
    <w:rsid w:val="00F305AE"/>
    <w:rsid w:val="00F341E7"/>
    <w:rsid w:val="00F346FC"/>
    <w:rsid w:val="00F3540B"/>
    <w:rsid w:val="00F37AAB"/>
    <w:rsid w:val="00F401E4"/>
    <w:rsid w:val="00F45644"/>
    <w:rsid w:val="00F45B0D"/>
    <w:rsid w:val="00F460FA"/>
    <w:rsid w:val="00F47944"/>
    <w:rsid w:val="00F505F9"/>
    <w:rsid w:val="00F509B5"/>
    <w:rsid w:val="00F56A5C"/>
    <w:rsid w:val="00F629F5"/>
    <w:rsid w:val="00F66F7F"/>
    <w:rsid w:val="00F911ED"/>
    <w:rsid w:val="00F91A12"/>
    <w:rsid w:val="00F96596"/>
    <w:rsid w:val="00FA0889"/>
    <w:rsid w:val="00FA11DF"/>
    <w:rsid w:val="00FA5117"/>
    <w:rsid w:val="00FB3805"/>
    <w:rsid w:val="00FB51FF"/>
    <w:rsid w:val="00FB5A12"/>
    <w:rsid w:val="00FB6B10"/>
    <w:rsid w:val="00FB6E40"/>
    <w:rsid w:val="00FC0536"/>
    <w:rsid w:val="00FC3BB2"/>
    <w:rsid w:val="00FC7CF9"/>
    <w:rsid w:val="00FD0704"/>
    <w:rsid w:val="00FD100C"/>
    <w:rsid w:val="00FD4B2C"/>
    <w:rsid w:val="00FD549C"/>
    <w:rsid w:val="00FD7A1D"/>
    <w:rsid w:val="00FE0249"/>
    <w:rsid w:val="00FE287B"/>
    <w:rsid w:val="00FE62E6"/>
    <w:rsid w:val="00FF364A"/>
  </w:rsids>
  <w:docVars>
    <w:docVar w:name="KGWebUrl" w:val="http://idp.efunds.com.cn/api/v1/backend/docSyncController/downloadAnnFile.json?force=true&amp;fileName=61520211231510130%E6%98%93%E6%96%B9%E8%BE%BE%E4%B8%8A%E8%AF%81%E4%B8%AD%E7%9B%98%E4%BA%A4%E6%98%93%E5%9E%8B%E5%BC%80%E6%94%BE%E5%BC%8F%E6%8C%87%E6%95%B0%E8%AF%81%E5%88%B8%E6%8A%95%E8%B5%84%E5%9F%BA%E9%87%91%E6%9B%B4%E6%96%B0%E7%9A%84%E6%8B%9B%E5%8B%9F%E8%AF%B4%E6%98%8E%E4%B9%A6.docx&amp;fileId=ANN_DOC_10634&amp;t=164033374118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526E4E72-CA54-46EE-8621-D723417A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C7"/>
    <w:pPr>
      <w:widowControl w:val="0"/>
      <w:jc w:val="both"/>
    </w:pPr>
    <w:rPr>
      <w:rFonts w:ascii="Times New Roman" w:hAnsi="Times New Roman"/>
      <w:kern w:val="2"/>
      <w:sz w:val="21"/>
      <w:szCs w:val="24"/>
    </w:rPr>
  </w:style>
  <w:style w:type="paragraph" w:styleId="Heading1">
    <w:name w:val="heading 1"/>
    <w:aliases w:val="123321,H1,Heading 0,Heading 11,Level 1 Head,Level 1 Topic Heading,PIM 1,h1,level 1"/>
    <w:basedOn w:val="Normal"/>
    <w:next w:val="Normal"/>
    <w:link w:val="1Char"/>
    <w:qFormat/>
    <w:rsid w:val="005D5BC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Titr,h2,l2,proj2,proj21,proj210,proj211,proj212,proj22,proj221,proj23,proj231,proj24,proj241,proj25,proj251,proj26,proj261,proj27,proj271,proj28,proj281,proj29,标题 2 Char Char"/>
    <w:basedOn w:val="Normal"/>
    <w:next w:val="Normal"/>
    <w:link w:val="2Char"/>
    <w:qFormat/>
    <w:rsid w:val="005D5BC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
    <w:qFormat/>
    <w:rsid w:val="005D5BC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link w:val="4Char"/>
    <w:qFormat/>
    <w:rsid w:val="005D5BC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5D5BC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5D5BC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5D5BC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5D5BC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5D5BC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5D5BC7"/>
    <w:rPr>
      <w:rFonts w:ascii="黑体" w:eastAsia="黑体" w:hAnsi="Times New Roman" w:cs="Times New Roman"/>
      <w:sz w:val="32"/>
      <w:szCs w:val="32"/>
    </w:rPr>
  </w:style>
  <w:style w:type="character" w:customStyle="1" w:styleId="2Char">
    <w:name w:val="标题 2 Char"/>
    <w:aliases w:val="2 Char,2nd level Char,H2 Char,Header 2 Char,Heading 2 CCBS Char,Heading 2 Hidden Char,Level 2 Head Char,PIM2 Char,Titr Char,h2 Char,l2 Char,proj2 Char,proj21 Char,proj210 Char,proj211 Char,proj212 Char,proj22 Char,proj221 Char,proj23 Char"/>
    <w:basedOn w:val="DefaultParagraphFont"/>
    <w:link w:val="Heading2"/>
    <w:rsid w:val="005D5BC7"/>
    <w:rPr>
      <w:rFonts w:ascii="Arial" w:eastAsia="宋体" w:hAnsi="Arial" w:cs="Times New Roman"/>
      <w:b/>
      <w:sz w:val="28"/>
      <w:szCs w:val="28"/>
    </w:rPr>
  </w:style>
  <w:style w:type="character" w:customStyle="1" w:styleId="3Char">
    <w:name w:val="标题 3 Char"/>
    <w:basedOn w:val="DefaultParagraphFont"/>
    <w:link w:val="Heading3"/>
    <w:rsid w:val="005D5BC7"/>
    <w:rPr>
      <w:rFonts w:ascii="仿宋_GB2312" w:eastAsia="仿宋_GB2312" w:hAnsi="Times New Roman" w:cs="Times New Roman"/>
      <w:sz w:val="24"/>
      <w:szCs w:val="20"/>
    </w:rPr>
  </w:style>
  <w:style w:type="character" w:customStyle="1" w:styleId="4Char">
    <w:name w:val="标题 4 Char"/>
    <w:basedOn w:val="DefaultParagraphFont"/>
    <w:link w:val="Heading4"/>
    <w:rsid w:val="005D5BC7"/>
    <w:rPr>
      <w:rFonts w:ascii="Arial" w:eastAsia="黑体" w:hAnsi="Arial" w:cs="Times New Roman"/>
      <w:b/>
      <w:bCs/>
      <w:sz w:val="28"/>
      <w:szCs w:val="28"/>
    </w:rPr>
  </w:style>
  <w:style w:type="character" w:customStyle="1" w:styleId="5Char">
    <w:name w:val="标题 5 Char"/>
    <w:basedOn w:val="DefaultParagraphFont"/>
    <w:link w:val="Heading5"/>
    <w:rsid w:val="005D5BC7"/>
    <w:rPr>
      <w:rFonts w:ascii="Times New Roman" w:eastAsia="宋体" w:hAnsi="Times New Roman" w:cs="Times New Roman"/>
      <w:b/>
      <w:bCs/>
      <w:sz w:val="28"/>
      <w:szCs w:val="28"/>
    </w:rPr>
  </w:style>
  <w:style w:type="character" w:customStyle="1" w:styleId="6Char">
    <w:name w:val="标题 6 Char"/>
    <w:basedOn w:val="DefaultParagraphFont"/>
    <w:link w:val="Heading6"/>
    <w:rsid w:val="005D5BC7"/>
    <w:rPr>
      <w:rFonts w:ascii="Arial" w:eastAsia="黑体" w:hAnsi="Arial" w:cs="Times New Roman"/>
      <w:b/>
      <w:bCs/>
      <w:sz w:val="24"/>
      <w:szCs w:val="24"/>
    </w:rPr>
  </w:style>
  <w:style w:type="character" w:customStyle="1" w:styleId="7Char">
    <w:name w:val="标题 7 Char"/>
    <w:basedOn w:val="DefaultParagraphFont"/>
    <w:link w:val="Heading7"/>
    <w:rsid w:val="005D5BC7"/>
    <w:rPr>
      <w:rFonts w:ascii="Times New Roman" w:eastAsia="宋体" w:hAnsi="Times New Roman" w:cs="Times New Roman"/>
      <w:b/>
      <w:bCs/>
      <w:sz w:val="24"/>
      <w:szCs w:val="24"/>
    </w:rPr>
  </w:style>
  <w:style w:type="character" w:customStyle="1" w:styleId="8Char">
    <w:name w:val="标题 8 Char"/>
    <w:basedOn w:val="DefaultParagraphFont"/>
    <w:link w:val="Heading8"/>
    <w:rsid w:val="005D5BC7"/>
    <w:rPr>
      <w:rFonts w:ascii="Arial" w:eastAsia="黑体" w:hAnsi="Arial" w:cs="Times New Roman"/>
      <w:sz w:val="24"/>
      <w:szCs w:val="24"/>
    </w:rPr>
  </w:style>
  <w:style w:type="character" w:customStyle="1" w:styleId="9Char">
    <w:name w:val="标题 9 Char"/>
    <w:basedOn w:val="DefaultParagraphFont"/>
    <w:link w:val="Heading9"/>
    <w:rsid w:val="005D5BC7"/>
    <w:rPr>
      <w:rFonts w:ascii="Arial" w:eastAsia="黑体" w:hAnsi="Arial" w:cs="Times New Roman"/>
      <w:sz w:val="24"/>
      <w:szCs w:val="21"/>
    </w:rPr>
  </w:style>
  <w:style w:type="paragraph" w:customStyle="1" w:styleId="CharCharCharCharCharCharChar">
    <w:name w:val="正文文字 Char Char Char Char Char Char Char"/>
    <w:basedOn w:val="Normal"/>
    <w:next w:val="BodyText3"/>
    <w:rsid w:val="005D5BC7"/>
    <w:pPr>
      <w:numPr>
        <w:ilvl w:val="1"/>
        <w:numId w:val="3"/>
      </w:numPr>
      <w:spacing w:after="120"/>
    </w:pPr>
    <w:rPr>
      <w:sz w:val="16"/>
      <w:szCs w:val="16"/>
    </w:rPr>
  </w:style>
  <w:style w:type="paragraph" w:styleId="BodyText3">
    <w:name w:val="Body Text 3"/>
    <w:basedOn w:val="Normal"/>
    <w:link w:val="3Char0"/>
    <w:rsid w:val="005D5BC7"/>
    <w:pPr>
      <w:spacing w:after="120"/>
    </w:pPr>
    <w:rPr>
      <w:sz w:val="16"/>
      <w:szCs w:val="16"/>
    </w:rPr>
  </w:style>
  <w:style w:type="character" w:customStyle="1" w:styleId="3Char0">
    <w:name w:val="正文文本 3 Char"/>
    <w:basedOn w:val="DefaultParagraphFont"/>
    <w:link w:val="BodyText3"/>
    <w:rsid w:val="005D5BC7"/>
    <w:rPr>
      <w:rFonts w:ascii="Times New Roman" w:eastAsia="宋体" w:hAnsi="Times New Roman" w:cs="Times New Roman"/>
      <w:sz w:val="16"/>
      <w:szCs w:val="16"/>
    </w:rPr>
  </w:style>
  <w:style w:type="paragraph" w:styleId="TOC1">
    <w:name w:val="toc 1"/>
    <w:basedOn w:val="Normal"/>
    <w:next w:val="Normal"/>
    <w:autoRedefine/>
    <w:uiPriority w:val="39"/>
    <w:rsid w:val="005D5BC7"/>
    <w:pPr>
      <w:tabs>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rsid w:val="005D5BC7"/>
    <w:pPr>
      <w:tabs>
        <w:tab w:val="right" w:leader="dot" w:pos="8268"/>
      </w:tabs>
      <w:ind w:left="319" w:firstLine="731" w:leftChars="152" w:firstLineChars="348"/>
      <w:jc w:val="left"/>
    </w:pPr>
    <w:rPr>
      <w:rFonts w:eastAsia="仿宋_GB2312"/>
      <w:smallCaps/>
      <w:noProof/>
      <w:szCs w:val="20"/>
    </w:rPr>
  </w:style>
  <w:style w:type="paragraph" w:customStyle="1" w:styleId="1">
    <w:name w:val="样式 标题 1 + 黑体 非加粗"/>
    <w:basedOn w:val="Heading1"/>
    <w:rsid w:val="005D5BC7"/>
    <w:pPr>
      <w:pageBreakBefore/>
    </w:pPr>
    <w:rPr>
      <w:rFonts w:hAnsi="黑体"/>
      <w:b/>
    </w:rPr>
  </w:style>
  <w:style w:type="paragraph" w:customStyle="1" w:styleId="111">
    <w:name w:val="样式 标题 1 + 段前: 1 行 段后: 1 行"/>
    <w:basedOn w:val="Heading1"/>
    <w:rsid w:val="005D5BC7"/>
    <w:pPr>
      <w:pageBreakBefore/>
    </w:pPr>
    <w:rPr>
      <w:szCs w:val="20"/>
    </w:rPr>
  </w:style>
  <w:style w:type="paragraph" w:styleId="Header">
    <w:name w:val="header"/>
    <w:basedOn w:val="Normal"/>
    <w:link w:val="Char"/>
    <w:rsid w:val="005D5BC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
    <w:name w:val="页眉 Char"/>
    <w:basedOn w:val="DefaultParagraphFont"/>
    <w:link w:val="Header"/>
    <w:rsid w:val="005D5BC7"/>
    <w:rPr>
      <w:rFonts w:ascii="Times New Roman" w:eastAsia="仿宋_GB2312" w:hAnsi="Times New Roman" w:cs="Times New Roman"/>
      <w:sz w:val="18"/>
      <w:szCs w:val="20"/>
    </w:rPr>
  </w:style>
  <w:style w:type="character" w:styleId="PageNumber">
    <w:name w:val="page number"/>
    <w:basedOn w:val="DefaultParagraphFont"/>
    <w:rsid w:val="005D5BC7"/>
  </w:style>
  <w:style w:type="paragraph" w:styleId="Footer">
    <w:name w:val="footer"/>
    <w:basedOn w:val="Normal"/>
    <w:link w:val="Char0"/>
    <w:rsid w:val="005D5BC7"/>
    <w:pPr>
      <w:tabs>
        <w:tab w:val="center" w:pos="4153"/>
        <w:tab w:val="right" w:pos="8306"/>
      </w:tabs>
      <w:snapToGrid w:val="0"/>
      <w:ind w:firstLine="200" w:firstLineChars="200"/>
      <w:jc w:val="left"/>
    </w:pPr>
    <w:rPr>
      <w:rFonts w:eastAsia="仿宋_GB2312"/>
      <w:sz w:val="18"/>
      <w:szCs w:val="20"/>
    </w:rPr>
  </w:style>
  <w:style w:type="character" w:customStyle="1" w:styleId="Char0">
    <w:name w:val="页脚 Char"/>
    <w:basedOn w:val="DefaultParagraphFont"/>
    <w:link w:val="Footer"/>
    <w:rsid w:val="005D5BC7"/>
    <w:rPr>
      <w:rFonts w:ascii="Times New Roman" w:eastAsia="仿宋_GB2312" w:hAnsi="Times New Roman" w:cs="Times New Roman"/>
      <w:sz w:val="18"/>
      <w:szCs w:val="20"/>
    </w:rPr>
  </w:style>
  <w:style w:type="character" w:customStyle="1" w:styleId="big1">
    <w:name w:val="big1"/>
    <w:basedOn w:val="DefaultParagraphFont"/>
    <w:rsid w:val="005D5BC7"/>
    <w:rPr>
      <w:spacing w:val="360"/>
      <w:sz w:val="22"/>
      <w:szCs w:val="22"/>
    </w:rPr>
  </w:style>
  <w:style w:type="paragraph" w:styleId="Title">
    <w:name w:val="Title"/>
    <w:basedOn w:val="Normal"/>
    <w:link w:val="Char1"/>
    <w:qFormat/>
    <w:rsid w:val="005D5BC7"/>
    <w:pPr>
      <w:spacing w:before="240" w:after="60"/>
      <w:jc w:val="center"/>
      <w:outlineLvl w:val="0"/>
    </w:pPr>
    <w:rPr>
      <w:rFonts w:ascii="Arial" w:hAnsi="Arial" w:cs="Arial"/>
      <w:b/>
      <w:bCs/>
      <w:sz w:val="32"/>
      <w:szCs w:val="32"/>
    </w:rPr>
  </w:style>
  <w:style w:type="character" w:customStyle="1" w:styleId="Char1">
    <w:name w:val="标题 Char"/>
    <w:basedOn w:val="DefaultParagraphFont"/>
    <w:link w:val="Title"/>
    <w:rsid w:val="005D5BC7"/>
    <w:rPr>
      <w:rFonts w:ascii="Arial" w:eastAsia="宋体" w:hAnsi="Arial" w:cs="Arial"/>
      <w:b/>
      <w:bCs/>
      <w:sz w:val="32"/>
      <w:szCs w:val="32"/>
    </w:rPr>
  </w:style>
  <w:style w:type="character" w:customStyle="1" w:styleId="Char2">
    <w:name w:val="结束语 Char"/>
    <w:basedOn w:val="DefaultParagraphFont"/>
    <w:link w:val="Closing"/>
    <w:rsid w:val="005D5BC7"/>
    <w:rPr>
      <w:rFonts w:ascii="Times New Roman" w:eastAsia="宋体" w:hAnsi="Times New Roman" w:cs="Times New Roman"/>
      <w:szCs w:val="24"/>
    </w:rPr>
  </w:style>
  <w:style w:type="paragraph" w:styleId="Closing">
    <w:name w:val="Closing"/>
    <w:basedOn w:val="Normal"/>
    <w:link w:val="Char2"/>
    <w:rsid w:val="005D5BC7"/>
    <w:pPr>
      <w:ind w:left="100" w:leftChars="2100"/>
    </w:pPr>
  </w:style>
  <w:style w:type="paragraph" w:styleId="ListNumber3">
    <w:name w:val="List Number 3"/>
    <w:basedOn w:val="Normal"/>
    <w:rsid w:val="005D5BC7"/>
    <w:pPr>
      <w:tabs>
        <w:tab w:val="num" w:pos="1200"/>
      </w:tabs>
      <w:ind w:left="1200" w:hanging="360" w:leftChars="400" w:hangingChars="200"/>
    </w:pPr>
  </w:style>
  <w:style w:type="paragraph" w:styleId="ListNumber4">
    <w:name w:val="List Number 4"/>
    <w:basedOn w:val="Normal"/>
    <w:rsid w:val="005D5BC7"/>
    <w:pPr>
      <w:tabs>
        <w:tab w:val="num" w:pos="1620"/>
      </w:tabs>
      <w:ind w:left="1620" w:hanging="360" w:leftChars="600" w:hangingChars="200"/>
    </w:pPr>
  </w:style>
  <w:style w:type="paragraph" w:styleId="ListBullet3">
    <w:name w:val="List Bullet 3"/>
    <w:basedOn w:val="Normal"/>
    <w:autoRedefine/>
    <w:rsid w:val="005D5BC7"/>
    <w:pPr>
      <w:tabs>
        <w:tab w:val="num" w:pos="1200"/>
      </w:tabs>
      <w:ind w:left="1200" w:hanging="360" w:leftChars="400" w:hangingChars="200"/>
    </w:pPr>
  </w:style>
  <w:style w:type="paragraph" w:styleId="BodyText">
    <w:name w:val="Body Text"/>
    <w:basedOn w:val="Normal"/>
    <w:link w:val="Char3"/>
    <w:rsid w:val="005D5BC7"/>
    <w:pPr>
      <w:spacing w:after="120"/>
    </w:pPr>
  </w:style>
  <w:style w:type="character" w:customStyle="1" w:styleId="Char3">
    <w:name w:val="正文文本 Char"/>
    <w:basedOn w:val="DefaultParagraphFont"/>
    <w:link w:val="BodyText"/>
    <w:rsid w:val="005D5BC7"/>
    <w:rPr>
      <w:rFonts w:ascii="Times New Roman" w:eastAsia="宋体" w:hAnsi="Times New Roman" w:cs="Times New Roman"/>
      <w:szCs w:val="24"/>
    </w:rPr>
  </w:style>
  <w:style w:type="paragraph" w:styleId="BodyTextFirstIndent">
    <w:name w:val="Body Text First Indent"/>
    <w:basedOn w:val="BodyText"/>
    <w:link w:val="Char4"/>
    <w:rsid w:val="005D5BC7"/>
    <w:pPr>
      <w:ind w:firstLine="420" w:firstLineChars="100"/>
    </w:pPr>
  </w:style>
  <w:style w:type="character" w:customStyle="1" w:styleId="Char4">
    <w:name w:val="正文首行缩进 Char"/>
    <w:basedOn w:val="Char3"/>
    <w:link w:val="BodyTextFirstIndent"/>
    <w:rsid w:val="005D5BC7"/>
    <w:rPr>
      <w:rFonts w:ascii="Times New Roman" w:eastAsia="宋体" w:hAnsi="Times New Roman" w:cs="Times New Roman"/>
      <w:szCs w:val="24"/>
    </w:rPr>
  </w:style>
  <w:style w:type="character" w:customStyle="1" w:styleId="Char5">
    <w:name w:val="正文文本缩进 Char"/>
    <w:basedOn w:val="DefaultParagraphFont"/>
    <w:link w:val="BodyTextIndent"/>
    <w:rsid w:val="005D5BC7"/>
    <w:rPr>
      <w:rFonts w:ascii="Times New Roman" w:eastAsia="宋体" w:hAnsi="Times New Roman" w:cs="Times New Roman"/>
      <w:szCs w:val="24"/>
    </w:rPr>
  </w:style>
  <w:style w:type="paragraph" w:styleId="BodyTextIndent">
    <w:name w:val="Body Text Indent"/>
    <w:basedOn w:val="Normal"/>
    <w:link w:val="Char5"/>
    <w:rsid w:val="005D5BC7"/>
    <w:pPr>
      <w:spacing w:after="120"/>
      <w:ind w:left="420"/>
    </w:pPr>
  </w:style>
  <w:style w:type="character" w:customStyle="1" w:styleId="Char6">
    <w:name w:val="注释标题 Char"/>
    <w:basedOn w:val="DefaultParagraphFont"/>
    <w:link w:val="NoteHeading"/>
    <w:rsid w:val="005D5BC7"/>
    <w:rPr>
      <w:rFonts w:ascii="Times New Roman" w:eastAsia="宋体" w:hAnsi="Times New Roman" w:cs="Times New Roman"/>
      <w:szCs w:val="24"/>
    </w:rPr>
  </w:style>
  <w:style w:type="paragraph" w:styleId="NoteHeading">
    <w:name w:val="Note Heading"/>
    <w:basedOn w:val="Normal"/>
    <w:next w:val="Normal"/>
    <w:link w:val="Char6"/>
    <w:rsid w:val="005D5BC7"/>
    <w:pPr>
      <w:jc w:val="center"/>
    </w:pPr>
  </w:style>
  <w:style w:type="character" w:customStyle="1" w:styleId="da">
    <w:name w:val="da"/>
    <w:basedOn w:val="DefaultParagraphFont"/>
    <w:rsid w:val="005D5BC7"/>
  </w:style>
  <w:style w:type="paragraph" w:customStyle="1" w:styleId="a">
    <w:name w:val="特点"/>
    <w:aliases w:val="正文非缩进,段1,表正文"/>
    <w:basedOn w:val="Normal"/>
    <w:next w:val="NormalIndent"/>
    <w:rsid w:val="005D5BC7"/>
    <w:pPr>
      <w:ind w:firstLine="420"/>
    </w:pPr>
    <w:rPr>
      <w:szCs w:val="20"/>
    </w:rPr>
  </w:style>
  <w:style w:type="paragraph" w:styleId="NormalIndent">
    <w:name w:val="Normal Indent"/>
    <w:aliases w:val="ALT+Z,正文缩进1"/>
    <w:basedOn w:val="Normal"/>
    <w:rsid w:val="005D5BC7"/>
    <w:pPr>
      <w:ind w:firstLine="420"/>
    </w:pPr>
  </w:style>
  <w:style w:type="character" w:customStyle="1" w:styleId="3Char1">
    <w:name w:val="正文文本缩进 3 Char"/>
    <w:basedOn w:val="DefaultParagraphFont"/>
    <w:link w:val="BodyTextIndent3"/>
    <w:rsid w:val="005D5BC7"/>
    <w:rPr>
      <w:rFonts w:ascii="Times New Roman" w:eastAsia="宋体" w:hAnsi="Times New Roman" w:cs="Times New Roman"/>
      <w:sz w:val="16"/>
      <w:szCs w:val="16"/>
    </w:rPr>
  </w:style>
  <w:style w:type="paragraph" w:styleId="BodyTextIndent3">
    <w:name w:val="Body Text Indent 3"/>
    <w:basedOn w:val="Normal"/>
    <w:link w:val="3Char1"/>
    <w:rsid w:val="005D5BC7"/>
    <w:pPr>
      <w:spacing w:after="120"/>
      <w:ind w:left="420"/>
    </w:pPr>
    <w:rPr>
      <w:sz w:val="16"/>
      <w:szCs w:val="16"/>
    </w:rPr>
  </w:style>
  <w:style w:type="character" w:customStyle="1" w:styleId="Char7">
    <w:name w:val="纯文本 Char"/>
    <w:basedOn w:val="DefaultParagraphFont"/>
    <w:link w:val="PlainText"/>
    <w:rsid w:val="005D5BC7"/>
    <w:rPr>
      <w:rFonts w:ascii="宋体" w:eastAsia="宋体" w:hAnsi="Courier New" w:cs="Courier New"/>
      <w:szCs w:val="21"/>
    </w:rPr>
  </w:style>
  <w:style w:type="paragraph" w:styleId="PlainText">
    <w:name w:val="Plain Text"/>
    <w:basedOn w:val="Normal"/>
    <w:link w:val="Char7"/>
    <w:rsid w:val="005D5BC7"/>
    <w:rPr>
      <w:rFonts w:ascii="宋体" w:hAnsi="Courier New" w:cs="Courier New"/>
      <w:szCs w:val="21"/>
    </w:rPr>
  </w:style>
  <w:style w:type="character" w:styleId="Hyperlink">
    <w:name w:val="Hyperlink"/>
    <w:basedOn w:val="DefaultParagraphFont"/>
    <w:uiPriority w:val="99"/>
    <w:rsid w:val="005D5BC7"/>
    <w:rPr>
      <w:color w:val="0000FF"/>
      <w:u w:val="single"/>
    </w:rPr>
  </w:style>
  <w:style w:type="character" w:customStyle="1" w:styleId="2Char1">
    <w:name w:val="正文文本缩进 2 Char"/>
    <w:basedOn w:val="DefaultParagraphFont"/>
    <w:link w:val="BodyTextIndent2"/>
    <w:rsid w:val="005D5BC7"/>
    <w:rPr>
      <w:rFonts w:ascii="Times New Roman" w:eastAsia="宋体" w:hAnsi="Times New Roman" w:cs="Times New Roman"/>
      <w:szCs w:val="24"/>
    </w:rPr>
  </w:style>
  <w:style w:type="paragraph" w:styleId="BodyTextIndent2">
    <w:name w:val="Body Text Indent 2"/>
    <w:basedOn w:val="Normal"/>
    <w:link w:val="2Char1"/>
    <w:rsid w:val="005D5BC7"/>
    <w:pPr>
      <w:spacing w:after="120" w:line="480" w:lineRule="auto"/>
      <w:ind w:left="420"/>
    </w:pPr>
  </w:style>
  <w:style w:type="character" w:customStyle="1" w:styleId="2Char2">
    <w:name w:val="正文文本 2 Char"/>
    <w:basedOn w:val="DefaultParagraphFont"/>
    <w:link w:val="BodyText2"/>
    <w:rsid w:val="005D5BC7"/>
    <w:rPr>
      <w:rFonts w:ascii="Times New Roman" w:eastAsia="宋体" w:hAnsi="Times New Roman" w:cs="Times New Roman"/>
      <w:szCs w:val="24"/>
    </w:rPr>
  </w:style>
  <w:style w:type="paragraph" w:styleId="BodyText2">
    <w:name w:val="Body Text 2"/>
    <w:basedOn w:val="Normal"/>
    <w:link w:val="2Char2"/>
    <w:rsid w:val="005D5BC7"/>
    <w:pPr>
      <w:spacing w:after="120" w:line="480" w:lineRule="auto"/>
    </w:pPr>
  </w:style>
  <w:style w:type="character" w:customStyle="1" w:styleId="HTMLChar">
    <w:name w:val="HTML 预设格式 Char"/>
    <w:basedOn w:val="DefaultParagraphFont"/>
    <w:link w:val="HTMLPreformatted"/>
    <w:uiPriority w:val="99"/>
    <w:rsid w:val="005D5BC7"/>
    <w:rPr>
      <w:rFonts w:ascii="Courier New" w:eastAsia="宋体" w:hAnsi="Courier New" w:cs="Courier New"/>
      <w:sz w:val="20"/>
      <w:szCs w:val="20"/>
    </w:rPr>
  </w:style>
  <w:style w:type="paragraph" w:styleId="HTMLPreformatted">
    <w:name w:val="HTML Preformatted"/>
    <w:basedOn w:val="Normal"/>
    <w:link w:val="HTMLChar"/>
    <w:uiPriority w:val="99"/>
    <w:rsid w:val="005D5BC7"/>
    <w:rPr>
      <w:rFonts w:ascii="Courier New" w:hAnsi="Courier New" w:cs="Courier New"/>
      <w:sz w:val="20"/>
      <w:szCs w:val="20"/>
    </w:rPr>
  </w:style>
  <w:style w:type="paragraph" w:styleId="NormalWeb">
    <w:name w:val="Normal (Web)"/>
    <w:basedOn w:val="Normal"/>
    <w:rsid w:val="005D5BC7"/>
    <w:rPr>
      <w:sz w:val="24"/>
    </w:rPr>
  </w:style>
  <w:style w:type="paragraph" w:styleId="Subtitle">
    <w:name w:val="Subtitle"/>
    <w:basedOn w:val="Normal"/>
    <w:link w:val="Char8"/>
    <w:qFormat/>
    <w:rsid w:val="005D5BC7"/>
    <w:pPr>
      <w:spacing w:before="240" w:after="60" w:line="312" w:lineRule="auto"/>
      <w:jc w:val="center"/>
      <w:outlineLvl w:val="1"/>
    </w:pPr>
    <w:rPr>
      <w:rFonts w:ascii="Arial" w:hAnsi="Arial" w:cs="Arial"/>
      <w:b/>
      <w:bCs/>
      <w:kern w:val="28"/>
      <w:sz w:val="32"/>
      <w:szCs w:val="32"/>
    </w:rPr>
  </w:style>
  <w:style w:type="character" w:customStyle="1" w:styleId="Char8">
    <w:name w:val="副标题 Char"/>
    <w:basedOn w:val="DefaultParagraphFont"/>
    <w:link w:val="Subtitle"/>
    <w:rsid w:val="005D5BC7"/>
    <w:rPr>
      <w:rFonts w:ascii="Arial" w:eastAsia="宋体" w:hAnsi="Arial" w:cs="Arial"/>
      <w:b/>
      <w:bCs/>
      <w:kern w:val="28"/>
      <w:sz w:val="32"/>
      <w:szCs w:val="32"/>
    </w:rPr>
  </w:style>
  <w:style w:type="character" w:styleId="Strong">
    <w:name w:val="Strong"/>
    <w:basedOn w:val="DefaultParagraphFont"/>
    <w:qFormat/>
    <w:rsid w:val="005D5BC7"/>
    <w:rPr>
      <w:b/>
      <w:bCs/>
    </w:rPr>
  </w:style>
  <w:style w:type="character" w:customStyle="1" w:styleId="Char9">
    <w:name w:val="文档结构图 Char"/>
    <w:basedOn w:val="DefaultParagraphFont"/>
    <w:link w:val="DocumentMap"/>
    <w:semiHidden/>
    <w:rsid w:val="005D5BC7"/>
    <w:rPr>
      <w:rFonts w:ascii="Times New Roman" w:eastAsia="宋体" w:hAnsi="Times New Roman" w:cs="Times New Roman"/>
      <w:szCs w:val="24"/>
      <w:shd w:val="clear" w:color="auto" w:fill="000080"/>
    </w:rPr>
  </w:style>
  <w:style w:type="paragraph" w:styleId="DocumentMap">
    <w:name w:val="Document Map"/>
    <w:basedOn w:val="Normal"/>
    <w:link w:val="Char9"/>
    <w:semiHidden/>
    <w:rsid w:val="005D5BC7"/>
    <w:pPr>
      <w:shd w:val="clear" w:color="auto" w:fill="000080"/>
    </w:pPr>
  </w:style>
  <w:style w:type="character" w:customStyle="1" w:styleId="Char10">
    <w:name w:val="批注框文本 Char"/>
    <w:basedOn w:val="DefaultParagraphFont"/>
    <w:link w:val="BalloonText"/>
    <w:semiHidden/>
    <w:rsid w:val="005D5BC7"/>
    <w:rPr>
      <w:rFonts w:ascii="Times New Roman" w:eastAsia="宋体" w:hAnsi="Times New Roman" w:cs="Times New Roman"/>
      <w:sz w:val="18"/>
      <w:szCs w:val="18"/>
    </w:rPr>
  </w:style>
  <w:style w:type="paragraph" w:styleId="BalloonText">
    <w:name w:val="Balloon Text"/>
    <w:basedOn w:val="Normal"/>
    <w:link w:val="Char10"/>
    <w:semiHidden/>
    <w:rsid w:val="005D5BC7"/>
    <w:rPr>
      <w:sz w:val="18"/>
      <w:szCs w:val="18"/>
    </w:rPr>
  </w:style>
  <w:style w:type="character" w:customStyle="1" w:styleId="read">
    <w:name w:val="read"/>
    <w:basedOn w:val="DefaultParagraphFont"/>
    <w:rsid w:val="005D5BC7"/>
  </w:style>
  <w:style w:type="paragraph" w:styleId="CommentText">
    <w:name w:val="annotation text"/>
    <w:basedOn w:val="Normal"/>
    <w:link w:val="Char11"/>
    <w:semiHidden/>
    <w:unhideWhenUsed/>
    <w:rsid w:val="005D5BC7"/>
    <w:pPr>
      <w:jc w:val="left"/>
    </w:pPr>
  </w:style>
  <w:style w:type="character" w:customStyle="1" w:styleId="Char11">
    <w:name w:val="批注文字 Char"/>
    <w:basedOn w:val="DefaultParagraphFont"/>
    <w:link w:val="CommentText"/>
    <w:uiPriority w:val="99"/>
    <w:semiHidden/>
    <w:rsid w:val="005D5BC7"/>
    <w:rPr>
      <w:rFonts w:ascii="Times New Roman" w:eastAsia="宋体" w:hAnsi="Times New Roman" w:cs="Times New Roman"/>
      <w:szCs w:val="24"/>
    </w:rPr>
  </w:style>
  <w:style w:type="character" w:customStyle="1" w:styleId="Char12">
    <w:name w:val="批注主题 Char"/>
    <w:basedOn w:val="Char11"/>
    <w:link w:val="CommentSubject"/>
    <w:semiHidden/>
    <w:rsid w:val="005D5BC7"/>
    <w:rPr>
      <w:rFonts w:ascii="Times New Roman" w:eastAsia="宋体" w:hAnsi="Times New Roman" w:cs="Times New Roman"/>
      <w:b/>
      <w:bCs/>
      <w:szCs w:val="24"/>
    </w:rPr>
  </w:style>
  <w:style w:type="paragraph" w:styleId="CommentSubject">
    <w:name w:val="annotation subject"/>
    <w:basedOn w:val="CommentText"/>
    <w:next w:val="CommentText"/>
    <w:link w:val="Char12"/>
    <w:semiHidden/>
    <w:rsid w:val="005D5BC7"/>
    <w:rPr>
      <w:b/>
      <w:bCs/>
    </w:rPr>
  </w:style>
  <w:style w:type="character" w:customStyle="1" w:styleId="Char13">
    <w:name w:val="日期 Char"/>
    <w:basedOn w:val="DefaultParagraphFont"/>
    <w:link w:val="Date"/>
    <w:rsid w:val="005D5BC7"/>
    <w:rPr>
      <w:rFonts w:ascii="Times New Roman" w:eastAsia="宋体" w:hAnsi="Times New Roman" w:cs="Times New Roman"/>
      <w:szCs w:val="24"/>
    </w:rPr>
  </w:style>
  <w:style w:type="paragraph" w:styleId="Date">
    <w:name w:val="Date"/>
    <w:basedOn w:val="Normal"/>
    <w:next w:val="Normal"/>
    <w:link w:val="Char13"/>
    <w:rsid w:val="005D5BC7"/>
    <w:pPr>
      <w:ind w:left="100" w:leftChars="2500"/>
    </w:pPr>
  </w:style>
  <w:style w:type="paragraph" w:styleId="Revision">
    <w:name w:val="Revision"/>
    <w:hidden/>
    <w:uiPriority w:val="99"/>
    <w:semiHidden/>
    <w:rsid w:val="005D5BC7"/>
    <w:rPr>
      <w:rFonts w:ascii="Times New Roman" w:hAnsi="Times New Roman"/>
      <w:kern w:val="2"/>
      <w:sz w:val="21"/>
      <w:szCs w:val="24"/>
    </w:rPr>
  </w:style>
  <w:style w:type="paragraph" w:customStyle="1" w:styleId="Default">
    <w:name w:val="Default"/>
    <w:rsid w:val="004625F7"/>
    <w:pPr>
      <w:widowControl w:val="0"/>
      <w:autoSpaceDE w:val="0"/>
      <w:autoSpaceDN w:val="0"/>
      <w:adjustRightInd w:val="0"/>
    </w:pPr>
    <w:rPr>
      <w:rFonts w:ascii="黑体" w:eastAsia="黑体" w:cs="黑体"/>
      <w:color w:val="000000"/>
      <w:sz w:val="24"/>
      <w:szCs w:val="24"/>
    </w:rPr>
  </w:style>
  <w:style w:type="paragraph" w:styleId="TOC3">
    <w:name w:val="toc 3"/>
    <w:basedOn w:val="Normal"/>
    <w:next w:val="Normal"/>
    <w:autoRedefine/>
    <w:uiPriority w:val="39"/>
    <w:unhideWhenUsed/>
    <w:rsid w:val="00313A85"/>
    <w:pPr>
      <w:ind w:left="840" w:leftChars="40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313A85"/>
    <w:pPr>
      <w:ind w:left="1260" w:leftChars="60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13A85"/>
    <w:pPr>
      <w:ind w:left="1680" w:leftChars="80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13A85"/>
    <w:pPr>
      <w:ind w:left="2100" w:leftChars="10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13A85"/>
    <w:pPr>
      <w:ind w:left="2520" w:leftChars="120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13A85"/>
    <w:pPr>
      <w:ind w:left="2940" w:leftChars="140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13A85"/>
    <w:pPr>
      <w:ind w:left="3360" w:leftChars="1600"/>
    </w:pPr>
    <w:rPr>
      <w:rFonts w:asciiTheme="minorHAnsi" w:eastAsiaTheme="minorEastAsia" w:hAnsiTheme="minorHAnsi" w:cstheme="minorBidi"/>
      <w:szCs w:val="22"/>
    </w:rPr>
  </w:style>
  <w:style w:type="character" w:styleId="FollowedHyperlink">
    <w:name w:val="FollowedHyperlink"/>
    <w:basedOn w:val="DefaultParagraphFont"/>
    <w:uiPriority w:val="99"/>
    <w:semiHidden/>
    <w:unhideWhenUsed/>
    <w:rsid w:val="00B106E6"/>
    <w:rPr>
      <w:strike w:val="0"/>
      <w:dstrike w:val="0"/>
      <w:color w:val="333333"/>
      <w:sz w:val="18"/>
      <w:szCs w:val="18"/>
      <w:u w:val="none"/>
      <w:effect w:val="none"/>
    </w:rPr>
  </w:style>
  <w:style w:type="table" w:styleId="TableGrid">
    <w:name w:val="Table Grid"/>
    <w:basedOn w:val="TableNormal"/>
    <w:qFormat/>
    <w:rsid w:val="0063779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26DF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wmf" /><Relationship Id="rId14" Type="http://schemas.openxmlformats.org/officeDocument/2006/relationships/oleObject" Target="embeddings/oleObject1.bin"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10D887-45C8-4EF1-AA1F-5BD2E697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106</Pages>
  <Words>14282</Words>
  <Characters>81410</Characters>
  <Application>Microsoft Office Word</Application>
  <DocSecurity>0</DocSecurity>
  <Lines>678</Lines>
  <Paragraphs>191</Paragraphs>
  <ScaleCrop>false</ScaleCrop>
  <Company>易方达基金管理有限公司</Company>
  <LinksUpToDate>false</LinksUpToDate>
  <CharactersWithSpaces>95501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张艺耀</cp:lastModifiedBy>
  <cp:revision>7</cp:revision>
  <cp:lastPrinted>2018-11-12T02:48:00Z</cp:lastPrinted>
  <dcterms:created xsi:type="dcterms:W3CDTF">2021-12-24T08:18:00Z</dcterms:created>
  <dcterms:modified xsi:type="dcterms:W3CDTF">2021-12-30T08:32:00Z</dcterms:modified>
</cp:coreProperties>
</file>