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35BC5" w:rsidRPr="00C86E67" w:rsidP="00552BE1">
      <w:pPr>
        <w:snapToGrid w:val="0"/>
        <w:spacing w:line="360" w:lineRule="auto"/>
        <w:jc w:val="center"/>
        <w:rPr>
          <w:rFonts w:asciiTheme="minorEastAsia" w:eastAsiaTheme="minorEastAsia" w:hAnsiTheme="minorEastAsia"/>
          <w:b/>
          <w:color w:val="000000" w:themeColor="text1"/>
          <w:sz w:val="44"/>
        </w:rPr>
      </w:pPr>
    </w:p>
    <w:p w:rsidR="000F5B9D" w:rsidRPr="00C86E67" w:rsidP="00552BE1">
      <w:pPr>
        <w:snapToGrid w:val="0"/>
        <w:spacing w:line="360" w:lineRule="auto"/>
        <w:jc w:val="center"/>
        <w:rPr>
          <w:rFonts w:asciiTheme="minorEastAsia" w:eastAsiaTheme="minorEastAsia" w:hAnsiTheme="minorEastAsia"/>
          <w:b/>
          <w:color w:val="000000" w:themeColor="text1"/>
          <w:sz w:val="44"/>
        </w:rPr>
      </w:pPr>
    </w:p>
    <w:p w:rsidR="00552BE1" w:rsidRPr="00C86E67" w:rsidP="00552BE1">
      <w:pPr>
        <w:snapToGrid w:val="0"/>
        <w:spacing w:line="360" w:lineRule="auto"/>
        <w:jc w:val="center"/>
        <w:rPr>
          <w:rFonts w:asciiTheme="minorEastAsia" w:eastAsiaTheme="minorEastAsia" w:hAnsiTheme="minorEastAsia"/>
          <w:b/>
          <w:color w:val="000000" w:themeColor="text1"/>
          <w:sz w:val="44"/>
        </w:rPr>
      </w:pPr>
    </w:p>
    <w:p w:rsidR="00552BE1" w:rsidRPr="00C86E67" w:rsidP="00552BE1">
      <w:pPr>
        <w:snapToGrid w:val="0"/>
        <w:spacing w:line="360" w:lineRule="auto"/>
        <w:jc w:val="center"/>
        <w:rPr>
          <w:rFonts w:asciiTheme="minorEastAsia" w:eastAsiaTheme="minorEastAsia" w:hAnsiTheme="minorEastAsia"/>
          <w:b/>
          <w:color w:val="000000" w:themeColor="text1"/>
          <w:sz w:val="44"/>
        </w:rPr>
      </w:pPr>
    </w:p>
    <w:p w:rsidR="000F5B9D" w:rsidRPr="00C86E67" w:rsidP="00552BE1">
      <w:pPr>
        <w:snapToGrid w:val="0"/>
        <w:spacing w:line="360" w:lineRule="auto"/>
        <w:jc w:val="center"/>
        <w:rPr>
          <w:rFonts w:asciiTheme="minorEastAsia" w:eastAsiaTheme="minorEastAsia" w:hAnsiTheme="minorEastAsia"/>
          <w:b/>
          <w:color w:val="000000" w:themeColor="text1"/>
          <w:sz w:val="44"/>
        </w:rPr>
      </w:pPr>
      <w:r w:rsidRPr="00C86E67">
        <w:rPr>
          <w:rFonts w:asciiTheme="minorEastAsia" w:eastAsiaTheme="minorEastAsia" w:hAnsiTheme="minorEastAsia" w:hint="eastAsia"/>
          <w:b/>
          <w:color w:val="000000" w:themeColor="text1"/>
          <w:sz w:val="44"/>
        </w:rPr>
        <w:t>易方达价值成长混合型证券投资基金</w:t>
      </w:r>
    </w:p>
    <w:p w:rsidR="00C35BC5" w:rsidRPr="00C86E67" w:rsidP="00552BE1">
      <w:pPr>
        <w:snapToGrid w:val="0"/>
        <w:spacing w:line="360" w:lineRule="auto"/>
        <w:jc w:val="center"/>
        <w:rPr>
          <w:rFonts w:asciiTheme="minorEastAsia" w:eastAsiaTheme="minorEastAsia" w:hAnsiTheme="minorEastAsia"/>
          <w:b/>
          <w:color w:val="000000" w:themeColor="text1"/>
          <w:sz w:val="44"/>
        </w:rPr>
      </w:pPr>
      <w:r w:rsidRPr="00C86E67">
        <w:rPr>
          <w:rFonts w:asciiTheme="minorEastAsia" w:eastAsiaTheme="minorEastAsia" w:hAnsiTheme="minorEastAsia" w:hint="eastAsia"/>
          <w:b/>
          <w:color w:val="000000" w:themeColor="text1"/>
          <w:sz w:val="44"/>
        </w:rPr>
        <w:t>更新的招募说明书</w:t>
      </w:r>
    </w:p>
    <w:p w:rsidR="00C35BC5" w:rsidRPr="00C86E67" w:rsidP="00552BE1">
      <w:pPr>
        <w:snapToGrid w:val="0"/>
        <w:spacing w:line="360" w:lineRule="auto"/>
        <w:ind w:firstLine="600"/>
        <w:jc w:val="center"/>
        <w:rPr>
          <w:rFonts w:asciiTheme="minorEastAsia" w:eastAsiaTheme="minorEastAsia" w:hAnsiTheme="minorEastAsia"/>
          <w:color w:val="000000" w:themeColor="text1"/>
          <w:sz w:val="24"/>
        </w:rPr>
      </w:pPr>
    </w:p>
    <w:p w:rsidR="00C35BC5" w:rsidRPr="00C86E67" w:rsidP="00552BE1">
      <w:pPr>
        <w:snapToGrid w:val="0"/>
        <w:spacing w:line="360" w:lineRule="auto"/>
        <w:ind w:left="1680" w:leftChars="800"/>
        <w:rPr>
          <w:rFonts w:asciiTheme="minorEastAsia" w:eastAsiaTheme="minorEastAsia" w:hAnsiTheme="minorEastAsia"/>
          <w:color w:val="000000" w:themeColor="text1"/>
          <w:sz w:val="30"/>
          <w:szCs w:val="30"/>
        </w:rPr>
      </w:pPr>
    </w:p>
    <w:p w:rsidR="00552BE1" w:rsidRPr="00C86E67" w:rsidP="00552BE1">
      <w:pPr>
        <w:snapToGrid w:val="0"/>
        <w:spacing w:line="360" w:lineRule="auto"/>
        <w:ind w:left="1680" w:leftChars="800"/>
        <w:rPr>
          <w:rFonts w:asciiTheme="minorEastAsia" w:eastAsiaTheme="minorEastAsia" w:hAnsiTheme="minorEastAsia"/>
          <w:color w:val="000000" w:themeColor="text1"/>
          <w:sz w:val="30"/>
          <w:szCs w:val="30"/>
        </w:rPr>
      </w:pPr>
    </w:p>
    <w:p w:rsidR="00552BE1" w:rsidRPr="00C86E67" w:rsidP="00552BE1">
      <w:pPr>
        <w:snapToGrid w:val="0"/>
        <w:spacing w:line="360" w:lineRule="auto"/>
        <w:ind w:left="1680" w:leftChars="800"/>
        <w:rPr>
          <w:rFonts w:asciiTheme="minorEastAsia" w:eastAsiaTheme="minorEastAsia" w:hAnsiTheme="minorEastAsia"/>
          <w:color w:val="000000" w:themeColor="text1"/>
          <w:sz w:val="30"/>
          <w:szCs w:val="30"/>
        </w:rPr>
      </w:pPr>
    </w:p>
    <w:p w:rsidR="00552BE1" w:rsidRPr="00C86E67" w:rsidP="00552BE1">
      <w:pPr>
        <w:snapToGrid w:val="0"/>
        <w:spacing w:line="360" w:lineRule="auto"/>
        <w:ind w:left="1680" w:leftChars="800"/>
        <w:rPr>
          <w:rFonts w:asciiTheme="minorEastAsia" w:eastAsiaTheme="minorEastAsia" w:hAnsiTheme="minorEastAsia"/>
          <w:color w:val="000000" w:themeColor="text1"/>
          <w:sz w:val="30"/>
          <w:szCs w:val="30"/>
        </w:rPr>
      </w:pPr>
    </w:p>
    <w:p w:rsidR="00C35BC5" w:rsidRPr="00C86E67" w:rsidP="00552BE1">
      <w:pPr>
        <w:snapToGrid w:val="0"/>
        <w:spacing w:line="360" w:lineRule="auto"/>
        <w:ind w:left="1680" w:leftChars="800"/>
        <w:rPr>
          <w:rFonts w:asciiTheme="minorEastAsia" w:eastAsiaTheme="minorEastAsia" w:hAnsiTheme="minorEastAsia"/>
          <w:color w:val="000000" w:themeColor="text1"/>
          <w:sz w:val="30"/>
          <w:szCs w:val="30"/>
        </w:rPr>
      </w:pPr>
    </w:p>
    <w:p w:rsidR="00C35BC5" w:rsidRPr="00C86E67" w:rsidP="00552BE1">
      <w:pPr>
        <w:snapToGrid w:val="0"/>
        <w:spacing w:line="360" w:lineRule="auto"/>
        <w:ind w:left="1680" w:leftChars="800"/>
        <w:rPr>
          <w:rFonts w:asciiTheme="minorEastAsia" w:eastAsiaTheme="minorEastAsia" w:hAnsiTheme="minorEastAsia"/>
          <w:color w:val="000000" w:themeColor="text1"/>
          <w:sz w:val="30"/>
          <w:szCs w:val="30"/>
        </w:rPr>
      </w:pPr>
    </w:p>
    <w:p w:rsidR="00C35BC5" w:rsidRPr="00C86E67" w:rsidP="00552BE1">
      <w:pPr>
        <w:snapToGrid w:val="0"/>
        <w:spacing w:line="360" w:lineRule="auto"/>
        <w:ind w:left="1680" w:leftChars="800"/>
        <w:rPr>
          <w:rFonts w:asciiTheme="minorEastAsia" w:eastAsiaTheme="minorEastAsia" w:hAnsiTheme="minorEastAsia"/>
          <w:color w:val="000000" w:themeColor="text1"/>
          <w:sz w:val="30"/>
          <w:szCs w:val="30"/>
        </w:rPr>
      </w:pPr>
    </w:p>
    <w:p w:rsidR="00C35BC5" w:rsidRPr="00C86E67" w:rsidP="00552BE1">
      <w:pPr>
        <w:snapToGrid w:val="0"/>
        <w:spacing w:line="360" w:lineRule="auto"/>
        <w:ind w:left="1680" w:leftChars="800"/>
        <w:rPr>
          <w:rFonts w:asciiTheme="minorEastAsia" w:eastAsiaTheme="minorEastAsia" w:hAnsiTheme="minorEastAsia"/>
          <w:color w:val="000000" w:themeColor="text1"/>
          <w:sz w:val="30"/>
          <w:szCs w:val="30"/>
        </w:rPr>
      </w:pPr>
    </w:p>
    <w:p w:rsidR="00C35BC5" w:rsidRPr="00C86E67" w:rsidP="00552BE1">
      <w:pPr>
        <w:snapToGrid w:val="0"/>
        <w:spacing w:line="360" w:lineRule="auto"/>
        <w:ind w:left="1680" w:leftChars="800"/>
        <w:rPr>
          <w:rFonts w:asciiTheme="minorEastAsia" w:eastAsiaTheme="minorEastAsia" w:hAnsiTheme="minorEastAsia"/>
          <w:color w:val="000000" w:themeColor="text1"/>
          <w:sz w:val="30"/>
          <w:szCs w:val="30"/>
        </w:rPr>
      </w:pPr>
    </w:p>
    <w:p w:rsidR="00C35BC5" w:rsidRPr="00C86E67" w:rsidP="00552BE1">
      <w:pPr>
        <w:snapToGrid w:val="0"/>
        <w:spacing w:line="360" w:lineRule="auto"/>
        <w:jc w:val="center"/>
        <w:rPr>
          <w:rFonts w:asciiTheme="minorEastAsia" w:eastAsiaTheme="minorEastAsia" w:hAnsiTheme="minorEastAsia"/>
          <w:b/>
          <w:color w:val="000000" w:themeColor="text1"/>
          <w:sz w:val="32"/>
          <w:szCs w:val="32"/>
        </w:rPr>
      </w:pPr>
      <w:r w:rsidRPr="00C86E67">
        <w:rPr>
          <w:rFonts w:asciiTheme="minorEastAsia" w:eastAsiaTheme="minorEastAsia" w:hAnsiTheme="minorEastAsia" w:hint="eastAsia"/>
          <w:b/>
          <w:color w:val="000000" w:themeColor="text1"/>
          <w:sz w:val="32"/>
          <w:szCs w:val="32"/>
        </w:rPr>
        <w:t>基金管理人：易方达基金管理有限公司</w:t>
      </w:r>
    </w:p>
    <w:p w:rsidR="00C35BC5" w:rsidRPr="00C86E67" w:rsidP="00552BE1">
      <w:pPr>
        <w:snapToGrid w:val="0"/>
        <w:spacing w:line="360" w:lineRule="auto"/>
        <w:jc w:val="center"/>
        <w:rPr>
          <w:rFonts w:asciiTheme="minorEastAsia" w:eastAsiaTheme="minorEastAsia" w:hAnsiTheme="minorEastAsia"/>
          <w:color w:val="000000" w:themeColor="text1"/>
          <w:sz w:val="32"/>
          <w:szCs w:val="32"/>
        </w:rPr>
      </w:pPr>
      <w:r w:rsidRPr="00C86E67">
        <w:rPr>
          <w:rFonts w:asciiTheme="minorEastAsia" w:eastAsiaTheme="minorEastAsia" w:hAnsiTheme="minorEastAsia" w:hint="eastAsia"/>
          <w:b/>
          <w:color w:val="000000" w:themeColor="text1"/>
          <w:sz w:val="32"/>
          <w:szCs w:val="32"/>
        </w:rPr>
        <w:t>基金托管人：中国工商银行股份有限公司</w:t>
      </w:r>
    </w:p>
    <w:p w:rsidR="00C35BC5" w:rsidRPr="00C86E67" w:rsidP="00552BE1">
      <w:pPr>
        <w:snapToGrid w:val="0"/>
        <w:spacing w:line="360" w:lineRule="auto"/>
        <w:ind w:firstLine="561"/>
        <w:rPr>
          <w:rFonts w:asciiTheme="minorEastAsia" w:eastAsiaTheme="minorEastAsia" w:hAnsiTheme="minorEastAsia"/>
          <w:b/>
          <w:color w:val="000000" w:themeColor="text1"/>
          <w:sz w:val="32"/>
          <w:szCs w:val="32"/>
        </w:rPr>
      </w:pPr>
    </w:p>
    <w:p w:rsidR="003131CE" w:rsidRPr="00C86E67" w:rsidP="00552BE1">
      <w:pPr>
        <w:snapToGrid w:val="0"/>
        <w:spacing w:line="360" w:lineRule="auto"/>
        <w:ind w:firstLine="641"/>
        <w:jc w:val="center"/>
        <w:rPr>
          <w:rFonts w:asciiTheme="minorEastAsia" w:eastAsiaTheme="minorEastAsia" w:hAnsiTheme="minorEastAsia"/>
          <w:b/>
          <w:color w:val="000000" w:themeColor="text1"/>
          <w:sz w:val="32"/>
          <w:szCs w:val="32"/>
        </w:rPr>
      </w:pPr>
      <w:r w:rsidRPr="00C86E67">
        <w:rPr>
          <w:rFonts w:asciiTheme="minorEastAsia" w:eastAsiaTheme="minorEastAsia" w:hAnsiTheme="minorEastAsia"/>
          <w:b/>
          <w:color w:val="000000" w:themeColor="text1"/>
          <w:sz w:val="32"/>
        </w:rPr>
        <w:t>二〇二一年十二月</w:t>
      </w:r>
    </w:p>
    <w:p w:rsidR="00C35BC5" w:rsidRPr="00C86E67" w:rsidP="00552BE1">
      <w:pPr>
        <w:snapToGrid w:val="0"/>
        <w:spacing w:line="360" w:lineRule="auto"/>
        <w:ind w:firstLine="641"/>
        <w:jc w:val="center"/>
        <w:rPr>
          <w:rFonts w:asciiTheme="minorEastAsia" w:eastAsiaTheme="minorEastAsia" w:hAnsiTheme="minorEastAsia"/>
          <w:b/>
          <w:color w:val="000000" w:themeColor="text1"/>
          <w:sz w:val="32"/>
        </w:rPr>
        <w:sectPr w:rsidSect="0013519A">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1134" w:footer="1247" w:gutter="0"/>
          <w:pgNumType w:fmt="upperRoman"/>
          <w:cols w:space="425"/>
          <w:titlePg/>
          <w:docGrid w:type="lines" w:linePitch="447"/>
        </w:sectPr>
      </w:pPr>
    </w:p>
    <w:p w:rsidR="00C35BC5" w:rsidRPr="00C86E67" w:rsidP="00552BE1">
      <w:pPr>
        <w:snapToGrid w:val="0"/>
        <w:spacing w:line="360" w:lineRule="auto"/>
        <w:ind w:firstLine="641"/>
        <w:jc w:val="center"/>
        <w:rPr>
          <w:rFonts w:asciiTheme="minorEastAsia" w:eastAsiaTheme="minorEastAsia" w:hAnsiTheme="minorEastAsia"/>
          <w:b/>
          <w:color w:val="000000" w:themeColor="text1"/>
          <w:sz w:val="32"/>
        </w:rPr>
      </w:pPr>
      <w:r w:rsidRPr="00C86E67">
        <w:rPr>
          <w:rFonts w:asciiTheme="minorEastAsia" w:eastAsiaTheme="minorEastAsia" w:hAnsiTheme="minorEastAsia" w:hint="eastAsia"/>
          <w:b/>
          <w:color w:val="000000" w:themeColor="text1"/>
          <w:sz w:val="32"/>
        </w:rPr>
        <w:t>重要提示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本基金根据2007年3月15日中国证券监督管理委员会《关于同意易方达价值成长混合型证券投资基金募集的批复》（证监基金字</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2007</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69号）和2007年3月23日《关于同意易方达价值成长混合型证券投资基金募集时间安排的函》（基金部函</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2007</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72号）的核准，进行募集。</w:t>
      </w:r>
      <w:r w:rsidRPr="00C86E67">
        <w:rPr>
          <w:rFonts w:asciiTheme="minorEastAsia" w:eastAsiaTheme="minorEastAsia" w:hAnsiTheme="minorEastAsia" w:hint="eastAsia"/>
          <w:color w:val="000000" w:themeColor="text1"/>
        </w:rPr>
        <w:t>本基金的基金合同于2007年4月2日正式生效。</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投资有风险,投资者</w:t>
      </w:r>
      <w:r w:rsidRPr="00C86E67">
        <w:rPr>
          <w:rFonts w:asciiTheme="minorEastAsia" w:eastAsiaTheme="minorEastAsia" w:hAnsiTheme="minorEastAsia" w:hint="eastAsia"/>
          <w:color w:val="000000" w:themeColor="text1"/>
        </w:rPr>
        <w:t>投资本</w:t>
      </w:r>
      <w:r w:rsidRPr="00C86E67">
        <w:rPr>
          <w:rFonts w:asciiTheme="minorEastAsia" w:eastAsiaTheme="minorEastAsia" w:hAnsiTheme="minorEastAsia"/>
          <w:color w:val="000000" w:themeColor="text1"/>
        </w:rPr>
        <w:t>基金时应认真阅读本招募说明书。</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rPr>
        <w:t>基金的过往业绩并不预示其未来表现</w:t>
      </w:r>
      <w:r w:rsidRPr="00C86E67">
        <w:rPr>
          <w:rFonts w:asciiTheme="minorEastAsia" w:eastAsiaTheme="minorEastAsia" w:hAnsiTheme="minorEastAsia" w:hint="eastAsia"/>
          <w:color w:val="000000" w:themeColor="text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基金管理人依照恪尽职守、诚实信用、谨慎勤勉的原则管理和运用基金</w:t>
      </w:r>
      <w:r w:rsidRPr="00C86E67">
        <w:rPr>
          <w:rFonts w:asciiTheme="minorEastAsia" w:eastAsiaTheme="minorEastAsia" w:hAnsiTheme="minorEastAsia" w:hint="eastAsia"/>
          <w:color w:val="000000" w:themeColor="text1"/>
          <w:szCs w:val="21"/>
        </w:rPr>
        <w:t>财产</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但</w:t>
      </w:r>
      <w:r w:rsidRPr="00C86E67">
        <w:rPr>
          <w:rFonts w:asciiTheme="minorEastAsia" w:eastAsiaTheme="minorEastAsia" w:hAnsiTheme="minorEastAsia"/>
          <w:color w:val="000000" w:themeColor="text1"/>
          <w:szCs w:val="21"/>
        </w:rPr>
        <w:t>不保证基金一定盈利，也不保证最低收益</w:t>
      </w:r>
      <w:r w:rsidRPr="00C86E67">
        <w:rPr>
          <w:rFonts w:asciiTheme="minorEastAsia" w:eastAsiaTheme="minorEastAsia" w:hAnsiTheme="minorEastAsia" w:hint="eastAsia"/>
          <w:color w:val="000000" w:themeColor="text1"/>
          <w:szCs w:val="21"/>
        </w:rPr>
        <w:t>。</w:t>
      </w:r>
    </w:p>
    <w:p w:rsidR="00B04B02" w:rsidRPr="00C86E67" w:rsidP="00B04B02">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本基金投资于证券市场，基金净值会因为证券市场波动等因素产生波动，投资者在投资本基金前，需充分了解本基金的产品特性，并承担基金投资中出现的各类风险</w:t>
      </w:r>
      <w:r w:rsidRPr="00C86E67" w:rsidR="00682DB2">
        <w:rPr>
          <w:rFonts w:asciiTheme="minorEastAsia" w:eastAsiaTheme="minorEastAsia" w:hAnsiTheme="minorEastAsia" w:hint="eastAsia"/>
          <w:color w:val="000000" w:themeColor="text1"/>
          <w:szCs w:val="21"/>
        </w:rPr>
        <w:t>。投资本基金可能遇到的特有风险包括：（1）资产配置风险；（2）本基金主要投资成长与价值特征突出的股票而面临的风险；（3）本基金投资范围包括科创板股票、存托凭证而面临的其他额外风险。此外，本基金还将面临市场风险、流动性风险、管理风险、本基金法律文件中涉及基金风险特征的表述与销售机构对基金的风险评级可能不一致的风险等其他一般风险。</w:t>
      </w:r>
      <w:r w:rsidRPr="00C86E67">
        <w:rPr>
          <w:rFonts w:asciiTheme="minorEastAsia" w:eastAsiaTheme="minorEastAsia" w:hAnsiTheme="minorEastAsia" w:hint="eastAsia"/>
          <w:color w:val="000000" w:themeColor="text1"/>
          <w:szCs w:val="21"/>
        </w:rPr>
        <w:t>投资者在进行投资决策前，请仔细阅读本基金的</w:t>
      </w:r>
      <w:r w:rsidRPr="00C86E67" w:rsidR="005C20C2">
        <w:rPr>
          <w:rFonts w:asciiTheme="minorEastAsia" w:eastAsiaTheme="minorEastAsia" w:hAnsiTheme="minorEastAsia" w:hint="eastAsia"/>
          <w:color w:val="000000" w:themeColor="text1"/>
          <w:szCs w:val="21"/>
        </w:rPr>
        <w:t>招募说明书、基金合同和基金产品资料概要等信息披露文件</w:t>
      </w:r>
      <w:r w:rsidRPr="00C86E67">
        <w:rPr>
          <w:rFonts w:asciiTheme="minorEastAsia" w:eastAsiaTheme="minorEastAsia" w:hAnsiTheme="minorEastAsia" w:hint="eastAsia"/>
          <w:color w:val="000000" w:themeColor="text1"/>
          <w:szCs w:val="21"/>
        </w:rPr>
        <w:t>。</w:t>
      </w:r>
    </w:p>
    <w:p w:rsidR="00C35BC5" w:rsidRPr="00C86E67" w:rsidP="0060156A">
      <w:pPr>
        <w:snapToGrid w:val="0"/>
        <w:spacing w:line="360" w:lineRule="auto"/>
        <w:ind w:firstLine="420" w:firstLineChars="200"/>
        <w:rPr>
          <w:rFonts w:asciiTheme="minorEastAsia" w:eastAsiaTheme="minorEastAsia" w:hAnsiTheme="minorEastAsia"/>
          <w:b/>
          <w:bCs/>
          <w:color w:val="000000" w:themeColor="text1"/>
          <w:szCs w:val="21"/>
        </w:rPr>
      </w:pPr>
      <w:r w:rsidRPr="00C86E67">
        <w:rPr>
          <w:rFonts w:asciiTheme="minorEastAsia" w:eastAsiaTheme="minorEastAsia" w:hAnsiTheme="minorEastAsia"/>
          <w:color w:val="000000" w:themeColor="text1"/>
        </w:rPr>
        <w:t>本基金有关财务数据截止日为2021年9月30日，净值表现截止日为2020年12月31日，主要人员情况截止日为2021年12月30日，除非另有说明，本招募说明书其他所载内容截止日为2021年11月16日。（本报告中财务数据未经审计）</w:t>
      </w:r>
    </w:p>
    <w:p w:rsidR="00C35BC5" w:rsidRPr="00C86E67" w:rsidP="00552BE1">
      <w:pPr>
        <w:adjustRightInd w:val="0"/>
        <w:snapToGrid w:val="0"/>
        <w:spacing w:line="360" w:lineRule="auto"/>
        <w:ind w:firstLine="480"/>
        <w:jc w:val="center"/>
        <w:rPr>
          <w:rFonts w:asciiTheme="minorEastAsia" w:eastAsiaTheme="minorEastAsia" w:hAnsiTheme="minorEastAsia"/>
          <w:b/>
          <w:color w:val="000000" w:themeColor="text1"/>
          <w:sz w:val="28"/>
          <w:szCs w:val="28"/>
        </w:rPr>
        <w:sectPr w:rsidSect="0013519A">
          <w:headerReference w:type="first" r:id="rId11"/>
          <w:pgSz w:w="11906" w:h="16838" w:code="9"/>
          <w:pgMar w:top="1440" w:right="1800" w:bottom="1440" w:left="1800" w:header="1134" w:footer="1247" w:gutter="0"/>
          <w:pgNumType w:fmt="upperRoman"/>
          <w:cols w:space="425"/>
          <w:titlePg/>
          <w:docGrid w:type="lines" w:linePitch="447"/>
        </w:sectPr>
      </w:pPr>
    </w:p>
    <w:p w:rsidR="00C35BC5" w:rsidRPr="00C86E67" w:rsidP="00552BE1">
      <w:pPr>
        <w:adjustRightInd w:val="0"/>
        <w:snapToGrid w:val="0"/>
        <w:spacing w:line="360" w:lineRule="auto"/>
        <w:ind w:firstLine="480"/>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 w:val="28"/>
          <w:szCs w:val="28"/>
        </w:rPr>
        <w:t>目录</w:t>
      </w:r>
    </w:p>
    <w:p w:rsidR="00717029">
      <w:pPr>
        <w:pStyle w:val="TOC1"/>
        <w:rPr>
          <w:rFonts w:asciiTheme="minorHAnsi" w:eastAsiaTheme="minorEastAsia" w:hAnsiTheme="minorHAnsi" w:cstheme="minorBidi"/>
          <w:caps w:val="0"/>
          <w:sz w:val="21"/>
          <w:szCs w:val="22"/>
        </w:rPr>
      </w:pPr>
      <w:r w:rsidRPr="00C86E67">
        <w:rPr>
          <w:rFonts w:asciiTheme="minorEastAsia" w:eastAsiaTheme="minorEastAsia" w:hAnsiTheme="minorEastAsia"/>
          <w:b/>
          <w:color w:val="000000" w:themeColor="text1"/>
          <w:szCs w:val="21"/>
        </w:rPr>
        <w:fldChar w:fldCharType="begin"/>
      </w:r>
      <w:r w:rsidRPr="00C86E67" w:rsidR="00C35BC5">
        <w:rPr>
          <w:rFonts w:asciiTheme="minorEastAsia" w:eastAsiaTheme="minorEastAsia" w:hAnsiTheme="minorEastAsia"/>
          <w:b/>
          <w:color w:val="000000" w:themeColor="text1"/>
          <w:szCs w:val="21"/>
        </w:rPr>
        <w:instrText xml:space="preserve"> TOC \o "1-3" \h \z \u </w:instrText>
      </w:r>
      <w:r w:rsidRPr="00C86E67">
        <w:rPr>
          <w:rFonts w:asciiTheme="minorEastAsia" w:eastAsiaTheme="minorEastAsia" w:hAnsiTheme="minorEastAsia"/>
          <w:b/>
          <w:color w:val="000000" w:themeColor="text1"/>
          <w:szCs w:val="21"/>
        </w:rPr>
        <w:fldChar w:fldCharType="separate"/>
      </w:r>
      <w:hyperlink w:anchor="_Toc91764787" w:history="1">
        <w:r w:rsidRPr="007C6B13">
          <w:rPr>
            <w:rStyle w:val="Hyperlink"/>
            <w:rFonts w:asciiTheme="minorEastAsia" w:hAnsiTheme="minorEastAsia" w:hint="eastAsia"/>
          </w:rPr>
          <w:t>一、绪言</w:t>
        </w:r>
        <w:r>
          <w:rPr>
            <w:webHidden/>
          </w:rPr>
          <w:tab/>
        </w:r>
        <w:r>
          <w:rPr>
            <w:webHidden/>
          </w:rPr>
          <w:fldChar w:fldCharType="begin"/>
        </w:r>
        <w:r>
          <w:rPr>
            <w:webHidden/>
          </w:rPr>
          <w:instrText xml:space="preserve"> PAGEREF _Toc91764787 \h </w:instrText>
        </w:r>
        <w:r>
          <w:rPr>
            <w:webHidden/>
          </w:rPr>
          <w:fldChar w:fldCharType="separate"/>
        </w:r>
        <w:r w:rsidR="006B4461">
          <w:rPr>
            <w:webHidden/>
          </w:rPr>
          <w:t>1</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788" w:history="1">
        <w:r w:rsidRPr="007C6B13">
          <w:rPr>
            <w:rStyle w:val="Hyperlink"/>
            <w:rFonts w:asciiTheme="minorEastAsia" w:hAnsiTheme="minorEastAsia" w:hint="eastAsia"/>
            <w:b/>
          </w:rPr>
          <w:t>二、释义</w:t>
        </w:r>
        <w:r>
          <w:rPr>
            <w:webHidden/>
          </w:rPr>
          <w:tab/>
        </w:r>
        <w:r>
          <w:rPr>
            <w:webHidden/>
          </w:rPr>
          <w:fldChar w:fldCharType="begin"/>
        </w:r>
        <w:r>
          <w:rPr>
            <w:webHidden/>
          </w:rPr>
          <w:instrText xml:space="preserve"> PAGEREF _Toc91764788 \h </w:instrText>
        </w:r>
        <w:r>
          <w:rPr>
            <w:webHidden/>
          </w:rPr>
          <w:fldChar w:fldCharType="separate"/>
        </w:r>
        <w:r>
          <w:rPr>
            <w:webHidden/>
          </w:rPr>
          <w:t>2</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789" w:history="1">
        <w:r w:rsidRPr="007C6B13">
          <w:rPr>
            <w:rStyle w:val="Hyperlink"/>
            <w:rFonts w:asciiTheme="minorEastAsia" w:hAnsiTheme="minorEastAsia" w:hint="eastAsia"/>
            <w:b/>
            <w:bCs/>
          </w:rPr>
          <w:t>三、基金管理人</w:t>
        </w:r>
        <w:r>
          <w:rPr>
            <w:webHidden/>
          </w:rPr>
          <w:tab/>
        </w:r>
        <w:r>
          <w:rPr>
            <w:webHidden/>
          </w:rPr>
          <w:fldChar w:fldCharType="begin"/>
        </w:r>
        <w:r>
          <w:rPr>
            <w:webHidden/>
          </w:rPr>
          <w:instrText xml:space="preserve"> PAGEREF _Toc91764789 \h </w:instrText>
        </w:r>
        <w:r>
          <w:rPr>
            <w:webHidden/>
          </w:rPr>
          <w:fldChar w:fldCharType="separate"/>
        </w:r>
        <w:r>
          <w:rPr>
            <w:webHidden/>
          </w:rPr>
          <w:t>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790" w:history="1">
        <w:r w:rsidRPr="007C6B13">
          <w:rPr>
            <w:rStyle w:val="Hyperlink"/>
            <w:rFonts w:asciiTheme="minorEastAsia" w:hAnsiTheme="minorEastAsia" w:hint="eastAsia"/>
            <w:bCs/>
          </w:rPr>
          <w:t>（一）基金管理人基本情况</w:t>
        </w:r>
        <w:r>
          <w:rPr>
            <w:webHidden/>
          </w:rPr>
          <w:tab/>
        </w:r>
        <w:r>
          <w:rPr>
            <w:webHidden/>
          </w:rPr>
          <w:fldChar w:fldCharType="begin"/>
        </w:r>
        <w:r>
          <w:rPr>
            <w:webHidden/>
          </w:rPr>
          <w:instrText xml:space="preserve"> PAGEREF _Toc91764790 \h </w:instrText>
        </w:r>
        <w:r>
          <w:rPr>
            <w:webHidden/>
          </w:rPr>
          <w:fldChar w:fldCharType="separate"/>
        </w:r>
        <w:r>
          <w:rPr>
            <w:webHidden/>
          </w:rPr>
          <w:t>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791" w:history="1">
        <w:r w:rsidRPr="007C6B13">
          <w:rPr>
            <w:rStyle w:val="Hyperlink"/>
            <w:rFonts w:asciiTheme="minorEastAsia" w:hAnsiTheme="minorEastAsia" w:hint="eastAsia"/>
            <w:bCs/>
          </w:rPr>
          <w:t>（二）主要人员情况</w:t>
        </w:r>
        <w:r>
          <w:rPr>
            <w:webHidden/>
          </w:rPr>
          <w:tab/>
        </w:r>
        <w:r>
          <w:rPr>
            <w:webHidden/>
          </w:rPr>
          <w:fldChar w:fldCharType="begin"/>
        </w:r>
        <w:r>
          <w:rPr>
            <w:webHidden/>
          </w:rPr>
          <w:instrText xml:space="preserve"> PAGEREF _Toc91764791 \h </w:instrText>
        </w:r>
        <w:r>
          <w:rPr>
            <w:webHidden/>
          </w:rPr>
          <w:fldChar w:fldCharType="separate"/>
        </w:r>
        <w:r>
          <w:rPr>
            <w:webHidden/>
          </w:rPr>
          <w:t>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792" w:history="1">
        <w:r w:rsidRPr="007C6B13">
          <w:rPr>
            <w:rStyle w:val="Hyperlink"/>
            <w:rFonts w:asciiTheme="minorEastAsia" w:hAnsiTheme="minorEastAsia" w:hint="eastAsia"/>
            <w:bCs/>
          </w:rPr>
          <w:t>（三）基金管理人的职责</w:t>
        </w:r>
        <w:r>
          <w:rPr>
            <w:webHidden/>
          </w:rPr>
          <w:tab/>
        </w:r>
        <w:r>
          <w:rPr>
            <w:webHidden/>
          </w:rPr>
          <w:fldChar w:fldCharType="begin"/>
        </w:r>
        <w:r>
          <w:rPr>
            <w:webHidden/>
          </w:rPr>
          <w:instrText xml:space="preserve"> PAGEREF _Toc91764792 \h </w:instrText>
        </w:r>
        <w:r>
          <w:rPr>
            <w:webHidden/>
          </w:rPr>
          <w:fldChar w:fldCharType="separate"/>
        </w:r>
        <w:r>
          <w:rPr>
            <w:webHidden/>
          </w:rPr>
          <w:t>11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793" w:history="1">
        <w:r w:rsidRPr="007C6B13">
          <w:rPr>
            <w:rStyle w:val="Hyperlink"/>
            <w:rFonts w:asciiTheme="minorEastAsia" w:hAnsiTheme="minorEastAsia" w:hint="eastAsia"/>
            <w:bCs/>
          </w:rPr>
          <w:t>（四）基金管理人的承诺</w:t>
        </w:r>
        <w:r>
          <w:rPr>
            <w:webHidden/>
          </w:rPr>
          <w:tab/>
        </w:r>
        <w:r>
          <w:rPr>
            <w:webHidden/>
          </w:rPr>
          <w:fldChar w:fldCharType="begin"/>
        </w:r>
        <w:r>
          <w:rPr>
            <w:webHidden/>
          </w:rPr>
          <w:instrText xml:space="preserve"> PAGEREF _Toc91764793 \h </w:instrText>
        </w:r>
        <w:r>
          <w:rPr>
            <w:webHidden/>
          </w:rPr>
          <w:fldChar w:fldCharType="separate"/>
        </w:r>
        <w:r>
          <w:rPr>
            <w:webHidden/>
          </w:rPr>
          <w:t>12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794" w:history="1">
        <w:r w:rsidRPr="007C6B13">
          <w:rPr>
            <w:rStyle w:val="Hyperlink"/>
            <w:rFonts w:asciiTheme="minorEastAsia" w:hAnsiTheme="minorEastAsia" w:hint="eastAsia"/>
            <w:bCs/>
          </w:rPr>
          <w:t>（五）基金管理人的内部控制制度</w:t>
        </w:r>
        <w:r>
          <w:rPr>
            <w:webHidden/>
          </w:rPr>
          <w:tab/>
        </w:r>
        <w:r>
          <w:rPr>
            <w:webHidden/>
          </w:rPr>
          <w:fldChar w:fldCharType="begin"/>
        </w:r>
        <w:r>
          <w:rPr>
            <w:webHidden/>
          </w:rPr>
          <w:instrText xml:space="preserve"> PAGEREF _Toc91764794 \h </w:instrText>
        </w:r>
        <w:r>
          <w:rPr>
            <w:webHidden/>
          </w:rPr>
          <w:fldChar w:fldCharType="separate"/>
        </w:r>
        <w:r>
          <w:rPr>
            <w:webHidden/>
          </w:rPr>
          <w:t>13</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795" w:history="1">
        <w:r w:rsidRPr="007C6B13">
          <w:rPr>
            <w:rStyle w:val="Hyperlink"/>
            <w:rFonts w:asciiTheme="minorEastAsia" w:hAnsiTheme="minorEastAsia" w:hint="eastAsia"/>
            <w:b/>
            <w:bCs/>
          </w:rPr>
          <w:t>四、基金托管人</w:t>
        </w:r>
        <w:r>
          <w:rPr>
            <w:webHidden/>
          </w:rPr>
          <w:tab/>
        </w:r>
        <w:r>
          <w:rPr>
            <w:webHidden/>
          </w:rPr>
          <w:fldChar w:fldCharType="begin"/>
        </w:r>
        <w:r>
          <w:rPr>
            <w:webHidden/>
          </w:rPr>
          <w:instrText xml:space="preserve"> PAGEREF _Toc91764795 \h </w:instrText>
        </w:r>
        <w:r>
          <w:rPr>
            <w:webHidden/>
          </w:rPr>
          <w:fldChar w:fldCharType="separate"/>
        </w:r>
        <w:r>
          <w:rPr>
            <w:webHidden/>
          </w:rPr>
          <w:t>16</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796" w:history="1">
        <w:r w:rsidRPr="007C6B13">
          <w:rPr>
            <w:rStyle w:val="Hyperlink"/>
            <w:rFonts w:asciiTheme="minorEastAsia" w:hAnsiTheme="minorEastAsia" w:hint="eastAsia"/>
            <w:b/>
          </w:rPr>
          <w:t>五、相关服务机构</w:t>
        </w:r>
        <w:r>
          <w:rPr>
            <w:webHidden/>
          </w:rPr>
          <w:tab/>
        </w:r>
        <w:r>
          <w:rPr>
            <w:webHidden/>
          </w:rPr>
          <w:fldChar w:fldCharType="begin"/>
        </w:r>
        <w:r>
          <w:rPr>
            <w:webHidden/>
          </w:rPr>
          <w:instrText xml:space="preserve"> PAGEREF _Toc91764796 \h </w:instrText>
        </w:r>
        <w:r>
          <w:rPr>
            <w:webHidden/>
          </w:rPr>
          <w:fldChar w:fldCharType="separate"/>
        </w:r>
        <w:r>
          <w:rPr>
            <w:webHidden/>
          </w:rPr>
          <w:t>20</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797" w:history="1">
        <w:r w:rsidRPr="007C6B13">
          <w:rPr>
            <w:rStyle w:val="Hyperlink"/>
            <w:rFonts w:asciiTheme="minorEastAsia" w:hAnsiTheme="minorEastAsia" w:hint="eastAsia"/>
          </w:rPr>
          <w:t>（一）基金份额销售机构</w:t>
        </w:r>
        <w:r>
          <w:rPr>
            <w:webHidden/>
          </w:rPr>
          <w:tab/>
        </w:r>
        <w:r>
          <w:rPr>
            <w:webHidden/>
          </w:rPr>
          <w:fldChar w:fldCharType="begin"/>
        </w:r>
        <w:r>
          <w:rPr>
            <w:webHidden/>
          </w:rPr>
          <w:instrText xml:space="preserve"> PAGEREF _Toc91764797 \h </w:instrText>
        </w:r>
        <w:r>
          <w:rPr>
            <w:webHidden/>
          </w:rPr>
          <w:fldChar w:fldCharType="separate"/>
        </w:r>
        <w:r>
          <w:rPr>
            <w:webHidden/>
          </w:rPr>
          <w:t>20</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798" w:history="1">
        <w:r w:rsidRPr="007C6B13">
          <w:rPr>
            <w:rStyle w:val="Hyperlink"/>
            <w:rFonts w:asciiTheme="minorEastAsia" w:hAnsiTheme="minorEastAsia" w:hint="eastAsia"/>
          </w:rPr>
          <w:t>（二）基金注册登记机构</w:t>
        </w:r>
        <w:r>
          <w:rPr>
            <w:webHidden/>
          </w:rPr>
          <w:tab/>
        </w:r>
        <w:r>
          <w:rPr>
            <w:webHidden/>
          </w:rPr>
          <w:fldChar w:fldCharType="begin"/>
        </w:r>
        <w:r>
          <w:rPr>
            <w:webHidden/>
          </w:rPr>
          <w:instrText xml:space="preserve"> PAGEREF _Toc91764798 \h </w:instrText>
        </w:r>
        <w:r>
          <w:rPr>
            <w:webHidden/>
          </w:rPr>
          <w:fldChar w:fldCharType="separate"/>
        </w:r>
        <w:r>
          <w:rPr>
            <w:webHidden/>
          </w:rPr>
          <w:t>20</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799" w:history="1">
        <w:r w:rsidRPr="007C6B13">
          <w:rPr>
            <w:rStyle w:val="Hyperlink"/>
            <w:rFonts w:asciiTheme="minorEastAsia" w:hAnsiTheme="minorEastAsia" w:hint="eastAsia"/>
          </w:rPr>
          <w:t>（三）律师事务所和经办律师</w:t>
        </w:r>
        <w:r>
          <w:rPr>
            <w:webHidden/>
          </w:rPr>
          <w:tab/>
        </w:r>
        <w:r>
          <w:rPr>
            <w:webHidden/>
          </w:rPr>
          <w:fldChar w:fldCharType="begin"/>
        </w:r>
        <w:r>
          <w:rPr>
            <w:webHidden/>
          </w:rPr>
          <w:instrText xml:space="preserve"> PAGEREF _Toc91764799 \h </w:instrText>
        </w:r>
        <w:r>
          <w:rPr>
            <w:webHidden/>
          </w:rPr>
          <w:fldChar w:fldCharType="separate"/>
        </w:r>
        <w:r>
          <w:rPr>
            <w:webHidden/>
          </w:rPr>
          <w:t>20</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00" w:history="1">
        <w:r w:rsidRPr="007C6B13">
          <w:rPr>
            <w:rStyle w:val="Hyperlink"/>
            <w:rFonts w:asciiTheme="minorEastAsia" w:hAnsiTheme="minorEastAsia" w:hint="eastAsia"/>
          </w:rPr>
          <w:t>（四）会计师事务所和经办注册会计师</w:t>
        </w:r>
        <w:r>
          <w:rPr>
            <w:webHidden/>
          </w:rPr>
          <w:tab/>
        </w:r>
        <w:r>
          <w:rPr>
            <w:webHidden/>
          </w:rPr>
          <w:fldChar w:fldCharType="begin"/>
        </w:r>
        <w:r>
          <w:rPr>
            <w:webHidden/>
          </w:rPr>
          <w:instrText xml:space="preserve"> PAGEREF _Toc91764800 \h </w:instrText>
        </w:r>
        <w:r>
          <w:rPr>
            <w:webHidden/>
          </w:rPr>
          <w:fldChar w:fldCharType="separate"/>
        </w:r>
        <w:r>
          <w:rPr>
            <w:webHidden/>
          </w:rPr>
          <w:t>21</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01" w:history="1">
        <w:r w:rsidRPr="007C6B13">
          <w:rPr>
            <w:rStyle w:val="Hyperlink"/>
            <w:rFonts w:asciiTheme="minorEastAsia" w:hAnsiTheme="minorEastAsia" w:hint="eastAsia"/>
            <w:b/>
            <w:bCs/>
          </w:rPr>
          <w:t>六、基金的募集</w:t>
        </w:r>
        <w:r>
          <w:rPr>
            <w:webHidden/>
          </w:rPr>
          <w:tab/>
        </w:r>
        <w:r>
          <w:rPr>
            <w:webHidden/>
          </w:rPr>
          <w:fldChar w:fldCharType="begin"/>
        </w:r>
        <w:r>
          <w:rPr>
            <w:webHidden/>
          </w:rPr>
          <w:instrText xml:space="preserve"> PAGEREF _Toc91764801 \h </w:instrText>
        </w:r>
        <w:r>
          <w:rPr>
            <w:webHidden/>
          </w:rPr>
          <w:fldChar w:fldCharType="separate"/>
        </w:r>
        <w:r>
          <w:rPr>
            <w:webHidden/>
          </w:rPr>
          <w:t>22</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02" w:history="1">
        <w:r w:rsidRPr="007C6B13">
          <w:rPr>
            <w:rStyle w:val="Hyperlink"/>
            <w:rFonts w:asciiTheme="minorEastAsia" w:hAnsiTheme="minorEastAsia" w:hint="eastAsia"/>
            <w:b/>
            <w:bCs/>
          </w:rPr>
          <w:t>七、基金合同的生效</w:t>
        </w:r>
        <w:r>
          <w:rPr>
            <w:webHidden/>
          </w:rPr>
          <w:tab/>
        </w:r>
        <w:r>
          <w:rPr>
            <w:webHidden/>
          </w:rPr>
          <w:fldChar w:fldCharType="begin"/>
        </w:r>
        <w:r>
          <w:rPr>
            <w:webHidden/>
          </w:rPr>
          <w:instrText xml:space="preserve"> PAGEREF _Toc91764802 \h </w:instrText>
        </w:r>
        <w:r>
          <w:rPr>
            <w:webHidden/>
          </w:rPr>
          <w:fldChar w:fldCharType="separate"/>
        </w:r>
        <w:r>
          <w:rPr>
            <w:webHidden/>
          </w:rPr>
          <w:t>23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03" w:history="1">
        <w:r w:rsidRPr="007C6B13">
          <w:rPr>
            <w:rStyle w:val="Hyperlink"/>
            <w:rFonts w:asciiTheme="minorEastAsia" w:hAnsiTheme="minorEastAsia" w:hint="eastAsia"/>
          </w:rPr>
          <w:t>（一）基金合同的生效</w:t>
        </w:r>
        <w:r>
          <w:rPr>
            <w:webHidden/>
          </w:rPr>
          <w:tab/>
        </w:r>
        <w:r>
          <w:rPr>
            <w:webHidden/>
          </w:rPr>
          <w:fldChar w:fldCharType="begin"/>
        </w:r>
        <w:r>
          <w:rPr>
            <w:webHidden/>
          </w:rPr>
          <w:instrText xml:space="preserve"> PAGEREF _Toc91764803 \h </w:instrText>
        </w:r>
        <w:r>
          <w:rPr>
            <w:webHidden/>
          </w:rPr>
          <w:fldChar w:fldCharType="separate"/>
        </w:r>
        <w:r>
          <w:rPr>
            <w:webHidden/>
          </w:rPr>
          <w:t>23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04" w:history="1">
        <w:r w:rsidRPr="007C6B13">
          <w:rPr>
            <w:rStyle w:val="Hyperlink"/>
            <w:rFonts w:asciiTheme="minorEastAsia" w:hAnsiTheme="minorEastAsia" w:hint="eastAsia"/>
          </w:rPr>
          <w:t>（二）基金存续期内的基金份额持有人数量和资产规模</w:t>
        </w:r>
        <w:r>
          <w:rPr>
            <w:webHidden/>
          </w:rPr>
          <w:tab/>
        </w:r>
        <w:r>
          <w:rPr>
            <w:webHidden/>
          </w:rPr>
          <w:fldChar w:fldCharType="begin"/>
        </w:r>
        <w:r>
          <w:rPr>
            <w:webHidden/>
          </w:rPr>
          <w:instrText xml:space="preserve"> PAGEREF _Toc91764804 \h </w:instrText>
        </w:r>
        <w:r>
          <w:rPr>
            <w:webHidden/>
          </w:rPr>
          <w:fldChar w:fldCharType="separate"/>
        </w:r>
        <w:r>
          <w:rPr>
            <w:webHidden/>
          </w:rPr>
          <w:t>23</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05" w:history="1">
        <w:r w:rsidRPr="007C6B13">
          <w:rPr>
            <w:rStyle w:val="Hyperlink"/>
            <w:rFonts w:asciiTheme="minorEastAsia" w:hAnsiTheme="minorEastAsia" w:hint="eastAsia"/>
            <w:b/>
            <w:bCs/>
          </w:rPr>
          <w:t>八、基金份额的申购、赎回</w:t>
        </w:r>
        <w:r>
          <w:rPr>
            <w:webHidden/>
          </w:rPr>
          <w:tab/>
        </w:r>
        <w:r>
          <w:rPr>
            <w:webHidden/>
          </w:rPr>
          <w:fldChar w:fldCharType="begin"/>
        </w:r>
        <w:r>
          <w:rPr>
            <w:webHidden/>
          </w:rPr>
          <w:instrText xml:space="preserve"> PAGEREF _Toc91764805 \h </w:instrText>
        </w:r>
        <w:r>
          <w:rPr>
            <w:webHidden/>
          </w:rPr>
          <w:fldChar w:fldCharType="separate"/>
        </w:r>
        <w:r>
          <w:rPr>
            <w:webHidden/>
          </w:rPr>
          <w:t>24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06" w:history="1">
        <w:r w:rsidRPr="007C6B13">
          <w:rPr>
            <w:rStyle w:val="Hyperlink"/>
            <w:rFonts w:asciiTheme="minorEastAsia" w:hAnsiTheme="minorEastAsia" w:hint="eastAsia"/>
          </w:rPr>
          <w:t>（一）基金投资者范围</w:t>
        </w:r>
        <w:r>
          <w:rPr>
            <w:webHidden/>
          </w:rPr>
          <w:tab/>
        </w:r>
        <w:r>
          <w:rPr>
            <w:webHidden/>
          </w:rPr>
          <w:fldChar w:fldCharType="begin"/>
        </w:r>
        <w:r>
          <w:rPr>
            <w:webHidden/>
          </w:rPr>
          <w:instrText xml:space="preserve"> PAGEREF _Toc91764806 \h </w:instrText>
        </w:r>
        <w:r>
          <w:rPr>
            <w:webHidden/>
          </w:rPr>
          <w:fldChar w:fldCharType="separate"/>
        </w:r>
        <w:r>
          <w:rPr>
            <w:webHidden/>
          </w:rPr>
          <w:t>24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07" w:history="1">
        <w:r w:rsidRPr="007C6B13">
          <w:rPr>
            <w:rStyle w:val="Hyperlink"/>
            <w:rFonts w:asciiTheme="minorEastAsia" w:hAnsiTheme="minorEastAsia" w:hint="eastAsia"/>
          </w:rPr>
          <w:t>（二）申购、赎回的场所</w:t>
        </w:r>
        <w:r>
          <w:rPr>
            <w:webHidden/>
          </w:rPr>
          <w:tab/>
        </w:r>
        <w:r>
          <w:rPr>
            <w:webHidden/>
          </w:rPr>
          <w:fldChar w:fldCharType="begin"/>
        </w:r>
        <w:r>
          <w:rPr>
            <w:webHidden/>
          </w:rPr>
          <w:instrText xml:space="preserve"> PAGEREF _Toc91764807 \h </w:instrText>
        </w:r>
        <w:r>
          <w:rPr>
            <w:webHidden/>
          </w:rPr>
          <w:fldChar w:fldCharType="separate"/>
        </w:r>
        <w:r>
          <w:rPr>
            <w:webHidden/>
          </w:rPr>
          <w:t>24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08" w:history="1">
        <w:r w:rsidRPr="007C6B13">
          <w:rPr>
            <w:rStyle w:val="Hyperlink"/>
            <w:rFonts w:asciiTheme="minorEastAsia" w:hAnsiTheme="minorEastAsia" w:hint="eastAsia"/>
          </w:rPr>
          <w:t>（三）申购、赎回的时间</w:t>
        </w:r>
        <w:r>
          <w:rPr>
            <w:webHidden/>
          </w:rPr>
          <w:tab/>
        </w:r>
        <w:r>
          <w:rPr>
            <w:webHidden/>
          </w:rPr>
          <w:fldChar w:fldCharType="begin"/>
        </w:r>
        <w:r>
          <w:rPr>
            <w:webHidden/>
          </w:rPr>
          <w:instrText xml:space="preserve"> PAGEREF _Toc91764808 \h </w:instrText>
        </w:r>
        <w:r>
          <w:rPr>
            <w:webHidden/>
          </w:rPr>
          <w:fldChar w:fldCharType="separate"/>
        </w:r>
        <w:r>
          <w:rPr>
            <w:webHidden/>
          </w:rPr>
          <w:t>24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09" w:history="1">
        <w:r w:rsidRPr="007C6B13">
          <w:rPr>
            <w:rStyle w:val="Hyperlink"/>
            <w:rFonts w:asciiTheme="minorEastAsia" w:hAnsiTheme="minorEastAsia" w:hint="eastAsia"/>
            <w:bCs/>
          </w:rPr>
          <w:t>（四）申购、赎回的原则</w:t>
        </w:r>
        <w:r>
          <w:rPr>
            <w:webHidden/>
          </w:rPr>
          <w:tab/>
        </w:r>
        <w:r>
          <w:rPr>
            <w:webHidden/>
          </w:rPr>
          <w:fldChar w:fldCharType="begin"/>
        </w:r>
        <w:r>
          <w:rPr>
            <w:webHidden/>
          </w:rPr>
          <w:instrText xml:space="preserve"> PAGEREF _Toc91764809 \h </w:instrText>
        </w:r>
        <w:r>
          <w:rPr>
            <w:webHidden/>
          </w:rPr>
          <w:fldChar w:fldCharType="separate"/>
        </w:r>
        <w:r>
          <w:rPr>
            <w:webHidden/>
          </w:rPr>
          <w:t>24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10" w:history="1">
        <w:r w:rsidRPr="007C6B13">
          <w:rPr>
            <w:rStyle w:val="Hyperlink"/>
            <w:rFonts w:asciiTheme="minorEastAsia" w:hAnsiTheme="minorEastAsia" w:hint="eastAsia"/>
          </w:rPr>
          <w:t>（五）申购、赎回的程序</w:t>
        </w:r>
        <w:r>
          <w:rPr>
            <w:webHidden/>
          </w:rPr>
          <w:tab/>
        </w:r>
        <w:r>
          <w:rPr>
            <w:webHidden/>
          </w:rPr>
          <w:fldChar w:fldCharType="begin"/>
        </w:r>
        <w:r>
          <w:rPr>
            <w:webHidden/>
          </w:rPr>
          <w:instrText xml:space="preserve"> PAGEREF _Toc91764810 \h </w:instrText>
        </w:r>
        <w:r>
          <w:rPr>
            <w:webHidden/>
          </w:rPr>
          <w:fldChar w:fldCharType="separate"/>
        </w:r>
        <w:r>
          <w:rPr>
            <w:webHidden/>
          </w:rPr>
          <w:t>24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11" w:history="1">
        <w:r w:rsidRPr="007C6B13">
          <w:rPr>
            <w:rStyle w:val="Hyperlink"/>
            <w:rFonts w:asciiTheme="minorEastAsia" w:hAnsiTheme="minorEastAsia" w:hint="eastAsia"/>
          </w:rPr>
          <w:t>（六）申购、赎回的数额限制</w:t>
        </w:r>
        <w:r>
          <w:rPr>
            <w:webHidden/>
          </w:rPr>
          <w:tab/>
        </w:r>
        <w:bookmarkStart w:id="0" w:name="_GoBack"/>
        <w:bookmarkEnd w:id="0"/>
        <w:r>
          <w:rPr>
            <w:webHidden/>
          </w:rPr>
          <w:fldChar w:fldCharType="begin"/>
        </w:r>
        <w:r>
          <w:rPr>
            <w:webHidden/>
          </w:rPr>
          <w:instrText xml:space="preserve"> PAGEREF _Toc91764811 \h </w:instrText>
        </w:r>
        <w:r>
          <w:rPr>
            <w:webHidden/>
          </w:rPr>
          <w:fldChar w:fldCharType="separate"/>
        </w:r>
        <w:r>
          <w:rPr>
            <w:webHidden/>
          </w:rPr>
          <w:t>25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12" w:history="1">
        <w:r w:rsidRPr="007C6B13">
          <w:rPr>
            <w:rStyle w:val="Hyperlink"/>
            <w:rFonts w:asciiTheme="minorEastAsia" w:hAnsiTheme="minorEastAsia" w:hint="eastAsia"/>
          </w:rPr>
          <w:t>（七）申购、赎回的费率</w:t>
        </w:r>
        <w:r>
          <w:rPr>
            <w:webHidden/>
          </w:rPr>
          <w:tab/>
        </w:r>
        <w:r>
          <w:rPr>
            <w:webHidden/>
          </w:rPr>
          <w:fldChar w:fldCharType="begin"/>
        </w:r>
        <w:r>
          <w:rPr>
            <w:webHidden/>
          </w:rPr>
          <w:instrText xml:space="preserve"> PAGEREF _Toc91764812 \h </w:instrText>
        </w:r>
        <w:r>
          <w:rPr>
            <w:webHidden/>
          </w:rPr>
          <w:fldChar w:fldCharType="separate"/>
        </w:r>
        <w:r>
          <w:rPr>
            <w:webHidden/>
          </w:rPr>
          <w:t>26</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13" w:history="1">
        <w:r w:rsidRPr="007C6B13">
          <w:rPr>
            <w:rStyle w:val="Hyperlink"/>
            <w:rFonts w:asciiTheme="minorEastAsia" w:hAnsiTheme="minorEastAsia" w:hint="eastAsia"/>
          </w:rPr>
          <w:t>（八）申购份额、赎回金额的计算方式</w:t>
        </w:r>
        <w:r>
          <w:rPr>
            <w:webHidden/>
          </w:rPr>
          <w:tab/>
        </w:r>
        <w:r>
          <w:rPr>
            <w:webHidden/>
          </w:rPr>
          <w:fldChar w:fldCharType="begin"/>
        </w:r>
        <w:r>
          <w:rPr>
            <w:webHidden/>
          </w:rPr>
          <w:instrText xml:space="preserve"> PAGEREF _Toc91764813 \h </w:instrText>
        </w:r>
        <w:r>
          <w:rPr>
            <w:webHidden/>
          </w:rPr>
          <w:fldChar w:fldCharType="separate"/>
        </w:r>
        <w:r>
          <w:rPr>
            <w:webHidden/>
          </w:rPr>
          <w:t>27</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14" w:history="1">
        <w:r w:rsidRPr="007C6B13">
          <w:rPr>
            <w:rStyle w:val="Hyperlink"/>
            <w:rFonts w:asciiTheme="minorEastAsia" w:hAnsiTheme="minorEastAsia" w:hint="eastAsia"/>
          </w:rPr>
          <w:t>（九）申购、赎回的注册登记</w:t>
        </w:r>
        <w:r>
          <w:rPr>
            <w:webHidden/>
          </w:rPr>
          <w:tab/>
        </w:r>
        <w:r>
          <w:rPr>
            <w:webHidden/>
          </w:rPr>
          <w:fldChar w:fldCharType="begin"/>
        </w:r>
        <w:r>
          <w:rPr>
            <w:webHidden/>
          </w:rPr>
          <w:instrText xml:space="preserve"> PAGEREF _Toc91764814 \h </w:instrText>
        </w:r>
        <w:r>
          <w:rPr>
            <w:webHidden/>
          </w:rPr>
          <w:fldChar w:fldCharType="separate"/>
        </w:r>
        <w:r>
          <w:rPr>
            <w:webHidden/>
          </w:rPr>
          <w:t>28</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15" w:history="1">
        <w:r w:rsidRPr="007C6B13">
          <w:rPr>
            <w:rStyle w:val="Hyperlink"/>
            <w:rFonts w:asciiTheme="minorEastAsia" w:hAnsiTheme="minorEastAsia" w:hint="eastAsia"/>
          </w:rPr>
          <w:t>（十）巨额赎回的认定及处理方式</w:t>
        </w:r>
        <w:r>
          <w:rPr>
            <w:webHidden/>
          </w:rPr>
          <w:tab/>
        </w:r>
        <w:r>
          <w:rPr>
            <w:webHidden/>
          </w:rPr>
          <w:fldChar w:fldCharType="begin"/>
        </w:r>
        <w:r>
          <w:rPr>
            <w:webHidden/>
          </w:rPr>
          <w:instrText xml:space="preserve"> PAGEREF _Toc91764815 \h </w:instrText>
        </w:r>
        <w:r>
          <w:rPr>
            <w:webHidden/>
          </w:rPr>
          <w:fldChar w:fldCharType="separate"/>
        </w:r>
        <w:r>
          <w:rPr>
            <w:webHidden/>
          </w:rPr>
          <w:t>28</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16" w:history="1">
        <w:r w:rsidRPr="007C6B13">
          <w:rPr>
            <w:rStyle w:val="Hyperlink"/>
            <w:rFonts w:asciiTheme="minorEastAsia" w:hAnsiTheme="minorEastAsia" w:hint="eastAsia"/>
          </w:rPr>
          <w:t>（十一）拒绝或暂停申购、赎回的情形及处理方式</w:t>
        </w:r>
        <w:r>
          <w:rPr>
            <w:webHidden/>
          </w:rPr>
          <w:tab/>
        </w:r>
        <w:r>
          <w:rPr>
            <w:webHidden/>
          </w:rPr>
          <w:fldChar w:fldCharType="begin"/>
        </w:r>
        <w:r>
          <w:rPr>
            <w:webHidden/>
          </w:rPr>
          <w:instrText xml:space="preserve"> PAGEREF _Toc91764816 \h </w:instrText>
        </w:r>
        <w:r>
          <w:rPr>
            <w:webHidden/>
          </w:rPr>
          <w:fldChar w:fldCharType="separate"/>
        </w:r>
        <w:r>
          <w:rPr>
            <w:webHidden/>
          </w:rPr>
          <w:t>29</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17" w:history="1">
        <w:r w:rsidRPr="007C6B13">
          <w:rPr>
            <w:rStyle w:val="Hyperlink"/>
            <w:rFonts w:asciiTheme="minorEastAsia" w:hAnsiTheme="minorEastAsia" w:hint="eastAsia"/>
            <w:b/>
            <w:bCs/>
          </w:rPr>
          <w:t>九、基金转换</w:t>
        </w:r>
        <w:r>
          <w:rPr>
            <w:webHidden/>
          </w:rPr>
          <w:tab/>
        </w:r>
        <w:r>
          <w:rPr>
            <w:webHidden/>
          </w:rPr>
          <w:fldChar w:fldCharType="begin"/>
        </w:r>
        <w:r>
          <w:rPr>
            <w:webHidden/>
          </w:rPr>
          <w:instrText xml:space="preserve"> PAGEREF _Toc91764817 \h </w:instrText>
        </w:r>
        <w:r>
          <w:rPr>
            <w:webHidden/>
          </w:rPr>
          <w:fldChar w:fldCharType="separate"/>
        </w:r>
        <w:r>
          <w:rPr>
            <w:webHidden/>
          </w:rPr>
          <w:t>31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18" w:history="1">
        <w:r w:rsidRPr="007C6B13">
          <w:rPr>
            <w:rStyle w:val="Hyperlink"/>
            <w:rFonts w:asciiTheme="minorEastAsia" w:hAnsiTheme="minorEastAsia" w:hint="eastAsia"/>
          </w:rPr>
          <w:t>（一）基金转换开始日及时间</w:t>
        </w:r>
        <w:r>
          <w:rPr>
            <w:webHidden/>
          </w:rPr>
          <w:tab/>
        </w:r>
        <w:r>
          <w:rPr>
            <w:webHidden/>
          </w:rPr>
          <w:fldChar w:fldCharType="begin"/>
        </w:r>
        <w:r>
          <w:rPr>
            <w:webHidden/>
          </w:rPr>
          <w:instrText xml:space="preserve"> PAGEREF _Toc91764818 \h </w:instrText>
        </w:r>
        <w:r>
          <w:rPr>
            <w:webHidden/>
          </w:rPr>
          <w:fldChar w:fldCharType="separate"/>
        </w:r>
        <w:r>
          <w:rPr>
            <w:webHidden/>
          </w:rPr>
          <w:t>31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19" w:history="1">
        <w:r w:rsidRPr="007C6B13">
          <w:rPr>
            <w:rStyle w:val="Hyperlink"/>
            <w:rFonts w:asciiTheme="minorEastAsia" w:hAnsiTheme="minorEastAsia" w:hint="eastAsia"/>
          </w:rPr>
          <w:t>（二）基金转换的原则</w:t>
        </w:r>
        <w:r>
          <w:rPr>
            <w:webHidden/>
          </w:rPr>
          <w:tab/>
        </w:r>
        <w:r>
          <w:rPr>
            <w:webHidden/>
          </w:rPr>
          <w:fldChar w:fldCharType="begin"/>
        </w:r>
        <w:r>
          <w:rPr>
            <w:webHidden/>
          </w:rPr>
          <w:instrText xml:space="preserve"> PAGEREF _Toc91764819 \h </w:instrText>
        </w:r>
        <w:r>
          <w:rPr>
            <w:webHidden/>
          </w:rPr>
          <w:fldChar w:fldCharType="separate"/>
        </w:r>
        <w:r>
          <w:rPr>
            <w:webHidden/>
          </w:rPr>
          <w:t>31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20" w:history="1">
        <w:r w:rsidRPr="007C6B13">
          <w:rPr>
            <w:rStyle w:val="Hyperlink"/>
            <w:rFonts w:asciiTheme="minorEastAsia" w:hAnsiTheme="minorEastAsia" w:hint="eastAsia"/>
          </w:rPr>
          <w:t>（三）基金转换的程序</w:t>
        </w:r>
        <w:r>
          <w:rPr>
            <w:webHidden/>
          </w:rPr>
          <w:tab/>
        </w:r>
        <w:r>
          <w:rPr>
            <w:webHidden/>
          </w:rPr>
          <w:fldChar w:fldCharType="begin"/>
        </w:r>
        <w:r>
          <w:rPr>
            <w:webHidden/>
          </w:rPr>
          <w:instrText xml:space="preserve"> PAGEREF _Toc91764820 \h </w:instrText>
        </w:r>
        <w:r>
          <w:rPr>
            <w:webHidden/>
          </w:rPr>
          <w:fldChar w:fldCharType="separate"/>
        </w:r>
        <w:r>
          <w:rPr>
            <w:webHidden/>
          </w:rPr>
          <w:t>31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21" w:history="1">
        <w:r w:rsidRPr="007C6B13">
          <w:rPr>
            <w:rStyle w:val="Hyperlink"/>
            <w:rFonts w:asciiTheme="minorEastAsia" w:hAnsiTheme="minorEastAsia" w:hint="eastAsia"/>
          </w:rPr>
          <w:t>（四）基金转换的数额限制</w:t>
        </w:r>
        <w:r>
          <w:rPr>
            <w:webHidden/>
          </w:rPr>
          <w:tab/>
        </w:r>
        <w:r>
          <w:rPr>
            <w:webHidden/>
          </w:rPr>
          <w:fldChar w:fldCharType="begin"/>
        </w:r>
        <w:r>
          <w:rPr>
            <w:webHidden/>
          </w:rPr>
          <w:instrText xml:space="preserve"> PAGEREF _Toc91764821 \h </w:instrText>
        </w:r>
        <w:r>
          <w:rPr>
            <w:webHidden/>
          </w:rPr>
          <w:fldChar w:fldCharType="separate"/>
        </w:r>
        <w:r>
          <w:rPr>
            <w:webHidden/>
          </w:rPr>
          <w:t>32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22" w:history="1">
        <w:r w:rsidRPr="007C6B13">
          <w:rPr>
            <w:rStyle w:val="Hyperlink"/>
            <w:rFonts w:asciiTheme="minorEastAsia" w:hAnsiTheme="minorEastAsia" w:hint="eastAsia"/>
          </w:rPr>
          <w:t>（五）基金转换费率</w:t>
        </w:r>
        <w:r>
          <w:rPr>
            <w:webHidden/>
          </w:rPr>
          <w:tab/>
        </w:r>
        <w:r>
          <w:rPr>
            <w:webHidden/>
          </w:rPr>
          <w:fldChar w:fldCharType="begin"/>
        </w:r>
        <w:r>
          <w:rPr>
            <w:webHidden/>
          </w:rPr>
          <w:instrText xml:space="preserve"> PAGEREF _Toc91764822 \h </w:instrText>
        </w:r>
        <w:r>
          <w:rPr>
            <w:webHidden/>
          </w:rPr>
          <w:fldChar w:fldCharType="separate"/>
        </w:r>
        <w:r>
          <w:rPr>
            <w:webHidden/>
          </w:rPr>
          <w:t>32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23" w:history="1">
        <w:r w:rsidRPr="007C6B13">
          <w:rPr>
            <w:rStyle w:val="Hyperlink"/>
            <w:rFonts w:asciiTheme="minorEastAsia" w:hAnsiTheme="minorEastAsia" w:hint="eastAsia"/>
          </w:rPr>
          <w:t>（六）基金转换份额的计算方式</w:t>
        </w:r>
        <w:r>
          <w:rPr>
            <w:webHidden/>
          </w:rPr>
          <w:tab/>
        </w:r>
        <w:r>
          <w:rPr>
            <w:webHidden/>
          </w:rPr>
          <w:fldChar w:fldCharType="begin"/>
        </w:r>
        <w:r>
          <w:rPr>
            <w:webHidden/>
          </w:rPr>
          <w:instrText xml:space="preserve"> PAGEREF _Toc91764823 \h </w:instrText>
        </w:r>
        <w:r>
          <w:rPr>
            <w:webHidden/>
          </w:rPr>
          <w:fldChar w:fldCharType="separate"/>
        </w:r>
        <w:r>
          <w:rPr>
            <w:webHidden/>
          </w:rPr>
          <w:t>32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24" w:history="1">
        <w:r w:rsidRPr="007C6B13">
          <w:rPr>
            <w:rStyle w:val="Hyperlink"/>
            <w:rFonts w:asciiTheme="minorEastAsia" w:hAnsiTheme="minorEastAsia" w:hint="eastAsia"/>
          </w:rPr>
          <w:t>（七）基金转换的注册登记</w:t>
        </w:r>
        <w:r>
          <w:rPr>
            <w:webHidden/>
          </w:rPr>
          <w:tab/>
        </w:r>
        <w:r>
          <w:rPr>
            <w:webHidden/>
          </w:rPr>
          <w:fldChar w:fldCharType="begin"/>
        </w:r>
        <w:r>
          <w:rPr>
            <w:webHidden/>
          </w:rPr>
          <w:instrText xml:space="preserve"> PAGEREF _Toc91764824 \h </w:instrText>
        </w:r>
        <w:r>
          <w:rPr>
            <w:webHidden/>
          </w:rPr>
          <w:fldChar w:fldCharType="separate"/>
        </w:r>
        <w:r>
          <w:rPr>
            <w:webHidden/>
          </w:rPr>
          <w:t>34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25" w:history="1">
        <w:r w:rsidRPr="007C6B13">
          <w:rPr>
            <w:rStyle w:val="Hyperlink"/>
            <w:rFonts w:asciiTheme="minorEastAsia" w:hAnsiTheme="minorEastAsia" w:hint="eastAsia"/>
          </w:rPr>
          <w:t>（八）基金转换与巨额赎回</w:t>
        </w:r>
        <w:r>
          <w:rPr>
            <w:webHidden/>
          </w:rPr>
          <w:tab/>
        </w:r>
        <w:r>
          <w:rPr>
            <w:webHidden/>
          </w:rPr>
          <w:fldChar w:fldCharType="begin"/>
        </w:r>
        <w:r>
          <w:rPr>
            <w:webHidden/>
          </w:rPr>
          <w:instrText xml:space="preserve"> PAGEREF _Toc91764825 \h </w:instrText>
        </w:r>
        <w:r>
          <w:rPr>
            <w:webHidden/>
          </w:rPr>
          <w:fldChar w:fldCharType="separate"/>
        </w:r>
        <w:r>
          <w:rPr>
            <w:webHidden/>
          </w:rPr>
          <w:t>34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26" w:history="1">
        <w:r w:rsidRPr="007C6B13">
          <w:rPr>
            <w:rStyle w:val="Hyperlink"/>
            <w:rFonts w:asciiTheme="minorEastAsia" w:hAnsiTheme="minorEastAsia" w:hint="eastAsia"/>
          </w:rPr>
          <w:t>（九）暂停基金转换的情形</w:t>
        </w:r>
        <w:r>
          <w:rPr>
            <w:webHidden/>
          </w:rPr>
          <w:tab/>
        </w:r>
        <w:r>
          <w:rPr>
            <w:webHidden/>
          </w:rPr>
          <w:fldChar w:fldCharType="begin"/>
        </w:r>
        <w:r>
          <w:rPr>
            <w:webHidden/>
          </w:rPr>
          <w:instrText xml:space="preserve"> PAGEREF _Toc91764826 \h </w:instrText>
        </w:r>
        <w:r>
          <w:rPr>
            <w:webHidden/>
          </w:rPr>
          <w:fldChar w:fldCharType="separate"/>
        </w:r>
        <w:r>
          <w:rPr>
            <w:webHidden/>
          </w:rPr>
          <w:t>34</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27" w:history="1">
        <w:r w:rsidRPr="007C6B13">
          <w:rPr>
            <w:rStyle w:val="Hyperlink"/>
            <w:rFonts w:asciiTheme="minorEastAsia" w:hAnsiTheme="minorEastAsia" w:hint="eastAsia"/>
            <w:b/>
            <w:bCs/>
          </w:rPr>
          <w:t>十、基金的非交易过户、转托管、冻结与质押</w:t>
        </w:r>
        <w:r>
          <w:rPr>
            <w:webHidden/>
          </w:rPr>
          <w:tab/>
        </w:r>
        <w:r>
          <w:rPr>
            <w:webHidden/>
          </w:rPr>
          <w:fldChar w:fldCharType="begin"/>
        </w:r>
        <w:r>
          <w:rPr>
            <w:webHidden/>
          </w:rPr>
          <w:instrText xml:space="preserve"> PAGEREF _Toc91764827 \h </w:instrText>
        </w:r>
        <w:r>
          <w:rPr>
            <w:webHidden/>
          </w:rPr>
          <w:fldChar w:fldCharType="separate"/>
        </w:r>
        <w:r>
          <w:rPr>
            <w:webHidden/>
          </w:rPr>
          <w:t>36</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28" w:history="1">
        <w:r w:rsidRPr="007C6B13">
          <w:rPr>
            <w:rStyle w:val="Hyperlink"/>
            <w:rFonts w:asciiTheme="minorEastAsia" w:hAnsiTheme="minorEastAsia" w:hint="eastAsia"/>
            <w:b/>
            <w:bCs/>
          </w:rPr>
          <w:t>十一、基金的投资</w:t>
        </w:r>
        <w:r>
          <w:rPr>
            <w:webHidden/>
          </w:rPr>
          <w:tab/>
        </w:r>
        <w:r>
          <w:rPr>
            <w:webHidden/>
          </w:rPr>
          <w:fldChar w:fldCharType="begin"/>
        </w:r>
        <w:r>
          <w:rPr>
            <w:webHidden/>
          </w:rPr>
          <w:instrText xml:space="preserve"> PAGEREF _Toc91764828 \h </w:instrText>
        </w:r>
        <w:r>
          <w:rPr>
            <w:webHidden/>
          </w:rPr>
          <w:fldChar w:fldCharType="separate"/>
        </w:r>
        <w:r>
          <w:rPr>
            <w:webHidden/>
          </w:rPr>
          <w:t>37</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29" w:history="1">
        <w:r w:rsidRPr="007C6B13">
          <w:rPr>
            <w:rStyle w:val="Hyperlink"/>
            <w:rFonts w:asciiTheme="minorEastAsia" w:hAnsiTheme="minorEastAsia" w:hint="eastAsia"/>
          </w:rPr>
          <w:t>（一）投资目标</w:t>
        </w:r>
        <w:r>
          <w:rPr>
            <w:webHidden/>
          </w:rPr>
          <w:tab/>
        </w:r>
        <w:r>
          <w:rPr>
            <w:webHidden/>
          </w:rPr>
          <w:fldChar w:fldCharType="begin"/>
        </w:r>
        <w:r>
          <w:rPr>
            <w:webHidden/>
          </w:rPr>
          <w:instrText xml:space="preserve"> PAGEREF _Toc91764829 \h </w:instrText>
        </w:r>
        <w:r>
          <w:rPr>
            <w:webHidden/>
          </w:rPr>
          <w:fldChar w:fldCharType="separate"/>
        </w:r>
        <w:r>
          <w:rPr>
            <w:webHidden/>
          </w:rPr>
          <w:t>37</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0" w:history="1">
        <w:r w:rsidRPr="007C6B13">
          <w:rPr>
            <w:rStyle w:val="Hyperlink"/>
            <w:rFonts w:asciiTheme="minorEastAsia" w:hAnsiTheme="minorEastAsia" w:hint="eastAsia"/>
          </w:rPr>
          <w:t>（</w:t>
        </w:r>
        <w:r w:rsidRPr="007C6B13">
          <w:rPr>
            <w:rStyle w:val="Hyperlink"/>
            <w:rFonts w:asciiTheme="minorEastAsia" w:hAnsiTheme="minorEastAsia" w:hint="eastAsia"/>
            <w:bCs/>
          </w:rPr>
          <w:t>二</w:t>
        </w:r>
        <w:r w:rsidRPr="007C6B13">
          <w:rPr>
            <w:rStyle w:val="Hyperlink"/>
            <w:rFonts w:asciiTheme="minorEastAsia" w:hAnsiTheme="minorEastAsia" w:hint="eastAsia"/>
          </w:rPr>
          <w:t>）</w:t>
        </w:r>
        <w:r w:rsidRPr="007C6B13">
          <w:rPr>
            <w:rStyle w:val="Hyperlink"/>
            <w:rFonts w:asciiTheme="minorEastAsia" w:hAnsiTheme="minorEastAsia" w:hint="eastAsia"/>
            <w:bCs/>
          </w:rPr>
          <w:t>投资范围</w:t>
        </w:r>
        <w:r>
          <w:rPr>
            <w:webHidden/>
          </w:rPr>
          <w:tab/>
        </w:r>
        <w:r>
          <w:rPr>
            <w:webHidden/>
          </w:rPr>
          <w:fldChar w:fldCharType="begin"/>
        </w:r>
        <w:r>
          <w:rPr>
            <w:webHidden/>
          </w:rPr>
          <w:instrText xml:space="preserve"> PAGEREF _Toc91764830 \h </w:instrText>
        </w:r>
        <w:r>
          <w:rPr>
            <w:webHidden/>
          </w:rPr>
          <w:fldChar w:fldCharType="separate"/>
        </w:r>
        <w:r>
          <w:rPr>
            <w:webHidden/>
          </w:rPr>
          <w:t>37</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1" w:history="1">
        <w:r w:rsidRPr="007C6B13">
          <w:rPr>
            <w:rStyle w:val="Hyperlink"/>
            <w:rFonts w:asciiTheme="minorEastAsia" w:hAnsiTheme="minorEastAsia" w:hint="eastAsia"/>
            <w:bCs/>
          </w:rPr>
          <w:t>（三）投资理念</w:t>
        </w:r>
        <w:r>
          <w:rPr>
            <w:webHidden/>
          </w:rPr>
          <w:tab/>
        </w:r>
        <w:r>
          <w:rPr>
            <w:webHidden/>
          </w:rPr>
          <w:fldChar w:fldCharType="begin"/>
        </w:r>
        <w:r>
          <w:rPr>
            <w:webHidden/>
          </w:rPr>
          <w:instrText xml:space="preserve"> PAGEREF _Toc91764831 \h </w:instrText>
        </w:r>
        <w:r>
          <w:rPr>
            <w:webHidden/>
          </w:rPr>
          <w:fldChar w:fldCharType="separate"/>
        </w:r>
        <w:r>
          <w:rPr>
            <w:webHidden/>
          </w:rPr>
          <w:t>37</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2" w:history="1">
        <w:r w:rsidRPr="007C6B13">
          <w:rPr>
            <w:rStyle w:val="Hyperlink"/>
            <w:rFonts w:asciiTheme="minorEastAsia" w:hAnsiTheme="minorEastAsia" w:hint="eastAsia"/>
            <w:bCs/>
          </w:rPr>
          <w:t>（四）投资策略</w:t>
        </w:r>
        <w:r>
          <w:rPr>
            <w:webHidden/>
          </w:rPr>
          <w:tab/>
        </w:r>
        <w:r>
          <w:rPr>
            <w:webHidden/>
          </w:rPr>
          <w:fldChar w:fldCharType="begin"/>
        </w:r>
        <w:r>
          <w:rPr>
            <w:webHidden/>
          </w:rPr>
          <w:instrText xml:space="preserve"> PAGEREF _Toc91764832 \h </w:instrText>
        </w:r>
        <w:r>
          <w:rPr>
            <w:webHidden/>
          </w:rPr>
          <w:fldChar w:fldCharType="separate"/>
        </w:r>
        <w:r>
          <w:rPr>
            <w:webHidden/>
          </w:rPr>
          <w:t>37</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3" w:history="1">
        <w:r w:rsidRPr="007C6B13">
          <w:rPr>
            <w:rStyle w:val="Hyperlink"/>
            <w:rFonts w:asciiTheme="minorEastAsia" w:hAnsiTheme="minorEastAsia" w:hint="eastAsia"/>
            <w:bCs/>
          </w:rPr>
          <w:t>（五）业绩比较基准</w:t>
        </w:r>
        <w:r>
          <w:rPr>
            <w:webHidden/>
          </w:rPr>
          <w:tab/>
        </w:r>
        <w:r>
          <w:rPr>
            <w:webHidden/>
          </w:rPr>
          <w:fldChar w:fldCharType="begin"/>
        </w:r>
        <w:r>
          <w:rPr>
            <w:webHidden/>
          </w:rPr>
          <w:instrText xml:space="preserve"> PAGEREF _Toc91764833 \h </w:instrText>
        </w:r>
        <w:r>
          <w:rPr>
            <w:webHidden/>
          </w:rPr>
          <w:fldChar w:fldCharType="separate"/>
        </w:r>
        <w:r>
          <w:rPr>
            <w:webHidden/>
          </w:rPr>
          <w:t>41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4" w:history="1">
        <w:r w:rsidRPr="007C6B13">
          <w:rPr>
            <w:rStyle w:val="Hyperlink"/>
            <w:rFonts w:asciiTheme="minorEastAsia" w:hAnsiTheme="minorEastAsia" w:hint="eastAsia"/>
            <w:bCs/>
          </w:rPr>
          <w:t>（六）风险收益特征</w:t>
        </w:r>
        <w:r>
          <w:rPr>
            <w:webHidden/>
          </w:rPr>
          <w:tab/>
        </w:r>
        <w:r>
          <w:rPr>
            <w:webHidden/>
          </w:rPr>
          <w:fldChar w:fldCharType="begin"/>
        </w:r>
        <w:r>
          <w:rPr>
            <w:webHidden/>
          </w:rPr>
          <w:instrText xml:space="preserve"> PAGEREF _Toc91764834 \h </w:instrText>
        </w:r>
        <w:r>
          <w:rPr>
            <w:webHidden/>
          </w:rPr>
          <w:fldChar w:fldCharType="separate"/>
        </w:r>
        <w:r>
          <w:rPr>
            <w:webHidden/>
          </w:rPr>
          <w:t>42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5" w:history="1">
        <w:r w:rsidRPr="007C6B13">
          <w:rPr>
            <w:rStyle w:val="Hyperlink"/>
            <w:rFonts w:asciiTheme="minorEastAsia" w:hAnsiTheme="minorEastAsia" w:hint="eastAsia"/>
            <w:bCs/>
          </w:rPr>
          <w:t>（七）投资决策</w:t>
        </w:r>
        <w:r>
          <w:rPr>
            <w:webHidden/>
          </w:rPr>
          <w:tab/>
        </w:r>
        <w:r>
          <w:rPr>
            <w:webHidden/>
          </w:rPr>
          <w:fldChar w:fldCharType="begin"/>
        </w:r>
        <w:r>
          <w:rPr>
            <w:webHidden/>
          </w:rPr>
          <w:instrText xml:space="preserve"> PAGEREF _Toc91764835 \h </w:instrText>
        </w:r>
        <w:r>
          <w:rPr>
            <w:webHidden/>
          </w:rPr>
          <w:fldChar w:fldCharType="separate"/>
        </w:r>
        <w:r>
          <w:rPr>
            <w:webHidden/>
          </w:rPr>
          <w:t>42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6" w:history="1">
        <w:r w:rsidRPr="007C6B13">
          <w:rPr>
            <w:rStyle w:val="Hyperlink"/>
            <w:rFonts w:asciiTheme="minorEastAsia" w:hAnsiTheme="minorEastAsia" w:hint="eastAsia"/>
            <w:bCs/>
          </w:rPr>
          <w:t>（八）投资限制</w:t>
        </w:r>
        <w:r>
          <w:rPr>
            <w:webHidden/>
          </w:rPr>
          <w:tab/>
        </w:r>
        <w:r>
          <w:rPr>
            <w:webHidden/>
          </w:rPr>
          <w:fldChar w:fldCharType="begin"/>
        </w:r>
        <w:r>
          <w:rPr>
            <w:webHidden/>
          </w:rPr>
          <w:instrText xml:space="preserve"> PAGEREF _Toc91764836 \h </w:instrText>
        </w:r>
        <w:r>
          <w:rPr>
            <w:webHidden/>
          </w:rPr>
          <w:fldChar w:fldCharType="separate"/>
        </w:r>
        <w:r>
          <w:rPr>
            <w:webHidden/>
          </w:rPr>
          <w:t>42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7" w:history="1">
        <w:r w:rsidRPr="007C6B13">
          <w:rPr>
            <w:rStyle w:val="Hyperlink"/>
            <w:rFonts w:asciiTheme="minorEastAsia" w:hAnsiTheme="minorEastAsia" w:hint="eastAsia"/>
            <w:bCs/>
          </w:rPr>
          <w:t>（九）禁止行为</w:t>
        </w:r>
        <w:r>
          <w:rPr>
            <w:webHidden/>
          </w:rPr>
          <w:tab/>
        </w:r>
        <w:r>
          <w:rPr>
            <w:webHidden/>
          </w:rPr>
          <w:fldChar w:fldCharType="begin"/>
        </w:r>
        <w:r>
          <w:rPr>
            <w:webHidden/>
          </w:rPr>
          <w:instrText xml:space="preserve"> PAGEREF _Toc91764837 \h </w:instrText>
        </w:r>
        <w:r>
          <w:rPr>
            <w:webHidden/>
          </w:rPr>
          <w:fldChar w:fldCharType="separate"/>
        </w:r>
        <w:r>
          <w:rPr>
            <w:webHidden/>
          </w:rPr>
          <w:t>43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8" w:history="1">
        <w:r w:rsidRPr="007C6B13">
          <w:rPr>
            <w:rStyle w:val="Hyperlink"/>
            <w:rFonts w:asciiTheme="minorEastAsia" w:hAnsiTheme="minorEastAsia" w:hint="eastAsia"/>
            <w:bCs/>
          </w:rPr>
          <w:t>（十）基金管理人代表基金行使所投资证券产生权利的处理原则及方法</w:t>
        </w:r>
        <w:r>
          <w:rPr>
            <w:webHidden/>
          </w:rPr>
          <w:tab/>
        </w:r>
        <w:r>
          <w:rPr>
            <w:webHidden/>
          </w:rPr>
          <w:fldChar w:fldCharType="begin"/>
        </w:r>
        <w:r>
          <w:rPr>
            <w:webHidden/>
          </w:rPr>
          <w:instrText xml:space="preserve"> PAGEREF _Toc91764838 \h </w:instrText>
        </w:r>
        <w:r>
          <w:rPr>
            <w:webHidden/>
          </w:rPr>
          <w:fldChar w:fldCharType="separate"/>
        </w:r>
        <w:r>
          <w:rPr>
            <w:webHidden/>
          </w:rPr>
          <w:t>44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39" w:history="1">
        <w:r w:rsidRPr="007C6B13">
          <w:rPr>
            <w:rStyle w:val="Hyperlink"/>
            <w:rFonts w:asciiTheme="minorEastAsia" w:hAnsiTheme="minorEastAsia" w:hint="eastAsia"/>
            <w:bCs/>
          </w:rPr>
          <w:t>（十</w:t>
        </w:r>
        <w:r w:rsidRPr="007C6B13">
          <w:rPr>
            <w:rStyle w:val="Hyperlink"/>
            <w:rFonts w:asciiTheme="minorEastAsia" w:hAnsiTheme="minorEastAsia" w:hint="eastAsia"/>
          </w:rPr>
          <w:t>一</w:t>
        </w:r>
        <w:r w:rsidRPr="007C6B13">
          <w:rPr>
            <w:rStyle w:val="Hyperlink"/>
            <w:rFonts w:asciiTheme="minorEastAsia" w:hAnsiTheme="minorEastAsia" w:hint="eastAsia"/>
            <w:bCs/>
          </w:rPr>
          <w:t>）基金的融资</w:t>
        </w:r>
        <w:r>
          <w:rPr>
            <w:webHidden/>
          </w:rPr>
          <w:tab/>
        </w:r>
        <w:r>
          <w:rPr>
            <w:webHidden/>
          </w:rPr>
          <w:fldChar w:fldCharType="begin"/>
        </w:r>
        <w:r>
          <w:rPr>
            <w:webHidden/>
          </w:rPr>
          <w:instrText xml:space="preserve"> PAGEREF _Toc91764839 \h </w:instrText>
        </w:r>
        <w:r>
          <w:rPr>
            <w:webHidden/>
          </w:rPr>
          <w:fldChar w:fldCharType="separate"/>
        </w:r>
        <w:r>
          <w:rPr>
            <w:webHidden/>
          </w:rPr>
          <w:t>44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40" w:history="1">
        <w:r w:rsidRPr="007C6B13">
          <w:rPr>
            <w:rStyle w:val="Hyperlink"/>
            <w:rFonts w:asciiTheme="minorEastAsia" w:hAnsiTheme="minorEastAsia" w:hint="eastAsia"/>
            <w:bCs/>
          </w:rPr>
          <w:t>（十</w:t>
        </w:r>
        <w:r w:rsidRPr="007C6B13">
          <w:rPr>
            <w:rStyle w:val="Hyperlink"/>
            <w:rFonts w:asciiTheme="minorEastAsia" w:hAnsiTheme="minorEastAsia" w:hint="eastAsia"/>
          </w:rPr>
          <w:t>二</w:t>
        </w:r>
        <w:r w:rsidRPr="007C6B13">
          <w:rPr>
            <w:rStyle w:val="Hyperlink"/>
            <w:rFonts w:asciiTheme="minorEastAsia" w:hAnsiTheme="minorEastAsia" w:hint="eastAsia"/>
            <w:bCs/>
          </w:rPr>
          <w:t>）基金投资组合报告（未经审计）</w:t>
        </w:r>
        <w:r>
          <w:rPr>
            <w:webHidden/>
          </w:rPr>
          <w:tab/>
        </w:r>
        <w:r>
          <w:rPr>
            <w:webHidden/>
          </w:rPr>
          <w:fldChar w:fldCharType="begin"/>
        </w:r>
        <w:r>
          <w:rPr>
            <w:webHidden/>
          </w:rPr>
          <w:instrText xml:space="preserve"> PAGEREF _Toc91764840 \h </w:instrText>
        </w:r>
        <w:r>
          <w:rPr>
            <w:webHidden/>
          </w:rPr>
          <w:fldChar w:fldCharType="separate"/>
        </w:r>
        <w:r>
          <w:rPr>
            <w:webHidden/>
          </w:rPr>
          <w:t>44</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41" w:history="1">
        <w:r w:rsidRPr="007C6B13">
          <w:rPr>
            <w:rStyle w:val="Hyperlink"/>
            <w:rFonts w:asciiTheme="minorEastAsia" w:hAnsiTheme="minorEastAsia" w:hint="eastAsia"/>
            <w:b/>
            <w:bCs/>
          </w:rPr>
          <w:t>十二、基金的业绩</w:t>
        </w:r>
        <w:r>
          <w:rPr>
            <w:webHidden/>
          </w:rPr>
          <w:tab/>
        </w:r>
        <w:r>
          <w:rPr>
            <w:webHidden/>
          </w:rPr>
          <w:fldChar w:fldCharType="begin"/>
        </w:r>
        <w:r>
          <w:rPr>
            <w:webHidden/>
          </w:rPr>
          <w:instrText xml:space="preserve"> PAGEREF _Toc91764841 \h </w:instrText>
        </w:r>
        <w:r>
          <w:rPr>
            <w:webHidden/>
          </w:rPr>
          <w:fldChar w:fldCharType="separate"/>
        </w:r>
        <w:r>
          <w:rPr>
            <w:webHidden/>
          </w:rPr>
          <w:t>48</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42" w:history="1">
        <w:r w:rsidRPr="007C6B13">
          <w:rPr>
            <w:rStyle w:val="Hyperlink"/>
            <w:rFonts w:asciiTheme="minorEastAsia" w:hAnsiTheme="minorEastAsia" w:hint="eastAsia"/>
            <w:b/>
            <w:bCs/>
          </w:rPr>
          <w:t>十三、基金的财产</w:t>
        </w:r>
        <w:r>
          <w:rPr>
            <w:webHidden/>
          </w:rPr>
          <w:tab/>
        </w:r>
        <w:r>
          <w:rPr>
            <w:webHidden/>
          </w:rPr>
          <w:fldChar w:fldCharType="begin"/>
        </w:r>
        <w:r>
          <w:rPr>
            <w:webHidden/>
          </w:rPr>
          <w:instrText xml:space="preserve"> PAGEREF _Toc91764842 \h </w:instrText>
        </w:r>
        <w:r>
          <w:rPr>
            <w:webHidden/>
          </w:rPr>
          <w:fldChar w:fldCharType="separate"/>
        </w:r>
        <w:r>
          <w:rPr>
            <w:webHidden/>
          </w:rPr>
          <w:t>50</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43" w:history="1">
        <w:r w:rsidRPr="007C6B13">
          <w:rPr>
            <w:rStyle w:val="Hyperlink"/>
            <w:rFonts w:asciiTheme="minorEastAsia" w:hAnsiTheme="minorEastAsia" w:hint="eastAsia"/>
          </w:rPr>
          <w:t>（一）基金资产总值</w:t>
        </w:r>
        <w:r>
          <w:rPr>
            <w:webHidden/>
          </w:rPr>
          <w:tab/>
        </w:r>
        <w:r>
          <w:rPr>
            <w:webHidden/>
          </w:rPr>
          <w:fldChar w:fldCharType="begin"/>
        </w:r>
        <w:r>
          <w:rPr>
            <w:webHidden/>
          </w:rPr>
          <w:instrText xml:space="preserve"> PAGEREF _Toc91764843 \h </w:instrText>
        </w:r>
        <w:r>
          <w:rPr>
            <w:webHidden/>
          </w:rPr>
          <w:fldChar w:fldCharType="separate"/>
        </w:r>
        <w:r>
          <w:rPr>
            <w:webHidden/>
          </w:rPr>
          <w:t>50</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44" w:history="1">
        <w:r w:rsidRPr="007C6B13">
          <w:rPr>
            <w:rStyle w:val="Hyperlink"/>
            <w:rFonts w:asciiTheme="minorEastAsia" w:hAnsiTheme="minorEastAsia" w:hint="eastAsia"/>
          </w:rPr>
          <w:t>（二）基金资产净值</w:t>
        </w:r>
        <w:r>
          <w:rPr>
            <w:webHidden/>
          </w:rPr>
          <w:tab/>
        </w:r>
        <w:r>
          <w:rPr>
            <w:webHidden/>
          </w:rPr>
          <w:fldChar w:fldCharType="begin"/>
        </w:r>
        <w:r>
          <w:rPr>
            <w:webHidden/>
          </w:rPr>
          <w:instrText xml:space="preserve"> PAGEREF _Toc91764844 \h </w:instrText>
        </w:r>
        <w:r>
          <w:rPr>
            <w:webHidden/>
          </w:rPr>
          <w:fldChar w:fldCharType="separate"/>
        </w:r>
        <w:r>
          <w:rPr>
            <w:webHidden/>
          </w:rPr>
          <w:t>50</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45" w:history="1">
        <w:r w:rsidRPr="007C6B13">
          <w:rPr>
            <w:rStyle w:val="Hyperlink"/>
            <w:rFonts w:asciiTheme="minorEastAsia" w:hAnsiTheme="minorEastAsia" w:hint="eastAsia"/>
          </w:rPr>
          <w:t>（三）基金财产的账户</w:t>
        </w:r>
        <w:r>
          <w:rPr>
            <w:webHidden/>
          </w:rPr>
          <w:tab/>
        </w:r>
        <w:r>
          <w:rPr>
            <w:webHidden/>
          </w:rPr>
          <w:fldChar w:fldCharType="begin"/>
        </w:r>
        <w:r>
          <w:rPr>
            <w:webHidden/>
          </w:rPr>
          <w:instrText xml:space="preserve"> PAGEREF _Toc91764845 \h </w:instrText>
        </w:r>
        <w:r>
          <w:rPr>
            <w:webHidden/>
          </w:rPr>
          <w:fldChar w:fldCharType="separate"/>
        </w:r>
        <w:r>
          <w:rPr>
            <w:webHidden/>
          </w:rPr>
          <w:t>50</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46" w:history="1">
        <w:r w:rsidRPr="007C6B13">
          <w:rPr>
            <w:rStyle w:val="Hyperlink"/>
            <w:rFonts w:asciiTheme="minorEastAsia" w:hAnsiTheme="minorEastAsia" w:hint="eastAsia"/>
          </w:rPr>
          <w:t>（四）基金财产的保管和处分</w:t>
        </w:r>
        <w:r>
          <w:rPr>
            <w:webHidden/>
          </w:rPr>
          <w:tab/>
        </w:r>
        <w:r>
          <w:rPr>
            <w:webHidden/>
          </w:rPr>
          <w:fldChar w:fldCharType="begin"/>
        </w:r>
        <w:r>
          <w:rPr>
            <w:webHidden/>
          </w:rPr>
          <w:instrText xml:space="preserve"> PAGEREF _Toc91764846 \h </w:instrText>
        </w:r>
        <w:r>
          <w:rPr>
            <w:webHidden/>
          </w:rPr>
          <w:fldChar w:fldCharType="separate"/>
        </w:r>
        <w:r>
          <w:rPr>
            <w:webHidden/>
          </w:rPr>
          <w:t>50</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47" w:history="1">
        <w:r w:rsidRPr="007C6B13">
          <w:rPr>
            <w:rStyle w:val="Hyperlink"/>
            <w:rFonts w:asciiTheme="minorEastAsia" w:hAnsiTheme="minorEastAsia" w:hint="eastAsia"/>
            <w:b/>
            <w:bCs/>
          </w:rPr>
          <w:t>十四、基金资产估值</w:t>
        </w:r>
        <w:r>
          <w:rPr>
            <w:webHidden/>
          </w:rPr>
          <w:tab/>
        </w:r>
        <w:r>
          <w:rPr>
            <w:webHidden/>
          </w:rPr>
          <w:fldChar w:fldCharType="begin"/>
        </w:r>
        <w:r>
          <w:rPr>
            <w:webHidden/>
          </w:rPr>
          <w:instrText xml:space="preserve"> PAGEREF _Toc91764847 \h </w:instrText>
        </w:r>
        <w:r>
          <w:rPr>
            <w:webHidden/>
          </w:rPr>
          <w:fldChar w:fldCharType="separate"/>
        </w:r>
        <w:r>
          <w:rPr>
            <w:webHidden/>
          </w:rPr>
          <w:t>51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48" w:history="1">
        <w:r w:rsidRPr="007C6B13">
          <w:rPr>
            <w:rStyle w:val="Hyperlink"/>
            <w:rFonts w:asciiTheme="minorEastAsia" w:hAnsiTheme="minorEastAsia" w:hint="eastAsia"/>
          </w:rPr>
          <w:t>（一）估值目的</w:t>
        </w:r>
        <w:r>
          <w:rPr>
            <w:webHidden/>
          </w:rPr>
          <w:tab/>
        </w:r>
        <w:r>
          <w:rPr>
            <w:webHidden/>
          </w:rPr>
          <w:fldChar w:fldCharType="begin"/>
        </w:r>
        <w:r>
          <w:rPr>
            <w:webHidden/>
          </w:rPr>
          <w:instrText xml:space="preserve"> PAGEREF _Toc91764848 \h </w:instrText>
        </w:r>
        <w:r>
          <w:rPr>
            <w:webHidden/>
          </w:rPr>
          <w:fldChar w:fldCharType="separate"/>
        </w:r>
        <w:r>
          <w:rPr>
            <w:webHidden/>
          </w:rPr>
          <w:t>51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49" w:history="1">
        <w:r w:rsidRPr="007C6B13">
          <w:rPr>
            <w:rStyle w:val="Hyperlink"/>
            <w:rFonts w:asciiTheme="minorEastAsia" w:hAnsiTheme="minorEastAsia" w:hint="eastAsia"/>
          </w:rPr>
          <w:t>（二）估值日</w:t>
        </w:r>
        <w:r>
          <w:rPr>
            <w:webHidden/>
          </w:rPr>
          <w:tab/>
        </w:r>
        <w:r>
          <w:rPr>
            <w:webHidden/>
          </w:rPr>
          <w:fldChar w:fldCharType="begin"/>
        </w:r>
        <w:r>
          <w:rPr>
            <w:webHidden/>
          </w:rPr>
          <w:instrText xml:space="preserve"> PAGEREF _Toc91764849 \h </w:instrText>
        </w:r>
        <w:r>
          <w:rPr>
            <w:webHidden/>
          </w:rPr>
          <w:fldChar w:fldCharType="separate"/>
        </w:r>
        <w:r>
          <w:rPr>
            <w:webHidden/>
          </w:rPr>
          <w:t>51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50" w:history="1">
        <w:r w:rsidRPr="007C6B13">
          <w:rPr>
            <w:rStyle w:val="Hyperlink"/>
            <w:rFonts w:asciiTheme="minorEastAsia" w:hAnsiTheme="minorEastAsia" w:hint="eastAsia"/>
          </w:rPr>
          <w:t>（三）估值对象</w:t>
        </w:r>
        <w:r>
          <w:rPr>
            <w:webHidden/>
          </w:rPr>
          <w:tab/>
        </w:r>
        <w:r>
          <w:rPr>
            <w:webHidden/>
          </w:rPr>
          <w:fldChar w:fldCharType="begin"/>
        </w:r>
        <w:r>
          <w:rPr>
            <w:webHidden/>
          </w:rPr>
          <w:instrText xml:space="preserve"> PAGEREF _Toc91764850 \h </w:instrText>
        </w:r>
        <w:r>
          <w:rPr>
            <w:webHidden/>
          </w:rPr>
          <w:fldChar w:fldCharType="separate"/>
        </w:r>
        <w:r>
          <w:rPr>
            <w:webHidden/>
          </w:rPr>
          <w:t>51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51" w:history="1">
        <w:r w:rsidRPr="007C6B13">
          <w:rPr>
            <w:rStyle w:val="Hyperlink"/>
            <w:rFonts w:asciiTheme="minorEastAsia" w:hAnsiTheme="minorEastAsia" w:hint="eastAsia"/>
          </w:rPr>
          <w:t>（四）估值程序</w:t>
        </w:r>
        <w:r>
          <w:rPr>
            <w:webHidden/>
          </w:rPr>
          <w:tab/>
        </w:r>
        <w:r>
          <w:rPr>
            <w:webHidden/>
          </w:rPr>
          <w:fldChar w:fldCharType="begin"/>
        </w:r>
        <w:r>
          <w:rPr>
            <w:webHidden/>
          </w:rPr>
          <w:instrText xml:space="preserve"> PAGEREF _Toc91764851 \h </w:instrText>
        </w:r>
        <w:r>
          <w:rPr>
            <w:webHidden/>
          </w:rPr>
          <w:fldChar w:fldCharType="separate"/>
        </w:r>
        <w:r>
          <w:rPr>
            <w:webHidden/>
          </w:rPr>
          <w:t>51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52" w:history="1">
        <w:r w:rsidRPr="007C6B13">
          <w:rPr>
            <w:rStyle w:val="Hyperlink"/>
            <w:rFonts w:asciiTheme="minorEastAsia" w:hAnsiTheme="minorEastAsia" w:hint="eastAsia"/>
          </w:rPr>
          <w:t>（五）估值方法</w:t>
        </w:r>
        <w:r>
          <w:rPr>
            <w:webHidden/>
          </w:rPr>
          <w:tab/>
        </w:r>
        <w:r>
          <w:rPr>
            <w:webHidden/>
          </w:rPr>
          <w:fldChar w:fldCharType="begin"/>
        </w:r>
        <w:r>
          <w:rPr>
            <w:webHidden/>
          </w:rPr>
          <w:instrText xml:space="preserve"> PAGEREF _Toc91764852 \h </w:instrText>
        </w:r>
        <w:r>
          <w:rPr>
            <w:webHidden/>
          </w:rPr>
          <w:fldChar w:fldCharType="separate"/>
        </w:r>
        <w:r>
          <w:rPr>
            <w:webHidden/>
          </w:rPr>
          <w:t>51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53" w:history="1">
        <w:r w:rsidRPr="007C6B13">
          <w:rPr>
            <w:rStyle w:val="Hyperlink"/>
            <w:rFonts w:asciiTheme="minorEastAsia" w:hAnsiTheme="minorEastAsia" w:hint="eastAsia"/>
          </w:rPr>
          <w:t>（六）暂停公告净值的情形</w:t>
        </w:r>
        <w:r>
          <w:rPr>
            <w:webHidden/>
          </w:rPr>
          <w:tab/>
        </w:r>
        <w:r>
          <w:rPr>
            <w:webHidden/>
          </w:rPr>
          <w:fldChar w:fldCharType="begin"/>
        </w:r>
        <w:r>
          <w:rPr>
            <w:webHidden/>
          </w:rPr>
          <w:instrText xml:space="preserve"> PAGEREF _Toc91764853 \h </w:instrText>
        </w:r>
        <w:r>
          <w:rPr>
            <w:webHidden/>
          </w:rPr>
          <w:fldChar w:fldCharType="separate"/>
        </w:r>
        <w:r>
          <w:rPr>
            <w:webHidden/>
          </w:rPr>
          <w:t>52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54" w:history="1">
        <w:r w:rsidRPr="007C6B13">
          <w:rPr>
            <w:rStyle w:val="Hyperlink"/>
            <w:rFonts w:asciiTheme="minorEastAsia" w:hAnsiTheme="minorEastAsia" w:hint="eastAsia"/>
          </w:rPr>
          <w:t>（七）基金份额净值的确认和估值错误处理</w:t>
        </w:r>
        <w:r>
          <w:rPr>
            <w:webHidden/>
          </w:rPr>
          <w:tab/>
        </w:r>
        <w:r>
          <w:rPr>
            <w:webHidden/>
          </w:rPr>
          <w:fldChar w:fldCharType="begin"/>
        </w:r>
        <w:r>
          <w:rPr>
            <w:webHidden/>
          </w:rPr>
          <w:instrText xml:space="preserve"> PAGEREF _Toc91764854 \h </w:instrText>
        </w:r>
        <w:r>
          <w:rPr>
            <w:webHidden/>
          </w:rPr>
          <w:fldChar w:fldCharType="separate"/>
        </w:r>
        <w:r>
          <w:rPr>
            <w:webHidden/>
          </w:rPr>
          <w:t>52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55" w:history="1">
        <w:r w:rsidRPr="007C6B13">
          <w:rPr>
            <w:rStyle w:val="Hyperlink"/>
            <w:rFonts w:asciiTheme="minorEastAsia" w:hAnsiTheme="minorEastAsia" w:hint="eastAsia"/>
          </w:rPr>
          <w:t>（八）特殊情形的处理</w:t>
        </w:r>
        <w:r>
          <w:rPr>
            <w:webHidden/>
          </w:rPr>
          <w:tab/>
        </w:r>
        <w:r>
          <w:rPr>
            <w:webHidden/>
          </w:rPr>
          <w:fldChar w:fldCharType="begin"/>
        </w:r>
        <w:r>
          <w:rPr>
            <w:webHidden/>
          </w:rPr>
          <w:instrText xml:space="preserve"> PAGEREF _Toc91764855 \h </w:instrText>
        </w:r>
        <w:r>
          <w:rPr>
            <w:webHidden/>
          </w:rPr>
          <w:fldChar w:fldCharType="separate"/>
        </w:r>
        <w:r>
          <w:rPr>
            <w:webHidden/>
          </w:rPr>
          <w:t>54</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56" w:history="1">
        <w:r w:rsidRPr="007C6B13">
          <w:rPr>
            <w:rStyle w:val="Hyperlink"/>
            <w:rFonts w:asciiTheme="minorEastAsia" w:hAnsiTheme="minorEastAsia" w:hint="eastAsia"/>
            <w:b/>
            <w:bCs/>
          </w:rPr>
          <w:t>十五、基金的收益与分配</w:t>
        </w:r>
        <w:r>
          <w:rPr>
            <w:webHidden/>
          </w:rPr>
          <w:tab/>
        </w:r>
        <w:r>
          <w:rPr>
            <w:webHidden/>
          </w:rPr>
          <w:fldChar w:fldCharType="begin"/>
        </w:r>
        <w:r>
          <w:rPr>
            <w:webHidden/>
          </w:rPr>
          <w:instrText xml:space="preserve"> PAGEREF _Toc91764856 \h </w:instrText>
        </w:r>
        <w:r>
          <w:rPr>
            <w:webHidden/>
          </w:rPr>
          <w:fldChar w:fldCharType="separate"/>
        </w:r>
        <w:r>
          <w:rPr>
            <w:webHidden/>
          </w:rPr>
          <w:t>55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57" w:history="1">
        <w:r w:rsidRPr="007C6B13">
          <w:rPr>
            <w:rStyle w:val="Hyperlink"/>
            <w:rFonts w:asciiTheme="minorEastAsia" w:hAnsiTheme="minorEastAsia" w:hint="eastAsia"/>
          </w:rPr>
          <w:t>（一）收益的构成</w:t>
        </w:r>
        <w:r>
          <w:rPr>
            <w:webHidden/>
          </w:rPr>
          <w:tab/>
        </w:r>
        <w:r>
          <w:rPr>
            <w:webHidden/>
          </w:rPr>
          <w:fldChar w:fldCharType="begin"/>
        </w:r>
        <w:r>
          <w:rPr>
            <w:webHidden/>
          </w:rPr>
          <w:instrText xml:space="preserve"> PAGEREF _Toc91764857 \h </w:instrText>
        </w:r>
        <w:r>
          <w:rPr>
            <w:webHidden/>
          </w:rPr>
          <w:fldChar w:fldCharType="separate"/>
        </w:r>
        <w:r>
          <w:rPr>
            <w:webHidden/>
          </w:rPr>
          <w:t>55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58" w:history="1">
        <w:r w:rsidRPr="007C6B13">
          <w:rPr>
            <w:rStyle w:val="Hyperlink"/>
            <w:rFonts w:asciiTheme="minorEastAsia" w:hAnsiTheme="minorEastAsia" w:hint="eastAsia"/>
          </w:rPr>
          <w:t>（二）收益分配原则</w:t>
        </w:r>
        <w:r>
          <w:rPr>
            <w:webHidden/>
          </w:rPr>
          <w:tab/>
        </w:r>
        <w:r>
          <w:rPr>
            <w:webHidden/>
          </w:rPr>
          <w:fldChar w:fldCharType="begin"/>
        </w:r>
        <w:r>
          <w:rPr>
            <w:webHidden/>
          </w:rPr>
          <w:instrText xml:space="preserve"> PAGEREF _Toc91764858 \h </w:instrText>
        </w:r>
        <w:r>
          <w:rPr>
            <w:webHidden/>
          </w:rPr>
          <w:fldChar w:fldCharType="separate"/>
        </w:r>
        <w:r>
          <w:rPr>
            <w:webHidden/>
          </w:rPr>
          <w:t>55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59" w:history="1">
        <w:r w:rsidRPr="007C6B13">
          <w:rPr>
            <w:rStyle w:val="Hyperlink"/>
            <w:rFonts w:asciiTheme="minorEastAsia" w:hAnsiTheme="minorEastAsia" w:hint="eastAsia"/>
          </w:rPr>
          <w:t>（三）收益分配方案的确定与公告</w:t>
        </w:r>
        <w:r>
          <w:rPr>
            <w:webHidden/>
          </w:rPr>
          <w:tab/>
        </w:r>
        <w:r>
          <w:rPr>
            <w:webHidden/>
          </w:rPr>
          <w:fldChar w:fldCharType="begin"/>
        </w:r>
        <w:r>
          <w:rPr>
            <w:webHidden/>
          </w:rPr>
          <w:instrText xml:space="preserve"> PAGEREF _Toc91764859 \h </w:instrText>
        </w:r>
        <w:r>
          <w:rPr>
            <w:webHidden/>
          </w:rPr>
          <w:fldChar w:fldCharType="separate"/>
        </w:r>
        <w:r>
          <w:rPr>
            <w:webHidden/>
          </w:rPr>
          <w:t>55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60" w:history="1">
        <w:r w:rsidRPr="007C6B13">
          <w:rPr>
            <w:rStyle w:val="Hyperlink"/>
            <w:rFonts w:asciiTheme="minorEastAsia" w:hAnsiTheme="minorEastAsia" w:hint="eastAsia"/>
          </w:rPr>
          <w:t>（四）收益分配中发生的费用</w:t>
        </w:r>
        <w:r>
          <w:rPr>
            <w:webHidden/>
          </w:rPr>
          <w:tab/>
        </w:r>
        <w:r>
          <w:rPr>
            <w:webHidden/>
          </w:rPr>
          <w:fldChar w:fldCharType="begin"/>
        </w:r>
        <w:r>
          <w:rPr>
            <w:webHidden/>
          </w:rPr>
          <w:instrText xml:space="preserve"> PAGEREF _Toc91764860 \h </w:instrText>
        </w:r>
        <w:r>
          <w:rPr>
            <w:webHidden/>
          </w:rPr>
          <w:fldChar w:fldCharType="separate"/>
        </w:r>
        <w:r>
          <w:rPr>
            <w:webHidden/>
          </w:rPr>
          <w:t>55</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61" w:history="1">
        <w:r w:rsidRPr="007C6B13">
          <w:rPr>
            <w:rStyle w:val="Hyperlink"/>
            <w:rFonts w:asciiTheme="minorEastAsia" w:hAnsiTheme="minorEastAsia" w:hint="eastAsia"/>
            <w:b/>
            <w:bCs/>
          </w:rPr>
          <w:t>十六、基金的费用与税收</w:t>
        </w:r>
        <w:r>
          <w:rPr>
            <w:webHidden/>
          </w:rPr>
          <w:tab/>
        </w:r>
        <w:r>
          <w:rPr>
            <w:webHidden/>
          </w:rPr>
          <w:fldChar w:fldCharType="begin"/>
        </w:r>
        <w:r>
          <w:rPr>
            <w:webHidden/>
          </w:rPr>
          <w:instrText xml:space="preserve"> PAGEREF _Toc91764861 \h </w:instrText>
        </w:r>
        <w:r>
          <w:rPr>
            <w:webHidden/>
          </w:rPr>
          <w:fldChar w:fldCharType="separate"/>
        </w:r>
        <w:r>
          <w:rPr>
            <w:webHidden/>
          </w:rPr>
          <w:t>56</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62" w:history="1">
        <w:r w:rsidRPr="007C6B13">
          <w:rPr>
            <w:rStyle w:val="Hyperlink"/>
            <w:rFonts w:asciiTheme="minorEastAsia" w:hAnsiTheme="minorEastAsia" w:hint="eastAsia"/>
          </w:rPr>
          <w:t>（一）与基金运作相关的费用</w:t>
        </w:r>
        <w:r>
          <w:rPr>
            <w:webHidden/>
          </w:rPr>
          <w:tab/>
        </w:r>
        <w:r>
          <w:rPr>
            <w:webHidden/>
          </w:rPr>
          <w:fldChar w:fldCharType="begin"/>
        </w:r>
        <w:r>
          <w:rPr>
            <w:webHidden/>
          </w:rPr>
          <w:instrText xml:space="preserve"> PAGEREF _Toc91764862 \h </w:instrText>
        </w:r>
        <w:r>
          <w:rPr>
            <w:webHidden/>
          </w:rPr>
          <w:fldChar w:fldCharType="separate"/>
        </w:r>
        <w:r>
          <w:rPr>
            <w:webHidden/>
          </w:rPr>
          <w:t>56</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63" w:history="1">
        <w:r w:rsidRPr="007C6B13">
          <w:rPr>
            <w:rStyle w:val="Hyperlink"/>
            <w:rFonts w:asciiTheme="minorEastAsia" w:hAnsiTheme="minorEastAsia" w:hint="eastAsia"/>
          </w:rPr>
          <w:t>（二）与基金销售有关的费用</w:t>
        </w:r>
        <w:r>
          <w:rPr>
            <w:webHidden/>
          </w:rPr>
          <w:tab/>
        </w:r>
        <w:r>
          <w:rPr>
            <w:webHidden/>
          </w:rPr>
          <w:fldChar w:fldCharType="begin"/>
        </w:r>
        <w:r>
          <w:rPr>
            <w:webHidden/>
          </w:rPr>
          <w:instrText xml:space="preserve"> PAGEREF _Toc91764863 \h </w:instrText>
        </w:r>
        <w:r>
          <w:rPr>
            <w:webHidden/>
          </w:rPr>
          <w:fldChar w:fldCharType="separate"/>
        </w:r>
        <w:r>
          <w:rPr>
            <w:webHidden/>
          </w:rPr>
          <w:t>57</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64" w:history="1">
        <w:r w:rsidRPr="007C6B13">
          <w:rPr>
            <w:rStyle w:val="Hyperlink"/>
            <w:rFonts w:asciiTheme="minorEastAsia" w:hAnsiTheme="minorEastAsia" w:hint="eastAsia"/>
          </w:rPr>
          <w:t>（三）基金税收</w:t>
        </w:r>
        <w:r>
          <w:rPr>
            <w:webHidden/>
          </w:rPr>
          <w:tab/>
        </w:r>
        <w:r>
          <w:rPr>
            <w:webHidden/>
          </w:rPr>
          <w:fldChar w:fldCharType="begin"/>
        </w:r>
        <w:r>
          <w:rPr>
            <w:webHidden/>
          </w:rPr>
          <w:instrText xml:space="preserve"> PAGEREF _Toc91764864 \h </w:instrText>
        </w:r>
        <w:r>
          <w:rPr>
            <w:webHidden/>
          </w:rPr>
          <w:fldChar w:fldCharType="separate"/>
        </w:r>
        <w:r>
          <w:rPr>
            <w:webHidden/>
          </w:rPr>
          <w:t>58</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65" w:history="1">
        <w:r w:rsidRPr="007C6B13">
          <w:rPr>
            <w:rStyle w:val="Hyperlink"/>
            <w:rFonts w:asciiTheme="minorEastAsia" w:hAnsiTheme="minorEastAsia" w:hint="eastAsia"/>
            <w:b/>
            <w:bCs/>
          </w:rPr>
          <w:t>十七、基金的会计与审计</w:t>
        </w:r>
        <w:r>
          <w:rPr>
            <w:webHidden/>
          </w:rPr>
          <w:tab/>
        </w:r>
        <w:r>
          <w:rPr>
            <w:webHidden/>
          </w:rPr>
          <w:fldChar w:fldCharType="begin"/>
        </w:r>
        <w:r>
          <w:rPr>
            <w:webHidden/>
          </w:rPr>
          <w:instrText xml:space="preserve"> PAGEREF _Toc91764865 \h </w:instrText>
        </w:r>
        <w:r>
          <w:rPr>
            <w:webHidden/>
          </w:rPr>
          <w:fldChar w:fldCharType="separate"/>
        </w:r>
        <w:r>
          <w:rPr>
            <w:webHidden/>
          </w:rPr>
          <w:t>59</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66" w:history="1">
        <w:r w:rsidRPr="007C6B13">
          <w:rPr>
            <w:rStyle w:val="Hyperlink"/>
            <w:rFonts w:asciiTheme="minorEastAsia" w:hAnsiTheme="minorEastAsia" w:hint="eastAsia"/>
          </w:rPr>
          <w:t>（一）基金会计政策</w:t>
        </w:r>
        <w:r>
          <w:rPr>
            <w:webHidden/>
          </w:rPr>
          <w:tab/>
        </w:r>
        <w:r>
          <w:rPr>
            <w:webHidden/>
          </w:rPr>
          <w:fldChar w:fldCharType="begin"/>
        </w:r>
        <w:r>
          <w:rPr>
            <w:webHidden/>
          </w:rPr>
          <w:instrText xml:space="preserve"> PAGEREF _Toc91764866 \h </w:instrText>
        </w:r>
        <w:r>
          <w:rPr>
            <w:webHidden/>
          </w:rPr>
          <w:fldChar w:fldCharType="separate"/>
        </w:r>
        <w:r>
          <w:rPr>
            <w:webHidden/>
          </w:rPr>
          <w:t>59</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67" w:history="1">
        <w:r w:rsidRPr="007C6B13">
          <w:rPr>
            <w:rStyle w:val="Hyperlink"/>
            <w:rFonts w:asciiTheme="minorEastAsia" w:hAnsiTheme="minorEastAsia" w:hint="eastAsia"/>
          </w:rPr>
          <w:t>（二）基金年度审计</w:t>
        </w:r>
        <w:r>
          <w:rPr>
            <w:webHidden/>
          </w:rPr>
          <w:tab/>
        </w:r>
        <w:r>
          <w:rPr>
            <w:webHidden/>
          </w:rPr>
          <w:fldChar w:fldCharType="begin"/>
        </w:r>
        <w:r>
          <w:rPr>
            <w:webHidden/>
          </w:rPr>
          <w:instrText xml:space="preserve"> PAGEREF _Toc91764867 \h </w:instrText>
        </w:r>
        <w:r>
          <w:rPr>
            <w:webHidden/>
          </w:rPr>
          <w:fldChar w:fldCharType="separate"/>
        </w:r>
        <w:r>
          <w:rPr>
            <w:webHidden/>
          </w:rPr>
          <w:t>59</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68" w:history="1">
        <w:r w:rsidRPr="007C6B13">
          <w:rPr>
            <w:rStyle w:val="Hyperlink"/>
            <w:rFonts w:asciiTheme="minorEastAsia" w:hAnsiTheme="minorEastAsia" w:hint="eastAsia"/>
            <w:b/>
            <w:bCs/>
          </w:rPr>
          <w:t>十八、基金的信息披露</w:t>
        </w:r>
        <w:r>
          <w:rPr>
            <w:webHidden/>
          </w:rPr>
          <w:tab/>
        </w:r>
        <w:r>
          <w:rPr>
            <w:webHidden/>
          </w:rPr>
          <w:fldChar w:fldCharType="begin"/>
        </w:r>
        <w:r>
          <w:rPr>
            <w:webHidden/>
          </w:rPr>
          <w:instrText xml:space="preserve"> PAGEREF _Toc91764868 \h </w:instrText>
        </w:r>
        <w:r>
          <w:rPr>
            <w:webHidden/>
          </w:rPr>
          <w:fldChar w:fldCharType="separate"/>
        </w:r>
        <w:r>
          <w:rPr>
            <w:webHidden/>
          </w:rPr>
          <w:t>60</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69" w:history="1">
        <w:r w:rsidRPr="007C6B13">
          <w:rPr>
            <w:rStyle w:val="Hyperlink"/>
            <w:rFonts w:asciiTheme="minorEastAsia" w:hAnsiTheme="minorEastAsia" w:hint="eastAsia"/>
            <w:b/>
            <w:bCs/>
          </w:rPr>
          <w:t>十九、风险揭示</w:t>
        </w:r>
        <w:r>
          <w:rPr>
            <w:webHidden/>
          </w:rPr>
          <w:tab/>
        </w:r>
        <w:r>
          <w:rPr>
            <w:webHidden/>
          </w:rPr>
          <w:fldChar w:fldCharType="begin"/>
        </w:r>
        <w:r>
          <w:rPr>
            <w:webHidden/>
          </w:rPr>
          <w:instrText xml:space="preserve"> PAGEREF _Toc91764869 \h </w:instrText>
        </w:r>
        <w:r>
          <w:rPr>
            <w:webHidden/>
          </w:rPr>
          <w:fldChar w:fldCharType="separate"/>
        </w:r>
        <w:r>
          <w:rPr>
            <w:webHidden/>
          </w:rPr>
          <w:t>65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70" w:history="1">
        <w:r w:rsidRPr="007C6B13">
          <w:rPr>
            <w:rStyle w:val="Hyperlink"/>
            <w:rFonts w:asciiTheme="minorEastAsia" w:hAnsiTheme="minorEastAsia" w:hint="eastAsia"/>
          </w:rPr>
          <w:t>（一）市场风险</w:t>
        </w:r>
        <w:r>
          <w:rPr>
            <w:webHidden/>
          </w:rPr>
          <w:tab/>
        </w:r>
        <w:r>
          <w:rPr>
            <w:webHidden/>
          </w:rPr>
          <w:fldChar w:fldCharType="begin"/>
        </w:r>
        <w:r>
          <w:rPr>
            <w:webHidden/>
          </w:rPr>
          <w:instrText xml:space="preserve"> PAGEREF _Toc91764870 \h </w:instrText>
        </w:r>
        <w:r>
          <w:rPr>
            <w:webHidden/>
          </w:rPr>
          <w:fldChar w:fldCharType="separate"/>
        </w:r>
        <w:r>
          <w:rPr>
            <w:webHidden/>
          </w:rPr>
          <w:t>65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71" w:history="1">
        <w:r w:rsidRPr="007C6B13">
          <w:rPr>
            <w:rStyle w:val="Hyperlink"/>
            <w:rFonts w:asciiTheme="minorEastAsia" w:hAnsiTheme="minorEastAsia" w:hint="eastAsia"/>
          </w:rPr>
          <w:t>（二）管理风险</w:t>
        </w:r>
        <w:r>
          <w:rPr>
            <w:webHidden/>
          </w:rPr>
          <w:tab/>
        </w:r>
        <w:r>
          <w:rPr>
            <w:webHidden/>
          </w:rPr>
          <w:fldChar w:fldCharType="begin"/>
        </w:r>
        <w:r>
          <w:rPr>
            <w:webHidden/>
          </w:rPr>
          <w:instrText xml:space="preserve"> PAGEREF _Toc91764871 \h </w:instrText>
        </w:r>
        <w:r>
          <w:rPr>
            <w:webHidden/>
          </w:rPr>
          <w:fldChar w:fldCharType="separate"/>
        </w:r>
        <w:r>
          <w:rPr>
            <w:webHidden/>
          </w:rPr>
          <w:t>65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72" w:history="1">
        <w:r w:rsidRPr="007C6B13">
          <w:rPr>
            <w:rStyle w:val="Hyperlink"/>
            <w:rFonts w:asciiTheme="minorEastAsia" w:hAnsiTheme="minorEastAsia" w:hint="eastAsia"/>
          </w:rPr>
          <w:t>（三）流动性风险</w:t>
        </w:r>
        <w:r>
          <w:rPr>
            <w:webHidden/>
          </w:rPr>
          <w:tab/>
        </w:r>
        <w:r>
          <w:rPr>
            <w:webHidden/>
          </w:rPr>
          <w:fldChar w:fldCharType="begin"/>
        </w:r>
        <w:r>
          <w:rPr>
            <w:webHidden/>
          </w:rPr>
          <w:instrText xml:space="preserve"> PAGEREF _Toc91764872 \h </w:instrText>
        </w:r>
        <w:r>
          <w:rPr>
            <w:webHidden/>
          </w:rPr>
          <w:fldChar w:fldCharType="separate"/>
        </w:r>
        <w:r>
          <w:rPr>
            <w:webHidden/>
          </w:rPr>
          <w:t>65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73" w:history="1">
        <w:r w:rsidRPr="007C6B13">
          <w:rPr>
            <w:rStyle w:val="Hyperlink"/>
            <w:rFonts w:asciiTheme="minorEastAsia" w:hAnsiTheme="minorEastAsia" w:hint="eastAsia"/>
          </w:rPr>
          <w:t>（四）本基金法律文件中涉及基金风险特征的表述与销售机构对基金的风险评级可能不一致的风险</w:t>
        </w:r>
        <w:r>
          <w:rPr>
            <w:webHidden/>
          </w:rPr>
          <w:tab/>
        </w:r>
        <w:r>
          <w:rPr>
            <w:webHidden/>
          </w:rPr>
          <w:fldChar w:fldCharType="begin"/>
        </w:r>
        <w:r>
          <w:rPr>
            <w:webHidden/>
          </w:rPr>
          <w:instrText xml:space="preserve"> PAGEREF _Toc91764873 \h </w:instrText>
        </w:r>
        <w:r>
          <w:rPr>
            <w:webHidden/>
          </w:rPr>
          <w:fldChar w:fldCharType="separate"/>
        </w:r>
        <w:r>
          <w:rPr>
            <w:webHidden/>
          </w:rPr>
          <w:t>66</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74" w:history="1">
        <w:r w:rsidRPr="007C6B13">
          <w:rPr>
            <w:rStyle w:val="Hyperlink"/>
            <w:rFonts w:asciiTheme="minorEastAsia" w:hAnsiTheme="minorEastAsia" w:hint="eastAsia"/>
          </w:rPr>
          <w:t>（五）本基金特有的风险</w:t>
        </w:r>
        <w:r>
          <w:rPr>
            <w:webHidden/>
          </w:rPr>
          <w:tab/>
        </w:r>
        <w:r>
          <w:rPr>
            <w:webHidden/>
          </w:rPr>
          <w:fldChar w:fldCharType="begin"/>
        </w:r>
        <w:r>
          <w:rPr>
            <w:webHidden/>
          </w:rPr>
          <w:instrText xml:space="preserve"> PAGEREF _Toc91764874 \h </w:instrText>
        </w:r>
        <w:r>
          <w:rPr>
            <w:webHidden/>
          </w:rPr>
          <w:fldChar w:fldCharType="separate"/>
        </w:r>
        <w:r>
          <w:rPr>
            <w:webHidden/>
          </w:rPr>
          <w:t>67</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75" w:history="1">
        <w:r w:rsidRPr="007C6B13">
          <w:rPr>
            <w:rStyle w:val="Hyperlink"/>
            <w:rFonts w:asciiTheme="minorEastAsia" w:hAnsiTheme="minorEastAsia" w:hint="eastAsia"/>
          </w:rPr>
          <w:t>（六）其他风险</w:t>
        </w:r>
        <w:r>
          <w:rPr>
            <w:webHidden/>
          </w:rPr>
          <w:tab/>
        </w:r>
        <w:r>
          <w:rPr>
            <w:webHidden/>
          </w:rPr>
          <w:fldChar w:fldCharType="begin"/>
        </w:r>
        <w:r>
          <w:rPr>
            <w:webHidden/>
          </w:rPr>
          <w:instrText xml:space="preserve"> PAGEREF _Toc91764875 \h </w:instrText>
        </w:r>
        <w:r>
          <w:rPr>
            <w:webHidden/>
          </w:rPr>
          <w:fldChar w:fldCharType="separate"/>
        </w:r>
        <w:r>
          <w:rPr>
            <w:webHidden/>
          </w:rPr>
          <w:t>68</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76" w:history="1">
        <w:r w:rsidRPr="007C6B13">
          <w:rPr>
            <w:rStyle w:val="Hyperlink"/>
            <w:rFonts w:asciiTheme="minorEastAsia" w:hAnsiTheme="minorEastAsia" w:hint="eastAsia"/>
            <w:b/>
            <w:bCs/>
          </w:rPr>
          <w:t>二十、基金合同的终止与基金财产的清算</w:t>
        </w:r>
        <w:r>
          <w:rPr>
            <w:webHidden/>
          </w:rPr>
          <w:tab/>
        </w:r>
        <w:r>
          <w:rPr>
            <w:webHidden/>
          </w:rPr>
          <w:fldChar w:fldCharType="begin"/>
        </w:r>
        <w:r>
          <w:rPr>
            <w:webHidden/>
          </w:rPr>
          <w:instrText xml:space="preserve"> PAGEREF _Toc91764876 \h </w:instrText>
        </w:r>
        <w:r>
          <w:rPr>
            <w:webHidden/>
          </w:rPr>
          <w:fldChar w:fldCharType="separate"/>
        </w:r>
        <w:r>
          <w:rPr>
            <w:webHidden/>
          </w:rPr>
          <w:t>69</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77" w:history="1">
        <w:r w:rsidRPr="007C6B13">
          <w:rPr>
            <w:rStyle w:val="Hyperlink"/>
            <w:rFonts w:asciiTheme="minorEastAsia" w:hAnsiTheme="minorEastAsia" w:hint="eastAsia"/>
          </w:rPr>
          <w:t>（一）基金合同的终止</w:t>
        </w:r>
        <w:r>
          <w:rPr>
            <w:webHidden/>
          </w:rPr>
          <w:tab/>
        </w:r>
        <w:r>
          <w:rPr>
            <w:webHidden/>
          </w:rPr>
          <w:fldChar w:fldCharType="begin"/>
        </w:r>
        <w:r>
          <w:rPr>
            <w:webHidden/>
          </w:rPr>
          <w:instrText xml:space="preserve"> PAGEREF _Toc91764877 \h </w:instrText>
        </w:r>
        <w:r>
          <w:rPr>
            <w:webHidden/>
          </w:rPr>
          <w:fldChar w:fldCharType="separate"/>
        </w:r>
        <w:r>
          <w:rPr>
            <w:webHidden/>
          </w:rPr>
          <w:t>69</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78" w:history="1">
        <w:r w:rsidRPr="007C6B13">
          <w:rPr>
            <w:rStyle w:val="Hyperlink"/>
            <w:rFonts w:asciiTheme="minorEastAsia" w:hAnsiTheme="minorEastAsia" w:hint="eastAsia"/>
          </w:rPr>
          <w:t>（二）基金财产的清算</w:t>
        </w:r>
        <w:r>
          <w:rPr>
            <w:webHidden/>
          </w:rPr>
          <w:tab/>
        </w:r>
        <w:r>
          <w:rPr>
            <w:webHidden/>
          </w:rPr>
          <w:fldChar w:fldCharType="begin"/>
        </w:r>
        <w:r>
          <w:rPr>
            <w:webHidden/>
          </w:rPr>
          <w:instrText xml:space="preserve"> PAGEREF _Toc91764878 \h </w:instrText>
        </w:r>
        <w:r>
          <w:rPr>
            <w:webHidden/>
          </w:rPr>
          <w:fldChar w:fldCharType="separate"/>
        </w:r>
        <w:r>
          <w:rPr>
            <w:webHidden/>
          </w:rPr>
          <w:t>69</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79" w:history="1">
        <w:r w:rsidRPr="007C6B13">
          <w:rPr>
            <w:rStyle w:val="Hyperlink"/>
            <w:rFonts w:asciiTheme="minorEastAsia" w:hAnsiTheme="minorEastAsia" w:hint="eastAsia"/>
            <w:b/>
            <w:bCs/>
          </w:rPr>
          <w:t>二十一、基金合同内容摘要</w:t>
        </w:r>
        <w:r>
          <w:rPr>
            <w:webHidden/>
          </w:rPr>
          <w:tab/>
        </w:r>
        <w:r>
          <w:rPr>
            <w:webHidden/>
          </w:rPr>
          <w:fldChar w:fldCharType="begin"/>
        </w:r>
        <w:r>
          <w:rPr>
            <w:webHidden/>
          </w:rPr>
          <w:instrText xml:space="preserve"> PAGEREF _Toc91764879 \h </w:instrText>
        </w:r>
        <w:r>
          <w:rPr>
            <w:webHidden/>
          </w:rPr>
          <w:fldChar w:fldCharType="separate"/>
        </w:r>
        <w:r>
          <w:rPr>
            <w:webHidden/>
          </w:rPr>
          <w:t>71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80" w:history="1">
        <w:r w:rsidRPr="007C6B13">
          <w:rPr>
            <w:rStyle w:val="Hyperlink"/>
            <w:rFonts w:asciiTheme="minorEastAsia" w:hAnsiTheme="minorEastAsia" w:hint="eastAsia"/>
            <w:bCs/>
          </w:rPr>
          <w:t>（一）前言</w:t>
        </w:r>
        <w:r>
          <w:rPr>
            <w:webHidden/>
          </w:rPr>
          <w:tab/>
        </w:r>
        <w:r>
          <w:rPr>
            <w:webHidden/>
          </w:rPr>
          <w:fldChar w:fldCharType="begin"/>
        </w:r>
        <w:r>
          <w:rPr>
            <w:webHidden/>
          </w:rPr>
          <w:instrText xml:space="preserve"> PAGEREF _Toc91764880 \h </w:instrText>
        </w:r>
        <w:r>
          <w:rPr>
            <w:webHidden/>
          </w:rPr>
          <w:fldChar w:fldCharType="separate"/>
        </w:r>
        <w:r>
          <w:rPr>
            <w:webHidden/>
          </w:rPr>
          <w:t>71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81" w:history="1">
        <w:r w:rsidRPr="007C6B13">
          <w:rPr>
            <w:rStyle w:val="Hyperlink"/>
            <w:rFonts w:asciiTheme="minorEastAsia" w:hAnsiTheme="minorEastAsia" w:hint="eastAsia"/>
            <w:bCs/>
          </w:rPr>
          <w:t>（二）基金管理人的权利与义务</w:t>
        </w:r>
        <w:r>
          <w:rPr>
            <w:webHidden/>
          </w:rPr>
          <w:tab/>
        </w:r>
        <w:r>
          <w:rPr>
            <w:webHidden/>
          </w:rPr>
          <w:fldChar w:fldCharType="begin"/>
        </w:r>
        <w:r>
          <w:rPr>
            <w:webHidden/>
          </w:rPr>
          <w:instrText xml:space="preserve"> PAGEREF _Toc91764881 \h </w:instrText>
        </w:r>
        <w:r>
          <w:rPr>
            <w:webHidden/>
          </w:rPr>
          <w:fldChar w:fldCharType="separate"/>
        </w:r>
        <w:r>
          <w:rPr>
            <w:webHidden/>
          </w:rPr>
          <w:t>71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82" w:history="1">
        <w:r w:rsidRPr="007C6B13">
          <w:rPr>
            <w:rStyle w:val="Hyperlink"/>
            <w:rFonts w:asciiTheme="minorEastAsia" w:hAnsiTheme="minorEastAsia" w:hint="eastAsia"/>
            <w:bCs/>
          </w:rPr>
          <w:t>（三）基金托管人的权利与义务</w:t>
        </w:r>
        <w:r>
          <w:rPr>
            <w:webHidden/>
          </w:rPr>
          <w:tab/>
        </w:r>
        <w:r>
          <w:rPr>
            <w:webHidden/>
          </w:rPr>
          <w:fldChar w:fldCharType="begin"/>
        </w:r>
        <w:r>
          <w:rPr>
            <w:webHidden/>
          </w:rPr>
          <w:instrText xml:space="preserve"> PAGEREF _Toc91764882 \h </w:instrText>
        </w:r>
        <w:r>
          <w:rPr>
            <w:webHidden/>
          </w:rPr>
          <w:fldChar w:fldCharType="separate"/>
        </w:r>
        <w:r>
          <w:rPr>
            <w:webHidden/>
          </w:rPr>
          <w:t>74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83" w:history="1">
        <w:r w:rsidRPr="007C6B13">
          <w:rPr>
            <w:rStyle w:val="Hyperlink"/>
            <w:rFonts w:asciiTheme="minorEastAsia" w:hAnsiTheme="minorEastAsia" w:hint="eastAsia"/>
            <w:bCs/>
          </w:rPr>
          <w:t>（四）基金份额持有人的权利与义务</w:t>
        </w:r>
        <w:r>
          <w:rPr>
            <w:webHidden/>
          </w:rPr>
          <w:tab/>
        </w:r>
        <w:r>
          <w:rPr>
            <w:webHidden/>
          </w:rPr>
          <w:fldChar w:fldCharType="begin"/>
        </w:r>
        <w:r>
          <w:rPr>
            <w:webHidden/>
          </w:rPr>
          <w:instrText xml:space="preserve"> PAGEREF _Toc91764883 \h </w:instrText>
        </w:r>
        <w:r>
          <w:rPr>
            <w:webHidden/>
          </w:rPr>
          <w:fldChar w:fldCharType="separate"/>
        </w:r>
        <w:r>
          <w:rPr>
            <w:webHidden/>
          </w:rPr>
          <w:t>75</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84" w:history="1">
        <w:r w:rsidRPr="007C6B13">
          <w:rPr>
            <w:rStyle w:val="Hyperlink"/>
            <w:rFonts w:asciiTheme="minorEastAsia" w:hAnsiTheme="minorEastAsia" w:hint="eastAsia"/>
            <w:bCs/>
          </w:rPr>
          <w:t>（五）基金份额持有人大会</w:t>
        </w:r>
        <w:r>
          <w:rPr>
            <w:webHidden/>
          </w:rPr>
          <w:tab/>
        </w:r>
        <w:r>
          <w:rPr>
            <w:webHidden/>
          </w:rPr>
          <w:fldChar w:fldCharType="begin"/>
        </w:r>
        <w:r>
          <w:rPr>
            <w:webHidden/>
          </w:rPr>
          <w:instrText xml:space="preserve"> PAGEREF _Toc91764884 \h </w:instrText>
        </w:r>
        <w:r>
          <w:rPr>
            <w:webHidden/>
          </w:rPr>
          <w:fldChar w:fldCharType="separate"/>
        </w:r>
        <w:r>
          <w:rPr>
            <w:webHidden/>
          </w:rPr>
          <w:t>76</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85" w:history="1">
        <w:r w:rsidRPr="007C6B13">
          <w:rPr>
            <w:rStyle w:val="Hyperlink"/>
            <w:rFonts w:asciiTheme="minorEastAsia" w:hAnsiTheme="minorEastAsia" w:hint="eastAsia"/>
            <w:bCs/>
          </w:rPr>
          <w:t>（六）基金合同的变更和终止</w:t>
        </w:r>
        <w:r>
          <w:rPr>
            <w:webHidden/>
          </w:rPr>
          <w:tab/>
        </w:r>
        <w:r>
          <w:rPr>
            <w:webHidden/>
          </w:rPr>
          <w:fldChar w:fldCharType="begin"/>
        </w:r>
        <w:r>
          <w:rPr>
            <w:webHidden/>
          </w:rPr>
          <w:instrText xml:space="preserve"> PAGEREF _Toc91764885 \h </w:instrText>
        </w:r>
        <w:r>
          <w:rPr>
            <w:webHidden/>
          </w:rPr>
          <w:fldChar w:fldCharType="separate"/>
        </w:r>
        <w:r>
          <w:rPr>
            <w:webHidden/>
          </w:rPr>
          <w:t>81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86" w:history="1">
        <w:r w:rsidRPr="007C6B13">
          <w:rPr>
            <w:rStyle w:val="Hyperlink"/>
            <w:rFonts w:asciiTheme="minorEastAsia" w:hAnsiTheme="minorEastAsia" w:hint="eastAsia"/>
            <w:bCs/>
          </w:rPr>
          <w:t>（七）争议的处理</w:t>
        </w:r>
        <w:r>
          <w:rPr>
            <w:webHidden/>
          </w:rPr>
          <w:tab/>
        </w:r>
        <w:r>
          <w:rPr>
            <w:webHidden/>
          </w:rPr>
          <w:fldChar w:fldCharType="begin"/>
        </w:r>
        <w:r>
          <w:rPr>
            <w:webHidden/>
          </w:rPr>
          <w:instrText xml:space="preserve"> PAGEREF _Toc91764886 \h </w:instrText>
        </w:r>
        <w:r>
          <w:rPr>
            <w:webHidden/>
          </w:rPr>
          <w:fldChar w:fldCharType="separate"/>
        </w:r>
        <w:r>
          <w:rPr>
            <w:webHidden/>
          </w:rPr>
          <w:t>82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87" w:history="1">
        <w:r w:rsidRPr="007C6B13">
          <w:rPr>
            <w:rStyle w:val="Hyperlink"/>
            <w:rFonts w:asciiTheme="minorEastAsia" w:hAnsiTheme="minorEastAsia" w:hint="eastAsia"/>
            <w:bCs/>
          </w:rPr>
          <w:t>（八）基金合同的存放及查阅方式</w:t>
        </w:r>
        <w:r>
          <w:rPr>
            <w:webHidden/>
          </w:rPr>
          <w:tab/>
        </w:r>
        <w:r>
          <w:rPr>
            <w:webHidden/>
          </w:rPr>
          <w:fldChar w:fldCharType="begin"/>
        </w:r>
        <w:r>
          <w:rPr>
            <w:webHidden/>
          </w:rPr>
          <w:instrText xml:space="preserve"> PAGEREF _Toc91764887 \h </w:instrText>
        </w:r>
        <w:r>
          <w:rPr>
            <w:webHidden/>
          </w:rPr>
          <w:fldChar w:fldCharType="separate"/>
        </w:r>
        <w:r>
          <w:rPr>
            <w:webHidden/>
          </w:rPr>
          <w:t>82</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88" w:history="1">
        <w:r w:rsidRPr="007C6B13">
          <w:rPr>
            <w:rStyle w:val="Hyperlink"/>
            <w:rFonts w:asciiTheme="minorEastAsia" w:hAnsiTheme="minorEastAsia" w:hint="eastAsia"/>
            <w:b/>
            <w:bCs/>
          </w:rPr>
          <w:t>二十二、基金托管协议的内容摘要</w:t>
        </w:r>
        <w:r>
          <w:rPr>
            <w:webHidden/>
          </w:rPr>
          <w:tab/>
        </w:r>
        <w:r>
          <w:rPr>
            <w:webHidden/>
          </w:rPr>
          <w:fldChar w:fldCharType="begin"/>
        </w:r>
        <w:r>
          <w:rPr>
            <w:webHidden/>
          </w:rPr>
          <w:instrText xml:space="preserve"> PAGEREF _Toc91764888 \h </w:instrText>
        </w:r>
        <w:r>
          <w:rPr>
            <w:webHidden/>
          </w:rPr>
          <w:fldChar w:fldCharType="separate"/>
        </w:r>
        <w:r>
          <w:rPr>
            <w:webHidden/>
          </w:rPr>
          <w:t>83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89" w:history="1">
        <w:r w:rsidRPr="007C6B13">
          <w:rPr>
            <w:rStyle w:val="Hyperlink"/>
            <w:rFonts w:asciiTheme="minorEastAsia" w:hAnsiTheme="minorEastAsia" w:hint="eastAsia"/>
            <w:bCs/>
          </w:rPr>
          <w:t>（一）托管协议当事人</w:t>
        </w:r>
        <w:r>
          <w:rPr>
            <w:webHidden/>
          </w:rPr>
          <w:tab/>
        </w:r>
        <w:r>
          <w:rPr>
            <w:webHidden/>
          </w:rPr>
          <w:fldChar w:fldCharType="begin"/>
        </w:r>
        <w:r>
          <w:rPr>
            <w:webHidden/>
          </w:rPr>
          <w:instrText xml:space="preserve"> PAGEREF _Toc91764889 \h </w:instrText>
        </w:r>
        <w:r>
          <w:rPr>
            <w:webHidden/>
          </w:rPr>
          <w:fldChar w:fldCharType="separate"/>
        </w:r>
        <w:r>
          <w:rPr>
            <w:webHidden/>
          </w:rPr>
          <w:t>83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90" w:history="1">
        <w:r w:rsidRPr="007C6B13">
          <w:rPr>
            <w:rStyle w:val="Hyperlink"/>
            <w:rFonts w:asciiTheme="minorEastAsia" w:hAnsiTheme="minorEastAsia" w:hint="eastAsia"/>
            <w:bCs/>
          </w:rPr>
          <w:t>（二）基金托管人对基金管理人的业务监督和核查</w:t>
        </w:r>
        <w:r>
          <w:rPr>
            <w:webHidden/>
          </w:rPr>
          <w:tab/>
        </w:r>
        <w:r>
          <w:rPr>
            <w:webHidden/>
          </w:rPr>
          <w:fldChar w:fldCharType="begin"/>
        </w:r>
        <w:r>
          <w:rPr>
            <w:webHidden/>
          </w:rPr>
          <w:instrText xml:space="preserve"> PAGEREF _Toc91764890 \h </w:instrText>
        </w:r>
        <w:r>
          <w:rPr>
            <w:webHidden/>
          </w:rPr>
          <w:fldChar w:fldCharType="separate"/>
        </w:r>
        <w:r>
          <w:rPr>
            <w:webHidden/>
          </w:rPr>
          <w:t>84</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91" w:history="1">
        <w:r w:rsidRPr="007C6B13">
          <w:rPr>
            <w:rStyle w:val="Hyperlink"/>
            <w:rFonts w:asciiTheme="minorEastAsia" w:hAnsiTheme="minorEastAsia" w:hint="eastAsia"/>
            <w:bCs/>
          </w:rPr>
          <w:t>（三）基金管理人对基金托管人的业务核查</w:t>
        </w:r>
        <w:r>
          <w:rPr>
            <w:webHidden/>
          </w:rPr>
          <w:tab/>
        </w:r>
        <w:r>
          <w:rPr>
            <w:webHidden/>
          </w:rPr>
          <w:fldChar w:fldCharType="begin"/>
        </w:r>
        <w:r>
          <w:rPr>
            <w:webHidden/>
          </w:rPr>
          <w:instrText xml:space="preserve"> PAGEREF _Toc91764891 \h </w:instrText>
        </w:r>
        <w:r>
          <w:rPr>
            <w:webHidden/>
          </w:rPr>
          <w:fldChar w:fldCharType="separate"/>
        </w:r>
        <w:r>
          <w:rPr>
            <w:webHidden/>
          </w:rPr>
          <w:t>87</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92" w:history="1">
        <w:r w:rsidRPr="007C6B13">
          <w:rPr>
            <w:rStyle w:val="Hyperlink"/>
            <w:rFonts w:asciiTheme="minorEastAsia" w:hAnsiTheme="minorEastAsia" w:hint="eastAsia"/>
            <w:bCs/>
          </w:rPr>
          <w:t>（四）基金财产保管</w:t>
        </w:r>
        <w:r>
          <w:rPr>
            <w:webHidden/>
          </w:rPr>
          <w:tab/>
        </w:r>
        <w:r>
          <w:rPr>
            <w:webHidden/>
          </w:rPr>
          <w:fldChar w:fldCharType="begin"/>
        </w:r>
        <w:r>
          <w:rPr>
            <w:webHidden/>
          </w:rPr>
          <w:instrText xml:space="preserve"> PAGEREF _Toc91764892 \h </w:instrText>
        </w:r>
        <w:r>
          <w:rPr>
            <w:webHidden/>
          </w:rPr>
          <w:fldChar w:fldCharType="separate"/>
        </w:r>
        <w:r>
          <w:rPr>
            <w:webHidden/>
          </w:rPr>
          <w:t>88</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93" w:history="1">
        <w:r w:rsidRPr="007C6B13">
          <w:rPr>
            <w:rStyle w:val="Hyperlink"/>
            <w:rFonts w:asciiTheme="minorEastAsia" w:hAnsiTheme="minorEastAsia" w:hint="eastAsia"/>
            <w:bCs/>
          </w:rPr>
          <w:t>（五）基金资产净值计算与复核</w:t>
        </w:r>
        <w:r>
          <w:rPr>
            <w:webHidden/>
          </w:rPr>
          <w:tab/>
        </w:r>
        <w:r>
          <w:rPr>
            <w:webHidden/>
          </w:rPr>
          <w:fldChar w:fldCharType="begin"/>
        </w:r>
        <w:r>
          <w:rPr>
            <w:webHidden/>
          </w:rPr>
          <w:instrText xml:space="preserve"> PAGEREF _Toc91764893 \h </w:instrText>
        </w:r>
        <w:r>
          <w:rPr>
            <w:webHidden/>
          </w:rPr>
          <w:fldChar w:fldCharType="separate"/>
        </w:r>
        <w:r>
          <w:rPr>
            <w:webHidden/>
          </w:rPr>
          <w:t>90</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94" w:history="1">
        <w:r w:rsidRPr="007C6B13">
          <w:rPr>
            <w:rStyle w:val="Hyperlink"/>
            <w:rFonts w:asciiTheme="minorEastAsia" w:hAnsiTheme="minorEastAsia" w:hint="eastAsia"/>
            <w:bCs/>
          </w:rPr>
          <w:t>（六）基金份额持有人名册的保管</w:t>
        </w:r>
        <w:r>
          <w:rPr>
            <w:webHidden/>
          </w:rPr>
          <w:tab/>
        </w:r>
        <w:r>
          <w:rPr>
            <w:webHidden/>
          </w:rPr>
          <w:fldChar w:fldCharType="begin"/>
        </w:r>
        <w:r>
          <w:rPr>
            <w:webHidden/>
          </w:rPr>
          <w:instrText xml:space="preserve"> PAGEREF _Toc91764894 \h </w:instrText>
        </w:r>
        <w:r>
          <w:rPr>
            <w:webHidden/>
          </w:rPr>
          <w:fldChar w:fldCharType="separate"/>
        </w:r>
        <w:r>
          <w:rPr>
            <w:webHidden/>
          </w:rPr>
          <w:t>91</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95" w:history="1">
        <w:r w:rsidRPr="007C6B13">
          <w:rPr>
            <w:rStyle w:val="Hyperlink"/>
            <w:rFonts w:asciiTheme="minorEastAsia" w:hAnsiTheme="minorEastAsia" w:hint="eastAsia"/>
            <w:bCs/>
          </w:rPr>
          <w:t>（七）争议解决方式</w:t>
        </w:r>
        <w:r>
          <w:rPr>
            <w:webHidden/>
          </w:rPr>
          <w:tab/>
        </w:r>
        <w:r>
          <w:rPr>
            <w:webHidden/>
          </w:rPr>
          <w:fldChar w:fldCharType="begin"/>
        </w:r>
        <w:r>
          <w:rPr>
            <w:webHidden/>
          </w:rPr>
          <w:instrText xml:space="preserve"> PAGEREF _Toc91764895 \h </w:instrText>
        </w:r>
        <w:r>
          <w:rPr>
            <w:webHidden/>
          </w:rPr>
          <w:fldChar w:fldCharType="separate"/>
        </w:r>
        <w:r>
          <w:rPr>
            <w:webHidden/>
          </w:rPr>
          <w:t>92</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96" w:history="1">
        <w:r w:rsidRPr="007C6B13">
          <w:rPr>
            <w:rStyle w:val="Hyperlink"/>
            <w:rFonts w:asciiTheme="minorEastAsia" w:hAnsiTheme="minorEastAsia" w:hint="eastAsia"/>
            <w:bCs/>
          </w:rPr>
          <w:t>（八）托管协议的变更与终止</w:t>
        </w:r>
        <w:r>
          <w:rPr>
            <w:webHidden/>
          </w:rPr>
          <w:tab/>
        </w:r>
        <w:r>
          <w:rPr>
            <w:webHidden/>
          </w:rPr>
          <w:fldChar w:fldCharType="begin"/>
        </w:r>
        <w:r>
          <w:rPr>
            <w:webHidden/>
          </w:rPr>
          <w:instrText xml:space="preserve"> PAGEREF _Toc91764896 \h </w:instrText>
        </w:r>
        <w:r>
          <w:rPr>
            <w:webHidden/>
          </w:rPr>
          <w:fldChar w:fldCharType="separate"/>
        </w:r>
        <w:r>
          <w:rPr>
            <w:webHidden/>
          </w:rPr>
          <w:t>92</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897" w:history="1">
        <w:r w:rsidRPr="007C6B13">
          <w:rPr>
            <w:rStyle w:val="Hyperlink"/>
            <w:rFonts w:asciiTheme="minorEastAsia" w:hAnsiTheme="minorEastAsia" w:hint="eastAsia"/>
            <w:b/>
            <w:bCs/>
          </w:rPr>
          <w:t>二十三、对基金份额持有人的服务</w:t>
        </w:r>
        <w:r>
          <w:rPr>
            <w:webHidden/>
          </w:rPr>
          <w:tab/>
        </w:r>
        <w:r>
          <w:rPr>
            <w:webHidden/>
          </w:rPr>
          <w:fldChar w:fldCharType="begin"/>
        </w:r>
        <w:r>
          <w:rPr>
            <w:webHidden/>
          </w:rPr>
          <w:instrText xml:space="preserve"> PAGEREF _Toc91764897 \h </w:instrText>
        </w:r>
        <w:r>
          <w:rPr>
            <w:webHidden/>
          </w:rPr>
          <w:fldChar w:fldCharType="separate"/>
        </w:r>
        <w:r>
          <w:rPr>
            <w:webHidden/>
          </w:rPr>
          <w:t>93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98" w:history="1">
        <w:r w:rsidRPr="007C6B13">
          <w:rPr>
            <w:rStyle w:val="Hyperlink"/>
            <w:rFonts w:asciiTheme="minorEastAsia" w:hAnsiTheme="minorEastAsia" w:hint="eastAsia"/>
            <w:bCs/>
          </w:rPr>
          <w:t>（一）基金份额持有人投资交易确认服务</w:t>
        </w:r>
        <w:r>
          <w:rPr>
            <w:webHidden/>
          </w:rPr>
          <w:tab/>
        </w:r>
        <w:r>
          <w:rPr>
            <w:webHidden/>
          </w:rPr>
          <w:fldChar w:fldCharType="begin"/>
        </w:r>
        <w:r>
          <w:rPr>
            <w:webHidden/>
          </w:rPr>
          <w:instrText xml:space="preserve"> PAGEREF _Toc91764898 \h </w:instrText>
        </w:r>
        <w:r>
          <w:rPr>
            <w:webHidden/>
          </w:rPr>
          <w:fldChar w:fldCharType="separate"/>
        </w:r>
        <w:r>
          <w:rPr>
            <w:webHidden/>
          </w:rPr>
          <w:t>93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899" w:history="1">
        <w:r w:rsidRPr="007C6B13">
          <w:rPr>
            <w:rStyle w:val="Hyperlink"/>
            <w:rFonts w:asciiTheme="minorEastAsia" w:hAnsiTheme="minorEastAsia" w:hint="eastAsia"/>
            <w:bCs/>
          </w:rPr>
          <w:t>（二）基金份额持有人交易记录查询服务</w:t>
        </w:r>
        <w:r>
          <w:rPr>
            <w:webHidden/>
          </w:rPr>
          <w:tab/>
        </w:r>
        <w:r>
          <w:rPr>
            <w:webHidden/>
          </w:rPr>
          <w:fldChar w:fldCharType="begin"/>
        </w:r>
        <w:r>
          <w:rPr>
            <w:webHidden/>
          </w:rPr>
          <w:instrText xml:space="preserve"> PAGEREF _Toc91764899 \h </w:instrText>
        </w:r>
        <w:r>
          <w:rPr>
            <w:webHidden/>
          </w:rPr>
          <w:fldChar w:fldCharType="separate"/>
        </w:r>
        <w:r>
          <w:rPr>
            <w:webHidden/>
          </w:rPr>
          <w:t>93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900" w:history="1">
        <w:r w:rsidRPr="007C6B13">
          <w:rPr>
            <w:rStyle w:val="Hyperlink"/>
            <w:rFonts w:asciiTheme="minorEastAsia" w:hAnsiTheme="minorEastAsia" w:hint="eastAsia"/>
            <w:bCs/>
          </w:rPr>
          <w:t>（三）基金份额持有人的对账单服务</w:t>
        </w:r>
        <w:r>
          <w:rPr>
            <w:webHidden/>
          </w:rPr>
          <w:tab/>
        </w:r>
        <w:r>
          <w:rPr>
            <w:webHidden/>
          </w:rPr>
          <w:fldChar w:fldCharType="begin"/>
        </w:r>
        <w:r>
          <w:rPr>
            <w:webHidden/>
          </w:rPr>
          <w:instrText xml:space="preserve"> PAGEREF _Toc91764900 \h </w:instrText>
        </w:r>
        <w:r>
          <w:rPr>
            <w:webHidden/>
          </w:rPr>
          <w:fldChar w:fldCharType="separate"/>
        </w:r>
        <w:r>
          <w:rPr>
            <w:webHidden/>
          </w:rPr>
          <w:t>93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901" w:history="1">
        <w:r w:rsidRPr="007C6B13">
          <w:rPr>
            <w:rStyle w:val="Hyperlink"/>
            <w:rFonts w:asciiTheme="minorEastAsia" w:hAnsiTheme="minorEastAsia" w:hint="eastAsia"/>
            <w:bCs/>
          </w:rPr>
          <w:t>（四）定期定额投资计划</w:t>
        </w:r>
        <w:r>
          <w:rPr>
            <w:webHidden/>
          </w:rPr>
          <w:tab/>
        </w:r>
        <w:r>
          <w:rPr>
            <w:webHidden/>
          </w:rPr>
          <w:fldChar w:fldCharType="begin"/>
        </w:r>
        <w:r>
          <w:rPr>
            <w:webHidden/>
          </w:rPr>
          <w:instrText xml:space="preserve"> PAGEREF _Toc91764901 \h </w:instrText>
        </w:r>
        <w:r>
          <w:rPr>
            <w:webHidden/>
          </w:rPr>
          <w:fldChar w:fldCharType="separate"/>
        </w:r>
        <w:r>
          <w:rPr>
            <w:webHidden/>
          </w:rPr>
          <w:t>93</w:t>
        </w:r>
        <w:r>
          <w:rPr>
            <w:webHidden/>
          </w:rPr>
          <w:fldChar w:fldCharType="end"/>
        </w:r>
      </w:hyperlink>
    </w:p>
    <w:p w:rsidR="00717029">
      <w:pPr>
        <w:pStyle w:val="TOC2"/>
        <w:rPr>
          <w:rFonts w:asciiTheme="minorHAnsi" w:eastAsiaTheme="minorEastAsia" w:hAnsiTheme="minorHAnsi" w:cstheme="minorBidi"/>
          <w:smallCaps w:val="0"/>
          <w:szCs w:val="22"/>
        </w:rPr>
      </w:pPr>
      <w:hyperlink w:anchor="_Toc91764902" w:history="1">
        <w:r w:rsidRPr="007C6B13">
          <w:rPr>
            <w:rStyle w:val="Hyperlink"/>
            <w:rFonts w:asciiTheme="minorEastAsia" w:hAnsiTheme="minorEastAsia" w:hint="eastAsia"/>
            <w:bCs/>
          </w:rPr>
          <w:t>（五）资讯服务</w:t>
        </w:r>
        <w:r>
          <w:rPr>
            <w:webHidden/>
          </w:rPr>
          <w:tab/>
        </w:r>
        <w:r>
          <w:rPr>
            <w:webHidden/>
          </w:rPr>
          <w:fldChar w:fldCharType="begin"/>
        </w:r>
        <w:r>
          <w:rPr>
            <w:webHidden/>
          </w:rPr>
          <w:instrText xml:space="preserve"> PAGEREF _Toc91764902 \h </w:instrText>
        </w:r>
        <w:r>
          <w:rPr>
            <w:webHidden/>
          </w:rPr>
          <w:fldChar w:fldCharType="separate"/>
        </w:r>
        <w:r>
          <w:rPr>
            <w:webHidden/>
          </w:rPr>
          <w:t>93</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903" w:history="1">
        <w:r w:rsidRPr="007C6B13">
          <w:rPr>
            <w:rStyle w:val="Hyperlink"/>
            <w:rFonts w:asciiTheme="minorEastAsia" w:hAnsiTheme="minorEastAsia" w:hint="eastAsia"/>
            <w:b/>
            <w:bCs/>
          </w:rPr>
          <w:t>二十四、其他应披露事项</w:t>
        </w:r>
        <w:r>
          <w:rPr>
            <w:webHidden/>
          </w:rPr>
          <w:tab/>
        </w:r>
        <w:r>
          <w:rPr>
            <w:webHidden/>
          </w:rPr>
          <w:fldChar w:fldCharType="begin"/>
        </w:r>
        <w:r>
          <w:rPr>
            <w:webHidden/>
          </w:rPr>
          <w:instrText xml:space="preserve"> PAGEREF _Toc91764903 \h </w:instrText>
        </w:r>
        <w:r>
          <w:rPr>
            <w:webHidden/>
          </w:rPr>
          <w:fldChar w:fldCharType="separate"/>
        </w:r>
        <w:r>
          <w:rPr>
            <w:webHidden/>
          </w:rPr>
          <w:t>94</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904" w:history="1">
        <w:r w:rsidRPr="007C6B13">
          <w:rPr>
            <w:rStyle w:val="Hyperlink"/>
            <w:rFonts w:asciiTheme="minorEastAsia" w:hAnsiTheme="minorEastAsia" w:hint="eastAsia"/>
            <w:b/>
            <w:bCs/>
          </w:rPr>
          <w:t>二十五、招募说明书存放及查阅方式</w:t>
        </w:r>
        <w:r>
          <w:rPr>
            <w:webHidden/>
          </w:rPr>
          <w:tab/>
        </w:r>
        <w:r>
          <w:rPr>
            <w:webHidden/>
          </w:rPr>
          <w:fldChar w:fldCharType="begin"/>
        </w:r>
        <w:r>
          <w:rPr>
            <w:webHidden/>
          </w:rPr>
          <w:instrText xml:space="preserve"> PAGEREF _Toc91764904 \h </w:instrText>
        </w:r>
        <w:r>
          <w:rPr>
            <w:webHidden/>
          </w:rPr>
          <w:fldChar w:fldCharType="separate"/>
        </w:r>
        <w:r>
          <w:rPr>
            <w:webHidden/>
          </w:rPr>
          <w:t>95</w:t>
        </w:r>
        <w:r>
          <w:rPr>
            <w:webHidden/>
          </w:rPr>
          <w:fldChar w:fldCharType="end"/>
        </w:r>
      </w:hyperlink>
    </w:p>
    <w:p w:rsidR="00717029">
      <w:pPr>
        <w:pStyle w:val="TOC1"/>
        <w:rPr>
          <w:rFonts w:asciiTheme="minorHAnsi" w:eastAsiaTheme="minorEastAsia" w:hAnsiTheme="minorHAnsi" w:cstheme="minorBidi"/>
          <w:caps w:val="0"/>
          <w:sz w:val="21"/>
          <w:szCs w:val="22"/>
        </w:rPr>
      </w:pPr>
      <w:hyperlink w:anchor="_Toc91764905" w:history="1">
        <w:r w:rsidRPr="007C6B13">
          <w:rPr>
            <w:rStyle w:val="Hyperlink"/>
            <w:rFonts w:asciiTheme="minorEastAsia" w:hAnsiTheme="minorEastAsia" w:hint="eastAsia"/>
            <w:b/>
          </w:rPr>
          <w:t>二十六、备查文件</w:t>
        </w:r>
        <w:r>
          <w:rPr>
            <w:webHidden/>
          </w:rPr>
          <w:tab/>
        </w:r>
        <w:r>
          <w:rPr>
            <w:webHidden/>
          </w:rPr>
          <w:fldChar w:fldCharType="begin"/>
        </w:r>
        <w:r>
          <w:rPr>
            <w:webHidden/>
          </w:rPr>
          <w:instrText xml:space="preserve"> PAGEREF _Toc91764905 \h </w:instrText>
        </w:r>
        <w:r>
          <w:rPr>
            <w:webHidden/>
          </w:rPr>
          <w:fldChar w:fldCharType="separate"/>
        </w:r>
        <w:r>
          <w:rPr>
            <w:webHidden/>
          </w:rPr>
          <w:t>96</w:t>
        </w:r>
        <w:r>
          <w:rPr>
            <w:webHidden/>
          </w:rPr>
          <w:fldChar w:fldCharType="end"/>
        </w:r>
      </w:hyperlink>
    </w:p>
    <w:p w:rsidR="00C35BC5" w:rsidRPr="00C86E67" w:rsidP="00552BE1">
      <w:pPr>
        <w:pStyle w:val="TOC1"/>
        <w:snapToGrid w:val="0"/>
        <w:spacing w:line="360" w:lineRule="auto"/>
        <w:rPr>
          <w:rFonts w:asciiTheme="minorEastAsia" w:eastAsiaTheme="minorEastAsia" w:hAnsiTheme="minorEastAsia"/>
          <w:color w:val="000000" w:themeColor="text1"/>
        </w:rPr>
        <w:sectPr w:rsidSect="0013519A">
          <w:footerReference w:type="default" r:id="rId12"/>
          <w:pgSz w:w="11906" w:h="16838" w:code="9"/>
          <w:pgMar w:top="1440" w:right="1800" w:bottom="1440" w:left="1800" w:header="1134" w:footer="1247" w:gutter="0"/>
          <w:pgNumType w:fmt="upperRoman" w:start="1"/>
          <w:cols w:space="425"/>
          <w:docGrid w:type="lines" w:linePitch="447"/>
        </w:sectPr>
      </w:pPr>
      <w:r w:rsidRPr="00C86E67">
        <w:rPr>
          <w:rFonts w:asciiTheme="minorEastAsia" w:eastAsiaTheme="minorEastAsia" w:hAnsiTheme="minorEastAsia"/>
          <w:color w:val="000000" w:themeColor="text1"/>
        </w:rPr>
        <w:fldChar w:fldCharType="end"/>
      </w:r>
    </w:p>
    <w:p w:rsidR="00C35BC5" w:rsidRPr="00C86E67" w:rsidP="00552BE1">
      <w:pPr>
        <w:pStyle w:val="1"/>
        <w:snapToGrid w:val="0"/>
        <w:spacing w:beforeLines="0" w:afterLines="0" w:line="360" w:lineRule="auto"/>
        <w:ind w:firstLine="643"/>
        <w:rPr>
          <w:rFonts w:asciiTheme="minorEastAsia" w:eastAsiaTheme="minorEastAsia" w:hAnsiTheme="minorEastAsia"/>
          <w:color w:val="000000" w:themeColor="text1"/>
        </w:rPr>
      </w:pPr>
      <w:bookmarkStart w:id="1" w:name="_Toc38432421"/>
      <w:bookmarkStart w:id="2" w:name="_Toc91764787"/>
      <w:r w:rsidRPr="00C86E67">
        <w:rPr>
          <w:rFonts w:asciiTheme="minorEastAsia" w:eastAsiaTheme="minorEastAsia" w:hAnsiTheme="minorEastAsia" w:hint="eastAsia"/>
          <w:color w:val="000000" w:themeColor="text1"/>
        </w:rPr>
        <w:t>一、绪言</w:t>
      </w:r>
      <w:bookmarkEnd w:id="1"/>
      <w:bookmarkEnd w:id="2"/>
    </w:p>
    <w:p w:rsidR="00C35BC5" w:rsidRPr="00C86E67" w:rsidP="00552BE1">
      <w:pPr>
        <w:snapToGrid w:val="0"/>
        <w:spacing w:line="360" w:lineRule="auto"/>
        <w:ind w:firstLine="482"/>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本《招募说明书》依据《中华人民共和国证券投资基金法》（以下简称《基金法》）、《证券投资基金运作管理办法》（以下简称《运作办法》）、《证券投资基金销售管理办法》（以下简称《销售办法》）、《</w:t>
      </w:r>
      <w:r w:rsidRPr="00C86E67" w:rsidR="00820053">
        <w:rPr>
          <w:rFonts w:asciiTheme="minorEastAsia" w:eastAsiaTheme="minorEastAsia" w:hAnsiTheme="minorEastAsia" w:hint="eastAsia"/>
          <w:color w:val="000000" w:themeColor="text1"/>
          <w:szCs w:val="21"/>
        </w:rPr>
        <w:t>公开募集</w:t>
      </w:r>
      <w:r w:rsidRPr="00C86E67">
        <w:rPr>
          <w:rFonts w:asciiTheme="minorEastAsia" w:eastAsiaTheme="minorEastAsia" w:hAnsiTheme="minorEastAsia" w:hint="eastAsia"/>
          <w:color w:val="000000" w:themeColor="text1"/>
          <w:szCs w:val="21"/>
        </w:rPr>
        <w:t>证券投资基金信息披露管理办法》（以下简称《信息披露办法》）、</w:t>
      </w:r>
      <w:r w:rsidRPr="00C86E67" w:rsidR="004C1E5D">
        <w:rPr>
          <w:rFonts w:asciiTheme="minorEastAsia" w:eastAsiaTheme="minorEastAsia" w:hAnsiTheme="minorEastAsia" w:hint="eastAsia"/>
          <w:color w:val="000000" w:themeColor="text1"/>
        </w:rPr>
        <w:t>《公开募集开放式证券投资基金流动性风险管理规定》（以下简称“《管理规定》”）</w:t>
      </w:r>
      <w:r w:rsidRPr="00C86E67">
        <w:rPr>
          <w:rFonts w:asciiTheme="minorEastAsia" w:eastAsiaTheme="minorEastAsia" w:hAnsiTheme="minorEastAsia" w:hint="eastAsia"/>
          <w:color w:val="000000" w:themeColor="text1"/>
          <w:szCs w:val="21"/>
        </w:rPr>
        <w:t>等有关法律法规以及《易方达价值成长混合型证券投资基金基金合同》编写。</w:t>
      </w:r>
    </w:p>
    <w:p w:rsidR="00C35BC5" w:rsidRPr="00C86E67" w:rsidP="00552BE1">
      <w:pPr>
        <w:snapToGrid w:val="0"/>
        <w:spacing w:line="360" w:lineRule="auto"/>
        <w:ind w:firstLine="482"/>
        <w:rPr>
          <w:rStyle w:val="da"/>
          <w:rFonts w:asciiTheme="minorEastAsia" w:eastAsiaTheme="minorEastAsia" w:hAnsiTheme="minorEastAsia"/>
          <w:color w:val="000000" w:themeColor="text1"/>
        </w:rPr>
      </w:pPr>
      <w:r w:rsidRPr="00C86E67">
        <w:rPr>
          <w:rStyle w:val="da"/>
          <w:rFonts w:asciiTheme="minorEastAsia" w:eastAsiaTheme="minorEastAsia" w:hAnsiTheme="minor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C86E67">
        <w:rPr>
          <w:rStyle w:val="da"/>
          <w:rFonts w:asciiTheme="minorEastAsia" w:eastAsiaTheme="minorEastAsia" w:hAnsiTheme="minorEastAsia" w:hint="eastAsia"/>
          <w:color w:val="000000" w:themeColor="text1"/>
        </w:rPr>
        <w:t>，</w:t>
      </w:r>
      <w:r w:rsidRPr="00C86E67">
        <w:rPr>
          <w:rStyle w:val="da"/>
          <w:rFonts w:asciiTheme="minorEastAsia" w:eastAsiaTheme="minorEastAsia" w:hAnsiTheme="minorEastAsia"/>
          <w:color w:val="000000" w:themeColor="text1"/>
        </w:rPr>
        <w:t>或对本招募说明书作任何解释或者说明。</w:t>
      </w:r>
    </w:p>
    <w:p w:rsidR="00C35BC5" w:rsidRPr="00C86E67" w:rsidP="00552BE1">
      <w:pPr>
        <w:snapToGrid w:val="0"/>
        <w:spacing w:line="360" w:lineRule="auto"/>
        <w:ind w:firstLine="482"/>
        <w:rPr>
          <w:rStyle w:val="da"/>
          <w:rFonts w:asciiTheme="minorEastAsia" w:eastAsiaTheme="minorEastAsia" w:hAnsiTheme="minorEastAsia"/>
          <w:color w:val="000000" w:themeColor="text1"/>
        </w:rPr>
      </w:pPr>
      <w:r w:rsidRPr="00C86E67">
        <w:rPr>
          <w:rStyle w:val="da"/>
          <w:rFonts w:asciiTheme="minorEastAsia" w:eastAsiaTheme="minorEastAsia" w:hAnsiTheme="minorEastAsia"/>
          <w:color w:val="000000" w:themeColor="text1"/>
        </w:rPr>
        <w:t>本招募说明书根据本基金的基金合同编写</w:t>
      </w:r>
      <w:r w:rsidRPr="00C86E67">
        <w:rPr>
          <w:rStyle w:val="da"/>
          <w:rFonts w:asciiTheme="minorEastAsia" w:eastAsiaTheme="minorEastAsia" w:hAnsiTheme="minorEastAsia" w:hint="eastAsia"/>
          <w:color w:val="000000" w:themeColor="text1"/>
        </w:rPr>
        <w:t>，</w:t>
      </w:r>
      <w:r w:rsidRPr="00C86E67">
        <w:rPr>
          <w:rStyle w:val="da"/>
          <w:rFonts w:asciiTheme="minorEastAsia" w:eastAsiaTheme="minorEastAsia" w:hAnsiTheme="minorEastAsia"/>
          <w:color w:val="000000" w:themeColor="text1"/>
        </w:rPr>
        <w:t>并经中国证监会核准。基金合同是约定基金当事人之间权利、义务的法律文件。基金投资人自依基金合同取得基金份额</w:t>
      </w:r>
      <w:r w:rsidRPr="00C86E67">
        <w:rPr>
          <w:rStyle w:val="da"/>
          <w:rFonts w:asciiTheme="minorEastAsia" w:eastAsiaTheme="minorEastAsia" w:hAnsiTheme="minorEastAsia" w:hint="eastAsia"/>
          <w:color w:val="000000" w:themeColor="text1"/>
        </w:rPr>
        <w:t>，</w:t>
      </w:r>
      <w:r w:rsidRPr="00C86E67">
        <w:rPr>
          <w:rStyle w:val="da"/>
          <w:rFonts w:asciiTheme="minorEastAsia" w:eastAsiaTheme="minorEastAsia" w:hAnsiTheme="minorEastAsia"/>
          <w:color w:val="000000" w:themeColor="text1"/>
        </w:rPr>
        <w:t>即成为基金份额持有人和本基金合同的当事人</w:t>
      </w:r>
      <w:r w:rsidRPr="00C86E67">
        <w:rPr>
          <w:rStyle w:val="da"/>
          <w:rFonts w:asciiTheme="minorEastAsia" w:eastAsiaTheme="minorEastAsia" w:hAnsiTheme="minorEastAsia" w:hint="eastAsia"/>
          <w:color w:val="000000" w:themeColor="text1"/>
        </w:rPr>
        <w:t>，</w:t>
      </w:r>
      <w:r w:rsidRPr="00C86E67">
        <w:rPr>
          <w:rStyle w:val="da"/>
          <w:rFonts w:asciiTheme="minorEastAsia" w:eastAsiaTheme="minorEastAsia" w:hAnsiTheme="minorEastAsia"/>
          <w:color w:val="000000" w:themeColor="text1"/>
        </w:rPr>
        <w:t>其持有基金份额的行为本身即表明其对基金合同的承认和接受</w:t>
      </w:r>
      <w:r w:rsidRPr="00C86E67">
        <w:rPr>
          <w:rStyle w:val="da"/>
          <w:rFonts w:asciiTheme="minorEastAsia" w:eastAsiaTheme="minorEastAsia" w:hAnsiTheme="minorEastAsia" w:hint="eastAsia"/>
          <w:color w:val="000000" w:themeColor="text1"/>
        </w:rPr>
        <w:t>，</w:t>
      </w:r>
      <w:r w:rsidRPr="00C86E67">
        <w:rPr>
          <w:rStyle w:val="da"/>
          <w:rFonts w:asciiTheme="minorEastAsia" w:eastAsiaTheme="minorEastAsia" w:hAnsiTheme="minorEastAsia"/>
          <w:color w:val="000000" w:themeColor="text1"/>
        </w:rPr>
        <w:t>并按照《基金法》、基金合同及其他有关规定享有权利、承担义务。基金投资人欲了解基金份额持有人的权利和义务</w:t>
      </w:r>
      <w:r w:rsidRPr="00C86E67">
        <w:rPr>
          <w:rStyle w:val="da"/>
          <w:rFonts w:asciiTheme="minorEastAsia" w:eastAsiaTheme="minorEastAsia" w:hAnsiTheme="minorEastAsia" w:hint="eastAsia"/>
          <w:color w:val="000000" w:themeColor="text1"/>
        </w:rPr>
        <w:t>，</w:t>
      </w:r>
      <w:r w:rsidRPr="00C86E67">
        <w:rPr>
          <w:rStyle w:val="da"/>
          <w:rFonts w:asciiTheme="minorEastAsia" w:eastAsiaTheme="minorEastAsia" w:hAnsiTheme="minorEastAsia"/>
          <w:color w:val="000000" w:themeColor="text1"/>
        </w:rPr>
        <w:t>应详细查阅基金合同</w:t>
      </w:r>
      <w:r w:rsidRPr="00C86E67">
        <w:rPr>
          <w:rStyle w:val="da"/>
          <w:rFonts w:asciiTheme="minorEastAsia" w:eastAsiaTheme="minorEastAsia" w:hAnsiTheme="minorEastAsia" w:hint="eastAsia"/>
          <w:color w:val="000000" w:themeColor="text1"/>
        </w:rPr>
        <w:t>。</w:t>
      </w:r>
    </w:p>
    <w:p w:rsidR="00820053" w:rsidRPr="00C86E67" w:rsidP="00552BE1">
      <w:pPr>
        <w:snapToGrid w:val="0"/>
        <w:spacing w:line="360" w:lineRule="auto"/>
        <w:ind w:firstLine="482"/>
        <w:rPr>
          <w:rStyle w:val="da"/>
          <w:rFonts w:asciiTheme="minorEastAsia" w:eastAsiaTheme="minorEastAsia" w:hAnsiTheme="minorEastAsia"/>
          <w:color w:val="000000" w:themeColor="text1"/>
        </w:rPr>
      </w:pPr>
    </w:p>
    <w:p w:rsidR="00C35BC5" w:rsidRPr="00C86E67" w:rsidP="00552BE1">
      <w:pPr>
        <w:snapToGrid w:val="0"/>
        <w:spacing w:line="360" w:lineRule="auto"/>
        <w:ind w:firstLine="482"/>
        <w:rPr>
          <w:rFonts w:asciiTheme="minorEastAsia" w:eastAsiaTheme="minorEastAsia" w:hAnsiTheme="minorEastAsia"/>
          <w:color w:val="000000" w:themeColor="text1"/>
          <w:szCs w:val="21"/>
        </w:rPr>
      </w:pPr>
    </w:p>
    <w:p w:rsidR="00C35BC5" w:rsidRPr="00C86E67" w:rsidP="00552BE1">
      <w:pPr>
        <w:snapToGrid w:val="0"/>
        <w:spacing w:line="360" w:lineRule="auto"/>
        <w:ind w:firstLine="482"/>
        <w:rPr>
          <w:rFonts w:asciiTheme="minorEastAsia" w:eastAsiaTheme="minorEastAsia" w:hAnsiTheme="minorEastAsia"/>
          <w:color w:val="000000" w:themeColor="text1"/>
          <w:szCs w:val="21"/>
        </w:rPr>
      </w:pPr>
    </w:p>
    <w:p w:rsidR="00C35BC5" w:rsidRPr="00C86E67" w:rsidP="00552BE1">
      <w:pPr>
        <w:snapToGrid w:val="0"/>
        <w:spacing w:line="360" w:lineRule="auto"/>
        <w:ind w:firstLine="482"/>
        <w:rPr>
          <w:rFonts w:asciiTheme="minorEastAsia" w:eastAsiaTheme="minorEastAsia" w:hAnsiTheme="minorEastAsia"/>
          <w:color w:val="000000" w:themeColor="text1"/>
          <w:szCs w:val="21"/>
        </w:rPr>
      </w:pPr>
    </w:p>
    <w:p w:rsidR="00C35BC5" w:rsidRPr="00C86E67" w:rsidP="00552BE1">
      <w:pPr>
        <w:snapToGrid w:val="0"/>
        <w:spacing w:line="360" w:lineRule="auto"/>
        <w:ind w:firstLine="482"/>
        <w:rPr>
          <w:rFonts w:asciiTheme="minorEastAsia" w:eastAsiaTheme="minorEastAsia" w:hAnsiTheme="minorEastAsia"/>
          <w:color w:val="000000" w:themeColor="text1"/>
          <w:szCs w:val="21"/>
        </w:rPr>
      </w:pPr>
    </w:p>
    <w:p w:rsidR="00C35BC5" w:rsidRPr="00C86E67" w:rsidP="00552BE1">
      <w:pPr>
        <w:snapToGrid w:val="0"/>
        <w:spacing w:line="360" w:lineRule="auto"/>
        <w:ind w:firstLine="482"/>
        <w:rPr>
          <w:rFonts w:asciiTheme="minorEastAsia" w:eastAsiaTheme="minorEastAsia" w:hAnsiTheme="minorEastAsia"/>
          <w:color w:val="000000" w:themeColor="text1"/>
          <w:szCs w:val="21"/>
        </w:rPr>
      </w:pPr>
    </w:p>
    <w:p w:rsidR="00C35BC5" w:rsidRPr="00C86E67" w:rsidP="00552BE1">
      <w:pPr>
        <w:pStyle w:val="111"/>
        <w:snapToGrid w:val="0"/>
        <w:spacing w:beforeLines="0" w:afterLines="0" w:line="360" w:lineRule="auto"/>
        <w:ind w:firstLine="643"/>
        <w:rPr>
          <w:rFonts w:asciiTheme="minorEastAsia" w:eastAsiaTheme="minorEastAsia" w:hAnsiTheme="minorEastAsia"/>
          <w:b/>
          <w:color w:val="000000" w:themeColor="text1"/>
          <w:szCs w:val="32"/>
        </w:rPr>
      </w:pPr>
      <w:bookmarkStart w:id="3" w:name="_Toc38432422"/>
      <w:bookmarkStart w:id="4" w:name="_Toc91764788"/>
      <w:r w:rsidRPr="00C86E67">
        <w:rPr>
          <w:rFonts w:asciiTheme="minorEastAsia" w:eastAsiaTheme="minorEastAsia" w:hAnsiTheme="minorEastAsia" w:hint="eastAsia"/>
          <w:b/>
          <w:color w:val="000000" w:themeColor="text1"/>
          <w:szCs w:val="32"/>
        </w:rPr>
        <w:t>二、释义</w:t>
      </w:r>
      <w:bookmarkEnd w:id="3"/>
      <w:bookmarkEnd w:id="4"/>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本《招募说明书》中除非文意另有所指</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下列词语有如下含义：</w:t>
      </w:r>
    </w:p>
    <w:tbl>
      <w:tblPr>
        <w:tblW w:w="0" w:type="auto"/>
        <w:tblInd w:w="250" w:type="dxa"/>
        <w:tblLayout w:type="fixed"/>
        <w:tblLook w:val="0000"/>
      </w:tblPr>
      <w:tblGrid>
        <w:gridCol w:w="2552"/>
        <w:gridCol w:w="5720"/>
      </w:tblGrid>
      <w:tr w:rsidTr="002A0168">
        <w:tblPrEx>
          <w:tblW w:w="0" w:type="auto"/>
          <w:tblInd w:w="250" w:type="dxa"/>
          <w:tblLayout w:type="fixed"/>
          <w:tblLook w:val="0000"/>
        </w:tblPrEx>
        <w:trPr>
          <w:trHeight w:val="762"/>
        </w:trPr>
        <w:tc>
          <w:tcPr>
            <w:tcW w:w="2552" w:type="dxa"/>
          </w:tcPr>
          <w:p w:rsidR="00C35BC5" w:rsidRPr="00C86E67" w:rsidP="00552BE1">
            <w:pPr>
              <w:snapToGrid w:val="0"/>
              <w:spacing w:line="360" w:lineRule="auto"/>
              <w:ind w:firstLine="210" w:firstLineChars="1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基金合同：</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指《易方达价值成长混合型证券投资基金基金合同》及对该合同的任何修订和补充</w:t>
            </w:r>
          </w:p>
        </w:tc>
      </w:tr>
      <w:tr w:rsidTr="002A0168">
        <w:tblPrEx>
          <w:tblW w:w="0" w:type="auto"/>
          <w:tblInd w:w="250" w:type="dxa"/>
          <w:tblLayout w:type="fixed"/>
          <w:tblLook w:val="0000"/>
        </w:tblPrEx>
        <w:trPr>
          <w:trHeight w:val="770"/>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《托管协议》</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指《易方达价值成长混合型证券投资基金托管协议》及对该协议的任何修订和补充</w:t>
            </w:r>
          </w:p>
        </w:tc>
      </w:tr>
      <w:tr w:rsidTr="002A0168">
        <w:tblPrEx>
          <w:tblW w:w="0" w:type="auto"/>
          <w:tblInd w:w="250" w:type="dxa"/>
          <w:tblLayout w:type="fixed"/>
          <w:tblLook w:val="0000"/>
        </w:tblPrEx>
        <w:trPr>
          <w:trHeight w:val="1395"/>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《基金法》：</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指2003</w:t>
            </w:r>
            <w:r w:rsidRPr="00C86E67">
              <w:rPr>
                <w:rFonts w:asciiTheme="minorEastAsia" w:eastAsiaTheme="minorEastAsia" w:hAnsiTheme="minorEastAsia"/>
                <w:color w:val="000000" w:themeColor="text1"/>
                <w:szCs w:val="21"/>
              </w:rPr>
              <w:t>年</w:t>
            </w:r>
            <w:r w:rsidRPr="00C86E67">
              <w:rPr>
                <w:rFonts w:asciiTheme="minorEastAsia" w:eastAsiaTheme="minorEastAsia" w:hAnsiTheme="minorEastAsia" w:hint="eastAsia"/>
                <w:color w:val="000000" w:themeColor="text1"/>
                <w:szCs w:val="21"/>
              </w:rPr>
              <w:t>10</w:t>
            </w:r>
            <w:r w:rsidRPr="00C86E67">
              <w:rPr>
                <w:rFonts w:asciiTheme="minorEastAsia" w:eastAsiaTheme="minorEastAsia" w:hAnsiTheme="minorEastAsia"/>
                <w:color w:val="000000" w:themeColor="text1"/>
                <w:szCs w:val="21"/>
              </w:rPr>
              <w:t>月</w:t>
            </w:r>
            <w:r w:rsidRPr="00C86E67">
              <w:rPr>
                <w:rFonts w:asciiTheme="minorEastAsia" w:eastAsiaTheme="minorEastAsia" w:hAnsiTheme="minorEastAsia" w:hint="eastAsia"/>
                <w:color w:val="000000" w:themeColor="text1"/>
                <w:szCs w:val="21"/>
              </w:rPr>
              <w:t>28</w:t>
            </w:r>
            <w:r w:rsidRPr="00C86E67">
              <w:rPr>
                <w:rFonts w:asciiTheme="minorEastAsia" w:eastAsiaTheme="minorEastAsia" w:hAnsiTheme="minorEastAsia"/>
                <w:color w:val="000000" w:themeColor="text1"/>
                <w:szCs w:val="21"/>
              </w:rPr>
              <w:t>日第十届全国人民代表大会常务委员会第五次会议通过</w:t>
            </w:r>
            <w:r w:rsidRPr="00C86E67">
              <w:rPr>
                <w:rFonts w:asciiTheme="minorEastAsia" w:eastAsiaTheme="minorEastAsia" w:hAnsiTheme="minorEastAsia" w:hint="eastAsia"/>
                <w:color w:val="000000" w:themeColor="text1"/>
                <w:szCs w:val="21"/>
              </w:rPr>
              <w:t>，自</w:t>
            </w:r>
            <w:r w:rsidRPr="00C86E67">
              <w:rPr>
                <w:rFonts w:asciiTheme="minorEastAsia" w:eastAsiaTheme="minorEastAsia" w:hAnsiTheme="minorEastAsia" w:hint="eastAsia"/>
                <w:color w:val="000000" w:themeColor="text1"/>
              </w:rPr>
              <w:t>2004</w:t>
            </w:r>
            <w:r w:rsidRPr="00C86E67">
              <w:rPr>
                <w:rFonts w:asciiTheme="minorEastAsia" w:eastAsiaTheme="minorEastAsia" w:hAnsiTheme="minorEastAsia"/>
                <w:color w:val="000000" w:themeColor="text1"/>
              </w:rPr>
              <w:t>年６月１日起施行</w:t>
            </w:r>
            <w:r w:rsidRPr="00C86E67">
              <w:rPr>
                <w:rFonts w:asciiTheme="minorEastAsia" w:eastAsiaTheme="minorEastAsia" w:hAnsiTheme="minorEastAsia" w:hint="eastAsia"/>
                <w:color w:val="000000" w:themeColor="text1"/>
                <w:szCs w:val="21"/>
              </w:rPr>
              <w:t>的《</w:t>
            </w:r>
            <w:bookmarkStart w:id="5" w:name="_Toc78339150"/>
            <w:r w:rsidRPr="00C86E67">
              <w:rPr>
                <w:rFonts w:asciiTheme="minorEastAsia" w:eastAsiaTheme="minorEastAsia" w:hAnsiTheme="minorEastAsia"/>
                <w:color w:val="000000" w:themeColor="text1"/>
              </w:rPr>
              <w:t>中华人民共和国证券投资基金法</w:t>
            </w:r>
            <w:bookmarkEnd w:id="5"/>
            <w:r w:rsidRPr="00C86E67">
              <w:rPr>
                <w:rFonts w:asciiTheme="minorEastAsia" w:eastAsiaTheme="minorEastAsia" w:hAnsiTheme="minorEastAsia" w:hint="eastAsia"/>
                <w:color w:val="000000" w:themeColor="text1"/>
                <w:szCs w:val="21"/>
              </w:rPr>
              <w:t>》及不时作出的修订</w:t>
            </w:r>
          </w:p>
        </w:tc>
      </w:tr>
      <w:tr w:rsidTr="002A0168">
        <w:tblPrEx>
          <w:tblW w:w="0" w:type="auto"/>
          <w:tblInd w:w="250" w:type="dxa"/>
          <w:tblLayout w:type="fixed"/>
          <w:tblLook w:val="0000"/>
        </w:tblPrEx>
        <w:trPr>
          <w:trHeight w:val="1095"/>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《运作办法》：</w:t>
            </w:r>
          </w:p>
          <w:p w:rsidR="004C1E5D" w:rsidRPr="00C86E67" w:rsidP="00552BE1">
            <w:pPr>
              <w:snapToGrid w:val="0"/>
              <w:spacing w:line="360" w:lineRule="auto"/>
              <w:rPr>
                <w:rFonts w:asciiTheme="minorEastAsia" w:eastAsiaTheme="minorEastAsia" w:hAnsiTheme="minorEastAsia"/>
                <w:color w:val="000000" w:themeColor="text1"/>
                <w:szCs w:val="21"/>
              </w:rPr>
            </w:pPr>
          </w:p>
          <w:p w:rsidR="004C1E5D"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《管理规定》：</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指2004年6月29日由中国证监会发布并自2004</w:t>
            </w:r>
            <w:r w:rsidRPr="00C86E67">
              <w:rPr>
                <w:rFonts w:asciiTheme="minorEastAsia" w:eastAsiaTheme="minorEastAsia" w:hAnsiTheme="minorEastAsia"/>
                <w:color w:val="000000" w:themeColor="text1"/>
                <w:szCs w:val="21"/>
              </w:rPr>
              <w:t>年</w:t>
            </w:r>
            <w:r w:rsidRPr="00C86E67">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color w:val="000000" w:themeColor="text1"/>
                <w:szCs w:val="21"/>
              </w:rPr>
              <w:t>月１日起</w:t>
            </w:r>
            <w:r w:rsidRPr="00C86E67">
              <w:rPr>
                <w:rFonts w:asciiTheme="minorEastAsia" w:eastAsiaTheme="minorEastAsia" w:hAnsiTheme="minorEastAsia" w:hint="eastAsia"/>
                <w:color w:val="000000" w:themeColor="text1"/>
                <w:szCs w:val="21"/>
              </w:rPr>
              <w:t>施行的《证券投资基金运作管理办法》及不时作出的修订</w:t>
            </w:r>
          </w:p>
          <w:p w:rsidR="004C1E5D"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kern w:val="0"/>
                <w:szCs w:val="21"/>
              </w:rPr>
              <w:t>指中国证监会2017年8月31日颁布、同年10月1日实施的《公开募集开放式证券投资基金流动性风险管理规定》及颁布机关对其不时做出的修订；</w:t>
            </w:r>
          </w:p>
        </w:tc>
      </w:tr>
      <w:tr w:rsidTr="002A0168">
        <w:tblPrEx>
          <w:tblW w:w="0" w:type="auto"/>
          <w:tblInd w:w="250" w:type="dxa"/>
          <w:tblLayout w:type="fixed"/>
          <w:tblLook w:val="0000"/>
        </w:tblPrEx>
        <w:trPr>
          <w:trHeight w:val="960"/>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《销售办法》：</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w:t>
            </w:r>
            <w:r w:rsidRPr="00C86E67">
              <w:rPr>
                <w:rFonts w:asciiTheme="minorEastAsia" w:eastAsiaTheme="minorEastAsia" w:hAnsiTheme="minorEastAsia"/>
                <w:color w:val="000000" w:themeColor="text1"/>
                <w:szCs w:val="21"/>
              </w:rPr>
              <w:t>2004</w:t>
            </w:r>
            <w:r w:rsidRPr="00C86E67">
              <w:rPr>
                <w:rFonts w:asciiTheme="minorEastAsia" w:eastAsiaTheme="minorEastAsia" w:hAnsiTheme="minorEastAsia" w:hint="eastAsia"/>
                <w:color w:val="000000" w:themeColor="text1"/>
                <w:szCs w:val="21"/>
              </w:rPr>
              <w:t>年</w:t>
            </w:r>
            <w:r w:rsidRPr="00C86E67">
              <w:rPr>
                <w:rFonts w:asciiTheme="minorEastAsia" w:eastAsiaTheme="minorEastAsia" w:hAnsiTheme="minorEastAsia"/>
                <w:color w:val="000000" w:themeColor="text1"/>
                <w:szCs w:val="21"/>
              </w:rPr>
              <w:t>6</w:t>
            </w:r>
            <w:r w:rsidRPr="00C86E67">
              <w:rPr>
                <w:rFonts w:asciiTheme="minorEastAsia" w:eastAsiaTheme="minorEastAsia" w:hAnsiTheme="minorEastAsia" w:hint="eastAsia"/>
                <w:color w:val="000000" w:themeColor="text1"/>
                <w:szCs w:val="21"/>
              </w:rPr>
              <w:t>月</w:t>
            </w:r>
            <w:r w:rsidRPr="00C86E67">
              <w:rPr>
                <w:rFonts w:asciiTheme="minorEastAsia" w:eastAsiaTheme="minorEastAsia" w:hAnsiTheme="minorEastAsia"/>
                <w:color w:val="000000" w:themeColor="text1"/>
                <w:szCs w:val="21"/>
              </w:rPr>
              <w:t>25</w:t>
            </w:r>
            <w:r w:rsidRPr="00C86E67">
              <w:rPr>
                <w:rFonts w:asciiTheme="minorEastAsia" w:eastAsiaTheme="minorEastAsia" w:hAnsiTheme="minorEastAsia" w:hint="eastAsia"/>
                <w:color w:val="000000" w:themeColor="text1"/>
                <w:szCs w:val="21"/>
              </w:rPr>
              <w:t>日由中国证监会发布并自2004</w:t>
            </w:r>
            <w:r w:rsidRPr="00C86E67">
              <w:rPr>
                <w:rFonts w:asciiTheme="minorEastAsia" w:eastAsiaTheme="minorEastAsia" w:hAnsiTheme="minorEastAsia"/>
                <w:color w:val="000000" w:themeColor="text1"/>
                <w:szCs w:val="21"/>
              </w:rPr>
              <w:t>年</w:t>
            </w:r>
            <w:r w:rsidRPr="00C86E67">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color w:val="000000" w:themeColor="text1"/>
                <w:szCs w:val="21"/>
              </w:rPr>
              <w:t>月１日起</w:t>
            </w:r>
            <w:r w:rsidRPr="00C86E67">
              <w:rPr>
                <w:rFonts w:asciiTheme="minorEastAsia" w:eastAsiaTheme="minorEastAsia" w:hAnsiTheme="minorEastAsia" w:hint="eastAsia"/>
                <w:color w:val="000000" w:themeColor="text1"/>
                <w:szCs w:val="21"/>
              </w:rPr>
              <w:t>施行的《证券投资基金销售管理办法》及不时作出的修订</w:t>
            </w:r>
          </w:p>
        </w:tc>
      </w:tr>
      <w:tr w:rsidTr="002A0168">
        <w:tblPrEx>
          <w:tblW w:w="0" w:type="auto"/>
          <w:tblInd w:w="250" w:type="dxa"/>
          <w:tblLayout w:type="fixed"/>
          <w:tblLook w:val="0000"/>
        </w:tblPrEx>
        <w:trPr>
          <w:trHeight w:val="885"/>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《信息披露办法》：</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指中国证监会2019年7月26日颁布、同年9月1日实施的《公开募集证券投资基金信息披露管理办法》及颁布机关对其不时做出的修订</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元：</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指人民币元</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本基金、基金：</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指依据基金合同所募集的易方达价值成长混合型证券投资基金</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中国证监会：</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指中国证券监督管理委员会</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指易方达基金管理有限公司</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基金托管人：</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指中国工商银行股份有限公司</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非直销销售机构：</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指</w:t>
            </w:r>
            <w:r w:rsidRPr="00C86E67">
              <w:rPr>
                <w:rStyle w:val="da"/>
                <w:rFonts w:asciiTheme="minorEastAsia" w:eastAsiaTheme="minorEastAsia" w:hAnsiTheme="minorEastAsia" w:hint="eastAsia"/>
                <w:color w:val="000000" w:themeColor="text1"/>
              </w:rPr>
              <w:t>符合《销售办法》和中国证监会规定的其他条件，取得基金销售业务资格并与基金管理人签订了基金销售服务协议，办理基金销售业务的机构</w:t>
            </w:r>
          </w:p>
        </w:tc>
      </w:tr>
      <w:tr w:rsidTr="002A0168">
        <w:tblPrEx>
          <w:tblW w:w="0" w:type="auto"/>
          <w:tblInd w:w="250" w:type="dxa"/>
          <w:tblLayout w:type="fixed"/>
          <w:tblLook w:val="0000"/>
        </w:tblPrEx>
        <w:trPr>
          <w:trHeight w:val="930"/>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基金注册登记机构：</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指基金管理人或接受基金管理人委托代为办理本基金注册与过户登记业务的机构</w:t>
            </w:r>
          </w:p>
        </w:tc>
      </w:tr>
      <w:tr w:rsidTr="002A0168">
        <w:tblPrEx>
          <w:tblW w:w="0" w:type="auto"/>
          <w:tblInd w:w="250" w:type="dxa"/>
          <w:tblLayout w:type="fixed"/>
          <w:tblLook w:val="0000"/>
        </w:tblPrEx>
        <w:trPr>
          <w:trHeight w:val="450"/>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销售机构：</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指依据有关规定办理本基金认购、申购、赎回和其他业务的机构，包括基金管理人和</w:t>
            </w:r>
            <w:r w:rsidRPr="00C86E67" w:rsidR="00C85C52">
              <w:rPr>
                <w:rFonts w:asciiTheme="minorEastAsia" w:eastAsiaTheme="minorEastAsia" w:hAnsiTheme="minorEastAsia" w:hint="eastAsia"/>
                <w:color w:val="000000" w:themeColor="text1"/>
                <w:szCs w:val="21"/>
              </w:rPr>
              <w:t>非直销销售</w:t>
            </w:r>
            <w:r w:rsidRPr="00C86E67">
              <w:rPr>
                <w:rFonts w:asciiTheme="minorEastAsia" w:eastAsiaTheme="minorEastAsia" w:hAnsiTheme="minorEastAsia" w:hint="eastAsia"/>
                <w:color w:val="000000" w:themeColor="text1"/>
                <w:szCs w:val="21"/>
              </w:rPr>
              <w:t>机构</w:t>
            </w:r>
          </w:p>
        </w:tc>
      </w:tr>
      <w:tr w:rsidTr="002A0168">
        <w:tblPrEx>
          <w:tblW w:w="0" w:type="auto"/>
          <w:tblInd w:w="250" w:type="dxa"/>
          <w:tblLayout w:type="fixed"/>
          <w:tblLook w:val="0000"/>
        </w:tblPrEx>
        <w:trPr>
          <w:trHeight w:val="450"/>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基金销售网点：</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指基金管理人的直销</w:t>
            </w:r>
            <w:r w:rsidRPr="00C86E67" w:rsidR="002564C2">
              <w:rPr>
                <w:rFonts w:asciiTheme="minorEastAsia" w:eastAsiaTheme="minorEastAsia" w:hAnsiTheme="minorEastAsia" w:hint="eastAsia"/>
                <w:color w:val="000000" w:themeColor="text1"/>
                <w:szCs w:val="21"/>
              </w:rPr>
              <w:t>网点</w:t>
            </w:r>
            <w:r w:rsidRPr="00C86E67">
              <w:rPr>
                <w:rFonts w:asciiTheme="minorEastAsia" w:eastAsiaTheme="minorEastAsia" w:hAnsiTheme="minorEastAsia" w:hint="eastAsia"/>
                <w:color w:val="000000" w:themeColor="text1"/>
                <w:szCs w:val="21"/>
              </w:rPr>
              <w:t>及基金</w:t>
            </w:r>
            <w:r w:rsidRPr="00C86E67" w:rsidR="00C85C52">
              <w:rPr>
                <w:rFonts w:asciiTheme="minorEastAsia" w:eastAsiaTheme="minorEastAsia" w:hAnsiTheme="minorEastAsia" w:hint="eastAsia"/>
                <w:color w:val="000000" w:themeColor="text1"/>
                <w:szCs w:val="21"/>
              </w:rPr>
              <w:t>非直销销售</w:t>
            </w:r>
            <w:r w:rsidRPr="00C86E67">
              <w:rPr>
                <w:rFonts w:asciiTheme="minorEastAsia" w:eastAsiaTheme="minorEastAsia" w:hAnsiTheme="minorEastAsia" w:hint="eastAsia"/>
                <w:color w:val="000000" w:themeColor="text1"/>
                <w:szCs w:val="21"/>
              </w:rPr>
              <w:t>机构的</w:t>
            </w:r>
            <w:r w:rsidRPr="00C86E67" w:rsidR="00C85C52">
              <w:rPr>
                <w:rFonts w:asciiTheme="minorEastAsia" w:eastAsiaTheme="minorEastAsia" w:hAnsiTheme="minorEastAsia" w:hint="eastAsia"/>
                <w:color w:val="000000" w:themeColor="text1"/>
                <w:szCs w:val="21"/>
              </w:rPr>
              <w:t>销售</w:t>
            </w:r>
            <w:r w:rsidRPr="00C86E67">
              <w:rPr>
                <w:rFonts w:asciiTheme="minorEastAsia" w:eastAsiaTheme="minorEastAsia" w:hAnsiTheme="minorEastAsia" w:hint="eastAsia"/>
                <w:color w:val="000000" w:themeColor="text1"/>
                <w:szCs w:val="21"/>
              </w:rPr>
              <w:t>网点</w:t>
            </w:r>
          </w:p>
        </w:tc>
      </w:tr>
      <w:tr w:rsidTr="002A0168">
        <w:tblPrEx>
          <w:tblW w:w="0" w:type="auto"/>
          <w:tblInd w:w="250" w:type="dxa"/>
          <w:tblLayout w:type="fixed"/>
          <w:tblLook w:val="0000"/>
        </w:tblPrEx>
        <w:trPr>
          <w:trHeight w:val="450"/>
        </w:trPr>
        <w:tc>
          <w:tcPr>
            <w:tcW w:w="2552" w:type="dxa"/>
          </w:tcPr>
          <w:p w:rsidR="00820053"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招募说明书</w:t>
            </w:r>
          </w:p>
        </w:tc>
        <w:tc>
          <w:tcPr>
            <w:tcW w:w="5720" w:type="dxa"/>
          </w:tcPr>
          <w:p w:rsidR="00820053"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易方达价值成长混合型证券投资基金招募说明书》，即用于公开披露基金管理人及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tc>
      </w:tr>
      <w:tr w:rsidTr="002A0168">
        <w:tblPrEx>
          <w:tblW w:w="0" w:type="auto"/>
          <w:tblInd w:w="250" w:type="dxa"/>
          <w:tblLayout w:type="fixed"/>
          <w:tblLook w:val="0000"/>
        </w:tblPrEx>
        <w:trPr>
          <w:trHeight w:val="480"/>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基金产品资料概要</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指《易方达价值成长混合型证券投资基金基金产品资料概要》及其更新</w:t>
            </w:r>
          </w:p>
        </w:tc>
      </w:tr>
      <w:tr w:rsidTr="002A0168">
        <w:tblPrEx>
          <w:tblW w:w="0" w:type="auto"/>
          <w:tblInd w:w="250" w:type="dxa"/>
          <w:tblLayout w:type="fixed"/>
          <w:tblLook w:val="0000"/>
        </w:tblPrEx>
        <w:trPr>
          <w:trHeight w:val="615"/>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基金合同当事人：</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指受基金合同约束，根据基金合同享受权利并承担义务的法律主体，包括基金管理人、基金托管人、基金份额持有人</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个人投资者：</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指依据中华人民共和国有关法律法规及其他有关规定可以投资于证券投资基金的自然人投资者</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机构投资者：</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指依据中华人民共和国有关法律法规及其他有关规定可以投资于证券投资基金的法人、社会团体、其它组织或投资主体</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合格境外机构投资者</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指符合法律法规规定的可投资于中国境内证券市场的中国境外机构投资者</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投资者</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指个人投资者、机构投资者和合格境外机构投资者等的总称</w:t>
            </w:r>
          </w:p>
        </w:tc>
      </w:tr>
      <w:tr w:rsidTr="002A0168">
        <w:tblPrEx>
          <w:tblW w:w="0" w:type="auto"/>
          <w:tblInd w:w="250" w:type="dxa"/>
          <w:tblLayout w:type="fixed"/>
          <w:tblLook w:val="0000"/>
        </w:tblPrEx>
        <w:trPr>
          <w:trHeight w:val="779"/>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募集期：</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指自基金份额开始发售之日起到基金份额发售结束之日止的时间段，最长不超过3个月</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本基金合同生效日：</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指本基金</w:t>
            </w:r>
            <w:r w:rsidRPr="00C86E67">
              <w:rPr>
                <w:rFonts w:asciiTheme="minorEastAsia" w:eastAsiaTheme="minorEastAsia" w:hAnsiTheme="minorEastAsia" w:hint="eastAsia"/>
                <w:color w:val="000000" w:themeColor="text1"/>
              </w:rPr>
              <w:t>达到规定的条件后，并按规定办理了验资和备案手续、得到中国证监会书面确认之日</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存续期限：</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指基金合同生效并存续的不定期之期限</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工作日：</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指上海证券交易所和深圳证券交易所的正常交易日</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开放日：</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指为投资者办理基金份额申购、赎回等业务的工作日</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T日：</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指申购、赎回或其他交易的申请日</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认购：</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指在募集期内购买基金份额的行为</w:t>
            </w:r>
          </w:p>
        </w:tc>
      </w:tr>
      <w:tr w:rsidTr="002A0168">
        <w:tblPrEx>
          <w:tblW w:w="0" w:type="auto"/>
          <w:tblInd w:w="250" w:type="dxa"/>
          <w:tblLayout w:type="fixed"/>
          <w:tblLook w:val="0000"/>
        </w:tblPrEx>
        <w:tc>
          <w:tcPr>
            <w:tcW w:w="2552" w:type="dxa"/>
          </w:tcPr>
          <w:p w:rsidR="00C35BC5" w:rsidRPr="00C86E67" w:rsidP="00552BE1">
            <w:pPr>
              <w:autoSpaceDE w:val="0"/>
              <w:autoSpaceDN w:val="0"/>
              <w:snapToGrid w:val="0"/>
              <w:spacing w:line="360" w:lineRule="auto"/>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申购：</w:t>
            </w:r>
          </w:p>
        </w:tc>
        <w:tc>
          <w:tcPr>
            <w:tcW w:w="5720" w:type="dxa"/>
          </w:tcPr>
          <w:p w:rsidR="00C35BC5" w:rsidRPr="00C86E67" w:rsidP="00552BE1">
            <w:pPr>
              <w:autoSpaceDE w:val="0"/>
              <w:autoSpaceDN w:val="0"/>
              <w:snapToGrid w:val="0"/>
              <w:spacing w:line="360" w:lineRule="auto"/>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指本基金合同生效后，基金投资者购买基金份额的行为</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赎回：</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指本基金合同生效后，基金投资者卖出基金份额的行为</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转换：</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基金转换是指基金份额持有人按基金管理人规定的条件将其持有的某一基金的基金份额转为同一基金管理人管理的另一只基金的基金份额的行为</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基金收益：</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指基金投资所得股票红利、债券利息、票据投资收益、买卖证券差价、银行存款利息以及其他收益</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w:t>
            </w:r>
            <w:r w:rsidRPr="00C86E67">
              <w:rPr>
                <w:rFonts w:asciiTheme="minorEastAsia" w:eastAsiaTheme="minorEastAsia" w:hAnsiTheme="minorEastAsia"/>
                <w:color w:val="000000" w:themeColor="text1"/>
              </w:rPr>
              <w:t>资</w:t>
            </w:r>
            <w:r w:rsidRPr="00C86E67">
              <w:rPr>
                <w:rFonts w:asciiTheme="minorEastAsia" w:eastAsiaTheme="minorEastAsia" w:hAnsiTheme="minorEastAsia" w:hint="eastAsia"/>
                <w:color w:val="000000" w:themeColor="text1"/>
                <w:szCs w:val="21"/>
              </w:rPr>
              <w:t>产总值：</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指基金所拥有的各类证券价值、银行存款本息和本基金应收的申购基金款以及其他投资所形成的价值总和</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w:t>
            </w:r>
            <w:r w:rsidRPr="00C86E67">
              <w:rPr>
                <w:rFonts w:asciiTheme="minorEastAsia" w:eastAsiaTheme="minorEastAsia" w:hAnsiTheme="minorEastAsia"/>
                <w:color w:val="000000" w:themeColor="text1"/>
              </w:rPr>
              <w:t>资</w:t>
            </w:r>
            <w:r w:rsidRPr="00C86E67">
              <w:rPr>
                <w:rFonts w:asciiTheme="minorEastAsia" w:eastAsiaTheme="minorEastAsia" w:hAnsiTheme="minorEastAsia" w:hint="eastAsia"/>
                <w:color w:val="000000" w:themeColor="text1"/>
                <w:szCs w:val="21"/>
              </w:rPr>
              <w:t>产净值：</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指基金资产总值减去负债后的价值</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基金份额净值</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指计算日基金资产净值除以该计算日发行在外的基金份额总数后的值</w:t>
            </w:r>
          </w:p>
        </w:tc>
      </w:tr>
      <w:tr w:rsidTr="002A0168">
        <w:tblPrEx>
          <w:tblW w:w="0" w:type="auto"/>
          <w:tblInd w:w="250" w:type="dxa"/>
          <w:tblLayout w:type="fixed"/>
          <w:tblLook w:val="0000"/>
        </w:tblPrEx>
        <w:trPr>
          <w:trHeight w:val="765"/>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基金资产估值：</w:t>
            </w:r>
          </w:p>
          <w:p w:rsidR="00C35BC5" w:rsidRPr="00C86E67" w:rsidP="00552BE1">
            <w:pPr>
              <w:autoSpaceDE w:val="0"/>
              <w:autoSpaceDN w:val="0"/>
              <w:adjustRightInd w:val="0"/>
              <w:snapToGrid w:val="0"/>
              <w:spacing w:line="360" w:lineRule="auto"/>
              <w:jc w:val="left"/>
              <w:rPr>
                <w:rFonts w:asciiTheme="minorEastAsia" w:eastAsiaTheme="minorEastAsia" w:hAnsiTheme="minorEastAsia"/>
                <w:color w:val="000000" w:themeColor="text1"/>
                <w:szCs w:val="21"/>
              </w:rPr>
            </w:pP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指计算、评估基金资产和负债的价值，以确定基金资产净值的过程</w:t>
            </w:r>
          </w:p>
        </w:tc>
      </w:tr>
      <w:tr w:rsidTr="002A0168">
        <w:tblPrEx>
          <w:tblW w:w="0" w:type="auto"/>
          <w:tblInd w:w="250" w:type="dxa"/>
          <w:tblLayout w:type="fixed"/>
          <w:tblLook w:val="0000"/>
        </w:tblPrEx>
        <w:trPr>
          <w:trHeight w:val="765"/>
        </w:trPr>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指定媒介</w:t>
            </w:r>
          </w:p>
        </w:tc>
        <w:tc>
          <w:tcPr>
            <w:tcW w:w="5720" w:type="dxa"/>
          </w:tcPr>
          <w:p w:rsidR="00C35BC5" w:rsidRPr="00C86E67" w:rsidP="00552BE1">
            <w:pPr>
              <w:pStyle w:val="21"/>
              <w:tabs>
                <w:tab w:val="clear" w:pos="360"/>
              </w:tabs>
              <w:snapToGrid w:val="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指中国证监会指定的用以进行信息披露的全国性报刊及指定互联网网站（包括基金管理人网站、基金托管人网站、中国证监会基金电子披露网站）等媒介</w:t>
            </w:r>
          </w:p>
        </w:tc>
      </w:tr>
      <w:tr w:rsidTr="002A0168">
        <w:tblPrEx>
          <w:tblW w:w="0" w:type="auto"/>
          <w:tblInd w:w="250" w:type="dxa"/>
          <w:tblLayout w:type="fixed"/>
          <w:tblLook w:val="0000"/>
        </w:tblPrEx>
        <w:tc>
          <w:tcPr>
            <w:tcW w:w="2552"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基金份额持有人服务：</w:t>
            </w:r>
          </w:p>
          <w:p w:rsidR="004C1E5D"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流动性受限资产：</w:t>
            </w:r>
          </w:p>
        </w:tc>
        <w:tc>
          <w:tcPr>
            <w:tcW w:w="572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指基金管理人承诺为基金份额持有人提供的一系列服务</w:t>
            </w:r>
          </w:p>
          <w:p w:rsidR="004C1E5D"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kern w:val="0"/>
                <w:szCs w:val="21"/>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tc>
      </w:tr>
    </w:tbl>
    <w:p w:rsidR="00C35BC5" w:rsidRPr="00C86E67" w:rsidP="00552BE1">
      <w:pPr>
        <w:snapToGrid w:val="0"/>
        <w:spacing w:line="360" w:lineRule="auto"/>
        <w:ind w:firstLine="480"/>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br w:type="page"/>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kern w:val="44"/>
          <w:szCs w:val="44"/>
        </w:rPr>
      </w:pPr>
      <w:bookmarkStart w:id="6" w:name="_Toc91764789"/>
      <w:r w:rsidRPr="00C86E67">
        <w:rPr>
          <w:rFonts w:asciiTheme="minorEastAsia" w:eastAsiaTheme="minorEastAsia" w:hAnsiTheme="minorEastAsia" w:hint="eastAsia"/>
          <w:b/>
          <w:bCs/>
          <w:color w:val="000000" w:themeColor="text1"/>
        </w:rPr>
        <w:t>三、基金管理人</w:t>
      </w:r>
      <w:bookmarkEnd w:id="6"/>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Cs/>
          <w:color w:val="000000" w:themeColor="text1"/>
          <w:sz w:val="24"/>
          <w:szCs w:val="24"/>
        </w:rPr>
      </w:pPr>
      <w:bookmarkStart w:id="7" w:name="_Toc91764790"/>
      <w:r w:rsidRPr="00C86E67">
        <w:rPr>
          <w:rFonts w:asciiTheme="minorEastAsia" w:eastAsiaTheme="minorEastAsia" w:hAnsiTheme="minorEastAsia" w:hint="eastAsia"/>
          <w:bCs/>
          <w:color w:val="000000" w:themeColor="text1"/>
          <w:sz w:val="24"/>
          <w:szCs w:val="24"/>
        </w:rPr>
        <w:t>（一）</w:t>
      </w:r>
      <w:r w:rsidRPr="00C86E67">
        <w:rPr>
          <w:rFonts w:asciiTheme="minorEastAsia" w:eastAsiaTheme="minorEastAsia" w:hAnsiTheme="minorEastAsia"/>
          <w:bCs/>
          <w:color w:val="000000" w:themeColor="text1"/>
          <w:sz w:val="24"/>
          <w:szCs w:val="24"/>
        </w:rPr>
        <w:t>基金管理人</w:t>
      </w:r>
      <w:r w:rsidRPr="00C86E67">
        <w:rPr>
          <w:rFonts w:asciiTheme="minorEastAsia" w:eastAsiaTheme="minorEastAsia" w:hAnsiTheme="minorEastAsia" w:hint="eastAsia"/>
          <w:bCs/>
          <w:color w:val="000000" w:themeColor="text1"/>
          <w:sz w:val="24"/>
          <w:szCs w:val="24"/>
        </w:rPr>
        <w:t>基本情况</w:t>
      </w:r>
      <w:bookmarkEnd w:id="7"/>
    </w:p>
    <w:p w:rsidR="00384510" w:rsidRPr="00C86E67" w:rsidP="00552BE1">
      <w:pPr>
        <w:snapToGrid w:val="0"/>
        <w:spacing w:line="360" w:lineRule="auto"/>
        <w:ind w:firstLine="420"/>
        <w:rPr>
          <w:rFonts w:asciiTheme="minorEastAsia" w:eastAsiaTheme="minorEastAsia" w:hAnsiTheme="minorEastAsia" w:cs="仿宋_GB2312"/>
          <w:color w:val="000000" w:themeColor="text1"/>
          <w:kern w:val="0"/>
        </w:rPr>
      </w:pPr>
      <w:r w:rsidRPr="00C86E67">
        <w:rPr>
          <w:rFonts w:asciiTheme="minorEastAsia" w:eastAsiaTheme="minorEastAsia" w:hAnsiTheme="minorEastAsia" w:cs="仿宋_GB2312" w:hint="eastAsia"/>
          <w:color w:val="000000" w:themeColor="text1"/>
          <w:kern w:val="0"/>
        </w:rPr>
        <w:t>名称：易方达基金管理有限公司</w:t>
      </w:r>
    </w:p>
    <w:p w:rsidR="00384510" w:rsidRPr="00C86E67" w:rsidP="00552BE1">
      <w:pPr>
        <w:snapToGrid w:val="0"/>
        <w:spacing w:line="360" w:lineRule="auto"/>
        <w:ind w:firstLine="420"/>
        <w:rPr>
          <w:rFonts w:asciiTheme="minorEastAsia" w:eastAsiaTheme="minorEastAsia" w:hAnsiTheme="minorEastAsia" w:cs="仿宋_GB2312"/>
          <w:color w:val="000000" w:themeColor="text1"/>
          <w:kern w:val="0"/>
        </w:rPr>
      </w:pPr>
      <w:r w:rsidRPr="00C86E67">
        <w:rPr>
          <w:rFonts w:asciiTheme="minorEastAsia" w:eastAsiaTheme="minorEastAsia" w:hAnsiTheme="minorEastAsia" w:cs="仿宋_GB2312" w:hint="eastAsia"/>
          <w:color w:val="000000" w:themeColor="text1"/>
          <w:kern w:val="0"/>
        </w:rPr>
        <w:t>注册地址：</w:t>
      </w:r>
      <w:r w:rsidRPr="00C86E67" w:rsidR="0018727C">
        <w:rPr>
          <w:rFonts w:asciiTheme="minorEastAsia" w:eastAsiaTheme="minorEastAsia" w:hAnsiTheme="minorEastAsia" w:cs="仿宋_GB2312" w:hint="eastAsia"/>
          <w:color w:val="000000" w:themeColor="text1"/>
          <w:kern w:val="0"/>
        </w:rPr>
        <w:t>广东省珠海市横琴新区宝华路6号105室－42891（集中办公区）</w:t>
      </w:r>
    </w:p>
    <w:p w:rsidR="00384510" w:rsidRPr="00C86E67" w:rsidP="00552BE1">
      <w:pPr>
        <w:snapToGrid w:val="0"/>
        <w:spacing w:line="360" w:lineRule="auto"/>
        <w:ind w:firstLine="420"/>
        <w:rPr>
          <w:rFonts w:asciiTheme="minorEastAsia" w:eastAsiaTheme="minorEastAsia" w:hAnsiTheme="minorEastAsia" w:cs="仿宋_GB2312"/>
          <w:color w:val="000000" w:themeColor="text1"/>
          <w:kern w:val="0"/>
        </w:rPr>
      </w:pPr>
      <w:r w:rsidRPr="00C86E67">
        <w:rPr>
          <w:rFonts w:asciiTheme="minorEastAsia" w:eastAsiaTheme="minorEastAsia" w:hAnsiTheme="minorEastAsia" w:cs="仿宋_GB2312" w:hint="eastAsia"/>
          <w:color w:val="000000" w:themeColor="text1"/>
          <w:kern w:val="0"/>
        </w:rPr>
        <w:t>办公地址：广州市</w:t>
      </w:r>
      <w:r w:rsidRPr="00C86E67" w:rsidR="007550E3">
        <w:rPr>
          <w:rFonts w:asciiTheme="minorEastAsia" w:eastAsiaTheme="minorEastAsia" w:hAnsiTheme="minorEastAsia" w:cs="仿宋_GB2312" w:hint="eastAsia"/>
          <w:color w:val="000000" w:themeColor="text1"/>
          <w:kern w:val="0"/>
        </w:rPr>
        <w:t>天河区珠江新城珠江东路30号广州银行大厦40-43楼</w:t>
      </w:r>
    </w:p>
    <w:p w:rsidR="00384510" w:rsidRPr="00C86E67" w:rsidP="00552BE1">
      <w:pPr>
        <w:snapToGrid w:val="0"/>
        <w:spacing w:line="360" w:lineRule="auto"/>
        <w:ind w:firstLine="420"/>
        <w:rPr>
          <w:rFonts w:asciiTheme="minorEastAsia" w:eastAsiaTheme="minorEastAsia" w:hAnsiTheme="minorEastAsia" w:cs="仿宋_GB2312"/>
          <w:color w:val="000000" w:themeColor="text1"/>
          <w:kern w:val="0"/>
        </w:rPr>
      </w:pPr>
      <w:r w:rsidRPr="00C86E67">
        <w:rPr>
          <w:rFonts w:asciiTheme="minorEastAsia" w:eastAsiaTheme="minorEastAsia" w:hAnsiTheme="minorEastAsia" w:cs="仿宋_GB2312" w:hint="eastAsia"/>
          <w:color w:val="000000" w:themeColor="text1"/>
          <w:kern w:val="0"/>
        </w:rPr>
        <w:t>设立日期：2001年4月17日</w:t>
      </w:r>
    </w:p>
    <w:p w:rsidR="00384510" w:rsidRPr="00C86E67" w:rsidP="00552BE1">
      <w:pPr>
        <w:snapToGrid w:val="0"/>
        <w:spacing w:line="360" w:lineRule="auto"/>
        <w:ind w:firstLine="420"/>
        <w:rPr>
          <w:rFonts w:asciiTheme="minorEastAsia" w:eastAsiaTheme="minorEastAsia" w:hAnsiTheme="minorEastAsia" w:cs="仿宋_GB2312"/>
          <w:color w:val="000000" w:themeColor="text1"/>
          <w:kern w:val="0"/>
        </w:rPr>
      </w:pPr>
      <w:r w:rsidRPr="00C86E67">
        <w:rPr>
          <w:rFonts w:asciiTheme="minorEastAsia" w:eastAsiaTheme="minorEastAsia" w:hAnsiTheme="minorEastAsia" w:cs="仿宋_GB2312" w:hint="eastAsia"/>
          <w:color w:val="000000" w:themeColor="text1"/>
          <w:kern w:val="0"/>
        </w:rPr>
        <w:t>法定代表人：</w:t>
      </w:r>
      <w:r w:rsidRPr="00C86E67" w:rsidR="00A626CA">
        <w:rPr>
          <w:rFonts w:asciiTheme="minorEastAsia" w:eastAsiaTheme="minorEastAsia" w:hAnsiTheme="minorEastAsia" w:cs="仿宋_GB2312" w:hint="eastAsia"/>
          <w:color w:val="000000" w:themeColor="text1"/>
          <w:kern w:val="0"/>
        </w:rPr>
        <w:t>刘晓艳</w:t>
      </w:r>
    </w:p>
    <w:p w:rsidR="00384510" w:rsidRPr="00C86E67" w:rsidP="00552BE1">
      <w:pPr>
        <w:snapToGrid w:val="0"/>
        <w:spacing w:line="360" w:lineRule="auto"/>
        <w:ind w:firstLine="420"/>
        <w:rPr>
          <w:rFonts w:asciiTheme="minorEastAsia" w:eastAsiaTheme="minorEastAsia" w:hAnsiTheme="minorEastAsia" w:cs="仿宋_GB2312"/>
          <w:color w:val="000000" w:themeColor="text1"/>
          <w:kern w:val="0"/>
        </w:rPr>
      </w:pPr>
      <w:r w:rsidRPr="00C86E67">
        <w:rPr>
          <w:rFonts w:asciiTheme="minorEastAsia" w:eastAsiaTheme="minorEastAsia" w:hAnsiTheme="minorEastAsia" w:cs="仿宋_GB2312" w:hint="eastAsia"/>
          <w:color w:val="000000" w:themeColor="text1"/>
          <w:kern w:val="0"/>
        </w:rPr>
        <w:t>联系电话：4008818088</w:t>
      </w:r>
    </w:p>
    <w:p w:rsidR="00384510" w:rsidRPr="00C86E67" w:rsidP="00552BE1">
      <w:pPr>
        <w:snapToGrid w:val="0"/>
        <w:spacing w:line="360" w:lineRule="auto"/>
        <w:ind w:firstLine="420"/>
        <w:rPr>
          <w:rFonts w:asciiTheme="minorEastAsia" w:eastAsiaTheme="minorEastAsia" w:hAnsiTheme="minorEastAsia" w:cs="仿宋_GB2312"/>
          <w:color w:val="000000" w:themeColor="text1"/>
          <w:kern w:val="0"/>
        </w:rPr>
      </w:pPr>
      <w:r w:rsidRPr="00C86E67">
        <w:rPr>
          <w:rFonts w:asciiTheme="minorEastAsia" w:eastAsiaTheme="minorEastAsia" w:hAnsiTheme="minorEastAsia" w:cs="仿宋_GB2312" w:hint="eastAsia"/>
          <w:color w:val="000000" w:themeColor="text1"/>
          <w:kern w:val="0"/>
        </w:rPr>
        <w:t>联系人：李红枫</w:t>
      </w:r>
    </w:p>
    <w:p w:rsidR="00ED68C4" w:rsidRPr="00C86E67" w:rsidP="00552BE1">
      <w:pPr>
        <w:snapToGrid w:val="0"/>
        <w:spacing w:line="360" w:lineRule="auto"/>
        <w:ind w:firstLine="420"/>
        <w:rPr>
          <w:rFonts w:asciiTheme="minorEastAsia" w:eastAsiaTheme="minorEastAsia" w:hAnsiTheme="minorEastAsia" w:cs="仿宋_GB2312"/>
          <w:color w:val="000000" w:themeColor="text1"/>
          <w:kern w:val="0"/>
        </w:rPr>
      </w:pPr>
      <w:r w:rsidRPr="00C86E67">
        <w:rPr>
          <w:rFonts w:asciiTheme="minorEastAsia" w:eastAsiaTheme="minorEastAsia" w:hAnsiTheme="minorEastAsia" w:cs="仿宋_GB2312" w:hint="eastAsia"/>
          <w:color w:val="000000" w:themeColor="text1"/>
          <w:kern w:val="0"/>
        </w:rPr>
        <w:t>注册资本：13,244.2万元人民币</w:t>
      </w:r>
    </w:p>
    <w:p w:rsidR="00667012"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批准设立机关及文号：中国证券监督管理委员会，证监基金字[2001]4号</w:t>
      </w:r>
    </w:p>
    <w:p w:rsidR="00552BE1"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经营范围：</w:t>
      </w:r>
      <w:r w:rsidRPr="00C86E67" w:rsidR="0018727C">
        <w:rPr>
          <w:rFonts w:asciiTheme="minorEastAsia" w:eastAsiaTheme="minorEastAsia" w:hAnsiTheme="minorEastAsia" w:hint="eastAsia"/>
          <w:color w:val="000000" w:themeColor="text1"/>
        </w:rPr>
        <w:t>公开募集证券投资基金管理、基金销售、特定客户资产管理</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kern w:val="0"/>
        </w:rPr>
        <w:t>股权结构：</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1837"/>
      </w:tblGrid>
      <w:tr w:rsidTr="0030331F">
        <w:tblPrEx>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643" w:type="dxa"/>
          </w:tcPr>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股东名称</w:t>
            </w:r>
          </w:p>
        </w:tc>
        <w:tc>
          <w:tcPr>
            <w:tcW w:w="1837" w:type="dxa"/>
          </w:tcPr>
          <w:p w:rsidR="00C35BC5" w:rsidRPr="00C86E67" w:rsidP="00552BE1">
            <w:pPr>
              <w:snapToGrid w:val="0"/>
              <w:spacing w:line="360" w:lineRule="auto"/>
              <w:ind w:firstLine="420"/>
              <w:jc w:val="center"/>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出资比例</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广东粤财信托有限公司</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22.6514％</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广发证券股份有限公司</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22.6514％</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盈峰集团有限公司</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22.6514％</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广东省广晟控股集团有限公司</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15.1010％</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广州市广永国有资产经营有限公司</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7.5505％</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珠海祺荣宝股权投资合伙企业（有限合伙）</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1.5087％</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珠海祺泰宝股权投资合伙企业（有限合伙）</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1.6205％</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珠海祺丰宝股权投资合伙企业（有限合伙）</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1.5309％</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珠海聚莱康股权投资合伙企业（有限合伙）</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1.7558％</w:t>
            </w:r>
          </w:p>
        </w:tc>
      </w:tr>
      <w:tr>
        <w:tblPrEx>
          <w:tblW w:w="6480" w:type="dxa"/>
          <w:jc w:val="center"/>
          <w:tblLayout w:type="fixed"/>
          <w:tblLook w:val="0000"/>
        </w:tblPrEx>
        <w:trPr>
          <w:jc w:val="center"/>
        </w:trPr>
        <w:tc>
          <w:tcPr>
            <w:tcW w:w="4643" w:type="dxa"/>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珠海聚宁康股权投资合伙企业（有限合伙）</w:t>
            </w:r>
          </w:p>
        </w:tc>
        <w:tc>
          <w:tcPr>
            <w:tcW w:w="183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1.4396％</w:t>
            </w:r>
          </w:p>
        </w:tc>
      </w:tr>
      <w:tr w:rsidTr="00C86E67">
        <w:tblPrEx>
          <w:tblW w:w="6480" w:type="dxa"/>
          <w:jc w:val="center"/>
          <w:tblLayout w:type="fixed"/>
          <w:tblLook w:val="0000"/>
        </w:tblPrEx>
        <w:trPr>
          <w:jc w:val="center"/>
        </w:trPr>
        <w:tc>
          <w:tcPr>
            <w:tcW w:w="4643" w:type="dxa"/>
            <w:tcBorders>
              <w:bottom w:val="single" w:sz="4" w:space="0" w:color="auto"/>
            </w:tcBorders>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珠海聚弘康股权投资合伙企业（有限合伙）</w:t>
            </w:r>
          </w:p>
        </w:tc>
        <w:tc>
          <w:tcPr>
            <w:tcW w:w="1837" w:type="dxa"/>
            <w:tcBorders>
              <w:bottom w:val="single" w:sz="4" w:space="0" w:color="auto"/>
            </w:tcBorders>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1.5388％</w:t>
            </w:r>
          </w:p>
        </w:tc>
      </w:tr>
      <w:tr w:rsidTr="00C86E67">
        <w:tblPrEx>
          <w:tblW w:w="6480" w:type="dxa"/>
          <w:jc w:val="center"/>
          <w:tblLayout w:type="fixed"/>
          <w:tblLook w:val="0000"/>
        </w:tblPrEx>
        <w:trPr>
          <w:jc w:val="center"/>
        </w:trPr>
        <w:tc>
          <w:tcPr>
            <w:tcW w:w="4643" w:type="dxa"/>
            <w:tcBorders>
              <w:bottom w:val="single" w:sz="4" w:space="0" w:color="auto"/>
            </w:tcBorders>
          </w:tcPr>
          <w:p w:rsidR="00632EFB" w:rsidRPr="00C86E67">
            <w:pP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总   计</w:t>
            </w:r>
          </w:p>
        </w:tc>
        <w:tc>
          <w:tcPr>
            <w:tcW w:w="1837" w:type="dxa"/>
            <w:tcBorders>
              <w:bottom w:val="single" w:sz="4" w:space="0" w:color="auto"/>
            </w:tcBorders>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100%</w:t>
            </w:r>
          </w:p>
        </w:tc>
      </w:tr>
    </w:tbl>
    <w:p w:rsidR="006A72E4" w:rsidRPr="00C86E67" w:rsidP="00C86E67">
      <w:pPr>
        <w:rPr>
          <w:rFonts w:asciiTheme="minorEastAsia" w:eastAsiaTheme="minorEastAsia" w:hAnsiTheme="minorEastAsia"/>
          <w:color w:val="000000" w:themeColor="text1"/>
        </w:rPr>
      </w:pPr>
    </w:p>
    <w:p w:rsidR="00C35BC5" w:rsidRPr="00C86E67" w:rsidP="00552BE1">
      <w:pPr>
        <w:pStyle w:val="Heading2"/>
        <w:snapToGrid w:val="0"/>
        <w:spacing w:beforeLines="0" w:afterLines="0" w:line="360" w:lineRule="auto"/>
        <w:ind w:firstLine="0" w:firstLineChars="0"/>
        <w:rPr>
          <w:rFonts w:asciiTheme="minorEastAsia" w:eastAsiaTheme="minorEastAsia" w:hAnsiTheme="minorEastAsia"/>
          <w:bCs/>
          <w:color w:val="000000" w:themeColor="text1"/>
          <w:sz w:val="24"/>
          <w:szCs w:val="24"/>
        </w:rPr>
      </w:pPr>
      <w:bookmarkStart w:id="8" w:name="_Toc91764791"/>
      <w:r w:rsidRPr="00C86E67">
        <w:rPr>
          <w:rFonts w:asciiTheme="minorEastAsia" w:eastAsiaTheme="minorEastAsia" w:hAnsiTheme="minorEastAsia" w:hint="eastAsia"/>
          <w:bCs/>
          <w:color w:val="000000" w:themeColor="text1"/>
          <w:sz w:val="24"/>
          <w:szCs w:val="24"/>
        </w:rPr>
        <w:t>（二）</w:t>
      </w:r>
      <w:r w:rsidRPr="00C86E67">
        <w:rPr>
          <w:rFonts w:asciiTheme="minorEastAsia" w:eastAsiaTheme="minorEastAsia" w:hAnsiTheme="minorEastAsia"/>
          <w:bCs/>
          <w:color w:val="000000" w:themeColor="text1"/>
          <w:sz w:val="24"/>
          <w:szCs w:val="24"/>
        </w:rPr>
        <w:t>主要人员情况</w:t>
      </w:r>
      <w:bookmarkEnd w:id="8"/>
    </w:p>
    <w:p w:rsidR="00C35BC5" w:rsidRPr="00C86E67" w:rsidP="0013519A">
      <w:pPr>
        <w:spacing w:line="360" w:lineRule="auto"/>
        <w:ind w:firstLine="420" w:firstLineChars="200"/>
        <w:rPr>
          <w:rFonts w:asciiTheme="minorEastAsia" w:eastAsiaTheme="minorEastAsia" w:hAnsiTheme="minorEastAsia"/>
          <w:color w:val="000000" w:themeColor="text1"/>
          <w:szCs w:val="20"/>
        </w:rPr>
      </w:pPr>
      <w:r w:rsidRPr="00C86E67">
        <w:rPr>
          <w:rFonts w:asciiTheme="minorEastAsia" w:eastAsiaTheme="minorEastAsia" w:hAnsiTheme="minorEastAsia" w:hint="eastAsia"/>
          <w:color w:val="000000" w:themeColor="text1"/>
          <w:szCs w:val="20"/>
        </w:rPr>
        <w:t>1、董事、监事及高级管理人员</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刘晓艳女士，经济学博士、工商管理博士。现任易方达基金管理有限公司副董事长、总裁，易方达国际控股有限公司董事。曾任广发证券有限责任公司投资理财部副经理、基金经理</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基金投资理财部副总经理，易方达基金管理有限公司督察员、监察部总经理、市场部总经理、总裁助理、副总裁、常务副总裁，易方达资产管理有限公司董事，易方达资产管理（香港）有限公司董事长。</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秦力先生，经济学博士。现任易方达基金管理有限公司董事，广发证券股份有限公司执行董事、公司总监。曾任广发证券投资银行部常务副总经理、投资理财部总经理、资金营运部总经理、规划管理部总经理、投资部总经理、公司总经理助理、副总经理、常务副总经理，广东金融高新区股权交易中心有限公司董事长，广发证券资产管理（广东）有限公司董事长，广发控股（香港）有限公司董事长。</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苏斌先生，管理学硕士。现任易方达基金管理有限公司董事，盈峰集团有限公司董事、副总裁，盈合（深圳）机器人与自动化科技有限公司董事长，广东民营投资股份有限公司董事，宁波盈峰股权投资基金管理有限公司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潘文皓先生，经济学硕士。现任易方达基金管理有限公司董事，广东省广晟控股集团有限公司资本运营部副部长（主持工作），广东南粤银行股份有限公司董事，澳大利亚泛澳公司董事，广东省广晟财务有限公司董事。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忻榕女士，工商行政管理博士。现任易方达基金管理有限公司独立董事，中欧国际工商学院教授，复星旅游文化集团（开曼）有限公司独立董事，上海汇招信息技术有限公司董事，上海卡恩文化传播股份有限公司独立董事，上海智篆文化传播有限公司董事。曾任中科院研究生院讲师，美国加州高温橡胶公司市场部经理，美国加州大学讲师，美国南加州大学助理教授，香港科技大学副教授，中欧国际工商学院教授，瑞士洛桑管理学院教授。</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谭劲松先生，管理学博士（会计学）。现任易方达基金管理有限公司独立董事，中山大学管理学院教授，中远海运特种运输股份有限公司独立董事，上海莱士血液制品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数字广东网络建设有限公司独立董事，广州农村商业银行股份有限公司独立董事，广州港集团有限公司外部董事。曾任邵阳市财会学校教师，中山大学管理学院助教、讲师、副教授，广州恒运企业集团股份有限公司独立董事，中国南方航空股份有限公司独立董事，珠海华发实业股份有限公司独立董事。</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州茉莉数字科技集团股份有限公司独立董事，广东神朗律师事务所兼职律师，深圳市美之高科技股份有限公司独立董事。曾任美国天普大学法学院访问副教授。</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邓志盛先生，经济学研究生。现任易方达基金管理有限公司监事、行政总监、党群工作部总经理。曾任广东证监会信息部部长，中国证监会广州证管办机构二处处长，金鹰基金管理有限公司副总经理，易方达基金管理有限公司综合管理部总经理、董事会秘书。</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刘炜先生，工商管理硕士（</w:t>
      </w:r>
      <w:r w:rsidRPr="00C86E67">
        <w:rPr>
          <w:rFonts w:asciiTheme="minorEastAsia" w:eastAsiaTheme="minorEastAsia" w:hAnsiTheme="minorEastAsia"/>
          <w:color w:val="000000" w:themeColor="text1"/>
        </w:rPr>
        <w:t>EMBA</w:t>
      </w:r>
      <w:r w:rsidRPr="00C86E67">
        <w:rPr>
          <w:rFonts w:asciiTheme="minorEastAsia" w:eastAsiaTheme="minorEastAsia" w:hAnsiTheme="minorEastAsia" w:hint="eastAsia"/>
          <w:color w:val="000000" w:themeColor="text1"/>
        </w:rPr>
        <w:t>）、法学硕士。现任易方达基金管理有限公司监事、人力资源部总经理。曾任易方达基金管理有限公司监察部监察员、上海分公司销售经理、市场部总经理助理、人力资源部副总经理、综合管理部总经理。</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马骏先生，工商管理硕士（</w:t>
      </w:r>
      <w:r w:rsidRPr="00C86E67">
        <w:rPr>
          <w:rFonts w:asciiTheme="minorEastAsia" w:eastAsiaTheme="minorEastAsia" w:hAnsiTheme="minorEastAsia"/>
          <w:color w:val="000000" w:themeColor="text1"/>
        </w:rPr>
        <w:t>EMBA</w:t>
      </w:r>
      <w:r w:rsidRPr="00C86E67">
        <w:rPr>
          <w:rFonts w:asciiTheme="minorEastAsia" w:eastAsiaTheme="minorEastAsia" w:hAnsiTheme="minorEastAsia" w:hint="eastAsia"/>
          <w:color w:val="000000" w:themeColor="text1"/>
        </w:rPr>
        <w:t>）。现任易方达基金管理有限公司常务副总裁、固定收益投资决策委员会委员，易方达资产管理（香港）有限公司董事长、人民币合格境外投资者（</w:t>
      </w:r>
      <w:r w:rsidRPr="00C86E67">
        <w:rPr>
          <w:rFonts w:asciiTheme="minorEastAsia" w:eastAsiaTheme="minorEastAsia" w:hAnsiTheme="minorEastAsia"/>
          <w:color w:val="000000" w:themeColor="text1"/>
        </w:rPr>
        <w:t>RQFII</w:t>
      </w:r>
      <w:r w:rsidRPr="00C86E67">
        <w:rPr>
          <w:rFonts w:asciiTheme="minorEastAsia" w:eastAsiaTheme="minorEastAsia" w:hAnsiTheme="minorEastAsia" w:hint="eastAsia"/>
          <w:color w:val="000000" w:themeColor="text1"/>
        </w:rPr>
        <w:t>）业务负责人、证券交易负责人员（</w:t>
      </w:r>
      <w:r w:rsidRPr="00C86E67">
        <w:rPr>
          <w:rFonts w:asciiTheme="minorEastAsia" w:eastAsiaTheme="minorEastAsia" w:hAnsiTheme="minorEastAsia"/>
          <w:color w:val="000000" w:themeColor="text1"/>
        </w:rPr>
        <w:t>RO</w:t>
      </w:r>
      <w:r w:rsidRPr="00C86E67">
        <w:rPr>
          <w:rFonts w:asciiTheme="minorEastAsia" w:eastAsiaTheme="minorEastAsia" w:hAnsiTheme="minorEastAsia" w:hint="eastAsia"/>
          <w:color w:val="000000" w:themeColor="text1"/>
        </w:rPr>
        <w:t>）、就证券提供意见负责人员（</w:t>
      </w:r>
      <w:r w:rsidRPr="00C86E67">
        <w:rPr>
          <w:rFonts w:asciiTheme="minorEastAsia" w:eastAsiaTheme="minorEastAsia" w:hAnsiTheme="minorEastAsia"/>
          <w:color w:val="000000" w:themeColor="text1"/>
        </w:rPr>
        <w:t>RO</w:t>
      </w:r>
      <w:r w:rsidRPr="00C86E67">
        <w:rPr>
          <w:rFonts w:asciiTheme="minorEastAsia" w:eastAsiaTheme="minorEastAsia" w:hAnsiTheme="minorEastAsia" w:hint="eastAsia"/>
          <w:color w:val="000000" w:themeColor="text1"/>
        </w:rPr>
        <w:t>）、提供资产管理负责人员（</w:t>
      </w:r>
      <w:r w:rsidRPr="00C86E67">
        <w:rPr>
          <w:rFonts w:asciiTheme="minorEastAsia" w:eastAsiaTheme="minorEastAsia" w:hAnsiTheme="minorEastAsia"/>
          <w:color w:val="000000" w:themeColor="text1"/>
        </w:rPr>
        <w:t>RO</w:t>
      </w:r>
      <w:r w:rsidRPr="00C86E67">
        <w:rPr>
          <w:rFonts w:asciiTheme="minorEastAsia" w:eastAsiaTheme="minorEastAsia" w:hAnsiTheme="minorEastAsia" w:hint="eastAsia"/>
          <w:color w:val="000000" w:themeColor="text1"/>
        </w:rPr>
        <w:t>）、产品审批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张南女士，经济学博士。现任易方达基金管理有限公司督察长。曾任广东省经济贸易委员会主任科员、副处长，易方达基金管理有限公司市场拓展部副总经理、监察部总经理。</w:t>
      </w:r>
    </w:p>
    <w:p w:rsidR="009703F1" w:rsidRPr="00C86E67" w:rsidP="00C86E67">
      <w:pPr>
        <w:spacing w:line="360" w:lineRule="auto"/>
        <w:ind w:firstLine="420"/>
        <w:rPr>
          <w:rFonts w:asciiTheme="minorEastAsia" w:eastAsiaTheme="minorEastAsia" w:hAnsiTheme="minorEastAsia"/>
          <w:color w:val="000000" w:themeColor="text1"/>
          <w:sz w:val="20"/>
          <w:szCs w:val="20"/>
        </w:rPr>
      </w:pPr>
      <w:r w:rsidRPr="00C86E67">
        <w:rPr>
          <w:rFonts w:asciiTheme="minorEastAsia" w:eastAsiaTheme="minorEastAsia" w:hAnsiTheme="minorEastAsia" w:hint="eastAsia"/>
          <w:color w:val="000000" w:themeColor="text1"/>
        </w:rPr>
        <w:t>范岳先生，工商管理硕士。现任易方达基金管理有限公司副总经理级高级管理人员。曾任中国工商银行深圳分行国际业务部科员，深圳证券登记结算公司办公室经理、国际部经理，深圳证券交易所北京中心助理主任、上市部副总监、基金债券部副总监、基金管理部总监，易方达资产管理（香港）有限公司董事。</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高松凡先生，工商管理硕士（</w:t>
      </w:r>
      <w:r w:rsidRPr="00C86E67">
        <w:rPr>
          <w:rFonts w:asciiTheme="minorEastAsia" w:eastAsiaTheme="minorEastAsia" w:hAnsiTheme="minorEastAsia"/>
          <w:color w:val="000000" w:themeColor="text1"/>
        </w:rPr>
        <w:t>EMBA</w:t>
      </w:r>
      <w:r w:rsidRPr="00C86E67">
        <w:rPr>
          <w:rFonts w:asciiTheme="minorEastAsia" w:eastAsiaTheme="minorEastAsia" w:hAnsiTheme="minorEastAsia" w:hint="eastAsia"/>
          <w:color w:val="000000" w:themeColor="text1"/>
        </w:rPr>
        <w:t>）。现任易方达基金管理有限公司副总经理级高级管理人员。曾任招商银行总行人事部高级经理、企业年金中心副主任，浦东发展银行总行企业年金部总经理，长江养老保险公司首席市场总监，易方达基金管理有限公司养老金业务总监。</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关秀霞女士，工商管理硕士、金融学硕士。现任易方达基金管理有限公司副总经理级高级管理人员。曾任中国银行（香港）有限公司分析员，</w:t>
      </w:r>
      <w:r w:rsidRPr="00C86E67">
        <w:rPr>
          <w:rFonts w:asciiTheme="minorEastAsia" w:eastAsiaTheme="minorEastAsia" w:hAnsiTheme="minorEastAsia"/>
          <w:color w:val="000000" w:themeColor="text1"/>
        </w:rPr>
        <w:t>Daniel Dennis</w:t>
      </w:r>
      <w:r w:rsidRPr="00C86E67">
        <w:rPr>
          <w:rFonts w:asciiTheme="minorEastAsia" w:eastAsiaTheme="minorEastAsia" w:hAnsiTheme="minorEastAsia" w:hint="eastAsia"/>
          <w:color w:val="000000" w:themeColor="text1"/>
        </w:rPr>
        <w:t>高级审计师，美国道富银行公司内部审计部高级审计师、美国共同基金业务风险经理、亚洲区（除日本外）机构服务主管、亚洲区（除日本外）副总裁、大中华地区董事总经理、大中华地区高级副总裁、中国区行长。</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娄利舟女士，工商管理硕士（</w:t>
      </w:r>
      <w:r w:rsidRPr="00C86E67">
        <w:rPr>
          <w:rFonts w:asciiTheme="minorEastAsia" w:eastAsiaTheme="minorEastAsia" w:hAnsiTheme="minorEastAsia"/>
          <w:color w:val="000000" w:themeColor="text1"/>
        </w:rPr>
        <w:t>EMBA</w:t>
      </w:r>
      <w:r w:rsidRPr="00C86E67">
        <w:rPr>
          <w:rFonts w:asciiTheme="minorEastAsia" w:eastAsiaTheme="minorEastAsia" w:hAnsiTheme="minorEastAsia" w:hint="eastAsia"/>
          <w:color w:val="000000" w:themeColor="text1"/>
        </w:rPr>
        <w:t>）、经济学硕士。现任易方达基金管理有限公司副总经理级高级管理人员、</w:t>
      </w:r>
      <w:r w:rsidRPr="00C86E67">
        <w:rPr>
          <w:rFonts w:asciiTheme="minorEastAsia" w:eastAsiaTheme="minorEastAsia" w:hAnsiTheme="minorEastAsia"/>
          <w:color w:val="000000" w:themeColor="text1"/>
        </w:rPr>
        <w:t>FOF</w:t>
      </w:r>
      <w:r w:rsidRPr="00C86E67">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9703F1" w:rsidRPr="00C86E67" w:rsidP="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8729A3" w:rsidRPr="00C86E67" w:rsidP="00654E45">
      <w:pPr>
        <w:spacing w:line="360" w:lineRule="auto"/>
        <w:ind w:firstLine="420" w:firstLineChars="200"/>
        <w:rPr>
          <w:rFonts w:asciiTheme="minorEastAsia" w:eastAsiaTheme="minorEastAsia" w:hAnsiTheme="minorEastAsia"/>
          <w:color w:val="000000" w:themeColor="text1"/>
          <w:szCs w:val="20"/>
        </w:rPr>
      </w:pPr>
      <w:r w:rsidRPr="00C86E67">
        <w:rPr>
          <w:rFonts w:asciiTheme="minorEastAsia" w:eastAsiaTheme="minorEastAsia" w:hAnsiTheme="minorEastAsia"/>
          <w:color w:val="000000" w:themeColor="text1"/>
          <w:szCs w:val="20"/>
        </w:rPr>
        <w:t>2、基金经理</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林海先生，经济学硕士，本基金的基金经理。现任易方达基金管理有限公司易方达价值成长混合型证券投资基金基金经理（自2021年5月29日起任职）。曾任申银万国证券公司湖北武汉营业部研究员，易方达基金管理有限公司市场拓展部研究员、基金经理助理、固定收益部副总经理、易方达货币市场基金基金经理（自2005年2月2日至2008年6月30日）、易方达月月收益中短期债券投资基金基金经理（自2005年9月19日至2008年1月28日）、易方达稳健收益债券型证券投资基金基金经理（自2008年1月29日至2008年6月30日）、专户投资部投资经理、权益投资管理部投资经理。</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本基金历任基金经理情况：潘峰，管理时间为2007年4月2日至2014年12月5日；郑茂，管理时间为2014年12月6日至2015年5月18日；王义克，管理时间为2014年12月6日至2018年3月22日；武阳，管理时间为2018年3月23日至2021年5月28日；林高榜，管理时间为2018年3月23日至2021年12月24日。</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3、权益投资决策委员会成员</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本公司权益投资决策委员会成员包括：吴欣荣先生、冯波先生、陈皓先生、张坤先生、孙松先生、付浩先生。</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吴欣荣先生，同上。</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冯波先生，同上。</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陈皓先生，同上。</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张坤先生，同上。</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孙松先生，易方达基金管理有限公司投资二部总经理、基金经理。</w:t>
      </w:r>
    </w:p>
    <w:p w:rsidR="008A377E"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付浩先生，易方达基金管理有限公司权益投资管理部总经理、基金经理。</w:t>
      </w:r>
    </w:p>
    <w:p w:rsidR="00C35BC5" w:rsidRPr="00C86E67" w:rsidP="0013519A">
      <w:pPr>
        <w:spacing w:line="360" w:lineRule="auto"/>
        <w:ind w:firstLine="420" w:firstLineChars="200"/>
        <w:rPr>
          <w:rFonts w:asciiTheme="minorEastAsia" w:eastAsiaTheme="minorEastAsia" w:hAnsiTheme="minorEastAsia"/>
          <w:color w:val="000000" w:themeColor="text1"/>
          <w:szCs w:val="20"/>
        </w:rPr>
      </w:pPr>
      <w:r w:rsidRPr="00C86E67">
        <w:rPr>
          <w:rFonts w:asciiTheme="minorEastAsia" w:eastAsiaTheme="minorEastAsia" w:hAnsiTheme="minorEastAsia" w:hint="eastAsia"/>
          <w:color w:val="000000" w:themeColor="text1"/>
          <w:szCs w:val="20"/>
        </w:rPr>
        <w:t>4、上述人员之间均不存在近亲属关系。</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Cs/>
          <w:color w:val="000000" w:themeColor="text1"/>
          <w:sz w:val="24"/>
          <w:szCs w:val="24"/>
        </w:rPr>
      </w:pPr>
      <w:bookmarkStart w:id="9" w:name="_Toc91764792"/>
      <w:r w:rsidRPr="00C86E67">
        <w:rPr>
          <w:rFonts w:asciiTheme="minorEastAsia" w:eastAsiaTheme="minorEastAsia" w:hAnsiTheme="minorEastAsia" w:hint="eastAsia"/>
          <w:bCs/>
          <w:color w:val="000000" w:themeColor="text1"/>
          <w:sz w:val="24"/>
          <w:szCs w:val="24"/>
        </w:rPr>
        <w:t>（三）</w:t>
      </w:r>
      <w:r w:rsidRPr="00C86E67">
        <w:rPr>
          <w:rFonts w:asciiTheme="minorEastAsia" w:eastAsiaTheme="minorEastAsia" w:hAnsiTheme="minorEastAsia"/>
          <w:bCs/>
          <w:color w:val="000000" w:themeColor="text1"/>
          <w:sz w:val="24"/>
          <w:szCs w:val="24"/>
        </w:rPr>
        <w:t>基金管理人的职责</w:t>
      </w:r>
      <w:bookmarkEnd w:id="9"/>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1、</w:t>
      </w:r>
      <w:r w:rsidRPr="00C86E67" w:rsidR="00BB78FB">
        <w:rPr>
          <w:rFonts w:asciiTheme="minorEastAsia" w:eastAsiaTheme="minorEastAsia" w:hAnsiTheme="minorEastAsia" w:hint="eastAsia"/>
          <w:color w:val="000000" w:themeColor="text1"/>
          <w:kern w:val="0"/>
        </w:rPr>
        <w:t>依法募集资金，办理基金份额的发售和登记事宜</w:t>
      </w:r>
      <w:r w:rsidRPr="00C86E67">
        <w:rPr>
          <w:rFonts w:asciiTheme="minorEastAsia" w:eastAsiaTheme="minorEastAsia" w:hAnsiTheme="minorEastAsia"/>
          <w:color w:val="000000" w:themeColor="text1"/>
          <w:kern w:val="0"/>
        </w:rPr>
        <w:t>；</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2、</w:t>
      </w:r>
      <w:r w:rsidRPr="00C86E67">
        <w:rPr>
          <w:rFonts w:asciiTheme="minorEastAsia" w:eastAsiaTheme="minorEastAsia" w:hAnsiTheme="minorEastAsia"/>
          <w:color w:val="000000" w:themeColor="text1"/>
          <w:kern w:val="0"/>
        </w:rPr>
        <w:t>办理基金备案手续；</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3、</w:t>
      </w:r>
      <w:r w:rsidRPr="00C86E67">
        <w:rPr>
          <w:rFonts w:asciiTheme="minorEastAsia" w:eastAsiaTheme="minorEastAsia" w:hAnsiTheme="minorEastAsia"/>
          <w:color w:val="000000" w:themeColor="text1"/>
          <w:kern w:val="0"/>
        </w:rPr>
        <w:t>对所管理的不同基金财产分别管理、分别记账，进行证券投资；</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4、</w:t>
      </w:r>
      <w:r w:rsidRPr="00C86E67">
        <w:rPr>
          <w:rFonts w:asciiTheme="minorEastAsia" w:eastAsiaTheme="minorEastAsia" w:hAnsiTheme="minorEastAsia"/>
          <w:color w:val="000000" w:themeColor="text1"/>
          <w:kern w:val="0"/>
        </w:rPr>
        <w:t>按照基金合同的约定确定基金收益分配方案，及时向基金份额持有人分配收益；</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5、</w:t>
      </w:r>
      <w:r w:rsidRPr="00C86E67">
        <w:rPr>
          <w:rFonts w:asciiTheme="minorEastAsia" w:eastAsiaTheme="minorEastAsia" w:hAnsiTheme="minorEastAsia"/>
          <w:color w:val="000000" w:themeColor="text1"/>
          <w:kern w:val="0"/>
        </w:rPr>
        <w:t>进行基金会计核算并编制基金财务会计报告；</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6、</w:t>
      </w:r>
      <w:r w:rsidRPr="00C86E67">
        <w:rPr>
          <w:rFonts w:asciiTheme="minorEastAsia" w:eastAsiaTheme="minorEastAsia" w:hAnsiTheme="minorEastAsia"/>
          <w:color w:val="000000" w:themeColor="text1"/>
          <w:kern w:val="0"/>
        </w:rPr>
        <w:t>编制</w:t>
      </w:r>
      <w:r w:rsidRPr="00C86E67" w:rsidR="002C3C91">
        <w:rPr>
          <w:rFonts w:asciiTheme="minorEastAsia" w:eastAsiaTheme="minorEastAsia" w:hAnsiTheme="minorEastAsia" w:hint="eastAsia"/>
          <w:color w:val="000000" w:themeColor="text1"/>
          <w:kern w:val="0"/>
        </w:rPr>
        <w:t>季度报告、中期报告和年度报告</w:t>
      </w:r>
      <w:r w:rsidRPr="00C86E67">
        <w:rPr>
          <w:rFonts w:asciiTheme="minorEastAsia" w:eastAsiaTheme="minorEastAsia" w:hAnsiTheme="minorEastAsia"/>
          <w:color w:val="000000" w:themeColor="text1"/>
          <w:kern w:val="0"/>
        </w:rPr>
        <w:t>；</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7、</w:t>
      </w:r>
      <w:r w:rsidRPr="00C86E67">
        <w:rPr>
          <w:rFonts w:asciiTheme="minorEastAsia" w:eastAsiaTheme="minorEastAsia" w:hAnsiTheme="minorEastAsia"/>
          <w:color w:val="000000" w:themeColor="text1"/>
          <w:kern w:val="0"/>
        </w:rPr>
        <w:t>计算并公告基金</w:t>
      </w:r>
      <w:r w:rsidRPr="00C86E67" w:rsidR="002C3C91">
        <w:rPr>
          <w:rFonts w:asciiTheme="minorEastAsia" w:eastAsiaTheme="minorEastAsia" w:hAnsiTheme="minorEastAsia" w:hint="eastAsia"/>
          <w:color w:val="000000" w:themeColor="text1"/>
          <w:kern w:val="0"/>
        </w:rPr>
        <w:t>净值信息</w:t>
      </w:r>
      <w:r w:rsidRPr="00C86E67">
        <w:rPr>
          <w:rFonts w:asciiTheme="minorEastAsia" w:eastAsiaTheme="minorEastAsia" w:hAnsiTheme="minorEastAsia"/>
          <w:color w:val="000000" w:themeColor="text1"/>
          <w:kern w:val="0"/>
        </w:rPr>
        <w:t>，确定基金份额申购、赎回价格；</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8、</w:t>
      </w:r>
      <w:r w:rsidRPr="00C86E67">
        <w:rPr>
          <w:rFonts w:asciiTheme="minorEastAsia" w:eastAsiaTheme="minorEastAsia" w:hAnsiTheme="minorEastAsia"/>
          <w:color w:val="000000" w:themeColor="text1"/>
          <w:kern w:val="0"/>
        </w:rPr>
        <w:t>办理与基金财产管理业务活动有关的信息披露事项；</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9、</w:t>
      </w:r>
      <w:r w:rsidRPr="00C86E67" w:rsidR="00BB78FB">
        <w:rPr>
          <w:rFonts w:asciiTheme="minorEastAsia" w:eastAsiaTheme="minorEastAsia" w:hAnsiTheme="minorEastAsia" w:hint="eastAsia"/>
          <w:color w:val="000000" w:themeColor="text1"/>
          <w:kern w:val="0"/>
        </w:rPr>
        <w:t>按照规定</w:t>
      </w:r>
      <w:r w:rsidRPr="00C86E67">
        <w:rPr>
          <w:rFonts w:asciiTheme="minorEastAsia" w:eastAsiaTheme="minorEastAsia" w:hAnsiTheme="minorEastAsia"/>
          <w:color w:val="000000" w:themeColor="text1"/>
          <w:kern w:val="0"/>
        </w:rPr>
        <w:t>召集基金份额持有人大会；</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10、</w:t>
      </w:r>
      <w:r w:rsidRPr="00C86E67" w:rsidR="005F2321">
        <w:rPr>
          <w:rFonts w:asciiTheme="minorEastAsia" w:eastAsiaTheme="minorEastAsia" w:hAnsiTheme="minorEastAsia" w:hint="eastAsia"/>
          <w:color w:val="000000" w:themeColor="text1"/>
          <w:kern w:val="0"/>
        </w:rPr>
        <w:t>保存</w:t>
      </w:r>
      <w:r w:rsidRPr="00C86E67">
        <w:rPr>
          <w:rFonts w:asciiTheme="minorEastAsia" w:eastAsiaTheme="minorEastAsia" w:hAnsiTheme="minorEastAsia" w:hint="eastAsia"/>
          <w:color w:val="000000" w:themeColor="text1"/>
          <w:kern w:val="0"/>
        </w:rPr>
        <w:t>基</w:t>
      </w:r>
      <w:r w:rsidRPr="00C86E67">
        <w:rPr>
          <w:rFonts w:asciiTheme="minorEastAsia" w:eastAsiaTheme="minorEastAsia" w:hAnsiTheme="minorEastAsia"/>
          <w:color w:val="000000" w:themeColor="text1"/>
          <w:kern w:val="0"/>
        </w:rPr>
        <w:t>金财产管理业务活动的记录、账册、报表和其他相关资料；</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11、</w:t>
      </w:r>
      <w:r w:rsidRPr="00C86E67">
        <w:rPr>
          <w:rFonts w:asciiTheme="minorEastAsia" w:eastAsiaTheme="minorEastAsia" w:hAnsiTheme="minorEastAsia"/>
          <w:color w:val="000000" w:themeColor="text1"/>
          <w:kern w:val="0"/>
        </w:rPr>
        <w:t>以基金管理人名义，代表基金份额持有人利益行使诉讼权利或者实施其他法律行为；</w:t>
      </w:r>
    </w:p>
    <w:p w:rsidR="00C35BC5" w:rsidRPr="00C86E67" w:rsidP="00552BE1">
      <w:pPr>
        <w:pStyle w:val="PlainText"/>
        <w:adjustRightInd w:val="0"/>
        <w:snapToGrid w:val="0"/>
        <w:spacing w:line="360" w:lineRule="auto"/>
        <w:ind w:firstLine="420"/>
        <w:textAlignment w:val="baseline"/>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12、中国证监会</w:t>
      </w:r>
      <w:r w:rsidRPr="00C86E67">
        <w:rPr>
          <w:rFonts w:asciiTheme="minorEastAsia" w:eastAsiaTheme="minorEastAsia" w:hAnsiTheme="minorEastAsia"/>
          <w:color w:val="000000" w:themeColor="text1"/>
          <w:kern w:val="0"/>
        </w:rPr>
        <w:t>规定的其他职责。</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10" w:name="_Toc91764793"/>
      <w:r w:rsidRPr="00C86E67">
        <w:rPr>
          <w:rFonts w:asciiTheme="minorEastAsia" w:eastAsiaTheme="minorEastAsia" w:hAnsiTheme="minorEastAsia" w:hint="eastAsia"/>
          <w:bCs/>
          <w:color w:val="000000" w:themeColor="text1"/>
          <w:sz w:val="24"/>
          <w:szCs w:val="24"/>
        </w:rPr>
        <w:t>（四）</w:t>
      </w:r>
      <w:r w:rsidRPr="00C86E67">
        <w:rPr>
          <w:rFonts w:asciiTheme="minorEastAsia" w:eastAsiaTheme="minorEastAsia" w:hAnsiTheme="minorEastAsia"/>
          <w:bCs/>
          <w:color w:val="000000" w:themeColor="text1"/>
          <w:sz w:val="24"/>
          <w:szCs w:val="24"/>
        </w:rPr>
        <w:t>基金管理人的承诺</w:t>
      </w:r>
      <w:bookmarkEnd w:id="10"/>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cs="Arial"/>
          <w:color w:val="000000" w:themeColor="text1"/>
          <w:kern w:val="0"/>
          <w:szCs w:val="21"/>
        </w:rPr>
        <w:t>1</w:t>
      </w:r>
      <w:r w:rsidRPr="00C86E67" w:rsidR="00552BE1">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hint="eastAsia"/>
          <w:color w:val="000000" w:themeColor="text1"/>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r w:rsidRPr="00C86E67">
        <w:rPr>
          <w:rFonts w:asciiTheme="minorEastAsia" w:eastAsiaTheme="minorEastAsia" w:hAnsiTheme="minorEastAsia" w:cs="Arial" w:hint="eastAsia"/>
          <w:color w:val="000000" w:themeColor="text1"/>
          <w:kern w:val="0"/>
          <w:szCs w:val="21"/>
        </w:rPr>
        <w:t>2</w:t>
      </w:r>
      <w:r w:rsidRPr="00C86E67" w:rsidR="00552BE1">
        <w:rPr>
          <w:rFonts w:asciiTheme="minorEastAsia" w:eastAsiaTheme="minorEastAsia" w:hAnsiTheme="minorEastAsia" w:cs="Arial" w:hint="eastAsia"/>
          <w:color w:val="000000" w:themeColor="text1"/>
          <w:kern w:val="0"/>
          <w:szCs w:val="21"/>
        </w:rPr>
        <w:t>、</w:t>
      </w:r>
      <w:r w:rsidRPr="00C86E67">
        <w:rPr>
          <w:rFonts w:asciiTheme="minorEastAsia" w:eastAsiaTheme="minorEastAsia" w:hAnsiTheme="minorEastAsia" w:hint="eastAsia"/>
          <w:color w:val="000000" w:themeColor="text1"/>
        </w:rPr>
        <w:t>本基金管理人承诺严格遵守《中华人民共和国证券法》、《基金法》及有关法律法规，建立健全的内部控制制度，采取有效措施，防止下列行为发生：</w:t>
      </w:r>
    </w:p>
    <w:p w:rsidR="00C35BC5" w:rsidRPr="00C86E67" w:rsidP="00552BE1">
      <w:pPr>
        <w:numPr>
          <w:ilvl w:val="1"/>
          <w:numId w:val="6"/>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将其固有财产或者他人财产混同于基金财产从事证券投资；</w:t>
      </w:r>
    </w:p>
    <w:p w:rsidR="00C35BC5" w:rsidRPr="00C86E67" w:rsidP="00552BE1">
      <w:pPr>
        <w:numPr>
          <w:ilvl w:val="1"/>
          <w:numId w:val="6"/>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不公平地对待其管理的不同基金财产；</w:t>
      </w:r>
    </w:p>
    <w:p w:rsidR="00C35BC5" w:rsidRPr="00C86E67" w:rsidP="00552BE1">
      <w:pPr>
        <w:numPr>
          <w:ilvl w:val="1"/>
          <w:numId w:val="6"/>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利用基金财产</w:t>
      </w:r>
      <w:r w:rsidRPr="00C86E67" w:rsidR="00BB78FB">
        <w:rPr>
          <w:rFonts w:asciiTheme="minorEastAsia" w:eastAsiaTheme="minorEastAsia" w:hAnsiTheme="minorEastAsia" w:hint="eastAsia"/>
          <w:color w:val="000000" w:themeColor="text1"/>
        </w:rPr>
        <w:t>或者职务之便</w:t>
      </w:r>
      <w:r w:rsidRPr="00C86E67">
        <w:rPr>
          <w:rFonts w:asciiTheme="minorEastAsia" w:eastAsiaTheme="minorEastAsia" w:hAnsiTheme="minorEastAsia" w:hint="eastAsia"/>
          <w:color w:val="000000" w:themeColor="text1"/>
        </w:rPr>
        <w:t>为基金份额持有人以外的第三人谋取利益；</w:t>
      </w:r>
    </w:p>
    <w:p w:rsidR="00C35BC5" w:rsidRPr="00C86E67" w:rsidP="00552BE1">
      <w:pPr>
        <w:numPr>
          <w:ilvl w:val="1"/>
          <w:numId w:val="6"/>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向基金份额持有人违规承诺收益或者承担损失；</w:t>
      </w:r>
    </w:p>
    <w:p w:rsidR="00BB78FB" w:rsidRPr="00C86E67" w:rsidP="00552BE1">
      <w:pPr>
        <w:numPr>
          <w:ilvl w:val="1"/>
          <w:numId w:val="6"/>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侵占、挪用基金财产；</w:t>
      </w:r>
    </w:p>
    <w:p w:rsidR="00BB78FB" w:rsidRPr="00C86E67" w:rsidP="00552BE1">
      <w:pPr>
        <w:numPr>
          <w:ilvl w:val="1"/>
          <w:numId w:val="6"/>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泄露因职务便利获取的未公开信息、利用该信息从事或者明示、暗示他人从事相关的交易活动；</w:t>
      </w:r>
    </w:p>
    <w:p w:rsidR="00BB78FB" w:rsidRPr="00C86E67" w:rsidP="00552BE1">
      <w:pPr>
        <w:numPr>
          <w:ilvl w:val="1"/>
          <w:numId w:val="6"/>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玩忽职守，不按照规定履行职责；</w:t>
      </w:r>
    </w:p>
    <w:p w:rsidR="00C35BC5" w:rsidRPr="00C86E67" w:rsidP="00552BE1">
      <w:pPr>
        <w:numPr>
          <w:ilvl w:val="1"/>
          <w:numId w:val="6"/>
        </w:numPr>
        <w:tabs>
          <w:tab w:val="left" w:pos="735"/>
          <w:tab w:val="num" w:pos="1320"/>
        </w:tabs>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法律、行政法规和中国证监会规定禁止的其他行为。</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cs="Arial"/>
          <w:color w:val="000000" w:themeColor="text1"/>
          <w:kern w:val="0"/>
          <w:szCs w:val="21"/>
        </w:rPr>
        <w:t>3</w:t>
      </w:r>
      <w:r w:rsidRPr="00C86E67" w:rsidR="00552BE1">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hint="eastAsia"/>
          <w:color w:val="000000" w:themeColor="text1"/>
          <w:kern w:val="0"/>
          <w:szCs w:val="21"/>
        </w:rPr>
        <w:t>本基金管理人承诺加强人员管理，强化职业操守，督促和约束员工遵守国家有关法律、法规及行业规范，诚实信用、勤勉尽责，不从事以下活动：</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s="Arial"/>
          <w:color w:val="000000" w:themeColor="text1"/>
          <w:kern w:val="0"/>
          <w:szCs w:val="21"/>
        </w:rPr>
        <w:t>1</w:t>
      </w:r>
      <w:r w:rsidRPr="00C86E67">
        <w:rPr>
          <w:rFonts w:asciiTheme="minorEastAsia" w:eastAsiaTheme="minorEastAsia" w:hAnsiTheme="minorEastAsia" w:hint="eastAsia"/>
          <w:color w:val="000000" w:themeColor="text1"/>
          <w:kern w:val="0"/>
          <w:szCs w:val="21"/>
        </w:rPr>
        <w:t>）越权或违规经营；</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s="Arial"/>
          <w:color w:val="000000" w:themeColor="text1"/>
          <w:kern w:val="0"/>
          <w:szCs w:val="21"/>
        </w:rPr>
        <w:t>2</w:t>
      </w:r>
      <w:r w:rsidRPr="00C86E67">
        <w:rPr>
          <w:rFonts w:asciiTheme="minorEastAsia" w:eastAsiaTheme="minorEastAsia" w:hAnsiTheme="minorEastAsia" w:hint="eastAsia"/>
          <w:color w:val="000000" w:themeColor="text1"/>
          <w:kern w:val="0"/>
          <w:szCs w:val="21"/>
        </w:rPr>
        <w:t>）违反基金合同或托管协议；</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s="Arial"/>
          <w:color w:val="000000" w:themeColor="text1"/>
          <w:kern w:val="0"/>
          <w:szCs w:val="21"/>
        </w:rPr>
        <w:t>3</w:t>
      </w:r>
      <w:r w:rsidRPr="00C86E67">
        <w:rPr>
          <w:rFonts w:asciiTheme="minorEastAsia" w:eastAsiaTheme="minorEastAsia" w:hAnsiTheme="minorEastAsia" w:hint="eastAsia"/>
          <w:color w:val="000000" w:themeColor="text1"/>
          <w:kern w:val="0"/>
          <w:szCs w:val="21"/>
        </w:rPr>
        <w:t>）故意损害基金份额持有人或其他基金相关机构的合法利益；</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s="Arial"/>
          <w:color w:val="000000" w:themeColor="text1"/>
          <w:kern w:val="0"/>
          <w:szCs w:val="21"/>
        </w:rPr>
        <w:t>4</w:t>
      </w:r>
      <w:r w:rsidRPr="00C86E67">
        <w:rPr>
          <w:rFonts w:asciiTheme="minorEastAsia" w:eastAsiaTheme="minorEastAsia" w:hAnsiTheme="minorEastAsia" w:hint="eastAsia"/>
          <w:color w:val="000000" w:themeColor="text1"/>
          <w:kern w:val="0"/>
          <w:szCs w:val="21"/>
        </w:rPr>
        <w:t>）在向中国证监会报送的资料中弄虚作假；</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s="Arial"/>
          <w:color w:val="000000" w:themeColor="text1"/>
          <w:kern w:val="0"/>
          <w:szCs w:val="21"/>
        </w:rPr>
        <w:t>5</w:t>
      </w:r>
      <w:r w:rsidRPr="00C86E67">
        <w:rPr>
          <w:rFonts w:asciiTheme="minorEastAsia" w:eastAsiaTheme="minorEastAsia" w:hAnsiTheme="minorEastAsia" w:hint="eastAsia"/>
          <w:color w:val="000000" w:themeColor="text1"/>
          <w:kern w:val="0"/>
          <w:szCs w:val="21"/>
        </w:rPr>
        <w:t>）拒绝、干扰、阻挠或严重影响中国证监会依法监管；</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s="Arial"/>
          <w:color w:val="000000" w:themeColor="text1"/>
          <w:kern w:val="0"/>
          <w:szCs w:val="21"/>
        </w:rPr>
        <w:t>6</w:t>
      </w:r>
      <w:r w:rsidRPr="00C86E67">
        <w:rPr>
          <w:rFonts w:asciiTheme="minorEastAsia" w:eastAsiaTheme="minorEastAsia" w:hAnsiTheme="minorEastAsia" w:hint="eastAsia"/>
          <w:color w:val="000000" w:themeColor="text1"/>
          <w:kern w:val="0"/>
          <w:szCs w:val="21"/>
        </w:rPr>
        <w:t>）玩忽职守、滥用职权；</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s="Arial"/>
          <w:color w:val="000000" w:themeColor="text1"/>
          <w:kern w:val="0"/>
          <w:szCs w:val="21"/>
        </w:rPr>
        <w:t>7</w:t>
      </w:r>
      <w:r w:rsidRPr="00C86E67">
        <w:rPr>
          <w:rFonts w:asciiTheme="minorEastAsia" w:eastAsiaTheme="minorEastAsia" w:hAnsiTheme="minorEastAsia" w:hint="eastAsia"/>
          <w:color w:val="000000" w:themeColor="text1"/>
          <w:kern w:val="0"/>
          <w:szCs w:val="21"/>
        </w:rPr>
        <w:t>）违反现行有效的有关法律、法规、规章、基金合同和中国证监会的有关规定，泄漏在任职期间知悉的有关证券、基金的商业秘密，尚未依法公开的基金投资内容、基金投资计划等信息；</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（8）违反证券交易场所业务规则，利用对敲、倒仓等手段操纵市场价格，扰乱市场秩序；</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（9）贬损同行，以抬高自己；</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olor w:val="000000" w:themeColor="text1"/>
          <w:kern w:val="0"/>
          <w:szCs w:val="21"/>
        </w:rPr>
        <w:t>1</w:t>
      </w:r>
      <w:r w:rsidRPr="00C86E67">
        <w:rPr>
          <w:rFonts w:asciiTheme="minorEastAsia" w:eastAsiaTheme="minorEastAsia" w:hAnsiTheme="minorEastAsia" w:hint="eastAsia"/>
          <w:color w:val="000000" w:themeColor="text1"/>
          <w:kern w:val="0"/>
          <w:szCs w:val="21"/>
        </w:rPr>
        <w:t>0）以不正当手段谋求业务发展；</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olor w:val="000000" w:themeColor="text1"/>
          <w:kern w:val="0"/>
          <w:szCs w:val="21"/>
        </w:rPr>
        <w:t>1</w:t>
      </w:r>
      <w:r w:rsidRPr="00C86E67">
        <w:rPr>
          <w:rFonts w:asciiTheme="minorEastAsia" w:eastAsiaTheme="minorEastAsia" w:hAnsiTheme="minorEastAsia" w:hint="eastAsia"/>
          <w:color w:val="000000" w:themeColor="text1"/>
          <w:kern w:val="0"/>
          <w:szCs w:val="21"/>
        </w:rPr>
        <w:t>1）有悖社会公德，损害证券投资基金人员形象；</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（12）在公开信息披露和广告中故意含有虚假、误导、欺诈成分；</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olor w:val="000000" w:themeColor="text1"/>
          <w:kern w:val="0"/>
          <w:szCs w:val="21"/>
        </w:rPr>
        <w:t>1</w:t>
      </w:r>
      <w:r w:rsidRPr="00C86E67">
        <w:rPr>
          <w:rFonts w:asciiTheme="minorEastAsia" w:eastAsiaTheme="minorEastAsia" w:hAnsiTheme="minorEastAsia" w:hint="eastAsia"/>
          <w:color w:val="000000" w:themeColor="text1"/>
          <w:kern w:val="0"/>
          <w:szCs w:val="21"/>
        </w:rPr>
        <w:t>3）其他法律、行政法规以及中国证监会禁止的行为。</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cs="Arial"/>
          <w:color w:val="000000" w:themeColor="text1"/>
          <w:kern w:val="0"/>
          <w:szCs w:val="21"/>
        </w:rPr>
        <w:t>4</w:t>
      </w:r>
      <w:r w:rsidRPr="00C86E67" w:rsidR="00552BE1">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hint="eastAsia"/>
          <w:color w:val="000000" w:themeColor="text1"/>
          <w:kern w:val="0"/>
          <w:szCs w:val="21"/>
        </w:rPr>
        <w:t>基金经理承诺</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s="Arial"/>
          <w:color w:val="000000" w:themeColor="text1"/>
          <w:kern w:val="0"/>
          <w:szCs w:val="21"/>
        </w:rPr>
        <w:t>1</w:t>
      </w:r>
      <w:r w:rsidRPr="00C86E67">
        <w:rPr>
          <w:rFonts w:asciiTheme="minorEastAsia" w:eastAsiaTheme="minorEastAsia" w:hAnsiTheme="minorEastAsia" w:hint="eastAsia"/>
          <w:color w:val="000000" w:themeColor="text1"/>
          <w:kern w:val="0"/>
          <w:szCs w:val="21"/>
        </w:rPr>
        <w:t>）依照有关法律、法规和基金合同的规定，本着谨慎的原则为基金份额持有人谋取最大利益；</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cs="Arial"/>
          <w:color w:val="000000" w:themeColor="text1"/>
          <w:kern w:val="0"/>
          <w:szCs w:val="21"/>
        </w:rPr>
        <w:t>2</w:t>
      </w:r>
      <w:r w:rsidRPr="00C86E67">
        <w:rPr>
          <w:rFonts w:asciiTheme="minorEastAsia" w:eastAsiaTheme="minorEastAsia" w:hAnsiTheme="minorEastAsia" w:hint="eastAsia"/>
          <w:color w:val="000000" w:themeColor="text1"/>
          <w:kern w:val="0"/>
          <w:szCs w:val="21"/>
        </w:rPr>
        <w:t>）不利用职务之便为自己及其代理人、受雇人或任何第三人谋取利益；</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w:t>
      </w:r>
      <w:r w:rsidRPr="00C86E67">
        <w:rPr>
          <w:rFonts w:asciiTheme="minorEastAsia" w:eastAsiaTheme="minorEastAsia" w:hAnsiTheme="minorEastAsia" w:cs="Arial"/>
          <w:color w:val="000000" w:themeColor="text1"/>
          <w:kern w:val="0"/>
        </w:rPr>
        <w:t>3</w:t>
      </w:r>
      <w:r w:rsidRPr="00C86E67">
        <w:rPr>
          <w:rFonts w:asciiTheme="minorEastAsia" w:eastAsiaTheme="minorEastAsia" w:hAnsiTheme="minorEastAsia" w:hint="eastAsia"/>
          <w:color w:val="000000" w:themeColor="text1"/>
          <w:kern w:val="0"/>
        </w:rPr>
        <w:t>）不</w:t>
      </w:r>
      <w:r w:rsidRPr="00C86E67">
        <w:rPr>
          <w:rFonts w:asciiTheme="minorEastAsia" w:eastAsiaTheme="minorEastAsia" w:hAnsiTheme="minorEastAsia" w:hint="eastAsia"/>
          <w:color w:val="000000" w:themeColor="text1"/>
          <w:kern w:val="0"/>
          <w:szCs w:val="21"/>
        </w:rPr>
        <w:t>违</w:t>
      </w:r>
      <w:r w:rsidRPr="00C86E67">
        <w:rPr>
          <w:rFonts w:asciiTheme="minorEastAsia" w:eastAsiaTheme="minorEastAsia" w:hAnsiTheme="minorEastAsia" w:hint="eastAsia"/>
          <w:color w:val="000000" w:themeColor="text1"/>
          <w:kern w:val="0"/>
        </w:rPr>
        <w:t>反现行有效的有关法律、法规、规章、基金合同和中国证监会的有关规定，泄漏在任职期间知悉的有关证券、基金的商业秘密、尚未依法公开的基金投资内容、基金投资计划等信息；</w:t>
      </w: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rPr>
      </w:pPr>
      <w:r w:rsidRPr="00C86E67">
        <w:rPr>
          <w:rFonts w:asciiTheme="minorEastAsia" w:eastAsiaTheme="minorEastAsia" w:hAnsiTheme="minorEastAsia" w:hint="eastAsia"/>
          <w:color w:val="000000" w:themeColor="text1"/>
          <w:kern w:val="0"/>
        </w:rPr>
        <w:t>（4）不</w:t>
      </w:r>
      <w:r w:rsidRPr="00C86E67">
        <w:rPr>
          <w:rFonts w:asciiTheme="minorEastAsia" w:eastAsiaTheme="minorEastAsia" w:hAnsiTheme="minorEastAsia"/>
          <w:color w:val="000000" w:themeColor="text1"/>
          <w:kern w:val="0"/>
        </w:rPr>
        <w:t>从事损害基金财产和基金份额持有人利益的证券交易及其他活动。</w:t>
      </w:r>
    </w:p>
    <w:p w:rsidR="00C35BC5" w:rsidRPr="00C86E67" w:rsidP="00B5132A">
      <w:pPr>
        <w:pStyle w:val="Heading2"/>
        <w:snapToGrid w:val="0"/>
        <w:spacing w:beforeLines="0" w:afterLines="0" w:line="360" w:lineRule="auto"/>
        <w:ind w:firstLine="0" w:firstLineChars="0"/>
        <w:rPr>
          <w:rStyle w:val="da"/>
          <w:rFonts w:asciiTheme="minorEastAsia" w:eastAsiaTheme="minorEastAsia" w:hAnsiTheme="minorEastAsia"/>
          <w:color w:val="000000" w:themeColor="text1"/>
          <w:sz w:val="24"/>
          <w:szCs w:val="24"/>
        </w:rPr>
      </w:pPr>
      <w:bookmarkStart w:id="11" w:name="_Toc91764794"/>
      <w:r w:rsidRPr="00C86E67">
        <w:rPr>
          <w:rFonts w:asciiTheme="minorEastAsia" w:eastAsiaTheme="minorEastAsia" w:hAnsiTheme="minorEastAsia" w:hint="eastAsia"/>
          <w:bCs/>
          <w:color w:val="000000" w:themeColor="text1"/>
          <w:sz w:val="24"/>
          <w:szCs w:val="24"/>
        </w:rPr>
        <w:t>（五）</w:t>
      </w:r>
      <w:r w:rsidRPr="00C86E67">
        <w:rPr>
          <w:rFonts w:asciiTheme="minorEastAsia" w:eastAsiaTheme="minorEastAsia" w:hAnsiTheme="minorEastAsia"/>
          <w:bCs/>
          <w:color w:val="000000" w:themeColor="text1"/>
          <w:sz w:val="24"/>
          <w:szCs w:val="24"/>
        </w:rPr>
        <w:t>基金管理人的内部控制制度</w:t>
      </w:r>
      <w:bookmarkEnd w:id="11"/>
    </w:p>
    <w:p w:rsidR="003352D9" w:rsidRPr="00C86E67" w:rsidP="009A23D7">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1、公司内部控制的总体目标</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（1）保证公司经营管理活动的合法合规性；</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（2）保证各类基金份额持有人及委托人的合法权益不受侵犯；</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（4）督促公司全体员工恪守职业操守，正直诚信，廉洁自律，勤勉尽责；</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（5）维护公司的声誉，保持公司的良好形象。</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2、公司内部控制遵循的原则</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（2）有效性原则。通过科学的内控手段和方法，建立合理的内控程序，维护内控制度的有效执行。</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（4）相互制约原则。公司内部部门和岗位的设置应当体现权责分明、相互制衡。</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3、内部控制的制度体系</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4、关于授权、研究、投资、交易等方面的控制点</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（1）授权制度</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（2）公司研究业务</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（3）基金投资业务</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（4）交易业务</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（5）基金会计核算</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（6）信息披露</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（7）监察与合规管理</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5、基金管理人关于内部控制制度声明书</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（1）本公司承诺以上关于内部控制制度的披露真实、准确；</w:t>
      </w:r>
    </w:p>
    <w:p w:rsidR="003352D9" w:rsidRPr="00C86E67" w:rsidP="009A23D7">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2</w:t>
      </w:r>
      <w:r w:rsidRPr="00C86E67">
        <w:rPr>
          <w:rFonts w:asciiTheme="minorEastAsia" w:eastAsiaTheme="minorEastAsia" w:hAnsiTheme="minorEastAsia" w:hint="eastAsia"/>
          <w:color w:val="000000" w:themeColor="text1"/>
          <w:szCs w:val="21"/>
        </w:rPr>
        <w:t>）本公司承诺根据市场变化和公司业务发展不断完善内部控制制度。</w:t>
      </w:r>
      <w:bookmarkStart w:id="12" w:name="_Toc296526926"/>
      <w:bookmarkStart w:id="13" w:name="_Toc296526927"/>
      <w:bookmarkStart w:id="14" w:name="_Toc296526928"/>
      <w:bookmarkStart w:id="15" w:name="_Toc296526929"/>
      <w:bookmarkStart w:id="16" w:name="_Toc296526931"/>
      <w:bookmarkStart w:id="17" w:name="_Toc296526932"/>
      <w:bookmarkStart w:id="18" w:name="_Toc296526933"/>
      <w:bookmarkStart w:id="19" w:name="_Toc296526934"/>
      <w:bookmarkStart w:id="20" w:name="_Toc296526936"/>
      <w:bookmarkStart w:id="21" w:name="_Toc296526958"/>
      <w:bookmarkStart w:id="22" w:name="_Toc272569765"/>
      <w:bookmarkStart w:id="23" w:name="_Toc272569766"/>
      <w:bookmarkStart w:id="24" w:name="_Toc272569767"/>
      <w:bookmarkStart w:id="25" w:name="_Toc272569768"/>
      <w:bookmarkStart w:id="26" w:name="_Toc272569769"/>
      <w:bookmarkStart w:id="27" w:name="_Toc272569770"/>
      <w:bookmarkStart w:id="28" w:name="_Toc272569771"/>
      <w:bookmarkStart w:id="29" w:name="_Toc272569772"/>
      <w:bookmarkStart w:id="30" w:name="_Toc272569773"/>
      <w:bookmarkStart w:id="31" w:name="_Toc296440126"/>
      <w:bookmarkStart w:id="32" w:name="_Toc296526963"/>
      <w:bookmarkStart w:id="33" w:name="_Toc296526974"/>
      <w:bookmarkStart w:id="34" w:name="_Toc323051000"/>
      <w:bookmarkStart w:id="35" w:name="_Toc308697488"/>
      <w:bookmarkStart w:id="36" w:name="_Toc309286010"/>
      <w:bookmarkStart w:id="37" w:name="_Toc296526989"/>
      <w:bookmarkStart w:id="38" w:name="_Toc323051008"/>
      <w:bookmarkStart w:id="39" w:name="_Toc296526992"/>
      <w:bookmarkStart w:id="40" w:name="_Toc296526993"/>
      <w:bookmarkStart w:id="41" w:name="_Toc277752499"/>
      <w:bookmarkStart w:id="42" w:name="_Toc277786078"/>
      <w:bookmarkStart w:id="43" w:name="_Toc277787599"/>
      <w:bookmarkStart w:id="44" w:name="_Toc277787873"/>
      <w:bookmarkStart w:id="45" w:name="_Toc278409384"/>
      <w:bookmarkStart w:id="46" w:name="_Toc308697497"/>
      <w:bookmarkStart w:id="47" w:name="_Toc309286019"/>
      <w:bookmarkStart w:id="48" w:name="_Toc308697498"/>
      <w:bookmarkStart w:id="49" w:name="_Toc309286020"/>
      <w:bookmarkStart w:id="50" w:name="_Toc308697499"/>
      <w:bookmarkStart w:id="51" w:name="_Toc309286021"/>
      <w:bookmarkStart w:id="52" w:name="_Toc308697500"/>
      <w:bookmarkStart w:id="53" w:name="_Toc309286022"/>
      <w:bookmarkStart w:id="54" w:name="_Toc308697501"/>
      <w:bookmarkStart w:id="55" w:name="_Toc309286023"/>
      <w:bookmarkStart w:id="56" w:name="_Toc308697502"/>
      <w:bookmarkStart w:id="57" w:name="_Toc309286024"/>
      <w:bookmarkStart w:id="58" w:name="_Toc308697503"/>
      <w:bookmarkStart w:id="59" w:name="_Toc309286025"/>
      <w:bookmarkStart w:id="60" w:name="_Toc308697504"/>
      <w:bookmarkStart w:id="61" w:name="_Toc309286026"/>
      <w:bookmarkStart w:id="62" w:name="_Toc308697505"/>
      <w:bookmarkStart w:id="63" w:name="_Toc309286027"/>
      <w:bookmarkStart w:id="64" w:name="_Toc308697506"/>
      <w:bookmarkStart w:id="65" w:name="_Toc309286028"/>
      <w:bookmarkStart w:id="66" w:name="_Toc308697507"/>
      <w:bookmarkStart w:id="67" w:name="_Toc309286029"/>
      <w:bookmarkStart w:id="68" w:name="_Toc308697508"/>
      <w:bookmarkStart w:id="69" w:name="_Toc309286030"/>
      <w:bookmarkStart w:id="70" w:name="_Toc308697509"/>
      <w:bookmarkStart w:id="71" w:name="_Toc309286031"/>
      <w:bookmarkStart w:id="72" w:name="_Toc308697510"/>
      <w:bookmarkStart w:id="73" w:name="_Toc309286032"/>
      <w:bookmarkStart w:id="74" w:name="_Toc308697511"/>
      <w:bookmarkStart w:id="75" w:name="_Toc309286033"/>
      <w:bookmarkStart w:id="76" w:name="_Toc308697512"/>
      <w:bookmarkStart w:id="77" w:name="_Toc309286034"/>
      <w:bookmarkStart w:id="78" w:name="_Toc308697513"/>
      <w:bookmarkStart w:id="79" w:name="_Toc309286035"/>
      <w:bookmarkStart w:id="80" w:name="_Toc277752504"/>
      <w:bookmarkStart w:id="81" w:name="_Toc277786083"/>
      <w:bookmarkStart w:id="82" w:name="_Toc277787604"/>
      <w:bookmarkStart w:id="83" w:name="_Toc277787878"/>
      <w:bookmarkStart w:id="84" w:name="_Toc278409389"/>
      <w:bookmarkStart w:id="85" w:name="_Toc277752505"/>
      <w:bookmarkStart w:id="86" w:name="_Toc277786084"/>
      <w:bookmarkStart w:id="87" w:name="_Toc277787605"/>
      <w:bookmarkStart w:id="88" w:name="_Toc277787879"/>
      <w:bookmarkStart w:id="89" w:name="_Toc278409390"/>
      <w:bookmarkStart w:id="90" w:name="_Toc277752506"/>
      <w:bookmarkStart w:id="91" w:name="_Toc277786085"/>
      <w:bookmarkStart w:id="92" w:name="_Toc277787606"/>
      <w:bookmarkStart w:id="93" w:name="_Toc277787880"/>
      <w:bookmarkStart w:id="94" w:name="_Toc278409391"/>
      <w:bookmarkStart w:id="95" w:name="_Toc277752507"/>
      <w:bookmarkStart w:id="96" w:name="_Toc277786086"/>
      <w:bookmarkStart w:id="97" w:name="_Toc277787607"/>
      <w:bookmarkStart w:id="98" w:name="_Toc277787881"/>
      <w:bookmarkStart w:id="99" w:name="_Toc278409392"/>
      <w:bookmarkStart w:id="100" w:name="_Toc277752508"/>
      <w:bookmarkStart w:id="101" w:name="_Toc277786087"/>
      <w:bookmarkStart w:id="102" w:name="_Toc277787608"/>
      <w:bookmarkStart w:id="103" w:name="_Toc277787882"/>
      <w:bookmarkStart w:id="104" w:name="_Toc278409393"/>
      <w:bookmarkStart w:id="105" w:name="_Toc277752509"/>
      <w:bookmarkStart w:id="106" w:name="_Toc277786088"/>
      <w:bookmarkStart w:id="107" w:name="_Toc277787609"/>
      <w:bookmarkStart w:id="108" w:name="_Toc277787883"/>
      <w:bookmarkStart w:id="109" w:name="_Toc278409394"/>
      <w:bookmarkStart w:id="110" w:name="_Hlt70481650"/>
      <w:bookmarkStart w:id="111" w:name="_Toc308697516"/>
      <w:bookmarkStart w:id="112" w:name="_Toc309286038"/>
      <w:bookmarkStart w:id="113" w:name="_Toc308697517"/>
      <w:bookmarkStart w:id="114" w:name="_Toc309286039"/>
      <w:bookmarkStart w:id="115" w:name="_Toc296527004"/>
      <w:bookmarkStart w:id="116" w:name="_Hlt88827255"/>
      <w:bookmarkStart w:id="117" w:name="_Toc308697541"/>
      <w:bookmarkStart w:id="118" w:name="_Toc309286063"/>
      <w:bookmarkStart w:id="119" w:name="_Toc308697542"/>
      <w:bookmarkStart w:id="120" w:name="_Toc309286064"/>
      <w:bookmarkStart w:id="121" w:name="_Toc308697543"/>
      <w:bookmarkStart w:id="122" w:name="_Toc309286065"/>
      <w:bookmarkStart w:id="123" w:name="_Toc306614238"/>
      <w:bookmarkStart w:id="124" w:name="_Toc310512463"/>
      <w:bookmarkStart w:id="125" w:name="_Toc310512627"/>
      <w:bookmarkStart w:id="126" w:name="_Toc310512780"/>
      <w:bookmarkStart w:id="127" w:name="_Toc310512933"/>
      <w:bookmarkStart w:id="128" w:name="_Toc310513073"/>
      <w:bookmarkStart w:id="129" w:name="_Toc310513212"/>
      <w:bookmarkStart w:id="130" w:name="_Toc310513348"/>
      <w:bookmarkStart w:id="131" w:name="_Toc323051024"/>
      <w:bookmarkStart w:id="132" w:name="_Toc310512464"/>
      <w:bookmarkStart w:id="133" w:name="_Toc310512628"/>
      <w:bookmarkStart w:id="134" w:name="_Toc310512781"/>
      <w:bookmarkStart w:id="135" w:name="_Toc310512934"/>
      <w:bookmarkStart w:id="136" w:name="_Toc310513074"/>
      <w:bookmarkStart w:id="137" w:name="_Toc310513213"/>
      <w:bookmarkStart w:id="138" w:name="_Toc310513349"/>
      <w:bookmarkStart w:id="139" w:name="_Toc323051025"/>
      <w:bookmarkStart w:id="140" w:name="_Toc310512465"/>
      <w:bookmarkStart w:id="141" w:name="_Toc310512629"/>
      <w:bookmarkStart w:id="142" w:name="_Toc310512782"/>
      <w:bookmarkStart w:id="143" w:name="_Toc310512935"/>
      <w:bookmarkStart w:id="144" w:name="_Toc310513075"/>
      <w:bookmarkStart w:id="145" w:name="_Toc310513214"/>
      <w:bookmarkStart w:id="146" w:name="_Toc310513350"/>
      <w:bookmarkStart w:id="147" w:name="_Toc323051026"/>
      <w:bookmarkStart w:id="148" w:name="_Hlt88841837"/>
      <w:bookmarkStart w:id="149" w:name="_Hlt88900062"/>
      <w:bookmarkStart w:id="150" w:name="_Toc308697560"/>
      <w:bookmarkStart w:id="151" w:name="_Toc309286082"/>
      <w:bookmarkStart w:id="152" w:name="_Toc308697561"/>
      <w:bookmarkStart w:id="153" w:name="_Toc309286083"/>
      <w:bookmarkStart w:id="154" w:name="_Toc308697562"/>
      <w:bookmarkStart w:id="155" w:name="_Toc309286084"/>
      <w:bookmarkStart w:id="156" w:name="_Toc185222016"/>
      <w:bookmarkStart w:id="157" w:name="_Toc185222488"/>
      <w:bookmarkStart w:id="158" w:name="_Toc185222591"/>
      <w:bookmarkStart w:id="159" w:name="_Toc185222757"/>
      <w:bookmarkStart w:id="160" w:name="_Hlt80958353"/>
      <w:bookmarkStart w:id="161" w:name="_Toc278409426"/>
      <w:bookmarkStart w:id="162" w:name="_Toc323051053"/>
      <w:bookmarkStart w:id="163" w:name="_Toc323051054"/>
      <w:bookmarkStart w:id="164" w:name="_Toc323051055"/>
      <w:bookmarkStart w:id="165" w:name="_Toc308697583"/>
      <w:bookmarkStart w:id="166" w:name="_Toc309286105"/>
      <w:bookmarkStart w:id="167" w:name="_Toc308697584"/>
      <w:bookmarkStart w:id="168" w:name="_Toc309286106"/>
      <w:bookmarkStart w:id="169" w:name="_Toc308697585"/>
      <w:bookmarkStart w:id="170" w:name="_Toc309286107"/>
      <w:bookmarkStart w:id="171" w:name="_Toc308697586"/>
      <w:bookmarkStart w:id="172" w:name="_Toc309286108"/>
      <w:bookmarkStart w:id="173" w:name="_Toc308697587"/>
      <w:bookmarkStart w:id="174" w:name="_Toc309286109"/>
      <w:bookmarkStart w:id="175" w:name="_Toc308697588"/>
      <w:bookmarkStart w:id="176" w:name="_Toc309286110"/>
      <w:bookmarkStart w:id="177" w:name="_Toc308697589"/>
      <w:bookmarkStart w:id="178" w:name="_Toc309286111"/>
      <w:bookmarkStart w:id="179" w:name="_Toc308697590"/>
      <w:bookmarkStart w:id="180" w:name="_Toc309286112"/>
      <w:bookmarkStart w:id="181" w:name="_Toc308697591"/>
      <w:bookmarkStart w:id="182" w:name="_Toc309286113"/>
      <w:bookmarkStart w:id="183" w:name="_Toc308697592"/>
      <w:bookmarkStart w:id="184" w:name="_Toc309286114"/>
      <w:bookmarkStart w:id="185" w:name="_Toc308697593"/>
      <w:bookmarkStart w:id="186" w:name="_Toc309286115"/>
      <w:bookmarkStart w:id="187" w:name="_Toc308697594"/>
      <w:bookmarkStart w:id="188" w:name="_Toc309286116"/>
      <w:bookmarkStart w:id="189" w:name="_Toc308697595"/>
      <w:bookmarkStart w:id="190" w:name="_Toc309286117"/>
      <w:bookmarkStart w:id="191" w:name="_Toc308697596"/>
      <w:bookmarkStart w:id="192" w:name="_Toc309286118"/>
      <w:bookmarkStart w:id="193" w:name="_Toc308697597"/>
      <w:bookmarkStart w:id="194" w:name="_Toc309286119"/>
      <w:bookmarkStart w:id="195" w:name="_Toc308697598"/>
      <w:bookmarkStart w:id="196" w:name="_Toc309286120"/>
      <w:bookmarkStart w:id="197" w:name="_Toc308697599"/>
      <w:bookmarkStart w:id="198" w:name="_Toc309286121"/>
      <w:bookmarkStart w:id="199" w:name="_Toc308697600"/>
      <w:bookmarkStart w:id="200" w:name="_Toc309286122"/>
      <w:bookmarkStart w:id="201" w:name="_Toc308697601"/>
      <w:bookmarkStart w:id="202" w:name="_Toc309286123"/>
      <w:bookmarkStart w:id="203" w:name="_Toc308697602"/>
      <w:bookmarkStart w:id="204" w:name="_Toc309286124"/>
      <w:bookmarkStart w:id="205" w:name="_Toc308697603"/>
      <w:bookmarkStart w:id="206" w:name="_Toc309286125"/>
      <w:bookmarkStart w:id="207" w:name="_Toc308697604"/>
      <w:bookmarkStart w:id="208" w:name="_Toc309286126"/>
      <w:bookmarkStart w:id="209" w:name="_Toc308697605"/>
      <w:bookmarkStart w:id="210" w:name="_Toc309286127"/>
      <w:bookmarkStart w:id="211" w:name="_Toc308697606"/>
      <w:bookmarkStart w:id="212" w:name="_Toc309286128"/>
      <w:bookmarkStart w:id="213" w:name="_Toc308697607"/>
      <w:bookmarkStart w:id="214" w:name="_Toc309286129"/>
      <w:bookmarkStart w:id="215" w:name="_Toc308697608"/>
      <w:bookmarkStart w:id="216" w:name="_Toc309286130"/>
      <w:bookmarkStart w:id="217" w:name="_Toc308697609"/>
      <w:bookmarkStart w:id="218" w:name="_Toc309286131"/>
      <w:bookmarkStart w:id="219" w:name="_Toc308697610"/>
      <w:bookmarkStart w:id="220" w:name="_Toc309286132"/>
      <w:bookmarkStart w:id="221" w:name="_Toc308697611"/>
      <w:bookmarkStart w:id="222" w:name="_Toc309286133"/>
      <w:bookmarkStart w:id="223" w:name="_Toc308697612"/>
      <w:bookmarkStart w:id="224" w:name="_Toc309286134"/>
      <w:bookmarkStart w:id="225" w:name="_Toc308697613"/>
      <w:bookmarkStart w:id="226" w:name="_Toc309286135"/>
      <w:bookmarkStart w:id="227" w:name="_Toc308697614"/>
      <w:bookmarkStart w:id="228" w:name="_Toc309286136"/>
      <w:bookmarkStart w:id="229" w:name="_Toc308697615"/>
      <w:bookmarkStart w:id="230" w:name="_Toc309286137"/>
      <w:bookmarkStart w:id="231" w:name="_Toc308697616"/>
      <w:bookmarkStart w:id="232" w:name="_Toc309286138"/>
      <w:bookmarkStart w:id="233" w:name="_Toc308697617"/>
      <w:bookmarkStart w:id="234" w:name="_Toc309286139"/>
      <w:bookmarkStart w:id="235" w:name="_Toc308697618"/>
      <w:bookmarkStart w:id="236" w:name="_Toc309286140"/>
      <w:bookmarkStart w:id="237" w:name="_Toc308697619"/>
      <w:bookmarkStart w:id="238" w:name="_Toc309286141"/>
      <w:bookmarkStart w:id="239" w:name="_Toc308697620"/>
      <w:bookmarkStart w:id="240" w:name="_Toc309286142"/>
      <w:bookmarkStart w:id="241" w:name="_Toc308697621"/>
      <w:bookmarkStart w:id="242" w:name="_Toc309286143"/>
      <w:bookmarkStart w:id="243" w:name="_Toc308697622"/>
      <w:bookmarkStart w:id="244" w:name="_Toc309286144"/>
      <w:bookmarkStart w:id="245" w:name="_Toc308697623"/>
      <w:bookmarkStart w:id="246" w:name="_Toc309286145"/>
      <w:bookmarkStart w:id="247" w:name="_Toc308697624"/>
      <w:bookmarkStart w:id="248" w:name="_Toc309286146"/>
      <w:bookmarkStart w:id="249" w:name="_Toc308697625"/>
      <w:bookmarkStart w:id="250" w:name="_Toc309286147"/>
      <w:bookmarkStart w:id="251" w:name="_Toc308697626"/>
      <w:bookmarkStart w:id="252" w:name="_Toc309286148"/>
      <w:bookmarkStart w:id="253" w:name="_Toc308697627"/>
      <w:bookmarkStart w:id="254" w:name="_Toc309286149"/>
      <w:bookmarkStart w:id="255" w:name="_Toc308697628"/>
      <w:bookmarkStart w:id="256" w:name="_Toc309286150"/>
      <w:bookmarkStart w:id="257" w:name="_Toc308697629"/>
      <w:bookmarkStart w:id="258" w:name="_Toc309286151"/>
      <w:bookmarkStart w:id="259" w:name="_Toc308697630"/>
      <w:bookmarkStart w:id="260" w:name="_Toc309286152"/>
      <w:bookmarkStart w:id="261" w:name="_Toc308697631"/>
      <w:bookmarkStart w:id="262" w:name="_Toc309286153"/>
      <w:bookmarkStart w:id="263" w:name="_Toc308697632"/>
      <w:bookmarkStart w:id="264" w:name="_Toc309286154"/>
      <w:bookmarkStart w:id="265" w:name="_Toc308697633"/>
      <w:bookmarkStart w:id="266" w:name="_Toc309286155"/>
      <w:bookmarkStart w:id="267" w:name="_Toc308697634"/>
      <w:bookmarkStart w:id="268" w:name="_Toc309286156"/>
      <w:bookmarkStart w:id="269" w:name="_Toc308697635"/>
      <w:bookmarkStart w:id="270" w:name="_Toc309286157"/>
      <w:bookmarkStart w:id="271" w:name="_Toc308697636"/>
      <w:bookmarkStart w:id="272" w:name="_Toc309286158"/>
      <w:bookmarkStart w:id="273" w:name="_Toc308697637"/>
      <w:bookmarkStart w:id="274" w:name="_Toc309286159"/>
      <w:bookmarkStart w:id="275" w:name="_Toc308697638"/>
      <w:bookmarkStart w:id="276" w:name="_Toc309286160"/>
      <w:bookmarkStart w:id="277" w:name="_Toc308697639"/>
      <w:bookmarkStart w:id="278" w:name="_Toc309286161"/>
      <w:bookmarkStart w:id="279" w:name="_Toc308697640"/>
      <w:bookmarkStart w:id="280" w:name="_Toc309286162"/>
      <w:bookmarkStart w:id="281" w:name="_Toc308697641"/>
      <w:bookmarkStart w:id="282" w:name="_Toc309286163"/>
      <w:bookmarkStart w:id="283" w:name="_Toc308697642"/>
      <w:bookmarkStart w:id="284" w:name="_Toc309286164"/>
      <w:bookmarkStart w:id="285" w:name="_Toc308697643"/>
      <w:bookmarkStart w:id="286" w:name="_Toc309286165"/>
      <w:bookmarkStart w:id="287" w:name="_Toc308697644"/>
      <w:bookmarkStart w:id="288" w:name="_Toc309286166"/>
      <w:bookmarkStart w:id="289" w:name="_Toc308697645"/>
      <w:bookmarkStart w:id="290" w:name="_Toc309286167"/>
      <w:bookmarkStart w:id="291" w:name="_Toc308697646"/>
      <w:bookmarkStart w:id="292" w:name="_Toc309286168"/>
      <w:bookmarkStart w:id="293" w:name="_Toc308697647"/>
      <w:bookmarkStart w:id="294" w:name="_Toc309286169"/>
      <w:bookmarkStart w:id="295" w:name="_Toc308697648"/>
      <w:bookmarkStart w:id="296" w:name="_Toc309286170"/>
      <w:bookmarkStart w:id="297" w:name="_Toc308697649"/>
      <w:bookmarkStart w:id="298" w:name="_Toc309286171"/>
      <w:bookmarkStart w:id="299" w:name="_Toc308697650"/>
      <w:bookmarkStart w:id="300" w:name="_Toc309286172"/>
      <w:bookmarkStart w:id="301" w:name="_Toc308697651"/>
      <w:bookmarkStart w:id="302" w:name="_Toc309286173"/>
      <w:bookmarkStart w:id="303" w:name="_Toc308697652"/>
      <w:bookmarkStart w:id="304" w:name="_Toc309286174"/>
      <w:bookmarkStart w:id="305" w:name="_Toc308697653"/>
      <w:bookmarkStart w:id="306" w:name="_Toc309286175"/>
      <w:bookmarkStart w:id="307" w:name="_Toc308697654"/>
      <w:bookmarkStart w:id="308" w:name="_Toc309286176"/>
      <w:bookmarkStart w:id="309" w:name="_Toc308697655"/>
      <w:bookmarkStart w:id="310" w:name="_Toc309286177"/>
      <w:bookmarkStart w:id="311" w:name="_Toc308697656"/>
      <w:bookmarkStart w:id="312" w:name="_Toc309286178"/>
      <w:bookmarkStart w:id="313" w:name="_Toc308697657"/>
      <w:bookmarkStart w:id="314" w:name="_Toc309286179"/>
      <w:bookmarkStart w:id="315" w:name="_Toc308697658"/>
      <w:bookmarkStart w:id="316" w:name="_Toc309286180"/>
      <w:bookmarkStart w:id="317" w:name="_Toc308697659"/>
      <w:bookmarkStart w:id="318" w:name="_Toc309286181"/>
      <w:bookmarkStart w:id="319" w:name="_Toc308697660"/>
      <w:bookmarkStart w:id="320" w:name="_Toc309286182"/>
      <w:bookmarkStart w:id="321" w:name="_Toc308697661"/>
      <w:bookmarkStart w:id="322" w:name="_Toc309286183"/>
      <w:bookmarkStart w:id="323" w:name="_Toc308697662"/>
      <w:bookmarkStart w:id="324" w:name="_Toc309286184"/>
      <w:bookmarkStart w:id="325" w:name="_Toc308697663"/>
      <w:bookmarkStart w:id="326" w:name="_Toc309286185"/>
      <w:bookmarkStart w:id="327" w:name="_Toc308697664"/>
      <w:bookmarkStart w:id="328" w:name="_Toc309286186"/>
      <w:bookmarkStart w:id="329" w:name="_Toc308697665"/>
      <w:bookmarkStart w:id="330" w:name="_Toc309286187"/>
      <w:bookmarkStart w:id="331" w:name="_Toc308697666"/>
      <w:bookmarkStart w:id="332" w:name="_Toc309286188"/>
      <w:bookmarkStart w:id="333" w:name="_Toc308697667"/>
      <w:bookmarkStart w:id="334" w:name="_Toc309286189"/>
      <w:bookmarkStart w:id="335" w:name="_Toc308697668"/>
      <w:bookmarkStart w:id="336" w:name="_Toc309286190"/>
      <w:bookmarkStart w:id="337" w:name="_Toc308697669"/>
      <w:bookmarkStart w:id="338" w:name="_Toc309286191"/>
      <w:bookmarkStart w:id="339" w:name="_Toc308697670"/>
      <w:bookmarkStart w:id="340" w:name="_Toc309286192"/>
      <w:bookmarkStart w:id="341" w:name="_Toc308697671"/>
      <w:bookmarkStart w:id="342" w:name="_Toc309286193"/>
      <w:bookmarkStart w:id="343" w:name="_Toc308697672"/>
      <w:bookmarkStart w:id="344" w:name="_Toc309286194"/>
      <w:bookmarkStart w:id="345" w:name="_Toc308697673"/>
      <w:bookmarkStart w:id="346" w:name="_Toc309286195"/>
      <w:bookmarkStart w:id="347" w:name="_Toc308697674"/>
      <w:bookmarkStart w:id="348" w:name="_Toc309286196"/>
      <w:bookmarkStart w:id="349" w:name="_Toc308697675"/>
      <w:bookmarkStart w:id="350" w:name="_Toc309286197"/>
      <w:bookmarkStart w:id="351" w:name="_Toc308697676"/>
      <w:bookmarkStart w:id="352" w:name="_Toc309286198"/>
      <w:bookmarkStart w:id="353" w:name="_Toc308697677"/>
      <w:bookmarkStart w:id="354" w:name="_Toc309286199"/>
      <w:bookmarkStart w:id="355" w:name="_Toc308697678"/>
      <w:bookmarkStart w:id="356" w:name="_Toc309286200"/>
      <w:bookmarkStart w:id="357" w:name="_Toc308697679"/>
      <w:bookmarkStart w:id="358" w:name="_Toc309286201"/>
      <w:bookmarkStart w:id="359" w:name="_Toc308697680"/>
      <w:bookmarkStart w:id="360" w:name="_Toc309286202"/>
      <w:bookmarkStart w:id="361" w:name="_Toc308697681"/>
      <w:bookmarkStart w:id="362" w:name="_Toc309286203"/>
      <w:bookmarkStart w:id="363" w:name="_Toc308697682"/>
      <w:bookmarkStart w:id="364" w:name="_Toc309286204"/>
      <w:bookmarkStart w:id="365" w:name="_Toc308697683"/>
      <w:bookmarkStart w:id="366" w:name="_Toc309286205"/>
      <w:bookmarkStart w:id="367" w:name="_Toc308697684"/>
      <w:bookmarkStart w:id="368" w:name="_Toc309286206"/>
      <w:bookmarkStart w:id="369" w:name="_Toc308697685"/>
      <w:bookmarkStart w:id="370" w:name="_Toc309286207"/>
      <w:bookmarkStart w:id="371" w:name="_Toc272569090"/>
      <w:bookmarkStart w:id="372" w:name="_Toc272569242"/>
      <w:bookmarkStart w:id="373" w:name="_Toc272569426"/>
      <w:bookmarkStart w:id="374" w:name="_Toc272569563"/>
      <w:bookmarkStart w:id="375" w:name="_Toc272569699"/>
      <w:bookmarkStart w:id="376" w:name="_Toc272569850"/>
      <w:bookmarkStart w:id="377" w:name="_Toc272570173"/>
      <w:bookmarkStart w:id="378" w:name="_Toc272570307"/>
      <w:bookmarkStart w:id="379" w:name="_Toc272570440"/>
      <w:bookmarkStart w:id="380" w:name="_Toc272570574"/>
      <w:bookmarkStart w:id="381" w:name="_Toc272570707"/>
      <w:bookmarkStart w:id="382" w:name="_Toc272570840"/>
      <w:bookmarkStart w:id="383" w:name="_Toc272569091"/>
      <w:bookmarkStart w:id="384" w:name="_Toc272569243"/>
      <w:bookmarkStart w:id="385" w:name="_Toc272569427"/>
      <w:bookmarkStart w:id="386" w:name="_Toc272569564"/>
      <w:bookmarkStart w:id="387" w:name="_Toc272569700"/>
      <w:bookmarkStart w:id="388" w:name="_Toc272569851"/>
      <w:bookmarkStart w:id="389" w:name="_Toc272570174"/>
      <w:bookmarkStart w:id="390" w:name="_Toc272570308"/>
      <w:bookmarkStart w:id="391" w:name="_Toc272570441"/>
      <w:bookmarkStart w:id="392" w:name="_Toc272570575"/>
      <w:bookmarkStart w:id="393" w:name="_Toc272570708"/>
      <w:bookmarkStart w:id="394" w:name="_Toc272570841"/>
      <w:bookmarkStart w:id="395" w:name="_Toc272569093"/>
      <w:bookmarkStart w:id="396" w:name="_Toc272569245"/>
      <w:bookmarkStart w:id="397" w:name="_Toc272569429"/>
      <w:bookmarkStart w:id="398" w:name="_Toc272569566"/>
      <w:bookmarkStart w:id="399" w:name="_Toc272569702"/>
      <w:bookmarkStart w:id="400" w:name="_Toc272569853"/>
      <w:bookmarkStart w:id="401" w:name="_Toc272570176"/>
      <w:bookmarkStart w:id="402" w:name="_Toc272570310"/>
      <w:bookmarkStart w:id="403" w:name="_Toc272570443"/>
      <w:bookmarkStart w:id="404" w:name="_Toc272570577"/>
      <w:bookmarkStart w:id="405" w:name="_Toc272570710"/>
      <w:bookmarkStart w:id="406" w:name="_Toc272570843"/>
      <w:bookmarkStart w:id="407" w:name="_Toc272569094"/>
      <w:bookmarkStart w:id="408" w:name="_Toc272569246"/>
      <w:bookmarkStart w:id="409" w:name="_Toc272569430"/>
      <w:bookmarkStart w:id="410" w:name="_Toc272569567"/>
      <w:bookmarkStart w:id="411" w:name="_Toc272569703"/>
      <w:bookmarkStart w:id="412" w:name="_Toc272569854"/>
      <w:bookmarkStart w:id="413" w:name="_Toc272570177"/>
      <w:bookmarkStart w:id="414" w:name="_Toc272570311"/>
      <w:bookmarkStart w:id="415" w:name="_Toc272570444"/>
      <w:bookmarkStart w:id="416" w:name="_Toc272570578"/>
      <w:bookmarkStart w:id="417" w:name="_Toc272570711"/>
      <w:bookmarkStart w:id="418" w:name="_Toc272570844"/>
      <w:bookmarkStart w:id="419" w:name="_Toc272569095"/>
      <w:bookmarkStart w:id="420" w:name="_Toc272569247"/>
      <w:bookmarkStart w:id="421" w:name="_Toc272569431"/>
      <w:bookmarkStart w:id="422" w:name="_Toc272569568"/>
      <w:bookmarkStart w:id="423" w:name="_Toc272569704"/>
      <w:bookmarkStart w:id="424" w:name="_Toc272569855"/>
      <w:bookmarkStart w:id="425" w:name="_Toc272570178"/>
      <w:bookmarkStart w:id="426" w:name="_Toc272570312"/>
      <w:bookmarkStart w:id="427" w:name="_Toc272570445"/>
      <w:bookmarkStart w:id="428" w:name="_Toc272570579"/>
      <w:bookmarkStart w:id="429" w:name="_Toc272570712"/>
      <w:bookmarkStart w:id="430" w:name="_Toc272570845"/>
      <w:bookmarkStart w:id="431" w:name="_Toc272569096"/>
      <w:bookmarkStart w:id="432" w:name="_Toc272569248"/>
      <w:bookmarkStart w:id="433" w:name="_Toc272569432"/>
      <w:bookmarkStart w:id="434" w:name="_Toc272569569"/>
      <w:bookmarkStart w:id="435" w:name="_Toc272569705"/>
      <w:bookmarkStart w:id="436" w:name="_Toc272569856"/>
      <w:bookmarkStart w:id="437" w:name="_Toc272570179"/>
      <w:bookmarkStart w:id="438" w:name="_Toc272570313"/>
      <w:bookmarkStart w:id="439" w:name="_Toc272570446"/>
      <w:bookmarkStart w:id="440" w:name="_Toc272570580"/>
      <w:bookmarkStart w:id="441" w:name="_Toc272570713"/>
      <w:bookmarkStart w:id="442" w:name="_Toc272570846"/>
      <w:bookmarkStart w:id="443" w:name="_Toc272569097"/>
      <w:bookmarkStart w:id="444" w:name="_Toc272569249"/>
      <w:bookmarkStart w:id="445" w:name="_Toc272569433"/>
      <w:bookmarkStart w:id="446" w:name="_Toc272569570"/>
      <w:bookmarkStart w:id="447" w:name="_Toc272569706"/>
      <w:bookmarkStart w:id="448" w:name="_Toc272569857"/>
      <w:bookmarkStart w:id="449" w:name="_Toc272570180"/>
      <w:bookmarkStart w:id="450" w:name="_Toc272570314"/>
      <w:bookmarkStart w:id="451" w:name="_Toc272570447"/>
      <w:bookmarkStart w:id="452" w:name="_Toc272570581"/>
      <w:bookmarkStart w:id="453" w:name="_Toc272570714"/>
      <w:bookmarkStart w:id="454" w:name="_Toc272570847"/>
      <w:bookmarkStart w:id="455" w:name="_Toc272569098"/>
      <w:bookmarkStart w:id="456" w:name="_Toc272569250"/>
      <w:bookmarkStart w:id="457" w:name="_Toc272569434"/>
      <w:bookmarkStart w:id="458" w:name="_Toc272569571"/>
      <w:bookmarkStart w:id="459" w:name="_Toc272569707"/>
      <w:bookmarkStart w:id="460" w:name="_Toc272569858"/>
      <w:bookmarkStart w:id="461" w:name="_Toc272570181"/>
      <w:bookmarkStart w:id="462" w:name="_Toc272570315"/>
      <w:bookmarkStart w:id="463" w:name="_Toc272570448"/>
      <w:bookmarkStart w:id="464" w:name="_Toc272570582"/>
      <w:bookmarkStart w:id="465" w:name="_Toc272570715"/>
      <w:bookmarkStart w:id="466" w:name="_Toc272570848"/>
      <w:bookmarkStart w:id="467" w:name="_Toc272569099"/>
      <w:bookmarkStart w:id="468" w:name="_Toc272569251"/>
      <w:bookmarkStart w:id="469" w:name="_Toc272569435"/>
      <w:bookmarkStart w:id="470" w:name="_Toc272569572"/>
      <w:bookmarkStart w:id="471" w:name="_Toc272569708"/>
      <w:bookmarkStart w:id="472" w:name="_Toc272569859"/>
      <w:bookmarkStart w:id="473" w:name="_Toc272570182"/>
      <w:bookmarkStart w:id="474" w:name="_Toc272570316"/>
      <w:bookmarkStart w:id="475" w:name="_Toc272570449"/>
      <w:bookmarkStart w:id="476" w:name="_Toc272570583"/>
      <w:bookmarkStart w:id="477" w:name="_Toc272570716"/>
      <w:bookmarkStart w:id="478" w:name="_Toc272570849"/>
      <w:bookmarkStart w:id="479" w:name="_Toc272569100"/>
      <w:bookmarkStart w:id="480" w:name="_Toc272569252"/>
      <w:bookmarkStart w:id="481" w:name="_Toc272569436"/>
      <w:bookmarkStart w:id="482" w:name="_Toc272569573"/>
      <w:bookmarkStart w:id="483" w:name="_Toc272569709"/>
      <w:bookmarkStart w:id="484" w:name="_Toc272569860"/>
      <w:bookmarkStart w:id="485" w:name="_Toc272570183"/>
      <w:bookmarkStart w:id="486" w:name="_Toc272570317"/>
      <w:bookmarkStart w:id="487" w:name="_Toc272570450"/>
      <w:bookmarkStart w:id="488" w:name="_Toc272570584"/>
      <w:bookmarkStart w:id="489" w:name="_Toc272570717"/>
      <w:bookmarkStart w:id="490" w:name="_Toc272570850"/>
      <w:bookmarkStart w:id="491" w:name="_Toc272569102"/>
      <w:bookmarkStart w:id="492" w:name="_Toc272569254"/>
      <w:bookmarkStart w:id="493" w:name="_Toc272569438"/>
      <w:bookmarkStart w:id="494" w:name="_Toc272569575"/>
      <w:bookmarkStart w:id="495" w:name="_Toc272569711"/>
      <w:bookmarkStart w:id="496" w:name="_Toc272569862"/>
      <w:bookmarkStart w:id="497" w:name="_Toc272570185"/>
      <w:bookmarkStart w:id="498" w:name="_Toc272570319"/>
      <w:bookmarkStart w:id="499" w:name="_Toc272570452"/>
      <w:bookmarkStart w:id="500" w:name="_Toc272570586"/>
      <w:bookmarkStart w:id="501" w:name="_Toc272570719"/>
      <w:bookmarkStart w:id="502" w:name="_Toc272570852"/>
      <w:bookmarkStart w:id="503" w:name="_Toc272569103"/>
      <w:bookmarkStart w:id="504" w:name="_Toc272569255"/>
      <w:bookmarkStart w:id="505" w:name="_Toc272569439"/>
      <w:bookmarkStart w:id="506" w:name="_Toc272569576"/>
      <w:bookmarkStart w:id="507" w:name="_Toc272569712"/>
      <w:bookmarkStart w:id="508" w:name="_Toc272569863"/>
      <w:bookmarkStart w:id="509" w:name="_Toc272570186"/>
      <w:bookmarkStart w:id="510" w:name="_Toc272570320"/>
      <w:bookmarkStart w:id="511" w:name="_Toc272570453"/>
      <w:bookmarkStart w:id="512" w:name="_Toc272570587"/>
      <w:bookmarkStart w:id="513" w:name="_Toc272570720"/>
      <w:bookmarkStart w:id="514" w:name="_Toc272570853"/>
      <w:bookmarkStart w:id="515" w:name="_Toc272569104"/>
      <w:bookmarkStart w:id="516" w:name="_Toc272569256"/>
      <w:bookmarkStart w:id="517" w:name="_Toc272569440"/>
      <w:bookmarkStart w:id="518" w:name="_Toc272569577"/>
      <w:bookmarkStart w:id="519" w:name="_Toc272569713"/>
      <w:bookmarkStart w:id="520" w:name="_Toc272569864"/>
      <w:bookmarkStart w:id="521" w:name="_Toc272570187"/>
      <w:bookmarkStart w:id="522" w:name="_Toc272570321"/>
      <w:bookmarkStart w:id="523" w:name="_Toc272570454"/>
      <w:bookmarkStart w:id="524" w:name="_Toc272570588"/>
      <w:bookmarkStart w:id="525" w:name="_Toc272570721"/>
      <w:bookmarkStart w:id="526" w:name="_Toc272570854"/>
      <w:bookmarkStart w:id="527" w:name="_Toc272569105"/>
      <w:bookmarkStart w:id="528" w:name="_Toc272569257"/>
      <w:bookmarkStart w:id="529" w:name="_Toc272569441"/>
      <w:bookmarkStart w:id="530" w:name="_Toc272569578"/>
      <w:bookmarkStart w:id="531" w:name="_Toc272569714"/>
      <w:bookmarkStart w:id="532" w:name="_Toc272569865"/>
      <w:bookmarkStart w:id="533" w:name="_Toc272570188"/>
      <w:bookmarkStart w:id="534" w:name="_Toc272570322"/>
      <w:bookmarkStart w:id="535" w:name="_Toc272570455"/>
      <w:bookmarkStart w:id="536" w:name="_Toc272570589"/>
      <w:bookmarkStart w:id="537" w:name="_Toc272570722"/>
      <w:bookmarkStart w:id="538" w:name="_Toc272570855"/>
      <w:bookmarkStart w:id="539" w:name="_Toc272569106"/>
      <w:bookmarkStart w:id="540" w:name="_Toc272569258"/>
      <w:bookmarkStart w:id="541" w:name="_Toc272569442"/>
      <w:bookmarkStart w:id="542" w:name="_Toc272569579"/>
      <w:bookmarkStart w:id="543" w:name="_Toc272569715"/>
      <w:bookmarkStart w:id="544" w:name="_Toc272569866"/>
      <w:bookmarkStart w:id="545" w:name="_Toc272570189"/>
      <w:bookmarkStart w:id="546" w:name="_Toc272570323"/>
      <w:bookmarkStart w:id="547" w:name="_Toc272570456"/>
      <w:bookmarkStart w:id="548" w:name="_Toc272570590"/>
      <w:bookmarkStart w:id="549" w:name="_Toc272570723"/>
      <w:bookmarkStart w:id="550" w:name="_Toc272570856"/>
      <w:bookmarkStart w:id="551" w:name="_Toc272569107"/>
      <w:bookmarkStart w:id="552" w:name="_Toc272569259"/>
      <w:bookmarkStart w:id="553" w:name="_Toc272569443"/>
      <w:bookmarkStart w:id="554" w:name="_Toc272569580"/>
      <w:bookmarkStart w:id="555" w:name="_Toc272569716"/>
      <w:bookmarkStart w:id="556" w:name="_Toc272569867"/>
      <w:bookmarkStart w:id="557" w:name="_Toc272570190"/>
      <w:bookmarkStart w:id="558" w:name="_Toc272570324"/>
      <w:bookmarkStart w:id="559" w:name="_Toc272570457"/>
      <w:bookmarkStart w:id="560" w:name="_Toc272570591"/>
      <w:bookmarkStart w:id="561" w:name="_Toc272570724"/>
      <w:bookmarkStart w:id="562" w:name="_Toc272570857"/>
      <w:bookmarkStart w:id="563" w:name="_Toc272569108"/>
      <w:bookmarkStart w:id="564" w:name="_Toc272569260"/>
      <w:bookmarkStart w:id="565" w:name="_Toc272569444"/>
      <w:bookmarkStart w:id="566" w:name="_Toc272569581"/>
      <w:bookmarkStart w:id="567" w:name="_Toc272569717"/>
      <w:bookmarkStart w:id="568" w:name="_Toc272569868"/>
      <w:bookmarkStart w:id="569" w:name="_Toc272570191"/>
      <w:bookmarkStart w:id="570" w:name="_Toc272570325"/>
      <w:bookmarkStart w:id="571" w:name="_Toc272570458"/>
      <w:bookmarkStart w:id="572" w:name="_Toc272570592"/>
      <w:bookmarkStart w:id="573" w:name="_Toc272570725"/>
      <w:bookmarkStart w:id="574" w:name="_Toc272570858"/>
      <w:bookmarkStart w:id="575" w:name="_Toc272569109"/>
      <w:bookmarkStart w:id="576" w:name="_Toc272569261"/>
      <w:bookmarkStart w:id="577" w:name="_Toc272569445"/>
      <w:bookmarkStart w:id="578" w:name="_Toc272569582"/>
      <w:bookmarkStart w:id="579" w:name="_Toc272569718"/>
      <w:bookmarkStart w:id="580" w:name="_Toc272569869"/>
      <w:bookmarkStart w:id="581" w:name="_Toc272570192"/>
      <w:bookmarkStart w:id="582" w:name="_Toc272570326"/>
      <w:bookmarkStart w:id="583" w:name="_Toc272570459"/>
      <w:bookmarkStart w:id="584" w:name="_Toc272570593"/>
      <w:bookmarkStart w:id="585" w:name="_Toc272570726"/>
      <w:bookmarkStart w:id="586" w:name="_Toc272570859"/>
      <w:bookmarkStart w:id="587" w:name="_Toc308697698"/>
      <w:bookmarkStart w:id="588" w:name="_Toc309286220"/>
      <w:bookmarkStart w:id="589" w:name="_Toc308697699"/>
      <w:bookmarkStart w:id="590" w:name="_Toc309286221"/>
      <w:bookmarkStart w:id="591" w:name="_Toc308697700"/>
      <w:bookmarkStart w:id="592" w:name="_Toc309286222"/>
      <w:bookmarkStart w:id="593" w:name="_Toc308697701"/>
      <w:bookmarkStart w:id="594" w:name="_Toc309286223"/>
      <w:bookmarkStart w:id="595" w:name="_Toc308697702"/>
      <w:bookmarkStart w:id="596" w:name="_Toc309286224"/>
      <w:bookmarkStart w:id="597" w:name="_Toc308697703"/>
      <w:bookmarkStart w:id="598" w:name="_Toc309286225"/>
      <w:bookmarkStart w:id="599" w:name="_Toc308697704"/>
      <w:bookmarkStart w:id="600" w:name="_Toc309286226"/>
      <w:bookmarkStart w:id="601" w:name="_Toc308697705"/>
      <w:bookmarkStart w:id="602" w:name="_Toc309286227"/>
      <w:bookmarkStart w:id="603" w:name="_Toc308697706"/>
      <w:bookmarkStart w:id="604" w:name="_Toc309286228"/>
      <w:bookmarkStart w:id="605" w:name="_Toc296440221"/>
      <w:bookmarkStart w:id="606" w:name="_Toc272569113"/>
      <w:bookmarkStart w:id="607" w:name="_Toc272569265"/>
      <w:bookmarkStart w:id="608" w:name="_Toc272569449"/>
      <w:bookmarkStart w:id="609" w:name="_Toc272569586"/>
      <w:bookmarkStart w:id="610" w:name="_Toc272569722"/>
      <w:bookmarkStart w:id="611" w:name="_Toc272569873"/>
      <w:bookmarkStart w:id="612" w:name="_Toc272569114"/>
      <w:bookmarkStart w:id="613" w:name="_Toc272569266"/>
      <w:bookmarkStart w:id="614" w:name="_Toc272569450"/>
      <w:bookmarkStart w:id="615" w:name="_Toc272569587"/>
      <w:bookmarkStart w:id="616" w:name="_Toc272569723"/>
      <w:bookmarkStart w:id="617" w:name="_Toc272569874"/>
      <w:bookmarkStart w:id="618" w:name="_Toc272569115"/>
      <w:bookmarkStart w:id="619" w:name="_Toc272569267"/>
      <w:bookmarkStart w:id="620" w:name="_Toc272569451"/>
      <w:bookmarkStart w:id="621" w:name="_Toc272569588"/>
      <w:bookmarkStart w:id="622" w:name="_Toc272569724"/>
      <w:bookmarkStart w:id="623" w:name="_Toc272569875"/>
      <w:bookmarkStart w:id="624" w:name="_Toc272569116"/>
      <w:bookmarkStart w:id="625" w:name="_Toc272569268"/>
      <w:bookmarkStart w:id="626" w:name="_Toc272569452"/>
      <w:bookmarkStart w:id="627" w:name="_Toc272569589"/>
      <w:bookmarkStart w:id="628" w:name="_Toc272569725"/>
      <w:bookmarkStart w:id="629" w:name="_Toc272569876"/>
      <w:bookmarkStart w:id="630" w:name="_Toc272569117"/>
      <w:bookmarkStart w:id="631" w:name="_Toc272569269"/>
      <w:bookmarkStart w:id="632" w:name="_Toc272569453"/>
      <w:bookmarkStart w:id="633" w:name="_Toc272569590"/>
      <w:bookmarkStart w:id="634" w:name="_Toc272569726"/>
      <w:bookmarkStart w:id="635" w:name="_Toc272569877"/>
      <w:bookmarkStart w:id="636" w:name="_Toc272569118"/>
      <w:bookmarkStart w:id="637" w:name="_Toc272569270"/>
      <w:bookmarkStart w:id="638" w:name="_Toc272569454"/>
      <w:bookmarkStart w:id="639" w:name="_Toc272569591"/>
      <w:bookmarkStart w:id="640" w:name="_Toc272569727"/>
      <w:bookmarkStart w:id="641" w:name="_Toc272569878"/>
      <w:bookmarkStart w:id="642" w:name="_Hlt88825574"/>
      <w:bookmarkStart w:id="643" w:name="_Hlt88897298"/>
      <w:bookmarkStart w:id="644" w:name="_Hlt88820702"/>
      <w:bookmarkStart w:id="645" w:name="_Toc308697714"/>
      <w:bookmarkStart w:id="646" w:name="_Toc309286236"/>
      <w:bookmarkStart w:id="647" w:name="_Hlt133147570"/>
      <w:bookmarkStart w:id="648" w:name="_Hlt133151691"/>
      <w:bookmarkStart w:id="649" w:name="_Hlt73429199"/>
      <w:bookmarkStart w:id="650" w:name="_Toc308697716"/>
      <w:bookmarkStart w:id="651" w:name="_Toc309286238"/>
      <w:bookmarkStart w:id="652" w:name="_Toc308697717"/>
      <w:bookmarkStart w:id="653" w:name="_Toc309286239"/>
      <w:bookmarkStart w:id="654" w:name="_Toc308697718"/>
      <w:bookmarkStart w:id="655" w:name="_Toc309286240"/>
      <w:bookmarkStart w:id="656" w:name="_Toc308697719"/>
      <w:bookmarkStart w:id="657" w:name="_Toc309286241"/>
      <w:bookmarkStart w:id="658" w:name="_Toc308697720"/>
      <w:bookmarkStart w:id="659" w:name="_Toc309286242"/>
      <w:bookmarkStart w:id="660" w:name="_Toc308697721"/>
      <w:bookmarkStart w:id="661" w:name="_Toc309286243"/>
      <w:bookmarkStart w:id="662" w:name="_Toc308697722"/>
      <w:bookmarkStart w:id="663" w:name="_Toc309286244"/>
      <w:bookmarkStart w:id="664" w:name="_Toc308697723"/>
      <w:bookmarkStart w:id="665" w:name="_Toc30928624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C35BC5" w:rsidRPr="00C86E67" w:rsidP="00552BE1">
      <w:pPr>
        <w:tabs>
          <w:tab w:val="left" w:pos="735"/>
        </w:tabs>
        <w:snapToGrid w:val="0"/>
        <w:spacing w:line="360" w:lineRule="auto"/>
        <w:ind w:firstLine="315" w:firstLineChars="150"/>
        <w:rPr>
          <w:rFonts w:asciiTheme="minorEastAsia" w:eastAsiaTheme="minorEastAsia" w:hAnsiTheme="minorEastAsia"/>
          <w:color w:val="000000" w:themeColor="text1"/>
          <w:szCs w:val="21"/>
        </w:rPr>
      </w:pP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pgNumType w:start="1"/>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color w:val="000000" w:themeColor="text1"/>
        </w:rPr>
      </w:pPr>
      <w:bookmarkStart w:id="666" w:name="_Toc91764795"/>
      <w:r w:rsidRPr="00C86E67">
        <w:rPr>
          <w:rFonts w:asciiTheme="minorEastAsia" w:eastAsiaTheme="minorEastAsia" w:hAnsiTheme="minorEastAsia" w:hint="eastAsia"/>
          <w:b/>
          <w:bCs/>
          <w:color w:val="000000" w:themeColor="text1"/>
        </w:rPr>
        <w:t>四、基金托管人</w:t>
      </w:r>
      <w:bookmarkEnd w:id="666"/>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 xml:space="preserve">（一）基金托管人基本情况 </w:t>
      </w:r>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名称：中国工商银行股份有限公司</w:t>
      </w:r>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注册地址：北京市西城区复兴门内大街55号</w:t>
      </w:r>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成立时间：</w:t>
      </w:r>
      <w:r w:rsidRPr="00C86E67" w:rsidR="00731B05">
        <w:rPr>
          <w:rFonts w:asciiTheme="minorEastAsia" w:eastAsiaTheme="minorEastAsia" w:hAnsiTheme="minorEastAsia"/>
          <w:color w:val="000000" w:themeColor="text1"/>
          <w:spacing w:val="6"/>
        </w:rPr>
        <w:t>198</w:t>
      </w:r>
      <w:r w:rsidRPr="00C86E67" w:rsidR="00731B05">
        <w:rPr>
          <w:rFonts w:asciiTheme="minorEastAsia" w:eastAsiaTheme="minorEastAsia" w:hAnsiTheme="minorEastAsia" w:hint="eastAsia"/>
          <w:color w:val="000000" w:themeColor="text1"/>
          <w:spacing w:val="6"/>
        </w:rPr>
        <w:t>4</w:t>
      </w:r>
      <w:r w:rsidRPr="00C86E67" w:rsidR="00731B05">
        <w:rPr>
          <w:rFonts w:asciiTheme="minorEastAsia" w:eastAsiaTheme="minorEastAsia" w:hAnsiTheme="minorEastAsia"/>
          <w:color w:val="000000" w:themeColor="text1"/>
          <w:spacing w:val="6"/>
        </w:rPr>
        <w:t>年</w:t>
      </w:r>
      <w:r w:rsidRPr="00C86E67" w:rsidR="00731B05">
        <w:rPr>
          <w:rFonts w:asciiTheme="minorEastAsia" w:eastAsiaTheme="minorEastAsia" w:hAnsiTheme="minorEastAsia" w:hint="eastAsia"/>
          <w:color w:val="000000" w:themeColor="text1"/>
          <w:spacing w:val="6"/>
        </w:rPr>
        <w:t>1</w:t>
      </w:r>
      <w:r w:rsidRPr="00C86E67" w:rsidR="00731B05">
        <w:rPr>
          <w:rFonts w:asciiTheme="minorEastAsia" w:eastAsiaTheme="minorEastAsia" w:hAnsiTheme="minorEastAsia"/>
          <w:color w:val="000000" w:themeColor="text1"/>
          <w:spacing w:val="6"/>
        </w:rPr>
        <w:t>月</w:t>
      </w:r>
      <w:r w:rsidRPr="00C86E67" w:rsidR="00731B05">
        <w:rPr>
          <w:rFonts w:asciiTheme="minorEastAsia" w:eastAsiaTheme="minorEastAsia" w:hAnsiTheme="minorEastAsia" w:hint="eastAsia"/>
          <w:color w:val="000000" w:themeColor="text1"/>
          <w:spacing w:val="6"/>
        </w:rPr>
        <w:t>1</w:t>
      </w:r>
      <w:r w:rsidRPr="00C86E67" w:rsidR="00731B05">
        <w:rPr>
          <w:rFonts w:asciiTheme="minorEastAsia" w:eastAsiaTheme="minorEastAsia" w:hAnsiTheme="minorEastAsia"/>
          <w:color w:val="000000" w:themeColor="text1"/>
          <w:spacing w:val="6"/>
        </w:rPr>
        <w:t>日</w:t>
      </w:r>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法定代表人：</w:t>
      </w:r>
      <w:r w:rsidRPr="00C86E67" w:rsidR="007B082E">
        <w:rPr>
          <w:rFonts w:asciiTheme="minorEastAsia" w:eastAsiaTheme="minorEastAsia" w:hAnsiTheme="minorEastAsia" w:hint="eastAsia"/>
          <w:color w:val="000000" w:themeColor="text1"/>
          <w:szCs w:val="21"/>
        </w:rPr>
        <w:t>陈四清</w:t>
      </w:r>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注册资本：</w:t>
      </w:r>
      <w:r w:rsidRPr="00C86E67" w:rsidR="008864C4">
        <w:rPr>
          <w:rFonts w:asciiTheme="minorEastAsia" w:eastAsiaTheme="minorEastAsia" w:hAnsiTheme="minorEastAsia" w:hint="eastAsia"/>
          <w:color w:val="000000" w:themeColor="text1"/>
          <w:szCs w:val="21"/>
        </w:rPr>
        <w:t>人民币35,640,625.7089万元</w:t>
      </w:r>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联系电话：010-66105799</w:t>
      </w:r>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联系人：郭明</w:t>
      </w:r>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（二）主要人员情况</w:t>
      </w:r>
    </w:p>
    <w:p w:rsidR="00D83048" w:rsidRPr="00C86E67" w:rsidP="00063CA4">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pacing w:val="6"/>
        </w:rPr>
        <w:t>截至2021年6月，中国工商银行资产托管部共有员工214人，平均年龄34岁，95%以上员工拥有大学本科以上学历，高管人员均拥有研究生以上学历或高级技术职称</w:t>
      </w:r>
      <w:r w:rsidRPr="00C86E67" w:rsidR="00125366">
        <w:rPr>
          <w:rFonts w:asciiTheme="minorEastAsia" w:eastAsiaTheme="minorEastAsia" w:hAnsiTheme="minorEastAsia" w:hint="eastAsia"/>
          <w:color w:val="000000" w:themeColor="text1"/>
          <w:spacing w:val="6"/>
        </w:rPr>
        <w:t>。</w:t>
      </w:r>
    </w:p>
    <w:p w:rsidR="00D83048" w:rsidRPr="00C86E67" w:rsidP="002C2AF0">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（三）基金托管业务经营情况</w:t>
      </w:r>
    </w:p>
    <w:p w:rsidR="00AD0AAE" w:rsidRPr="00C86E67" w:rsidP="00E862A5">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r w:rsidRPr="00C86E67" w:rsidR="00125366">
        <w:rPr>
          <w:rFonts w:asciiTheme="minorEastAsia" w:eastAsiaTheme="minorEastAsia" w:hAnsiTheme="minorEastAsia"/>
          <w:color w:val="000000" w:themeColor="text1"/>
          <w:spacing w:val="6"/>
        </w:rPr>
        <w:t>。</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（四）基金托管人的内部控制制度</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w:t>
      </w:r>
      <w:r w:rsidRPr="00C86E67" w:rsidR="00040DAE">
        <w:rPr>
          <w:rFonts w:asciiTheme="minorEastAsia" w:eastAsiaTheme="minorEastAsia" w:hAnsiTheme="minorEastAsia" w:hint="eastAsia"/>
          <w:color w:val="000000" w:themeColor="text1"/>
          <w:spacing w:val="6"/>
        </w:rPr>
        <w:t>十四</w:t>
      </w:r>
      <w:r w:rsidRPr="00C86E67">
        <w:rPr>
          <w:rFonts w:asciiTheme="minorEastAsia" w:eastAsiaTheme="minorEastAsia" w:hAnsiTheme="minorEastAsia" w:hint="eastAsia"/>
          <w:color w:val="000000" w:themeColor="text1"/>
          <w:spacing w:val="6"/>
        </w:rPr>
        <w:t>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w:t>
      </w:r>
      <w:r w:rsidRPr="00C86E67" w:rsidR="00DD2F95">
        <w:rPr>
          <w:rFonts w:asciiTheme="minorEastAsia" w:eastAsiaTheme="minorEastAsia" w:hAnsiTheme="minorEastAsia" w:hint="eastAsia"/>
          <w:color w:val="000000" w:themeColor="text1"/>
          <w:spacing w:val="6"/>
        </w:rPr>
        <w:t>审阅已经成为年度化、常规化的内控工作手段。</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1、内部风险控制目标</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2、内部风险控制组织结构</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3、内部风险控制原则</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（1）合法性原则。内控制度应当符合国家法律法规及监管机构的监管要求，并贯穿于托管业务经营管理活动的始终。</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（2）完整性原则。托管业务的各项经营管理活动都必须有相应的规范程序和监督制约；监督制约应渗透到托管业务的全过程和各个操作环节，覆盖所有的部门、岗位和人员。</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（3）及时性原则。托管业务经营活动必须在发生时能准确及时地记录；按照“内控优先”的原则，新设机构或新增业务品种时，必须做到已建立相关的规章制度。</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（4）审慎性原则。各项业务经营活动必须防范风险，审慎经营，保证基金资产和其他委托资产的安全与完整。</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（5）有效性原则。内控制度应根据国家政策、法律及经营管理的需要适时修改完善，并保证得到全面落实执行，不得有任何空间、时限及人员的例外。</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（6）独立性原则。设立专门履行托管人职责的管理部门；直接操作人员和控制人员必须相对独立，适当分离；内控制度的检查、评价部门必须独立于内控制度的制定和执行部门。</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4、内部风险控制措施实施</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（4）经营控制。资产托管部通过制定计划、编制预算等方法开展各种业务营销活动、处理各项事务，从而有效地控制和配置组织资源，达到资源利用和效益最大化目的。</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5）内部风险管理。资产托管部通过稽核监察、风险评估等方式加强内部风险管理，定期或不定期地对业务运作状况进行检查、监控，指导业务部门进行风险识别、评估，制定并实施风险控制措施，排查风险隐患。</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（6）数据安全控制。我们通过业务操作区相对独立、数据和传真加密、数据传输线路的冗余备份、监控设施的运用和保障等措施来保障数据安全。</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5、资产托管部内部风险控制情况</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（1）资产托管部内部设置专职稽核监察部门，配备专职稽核监察人员，在总经理的直接领导下，依照有关法律规章，全面贯彻落实全程监控思想，确保资产托管业务健康、稳定地发展。</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D3B26" w:rsidRPr="00C86E67" w:rsidP="0024098F">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（五）基金托管人对基金管理人运作基金进行监督的方法和程序</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D3B26" w:rsidRPr="00C86E67" w:rsidP="004D3B26">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spacing w:val="6"/>
        </w:rPr>
      </w:pPr>
      <w:r w:rsidRPr="00C86E67">
        <w:rPr>
          <w:rFonts w:asciiTheme="minorEastAsia" w:eastAsiaTheme="minorEastAsia" w:hAnsiTheme="minorEastAsia" w:hint="eastAsia"/>
          <w:color w:val="000000" w:themeColor="text1"/>
          <w:spacing w:val="6"/>
        </w:rPr>
        <w:t>基金托管人发现基金管理人有重大违规行为，应立即报告中国证监会，同时通知基金管理人限期纠正。</w:t>
      </w:r>
      <w:r w:rsidRPr="00C86E67">
        <w:rPr>
          <w:rFonts w:asciiTheme="minorEastAsia" w:eastAsiaTheme="minorEastAsia" w:hAnsiTheme="minorEastAsia" w:hint="eastAsia"/>
          <w:color w:val="000000" w:themeColor="text1"/>
          <w:spacing w:val="6"/>
        </w:rPr>
        <w:br w:type="page"/>
      </w:r>
    </w:p>
    <w:p w:rsidR="00C35BC5" w:rsidRPr="00C86E67" w:rsidP="00552BE1">
      <w:pPr>
        <w:pStyle w:val="111"/>
        <w:snapToGrid w:val="0"/>
        <w:spacing w:beforeLines="0" w:afterLines="0" w:line="360" w:lineRule="auto"/>
        <w:ind w:firstLine="643"/>
        <w:rPr>
          <w:rFonts w:asciiTheme="minorEastAsia" w:eastAsiaTheme="minorEastAsia" w:hAnsiTheme="minorEastAsia"/>
          <w:b/>
          <w:color w:val="000000" w:themeColor="text1"/>
          <w:szCs w:val="32"/>
        </w:rPr>
      </w:pPr>
      <w:bookmarkStart w:id="667" w:name="_Toc91764796"/>
      <w:r w:rsidRPr="00C86E67">
        <w:rPr>
          <w:rFonts w:asciiTheme="minorEastAsia" w:eastAsiaTheme="minorEastAsia" w:hAnsiTheme="minorEastAsia" w:hint="eastAsia"/>
          <w:b/>
          <w:color w:val="000000" w:themeColor="text1"/>
          <w:szCs w:val="21"/>
        </w:rPr>
        <w:t>五、相关服务机构</w:t>
      </w:r>
      <w:bookmarkEnd w:id="667"/>
    </w:p>
    <w:p w:rsidR="00C35BC5" w:rsidRPr="00C86E67" w:rsidP="00B5132A">
      <w:pPr>
        <w:pStyle w:val="Heading2"/>
        <w:snapToGrid w:val="0"/>
        <w:spacing w:beforeLines="0" w:afterLines="0" w:line="360" w:lineRule="auto"/>
        <w:ind w:firstLine="562"/>
        <w:rPr>
          <w:rFonts w:asciiTheme="minorEastAsia" w:eastAsiaTheme="minorEastAsia" w:hAnsiTheme="minorEastAsia"/>
          <w:color w:val="000000" w:themeColor="text1"/>
          <w:szCs w:val="21"/>
        </w:rPr>
      </w:pPr>
      <w:bookmarkStart w:id="668" w:name="_Toc91764797"/>
      <w:r w:rsidRPr="00C86E67">
        <w:rPr>
          <w:rFonts w:asciiTheme="minorEastAsia" w:eastAsiaTheme="minorEastAsia" w:hAnsiTheme="minorEastAsia" w:hint="eastAsia"/>
          <w:color w:val="000000" w:themeColor="text1"/>
          <w:szCs w:val="21"/>
        </w:rPr>
        <w:t>（一）基金份额</w:t>
      </w:r>
      <w:r w:rsidRPr="00C86E67" w:rsidR="00282E48">
        <w:rPr>
          <w:rFonts w:asciiTheme="minorEastAsia" w:eastAsiaTheme="minorEastAsia" w:hAnsiTheme="minorEastAsia" w:hint="eastAsia"/>
          <w:color w:val="000000" w:themeColor="text1"/>
          <w:szCs w:val="21"/>
        </w:rPr>
        <w:t>销售</w:t>
      </w:r>
      <w:r w:rsidRPr="00C86E67">
        <w:rPr>
          <w:rFonts w:asciiTheme="minorEastAsia" w:eastAsiaTheme="minorEastAsia" w:hAnsiTheme="minorEastAsia" w:hint="eastAsia"/>
          <w:color w:val="000000" w:themeColor="text1"/>
          <w:szCs w:val="21"/>
        </w:rPr>
        <w:t>机构</w:t>
      </w:r>
      <w:bookmarkEnd w:id="668"/>
    </w:p>
    <w:p w:rsidR="00C35BC5" w:rsidRPr="00C86E67" w:rsidP="00552BE1">
      <w:pPr>
        <w:tabs>
          <w:tab w:val="num" w:pos="360"/>
        </w:tabs>
        <w:snapToGrid w:val="0"/>
        <w:spacing w:line="360" w:lineRule="auto"/>
        <w:ind w:left="359" w:leftChars="171"/>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1、直销机构</w:t>
      </w:r>
    </w:p>
    <w:p w:rsidR="00C35BC5" w:rsidRPr="00C86E67" w:rsidP="00552BE1">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易方达基金管理有限公司</w:t>
      </w:r>
    </w:p>
    <w:p w:rsidR="00C35BC5" w:rsidRPr="00C86E67" w:rsidP="00552BE1">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注册地址：</w:t>
      </w:r>
      <w:r w:rsidRPr="00C86E67" w:rsidR="0018727C">
        <w:rPr>
          <w:rFonts w:asciiTheme="minorEastAsia" w:eastAsiaTheme="minorEastAsia" w:hAnsiTheme="minorEastAsia" w:cs="宋体" w:hint="eastAsia"/>
          <w:color w:val="000000" w:themeColor="text1"/>
          <w:kern w:val="0"/>
          <w:szCs w:val="21"/>
        </w:rPr>
        <w:t>广东省珠海市横琴新区宝华路6号105室－42891（集中办公区）</w:t>
      </w:r>
    </w:p>
    <w:p w:rsidR="00C35BC5" w:rsidRPr="00C86E67" w:rsidP="00552BE1">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办公地址：</w:t>
      </w:r>
      <w:r w:rsidRPr="00C86E67" w:rsidR="00C82076">
        <w:rPr>
          <w:rFonts w:asciiTheme="minorEastAsia" w:eastAsiaTheme="minorEastAsia" w:hAnsiTheme="minorEastAsia" w:cs="宋体" w:hint="eastAsia"/>
          <w:color w:val="000000" w:themeColor="text1"/>
          <w:kern w:val="0"/>
          <w:szCs w:val="21"/>
        </w:rPr>
        <w:t>广州市天河区珠江新城珠江东路30号广州银行大厦40-43楼</w:t>
      </w:r>
    </w:p>
    <w:p w:rsidR="00C35BC5" w:rsidRPr="00C86E67" w:rsidP="00552BE1">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法定代表人：</w:t>
      </w:r>
      <w:r w:rsidRPr="00C86E67" w:rsidR="00F71CE7">
        <w:rPr>
          <w:rFonts w:asciiTheme="minorEastAsia" w:eastAsiaTheme="minorEastAsia" w:hAnsiTheme="minorEastAsia" w:cs="宋体" w:hint="eastAsia"/>
          <w:color w:val="000000" w:themeColor="text1"/>
          <w:kern w:val="0"/>
          <w:szCs w:val="21"/>
        </w:rPr>
        <w:t>刘晓艳</w:t>
      </w:r>
    </w:p>
    <w:p w:rsidR="00C35BC5" w:rsidRPr="00C86E67" w:rsidP="00552BE1">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电话：020-85102506</w:t>
      </w:r>
    </w:p>
    <w:p w:rsidR="00C35BC5" w:rsidRPr="00C86E67" w:rsidP="00552BE1">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传真：4008818099</w:t>
      </w:r>
    </w:p>
    <w:p w:rsidR="00C35BC5" w:rsidRPr="00C86E67" w:rsidP="00552BE1">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olor w:val="000000" w:themeColor="text1"/>
        </w:rPr>
        <w:t>联系人：梁美</w:t>
      </w:r>
    </w:p>
    <w:p w:rsidR="00C35BC5" w:rsidRPr="00C86E67" w:rsidP="00552BE1">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网址：www.efunds.com.cn</w:t>
      </w:r>
    </w:p>
    <w:p w:rsidR="00C35BC5" w:rsidRPr="00C86E67" w:rsidP="00552BE1">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直销机构网点信息：</w:t>
      </w:r>
    </w:p>
    <w:p w:rsidR="00181730" w:rsidRPr="00C86E67" w:rsidP="007C7712">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olor w:val="000000" w:themeColor="text1"/>
        </w:rPr>
        <w:t>（1）易方达基金管理有限公司直销中心</w:t>
      </w:r>
    </w:p>
    <w:p w:rsidR="00181730" w:rsidRPr="00C86E67" w:rsidP="007C7712">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办公地址：广州市天河区珠江新城珠江东路</w:t>
      </w:r>
      <w:r w:rsidRPr="00C86E67">
        <w:rPr>
          <w:rFonts w:asciiTheme="minorEastAsia" w:eastAsiaTheme="minorEastAsia" w:hAnsiTheme="minorEastAsia" w:cs="宋体"/>
          <w:color w:val="000000" w:themeColor="text1"/>
          <w:kern w:val="0"/>
          <w:szCs w:val="21"/>
        </w:rPr>
        <w:t>30号广州银行大厦40楼</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电话：020-85102506</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传真：4008818099</w:t>
      </w:r>
    </w:p>
    <w:p w:rsidR="00181730" w:rsidRPr="00C86E67" w:rsidP="007C7712">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olor w:val="000000" w:themeColor="text1"/>
        </w:rPr>
        <w:t>联系人：梁美</w:t>
      </w:r>
    </w:p>
    <w:p w:rsidR="00181730" w:rsidRPr="00C86E67" w:rsidP="007C7712">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olor w:val="000000" w:themeColor="text1"/>
        </w:rPr>
        <w:t>（2）易方达基金管理有限公司网上交易系统</w:t>
      </w:r>
    </w:p>
    <w:p w:rsidR="00181730" w:rsidRPr="00C86E67" w:rsidP="007C7712">
      <w:pPr>
        <w:tabs>
          <w:tab w:val="num" w:pos="360"/>
        </w:tabs>
        <w:snapToGrid w:val="0"/>
        <w:spacing w:line="360" w:lineRule="auto"/>
        <w:ind w:left="359" w:leftChars="171"/>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网址：</w:t>
      </w:r>
      <w:r w:rsidRPr="00C86E67">
        <w:rPr>
          <w:rFonts w:asciiTheme="minorEastAsia" w:eastAsiaTheme="minorEastAsia" w:hAnsiTheme="minorEastAsia" w:cs="宋体"/>
          <w:color w:val="000000" w:themeColor="text1"/>
          <w:kern w:val="0"/>
          <w:szCs w:val="21"/>
        </w:rPr>
        <w:t>www.efunds.com.cn</w:t>
      </w:r>
    </w:p>
    <w:p w:rsidR="003C78BB" w:rsidRPr="00C86E67" w:rsidP="007C7712">
      <w:pPr>
        <w:tabs>
          <w:tab w:val="num" w:pos="360"/>
        </w:tabs>
        <w:snapToGrid w:val="0"/>
        <w:spacing w:line="360" w:lineRule="auto"/>
        <w:ind w:left="359" w:leftChars="171"/>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2、非直销销售机构</w:t>
      </w:r>
    </w:p>
    <w:p w:rsidR="00632EFB" w:rsidRPr="00C86E67">
      <w:pPr>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本基金非直销销售机构信息详见基金管理人网站公示。</w:t>
      </w:r>
    </w:p>
    <w:p w:rsidR="00C35BC5" w:rsidRPr="00C86E67" w:rsidP="00B5132A">
      <w:pPr>
        <w:pStyle w:val="Heading2"/>
        <w:snapToGrid w:val="0"/>
        <w:spacing w:beforeLines="0" w:afterLines="0" w:line="360" w:lineRule="auto"/>
        <w:ind w:firstLine="199" w:firstLineChars="71"/>
        <w:rPr>
          <w:rFonts w:asciiTheme="minorEastAsia" w:eastAsiaTheme="minorEastAsia" w:hAnsiTheme="minorEastAsia"/>
          <w:color w:val="000000" w:themeColor="text1"/>
          <w:szCs w:val="21"/>
        </w:rPr>
      </w:pPr>
      <w:bookmarkStart w:id="669" w:name="_Toc38432429"/>
      <w:bookmarkStart w:id="670" w:name="_Toc91764798"/>
      <w:r w:rsidRPr="00C86E67">
        <w:rPr>
          <w:rFonts w:asciiTheme="minorEastAsia" w:eastAsiaTheme="minorEastAsia" w:hAnsiTheme="minorEastAsia" w:hint="eastAsia"/>
          <w:color w:val="000000" w:themeColor="text1"/>
          <w:szCs w:val="21"/>
        </w:rPr>
        <w:t>（二）基金注册登记机构</w:t>
      </w:r>
      <w:bookmarkEnd w:id="669"/>
      <w:bookmarkEnd w:id="670"/>
    </w:p>
    <w:p w:rsidR="00C35BC5" w:rsidRPr="00C86E67" w:rsidP="00552BE1">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名称：</w:t>
      </w:r>
      <w:r w:rsidRPr="00C86E67">
        <w:rPr>
          <w:rFonts w:asciiTheme="minorEastAsia" w:eastAsiaTheme="minorEastAsia" w:hAnsiTheme="minorEastAsia" w:hint="eastAsia"/>
          <w:color w:val="000000" w:themeColor="text1"/>
          <w:szCs w:val="21"/>
        </w:rPr>
        <w:t>易方达基金管理有限公司</w:t>
      </w:r>
    </w:p>
    <w:p w:rsidR="00C35BC5" w:rsidRPr="00C86E67" w:rsidP="00552BE1">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注册地址：</w:t>
      </w:r>
      <w:r w:rsidRPr="00C86E67" w:rsidR="0018727C">
        <w:rPr>
          <w:rFonts w:asciiTheme="minorEastAsia" w:eastAsiaTheme="minorEastAsia" w:hAnsiTheme="minorEastAsia" w:cs="仿宋_GB2312" w:hint="eastAsia"/>
          <w:color w:val="000000" w:themeColor="text1"/>
          <w:kern w:val="0"/>
        </w:rPr>
        <w:t>广东省珠海市横琴新区宝华路6号105室－42891（集中办公区）</w:t>
      </w:r>
    </w:p>
    <w:p w:rsidR="00C35BC5" w:rsidRPr="00C86E67" w:rsidP="00552BE1">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rPr>
        <w:t>办公</w:t>
      </w:r>
      <w:r w:rsidRPr="00C86E67">
        <w:rPr>
          <w:rFonts w:asciiTheme="minorEastAsia" w:eastAsiaTheme="minorEastAsia" w:hAnsiTheme="minorEastAsia" w:hint="eastAsia"/>
          <w:color w:val="000000" w:themeColor="text1"/>
          <w:szCs w:val="21"/>
        </w:rPr>
        <w:t>地址：</w:t>
      </w:r>
      <w:r w:rsidRPr="00C86E67" w:rsidR="005C683A">
        <w:rPr>
          <w:rFonts w:asciiTheme="minorEastAsia" w:eastAsiaTheme="minorEastAsia" w:hAnsiTheme="minorEastAsia" w:cs="仿宋_GB2312" w:hint="eastAsia"/>
          <w:color w:val="000000" w:themeColor="text1"/>
          <w:kern w:val="0"/>
        </w:rPr>
        <w:t>广州市天河区珠江新城珠江东路30号广州银行大厦40-43楼</w:t>
      </w:r>
    </w:p>
    <w:p w:rsidR="00C35BC5" w:rsidRPr="00C86E67" w:rsidP="00552BE1">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法定代表人：</w:t>
      </w:r>
      <w:r w:rsidRPr="00C86E67" w:rsidR="00170BAB">
        <w:rPr>
          <w:rFonts w:asciiTheme="minorEastAsia" w:eastAsiaTheme="minorEastAsia" w:hAnsiTheme="minorEastAsia" w:hint="eastAsia"/>
          <w:color w:val="000000" w:themeColor="text1"/>
          <w:szCs w:val="21"/>
        </w:rPr>
        <w:t>刘晓艳</w:t>
      </w:r>
    </w:p>
    <w:p w:rsidR="00C35BC5" w:rsidRPr="00C86E67" w:rsidP="00552BE1">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电话：4008818088</w:t>
      </w:r>
    </w:p>
    <w:p w:rsidR="00C35BC5" w:rsidRPr="00C86E67" w:rsidP="00552BE1">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传真：</w:t>
      </w:r>
      <w:r w:rsidRPr="00C86E67">
        <w:rPr>
          <w:rFonts w:asciiTheme="minorEastAsia" w:eastAsiaTheme="minorEastAsia" w:hAnsiTheme="minorEastAsia"/>
          <w:color w:val="000000" w:themeColor="text1"/>
          <w:szCs w:val="21"/>
        </w:rPr>
        <w:t>020</w:t>
      </w:r>
      <w:r w:rsidRPr="00C86E67">
        <w:rPr>
          <w:rFonts w:asciiTheme="minorEastAsia" w:eastAsiaTheme="minorEastAsia" w:hAnsiTheme="minorEastAsia" w:hint="eastAsia"/>
          <w:color w:val="000000" w:themeColor="text1"/>
          <w:szCs w:val="21"/>
        </w:rPr>
        <w:t>-38799249</w:t>
      </w:r>
    </w:p>
    <w:p w:rsidR="00C35BC5" w:rsidRPr="00C86E67" w:rsidP="00552BE1">
      <w:pPr>
        <w:pStyle w:val="20"/>
        <w:snapToGrid w:val="0"/>
        <w:spacing w:before="0" w:beforeAutospacing="0" w:after="0" w:afterAutospacing="0"/>
        <w:ind w:firstLine="420" w:firstLineChars="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联系人：余贤高</w:t>
      </w:r>
    </w:p>
    <w:p w:rsidR="00C35BC5" w:rsidRPr="00C86E67" w:rsidP="00B5132A">
      <w:pPr>
        <w:pStyle w:val="Heading2"/>
        <w:snapToGrid w:val="0"/>
        <w:spacing w:beforeLines="0" w:afterLines="0" w:line="360" w:lineRule="auto"/>
        <w:ind w:firstLine="199" w:firstLineChars="71"/>
        <w:rPr>
          <w:rFonts w:asciiTheme="minorEastAsia" w:eastAsiaTheme="minorEastAsia" w:hAnsiTheme="minorEastAsia"/>
          <w:color w:val="000000" w:themeColor="text1"/>
          <w:szCs w:val="21"/>
        </w:rPr>
      </w:pPr>
      <w:bookmarkStart w:id="671" w:name="_Toc38432430"/>
      <w:bookmarkStart w:id="672" w:name="_Toc91764799"/>
      <w:r w:rsidRPr="00C86E67">
        <w:rPr>
          <w:rFonts w:asciiTheme="minorEastAsia" w:eastAsiaTheme="minorEastAsia" w:hAnsiTheme="minorEastAsia" w:hint="eastAsia"/>
          <w:color w:val="000000" w:themeColor="text1"/>
          <w:szCs w:val="21"/>
        </w:rPr>
        <w:t>（三）律师事务所和经办律师</w:t>
      </w:r>
      <w:bookmarkEnd w:id="671"/>
      <w:bookmarkEnd w:id="672"/>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律师事务所：金杜律师事务所</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地址：北京朝阳区东三环中路7号北京财富中心写字楼A座40层</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负责人：王玲</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电话：010-58785588</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传真：010-58785599</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经办律师：唐丽子</w:t>
      </w:r>
      <w:r w:rsidRPr="00C86E67" w:rsidR="003D2DD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宋萍萍</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联系人：王玲</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Cs w:val="21"/>
        </w:rPr>
      </w:pPr>
      <w:bookmarkStart w:id="673" w:name="_Toc38432431"/>
      <w:bookmarkStart w:id="674" w:name="_Toc91764800"/>
      <w:r w:rsidRPr="00C86E67">
        <w:rPr>
          <w:rFonts w:asciiTheme="minorEastAsia" w:eastAsiaTheme="minorEastAsia" w:hAnsiTheme="minorEastAsia" w:hint="eastAsia"/>
          <w:color w:val="000000" w:themeColor="text1"/>
          <w:szCs w:val="21"/>
        </w:rPr>
        <w:t>（四）会计师事务所和经办注册会计师</w:t>
      </w:r>
      <w:bookmarkEnd w:id="673"/>
      <w:bookmarkEnd w:id="674"/>
    </w:p>
    <w:p w:rsidR="003C7B11"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会计师事务所：普华永道中天会计师事务所（特殊普通合伙）</w:t>
      </w:r>
    </w:p>
    <w:p w:rsidR="003C7B11"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住所：</w:t>
      </w:r>
      <w:r w:rsidRPr="00C86E67" w:rsidR="00351A31">
        <w:rPr>
          <w:rFonts w:asciiTheme="minorEastAsia" w:eastAsiaTheme="minorEastAsia" w:hAnsiTheme="minorEastAsia" w:hint="eastAsia"/>
          <w:color w:val="000000" w:themeColor="text1"/>
          <w:szCs w:val="21"/>
        </w:rPr>
        <w:t>上海市湖滨路202号普华永道中心11楼</w:t>
      </w:r>
    </w:p>
    <w:p w:rsidR="003C7B11"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办公地址：上海市湖滨路202号普华永道中心11楼</w:t>
      </w:r>
    </w:p>
    <w:p w:rsidR="003C7B11"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首席合伙人：李丹</w:t>
      </w:r>
    </w:p>
    <w:p w:rsidR="003C7B11"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电话：（021）23238888</w:t>
      </w:r>
    </w:p>
    <w:p w:rsidR="003C7B11"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传真：（021）23238800</w:t>
      </w:r>
    </w:p>
    <w:p w:rsidR="003C7B11"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经办注册会计师：</w:t>
      </w:r>
      <w:r w:rsidRPr="00C86E67" w:rsidR="00E054C3">
        <w:rPr>
          <w:rFonts w:asciiTheme="minorEastAsia" w:eastAsiaTheme="minorEastAsia" w:hAnsiTheme="minorEastAsia" w:hint="eastAsia"/>
          <w:color w:val="000000" w:themeColor="text1"/>
          <w:szCs w:val="21"/>
        </w:rPr>
        <w:t>陈熹、</w:t>
      </w:r>
      <w:r w:rsidRPr="00C86E67" w:rsidR="0013519A">
        <w:rPr>
          <w:rFonts w:asciiTheme="minorEastAsia" w:eastAsiaTheme="minorEastAsia" w:hAnsiTheme="minorEastAsia" w:hint="eastAsia"/>
          <w:color w:val="000000" w:themeColor="text1"/>
          <w:szCs w:val="21"/>
        </w:rPr>
        <w:t>陈轶杰</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联系人：</w:t>
      </w:r>
      <w:r w:rsidRPr="00C86E67" w:rsidR="00351A31">
        <w:rPr>
          <w:rFonts w:asciiTheme="minorEastAsia" w:eastAsiaTheme="minorEastAsia" w:hAnsiTheme="minorEastAsia" w:hint="eastAsia"/>
          <w:color w:val="000000" w:themeColor="text1"/>
          <w:szCs w:val="21"/>
        </w:rPr>
        <w:t>周祎</w:t>
      </w:r>
    </w:p>
    <w:p w:rsidR="00C35BC5" w:rsidRPr="00C86E67" w:rsidP="00B5132A">
      <w:pPr>
        <w:pStyle w:val="Heading1"/>
        <w:snapToGrid w:val="0"/>
        <w:spacing w:beforeLines="0" w:afterLines="0" w:line="360" w:lineRule="auto"/>
        <w:ind w:firstLine="640"/>
        <w:rPr>
          <w:rFonts w:asciiTheme="minorEastAsia" w:eastAsiaTheme="minorEastAsia" w:hAnsiTheme="minorEastAsia"/>
          <w:b/>
          <w:bCs/>
          <w:color w:val="000000" w:themeColor="text1"/>
        </w:rPr>
      </w:pPr>
      <w:r w:rsidRPr="00C86E67">
        <w:rPr>
          <w:rFonts w:asciiTheme="minorEastAsia" w:eastAsiaTheme="minorEastAsia" w:hAnsiTheme="minorEastAsia"/>
          <w:color w:val="000000" w:themeColor="text1"/>
          <w:szCs w:val="21"/>
        </w:rPr>
        <w:br w:type="page"/>
      </w:r>
      <w:bookmarkStart w:id="675" w:name="_Toc38432432"/>
      <w:bookmarkStart w:id="676" w:name="_Toc91764801"/>
      <w:r w:rsidRPr="00C86E67">
        <w:rPr>
          <w:rFonts w:asciiTheme="minorEastAsia" w:eastAsiaTheme="minorEastAsia" w:hAnsiTheme="minorEastAsia" w:hint="eastAsia"/>
          <w:b/>
          <w:bCs/>
          <w:color w:val="000000" w:themeColor="text1"/>
        </w:rPr>
        <w:t>六、基金的募集</w:t>
      </w:r>
      <w:bookmarkEnd w:id="675"/>
      <w:bookmarkEnd w:id="676"/>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bookmarkStart w:id="677" w:name="_Toc38432433"/>
      <w:r w:rsidRPr="00C86E67">
        <w:rPr>
          <w:rFonts w:asciiTheme="minorEastAsia" w:eastAsiaTheme="minorEastAsia" w:hAnsiTheme="minorEastAsia" w:hint="eastAsia"/>
          <w:color w:val="000000" w:themeColor="text1"/>
        </w:rPr>
        <w:t>本基金由基金管理人依照《基金法》、《运作办法》、《销售办法》、基金合同的相关规定、并经中国证券监督管理委员会</w:t>
      </w:r>
      <w:r w:rsidRPr="00C86E67" w:rsidR="0013519A">
        <w:rPr>
          <w:rFonts w:asciiTheme="minorEastAsia" w:eastAsiaTheme="minorEastAsia" w:hAnsiTheme="minorEastAsia" w:hint="eastAsia"/>
          <w:color w:val="000000" w:themeColor="text1"/>
          <w:szCs w:val="21"/>
        </w:rPr>
        <w:t>2007年3月15日</w:t>
      </w:r>
      <w:r w:rsidRPr="00C86E67">
        <w:rPr>
          <w:rFonts w:asciiTheme="minorEastAsia" w:eastAsiaTheme="minorEastAsia" w:hAnsiTheme="minorEastAsia" w:hint="eastAsia"/>
          <w:color w:val="000000" w:themeColor="text1"/>
        </w:rPr>
        <w:t>《关于同意易方达价值成长混合型证券投资基金募集的批复》（证监基金字</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2007</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69号）核准</w:t>
      </w:r>
      <w:r w:rsidRPr="00C86E67">
        <w:rPr>
          <w:rFonts w:asciiTheme="minorEastAsia" w:eastAsiaTheme="minorEastAsia" w:hAnsiTheme="minorEastAsia" w:hint="eastAsia"/>
          <w:color w:val="000000" w:themeColor="text1"/>
          <w:szCs w:val="21"/>
        </w:rPr>
        <w:t>募集</w:t>
      </w:r>
      <w:r w:rsidRPr="00C86E67">
        <w:rPr>
          <w:rFonts w:asciiTheme="minorEastAsia" w:eastAsiaTheme="minorEastAsia" w:hAnsiTheme="minorEastAsia" w:hint="eastAsia"/>
          <w:color w:val="000000" w:themeColor="text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本基金为契约型开放式混合型基金，基金存续期为不定期。</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本基金自2007年3月28日起公开募集，并于当</w:t>
      </w:r>
      <w:r w:rsidRPr="00C86E67">
        <w:rPr>
          <w:rFonts w:asciiTheme="minorEastAsia" w:eastAsiaTheme="minorEastAsia" w:hAnsiTheme="minorEastAsia" w:cs="宋体" w:hint="eastAsia"/>
          <w:color w:val="000000" w:themeColor="text1"/>
          <w:kern w:val="0"/>
          <w:szCs w:val="21"/>
        </w:rPr>
        <w:t>日募集结束</w:t>
      </w:r>
      <w:r w:rsidRPr="00C86E67">
        <w:rPr>
          <w:rFonts w:asciiTheme="minorEastAsia" w:eastAsiaTheme="minorEastAsia" w:hAnsiTheme="minorEastAsia" w:hint="eastAsia"/>
          <w:color w:val="000000" w:themeColor="text1"/>
        </w:rPr>
        <w:t>。募集对象为符合法律法规规定的个人投资者、机构投资者及合格境外机构投资者。</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本基金的</w:t>
      </w:r>
      <w:r w:rsidRPr="00C86E67">
        <w:rPr>
          <w:rFonts w:asciiTheme="minorEastAsia" w:eastAsiaTheme="minorEastAsia" w:hAnsiTheme="minorEastAsia" w:hint="eastAsia"/>
          <w:color w:val="000000" w:themeColor="text1"/>
        </w:rPr>
        <w:t>初始</w:t>
      </w:r>
      <w:r w:rsidRPr="00C86E67">
        <w:rPr>
          <w:rFonts w:asciiTheme="minorEastAsia" w:eastAsiaTheme="minorEastAsia" w:hAnsiTheme="minorEastAsia"/>
          <w:color w:val="000000" w:themeColor="text1"/>
        </w:rPr>
        <w:t>面值为每份基金份额人民币1.00元。</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552BE1"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C35BC5" w:rsidRPr="00C86E67" w:rsidP="00552BE1">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p>
    <w:p w:rsidR="00C35BC5" w:rsidRPr="00C86E67" w:rsidP="00B5132A">
      <w:pPr>
        <w:pStyle w:val="Heading1"/>
        <w:snapToGrid w:val="0"/>
        <w:spacing w:beforeLines="0" w:afterLines="0" w:line="360" w:lineRule="auto"/>
        <w:ind w:firstLine="643"/>
        <w:rPr>
          <w:rFonts w:asciiTheme="minorEastAsia" w:eastAsiaTheme="minorEastAsia" w:hAnsiTheme="minorEastAsia"/>
          <w:b/>
          <w:color w:val="000000" w:themeColor="text1"/>
        </w:rPr>
      </w:pPr>
      <w:bookmarkStart w:id="678" w:name="_Toc174274362"/>
      <w:bookmarkStart w:id="679" w:name="_Toc91764802"/>
      <w:bookmarkEnd w:id="677"/>
      <w:r w:rsidRPr="00C86E67">
        <w:rPr>
          <w:rFonts w:asciiTheme="minorEastAsia" w:eastAsiaTheme="minorEastAsia" w:hAnsiTheme="minorEastAsia" w:hint="eastAsia"/>
          <w:b/>
          <w:bCs/>
          <w:color w:val="000000" w:themeColor="text1"/>
        </w:rPr>
        <w:t>七、基金合同的生效</w:t>
      </w:r>
      <w:bookmarkEnd w:id="678"/>
      <w:bookmarkEnd w:id="679"/>
    </w:p>
    <w:p w:rsidR="00025B60" w:rsidRPr="00C86E67" w:rsidP="00B5132A">
      <w:pPr>
        <w:pStyle w:val="Heading2"/>
        <w:snapToGrid w:val="0"/>
        <w:spacing w:beforeLines="0" w:afterLines="0" w:line="360" w:lineRule="auto"/>
        <w:ind w:firstLine="480" w:firstLineChars="0"/>
        <w:rPr>
          <w:rFonts w:asciiTheme="minorEastAsia" w:eastAsiaTheme="minorEastAsia" w:hAnsiTheme="minorEastAsia"/>
          <w:color w:val="000000" w:themeColor="text1"/>
          <w:sz w:val="24"/>
          <w:szCs w:val="24"/>
        </w:rPr>
      </w:pPr>
      <w:bookmarkStart w:id="680" w:name="_Toc91764803"/>
      <w:r w:rsidRPr="00C86E67">
        <w:rPr>
          <w:rFonts w:asciiTheme="minorEastAsia" w:eastAsiaTheme="minorEastAsia" w:hAnsiTheme="minorEastAsia" w:hint="eastAsia"/>
          <w:color w:val="000000" w:themeColor="text1"/>
          <w:sz w:val="24"/>
          <w:szCs w:val="24"/>
        </w:rPr>
        <w:t>（一）基金合同的生效</w:t>
      </w:r>
      <w:bookmarkEnd w:id="680"/>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本基金基金合同于2007年4月2日正式生效。自基金合同生效之日起，本基金管理人正式开始管理本基金。</w:t>
      </w:r>
    </w:p>
    <w:p w:rsidR="00025B60" w:rsidRPr="00C86E67" w:rsidP="00B5132A">
      <w:pPr>
        <w:pStyle w:val="Heading2"/>
        <w:snapToGrid w:val="0"/>
        <w:spacing w:beforeLines="0" w:afterLines="0" w:line="360" w:lineRule="auto"/>
        <w:ind w:firstLine="480" w:firstLineChars="0"/>
        <w:rPr>
          <w:rFonts w:asciiTheme="minorEastAsia" w:eastAsiaTheme="minorEastAsia" w:hAnsiTheme="minorEastAsia"/>
          <w:color w:val="000000" w:themeColor="text1"/>
          <w:sz w:val="24"/>
          <w:szCs w:val="24"/>
        </w:rPr>
      </w:pPr>
      <w:bookmarkStart w:id="681" w:name="_Toc91764804"/>
      <w:r w:rsidRPr="00C86E67">
        <w:rPr>
          <w:rFonts w:asciiTheme="minorEastAsia" w:eastAsiaTheme="minorEastAsia" w:hAnsiTheme="minorEastAsia" w:hint="eastAsia"/>
          <w:color w:val="000000" w:themeColor="text1"/>
          <w:sz w:val="24"/>
          <w:szCs w:val="24"/>
        </w:rPr>
        <w:t>（二）基金存续期内的基金份额持有人数量和资产规模</w:t>
      </w:r>
      <w:bookmarkEnd w:id="681"/>
    </w:p>
    <w:p w:rsidR="00025B60" w:rsidRPr="00C86E67" w:rsidP="00552BE1">
      <w:pPr>
        <w:snapToGrid w:val="0"/>
        <w:spacing w:line="360" w:lineRule="auto"/>
        <w:ind w:firstLine="480"/>
        <w:jc w:val="lef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合同生效后，基金份额持有人数量不满200人或者基金资产净值低于5,000万元的，基金管理人应当及时报告中国证监会；连续20个工作日出现前述情形的，基金管理人应当向中国证监会说明原因和报送解决方案。</w:t>
      </w:r>
    </w:p>
    <w:p w:rsidR="00025B60" w:rsidRPr="00C86E67" w:rsidP="00552BE1">
      <w:pPr>
        <w:snapToGrid w:val="0"/>
        <w:spacing w:line="360" w:lineRule="auto"/>
        <w:ind w:firstLine="480"/>
        <w:jc w:val="lef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在基金存续期间内，如果有效持有人数量连续60个工作日达不到200人，或连续60个工作日基金资产净值低于人民币5000万元，基金管理人有权宣布本基金合同终止，并报中国证监会备案。</w:t>
      </w:r>
    </w:p>
    <w:p w:rsidR="00025B60"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法律、法规或证券监管部门另有规定的，从其规定办理。</w:t>
      </w:r>
    </w:p>
    <w:p w:rsidR="00C35BC5" w:rsidRPr="00C86E67" w:rsidP="00552BE1">
      <w:pPr>
        <w:autoSpaceDE w:val="0"/>
        <w:autoSpaceDN w:val="0"/>
        <w:adjustRightInd w:val="0"/>
        <w:snapToGrid w:val="0"/>
        <w:spacing w:line="360" w:lineRule="auto"/>
        <w:jc w:val="left"/>
        <w:rPr>
          <w:rFonts w:asciiTheme="minorEastAsia" w:eastAsiaTheme="minorEastAsia" w:hAnsiTheme="minorEastAsia"/>
          <w:color w:val="000000" w:themeColor="text1"/>
          <w:kern w:val="0"/>
          <w:sz w:val="20"/>
          <w:szCs w:val="20"/>
        </w:rPr>
      </w:pP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682" w:name="_Toc91764805"/>
      <w:r w:rsidRPr="00C86E67">
        <w:rPr>
          <w:rFonts w:asciiTheme="minorEastAsia" w:eastAsiaTheme="minorEastAsia" w:hAnsiTheme="minorEastAsia" w:hint="eastAsia"/>
          <w:b/>
          <w:bCs/>
          <w:color w:val="000000" w:themeColor="text1"/>
        </w:rPr>
        <w:t>八、基金份额的申购、赎回</w:t>
      </w:r>
      <w:bookmarkEnd w:id="682"/>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83" w:name="_Toc91764806"/>
      <w:r w:rsidRPr="00C86E67">
        <w:rPr>
          <w:rFonts w:asciiTheme="minorEastAsia" w:eastAsiaTheme="minorEastAsia" w:hAnsiTheme="minorEastAsia" w:hint="eastAsia"/>
          <w:color w:val="000000" w:themeColor="text1"/>
          <w:sz w:val="24"/>
          <w:szCs w:val="24"/>
        </w:rPr>
        <w:t>（一）基金投资者范围</w:t>
      </w:r>
      <w:bookmarkEnd w:id="683"/>
    </w:p>
    <w:p w:rsidR="00C35BC5" w:rsidRPr="00C86E67" w:rsidP="00552BE1">
      <w:pPr>
        <w:autoSpaceDE w:val="0"/>
        <w:autoSpaceDN w:val="0"/>
        <w:adjustRightInd w:val="0"/>
        <w:snapToGrid w:val="0"/>
        <w:spacing w:line="360" w:lineRule="auto"/>
        <w:ind w:firstLine="458" w:firstLineChars="218"/>
        <w:jc w:val="lef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中华人民共和国境内的个人投资者和机构投资者</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法律法规禁止投资证券投资基金的除外</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及合格境外机构投资者。</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84" w:name="_Toc91764807"/>
      <w:r w:rsidRPr="00C86E67">
        <w:rPr>
          <w:rFonts w:asciiTheme="minorEastAsia" w:eastAsiaTheme="minorEastAsia" w:hAnsiTheme="minorEastAsia" w:hint="eastAsia"/>
          <w:color w:val="000000" w:themeColor="text1"/>
          <w:sz w:val="24"/>
          <w:szCs w:val="24"/>
        </w:rPr>
        <w:t>（二）申购、赎回的场所</w:t>
      </w:r>
      <w:bookmarkEnd w:id="684"/>
    </w:p>
    <w:p w:rsidR="00C35BC5" w:rsidRPr="00C86E67" w:rsidP="00552BE1">
      <w:pPr>
        <w:pStyle w:val="20"/>
        <w:autoSpaceDE w:val="0"/>
        <w:autoSpaceDN w:val="0"/>
        <w:snapToGrid w:val="0"/>
        <w:spacing w:before="0" w:beforeAutospacing="0" w:after="0" w:afterAutospacing="0"/>
        <w:ind w:left="420" w:firstLine="0" w:leftChars="200" w:firstLineChars="0"/>
        <w:textAlignment w:val="bottom"/>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基金管理</w:t>
      </w:r>
      <w:r w:rsidRPr="00C86E67">
        <w:rPr>
          <w:rFonts w:asciiTheme="minorEastAsia" w:eastAsiaTheme="minorEastAsia" w:hAnsiTheme="minorEastAsia" w:hint="eastAsia"/>
          <w:color w:val="000000" w:themeColor="text1"/>
        </w:rPr>
        <w:t>人的直销</w:t>
      </w:r>
      <w:r w:rsidRPr="00C86E67" w:rsidR="002564C2">
        <w:rPr>
          <w:rFonts w:asciiTheme="minorEastAsia" w:eastAsiaTheme="minorEastAsia" w:hAnsiTheme="minorEastAsia" w:hint="eastAsia"/>
          <w:color w:val="000000" w:themeColor="text1"/>
        </w:rPr>
        <w:t>中心</w:t>
      </w:r>
      <w:r w:rsidRPr="00C86E67">
        <w:rPr>
          <w:rFonts w:asciiTheme="minorEastAsia" w:eastAsiaTheme="minorEastAsia" w:hAnsiTheme="minorEastAsia" w:hint="eastAsia"/>
          <w:color w:val="000000" w:themeColor="text1"/>
        </w:rPr>
        <w:t>、网上交易系统(www.efunds.com.cn)</w:t>
      </w:r>
      <w:r w:rsidRPr="00C86E67">
        <w:rPr>
          <w:rFonts w:asciiTheme="minorEastAsia" w:eastAsiaTheme="minorEastAsia" w:hAnsiTheme="minorEastAsia"/>
          <w:color w:val="000000" w:themeColor="text1"/>
        </w:rPr>
        <w:t>；</w:t>
      </w:r>
    </w:p>
    <w:p w:rsidR="00C35BC5" w:rsidRPr="00C86E67" w:rsidP="00552BE1">
      <w:pPr>
        <w:pStyle w:val="20"/>
        <w:autoSpaceDE w:val="0"/>
        <w:autoSpaceDN w:val="0"/>
        <w:snapToGrid w:val="0"/>
        <w:spacing w:before="0" w:beforeAutospacing="0" w:after="0" w:afterAutospacing="0"/>
        <w:ind w:left="420" w:firstLine="0" w:leftChars="200" w:firstLineChars="0"/>
        <w:textAlignment w:val="bottom"/>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各</w:t>
      </w:r>
      <w:r w:rsidRPr="00C86E67" w:rsidR="00C85C52">
        <w:rPr>
          <w:rFonts w:asciiTheme="minorEastAsia" w:eastAsiaTheme="minorEastAsia" w:hAnsiTheme="minorEastAsia" w:hint="eastAsia"/>
          <w:color w:val="000000" w:themeColor="text1"/>
        </w:rPr>
        <w:t>非直销销售</w:t>
      </w:r>
      <w:r w:rsidRPr="00C86E67">
        <w:rPr>
          <w:rFonts w:asciiTheme="minorEastAsia" w:eastAsiaTheme="minorEastAsia" w:hAnsiTheme="minorEastAsia" w:hint="eastAsia"/>
          <w:color w:val="000000" w:themeColor="text1"/>
        </w:rPr>
        <w:t>机构</w:t>
      </w:r>
      <w:r w:rsidRPr="00C86E67">
        <w:rPr>
          <w:rFonts w:asciiTheme="minorEastAsia" w:eastAsiaTheme="minorEastAsia" w:hAnsiTheme="minorEastAsia"/>
          <w:color w:val="000000" w:themeColor="text1"/>
        </w:rPr>
        <w:t>开办开放式基金业务的营业网点。</w:t>
      </w:r>
    </w:p>
    <w:p w:rsidR="00C35BC5" w:rsidRPr="00C86E67" w:rsidP="00552BE1">
      <w:pPr>
        <w:pStyle w:val="20"/>
        <w:autoSpaceDE w:val="0"/>
        <w:autoSpaceDN w:val="0"/>
        <w:snapToGrid w:val="0"/>
        <w:spacing w:before="0" w:beforeAutospacing="0" w:after="0" w:afterAutospacing="0"/>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基金管理人可根据情况变更基金的销售机构，</w:t>
      </w:r>
      <w:r w:rsidRPr="00C86E67" w:rsidR="002C3C91">
        <w:rPr>
          <w:rFonts w:asciiTheme="minorEastAsia" w:eastAsiaTheme="minorEastAsia" w:hAnsiTheme="minorEastAsia" w:hint="eastAsia"/>
          <w:color w:val="000000" w:themeColor="text1"/>
        </w:rPr>
        <w:t>并在基金管理人网站公示</w:t>
      </w:r>
      <w:r w:rsidRPr="00C86E67">
        <w:rPr>
          <w:rFonts w:asciiTheme="minorEastAsia" w:eastAsiaTheme="minorEastAsia" w:hAnsiTheme="minorEastAsia" w:hint="eastAsia"/>
          <w:color w:val="000000" w:themeColor="text1"/>
        </w:rPr>
        <w:t>。</w:t>
      </w:r>
    </w:p>
    <w:p w:rsidR="00C35BC5" w:rsidRPr="00C86E67" w:rsidP="00552BE1">
      <w:pPr>
        <w:pStyle w:val="20"/>
        <w:autoSpaceDE w:val="0"/>
        <w:autoSpaceDN w:val="0"/>
        <w:snapToGrid w:val="0"/>
        <w:spacing w:before="0" w:beforeAutospacing="0" w:after="0" w:afterAutospacing="0"/>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投资者还可通过基金管理人或者指定的基金</w:t>
      </w:r>
      <w:r w:rsidRPr="00C86E67" w:rsidR="00C85C52">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机构以电话或互联网或</w:t>
      </w:r>
      <w:r w:rsidRPr="00C86E67">
        <w:rPr>
          <w:rFonts w:asciiTheme="minorEastAsia" w:eastAsiaTheme="minorEastAsia" w:hAnsiTheme="minorEastAsia"/>
          <w:color w:val="000000" w:themeColor="text1"/>
        </w:rPr>
        <w:t>其他电子交易方式</w:t>
      </w:r>
      <w:r w:rsidRPr="00C86E67">
        <w:rPr>
          <w:rFonts w:asciiTheme="minorEastAsia" w:eastAsiaTheme="minorEastAsia" w:hAnsiTheme="minorEastAsia" w:hint="eastAsia"/>
          <w:color w:val="000000" w:themeColor="text1"/>
        </w:rPr>
        <w:t>进行申购、赎回，具体以各销售机构的规定为准。</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85" w:name="_Toc91764808"/>
      <w:r w:rsidRPr="00C86E67">
        <w:rPr>
          <w:rFonts w:asciiTheme="minorEastAsia" w:eastAsiaTheme="minorEastAsia" w:hAnsiTheme="minorEastAsia" w:hint="eastAsia"/>
          <w:color w:val="000000" w:themeColor="text1"/>
          <w:sz w:val="24"/>
          <w:szCs w:val="24"/>
        </w:rPr>
        <w:t>（三）申购、赎回的时间</w:t>
      </w:r>
      <w:bookmarkEnd w:id="685"/>
    </w:p>
    <w:p w:rsidR="00C35BC5" w:rsidRPr="00C86E67" w:rsidP="00552BE1">
      <w:pPr>
        <w:snapToGrid w:val="0"/>
        <w:spacing w:line="360" w:lineRule="auto"/>
        <w:ind w:firstLine="525" w:firstLineChars="25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本基金已于</w:t>
      </w:r>
      <w:r w:rsidRPr="00C86E67">
        <w:rPr>
          <w:rFonts w:asciiTheme="minorEastAsia" w:eastAsiaTheme="minorEastAsia" w:hAnsiTheme="minorEastAsia"/>
          <w:color w:val="000000" w:themeColor="text1"/>
          <w:szCs w:val="18"/>
        </w:rPr>
        <w:t>2007</w:t>
      </w:r>
      <w:r w:rsidRPr="00C86E67">
        <w:rPr>
          <w:rFonts w:asciiTheme="minorEastAsia" w:eastAsiaTheme="minorEastAsia" w:hAnsiTheme="minorEastAsia" w:hint="eastAsia"/>
          <w:color w:val="000000" w:themeColor="text1"/>
          <w:szCs w:val="18"/>
        </w:rPr>
        <w:t>年</w:t>
      </w:r>
      <w:r w:rsidRPr="00C86E67">
        <w:rPr>
          <w:rFonts w:asciiTheme="minorEastAsia" w:eastAsiaTheme="minorEastAsia" w:hAnsiTheme="minorEastAsia"/>
          <w:color w:val="000000" w:themeColor="text1"/>
          <w:szCs w:val="18"/>
        </w:rPr>
        <w:t>5</w:t>
      </w:r>
      <w:r w:rsidRPr="00C86E67">
        <w:rPr>
          <w:rFonts w:asciiTheme="minorEastAsia" w:eastAsiaTheme="minorEastAsia" w:hAnsiTheme="minorEastAsia" w:hint="eastAsia"/>
          <w:color w:val="000000" w:themeColor="text1"/>
          <w:szCs w:val="18"/>
        </w:rPr>
        <w:t>月</w:t>
      </w:r>
      <w:r w:rsidRPr="00C86E67">
        <w:rPr>
          <w:rFonts w:asciiTheme="minorEastAsia" w:eastAsiaTheme="minorEastAsia" w:hAnsiTheme="minorEastAsia"/>
          <w:color w:val="000000" w:themeColor="text1"/>
          <w:szCs w:val="18"/>
        </w:rPr>
        <w:t>11</w:t>
      </w:r>
      <w:r w:rsidRPr="00C86E67">
        <w:rPr>
          <w:rFonts w:asciiTheme="minorEastAsia" w:eastAsiaTheme="minorEastAsia" w:hAnsiTheme="minorEastAsia" w:hint="eastAsia"/>
          <w:color w:val="000000" w:themeColor="text1"/>
          <w:szCs w:val="18"/>
        </w:rPr>
        <w:t>日</w:t>
      </w:r>
      <w:r w:rsidRPr="00C86E67">
        <w:rPr>
          <w:rFonts w:asciiTheme="minorEastAsia" w:eastAsiaTheme="minorEastAsia" w:hAnsiTheme="minorEastAsia" w:hint="eastAsia"/>
          <w:color w:val="000000" w:themeColor="text1"/>
        </w:rPr>
        <w:t>开始办理日常申购、赎回业务。</w:t>
      </w:r>
    </w:p>
    <w:p w:rsidR="00C35BC5" w:rsidRPr="00C86E67" w:rsidP="00552BE1">
      <w:pPr>
        <w:pStyle w:val="20"/>
        <w:autoSpaceDE w:val="0"/>
        <w:autoSpaceDN w:val="0"/>
        <w:snapToGrid w:val="0"/>
        <w:spacing w:before="0" w:beforeAutospacing="0" w:after="0" w:afterAutospacing="0"/>
        <w:ind w:firstLine="525" w:firstLineChars="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申购、赎回的开放日为上海证券交易所和深圳证券交易所同时开放交易的工作日（基金管理人根据法律法规或本基金合同的规定公告暂停申购、赎回时除外）。开放日的具体业务办理时间为上海证券交易所、深圳证券交易所交易日的交易时间。若出现新的证券交易市场或交易所交易时间更改或其它原因，基金管理人将根据法律法规和基金合同规定的原则视情况进行相应的调整并公告。</w:t>
      </w:r>
    </w:p>
    <w:p w:rsidR="00C35BC5" w:rsidRPr="00C86E67" w:rsidP="00552BE1">
      <w:pPr>
        <w:pStyle w:val="20"/>
        <w:autoSpaceDE w:val="0"/>
        <w:autoSpaceDN w:val="0"/>
        <w:snapToGrid w:val="0"/>
        <w:spacing w:before="0" w:beforeAutospacing="0" w:after="0" w:afterAutospacing="0"/>
        <w:ind w:firstLine="525" w:firstLineChars="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投资人在基金合同约定之外的日期和时间提出申购、赎回或者转换申请的，其基金份额申购、赎回价格为下次办理基金份额申购、赎回时间所在开放日的价格。</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Cs/>
          <w:color w:val="000000" w:themeColor="text1"/>
          <w:sz w:val="24"/>
          <w:szCs w:val="24"/>
        </w:rPr>
      </w:pPr>
      <w:bookmarkStart w:id="686" w:name="_Toc91764809"/>
      <w:r w:rsidRPr="00C86E67">
        <w:rPr>
          <w:rFonts w:asciiTheme="minorEastAsia" w:eastAsiaTheme="minorEastAsia" w:hAnsiTheme="minorEastAsia" w:hint="eastAsia"/>
          <w:bCs/>
          <w:color w:val="000000" w:themeColor="text1"/>
          <w:sz w:val="24"/>
          <w:szCs w:val="24"/>
        </w:rPr>
        <w:t>（四）申购、赎回的原则</w:t>
      </w:r>
      <w:bookmarkEnd w:id="686"/>
    </w:p>
    <w:p w:rsidR="00C35BC5" w:rsidRPr="00C86E67" w:rsidP="00552BE1">
      <w:pPr>
        <w:snapToGrid w:val="0"/>
        <w:spacing w:line="360" w:lineRule="auto"/>
        <w:ind w:firstLine="525" w:firstLineChars="25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Pr>
          <w:rFonts w:asciiTheme="minorEastAsia" w:eastAsiaTheme="minorEastAsia" w:hAnsiTheme="minorEastAsia"/>
          <w:color w:val="000000" w:themeColor="text1"/>
        </w:rPr>
        <w:t>未知价原则</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即本基金的申购与赎回价格以受理申请当日收市后计算的基金份额净值为基准进行计算；</w:t>
      </w:r>
    </w:p>
    <w:p w:rsidR="00C35BC5" w:rsidRPr="00C86E67" w:rsidP="00552BE1">
      <w:pPr>
        <w:snapToGrid w:val="0"/>
        <w:spacing w:line="360" w:lineRule="auto"/>
        <w:ind w:firstLine="525" w:firstLineChars="25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2、本基金采用</w:t>
      </w:r>
      <w:r w:rsidRPr="00C86E67">
        <w:rPr>
          <w:rFonts w:asciiTheme="minorEastAsia" w:eastAsiaTheme="minorEastAsia" w:hAnsiTheme="minorEastAsia"/>
          <w:color w:val="000000" w:themeColor="text1"/>
        </w:rPr>
        <w:t>金额申购、份额赎回原则</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即申购以金额申请</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赎回以份额申请；</w:t>
      </w:r>
    </w:p>
    <w:p w:rsidR="00C35BC5" w:rsidRPr="00C86E67" w:rsidP="00552BE1">
      <w:pPr>
        <w:snapToGrid w:val="0"/>
        <w:spacing w:line="360" w:lineRule="auto"/>
        <w:ind w:firstLine="525" w:firstLineChars="25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3、基金份额持有人赎回时，除指定赎回外，基金管理人按先进先出的原则，对该持有人账户在该销售机构托管的基金份额进行处理，即注册日期在先的基金份额先赎回，后注册日期在后的基金份额后赎回；</w:t>
      </w:r>
    </w:p>
    <w:p w:rsidR="00C35BC5" w:rsidRPr="00C86E67" w:rsidP="00552BE1">
      <w:pPr>
        <w:snapToGrid w:val="0"/>
        <w:spacing w:line="360" w:lineRule="auto"/>
        <w:ind w:firstLine="525" w:firstLineChars="25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4、当日的申购、赎回申请可以在当日交易结束时间前撤销，在当日的交易时间结束后不得撤销；</w:t>
      </w:r>
    </w:p>
    <w:p w:rsidR="00C35BC5" w:rsidRPr="00C86E67" w:rsidP="00552BE1">
      <w:pPr>
        <w:snapToGrid w:val="0"/>
        <w:spacing w:line="360" w:lineRule="auto"/>
        <w:ind w:firstLine="525" w:firstLineChars="25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5、基金管理人可根据基金运作的实际情况并在不影响基金份额持有人实质利益的前提下调整上述原则。基金管理人必须在新规则开始实施前按照《信息披露办法》的有关规定在</w:t>
      </w:r>
      <w:r w:rsidRPr="00C86E67" w:rsidR="002C3C91">
        <w:rPr>
          <w:rFonts w:asciiTheme="minorEastAsia" w:eastAsiaTheme="minorEastAsia" w:hAnsiTheme="minorEastAsia" w:hint="eastAsia"/>
          <w:color w:val="000000" w:themeColor="text1"/>
        </w:rPr>
        <w:t>指定媒介公告</w:t>
      </w:r>
      <w:r w:rsidRPr="00C86E67">
        <w:rPr>
          <w:rFonts w:asciiTheme="minorEastAsia" w:eastAsiaTheme="minorEastAsia" w:hAnsiTheme="minorEastAsia" w:hint="eastAsia"/>
          <w:color w:val="000000" w:themeColor="text1"/>
        </w:rPr>
        <w:t>。</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87" w:name="_Toc91764810"/>
      <w:r w:rsidRPr="00C86E67">
        <w:rPr>
          <w:rFonts w:asciiTheme="minorEastAsia" w:eastAsiaTheme="minorEastAsia" w:hAnsiTheme="minorEastAsia" w:hint="eastAsia"/>
          <w:color w:val="000000" w:themeColor="text1"/>
          <w:sz w:val="24"/>
          <w:szCs w:val="24"/>
        </w:rPr>
        <w:t>（五）申购、赎回的程序</w:t>
      </w:r>
      <w:bookmarkEnd w:id="687"/>
    </w:p>
    <w:p w:rsidR="00C35BC5" w:rsidRPr="00C86E67" w:rsidP="00552BE1">
      <w:pPr>
        <w:numPr>
          <w:ilvl w:val="0"/>
          <w:numId w:val="11"/>
        </w:numPr>
        <w:tabs>
          <w:tab w:val="left" w:pos="735"/>
        </w:tabs>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申购、赎回的申请方式</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基金投资者必须根据基金管理人和基金</w:t>
      </w:r>
      <w:r w:rsidRPr="00C86E67" w:rsidR="00C85C52">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机构规定的手续，在开放日的</w:t>
      </w:r>
      <w:r w:rsidRPr="00C86E67">
        <w:rPr>
          <w:rFonts w:asciiTheme="minorEastAsia" w:eastAsiaTheme="minorEastAsia" w:hAnsiTheme="minorEastAsia" w:hint="eastAsia"/>
          <w:color w:val="000000" w:themeColor="text1"/>
          <w:szCs w:val="20"/>
        </w:rPr>
        <w:t>业务办理时间</w:t>
      </w:r>
      <w:r w:rsidRPr="00C86E67">
        <w:rPr>
          <w:rFonts w:asciiTheme="minorEastAsia" w:eastAsiaTheme="minorEastAsia" w:hAnsiTheme="minorEastAsia" w:hint="eastAsia"/>
          <w:color w:val="000000" w:themeColor="text1"/>
        </w:rPr>
        <w:t>提出申购、赎回的申请。</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szCs w:val="20"/>
        </w:rPr>
        <w:t>投资者在提交申购申请时</w:t>
      </w:r>
      <w:r w:rsidRPr="00C86E67">
        <w:rPr>
          <w:rFonts w:asciiTheme="minorEastAsia" w:eastAsiaTheme="minorEastAsia" w:hAnsiTheme="minorEastAsia" w:hint="eastAsia"/>
          <w:color w:val="000000" w:themeColor="text1"/>
          <w:szCs w:val="20"/>
        </w:rPr>
        <w:t>，</w:t>
      </w:r>
      <w:r w:rsidRPr="00C86E67">
        <w:rPr>
          <w:rFonts w:asciiTheme="minorEastAsia" w:eastAsiaTheme="minorEastAsia" w:hAnsiTheme="minorEastAsia"/>
          <w:color w:val="000000" w:themeColor="text1"/>
          <w:szCs w:val="20"/>
        </w:rPr>
        <w:t>须按销售机构规定的方式备足申购资金；提交赎回申请时,</w:t>
      </w:r>
      <w:r w:rsidRPr="00C86E67" w:rsidR="00AC798E">
        <w:rPr>
          <w:rFonts w:asciiTheme="minorEastAsia" w:eastAsiaTheme="minorEastAsia" w:hAnsiTheme="minorEastAsia"/>
          <w:color w:val="000000" w:themeColor="text1"/>
          <w:szCs w:val="20"/>
        </w:rPr>
        <w:t>账户</w:t>
      </w:r>
      <w:r w:rsidRPr="00C86E67">
        <w:rPr>
          <w:rFonts w:asciiTheme="minorEastAsia" w:eastAsiaTheme="minorEastAsia" w:hAnsiTheme="minorEastAsia"/>
          <w:color w:val="000000" w:themeColor="text1"/>
          <w:szCs w:val="20"/>
        </w:rPr>
        <w:t>中必须有足够的基金</w:t>
      </w:r>
      <w:r w:rsidRPr="00C86E67">
        <w:rPr>
          <w:rFonts w:asciiTheme="minorEastAsia" w:eastAsiaTheme="minorEastAsia" w:hAnsiTheme="minorEastAsia" w:hint="eastAsia"/>
          <w:color w:val="000000" w:themeColor="text1"/>
          <w:szCs w:val="20"/>
        </w:rPr>
        <w:t>份额</w:t>
      </w:r>
      <w:r w:rsidRPr="00C86E67">
        <w:rPr>
          <w:rFonts w:asciiTheme="minorEastAsia" w:eastAsiaTheme="minorEastAsia" w:hAnsiTheme="minorEastAsia"/>
          <w:color w:val="000000" w:themeColor="text1"/>
          <w:szCs w:val="20"/>
        </w:rPr>
        <w:t>余额</w:t>
      </w:r>
      <w:r w:rsidRPr="00C86E67">
        <w:rPr>
          <w:rFonts w:asciiTheme="minorEastAsia" w:eastAsiaTheme="minorEastAsia" w:hAnsiTheme="minorEastAsia" w:hint="eastAsia"/>
          <w:color w:val="000000" w:themeColor="text1"/>
          <w:szCs w:val="20"/>
        </w:rPr>
        <w:t>，否则所提交的申购、赎回的申请无效而不予成交。</w:t>
      </w:r>
    </w:p>
    <w:p w:rsidR="00C35BC5" w:rsidRPr="00C86E67" w:rsidP="00552BE1">
      <w:pPr>
        <w:numPr>
          <w:ilvl w:val="0"/>
          <w:numId w:val="11"/>
        </w:numPr>
        <w:tabs>
          <w:tab w:val="left" w:pos="735"/>
        </w:tabs>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申购、赎回申请的确认</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T</w:t>
      </w:r>
      <w:r w:rsidRPr="00C86E67">
        <w:rPr>
          <w:rFonts w:asciiTheme="minorEastAsia" w:eastAsiaTheme="minorEastAsia" w:hAnsiTheme="minorEastAsia" w:hint="eastAsia"/>
          <w:color w:val="000000" w:themeColor="text1"/>
          <w:szCs w:val="21"/>
        </w:rPr>
        <w:t>日规定时间受理的申请，本基金注册登记机构在三个工作日内为投资者对该交易的有效性进行确认。</w:t>
      </w:r>
    </w:p>
    <w:p w:rsidR="00C35BC5" w:rsidRPr="00C86E67" w:rsidP="00552BE1">
      <w:pPr>
        <w:numPr>
          <w:ilvl w:val="0"/>
          <w:numId w:val="11"/>
        </w:numPr>
        <w:tabs>
          <w:tab w:val="left" w:pos="735"/>
        </w:tabs>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申购和赎回的款项支付</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申购采用全额缴款方式，若申购资金在规定时间内未全额到账则申购不成功，若申购不成功或无效，申购款项将退回投资者账户。</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投资者赎回申请</w:t>
      </w:r>
      <w:r w:rsidRPr="00C86E67">
        <w:rPr>
          <w:rFonts w:asciiTheme="minorEastAsia" w:eastAsiaTheme="minorEastAsia" w:hAnsiTheme="minorEastAsia" w:hint="eastAsia"/>
          <w:color w:val="000000" w:themeColor="text1"/>
        </w:rPr>
        <w:t>被确认有效</w:t>
      </w:r>
      <w:r w:rsidRPr="00C86E67">
        <w:rPr>
          <w:rFonts w:asciiTheme="minorEastAsia" w:eastAsiaTheme="minorEastAsia" w:hAnsiTheme="minorEastAsia"/>
          <w:color w:val="000000" w:themeColor="text1"/>
        </w:rPr>
        <w:t>后</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赎回金额将由基金管理人通常在T＋3个工作日但不超过T＋7个工作日之内从基金托管人划出。在发生巨额赎回并延期支付时</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款项和份额的支付办法参照有关巨额赎回的条款处理。在发生巨额赎回时，款项的支付办法按基金</w:t>
      </w:r>
      <w:r w:rsidRPr="00C86E67">
        <w:rPr>
          <w:rFonts w:asciiTheme="minorEastAsia" w:eastAsiaTheme="minorEastAsia" w:hAnsiTheme="minorEastAsia" w:hint="eastAsia"/>
          <w:color w:val="000000" w:themeColor="text1"/>
        </w:rPr>
        <w:t>合同</w:t>
      </w:r>
      <w:r w:rsidRPr="00C86E67">
        <w:rPr>
          <w:rFonts w:asciiTheme="minorEastAsia" w:eastAsiaTheme="minorEastAsia" w:hAnsiTheme="minorEastAsia"/>
          <w:color w:val="000000" w:themeColor="text1"/>
        </w:rPr>
        <w:t>及本招募说明书有关规定处理。</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88" w:name="_Toc91764811"/>
      <w:r w:rsidRPr="00C86E67">
        <w:rPr>
          <w:rFonts w:asciiTheme="minorEastAsia" w:eastAsiaTheme="minorEastAsia" w:hAnsiTheme="minorEastAsia" w:hint="eastAsia"/>
          <w:color w:val="000000" w:themeColor="text1"/>
          <w:sz w:val="24"/>
          <w:szCs w:val="24"/>
        </w:rPr>
        <w:t>（六）申购、赎回的数额限制</w:t>
      </w:r>
      <w:bookmarkEnd w:id="688"/>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sidR="00552BE1">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申购基金的金额限制</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投资者通过</w:t>
      </w:r>
      <w:r w:rsidRPr="00C86E67" w:rsidR="00C85C52">
        <w:rPr>
          <w:rFonts w:asciiTheme="minorEastAsia" w:eastAsiaTheme="minorEastAsia" w:hAnsiTheme="minorEastAsia" w:hint="eastAsia"/>
          <w:color w:val="000000" w:themeColor="text1"/>
        </w:rPr>
        <w:t>非直销销售机构</w:t>
      </w:r>
      <w:r w:rsidRPr="00C86E67">
        <w:rPr>
          <w:rFonts w:asciiTheme="minorEastAsia" w:eastAsiaTheme="minorEastAsia" w:hAnsiTheme="minorEastAsia" w:hint="eastAsia"/>
          <w:color w:val="000000" w:themeColor="text1"/>
        </w:rPr>
        <w:t>或本公司网上交易系统首次申购的单笔最低金额为</w:t>
      </w:r>
      <w:r w:rsidRPr="00C86E67" w:rsidR="002A043D">
        <w:rPr>
          <w:rFonts w:asciiTheme="minorEastAsia" w:eastAsiaTheme="minorEastAsia" w:hAnsiTheme="minorEastAsia" w:hint="eastAsia"/>
          <w:color w:val="000000" w:themeColor="text1"/>
        </w:rPr>
        <w:t>1</w:t>
      </w:r>
      <w:r w:rsidRPr="00C86E67">
        <w:rPr>
          <w:rFonts w:asciiTheme="minorEastAsia" w:eastAsiaTheme="minorEastAsia" w:hAnsiTheme="minorEastAsia" w:hint="eastAsia"/>
          <w:color w:val="000000" w:themeColor="text1"/>
        </w:rPr>
        <w:t>元人民币，</w:t>
      </w:r>
      <w:r w:rsidRPr="00C86E67" w:rsidR="00C85C52">
        <w:rPr>
          <w:rFonts w:asciiTheme="minorEastAsia" w:eastAsiaTheme="minorEastAsia" w:hAnsiTheme="minorEastAsia" w:hint="eastAsia"/>
          <w:color w:val="000000" w:themeColor="text1"/>
        </w:rPr>
        <w:t>追加申购单笔最低金额为</w:t>
      </w:r>
      <w:r w:rsidRPr="00C86E67" w:rsidR="002A043D">
        <w:rPr>
          <w:rFonts w:asciiTheme="minorEastAsia" w:eastAsiaTheme="minorEastAsia" w:hAnsiTheme="minorEastAsia"/>
          <w:color w:val="000000" w:themeColor="text1"/>
        </w:rPr>
        <w:t>1</w:t>
      </w:r>
      <w:r w:rsidRPr="00C86E67" w:rsidR="00C85C52">
        <w:rPr>
          <w:rFonts w:asciiTheme="minorEastAsia" w:eastAsiaTheme="minorEastAsia" w:hAnsiTheme="minorEastAsia" w:hint="eastAsia"/>
          <w:color w:val="000000" w:themeColor="text1"/>
        </w:rPr>
        <w:t>元人民币；</w:t>
      </w:r>
      <w:r w:rsidRPr="00C86E67">
        <w:rPr>
          <w:rFonts w:asciiTheme="minorEastAsia" w:eastAsiaTheme="minorEastAsia" w:hAnsiTheme="minorEastAsia" w:hint="eastAsia"/>
          <w:color w:val="000000" w:themeColor="text1"/>
        </w:rPr>
        <w:t>通过直销中心首次申购的单笔最低金额为50000元人民币，追加申购单笔最低金额均为1000元人民币。</w:t>
      </w:r>
      <w:r w:rsidRPr="00C86E67" w:rsidR="00B90648">
        <w:rPr>
          <w:rFonts w:asciiTheme="minorEastAsia" w:eastAsiaTheme="minorEastAsia" w:hAnsiTheme="minorEastAsia" w:hint="eastAsia"/>
          <w:color w:val="000000" w:themeColor="text1"/>
        </w:rPr>
        <w:t>在符合法律法规规定的前提下，</w:t>
      </w:r>
      <w:r w:rsidRPr="00C86E67">
        <w:rPr>
          <w:rFonts w:asciiTheme="minorEastAsia" w:eastAsiaTheme="minorEastAsia" w:hAnsiTheme="minorEastAsia" w:hint="eastAsia"/>
          <w:color w:val="000000" w:themeColor="text1"/>
        </w:rPr>
        <w:t>各</w:t>
      </w:r>
      <w:r w:rsidRPr="00C86E67" w:rsidR="00C85C52">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机构对最低申购限额及交易级差有其他规定的,</w:t>
      </w:r>
      <w:r w:rsidRPr="00C86E67" w:rsidR="0073370B">
        <w:rPr>
          <w:rFonts w:asciiTheme="minorEastAsia" w:eastAsiaTheme="minorEastAsia" w:hAnsiTheme="minorEastAsia" w:hint="eastAsia"/>
          <w:color w:val="000000" w:themeColor="text1"/>
        </w:rPr>
        <w:t>需同时遵循该销售机构的相关规定</w:t>
      </w:r>
      <w:r w:rsidRPr="00C86E67">
        <w:rPr>
          <w:rFonts w:asciiTheme="minorEastAsia" w:eastAsiaTheme="minorEastAsia" w:hAnsiTheme="minorEastAsia" w:hint="eastAsia"/>
          <w:color w:val="000000" w:themeColor="text1"/>
        </w:rPr>
        <w:t>。</w:t>
      </w:r>
      <w:r w:rsidRPr="00C86E67" w:rsidR="00C85C52">
        <w:rPr>
          <w:rFonts w:asciiTheme="minorEastAsia" w:eastAsiaTheme="minorEastAsia" w:hAnsiTheme="minorEastAsia"/>
          <w:color w:val="000000" w:themeColor="text1"/>
          <w:szCs w:val="21"/>
        </w:rPr>
        <w:t>(</w:t>
      </w:r>
      <w:r w:rsidRPr="00C86E67" w:rsidR="00C85C52">
        <w:rPr>
          <w:rFonts w:asciiTheme="minorEastAsia" w:eastAsiaTheme="minorEastAsia" w:hAnsiTheme="minorEastAsia" w:hint="eastAsia"/>
          <w:color w:val="000000" w:themeColor="text1"/>
          <w:szCs w:val="21"/>
        </w:rPr>
        <w:t>以上金额均含申购费</w:t>
      </w:r>
      <w:r w:rsidRPr="00C86E67" w:rsidR="00C85C52">
        <w:rPr>
          <w:rFonts w:asciiTheme="minorEastAsia" w:eastAsiaTheme="minorEastAsia" w:hAnsiTheme="minorEastAsia"/>
          <w:color w:val="000000" w:themeColor="text1"/>
          <w:szCs w:val="21"/>
        </w:rPr>
        <w:t>)</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投资者将当期分配的基金收益转购基金份额或采用定期定额投资计划时，不受最低申购金额的限制。</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投资者可多次申购，对单个投资者累计持有份额不设上限限制。</w:t>
      </w:r>
      <w:r w:rsidRPr="00C86E67" w:rsidR="004C1E5D">
        <w:rPr>
          <w:rFonts w:asciiTheme="minorEastAsia" w:eastAsiaTheme="minorEastAsia" w:hAnsiTheme="minorEastAsia" w:hint="eastAsia"/>
          <w:color w:val="000000" w:themeColor="text1"/>
          <w:szCs w:val="21"/>
        </w:rPr>
        <w:t>但对于可能导致单一投资者持有基金份额的比例达到或者超过50%，或者变相规避50%集中度的情形，基金管理人有权按照相关法律法规采取控制措施。</w:t>
      </w:r>
      <w:r w:rsidRPr="00C86E67">
        <w:rPr>
          <w:rFonts w:asciiTheme="minorEastAsia" w:eastAsiaTheme="minorEastAsia" w:hAnsiTheme="minorEastAsia" w:hint="eastAsia"/>
          <w:color w:val="000000" w:themeColor="text1"/>
        </w:rPr>
        <w:t>法律法规、中国证监会另有规定的除外。</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bookmarkStart w:id="689" w:name="OLE_LINK2"/>
      <w:r w:rsidRPr="00C86E67">
        <w:rPr>
          <w:rFonts w:asciiTheme="minorEastAsia" w:eastAsiaTheme="minorEastAsia" w:hAnsiTheme="minorEastAsia" w:hint="eastAsia"/>
          <w:color w:val="000000" w:themeColor="text1"/>
        </w:rPr>
        <w:t>2、赎回的份额限制</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投资者可将其全部或部分基金单位赎回。单笔赎回或转换不得少于</w:t>
      </w:r>
      <w:r w:rsidRPr="00C86E67">
        <w:rPr>
          <w:rFonts w:asciiTheme="minorEastAsia" w:eastAsiaTheme="minorEastAsia" w:hAnsiTheme="minorEastAsia" w:hint="eastAsia"/>
          <w:color w:val="000000" w:themeColor="text1"/>
        </w:rPr>
        <w:t>1</w:t>
      </w:r>
      <w:r w:rsidRPr="00C86E67">
        <w:rPr>
          <w:rFonts w:asciiTheme="minorEastAsia" w:eastAsiaTheme="minorEastAsia" w:hAnsiTheme="minorEastAsia"/>
          <w:color w:val="000000" w:themeColor="text1"/>
        </w:rPr>
        <w:t>份</w:t>
      </w:r>
      <w:r w:rsidRPr="00C86E67">
        <w:rPr>
          <w:rFonts w:asciiTheme="minorEastAsia" w:eastAsiaTheme="minorEastAsia" w:hAnsiTheme="minorEastAsia" w:hint="eastAsia"/>
          <w:color w:val="000000" w:themeColor="text1"/>
        </w:rPr>
        <w:t>（</w:t>
      </w:r>
      <w:r w:rsidRPr="00C86E67" w:rsidR="00601FFA">
        <w:rPr>
          <w:rFonts w:asciiTheme="minorEastAsia" w:eastAsiaTheme="minorEastAsia" w:hAnsiTheme="minorEastAsia"/>
          <w:color w:val="000000" w:themeColor="text1"/>
        </w:rPr>
        <w:t>如该账户在该销售机构托管的</w:t>
      </w:r>
      <w:r w:rsidRPr="00C86E67" w:rsidR="00601FFA">
        <w:rPr>
          <w:rFonts w:asciiTheme="minorEastAsia" w:eastAsiaTheme="minorEastAsia" w:hAnsiTheme="minorEastAsia" w:hint="eastAsia"/>
          <w:color w:val="000000" w:themeColor="text1"/>
        </w:rPr>
        <w:t>该</w:t>
      </w:r>
      <w:r w:rsidRPr="00C86E67" w:rsidR="00601FFA">
        <w:rPr>
          <w:rFonts w:asciiTheme="minorEastAsia" w:eastAsiaTheme="minorEastAsia" w:hAnsiTheme="minorEastAsia"/>
          <w:color w:val="000000" w:themeColor="text1"/>
        </w:rPr>
        <w:t>基金余额不足</w:t>
      </w:r>
      <w:r w:rsidRPr="00C86E67">
        <w:rPr>
          <w:rFonts w:asciiTheme="minorEastAsia" w:eastAsiaTheme="minorEastAsia" w:hAnsiTheme="minorEastAsia"/>
          <w:color w:val="000000" w:themeColor="text1"/>
        </w:rPr>
        <w:t>1份</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则必须一次性赎回或转出该基金全部份额</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；若某笔赎回将导致投资者在</w:t>
      </w:r>
      <w:r w:rsidRPr="00C86E67" w:rsidR="00AC798E">
        <w:rPr>
          <w:rFonts w:asciiTheme="minorEastAsia" w:eastAsiaTheme="minorEastAsia" w:hAnsiTheme="minorEastAsia" w:hint="eastAsia"/>
          <w:color w:val="000000" w:themeColor="text1"/>
        </w:rPr>
        <w:t>该</w:t>
      </w:r>
      <w:r w:rsidRPr="00C86E67">
        <w:rPr>
          <w:rFonts w:asciiTheme="minorEastAsia" w:eastAsiaTheme="minorEastAsia" w:hAnsiTheme="minorEastAsia"/>
          <w:color w:val="000000" w:themeColor="text1"/>
        </w:rPr>
        <w:t>销售机构托管的</w:t>
      </w:r>
      <w:r w:rsidRPr="00C86E67" w:rsidR="00601FFA">
        <w:rPr>
          <w:rFonts w:asciiTheme="minorEastAsia" w:eastAsiaTheme="minorEastAsia" w:hAnsiTheme="minorEastAsia" w:hint="eastAsia"/>
          <w:color w:val="000000" w:themeColor="text1"/>
        </w:rPr>
        <w:t>该</w:t>
      </w:r>
      <w:r w:rsidRPr="00C86E67">
        <w:rPr>
          <w:rFonts w:asciiTheme="minorEastAsia" w:eastAsiaTheme="minorEastAsia" w:hAnsiTheme="minorEastAsia"/>
          <w:color w:val="000000" w:themeColor="text1"/>
        </w:rPr>
        <w:t>基金余额不足1份时</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基金管理人有权将投资者在该销售机构托管的该基金剩余份额一次性全部赎回</w:t>
      </w:r>
      <w:r w:rsidRPr="00C86E67" w:rsidR="00601FFA">
        <w:rPr>
          <w:rFonts w:asciiTheme="minorEastAsia" w:eastAsiaTheme="minorEastAsia" w:hAnsiTheme="minorEastAsia" w:hint="eastAsia"/>
          <w:color w:val="000000" w:themeColor="text1"/>
        </w:rPr>
        <w:t>。在符合法律法规规定的前提下，各销售机构对赎回份额限制有其他规定的，需同时遵循该销售机构的相关规定。</w:t>
      </w:r>
    </w:p>
    <w:bookmarkEnd w:id="689"/>
    <w:p w:rsidR="004C1E5D"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基金管理人可根据市场情况制定或调整上述申购、赎回的程序及有关限制，</w:t>
      </w:r>
      <w:r w:rsidRPr="00C86E67">
        <w:rPr>
          <w:rFonts w:asciiTheme="minorEastAsia" w:eastAsiaTheme="minorEastAsia" w:hAnsiTheme="minorEastAsia" w:hint="eastAsia"/>
          <w:color w:val="000000" w:themeColor="text1"/>
          <w:szCs w:val="21"/>
        </w:rPr>
        <w:t>或者新增基金规模控制措施，</w:t>
      </w:r>
      <w:r w:rsidRPr="00C86E67">
        <w:rPr>
          <w:rFonts w:asciiTheme="minorEastAsia" w:eastAsiaTheme="minorEastAsia" w:hAnsiTheme="minorEastAsia" w:hint="eastAsia"/>
          <w:color w:val="000000" w:themeColor="text1"/>
        </w:rPr>
        <w:t>但应在调整生效前2个工作日至少在一家</w:t>
      </w:r>
      <w:r w:rsidRPr="00C86E67" w:rsidR="002C3C91">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公告。</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90" w:name="_Toc91764812"/>
      <w:r w:rsidRPr="00C86E67">
        <w:rPr>
          <w:rFonts w:asciiTheme="minorEastAsia" w:eastAsiaTheme="minorEastAsia" w:hAnsiTheme="minorEastAsia" w:hint="eastAsia"/>
          <w:color w:val="000000" w:themeColor="text1"/>
          <w:sz w:val="24"/>
          <w:szCs w:val="24"/>
        </w:rPr>
        <w:t>（七）申购、赎回的费率</w:t>
      </w:r>
      <w:bookmarkEnd w:id="690"/>
    </w:p>
    <w:p w:rsidR="00C35BC5" w:rsidRPr="00C86E67" w:rsidP="00552BE1">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本基金的申购、赎回费率</w:t>
      </w:r>
    </w:p>
    <w:p w:rsidR="003954C9" w:rsidRPr="00C86E67" w:rsidP="00552BE1">
      <w:pPr>
        <w:snapToGrid w:val="0"/>
        <w:spacing w:line="360" w:lineRule="auto"/>
        <w:ind w:firstLine="424" w:firstLineChars="202"/>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本基金对通过本公司直销中心申购的特定投资群体与除此之外的其他投资者实施差</w:t>
      </w:r>
    </w:p>
    <w:p w:rsidR="003954C9"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别的申购费率。</w:t>
      </w:r>
    </w:p>
    <w:p w:rsidR="003954C9" w:rsidRPr="00C86E67" w:rsidP="00552BE1">
      <w:pPr>
        <w:snapToGrid w:val="0"/>
        <w:spacing w:line="360" w:lineRule="auto"/>
        <w:ind w:firstLine="424" w:firstLineChars="202"/>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特定投资群体指全国社会保障基金、依法设立的基本养老保险基金、依法制定的企业</w:t>
      </w:r>
    </w:p>
    <w:p w:rsidR="003954C9"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3954C9"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通过基金管理人的直销中心申购本基金的特定投资群体申购费率为：</w:t>
      </w:r>
    </w:p>
    <w:tbl>
      <w:tblPr>
        <w:tblW w:w="3999"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387"/>
        <w:gridCol w:w="3414"/>
      </w:tblGrid>
      <w:tr w:rsidTr="00797C7A">
        <w:tblPrEx>
          <w:tblW w:w="3999"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3954C9"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Style w:val="Strong"/>
                <w:rFonts w:asciiTheme="minorEastAsia" w:eastAsiaTheme="minorEastAsia" w:hAnsiTheme="minorEastAsia" w:hint="eastAsia"/>
                <w:b w:val="0"/>
                <w:color w:val="000000" w:themeColor="text1"/>
                <w:szCs w:val="21"/>
              </w:rPr>
              <w:t>申购金额M（元）（含申购费）</w:t>
            </w:r>
          </w:p>
        </w:tc>
        <w:tc>
          <w:tcPr>
            <w:tcW w:w="2494" w:type="pct"/>
            <w:shd w:val="clear" w:color="auto" w:fill="auto"/>
            <w:vAlign w:val="center"/>
          </w:tcPr>
          <w:p w:rsidR="003954C9"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Style w:val="Strong"/>
                <w:rFonts w:asciiTheme="minorEastAsia" w:eastAsiaTheme="minorEastAsia" w:hAnsiTheme="minorEastAsia" w:hint="eastAsia"/>
                <w:b w:val="0"/>
                <w:color w:val="000000" w:themeColor="text1"/>
                <w:szCs w:val="21"/>
              </w:rPr>
              <w:t>前端申购费率</w:t>
            </w:r>
          </w:p>
        </w:tc>
      </w:tr>
      <w:tr w:rsidTr="00797C7A">
        <w:tblPrEx>
          <w:tblW w:w="3999" w:type="pct"/>
          <w:jc w:val="center"/>
          <w:tblCellSpacing w:w="7" w:type="dxa"/>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3954C9"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M</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100</w:t>
            </w:r>
            <w:r w:rsidRPr="00C86E67">
              <w:rPr>
                <w:rFonts w:asciiTheme="minorEastAsia" w:eastAsiaTheme="minorEastAsia" w:hAnsiTheme="minorEastAsia" w:hint="eastAsia"/>
                <w:color w:val="000000" w:themeColor="text1"/>
                <w:szCs w:val="21"/>
              </w:rPr>
              <w:t>万</w:t>
            </w:r>
          </w:p>
        </w:tc>
        <w:tc>
          <w:tcPr>
            <w:tcW w:w="2494" w:type="pct"/>
            <w:shd w:val="clear" w:color="auto" w:fill="auto"/>
            <w:vAlign w:val="center"/>
          </w:tcPr>
          <w:p w:rsidR="003954C9"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hint="eastAsia"/>
                <w:color w:val="000000" w:themeColor="text1"/>
                <w:szCs w:val="21"/>
              </w:rPr>
              <w:t>0</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5%</w:t>
            </w:r>
          </w:p>
        </w:tc>
      </w:tr>
      <w:tr w:rsidTr="00797C7A">
        <w:tblPrEx>
          <w:tblW w:w="3999" w:type="pct"/>
          <w:jc w:val="center"/>
          <w:tblCellSpacing w:w="7" w:type="dxa"/>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3954C9"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100</w:t>
            </w:r>
            <w:r w:rsidRPr="00C86E67">
              <w:rPr>
                <w:rFonts w:asciiTheme="minorEastAsia" w:eastAsiaTheme="minorEastAsia" w:hAnsiTheme="minorEastAsia" w:hint="eastAsia"/>
                <w:color w:val="000000" w:themeColor="text1"/>
                <w:szCs w:val="21"/>
              </w:rPr>
              <w:t>万≤</w:t>
            </w:r>
            <w:r w:rsidRPr="00C86E67">
              <w:rPr>
                <w:rFonts w:asciiTheme="minorEastAsia" w:eastAsiaTheme="minorEastAsia" w:hAnsiTheme="minorEastAsia"/>
                <w:color w:val="000000" w:themeColor="text1"/>
                <w:szCs w:val="21"/>
              </w:rPr>
              <w:t>M</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500</w:t>
            </w:r>
            <w:r w:rsidRPr="00C86E67">
              <w:rPr>
                <w:rFonts w:asciiTheme="minorEastAsia" w:eastAsiaTheme="minorEastAsia" w:hAnsiTheme="minorEastAsia" w:hint="eastAsia"/>
                <w:color w:val="000000" w:themeColor="text1"/>
                <w:szCs w:val="21"/>
              </w:rPr>
              <w:t>万</w:t>
            </w:r>
          </w:p>
        </w:tc>
        <w:tc>
          <w:tcPr>
            <w:tcW w:w="2494" w:type="pct"/>
            <w:shd w:val="clear" w:color="auto" w:fill="auto"/>
            <w:vAlign w:val="center"/>
          </w:tcPr>
          <w:p w:rsidR="003954C9"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hint="eastAsia"/>
                <w:color w:val="000000" w:themeColor="text1"/>
                <w:szCs w:val="21"/>
              </w:rPr>
              <w:t>0</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2%</w:t>
            </w:r>
          </w:p>
        </w:tc>
      </w:tr>
      <w:tr w:rsidTr="00797C7A">
        <w:tblPrEx>
          <w:tblW w:w="3999" w:type="pct"/>
          <w:jc w:val="center"/>
          <w:tblCellSpacing w:w="7" w:type="dxa"/>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3954C9"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500</w:t>
            </w:r>
            <w:r w:rsidRPr="00C86E67">
              <w:rPr>
                <w:rFonts w:asciiTheme="minorEastAsia" w:eastAsiaTheme="minorEastAsia" w:hAnsiTheme="minorEastAsia" w:hint="eastAsia"/>
                <w:color w:val="000000" w:themeColor="text1"/>
                <w:szCs w:val="21"/>
              </w:rPr>
              <w:t>万≤</w:t>
            </w:r>
            <w:r w:rsidRPr="00C86E67">
              <w:rPr>
                <w:rFonts w:asciiTheme="minorEastAsia" w:eastAsiaTheme="minorEastAsia" w:hAnsiTheme="minorEastAsia"/>
                <w:color w:val="000000" w:themeColor="text1"/>
                <w:szCs w:val="21"/>
              </w:rPr>
              <w:t>M</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1000</w:t>
            </w:r>
            <w:r w:rsidRPr="00C86E67">
              <w:rPr>
                <w:rFonts w:asciiTheme="minorEastAsia" w:eastAsiaTheme="minorEastAsia" w:hAnsiTheme="minorEastAsia" w:hint="eastAsia"/>
                <w:color w:val="000000" w:themeColor="text1"/>
                <w:szCs w:val="21"/>
              </w:rPr>
              <w:t>万</w:t>
            </w:r>
          </w:p>
        </w:tc>
        <w:tc>
          <w:tcPr>
            <w:tcW w:w="2494" w:type="pct"/>
            <w:shd w:val="clear" w:color="auto" w:fill="auto"/>
            <w:vAlign w:val="center"/>
          </w:tcPr>
          <w:p w:rsidR="003954C9"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0.</w:t>
            </w:r>
            <w:r w:rsidRPr="00C86E67">
              <w:rPr>
                <w:rFonts w:asciiTheme="minorEastAsia" w:eastAsiaTheme="minorEastAsia" w:hAnsiTheme="minorEastAsia" w:hint="eastAsia"/>
                <w:color w:val="000000" w:themeColor="text1"/>
                <w:szCs w:val="21"/>
              </w:rPr>
              <w:t>0</w:t>
            </w:r>
            <w:r w:rsidRPr="00C86E67">
              <w:rPr>
                <w:rFonts w:asciiTheme="minorEastAsia" w:eastAsiaTheme="minorEastAsia" w:hAnsiTheme="minorEastAsia"/>
                <w:color w:val="000000" w:themeColor="text1"/>
                <w:szCs w:val="21"/>
              </w:rPr>
              <w:t>3%</w:t>
            </w:r>
          </w:p>
        </w:tc>
      </w:tr>
      <w:tr w:rsidTr="00797C7A">
        <w:tblPrEx>
          <w:tblW w:w="3999" w:type="pct"/>
          <w:jc w:val="center"/>
          <w:tblCellSpacing w:w="7" w:type="dxa"/>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3954C9"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M</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1000</w:t>
            </w:r>
            <w:r w:rsidRPr="00C86E67">
              <w:rPr>
                <w:rFonts w:asciiTheme="minorEastAsia" w:eastAsiaTheme="minorEastAsia" w:hAnsiTheme="minorEastAsia" w:hint="eastAsia"/>
                <w:color w:val="000000" w:themeColor="text1"/>
                <w:szCs w:val="21"/>
              </w:rPr>
              <w:t>万</w:t>
            </w:r>
          </w:p>
        </w:tc>
        <w:tc>
          <w:tcPr>
            <w:tcW w:w="2494" w:type="pct"/>
            <w:shd w:val="clear" w:color="auto" w:fill="auto"/>
            <w:vAlign w:val="center"/>
          </w:tcPr>
          <w:p w:rsidR="003954C9"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hint="eastAsia"/>
                <w:color w:val="000000" w:themeColor="text1"/>
                <w:szCs w:val="21"/>
              </w:rPr>
              <w:t>按笔收取，</w:t>
            </w:r>
            <w:r w:rsidRPr="00C86E67">
              <w:rPr>
                <w:rFonts w:asciiTheme="minorEastAsia" w:eastAsiaTheme="minorEastAsia" w:hAnsiTheme="minorEastAsia"/>
                <w:color w:val="000000" w:themeColor="text1"/>
                <w:szCs w:val="21"/>
              </w:rPr>
              <w:t>1000</w:t>
            </w:r>
            <w:r w:rsidRPr="00C86E67">
              <w:rPr>
                <w:rFonts w:asciiTheme="minorEastAsia" w:eastAsiaTheme="minorEastAsia" w:hAnsiTheme="minorEastAsia" w:hint="eastAsia"/>
                <w:color w:val="000000" w:themeColor="text1"/>
                <w:szCs w:val="21"/>
              </w:rPr>
              <w:t>元</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笔</w:t>
            </w:r>
          </w:p>
        </w:tc>
      </w:tr>
    </w:tbl>
    <w:p w:rsidR="00C35BC5" w:rsidRPr="00C86E67" w:rsidP="00552BE1">
      <w:pPr>
        <w:snapToGrid w:val="0"/>
        <w:spacing w:line="360" w:lineRule="auto"/>
        <w:ind w:firstLine="48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其他投资者的申购费率为：</w:t>
      </w:r>
    </w:p>
    <w:tbl>
      <w:tblPr>
        <w:tblW w:w="3999"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387"/>
        <w:gridCol w:w="3414"/>
      </w:tblGrid>
      <w:tr w:rsidTr="002A0168">
        <w:tblPrEx>
          <w:tblW w:w="3999"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C35BC5"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Style w:val="Strong"/>
                <w:rFonts w:asciiTheme="minorEastAsia" w:eastAsiaTheme="minorEastAsia" w:hAnsiTheme="minorEastAsia" w:hint="eastAsia"/>
                <w:b w:val="0"/>
                <w:color w:val="000000" w:themeColor="text1"/>
                <w:szCs w:val="21"/>
              </w:rPr>
              <w:t>申购金额M（元）（含申购费）</w:t>
            </w:r>
          </w:p>
        </w:tc>
        <w:tc>
          <w:tcPr>
            <w:tcW w:w="2494" w:type="pct"/>
            <w:shd w:val="clear" w:color="auto" w:fill="auto"/>
            <w:vAlign w:val="center"/>
          </w:tcPr>
          <w:p w:rsidR="00C35BC5"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Style w:val="Strong"/>
                <w:rFonts w:asciiTheme="minorEastAsia" w:eastAsiaTheme="minorEastAsia" w:hAnsiTheme="minorEastAsia" w:hint="eastAsia"/>
                <w:b w:val="0"/>
                <w:color w:val="000000" w:themeColor="text1"/>
                <w:szCs w:val="21"/>
              </w:rPr>
              <w:t>前端申购费率</w:t>
            </w:r>
          </w:p>
        </w:tc>
      </w:tr>
      <w:tr w:rsidTr="002A0168">
        <w:tblPrEx>
          <w:tblW w:w="3999" w:type="pct"/>
          <w:jc w:val="center"/>
          <w:tblCellSpacing w:w="7" w:type="dxa"/>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C35BC5"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M</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100</w:t>
            </w:r>
            <w:r w:rsidRPr="00C86E67">
              <w:rPr>
                <w:rFonts w:asciiTheme="minorEastAsia" w:eastAsiaTheme="minorEastAsia" w:hAnsiTheme="minorEastAsia" w:hint="eastAsia"/>
                <w:color w:val="000000" w:themeColor="text1"/>
                <w:szCs w:val="21"/>
              </w:rPr>
              <w:t>万</w:t>
            </w:r>
          </w:p>
        </w:tc>
        <w:tc>
          <w:tcPr>
            <w:tcW w:w="2494" w:type="pct"/>
            <w:shd w:val="clear" w:color="auto" w:fill="auto"/>
            <w:vAlign w:val="center"/>
          </w:tcPr>
          <w:p w:rsidR="00C35BC5"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1.5%</w:t>
            </w:r>
          </w:p>
        </w:tc>
      </w:tr>
      <w:tr w:rsidTr="002A0168">
        <w:tblPrEx>
          <w:tblW w:w="3999" w:type="pct"/>
          <w:jc w:val="center"/>
          <w:tblCellSpacing w:w="7" w:type="dxa"/>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C35BC5"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100</w:t>
            </w:r>
            <w:r w:rsidRPr="00C86E67">
              <w:rPr>
                <w:rFonts w:asciiTheme="minorEastAsia" w:eastAsiaTheme="minorEastAsia" w:hAnsiTheme="minorEastAsia" w:hint="eastAsia"/>
                <w:color w:val="000000" w:themeColor="text1"/>
                <w:szCs w:val="21"/>
              </w:rPr>
              <w:t>万≤</w:t>
            </w:r>
            <w:r w:rsidRPr="00C86E67">
              <w:rPr>
                <w:rFonts w:asciiTheme="minorEastAsia" w:eastAsiaTheme="minorEastAsia" w:hAnsiTheme="minorEastAsia"/>
                <w:color w:val="000000" w:themeColor="text1"/>
                <w:szCs w:val="21"/>
              </w:rPr>
              <w:t>M</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500</w:t>
            </w:r>
            <w:r w:rsidRPr="00C86E67">
              <w:rPr>
                <w:rFonts w:asciiTheme="minorEastAsia" w:eastAsiaTheme="minorEastAsia" w:hAnsiTheme="minorEastAsia" w:hint="eastAsia"/>
                <w:color w:val="000000" w:themeColor="text1"/>
                <w:szCs w:val="21"/>
              </w:rPr>
              <w:t>万</w:t>
            </w:r>
          </w:p>
        </w:tc>
        <w:tc>
          <w:tcPr>
            <w:tcW w:w="2494" w:type="pct"/>
            <w:shd w:val="clear" w:color="auto" w:fill="auto"/>
            <w:vAlign w:val="center"/>
          </w:tcPr>
          <w:p w:rsidR="00C35BC5"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1.2%</w:t>
            </w:r>
          </w:p>
        </w:tc>
      </w:tr>
      <w:tr w:rsidTr="002A0168">
        <w:tblPrEx>
          <w:tblW w:w="3999" w:type="pct"/>
          <w:jc w:val="center"/>
          <w:tblCellSpacing w:w="7" w:type="dxa"/>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C35BC5"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500</w:t>
            </w:r>
            <w:r w:rsidRPr="00C86E67">
              <w:rPr>
                <w:rFonts w:asciiTheme="minorEastAsia" w:eastAsiaTheme="minorEastAsia" w:hAnsiTheme="minorEastAsia" w:hint="eastAsia"/>
                <w:color w:val="000000" w:themeColor="text1"/>
                <w:szCs w:val="21"/>
              </w:rPr>
              <w:t>万≤</w:t>
            </w:r>
            <w:r w:rsidRPr="00C86E67">
              <w:rPr>
                <w:rFonts w:asciiTheme="minorEastAsia" w:eastAsiaTheme="minorEastAsia" w:hAnsiTheme="minorEastAsia"/>
                <w:color w:val="000000" w:themeColor="text1"/>
                <w:szCs w:val="21"/>
              </w:rPr>
              <w:t>M</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1000</w:t>
            </w:r>
            <w:r w:rsidRPr="00C86E67">
              <w:rPr>
                <w:rFonts w:asciiTheme="minorEastAsia" w:eastAsiaTheme="minorEastAsia" w:hAnsiTheme="minorEastAsia" w:hint="eastAsia"/>
                <w:color w:val="000000" w:themeColor="text1"/>
                <w:szCs w:val="21"/>
              </w:rPr>
              <w:t>万</w:t>
            </w:r>
          </w:p>
        </w:tc>
        <w:tc>
          <w:tcPr>
            <w:tcW w:w="2494" w:type="pct"/>
            <w:shd w:val="clear" w:color="auto" w:fill="auto"/>
            <w:vAlign w:val="center"/>
          </w:tcPr>
          <w:p w:rsidR="00C35BC5"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0.3%</w:t>
            </w:r>
          </w:p>
        </w:tc>
      </w:tr>
      <w:tr w:rsidTr="002A0168">
        <w:tblPrEx>
          <w:tblW w:w="3999" w:type="pct"/>
          <w:jc w:val="center"/>
          <w:tblCellSpacing w:w="7" w:type="dxa"/>
          <w:tblCellMar>
            <w:top w:w="75" w:type="dxa"/>
            <w:left w:w="75" w:type="dxa"/>
            <w:bottom w:w="75" w:type="dxa"/>
            <w:right w:w="75" w:type="dxa"/>
          </w:tblCellMar>
          <w:tblLook w:val="0000"/>
        </w:tblPrEx>
        <w:trPr>
          <w:tblCellSpacing w:w="7" w:type="dxa"/>
          <w:jc w:val="center"/>
        </w:trPr>
        <w:tc>
          <w:tcPr>
            <w:tcW w:w="2475" w:type="pct"/>
            <w:shd w:val="clear" w:color="auto" w:fill="auto"/>
            <w:vAlign w:val="center"/>
          </w:tcPr>
          <w:p w:rsidR="00C35BC5"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M</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1000</w:t>
            </w:r>
            <w:r w:rsidRPr="00C86E67">
              <w:rPr>
                <w:rFonts w:asciiTheme="minorEastAsia" w:eastAsiaTheme="minorEastAsia" w:hAnsiTheme="minorEastAsia" w:hint="eastAsia"/>
                <w:color w:val="000000" w:themeColor="text1"/>
                <w:szCs w:val="21"/>
              </w:rPr>
              <w:t>万</w:t>
            </w:r>
          </w:p>
        </w:tc>
        <w:tc>
          <w:tcPr>
            <w:tcW w:w="2494" w:type="pct"/>
            <w:shd w:val="clear" w:color="auto" w:fill="auto"/>
            <w:vAlign w:val="center"/>
          </w:tcPr>
          <w:p w:rsidR="00C35BC5"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hint="eastAsia"/>
                <w:color w:val="000000" w:themeColor="text1"/>
                <w:szCs w:val="21"/>
              </w:rPr>
              <w:t>按笔收取，</w:t>
            </w:r>
            <w:r w:rsidRPr="00C86E67">
              <w:rPr>
                <w:rFonts w:asciiTheme="minorEastAsia" w:eastAsiaTheme="minorEastAsia" w:hAnsiTheme="minorEastAsia"/>
                <w:color w:val="000000" w:themeColor="text1"/>
                <w:szCs w:val="21"/>
              </w:rPr>
              <w:t>1000</w:t>
            </w:r>
            <w:r w:rsidRPr="00C86E67">
              <w:rPr>
                <w:rFonts w:asciiTheme="minorEastAsia" w:eastAsiaTheme="minorEastAsia" w:hAnsiTheme="minorEastAsia" w:hint="eastAsia"/>
                <w:color w:val="000000" w:themeColor="text1"/>
                <w:szCs w:val="21"/>
              </w:rPr>
              <w:t>元</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笔</w:t>
            </w:r>
          </w:p>
        </w:tc>
      </w:tr>
    </w:tbl>
    <w:p w:rsidR="00C35BC5" w:rsidRPr="00C86E67" w:rsidP="00552BE1">
      <w:pPr>
        <w:pStyle w:val="BodyText"/>
        <w:snapToGrid w:val="0"/>
        <w:spacing w:after="0"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C35BC5" w:rsidRPr="00C86E67" w:rsidP="00552BE1">
      <w:pPr>
        <w:snapToGrid w:val="0"/>
        <w:spacing w:line="360" w:lineRule="auto"/>
        <w:ind w:firstLine="48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szCs w:val="21"/>
        </w:rPr>
        <w:t>赎回</w:t>
      </w:r>
      <w:r w:rsidRPr="00C86E67">
        <w:rPr>
          <w:rFonts w:asciiTheme="minorEastAsia" w:eastAsiaTheme="minorEastAsia" w:hAnsiTheme="minorEastAsia" w:hint="eastAsia"/>
          <w:color w:val="000000" w:themeColor="text1"/>
          <w:szCs w:val="21"/>
        </w:rPr>
        <w:t>费率为</w:t>
      </w:r>
      <w:r w:rsidRPr="00C86E67">
        <w:rPr>
          <w:rFonts w:asciiTheme="minorEastAsia" w:eastAsiaTheme="minorEastAsia" w:hAnsiTheme="minorEastAsia"/>
          <w:color w:val="000000" w:themeColor="text1"/>
          <w:szCs w:val="21"/>
        </w:rPr>
        <w:t>：</w:t>
      </w:r>
    </w:p>
    <w:tbl>
      <w:tblPr>
        <w:tblW w:w="3978"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345"/>
        <w:gridCol w:w="3421"/>
      </w:tblGrid>
      <w:tr w:rsidTr="002A0168">
        <w:tblPrEx>
          <w:tblW w:w="3978"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Ex>
        <w:trPr>
          <w:tblCellSpacing w:w="7" w:type="dxa"/>
          <w:jc w:val="center"/>
        </w:trPr>
        <w:tc>
          <w:tcPr>
            <w:tcW w:w="2457" w:type="pct"/>
            <w:shd w:val="clear" w:color="auto" w:fill="auto"/>
            <w:vAlign w:val="center"/>
          </w:tcPr>
          <w:p w:rsidR="00C35BC5" w:rsidRPr="00C86E67" w:rsidP="00552BE1">
            <w:pPr>
              <w:snapToGrid w:val="0"/>
              <w:spacing w:line="360" w:lineRule="auto"/>
              <w:rPr>
                <w:rFonts w:asciiTheme="minorEastAsia" w:eastAsiaTheme="minorEastAsia" w:hAnsiTheme="minorEastAsia" w:cs="Arial Unicode MS"/>
                <w:b/>
                <w:color w:val="000000" w:themeColor="text1"/>
                <w:szCs w:val="21"/>
              </w:rPr>
            </w:pPr>
            <w:r w:rsidRPr="00C86E67">
              <w:rPr>
                <w:rStyle w:val="Strong"/>
                <w:rFonts w:asciiTheme="minorEastAsia" w:eastAsiaTheme="minorEastAsia" w:hAnsiTheme="minorEastAsia" w:hint="eastAsia"/>
                <w:b w:val="0"/>
                <w:color w:val="000000" w:themeColor="text1"/>
                <w:szCs w:val="21"/>
              </w:rPr>
              <w:t>持有基金时间（天）</w:t>
            </w:r>
          </w:p>
        </w:tc>
        <w:tc>
          <w:tcPr>
            <w:tcW w:w="2512" w:type="pct"/>
            <w:shd w:val="clear" w:color="auto" w:fill="auto"/>
            <w:vAlign w:val="center"/>
          </w:tcPr>
          <w:p w:rsidR="00C35BC5" w:rsidRPr="00C86E67" w:rsidP="00552BE1">
            <w:pPr>
              <w:snapToGrid w:val="0"/>
              <w:spacing w:line="360" w:lineRule="auto"/>
              <w:jc w:val="right"/>
              <w:rPr>
                <w:rFonts w:asciiTheme="minorEastAsia" w:eastAsiaTheme="minorEastAsia" w:hAnsiTheme="minorEastAsia" w:cs="Arial Unicode MS"/>
                <w:b/>
                <w:color w:val="000000" w:themeColor="text1"/>
                <w:szCs w:val="21"/>
              </w:rPr>
            </w:pPr>
            <w:r w:rsidRPr="00C86E67">
              <w:rPr>
                <w:rStyle w:val="Strong"/>
                <w:rFonts w:asciiTheme="minorEastAsia" w:eastAsiaTheme="minorEastAsia" w:hAnsiTheme="minorEastAsia" w:hint="eastAsia"/>
                <w:b w:val="0"/>
                <w:color w:val="000000" w:themeColor="text1"/>
                <w:szCs w:val="21"/>
              </w:rPr>
              <w:t>赎回费率</w:t>
            </w:r>
          </w:p>
        </w:tc>
      </w:tr>
      <w:tr w:rsidTr="002A0168">
        <w:tblPrEx>
          <w:tblW w:w="3978" w:type="pct"/>
          <w:jc w:val="center"/>
          <w:tblCellSpacing w:w="7" w:type="dxa"/>
          <w:tblCellMar>
            <w:top w:w="75" w:type="dxa"/>
            <w:left w:w="75" w:type="dxa"/>
            <w:bottom w:w="75" w:type="dxa"/>
            <w:right w:w="75" w:type="dxa"/>
          </w:tblCellMar>
          <w:tblLook w:val="0000"/>
        </w:tblPrEx>
        <w:trPr>
          <w:tblCellSpacing w:w="7" w:type="dxa"/>
          <w:jc w:val="center"/>
        </w:trPr>
        <w:tc>
          <w:tcPr>
            <w:tcW w:w="2457" w:type="pct"/>
            <w:shd w:val="clear" w:color="auto" w:fill="auto"/>
            <w:vAlign w:val="center"/>
          </w:tcPr>
          <w:p w:rsidR="004C1E5D" w:rsidRPr="00C86E67" w:rsidP="00552BE1">
            <w:pPr>
              <w:snapToGrid w:val="0"/>
              <w:spacing w:line="360" w:lineRule="auto"/>
              <w:rPr>
                <w:rStyle w:val="Strong"/>
                <w:rFonts w:asciiTheme="minorEastAsia" w:eastAsiaTheme="minorEastAsia" w:hAnsiTheme="minorEastAsia"/>
                <w:b w:val="0"/>
                <w:color w:val="000000" w:themeColor="text1"/>
                <w:szCs w:val="21"/>
              </w:rPr>
            </w:pPr>
            <w:r w:rsidRPr="00C86E67">
              <w:rPr>
                <w:rStyle w:val="Strong"/>
                <w:rFonts w:asciiTheme="minorEastAsia" w:eastAsiaTheme="minorEastAsia" w:hAnsiTheme="minorEastAsia" w:hint="eastAsia"/>
                <w:b w:val="0"/>
                <w:color w:val="000000" w:themeColor="text1"/>
                <w:szCs w:val="21"/>
              </w:rPr>
              <w:t>0</w:t>
            </w:r>
            <w:r w:rsidRPr="00C86E67">
              <w:rPr>
                <w:rStyle w:val="Strong"/>
                <w:rFonts w:asciiTheme="minorEastAsia" w:eastAsiaTheme="minorEastAsia" w:hAnsiTheme="minorEastAsia"/>
                <w:b w:val="0"/>
                <w:color w:val="000000" w:themeColor="text1"/>
                <w:szCs w:val="21"/>
              </w:rPr>
              <w:t>-6</w:t>
            </w:r>
          </w:p>
        </w:tc>
        <w:tc>
          <w:tcPr>
            <w:tcW w:w="2512" w:type="pct"/>
            <w:shd w:val="clear" w:color="auto" w:fill="auto"/>
            <w:vAlign w:val="center"/>
          </w:tcPr>
          <w:p w:rsidR="004C1E5D" w:rsidRPr="00C86E67" w:rsidP="00552BE1">
            <w:pPr>
              <w:snapToGrid w:val="0"/>
              <w:spacing w:line="360" w:lineRule="auto"/>
              <w:jc w:val="right"/>
              <w:rPr>
                <w:rStyle w:val="Strong"/>
                <w:rFonts w:asciiTheme="minorEastAsia" w:eastAsiaTheme="minorEastAsia" w:hAnsiTheme="minorEastAsia"/>
                <w:b w:val="0"/>
                <w:color w:val="000000" w:themeColor="text1"/>
                <w:szCs w:val="21"/>
              </w:rPr>
            </w:pPr>
            <w:r w:rsidRPr="00C86E67">
              <w:rPr>
                <w:rStyle w:val="Strong"/>
                <w:rFonts w:asciiTheme="minorEastAsia" w:eastAsiaTheme="minorEastAsia" w:hAnsiTheme="minorEastAsia" w:hint="eastAsia"/>
                <w:b w:val="0"/>
                <w:color w:val="000000" w:themeColor="text1"/>
                <w:szCs w:val="21"/>
              </w:rPr>
              <w:t>1</w:t>
            </w:r>
            <w:r w:rsidRPr="00C86E67">
              <w:rPr>
                <w:rStyle w:val="Strong"/>
                <w:rFonts w:asciiTheme="minorEastAsia" w:eastAsiaTheme="minorEastAsia" w:hAnsiTheme="minorEastAsia"/>
                <w:b w:val="0"/>
                <w:color w:val="000000" w:themeColor="text1"/>
                <w:szCs w:val="21"/>
              </w:rPr>
              <w:t>.50%</w:t>
            </w:r>
          </w:p>
        </w:tc>
      </w:tr>
      <w:tr w:rsidTr="002A0168">
        <w:tblPrEx>
          <w:tblW w:w="3978" w:type="pct"/>
          <w:jc w:val="center"/>
          <w:tblCellSpacing w:w="7" w:type="dxa"/>
          <w:tblCellMar>
            <w:top w:w="75" w:type="dxa"/>
            <w:left w:w="75" w:type="dxa"/>
            <w:bottom w:w="75" w:type="dxa"/>
            <w:right w:w="75" w:type="dxa"/>
          </w:tblCellMar>
          <w:tblLook w:val="0000"/>
        </w:tblPrEx>
        <w:trPr>
          <w:tblCellSpacing w:w="7" w:type="dxa"/>
          <w:jc w:val="center"/>
        </w:trPr>
        <w:tc>
          <w:tcPr>
            <w:tcW w:w="2457" w:type="pct"/>
            <w:shd w:val="clear" w:color="auto" w:fill="auto"/>
            <w:vAlign w:val="center"/>
          </w:tcPr>
          <w:p w:rsidR="00C35BC5"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7-364</w:t>
            </w:r>
          </w:p>
        </w:tc>
        <w:tc>
          <w:tcPr>
            <w:tcW w:w="2512" w:type="pct"/>
            <w:shd w:val="clear" w:color="auto" w:fill="auto"/>
            <w:vAlign w:val="center"/>
          </w:tcPr>
          <w:p w:rsidR="00C35BC5"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0.50%</w:t>
            </w:r>
          </w:p>
        </w:tc>
      </w:tr>
      <w:tr w:rsidTr="002A0168">
        <w:tblPrEx>
          <w:tblW w:w="3978" w:type="pct"/>
          <w:jc w:val="center"/>
          <w:tblCellSpacing w:w="7" w:type="dxa"/>
          <w:tblCellMar>
            <w:top w:w="75" w:type="dxa"/>
            <w:left w:w="75" w:type="dxa"/>
            <w:bottom w:w="75" w:type="dxa"/>
            <w:right w:w="75" w:type="dxa"/>
          </w:tblCellMar>
          <w:tblLook w:val="0000"/>
        </w:tblPrEx>
        <w:trPr>
          <w:tblCellSpacing w:w="7" w:type="dxa"/>
          <w:jc w:val="center"/>
        </w:trPr>
        <w:tc>
          <w:tcPr>
            <w:tcW w:w="2457" w:type="pct"/>
            <w:shd w:val="clear" w:color="auto" w:fill="auto"/>
            <w:vAlign w:val="center"/>
          </w:tcPr>
          <w:p w:rsidR="00C35BC5"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365-729</w:t>
            </w:r>
          </w:p>
        </w:tc>
        <w:tc>
          <w:tcPr>
            <w:tcW w:w="2512" w:type="pct"/>
            <w:shd w:val="clear" w:color="auto" w:fill="auto"/>
            <w:vAlign w:val="center"/>
          </w:tcPr>
          <w:p w:rsidR="00C35BC5"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0.25%</w:t>
            </w:r>
          </w:p>
        </w:tc>
      </w:tr>
      <w:tr w:rsidTr="002A0168">
        <w:tblPrEx>
          <w:tblW w:w="3978" w:type="pct"/>
          <w:jc w:val="center"/>
          <w:tblCellSpacing w:w="7" w:type="dxa"/>
          <w:tblCellMar>
            <w:top w:w="75" w:type="dxa"/>
            <w:left w:w="75" w:type="dxa"/>
            <w:bottom w:w="75" w:type="dxa"/>
            <w:right w:w="75" w:type="dxa"/>
          </w:tblCellMar>
          <w:tblLook w:val="0000"/>
        </w:tblPrEx>
        <w:trPr>
          <w:tblCellSpacing w:w="7" w:type="dxa"/>
          <w:jc w:val="center"/>
        </w:trPr>
        <w:tc>
          <w:tcPr>
            <w:tcW w:w="2457" w:type="pct"/>
            <w:shd w:val="clear" w:color="auto" w:fill="auto"/>
            <w:vAlign w:val="center"/>
          </w:tcPr>
          <w:p w:rsidR="00C35BC5" w:rsidRPr="00C86E67" w:rsidP="00552BE1">
            <w:pPr>
              <w:snapToGrid w:val="0"/>
              <w:spacing w:line="360" w:lineRule="auto"/>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730</w:t>
            </w:r>
            <w:r w:rsidRPr="00C86E67">
              <w:rPr>
                <w:rFonts w:asciiTheme="minorEastAsia" w:eastAsiaTheme="minorEastAsia" w:hAnsiTheme="minorEastAsia" w:hint="eastAsia"/>
                <w:color w:val="000000" w:themeColor="text1"/>
                <w:szCs w:val="21"/>
              </w:rPr>
              <w:t>及以上</w:t>
            </w:r>
          </w:p>
        </w:tc>
        <w:tc>
          <w:tcPr>
            <w:tcW w:w="2512" w:type="pct"/>
            <w:shd w:val="clear" w:color="auto" w:fill="auto"/>
            <w:vAlign w:val="center"/>
          </w:tcPr>
          <w:p w:rsidR="00C35BC5" w:rsidRPr="00C86E67" w:rsidP="00552BE1">
            <w:pPr>
              <w:snapToGrid w:val="0"/>
              <w:spacing w:line="360" w:lineRule="auto"/>
              <w:jc w:val="right"/>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color w:val="000000" w:themeColor="text1"/>
                <w:szCs w:val="21"/>
              </w:rPr>
              <w:t>0.00%</w:t>
            </w:r>
          </w:p>
        </w:tc>
      </w:tr>
    </w:tbl>
    <w:p w:rsidR="00C35BC5" w:rsidRPr="00C86E67" w:rsidP="00552BE1">
      <w:pPr>
        <w:snapToGrid w:val="0"/>
        <w:spacing w:line="360" w:lineRule="auto"/>
        <w:ind w:firstLine="435"/>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基金管理人可以在基金合同规定的范围内调整申购费率和赎回费率，上述费率如发生变更，基金管理人</w:t>
      </w:r>
      <w:r w:rsidRPr="00C86E67">
        <w:rPr>
          <w:rFonts w:asciiTheme="minorEastAsia" w:eastAsiaTheme="minorEastAsia" w:hAnsiTheme="minorEastAsia" w:hint="eastAsia"/>
          <w:color w:val="000000" w:themeColor="text1"/>
          <w:szCs w:val="21"/>
        </w:rPr>
        <w:t>还</w:t>
      </w:r>
      <w:r w:rsidRPr="00C86E67">
        <w:rPr>
          <w:rFonts w:asciiTheme="minorEastAsia" w:eastAsiaTheme="minorEastAsia" w:hAnsiTheme="minorEastAsia"/>
          <w:color w:val="000000" w:themeColor="text1"/>
          <w:szCs w:val="21"/>
        </w:rPr>
        <w:t>应最迟于新的费率实施前</w:t>
      </w: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个工作日</w:t>
      </w:r>
      <w:r w:rsidRPr="00C86E67">
        <w:rPr>
          <w:rFonts w:asciiTheme="minorEastAsia" w:eastAsiaTheme="minorEastAsia" w:hAnsiTheme="minorEastAsia" w:hint="eastAsia"/>
          <w:color w:val="000000" w:themeColor="text1"/>
        </w:rPr>
        <w:t>在</w:t>
      </w:r>
      <w:r w:rsidRPr="00C86E67" w:rsidR="002C3C91">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公告</w:t>
      </w:r>
      <w:r w:rsidRPr="00C86E67">
        <w:rPr>
          <w:rFonts w:asciiTheme="minorEastAsia" w:eastAsiaTheme="minorEastAsia" w:hAnsiTheme="minorEastAsia"/>
          <w:color w:val="000000" w:themeColor="text1"/>
          <w:szCs w:val="21"/>
        </w:rPr>
        <w:t>。</w:t>
      </w:r>
    </w:p>
    <w:p w:rsidR="00C35BC5" w:rsidRPr="00C86E67" w:rsidP="00552BE1">
      <w:pPr>
        <w:snapToGrid w:val="0"/>
        <w:spacing w:line="360" w:lineRule="auto"/>
        <w:ind w:firstLine="435"/>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91" w:name="_Toc91764813"/>
      <w:r w:rsidRPr="00C86E67">
        <w:rPr>
          <w:rFonts w:asciiTheme="minorEastAsia" w:eastAsiaTheme="minorEastAsia" w:hAnsiTheme="minorEastAsia" w:hint="eastAsia"/>
          <w:color w:val="000000" w:themeColor="text1"/>
          <w:sz w:val="24"/>
          <w:szCs w:val="24"/>
        </w:rPr>
        <w:t>（八）申购份额、赎回金额的计算方式</w:t>
      </w:r>
      <w:bookmarkEnd w:id="691"/>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1、申购份额的计算</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本基金的申购金额包括申购费用和净申购金额，其中：</w:t>
      </w:r>
    </w:p>
    <w:p w:rsidR="00C35BC5" w:rsidRPr="00C86E67" w:rsidP="00552BE1">
      <w:pPr>
        <w:snapToGrid w:val="0"/>
        <w:spacing w:line="360" w:lineRule="auto"/>
        <w:ind w:left="210" w:firstLine="269" w:leftChars="100" w:firstLineChars="128"/>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申购费用=申购金额/（1＋申购费率）×申购费率,对于</w:t>
      </w:r>
      <w:r w:rsidRPr="00C86E67">
        <w:rPr>
          <w:rFonts w:asciiTheme="minorEastAsia" w:eastAsiaTheme="minorEastAsia" w:hAnsiTheme="minorEastAsia" w:hint="eastAsia"/>
          <w:color w:val="000000" w:themeColor="text1"/>
        </w:rPr>
        <w:t>1000万元（含）以上的申购适用绝对数额的申购费金额</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净申购金额=申购金额-申购费用</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申购份数=净申购金额</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szCs w:val="21"/>
        </w:rPr>
        <w:t>T日基金份额净值</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举例说明：</w:t>
      </w:r>
    </w:p>
    <w:p w:rsidR="004206F7"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kern w:val="0"/>
        </w:rPr>
        <w:t>例一：某投资者（非特定投资群体）申购本基金：</w:t>
      </w:r>
    </w:p>
    <w:tbl>
      <w:tblPr>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1"/>
        <w:gridCol w:w="1134"/>
        <w:gridCol w:w="1417"/>
        <w:gridCol w:w="1418"/>
        <w:gridCol w:w="1660"/>
        <w:gridCol w:w="1422"/>
      </w:tblGrid>
      <w:tr w:rsidTr="004206F7">
        <w:tblPrEx>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1" w:type="dxa"/>
          </w:tcPr>
          <w:p w:rsidR="00C35BC5"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申购金额</w:t>
            </w:r>
          </w:p>
        </w:tc>
        <w:tc>
          <w:tcPr>
            <w:tcW w:w="1134" w:type="dxa"/>
          </w:tcPr>
          <w:p w:rsidR="00C35BC5"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申购费率</w:t>
            </w:r>
          </w:p>
        </w:tc>
        <w:tc>
          <w:tcPr>
            <w:tcW w:w="1417" w:type="dxa"/>
          </w:tcPr>
          <w:p w:rsidR="00C35BC5"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申购费用</w:t>
            </w:r>
          </w:p>
        </w:tc>
        <w:tc>
          <w:tcPr>
            <w:tcW w:w="1418" w:type="dxa"/>
          </w:tcPr>
          <w:p w:rsidR="00C35BC5"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净申购金额</w:t>
            </w:r>
          </w:p>
        </w:tc>
        <w:tc>
          <w:tcPr>
            <w:tcW w:w="1660" w:type="dxa"/>
          </w:tcPr>
          <w:p w:rsidR="00C35BC5"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基金份额净值</w:t>
            </w:r>
          </w:p>
        </w:tc>
        <w:tc>
          <w:tcPr>
            <w:tcW w:w="1422" w:type="dxa"/>
          </w:tcPr>
          <w:p w:rsidR="00C35BC5"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申购份数</w:t>
            </w:r>
          </w:p>
        </w:tc>
      </w:tr>
      <w:tr w:rsidTr="004206F7">
        <w:tblPrEx>
          <w:tblW w:w="8632" w:type="dxa"/>
          <w:jc w:val="center"/>
          <w:tblLayout w:type="fixed"/>
          <w:tblLook w:val="01E0"/>
        </w:tblPrEx>
        <w:trPr>
          <w:jc w:val="center"/>
        </w:trPr>
        <w:tc>
          <w:tcPr>
            <w:tcW w:w="1581"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10,000元</w:t>
            </w:r>
          </w:p>
        </w:tc>
        <w:tc>
          <w:tcPr>
            <w:tcW w:w="1134"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1.5%</w:t>
            </w:r>
          </w:p>
        </w:tc>
        <w:tc>
          <w:tcPr>
            <w:tcW w:w="1417"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147.78元</w:t>
            </w:r>
          </w:p>
        </w:tc>
        <w:tc>
          <w:tcPr>
            <w:tcW w:w="1418"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9,852.22元</w:t>
            </w:r>
          </w:p>
        </w:tc>
        <w:tc>
          <w:tcPr>
            <w:tcW w:w="1660"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1.0000元</w:t>
            </w:r>
          </w:p>
        </w:tc>
        <w:tc>
          <w:tcPr>
            <w:tcW w:w="1422"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9,852.22份</w:t>
            </w:r>
          </w:p>
        </w:tc>
      </w:tr>
      <w:tr w:rsidTr="004206F7">
        <w:tblPrEx>
          <w:tblW w:w="8632" w:type="dxa"/>
          <w:jc w:val="center"/>
          <w:tblLayout w:type="fixed"/>
          <w:tblLook w:val="01E0"/>
        </w:tblPrEx>
        <w:trPr>
          <w:jc w:val="center"/>
        </w:trPr>
        <w:tc>
          <w:tcPr>
            <w:tcW w:w="1581"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10,000,000元</w:t>
            </w:r>
          </w:p>
        </w:tc>
        <w:tc>
          <w:tcPr>
            <w:tcW w:w="1134"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1000元</w:t>
            </w:r>
          </w:p>
        </w:tc>
        <w:tc>
          <w:tcPr>
            <w:tcW w:w="1417"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1000元</w:t>
            </w:r>
          </w:p>
        </w:tc>
        <w:tc>
          <w:tcPr>
            <w:tcW w:w="1418"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9,999,000元</w:t>
            </w:r>
          </w:p>
        </w:tc>
        <w:tc>
          <w:tcPr>
            <w:tcW w:w="1660"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1.0000元</w:t>
            </w:r>
          </w:p>
        </w:tc>
        <w:tc>
          <w:tcPr>
            <w:tcW w:w="1422" w:type="dxa"/>
          </w:tcPr>
          <w:p w:rsidR="00C35BC5" w:rsidRPr="00C86E67" w:rsidP="00552BE1">
            <w:pPr>
              <w:snapToGrid w:val="0"/>
              <w:spacing w:line="360" w:lineRule="auto"/>
              <w:jc w:val="righ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9,999,000份</w:t>
            </w:r>
          </w:p>
        </w:tc>
      </w:tr>
    </w:tbl>
    <w:p w:rsidR="004206F7"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kern w:val="0"/>
        </w:rPr>
        <w:t>例二：某投资者（特定投资群体）通过基金管理人的直销中心申购本基金：</w:t>
      </w:r>
    </w:p>
    <w:tbl>
      <w:tblPr>
        <w:tblW w:w="8880"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1"/>
        <w:gridCol w:w="1135"/>
        <w:gridCol w:w="1419"/>
        <w:gridCol w:w="1661"/>
        <w:gridCol w:w="1661"/>
        <w:gridCol w:w="1423"/>
      </w:tblGrid>
      <w:tr w:rsidTr="004206F7">
        <w:tblPrEx>
          <w:tblW w:w="8880"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1"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申购金额</w:t>
            </w:r>
          </w:p>
        </w:tc>
        <w:tc>
          <w:tcPr>
            <w:tcW w:w="1135"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申购费率</w:t>
            </w:r>
          </w:p>
        </w:tc>
        <w:tc>
          <w:tcPr>
            <w:tcW w:w="1419"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净申购金额</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申购费用</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基金份额净值</w:t>
            </w:r>
          </w:p>
        </w:tc>
        <w:tc>
          <w:tcPr>
            <w:tcW w:w="1423"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b/>
                <w:color w:val="000000" w:themeColor="text1"/>
                <w:szCs w:val="21"/>
              </w:rPr>
            </w:pPr>
            <w:r w:rsidRPr="00C86E67">
              <w:rPr>
                <w:rFonts w:asciiTheme="minorEastAsia" w:eastAsiaTheme="minorEastAsia" w:hAnsiTheme="minorEastAsia" w:hint="eastAsia"/>
                <w:b/>
                <w:color w:val="000000" w:themeColor="text1"/>
                <w:szCs w:val="21"/>
              </w:rPr>
              <w:t>申购份数</w:t>
            </w:r>
          </w:p>
        </w:tc>
      </w:tr>
      <w:tr w:rsidTr="004206F7">
        <w:tblPrEx>
          <w:tblW w:w="8880" w:type="dxa"/>
          <w:jc w:val="center"/>
          <w:tblLayout w:type="fixed"/>
          <w:tblLook w:val="01E0"/>
        </w:tblPrEx>
        <w:trPr>
          <w:jc w:val="center"/>
        </w:trPr>
        <w:tc>
          <w:tcPr>
            <w:tcW w:w="1581"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50,000元</w:t>
            </w:r>
          </w:p>
        </w:tc>
        <w:tc>
          <w:tcPr>
            <w:tcW w:w="1135"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ind w:firstLine="210" w:firstLineChars="1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0.15%</w:t>
            </w:r>
          </w:p>
        </w:tc>
        <w:tc>
          <w:tcPr>
            <w:tcW w:w="1419"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49,925.11元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74.89元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1.000元</w:t>
            </w:r>
          </w:p>
        </w:tc>
        <w:tc>
          <w:tcPr>
            <w:tcW w:w="1423"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49,925.11份</w:t>
            </w:r>
          </w:p>
        </w:tc>
      </w:tr>
      <w:tr w:rsidTr="004206F7">
        <w:tblPrEx>
          <w:tblW w:w="8880" w:type="dxa"/>
          <w:jc w:val="center"/>
          <w:tblLayout w:type="fixed"/>
          <w:tblLook w:val="01E0"/>
        </w:tblPrEx>
        <w:trPr>
          <w:jc w:val="center"/>
        </w:trPr>
        <w:tc>
          <w:tcPr>
            <w:tcW w:w="1581"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10,000,000元</w:t>
            </w:r>
          </w:p>
        </w:tc>
        <w:tc>
          <w:tcPr>
            <w:tcW w:w="1135"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1000元</w:t>
            </w:r>
          </w:p>
        </w:tc>
        <w:tc>
          <w:tcPr>
            <w:tcW w:w="1419"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9,999,000元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1000元</w:t>
            </w:r>
          </w:p>
        </w:tc>
        <w:tc>
          <w:tcPr>
            <w:tcW w:w="1661"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1.000元</w:t>
            </w:r>
          </w:p>
        </w:tc>
        <w:tc>
          <w:tcPr>
            <w:tcW w:w="1423" w:type="dxa"/>
            <w:tcBorders>
              <w:top w:val="thinThickLargeGap" w:sz="6" w:space="0" w:color="808080"/>
              <w:left w:val="thinThickLargeGap" w:sz="6" w:space="0" w:color="808080"/>
              <w:bottom w:val="thinThickLargeGap" w:sz="6" w:space="0" w:color="808080"/>
              <w:right w:val="thinThickLargeGap" w:sz="6" w:space="0" w:color="808080"/>
            </w:tcBorders>
          </w:tcPr>
          <w:p w:rsidR="004206F7"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9,999,000份</w:t>
            </w:r>
          </w:p>
        </w:tc>
      </w:tr>
    </w:tbl>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申购费用以人民币元为单位，四舍五入，保留至小数点后二位；申购份数采取四舍五入的方法保留小数点后二位，由此产生的误差计入基金财产。</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sidR="00552BE1">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基金赎回金额的计算</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本基金的赎回金额为赎回总额扣减赎回费用，其中：</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赎回总额=赎回数量</w:t>
      </w:r>
      <w:r w:rsidRPr="00C86E67">
        <w:rPr>
          <w:rFonts w:ascii="Symbol" w:hAnsi="Symbol" w:eastAsiaTheme="minorEastAsia"/>
          <w:color w:val="000000" w:themeColor="text1"/>
          <w:szCs w:val="21"/>
        </w:rPr>
        <w:sym w:font="Symbol" w:char="F0B4"/>
      </w:r>
      <w:r w:rsidRPr="00C86E67">
        <w:rPr>
          <w:rFonts w:asciiTheme="minorEastAsia" w:eastAsiaTheme="minorEastAsia" w:hAnsiTheme="minorEastAsia" w:hint="eastAsia"/>
          <w:color w:val="000000" w:themeColor="text1"/>
          <w:szCs w:val="21"/>
        </w:rPr>
        <w:t>T日基金份额净值</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赎回费用=赎回总额</w:t>
      </w:r>
      <w:r w:rsidRPr="00C86E67">
        <w:rPr>
          <w:rFonts w:ascii="Symbol" w:hAnsi="Symbol" w:eastAsiaTheme="minorEastAsia"/>
          <w:color w:val="000000" w:themeColor="text1"/>
          <w:szCs w:val="21"/>
        </w:rPr>
        <w:sym w:font="Symbol" w:char="F0B4"/>
      </w:r>
      <w:r w:rsidRPr="00C86E67">
        <w:rPr>
          <w:rFonts w:asciiTheme="minorEastAsia" w:eastAsiaTheme="minorEastAsia" w:hAnsiTheme="minorEastAsia" w:hint="eastAsia"/>
          <w:color w:val="000000" w:themeColor="text1"/>
          <w:szCs w:val="21"/>
        </w:rPr>
        <w:t>赎回费率</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赎回金额=赎回总额</w:t>
      </w:r>
      <w:r w:rsidRPr="00C86E67">
        <w:rPr>
          <w:rFonts w:ascii="Symbol" w:hAnsi="Symbol" w:eastAsiaTheme="minorEastAsia"/>
          <w:color w:val="000000" w:themeColor="text1"/>
          <w:szCs w:val="21"/>
        </w:rPr>
        <w:sym w:font="Symbol" w:char="F02D"/>
      </w:r>
      <w:r w:rsidRPr="00C86E67">
        <w:rPr>
          <w:rFonts w:asciiTheme="minorEastAsia" w:eastAsiaTheme="minorEastAsia" w:hAnsiTheme="minorEastAsia" w:hint="eastAsia"/>
          <w:color w:val="000000" w:themeColor="text1"/>
          <w:szCs w:val="21"/>
        </w:rPr>
        <w:t>赎回费用</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举例说明：</w:t>
      </w:r>
    </w:p>
    <w:tbl>
      <w:tblPr>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
      <w:tblGrid>
        <w:gridCol w:w="1243"/>
        <w:gridCol w:w="1650"/>
        <w:gridCol w:w="1436"/>
        <w:gridCol w:w="1437"/>
        <w:gridCol w:w="1409"/>
        <w:gridCol w:w="1457"/>
      </w:tblGrid>
      <w:tr w:rsidTr="002A0168">
        <w:tblPrEx>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Ex>
        <w:trPr>
          <w:jc w:val="center"/>
        </w:trPr>
        <w:tc>
          <w:tcPr>
            <w:tcW w:w="1243"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赎回份额</w:t>
            </w:r>
          </w:p>
        </w:tc>
        <w:tc>
          <w:tcPr>
            <w:tcW w:w="1650"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基金份额净值</w:t>
            </w:r>
          </w:p>
        </w:tc>
        <w:tc>
          <w:tcPr>
            <w:tcW w:w="1436"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持有时间</w:t>
            </w:r>
          </w:p>
        </w:tc>
        <w:tc>
          <w:tcPr>
            <w:tcW w:w="1437"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赎回费率</w:t>
            </w:r>
          </w:p>
        </w:tc>
        <w:tc>
          <w:tcPr>
            <w:tcW w:w="1409"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赎回费</w:t>
            </w:r>
            <w:r w:rsidRPr="00C86E67">
              <w:rPr>
                <w:rFonts w:asciiTheme="minorEastAsia" w:eastAsiaTheme="minorEastAsia" w:hAnsiTheme="minorEastAsia" w:hint="eastAsia"/>
                <w:color w:val="000000" w:themeColor="text1"/>
                <w:szCs w:val="21"/>
              </w:rPr>
              <w:t>用</w:t>
            </w:r>
          </w:p>
        </w:tc>
        <w:tc>
          <w:tcPr>
            <w:tcW w:w="1457" w:type="dxa"/>
          </w:tcPr>
          <w:p w:rsidR="00C35BC5" w:rsidRPr="00C86E67" w:rsidP="00552BE1">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赎回</w:t>
            </w:r>
            <w:r w:rsidRPr="00C86E67">
              <w:rPr>
                <w:rFonts w:asciiTheme="minorEastAsia" w:eastAsiaTheme="minorEastAsia" w:hAnsiTheme="minorEastAsia" w:hint="eastAsia"/>
                <w:color w:val="000000" w:themeColor="text1"/>
                <w:szCs w:val="21"/>
              </w:rPr>
              <w:t>金</w:t>
            </w:r>
            <w:r w:rsidRPr="00C86E67">
              <w:rPr>
                <w:rFonts w:asciiTheme="minorEastAsia" w:eastAsiaTheme="minorEastAsia" w:hAnsiTheme="minorEastAsia"/>
                <w:color w:val="000000" w:themeColor="text1"/>
                <w:szCs w:val="21"/>
              </w:rPr>
              <w:t>额</w:t>
            </w:r>
          </w:p>
        </w:tc>
      </w:tr>
      <w:tr w:rsidTr="006036A6">
        <w:tblPrEx>
          <w:tblW w:w="8632" w:type="dxa"/>
          <w:jc w:val="center"/>
          <w:tblLayout w:type="fixed"/>
          <w:tblLook w:val="0160"/>
        </w:tblPrEx>
        <w:trPr>
          <w:jc w:val="center"/>
        </w:trPr>
        <w:tc>
          <w:tcPr>
            <w:tcW w:w="1243" w:type="dxa"/>
          </w:tcPr>
          <w:p w:rsidR="00627417" w:rsidRPr="00C86E67" w:rsidP="00627417">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10,000</w:t>
            </w:r>
          </w:p>
        </w:tc>
        <w:tc>
          <w:tcPr>
            <w:tcW w:w="1650" w:type="dxa"/>
            <w:vAlign w:val="center"/>
          </w:tcPr>
          <w:p w:rsidR="00627417" w:rsidRPr="00C86E67" w:rsidP="006036A6">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w:t>
            </w:r>
            <w:r w:rsidRPr="00C86E67">
              <w:rPr>
                <w:rFonts w:asciiTheme="minorEastAsia" w:eastAsiaTheme="minorEastAsia" w:hAnsiTheme="minorEastAsia" w:hint="eastAsia"/>
                <w:color w:val="000000" w:themeColor="text1"/>
                <w:szCs w:val="21"/>
              </w:rPr>
              <w:t>00</w:t>
            </w:r>
            <w:r w:rsidRPr="00C86E67">
              <w:rPr>
                <w:rFonts w:asciiTheme="minorEastAsia" w:eastAsiaTheme="minorEastAsia" w:hAnsiTheme="minorEastAsia"/>
                <w:color w:val="000000" w:themeColor="text1"/>
                <w:szCs w:val="21"/>
              </w:rPr>
              <w:t>元</w:t>
            </w:r>
          </w:p>
        </w:tc>
        <w:tc>
          <w:tcPr>
            <w:tcW w:w="1436" w:type="dxa"/>
            <w:vAlign w:val="center"/>
          </w:tcPr>
          <w:p w:rsidR="00627417" w:rsidRPr="00C86E67" w:rsidP="006036A6">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6</w:t>
            </w:r>
            <w:r w:rsidRPr="00C86E67">
              <w:rPr>
                <w:rFonts w:asciiTheme="minorEastAsia" w:eastAsiaTheme="minorEastAsia" w:hAnsiTheme="minorEastAsia" w:hint="eastAsia"/>
                <w:color w:val="000000" w:themeColor="text1"/>
                <w:szCs w:val="21"/>
              </w:rPr>
              <w:t>天</w:t>
            </w:r>
          </w:p>
        </w:tc>
        <w:tc>
          <w:tcPr>
            <w:tcW w:w="1437" w:type="dxa"/>
            <w:vAlign w:val="center"/>
          </w:tcPr>
          <w:p w:rsidR="00627417" w:rsidRPr="00C86E67" w:rsidP="006036A6">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1.5%</w:t>
            </w:r>
          </w:p>
        </w:tc>
        <w:tc>
          <w:tcPr>
            <w:tcW w:w="1409" w:type="dxa"/>
            <w:vAlign w:val="center"/>
          </w:tcPr>
          <w:p w:rsidR="00627417" w:rsidRPr="00C86E67" w:rsidP="006036A6">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150元</w:t>
            </w:r>
          </w:p>
        </w:tc>
        <w:tc>
          <w:tcPr>
            <w:tcW w:w="1457" w:type="dxa"/>
            <w:vAlign w:val="center"/>
          </w:tcPr>
          <w:p w:rsidR="00627417" w:rsidRPr="00C86E67" w:rsidP="006036A6">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9,850元</w:t>
            </w:r>
          </w:p>
        </w:tc>
      </w:tr>
      <w:tr w:rsidTr="002A0168">
        <w:tblPrEx>
          <w:tblW w:w="8632" w:type="dxa"/>
          <w:jc w:val="center"/>
          <w:tblLayout w:type="fixed"/>
          <w:tblLook w:val="0160"/>
        </w:tblPrEx>
        <w:trPr>
          <w:jc w:val="center"/>
        </w:trPr>
        <w:tc>
          <w:tcPr>
            <w:tcW w:w="1243" w:type="dxa"/>
          </w:tcPr>
          <w:p w:rsidR="00627417" w:rsidRPr="00C86E67" w:rsidP="00627417">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10,000</w:t>
            </w:r>
          </w:p>
        </w:tc>
        <w:tc>
          <w:tcPr>
            <w:tcW w:w="1650"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w:t>
            </w:r>
            <w:r w:rsidRPr="00C86E67">
              <w:rPr>
                <w:rFonts w:asciiTheme="minorEastAsia" w:eastAsiaTheme="minorEastAsia" w:hAnsiTheme="minorEastAsia" w:hint="eastAsia"/>
                <w:color w:val="000000" w:themeColor="text1"/>
                <w:szCs w:val="21"/>
              </w:rPr>
              <w:t>00</w:t>
            </w:r>
            <w:r w:rsidRPr="00C86E67">
              <w:rPr>
                <w:rFonts w:asciiTheme="minorEastAsia" w:eastAsiaTheme="minorEastAsia" w:hAnsiTheme="minorEastAsia"/>
                <w:color w:val="000000" w:themeColor="text1"/>
                <w:szCs w:val="21"/>
              </w:rPr>
              <w:t>元</w:t>
            </w:r>
          </w:p>
        </w:tc>
        <w:tc>
          <w:tcPr>
            <w:tcW w:w="1436"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100天</w:t>
            </w:r>
          </w:p>
        </w:tc>
        <w:tc>
          <w:tcPr>
            <w:tcW w:w="1437"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0.5%</w:t>
            </w:r>
          </w:p>
        </w:tc>
        <w:tc>
          <w:tcPr>
            <w:tcW w:w="1409"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50元</w:t>
            </w:r>
          </w:p>
        </w:tc>
        <w:tc>
          <w:tcPr>
            <w:tcW w:w="1457"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9,950元</w:t>
            </w:r>
          </w:p>
        </w:tc>
      </w:tr>
      <w:tr w:rsidTr="002A0168">
        <w:tblPrEx>
          <w:tblW w:w="8632" w:type="dxa"/>
          <w:jc w:val="center"/>
          <w:tblLayout w:type="fixed"/>
          <w:tblLook w:val="0160"/>
        </w:tblPrEx>
        <w:trPr>
          <w:jc w:val="center"/>
        </w:trPr>
        <w:tc>
          <w:tcPr>
            <w:tcW w:w="1243" w:type="dxa"/>
          </w:tcPr>
          <w:p w:rsidR="00627417" w:rsidRPr="00C86E67" w:rsidP="00627417">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10,000</w:t>
            </w:r>
          </w:p>
        </w:tc>
        <w:tc>
          <w:tcPr>
            <w:tcW w:w="1650"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w:t>
            </w:r>
            <w:r w:rsidRPr="00C86E67">
              <w:rPr>
                <w:rFonts w:asciiTheme="minorEastAsia" w:eastAsiaTheme="minorEastAsia" w:hAnsiTheme="minorEastAsia" w:hint="eastAsia"/>
                <w:color w:val="000000" w:themeColor="text1"/>
                <w:szCs w:val="21"/>
              </w:rPr>
              <w:t>00</w:t>
            </w:r>
            <w:r w:rsidRPr="00C86E67">
              <w:rPr>
                <w:rFonts w:asciiTheme="minorEastAsia" w:eastAsiaTheme="minorEastAsia" w:hAnsiTheme="minorEastAsia"/>
                <w:color w:val="000000" w:themeColor="text1"/>
                <w:szCs w:val="21"/>
              </w:rPr>
              <w:t>元</w:t>
            </w:r>
          </w:p>
        </w:tc>
        <w:tc>
          <w:tcPr>
            <w:tcW w:w="1436" w:type="dxa"/>
          </w:tcPr>
          <w:p w:rsidR="00627417" w:rsidRPr="00C86E67" w:rsidP="00627417">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500天</w:t>
            </w:r>
          </w:p>
        </w:tc>
        <w:tc>
          <w:tcPr>
            <w:tcW w:w="1437"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0.</w:t>
            </w:r>
            <w:r w:rsidRPr="00C86E67">
              <w:rPr>
                <w:rFonts w:asciiTheme="minorEastAsia" w:eastAsiaTheme="minorEastAsia" w:hAnsiTheme="minorEastAsia" w:hint="eastAsia"/>
                <w:color w:val="000000" w:themeColor="text1"/>
                <w:szCs w:val="21"/>
              </w:rPr>
              <w:t>25</w:t>
            </w:r>
            <w:r w:rsidRPr="00C86E67">
              <w:rPr>
                <w:rFonts w:asciiTheme="minorEastAsia" w:eastAsiaTheme="minorEastAsia" w:hAnsiTheme="minorEastAsia"/>
                <w:color w:val="000000" w:themeColor="text1"/>
                <w:szCs w:val="21"/>
              </w:rPr>
              <w:t>%</w:t>
            </w:r>
          </w:p>
        </w:tc>
        <w:tc>
          <w:tcPr>
            <w:tcW w:w="1409"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25</w:t>
            </w:r>
            <w:r w:rsidRPr="00C86E67">
              <w:rPr>
                <w:rFonts w:asciiTheme="minorEastAsia" w:eastAsiaTheme="minorEastAsia" w:hAnsiTheme="minorEastAsia"/>
                <w:color w:val="000000" w:themeColor="text1"/>
                <w:szCs w:val="21"/>
              </w:rPr>
              <w:t>元</w:t>
            </w:r>
          </w:p>
        </w:tc>
        <w:tc>
          <w:tcPr>
            <w:tcW w:w="1457"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9,97</w:t>
            </w:r>
            <w:r w:rsidRPr="00C86E67">
              <w:rPr>
                <w:rFonts w:asciiTheme="minorEastAsia" w:eastAsiaTheme="minorEastAsia" w:hAnsiTheme="minorEastAsia" w:hint="eastAsia"/>
                <w:color w:val="000000" w:themeColor="text1"/>
                <w:szCs w:val="21"/>
              </w:rPr>
              <w:t>5</w:t>
            </w:r>
            <w:r w:rsidRPr="00C86E67">
              <w:rPr>
                <w:rFonts w:asciiTheme="minorEastAsia" w:eastAsiaTheme="minorEastAsia" w:hAnsiTheme="minorEastAsia"/>
                <w:color w:val="000000" w:themeColor="text1"/>
                <w:szCs w:val="21"/>
              </w:rPr>
              <w:t>元</w:t>
            </w:r>
          </w:p>
        </w:tc>
      </w:tr>
      <w:tr w:rsidTr="002A0168">
        <w:tblPrEx>
          <w:tblW w:w="8632" w:type="dxa"/>
          <w:jc w:val="center"/>
          <w:tblLayout w:type="fixed"/>
          <w:tblLook w:val="0160"/>
        </w:tblPrEx>
        <w:trPr>
          <w:jc w:val="center"/>
        </w:trPr>
        <w:tc>
          <w:tcPr>
            <w:tcW w:w="1243" w:type="dxa"/>
          </w:tcPr>
          <w:p w:rsidR="00627417" w:rsidRPr="00C86E67" w:rsidP="00627417">
            <w:p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10,000</w:t>
            </w:r>
          </w:p>
        </w:tc>
        <w:tc>
          <w:tcPr>
            <w:tcW w:w="1650"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w:t>
            </w:r>
            <w:r w:rsidRPr="00C86E67">
              <w:rPr>
                <w:rFonts w:asciiTheme="minorEastAsia" w:eastAsiaTheme="minorEastAsia" w:hAnsiTheme="minorEastAsia" w:hint="eastAsia"/>
                <w:color w:val="000000" w:themeColor="text1"/>
                <w:szCs w:val="21"/>
              </w:rPr>
              <w:t>00</w:t>
            </w:r>
            <w:r w:rsidRPr="00C86E67">
              <w:rPr>
                <w:rFonts w:asciiTheme="minorEastAsia" w:eastAsiaTheme="minorEastAsia" w:hAnsiTheme="minorEastAsia"/>
                <w:color w:val="000000" w:themeColor="text1"/>
                <w:szCs w:val="21"/>
              </w:rPr>
              <w:t>元</w:t>
            </w:r>
          </w:p>
        </w:tc>
        <w:tc>
          <w:tcPr>
            <w:tcW w:w="1436" w:type="dxa"/>
          </w:tcPr>
          <w:p w:rsidR="00627417" w:rsidRPr="00C86E67" w:rsidP="00627417">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800天</w:t>
            </w:r>
          </w:p>
        </w:tc>
        <w:tc>
          <w:tcPr>
            <w:tcW w:w="1437"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0%</w:t>
            </w:r>
          </w:p>
        </w:tc>
        <w:tc>
          <w:tcPr>
            <w:tcW w:w="1409" w:type="dxa"/>
          </w:tcPr>
          <w:p w:rsidR="00627417" w:rsidRPr="00C86E67" w:rsidP="00627417">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0</w:t>
            </w:r>
          </w:p>
        </w:tc>
        <w:tc>
          <w:tcPr>
            <w:tcW w:w="1457" w:type="dxa"/>
          </w:tcPr>
          <w:p w:rsidR="00627417" w:rsidRPr="00C86E67" w:rsidP="00627417">
            <w:pPr>
              <w:snapToGrid w:val="0"/>
              <w:spacing w:line="360" w:lineRule="auto"/>
              <w:ind w:firstLine="210" w:firstLineChars="1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10,000元</w:t>
            </w:r>
          </w:p>
        </w:tc>
      </w:tr>
    </w:tbl>
    <w:p w:rsidR="00C35BC5" w:rsidRPr="00C86E67" w:rsidP="00552BE1">
      <w:pPr>
        <w:pStyle w:val="a"/>
        <w:snapToGrid w:val="0"/>
        <w:spacing w:line="360" w:lineRule="auto"/>
        <w:ind w:firstLine="420" w:firstLineChars="200"/>
        <w:rPr>
          <w:rFonts w:asciiTheme="minorEastAsia" w:eastAsiaTheme="minorEastAsia" w:hAnsiTheme="minorEastAsia"/>
          <w:b/>
          <w:color w:val="000000" w:themeColor="text1"/>
          <w:szCs w:val="21"/>
        </w:rPr>
      </w:pPr>
      <w:r w:rsidRPr="00C86E67">
        <w:rPr>
          <w:rFonts w:asciiTheme="minorEastAsia" w:eastAsiaTheme="minorEastAsia" w:hAnsiTheme="minorEastAsia" w:hint="eastAsia"/>
          <w:color w:val="000000" w:themeColor="text1"/>
          <w:szCs w:val="21"/>
        </w:rPr>
        <w:t>赎回金额、赎回费用以人民币元为单位，四舍五入，保留小数点后两位。</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T日的基金份额净值在当天收市后计算，并在T+1日内公告。遇特殊情况，可以适当延迟计算或公告。其计算公式为：</w:t>
      </w:r>
    </w:p>
    <w:p w:rsidR="00C35BC5" w:rsidRPr="00C86E67" w:rsidP="00552BE1">
      <w:pPr>
        <w:pStyle w:val="a"/>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基金份额净值</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rPr>
        <w:t>计算日</w:t>
      </w:r>
      <w:r w:rsidRPr="00C86E67">
        <w:rPr>
          <w:rFonts w:asciiTheme="minorEastAsia" w:eastAsiaTheme="minorEastAsia" w:hAnsiTheme="minorEastAsia" w:hint="eastAsia"/>
          <w:color w:val="000000" w:themeColor="text1"/>
          <w:szCs w:val="21"/>
        </w:rPr>
        <w:t>基金资产净值</w:t>
      </w:r>
      <w:r w:rsidRPr="00C86E67">
        <w:rPr>
          <w:rFonts w:asciiTheme="minorEastAsia" w:eastAsiaTheme="minorEastAsia" w:hAnsiTheme="minorEastAsia" w:hint="eastAsia"/>
          <w:color w:val="000000" w:themeColor="text1"/>
        </w:rPr>
        <w:t>÷计算日基金总份额</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本基金的申购费由申购人承担，不计入基金财产；本基金的赎回费由赎回人承担，</w:t>
      </w:r>
      <w:r w:rsidRPr="00C86E67" w:rsidR="00627417">
        <w:rPr>
          <w:rFonts w:asciiTheme="minorEastAsia" w:eastAsiaTheme="minorEastAsia" w:hAnsiTheme="minorEastAsia" w:hint="eastAsia"/>
          <w:color w:val="000000" w:themeColor="text1"/>
          <w:szCs w:val="21"/>
        </w:rPr>
        <w:t>在基金份额持有人赎回基金份额时收取，对持有期少于7天（不含）的基金份额持有人所收取赎回费全额计入基金财产，对持有期在7天以上（含）的基金份额持有人所收取赎回费用总额的25%计入基金资产</w:t>
      </w:r>
      <w:r w:rsidRPr="00C86E67">
        <w:rPr>
          <w:rFonts w:asciiTheme="minorEastAsia" w:eastAsiaTheme="minorEastAsia" w:hAnsiTheme="minorEastAsia" w:hint="eastAsia"/>
          <w:color w:val="000000" w:themeColor="text1"/>
        </w:rPr>
        <w:t>，余额为注册登记费和其他手续费。</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92" w:name="_Toc91764814"/>
      <w:r w:rsidRPr="00C86E67">
        <w:rPr>
          <w:rFonts w:asciiTheme="minorEastAsia" w:eastAsiaTheme="minorEastAsia" w:hAnsiTheme="minorEastAsia" w:hint="eastAsia"/>
          <w:color w:val="000000" w:themeColor="text1"/>
          <w:sz w:val="24"/>
          <w:szCs w:val="24"/>
        </w:rPr>
        <w:t>（九）申购、赎回的注册登记</w:t>
      </w:r>
      <w:bookmarkEnd w:id="692"/>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投资者申购基金成功后，正常情况下，基金注册登记机构在T+1工作日为投资者增加权益并办理注册登记手续，投资者自T+2工作日起有权赎回该部分基金份额。</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投资者赎回基金成功后，正常情况下，基金注册登记机构在T+1工作日为投资者扣除权益并办理相应的注册登记手续。</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基金管理人可在法律法规允许的范围内，对上述注册登记办理时间进行调整，并最迟于开始实施前2个工作日予以公告。</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93" w:name="_Toc91764815"/>
      <w:r w:rsidRPr="00C86E67">
        <w:rPr>
          <w:rFonts w:asciiTheme="minorEastAsia" w:eastAsiaTheme="minorEastAsia" w:hAnsiTheme="minorEastAsia" w:hint="eastAsia"/>
          <w:color w:val="000000" w:themeColor="text1"/>
          <w:sz w:val="24"/>
          <w:szCs w:val="24"/>
        </w:rPr>
        <w:t>（十）巨额赎回的认定及处理方式</w:t>
      </w:r>
      <w:bookmarkEnd w:id="693"/>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巨额赎回的认定</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本基金单个开放日，基金净赎回申请（赎回申请总数加上基金转换中转出申请份额总数后扣除申购申请总数及基金转换中转入申请份额总数后的余额）超过上一日基金总份额的</w:t>
      </w:r>
      <w:r w:rsidRPr="00C86E67">
        <w:rPr>
          <w:rFonts w:asciiTheme="minorEastAsia" w:eastAsiaTheme="minorEastAsia" w:hAnsiTheme="minorEastAsia"/>
          <w:color w:val="000000" w:themeColor="text1"/>
        </w:rPr>
        <w:t>10%</w:t>
      </w:r>
      <w:r w:rsidRPr="00C86E67">
        <w:rPr>
          <w:rFonts w:asciiTheme="minorEastAsia" w:eastAsiaTheme="minorEastAsia" w:hAnsiTheme="minorEastAsia" w:hint="eastAsia"/>
          <w:color w:val="000000" w:themeColor="text1"/>
        </w:rPr>
        <w:t>时，即认为发生了巨额赎回。</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巨额赎回的处理方式</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当出现巨额赎回时，基金管理人可以根据该基金当时的资产组合状况决定全额赎回或部分顺延赎回。</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Pr>
          <w:rFonts w:asciiTheme="minorEastAsia" w:eastAsiaTheme="minorEastAsia" w:hAnsiTheme="minorEastAsia"/>
          <w:color w:val="000000" w:themeColor="text1"/>
        </w:rPr>
        <w:t>全额赎回：当基金管理人认为有能力支付投资者的赎回申请时，按正常赎回程序执行。</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w:t>
      </w:r>
      <w:r w:rsidRPr="00C86E67">
        <w:rPr>
          <w:rFonts w:asciiTheme="minorEastAsia" w:eastAsiaTheme="minorEastAsia" w:hAnsiTheme="minorEastAsia"/>
          <w:color w:val="000000" w:themeColor="text1"/>
        </w:rPr>
        <w:t>部分顺延赎回：当基金管理人认为支付投资者的赎回申请有困难或认为支付投资者的赎回申请可能会对该基金的资产净值造成较大波动时</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基金管理人可在当日接受赎回比例不低于该基金总份额的10%的前提下</w:t>
      </w:r>
      <w:r w:rsidRPr="00C86E67">
        <w:rPr>
          <w:rFonts w:asciiTheme="minorEastAsia" w:eastAsiaTheme="minorEastAsia" w:hAnsiTheme="minorEastAsia" w:hint="eastAsia"/>
          <w:color w:val="000000" w:themeColor="text1"/>
        </w:rPr>
        <w:t>，可以</w:t>
      </w:r>
      <w:r w:rsidRPr="00C86E67">
        <w:rPr>
          <w:rFonts w:asciiTheme="minorEastAsia" w:eastAsiaTheme="minorEastAsia" w:hAnsiTheme="minorEastAsia"/>
          <w:color w:val="000000" w:themeColor="text1"/>
        </w:rPr>
        <w:t>对其余赎回申请延期办理。对于当日的赎回申请</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应当按单个</w:t>
      </w:r>
      <w:r w:rsidRPr="00C86E67" w:rsidR="00AC798E">
        <w:rPr>
          <w:rFonts w:asciiTheme="minorEastAsia" w:eastAsiaTheme="minorEastAsia" w:hAnsiTheme="minorEastAsia"/>
          <w:color w:val="000000" w:themeColor="text1"/>
        </w:rPr>
        <w:t>账户</w:t>
      </w:r>
      <w:r w:rsidRPr="00C86E67">
        <w:rPr>
          <w:rFonts w:asciiTheme="minorEastAsia" w:eastAsiaTheme="minorEastAsia" w:hAnsiTheme="minorEastAsia"/>
          <w:color w:val="000000" w:themeColor="text1"/>
        </w:rPr>
        <w:t>赎回申请量占赎回申请总量的比例</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确定其当日受理的赎回份额；投资者的赎回申请未能受理部分</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除投资者在提交赎回申请时明确作出不参加顺延下一个开放日赎回的表示外</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将自动顺延至下一个开放日赎回处理。转入下一个开放日的赎回不享有赎回优先权并将以下一个开放日的基金单位净值为准进行计算</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以此类推</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直到其赎回申请全部得到满足为止。投资者在提出赎回申请时也可选择将当日未获受理部分予以撤销。</w:t>
      </w:r>
    </w:p>
    <w:p w:rsidR="00627417" w:rsidRPr="00C86E67" w:rsidP="00094E6A">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若本基金发生巨额赎回且单个基金份额持有人的赎回申请超过上一开放日基金总份额</w:t>
      </w:r>
      <w:r w:rsidRPr="00C86E67">
        <w:rPr>
          <w:rFonts w:asciiTheme="minorEastAsia" w:eastAsiaTheme="minorEastAsia" w:hAnsiTheme="minorEastAsia"/>
          <w:color w:val="000000" w:themeColor="text1"/>
        </w:rPr>
        <w:t>10%</w:t>
      </w:r>
      <w:r w:rsidRPr="00C86E67">
        <w:rPr>
          <w:rFonts w:asciiTheme="minorEastAsia" w:eastAsiaTheme="minorEastAsia" w:hAnsiTheme="minorEastAsia" w:hint="eastAsia"/>
          <w:color w:val="000000" w:themeColor="text1"/>
        </w:rPr>
        <w:t>的，基金管理人有权对该单个基金份额持有人超出该比例的赎回申请实施延期办理，对该单个基金份额持有人剩余赎回申请与其他账户赎回申请按前述条款处理。</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3</w:t>
      </w:r>
      <w:r w:rsidRPr="00C86E67">
        <w:rPr>
          <w:rFonts w:asciiTheme="minorEastAsia" w:eastAsiaTheme="minorEastAsia" w:hAnsiTheme="minorEastAsia"/>
          <w:color w:val="000000" w:themeColor="text1"/>
        </w:rPr>
        <w:t>）当发生巨额赎回并顺延赎回时，</w:t>
      </w:r>
      <w:r w:rsidRPr="00C86E67">
        <w:rPr>
          <w:rFonts w:asciiTheme="minorEastAsia" w:eastAsiaTheme="minorEastAsia" w:hAnsiTheme="minorEastAsia" w:hint="eastAsia"/>
          <w:color w:val="000000" w:themeColor="text1"/>
        </w:rPr>
        <w:t>基金管理人应依法通过指定</w:t>
      </w:r>
      <w:r w:rsidRPr="00C86E67" w:rsidR="002C3C91">
        <w:rPr>
          <w:rFonts w:asciiTheme="minorEastAsia" w:eastAsiaTheme="minorEastAsia" w:hAnsiTheme="minorEastAsia" w:hint="eastAsia"/>
          <w:color w:val="000000" w:themeColor="text1"/>
        </w:rPr>
        <w:t>媒介</w:t>
      </w:r>
      <w:r w:rsidRPr="00C86E67">
        <w:rPr>
          <w:rFonts w:asciiTheme="minorEastAsia" w:eastAsiaTheme="minorEastAsia" w:hAnsiTheme="minorEastAsia" w:hint="eastAsia"/>
          <w:color w:val="000000" w:themeColor="text1"/>
        </w:rPr>
        <w:t>发布公告，说明有关处理方法。</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w:t>
      </w:r>
      <w:r w:rsidRPr="00C86E67">
        <w:rPr>
          <w:rFonts w:asciiTheme="minorEastAsia" w:eastAsiaTheme="minorEastAsia" w:hAnsiTheme="minorEastAsia"/>
          <w:color w:val="000000" w:themeColor="text1"/>
        </w:rPr>
        <w:t>本基金连续两日以上(含本数)发生巨额赎回时</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如基金管理人认为有必要</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可暂停接受赎回和转出申请；已经接受的赎回申请可以延缓支付赎回款项</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但不得超过正常支付时间20个工作日</w:t>
      </w:r>
      <w:r w:rsidRPr="00C86E67">
        <w:rPr>
          <w:rFonts w:asciiTheme="minorEastAsia" w:eastAsiaTheme="minorEastAsia" w:hAnsiTheme="minorEastAsia" w:hint="eastAsia"/>
          <w:color w:val="000000" w:themeColor="text1"/>
        </w:rPr>
        <w:t>，并应当在</w:t>
      </w:r>
      <w:r w:rsidRPr="00C86E67" w:rsidR="002C3C91">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上公告。</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szCs w:val="24"/>
        </w:rPr>
      </w:pPr>
      <w:bookmarkStart w:id="694" w:name="_Toc91764816"/>
      <w:r w:rsidRPr="00C86E67">
        <w:rPr>
          <w:rFonts w:asciiTheme="minorEastAsia" w:eastAsiaTheme="minorEastAsia" w:hAnsiTheme="minorEastAsia" w:hint="eastAsia"/>
          <w:color w:val="000000" w:themeColor="text1"/>
          <w:sz w:val="24"/>
          <w:szCs w:val="24"/>
        </w:rPr>
        <w:t>（十一）拒绝或暂停申购、赎回的情形及处理方式</w:t>
      </w:r>
      <w:bookmarkEnd w:id="694"/>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除出现如下情形，基金管理人不得拒绝或暂停接受基金投资者的申购申请：</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（1）不可抗力的原因导致基金无法正常运作；</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（2）证券交易场所在交易时间非正常停市或证券交易场所依法决定临时停市，导致当日基金资产净值无法计算；</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w:t>
      </w:r>
      <w:r w:rsidRPr="00C86E67">
        <w:rPr>
          <w:rFonts w:asciiTheme="minorEastAsia" w:eastAsiaTheme="minorEastAsia" w:hAnsiTheme="minorEastAsia"/>
          <w:color w:val="000000" w:themeColor="text1"/>
        </w:rPr>
        <w:t>基金资产规模过大，使基金管理人无法找到合适的投资品种，或可能对基金业绩产生负面影响，从而损害现有基金份额持有人的利益；</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w:t>
      </w:r>
      <w:r w:rsidRPr="00C86E67" w:rsidR="004F6E9A">
        <w:rPr>
          <w:rFonts w:asciiTheme="minorEastAsia" w:eastAsiaTheme="minorEastAsia" w:hAnsiTheme="minorEastAsia" w:hint="eastAsia"/>
          <w:color w:val="000000" w:themeColor="text1"/>
        </w:rPr>
        <w:t>法律法规规定或中国证监会认定的其他可暂停申购的情形；</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w:t>
      </w:r>
      <w:r w:rsidRPr="00C86E67" w:rsidR="004F6E9A">
        <w:rPr>
          <w:rFonts w:asciiTheme="minorEastAsia" w:eastAsiaTheme="minorEastAsia" w:hAnsiTheme="minorEastAsia" w:hint="eastAsia"/>
          <w:color w:val="000000" w:themeColor="text1"/>
        </w:rPr>
        <w:t>基金管理人认为会有损于现有基金份额持有人利益的某笔申购；</w:t>
      </w:r>
    </w:p>
    <w:p w:rsidR="005B6735" w:rsidRPr="00C86E67" w:rsidP="00094E6A">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sidR="00627417">
        <w:rPr>
          <w:rFonts w:asciiTheme="minorEastAsia" w:eastAsiaTheme="minorEastAsia" w:hAnsiTheme="minorEastAsia" w:hint="eastAsia"/>
          <w:color w:val="000000" w:themeColor="text1"/>
        </w:rPr>
        <w:t>6）基金管理人接受某笔或者某些申购申请有可能导致单一投资者持有基金份额的比例达到或者超过50%，或者变相规避50%集中度的情形时；</w:t>
      </w:r>
    </w:p>
    <w:p w:rsidR="00627417" w:rsidRPr="00C86E67" w:rsidP="00A77C59">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7）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627417" w:rsidRPr="00C86E67" w:rsidP="00A77C59">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8）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如发生上述拒绝申购的情形之一的，被拒绝的申购款项应全额退还投资者。</w:t>
      </w:r>
    </w:p>
    <w:p w:rsidR="005B6735" w:rsidRPr="00C86E67" w:rsidP="00094E6A">
      <w:pPr>
        <w:pStyle w:val="NormalIndent"/>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发生上述（1）到（4）、（7）、（8）项暂停申购情形时，基金管理人应当在</w:t>
      </w:r>
      <w:r w:rsidRPr="00C86E67" w:rsidR="002C3C91">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刊登暂停申购公告。</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基金管理人拒绝或暂停接受申购的方式包括：</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（1）拒绝接受、暂停接受某笔或某数笔申购申请；</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（2）拒绝接受、暂停接受某个或某数个工作日的全部申购申请；</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（3）按比例拒绝接受、暂停接受某个或某数个工作日的申购申请。</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除下列情形外，基金管理人不得拒绝接受或暂停接受投资者的赎回申请：</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Pr>
          <w:rFonts w:asciiTheme="minorEastAsia" w:eastAsiaTheme="minorEastAsia" w:hAnsiTheme="minorEastAsia"/>
          <w:color w:val="000000" w:themeColor="text1"/>
        </w:rPr>
        <w:t>不可抗力的原因导致基金无法正常运作；</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（2）证券交易场所在交易时间非正常停市或依法决定临时停市</w:t>
      </w:r>
      <w:r w:rsidRPr="00C86E67">
        <w:rPr>
          <w:rFonts w:asciiTheme="minorEastAsia" w:eastAsiaTheme="minorEastAsia" w:hAnsiTheme="minorEastAsia"/>
          <w:color w:val="000000" w:themeColor="text1"/>
        </w:rPr>
        <w:t>；</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3）因市场剧烈波动或其它原因而出现连续巨额赎回，导致本基金的现金支付出现困难；</w:t>
      </w:r>
    </w:p>
    <w:p w:rsidR="00627417"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4</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w:t>
      </w:r>
      <w:r w:rsidRPr="00C86E67">
        <w:rPr>
          <w:rFonts w:asciiTheme="minorEastAsia" w:eastAsiaTheme="minorEastAsia" w:hAnsiTheme="minorEastAsia"/>
          <w:color w:val="000000" w:themeColor="text1"/>
        </w:rPr>
        <w:t>）法律、法规规定或中国证监会认定的其它情形。</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发生上述情形之一的，基金管理人应立即向中国证监会报告备案。已接受的赎回申请，基金管理人将足额支付；如暂时不能足额支付时，可延期支付部分赎回款项，将按每个赎回申请人已被接受的赎回申请量占已接受赎回申请总量的比例分配给赎回申请人，未支付部分由基金管理人按照发生的情况制定相应的处理办法在后续开放日予以支付。</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基金暂停申购、赎回，基金管理人</w:t>
      </w:r>
      <w:r w:rsidRPr="00C86E67">
        <w:rPr>
          <w:rFonts w:asciiTheme="minorEastAsia" w:eastAsiaTheme="minorEastAsia" w:hAnsiTheme="minorEastAsia" w:hint="eastAsia"/>
          <w:color w:val="000000" w:themeColor="text1"/>
        </w:rPr>
        <w:t>应立即</w:t>
      </w:r>
      <w:r w:rsidRPr="00C86E67">
        <w:rPr>
          <w:rFonts w:asciiTheme="minorEastAsia" w:eastAsiaTheme="minorEastAsia" w:hAnsiTheme="minorEastAsia"/>
          <w:color w:val="000000" w:themeColor="text1"/>
        </w:rPr>
        <w:t>在</w:t>
      </w:r>
      <w:r w:rsidRPr="00C86E67" w:rsidR="002C3C91">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上</w:t>
      </w:r>
      <w:r w:rsidRPr="00C86E67">
        <w:rPr>
          <w:rFonts w:asciiTheme="minorEastAsia" w:eastAsiaTheme="minorEastAsia" w:hAnsiTheme="minorEastAsia"/>
          <w:color w:val="000000" w:themeColor="text1"/>
        </w:rPr>
        <w:t>公告。</w:t>
      </w:r>
      <w:r w:rsidRPr="00C86E67">
        <w:rPr>
          <w:rFonts w:asciiTheme="minorEastAsia" w:eastAsiaTheme="minorEastAsia" w:hAnsiTheme="minorEastAsia" w:hint="eastAsia"/>
          <w:color w:val="000000" w:themeColor="text1"/>
        </w:rPr>
        <w:t>暂停期间结束基金重新开放时，基金管理人应当公告最新的基金份额净值。</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如果发生暂停的时间为一天，基金管理人应于重新开放日在</w:t>
      </w:r>
      <w:r w:rsidRPr="00C86E67" w:rsidR="002C3C91">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刊登基金重新开放申购或赎回公告并公布最近一个开放日的基金份额净值。</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如果发生暂停的时间超过一天但少于两周，暂停结束基金重新开放申购或赎回时，基金管理人应当在两日内在</w:t>
      </w:r>
      <w:r w:rsidRPr="00C86E67" w:rsidR="00332B90">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刊登基金重新开放申购、赎回公告，并在重新开始办理申购或赎回的开放日公告最近一个工作日的基金份额净值。</w:t>
      </w:r>
    </w:p>
    <w:p w:rsidR="00C35BC5" w:rsidRPr="00C86E67" w:rsidP="00552BE1">
      <w:pPr>
        <w:pStyle w:val="a"/>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如果发生暂停的时间超过两周，暂停期间，基金管理人应每两周至少重复刊登暂停公告一次。暂停结束基金重新开放申购或赎回时，基金管理人应提前2个工作日在</w:t>
      </w:r>
      <w:r w:rsidRPr="00C86E67" w:rsidR="00332B90">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连续刊登基金重新开放申购或赎回公告，并在重新开放申购或赎回日公告最近一个开放日的基金份额净值。</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bookmarkStart w:id="695" w:name="_Toc91334992"/>
    </w:p>
    <w:p w:rsidR="00C35BC5" w:rsidRPr="00C86E67" w:rsidP="00B5132A">
      <w:pPr>
        <w:pStyle w:val="Heading1"/>
        <w:snapToGrid w:val="0"/>
        <w:spacing w:beforeLines="0" w:afterLines="0" w:line="360" w:lineRule="auto"/>
        <w:ind w:firstLine="643"/>
        <w:rPr>
          <w:rFonts w:asciiTheme="minorEastAsia" w:eastAsiaTheme="minorEastAsia" w:hAnsiTheme="minorEastAsia"/>
          <w:b/>
          <w:color w:val="000000" w:themeColor="text1"/>
        </w:rPr>
      </w:pPr>
      <w:bookmarkStart w:id="696" w:name="_Toc91764817"/>
      <w:r w:rsidRPr="00C86E67">
        <w:rPr>
          <w:rFonts w:asciiTheme="minorEastAsia" w:eastAsiaTheme="minorEastAsia" w:hAnsiTheme="minorEastAsia" w:hint="eastAsia"/>
          <w:b/>
          <w:bCs/>
          <w:color w:val="000000" w:themeColor="text1"/>
        </w:rPr>
        <w:t>九、基金转换</w:t>
      </w:r>
      <w:bookmarkEnd w:id="695"/>
      <w:bookmarkEnd w:id="696"/>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基金转换是指基金份额持有人按基金管理人规定的条件将其持有的某一只基金的基金份额转换为同一基金管理人管理的另一只基金的基金份额的行为。</w:t>
      </w:r>
    </w:p>
    <w:p w:rsidR="00C35BC5" w:rsidRPr="00C86E67" w:rsidP="00B5132A">
      <w:pPr>
        <w:pStyle w:val="Heading2"/>
        <w:snapToGrid w:val="0"/>
        <w:spacing w:beforeLines="0" w:afterLines="0" w:line="360" w:lineRule="auto"/>
        <w:ind w:firstLine="482"/>
        <w:rPr>
          <w:rFonts w:asciiTheme="minorEastAsia" w:eastAsiaTheme="minorEastAsia" w:hAnsiTheme="minorEastAsia"/>
          <w:color w:val="000000" w:themeColor="text1"/>
          <w:sz w:val="24"/>
          <w:szCs w:val="24"/>
        </w:rPr>
      </w:pPr>
      <w:bookmarkStart w:id="697" w:name="_Toc180398075"/>
      <w:bookmarkStart w:id="698" w:name="_Toc91764818"/>
      <w:r w:rsidRPr="00C86E67">
        <w:rPr>
          <w:rFonts w:asciiTheme="minorEastAsia" w:eastAsiaTheme="minorEastAsia" w:hAnsiTheme="minorEastAsia" w:hint="eastAsia"/>
          <w:color w:val="000000" w:themeColor="text1"/>
          <w:sz w:val="24"/>
          <w:szCs w:val="24"/>
        </w:rPr>
        <w:t>（一）</w:t>
      </w:r>
      <w:r w:rsidRPr="00C86E67">
        <w:rPr>
          <w:rFonts w:asciiTheme="minorEastAsia" w:eastAsiaTheme="minorEastAsia" w:hAnsiTheme="minorEastAsia"/>
          <w:color w:val="000000" w:themeColor="text1"/>
          <w:sz w:val="24"/>
          <w:szCs w:val="24"/>
        </w:rPr>
        <w:t>基金转换开始日及</w:t>
      </w:r>
      <w:r w:rsidRPr="00C86E67">
        <w:rPr>
          <w:rFonts w:asciiTheme="minorEastAsia" w:eastAsiaTheme="minorEastAsia" w:hAnsiTheme="minorEastAsia" w:hint="eastAsia"/>
          <w:color w:val="000000" w:themeColor="text1"/>
          <w:sz w:val="24"/>
          <w:szCs w:val="24"/>
        </w:rPr>
        <w:t>时间</w:t>
      </w:r>
      <w:bookmarkEnd w:id="697"/>
      <w:bookmarkEnd w:id="698"/>
    </w:p>
    <w:p w:rsidR="00C35BC5" w:rsidRPr="00C86E67" w:rsidP="00552BE1">
      <w:pPr>
        <w:pStyle w:val="NormalIndent"/>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本基金已于</w:t>
      </w:r>
      <w:r w:rsidRPr="00C86E67">
        <w:rPr>
          <w:rFonts w:asciiTheme="minorEastAsia" w:eastAsiaTheme="minorEastAsia" w:hAnsiTheme="minorEastAsia"/>
          <w:color w:val="000000" w:themeColor="text1"/>
          <w:szCs w:val="18"/>
        </w:rPr>
        <w:t>2007</w:t>
      </w:r>
      <w:r w:rsidRPr="00C86E67">
        <w:rPr>
          <w:rFonts w:asciiTheme="minorEastAsia" w:eastAsiaTheme="minorEastAsia" w:hAnsiTheme="minorEastAsia" w:hint="eastAsia"/>
          <w:color w:val="000000" w:themeColor="text1"/>
          <w:szCs w:val="18"/>
        </w:rPr>
        <w:t>年</w:t>
      </w:r>
      <w:r w:rsidRPr="00C86E67">
        <w:rPr>
          <w:rFonts w:asciiTheme="minorEastAsia" w:eastAsiaTheme="minorEastAsia" w:hAnsiTheme="minorEastAsia"/>
          <w:color w:val="000000" w:themeColor="text1"/>
          <w:szCs w:val="18"/>
        </w:rPr>
        <w:t>8</w:t>
      </w:r>
      <w:r w:rsidRPr="00C86E67">
        <w:rPr>
          <w:rFonts w:asciiTheme="minorEastAsia" w:eastAsiaTheme="minorEastAsia" w:hAnsiTheme="minorEastAsia" w:hint="eastAsia"/>
          <w:color w:val="000000" w:themeColor="text1"/>
          <w:szCs w:val="18"/>
        </w:rPr>
        <w:t>月</w:t>
      </w:r>
      <w:r w:rsidRPr="00C86E67">
        <w:rPr>
          <w:rFonts w:asciiTheme="minorEastAsia" w:eastAsiaTheme="minorEastAsia" w:hAnsiTheme="minorEastAsia"/>
          <w:color w:val="000000" w:themeColor="text1"/>
          <w:szCs w:val="18"/>
        </w:rPr>
        <w:t>20</w:t>
      </w:r>
      <w:r w:rsidRPr="00C86E67">
        <w:rPr>
          <w:rFonts w:asciiTheme="minorEastAsia" w:eastAsiaTheme="minorEastAsia" w:hAnsiTheme="minorEastAsia" w:hint="eastAsia"/>
          <w:color w:val="000000" w:themeColor="text1"/>
          <w:szCs w:val="18"/>
        </w:rPr>
        <w:t>日</w:t>
      </w:r>
      <w:r w:rsidRPr="00C86E67">
        <w:rPr>
          <w:rFonts w:asciiTheme="minorEastAsia" w:eastAsiaTheme="minorEastAsia" w:hAnsiTheme="minorEastAsia" w:hint="eastAsia"/>
          <w:color w:val="000000" w:themeColor="text1"/>
        </w:rPr>
        <w:t>开始办理转换业务</w:t>
      </w:r>
      <w:r w:rsidRPr="00C86E67">
        <w:rPr>
          <w:rFonts w:asciiTheme="minorEastAsia" w:eastAsiaTheme="minorEastAsia" w:hAnsiTheme="minorEastAsia" w:cs="宋体" w:hint="eastAsia"/>
          <w:color w:val="000000" w:themeColor="text1"/>
          <w:kern w:val="0"/>
          <w:szCs w:val="21"/>
        </w:rPr>
        <w:t>。</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s="宋体" w:hint="eastAsia"/>
          <w:color w:val="000000" w:themeColor="text1"/>
          <w:kern w:val="0"/>
          <w:szCs w:val="21"/>
        </w:rPr>
        <w:t>本基金办理转换业务的开放日为上海证券交易所和深圳证券交易所交易日（本公司公告暂停转换时除外）。具体业务办理时间为上海证券交易所、深圳证券交易所的交易时间。若出现新的证券交易市场或交易所交易时间更改或其它原因，基金管理人将根据法律法规和基金合同规定的原则视情况进行相应的调整并公告。</w:t>
      </w:r>
    </w:p>
    <w:p w:rsidR="00C35BC5" w:rsidRPr="00C86E67" w:rsidP="00B5132A">
      <w:pPr>
        <w:pStyle w:val="Heading2"/>
        <w:snapToGrid w:val="0"/>
        <w:spacing w:beforeLines="0" w:afterLines="0" w:line="360" w:lineRule="auto"/>
        <w:ind w:firstLine="482"/>
        <w:rPr>
          <w:rFonts w:asciiTheme="minorEastAsia" w:eastAsiaTheme="minorEastAsia" w:hAnsiTheme="minorEastAsia"/>
          <w:color w:val="000000" w:themeColor="text1"/>
          <w:sz w:val="24"/>
          <w:szCs w:val="24"/>
        </w:rPr>
      </w:pPr>
      <w:bookmarkStart w:id="699" w:name="_Toc180398076"/>
      <w:bookmarkStart w:id="700" w:name="_Toc91764819"/>
      <w:r w:rsidRPr="00C86E67">
        <w:rPr>
          <w:rFonts w:asciiTheme="minorEastAsia" w:eastAsiaTheme="minorEastAsia" w:hAnsiTheme="minorEastAsia" w:hint="eastAsia"/>
          <w:color w:val="000000" w:themeColor="text1"/>
          <w:sz w:val="24"/>
          <w:szCs w:val="24"/>
        </w:rPr>
        <w:t>（二）</w:t>
      </w:r>
      <w:r w:rsidRPr="00C86E67">
        <w:rPr>
          <w:rFonts w:asciiTheme="minorEastAsia" w:eastAsiaTheme="minorEastAsia" w:hAnsiTheme="minorEastAsia"/>
          <w:color w:val="000000" w:themeColor="text1"/>
          <w:sz w:val="24"/>
          <w:szCs w:val="24"/>
        </w:rPr>
        <w:t>基金转换的原则</w:t>
      </w:r>
      <w:bookmarkEnd w:id="699"/>
      <w:bookmarkEnd w:id="700"/>
    </w:p>
    <w:p w:rsidR="00C35BC5" w:rsidRPr="00C86E67" w:rsidP="00552BE1">
      <w:pPr>
        <w:snapToGrid w:val="0"/>
        <w:spacing w:line="360" w:lineRule="auto"/>
        <w:ind w:firstLine="420"/>
        <w:rPr>
          <w:rFonts w:asciiTheme="minorEastAsia" w:eastAsiaTheme="minorEastAsia" w:hAnsiTheme="minorEastAsia"/>
          <w:color w:val="000000" w:themeColor="text1"/>
        </w:rPr>
      </w:pPr>
      <w:bookmarkStart w:id="701" w:name="_Toc180398077"/>
      <w:r w:rsidRPr="00C86E67">
        <w:rPr>
          <w:rFonts w:asciiTheme="minorEastAsia" w:eastAsiaTheme="minorEastAsia" w:hAnsiTheme="minorEastAsia" w:hint="eastAsia"/>
          <w:color w:val="000000" w:themeColor="text1"/>
        </w:rPr>
        <w:t>1、基金转换以份额为单位进行申请</w:t>
      </w:r>
      <w:r w:rsidRPr="00C86E67">
        <w:rPr>
          <w:rFonts w:asciiTheme="minorEastAsia" w:eastAsiaTheme="minorEastAsia" w:hAnsiTheme="minorEastAsia"/>
          <w:color w:val="000000" w:themeColor="text1"/>
        </w:rPr>
        <w:t>；</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2、当日的转换申请可以在当日交易结束时间前撤销，在当日的交易时间结束后不得撤销</w:t>
      </w:r>
      <w:r w:rsidRPr="00C86E67">
        <w:rPr>
          <w:rFonts w:asciiTheme="minorEastAsia" w:eastAsiaTheme="minorEastAsia" w:hAnsiTheme="minorEastAsia"/>
          <w:color w:val="000000" w:themeColor="text1"/>
        </w:rPr>
        <w:t>；</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3、基金转换采取未知价法，即基金的转换价格以转换申请受理当日各转出、转入基金的份额净值为基准进行计算</w:t>
      </w:r>
      <w:r w:rsidRPr="00C86E67">
        <w:rPr>
          <w:rFonts w:asciiTheme="minorEastAsia" w:eastAsiaTheme="minorEastAsia" w:hAnsiTheme="minorEastAsia"/>
          <w:color w:val="000000" w:themeColor="text1"/>
        </w:rPr>
        <w:t>；</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4、基金份额在转换后，</w:t>
      </w:r>
      <w:r w:rsidRPr="00C86E67">
        <w:rPr>
          <w:rFonts w:asciiTheme="minorEastAsia" w:eastAsiaTheme="minorEastAsia" w:hAnsiTheme="minorEastAsia"/>
          <w:color w:val="000000" w:themeColor="text1"/>
        </w:rPr>
        <w:t>转入的基金份额的持有期将自转入的基金份额被确认之日起重新开始计算</w:t>
      </w:r>
      <w:r w:rsidRPr="00C86E67">
        <w:rPr>
          <w:rFonts w:asciiTheme="minorEastAsia" w:eastAsiaTheme="minorEastAsia" w:hAnsiTheme="minorEastAsia" w:hint="eastAsia"/>
          <w:color w:val="000000" w:themeColor="text1"/>
        </w:rPr>
        <w:t>；</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5、除非有特别说明，投资者可在同时</w:t>
      </w:r>
      <w:r w:rsidRPr="00C86E67" w:rsidR="00AD1360">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拟转出基金及转入基金的销售机构处办理基金转换业务。基金转换只能在同一销售机构进行。转换的两只基金必须都是该销售机构</w:t>
      </w:r>
      <w:r w:rsidRPr="00C86E67" w:rsidR="00AD1360">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的同一基金管理人管理的、在同一基金注册登记机构处注册的基金</w:t>
      </w:r>
      <w:r w:rsidRPr="00C86E67">
        <w:rPr>
          <w:rFonts w:asciiTheme="minorEastAsia" w:eastAsiaTheme="minorEastAsia" w:hAnsiTheme="minorEastAsia"/>
          <w:color w:val="000000" w:themeColor="text1"/>
        </w:rPr>
        <w:t>；</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6、投资者办理基金转换业务时，转出方的基金必须处于可赎回状态，转入方的基金必须处于可申购状态；</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7、</w:t>
      </w:r>
      <w:r w:rsidRPr="00C86E67">
        <w:rPr>
          <w:rFonts w:asciiTheme="minorEastAsia" w:eastAsiaTheme="minorEastAsia" w:hAnsiTheme="minorEastAsia"/>
          <w:color w:val="000000" w:themeColor="text1"/>
        </w:rPr>
        <w:t>转换业务遵循“先进先出”的业务规则，</w:t>
      </w:r>
      <w:r w:rsidRPr="00C86E67">
        <w:rPr>
          <w:rFonts w:asciiTheme="minorEastAsia" w:eastAsiaTheme="minorEastAsia" w:hAnsiTheme="minorEastAsia" w:hint="eastAsia"/>
          <w:color w:val="000000" w:themeColor="text1"/>
        </w:rPr>
        <w:t>即份额注册日期在前的先转换出，份额注册日期在后的后转换出</w:t>
      </w:r>
      <w:r w:rsidRPr="00C86E67">
        <w:rPr>
          <w:rFonts w:asciiTheme="minorEastAsia" w:eastAsiaTheme="minorEastAsia" w:hAnsiTheme="minorEastAsia"/>
          <w:color w:val="000000" w:themeColor="text1"/>
        </w:rPr>
        <w:t>，如果转换申请当日，同时有赎回申请的情况下，则遵循先赎回后转换的处理原则；</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8、基金管理人可在不损害基金份额持有人权益的情况下更改上述原则，但应最迟在新的原则实施前三个工作日予以公告。</w:t>
      </w:r>
    </w:p>
    <w:p w:rsidR="00C35BC5" w:rsidRPr="00C86E67" w:rsidP="00B5132A">
      <w:pPr>
        <w:pStyle w:val="Heading2"/>
        <w:snapToGrid w:val="0"/>
        <w:spacing w:beforeLines="0" w:afterLines="0" w:line="360" w:lineRule="auto"/>
        <w:ind w:firstLine="482"/>
        <w:rPr>
          <w:rFonts w:asciiTheme="minorEastAsia" w:eastAsiaTheme="minorEastAsia" w:hAnsiTheme="minorEastAsia"/>
          <w:color w:val="000000" w:themeColor="text1"/>
          <w:sz w:val="24"/>
          <w:szCs w:val="24"/>
        </w:rPr>
      </w:pPr>
      <w:bookmarkStart w:id="702" w:name="_Toc91764820"/>
      <w:r w:rsidRPr="00C86E67">
        <w:rPr>
          <w:rFonts w:asciiTheme="minorEastAsia" w:eastAsiaTheme="minorEastAsia" w:hAnsiTheme="minorEastAsia" w:hint="eastAsia"/>
          <w:color w:val="000000" w:themeColor="text1"/>
          <w:sz w:val="24"/>
          <w:szCs w:val="24"/>
        </w:rPr>
        <w:t>（三）基金转换的程序</w:t>
      </w:r>
      <w:bookmarkEnd w:id="701"/>
      <w:bookmarkEnd w:id="702"/>
    </w:p>
    <w:p w:rsidR="00C35BC5" w:rsidRPr="00C86E67" w:rsidP="00552BE1">
      <w:pPr>
        <w:pStyle w:val="NormalIndent"/>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1、基金转换的申请方式</w:t>
      </w:r>
    </w:p>
    <w:p w:rsidR="00C35BC5" w:rsidRPr="00C86E67" w:rsidP="00552BE1">
      <w:pPr>
        <w:pStyle w:val="NormalIndent"/>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基金投资者必须根据基金管理人和基金</w:t>
      </w:r>
      <w:r w:rsidRPr="00C86E67" w:rsidR="00C85C52">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机构规定的手续，在开放日的业务办理时间提出转换的申请。</w:t>
      </w:r>
    </w:p>
    <w:p w:rsidR="00C35BC5" w:rsidRPr="00C86E67" w:rsidP="00552BE1">
      <w:pPr>
        <w:pStyle w:val="NormalIndent"/>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提交基金转换申请时，</w:t>
      </w:r>
      <w:r w:rsidRPr="00C86E67" w:rsidR="00AC798E">
        <w:rPr>
          <w:rFonts w:asciiTheme="minorEastAsia" w:eastAsiaTheme="minorEastAsia" w:hAnsiTheme="minorEastAsia" w:hint="eastAsia"/>
          <w:color w:val="000000" w:themeColor="text1"/>
        </w:rPr>
        <w:t>账户</w:t>
      </w:r>
      <w:r w:rsidRPr="00C86E67">
        <w:rPr>
          <w:rFonts w:asciiTheme="minorEastAsia" w:eastAsiaTheme="minorEastAsia" w:hAnsiTheme="minorEastAsia" w:hint="eastAsia"/>
          <w:color w:val="000000" w:themeColor="text1"/>
        </w:rPr>
        <w:t>中必须有足够可用的转出基金份额余额。</w:t>
      </w:r>
    </w:p>
    <w:p w:rsidR="00C35BC5" w:rsidRPr="00C86E67" w:rsidP="00552BE1">
      <w:pPr>
        <w:pStyle w:val="NormalIndent"/>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2、基金转换申请的确认</w:t>
      </w:r>
    </w:p>
    <w:p w:rsidR="00C35BC5" w:rsidRPr="00C86E67" w:rsidP="00552BE1">
      <w:pPr>
        <w:pStyle w:val="NormalIndent"/>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正常情况下，基金管理人以在规定的基金业务办理时间段内收到基金转换申请的当天作为基金转换的申请日（T日），并在T+1工作日对该交易的有效性进行确认。投资者可在T+2工作日及之后查询成交情况。</w:t>
      </w:r>
    </w:p>
    <w:p w:rsidR="00C35BC5" w:rsidRPr="00C86E67" w:rsidP="00B5132A">
      <w:pPr>
        <w:pStyle w:val="Heading2"/>
        <w:snapToGrid w:val="0"/>
        <w:spacing w:beforeLines="0" w:afterLines="0" w:line="360" w:lineRule="auto"/>
        <w:ind w:firstLine="482"/>
        <w:rPr>
          <w:rFonts w:asciiTheme="minorEastAsia" w:eastAsiaTheme="minorEastAsia" w:hAnsiTheme="minorEastAsia"/>
          <w:color w:val="000000" w:themeColor="text1"/>
          <w:sz w:val="24"/>
          <w:szCs w:val="24"/>
        </w:rPr>
      </w:pPr>
      <w:bookmarkStart w:id="703" w:name="_Toc180398078"/>
      <w:bookmarkStart w:id="704" w:name="_Toc91764821"/>
      <w:r w:rsidRPr="00C86E67">
        <w:rPr>
          <w:rFonts w:asciiTheme="minorEastAsia" w:eastAsiaTheme="minorEastAsia" w:hAnsiTheme="minorEastAsia" w:hint="eastAsia"/>
          <w:color w:val="000000" w:themeColor="text1"/>
          <w:sz w:val="24"/>
          <w:szCs w:val="24"/>
        </w:rPr>
        <w:t>（四）基金转换的数额限制</w:t>
      </w:r>
      <w:bookmarkEnd w:id="703"/>
      <w:bookmarkEnd w:id="704"/>
    </w:p>
    <w:p w:rsidR="00C35BC5" w:rsidRPr="00C86E67" w:rsidP="00552BE1">
      <w:pPr>
        <w:pStyle w:val="NormalIndent"/>
        <w:snapToGrid w:val="0"/>
        <w:spacing w:line="360" w:lineRule="auto"/>
        <w:rPr>
          <w:rFonts w:asciiTheme="minorEastAsia" w:eastAsiaTheme="minorEastAsia" w:hAnsiTheme="minorEastAsia"/>
          <w:color w:val="000000" w:themeColor="text1"/>
        </w:rPr>
      </w:pPr>
      <w:bookmarkStart w:id="705" w:name="_Toc87367293"/>
      <w:bookmarkStart w:id="706" w:name="_Toc180398079"/>
      <w:r w:rsidRPr="00C86E67">
        <w:rPr>
          <w:rFonts w:asciiTheme="minorEastAsia" w:eastAsiaTheme="minorEastAsia" w:hAnsiTheme="minorEastAsia" w:hint="eastAsia"/>
          <w:color w:val="000000" w:themeColor="text1"/>
        </w:rPr>
        <w:t>基金份额持有人可将其全部或部分基金份额转换成另一只基金，本基金单笔转出申请不得少于1份（</w:t>
      </w:r>
      <w:r w:rsidRPr="00C86E67" w:rsidR="00601FFA">
        <w:rPr>
          <w:rFonts w:asciiTheme="minorEastAsia" w:eastAsiaTheme="minorEastAsia" w:hAnsiTheme="minorEastAsia" w:hint="eastAsia"/>
          <w:color w:val="000000" w:themeColor="text1"/>
        </w:rPr>
        <w:t>如该账户在该销售机构托管的该基金余额不足</w:t>
      </w:r>
      <w:r w:rsidRPr="00C86E67">
        <w:rPr>
          <w:rFonts w:asciiTheme="minorEastAsia" w:eastAsiaTheme="minorEastAsia" w:hAnsiTheme="minorEastAsia" w:hint="eastAsia"/>
          <w:color w:val="000000" w:themeColor="text1"/>
        </w:rPr>
        <w:t>1份，则必须一次性赎回或转出该基金全部份额）；若某笔转换导致投资者在</w:t>
      </w:r>
      <w:r w:rsidRPr="00C86E67" w:rsidR="00AC798E">
        <w:rPr>
          <w:rFonts w:asciiTheme="minorEastAsia" w:eastAsiaTheme="minorEastAsia" w:hAnsiTheme="minorEastAsia" w:hint="eastAsia"/>
          <w:color w:val="000000" w:themeColor="text1"/>
        </w:rPr>
        <w:t>该</w:t>
      </w:r>
      <w:r w:rsidRPr="00C86E67">
        <w:rPr>
          <w:rFonts w:asciiTheme="minorEastAsia" w:eastAsiaTheme="minorEastAsia" w:hAnsiTheme="minorEastAsia" w:hint="eastAsia"/>
          <w:color w:val="000000" w:themeColor="text1"/>
        </w:rPr>
        <w:t>销售机构托管的</w:t>
      </w:r>
      <w:r w:rsidRPr="00C86E67" w:rsidR="00601FFA">
        <w:rPr>
          <w:rFonts w:asciiTheme="minorEastAsia" w:eastAsiaTheme="minorEastAsia" w:hAnsiTheme="minorEastAsia" w:hint="eastAsia"/>
          <w:color w:val="000000" w:themeColor="text1"/>
        </w:rPr>
        <w:t>该</w:t>
      </w:r>
      <w:r w:rsidRPr="00C86E67">
        <w:rPr>
          <w:rFonts w:asciiTheme="minorEastAsia" w:eastAsiaTheme="minorEastAsia" w:hAnsiTheme="minorEastAsia" w:hint="eastAsia"/>
          <w:color w:val="000000" w:themeColor="text1"/>
        </w:rPr>
        <w:t>基金余额不足1份时，基金管理人有权将投资者在该销售机构托管的</w:t>
      </w:r>
      <w:r w:rsidRPr="00C86E67" w:rsidR="00601FFA">
        <w:rPr>
          <w:rFonts w:asciiTheme="minorEastAsia" w:eastAsiaTheme="minorEastAsia" w:hAnsiTheme="minorEastAsia" w:hint="eastAsia"/>
          <w:color w:val="000000" w:themeColor="text1"/>
        </w:rPr>
        <w:t>该</w:t>
      </w:r>
      <w:r w:rsidRPr="00C86E67">
        <w:rPr>
          <w:rFonts w:asciiTheme="minorEastAsia" w:eastAsiaTheme="minorEastAsia" w:hAnsiTheme="minorEastAsia" w:hint="eastAsia"/>
          <w:color w:val="000000" w:themeColor="text1"/>
        </w:rPr>
        <w:t>基金剩余份额一次性全部赎回</w:t>
      </w:r>
      <w:r w:rsidRPr="00C86E67" w:rsidR="00170BAB">
        <w:rPr>
          <w:rFonts w:asciiTheme="minorEastAsia" w:eastAsiaTheme="minorEastAsia" w:hAnsiTheme="minorEastAsia" w:hint="eastAsia"/>
          <w:color w:val="000000" w:themeColor="text1"/>
          <w:szCs w:val="21"/>
        </w:rPr>
        <w:t>。</w:t>
      </w:r>
    </w:p>
    <w:p w:rsidR="00C35BC5" w:rsidRPr="00C86E67" w:rsidP="00552BE1">
      <w:pPr>
        <w:pStyle w:val="NormalIndent"/>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基金管理人可根据市场情况制定或调整上述基金转换的程序及有关限制，但应最迟在调整生效前三个工作日在</w:t>
      </w:r>
      <w:r w:rsidRPr="00C86E67" w:rsidR="00C53A0E">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公告。</w:t>
      </w:r>
    </w:p>
    <w:p w:rsidR="00C35BC5" w:rsidRPr="00C86E67" w:rsidP="00B5132A">
      <w:pPr>
        <w:pStyle w:val="Heading2"/>
        <w:snapToGrid w:val="0"/>
        <w:spacing w:beforeLines="0" w:afterLines="0" w:line="360" w:lineRule="auto"/>
        <w:ind w:firstLine="482"/>
        <w:rPr>
          <w:rFonts w:asciiTheme="minorEastAsia" w:eastAsiaTheme="minorEastAsia" w:hAnsiTheme="minorEastAsia"/>
          <w:color w:val="000000" w:themeColor="text1"/>
          <w:sz w:val="24"/>
          <w:szCs w:val="24"/>
        </w:rPr>
      </w:pPr>
      <w:bookmarkStart w:id="707" w:name="_Toc91764822"/>
      <w:r w:rsidRPr="00C86E67">
        <w:rPr>
          <w:rFonts w:asciiTheme="minorEastAsia" w:eastAsiaTheme="minorEastAsia" w:hAnsiTheme="minorEastAsia" w:hint="eastAsia"/>
          <w:color w:val="000000" w:themeColor="text1"/>
          <w:sz w:val="24"/>
          <w:szCs w:val="24"/>
        </w:rPr>
        <w:t>（五）基金转换费率</w:t>
      </w:r>
      <w:bookmarkEnd w:id="705"/>
      <w:bookmarkEnd w:id="706"/>
      <w:bookmarkEnd w:id="707"/>
    </w:p>
    <w:p w:rsidR="00C35BC5" w:rsidRPr="00C86E67" w:rsidP="00552BE1">
      <w:pPr>
        <w:pStyle w:val="NormalIndent"/>
        <w:snapToGrid w:val="0"/>
        <w:spacing w:line="360" w:lineRule="auto"/>
        <w:rPr>
          <w:rFonts w:asciiTheme="minorEastAsia" w:eastAsiaTheme="minorEastAsia" w:hAnsiTheme="minorEastAsia"/>
          <w:color w:val="000000" w:themeColor="text1"/>
        </w:rPr>
      </w:pPr>
      <w:bookmarkStart w:id="708" w:name="_Toc180398080"/>
      <w:r w:rsidRPr="00C86E67">
        <w:rPr>
          <w:rFonts w:asciiTheme="minorEastAsia" w:eastAsiaTheme="minorEastAsia" w:hAnsiTheme="minorEastAsia" w:hint="eastAsia"/>
          <w:color w:val="000000" w:themeColor="text1"/>
        </w:rPr>
        <w:t>基金转换费由基金份额持有人承担，基金转换费用由转出基金赎回费用及基金申购补差费用构成，其中赎回费按照</w:t>
      </w:r>
      <w:r w:rsidRPr="00C86E67" w:rsidR="00601FFA">
        <w:rPr>
          <w:rFonts w:asciiTheme="minorEastAsia" w:eastAsiaTheme="minorEastAsia" w:hAnsiTheme="minorEastAsia" w:hint="eastAsia"/>
          <w:color w:val="000000" w:themeColor="text1"/>
        </w:rPr>
        <w:t>各基金</w:t>
      </w:r>
      <w:r w:rsidRPr="00C86E67" w:rsidR="00601FFA">
        <w:rPr>
          <w:rFonts w:asciiTheme="minorEastAsia" w:eastAsiaTheme="minorEastAsia" w:hAnsiTheme="minorEastAsia"/>
          <w:color w:val="000000" w:themeColor="text1"/>
        </w:rPr>
        <w:t>的</w:t>
      </w:r>
      <w:r w:rsidRPr="00C86E67">
        <w:rPr>
          <w:rFonts w:asciiTheme="minorEastAsia" w:eastAsiaTheme="minorEastAsia" w:hAnsiTheme="minorEastAsia" w:hint="eastAsia"/>
          <w:color w:val="000000" w:themeColor="text1"/>
        </w:rPr>
        <w:t>基金合同、更新的招募说明书及最新的相关公告约定的比例归入基金财产，其余部分用于支付注册登记费等相关手续费，具体实施办法和转换费率详见相关公告。</w:t>
      </w:r>
      <w:r w:rsidRPr="00C86E67">
        <w:rPr>
          <w:rFonts w:asciiTheme="minorEastAsia" w:eastAsiaTheme="minorEastAsia" w:hAnsiTheme="minorEastAsia"/>
          <w:color w:val="000000" w:themeColor="text1"/>
          <w:szCs w:val="21"/>
        </w:rPr>
        <w:t>转换费用以人民币元为单位，计算结果按照四舍五入方法，保留小数点后两位</w:t>
      </w:r>
      <w:r w:rsidRPr="00C86E67">
        <w:rPr>
          <w:rFonts w:asciiTheme="minorEastAsia" w:eastAsiaTheme="minorEastAsia" w:hAnsiTheme="minorEastAsia" w:hint="eastAsia"/>
          <w:color w:val="000000" w:themeColor="text1"/>
        </w:rPr>
        <w:t>。</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基金管理人可以根据市场情况在不违背有关法律、法规和基金合同的规定之前提下，调整收费方式和费率水平，但最迟应于新收费办法开始实施日前3个工作日在</w:t>
      </w:r>
      <w:r w:rsidRPr="00C86E67" w:rsidR="00C53A0E">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上公告。</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35BC5" w:rsidRPr="00C86E67" w:rsidP="00B5132A">
      <w:pPr>
        <w:pStyle w:val="Heading2"/>
        <w:snapToGrid w:val="0"/>
        <w:spacing w:beforeLines="0" w:afterLines="0" w:line="360" w:lineRule="auto"/>
        <w:ind w:firstLine="482"/>
        <w:rPr>
          <w:rFonts w:asciiTheme="minorEastAsia" w:eastAsiaTheme="minorEastAsia" w:hAnsiTheme="minorEastAsia"/>
          <w:color w:val="000000" w:themeColor="text1"/>
          <w:sz w:val="24"/>
          <w:szCs w:val="24"/>
        </w:rPr>
      </w:pPr>
      <w:bookmarkStart w:id="709" w:name="_Toc91764823"/>
      <w:r w:rsidRPr="00C86E67">
        <w:rPr>
          <w:rFonts w:asciiTheme="minorEastAsia" w:eastAsiaTheme="minorEastAsia" w:hAnsiTheme="minorEastAsia" w:hint="eastAsia"/>
          <w:color w:val="000000" w:themeColor="text1"/>
          <w:sz w:val="24"/>
          <w:szCs w:val="24"/>
        </w:rPr>
        <w:t>（六）基金转换份额的计算方式</w:t>
      </w:r>
      <w:bookmarkEnd w:id="708"/>
      <w:bookmarkEnd w:id="709"/>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lang w:val="de-DE"/>
        </w:rPr>
      </w:pPr>
      <w:r w:rsidRPr="00C86E67">
        <w:rPr>
          <w:rFonts w:asciiTheme="minorEastAsia" w:eastAsiaTheme="minorEastAsia" w:hAnsiTheme="minorEastAsia" w:hint="eastAsia"/>
          <w:color w:val="000000" w:themeColor="text1"/>
          <w:lang w:val="de-DE"/>
        </w:rPr>
        <w:t>A＝［B×C×(1-D)/（1+G）+F］/E</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lang w:val="de-DE"/>
        </w:rPr>
      </w:pPr>
      <w:r w:rsidRPr="00C86E67">
        <w:rPr>
          <w:rFonts w:asciiTheme="minorEastAsia" w:eastAsiaTheme="minorEastAsia" w:hAnsiTheme="minorEastAsia" w:hint="eastAsia"/>
          <w:color w:val="000000" w:themeColor="text1"/>
          <w:lang w:val="de-DE"/>
        </w:rPr>
        <w:t>H＝</w:t>
      </w:r>
      <w:r w:rsidRPr="00C86E67">
        <w:rPr>
          <w:rFonts w:asciiTheme="minorEastAsia" w:eastAsiaTheme="minorEastAsia" w:hAnsiTheme="minorEastAsia"/>
          <w:color w:val="000000" w:themeColor="text1"/>
          <w:lang w:val="de-DE"/>
        </w:rPr>
        <w:t>B×C×D</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lang w:val="de-DE"/>
        </w:rPr>
      </w:pPr>
      <w:r w:rsidRPr="00C86E67">
        <w:rPr>
          <w:rFonts w:asciiTheme="minorEastAsia" w:eastAsiaTheme="minorEastAsia" w:hAnsiTheme="minorEastAsia" w:hint="eastAsia"/>
          <w:color w:val="000000" w:themeColor="text1"/>
          <w:lang w:val="de-DE"/>
        </w:rPr>
        <w:t>J＝[B×C×(1-D)/(1+G)]×G</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其中，</w:t>
      </w:r>
      <w:r w:rsidRPr="00C86E67">
        <w:rPr>
          <w:rFonts w:asciiTheme="minorEastAsia" w:eastAsiaTheme="minorEastAsia" w:hAnsiTheme="minorEastAsia"/>
          <w:color w:val="000000" w:themeColor="text1"/>
        </w:rPr>
        <w:t>A</w:t>
      </w:r>
      <w:r w:rsidRPr="00C86E67">
        <w:rPr>
          <w:rFonts w:asciiTheme="minorEastAsia" w:eastAsiaTheme="minorEastAsia" w:hAnsiTheme="minorEastAsia" w:hint="eastAsia"/>
          <w:color w:val="000000" w:themeColor="text1"/>
        </w:rPr>
        <w:t>为转入的基金份额；</w:t>
      </w:r>
      <w:r w:rsidRPr="00C86E67">
        <w:rPr>
          <w:rFonts w:asciiTheme="minorEastAsia" w:eastAsiaTheme="minorEastAsia" w:hAnsiTheme="minorEastAsia"/>
          <w:color w:val="000000" w:themeColor="text1"/>
        </w:rPr>
        <w:t>B</w:t>
      </w:r>
      <w:r w:rsidRPr="00C86E67">
        <w:rPr>
          <w:rFonts w:asciiTheme="minorEastAsia" w:eastAsiaTheme="minorEastAsia" w:hAnsiTheme="minorEastAsia" w:hint="eastAsia"/>
          <w:color w:val="000000" w:themeColor="text1"/>
        </w:rPr>
        <w:t>为转出的基金份额；</w:t>
      </w:r>
      <w:r w:rsidRPr="00C86E67">
        <w:rPr>
          <w:rFonts w:asciiTheme="minorEastAsia" w:eastAsiaTheme="minorEastAsia" w:hAnsiTheme="minorEastAsia"/>
          <w:color w:val="000000" w:themeColor="text1"/>
        </w:rPr>
        <w:t>C</w:t>
      </w:r>
      <w:r w:rsidRPr="00C86E67">
        <w:rPr>
          <w:rFonts w:asciiTheme="minorEastAsia" w:eastAsiaTheme="minorEastAsia" w:hAnsiTheme="minorEastAsia" w:hint="eastAsia"/>
          <w:color w:val="000000" w:themeColor="text1"/>
        </w:rPr>
        <w:t>为转换申请当日转出基金的基金份额净值；</w:t>
      </w:r>
      <w:r w:rsidRPr="00C86E67">
        <w:rPr>
          <w:rFonts w:asciiTheme="minorEastAsia" w:eastAsiaTheme="minorEastAsia" w:hAnsiTheme="minorEastAsia"/>
          <w:color w:val="000000" w:themeColor="text1"/>
        </w:rPr>
        <w:t>D</w:t>
      </w:r>
      <w:r w:rsidRPr="00C86E67">
        <w:rPr>
          <w:rFonts w:asciiTheme="minorEastAsia" w:eastAsiaTheme="minorEastAsia" w:hAnsiTheme="minorEastAsia" w:hint="eastAsia"/>
          <w:color w:val="000000" w:themeColor="text1"/>
        </w:rPr>
        <w:t>为转出基金的对应赎回费率，</w:t>
      </w:r>
      <w:r w:rsidRPr="00C86E67">
        <w:rPr>
          <w:rFonts w:asciiTheme="minorEastAsia" w:eastAsiaTheme="minorEastAsia" w:hAnsiTheme="minorEastAsia"/>
          <w:color w:val="000000" w:themeColor="text1"/>
        </w:rPr>
        <w:t>G</w:t>
      </w:r>
      <w:r w:rsidRPr="00C86E67">
        <w:rPr>
          <w:rFonts w:asciiTheme="minorEastAsia" w:eastAsiaTheme="minorEastAsia" w:hAnsiTheme="minorEastAsia" w:hint="eastAsia"/>
          <w:color w:val="000000" w:themeColor="text1"/>
        </w:rPr>
        <w:t>为对应的申购补差费率；</w:t>
      </w:r>
      <w:r w:rsidRPr="00C86E67">
        <w:rPr>
          <w:rFonts w:asciiTheme="minorEastAsia" w:eastAsiaTheme="minorEastAsia" w:hAnsiTheme="minorEastAsia"/>
          <w:color w:val="000000" w:themeColor="text1"/>
        </w:rPr>
        <w:t>E</w:t>
      </w:r>
      <w:r w:rsidRPr="00C86E67">
        <w:rPr>
          <w:rFonts w:asciiTheme="minorEastAsia" w:eastAsiaTheme="minorEastAsia" w:hAnsiTheme="minorEastAsia" w:hint="eastAsia"/>
          <w:color w:val="000000" w:themeColor="text1"/>
        </w:rPr>
        <w:t>为转换申请当日转入基金的基金份额净值；</w:t>
      </w:r>
      <w:r w:rsidRPr="00C86E67" w:rsidR="003C78BB">
        <w:rPr>
          <w:rFonts w:asciiTheme="minorEastAsia" w:eastAsiaTheme="minorEastAsia" w:hAnsiTheme="minorEastAsia" w:hint="eastAsia"/>
          <w:color w:val="000000" w:themeColor="text1"/>
        </w:rPr>
        <w:t>F为货币市场基金全部转出时注册登记机构已支付的未付收益</w:t>
      </w:r>
      <w:r w:rsidRPr="00C86E67">
        <w:rPr>
          <w:rFonts w:asciiTheme="minorEastAsia" w:eastAsiaTheme="minorEastAsia" w:hAnsiTheme="minorEastAsia" w:hint="eastAsia"/>
          <w:color w:val="000000" w:themeColor="text1"/>
          <w:szCs w:val="21"/>
        </w:rPr>
        <w:t>；H为转出基金赎回费；J为申购补差费</w:t>
      </w:r>
      <w:r w:rsidRPr="00C86E67">
        <w:rPr>
          <w:rFonts w:asciiTheme="minorEastAsia" w:eastAsiaTheme="minorEastAsia" w:hAnsiTheme="minorEastAsia" w:hint="eastAsia"/>
          <w:color w:val="000000" w:themeColor="text1"/>
        </w:rPr>
        <w:t>。</w:t>
      </w:r>
    </w:p>
    <w:p w:rsidR="003C78BB"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基金转换费用由转出基金赎回费用及基金申购补差费用构成。</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转入基金时，从申购费用低的基金向申购费用高的基金转换时，每次收取申购补差费用；从申购费用高的基金向申购费用低的基金转换时，不收取申购补差费用</w:t>
      </w:r>
      <w:r w:rsidRPr="00C86E67" w:rsidR="00F0766E">
        <w:rPr>
          <w:rFonts w:asciiTheme="minorEastAsia" w:eastAsiaTheme="minorEastAsia" w:hAnsiTheme="minorEastAsia" w:hint="eastAsia"/>
          <w:color w:val="000000" w:themeColor="text1"/>
          <w:szCs w:val="21"/>
        </w:rPr>
        <w:t>（</w:t>
      </w:r>
      <w:r w:rsidRPr="00C86E67" w:rsidR="00B47065">
        <w:rPr>
          <w:rFonts w:asciiTheme="minorEastAsia" w:eastAsiaTheme="minorEastAsia" w:hAnsiTheme="minorEastAsia" w:hint="eastAsia"/>
          <w:color w:val="000000" w:themeColor="text1"/>
          <w:kern w:val="0"/>
          <w:szCs w:val="21"/>
        </w:rPr>
        <w:t>注：对通过直销中心申购实施差别申购费率的投资群体基金份额的申购费，以除上述投资群体之外的其他投资者申购费为比较标准</w:t>
      </w:r>
      <w:r w:rsidRPr="00C86E67" w:rsidR="00F0766E">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rPr>
        <w:t>。申购补差费用按照转换金额对应的转出基金与转入基金的申购费率差额进行补差，具体收取情况视每次转换时两只基金的申购费率的差异情况而定并见相关公告。</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3、转出基金时，如涉及的转出基金有赎回费用，收取该基金的赎回费用。收取的赎回费按照</w:t>
      </w:r>
      <w:r w:rsidRPr="00C86E67" w:rsidR="00AC798E">
        <w:rPr>
          <w:rFonts w:asciiTheme="minorEastAsia" w:eastAsiaTheme="minorEastAsia" w:hAnsiTheme="minorEastAsia" w:hint="eastAsia"/>
          <w:color w:val="000000" w:themeColor="text1"/>
        </w:rPr>
        <w:t>各基金</w:t>
      </w:r>
      <w:r w:rsidRPr="00C86E67" w:rsidR="00AC798E">
        <w:rPr>
          <w:rFonts w:asciiTheme="minorEastAsia" w:eastAsiaTheme="minorEastAsia" w:hAnsiTheme="minorEastAsia"/>
          <w:color w:val="000000" w:themeColor="text1"/>
        </w:rPr>
        <w:t>的</w:t>
      </w:r>
      <w:r w:rsidRPr="00C86E67">
        <w:rPr>
          <w:rFonts w:asciiTheme="minorEastAsia" w:eastAsiaTheme="minorEastAsia" w:hAnsiTheme="minorEastAsia" w:hint="eastAsia"/>
          <w:color w:val="000000" w:themeColor="text1"/>
        </w:rPr>
        <w:t>基金合同、更新的招募说明书及最新的相关公告约定的比例归入基金财产，其余部分用于支付注册登记费等相关手续费。</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4、投资者可以发起多次基金转换业务，基金转换费用按每笔申请单独计算。</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举例说明</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假定某投资者</w:t>
      </w:r>
      <w:r w:rsidRPr="00C86E67" w:rsidR="00601FFA">
        <w:rPr>
          <w:rFonts w:asciiTheme="minorEastAsia" w:eastAsiaTheme="minorEastAsia" w:hAnsiTheme="minorEastAsia" w:hint="eastAsia"/>
          <w:color w:val="000000" w:themeColor="text1"/>
          <w:szCs w:val="21"/>
        </w:rPr>
        <w:t>（</w:t>
      </w:r>
      <w:r w:rsidRPr="00C86E67" w:rsidR="00B47065">
        <w:rPr>
          <w:rFonts w:asciiTheme="minorEastAsia" w:eastAsiaTheme="minorEastAsia" w:hAnsiTheme="minorEastAsia" w:hint="eastAsia"/>
          <w:color w:val="000000" w:themeColor="text1"/>
          <w:szCs w:val="21"/>
        </w:rPr>
        <w:t>其他投资者</w:t>
      </w:r>
      <w:r w:rsidRPr="00C86E67" w:rsidR="00601FFA">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在T日转出10,000份易方达价值成长混合型基金至</w:t>
      </w:r>
      <w:r w:rsidRPr="00C86E67">
        <w:rPr>
          <w:rFonts w:asciiTheme="minorEastAsia" w:eastAsiaTheme="minorEastAsia" w:hAnsiTheme="minorEastAsia"/>
          <w:color w:val="000000" w:themeColor="text1"/>
          <w:szCs w:val="21"/>
        </w:rPr>
        <w:t>易方达策略成长二号混合型基金</w:t>
      </w:r>
      <w:r w:rsidRPr="00C86E67">
        <w:rPr>
          <w:rFonts w:asciiTheme="minorEastAsia" w:eastAsiaTheme="minorEastAsia" w:hAnsiTheme="minorEastAsia" w:hint="eastAsia"/>
          <w:color w:val="000000" w:themeColor="text1"/>
          <w:szCs w:val="21"/>
        </w:rPr>
        <w:t>份额，转出基金T日的基金份额净值为1.1000元，转入</w:t>
      </w:r>
      <w:r w:rsidRPr="00C86E67">
        <w:rPr>
          <w:rFonts w:asciiTheme="minorEastAsia" w:eastAsiaTheme="minorEastAsia" w:hAnsiTheme="minorEastAsia"/>
          <w:color w:val="000000" w:themeColor="text1"/>
          <w:szCs w:val="21"/>
        </w:rPr>
        <w:t>易方达策略成长二号混合型基金</w:t>
      </w:r>
      <w:r w:rsidRPr="00C86E67">
        <w:rPr>
          <w:rFonts w:asciiTheme="minorEastAsia" w:eastAsiaTheme="minorEastAsia" w:hAnsiTheme="minorEastAsia" w:hint="eastAsia"/>
          <w:color w:val="000000" w:themeColor="text1"/>
          <w:szCs w:val="21"/>
        </w:rPr>
        <w:t>T日的基金份额净值为1.020元，假设该转出基金的赎回费率为0.5%，申购补差费率为0.5%，则可获得转入基金的</w:t>
      </w:r>
      <w:r w:rsidRPr="00C86E67">
        <w:rPr>
          <w:rFonts w:asciiTheme="minorEastAsia" w:eastAsiaTheme="minorEastAsia" w:hAnsiTheme="minorEastAsia"/>
          <w:color w:val="000000" w:themeColor="text1"/>
          <w:szCs w:val="21"/>
        </w:rPr>
        <w:t>易方达策略成长二号混合型基金</w:t>
      </w:r>
      <w:r w:rsidRPr="00C86E67">
        <w:rPr>
          <w:rFonts w:asciiTheme="minorEastAsia" w:eastAsiaTheme="minorEastAsia" w:hAnsiTheme="minorEastAsia" w:hint="eastAsia"/>
          <w:color w:val="000000" w:themeColor="text1"/>
          <w:szCs w:val="21"/>
        </w:rPr>
        <w:t>基金份额计算如下：</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转换</w:t>
      </w:r>
      <w:r w:rsidRPr="00C86E67">
        <w:rPr>
          <w:rFonts w:asciiTheme="minorEastAsia" w:eastAsiaTheme="minorEastAsia" w:hAnsiTheme="minorEastAsia"/>
          <w:color w:val="000000" w:themeColor="text1"/>
          <w:szCs w:val="21"/>
        </w:rPr>
        <w:t>金额＝转出基金申请份额×转出基金份额净值=10</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000×1</w:t>
      </w:r>
      <w:r w:rsidRPr="00C86E67">
        <w:rPr>
          <w:rFonts w:asciiTheme="minorEastAsia" w:eastAsiaTheme="minorEastAsia" w:hAnsiTheme="minorEastAsia" w:hint="eastAsia"/>
          <w:color w:val="000000" w:themeColor="text1"/>
          <w:szCs w:val="21"/>
        </w:rPr>
        <w:t>.1000</w:t>
      </w:r>
      <w:r w:rsidRPr="00C86E67">
        <w:rPr>
          <w:rFonts w:asciiTheme="minorEastAsia" w:eastAsiaTheme="minorEastAsia" w:hAnsiTheme="minorEastAsia"/>
          <w:color w:val="000000" w:themeColor="text1"/>
          <w:szCs w:val="21"/>
        </w:rPr>
        <w:t>＝1</w:t>
      </w: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000</w:t>
      </w:r>
      <w:r w:rsidRPr="00C86E67">
        <w:rPr>
          <w:rFonts w:asciiTheme="minorEastAsia" w:eastAsiaTheme="minorEastAsia" w:hAnsiTheme="minorEastAsia" w:hint="eastAsia"/>
          <w:color w:val="000000" w:themeColor="text1"/>
          <w:szCs w:val="21"/>
        </w:rPr>
        <w:t>.00</w:t>
      </w:r>
      <w:r w:rsidRPr="00C86E67">
        <w:rPr>
          <w:rFonts w:asciiTheme="minorEastAsia" w:eastAsiaTheme="minorEastAsia" w:hAnsiTheme="minorEastAsia"/>
          <w:color w:val="000000" w:themeColor="text1"/>
          <w:szCs w:val="21"/>
        </w:rPr>
        <w:t>元</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转出基金</w:t>
      </w:r>
      <w:r w:rsidRPr="00C86E67">
        <w:rPr>
          <w:rFonts w:asciiTheme="minorEastAsia" w:eastAsiaTheme="minorEastAsia" w:hAnsiTheme="minorEastAsia"/>
          <w:color w:val="000000" w:themeColor="text1"/>
          <w:szCs w:val="21"/>
        </w:rPr>
        <w:t>赎回费＝</w:t>
      </w:r>
      <w:r w:rsidRPr="00C86E67">
        <w:rPr>
          <w:rFonts w:asciiTheme="minorEastAsia" w:eastAsiaTheme="minorEastAsia" w:hAnsiTheme="minorEastAsia" w:hint="eastAsia"/>
          <w:color w:val="000000" w:themeColor="text1"/>
          <w:szCs w:val="21"/>
        </w:rPr>
        <w:t>转换</w:t>
      </w:r>
      <w:r w:rsidRPr="00C86E67">
        <w:rPr>
          <w:rFonts w:asciiTheme="minorEastAsia" w:eastAsiaTheme="minorEastAsia" w:hAnsiTheme="minorEastAsia"/>
          <w:color w:val="000000" w:themeColor="text1"/>
          <w:szCs w:val="21"/>
        </w:rPr>
        <w:t>金额×</w:t>
      </w:r>
      <w:r w:rsidRPr="00C86E67">
        <w:rPr>
          <w:rFonts w:asciiTheme="minorEastAsia" w:eastAsiaTheme="minorEastAsia" w:hAnsiTheme="minorEastAsia" w:hint="eastAsia"/>
          <w:color w:val="000000" w:themeColor="text1"/>
          <w:szCs w:val="21"/>
        </w:rPr>
        <w:t>转出基金</w:t>
      </w:r>
      <w:r w:rsidRPr="00C86E67">
        <w:rPr>
          <w:rFonts w:asciiTheme="minorEastAsia" w:eastAsiaTheme="minorEastAsia" w:hAnsiTheme="minorEastAsia"/>
          <w:color w:val="000000" w:themeColor="text1"/>
          <w:szCs w:val="21"/>
        </w:rPr>
        <w:t>赎回费率</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1</w:t>
      </w: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000</w:t>
      </w:r>
      <w:r w:rsidRPr="00C86E67">
        <w:rPr>
          <w:rFonts w:asciiTheme="minorEastAsia" w:eastAsiaTheme="minorEastAsia" w:hAnsiTheme="minorEastAsia" w:hint="eastAsia"/>
          <w:color w:val="000000" w:themeColor="text1"/>
          <w:szCs w:val="21"/>
        </w:rPr>
        <w:t>.00</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0.5%=55.00元</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申购</w:t>
      </w:r>
      <w:r w:rsidRPr="00C86E67">
        <w:rPr>
          <w:rFonts w:asciiTheme="minorEastAsia" w:eastAsiaTheme="minorEastAsia" w:hAnsiTheme="minorEastAsia"/>
          <w:color w:val="000000" w:themeColor="text1"/>
          <w:szCs w:val="21"/>
        </w:rPr>
        <w:t>补差费</w:t>
      </w:r>
      <w:r w:rsidRPr="00C86E67">
        <w:rPr>
          <w:rFonts w:asciiTheme="minorEastAsia" w:eastAsiaTheme="minorEastAsia" w:hAnsiTheme="minorEastAsia" w:hint="eastAsia"/>
          <w:color w:val="000000" w:themeColor="text1"/>
          <w:szCs w:val="21"/>
        </w:rPr>
        <w:t>=（转换</w:t>
      </w:r>
      <w:r w:rsidRPr="00C86E67">
        <w:rPr>
          <w:rFonts w:asciiTheme="minorEastAsia" w:eastAsiaTheme="minorEastAsia" w:hAnsiTheme="minorEastAsia"/>
          <w:color w:val="000000" w:themeColor="text1"/>
          <w:szCs w:val="21"/>
        </w:rPr>
        <w:t>金额</w:t>
      </w:r>
      <w:r w:rsidRPr="00C86E67">
        <w:rPr>
          <w:rFonts w:asciiTheme="minorEastAsia" w:eastAsiaTheme="minorEastAsia" w:hAnsiTheme="minorEastAsia" w:hint="eastAsia"/>
          <w:color w:val="000000" w:themeColor="text1"/>
          <w:szCs w:val="21"/>
        </w:rPr>
        <w:t>—转出基金</w:t>
      </w:r>
      <w:r w:rsidRPr="00C86E67">
        <w:rPr>
          <w:rFonts w:asciiTheme="minorEastAsia" w:eastAsiaTheme="minorEastAsia" w:hAnsiTheme="minorEastAsia"/>
          <w:color w:val="000000" w:themeColor="text1"/>
          <w:szCs w:val="21"/>
        </w:rPr>
        <w:t>赎回费</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申购</w:t>
      </w:r>
      <w:r w:rsidRPr="00C86E67">
        <w:rPr>
          <w:rFonts w:asciiTheme="minorEastAsia" w:eastAsiaTheme="minorEastAsia" w:hAnsiTheme="minorEastAsia"/>
          <w:color w:val="000000" w:themeColor="text1"/>
          <w:szCs w:val="21"/>
        </w:rPr>
        <w:t>补差费率÷（１＋</w:t>
      </w:r>
      <w:r w:rsidRPr="00C86E67">
        <w:rPr>
          <w:rFonts w:asciiTheme="minorEastAsia" w:eastAsiaTheme="minorEastAsia" w:hAnsiTheme="minorEastAsia" w:hint="eastAsia"/>
          <w:color w:val="000000" w:themeColor="text1"/>
          <w:szCs w:val="21"/>
        </w:rPr>
        <w:t>申购</w:t>
      </w:r>
      <w:r w:rsidRPr="00C86E67">
        <w:rPr>
          <w:rFonts w:asciiTheme="minorEastAsia" w:eastAsiaTheme="minorEastAsia" w:hAnsiTheme="minorEastAsia"/>
          <w:color w:val="000000" w:themeColor="text1"/>
          <w:szCs w:val="21"/>
        </w:rPr>
        <w:t>补差费率）</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1</w:t>
      </w: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000</w:t>
      </w:r>
      <w:r w:rsidRPr="00C86E67">
        <w:rPr>
          <w:rFonts w:asciiTheme="minorEastAsia" w:eastAsiaTheme="minorEastAsia" w:hAnsiTheme="minorEastAsia" w:hint="eastAsia"/>
          <w:color w:val="000000" w:themeColor="text1"/>
          <w:szCs w:val="21"/>
        </w:rPr>
        <w:t>.00-55.00）</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0.5%</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(1+0.5%)=54.45元</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转换费＝转出基金赎回费+申购补差费=</w:t>
      </w:r>
      <w:r w:rsidRPr="00C86E67">
        <w:rPr>
          <w:rFonts w:asciiTheme="minorEastAsia" w:eastAsiaTheme="minorEastAsia" w:hAnsiTheme="minorEastAsia" w:hint="eastAsia"/>
          <w:color w:val="000000" w:themeColor="text1"/>
          <w:szCs w:val="21"/>
        </w:rPr>
        <w:t>55.00</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54.45</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109.45元</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转入金额=转换</w:t>
      </w:r>
      <w:r w:rsidRPr="00C86E67">
        <w:rPr>
          <w:rFonts w:asciiTheme="minorEastAsia" w:eastAsiaTheme="minorEastAsia" w:hAnsiTheme="minorEastAsia"/>
          <w:color w:val="000000" w:themeColor="text1"/>
          <w:szCs w:val="21"/>
        </w:rPr>
        <w:t>金额</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转换费</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1</w:t>
      </w: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000</w:t>
      </w:r>
      <w:r w:rsidRPr="00C86E67">
        <w:rPr>
          <w:rFonts w:asciiTheme="minorEastAsia" w:eastAsiaTheme="minorEastAsia" w:hAnsiTheme="minorEastAsia" w:hint="eastAsia"/>
          <w:color w:val="000000" w:themeColor="text1"/>
          <w:szCs w:val="21"/>
        </w:rPr>
        <w:t>.00-109.45=10,890.55元</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转入份额=转入金额</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转入基金份额净值=10,890.55</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1.020=10,677.01份</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0"/>
        <w:gridCol w:w="1440"/>
        <w:gridCol w:w="1260"/>
        <w:gridCol w:w="1080"/>
        <w:gridCol w:w="1440"/>
        <w:gridCol w:w="1185"/>
        <w:gridCol w:w="1335"/>
      </w:tblGrid>
      <w:tr w:rsidTr="00717BE1">
        <w:tblPrEx>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13"/>
        </w:trPr>
        <w:tc>
          <w:tcPr>
            <w:tcW w:w="1080" w:type="dxa"/>
            <w:vMerge w:val="restart"/>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转出</w:t>
            </w:r>
            <w:r w:rsidRPr="00C86E67">
              <w:rPr>
                <w:rFonts w:asciiTheme="minorEastAsia" w:eastAsiaTheme="minorEastAsia" w:hAnsiTheme="minorEastAsia"/>
                <w:color w:val="000000" w:themeColor="text1"/>
                <w:szCs w:val="21"/>
              </w:rPr>
              <w:t>份额</w:t>
            </w:r>
          </w:p>
        </w:tc>
        <w:tc>
          <w:tcPr>
            <w:tcW w:w="900" w:type="dxa"/>
            <w:vMerge w:val="restart"/>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转出</w:t>
            </w:r>
            <w:r w:rsidRPr="00C86E67">
              <w:rPr>
                <w:rFonts w:asciiTheme="minorEastAsia" w:eastAsiaTheme="minorEastAsia" w:hAnsiTheme="minorEastAsia"/>
                <w:color w:val="000000" w:themeColor="text1"/>
                <w:szCs w:val="21"/>
              </w:rPr>
              <w:t>基金</w:t>
            </w:r>
            <w:r w:rsidRPr="00C86E67">
              <w:rPr>
                <w:rFonts w:asciiTheme="minorEastAsia" w:eastAsiaTheme="minorEastAsia" w:hAnsiTheme="minorEastAsia" w:hint="eastAsia"/>
                <w:color w:val="000000" w:themeColor="text1"/>
                <w:szCs w:val="21"/>
              </w:rPr>
              <w:t>份额</w:t>
            </w:r>
            <w:r w:rsidRPr="00C86E67">
              <w:rPr>
                <w:rFonts w:asciiTheme="minorEastAsia" w:eastAsiaTheme="minorEastAsia" w:hAnsiTheme="minorEastAsia"/>
                <w:color w:val="000000" w:themeColor="text1"/>
                <w:szCs w:val="21"/>
              </w:rPr>
              <w:t>净值</w:t>
            </w:r>
          </w:p>
        </w:tc>
        <w:tc>
          <w:tcPr>
            <w:tcW w:w="1440" w:type="dxa"/>
            <w:vMerge w:val="restart"/>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转换金额</w:t>
            </w:r>
          </w:p>
        </w:tc>
        <w:tc>
          <w:tcPr>
            <w:tcW w:w="2340" w:type="dxa"/>
            <w:gridSpan w:val="2"/>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转换费</w:t>
            </w:r>
          </w:p>
        </w:tc>
        <w:tc>
          <w:tcPr>
            <w:tcW w:w="1440" w:type="dxa"/>
            <w:vMerge w:val="restart"/>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转入金额</w:t>
            </w:r>
          </w:p>
        </w:tc>
        <w:tc>
          <w:tcPr>
            <w:tcW w:w="1185" w:type="dxa"/>
            <w:vMerge w:val="restart"/>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转入</w:t>
            </w:r>
            <w:r w:rsidRPr="00C86E67">
              <w:rPr>
                <w:rFonts w:asciiTheme="minorEastAsia" w:eastAsiaTheme="minorEastAsia" w:hAnsiTheme="minorEastAsia"/>
                <w:color w:val="000000" w:themeColor="text1"/>
                <w:szCs w:val="21"/>
              </w:rPr>
              <w:t>基金</w:t>
            </w:r>
            <w:r w:rsidRPr="00C86E67">
              <w:rPr>
                <w:rFonts w:asciiTheme="minorEastAsia" w:eastAsiaTheme="minorEastAsia" w:hAnsiTheme="minorEastAsia" w:hint="eastAsia"/>
                <w:color w:val="000000" w:themeColor="text1"/>
                <w:szCs w:val="21"/>
              </w:rPr>
              <w:t>份额</w:t>
            </w:r>
            <w:r w:rsidRPr="00C86E67">
              <w:rPr>
                <w:rFonts w:asciiTheme="minorEastAsia" w:eastAsiaTheme="minorEastAsia" w:hAnsiTheme="minorEastAsia"/>
                <w:color w:val="000000" w:themeColor="text1"/>
                <w:szCs w:val="21"/>
              </w:rPr>
              <w:t>净值</w:t>
            </w:r>
          </w:p>
        </w:tc>
        <w:tc>
          <w:tcPr>
            <w:tcW w:w="1335" w:type="dxa"/>
            <w:vMerge w:val="restart"/>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转入份额</w:t>
            </w:r>
          </w:p>
        </w:tc>
      </w:tr>
      <w:tr w:rsidTr="00717BE1">
        <w:tblPrEx>
          <w:tblW w:w="9720" w:type="dxa"/>
          <w:tblLayout w:type="fixed"/>
          <w:tblLook w:val="0000"/>
        </w:tblPrEx>
        <w:trPr>
          <w:trHeight w:val="412"/>
        </w:trPr>
        <w:tc>
          <w:tcPr>
            <w:tcW w:w="1080" w:type="dxa"/>
            <w:vMerge/>
          </w:tcPr>
          <w:p w:rsidR="00C35BC5" w:rsidRPr="00C86E67" w:rsidP="00552BE1">
            <w:pPr>
              <w:snapToGrid w:val="0"/>
              <w:spacing w:line="360" w:lineRule="auto"/>
              <w:ind w:firstLine="420"/>
              <w:rPr>
                <w:rFonts w:asciiTheme="minorEastAsia" w:eastAsiaTheme="minorEastAsia" w:hAnsiTheme="minorEastAsia"/>
                <w:color w:val="000000" w:themeColor="text1"/>
                <w:szCs w:val="21"/>
              </w:rPr>
            </w:pPr>
          </w:p>
        </w:tc>
        <w:tc>
          <w:tcPr>
            <w:tcW w:w="900" w:type="dxa"/>
            <w:vMerge/>
          </w:tcPr>
          <w:p w:rsidR="00C35BC5" w:rsidRPr="00C86E67" w:rsidP="00552BE1">
            <w:pPr>
              <w:snapToGrid w:val="0"/>
              <w:spacing w:line="360" w:lineRule="auto"/>
              <w:ind w:firstLine="420"/>
              <w:rPr>
                <w:rFonts w:asciiTheme="minorEastAsia" w:eastAsiaTheme="minorEastAsia" w:hAnsiTheme="minorEastAsia"/>
                <w:color w:val="000000" w:themeColor="text1"/>
                <w:szCs w:val="21"/>
              </w:rPr>
            </w:pPr>
          </w:p>
        </w:tc>
        <w:tc>
          <w:tcPr>
            <w:tcW w:w="1440" w:type="dxa"/>
            <w:vMerge/>
          </w:tcPr>
          <w:p w:rsidR="00C35BC5" w:rsidRPr="00C86E67" w:rsidP="00552BE1">
            <w:pPr>
              <w:snapToGrid w:val="0"/>
              <w:spacing w:line="360" w:lineRule="auto"/>
              <w:ind w:firstLine="420"/>
              <w:rPr>
                <w:rFonts w:asciiTheme="minorEastAsia" w:eastAsiaTheme="minorEastAsia" w:hAnsiTheme="minorEastAsia"/>
                <w:color w:val="000000" w:themeColor="text1"/>
                <w:szCs w:val="21"/>
              </w:rPr>
            </w:pPr>
          </w:p>
        </w:tc>
        <w:tc>
          <w:tcPr>
            <w:tcW w:w="1260" w:type="dxa"/>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转出基金</w:t>
            </w:r>
            <w:r w:rsidRPr="00C86E67">
              <w:rPr>
                <w:rFonts w:asciiTheme="minorEastAsia" w:eastAsiaTheme="minorEastAsia" w:hAnsiTheme="minorEastAsia"/>
                <w:color w:val="000000" w:themeColor="text1"/>
                <w:szCs w:val="21"/>
              </w:rPr>
              <w:t>赎回费</w:t>
            </w:r>
          </w:p>
        </w:tc>
        <w:tc>
          <w:tcPr>
            <w:tcW w:w="1080" w:type="dxa"/>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申购</w:t>
            </w:r>
            <w:r w:rsidRPr="00C86E67">
              <w:rPr>
                <w:rFonts w:asciiTheme="minorEastAsia" w:eastAsiaTheme="minorEastAsia" w:hAnsiTheme="minorEastAsia"/>
                <w:color w:val="000000" w:themeColor="text1"/>
                <w:szCs w:val="21"/>
              </w:rPr>
              <w:t>补差费</w:t>
            </w:r>
          </w:p>
        </w:tc>
        <w:tc>
          <w:tcPr>
            <w:tcW w:w="1440" w:type="dxa"/>
            <w:vMerge/>
          </w:tcPr>
          <w:p w:rsidR="00C35BC5" w:rsidRPr="00C86E67" w:rsidP="00552BE1">
            <w:pPr>
              <w:snapToGrid w:val="0"/>
              <w:spacing w:line="360" w:lineRule="auto"/>
              <w:ind w:firstLine="420"/>
              <w:rPr>
                <w:rFonts w:asciiTheme="minorEastAsia" w:eastAsiaTheme="minorEastAsia" w:hAnsiTheme="minorEastAsia"/>
                <w:color w:val="000000" w:themeColor="text1"/>
                <w:szCs w:val="21"/>
              </w:rPr>
            </w:pPr>
          </w:p>
        </w:tc>
        <w:tc>
          <w:tcPr>
            <w:tcW w:w="1185" w:type="dxa"/>
            <w:vMerge/>
          </w:tcPr>
          <w:p w:rsidR="00C35BC5" w:rsidRPr="00C86E67" w:rsidP="00552BE1">
            <w:pPr>
              <w:snapToGrid w:val="0"/>
              <w:spacing w:line="360" w:lineRule="auto"/>
              <w:ind w:firstLine="420"/>
              <w:rPr>
                <w:rFonts w:asciiTheme="minorEastAsia" w:eastAsiaTheme="minorEastAsia" w:hAnsiTheme="minorEastAsia"/>
                <w:color w:val="000000" w:themeColor="text1"/>
                <w:szCs w:val="21"/>
              </w:rPr>
            </w:pPr>
          </w:p>
        </w:tc>
        <w:tc>
          <w:tcPr>
            <w:tcW w:w="1335" w:type="dxa"/>
            <w:vMerge/>
          </w:tcPr>
          <w:p w:rsidR="00C35BC5" w:rsidRPr="00C86E67" w:rsidP="00552BE1">
            <w:pPr>
              <w:snapToGrid w:val="0"/>
              <w:spacing w:line="360" w:lineRule="auto"/>
              <w:ind w:firstLine="420"/>
              <w:rPr>
                <w:rFonts w:asciiTheme="minorEastAsia" w:eastAsiaTheme="minorEastAsia" w:hAnsiTheme="minorEastAsia"/>
                <w:color w:val="000000" w:themeColor="text1"/>
                <w:szCs w:val="21"/>
              </w:rPr>
            </w:pPr>
          </w:p>
        </w:tc>
      </w:tr>
      <w:tr w:rsidTr="00717BE1">
        <w:tblPrEx>
          <w:tblW w:w="9720" w:type="dxa"/>
          <w:tblLayout w:type="fixed"/>
          <w:tblLook w:val="0000"/>
        </w:tblPrEx>
        <w:tc>
          <w:tcPr>
            <w:tcW w:w="1080" w:type="dxa"/>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10,000</w:t>
            </w:r>
            <w:r w:rsidRPr="00C86E67">
              <w:rPr>
                <w:rFonts w:asciiTheme="minorEastAsia" w:eastAsiaTheme="minorEastAsia" w:hAnsiTheme="minorEastAsia" w:hint="eastAsia"/>
                <w:color w:val="000000" w:themeColor="text1"/>
                <w:szCs w:val="21"/>
              </w:rPr>
              <w:t>份</w:t>
            </w:r>
          </w:p>
        </w:tc>
        <w:tc>
          <w:tcPr>
            <w:tcW w:w="900" w:type="dxa"/>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w:t>
            </w: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0</w:t>
            </w:r>
            <w:r w:rsidRPr="00C86E67">
              <w:rPr>
                <w:rFonts w:asciiTheme="minorEastAsia" w:eastAsiaTheme="minorEastAsia" w:hAnsiTheme="minorEastAsia" w:hint="eastAsia"/>
                <w:color w:val="000000" w:themeColor="text1"/>
                <w:szCs w:val="21"/>
              </w:rPr>
              <w:t>00</w:t>
            </w:r>
            <w:r w:rsidRPr="00C86E67">
              <w:rPr>
                <w:rFonts w:asciiTheme="minorEastAsia" w:eastAsiaTheme="minorEastAsia" w:hAnsiTheme="minorEastAsia"/>
                <w:color w:val="000000" w:themeColor="text1"/>
                <w:szCs w:val="21"/>
              </w:rPr>
              <w:t>元</w:t>
            </w:r>
          </w:p>
        </w:tc>
        <w:tc>
          <w:tcPr>
            <w:tcW w:w="1440" w:type="dxa"/>
          </w:tcPr>
          <w:p w:rsidR="00C35BC5" w:rsidRPr="00C86E67" w:rsidP="00552BE1">
            <w:pPr>
              <w:snapToGrid w:val="0"/>
              <w:spacing w:line="360" w:lineRule="auto"/>
              <w:ind w:hanging="3"/>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11,000.00元</w:t>
            </w:r>
          </w:p>
        </w:tc>
        <w:tc>
          <w:tcPr>
            <w:tcW w:w="1260" w:type="dxa"/>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55.00元</w:t>
            </w:r>
          </w:p>
        </w:tc>
        <w:tc>
          <w:tcPr>
            <w:tcW w:w="1080" w:type="dxa"/>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54.45元</w:t>
            </w:r>
          </w:p>
        </w:tc>
        <w:tc>
          <w:tcPr>
            <w:tcW w:w="1440" w:type="dxa"/>
          </w:tcPr>
          <w:p w:rsidR="00C35BC5" w:rsidRPr="00C86E67" w:rsidP="00552BE1">
            <w:pPr>
              <w:snapToGrid w:val="0"/>
              <w:spacing w:line="360" w:lineRule="auto"/>
              <w:ind w:hanging="3"/>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10,890.55元</w:t>
            </w:r>
          </w:p>
        </w:tc>
        <w:tc>
          <w:tcPr>
            <w:tcW w:w="1185" w:type="dxa"/>
          </w:tcPr>
          <w:p w:rsidR="00C35BC5" w:rsidRPr="00C86E67" w:rsidP="00552BE1">
            <w:pPr>
              <w:snapToGrid w:val="0"/>
              <w:spacing w:line="360" w:lineRule="auto"/>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1.020元</w:t>
            </w:r>
          </w:p>
        </w:tc>
        <w:tc>
          <w:tcPr>
            <w:tcW w:w="1335" w:type="dxa"/>
          </w:tcPr>
          <w:p w:rsidR="00C35BC5" w:rsidRPr="00C86E67" w:rsidP="00552BE1">
            <w:pPr>
              <w:snapToGrid w:val="0"/>
              <w:spacing w:line="360" w:lineRule="auto"/>
              <w:ind w:hanging="3"/>
              <w:jc w:val="cente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10,677.01份</w:t>
            </w:r>
          </w:p>
        </w:tc>
      </w:tr>
    </w:tbl>
    <w:p w:rsidR="003131CE" w:rsidRPr="00C86E67" w:rsidP="0013519A">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C35BC5" w:rsidRPr="00C86E67" w:rsidP="00B5132A">
      <w:pPr>
        <w:pStyle w:val="Heading2"/>
        <w:snapToGrid w:val="0"/>
        <w:spacing w:beforeLines="0" w:afterLines="0" w:line="360" w:lineRule="auto"/>
        <w:ind w:firstLine="482"/>
        <w:rPr>
          <w:rFonts w:asciiTheme="minorEastAsia" w:eastAsiaTheme="minorEastAsia" w:hAnsiTheme="minorEastAsia"/>
          <w:color w:val="000000" w:themeColor="text1"/>
          <w:sz w:val="24"/>
          <w:szCs w:val="24"/>
        </w:rPr>
      </w:pPr>
      <w:bookmarkStart w:id="710" w:name="_Toc181426113"/>
      <w:bookmarkStart w:id="711" w:name="_Toc181440915"/>
      <w:bookmarkStart w:id="712" w:name="_Toc181441055"/>
      <w:bookmarkStart w:id="713" w:name="_Toc181441192"/>
      <w:bookmarkStart w:id="714" w:name="_Toc181441326"/>
      <w:bookmarkStart w:id="715" w:name="_Toc181441460"/>
      <w:bookmarkStart w:id="716" w:name="_Toc181426114"/>
      <w:bookmarkStart w:id="717" w:name="_Toc181440916"/>
      <w:bookmarkStart w:id="718" w:name="_Toc181441056"/>
      <w:bookmarkStart w:id="719" w:name="_Toc181441193"/>
      <w:bookmarkStart w:id="720" w:name="_Toc181441327"/>
      <w:bookmarkStart w:id="721" w:name="_Toc181441461"/>
      <w:bookmarkStart w:id="722" w:name="_Toc181426115"/>
      <w:bookmarkStart w:id="723" w:name="_Toc181440917"/>
      <w:bookmarkStart w:id="724" w:name="_Toc181441057"/>
      <w:bookmarkStart w:id="725" w:name="_Toc181441194"/>
      <w:bookmarkStart w:id="726" w:name="_Toc181441328"/>
      <w:bookmarkStart w:id="727" w:name="_Toc181441462"/>
      <w:bookmarkStart w:id="728" w:name="_Toc144109264"/>
      <w:bookmarkStart w:id="729" w:name="_Toc174274382"/>
      <w:bookmarkStart w:id="730" w:name="_Toc91764824"/>
      <w:bookmarkStart w:id="731" w:name="_Toc86560070"/>
      <w:bookmarkStart w:id="732" w:name="_Toc86635162"/>
      <w:bookmarkStart w:id="733" w:name="_Toc91335002"/>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C86E67">
        <w:rPr>
          <w:rFonts w:asciiTheme="minorEastAsia" w:eastAsiaTheme="minorEastAsia" w:hAnsiTheme="minorEastAsia" w:hint="eastAsia"/>
          <w:color w:val="000000" w:themeColor="text1"/>
          <w:sz w:val="24"/>
          <w:szCs w:val="24"/>
        </w:rPr>
        <w:t>（七）基金转换的注册登记</w:t>
      </w:r>
      <w:bookmarkEnd w:id="728"/>
      <w:bookmarkEnd w:id="729"/>
      <w:bookmarkEnd w:id="730"/>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基金管理人可在法律法规允许的范围内，对上述注册登记办理时间进行调整，并最迟于开始实施前三个工作日予以公告。</w:t>
      </w:r>
    </w:p>
    <w:p w:rsidR="00C35BC5" w:rsidRPr="00C86E67" w:rsidP="00B5132A">
      <w:pPr>
        <w:pStyle w:val="Heading2"/>
        <w:snapToGrid w:val="0"/>
        <w:spacing w:beforeLines="0" w:afterLines="0" w:line="360" w:lineRule="auto"/>
        <w:ind w:firstLine="482"/>
        <w:rPr>
          <w:rFonts w:asciiTheme="minorEastAsia" w:eastAsiaTheme="minorEastAsia" w:hAnsiTheme="minorEastAsia"/>
          <w:color w:val="000000" w:themeColor="text1"/>
          <w:sz w:val="24"/>
          <w:szCs w:val="24"/>
        </w:rPr>
      </w:pPr>
      <w:bookmarkStart w:id="734" w:name="_Toc144109265"/>
      <w:bookmarkStart w:id="735" w:name="_Toc174274383"/>
      <w:bookmarkStart w:id="736" w:name="_Toc91764825"/>
      <w:r w:rsidRPr="00C86E67">
        <w:rPr>
          <w:rFonts w:asciiTheme="minorEastAsia" w:eastAsiaTheme="minorEastAsia" w:hAnsiTheme="minorEastAsia" w:hint="eastAsia"/>
          <w:color w:val="000000" w:themeColor="text1"/>
          <w:sz w:val="24"/>
          <w:szCs w:val="24"/>
        </w:rPr>
        <w:t>（八）基金转换</w:t>
      </w:r>
      <w:r w:rsidRPr="00C86E67">
        <w:rPr>
          <w:rFonts w:asciiTheme="minorEastAsia" w:eastAsiaTheme="minorEastAsia" w:hAnsiTheme="minorEastAsia"/>
          <w:color w:val="000000" w:themeColor="text1"/>
          <w:sz w:val="24"/>
          <w:szCs w:val="24"/>
        </w:rPr>
        <w:t>与巨额赎回</w:t>
      </w:r>
      <w:bookmarkEnd w:id="734"/>
      <w:bookmarkEnd w:id="735"/>
      <w:bookmarkEnd w:id="736"/>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发生巨额赎回时，基金转出与基金赎回具有相同的优先级，基金管理人可根据基金资产组合情况，决定全额转出或部分转出，并且对于基金转出和基金赎回，将采取相同的比例确认（另有公告的除外）；在转出申请得到部分确认的情况下，未确认的转出申请将不予以顺延。</w:t>
      </w:r>
    </w:p>
    <w:p w:rsidR="00C35BC5" w:rsidRPr="00C86E67" w:rsidP="00B5132A">
      <w:pPr>
        <w:pStyle w:val="Heading2"/>
        <w:snapToGrid w:val="0"/>
        <w:spacing w:beforeLines="0" w:afterLines="0" w:line="360" w:lineRule="auto"/>
        <w:ind w:firstLine="482"/>
        <w:rPr>
          <w:rFonts w:asciiTheme="minorEastAsia" w:eastAsiaTheme="minorEastAsia" w:hAnsiTheme="minorEastAsia"/>
          <w:color w:val="000000" w:themeColor="text1"/>
          <w:sz w:val="24"/>
          <w:szCs w:val="24"/>
        </w:rPr>
      </w:pPr>
      <w:bookmarkStart w:id="737" w:name="_Toc174274384"/>
      <w:bookmarkStart w:id="738" w:name="_Toc91764826"/>
      <w:r w:rsidRPr="00C86E67">
        <w:rPr>
          <w:rFonts w:asciiTheme="minorEastAsia" w:eastAsiaTheme="minorEastAsia" w:hAnsiTheme="minorEastAsia" w:hint="eastAsia"/>
          <w:color w:val="000000" w:themeColor="text1"/>
          <w:sz w:val="24"/>
          <w:szCs w:val="24"/>
        </w:rPr>
        <w:t>（九）暂停基金转换的情形</w:t>
      </w:r>
      <w:bookmarkEnd w:id="737"/>
      <w:bookmarkEnd w:id="738"/>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出现下列情况之一时,基金管理人可以暂停接受基金份额持有人的基金转换申请：</w:t>
      </w:r>
    </w:p>
    <w:p w:rsidR="00C35BC5" w:rsidRPr="00C86E67" w:rsidP="00C9149F">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1、不可抗力的原因导致基金无法正常运作；</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2、证券交易场所在交易时间非正常停市，导致基金管理人无法计算当日基金资产净值；</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w:t>
      </w:r>
      <w:r w:rsidRPr="00C86E67">
        <w:rPr>
          <w:rFonts w:asciiTheme="minorEastAsia" w:eastAsiaTheme="minorEastAsia" w:hAnsiTheme="minorEastAsia"/>
          <w:color w:val="000000" w:themeColor="text1"/>
        </w:rPr>
        <w:t>因市场剧烈波动或其它原因而出现连续巨额赎回，</w:t>
      </w:r>
      <w:r w:rsidRPr="00C86E67">
        <w:rPr>
          <w:rFonts w:asciiTheme="minorEastAsia" w:eastAsiaTheme="minorEastAsia" w:hAnsiTheme="minorEastAsia" w:hint="eastAsia"/>
          <w:color w:val="000000" w:themeColor="text1"/>
        </w:rPr>
        <w:t>基金管理人认为有必要暂停接受该基金份额的转出申请；</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w:t>
      </w:r>
      <w:r w:rsidRPr="00C86E67">
        <w:rPr>
          <w:rFonts w:asciiTheme="minorEastAsia" w:eastAsiaTheme="minorEastAsia" w:hAnsiTheme="minorEastAsia"/>
          <w:color w:val="000000" w:themeColor="text1"/>
        </w:rPr>
        <w:t>基金管理人认为会有损于现有基金份额持有人利益的某笔转入</w:t>
      </w:r>
      <w:r w:rsidRPr="00C86E67">
        <w:rPr>
          <w:rFonts w:asciiTheme="minorEastAsia" w:eastAsiaTheme="minorEastAsia" w:hAnsiTheme="minorEastAsia" w:hint="eastAsia"/>
          <w:color w:val="000000" w:themeColor="text1"/>
        </w:rPr>
        <w:t>或</w:t>
      </w:r>
      <w:r w:rsidRPr="00C86E67">
        <w:rPr>
          <w:rFonts w:asciiTheme="minorEastAsia" w:eastAsiaTheme="minorEastAsia" w:hAnsiTheme="minorEastAsia"/>
          <w:color w:val="000000" w:themeColor="text1"/>
        </w:rPr>
        <w:t>某笔转出；</w:t>
      </w:r>
    </w:p>
    <w:p w:rsidR="00C35BC5" w:rsidRPr="00C86E67" w:rsidP="00C9149F">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5、发生基金合同规定的暂停基金资产估值情况</w:t>
      </w:r>
      <w:r w:rsidRPr="00C86E67">
        <w:rPr>
          <w:rFonts w:asciiTheme="minorEastAsia" w:eastAsiaTheme="minorEastAsia" w:hAnsiTheme="minorEastAsia"/>
          <w:color w:val="000000" w:themeColor="text1"/>
        </w:rPr>
        <w:t>；</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6、</w:t>
      </w:r>
      <w:r w:rsidRPr="00C86E67">
        <w:rPr>
          <w:rFonts w:asciiTheme="minorEastAsia" w:eastAsiaTheme="minorEastAsia" w:hAnsiTheme="minorEastAsia"/>
          <w:color w:val="000000" w:themeColor="text1"/>
        </w:rPr>
        <w:t>基金资产规模过大，使基金管理人无法找到合适的投资品种，或可能对基金业绩产生负面影响，从而损害现有基金份额持有人的利益；</w:t>
      </w:r>
    </w:p>
    <w:p w:rsidR="00627417" w:rsidRPr="00C86E67" w:rsidP="00627417">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7、基金管理人接受某笔或者某些</w:t>
      </w:r>
      <w:r w:rsidRPr="00C86E67" w:rsidR="00CE0859">
        <w:rPr>
          <w:rFonts w:asciiTheme="minorEastAsia" w:eastAsiaTheme="minorEastAsia" w:hAnsiTheme="minorEastAsia" w:hint="eastAsia"/>
          <w:color w:val="000000" w:themeColor="text1"/>
        </w:rPr>
        <w:t>转换转入</w:t>
      </w:r>
      <w:r w:rsidRPr="00C86E67">
        <w:rPr>
          <w:rFonts w:asciiTheme="minorEastAsia" w:eastAsiaTheme="minorEastAsia" w:hAnsiTheme="minorEastAsia" w:hint="eastAsia"/>
          <w:color w:val="000000" w:themeColor="text1"/>
        </w:rPr>
        <w:t>申请有可能导致单一投资者持有基金份额的比例达到或者超过50%，或者变相规避50%集中度的情形时；</w:t>
      </w:r>
    </w:p>
    <w:p w:rsidR="00627417" w:rsidRPr="00C86E67" w:rsidP="00627417">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8、</w:t>
      </w:r>
      <w:r w:rsidRPr="00C86E67">
        <w:rPr>
          <w:rFonts w:asciiTheme="minorEastAsia" w:eastAsiaTheme="minorEastAsia" w:hAnsiTheme="minorEastAsia" w:hint="eastAsia"/>
          <w:color w:val="000000" w:themeColor="text1"/>
        </w:rPr>
        <w:t>当一笔新的</w:t>
      </w:r>
      <w:r w:rsidRPr="00C86E67" w:rsidR="00CE0859">
        <w:rPr>
          <w:rFonts w:asciiTheme="minorEastAsia" w:eastAsiaTheme="minorEastAsia" w:hAnsiTheme="minorEastAsia" w:hint="eastAsia"/>
          <w:color w:val="000000" w:themeColor="text1"/>
        </w:rPr>
        <w:t>转换转入</w:t>
      </w:r>
      <w:r w:rsidRPr="00C86E67">
        <w:rPr>
          <w:rFonts w:asciiTheme="minorEastAsia" w:eastAsiaTheme="minorEastAsia" w:hAnsiTheme="minorEastAsia" w:hint="eastAsia"/>
          <w:color w:val="000000" w:themeColor="text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627417" w:rsidRPr="00C86E67" w:rsidP="00627417">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9、</w:t>
      </w:r>
      <w:r w:rsidRPr="00C86E67">
        <w:rPr>
          <w:rFonts w:asciiTheme="minorEastAsia" w:eastAsiaTheme="minorEastAsia" w:hAnsiTheme="minorEastAsia" w:hint="eastAsia"/>
          <w:color w:val="000000" w:themeColor="text1"/>
        </w:rPr>
        <w:t>当前一估值日基金资产净值50%以上的资产出现无可参考的活跃市场价格且采用估值技术仍导致公允价值存在重大不确定性时，经与基金托管人协商确认后，基金管理人应当采取暂停接受基金</w:t>
      </w:r>
      <w:r w:rsidRPr="00C86E67" w:rsidR="00CE0859">
        <w:rPr>
          <w:rFonts w:asciiTheme="minorEastAsia" w:eastAsiaTheme="minorEastAsia" w:hAnsiTheme="minorEastAsia" w:hint="eastAsia"/>
          <w:color w:val="000000" w:themeColor="text1"/>
        </w:rPr>
        <w:t>转换</w:t>
      </w:r>
      <w:r w:rsidRPr="00C86E67">
        <w:rPr>
          <w:rFonts w:asciiTheme="minorEastAsia" w:eastAsiaTheme="minorEastAsia" w:hAnsiTheme="minorEastAsia" w:hint="eastAsia"/>
          <w:color w:val="000000" w:themeColor="text1"/>
        </w:rPr>
        <w:t>申请的措施。</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10、</w:t>
      </w:r>
      <w:r w:rsidRPr="00C86E67">
        <w:rPr>
          <w:rFonts w:asciiTheme="minorEastAsia" w:eastAsiaTheme="minorEastAsia" w:hAnsiTheme="minorEastAsia" w:hint="eastAsia"/>
          <w:color w:val="000000" w:themeColor="text1"/>
        </w:rPr>
        <w:t>法律法规规定或经中国证监会认定的其他情形。</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发生基金合同或《招募说明书》中未予载明的事项，但基金管理人有正当理由认为需要暂停接受基金转换申请的，应当报经中国证监会批准。</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基金暂停转换或暂停后重新开放转换时，基金管理人应在</w:t>
      </w:r>
      <w:r w:rsidRPr="00C86E67" w:rsidR="00C53A0E">
        <w:rPr>
          <w:rFonts w:asciiTheme="minorEastAsia" w:eastAsiaTheme="minorEastAsia" w:hAnsiTheme="minorEastAsia" w:hint="eastAsia"/>
          <w:color w:val="000000" w:themeColor="text1"/>
        </w:rPr>
        <w:t>指定媒介</w:t>
      </w:r>
      <w:r w:rsidRPr="00C86E67">
        <w:rPr>
          <w:rFonts w:asciiTheme="minorEastAsia" w:eastAsiaTheme="minorEastAsia" w:hAnsiTheme="minorEastAsia"/>
          <w:color w:val="000000" w:themeColor="text1"/>
        </w:rPr>
        <w:t>上公告。</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739" w:name="_Toc91764827"/>
      <w:r w:rsidRPr="00C86E67">
        <w:rPr>
          <w:rFonts w:asciiTheme="minorEastAsia" w:eastAsiaTheme="minorEastAsia" w:hAnsiTheme="minorEastAsia" w:hint="eastAsia"/>
          <w:b/>
          <w:bCs/>
          <w:color w:val="000000" w:themeColor="text1"/>
        </w:rPr>
        <w:t>十、基金的非交易过户、转托管、冻结与质押</w:t>
      </w:r>
      <w:bookmarkEnd w:id="731"/>
      <w:bookmarkEnd w:id="732"/>
      <w:bookmarkEnd w:id="733"/>
      <w:bookmarkEnd w:id="739"/>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rPr>
        <w:t>一）</w:t>
      </w:r>
      <w:r w:rsidRPr="00C86E67">
        <w:rPr>
          <w:rFonts w:asciiTheme="minorEastAsia" w:eastAsiaTheme="minorEastAsia" w:hAnsiTheme="minorEastAsia" w:hint="eastAsia"/>
          <w:color w:val="000000" w:themeColor="text1"/>
        </w:rPr>
        <w:tab/>
      </w:r>
      <w:r w:rsidRPr="00C86E67">
        <w:rPr>
          <w:rFonts w:asciiTheme="minorEastAsia" w:eastAsiaTheme="minorEastAsia" w:hAnsiTheme="minorEastAsia"/>
          <w:color w:val="000000" w:themeColor="text1"/>
        </w:rPr>
        <w:t>非交易过户是指不采用申购、赎回等基金交易方式，将一定数量的基金份额按照一定规则从某一投资者基金账户转移到另一投资者基金账户的行为</w:t>
      </w:r>
      <w:r w:rsidRPr="00C86E67">
        <w:rPr>
          <w:rFonts w:asciiTheme="minorEastAsia" w:eastAsiaTheme="minorEastAsia" w:hAnsiTheme="minorEastAsia" w:hint="eastAsia"/>
          <w:color w:val="000000" w:themeColor="text1"/>
        </w:rPr>
        <w:t>，包括</w:t>
      </w:r>
      <w:r w:rsidRPr="00C86E67">
        <w:rPr>
          <w:rFonts w:asciiTheme="minorEastAsia" w:eastAsiaTheme="minorEastAsia" w:hAnsiTheme="minorEastAsia"/>
          <w:color w:val="000000" w:themeColor="text1"/>
        </w:rPr>
        <w:t>继承、捐赠、</w:t>
      </w:r>
      <w:r w:rsidRPr="00C86E67">
        <w:rPr>
          <w:rFonts w:asciiTheme="minorEastAsia" w:eastAsiaTheme="minorEastAsia" w:hAnsiTheme="minorEastAsia" w:hint="eastAsia"/>
          <w:color w:val="000000" w:themeColor="text1"/>
        </w:rPr>
        <w:t>强制</w:t>
      </w:r>
      <w:r w:rsidRPr="00C86E67">
        <w:rPr>
          <w:rFonts w:asciiTheme="minorEastAsia" w:eastAsiaTheme="minorEastAsia" w:hAnsiTheme="minorEastAsia"/>
          <w:color w:val="000000" w:themeColor="text1"/>
        </w:rPr>
        <w:t>执行</w:t>
      </w:r>
      <w:r w:rsidRPr="00C86E67">
        <w:rPr>
          <w:rFonts w:asciiTheme="minorEastAsia" w:eastAsiaTheme="minorEastAsia" w:hAnsiTheme="minorEastAsia" w:hint="eastAsia"/>
          <w:color w:val="000000" w:themeColor="text1"/>
        </w:rPr>
        <w:t>及基金注册登记机构认可的其它情况下的非交易过户</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szCs w:val="21"/>
        </w:rPr>
        <w:t>无论在上述何种情况下，接受划转的主体应符合相关法律法规和基金合同规定的持有本基金份额的投资者的条件。</w:t>
      </w:r>
      <w:r w:rsidRPr="00C86E67">
        <w:rPr>
          <w:rFonts w:asciiTheme="minorEastAsia" w:eastAsiaTheme="minorEastAsia" w:hAnsiTheme="minorEastAsia" w:hint="eastAsia"/>
          <w:color w:val="000000" w:themeColor="text1"/>
        </w:rPr>
        <w:t>其中：</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“继承”是指基金份额持有人死亡，其持有的基金份额由其合法的继承人或受遗赠人继承；</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“捐赠”仅指基金份额持有人将其合法持有的基金份额捐赠给福利性质的基金会或社会团体；</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“强制执行”是指国家有权机关依据生效的法律文书将基金份额持有人持有的基金份额强制执行划转给其他自然人、法人、社会团体或其他组织。</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（二）</w:t>
      </w:r>
      <w:r w:rsidRPr="00C86E67">
        <w:rPr>
          <w:rFonts w:asciiTheme="minorEastAsia" w:eastAsiaTheme="minorEastAsia" w:hAnsiTheme="minorEastAsia" w:hint="eastAsia"/>
          <w:color w:val="000000" w:themeColor="text1"/>
        </w:rPr>
        <w:tab/>
      </w:r>
      <w:r w:rsidRPr="00C86E67">
        <w:rPr>
          <w:rFonts w:asciiTheme="minorEastAsia" w:eastAsiaTheme="minorEastAsia" w:hAnsiTheme="minorEastAsia" w:hint="eastAsia"/>
          <w:color w:val="000000" w:themeColor="text1"/>
          <w:szCs w:val="21"/>
        </w:rPr>
        <w:t>办理非交易过户业务必须提供基金注册登</w:t>
      </w:r>
      <w:r w:rsidRPr="00C86E67">
        <w:rPr>
          <w:rFonts w:asciiTheme="minorEastAsia" w:eastAsiaTheme="minorEastAsia" w:hAnsiTheme="minorEastAsia" w:hint="eastAsia"/>
          <w:color w:val="000000" w:themeColor="text1"/>
        </w:rPr>
        <w:t>记机构规定的相关资料，其中，</w:t>
      </w:r>
      <w:r w:rsidRPr="00C86E67">
        <w:rPr>
          <w:rFonts w:asciiTheme="minorEastAsia" w:eastAsiaTheme="minorEastAsia" w:hAnsiTheme="minorEastAsia"/>
          <w:color w:val="000000" w:themeColor="text1"/>
        </w:rPr>
        <w:t>因继承、捐赠原因</w:t>
      </w:r>
      <w:r w:rsidRPr="00C86E67">
        <w:rPr>
          <w:rFonts w:asciiTheme="minorEastAsia" w:eastAsiaTheme="minorEastAsia" w:hAnsiTheme="minorEastAsia" w:hint="eastAsia"/>
          <w:color w:val="000000" w:themeColor="text1"/>
        </w:rPr>
        <w:t>导致的非交易过户向基金销售网点申请办理，</w:t>
      </w:r>
      <w:r w:rsidRPr="00C86E67">
        <w:rPr>
          <w:rFonts w:asciiTheme="minorEastAsia" w:eastAsiaTheme="minorEastAsia" w:hAnsiTheme="minorEastAsia"/>
          <w:color w:val="000000" w:themeColor="text1"/>
        </w:rPr>
        <w:t>因</w:t>
      </w:r>
      <w:r w:rsidRPr="00C86E67">
        <w:rPr>
          <w:rFonts w:asciiTheme="minorEastAsia" w:eastAsiaTheme="minorEastAsia" w:hAnsiTheme="minorEastAsia" w:hint="eastAsia"/>
          <w:color w:val="000000" w:themeColor="text1"/>
        </w:rPr>
        <w:t>强制</w:t>
      </w:r>
      <w:r w:rsidRPr="00C86E67">
        <w:rPr>
          <w:rFonts w:asciiTheme="minorEastAsia" w:eastAsiaTheme="minorEastAsia" w:hAnsiTheme="minorEastAsia"/>
          <w:color w:val="000000" w:themeColor="text1"/>
        </w:rPr>
        <w:t>执行原因</w:t>
      </w:r>
      <w:r w:rsidRPr="00C86E67">
        <w:rPr>
          <w:rFonts w:asciiTheme="minorEastAsia" w:eastAsiaTheme="minorEastAsia" w:hAnsiTheme="minorEastAsia" w:hint="eastAsia"/>
          <w:color w:val="000000" w:themeColor="text1"/>
        </w:rPr>
        <w:t>导致的非交易过户直接向基金注册登记机构统一申请办理。</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（三）</w:t>
      </w:r>
      <w:r w:rsidRPr="00C86E67">
        <w:rPr>
          <w:rFonts w:asciiTheme="minorEastAsia" w:eastAsiaTheme="minorEastAsia" w:hAnsiTheme="minorEastAsia" w:hint="eastAsia"/>
          <w:color w:val="000000" w:themeColor="text1"/>
        </w:rPr>
        <w:tab/>
        <w:t>符合条件的非交易过户申请自申请受理日起，两个月内办理；申请人按基金注册登记机构规定的标准缴纳过户费用。</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（四）基金份额持有人可以办理其基金份额在不同销售机构的转托管手续，转托管业务由各销售机构负责受理。</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（五）</w:t>
      </w:r>
      <w:r w:rsidRPr="00C86E67">
        <w:rPr>
          <w:rFonts w:asciiTheme="minorEastAsia" w:eastAsiaTheme="minorEastAsia" w:hAnsiTheme="minorEastAsia" w:hint="eastAsia"/>
          <w:color w:val="000000" w:themeColor="text1"/>
        </w:rPr>
        <w:tab/>
        <w:t>基金注册登记机构只受理国家有权机关依法要求的基金账户或基金份额的冻结与解冻。基金</w:t>
      </w:r>
      <w:r w:rsidRPr="00C86E67" w:rsidR="00AC798E">
        <w:rPr>
          <w:rFonts w:asciiTheme="minorEastAsia" w:eastAsiaTheme="minorEastAsia" w:hAnsiTheme="minorEastAsia" w:hint="eastAsia"/>
          <w:color w:val="000000" w:themeColor="text1"/>
        </w:rPr>
        <w:t>账户</w:t>
      </w:r>
      <w:r w:rsidRPr="00C86E67">
        <w:rPr>
          <w:rFonts w:asciiTheme="minorEastAsia" w:eastAsiaTheme="minorEastAsia" w:hAnsiTheme="minorEastAsia" w:hint="eastAsia"/>
          <w:color w:val="000000" w:themeColor="text1"/>
        </w:rPr>
        <w:t>或基金份额被冻结的，被冻结部分产生的权益（包括现金分红和红利再投资）一并冻结。</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（六）根据相关法律法规的规定，基金管理人将可以办理基金份额的质押业务或其他基金业务，并制定和实施相应的业务规则。</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bookmarkStart w:id="740" w:name="_Toc52310853"/>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741" w:name="_Toc91764828"/>
      <w:r w:rsidRPr="00C86E67">
        <w:rPr>
          <w:rFonts w:asciiTheme="minorEastAsia" w:eastAsiaTheme="minorEastAsia" w:hAnsiTheme="minorEastAsia" w:hint="eastAsia"/>
          <w:b/>
          <w:bCs/>
          <w:color w:val="000000" w:themeColor="text1"/>
        </w:rPr>
        <w:t>十一、基金的投资</w:t>
      </w:r>
      <w:bookmarkEnd w:id="741"/>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42" w:name="_Toc52310848"/>
      <w:bookmarkStart w:id="743" w:name="_Toc64861723"/>
      <w:bookmarkStart w:id="744" w:name="_Toc91764829"/>
      <w:r w:rsidRPr="00C86E67">
        <w:rPr>
          <w:rFonts w:asciiTheme="minorEastAsia" w:eastAsiaTheme="minorEastAsia" w:hAnsiTheme="minorEastAsia" w:hint="eastAsia"/>
          <w:b w:val="0"/>
          <w:color w:val="000000" w:themeColor="text1"/>
        </w:rPr>
        <w:t>（一）投资目标</w:t>
      </w:r>
      <w:bookmarkEnd w:id="742"/>
      <w:bookmarkEnd w:id="743"/>
      <w:bookmarkEnd w:id="744"/>
    </w:p>
    <w:p w:rsidR="00C35BC5" w:rsidRPr="00C86E67" w:rsidP="00552BE1">
      <w:pPr>
        <w:pStyle w:val="a"/>
        <w:snapToGrid w:val="0"/>
        <w:spacing w:line="360" w:lineRule="auto"/>
        <w:ind w:firstLine="420" w:firstLineChars="200"/>
        <w:rPr>
          <w:rFonts w:asciiTheme="minorEastAsia" w:eastAsiaTheme="minorEastAsia" w:hAnsiTheme="minorEastAsia"/>
          <w:color w:val="000000" w:themeColor="text1"/>
          <w:szCs w:val="24"/>
        </w:rPr>
      </w:pPr>
      <w:r w:rsidRPr="00C86E67">
        <w:rPr>
          <w:rFonts w:asciiTheme="minorEastAsia" w:eastAsiaTheme="minorEastAsia" w:hAnsiTheme="minorEastAsia" w:hint="eastAsia"/>
          <w:color w:val="000000" w:themeColor="text1"/>
        </w:rPr>
        <w:t>通过主动的资产配置以及对成长价值风格突出的股票进行投资，追求基金资产的长期稳健增值。</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45" w:name="_Toc52310849"/>
      <w:bookmarkStart w:id="746" w:name="_Toc64861724"/>
      <w:bookmarkStart w:id="747" w:name="_Toc91764830"/>
      <w:r w:rsidRPr="00C86E67">
        <w:rPr>
          <w:rFonts w:asciiTheme="minorEastAsia" w:eastAsiaTheme="minorEastAsia" w:hAnsiTheme="minorEastAsia" w:hint="eastAsia"/>
          <w:b w:val="0"/>
          <w:color w:val="000000" w:themeColor="text1"/>
        </w:rPr>
        <w:t>（</w:t>
      </w:r>
      <w:r w:rsidRPr="00C86E67">
        <w:rPr>
          <w:rFonts w:asciiTheme="minorEastAsia" w:eastAsiaTheme="minorEastAsia" w:hAnsiTheme="minorEastAsia" w:hint="eastAsia"/>
          <w:b w:val="0"/>
          <w:bCs/>
          <w:color w:val="000000" w:themeColor="text1"/>
        </w:rPr>
        <w:t>二</w:t>
      </w:r>
      <w:r w:rsidRPr="00C86E67">
        <w:rPr>
          <w:rFonts w:asciiTheme="minorEastAsia" w:eastAsiaTheme="minorEastAsia" w:hAnsiTheme="minorEastAsia" w:hint="eastAsia"/>
          <w:b w:val="0"/>
          <w:color w:val="000000" w:themeColor="text1"/>
        </w:rPr>
        <w:t>）</w:t>
      </w:r>
      <w:r w:rsidRPr="00C86E67">
        <w:rPr>
          <w:rFonts w:asciiTheme="minorEastAsia" w:eastAsiaTheme="minorEastAsia" w:hAnsiTheme="minorEastAsia" w:hint="eastAsia"/>
          <w:b w:val="0"/>
          <w:bCs/>
          <w:color w:val="000000" w:themeColor="text1"/>
        </w:rPr>
        <w:t>投资范围</w:t>
      </w:r>
      <w:bookmarkEnd w:id="745"/>
      <w:bookmarkEnd w:id="746"/>
      <w:bookmarkEnd w:id="747"/>
    </w:p>
    <w:p w:rsidR="00C35BC5" w:rsidRPr="00C86E67" w:rsidP="00552BE1">
      <w:pPr>
        <w:snapToGrid w:val="0"/>
        <w:spacing w:line="360" w:lineRule="auto"/>
        <w:ind w:firstLine="420"/>
        <w:rPr>
          <w:rFonts w:asciiTheme="minorEastAsia" w:eastAsiaTheme="minorEastAsia" w:hAnsiTheme="minorEastAsia"/>
          <w:color w:val="000000" w:themeColor="text1"/>
        </w:rPr>
      </w:pPr>
      <w:bookmarkStart w:id="748" w:name="_Toc52310850"/>
      <w:bookmarkStart w:id="749" w:name="_Toc64861725"/>
      <w:r w:rsidRPr="00C86E67">
        <w:rPr>
          <w:rFonts w:asciiTheme="minorEastAsia" w:eastAsiaTheme="minorEastAsia" w:hAnsiTheme="minorEastAsia" w:hint="eastAsia"/>
          <w:color w:val="000000" w:themeColor="text1"/>
        </w:rPr>
        <w:t>本基金的投资范围为具有良好流动性的金融工具，包括国内依法发行上市的股票</w:t>
      </w:r>
      <w:r w:rsidRPr="00C86E67" w:rsidR="00D0433B">
        <w:rPr>
          <w:rFonts w:asciiTheme="minorEastAsia" w:eastAsiaTheme="minorEastAsia" w:hAnsiTheme="minorEastAsia" w:hint="eastAsia"/>
          <w:color w:val="000000" w:themeColor="text1"/>
        </w:rPr>
        <w:t>（含存托凭证）</w:t>
      </w:r>
      <w:r w:rsidRPr="00C86E67">
        <w:rPr>
          <w:rFonts w:asciiTheme="minorEastAsia" w:eastAsiaTheme="minorEastAsia" w:hAnsiTheme="minorEastAsia" w:hint="eastAsia"/>
          <w:color w:val="000000" w:themeColor="text1"/>
        </w:rPr>
        <w:t>、债券、现金、短期金融工具、权证及法律法规或中国证监会允许基金投资的其他金融工具。如法律法规或监管机构以后允许基金投资其它品种，基金管理人在履行适当程序后，可以将其纳入投资范围。</w:t>
      </w:r>
    </w:p>
    <w:p w:rsidR="00C35BC5" w:rsidRPr="00C86E67" w:rsidP="00552BE1">
      <w:pPr>
        <w:snapToGrid w:val="0"/>
        <w:spacing w:line="360" w:lineRule="auto"/>
        <w:ind w:firstLine="482"/>
        <w:rPr>
          <w:rStyle w:val="da"/>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基金的投资组合比例为：股票资产占基金资产的40</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95%</w:t>
      </w:r>
      <w:r w:rsidRPr="00C86E67">
        <w:rPr>
          <w:rFonts w:asciiTheme="minorEastAsia" w:eastAsiaTheme="minorEastAsia" w:hAnsiTheme="minorEastAsia" w:hint="eastAsia"/>
          <w:color w:val="000000" w:themeColor="text1"/>
        </w:rPr>
        <w:t>；现金、债券资产、权证以及中国证监会允许基金投资的其他证券品种占基金资产的5</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60</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，其中，基金持有全部股改权证的市值不得超过基金资产净值的3%，基金保留的现金以及投资于到期日在一年以内的政府债券的比例合计不低于基金资产净值的</w:t>
      </w:r>
      <w:r w:rsidRPr="00C86E67">
        <w:rPr>
          <w:rFonts w:asciiTheme="minorEastAsia" w:eastAsiaTheme="minorEastAsia" w:hAnsiTheme="minorEastAsia"/>
          <w:color w:val="000000" w:themeColor="text1"/>
        </w:rPr>
        <w:t>5%</w:t>
      </w:r>
      <w:r w:rsidRPr="00C86E67" w:rsidR="000E5ECA">
        <w:rPr>
          <w:rFonts w:asciiTheme="minorEastAsia" w:eastAsiaTheme="minorEastAsia" w:hAnsiTheme="minorEastAsia" w:hint="eastAsia"/>
          <w:color w:val="000000" w:themeColor="text1"/>
        </w:rPr>
        <w:t>，现金不包括结算备付金、存出保证金、应收申购款等</w:t>
      </w:r>
      <w:r w:rsidRPr="00C86E67">
        <w:rPr>
          <w:rFonts w:asciiTheme="minorEastAsia" w:eastAsiaTheme="minorEastAsia" w:hAnsiTheme="minorEastAsia" w:hint="eastAsia"/>
          <w:color w:val="000000" w:themeColor="text1"/>
        </w:rPr>
        <w:t>。</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50" w:name="_Toc91764831"/>
      <w:r w:rsidRPr="00C86E67">
        <w:rPr>
          <w:rFonts w:asciiTheme="minorEastAsia" w:eastAsiaTheme="minorEastAsia" w:hAnsiTheme="minorEastAsia" w:hint="eastAsia"/>
          <w:b w:val="0"/>
          <w:bCs/>
          <w:color w:val="000000" w:themeColor="text1"/>
        </w:rPr>
        <w:t>（三）投资理念</w:t>
      </w:r>
      <w:bookmarkEnd w:id="748"/>
      <w:bookmarkEnd w:id="749"/>
      <w:bookmarkEnd w:id="750"/>
    </w:p>
    <w:p w:rsidR="00C35BC5" w:rsidRPr="00C86E67" w:rsidP="00552BE1">
      <w:pPr>
        <w:pStyle w:val="BodyTextFirstIndent"/>
        <w:snapToGrid w:val="0"/>
        <w:spacing w:after="0" w:line="360" w:lineRule="auto"/>
        <w:ind w:firstLine="420" w:firstLineChars="200"/>
        <w:rPr>
          <w:rFonts w:asciiTheme="minorEastAsia" w:eastAsiaTheme="minorEastAsia" w:hAnsiTheme="minorEastAsia"/>
          <w:color w:val="000000" w:themeColor="text1"/>
        </w:rPr>
      </w:pPr>
      <w:bookmarkStart w:id="751" w:name="_Toc52310851"/>
      <w:bookmarkStart w:id="752" w:name="_Toc64861726"/>
      <w:r w:rsidRPr="00C86E67">
        <w:rPr>
          <w:rFonts w:asciiTheme="minorEastAsia" w:eastAsiaTheme="minorEastAsia" w:hAnsiTheme="minorEastAsia" w:hint="eastAsia"/>
          <w:color w:val="000000" w:themeColor="text1"/>
        </w:rPr>
        <w:t>市场失效往往出现在具有突出成长性和突出价值性的股票中，对处于两端的股票进行投资可获得更佳回报。在不同的市场环境下，成长股和价值股的相对表现存在周期性特征，将资产在成长股和价值股上进行相对均衡配置，可以在降低组合风险的同时，提高组合的收益水平。对上市公司的基本面进行深入研究仍是取得超额收益的基础。</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53" w:name="_Toc91764832"/>
      <w:r w:rsidRPr="00C86E67">
        <w:rPr>
          <w:rFonts w:asciiTheme="minorEastAsia" w:eastAsiaTheme="minorEastAsia" w:hAnsiTheme="minorEastAsia" w:hint="eastAsia"/>
          <w:b w:val="0"/>
          <w:bCs/>
          <w:color w:val="000000" w:themeColor="text1"/>
        </w:rPr>
        <w:t>（四）投资策略</w:t>
      </w:r>
      <w:bookmarkEnd w:id="753"/>
    </w:p>
    <w:p w:rsidR="00C35BC5" w:rsidRPr="00C86E67" w:rsidP="00552BE1">
      <w:pPr>
        <w:snapToGrid w:val="0"/>
        <w:spacing w:line="360" w:lineRule="auto"/>
        <w:ind w:firstLine="420" w:firstLineChars="200"/>
        <w:rPr>
          <w:rFonts w:asciiTheme="minorEastAsia" w:eastAsiaTheme="minorEastAsia" w:hAnsiTheme="minorEastAsia"/>
          <w:b/>
          <w:color w:val="000000" w:themeColor="text1"/>
        </w:rPr>
      </w:pPr>
      <w:bookmarkStart w:id="754" w:name="_Toc44900772"/>
      <w:bookmarkStart w:id="755" w:name="_Toc52616499"/>
      <w:r w:rsidRPr="00C86E67">
        <w:rPr>
          <w:rFonts w:asciiTheme="minorEastAsia" w:eastAsiaTheme="minorEastAsia" w:hAnsiTheme="minorEastAsia" w:hint="eastAsia"/>
          <w:b/>
          <w:color w:val="000000" w:themeColor="text1"/>
        </w:rPr>
        <w:t>1、资产配置策略</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本基金为混合型基金，基金的资产配置比例范围为：股票资产占基金资产的40</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95%</w:t>
      </w:r>
      <w:r w:rsidRPr="00C86E67">
        <w:rPr>
          <w:rFonts w:asciiTheme="minorEastAsia" w:eastAsiaTheme="minorEastAsia" w:hAnsiTheme="minorEastAsia" w:hint="eastAsia"/>
          <w:color w:val="000000" w:themeColor="text1"/>
        </w:rPr>
        <w:t>；现金、债券资产、权证以及中国证监会允许基金投资的其他证券品种占基金资产的5</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60</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，其中，基金持有全部股改权证的市值不得超过基金资产净值的3%，基金保留的现金以及投资于到期日在一年以内的政府债券的比例合计不低于基金资产净值的</w:t>
      </w:r>
      <w:r w:rsidRPr="00C86E67">
        <w:rPr>
          <w:rFonts w:asciiTheme="minorEastAsia" w:eastAsiaTheme="minorEastAsia" w:hAnsiTheme="minorEastAsia"/>
          <w:color w:val="000000" w:themeColor="text1"/>
        </w:rPr>
        <w:t>5%</w:t>
      </w:r>
      <w:r w:rsidRPr="00C86E67" w:rsidR="000E5ECA">
        <w:rPr>
          <w:rFonts w:asciiTheme="minorEastAsia" w:eastAsiaTheme="minorEastAsia" w:hAnsiTheme="minorEastAsia" w:hint="eastAsia"/>
          <w:color w:val="000000" w:themeColor="text1"/>
        </w:rPr>
        <w:t>，现金不包括结算备付金、存出保证金、应收申购款等</w:t>
      </w:r>
      <w:r w:rsidRPr="00C86E67">
        <w:rPr>
          <w:rFonts w:asciiTheme="minorEastAsia" w:eastAsiaTheme="minorEastAsia" w:hAnsiTheme="minorEastAsia" w:hint="eastAsia"/>
          <w:color w:val="000000" w:themeColor="text1"/>
        </w:rPr>
        <w:t>。</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在以上战略性资产配置的基础上，本基金基于定量与定性相结合的宏观及市场分析，进行战术性资产配置，确定组合中股票、债券、货币市场工具及其他金融工具的比例，追求更高收益，回避市场风险。</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在资产配置中，本基金主要考虑（1）宏观经济因素，包括GDP增长率及其构成、CPI、市场利率水平变化、货币政策等，以判断经济周期对市场的影响；（2）微观经济因素，包括各行业主要企业的盈利变化情况及其盈利预期；（3）市场因素，包括股票及债券市场的涨跌、市场整体估值水平、大类资产的预期收益率水平及其历史比较、市场资金供求关系及其变化；（4）政策因素，与证券市场密切相关的各种政策出台对市场的影响等。</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本基金在</w:t>
      </w:r>
      <w:r w:rsidRPr="00C86E67">
        <w:rPr>
          <w:rFonts w:asciiTheme="minorEastAsia" w:eastAsiaTheme="minorEastAsia" w:hAnsiTheme="minorEastAsia" w:hint="eastAsia"/>
          <w:color w:val="000000" w:themeColor="text1"/>
        </w:rPr>
        <w:t>合同生效</w:t>
      </w:r>
      <w:r w:rsidRPr="00C86E67">
        <w:rPr>
          <w:rFonts w:asciiTheme="minorEastAsia" w:eastAsiaTheme="minorEastAsia" w:hAnsiTheme="minorEastAsia"/>
          <w:color w:val="000000" w:themeColor="text1"/>
        </w:rPr>
        <w:t>后</w:t>
      </w:r>
      <w:r w:rsidRPr="00C86E67">
        <w:rPr>
          <w:rFonts w:asciiTheme="minorEastAsia" w:eastAsiaTheme="minorEastAsia" w:hAnsiTheme="minorEastAsia" w:hint="eastAsia"/>
          <w:color w:val="000000" w:themeColor="text1"/>
        </w:rPr>
        <w:t>六</w:t>
      </w:r>
      <w:r w:rsidRPr="00C86E67">
        <w:rPr>
          <w:rFonts w:asciiTheme="minorEastAsia" w:eastAsiaTheme="minorEastAsia" w:hAnsiTheme="minorEastAsia"/>
          <w:color w:val="000000" w:themeColor="text1"/>
        </w:rPr>
        <w:t>个月内达到上述规定的投资比例。</w:t>
      </w:r>
    </w:p>
    <w:p w:rsidR="00C35BC5" w:rsidRPr="00C86E67" w:rsidP="00552BE1">
      <w:pPr>
        <w:snapToGrid w:val="0"/>
        <w:spacing w:line="360" w:lineRule="auto"/>
        <w:ind w:firstLine="420" w:firstLineChars="200"/>
        <w:rPr>
          <w:rFonts w:asciiTheme="minorEastAsia" w:eastAsiaTheme="minorEastAsia" w:hAnsiTheme="minorEastAsia"/>
          <w:b/>
          <w:color w:val="000000" w:themeColor="text1"/>
        </w:rPr>
      </w:pPr>
      <w:r w:rsidRPr="00C86E67">
        <w:rPr>
          <w:rFonts w:asciiTheme="minorEastAsia" w:eastAsiaTheme="minorEastAsia" w:hAnsiTheme="minorEastAsia" w:hint="eastAsia"/>
          <w:b/>
          <w:color w:val="000000" w:themeColor="text1"/>
        </w:rPr>
        <w:t>2、股票投资策略</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在股票投资方面，本基金遵循三个投资步骤。一是进行股票的风格特征的数量化评估，应用“易方达成长与价值股评价模型”，使用历史与预测的数据，从公司的备选库股票中选择成长与价值特性突出的股票。二是进行股票素质的基本面筛选，使用优质成长股与优质价值股的评价标准，在前面用数量化方法选出的风格鲜明的股票中，应用基本面分析方法，选出基本面较好的股票。三是进行成长与价值的风格配置，根据对市场的判断，动态地调整成长股与价值股的投资比重，追求在可控风险前提下的稳健回报。</w:t>
      </w:r>
    </w:p>
    <w:p w:rsidR="00C35BC5" w:rsidRPr="00C86E67" w:rsidP="00552BE1">
      <w:pPr>
        <w:numPr>
          <w:ilvl w:val="0"/>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成长股的投资</w:t>
      </w:r>
    </w:p>
    <w:p w:rsidR="00C35BC5" w:rsidRPr="00C86E67" w:rsidP="00552BE1">
      <w:pPr>
        <w:snapToGrid w:val="0"/>
        <w:spacing w:line="360" w:lineRule="auto"/>
        <w:ind w:left="42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应用“易方达成长与价值股评价模型”，通过成长股评价指标，包括预期当年的净利润增长率、预期中长期净利润增长率、过往净利润增长率、内部成长率等指标，从公司的备选库中选择成长特征鲜明的股票作为深入研究的对象。</w:t>
      </w:r>
    </w:p>
    <w:p w:rsidR="00C35BC5" w:rsidRPr="00C86E67" w:rsidP="00552BE1">
      <w:pPr>
        <w:snapToGrid w:val="0"/>
        <w:spacing w:line="360" w:lineRule="auto"/>
        <w:ind w:left="42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然后，本基金通过行业研究、上市公司调研、财务报表分析、国内外同业比较等方法，从中选择出基本面较好、估值合理的优质成长股作为投资对象。</w:t>
      </w:r>
    </w:p>
    <w:p w:rsidR="00C35BC5" w:rsidRPr="00C86E67" w:rsidP="00552BE1">
      <w:pPr>
        <w:snapToGrid w:val="0"/>
        <w:spacing w:line="360" w:lineRule="auto"/>
        <w:ind w:left="42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优质成长股的选择标准包括：</w:t>
      </w:r>
    </w:p>
    <w:p w:rsidR="00C35BC5" w:rsidRPr="00C86E67" w:rsidP="00552BE1">
      <w:pPr>
        <w:numPr>
          <w:ilvl w:val="3"/>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短期及中长期经营业绩保持长期可持续的增长。短期内，公司利润的增长速度高于同行业平均水平，并将在中长期继续保持较高的增长势头；</w:t>
      </w:r>
    </w:p>
    <w:p w:rsidR="00C35BC5" w:rsidRPr="00C86E67" w:rsidP="00552BE1">
      <w:pPr>
        <w:numPr>
          <w:ilvl w:val="3"/>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推动企业业绩增长的因素具有稳定的特征，主要包括：</w:t>
      </w:r>
    </w:p>
    <w:p w:rsidR="00C35BC5" w:rsidRPr="00C86E67" w:rsidP="00552BE1">
      <w:pPr>
        <w:numPr>
          <w:ilvl w:val="4"/>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产品市场空间大，市场需求在未来较长时间保持快速增长；</w:t>
      </w:r>
    </w:p>
    <w:p w:rsidR="00C35BC5" w:rsidRPr="00C86E67" w:rsidP="00552BE1">
      <w:pPr>
        <w:numPr>
          <w:ilvl w:val="4"/>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企业及其产品具有较强的市场竞争力。市场竞争力来自于对原材料的控制力、优秀严谨的管理、较高的技术水平、持续的新产品开发与创新能力、先进的生产设备、专利的掌握、资源与牌照的垄断、品牌知名度高等；</w:t>
      </w:r>
    </w:p>
    <w:p w:rsidR="00C35BC5" w:rsidRPr="00C86E67" w:rsidP="00552BE1">
      <w:pPr>
        <w:numPr>
          <w:ilvl w:val="4"/>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企业可以通过新建产能、收购兼并、新产品与新市场的开发、降低生产成本等保持经营业绩的持续增长；</w:t>
      </w:r>
    </w:p>
    <w:p w:rsidR="00C35BC5" w:rsidRPr="00C86E67" w:rsidP="00552BE1">
      <w:pPr>
        <w:numPr>
          <w:ilvl w:val="4"/>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公司的财务指标可通过风险检验，并处于较优水平。通过对短期偿债率、资产负债率、应收账款周转率、存货周转率、经营活动产生的现金流等财务指标的同业分析，避免企业的财务风险；通过对主营业务收入利润率、营业利润率、销售净利润率的变化趋势以及主营业务收入增长率、净利润增长率的纵向及同业比较，判断企业的成长动力，从中选择财务风险低、盈利能力稳定并增长的公司。</w:t>
      </w:r>
    </w:p>
    <w:p w:rsidR="00C35BC5" w:rsidRPr="00C86E67" w:rsidP="00552BE1">
      <w:pPr>
        <w:numPr>
          <w:ilvl w:val="3"/>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根据该企业的行业特性，选择合适的股票估值方法，包括PE、PB、PEG、EV/EBITDA等，与国内外同行业类似公司进行比较，排除股价被大幅高估的股票，主要投资估值处于合理水平或被低估的公司。</w:t>
      </w:r>
    </w:p>
    <w:p w:rsidR="00C35BC5" w:rsidRPr="00C86E67" w:rsidP="00552BE1">
      <w:pPr>
        <w:numPr>
          <w:ilvl w:val="0"/>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价值股的投资</w:t>
      </w:r>
    </w:p>
    <w:p w:rsidR="00C35BC5" w:rsidRPr="00C86E67" w:rsidP="00552BE1">
      <w:pPr>
        <w:snapToGrid w:val="0"/>
        <w:spacing w:line="360" w:lineRule="auto"/>
        <w:ind w:left="42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本基金应用“易方达成长与价值股评价模型”，通过价值股评价指标，包括市净率、预期股息收益率、市销率、预期市盈率等指标，从公司的备选库中选择价值特征鲜明的股票作为深入研究的对象。</w:t>
      </w:r>
    </w:p>
    <w:p w:rsidR="00C35BC5" w:rsidRPr="00C86E67" w:rsidP="00552BE1">
      <w:pPr>
        <w:snapToGrid w:val="0"/>
        <w:spacing w:line="360" w:lineRule="auto"/>
        <w:ind w:left="42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然后，本基金通过行业研究、上市公司调研、财务报表分析、国内外同业比较等方法，从中选择基本面较好或估值有可能改善的优质价值股票作为投资对象。</w:t>
      </w:r>
    </w:p>
    <w:p w:rsidR="00C35BC5" w:rsidRPr="00C86E67" w:rsidP="00552BE1">
      <w:pPr>
        <w:snapToGrid w:val="0"/>
        <w:spacing w:line="360" w:lineRule="auto"/>
        <w:ind w:left="42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优质价值股的选择标准包括：</w:t>
      </w:r>
    </w:p>
    <w:p w:rsidR="00C35BC5" w:rsidRPr="00C86E67" w:rsidP="00552BE1">
      <w:pPr>
        <w:numPr>
          <w:ilvl w:val="4"/>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公司股价被严重低估：主要通过比较国内外同行业同类公司价值指标的高低进行初步判断，其次需进一步对比同类公司的产品结构、设备先进性、技术水平、预期长期增长率等，进行综合评判。</w:t>
      </w:r>
    </w:p>
    <w:p w:rsidR="00C35BC5" w:rsidRPr="00C86E67" w:rsidP="00552BE1">
      <w:pPr>
        <w:numPr>
          <w:ilvl w:val="4"/>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股价被低估的情况有望在未来扭转：</w:t>
      </w:r>
    </w:p>
    <w:p w:rsidR="00C35BC5" w:rsidRPr="00C86E67" w:rsidP="00552BE1">
      <w:pPr>
        <w:numPr>
          <w:ilvl w:val="5"/>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由于市场低估公司未来的成长性，股价出现动态低估：随着公司财务报表的公布，股价将回归合理水平。</w:t>
      </w:r>
    </w:p>
    <w:p w:rsidR="00C35BC5" w:rsidRPr="00C86E67" w:rsidP="00552BE1">
      <w:pPr>
        <w:numPr>
          <w:ilvl w:val="5"/>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因公司经营管理处于困境，盈利大幅下滑，股价出现大幅下跌：公司拥有较高价值的资源、技术，同时股价已低于重置成本或足以吸引收购者的兴趣，通过收购兼并，公司盈利有望好转。</w:t>
      </w:r>
    </w:p>
    <w:p w:rsidR="00C35BC5" w:rsidRPr="00C86E67" w:rsidP="00552BE1">
      <w:pPr>
        <w:numPr>
          <w:ilvl w:val="5"/>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由于企业非市场热门品种而被低估：股价已低于其内在价值，且其基本面较好并有一定成长性，股价有望随着市场热点的转移，在未来回归到其合理价格；</w:t>
      </w:r>
    </w:p>
    <w:p w:rsidR="00C35BC5" w:rsidRPr="00C86E67" w:rsidP="00552BE1">
      <w:pPr>
        <w:numPr>
          <w:ilvl w:val="5"/>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由于暂时的不利消息影响，股价被低估：该不利消息并非意谓着或导致公司内在盈利能力的减弱，市场因短期消息而对公司未来前景存在不正确的预期。</w:t>
      </w:r>
    </w:p>
    <w:p w:rsidR="00C35BC5" w:rsidRPr="00C86E67" w:rsidP="00552BE1">
      <w:pPr>
        <w:numPr>
          <w:ilvl w:val="5"/>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由于周期性或短期因素，公司盈利下滑幅度较大，但有望好转。</w:t>
      </w:r>
    </w:p>
    <w:p w:rsidR="00C35BC5" w:rsidRPr="00C86E67" w:rsidP="00552BE1">
      <w:pPr>
        <w:numPr>
          <w:ilvl w:val="5"/>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其他有可能使公司的绝对估值水平较低、而未来使股价低估的因素有可能改变的情况。</w:t>
      </w:r>
    </w:p>
    <w:p w:rsidR="00C35BC5" w:rsidRPr="00C86E67" w:rsidP="00552BE1">
      <w:pPr>
        <w:numPr>
          <w:ilvl w:val="4"/>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公司具有核心竞争力或有独特的资源或优势</w:t>
      </w:r>
    </w:p>
    <w:p w:rsidR="00C35BC5" w:rsidRPr="00C86E67" w:rsidP="00552BE1">
      <w:pPr>
        <w:snapToGrid w:val="0"/>
        <w:spacing w:line="360" w:lineRule="auto"/>
        <w:ind w:left="126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如果公司是由于成长性被低估、被市场冷落、受短期消息的影响等，估值水平较低，本基金会关注公司是否具有行业核心竞争力。如果股价低估并有可能被收购时，则更关注公司是否具有独特的资源、设备能力、地区市场占有率等，是否能形成对收购方的吸引力。</w:t>
      </w:r>
    </w:p>
    <w:p w:rsidR="00C35BC5" w:rsidRPr="00C86E67" w:rsidP="00552BE1">
      <w:pPr>
        <w:numPr>
          <w:ilvl w:val="0"/>
          <w:numId w:val="14"/>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成长与价值的配置比例</w:t>
      </w:r>
    </w:p>
    <w:p w:rsidR="00C35BC5" w:rsidRPr="00C86E67" w:rsidP="00552BE1">
      <w:pPr>
        <w:snapToGrid w:val="0"/>
        <w:spacing w:line="360" w:lineRule="auto"/>
        <w:ind w:left="42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主要根据对市场趋势的判断、成长股与价值股的相对估值及预期收益率水平，对成长与价值股的投资比例进行配置。总体而言，成长股与价值股在股票资产中进行相对均衡的配置，以控制因风格带来的投资风险，降低组合波动的风险，提高整体收益率。</w:t>
      </w:r>
    </w:p>
    <w:p w:rsidR="00C35BC5" w:rsidRPr="00C86E67" w:rsidP="00552BE1">
      <w:pPr>
        <w:snapToGrid w:val="0"/>
        <w:spacing w:line="360" w:lineRule="auto"/>
        <w:ind w:left="42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在构造与调整股票组合的过程中，本基金还会考察组合的行业集中度，避免风格与行业集中度高度相关而带来的风险。</w:t>
      </w:r>
    </w:p>
    <w:p w:rsidR="00C35BC5" w:rsidRPr="00C86E67" w:rsidP="00552BE1">
      <w:pPr>
        <w:snapToGrid w:val="0"/>
        <w:spacing w:line="360" w:lineRule="auto"/>
        <w:ind w:left="420"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本管理人会不断对成长价值投资策略进行研究，持续改进“易方达成长与价值股评价模型”，评价成长与价值的指标也有可能会随之变化。</w:t>
      </w:r>
    </w:p>
    <w:p w:rsidR="00C35BC5" w:rsidRPr="00C86E67" w:rsidP="00552BE1">
      <w:pPr>
        <w:snapToGrid w:val="0"/>
        <w:spacing w:line="360" w:lineRule="auto"/>
        <w:jc w:val="center"/>
        <w:rPr>
          <w:rFonts w:asciiTheme="minorEastAsia" w:eastAsiaTheme="minorEastAsia" w:hAnsiTheme="minorEastAsia"/>
          <w:b/>
          <w:bCs/>
          <w:color w:val="000000" w:themeColor="text1"/>
          <w:sz w:val="24"/>
        </w:rPr>
      </w:pPr>
      <w:r w:rsidRPr="00C86E67">
        <w:rPr>
          <w:rFonts w:asciiTheme="minorEastAsia" w:eastAsiaTheme="minorEastAsia" w:hAnsiTheme="minorEastAsia" w:hint="eastAsia"/>
          <w:b/>
          <w:bCs/>
          <w:color w:val="000000" w:themeColor="text1"/>
          <w:sz w:val="24"/>
        </w:rPr>
        <w:t>基金股票资产投资流程图</w:t>
      </w:r>
    </w:p>
    <w:p w:rsidR="00C35BC5" w:rsidRPr="00C86E67" w:rsidP="00552BE1">
      <w:pPr>
        <w:snapToGrid w:val="0"/>
        <w:spacing w:line="360" w:lineRule="auto"/>
        <w:ind w:left="420"/>
        <w:rPr>
          <w:rFonts w:asciiTheme="minorEastAsia" w:eastAsiaTheme="minorEastAsia" w:hAnsiTheme="minorEastAsia"/>
          <w:color w:val="000000" w:themeColor="text1"/>
        </w:rPr>
      </w:pPr>
      <w:r>
        <w:rPr>
          <w:rFonts w:asciiTheme="minorEastAsia" w:eastAsiaTheme="minorEastAsia" w:hAnsiTheme="minorEastAsia"/>
          <w:b/>
          <w:bCs/>
          <w:noProof/>
          <w:color w:val="000000" w:themeColor="text1"/>
          <w:sz w:val="20"/>
        </w:rPr>
        <w:pict>
          <v:shapetype id="_x0000_t202" coordsize="21600,21600" o:spt="202" path="m,l,21600r21600,l21600,xe">
            <v:stroke joinstyle="miter"/>
            <v:path gradientshapeok="t" o:connecttype="rect"/>
          </v:shapetype>
          <v:shape id="_x0000_s1025" type="#_x0000_t202" style="width:45pt;height:85.8pt;margin-top:387.6pt;margin-left:0;position:absolute;z-index:251682816">
            <v:textbox>
              <w:txbxContent>
                <w:p w:rsidR="009A23D7" w:rsidP="00C35BC5">
                  <w:pPr>
                    <w:pStyle w:val="BodyText"/>
                    <w:jc w:val="center"/>
                  </w:pPr>
                  <w:r>
                    <w:rPr>
                      <w:rFonts w:hint="eastAsia"/>
                    </w:rPr>
                    <w:t>成长与价值的风格配置</w:t>
                  </w:r>
                </w:p>
              </w:txbxContent>
            </v:textbox>
          </v:shape>
        </w:pict>
      </w:r>
      <w:r>
        <w:rPr>
          <w:rFonts w:asciiTheme="minorEastAsia" w:eastAsiaTheme="minorEastAsia" w:hAnsiTheme="minorEastAsia"/>
          <w:b/>
          <w:bCs/>
          <w:noProof/>
          <w:color w:val="000000" w:themeColor="text1"/>
          <w:sz w:val="20"/>
        </w:rPr>
        <w:pict>
          <v:shape id="_x0000_s1026" type="#_x0000_t202" style="width:45pt;height:85.8pt;margin-top:247.2pt;margin-left:0;position:absolute;z-index:251677696">
            <v:textbox>
              <w:txbxContent>
                <w:p w:rsidR="009A23D7" w:rsidP="00C35BC5">
                  <w:pPr>
                    <w:pStyle w:val="BodyText"/>
                    <w:jc w:val="center"/>
                  </w:pPr>
                  <w:r>
                    <w:rPr>
                      <w:rFonts w:hint="eastAsia"/>
                    </w:rPr>
                    <w:t>股票素质的基本面筛选</w:t>
                  </w:r>
                </w:p>
              </w:txbxContent>
            </v:textbox>
          </v:shape>
        </w:pict>
      </w:r>
      <w:r>
        <w:rPr>
          <w:rFonts w:asciiTheme="minorEastAsia" w:eastAsiaTheme="minorEastAsia" w:hAnsiTheme="minorEastAsia"/>
          <w:b/>
          <w:bCs/>
          <w:noProof/>
          <w:color w:val="000000" w:themeColor="text1"/>
          <w:sz w:val="20"/>
        </w:rPr>
        <w:pict>
          <v:shape id="_x0000_s1027" type="#_x0000_t202" style="width:45pt;height:85.8pt;margin-top:67.8pt;margin-left:0;position:absolute;z-index:251661312">
            <v:textbox>
              <w:txbxContent>
                <w:p w:rsidR="009A23D7" w:rsidP="00C35BC5">
                  <w:pPr>
                    <w:pStyle w:val="BodyText"/>
                    <w:jc w:val="center"/>
                  </w:pPr>
                  <w:r>
                    <w:rPr>
                      <w:rFonts w:hint="eastAsia"/>
                    </w:rPr>
                    <w:t>风格特征的数量化评估</w:t>
                  </w:r>
                </w:p>
              </w:txbxContent>
            </v:textbox>
          </v:shape>
        </w:pict>
      </w:r>
      <w:r>
        <w:rPr>
          <w:rFonts w:asciiTheme="minorEastAsia" w:eastAsiaTheme="minorEastAsia" w:hAnsiTheme="minorEastAsia"/>
          <w:b/>
          <w:bCs/>
          <w:noProof/>
          <w:color w:val="000000" w:themeColor="text1"/>
          <w:sz w:val="20"/>
        </w:rPr>
        <w:pict>
          <v:shape id="_x0000_s1028" type="#_x0000_t202" style="width:2in;height:85.8pt;margin-top:78pt;margin-left:117pt;position:absolute;z-index:251663360" filled="f" stroked="f">
            <v:textbox>
              <w:txbxContent>
                <w:p w:rsidR="009A23D7" w:rsidP="00C35BC5">
                  <w:pPr>
                    <w:numPr>
                      <w:ilvl w:val="0"/>
                      <w:numId w:val="15"/>
                    </w:numPr>
                  </w:pPr>
                  <w:r>
                    <w:rPr>
                      <w:rFonts w:hint="eastAsia"/>
                    </w:rPr>
                    <w:t>预期净利润增长率；</w:t>
                  </w:r>
                </w:p>
                <w:p w:rsidR="009A23D7" w:rsidP="00C35BC5">
                  <w:pPr>
                    <w:numPr>
                      <w:ilvl w:val="0"/>
                      <w:numId w:val="15"/>
                    </w:numPr>
                  </w:pPr>
                  <w:r>
                    <w:rPr>
                      <w:rFonts w:hint="eastAsia"/>
                    </w:rPr>
                    <w:t>中长期净利润增长率；</w:t>
                  </w:r>
                </w:p>
                <w:p w:rsidR="009A23D7" w:rsidP="00C35BC5">
                  <w:pPr>
                    <w:numPr>
                      <w:ilvl w:val="0"/>
                      <w:numId w:val="15"/>
                    </w:numPr>
                  </w:pPr>
                  <w:r>
                    <w:rPr>
                      <w:rFonts w:hint="eastAsia"/>
                    </w:rPr>
                    <w:t>历史增长率；</w:t>
                  </w:r>
                </w:p>
                <w:p w:rsidR="009A23D7" w:rsidP="00C35BC5">
                  <w:pPr>
                    <w:numPr>
                      <w:ilvl w:val="0"/>
                      <w:numId w:val="15"/>
                    </w:numPr>
                  </w:pPr>
                  <w:r>
                    <w:rPr>
                      <w:rFonts w:hint="eastAsia"/>
                    </w:rPr>
                    <w:t>内部成长率。</w:t>
                  </w:r>
                </w:p>
                <w:p w:rsidR="009A23D7" w:rsidP="00C35BC5"/>
              </w:txbxContent>
            </v:textbox>
          </v:shape>
        </w:pict>
      </w:r>
      <w:r>
        <w:rPr>
          <w:rFonts w:asciiTheme="minorEastAsia" w:eastAsiaTheme="minorEastAsia" w:hAnsiTheme="minorEastAsia"/>
          <w:b/>
          <w:bCs/>
          <w:noProof/>
          <w:color w:val="000000" w:themeColor="text1"/>
          <w:sz w:val="20"/>
        </w:rPr>
        <w:pict>
          <v:shape id="_x0000_s1029" type="#_x0000_t202" style="width:180pt;height:31.2pt;margin-top:499.2pt;margin-left:171pt;position:absolute;z-index:251681792" filled="f" stroked="f">
            <v:textbox>
              <w:txbxContent>
                <w:p w:rsidR="009A23D7" w:rsidP="00C35BC5">
                  <w:pPr>
                    <w:jc w:val="center"/>
                    <w:rPr>
                      <w:b/>
                      <w:bCs/>
                      <w:sz w:val="24"/>
                    </w:rPr>
                  </w:pPr>
                  <w:r>
                    <w:rPr>
                      <w:rFonts w:hint="eastAsia"/>
                      <w:b/>
                      <w:bCs/>
                      <w:sz w:val="24"/>
                    </w:rPr>
                    <w:t>构造股票投资组合</w:t>
                  </w:r>
                </w:p>
              </w:txbxContent>
            </v:textbox>
          </v:shape>
        </w:pict>
      </w:r>
      <w:r>
        <w:rPr>
          <w:rFonts w:asciiTheme="minorEastAsia" w:eastAsiaTheme="minorEastAsia" w:hAnsiTheme="minorEastAsia"/>
          <w:b/>
          <w:bCs/>
          <w:noProof/>
          <w:color w:val="000000" w:themeColor="text1"/>
          <w:sz w:val="20"/>
        </w:rPr>
        <w:pict>
          <v:shapetype id="_x0000_t116" coordsize="21600,21600" o:spt="116" path="m3475,qx,10800,3475,21600l18125,21600qx21600,10800,18125,xe">
            <v:stroke joinstyle="miter"/>
            <v:path gradientshapeok="t" o:connecttype="rect" textboxrect="1018,3163,20582,18437"/>
          </v:shapetype>
          <v:shape id="_x0000_s1030" type="#_x0000_t116" style="width:180pt;height:31.2pt;margin-top:491.4pt;margin-left:162pt;position:absolute;z-index:251680768" fillcolor="#9cf"/>
        </w:pict>
      </w:r>
      <w:r>
        <w:rPr>
          <w:rFonts w:asciiTheme="minorEastAsia" w:eastAsiaTheme="minorEastAsia" w:hAnsiTheme="minorEastAsia"/>
          <w:b/>
          <w:bCs/>
          <w:noProof/>
          <w:color w:val="000000" w:themeColor="text1"/>
          <w:sz w:val="20"/>
        </w:rPr>
        <w:pict>
          <v:shape id="_x0000_s1031" type="#_x0000_t202" style="width:180pt;height:54.6pt;margin-top:397.8pt;margin-left:180pt;position:absolute;z-index:251679744" filled="f" stroked="f">
            <v:textbox>
              <w:txbxContent>
                <w:p w:rsidR="009A23D7" w:rsidP="00C35BC5">
                  <w:pPr>
                    <w:numPr>
                      <w:ilvl w:val="0"/>
                      <w:numId w:val="18"/>
                    </w:numPr>
                  </w:pPr>
                  <w:r>
                    <w:rPr>
                      <w:rFonts w:hint="eastAsia"/>
                    </w:rPr>
                    <w:t>市场趋势的判断；</w:t>
                  </w:r>
                </w:p>
                <w:p w:rsidR="009A23D7" w:rsidP="00C35BC5">
                  <w:pPr>
                    <w:numPr>
                      <w:ilvl w:val="0"/>
                      <w:numId w:val="18"/>
                    </w:numPr>
                  </w:pPr>
                  <w:r>
                    <w:rPr>
                      <w:rFonts w:hint="eastAsia"/>
                    </w:rPr>
                    <w:t>成长与价值股的相对估值及预期收益率水平。</w:t>
                  </w:r>
                </w:p>
              </w:txbxContent>
            </v:textbox>
          </v:shape>
        </w:pict>
      </w:r>
      <w:r>
        <w:rPr>
          <w:rFonts w:asciiTheme="minorEastAsia" w:eastAsiaTheme="minorEastAsia" w:hAnsiTheme="minorEastAsia"/>
          <w:b/>
          <w:bCs/>
          <w:noProof/>
          <w:color w:val="000000" w:themeColor="text1"/>
          <w:sz w:val="20"/>
        </w:rPr>
        <w:pict>
          <v:shapetype id="_x0000_t128" coordsize="21600,21600" o:spt="128" path="m,l21600,,10800,21600xe">
            <v:stroke joinstyle="miter"/>
            <v:path gradientshapeok="t" o:connecttype="custom" o:connectlocs="10800,0;5400,10800;10800,21600;16200,10800" textboxrect="5400,0,16200,10800"/>
          </v:shapetype>
          <v:shape id="_x0000_s1032" type="#_x0000_t128" style="width:306pt;height:85.8pt;margin-top:397.8pt;margin-left:108pt;position:absolute;z-index:251658240"/>
        </w:pict>
      </w:r>
      <w:r>
        <w:rPr>
          <w:rFonts w:asciiTheme="minorEastAsia" w:eastAsiaTheme="minorEastAsia" w:hAnsiTheme="minorEastAsia"/>
          <w:b/>
          <w:bCs/>
          <w:noProof/>
          <w:color w:val="000000" w:themeColor="text1"/>
          <w:sz w:val="20"/>
        </w:rPr>
        <w:pict>
          <v:shape id="_x0000_s1033" type="#_x0000_t202" style="width:306pt;height:23.4pt;margin-top:374.4pt;margin-left:108pt;position:absolute;z-index:251678720" fillcolor="#9c0">
            <v:textbox>
              <w:txbxContent>
                <w:p w:rsidR="009A23D7" w:rsidP="00C35BC5">
                  <w:pPr>
                    <w:jc w:val="center"/>
                    <w:rPr>
                      <w:b/>
                      <w:bCs/>
                      <w:sz w:val="24"/>
                    </w:rPr>
                  </w:pPr>
                  <w:r>
                    <w:rPr>
                      <w:rFonts w:hint="eastAsia"/>
                      <w:b/>
                      <w:bCs/>
                      <w:sz w:val="24"/>
                    </w:rPr>
                    <w:t>成长与价值的动态配置</w:t>
                  </w:r>
                </w:p>
              </w:txbxContent>
            </v:textbox>
          </v:shape>
        </w:pict>
      </w:r>
      <w:r>
        <w:rPr>
          <w:rFonts w:asciiTheme="minorEastAsia" w:eastAsiaTheme="minorEastAsia" w:hAnsiTheme="minorEastAsia"/>
          <w:b/>
          <w:bCs/>
          <w:noProof/>
          <w:color w:val="000000" w:themeColor="text1"/>
          <w:sz w:val="20"/>
        </w:rPr>
        <w:pict>
          <v:shape id="_x0000_s1034" type="#_x0000_t202" style="width:126pt;height:54.6pt;margin-top:280.8pt;margin-left:108pt;position:absolute;z-index:251672576" filled="f" stroked="f">
            <v:textbox>
              <w:txbxContent>
                <w:p w:rsidR="009A23D7" w:rsidP="00C35BC5">
                  <w:pPr>
                    <w:numPr>
                      <w:ilvl w:val="0"/>
                      <w:numId w:val="17"/>
                    </w:numPr>
                  </w:pPr>
                  <w:r>
                    <w:rPr>
                      <w:rFonts w:hint="eastAsia"/>
                    </w:rPr>
                    <w:t>成长性高；</w:t>
                  </w:r>
                </w:p>
                <w:p w:rsidR="009A23D7" w:rsidP="00C35BC5">
                  <w:pPr>
                    <w:numPr>
                      <w:ilvl w:val="0"/>
                      <w:numId w:val="17"/>
                    </w:numPr>
                  </w:pPr>
                  <w:r>
                    <w:rPr>
                      <w:rFonts w:hint="eastAsia"/>
                    </w:rPr>
                    <w:t>稳定的成长推动力；</w:t>
                  </w:r>
                </w:p>
                <w:p w:rsidR="009A23D7" w:rsidP="00C35BC5">
                  <w:pPr>
                    <w:numPr>
                      <w:ilvl w:val="0"/>
                      <w:numId w:val="17"/>
                    </w:numPr>
                  </w:pPr>
                  <w:r>
                    <w:rPr>
                      <w:rFonts w:hint="eastAsia"/>
                    </w:rPr>
                    <w:t>合理的估值。</w:t>
                  </w:r>
                </w:p>
              </w:txbxContent>
            </v:textbox>
          </v:shape>
        </w:pict>
      </w:r>
      <w:r>
        <w:rPr>
          <w:rFonts w:asciiTheme="minorEastAsia" w:eastAsiaTheme="minorEastAsia" w:hAnsiTheme="minorEastAsia"/>
          <w:b/>
          <w:bCs/>
          <w:noProof/>
          <w:color w:val="000000" w:themeColor="text1"/>
          <w:sz w:val="2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5" type="#_x0000_t80" style="width:135pt;height:124.8pt;margin-top:249.6pt;margin-left:108pt;position:absolute;z-index:251671552" adj="15438"/>
        </w:pict>
      </w:r>
      <w:r>
        <w:rPr>
          <w:rFonts w:asciiTheme="minorEastAsia" w:eastAsiaTheme="minorEastAsia" w:hAnsiTheme="minorEastAsia"/>
          <w:b/>
          <w:bCs/>
          <w:noProof/>
          <w:color w:val="000000" w:themeColor="text1"/>
          <w:sz w:val="20"/>
        </w:rPr>
        <w:pict>
          <v:shape id="_x0000_s1036" type="#_x0000_t202" style="width:2in;height:78pt;margin-top:273pt;margin-left:261pt;position:absolute;z-index:251674624" filled="f" stroked="f">
            <v:textbox>
              <w:txbxContent>
                <w:p w:rsidR="009A23D7" w:rsidP="00C35BC5">
                  <w:pPr>
                    <w:numPr>
                      <w:ilvl w:val="0"/>
                      <w:numId w:val="17"/>
                    </w:numPr>
                  </w:pPr>
                  <w:r>
                    <w:rPr>
                      <w:rFonts w:hint="eastAsia"/>
                    </w:rPr>
                    <w:t>股价低估；</w:t>
                  </w:r>
                </w:p>
                <w:p w:rsidR="009A23D7" w:rsidP="00C35BC5">
                  <w:pPr>
                    <w:numPr>
                      <w:ilvl w:val="0"/>
                      <w:numId w:val="17"/>
                    </w:numPr>
                  </w:pPr>
                  <w:r>
                    <w:rPr>
                      <w:rFonts w:hint="eastAsia"/>
                    </w:rPr>
                    <w:t>低估有望扭转；</w:t>
                  </w:r>
                </w:p>
                <w:p w:rsidR="009A23D7" w:rsidP="00C35BC5">
                  <w:pPr>
                    <w:numPr>
                      <w:ilvl w:val="0"/>
                      <w:numId w:val="17"/>
                    </w:numPr>
                  </w:pPr>
                  <w:r>
                    <w:rPr>
                      <w:rFonts w:hint="eastAsia"/>
                    </w:rPr>
                    <w:t>具有核心竞争力或独特资源或优势。</w:t>
                  </w:r>
                </w:p>
              </w:txbxContent>
            </v:textbox>
          </v:shape>
        </w:pict>
      </w:r>
      <w:r>
        <w:rPr>
          <w:rFonts w:asciiTheme="minorEastAsia" w:eastAsiaTheme="minorEastAsia" w:hAnsiTheme="minorEastAsia"/>
          <w:b/>
          <w:bCs/>
          <w:noProof/>
          <w:color w:val="000000" w:themeColor="text1"/>
          <w:sz w:val="20"/>
        </w:rPr>
        <w:pict>
          <v:shape id="_x0000_s1037" type="#_x0000_t202" style="width:2in;height:23.4pt;margin-top:249.6pt;margin-left:261pt;position:absolute;z-index:251676672" fillcolor="#cfc">
            <v:textbox>
              <w:txbxContent>
                <w:p w:rsidR="009A23D7" w:rsidP="00C35BC5">
                  <w:pPr>
                    <w:jc w:val="center"/>
                    <w:rPr>
                      <w:b/>
                      <w:bCs/>
                    </w:rPr>
                  </w:pPr>
                  <w:r>
                    <w:rPr>
                      <w:rFonts w:hint="eastAsia"/>
                      <w:b/>
                      <w:bCs/>
                    </w:rPr>
                    <w:t>优质价值公司素质筛选</w:t>
                  </w:r>
                </w:p>
              </w:txbxContent>
            </v:textbox>
          </v:shape>
        </w:pict>
      </w:r>
      <w:r>
        <w:rPr>
          <w:rFonts w:asciiTheme="minorEastAsia" w:eastAsiaTheme="minorEastAsia" w:hAnsiTheme="minorEastAsia"/>
          <w:b/>
          <w:bCs/>
          <w:noProof/>
          <w:color w:val="000000" w:themeColor="text1"/>
          <w:sz w:val="20"/>
        </w:rPr>
        <w:pict>
          <v:shape id="_x0000_s1038" type="#_x0000_t202" style="width:135pt;height:23.4pt;margin-top:249.6pt;margin-left:108pt;position:absolute;z-index:251675648" fillcolor="#f90">
            <v:textbox>
              <w:txbxContent>
                <w:p w:rsidR="009A23D7" w:rsidP="00C35BC5">
                  <w:pPr>
                    <w:rPr>
                      <w:bCs/>
                    </w:rPr>
                  </w:pPr>
                  <w:r>
                    <w:rPr>
                      <w:rFonts w:hint="eastAsia"/>
                      <w:bCs/>
                    </w:rPr>
                    <w:t>优质成长公司素质筛选</w:t>
                  </w:r>
                </w:p>
              </w:txbxContent>
            </v:textbox>
          </v:shape>
        </w:pict>
      </w:r>
      <w:r>
        <w:rPr>
          <w:rFonts w:asciiTheme="minorEastAsia" w:eastAsiaTheme="minorEastAsia" w:hAnsiTheme="minorEastAsia"/>
          <w:b/>
          <w:bCs/>
          <w:noProof/>
          <w:color w:val="000000" w:themeColor="text1"/>
          <w:sz w:val="20"/>
        </w:rPr>
        <w:pict>
          <v:shape id="_x0000_s1039" type="#_x0000_t80" style="width:2in;height:124.8pt;margin-top:249.6pt;margin-left:261pt;position:absolute;z-index:251673600" adj="14919"/>
        </w:pict>
      </w:r>
      <w:r>
        <w:rPr>
          <w:rFonts w:asciiTheme="minorEastAsia" w:eastAsiaTheme="minorEastAsia" w:hAnsiTheme="minorEastAsia"/>
          <w:b/>
          <w:bCs/>
          <w:noProof/>
          <w:color w:val="000000" w:themeColor="text1"/>
          <w:sz w:val="20"/>
        </w:rPr>
        <w:pict>
          <v:shape id="_x0000_s1040" type="#_x0000_t202" style="width:81pt;height:39pt;margin-top:195pt;margin-left:2in;position:absolute;z-index:251668480" filled="f" stroked="f">
            <v:textbox>
              <w:txbxContent>
                <w:p w:rsidR="009A23D7" w:rsidP="00C35BC5">
                  <w:r>
                    <w:rPr>
                      <w:rFonts w:hint="eastAsia"/>
                    </w:rPr>
                    <w:t>具有鲜明成长特征的备选股</w:t>
                  </w:r>
                </w:p>
              </w:txbxContent>
            </v:textbox>
          </v:shape>
        </w:pict>
      </w:r>
      <w:r>
        <w:rPr>
          <w:rFonts w:asciiTheme="minorEastAsia" w:eastAsiaTheme="minorEastAsia" w:hAnsiTheme="minorEastAsia"/>
          <w:b/>
          <w:bCs/>
          <w:noProof/>
          <w:color w:val="000000" w:themeColor="text1"/>
          <w:sz w:val="20"/>
        </w:rPr>
        <w:pict>
          <v:oval id="_x0000_s1041" style="width:108pt;height:54.6pt;margin-top:187.2pt;margin-left:126pt;position:absolute;z-index:251667456" fillcolor="#fc9"/>
        </w:pict>
      </w:r>
      <w:r>
        <w:rPr>
          <w:rFonts w:asciiTheme="minorEastAsia" w:eastAsiaTheme="minorEastAsia" w:hAnsiTheme="minorEastAsia"/>
          <w:b/>
          <w:bCs/>
          <w:noProof/>
          <w:color w:val="000000" w:themeColor="text1"/>
          <w:sz w:val="20"/>
        </w:rPr>
        <w:pict>
          <v:shape id="_x0000_s1042" type="#_x0000_t202" style="width:81pt;height:39pt;margin-top:195pt;margin-left:279pt;position:absolute;z-index:251670528" filled="f" stroked="f">
            <v:textbox>
              <w:txbxContent>
                <w:p w:rsidR="009A23D7" w:rsidP="00C35BC5">
                  <w:r>
                    <w:rPr>
                      <w:rFonts w:hint="eastAsia"/>
                    </w:rPr>
                    <w:t>具有鲜明价值特征的备选股</w:t>
                  </w:r>
                </w:p>
              </w:txbxContent>
            </v:textbox>
          </v:shape>
        </w:pict>
      </w:r>
      <w:r>
        <w:rPr>
          <w:rFonts w:asciiTheme="minorEastAsia" w:eastAsiaTheme="minorEastAsia" w:hAnsiTheme="minorEastAsia"/>
          <w:b/>
          <w:bCs/>
          <w:noProof/>
          <w:color w:val="000000" w:themeColor="text1"/>
          <w:sz w:val="20"/>
        </w:rPr>
        <w:pict>
          <v:oval id="_x0000_s1043" style="width:108pt;height:54.6pt;margin-top:187.2pt;margin-left:270pt;position:absolute;z-index:251669504" fillcolor="#cff"/>
        </w:pict>
      </w:r>
      <w:r>
        <w:rPr>
          <w:rFonts w:asciiTheme="minorEastAsia" w:eastAsiaTheme="minorEastAsia" w:hAnsiTheme="minorEastAsia"/>
          <w:b/>
          <w:bCs/>
          <w:noProof/>
          <w:color w:val="000000" w:themeColor="text1"/>
          <w:sz w:val="20"/>
        </w:rPr>
        <w:pict>
          <v:shapetype id="_x0000_t119" coordsize="21600,21600" o:spt="119" path="m,l21600,,17240,21600r-12880,xe">
            <v:stroke joinstyle="miter"/>
            <v:path gradientshapeok="t" o:connecttype="custom" o:connectlocs="10800,0;2180,10800;10800,21600;19420,10800" textboxrect="4321,0,17204,21600"/>
          </v:shapetype>
          <v:shape id="_x0000_s1044" type="#_x0000_t119" style="width:135pt;height:85.8pt;margin-top:78pt;margin-left:261pt;position:absolute;z-index:251659264"/>
        </w:pict>
      </w:r>
      <w:r>
        <w:rPr>
          <w:rFonts w:asciiTheme="minorEastAsia" w:eastAsiaTheme="minorEastAsia" w:hAnsiTheme="minorEastAsia"/>
          <w:b/>
          <w:bCs/>
          <w:noProof/>
          <w:color w:val="000000" w:themeColor="text1"/>
          <w:sz w:val="20"/>
        </w:rPr>
        <w:pict>
          <v:shape id="_x0000_s1045" type="#_x0000_t202" style="width:2in;height:23.4pt;margin-top:54.6pt;margin-left:108pt;position:absolute;z-index:251664384" fillcolor="#fc9">
            <v:textbox>
              <w:txbxContent>
                <w:p w:rsidR="009A23D7" w:rsidP="00C35BC5">
                  <w:pPr>
                    <w:jc w:val="center"/>
                  </w:pPr>
                  <w:r>
                    <w:rPr>
                      <w:rFonts w:hint="eastAsia"/>
                      <w:b/>
                      <w:bCs/>
                    </w:rPr>
                    <w:t>成长股评价模型</w:t>
                  </w:r>
                </w:p>
              </w:txbxContent>
            </v:textbox>
          </v:shape>
        </w:pict>
      </w:r>
      <w:r>
        <w:rPr>
          <w:rFonts w:asciiTheme="minorEastAsia" w:eastAsiaTheme="minorEastAsia" w:hAnsiTheme="minorEastAsia"/>
          <w:b/>
          <w:bCs/>
          <w:noProof/>
          <w:color w:val="000000" w:themeColor="text1"/>
          <w:sz w:val="20"/>
        </w:rPr>
        <w:pict>
          <v:shape id="_x0000_s1046" type="#_x0000_t119" style="width:2in;height:85.8pt;margin-top:78pt;margin-left:108pt;position:absolute;z-index:251662336"/>
        </w:pict>
      </w:r>
      <w:r>
        <w:rPr>
          <w:rFonts w:asciiTheme="minorEastAsia" w:eastAsiaTheme="minorEastAsia" w:hAnsiTheme="minorEastAsia"/>
          <w:b/>
          <w:bCs/>
          <w:noProof/>
          <w:color w:val="000000" w:themeColor="text1"/>
          <w:sz w:val="20"/>
        </w:rPr>
        <w:pict>
          <v:shape id="_x0000_s1047" type="#_x0000_t202" style="width:117pt;height:85.8pt;margin-top:78pt;margin-left:279pt;position:absolute;z-index:251665408" filled="f" stroked="f">
            <v:textbox>
              <w:txbxContent>
                <w:p w:rsidR="009A23D7" w:rsidP="00C35BC5">
                  <w:pPr>
                    <w:numPr>
                      <w:ilvl w:val="0"/>
                      <w:numId w:val="16"/>
                    </w:numPr>
                  </w:pPr>
                  <w:r>
                    <w:rPr>
                      <w:rFonts w:hint="eastAsia"/>
                    </w:rPr>
                    <w:t>市净率；</w:t>
                  </w:r>
                </w:p>
                <w:p w:rsidR="009A23D7" w:rsidP="00C35BC5">
                  <w:pPr>
                    <w:numPr>
                      <w:ilvl w:val="0"/>
                      <w:numId w:val="16"/>
                    </w:numPr>
                  </w:pPr>
                  <w:r>
                    <w:rPr>
                      <w:rFonts w:hint="eastAsia"/>
                    </w:rPr>
                    <w:t>预期股息收益率；</w:t>
                  </w:r>
                </w:p>
                <w:p w:rsidR="009A23D7" w:rsidP="00C35BC5">
                  <w:pPr>
                    <w:numPr>
                      <w:ilvl w:val="0"/>
                      <w:numId w:val="16"/>
                    </w:numPr>
                  </w:pPr>
                  <w:r>
                    <w:rPr>
                      <w:rFonts w:hint="eastAsia"/>
                    </w:rPr>
                    <w:t>市销率；</w:t>
                  </w:r>
                </w:p>
                <w:p w:rsidR="009A23D7" w:rsidP="00C35BC5">
                  <w:pPr>
                    <w:numPr>
                      <w:ilvl w:val="0"/>
                      <w:numId w:val="16"/>
                    </w:numPr>
                  </w:pPr>
                  <w:r>
                    <w:rPr>
                      <w:rFonts w:hint="eastAsia"/>
                    </w:rPr>
                    <w:t>预期市盈率。</w:t>
                  </w:r>
                </w:p>
                <w:p w:rsidR="009A23D7" w:rsidP="00C35BC5"/>
              </w:txbxContent>
            </v:textbox>
          </v:shape>
        </w:pict>
      </w:r>
      <w:r>
        <w:rPr>
          <w:rFonts w:asciiTheme="minorEastAsia" w:eastAsiaTheme="minorEastAsia" w:hAnsiTheme="minorEastAsia"/>
          <w:b/>
          <w:bCs/>
          <w:noProof/>
          <w:color w:val="000000" w:themeColor="text1"/>
          <w:sz w:val="20"/>
        </w:rPr>
        <w:pict>
          <v:shape id="_x0000_s1048" type="#_x0000_t202" style="width:135pt;height:23.4pt;margin-top:54.6pt;margin-left:261pt;position:absolute;z-index:251666432" fillcolor="#cff">
            <v:textbox>
              <w:txbxContent>
                <w:p w:rsidR="009A23D7" w:rsidP="00C35BC5">
                  <w:pPr>
                    <w:jc w:val="center"/>
                  </w:pPr>
                  <w:r>
                    <w:rPr>
                      <w:rFonts w:hint="eastAsia"/>
                      <w:b/>
                      <w:bCs/>
                    </w:rPr>
                    <w:t>价值股评价模型</w:t>
                  </w:r>
                </w:p>
              </w:txbxContent>
            </v:textbox>
          </v:shape>
        </w:pict>
      </w:r>
      <w:r>
        <w:rPr>
          <w:rFonts w:asciiTheme="minorEastAsia" w:eastAsiaTheme="minorEastAsia" w:hAnsiTheme="minorEastAsia"/>
          <w:b/>
          <w:bCs/>
          <w:noProof/>
          <w:color w:val="000000" w:themeColor="text1"/>
          <w:sz w:val="20"/>
        </w:rPr>
        <w:pict>
          <v:shape id="_x0000_s1049" type="#_x0000_t202" style="width:4in;height:31.2pt;margin-top:7.8pt;margin-left:117pt;position:absolute;z-index:251660288" fillcolor="#ccecff">
            <v:textbox>
              <w:txbxContent>
                <w:p w:rsidR="009A23D7" w:rsidP="00C35BC5">
                  <w:pPr>
                    <w:jc w:val="center"/>
                    <w:rPr>
                      <w:b/>
                      <w:bCs/>
                      <w:sz w:val="24"/>
                    </w:rPr>
                  </w:pPr>
                  <w:r>
                    <w:rPr>
                      <w:rFonts w:hint="eastAsia"/>
                      <w:b/>
                      <w:bCs/>
                      <w:sz w:val="24"/>
                    </w:rPr>
                    <w:t>备选股票库</w:t>
                  </w:r>
                </w:p>
              </w:txbxContent>
            </v:textbox>
          </v:shape>
        </w:pict>
      </w:r>
      <w:r w:rsidRPr="00C86E67" w:rsidR="00C35BC5">
        <w:rPr>
          <w:rFonts w:asciiTheme="minorEastAsia" w:eastAsiaTheme="minorEastAsia" w:hAnsiTheme="minorEastAsia"/>
          <w:b/>
          <w:bCs/>
          <w:color w:val="000000" w:themeColor="text1"/>
          <w:sz w:val="24"/>
        </w:rPr>
        <w:br w:type="page"/>
      </w:r>
    </w:p>
    <w:p w:rsidR="00D0433B" w:rsidRPr="00C86E67" w:rsidP="00D0433B">
      <w:pPr>
        <w:snapToGrid w:val="0"/>
        <w:spacing w:line="360" w:lineRule="auto"/>
        <w:rPr>
          <w:rFonts w:asciiTheme="minorEastAsia" w:eastAsiaTheme="minorEastAsia" w:hAnsiTheme="minorEastAsia"/>
          <w:b/>
          <w:color w:val="000000" w:themeColor="text1"/>
        </w:rPr>
      </w:pPr>
      <w:r w:rsidRPr="00C86E67">
        <w:rPr>
          <w:rFonts w:asciiTheme="minorEastAsia" w:eastAsiaTheme="minorEastAsia" w:hAnsiTheme="minorEastAsia" w:hint="eastAsia"/>
          <w:b/>
          <w:color w:val="000000" w:themeColor="text1"/>
        </w:rPr>
        <w:t>3、存托凭证投资策略</w:t>
      </w:r>
    </w:p>
    <w:p w:rsidR="00D0433B" w:rsidRPr="00C86E67" w:rsidP="00D2657F">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本基金可投资存托凭证，本基金将结合对宏观经济状况、行业景气度、公司竞争优势、公司治理结构、估值水平等因素的分析判断，选择投资价值高的存托凭证进行投资。</w:t>
      </w:r>
    </w:p>
    <w:p w:rsidR="00C35BC5" w:rsidRPr="00C86E67" w:rsidP="00552BE1">
      <w:pPr>
        <w:snapToGrid w:val="0"/>
        <w:spacing w:line="360" w:lineRule="auto"/>
        <w:rPr>
          <w:rFonts w:asciiTheme="minorEastAsia" w:eastAsiaTheme="minorEastAsia" w:hAnsiTheme="minorEastAsia"/>
          <w:b/>
          <w:color w:val="000000" w:themeColor="text1"/>
        </w:rPr>
      </w:pPr>
      <w:r w:rsidRPr="00C86E67">
        <w:rPr>
          <w:rFonts w:asciiTheme="minorEastAsia" w:eastAsiaTheme="minorEastAsia" w:hAnsiTheme="minorEastAsia" w:hint="eastAsia"/>
          <w:b/>
          <w:color w:val="000000" w:themeColor="text1"/>
        </w:rPr>
        <w:t>4</w:t>
      </w:r>
      <w:r w:rsidRPr="00C86E67" w:rsidR="00552BE1">
        <w:rPr>
          <w:rFonts w:asciiTheme="minorEastAsia" w:eastAsiaTheme="minorEastAsia" w:hAnsiTheme="minorEastAsia" w:hint="eastAsia"/>
          <w:b/>
          <w:color w:val="000000" w:themeColor="text1"/>
        </w:rPr>
        <w:t>、</w:t>
      </w:r>
      <w:r w:rsidRPr="00C86E67">
        <w:rPr>
          <w:rFonts w:asciiTheme="minorEastAsia" w:eastAsiaTheme="minorEastAsia" w:hAnsiTheme="minorEastAsia" w:hint="eastAsia"/>
          <w:b/>
          <w:color w:val="000000" w:themeColor="text1"/>
        </w:rPr>
        <w:t>债券投资策略</w:t>
      </w:r>
    </w:p>
    <w:p w:rsidR="00C35BC5" w:rsidRPr="00C86E67" w:rsidP="00552BE1">
      <w:pPr>
        <w:snapToGrid w:val="0"/>
        <w:spacing w:line="360" w:lineRule="auto"/>
        <w:ind w:firstLine="54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在债券投资方面，本基金将主要通过类属配置与券种选择两个层次进行投资管理。在类属配置层次，结合对宏观经济、市场利率、供求变化等因素的综合分析，根据交易所市场与银行间市场类属资产的风险收益特征，定期对投资组合类属资产进行优化配置和调整，确定类属资产的最优权重。</w:t>
      </w:r>
    </w:p>
    <w:p w:rsidR="00C35BC5" w:rsidRPr="00C86E67" w:rsidP="00552BE1">
      <w:pPr>
        <w:snapToGrid w:val="0"/>
        <w:spacing w:line="360" w:lineRule="auto"/>
        <w:ind w:firstLine="54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在券种选择上，本基金以长期利率趋势分析为基础，结合经济变化趋势、货币政策及不同债券品种的收益率水平、流动性和信用风险等因素，合理运用投资管理策略，实施积极主动的债券投资管理。具体策略有：</w:t>
      </w:r>
    </w:p>
    <w:p w:rsidR="00C35BC5" w:rsidRPr="00C86E67" w:rsidP="00552BE1">
      <w:pPr>
        <w:snapToGrid w:val="0"/>
        <w:spacing w:line="360" w:lineRule="auto"/>
        <w:ind w:firstLine="540"/>
        <w:rPr>
          <w:rFonts w:asciiTheme="minorEastAsia" w:eastAsiaTheme="minorEastAsia" w:hAnsiTheme="minorEastAsia"/>
          <w:color w:val="000000" w:themeColor="text1"/>
          <w:kern w:val="0"/>
          <w:szCs w:val="21"/>
        </w:rPr>
      </w:pPr>
      <w:r w:rsidRPr="00C86E67">
        <w:rPr>
          <w:rFonts w:asciiTheme="minorEastAsia" w:eastAsiaTheme="minorEastAsia" w:hAnsiTheme="minorEastAsia"/>
          <w:color w:val="000000" w:themeColor="text1"/>
          <w:kern w:val="0"/>
          <w:szCs w:val="21"/>
        </w:rPr>
        <w:t>1</w:t>
      </w:r>
      <w:r w:rsidRPr="00C86E67">
        <w:rPr>
          <w:rFonts w:asciiTheme="minorEastAsia" w:eastAsiaTheme="minorEastAsia" w:hAnsiTheme="minorEastAsia" w:hint="eastAsia"/>
          <w:color w:val="000000" w:themeColor="text1"/>
          <w:kern w:val="0"/>
          <w:szCs w:val="21"/>
        </w:rPr>
        <w:t>）利率预期策略：本基金将首先根据对国内外经济形势的预测，分析市场投资环境的变化趋势，重点关注利率趋势变化；其次，在判断利率变动趋势时，我们将重点考虑货币供给的预期效应、通货膨胀与费雪效应以及资金流量变化等，全面分析宏观经济、货币政策与财政政策、债券市场政策趋势、物价水平变化趋势等因素，对利率走势形成合理预期。</w:t>
      </w:r>
    </w:p>
    <w:p w:rsidR="00C35BC5" w:rsidRPr="00C86E67" w:rsidP="00552BE1">
      <w:pPr>
        <w:snapToGrid w:val="0"/>
        <w:spacing w:line="360" w:lineRule="auto"/>
        <w:ind w:firstLine="540"/>
        <w:rPr>
          <w:rFonts w:asciiTheme="minorEastAsia" w:eastAsiaTheme="minorEastAsia" w:hAnsiTheme="minorEastAsia"/>
          <w:color w:val="000000" w:themeColor="text1"/>
          <w:kern w:val="0"/>
          <w:szCs w:val="21"/>
        </w:rPr>
      </w:pPr>
      <w:r w:rsidRPr="00C86E67">
        <w:rPr>
          <w:rFonts w:asciiTheme="minorEastAsia" w:eastAsiaTheme="minorEastAsia" w:hAnsiTheme="minorEastAsia"/>
          <w:color w:val="000000" w:themeColor="text1"/>
          <w:kern w:val="0"/>
          <w:szCs w:val="21"/>
        </w:rPr>
        <w:t>2</w:t>
      </w:r>
      <w:r w:rsidRPr="00C86E67">
        <w:rPr>
          <w:rFonts w:asciiTheme="minorEastAsia" w:eastAsiaTheme="minorEastAsia" w:hAnsiTheme="minorEastAsia" w:hint="eastAsia"/>
          <w:color w:val="000000" w:themeColor="text1"/>
          <w:kern w:val="0"/>
          <w:szCs w:val="21"/>
        </w:rPr>
        <w:t>）估值策略：建立不同品种的收益率曲线预测模型，并通过这些模型进行估值，确定价格中枢的变动趋势。根据收益率、流动性、风险匹配原则以及债券的估值原则构建投资组合，合理选择不同市场中有投资价值的券种，并根据投资环境的变化相机调整。</w:t>
      </w:r>
    </w:p>
    <w:p w:rsidR="00C35BC5" w:rsidRPr="00C86E67" w:rsidP="00552BE1">
      <w:pPr>
        <w:snapToGrid w:val="0"/>
        <w:spacing w:line="360" w:lineRule="auto"/>
        <w:ind w:firstLine="540"/>
        <w:rPr>
          <w:rFonts w:asciiTheme="minorEastAsia" w:eastAsiaTheme="minorEastAsia" w:hAnsiTheme="minorEastAsia"/>
          <w:color w:val="000000" w:themeColor="text1"/>
          <w:kern w:val="0"/>
          <w:szCs w:val="21"/>
        </w:rPr>
      </w:pPr>
      <w:r w:rsidRPr="00C86E67">
        <w:rPr>
          <w:rFonts w:asciiTheme="minorEastAsia" w:eastAsiaTheme="minorEastAsia" w:hAnsiTheme="minorEastAsia"/>
          <w:color w:val="000000" w:themeColor="text1"/>
          <w:kern w:val="0"/>
          <w:szCs w:val="21"/>
        </w:rPr>
        <w:t>3</w:t>
      </w:r>
      <w:r w:rsidRPr="00C86E67">
        <w:rPr>
          <w:rFonts w:asciiTheme="minorEastAsia" w:eastAsiaTheme="minorEastAsia" w:hAnsiTheme="minorEastAsia" w:hint="eastAsia"/>
          <w:color w:val="000000" w:themeColor="text1"/>
          <w:kern w:val="0"/>
          <w:szCs w:val="21"/>
        </w:rPr>
        <w:t>）久期管理：本基金努力把握久期与债券价格波动之间的量化关系，根据未来利率变化预期，以久期和收益率变化评估为核心,通过久期管理，合理配置投资品种。在预期利率下降时适度增加久期，在预期利率上升时适度缩小久期。</w:t>
      </w:r>
    </w:p>
    <w:p w:rsidR="00C35BC5" w:rsidRPr="00C86E67" w:rsidP="00552BE1">
      <w:pPr>
        <w:snapToGrid w:val="0"/>
        <w:spacing w:line="360" w:lineRule="auto"/>
        <w:ind w:firstLine="42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随着国内债券市场的深入发展和结构性变迁，更多债券新品种和交易形式将增加债券投资盈利模式，本基金会密切跟踪市场动态变化，选择合适的介入机会,谋求高于市场平均水平的投资回报。</w:t>
      </w:r>
    </w:p>
    <w:p w:rsidR="00C35BC5" w:rsidRPr="00C86E67" w:rsidP="00C9149F">
      <w:pPr>
        <w:snapToGrid w:val="0"/>
        <w:spacing w:line="360" w:lineRule="auto"/>
        <w:rPr>
          <w:rFonts w:asciiTheme="minorEastAsia" w:eastAsiaTheme="minorEastAsia" w:hAnsiTheme="minorEastAsia"/>
          <w:b/>
          <w:color w:val="000000" w:themeColor="text1"/>
        </w:rPr>
      </w:pPr>
      <w:r w:rsidRPr="00C86E67">
        <w:rPr>
          <w:rFonts w:asciiTheme="minorEastAsia" w:eastAsiaTheme="minorEastAsia" w:hAnsiTheme="minorEastAsia" w:hint="eastAsia"/>
          <w:b/>
          <w:color w:val="000000" w:themeColor="text1"/>
        </w:rPr>
        <w:t>5</w:t>
      </w:r>
      <w:r w:rsidRPr="00C86E67" w:rsidR="00552BE1">
        <w:rPr>
          <w:rFonts w:asciiTheme="minorEastAsia" w:eastAsiaTheme="minorEastAsia" w:hAnsiTheme="minorEastAsia" w:hint="eastAsia"/>
          <w:b/>
          <w:color w:val="000000" w:themeColor="text1"/>
        </w:rPr>
        <w:t>、</w:t>
      </w:r>
      <w:r w:rsidRPr="00C86E67">
        <w:rPr>
          <w:rFonts w:asciiTheme="minorEastAsia" w:eastAsiaTheme="minorEastAsia" w:hAnsiTheme="minorEastAsia" w:hint="eastAsia"/>
          <w:b/>
          <w:color w:val="000000" w:themeColor="text1"/>
        </w:rPr>
        <w:t>权证投资策略</w:t>
      </w:r>
    </w:p>
    <w:p w:rsidR="00C35BC5" w:rsidRPr="00C86E67" w:rsidP="00552BE1">
      <w:pPr>
        <w:snapToGrid w:val="0"/>
        <w:spacing w:line="360" w:lineRule="auto"/>
        <w:ind w:firstLine="54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权证为本基金辅助性投资工具，投资原则为有利于基金资产增值、控制下跌风险、实现保值和锁定收益。本基金将主要投资满足成长和价值优选条件的公司发行的权证。</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56" w:name="_Toc91764833"/>
      <w:bookmarkEnd w:id="754"/>
      <w:bookmarkEnd w:id="755"/>
      <w:r w:rsidRPr="00C86E67">
        <w:rPr>
          <w:rFonts w:asciiTheme="minorEastAsia" w:eastAsiaTheme="minorEastAsia" w:hAnsiTheme="minorEastAsia" w:hint="eastAsia"/>
          <w:b w:val="0"/>
          <w:bCs/>
          <w:color w:val="000000" w:themeColor="text1"/>
        </w:rPr>
        <w:t>（五）业绩</w:t>
      </w:r>
      <w:r w:rsidRPr="00C86E67">
        <w:rPr>
          <w:rFonts w:asciiTheme="minorEastAsia" w:eastAsiaTheme="minorEastAsia" w:hAnsiTheme="minorEastAsia"/>
          <w:b w:val="0"/>
          <w:bCs/>
          <w:color w:val="000000" w:themeColor="text1"/>
        </w:rPr>
        <w:t>比较基准</w:t>
      </w:r>
      <w:bookmarkEnd w:id="751"/>
      <w:bookmarkEnd w:id="752"/>
      <w:bookmarkEnd w:id="756"/>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沪深300指数收益率</w:t>
      </w:r>
      <w:r w:rsidRPr="00C86E67" w:rsidR="00084F6A">
        <w:rPr>
          <w:rFonts w:asciiTheme="minorEastAsia" w:eastAsiaTheme="minorEastAsia" w:hAnsiTheme="minorEastAsia" w:hint="eastAsia"/>
          <w:color w:val="000000" w:themeColor="text1"/>
          <w:kern w:val="0"/>
        </w:rPr>
        <w:t>×</w:t>
      </w:r>
      <w:r w:rsidRPr="00C86E67">
        <w:rPr>
          <w:rFonts w:asciiTheme="minorEastAsia" w:eastAsiaTheme="minorEastAsia" w:hAnsiTheme="minorEastAsia" w:hint="eastAsia"/>
          <w:color w:val="000000" w:themeColor="text1"/>
        </w:rPr>
        <w:t>70%+上证国债指数收益率</w:t>
      </w:r>
      <w:r w:rsidRPr="00C86E67" w:rsidR="00084F6A">
        <w:rPr>
          <w:rFonts w:asciiTheme="minorEastAsia" w:eastAsiaTheme="minorEastAsia" w:hAnsiTheme="minorEastAsia" w:hint="eastAsia"/>
          <w:color w:val="000000" w:themeColor="text1"/>
          <w:kern w:val="0"/>
        </w:rPr>
        <w:t>×</w:t>
      </w:r>
      <w:r w:rsidRPr="00C86E67">
        <w:rPr>
          <w:rFonts w:asciiTheme="minorEastAsia" w:eastAsiaTheme="minorEastAsia" w:hAnsiTheme="minorEastAsia" w:hint="eastAsia"/>
          <w:color w:val="000000" w:themeColor="text1"/>
        </w:rPr>
        <w:t>30%</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如果</w:t>
      </w:r>
      <w:r w:rsidRPr="00C86E67">
        <w:rPr>
          <w:rFonts w:asciiTheme="minorEastAsia" w:eastAsiaTheme="minorEastAsia" w:hAnsiTheme="minorEastAsia" w:hint="eastAsia"/>
          <w:color w:val="000000" w:themeColor="text1"/>
        </w:rPr>
        <w:t>指数编制单位</w:t>
      </w:r>
      <w:r w:rsidRPr="00C86E67">
        <w:rPr>
          <w:rFonts w:asciiTheme="minorEastAsia" w:eastAsiaTheme="minorEastAsia" w:hAnsiTheme="minorEastAsia"/>
          <w:color w:val="000000" w:themeColor="text1"/>
        </w:rPr>
        <w:t>停止计算编制</w:t>
      </w:r>
      <w:r w:rsidRPr="00C86E67">
        <w:rPr>
          <w:rFonts w:asciiTheme="minorEastAsia" w:eastAsiaTheme="minorEastAsia" w:hAnsiTheme="minorEastAsia" w:hint="eastAsia"/>
          <w:color w:val="000000" w:themeColor="text1"/>
        </w:rPr>
        <w:t>该</w:t>
      </w:r>
      <w:r w:rsidRPr="00C86E67">
        <w:rPr>
          <w:rFonts w:asciiTheme="minorEastAsia" w:eastAsiaTheme="minorEastAsia" w:hAnsiTheme="minorEastAsia"/>
          <w:color w:val="000000" w:themeColor="text1"/>
        </w:rPr>
        <w:t>指数或更改指数名称</w:t>
      </w:r>
      <w:r w:rsidRPr="00C86E67">
        <w:rPr>
          <w:rFonts w:asciiTheme="minorEastAsia" w:eastAsiaTheme="minorEastAsia" w:hAnsiTheme="minorEastAsia" w:hint="eastAsia"/>
          <w:color w:val="000000" w:themeColor="text1"/>
        </w:rPr>
        <w:t>、或</w:t>
      </w:r>
      <w:r w:rsidRPr="00C86E67">
        <w:rPr>
          <w:rFonts w:asciiTheme="minorEastAsia" w:eastAsiaTheme="minorEastAsia" w:hAnsiTheme="minorEastAsia"/>
          <w:color w:val="000000" w:themeColor="text1"/>
        </w:rPr>
        <w:t>有更权威的、更能为市场普遍接受的业绩比较基准推出</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本基金</w:t>
      </w:r>
      <w:r w:rsidRPr="00C86E67">
        <w:rPr>
          <w:rFonts w:asciiTheme="minorEastAsia" w:eastAsiaTheme="minorEastAsia" w:hAnsiTheme="minorEastAsia" w:hint="eastAsia"/>
          <w:color w:val="000000" w:themeColor="text1"/>
        </w:rPr>
        <w:t>管理人</w:t>
      </w:r>
      <w:r w:rsidRPr="00C86E67">
        <w:rPr>
          <w:rFonts w:asciiTheme="minorEastAsia" w:eastAsiaTheme="minorEastAsia" w:hAnsiTheme="minorEastAsia"/>
          <w:color w:val="000000" w:themeColor="text1"/>
          <w:szCs w:val="21"/>
        </w:rPr>
        <w:t>有权对此基准进行调整并</w:t>
      </w:r>
      <w:r w:rsidRPr="00C86E67">
        <w:rPr>
          <w:rFonts w:asciiTheme="minorEastAsia" w:eastAsiaTheme="minorEastAsia" w:hAnsiTheme="minorEastAsia" w:hint="eastAsia"/>
          <w:color w:val="000000" w:themeColor="text1"/>
          <w:szCs w:val="21"/>
        </w:rPr>
        <w:t>及时</w:t>
      </w:r>
      <w:r w:rsidRPr="00C86E67">
        <w:rPr>
          <w:rFonts w:asciiTheme="minorEastAsia" w:eastAsiaTheme="minorEastAsia" w:hAnsiTheme="minorEastAsia"/>
          <w:color w:val="000000" w:themeColor="text1"/>
          <w:szCs w:val="21"/>
        </w:rPr>
        <w:t>公告。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本基金为</w:t>
      </w:r>
      <w:r w:rsidRPr="00C86E67">
        <w:rPr>
          <w:rFonts w:asciiTheme="minorEastAsia" w:eastAsiaTheme="minorEastAsia" w:hAnsiTheme="minorEastAsia" w:hint="eastAsia"/>
          <w:color w:val="000000" w:themeColor="text1"/>
        </w:rPr>
        <w:t>混合</w:t>
      </w:r>
      <w:r w:rsidRPr="00C86E67">
        <w:rPr>
          <w:rFonts w:asciiTheme="minorEastAsia" w:eastAsiaTheme="minorEastAsia" w:hAnsiTheme="minorEastAsia"/>
          <w:color w:val="000000" w:themeColor="text1"/>
        </w:rPr>
        <w:t>型基金，在考虑了基金股票组合的投资标的、构建流程以及市场上各个股票指数的</w:t>
      </w:r>
      <w:r w:rsidRPr="00C86E67">
        <w:rPr>
          <w:rFonts w:asciiTheme="minorEastAsia" w:eastAsiaTheme="minorEastAsia" w:hAnsiTheme="minorEastAsia" w:hint="eastAsia"/>
          <w:color w:val="000000" w:themeColor="text1"/>
        </w:rPr>
        <w:t>编制方法</w:t>
      </w:r>
      <w:r w:rsidRPr="00C86E67">
        <w:rPr>
          <w:rFonts w:asciiTheme="minorEastAsia" w:eastAsiaTheme="minorEastAsia" w:hAnsiTheme="minorEastAsia"/>
          <w:color w:val="000000" w:themeColor="text1"/>
        </w:rPr>
        <w:t>和历史情况后，我们选定</w:t>
      </w:r>
      <w:r w:rsidRPr="00C86E67">
        <w:rPr>
          <w:rFonts w:asciiTheme="minorEastAsia" w:eastAsiaTheme="minorEastAsia" w:hAnsiTheme="minorEastAsia" w:hint="eastAsia"/>
          <w:color w:val="000000" w:themeColor="text1"/>
        </w:rPr>
        <w:t>被市场广泛认同的</w:t>
      </w:r>
      <w:r w:rsidRPr="00C86E67">
        <w:rPr>
          <w:rFonts w:asciiTheme="minorEastAsia" w:eastAsiaTheme="minorEastAsia" w:hAnsiTheme="minorEastAsia"/>
          <w:color w:val="000000" w:themeColor="text1"/>
        </w:rPr>
        <w:t>沪深300指数作为</w:t>
      </w:r>
      <w:r w:rsidRPr="00C86E67">
        <w:rPr>
          <w:rFonts w:asciiTheme="minorEastAsia" w:eastAsiaTheme="minorEastAsia" w:hAnsiTheme="minorEastAsia" w:hint="eastAsia"/>
          <w:color w:val="000000" w:themeColor="text1"/>
        </w:rPr>
        <w:t>本</w:t>
      </w:r>
      <w:r w:rsidRPr="00C86E67">
        <w:rPr>
          <w:rFonts w:asciiTheme="minorEastAsia" w:eastAsiaTheme="minorEastAsia" w:hAnsiTheme="minorEastAsia"/>
          <w:color w:val="000000" w:themeColor="text1"/>
        </w:rPr>
        <w:t>基金股票组合的业绩基准；债券组合的业绩基准则采用了市场上通用的上证国债指数。</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57" w:name="_Toc87269125"/>
      <w:bookmarkStart w:id="758" w:name="_Toc91764834"/>
      <w:bookmarkStart w:id="759" w:name="_Toc84149642"/>
      <w:r w:rsidRPr="00C86E67">
        <w:rPr>
          <w:rFonts w:asciiTheme="minorEastAsia" w:eastAsiaTheme="minorEastAsia" w:hAnsiTheme="minorEastAsia" w:hint="eastAsia"/>
          <w:b w:val="0"/>
          <w:bCs/>
          <w:color w:val="000000" w:themeColor="text1"/>
        </w:rPr>
        <w:t>（六）风险收益特征</w:t>
      </w:r>
      <w:bookmarkEnd w:id="757"/>
      <w:bookmarkEnd w:id="758"/>
    </w:p>
    <w:bookmarkEnd w:id="759"/>
    <w:p w:rsidR="002F61BB" w:rsidRPr="00C86E67" w:rsidP="00552BE1">
      <w:pPr>
        <w:snapToGrid w:val="0"/>
        <w:spacing w:line="360" w:lineRule="auto"/>
        <w:ind w:firstLine="435"/>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本基金为混合型基金，理论上其风险收益水平低于股票型基金，高于债券型基金及货币市场基金。</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60" w:name="_Toc91764835"/>
      <w:r w:rsidRPr="00C86E67">
        <w:rPr>
          <w:rFonts w:asciiTheme="minorEastAsia" w:eastAsiaTheme="minorEastAsia" w:hAnsiTheme="minorEastAsia" w:hint="eastAsia"/>
          <w:b w:val="0"/>
          <w:bCs/>
          <w:color w:val="000000" w:themeColor="text1"/>
        </w:rPr>
        <w:t>（七）</w:t>
      </w:r>
      <w:bookmarkStart w:id="761" w:name="_Toc52310852"/>
      <w:bookmarkStart w:id="762" w:name="_Toc64861727"/>
      <w:r w:rsidRPr="00C86E67">
        <w:rPr>
          <w:rFonts w:asciiTheme="minorEastAsia" w:eastAsiaTheme="minorEastAsia" w:hAnsiTheme="minorEastAsia" w:hint="eastAsia"/>
          <w:b w:val="0"/>
          <w:bCs/>
          <w:color w:val="000000" w:themeColor="text1"/>
        </w:rPr>
        <w:t>投资决策</w:t>
      </w:r>
      <w:bookmarkEnd w:id="760"/>
      <w:bookmarkEnd w:id="761"/>
      <w:bookmarkEnd w:id="762"/>
    </w:p>
    <w:p w:rsidR="00C35BC5" w:rsidRPr="00C86E67" w:rsidP="00552BE1">
      <w:pPr>
        <w:snapToGrid w:val="0"/>
        <w:spacing w:line="360" w:lineRule="auto"/>
        <w:ind w:firstLine="420" w:firstLineChars="200"/>
        <w:rPr>
          <w:rFonts w:asciiTheme="minorEastAsia" w:eastAsiaTheme="minorEastAsia" w:hAnsiTheme="minorEastAsia"/>
          <w:b/>
          <w:color w:val="000000" w:themeColor="text1"/>
        </w:rPr>
      </w:pPr>
      <w:r w:rsidRPr="00C86E67">
        <w:rPr>
          <w:rFonts w:asciiTheme="minorEastAsia" w:eastAsiaTheme="minorEastAsia" w:hAnsiTheme="minorEastAsia" w:hint="eastAsia"/>
          <w:b/>
          <w:color w:val="000000" w:themeColor="text1"/>
        </w:rPr>
        <w:t>1、资产配置决策</w:t>
      </w:r>
    </w:p>
    <w:p w:rsidR="00C35BC5" w:rsidRPr="00C86E67" w:rsidP="00552BE1">
      <w:pPr>
        <w:pStyle w:val="20"/>
        <w:snapToGrid w:val="0"/>
        <w:spacing w:before="0" w:beforeAutospacing="0" w:after="0" w:afterAutospacing="0"/>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基金经理根据基金合同的要求以及投资决策委员会的指导性意见，确定基金资产的配置比例。</w:t>
      </w:r>
    </w:p>
    <w:p w:rsidR="00C35BC5" w:rsidRPr="00C86E67" w:rsidP="00552BE1">
      <w:pPr>
        <w:snapToGrid w:val="0"/>
        <w:spacing w:line="360" w:lineRule="auto"/>
        <w:ind w:firstLine="420" w:firstLineChars="200"/>
        <w:rPr>
          <w:rFonts w:asciiTheme="minorEastAsia" w:eastAsiaTheme="minorEastAsia" w:hAnsiTheme="minorEastAsia"/>
          <w:b/>
          <w:color w:val="000000" w:themeColor="text1"/>
        </w:rPr>
      </w:pPr>
      <w:r w:rsidRPr="00C86E67">
        <w:rPr>
          <w:rFonts w:asciiTheme="minorEastAsia" w:eastAsiaTheme="minorEastAsia" w:hAnsiTheme="minorEastAsia" w:hint="eastAsia"/>
          <w:b/>
          <w:color w:val="000000" w:themeColor="text1"/>
        </w:rPr>
        <w:t>2、类别资产投资决策</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基金经理在确定的资产配置比例范围内，根据各类资产的投资策略，分别进行股票、债券、货币市场工具等资产类别的投资决策。</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（1）股票投资决策</w:t>
      </w:r>
    </w:p>
    <w:p w:rsidR="00C35BC5" w:rsidRPr="00C86E67" w:rsidP="00552BE1">
      <w:pPr>
        <w:numPr>
          <w:ilvl w:val="0"/>
          <w:numId w:val="12"/>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基金经理</w:t>
      </w:r>
      <w:r w:rsidRPr="00C86E67">
        <w:rPr>
          <w:rFonts w:asciiTheme="minorEastAsia" w:eastAsiaTheme="minorEastAsia" w:hAnsiTheme="minorEastAsia" w:hint="eastAsia"/>
          <w:color w:val="000000" w:themeColor="text1"/>
        </w:rPr>
        <w:t>应用“易方达成长与价值股评价模型”，使用历史与预测的数据，从公司的备选库股票中选择成长与价值特性突出的股票；</w:t>
      </w:r>
    </w:p>
    <w:p w:rsidR="00C35BC5" w:rsidRPr="00C86E67" w:rsidP="00552BE1">
      <w:pPr>
        <w:numPr>
          <w:ilvl w:val="0"/>
          <w:numId w:val="12"/>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基金经理</w:t>
      </w:r>
      <w:r w:rsidRPr="00C86E67">
        <w:rPr>
          <w:rFonts w:asciiTheme="minorEastAsia" w:eastAsiaTheme="minorEastAsia" w:hAnsiTheme="minorEastAsia" w:hint="eastAsia"/>
          <w:color w:val="000000" w:themeColor="text1"/>
        </w:rPr>
        <w:t>应用优质成长股与优质价值股的评价标准，</w:t>
      </w:r>
      <w:r w:rsidRPr="00C86E67">
        <w:rPr>
          <w:rFonts w:asciiTheme="minorEastAsia" w:eastAsiaTheme="minorEastAsia" w:hAnsiTheme="minorEastAsia" w:hint="eastAsia"/>
          <w:color w:val="000000" w:themeColor="text1"/>
          <w:szCs w:val="21"/>
        </w:rPr>
        <w:t>根据行业研究员的上市公司研究报告，并结合自身的分析判断，精选投资价值较高的成长与价值股票作为本基金的备选投资对象；</w:t>
      </w:r>
    </w:p>
    <w:p w:rsidR="00C35BC5" w:rsidRPr="00C86E67" w:rsidP="00552BE1">
      <w:pPr>
        <w:numPr>
          <w:ilvl w:val="0"/>
          <w:numId w:val="12"/>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基金经理</w:t>
      </w:r>
      <w:r w:rsidRPr="00C86E67">
        <w:rPr>
          <w:rFonts w:asciiTheme="minorEastAsia" w:eastAsiaTheme="minorEastAsia" w:hAnsiTheme="minorEastAsia" w:hint="eastAsia"/>
          <w:color w:val="000000" w:themeColor="text1"/>
        </w:rPr>
        <w:t>根据对市场趋势的判断、成长股与价值股的相对估值及预期收益率水平，对成长与价值股的投资比例进行股票风格的</w:t>
      </w:r>
      <w:r w:rsidRPr="00C86E67">
        <w:rPr>
          <w:rFonts w:asciiTheme="minorEastAsia" w:eastAsiaTheme="minorEastAsia" w:hAnsiTheme="minorEastAsia" w:hint="eastAsia"/>
          <w:color w:val="000000" w:themeColor="text1"/>
          <w:szCs w:val="21"/>
        </w:rPr>
        <w:t>优化配置，构造股票投资组合；</w:t>
      </w:r>
    </w:p>
    <w:p w:rsidR="00C35BC5" w:rsidRPr="00C86E67" w:rsidP="00552BE1">
      <w:pPr>
        <w:numPr>
          <w:ilvl w:val="0"/>
          <w:numId w:val="12"/>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基金经理根据上市公司及行业基本面的变化以及对组合风险的评估，持续地对组合进行优化调整。</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（2）债券及货币工具的投资决策</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基金经理根据宏观研究员及债券研究员提供的研究报告，结合自身的分析判断，选择具体的债券（含可转债）和货币市场工具品种构造投资组合。</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763" w:name="_Toc91764836"/>
      <w:r w:rsidRPr="00C86E67">
        <w:rPr>
          <w:rFonts w:asciiTheme="minorEastAsia" w:eastAsiaTheme="minorEastAsia" w:hAnsiTheme="minorEastAsia" w:hint="eastAsia"/>
          <w:b w:val="0"/>
          <w:bCs/>
          <w:color w:val="000000" w:themeColor="text1"/>
        </w:rPr>
        <w:t>（八）投资</w:t>
      </w:r>
      <w:bookmarkEnd w:id="740"/>
      <w:r w:rsidRPr="00C86E67">
        <w:rPr>
          <w:rFonts w:asciiTheme="minorEastAsia" w:eastAsiaTheme="minorEastAsia" w:hAnsiTheme="minorEastAsia" w:hint="eastAsia"/>
          <w:b w:val="0"/>
          <w:bCs/>
          <w:color w:val="000000" w:themeColor="text1"/>
        </w:rPr>
        <w:t>限制</w:t>
      </w:r>
      <w:bookmarkEnd w:id="763"/>
    </w:p>
    <w:p w:rsidR="00C35BC5" w:rsidRPr="00C86E67" w:rsidP="00552BE1">
      <w:pPr>
        <w:snapToGrid w:val="0"/>
        <w:spacing w:line="360" w:lineRule="auto"/>
        <w:ind w:firstLine="420" w:firstLineChars="200"/>
        <w:rPr>
          <w:rStyle w:val="da"/>
          <w:rFonts w:asciiTheme="minorEastAsia" w:eastAsiaTheme="minorEastAsia" w:hAnsiTheme="minorEastAsia"/>
          <w:color w:val="000000" w:themeColor="text1"/>
        </w:rPr>
      </w:pPr>
      <w:r w:rsidRPr="00C86E67">
        <w:rPr>
          <w:rStyle w:val="da"/>
          <w:rFonts w:asciiTheme="minorEastAsia" w:eastAsiaTheme="minorEastAsia" w:hAnsiTheme="minorEastAsia" w:hint="eastAsia"/>
          <w:color w:val="000000" w:themeColor="text1"/>
        </w:rPr>
        <w:t>根据目前法律法规的规定，以及本基金的投资策略，本基金的投资组合将遵循以下限制：</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1、</w:t>
      </w:r>
      <w:r w:rsidRPr="00C86E67">
        <w:rPr>
          <w:rFonts w:asciiTheme="minorEastAsia" w:eastAsiaTheme="minorEastAsia" w:hAnsiTheme="minorEastAsia"/>
          <w:color w:val="000000" w:themeColor="text1"/>
          <w:sz w:val="21"/>
          <w:szCs w:val="21"/>
        </w:rPr>
        <w:t>本基金持有一家</w:t>
      </w:r>
      <w:r w:rsidRPr="00C86E67">
        <w:rPr>
          <w:rFonts w:asciiTheme="minorEastAsia" w:eastAsiaTheme="minorEastAsia" w:hAnsiTheme="minorEastAsia" w:hint="eastAsia"/>
          <w:color w:val="000000" w:themeColor="text1"/>
          <w:sz w:val="21"/>
          <w:szCs w:val="21"/>
        </w:rPr>
        <w:t>上市</w:t>
      </w:r>
      <w:r w:rsidRPr="00C86E67">
        <w:rPr>
          <w:rFonts w:asciiTheme="minorEastAsia" w:eastAsiaTheme="minorEastAsia" w:hAnsiTheme="minorEastAsia"/>
          <w:color w:val="000000" w:themeColor="text1"/>
          <w:sz w:val="21"/>
          <w:szCs w:val="21"/>
        </w:rPr>
        <w:t>公司的股票，</w:t>
      </w:r>
      <w:r w:rsidRPr="00C86E67">
        <w:rPr>
          <w:rFonts w:asciiTheme="minorEastAsia" w:eastAsiaTheme="minorEastAsia" w:hAnsiTheme="minorEastAsia" w:hint="eastAsia"/>
          <w:color w:val="000000" w:themeColor="text1"/>
          <w:sz w:val="21"/>
          <w:szCs w:val="21"/>
        </w:rPr>
        <w:t>其市值</w:t>
      </w:r>
      <w:r w:rsidRPr="00C86E67">
        <w:rPr>
          <w:rFonts w:asciiTheme="minorEastAsia" w:eastAsiaTheme="minorEastAsia" w:hAnsiTheme="minorEastAsia"/>
          <w:color w:val="000000" w:themeColor="text1"/>
          <w:sz w:val="21"/>
          <w:szCs w:val="21"/>
        </w:rPr>
        <w:t>不得超过基金资产净值的10%；</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2、</w:t>
      </w:r>
      <w:r w:rsidRPr="00C86E67">
        <w:rPr>
          <w:rFonts w:asciiTheme="minorEastAsia" w:eastAsiaTheme="minorEastAsia" w:hAnsiTheme="minorEastAsia"/>
          <w:color w:val="000000" w:themeColor="text1"/>
          <w:sz w:val="21"/>
          <w:szCs w:val="21"/>
        </w:rPr>
        <w:t>本基金与由本基金管理人管理的其他基金</w:t>
      </w:r>
      <w:r w:rsidRPr="00C86E67">
        <w:rPr>
          <w:rFonts w:asciiTheme="minorEastAsia" w:eastAsiaTheme="minorEastAsia" w:hAnsiTheme="minorEastAsia" w:hint="eastAsia"/>
          <w:color w:val="000000" w:themeColor="text1"/>
          <w:sz w:val="21"/>
          <w:szCs w:val="21"/>
        </w:rPr>
        <w:t>共同</w:t>
      </w:r>
      <w:r w:rsidRPr="00C86E67">
        <w:rPr>
          <w:rFonts w:asciiTheme="minorEastAsia" w:eastAsiaTheme="minorEastAsia" w:hAnsiTheme="minorEastAsia"/>
          <w:color w:val="000000" w:themeColor="text1"/>
          <w:sz w:val="21"/>
          <w:szCs w:val="21"/>
        </w:rPr>
        <w:t>持有一家公司发行的证券，不得超过该证券的10%；</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3、本基金不得违反本基金合同关于投资范围和投资比例的约定；</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4、本基金投资股权分置改革中产生的权证，在任何交易日买入的总金额，不超过上一交易日基金资产净值的0.5%，基金持有的全部股改权证的市值不超过基金资产净值的3%，本公司管理的全部基金持有同一股改权证的比例不超过该权证的10%；本基金投资于其它权证的有关比例限制，遵从法规或监管部门的相关规定；</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5、基金财产参与股票发行申购，本基金所申报的金额不得超过本基金的总资产，所申报的股票数量不得超过拟发行股票公司本次发行股票的总量；</w:t>
      </w:r>
    </w:p>
    <w:p w:rsidR="000E5ECA" w:rsidRPr="00C86E67" w:rsidP="006036A6">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0E5ECA" w:rsidRPr="00C86E67" w:rsidP="006036A6">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7、本基金主动投资于流动性受限资产的市值合计不得超过该基金资产净值的15%。</w:t>
      </w:r>
    </w:p>
    <w:p w:rsidR="000E5ECA" w:rsidRPr="00C86E67" w:rsidP="006036A6">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因证券市场波动、上市公司股票停牌、基金规模变动等基金管理人之外的因素致使基金不符合前款所规定比例限制的，基金管理人不得主动新增流动性受限资产的投资；</w:t>
      </w:r>
    </w:p>
    <w:p w:rsidR="00D0433B" w:rsidRPr="00C86E67" w:rsidP="00D0433B">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8、本基金与私募类证券资管产品及中国证监会认定的其他主体为交易对手开展逆回购交易的，可接受质押品的资质要求应当与基金合同约定的投资范围保持一致；</w:t>
      </w:r>
    </w:p>
    <w:p w:rsidR="00D0433B" w:rsidRPr="00C86E67" w:rsidP="00D0433B">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9、本基金投资存托凭证的比例限制依照境内上市交易的股票执行，与境内上市交易的股票合并计算；</w:t>
      </w:r>
    </w:p>
    <w:p w:rsidR="00C35BC5" w:rsidRPr="00C86E67" w:rsidP="00D0433B">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10</w:t>
      </w:r>
      <w:r w:rsidRPr="00C86E67" w:rsidR="004F6E9A">
        <w:rPr>
          <w:rFonts w:asciiTheme="minorEastAsia" w:eastAsiaTheme="minorEastAsia" w:hAnsiTheme="minorEastAsia" w:hint="eastAsia"/>
          <w:color w:val="000000" w:themeColor="text1"/>
          <w:sz w:val="21"/>
          <w:szCs w:val="21"/>
        </w:rPr>
        <w:t>、</w:t>
      </w:r>
      <w:r w:rsidRPr="00C86E67">
        <w:rPr>
          <w:rFonts w:asciiTheme="minorEastAsia" w:eastAsiaTheme="minorEastAsia" w:hAnsiTheme="minorEastAsia" w:hint="eastAsia"/>
          <w:color w:val="000000" w:themeColor="text1"/>
          <w:sz w:val="21"/>
          <w:szCs w:val="21"/>
        </w:rPr>
        <w:t>相关法律法规以及监管部门规定的其它投资限制；</w:t>
      </w:r>
    </w:p>
    <w:p w:rsidR="00C35BC5" w:rsidRPr="00C86E67" w:rsidP="00552BE1">
      <w:pPr>
        <w:snapToGrid w:val="0"/>
        <w:spacing w:line="360" w:lineRule="auto"/>
        <w:ind w:firstLine="420" w:firstLineChars="200"/>
        <w:rPr>
          <w:rStyle w:val="da"/>
          <w:rFonts w:asciiTheme="minorEastAsia" w:eastAsiaTheme="minorEastAsia" w:hAnsiTheme="minorEastAsia"/>
          <w:color w:val="000000" w:themeColor="text1"/>
        </w:rPr>
      </w:pPr>
      <w:r w:rsidRPr="00C86E67">
        <w:rPr>
          <w:rStyle w:val="da"/>
          <w:rFonts w:asciiTheme="minorEastAsia" w:eastAsiaTheme="minorEastAsia" w:hAnsiTheme="minorEastAsia" w:hint="eastAsia"/>
          <w:color w:val="000000" w:themeColor="text1"/>
        </w:rPr>
        <w:t>如</w:t>
      </w:r>
      <w:r w:rsidRPr="00C86E67">
        <w:rPr>
          <w:rStyle w:val="da"/>
          <w:rFonts w:asciiTheme="minorEastAsia" w:eastAsiaTheme="minorEastAsia" w:hAnsiTheme="minorEastAsia"/>
          <w:color w:val="000000" w:themeColor="text1"/>
        </w:rPr>
        <w:t>法律法规或监管部门</w:t>
      </w:r>
      <w:r w:rsidRPr="00C86E67">
        <w:rPr>
          <w:rStyle w:val="da"/>
          <w:rFonts w:asciiTheme="minorEastAsia" w:eastAsiaTheme="minorEastAsia" w:hAnsiTheme="minorEastAsia" w:hint="eastAsia"/>
          <w:color w:val="000000" w:themeColor="text1"/>
        </w:rPr>
        <w:t>取消上述限制性规定，本基金不受上述规定的限制</w:t>
      </w:r>
      <w:r w:rsidRPr="00C86E67">
        <w:rPr>
          <w:rStyle w:val="da"/>
          <w:rFonts w:asciiTheme="minorEastAsia" w:eastAsiaTheme="minorEastAsia" w:hAnsiTheme="minorEastAsia"/>
          <w:color w:val="000000" w:themeColor="text1"/>
        </w:rPr>
        <w:t>。法律法规或监管部门对上述</w:t>
      </w:r>
      <w:r w:rsidRPr="00C86E67">
        <w:rPr>
          <w:rStyle w:val="da"/>
          <w:rFonts w:asciiTheme="minorEastAsia" w:eastAsiaTheme="minorEastAsia" w:hAnsiTheme="minorEastAsia" w:hint="eastAsia"/>
          <w:color w:val="000000" w:themeColor="text1"/>
        </w:rPr>
        <w:t>投资</w:t>
      </w:r>
      <w:r w:rsidRPr="00C86E67">
        <w:rPr>
          <w:rStyle w:val="da"/>
          <w:rFonts w:asciiTheme="minorEastAsia" w:eastAsiaTheme="minorEastAsia" w:hAnsiTheme="minorEastAsia"/>
          <w:color w:val="000000" w:themeColor="text1"/>
        </w:rPr>
        <w:t>限制另有规定的，本基金合同将从其规定；基金管理人可依据法律法规或监管部门规定直接进行变更，在变更前2个工作日内在基金管理人网站及指定报刊上发布公告，此项合同修改无须召开基金份额持有人大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除上述5、7、8以外，</w:t>
      </w:r>
      <w:r w:rsidRPr="00C86E67">
        <w:rPr>
          <w:rFonts w:asciiTheme="minorEastAsia" w:eastAsiaTheme="minorEastAsia" w:hAnsiTheme="minorEastAsia"/>
          <w:color w:val="000000" w:themeColor="text1"/>
        </w:rPr>
        <w:t>由于</w:t>
      </w:r>
      <w:r w:rsidRPr="00C86E67">
        <w:rPr>
          <w:rFonts w:asciiTheme="minorEastAsia" w:eastAsiaTheme="minorEastAsia" w:hAnsiTheme="minorEastAsia" w:hint="eastAsia"/>
          <w:color w:val="000000" w:themeColor="text1"/>
        </w:rPr>
        <w:t>证券市场波动、上市公司合并</w:t>
      </w:r>
      <w:r w:rsidRPr="00C86E67">
        <w:rPr>
          <w:rFonts w:asciiTheme="minorEastAsia" w:eastAsiaTheme="minorEastAsia" w:hAnsiTheme="minorEastAsia"/>
          <w:color w:val="000000" w:themeColor="text1"/>
        </w:rPr>
        <w:t>或</w:t>
      </w:r>
      <w:r w:rsidRPr="00C86E67">
        <w:rPr>
          <w:rFonts w:asciiTheme="minorEastAsia" w:eastAsiaTheme="minorEastAsia" w:hAnsiTheme="minorEastAsia" w:hint="eastAsia"/>
          <w:color w:val="000000" w:themeColor="text1"/>
        </w:rPr>
        <w:t>基金规模变动等基金管理人之外的原因</w:t>
      </w:r>
      <w:r w:rsidRPr="00C86E67">
        <w:rPr>
          <w:rFonts w:asciiTheme="minorEastAsia" w:eastAsiaTheme="minorEastAsia" w:hAnsiTheme="minorEastAsia"/>
          <w:color w:val="000000" w:themeColor="text1"/>
        </w:rPr>
        <w:t>导致投资组合</w:t>
      </w:r>
      <w:r w:rsidRPr="00C86E67">
        <w:rPr>
          <w:rFonts w:asciiTheme="minorEastAsia" w:eastAsiaTheme="minorEastAsia" w:hAnsiTheme="minorEastAsia" w:hint="eastAsia"/>
          <w:color w:val="000000" w:themeColor="text1"/>
        </w:rPr>
        <w:t>不符合</w:t>
      </w:r>
      <w:r w:rsidRPr="00C86E67">
        <w:rPr>
          <w:rFonts w:asciiTheme="minorEastAsia" w:eastAsiaTheme="minorEastAsia" w:hAnsiTheme="minorEastAsia"/>
          <w:color w:val="000000" w:themeColor="text1"/>
        </w:rPr>
        <w:t>上述约定比例</w:t>
      </w:r>
      <w:r w:rsidRPr="00C86E67">
        <w:rPr>
          <w:rFonts w:asciiTheme="minorEastAsia" w:eastAsiaTheme="minorEastAsia" w:hAnsiTheme="minorEastAsia" w:hint="eastAsia"/>
          <w:color w:val="000000" w:themeColor="text1"/>
        </w:rPr>
        <w:t>的</w:t>
      </w:r>
      <w:r w:rsidRPr="00C86E67">
        <w:rPr>
          <w:rFonts w:asciiTheme="minorEastAsia" w:eastAsiaTheme="minorEastAsia" w:hAnsiTheme="minorEastAsia"/>
          <w:color w:val="000000" w:themeColor="text1"/>
        </w:rPr>
        <w:t>，基金管理人应在</w:t>
      </w:r>
      <w:r w:rsidRPr="00C86E67">
        <w:rPr>
          <w:rFonts w:asciiTheme="minorEastAsia" w:eastAsiaTheme="minorEastAsia" w:hAnsiTheme="minorEastAsia" w:hint="eastAsia"/>
          <w:color w:val="000000" w:themeColor="text1"/>
        </w:rPr>
        <w:t>10个交易日</w:t>
      </w:r>
      <w:r w:rsidRPr="00C86E67">
        <w:rPr>
          <w:rFonts w:asciiTheme="minorEastAsia" w:eastAsiaTheme="minorEastAsia" w:hAnsiTheme="minorEastAsia"/>
          <w:color w:val="000000" w:themeColor="text1"/>
        </w:rPr>
        <w:t>内进行调整，以达到标准</w:t>
      </w:r>
      <w:r w:rsidRPr="00C86E67">
        <w:rPr>
          <w:rFonts w:asciiTheme="minorEastAsia" w:eastAsiaTheme="minorEastAsia" w:hAnsiTheme="minorEastAsia" w:hint="eastAsia"/>
          <w:color w:val="000000" w:themeColor="text1"/>
        </w:rPr>
        <w:t>。法律法规另有规定的从其规定。</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64" w:name="_Toc91764837"/>
      <w:r w:rsidRPr="00C86E67">
        <w:rPr>
          <w:rFonts w:asciiTheme="minorEastAsia" w:eastAsiaTheme="minorEastAsia" w:hAnsiTheme="minorEastAsia" w:hint="eastAsia"/>
          <w:b w:val="0"/>
          <w:bCs/>
          <w:color w:val="000000" w:themeColor="text1"/>
        </w:rPr>
        <w:t>（九）</w:t>
      </w:r>
      <w:bookmarkStart w:id="765" w:name="_Toc52310854"/>
      <w:r w:rsidRPr="00C86E67">
        <w:rPr>
          <w:rFonts w:asciiTheme="minorEastAsia" w:eastAsiaTheme="minorEastAsia" w:hAnsiTheme="minorEastAsia" w:hint="eastAsia"/>
          <w:b w:val="0"/>
          <w:bCs/>
          <w:color w:val="000000" w:themeColor="text1"/>
        </w:rPr>
        <w:t>禁止行为</w:t>
      </w:r>
      <w:bookmarkEnd w:id="764"/>
      <w:bookmarkEnd w:id="765"/>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为维护基金份额持有人的合法权益，本基金禁止从事下列行为：</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1、承销证券；</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2、向他人贷款或提供担保；</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3、</w:t>
      </w:r>
      <w:r w:rsidRPr="00C86E67">
        <w:rPr>
          <w:rFonts w:asciiTheme="minorEastAsia" w:eastAsiaTheme="minorEastAsia" w:hAnsiTheme="minorEastAsia"/>
          <w:color w:val="000000" w:themeColor="text1"/>
          <w:sz w:val="21"/>
          <w:szCs w:val="21"/>
        </w:rPr>
        <w:t>从事承担无限责任的投资；</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4、买卖其他基金份额，但国务院另有规定的除外；</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5、向基金管理人、基金托管人出资或者买卖其基金管理人、基金托管人发行的股票或债券；</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6、买卖与基金管理人、基金托管人有控股关系的股东或者与基金管理人、基金托管人有其他重大利害关系的公司发行的证券或者承销期内承销的证券；</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7、从事内幕交易、操纵证券价格及其他不正当的证券交易活动；</w:t>
      </w:r>
    </w:p>
    <w:p w:rsidR="00C35BC5" w:rsidRPr="00C86E67" w:rsidP="00552BE1">
      <w:pPr>
        <w:pStyle w:val="CharCharCharCharCharCharChar"/>
        <w:numPr>
          <w:ilvl w:val="0"/>
          <w:numId w:val="0"/>
        </w:numPr>
        <w:snapToGrid w:val="0"/>
        <w:spacing w:after="0"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8、当时有效的法律法规、中国证监会及《基金合同》规定禁止从事的其他行为。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如</w:t>
      </w:r>
      <w:r w:rsidRPr="00C86E67">
        <w:rPr>
          <w:rFonts w:asciiTheme="minorEastAsia" w:eastAsiaTheme="minorEastAsia" w:hAnsiTheme="minorEastAsia"/>
          <w:color w:val="000000" w:themeColor="text1"/>
        </w:rPr>
        <w:t>法律法规或监管部门</w:t>
      </w:r>
      <w:r w:rsidRPr="00C86E67">
        <w:rPr>
          <w:rFonts w:asciiTheme="minorEastAsia" w:eastAsiaTheme="minorEastAsia" w:hAnsiTheme="minorEastAsia" w:hint="eastAsia"/>
          <w:color w:val="000000" w:themeColor="text1"/>
        </w:rPr>
        <w:t>取消上述禁止性规定，本基金不受上述规定的限制</w:t>
      </w:r>
      <w:r w:rsidRPr="00C86E67">
        <w:rPr>
          <w:rFonts w:asciiTheme="minorEastAsia" w:eastAsiaTheme="minorEastAsia" w:hAnsiTheme="minorEastAsia"/>
          <w:color w:val="000000" w:themeColor="text1"/>
        </w:rPr>
        <w:t>。</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66" w:name="_Toc91764838"/>
      <w:r w:rsidRPr="00C86E67">
        <w:rPr>
          <w:rFonts w:asciiTheme="minorEastAsia" w:eastAsiaTheme="minorEastAsia" w:hAnsiTheme="minorEastAsia" w:hint="eastAsia"/>
          <w:b w:val="0"/>
          <w:bCs/>
          <w:color w:val="000000" w:themeColor="text1"/>
        </w:rPr>
        <w:t>（十）基金管理人代表基金行使所投资证券产生权利的处理原则及方法</w:t>
      </w:r>
      <w:bookmarkEnd w:id="766"/>
    </w:p>
    <w:p w:rsidR="00C35BC5" w:rsidRPr="00C86E67" w:rsidP="00552BE1">
      <w:pPr>
        <w:snapToGrid w:val="0"/>
        <w:spacing w:line="360" w:lineRule="auto"/>
        <w:ind w:left="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Pr>
          <w:rFonts w:asciiTheme="minorEastAsia" w:eastAsiaTheme="minorEastAsia" w:hAnsiTheme="minorEastAsia"/>
          <w:color w:val="000000" w:themeColor="text1"/>
        </w:rPr>
        <w:t>不谋求对上市公司的控股，不参与所投资上市公司的经营管理；</w:t>
      </w:r>
    </w:p>
    <w:p w:rsidR="00C35BC5" w:rsidRPr="00C86E67" w:rsidP="00552BE1">
      <w:pPr>
        <w:snapToGrid w:val="0"/>
        <w:spacing w:line="360" w:lineRule="auto"/>
        <w:ind w:left="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w:t>
      </w:r>
      <w:r w:rsidRPr="00C86E67">
        <w:rPr>
          <w:rFonts w:asciiTheme="minorEastAsia" w:eastAsiaTheme="minorEastAsia" w:hAnsiTheme="minorEastAsia"/>
          <w:color w:val="000000" w:themeColor="text1"/>
        </w:rPr>
        <w:t>有利于基金资产的安全与增值；</w:t>
      </w:r>
    </w:p>
    <w:p w:rsidR="00C35BC5" w:rsidRPr="00C86E67" w:rsidP="00552BE1">
      <w:pPr>
        <w:snapToGrid w:val="0"/>
        <w:spacing w:line="360" w:lineRule="auto"/>
        <w:ind w:left="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w:t>
      </w:r>
      <w:r w:rsidRPr="00C86E67">
        <w:rPr>
          <w:rFonts w:asciiTheme="minorEastAsia" w:eastAsiaTheme="minorEastAsia" w:hAnsiTheme="minorEastAsia"/>
          <w:color w:val="000000" w:themeColor="text1"/>
        </w:rPr>
        <w:t>基金管理人按照国家有关规定代表基金独立行使股东权利，保护基金投资者的利益</w:t>
      </w:r>
      <w:r w:rsidRPr="00C86E67">
        <w:rPr>
          <w:rFonts w:asciiTheme="minorEastAsia" w:eastAsiaTheme="minorEastAsia" w:hAnsiTheme="minorEastAsia" w:hint="eastAsia"/>
          <w:color w:val="000000" w:themeColor="text1"/>
        </w:rPr>
        <w:t>；</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67" w:name="_Toc174274397"/>
      <w:bookmarkStart w:id="768" w:name="_Toc91764839"/>
      <w:r w:rsidRPr="00C86E67">
        <w:rPr>
          <w:rFonts w:asciiTheme="minorEastAsia" w:eastAsiaTheme="minorEastAsia" w:hAnsiTheme="minorEastAsia" w:hint="eastAsia"/>
          <w:b w:val="0"/>
          <w:bCs/>
          <w:color w:val="000000" w:themeColor="text1"/>
        </w:rPr>
        <w:t>（十</w:t>
      </w:r>
      <w:r w:rsidRPr="00C86E67">
        <w:rPr>
          <w:rFonts w:asciiTheme="minorEastAsia" w:eastAsiaTheme="minorEastAsia" w:hAnsiTheme="minorEastAsia" w:hint="eastAsia"/>
          <w:b w:val="0"/>
          <w:color w:val="000000" w:themeColor="text1"/>
        </w:rPr>
        <w:t>一</w:t>
      </w:r>
      <w:r w:rsidRPr="00C86E67">
        <w:rPr>
          <w:rFonts w:asciiTheme="minorEastAsia" w:eastAsiaTheme="minorEastAsia" w:hAnsiTheme="minorEastAsia" w:hint="eastAsia"/>
          <w:b w:val="0"/>
          <w:bCs/>
          <w:color w:val="000000" w:themeColor="text1"/>
        </w:rPr>
        <w:t>）基金的融资</w:t>
      </w:r>
      <w:bookmarkEnd w:id="767"/>
      <w:bookmarkEnd w:id="768"/>
    </w:p>
    <w:p w:rsidR="00C35BC5" w:rsidRPr="00C86E67" w:rsidP="00552BE1">
      <w:pPr>
        <w:pStyle w:val="CharCharCharCharCharCharChar"/>
        <w:numPr>
          <w:ilvl w:val="0"/>
          <w:numId w:val="0"/>
        </w:numPr>
        <w:snapToGrid w:val="0"/>
        <w:spacing w:after="0" w:line="360" w:lineRule="auto"/>
        <w:ind w:firstLine="3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 w:val="21"/>
          <w:szCs w:val="21"/>
        </w:rPr>
        <w:t>本基金可以按照国家的有关规定进行融资。</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769" w:name="_Toc91764840"/>
      <w:r w:rsidRPr="00C86E67">
        <w:rPr>
          <w:rFonts w:asciiTheme="minorEastAsia" w:eastAsiaTheme="minorEastAsia" w:hAnsiTheme="minorEastAsia" w:hint="eastAsia"/>
          <w:b w:val="0"/>
          <w:bCs/>
          <w:color w:val="000000" w:themeColor="text1"/>
        </w:rPr>
        <w:t>（十</w:t>
      </w:r>
      <w:r w:rsidRPr="00C86E67">
        <w:rPr>
          <w:rFonts w:asciiTheme="minorEastAsia" w:eastAsiaTheme="minorEastAsia" w:hAnsiTheme="minorEastAsia" w:hint="eastAsia"/>
          <w:b w:val="0"/>
          <w:color w:val="000000" w:themeColor="text1"/>
        </w:rPr>
        <w:t>二</w:t>
      </w:r>
      <w:r w:rsidRPr="00C86E67">
        <w:rPr>
          <w:rFonts w:asciiTheme="minorEastAsia" w:eastAsiaTheme="minorEastAsia" w:hAnsiTheme="minorEastAsia" w:hint="eastAsia"/>
          <w:b w:val="0"/>
          <w:bCs/>
          <w:color w:val="000000" w:themeColor="text1"/>
        </w:rPr>
        <w:t>）基金投资组合报告（未经审计）</w:t>
      </w:r>
      <w:bookmarkEnd w:id="769"/>
    </w:p>
    <w:p w:rsidR="00C35BC5" w:rsidRPr="00C86E67" w:rsidP="00552BE1">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本基金管理人的董事会及董事保证本报告所载资料不存在虚假记载、误导性陈述或重大遗漏，并对其内容的真实性、准确性和完整性承担个别及连带责任。</w:t>
      </w:r>
    </w:p>
    <w:p w:rsidR="00C35BC5" w:rsidRPr="00C86E67" w:rsidP="00552BE1">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hint="eastAsia"/>
          <w:color w:val="000000" w:themeColor="text1"/>
          <w:sz w:val="21"/>
          <w:szCs w:val="21"/>
        </w:rPr>
        <w:t>本基金的托管人中国工商银行股份有限公司根据本基金合同的规定，复核了本报告的内容，保证复核内容不存在虚假记载、误导性陈述或者重大遗漏。</w:t>
      </w:r>
    </w:p>
    <w:p w:rsidR="00C35BC5" w:rsidRPr="00C86E67" w:rsidP="00552BE1">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rPr>
        <w:t>本投资组合报告有关数据的期间为2021年7月1日至2021年9月30日。</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1、 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占基金总资产的比例（%）</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4,840,644,015.38</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92.51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4,840,644,015.38</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92.51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138,477,344.63</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2.65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138,477,344.63</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2.65</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7"/>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w:t>
            </w:r>
          </w:p>
        </w:tc>
        <w:tc>
          <w:tcPr>
            <w:tcW w:w="3357" w:type="dxa"/>
            <w:tcBorders>
              <w:top w:val="single" w:sz="0" w:space="0" w:color="000000"/>
              <w:left w:val="single" w:sz="0" w:space="0" w:color="000000"/>
              <w:bottom w:val="single" w:sz="0" w:space="0" w:color="000000"/>
              <w:right w:val="single" w:sz="0" w:space="0" w:color="000000"/>
            </w:tcBorders>
          </w:tcPr>
          <w:p w:rsidR="00632EFB" w:rsidRPr="00C86E67">
            <w:pPr>
              <w:ind w:left="105" w:leftChars="5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247,529,445.78</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4.73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5,818,894.44</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0.11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5,232,469,700.23</w:t>
            </w:r>
          </w:p>
        </w:tc>
        <w:tc>
          <w:tcPr>
            <w:tcW w:w="1843"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100.00</w:t>
            </w:r>
          </w:p>
        </w:tc>
      </w:tr>
    </w:tbl>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2、 报告期末按行业分类的股票投资组合</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（1）报告期末按行业分类的境内股票投资组合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占基金资产净值比例（％）</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5,766.30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112,480,769.60</w:t>
            </w:r>
          </w:p>
          <w:p w:rsidR="00632EFB" w:rsidRPr="00C86E67">
            <w:pPr>
              <w:jc w:val="right"/>
              <w:rPr>
                <w:rFonts w:asciiTheme="minorEastAsia" w:eastAsiaTheme="minorEastAsia" w:hAnsi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2.16</w:t>
            </w:r>
          </w:p>
          <w:p w:rsidR="00632EFB" w:rsidRPr="00C86E67">
            <w:pPr>
              <w:jc w:val="right"/>
              <w:rPr>
                <w:rFonts w:asciiTheme="minorEastAsia" w:eastAsiaTheme="minorEastAsia" w:hAnsiTheme="minorEastAsia"/>
                <w:color w:val="000000" w:themeColor="text1"/>
                <w:kern w:val="0"/>
                <w:sz w:val="24"/>
              </w:rPr>
            </w:pP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3,389,277,979.49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65.15</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6,299,875.22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0.12</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20,183.39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77,729.83</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23,747,209.75</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0.46</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3,345.12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381,411,670.21</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7.33</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741,848,481.32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14.26</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185,432,410.44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3.56</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34,669.49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3,925.22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jc w:val="center"/>
              <w:rPr>
                <w:rFonts w:asciiTheme="minorEastAsia" w:eastAsiaTheme="minorEastAsia" w:hAnsi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adjustRightInd w:val="0"/>
              <w:snapToGrid w:val="0"/>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4,840,644,015.38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632EFB" w:rsidRPr="00C86E67">
            <w:pPr>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93.05</w:t>
            </w:r>
          </w:p>
        </w:tc>
      </w:tr>
    </w:tbl>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3、 期末按公允价值占基金资产净值比例大小排序的股票投资明细</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（1） 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占基金资产净值比例（％）</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002129</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中环股份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5,000,084</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229,353,853.08</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4.41</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002142</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宁波银行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6,130,111</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215,473,401.65</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4.14</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300014</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亿纬锂能</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1,900,046</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188,161,555.38</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3.62</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600036</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招商银行</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3,597,500</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181,493,875.00</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3.49</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300059</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东方财富</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4,700,011</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161,539,378.07</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3.11</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002709</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天赐材料</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1,000,050</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152,127,606.00</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2.92</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000661</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长春高新</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546,690</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150,153,875.40</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2.89</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002049</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紫光国微</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700,000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144,760,000.00</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2.78</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600809</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山西汾酒</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450,038</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141,986,989.00</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2.73</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603185</w:t>
            </w:r>
          </w:p>
        </w:tc>
        <w:tc>
          <w:tcPr>
            <w:tcW w:w="141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上机数控</w:t>
            </w:r>
          </w:p>
        </w:tc>
        <w:tc>
          <w:tcPr>
            <w:tcW w:w="170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500,000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139,750,000.00</w:t>
            </w:r>
          </w:p>
        </w:tc>
        <w:tc>
          <w:tcPr>
            <w:tcW w:w="15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2.69</w:t>
            </w:r>
          </w:p>
        </w:tc>
      </w:tr>
    </w:tbl>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4、 报告期末按债券品种分类的债券投资组合</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949"/>
        <w:gridCol w:w="1729"/>
      </w:tblGrid>
      <w:tr>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债券品种</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公允价值(元)</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占基金资产净值比例(％)</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国家债券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央行票据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金融债券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130,029,000.00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2.50</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其中：政策性金融债</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130,029,000.00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2.50</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企业债券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企业短期融资券</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中期票据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可转债</w:t>
            </w:r>
            <w:r w:rsidRPr="00C86E67">
              <w:rPr>
                <w:rFonts w:asciiTheme="minorEastAsia" w:eastAsiaTheme="minorEastAsia" w:hAnsiTheme="minorEastAsia" w:hint="eastAsia"/>
                <w:color w:val="000000" w:themeColor="text1"/>
              </w:rPr>
              <w:t>（可交换债）</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8,448,344.63</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0.16</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同业存单</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其他</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lef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合计</w:t>
            </w:r>
          </w:p>
        </w:tc>
        <w:tc>
          <w:tcPr>
            <w:tcW w:w="294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138,477,344.63</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right"/>
              <w:rPr>
                <w:rFonts w:asciiTheme="minorEastAsia" w:eastAsiaTheme="minorEastAsia" w:hAnsiTheme="minorEastAsia"/>
                <w:color w:val="000000" w:themeColor="text1"/>
                <w:sz w:val="24"/>
              </w:rPr>
            </w:pPr>
            <w:r w:rsidRPr="00C86E67">
              <w:rPr>
                <w:rFonts w:asciiTheme="minorEastAsia" w:eastAsiaTheme="minorEastAsia" w:hAnsiTheme="minorEastAsia"/>
                <w:color w:val="000000" w:themeColor="text1"/>
              </w:rPr>
              <w:t>2.66</w:t>
            </w:r>
          </w:p>
        </w:tc>
      </w:tr>
    </w:tbl>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5、 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560"/>
        <w:gridCol w:w="1984"/>
        <w:gridCol w:w="147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债券代码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债券名称</w:t>
            </w:r>
          </w:p>
        </w:tc>
        <w:tc>
          <w:tcPr>
            <w:tcW w:w="1560"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数量（张）</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占基金资产净值比例（％）</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210304</w:t>
            </w:r>
          </w:p>
        </w:tc>
        <w:tc>
          <w:tcPr>
            <w:tcW w:w="1275"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21进出04</w:t>
            </w:r>
          </w:p>
        </w:tc>
        <w:tc>
          <w:tcPr>
            <w:tcW w:w="1560"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700,000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69,993,000.00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1.35</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210206</w:t>
            </w:r>
          </w:p>
        </w:tc>
        <w:tc>
          <w:tcPr>
            <w:tcW w:w="1275"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21国开06</w:t>
            </w:r>
          </w:p>
        </w:tc>
        <w:tc>
          <w:tcPr>
            <w:tcW w:w="1560"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600,000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60,036,000.00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1.15</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123124</w:t>
            </w:r>
          </w:p>
        </w:tc>
        <w:tc>
          <w:tcPr>
            <w:tcW w:w="1275"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晶瑞转2</w:t>
            </w:r>
          </w:p>
        </w:tc>
        <w:tc>
          <w:tcPr>
            <w:tcW w:w="1560"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20,722</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2,516,686.90</w:t>
            </w:r>
          </w:p>
        </w:tc>
        <w:tc>
          <w:tcPr>
            <w:tcW w:w="147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0.05</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120003</w:t>
            </w:r>
          </w:p>
        </w:tc>
        <w:tc>
          <w:tcPr>
            <w:tcW w:w="1275"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19华菱EB</w:t>
            </w:r>
          </w:p>
        </w:tc>
        <w:tc>
          <w:tcPr>
            <w:tcW w:w="1560"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15,296</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2,283,998.72</w:t>
            </w:r>
          </w:p>
        </w:tc>
        <w:tc>
          <w:tcPr>
            <w:tcW w:w="147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0.04</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127038</w:t>
            </w:r>
          </w:p>
        </w:tc>
        <w:tc>
          <w:tcPr>
            <w:tcW w:w="1275"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国微转债</w:t>
            </w:r>
          </w:p>
        </w:tc>
        <w:tc>
          <w:tcPr>
            <w:tcW w:w="1560"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11,040</w:t>
            </w:r>
          </w:p>
        </w:tc>
        <w:tc>
          <w:tcPr>
            <w:tcW w:w="198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2,022,307.20</w:t>
            </w:r>
          </w:p>
        </w:tc>
        <w:tc>
          <w:tcPr>
            <w:tcW w:w="1474"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0.04</w:t>
            </w:r>
          </w:p>
        </w:tc>
      </w:tr>
    </w:tbl>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6、 报告期末按公允价值占基金资产净值比例大小排序的前十名资产支持证券投资明细</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本基金本报告期末未持有资产支持证券。</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7、 报告期末按公允价值占基金资产净值比例大小排序的前五名贵金属投资明细</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本基金本报告期末未持有贵金属。</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8、 报告期末按公允价值占基金资产净值比例大小排序的前五名权证投资明细</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本基金本报告期末未持有权证。</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9、 报告期末本基金投资的股指期货交易情况说明</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本基金本报告期末未投资股指期货。</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10、 报告期末本基金投资的国债期货交易情况说明</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本基金本报告期末未投资国债期货。</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11、 投资组合报告附注</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（1） 本基金投资的前十名证券的发行主体中，宁波银行股份有限公司在报告编制日前一年内曾受到中国银行保险监督管理委员会宁波监管局、中国人民银行宁波市中心支行、国家外汇管理局宁波市分局处罚，招商银行股份有限公司在报告编制日前一年内曾受到中国银行保险监督管理委员会、国家外汇管理局深圳市分局处罚。</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本基金投资的前十名证券中，上述主体所发行证券的投资决策程序符合公司投资制度的规定。</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除上述主体外，本基金投资的前十名证券的发行主体本期没有出现被监管部门立案调查，或在报告编制日前一年内受到公开谴责、处罚的情形。</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（2） 本基金投资的前十名股票没有超出基金合同规定的备选股票库。</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（3） 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2468"/>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980,426.26</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36,047.26</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1,278,365.11</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3,524,055.81</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lef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632EFB" w:rsidRPr="00C86E67">
            <w:pPr>
              <w:autoSpaceDE w:val="0"/>
              <w:autoSpaceDN w:val="0"/>
              <w:adjustRightInd w:val="0"/>
              <w:ind w:left="15"/>
              <w:jc w:val="right"/>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5,818,894.44</w:t>
            </w:r>
          </w:p>
        </w:tc>
      </w:tr>
    </w:tbl>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（4）报告期末持有的处于转股期的可转换债券明细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729"/>
        <w:gridCol w:w="1658"/>
        <w:gridCol w:w="1697"/>
        <w:gridCol w:w="1621"/>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序号</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债券代码</w:t>
            </w:r>
          </w:p>
        </w:tc>
        <w:tc>
          <w:tcPr>
            <w:tcW w:w="1658"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债券名称</w:t>
            </w:r>
          </w:p>
        </w:tc>
        <w:tc>
          <w:tcPr>
            <w:tcW w:w="1697"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公允价值（元）</w:t>
            </w:r>
          </w:p>
        </w:tc>
        <w:tc>
          <w:tcPr>
            <w:tcW w:w="1621" w:type="dxa"/>
            <w:tcBorders>
              <w:top w:val="single" w:sz="0" w:space="0" w:color="000000"/>
              <w:left w:val="single" w:sz="0" w:space="0" w:color="000000"/>
              <w:bottom w:val="single" w:sz="0" w:space="0" w:color="000000"/>
              <w:right w:val="single" w:sz="0" w:space="0" w:color="000000"/>
            </w:tcBorders>
            <w:vAlign w:val="center"/>
          </w:tcPr>
          <w:p w:rsidR="00632EFB" w:rsidRPr="00C86E67">
            <w:pPr>
              <w:ind w:left="17"/>
              <w:jc w:val="center"/>
              <w:rPr>
                <w:rFonts w:asciiTheme="minorEastAsia" w:eastAsiaTheme="minorEastAsia" w:hAnsiTheme="minorEastAsia"/>
                <w:color w:val="000000" w:themeColor="text1"/>
                <w:kern w:val="0"/>
                <w:sz w:val="24"/>
              </w:rPr>
            </w:pPr>
            <w:r w:rsidRPr="00C86E67">
              <w:rPr>
                <w:rFonts w:asciiTheme="minorEastAsia" w:eastAsiaTheme="minorEastAsia" w:hAnsiTheme="minorEastAsia"/>
                <w:color w:val="000000" w:themeColor="text1"/>
                <w:kern w:val="0"/>
              </w:rPr>
              <w:t>占基金资产净值比例（%）</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120003</w:t>
            </w:r>
          </w:p>
        </w:tc>
        <w:tc>
          <w:tcPr>
            <w:tcW w:w="165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19华菱EB</w:t>
            </w:r>
          </w:p>
        </w:tc>
        <w:tc>
          <w:tcPr>
            <w:tcW w:w="169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2,283,998.72</w:t>
            </w:r>
          </w:p>
        </w:tc>
        <w:tc>
          <w:tcPr>
            <w:tcW w:w="162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0.04</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132014</w:t>
            </w:r>
          </w:p>
        </w:tc>
        <w:tc>
          <w:tcPr>
            <w:tcW w:w="165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18中化EB</w:t>
            </w:r>
          </w:p>
        </w:tc>
        <w:tc>
          <w:tcPr>
            <w:tcW w:w="169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807,787.40</w:t>
            </w:r>
          </w:p>
        </w:tc>
        <w:tc>
          <w:tcPr>
            <w:tcW w:w="162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0.02</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132021</w:t>
            </w:r>
          </w:p>
        </w:tc>
        <w:tc>
          <w:tcPr>
            <w:tcW w:w="165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19中电EB</w:t>
            </w:r>
          </w:p>
        </w:tc>
        <w:tc>
          <w:tcPr>
            <w:tcW w:w="169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445,668.50</w:t>
            </w:r>
          </w:p>
        </w:tc>
        <w:tc>
          <w:tcPr>
            <w:tcW w:w="162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0.01</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4</w:t>
            </w:r>
          </w:p>
        </w:tc>
        <w:tc>
          <w:tcPr>
            <w:tcW w:w="1729"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120004</w:t>
            </w:r>
          </w:p>
        </w:tc>
        <w:tc>
          <w:tcPr>
            <w:tcW w:w="1658" w:type="dxa"/>
            <w:tcBorders>
              <w:top w:val="single" w:sz="0" w:space="0" w:color="000000"/>
              <w:left w:val="single" w:sz="0" w:space="0" w:color="000000"/>
              <w:bottom w:val="single" w:sz="0" w:space="0" w:color="000000"/>
              <w:right w:val="single" w:sz="0" w:space="0" w:color="000000"/>
            </w:tcBorders>
            <w:vAlign w:val="center"/>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20华菱EB</w:t>
            </w:r>
          </w:p>
        </w:tc>
        <w:tc>
          <w:tcPr>
            <w:tcW w:w="1697"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371,895.91</w:t>
            </w:r>
          </w:p>
        </w:tc>
        <w:tc>
          <w:tcPr>
            <w:tcW w:w="1621" w:type="dxa"/>
            <w:tcBorders>
              <w:top w:val="single" w:sz="0" w:space="0" w:color="000000"/>
              <w:left w:val="single" w:sz="0" w:space="0" w:color="000000"/>
              <w:bottom w:val="single" w:sz="0" w:space="0" w:color="000000"/>
              <w:right w:val="single" w:sz="0" w:space="0" w:color="000000"/>
            </w:tcBorders>
            <w:vAlign w:val="center"/>
          </w:tcPr>
          <w:p w:rsidR="00632EFB" w:rsidRPr="00C86E67">
            <w:pPr>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kern w:val="0"/>
              </w:rPr>
              <w:t>0.01</w:t>
            </w:r>
          </w:p>
        </w:tc>
      </w:tr>
    </w:tbl>
    <w:p w:rsidR="00632EFB" w:rsidRPr="00C86E67" w:rsidP="00C86E67">
      <w:pPr>
        <w:pStyle w:val="NormalWeb"/>
        <w:snapToGrid w:val="0"/>
        <w:spacing w:line="360" w:lineRule="auto"/>
        <w:ind w:firstLine="420"/>
        <w:rPr>
          <w:rFonts w:asciiTheme="minorEastAsia" w:eastAsiaTheme="minorEastAsia" w:hAnsiTheme="minorEastAsia"/>
          <w:color w:val="000000" w:themeColor="text1"/>
          <w:sz w:val="21"/>
          <w:szCs w:val="21"/>
        </w:rPr>
      </w:pPr>
      <w:r w:rsidRPr="00C86E67">
        <w:rPr>
          <w:rFonts w:asciiTheme="minorEastAsia" w:eastAsiaTheme="minorEastAsia" w:hAnsiTheme="minorEastAsia"/>
          <w:color w:val="000000" w:themeColor="text1"/>
          <w:sz w:val="21"/>
          <w:szCs w:val="21"/>
        </w:rPr>
        <w:t>（5）报告期末前十名股票中存在流通受限情况的说明</w:t>
      </w:r>
    </w:p>
    <w:p w:rsidR="00632EFB" w:rsidRPr="00C86E67" w:rsidP="00C86E67">
      <w:pPr>
        <w:pStyle w:val="NormalWeb"/>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sz w:val="21"/>
          <w:szCs w:val="21"/>
        </w:rPr>
        <w:t>本基金本报告期末前十名股票中不存在流通受限情况。</w:t>
      </w:r>
      <w:r w:rsidRPr="00C86E67">
        <w:rPr>
          <w:rFonts w:asciiTheme="minorEastAsia" w:eastAsiaTheme="minorEastAsia" w:hAnsiTheme="minorEastAsia"/>
          <w:color w:val="000000" w:themeColor="text1"/>
        </w:rPr>
        <w:br w:type="page"/>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770" w:name="_Toc91764841"/>
      <w:r w:rsidRPr="00C86E67">
        <w:rPr>
          <w:rFonts w:asciiTheme="minorEastAsia" w:eastAsiaTheme="minorEastAsia" w:hAnsiTheme="minorEastAsia" w:hint="eastAsia"/>
          <w:b/>
          <w:bCs/>
          <w:color w:val="000000" w:themeColor="text1"/>
        </w:rPr>
        <w:t>十二、基金的业绩</w:t>
      </w:r>
      <w:bookmarkEnd w:id="770"/>
    </w:p>
    <w:p w:rsidR="00C35BC5" w:rsidRPr="00C86E67" w:rsidP="00552BE1">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C86E67">
        <w:rPr>
          <w:rFonts w:asciiTheme="minorEastAsia" w:eastAsiaTheme="minorEastAsia" w:hAnsiTheme="minorEastAsia"/>
          <w:color w:val="000000" w:themeColor="text1"/>
          <w:kern w:val="0"/>
        </w:rPr>
        <w:t>基金管理人依照恪尽职守、诚实信用、谨慎勤勉的原则管理和运用基金财产，但不保证基金一定盈利，也不保证最低收益。基金的过往业绩并不代表其未来表现。投资有风险，投资者在</w:t>
      </w:r>
      <w:r w:rsidRPr="00C86E67">
        <w:rPr>
          <w:rFonts w:asciiTheme="minorEastAsia" w:eastAsiaTheme="minorEastAsia" w:hAnsiTheme="minorEastAsia" w:hint="eastAsia"/>
          <w:color w:val="000000" w:themeColor="text1"/>
          <w:kern w:val="0"/>
        </w:rPr>
        <w:t>作出</w:t>
      </w:r>
      <w:r w:rsidRPr="00C86E67">
        <w:rPr>
          <w:rFonts w:asciiTheme="minorEastAsia" w:eastAsiaTheme="minorEastAsia" w:hAnsiTheme="minorEastAsia"/>
          <w:color w:val="000000" w:themeColor="text1"/>
          <w:kern w:val="0"/>
        </w:rPr>
        <w:t>投资决策前应仔细阅读本基金的招募说明书。</w:t>
      </w:r>
    </w:p>
    <w:p w:rsidR="00C35BC5" w:rsidRPr="00C86E67" w:rsidP="00552BE1">
      <w:pPr>
        <w:autoSpaceDE w:val="0"/>
        <w:autoSpaceDN w:val="0"/>
        <w:adjustRightInd w:val="0"/>
        <w:snapToGrid w:val="0"/>
        <w:spacing w:line="360" w:lineRule="auto"/>
        <w:ind w:firstLine="42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rPr>
        <w:t>本基金合同生效日为2007年4月</w:t>
      </w:r>
      <w:r w:rsidRPr="00C86E67">
        <w:rPr>
          <w:rFonts w:asciiTheme="minorEastAsia" w:eastAsiaTheme="minorEastAsia" w:hAnsiTheme="minorEastAsia" w:hint="eastAsia"/>
          <w:color w:val="000000" w:themeColor="text1"/>
          <w:kern w:val="0"/>
          <w:szCs w:val="21"/>
        </w:rPr>
        <w:t>2日，</w:t>
      </w:r>
      <w:r w:rsidRPr="00C86E67" w:rsidR="00EC717C">
        <w:rPr>
          <w:rFonts w:asciiTheme="minorEastAsia" w:eastAsiaTheme="minorEastAsia" w:hAnsiTheme="minorEastAsia" w:hint="eastAsia"/>
          <w:color w:val="000000" w:themeColor="text1"/>
          <w:kern w:val="0"/>
          <w:szCs w:val="21"/>
        </w:rPr>
        <w:t>本基金最近十个完整会计年度</w:t>
      </w:r>
      <w:r w:rsidRPr="00C86E67" w:rsidR="00252CA4">
        <w:rPr>
          <w:rFonts w:asciiTheme="minorEastAsia" w:eastAsiaTheme="minorEastAsia" w:hAnsiTheme="minorEastAsia" w:hint="eastAsia"/>
          <w:color w:val="000000" w:themeColor="text1"/>
          <w:kern w:val="0"/>
          <w:szCs w:val="21"/>
        </w:rPr>
        <w:t>（截至</w:t>
      </w:r>
      <w:r w:rsidRPr="00C86E67" w:rsidR="00252CA4">
        <w:rPr>
          <w:rFonts w:asciiTheme="minorEastAsia" w:eastAsiaTheme="minorEastAsia" w:hAnsiTheme="minorEastAsia" w:hint="eastAsia"/>
          <w:color w:val="000000" w:themeColor="text1"/>
          <w:szCs w:val="21"/>
        </w:rPr>
        <w:t>20</w:t>
      </w:r>
      <w:r w:rsidRPr="00C86E67" w:rsidR="00840A1B">
        <w:rPr>
          <w:rFonts w:asciiTheme="minorEastAsia" w:eastAsiaTheme="minorEastAsia" w:hAnsiTheme="minorEastAsia" w:hint="eastAsia"/>
          <w:color w:val="000000" w:themeColor="text1"/>
          <w:szCs w:val="21"/>
        </w:rPr>
        <w:t>20</w:t>
      </w:r>
      <w:r w:rsidRPr="00C86E67" w:rsidR="00252CA4">
        <w:rPr>
          <w:rFonts w:asciiTheme="minorEastAsia" w:eastAsiaTheme="minorEastAsia" w:hAnsiTheme="minorEastAsia" w:hint="eastAsia"/>
          <w:color w:val="000000" w:themeColor="text1"/>
          <w:szCs w:val="21"/>
        </w:rPr>
        <w:t>年</w:t>
      </w:r>
      <w:r w:rsidRPr="00C86E67" w:rsidR="00252CA4">
        <w:rPr>
          <w:rFonts w:asciiTheme="minorEastAsia" w:eastAsiaTheme="minorEastAsia" w:hAnsiTheme="minorEastAsia"/>
          <w:color w:val="000000" w:themeColor="text1"/>
          <w:szCs w:val="21"/>
        </w:rPr>
        <w:t>12</w:t>
      </w:r>
      <w:r w:rsidRPr="00C86E67" w:rsidR="00252CA4">
        <w:rPr>
          <w:rFonts w:asciiTheme="minorEastAsia" w:eastAsiaTheme="minorEastAsia" w:hAnsiTheme="minorEastAsia" w:hint="eastAsia"/>
          <w:color w:val="000000" w:themeColor="text1"/>
          <w:szCs w:val="21"/>
        </w:rPr>
        <w:t>月3</w:t>
      </w:r>
      <w:r w:rsidRPr="00C86E67" w:rsidR="00252CA4">
        <w:rPr>
          <w:rFonts w:asciiTheme="minorEastAsia" w:eastAsiaTheme="minorEastAsia" w:hAnsiTheme="minorEastAsia"/>
          <w:color w:val="000000" w:themeColor="text1"/>
          <w:szCs w:val="21"/>
        </w:rPr>
        <w:t>1</w:t>
      </w:r>
      <w:r w:rsidRPr="00C86E67" w:rsidR="00252CA4">
        <w:rPr>
          <w:rFonts w:asciiTheme="minorEastAsia" w:eastAsiaTheme="minorEastAsia" w:hAnsiTheme="minorEastAsia" w:hint="eastAsia"/>
          <w:color w:val="000000" w:themeColor="text1"/>
          <w:szCs w:val="21"/>
        </w:rPr>
        <w:t>日</w:t>
      </w:r>
      <w:r w:rsidRPr="00C86E67" w:rsidR="00252CA4">
        <w:rPr>
          <w:rFonts w:asciiTheme="minorEastAsia" w:eastAsiaTheme="minorEastAsia" w:hAnsiTheme="minorEastAsia" w:hint="eastAsia"/>
          <w:color w:val="000000" w:themeColor="text1"/>
          <w:kern w:val="0"/>
          <w:szCs w:val="21"/>
        </w:rPr>
        <w:t>）</w:t>
      </w:r>
      <w:r w:rsidRPr="00C86E67">
        <w:rPr>
          <w:rFonts w:asciiTheme="minorEastAsia" w:eastAsiaTheme="minorEastAsia" w:hAnsiTheme="minorEastAsia" w:hint="eastAsia"/>
          <w:color w:val="000000" w:themeColor="text1"/>
          <w:kern w:val="0"/>
          <w:szCs w:val="21"/>
        </w:rPr>
        <w:t>的投资业绩及与同期基准的比较如下表所示：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92"/>
        <w:gridCol w:w="1134"/>
        <w:gridCol w:w="1276"/>
        <w:gridCol w:w="1418"/>
        <w:gridCol w:w="1134"/>
        <w:gridCol w:w="1275"/>
      </w:tblGrid>
      <w:tr w:rsidTr="002E7D9F">
        <w:tblPrEx>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15"/>
        </w:trPr>
        <w:tc>
          <w:tcPr>
            <w:tcW w:w="1276" w:type="dxa"/>
            <w:vAlign w:val="center"/>
          </w:tcPr>
          <w:p w:rsidR="00C35BC5" w:rsidRPr="00C86E67" w:rsidP="00552BE1">
            <w:pPr>
              <w:snapToGrid w:val="0"/>
              <w:spacing w:line="360" w:lineRule="auto"/>
              <w:jc w:val="center"/>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hint="eastAsia"/>
                <w:color w:val="000000" w:themeColor="text1"/>
                <w:szCs w:val="21"/>
              </w:rPr>
              <w:t>阶段</w:t>
            </w:r>
          </w:p>
        </w:tc>
        <w:tc>
          <w:tcPr>
            <w:tcW w:w="992" w:type="dxa"/>
            <w:vAlign w:val="center"/>
          </w:tcPr>
          <w:p w:rsidR="00C35BC5" w:rsidRPr="00C86E67" w:rsidP="00552BE1">
            <w:pPr>
              <w:snapToGrid w:val="0"/>
              <w:spacing w:line="360" w:lineRule="auto"/>
              <w:jc w:val="center"/>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hint="eastAsia"/>
                <w:color w:val="000000" w:themeColor="text1"/>
                <w:szCs w:val="21"/>
              </w:rPr>
              <w:t>净值增长率（</w:t>
            </w:r>
            <w:r w:rsidRPr="00C86E67">
              <w:rPr>
                <w:rFonts w:asciiTheme="minorEastAsia" w:eastAsiaTheme="minorEastAsia" w:hAnsiTheme="minorEastAsia"/>
                <w:color w:val="000000" w:themeColor="text1"/>
                <w:szCs w:val="21"/>
              </w:rPr>
              <w:t>1）</w:t>
            </w:r>
          </w:p>
        </w:tc>
        <w:tc>
          <w:tcPr>
            <w:tcW w:w="1134" w:type="dxa"/>
            <w:vAlign w:val="center"/>
          </w:tcPr>
          <w:p w:rsidR="00C35BC5" w:rsidRPr="00C86E67" w:rsidP="00552BE1">
            <w:pPr>
              <w:snapToGrid w:val="0"/>
              <w:spacing w:line="360" w:lineRule="auto"/>
              <w:jc w:val="center"/>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hint="eastAsia"/>
                <w:color w:val="000000" w:themeColor="text1"/>
                <w:szCs w:val="21"/>
              </w:rPr>
              <w:t>净值增长率标准差（</w:t>
            </w:r>
            <w:r w:rsidRPr="00C86E67">
              <w:rPr>
                <w:rFonts w:asciiTheme="minorEastAsia" w:eastAsiaTheme="minorEastAsia" w:hAnsiTheme="minorEastAsia"/>
                <w:color w:val="000000" w:themeColor="text1"/>
                <w:szCs w:val="21"/>
              </w:rPr>
              <w:t>2）</w:t>
            </w:r>
          </w:p>
        </w:tc>
        <w:tc>
          <w:tcPr>
            <w:tcW w:w="1276" w:type="dxa"/>
            <w:vAlign w:val="center"/>
          </w:tcPr>
          <w:p w:rsidR="00C35BC5" w:rsidRPr="00C86E67" w:rsidP="00552BE1">
            <w:pPr>
              <w:snapToGrid w:val="0"/>
              <w:spacing w:line="360" w:lineRule="auto"/>
              <w:jc w:val="center"/>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hint="eastAsia"/>
                <w:color w:val="000000" w:themeColor="text1"/>
                <w:szCs w:val="21"/>
              </w:rPr>
              <w:t>业绩比较基准收益率（</w:t>
            </w:r>
            <w:r w:rsidRPr="00C86E67">
              <w:rPr>
                <w:rFonts w:asciiTheme="minorEastAsia" w:eastAsiaTheme="minorEastAsia" w:hAnsiTheme="minorEastAsia"/>
                <w:color w:val="000000" w:themeColor="text1"/>
                <w:szCs w:val="21"/>
              </w:rPr>
              <w:t>3）</w:t>
            </w:r>
          </w:p>
        </w:tc>
        <w:tc>
          <w:tcPr>
            <w:tcW w:w="1418" w:type="dxa"/>
            <w:vAlign w:val="center"/>
          </w:tcPr>
          <w:p w:rsidR="00C35BC5" w:rsidRPr="00C86E67" w:rsidP="00552BE1">
            <w:pPr>
              <w:snapToGrid w:val="0"/>
              <w:spacing w:line="360" w:lineRule="auto"/>
              <w:jc w:val="center"/>
              <w:rPr>
                <w:rFonts w:asciiTheme="minorEastAsia" w:eastAsiaTheme="minorEastAsia" w:hAnsiTheme="minorEastAsia" w:cs="Arial Unicode MS"/>
                <w:color w:val="000000" w:themeColor="text1"/>
                <w:szCs w:val="21"/>
              </w:rPr>
            </w:pPr>
            <w:r w:rsidRPr="00C86E67">
              <w:rPr>
                <w:rFonts w:asciiTheme="minorEastAsia" w:eastAsiaTheme="minorEastAsia" w:hAnsiTheme="minorEastAsia" w:hint="eastAsia"/>
                <w:color w:val="000000" w:themeColor="text1"/>
                <w:szCs w:val="21"/>
              </w:rPr>
              <w:t>业绩比较基准收益率标准差（</w:t>
            </w:r>
            <w:r w:rsidRPr="00C86E67">
              <w:rPr>
                <w:rFonts w:asciiTheme="minorEastAsia" w:eastAsiaTheme="minorEastAsia" w:hAnsiTheme="minorEastAsia"/>
                <w:color w:val="000000" w:themeColor="text1"/>
                <w:szCs w:val="21"/>
              </w:rPr>
              <w:t>4）</w:t>
            </w:r>
          </w:p>
        </w:tc>
        <w:tc>
          <w:tcPr>
            <w:tcW w:w="1134" w:type="dxa"/>
            <w:vAlign w:val="center"/>
          </w:tcPr>
          <w:p w:rsidR="00C35BC5" w:rsidRPr="00C86E67" w:rsidP="00552BE1">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(1)</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(3)</w:t>
            </w:r>
          </w:p>
        </w:tc>
        <w:tc>
          <w:tcPr>
            <w:tcW w:w="1275" w:type="dxa"/>
            <w:vAlign w:val="center"/>
          </w:tcPr>
          <w:p w:rsidR="00C35BC5" w:rsidRPr="00C86E67" w:rsidP="00552BE1">
            <w:pPr>
              <w:snapToGrid w:val="0"/>
              <w:spacing w:line="360" w:lineRule="auto"/>
              <w:ind w:left="-107" w:leftChars="-51"/>
              <w:jc w:val="center"/>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(2)</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(4)</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2011年1月1日至2011年12月31日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-27.53%</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1.29%</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-16.30%</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0.91%</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-11.23%</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0.38%</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2012年1月1日至2012年12月31日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0.95%</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1.21%</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6.29%</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0.90%</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-5.34%</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0.31%</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2013年1月1日至2013年12月31日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16.53%</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1.26%</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-4.53%</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0.98%</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21.06%</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0.28%</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2014年1月1日至2014年12月31日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0.13%</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1.13%</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37.49%</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0.85%</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-37.36%</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0.28%</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2015年1月1日至2015年12月31日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67.65%</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2.69%</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5.73%</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1.74%</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61.92%</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0.95%</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2016年1月1日至2016年12月31日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-26.01%</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1.82%</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-6.88%</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0.98%</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-19.13%</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0.84%</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2017年1月1日至2017年12月31日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29.78%</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0.80%</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15.44%</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0.45%</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14.34%</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0.35%</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2018年1月1日至2018年12月31日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-27.48%</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1.46%</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-16.03%</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0.94%</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-11.45%</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0.52%</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2019年1月1日至2019年12月31日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42.09%</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1.40%</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26.55%</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0.87%</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15.54%</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0.53%</w:t>
            </w:r>
          </w:p>
        </w:tc>
      </w:tr>
      <w:tr>
        <w:tblPrEx>
          <w:tblW w:w="8505" w:type="dxa"/>
          <w:tblInd w:w="108" w:type="dxa"/>
          <w:tblLayout w:type="fixed"/>
          <w:tblLook w:val="0000"/>
        </w:tblPrEx>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2020年1月1日至2020年12月31日</w:t>
            </w:r>
          </w:p>
        </w:tc>
        <w:tc>
          <w:tcPr>
            <w:tcW w:w="992"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43.69%</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1.79%</w:t>
            </w:r>
          </w:p>
        </w:tc>
        <w:tc>
          <w:tcPr>
            <w:tcW w:w="1276"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20.15%</w:t>
            </w:r>
          </w:p>
        </w:tc>
        <w:tc>
          <w:tcPr>
            <w:tcW w:w="1418"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1.00%</w:t>
            </w:r>
          </w:p>
        </w:tc>
        <w:tc>
          <w:tcPr>
            <w:tcW w:w="1134"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23.54%</w:t>
            </w:r>
          </w:p>
        </w:tc>
        <w:tc>
          <w:tcPr>
            <w:tcW w:w="1275"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0.79%</w:t>
            </w:r>
          </w:p>
        </w:tc>
      </w:tr>
    </w:tbl>
    <w:p w:rsidR="00412012" w:rsidRPr="00C86E67" w:rsidP="006A09C2">
      <w:pPr>
        <w:spacing w:line="360" w:lineRule="auto"/>
        <w:ind w:firstLine="420" w:firstLineChars="200"/>
        <w:rPr>
          <w:rFonts w:asciiTheme="minorEastAsia" w:eastAsiaTheme="minorEastAsia" w:hAnsiTheme="minorEastAsia"/>
          <w:color w:val="000000" w:themeColor="text1"/>
          <w:szCs w:val="20"/>
        </w:rPr>
      </w:pPr>
      <w:r w:rsidRPr="00C86E67">
        <w:rPr>
          <w:rFonts w:asciiTheme="minorEastAsia" w:eastAsiaTheme="minorEastAsia" w:hAnsiTheme="minorEastAsia"/>
          <w:color w:val="000000" w:themeColor="text1"/>
        </w:rPr>
        <w:t>本基金历任基金经理情况：潘峰，管理时间为2007年4月2日至2014年12月5日；郑茂，管理时间为2014年12月6日至2015年5月18日；王义克，管理时间为2014年12月6日至2018年3月22日；武阳，管理时间为2018年3月23日至2021年5月28日；林高榜，管理时间为2018年3月23日至2021年12月24日。</w:t>
      </w:r>
    </w:p>
    <w:p w:rsidR="008729A3" w:rsidRPr="00C86E67" w:rsidP="00121DBE">
      <w:pPr>
        <w:rPr>
          <w:rFonts w:asciiTheme="minorEastAsia" w:eastAsiaTheme="minorEastAsia" w:hAnsiTheme="minorEastAsia"/>
          <w:color w:val="000000" w:themeColor="text1"/>
        </w:rPr>
      </w:pPr>
    </w:p>
    <w:p w:rsidR="00C35BC5" w:rsidRPr="00C86E67" w:rsidP="00B5132A">
      <w:pPr>
        <w:pStyle w:val="Heading1"/>
        <w:snapToGrid w:val="0"/>
        <w:spacing w:beforeLines="0" w:afterLines="0" w:line="360" w:lineRule="auto"/>
        <w:ind w:firstLine="640"/>
        <w:rPr>
          <w:rFonts w:asciiTheme="minorEastAsia" w:eastAsiaTheme="minorEastAsia" w:hAnsiTheme="minorEastAsia"/>
          <w:b/>
          <w:bCs/>
          <w:color w:val="000000" w:themeColor="text1"/>
        </w:rPr>
      </w:pPr>
      <w:r w:rsidRPr="00C86E67">
        <w:rPr>
          <w:rFonts w:asciiTheme="minorEastAsia" w:eastAsiaTheme="minorEastAsia" w:hAnsiTheme="minorEastAsia"/>
          <w:color w:val="000000" w:themeColor="text1"/>
        </w:rPr>
        <w:br w:type="page"/>
      </w:r>
      <w:bookmarkStart w:id="771" w:name="_Toc91764842"/>
      <w:r w:rsidRPr="00C86E67">
        <w:rPr>
          <w:rFonts w:asciiTheme="minorEastAsia" w:eastAsiaTheme="minorEastAsia" w:hAnsiTheme="minorEastAsia" w:hint="eastAsia"/>
          <w:b/>
          <w:bCs/>
          <w:color w:val="000000" w:themeColor="text1"/>
        </w:rPr>
        <w:t>十三、基金的财产</w:t>
      </w:r>
      <w:bookmarkEnd w:id="771"/>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72" w:name="_Toc91764843"/>
      <w:r w:rsidRPr="00C86E67">
        <w:rPr>
          <w:rFonts w:asciiTheme="minorEastAsia" w:eastAsiaTheme="minorEastAsia" w:hAnsiTheme="minorEastAsia" w:hint="eastAsia"/>
          <w:b w:val="0"/>
          <w:color w:val="000000" w:themeColor="text1"/>
        </w:rPr>
        <w:t>（一）基金资产总值</w:t>
      </w:r>
      <w:bookmarkEnd w:id="772"/>
    </w:p>
    <w:p w:rsidR="00C35BC5" w:rsidRPr="00C86E67" w:rsidP="00552BE1">
      <w:pPr>
        <w:pStyle w:val="BodyTextFirstIndent"/>
        <w:snapToGrid w:val="0"/>
        <w:spacing w:after="0" w:line="360" w:lineRule="auto"/>
        <w:ind w:firstLine="420" w:firstLineChars="200"/>
        <w:rPr>
          <w:rFonts w:asciiTheme="minorEastAsia" w:eastAsiaTheme="minorEastAsia" w:hAnsiTheme="minorEastAsia"/>
          <w:color w:val="000000" w:themeColor="text1"/>
        </w:rPr>
      </w:pPr>
      <w:bookmarkStart w:id="773" w:name="_Toc79392635"/>
      <w:bookmarkStart w:id="774" w:name="_Toc79556449"/>
      <w:r w:rsidRPr="00C86E67">
        <w:rPr>
          <w:rFonts w:asciiTheme="minorEastAsia" w:eastAsiaTheme="minorEastAsia" w:hAnsiTheme="minorEastAsia" w:hint="eastAsia"/>
          <w:color w:val="000000" w:themeColor="text1"/>
        </w:rPr>
        <w:t>基金资产总值是指购买的各类证券价值、银行存款本息和基金应收的申购基金款以及其他投资所形成的价值总和。</w:t>
      </w:r>
      <w:bookmarkEnd w:id="773"/>
      <w:bookmarkEnd w:id="774"/>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其构成主要有：</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银行存款及其应计利息；</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清算备付金及其应计利息；</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根据有关规定缴纳的保证金；</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应收证券交易清算款；</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应收申购款；</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股票投资及其估值调整；</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债券投资及其估值调整和应计利息；</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权证投资及其估值调整；</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其他投资及其估值调整；</w:t>
      </w:r>
    </w:p>
    <w:p w:rsidR="00C35BC5" w:rsidRPr="00C86E67" w:rsidP="00552BE1">
      <w:pPr>
        <w:numPr>
          <w:ilvl w:val="0"/>
          <w:numId w:val="20"/>
        </w:numPr>
        <w:snapToGrid w:val="0"/>
        <w:spacing w:line="360" w:lineRule="auto"/>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其他资产等。</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75" w:name="_Toc91764844"/>
      <w:r w:rsidRPr="00C86E67">
        <w:rPr>
          <w:rFonts w:asciiTheme="minorEastAsia" w:eastAsiaTheme="minorEastAsia" w:hAnsiTheme="minorEastAsia" w:hint="eastAsia"/>
          <w:b w:val="0"/>
          <w:color w:val="000000" w:themeColor="text1"/>
        </w:rPr>
        <w:t>（二）基金资产净值</w:t>
      </w:r>
      <w:bookmarkEnd w:id="775"/>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基金资产净值是指基金资产总值减去基金负债后的价值。</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776" w:name="_Toc91764845"/>
      <w:r w:rsidRPr="00C86E67">
        <w:rPr>
          <w:rFonts w:asciiTheme="minorEastAsia" w:eastAsiaTheme="minorEastAsia" w:hAnsiTheme="minorEastAsia" w:hint="eastAsia"/>
          <w:b w:val="0"/>
          <w:color w:val="000000" w:themeColor="text1"/>
        </w:rPr>
        <w:t>（三）基金财产的账户</w:t>
      </w:r>
      <w:bookmarkEnd w:id="776"/>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w:t>
      </w:r>
      <w:r w:rsidRPr="00C86E67" w:rsidR="00146A02">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机构和基金注册登记人自有的财产账户以及其他基金财产账户相独立。</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77" w:name="_Toc91764846"/>
      <w:r w:rsidRPr="00C86E67">
        <w:rPr>
          <w:rFonts w:asciiTheme="minorEastAsia" w:eastAsiaTheme="minorEastAsia" w:hAnsiTheme="minorEastAsia" w:hint="eastAsia"/>
          <w:b w:val="0"/>
          <w:color w:val="000000" w:themeColor="text1"/>
        </w:rPr>
        <w:t>（四）基金财产的保管和处分</w:t>
      </w:r>
      <w:bookmarkEnd w:id="777"/>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本基金财产独立于基金管理人、基金托管人和基金</w:t>
      </w:r>
      <w:r w:rsidRPr="00C86E67" w:rsidR="00146A02">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人和基金</w:t>
      </w:r>
      <w:r w:rsidRPr="00C86E67" w:rsidR="00146A02">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机构以其自有的财产承担其自身的法律责任，其债权人不得对本基金财产行使请求冻结、扣押或其他权利。除依法律法规和《基金合同》的规定处分外，基金财产不得被处分。</w:t>
      </w:r>
    </w:p>
    <w:p w:rsidR="00C35BC5" w:rsidRPr="00C86E67" w:rsidP="00552BE1">
      <w:pPr>
        <w:snapToGrid w:val="0"/>
        <w:spacing w:line="360" w:lineRule="auto"/>
        <w:ind w:firstLine="48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rPr>
        <w:t>基金管理人管理运作基金财产所产生的债权，不得与其固有资产产生的债务相互抵消；基金管理人管理运作不同基金的基金财产所产生的债权债务不得相互</w:t>
      </w:r>
      <w:r w:rsidRPr="00C86E67">
        <w:rPr>
          <w:rFonts w:asciiTheme="minorEastAsia" w:eastAsiaTheme="minorEastAsia" w:hAnsiTheme="minorEastAsia" w:hint="eastAsia"/>
          <w:color w:val="000000" w:themeColor="text1"/>
          <w:sz w:val="24"/>
        </w:rPr>
        <w:t>抵消。</w:t>
      </w:r>
    </w:p>
    <w:p w:rsidR="00C35BC5" w:rsidRPr="00C86E67" w:rsidP="00552BE1">
      <w:pPr>
        <w:snapToGrid w:val="0"/>
        <w:spacing w:line="360" w:lineRule="auto"/>
        <w:rPr>
          <w:rFonts w:asciiTheme="minorEastAsia" w:eastAsiaTheme="minorEastAsia" w:hAnsiTheme="minorEastAsia"/>
          <w:color w:val="000000" w:themeColor="text1"/>
        </w:rPr>
      </w:pP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778" w:name="_Toc91764847"/>
      <w:r w:rsidRPr="00C86E67">
        <w:rPr>
          <w:rFonts w:asciiTheme="minorEastAsia" w:eastAsiaTheme="minorEastAsia" w:hAnsiTheme="minorEastAsia" w:hint="eastAsia"/>
          <w:b/>
          <w:bCs/>
          <w:color w:val="000000" w:themeColor="text1"/>
        </w:rPr>
        <w:t>十四、基金资产估值</w:t>
      </w:r>
      <w:bookmarkEnd w:id="778"/>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779" w:name="_Toc66706733"/>
      <w:bookmarkStart w:id="780" w:name="_Toc86584624"/>
      <w:bookmarkStart w:id="781" w:name="_Toc91764848"/>
      <w:bookmarkStart w:id="782" w:name="_Toc84149655"/>
      <w:r w:rsidRPr="00C86E67">
        <w:rPr>
          <w:rFonts w:asciiTheme="minorEastAsia" w:eastAsiaTheme="minorEastAsia" w:hAnsiTheme="minorEastAsia" w:hint="eastAsia"/>
          <w:b w:val="0"/>
          <w:color w:val="000000" w:themeColor="text1"/>
        </w:rPr>
        <w:t>（一）估值目的</w:t>
      </w:r>
      <w:bookmarkEnd w:id="779"/>
      <w:bookmarkEnd w:id="780"/>
      <w:bookmarkEnd w:id="781"/>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基金资产估值的目的是客观、准确地反映基金资产是否保值、增值，依据经基金资产估值后确定的基金资产净值而计算出的基金份额净值，是计算基金申购与赎回价格的基础。</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83" w:name="_Toc66706734"/>
      <w:bookmarkStart w:id="784" w:name="_Toc86584625"/>
      <w:bookmarkStart w:id="785" w:name="_Toc91764849"/>
      <w:r w:rsidRPr="00C86E67">
        <w:rPr>
          <w:rFonts w:asciiTheme="minorEastAsia" w:eastAsiaTheme="minorEastAsia" w:hAnsiTheme="minorEastAsia" w:hint="eastAsia"/>
          <w:b w:val="0"/>
          <w:color w:val="000000" w:themeColor="text1"/>
        </w:rPr>
        <w:t>（二）估值日</w:t>
      </w:r>
      <w:bookmarkEnd w:id="783"/>
      <w:bookmarkEnd w:id="784"/>
      <w:bookmarkEnd w:id="785"/>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本基金的估值日为相关的证券交易场所的正常营业日以及国家法律法规规定需要对外披露基金净值的非营业日。</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86" w:name="_Toc66706735"/>
      <w:bookmarkStart w:id="787" w:name="_Toc86584626"/>
      <w:bookmarkStart w:id="788" w:name="_Toc91764850"/>
      <w:r w:rsidRPr="00C86E67">
        <w:rPr>
          <w:rFonts w:asciiTheme="minorEastAsia" w:eastAsiaTheme="minorEastAsia" w:hAnsiTheme="minorEastAsia" w:hint="eastAsia"/>
          <w:b w:val="0"/>
          <w:color w:val="000000" w:themeColor="text1"/>
        </w:rPr>
        <w:t>（三）估值对象</w:t>
      </w:r>
      <w:bookmarkEnd w:id="786"/>
      <w:bookmarkEnd w:id="787"/>
      <w:bookmarkEnd w:id="788"/>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基金所拥有的股票、债券、权证和银行存款本息等资产和负债。</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789" w:name="_Toc91764851"/>
      <w:bookmarkStart w:id="790" w:name="_Toc66706736"/>
      <w:bookmarkStart w:id="791" w:name="_Toc86584627"/>
      <w:r w:rsidRPr="00C86E67">
        <w:rPr>
          <w:rFonts w:asciiTheme="minorEastAsia" w:eastAsiaTheme="minorEastAsia" w:hAnsiTheme="minorEastAsia" w:hint="eastAsia"/>
          <w:b w:val="0"/>
          <w:color w:val="000000" w:themeColor="text1"/>
        </w:rPr>
        <w:t>（四）估值程序</w:t>
      </w:r>
      <w:bookmarkEnd w:id="789"/>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92" w:name="_Toc91764852"/>
      <w:r w:rsidRPr="00C86E67">
        <w:rPr>
          <w:rFonts w:asciiTheme="minorEastAsia" w:eastAsiaTheme="minorEastAsia" w:hAnsiTheme="minorEastAsia" w:hint="eastAsia"/>
          <w:b w:val="0"/>
          <w:color w:val="000000" w:themeColor="text1"/>
        </w:rPr>
        <w:t>（五）估值方法</w:t>
      </w:r>
      <w:bookmarkEnd w:id="790"/>
      <w:bookmarkEnd w:id="791"/>
      <w:bookmarkEnd w:id="792"/>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本基金按以下方式进行估值：</w:t>
      </w:r>
    </w:p>
    <w:p w:rsidR="00C35BC5" w:rsidRPr="00C86E67" w:rsidP="00C9149F">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1、证券交易所上市的有价证券的估值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交易所上市未实行净价交易的债券按估值日收盘价减去债券收盘价中所含的债券应收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（4）交易所上市不存在活跃市场的有价证券，采用估值技术确定公允价值。交易所上市的资产支持证券，采用估值技术确定公允价值，在估值技术难以可靠计量公允价值的情况下，按成本估值。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2、处于未上市期间的有价证券应区分如下情况处理：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（1）送股、转增股、配股和公开增发的新股，按估值日在证券交易所挂牌的同一股票的市价（收盘价）估值；该日无交易的，以最近一日的市价（收盘价）估值；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（2）首次公开发行未上市的股票、债券和权证，采用估值技术确定公允价值，在估值技术难以可靠计量公允价值的情况下，按成本估值。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（3）首次公开发行有明确锁定期的股票，同一股票在交易所上市后，按交易所上市的同一股票的市价（收盘价）估值；非公开发行有明确锁定期的股票，按监管机构或行业协会有关规定确定公允价值。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3、因持有股票而享有的配股权，以及停止交易、但未行权的权证，采用估值技术确定公允价值。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4、全国银行间债券市场交易的债券、资产支持证券等固定收益品种，采用估值技术确定公允价值。</w:t>
      </w:r>
    </w:p>
    <w:p w:rsidR="00D0433B" w:rsidRPr="00C86E67" w:rsidP="00D0433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w:t>
      </w:r>
      <w:r w:rsidRPr="00C86E67" w:rsidR="00C35BC5">
        <w:rPr>
          <w:rFonts w:asciiTheme="minorEastAsia" w:eastAsiaTheme="minorEastAsia" w:hAnsiTheme="minorEastAsia" w:hint="eastAsia"/>
          <w:color w:val="000000" w:themeColor="text1"/>
        </w:rPr>
        <w:t>同一债券同时在两个或两个以上市场交易的，按债券所处的市场分别估值。</w:t>
      </w:r>
    </w:p>
    <w:p w:rsidR="00C35BC5" w:rsidRPr="00C86E67" w:rsidP="00D0433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6、本基金投资存托凭证的估值核算，依照境内上市交易的股票执行。</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7</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如有确凿证据表明按上述方法进行估值不能客观反映其公允价值的，基金管理人可根据具体情况与基金托管人商定后，按最能反映公允价值的价格估值。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8</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相关法律法规以及监管部门有强制规定的，从其规定。如有新增事项，按国家最新规定估值。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93" w:name="_Toc181440945"/>
      <w:bookmarkStart w:id="794" w:name="_Toc181441083"/>
      <w:bookmarkStart w:id="795" w:name="_Toc181441219"/>
      <w:bookmarkStart w:id="796" w:name="_Toc181441353"/>
      <w:bookmarkStart w:id="797" w:name="_Toc181441487"/>
      <w:bookmarkStart w:id="798" w:name="_Toc181441855"/>
      <w:bookmarkStart w:id="799" w:name="_Toc182130595"/>
      <w:bookmarkStart w:id="800" w:name="_Toc182134761"/>
      <w:bookmarkStart w:id="801" w:name="_Toc183251180"/>
      <w:bookmarkStart w:id="802" w:name="_Toc183251793"/>
      <w:bookmarkStart w:id="803" w:name="_Toc183251954"/>
      <w:bookmarkStart w:id="804" w:name="_Toc183252111"/>
      <w:bookmarkStart w:id="805" w:name="_Toc183252696"/>
      <w:bookmarkStart w:id="806" w:name="_Toc181440946"/>
      <w:bookmarkStart w:id="807" w:name="_Toc181441084"/>
      <w:bookmarkStart w:id="808" w:name="_Toc181441220"/>
      <w:bookmarkStart w:id="809" w:name="_Toc181441354"/>
      <w:bookmarkStart w:id="810" w:name="_Toc181441488"/>
      <w:bookmarkStart w:id="811" w:name="_Toc181441856"/>
      <w:bookmarkStart w:id="812" w:name="_Toc182130596"/>
      <w:bookmarkStart w:id="813" w:name="_Toc182134762"/>
      <w:bookmarkStart w:id="814" w:name="_Toc183251181"/>
      <w:bookmarkStart w:id="815" w:name="_Toc183251794"/>
      <w:bookmarkStart w:id="816" w:name="_Toc183251955"/>
      <w:bookmarkStart w:id="817" w:name="_Toc183252112"/>
      <w:bookmarkStart w:id="818" w:name="_Toc183252697"/>
      <w:bookmarkStart w:id="819" w:name="_Toc181440947"/>
      <w:bookmarkStart w:id="820" w:name="_Toc181441085"/>
      <w:bookmarkStart w:id="821" w:name="_Toc181441221"/>
      <w:bookmarkStart w:id="822" w:name="_Toc181441355"/>
      <w:bookmarkStart w:id="823" w:name="_Toc181441489"/>
      <w:bookmarkStart w:id="824" w:name="_Toc181441857"/>
      <w:bookmarkStart w:id="825" w:name="_Toc182130597"/>
      <w:bookmarkStart w:id="826" w:name="_Toc182134763"/>
      <w:bookmarkStart w:id="827" w:name="_Toc183251182"/>
      <w:bookmarkStart w:id="828" w:name="_Toc183251795"/>
      <w:bookmarkStart w:id="829" w:name="_Toc183251956"/>
      <w:bookmarkStart w:id="830" w:name="_Toc183252113"/>
      <w:bookmarkStart w:id="831" w:name="_Toc183252698"/>
      <w:bookmarkStart w:id="832" w:name="_Toc181440948"/>
      <w:bookmarkStart w:id="833" w:name="_Toc181441086"/>
      <w:bookmarkStart w:id="834" w:name="_Toc181441222"/>
      <w:bookmarkStart w:id="835" w:name="_Toc181441356"/>
      <w:bookmarkStart w:id="836" w:name="_Toc181441490"/>
      <w:bookmarkStart w:id="837" w:name="_Toc181441858"/>
      <w:bookmarkStart w:id="838" w:name="_Toc182130598"/>
      <w:bookmarkStart w:id="839" w:name="_Toc182134764"/>
      <w:bookmarkStart w:id="840" w:name="_Toc183251183"/>
      <w:bookmarkStart w:id="841" w:name="_Toc183251796"/>
      <w:bookmarkStart w:id="842" w:name="_Toc183251957"/>
      <w:bookmarkStart w:id="843" w:name="_Toc183252114"/>
      <w:bookmarkStart w:id="844" w:name="_Toc183252699"/>
      <w:bookmarkStart w:id="845" w:name="_Toc181440949"/>
      <w:bookmarkStart w:id="846" w:name="_Toc181441087"/>
      <w:bookmarkStart w:id="847" w:name="_Toc181441223"/>
      <w:bookmarkStart w:id="848" w:name="_Toc181441357"/>
      <w:bookmarkStart w:id="849" w:name="_Toc181441491"/>
      <w:bookmarkStart w:id="850" w:name="_Toc181441859"/>
      <w:bookmarkStart w:id="851" w:name="_Toc182130599"/>
      <w:bookmarkStart w:id="852" w:name="_Toc182134765"/>
      <w:bookmarkStart w:id="853" w:name="_Toc183251184"/>
      <w:bookmarkStart w:id="854" w:name="_Toc183251797"/>
      <w:bookmarkStart w:id="855" w:name="_Toc183251958"/>
      <w:bookmarkStart w:id="856" w:name="_Toc183252115"/>
      <w:bookmarkStart w:id="857" w:name="_Toc183252700"/>
      <w:bookmarkStart w:id="858" w:name="_Toc181440950"/>
      <w:bookmarkStart w:id="859" w:name="_Toc181441088"/>
      <w:bookmarkStart w:id="860" w:name="_Toc181441224"/>
      <w:bookmarkStart w:id="861" w:name="_Toc181441358"/>
      <w:bookmarkStart w:id="862" w:name="_Toc181441492"/>
      <w:bookmarkStart w:id="863" w:name="_Toc181441860"/>
      <w:bookmarkStart w:id="864" w:name="_Toc182130600"/>
      <w:bookmarkStart w:id="865" w:name="_Toc182134766"/>
      <w:bookmarkStart w:id="866" w:name="_Toc183251185"/>
      <w:bookmarkStart w:id="867" w:name="_Toc183251798"/>
      <w:bookmarkStart w:id="868" w:name="_Toc183251959"/>
      <w:bookmarkStart w:id="869" w:name="_Toc183252116"/>
      <w:bookmarkStart w:id="870" w:name="_Toc183252701"/>
      <w:bookmarkStart w:id="871" w:name="_Toc181440951"/>
      <w:bookmarkStart w:id="872" w:name="_Toc181441089"/>
      <w:bookmarkStart w:id="873" w:name="_Toc181441225"/>
      <w:bookmarkStart w:id="874" w:name="_Toc181441359"/>
      <w:bookmarkStart w:id="875" w:name="_Toc181441493"/>
      <w:bookmarkStart w:id="876" w:name="_Toc181441861"/>
      <w:bookmarkStart w:id="877" w:name="_Toc182130601"/>
      <w:bookmarkStart w:id="878" w:name="_Toc182134767"/>
      <w:bookmarkStart w:id="879" w:name="_Toc183251186"/>
      <w:bookmarkStart w:id="880" w:name="_Toc183251799"/>
      <w:bookmarkStart w:id="881" w:name="_Toc183251960"/>
      <w:bookmarkStart w:id="882" w:name="_Toc183252117"/>
      <w:bookmarkStart w:id="883" w:name="_Toc183252702"/>
      <w:bookmarkStart w:id="884" w:name="_Toc181440952"/>
      <w:bookmarkStart w:id="885" w:name="_Toc181441090"/>
      <w:bookmarkStart w:id="886" w:name="_Toc181441226"/>
      <w:bookmarkStart w:id="887" w:name="_Toc181441360"/>
      <w:bookmarkStart w:id="888" w:name="_Toc181441494"/>
      <w:bookmarkStart w:id="889" w:name="_Toc181441862"/>
      <w:bookmarkStart w:id="890" w:name="_Toc182130602"/>
      <w:bookmarkStart w:id="891" w:name="_Toc182134768"/>
      <w:bookmarkStart w:id="892" w:name="_Toc183251187"/>
      <w:bookmarkStart w:id="893" w:name="_Toc183251800"/>
      <w:bookmarkStart w:id="894" w:name="_Toc183251961"/>
      <w:bookmarkStart w:id="895" w:name="_Toc183252118"/>
      <w:bookmarkStart w:id="896" w:name="_Toc183252703"/>
      <w:bookmarkStart w:id="897" w:name="_Toc181440953"/>
      <w:bookmarkStart w:id="898" w:name="_Toc181441091"/>
      <w:bookmarkStart w:id="899" w:name="_Toc181441227"/>
      <w:bookmarkStart w:id="900" w:name="_Toc181441361"/>
      <w:bookmarkStart w:id="901" w:name="_Toc181441495"/>
      <w:bookmarkStart w:id="902" w:name="_Toc181441863"/>
      <w:bookmarkStart w:id="903" w:name="_Toc182130603"/>
      <w:bookmarkStart w:id="904" w:name="_Toc182134769"/>
      <w:bookmarkStart w:id="905" w:name="_Toc183251188"/>
      <w:bookmarkStart w:id="906" w:name="_Toc183251801"/>
      <w:bookmarkStart w:id="907" w:name="_Toc183251962"/>
      <w:bookmarkStart w:id="908" w:name="_Toc183252119"/>
      <w:bookmarkStart w:id="909" w:name="_Toc183252704"/>
      <w:bookmarkStart w:id="910" w:name="_Toc181440954"/>
      <w:bookmarkStart w:id="911" w:name="_Toc181441092"/>
      <w:bookmarkStart w:id="912" w:name="_Toc181441228"/>
      <w:bookmarkStart w:id="913" w:name="_Toc181441362"/>
      <w:bookmarkStart w:id="914" w:name="_Toc181441496"/>
      <w:bookmarkStart w:id="915" w:name="_Toc181441864"/>
      <w:bookmarkStart w:id="916" w:name="_Toc182130604"/>
      <w:bookmarkStart w:id="917" w:name="_Toc182134770"/>
      <w:bookmarkStart w:id="918" w:name="_Toc183251189"/>
      <w:bookmarkStart w:id="919" w:name="_Toc183251802"/>
      <w:bookmarkStart w:id="920" w:name="_Toc183251963"/>
      <w:bookmarkStart w:id="921" w:name="_Toc183252120"/>
      <w:bookmarkStart w:id="922" w:name="_Toc183252705"/>
      <w:bookmarkStart w:id="923" w:name="_Toc181440955"/>
      <w:bookmarkStart w:id="924" w:name="_Toc181441093"/>
      <w:bookmarkStart w:id="925" w:name="_Toc181441229"/>
      <w:bookmarkStart w:id="926" w:name="_Toc181441363"/>
      <w:bookmarkStart w:id="927" w:name="_Toc181441497"/>
      <w:bookmarkStart w:id="928" w:name="_Toc181441865"/>
      <w:bookmarkStart w:id="929" w:name="_Toc182130605"/>
      <w:bookmarkStart w:id="930" w:name="_Toc182134771"/>
      <w:bookmarkStart w:id="931" w:name="_Toc183251190"/>
      <w:bookmarkStart w:id="932" w:name="_Toc183251803"/>
      <w:bookmarkStart w:id="933" w:name="_Toc183251964"/>
      <w:bookmarkStart w:id="934" w:name="_Toc183252121"/>
      <w:bookmarkStart w:id="935" w:name="_Toc183252706"/>
      <w:bookmarkStart w:id="936" w:name="_Toc181440956"/>
      <w:bookmarkStart w:id="937" w:name="_Toc181441094"/>
      <w:bookmarkStart w:id="938" w:name="_Toc181441230"/>
      <w:bookmarkStart w:id="939" w:name="_Toc181441364"/>
      <w:bookmarkStart w:id="940" w:name="_Toc181441498"/>
      <w:bookmarkStart w:id="941" w:name="_Toc181441866"/>
      <w:bookmarkStart w:id="942" w:name="_Toc182130606"/>
      <w:bookmarkStart w:id="943" w:name="_Toc182134772"/>
      <w:bookmarkStart w:id="944" w:name="_Toc183251191"/>
      <w:bookmarkStart w:id="945" w:name="_Toc183251804"/>
      <w:bookmarkStart w:id="946" w:name="_Toc183251965"/>
      <w:bookmarkStart w:id="947" w:name="_Toc183252122"/>
      <w:bookmarkStart w:id="948" w:name="_Toc183252707"/>
      <w:bookmarkStart w:id="949" w:name="_Toc181440957"/>
      <w:bookmarkStart w:id="950" w:name="_Toc181441095"/>
      <w:bookmarkStart w:id="951" w:name="_Toc181441231"/>
      <w:bookmarkStart w:id="952" w:name="_Toc181441365"/>
      <w:bookmarkStart w:id="953" w:name="_Toc181441499"/>
      <w:bookmarkStart w:id="954" w:name="_Toc181441867"/>
      <w:bookmarkStart w:id="955" w:name="_Toc182130607"/>
      <w:bookmarkStart w:id="956" w:name="_Toc182134773"/>
      <w:bookmarkStart w:id="957" w:name="_Toc183251192"/>
      <w:bookmarkStart w:id="958" w:name="_Toc183251805"/>
      <w:bookmarkStart w:id="959" w:name="_Toc183251966"/>
      <w:bookmarkStart w:id="960" w:name="_Toc183252123"/>
      <w:bookmarkStart w:id="961" w:name="_Toc183252708"/>
      <w:bookmarkStart w:id="962" w:name="_Toc181440958"/>
      <w:bookmarkStart w:id="963" w:name="_Toc181441096"/>
      <w:bookmarkStart w:id="964" w:name="_Toc181441232"/>
      <w:bookmarkStart w:id="965" w:name="_Toc181441366"/>
      <w:bookmarkStart w:id="966" w:name="_Toc181441500"/>
      <w:bookmarkStart w:id="967" w:name="_Toc181441868"/>
      <w:bookmarkStart w:id="968" w:name="_Toc182130608"/>
      <w:bookmarkStart w:id="969" w:name="_Toc182134774"/>
      <w:bookmarkStart w:id="970" w:name="_Toc183251193"/>
      <w:bookmarkStart w:id="971" w:name="_Toc183251806"/>
      <w:bookmarkStart w:id="972" w:name="_Toc183251967"/>
      <w:bookmarkStart w:id="973" w:name="_Toc183252124"/>
      <w:bookmarkStart w:id="974" w:name="_Toc183252709"/>
      <w:bookmarkStart w:id="975" w:name="_Toc181440959"/>
      <w:bookmarkStart w:id="976" w:name="_Toc181441097"/>
      <w:bookmarkStart w:id="977" w:name="_Toc181441233"/>
      <w:bookmarkStart w:id="978" w:name="_Toc181441367"/>
      <w:bookmarkStart w:id="979" w:name="_Toc181441501"/>
      <w:bookmarkStart w:id="980" w:name="_Toc181441869"/>
      <w:bookmarkStart w:id="981" w:name="_Toc182130609"/>
      <w:bookmarkStart w:id="982" w:name="_Toc182134775"/>
      <w:bookmarkStart w:id="983" w:name="_Toc183251194"/>
      <w:bookmarkStart w:id="984" w:name="_Toc183251807"/>
      <w:bookmarkStart w:id="985" w:name="_Toc183251968"/>
      <w:bookmarkStart w:id="986" w:name="_Toc183252125"/>
      <w:bookmarkStart w:id="987" w:name="_Toc183252710"/>
      <w:bookmarkStart w:id="988" w:name="_Toc181440960"/>
      <w:bookmarkStart w:id="989" w:name="_Toc181441098"/>
      <w:bookmarkStart w:id="990" w:name="_Toc181441234"/>
      <w:bookmarkStart w:id="991" w:name="_Toc181441368"/>
      <w:bookmarkStart w:id="992" w:name="_Toc181441502"/>
      <w:bookmarkStart w:id="993" w:name="_Toc181441870"/>
      <w:bookmarkStart w:id="994" w:name="_Toc182130610"/>
      <w:bookmarkStart w:id="995" w:name="_Toc182134776"/>
      <w:bookmarkStart w:id="996" w:name="_Toc183251195"/>
      <w:bookmarkStart w:id="997" w:name="_Toc183251808"/>
      <w:bookmarkStart w:id="998" w:name="_Toc183251969"/>
      <w:bookmarkStart w:id="999" w:name="_Toc183252126"/>
      <w:bookmarkStart w:id="1000" w:name="_Toc183252711"/>
      <w:bookmarkStart w:id="1001" w:name="_Toc181440961"/>
      <w:bookmarkStart w:id="1002" w:name="_Toc181441099"/>
      <w:bookmarkStart w:id="1003" w:name="_Toc181441235"/>
      <w:bookmarkStart w:id="1004" w:name="_Toc181441369"/>
      <w:bookmarkStart w:id="1005" w:name="_Toc181441503"/>
      <w:bookmarkStart w:id="1006" w:name="_Toc181441871"/>
      <w:bookmarkStart w:id="1007" w:name="_Toc182130611"/>
      <w:bookmarkStart w:id="1008" w:name="_Toc182134777"/>
      <w:bookmarkStart w:id="1009" w:name="_Toc183251196"/>
      <w:bookmarkStart w:id="1010" w:name="_Toc183251809"/>
      <w:bookmarkStart w:id="1011" w:name="_Toc183251970"/>
      <w:bookmarkStart w:id="1012" w:name="_Toc183252127"/>
      <w:bookmarkStart w:id="1013" w:name="_Toc183252712"/>
      <w:bookmarkStart w:id="1014" w:name="_Toc44229106"/>
      <w:bookmarkStart w:id="1015" w:name="_Toc44229201"/>
      <w:bookmarkStart w:id="1016" w:name="_Toc44229107"/>
      <w:bookmarkStart w:id="1017" w:name="_Toc44229202"/>
      <w:bookmarkStart w:id="1018" w:name="_Toc44229108"/>
      <w:bookmarkStart w:id="1019" w:name="_Toc44229203"/>
      <w:bookmarkStart w:id="1020" w:name="_Toc44229109"/>
      <w:bookmarkStart w:id="1021" w:name="_Toc44229204"/>
      <w:bookmarkStart w:id="1022" w:name="_Toc44229110"/>
      <w:bookmarkStart w:id="1023" w:name="_Toc44229205"/>
      <w:bookmarkStart w:id="1024" w:name="_Toc44229111"/>
      <w:bookmarkStart w:id="1025" w:name="_Toc44229206"/>
      <w:bookmarkStart w:id="1026" w:name="_Toc44229112"/>
      <w:bookmarkStart w:id="1027" w:name="_Toc44229207"/>
      <w:bookmarkStart w:id="1028" w:name="_Toc44229113"/>
      <w:bookmarkStart w:id="1029" w:name="_Toc44229208"/>
      <w:bookmarkStart w:id="1030" w:name="_Toc181440962"/>
      <w:bookmarkStart w:id="1031" w:name="_Toc181441100"/>
      <w:bookmarkStart w:id="1032" w:name="_Toc181441236"/>
      <w:bookmarkStart w:id="1033" w:name="_Toc181441370"/>
      <w:bookmarkStart w:id="1034" w:name="_Toc181441504"/>
      <w:bookmarkStart w:id="1035" w:name="_Toc181441872"/>
      <w:bookmarkStart w:id="1036" w:name="_Toc182130612"/>
      <w:bookmarkStart w:id="1037" w:name="_Toc182134778"/>
      <w:bookmarkStart w:id="1038" w:name="_Toc183251197"/>
      <w:bookmarkStart w:id="1039" w:name="_Toc183251810"/>
      <w:bookmarkStart w:id="1040" w:name="_Toc183251971"/>
      <w:bookmarkStart w:id="1041" w:name="_Toc183252128"/>
      <w:bookmarkStart w:id="1042" w:name="_Toc183252713"/>
      <w:bookmarkStart w:id="1043" w:name="_Toc181440963"/>
      <w:bookmarkStart w:id="1044" w:name="_Toc181441101"/>
      <w:bookmarkStart w:id="1045" w:name="_Toc181441237"/>
      <w:bookmarkStart w:id="1046" w:name="_Toc181441371"/>
      <w:bookmarkStart w:id="1047" w:name="_Toc181441505"/>
      <w:bookmarkStart w:id="1048" w:name="_Toc181441873"/>
      <w:bookmarkStart w:id="1049" w:name="_Toc182130613"/>
      <w:bookmarkStart w:id="1050" w:name="_Toc182134779"/>
      <w:bookmarkStart w:id="1051" w:name="_Toc183251198"/>
      <w:bookmarkStart w:id="1052" w:name="_Toc183251811"/>
      <w:bookmarkStart w:id="1053" w:name="_Toc183251972"/>
      <w:bookmarkStart w:id="1054" w:name="_Toc183252129"/>
      <w:bookmarkStart w:id="1055" w:name="_Toc183252714"/>
      <w:bookmarkStart w:id="1056" w:name="_Toc66706738"/>
      <w:bookmarkStart w:id="1057" w:name="_Toc86584629"/>
      <w:bookmarkStart w:id="1058" w:name="_Toc91764853"/>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C86E67">
        <w:rPr>
          <w:rFonts w:asciiTheme="minorEastAsia" w:eastAsiaTheme="minorEastAsia" w:hAnsiTheme="minorEastAsia" w:hint="eastAsia"/>
          <w:b w:val="0"/>
          <w:color w:val="000000" w:themeColor="text1"/>
        </w:rPr>
        <w:t>（六）暂停公告净值的情形</w:t>
      </w:r>
      <w:bookmarkEnd w:id="1056"/>
      <w:bookmarkEnd w:id="1057"/>
      <w:bookmarkEnd w:id="1058"/>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1、与本基金投资有关的证券交易场所遇法定节假日或因其他原因暂停营业时；</w:t>
      </w:r>
    </w:p>
    <w:p w:rsidR="00C35BC5" w:rsidRPr="00C86E67" w:rsidP="00C9149F">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2、因不可抗力或其他情形致使基金管理人无法准确评估基金资产价值时；</w:t>
      </w:r>
    </w:p>
    <w:p w:rsidR="000E5ECA"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3、当前一估值日基金资产净值50%以上的资产出现无可参考的活跃市场价格且采用估值技术仍导致公允价值存在重大不确定性时，经与基金托管人协商一致的；</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中国证监会认定的其他情形。</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59" w:name="_Toc66706739"/>
      <w:bookmarkStart w:id="1060" w:name="_Toc86584630"/>
      <w:bookmarkStart w:id="1061" w:name="_Toc91764854"/>
      <w:r w:rsidRPr="00C86E67">
        <w:rPr>
          <w:rFonts w:asciiTheme="minorEastAsia" w:eastAsiaTheme="minorEastAsia" w:hAnsiTheme="minorEastAsia" w:hint="eastAsia"/>
          <w:b w:val="0"/>
          <w:color w:val="000000" w:themeColor="text1"/>
        </w:rPr>
        <w:t>（七）基金份额净值的确认和估值错误处理</w:t>
      </w:r>
      <w:bookmarkEnd w:id="1059"/>
      <w:bookmarkEnd w:id="1060"/>
      <w:bookmarkEnd w:id="1061"/>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bookmarkStart w:id="1062" w:name="_Toc97031289"/>
      <w:bookmarkStart w:id="1063" w:name="_Toc97107249"/>
      <w:bookmarkEnd w:id="782"/>
      <w:bookmarkEnd w:id="1062"/>
      <w:bookmarkEnd w:id="1063"/>
      <w:r w:rsidRPr="00C86E67">
        <w:rPr>
          <w:rFonts w:asciiTheme="minorEastAsia" w:eastAsiaTheme="minorEastAsia" w:hAnsiTheme="minorEastAsia" w:hint="eastAsia"/>
          <w:color w:val="000000" w:themeColor="text1"/>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w:t>
      </w:r>
      <w:r w:rsidRPr="00C86E67">
        <w:rPr>
          <w:rFonts w:asciiTheme="minorEastAsia" w:eastAsiaTheme="minorEastAsia" w:hAnsiTheme="minorEastAsia"/>
          <w:color w:val="000000" w:themeColor="text1"/>
        </w:rPr>
        <w:t>报</w:t>
      </w:r>
      <w:r w:rsidRPr="00C86E67">
        <w:rPr>
          <w:rFonts w:asciiTheme="minorEastAsia" w:eastAsiaTheme="minorEastAsia" w:hAnsiTheme="minorEastAsia" w:hint="eastAsia"/>
          <w:color w:val="000000" w:themeColor="text1"/>
        </w:rPr>
        <w:t>中国证监会</w:t>
      </w:r>
      <w:r w:rsidRPr="00C86E67">
        <w:rPr>
          <w:rFonts w:asciiTheme="minorEastAsia" w:eastAsiaTheme="minorEastAsia" w:hAnsiTheme="minorEastAsia"/>
          <w:color w:val="000000" w:themeColor="text1"/>
        </w:rPr>
        <w:t>备案</w:t>
      </w:r>
      <w:r w:rsidRPr="00C86E67">
        <w:rPr>
          <w:rFonts w:asciiTheme="minorEastAsia" w:eastAsiaTheme="minorEastAsia" w:hAnsiTheme="minorEastAsia" w:hint="eastAsia"/>
          <w:color w:val="000000" w:themeColor="text1"/>
        </w:rPr>
        <w:t>；当估值错误偏差达到</w:t>
      </w:r>
      <w:r w:rsidRPr="00C86E67">
        <w:rPr>
          <w:rFonts w:asciiTheme="minorEastAsia" w:eastAsiaTheme="minorEastAsia" w:hAnsiTheme="minorEastAsia"/>
          <w:color w:val="000000" w:themeColor="text1"/>
        </w:rPr>
        <w:t>基金份额净值</w:t>
      </w:r>
      <w:r w:rsidRPr="00C86E67">
        <w:rPr>
          <w:rFonts w:asciiTheme="minorEastAsia" w:eastAsiaTheme="minorEastAsia" w:hAnsiTheme="minorEastAsia" w:hint="eastAsia"/>
          <w:color w:val="000000" w:themeColor="text1"/>
        </w:rPr>
        <w:t>的</w:t>
      </w:r>
      <w:r w:rsidRPr="00C86E67">
        <w:rPr>
          <w:rFonts w:asciiTheme="minorEastAsia" w:eastAsiaTheme="minorEastAsia" w:hAnsiTheme="minorEastAsia"/>
          <w:color w:val="000000" w:themeColor="text1"/>
        </w:rPr>
        <w:t>0.5%</w:t>
      </w:r>
      <w:r w:rsidRPr="00C86E67">
        <w:rPr>
          <w:rFonts w:asciiTheme="minorEastAsia" w:eastAsiaTheme="minorEastAsia" w:hAnsiTheme="minorEastAsia" w:hint="eastAsia"/>
          <w:color w:val="000000" w:themeColor="text1"/>
        </w:rPr>
        <w:t>时，基金管理人</w:t>
      </w:r>
      <w:r w:rsidRPr="00C86E67">
        <w:rPr>
          <w:rFonts w:asciiTheme="minorEastAsia" w:eastAsiaTheme="minorEastAsia" w:hAnsiTheme="minorEastAsia"/>
          <w:color w:val="000000" w:themeColor="text1"/>
        </w:rPr>
        <w:t>应当公告，并报</w:t>
      </w:r>
      <w:r w:rsidRPr="00C86E67">
        <w:rPr>
          <w:rFonts w:asciiTheme="minorEastAsia" w:eastAsiaTheme="minorEastAsia" w:hAnsiTheme="minorEastAsia" w:hint="eastAsia"/>
          <w:color w:val="000000" w:themeColor="text1"/>
        </w:rPr>
        <w:t>中国证监会</w:t>
      </w:r>
      <w:r w:rsidRPr="00C86E67">
        <w:rPr>
          <w:rFonts w:asciiTheme="minorEastAsia" w:eastAsiaTheme="minorEastAsia" w:hAnsiTheme="minorEastAsia"/>
          <w:color w:val="000000" w:themeColor="text1"/>
        </w:rPr>
        <w:t>备案。</w:t>
      </w:r>
      <w:r w:rsidRPr="00C86E67">
        <w:rPr>
          <w:rFonts w:asciiTheme="minorEastAsia" w:eastAsiaTheme="minorEastAsia" w:hAnsiTheme="minorEastAsia" w:hint="eastAsia"/>
          <w:color w:val="000000" w:themeColor="text1"/>
        </w:rPr>
        <w:t>因基金估值错误给投资者造成损失的，应先由基金管理人承担，基金管理人对不应由其承担的责任，有权向过错人追偿。</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关于差错处理，本合同的当事人按照以下约定处理：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差错类型</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差错处理原则</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1</w:t>
      </w:r>
      <w:r w:rsidRPr="00C86E67">
        <w:rPr>
          <w:rFonts w:asciiTheme="minorEastAsia" w:eastAsiaTheme="minorEastAsia" w:hAnsiTheme="minorEastAsia" w:hint="eastAsia"/>
          <w:color w:val="000000" w:themeColor="text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2</w:t>
      </w:r>
      <w:r w:rsidRPr="00C86E67">
        <w:rPr>
          <w:rFonts w:asciiTheme="minorEastAsia" w:eastAsiaTheme="minorEastAsia" w:hAnsiTheme="minorEastAsia" w:hint="eastAsia"/>
          <w:color w:val="000000" w:themeColor="text1"/>
        </w:rPr>
        <w:t>）差错的责任方对可能导致有关当事人的直接损失负责，不对间接损失负责，并且仅对差错的有关直接当事人负责，不对第三方负责。</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3</w:t>
      </w:r>
      <w:r w:rsidRPr="00C86E67">
        <w:rPr>
          <w:rFonts w:asciiTheme="minorEastAsia" w:eastAsiaTheme="minorEastAsia" w:hAnsiTheme="minorEastAsia" w:hint="eastAsia"/>
          <w:color w:val="000000" w:themeColor="text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4</w:t>
      </w:r>
      <w:r w:rsidRPr="00C86E67">
        <w:rPr>
          <w:rFonts w:asciiTheme="minorEastAsia" w:eastAsiaTheme="minorEastAsia" w:hAnsiTheme="minorEastAsia" w:hint="eastAsia"/>
          <w:color w:val="000000" w:themeColor="text1"/>
        </w:rPr>
        <w:t>）差错调整采用尽量恢复至假设未发生差错的正确情形的方式。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5</w:t>
      </w:r>
      <w:r w:rsidRPr="00C86E67">
        <w:rPr>
          <w:rFonts w:asciiTheme="minorEastAsia" w:eastAsiaTheme="minorEastAsia" w:hAnsiTheme="minorEastAsia" w:hint="eastAsia"/>
          <w:color w:val="000000" w:themeColor="text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6</w:t>
      </w:r>
      <w:r w:rsidRPr="00C86E67">
        <w:rPr>
          <w:rFonts w:asciiTheme="minorEastAsia" w:eastAsiaTheme="minorEastAsia" w:hAnsiTheme="minorEastAsia" w:hint="eastAsia"/>
          <w:color w:val="000000" w:themeColor="text1"/>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7</w:t>
      </w:r>
      <w:r w:rsidRPr="00C86E67">
        <w:rPr>
          <w:rFonts w:asciiTheme="minorEastAsia" w:eastAsiaTheme="minorEastAsia" w:hAnsiTheme="minorEastAsia" w:hint="eastAsia"/>
          <w:color w:val="000000" w:themeColor="text1"/>
        </w:rPr>
        <w:t>）按法律法规规定的其他原则处理差错。</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3</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差错处理程序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差错被发现后，有关的当事人应当及时进行处理，处理的程序如下：</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1</w:t>
      </w:r>
      <w:r w:rsidRPr="00C86E67">
        <w:rPr>
          <w:rFonts w:asciiTheme="minorEastAsia" w:eastAsiaTheme="minorEastAsia" w:hAnsiTheme="minorEastAsia" w:hint="eastAsia"/>
          <w:color w:val="000000" w:themeColor="text1"/>
        </w:rPr>
        <w:t>）查明差错发生的原因，列明所有的当事人，并根据差错发生的原因确定差错的责任方；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2</w:t>
      </w:r>
      <w:r w:rsidRPr="00C86E67">
        <w:rPr>
          <w:rFonts w:asciiTheme="minorEastAsia" w:eastAsiaTheme="minorEastAsia" w:hAnsiTheme="minorEastAsia" w:hint="eastAsia"/>
          <w:color w:val="000000" w:themeColor="text1"/>
        </w:rPr>
        <w:t>）根据差错处理原则或当事人协商的方法对因差错造成的损失进行评估；</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3</w:t>
      </w:r>
      <w:r w:rsidRPr="00C86E67">
        <w:rPr>
          <w:rFonts w:asciiTheme="minorEastAsia" w:eastAsiaTheme="minorEastAsia" w:hAnsiTheme="minorEastAsia" w:hint="eastAsia"/>
          <w:color w:val="000000" w:themeColor="text1"/>
        </w:rPr>
        <w:t>）根据差错处理原则或当事人协商的方法由差错的责任方进行更正和赔偿损失；</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4</w:t>
      </w:r>
      <w:r w:rsidRPr="00C86E67">
        <w:rPr>
          <w:rFonts w:asciiTheme="minorEastAsia" w:eastAsiaTheme="minorEastAsia" w:hAnsiTheme="minorEastAsia" w:hint="eastAsia"/>
          <w:color w:val="000000" w:themeColor="text1"/>
        </w:rPr>
        <w:t>）根据差错处理的方法，需要修改基金注册登记机构的交易数据的，由基金注册登记机构进行更正，并就差错的更正向有关当事人进行确认；</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5</w:t>
      </w:r>
      <w:r w:rsidRPr="00C86E67">
        <w:rPr>
          <w:rFonts w:asciiTheme="minorEastAsia" w:eastAsiaTheme="minorEastAsia" w:hAnsiTheme="minorEastAsia" w:hint="eastAsia"/>
          <w:color w:val="000000" w:themeColor="text1"/>
        </w:rPr>
        <w:t>）基金管理人及基金托管人基金份额净值计算错误偏差达到基金份额净值的</w:t>
      </w:r>
      <w:r w:rsidRPr="00C86E67">
        <w:rPr>
          <w:rFonts w:asciiTheme="minorEastAsia" w:eastAsiaTheme="minorEastAsia" w:hAnsiTheme="minorEastAsia"/>
          <w:color w:val="000000" w:themeColor="text1"/>
        </w:rPr>
        <w:t>0.</w:t>
      </w:r>
      <w:r w:rsidRPr="00C86E67">
        <w:rPr>
          <w:rFonts w:asciiTheme="minorEastAsia" w:eastAsiaTheme="minorEastAsia" w:hAnsiTheme="minorEastAsia" w:hint="eastAsia"/>
          <w:color w:val="000000" w:themeColor="text1"/>
        </w:rPr>
        <w:t>2</w:t>
      </w:r>
      <w:r w:rsidRPr="00C86E67">
        <w:rPr>
          <w:rFonts w:asciiTheme="minorEastAsia" w:eastAsiaTheme="minorEastAsia" w:hAnsiTheme="minorEastAsia"/>
          <w:color w:val="000000" w:themeColor="text1"/>
        </w:rPr>
        <w:t>5%</w:t>
      </w:r>
      <w:r w:rsidRPr="00C86E67">
        <w:rPr>
          <w:rFonts w:asciiTheme="minorEastAsia" w:eastAsiaTheme="minorEastAsia" w:hAnsiTheme="minorEastAsia" w:hint="eastAsia"/>
          <w:color w:val="000000" w:themeColor="text1"/>
        </w:rPr>
        <w:t>时，基金管理人应当报告中国证监会；基金管理人及基金托管人基金份额净值计算错误偏差达到基金份额净值的</w:t>
      </w:r>
      <w:r w:rsidRPr="00C86E67">
        <w:rPr>
          <w:rFonts w:asciiTheme="minorEastAsia" w:eastAsiaTheme="minorEastAsia" w:hAnsiTheme="minorEastAsia"/>
          <w:color w:val="000000" w:themeColor="text1"/>
        </w:rPr>
        <w:t>0.5%</w:t>
      </w:r>
      <w:r w:rsidRPr="00C86E67">
        <w:rPr>
          <w:rFonts w:asciiTheme="minorEastAsia" w:eastAsiaTheme="minorEastAsia" w:hAnsiTheme="minorEastAsia" w:hint="eastAsia"/>
          <w:color w:val="000000" w:themeColor="text1"/>
        </w:rPr>
        <w:t>时，基金管理人应当公告并报中国证监会备案。</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1064" w:name="_Toc91764855"/>
      <w:r w:rsidRPr="00C86E67">
        <w:rPr>
          <w:rFonts w:asciiTheme="minorEastAsia" w:eastAsiaTheme="minorEastAsia" w:hAnsiTheme="minorEastAsia" w:hint="eastAsia"/>
          <w:b w:val="0"/>
          <w:color w:val="000000" w:themeColor="text1"/>
        </w:rPr>
        <w:t>（八）特殊情形的处理</w:t>
      </w:r>
      <w:bookmarkEnd w:id="1064"/>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1、基金管理人按估值方法的第</w:t>
      </w:r>
      <w:r w:rsidRPr="00C86E67" w:rsidR="00D0433B">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hint="eastAsia"/>
          <w:color w:val="000000" w:themeColor="text1"/>
          <w:szCs w:val="21"/>
        </w:rPr>
        <w:t>项进行估值时，所造成的误差不作为基金资产估值错误处理；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065" w:name="_Toc91764856"/>
      <w:r w:rsidRPr="00C86E67">
        <w:rPr>
          <w:rFonts w:asciiTheme="minorEastAsia" w:eastAsiaTheme="minorEastAsia" w:hAnsiTheme="minorEastAsia" w:hint="eastAsia"/>
          <w:b/>
          <w:bCs/>
          <w:color w:val="000000" w:themeColor="text1"/>
        </w:rPr>
        <w:t>十五、基金的收益与分配</w:t>
      </w:r>
      <w:bookmarkEnd w:id="1065"/>
    </w:p>
    <w:p w:rsidR="00C35BC5" w:rsidRPr="00C86E67" w:rsidP="00B5132A">
      <w:pPr>
        <w:pStyle w:val="Heading2"/>
        <w:snapToGrid w:val="0"/>
        <w:spacing w:beforeLines="0" w:afterLines="0" w:line="360" w:lineRule="auto"/>
        <w:ind w:firstLine="562"/>
        <w:rPr>
          <w:rFonts w:asciiTheme="minorEastAsia" w:eastAsiaTheme="minorEastAsia" w:hAnsiTheme="minorEastAsia"/>
          <w:b w:val="0"/>
          <w:color w:val="000000" w:themeColor="text1"/>
        </w:rPr>
      </w:pPr>
      <w:bookmarkStart w:id="1066" w:name="_Toc84149664"/>
      <w:bookmarkStart w:id="1067" w:name="_Toc86584639"/>
      <w:bookmarkStart w:id="1068" w:name="_Toc91764857"/>
      <w:r w:rsidRPr="00C86E67">
        <w:rPr>
          <w:rFonts w:asciiTheme="minorEastAsia" w:eastAsiaTheme="minorEastAsia" w:hAnsiTheme="minorEastAsia" w:hint="eastAsia"/>
          <w:color w:val="000000" w:themeColor="text1"/>
        </w:rPr>
        <w:t>（一）收益的构成</w:t>
      </w:r>
      <w:bookmarkEnd w:id="1066"/>
      <w:bookmarkEnd w:id="1067"/>
      <w:bookmarkEnd w:id="1068"/>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基金收益包括：基金投资所得红利、股息、债券利息、买卖证券差价、银行存款利息以及其他收入。因运用基金</w:t>
      </w:r>
      <w:r w:rsidRPr="00C86E67">
        <w:rPr>
          <w:rFonts w:asciiTheme="minorEastAsia" w:eastAsiaTheme="minorEastAsia" w:hAnsiTheme="minorEastAsia" w:hint="eastAsia"/>
          <w:color w:val="000000" w:themeColor="text1"/>
        </w:rPr>
        <w:t>资</w:t>
      </w:r>
      <w:r w:rsidRPr="00C86E67">
        <w:rPr>
          <w:rFonts w:asciiTheme="minorEastAsia" w:eastAsiaTheme="minorEastAsia" w:hAnsiTheme="minorEastAsia" w:hint="eastAsia"/>
          <w:color w:val="000000" w:themeColor="text1"/>
          <w:szCs w:val="21"/>
        </w:rPr>
        <w:t>产带来的成本或费用的节约计入收益。</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基金净收益为基金收益扣除按照有关规定可以在基金收益中扣除的费用等项目后的余额。</w:t>
      </w:r>
    </w:p>
    <w:p w:rsidR="00C35BC5" w:rsidRPr="00C86E67" w:rsidP="00B5132A">
      <w:pPr>
        <w:pStyle w:val="Heading2"/>
        <w:snapToGrid w:val="0"/>
        <w:spacing w:beforeLines="0" w:afterLines="0" w:line="360" w:lineRule="auto"/>
        <w:ind w:firstLine="562"/>
        <w:rPr>
          <w:rFonts w:asciiTheme="minorEastAsia" w:eastAsiaTheme="minorEastAsia" w:hAnsiTheme="minorEastAsia"/>
          <w:b w:val="0"/>
          <w:color w:val="000000" w:themeColor="text1"/>
        </w:rPr>
      </w:pPr>
      <w:bookmarkStart w:id="1069" w:name="_Toc84149665"/>
      <w:bookmarkStart w:id="1070" w:name="_Toc86584640"/>
      <w:bookmarkStart w:id="1071" w:name="_Toc91764858"/>
      <w:r w:rsidRPr="00C86E67">
        <w:rPr>
          <w:rFonts w:asciiTheme="minorEastAsia" w:eastAsiaTheme="minorEastAsia" w:hAnsiTheme="minorEastAsia" w:hint="eastAsia"/>
          <w:color w:val="000000" w:themeColor="text1"/>
        </w:rPr>
        <w:t>（二）收益分配原则</w:t>
      </w:r>
      <w:bookmarkEnd w:id="1069"/>
      <w:bookmarkEnd w:id="1070"/>
      <w:bookmarkEnd w:id="1071"/>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hint="eastAsia"/>
          <w:color w:val="000000" w:themeColor="text1"/>
        </w:rPr>
        <w:t>在符合有关基金分红条件的前提下，本基金每年收益分配次数最多为十二次，全年分配比例不得低于年度可供分配收益的10%，若基金合同生效不满3个月可不进行收益分配。</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本基金收益分配方式分两种：现金分红与红利再投资，投资人可选择现金红利或将现金红利按红利发放日前一工作日的基金份额净值自动转为基金份额进行再投资；若投资者不选择，本基金默认的收益分配方式是现金分红；</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3、基金投资当期出现净亏损，则不进行收益分配；</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4、基金当年收益应先弥补上一年度亏损后，才可进行当年收益分配；</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5、每一基金份额享有同等分配权；</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6、法律法规或监管机关另有规定的，从其规定。</w:t>
      </w:r>
    </w:p>
    <w:p w:rsidR="00C35BC5" w:rsidRPr="00C86E67" w:rsidP="00B5132A">
      <w:pPr>
        <w:pStyle w:val="Heading2"/>
        <w:snapToGrid w:val="0"/>
        <w:spacing w:beforeLines="0" w:afterLines="0" w:line="360" w:lineRule="auto"/>
        <w:ind w:firstLine="562"/>
        <w:rPr>
          <w:rFonts w:asciiTheme="minorEastAsia" w:eastAsiaTheme="minorEastAsia" w:hAnsiTheme="minorEastAsia"/>
          <w:b w:val="0"/>
          <w:color w:val="000000" w:themeColor="text1"/>
        </w:rPr>
      </w:pPr>
      <w:bookmarkStart w:id="1072" w:name="_Toc84149666"/>
      <w:bookmarkStart w:id="1073" w:name="_Toc86584642"/>
      <w:bookmarkStart w:id="1074" w:name="_Toc91764859"/>
      <w:r w:rsidRPr="00C86E67">
        <w:rPr>
          <w:rFonts w:asciiTheme="minorEastAsia" w:eastAsiaTheme="minorEastAsia" w:hAnsiTheme="minorEastAsia" w:hint="eastAsia"/>
          <w:color w:val="000000" w:themeColor="text1"/>
        </w:rPr>
        <w:t>（三）收益分配方案的确定与公告</w:t>
      </w:r>
      <w:bookmarkEnd w:id="1072"/>
      <w:bookmarkEnd w:id="1073"/>
      <w:bookmarkEnd w:id="1074"/>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本基金收益分配方案由基金管理人拟定，并由基金托管人复核，</w:t>
      </w:r>
      <w:r w:rsidRPr="00C86E67" w:rsidR="00332B90">
        <w:rPr>
          <w:rFonts w:asciiTheme="minorEastAsia" w:eastAsiaTheme="minorEastAsia" w:hAnsiTheme="minorEastAsia" w:hint="eastAsia"/>
          <w:color w:val="000000" w:themeColor="text1"/>
          <w:szCs w:val="21"/>
        </w:rPr>
        <w:t>在中国证监会指定媒介公告</w:t>
      </w:r>
      <w:r w:rsidRPr="00C86E67">
        <w:rPr>
          <w:rFonts w:asciiTheme="minorEastAsia" w:eastAsiaTheme="minorEastAsia" w:hAnsiTheme="minorEastAsia" w:hint="eastAsia"/>
          <w:color w:val="000000" w:themeColor="text1"/>
          <w:szCs w:val="21"/>
        </w:rPr>
        <w:t>。</w:t>
      </w:r>
    </w:p>
    <w:p w:rsidR="00C35BC5" w:rsidRPr="00C86E67" w:rsidP="00B5132A">
      <w:pPr>
        <w:pStyle w:val="Heading2"/>
        <w:snapToGrid w:val="0"/>
        <w:spacing w:beforeLines="0" w:afterLines="0" w:line="360" w:lineRule="auto"/>
        <w:ind w:firstLine="562"/>
        <w:rPr>
          <w:rFonts w:asciiTheme="minorEastAsia" w:eastAsiaTheme="minorEastAsia" w:hAnsiTheme="minorEastAsia"/>
          <w:b w:val="0"/>
          <w:color w:val="000000" w:themeColor="text1"/>
        </w:rPr>
      </w:pPr>
      <w:bookmarkStart w:id="1075" w:name="_Toc84149667"/>
      <w:bookmarkStart w:id="1076" w:name="_Toc86584643"/>
      <w:bookmarkStart w:id="1077" w:name="_Toc91764860"/>
      <w:r w:rsidRPr="00C86E67">
        <w:rPr>
          <w:rFonts w:asciiTheme="minorEastAsia" w:eastAsiaTheme="minorEastAsia" w:hAnsiTheme="minorEastAsia" w:hint="eastAsia"/>
          <w:color w:val="000000" w:themeColor="text1"/>
        </w:rPr>
        <w:t>（四）</w:t>
      </w:r>
      <w:r w:rsidRPr="00C86E67">
        <w:rPr>
          <w:rFonts w:asciiTheme="minorEastAsia" w:eastAsiaTheme="minorEastAsia" w:hAnsiTheme="minorEastAsia"/>
          <w:color w:val="000000" w:themeColor="text1"/>
        </w:rPr>
        <w:t>收益分配中发生的费用</w:t>
      </w:r>
      <w:bookmarkEnd w:id="1075"/>
      <w:bookmarkEnd w:id="1076"/>
      <w:bookmarkEnd w:id="1077"/>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红利分配时所发生的银行转账或其他手续费用由投资者自行承担。当投资者的现金红利小于一定金额，不足于支付银行转账或其他手续费用时，基金注册登记人可将投资者的现金红利按红利发放日前一工作日的基金份额净值自动转为基金份额。红利再投资的计算方法，依照业务规则执行。</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078" w:name="_Toc91764861"/>
      <w:r w:rsidRPr="00C86E67">
        <w:rPr>
          <w:rFonts w:asciiTheme="minorEastAsia" w:eastAsiaTheme="minorEastAsia" w:hAnsiTheme="minorEastAsia" w:hint="eastAsia"/>
          <w:b/>
          <w:bCs/>
          <w:color w:val="000000" w:themeColor="text1"/>
        </w:rPr>
        <w:t>十六、基金的费用与税收</w:t>
      </w:r>
      <w:bookmarkEnd w:id="1078"/>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1079" w:name="_Toc84149669"/>
      <w:bookmarkStart w:id="1080" w:name="_Toc86584633"/>
      <w:bookmarkStart w:id="1081" w:name="_Toc91764862"/>
      <w:r w:rsidRPr="00C86E67">
        <w:rPr>
          <w:rFonts w:asciiTheme="minorEastAsia" w:eastAsiaTheme="minorEastAsia" w:hAnsiTheme="minorEastAsia" w:hint="eastAsia"/>
          <w:color w:val="000000" w:themeColor="text1"/>
        </w:rPr>
        <w:t>（一）与基金运作相关的费用</w:t>
      </w:r>
      <w:bookmarkEnd w:id="1079"/>
      <w:bookmarkEnd w:id="1080"/>
      <w:bookmarkEnd w:id="1081"/>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1、基金费用的种类</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（1）基金管理人的管理费；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（2）基金托管人的托管费；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（3）销售服务费；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（4）基金合同生效后的信息披露费用；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（5）基金合同生效后的与基金相关的会计师费和律师费；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（6）基金份额持有人大会费用；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（7）基金的证券交易费用；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（8）银行汇划费用；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（9）按照国家有关规定和《基金合同》约定可以在基金财产中列支的其他费用。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本基金终止清算时所发生费用，按实际支出额从基金财产总值中扣除。</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2、基金费用计提方法、计提标准和支付方式</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（1）基金管理人的管理费</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w:t>
      </w:r>
      <w:r w:rsidRPr="00C86E67">
        <w:rPr>
          <w:rFonts w:asciiTheme="minorEastAsia" w:eastAsiaTheme="minorEastAsia" w:hAnsiTheme="minorEastAsia"/>
          <w:color w:val="000000" w:themeColor="text1"/>
          <w:szCs w:val="21"/>
        </w:rPr>
        <w:t>的管理费</w:t>
      </w:r>
      <w:r w:rsidRPr="00C86E67">
        <w:rPr>
          <w:rFonts w:asciiTheme="minorEastAsia" w:eastAsiaTheme="minorEastAsia" w:hAnsiTheme="minorEastAsia" w:hint="eastAsia"/>
          <w:color w:val="000000" w:themeColor="text1"/>
          <w:szCs w:val="21"/>
        </w:rPr>
        <w:t>按前一日</w:t>
      </w:r>
      <w:r w:rsidRPr="00C86E67">
        <w:rPr>
          <w:rFonts w:asciiTheme="minorEastAsia" w:eastAsiaTheme="minorEastAsia" w:hAnsiTheme="minorEastAsia"/>
          <w:color w:val="000000" w:themeColor="text1"/>
          <w:szCs w:val="21"/>
        </w:rPr>
        <w:t>基金资产净值的</w:t>
      </w:r>
      <w:r w:rsidRPr="00C86E67">
        <w:rPr>
          <w:rFonts w:asciiTheme="minorEastAsia" w:eastAsiaTheme="minorEastAsia" w:hAnsiTheme="minorEastAsia" w:hint="eastAsia"/>
          <w:color w:val="000000" w:themeColor="text1"/>
          <w:szCs w:val="21"/>
        </w:rPr>
        <w:t>1.5</w:t>
      </w:r>
      <w:r w:rsidRPr="00C86E67">
        <w:rPr>
          <w:rFonts w:asciiTheme="minorEastAsia" w:eastAsiaTheme="minorEastAsia" w:hAnsiTheme="minorEastAsia"/>
          <w:color w:val="000000" w:themeColor="text1"/>
          <w:szCs w:val="21"/>
        </w:rPr>
        <w:t>%年费率计提。</w:t>
      </w:r>
      <w:r w:rsidRPr="00C86E67">
        <w:rPr>
          <w:rFonts w:asciiTheme="minorEastAsia" w:eastAsiaTheme="minorEastAsia" w:hAnsiTheme="minorEastAsia" w:hint="eastAsia"/>
          <w:color w:val="000000" w:themeColor="text1"/>
          <w:szCs w:val="21"/>
        </w:rPr>
        <w:t>管理费的</w:t>
      </w:r>
      <w:r w:rsidRPr="00C86E67">
        <w:rPr>
          <w:rFonts w:asciiTheme="minorEastAsia" w:eastAsiaTheme="minorEastAsia" w:hAnsiTheme="minorEastAsia"/>
          <w:color w:val="000000" w:themeColor="text1"/>
          <w:szCs w:val="21"/>
        </w:rPr>
        <w:t>计算方法如下：</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H＝E×</w:t>
      </w:r>
      <w:r w:rsidRPr="00C86E67">
        <w:rPr>
          <w:rFonts w:asciiTheme="minorEastAsia" w:eastAsiaTheme="minorEastAsia" w:hAnsiTheme="minorEastAsia" w:hint="eastAsia"/>
          <w:color w:val="000000" w:themeColor="text1"/>
          <w:szCs w:val="21"/>
        </w:rPr>
        <w:t>1.5</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当年天数</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H为每日应</w:t>
      </w:r>
      <w:r w:rsidRPr="00C86E67">
        <w:rPr>
          <w:rFonts w:asciiTheme="minorEastAsia" w:eastAsiaTheme="minorEastAsia" w:hAnsiTheme="minorEastAsia" w:hint="eastAsia"/>
          <w:color w:val="000000" w:themeColor="text1"/>
          <w:szCs w:val="21"/>
        </w:rPr>
        <w:t>计提</w:t>
      </w:r>
      <w:r w:rsidRPr="00C86E67">
        <w:rPr>
          <w:rFonts w:asciiTheme="minorEastAsia" w:eastAsiaTheme="minorEastAsia" w:hAnsiTheme="minorEastAsia"/>
          <w:color w:val="000000" w:themeColor="text1"/>
          <w:szCs w:val="21"/>
        </w:rPr>
        <w:t>的基金管理费</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E</w:t>
      </w:r>
      <w:r w:rsidRPr="00C86E67">
        <w:rPr>
          <w:rFonts w:asciiTheme="minorEastAsia" w:eastAsiaTheme="minorEastAsia" w:hAnsiTheme="minorEastAsia"/>
          <w:color w:val="000000" w:themeColor="text1"/>
          <w:szCs w:val="21"/>
        </w:rPr>
        <w:t>为前一日的基金资产净值</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基金管理费每日计算</w:t>
      </w:r>
      <w:r w:rsidRPr="00C86E67">
        <w:rPr>
          <w:rFonts w:asciiTheme="minorEastAsia" w:eastAsiaTheme="minorEastAsia" w:hAnsiTheme="minorEastAsia" w:hint="eastAsia"/>
          <w:color w:val="000000" w:themeColor="text1"/>
          <w:szCs w:val="21"/>
        </w:rPr>
        <w:t>，逐日累计至每月月末，</w:t>
      </w:r>
      <w:r w:rsidRPr="00C86E67">
        <w:rPr>
          <w:rFonts w:asciiTheme="minorEastAsia" w:eastAsiaTheme="minorEastAsia" w:hAnsiTheme="minorEastAsia"/>
          <w:color w:val="000000" w:themeColor="text1"/>
          <w:szCs w:val="21"/>
        </w:rPr>
        <w:t>按月支付</w:t>
      </w:r>
      <w:r w:rsidRPr="00C86E67">
        <w:rPr>
          <w:rFonts w:asciiTheme="minorEastAsia" w:eastAsiaTheme="minorEastAsia" w:hAnsiTheme="minorEastAsia" w:hint="eastAsia"/>
          <w:color w:val="000000" w:themeColor="text1"/>
          <w:szCs w:val="21"/>
        </w:rPr>
        <w:t>，由基金管理人向基金托管人发送基金管理费划款指令，</w:t>
      </w:r>
      <w:r w:rsidRPr="00C86E67">
        <w:rPr>
          <w:rFonts w:asciiTheme="minorEastAsia" w:eastAsiaTheme="minorEastAsia" w:hAnsiTheme="minorEastAsia"/>
          <w:color w:val="000000" w:themeColor="text1"/>
          <w:szCs w:val="21"/>
        </w:rPr>
        <w:t>基金托管人</w:t>
      </w:r>
      <w:r w:rsidRPr="00C86E67">
        <w:rPr>
          <w:rFonts w:asciiTheme="minorEastAsia" w:eastAsiaTheme="minorEastAsia" w:hAnsiTheme="minorEastAsia" w:hint="eastAsia"/>
          <w:color w:val="000000" w:themeColor="text1"/>
          <w:szCs w:val="21"/>
        </w:rPr>
        <w:t>复核后</w:t>
      </w:r>
      <w:r w:rsidRPr="00C86E67">
        <w:rPr>
          <w:rFonts w:asciiTheme="minorEastAsia" w:eastAsiaTheme="minorEastAsia" w:hAnsiTheme="minorEastAsia"/>
          <w:color w:val="000000" w:themeColor="text1"/>
          <w:szCs w:val="21"/>
        </w:rPr>
        <w:t>于次月前</w:t>
      </w: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个工作日内从基金</w:t>
      </w:r>
      <w:r w:rsidRPr="00C86E67">
        <w:rPr>
          <w:rFonts w:asciiTheme="minorEastAsia" w:eastAsiaTheme="minorEastAsia" w:hAnsiTheme="minorEastAsia" w:hint="eastAsia"/>
          <w:color w:val="000000" w:themeColor="text1"/>
          <w:szCs w:val="21"/>
        </w:rPr>
        <w:t>财产</w:t>
      </w:r>
      <w:r w:rsidRPr="00C86E67">
        <w:rPr>
          <w:rFonts w:asciiTheme="minorEastAsia" w:eastAsiaTheme="minorEastAsia" w:hAnsiTheme="minorEastAsia"/>
          <w:color w:val="000000" w:themeColor="text1"/>
          <w:szCs w:val="21"/>
        </w:rPr>
        <w:t>中一次性支付给基金管理人</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若遇法定节假日、</w:t>
      </w:r>
      <w:r w:rsidRPr="00C86E67">
        <w:rPr>
          <w:rFonts w:asciiTheme="minorEastAsia" w:eastAsiaTheme="minorEastAsia" w:hAnsiTheme="minorEastAsia" w:hint="eastAsia"/>
          <w:color w:val="000000" w:themeColor="text1"/>
          <w:szCs w:val="21"/>
        </w:rPr>
        <w:t>公休假</w:t>
      </w:r>
      <w:r w:rsidRPr="00C86E67">
        <w:rPr>
          <w:rFonts w:asciiTheme="minorEastAsia" w:eastAsiaTheme="minorEastAsia" w:hAnsiTheme="minorEastAsia"/>
          <w:color w:val="000000" w:themeColor="text1"/>
          <w:szCs w:val="21"/>
        </w:rPr>
        <w:t>等,支付日期顺延。</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（2）基金托管人的托管费</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w:t>
      </w:r>
      <w:r w:rsidRPr="00C86E67">
        <w:rPr>
          <w:rFonts w:asciiTheme="minorEastAsia" w:eastAsiaTheme="minorEastAsia" w:hAnsiTheme="minorEastAsia"/>
          <w:color w:val="000000" w:themeColor="text1"/>
          <w:szCs w:val="21"/>
        </w:rPr>
        <w:t>基金的托管费按</w:t>
      </w:r>
      <w:r w:rsidRPr="00C86E67">
        <w:rPr>
          <w:rFonts w:asciiTheme="minorEastAsia" w:eastAsiaTheme="minorEastAsia" w:hAnsiTheme="minorEastAsia" w:hint="eastAsia"/>
          <w:color w:val="000000" w:themeColor="text1"/>
          <w:szCs w:val="21"/>
        </w:rPr>
        <w:t>前一日</w:t>
      </w:r>
      <w:r w:rsidRPr="00C86E67">
        <w:rPr>
          <w:rFonts w:asciiTheme="minorEastAsia" w:eastAsiaTheme="minorEastAsia" w:hAnsiTheme="minorEastAsia"/>
          <w:color w:val="000000" w:themeColor="text1"/>
          <w:szCs w:val="21"/>
        </w:rPr>
        <w:t>基金资产净值的2.5‰的年费率计提。</w:t>
      </w:r>
      <w:r w:rsidRPr="00C86E67">
        <w:rPr>
          <w:rFonts w:asciiTheme="minorEastAsia" w:eastAsiaTheme="minorEastAsia" w:hAnsiTheme="minorEastAsia" w:hint="eastAsia"/>
          <w:color w:val="000000" w:themeColor="text1"/>
          <w:szCs w:val="21"/>
        </w:rPr>
        <w:t>托管费的</w:t>
      </w:r>
      <w:r w:rsidRPr="00C86E67">
        <w:rPr>
          <w:rFonts w:asciiTheme="minorEastAsia" w:eastAsiaTheme="minorEastAsia" w:hAnsiTheme="minorEastAsia"/>
          <w:color w:val="000000" w:themeColor="text1"/>
          <w:szCs w:val="21"/>
        </w:rPr>
        <w:t>计算方法如下：</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H＝E×2.5‰</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当年天数</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H为每日应</w:t>
      </w:r>
      <w:r w:rsidRPr="00C86E67">
        <w:rPr>
          <w:rFonts w:asciiTheme="minorEastAsia" w:eastAsiaTheme="minorEastAsia" w:hAnsiTheme="minorEastAsia" w:hint="eastAsia"/>
          <w:color w:val="000000" w:themeColor="text1"/>
          <w:szCs w:val="21"/>
        </w:rPr>
        <w:t>计提</w:t>
      </w:r>
      <w:r w:rsidRPr="00C86E67">
        <w:rPr>
          <w:rFonts w:asciiTheme="minorEastAsia" w:eastAsiaTheme="minorEastAsia" w:hAnsiTheme="minorEastAsia"/>
          <w:color w:val="000000" w:themeColor="text1"/>
          <w:szCs w:val="21"/>
        </w:rPr>
        <w:t>的基金托管费</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E为前一日的基金资产净值</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基金托管费每日计算</w:t>
      </w:r>
      <w:r w:rsidRPr="00C86E67">
        <w:rPr>
          <w:rFonts w:asciiTheme="minorEastAsia" w:eastAsiaTheme="minorEastAsia" w:hAnsiTheme="minorEastAsia" w:hint="eastAsia"/>
          <w:color w:val="000000" w:themeColor="text1"/>
          <w:szCs w:val="21"/>
        </w:rPr>
        <w:t>，逐日累计至每月月末，</w:t>
      </w:r>
      <w:r w:rsidRPr="00C86E67">
        <w:rPr>
          <w:rFonts w:asciiTheme="minorEastAsia" w:eastAsiaTheme="minorEastAsia" w:hAnsiTheme="minorEastAsia"/>
          <w:color w:val="000000" w:themeColor="text1"/>
          <w:szCs w:val="21"/>
        </w:rPr>
        <w:t>按月支付</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由</w:t>
      </w:r>
      <w:r w:rsidRPr="00C86E67">
        <w:rPr>
          <w:rFonts w:asciiTheme="minorEastAsia" w:eastAsiaTheme="minorEastAsia" w:hAnsiTheme="minorEastAsia" w:hint="eastAsia"/>
          <w:color w:val="000000" w:themeColor="text1"/>
          <w:szCs w:val="21"/>
        </w:rPr>
        <w:t>基金管理人向基金托管人发送基金托管费划款指令，</w:t>
      </w:r>
      <w:r w:rsidRPr="00C86E67">
        <w:rPr>
          <w:rFonts w:asciiTheme="minorEastAsia" w:eastAsiaTheme="minorEastAsia" w:hAnsiTheme="minorEastAsia"/>
          <w:color w:val="000000" w:themeColor="text1"/>
          <w:szCs w:val="21"/>
        </w:rPr>
        <w:t>基金托管人</w:t>
      </w:r>
      <w:r w:rsidRPr="00C86E67">
        <w:rPr>
          <w:rFonts w:asciiTheme="minorEastAsia" w:eastAsiaTheme="minorEastAsia" w:hAnsiTheme="minorEastAsia" w:hint="eastAsia"/>
          <w:color w:val="000000" w:themeColor="text1"/>
          <w:szCs w:val="21"/>
        </w:rPr>
        <w:t>复核后</w:t>
      </w:r>
      <w:r w:rsidRPr="00C86E67">
        <w:rPr>
          <w:rFonts w:asciiTheme="minorEastAsia" w:eastAsiaTheme="minorEastAsia" w:hAnsiTheme="minorEastAsia"/>
          <w:color w:val="000000" w:themeColor="text1"/>
          <w:szCs w:val="21"/>
        </w:rPr>
        <w:t>于次月前</w:t>
      </w: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个工作日内从基金财产中一次性支取</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若遇法定节假日、</w:t>
      </w:r>
      <w:r w:rsidRPr="00C86E67">
        <w:rPr>
          <w:rFonts w:asciiTheme="minorEastAsia" w:eastAsiaTheme="minorEastAsia" w:hAnsiTheme="minorEastAsia" w:hint="eastAsia"/>
          <w:color w:val="000000" w:themeColor="text1"/>
          <w:szCs w:val="21"/>
        </w:rPr>
        <w:t>公休日</w:t>
      </w:r>
      <w:r w:rsidRPr="00C86E67">
        <w:rPr>
          <w:rFonts w:asciiTheme="minorEastAsia" w:eastAsiaTheme="minorEastAsia" w:hAnsiTheme="minorEastAsia"/>
          <w:color w:val="000000" w:themeColor="text1"/>
          <w:szCs w:val="21"/>
        </w:rPr>
        <w:t>等,支付日期顺延。</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上述</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一</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基金费用</w:t>
      </w:r>
      <w:r w:rsidRPr="00C86E67">
        <w:rPr>
          <w:rFonts w:asciiTheme="minorEastAsia" w:eastAsiaTheme="minorEastAsia" w:hAnsiTheme="minorEastAsia" w:hint="eastAsia"/>
          <w:color w:val="000000" w:themeColor="text1"/>
          <w:szCs w:val="21"/>
        </w:rPr>
        <w:t>的种类”</w:t>
      </w:r>
      <w:r w:rsidRPr="00C86E67">
        <w:rPr>
          <w:rFonts w:asciiTheme="minorEastAsia" w:eastAsiaTheme="minorEastAsia" w:hAnsiTheme="minorEastAsia"/>
          <w:color w:val="000000" w:themeColor="text1"/>
          <w:szCs w:val="21"/>
        </w:rPr>
        <w:t>中第</w:t>
      </w:r>
      <w:r w:rsidRPr="00C86E67">
        <w:rPr>
          <w:rFonts w:asciiTheme="minorEastAsia" w:eastAsiaTheme="minorEastAsia" w:hAnsiTheme="minorEastAsia" w:hint="eastAsia"/>
          <w:color w:val="000000" w:themeColor="text1"/>
          <w:szCs w:val="21"/>
        </w:rPr>
        <w:t>“3－8</w:t>
      </w:r>
      <w:r w:rsidRPr="00C86E67">
        <w:rPr>
          <w:rFonts w:asciiTheme="minorEastAsia" w:eastAsiaTheme="minorEastAsia" w:hAnsiTheme="minorEastAsia"/>
          <w:color w:val="000000" w:themeColor="text1"/>
          <w:szCs w:val="21"/>
        </w:rPr>
        <w:t>”项费用</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根据有关法规及相应协议规定</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按费用实际支出金额列入当期费用</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由基金托管人从基金财产中支付。</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（3）销售服务费</w:t>
      </w:r>
    </w:p>
    <w:p w:rsidR="00C35BC5" w:rsidRPr="00C86E67" w:rsidP="00552BE1">
      <w:pPr>
        <w:pStyle w:val="BodyTextFirstIndent"/>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销售服务费是指基金管理人根据基金合同的约定及届时有效的相关法律法规的规定，从开放式基金财产中计提的一定比例的费用，用于支付销售机构佣金、基金的营销费用以及基金份额持有人服务费等。</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基金管理人</w:t>
      </w:r>
      <w:r w:rsidRPr="00C86E67">
        <w:rPr>
          <w:rFonts w:asciiTheme="minorEastAsia" w:eastAsiaTheme="minorEastAsia" w:hAnsiTheme="minorEastAsia" w:hint="eastAsia"/>
          <w:color w:val="000000" w:themeColor="text1"/>
        </w:rPr>
        <w:t>可以</w:t>
      </w:r>
      <w:r w:rsidRPr="00C86E67">
        <w:rPr>
          <w:rFonts w:asciiTheme="minorEastAsia" w:eastAsiaTheme="minorEastAsia" w:hAnsiTheme="minorEastAsia"/>
          <w:color w:val="000000" w:themeColor="text1"/>
        </w:rPr>
        <w:t>选取适当的时机（但应于中国证监会发布有关收取开放式证券投资基金销售费用的</w:t>
      </w:r>
      <w:r w:rsidRPr="00C86E67">
        <w:rPr>
          <w:rFonts w:asciiTheme="minorEastAsia" w:eastAsiaTheme="minorEastAsia" w:hAnsiTheme="minorEastAsia" w:hint="eastAsia"/>
          <w:color w:val="000000" w:themeColor="text1"/>
        </w:rPr>
        <w:t>规定</w:t>
      </w:r>
      <w:r w:rsidRPr="00C86E67">
        <w:rPr>
          <w:rFonts w:asciiTheme="minorEastAsia" w:eastAsiaTheme="minorEastAsia" w:hAnsiTheme="minorEastAsia"/>
          <w:color w:val="000000" w:themeColor="text1"/>
        </w:rPr>
        <w:t>后）</w:t>
      </w:r>
      <w:r w:rsidRPr="00C86E67">
        <w:rPr>
          <w:rFonts w:asciiTheme="minorEastAsia" w:eastAsiaTheme="minorEastAsia" w:hAnsiTheme="minorEastAsia" w:hint="eastAsia"/>
          <w:color w:val="000000" w:themeColor="text1"/>
        </w:rPr>
        <w:t>开始计提</w:t>
      </w:r>
      <w:r w:rsidRPr="00C86E67">
        <w:rPr>
          <w:rFonts w:asciiTheme="minorEastAsia" w:eastAsiaTheme="minorEastAsia" w:hAnsiTheme="minorEastAsia"/>
          <w:color w:val="000000" w:themeColor="text1"/>
        </w:rPr>
        <w:t>销售服务费，</w:t>
      </w:r>
      <w:r w:rsidRPr="00C86E67">
        <w:rPr>
          <w:rFonts w:asciiTheme="minorEastAsia" w:eastAsiaTheme="minorEastAsia" w:hAnsiTheme="minorEastAsia" w:hint="eastAsia"/>
          <w:color w:val="000000" w:themeColor="text1"/>
        </w:rPr>
        <w:t>但</w:t>
      </w:r>
      <w:r w:rsidRPr="00C86E67">
        <w:rPr>
          <w:rFonts w:asciiTheme="minorEastAsia" w:eastAsiaTheme="minorEastAsia" w:hAnsiTheme="minorEastAsia"/>
          <w:color w:val="000000" w:themeColor="text1"/>
        </w:rPr>
        <w:t>至少</w:t>
      </w:r>
      <w:r w:rsidRPr="00C86E67">
        <w:rPr>
          <w:rFonts w:asciiTheme="minorEastAsia" w:eastAsiaTheme="minorEastAsia" w:hAnsiTheme="minorEastAsia" w:hint="eastAsia"/>
          <w:color w:val="000000" w:themeColor="text1"/>
        </w:rPr>
        <w:t>应</w:t>
      </w:r>
      <w:r w:rsidRPr="00C86E67">
        <w:rPr>
          <w:rFonts w:asciiTheme="minorEastAsia" w:eastAsiaTheme="minorEastAsia" w:hAnsiTheme="minorEastAsia"/>
          <w:color w:val="000000" w:themeColor="text1"/>
        </w:rPr>
        <w:t>提前2个工作日在</w:t>
      </w:r>
      <w:r w:rsidRPr="00C86E67" w:rsidR="00332B90">
        <w:rPr>
          <w:rFonts w:asciiTheme="minorEastAsia" w:eastAsiaTheme="minorEastAsia" w:hAnsiTheme="minorEastAsia" w:hint="eastAsia"/>
          <w:color w:val="000000" w:themeColor="text1"/>
        </w:rPr>
        <w:t>指定媒介</w:t>
      </w:r>
      <w:r w:rsidRPr="00C86E67">
        <w:rPr>
          <w:rFonts w:asciiTheme="minorEastAsia" w:eastAsiaTheme="minorEastAsia" w:hAnsiTheme="minorEastAsia"/>
          <w:color w:val="000000" w:themeColor="text1"/>
        </w:rPr>
        <w:t>公告。</w:t>
      </w:r>
      <w:r w:rsidRPr="00C86E67">
        <w:rPr>
          <w:rFonts w:asciiTheme="minorEastAsia" w:eastAsiaTheme="minorEastAsia" w:hAnsiTheme="minorEastAsia" w:hint="eastAsia"/>
          <w:color w:val="000000" w:themeColor="text1"/>
        </w:rPr>
        <w:t>公告中应规定计提销售服务费的条件、程序、用途和费率标准。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基金管理人依据本合同及届时有效的有关法律法规公告收取基金销售服务费或酌情降低基金销售服务费的，无须召开基金份额持有人大会。</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rPr>
        <w:t>上述</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一</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基金费用</w:t>
      </w:r>
      <w:r w:rsidRPr="00C86E67">
        <w:rPr>
          <w:rFonts w:asciiTheme="minorEastAsia" w:eastAsiaTheme="minorEastAsia" w:hAnsiTheme="minorEastAsia" w:hint="eastAsia"/>
          <w:color w:val="000000" w:themeColor="text1"/>
        </w:rPr>
        <w:t>的种类”</w:t>
      </w:r>
      <w:r w:rsidRPr="00C86E67">
        <w:rPr>
          <w:rFonts w:asciiTheme="minorEastAsia" w:eastAsiaTheme="minorEastAsia" w:hAnsiTheme="minorEastAsia"/>
          <w:color w:val="000000" w:themeColor="text1"/>
        </w:rPr>
        <w:t>中第</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4</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8</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项费用</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根据有关法规及相应协议规定</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按费用实际支出金额列入当期费用</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由基金托管人从基金财产中支付。</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3、不列入基金费用的项目</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下列费用不列入基金费用：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（2）基金管理人和基金托管人处理与基金运作无关的事项发生的费用；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（3）基金合同生效前的相关费用，包括但不限于验资费、会计师和律师费、信息披露费用等费用；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（4）其他根据相关法律法规及中国证监会的有关规定不得列入基金费用的项目。</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4、基金费用的调整</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基金管理人和基金托管人协商一致后，可根据基金发展情况调整基金管理费率或基金托管费率等相关费率。调低基金管理费率或基金托管费率，由基金管理人和基金托管人协商一致，经中国证监会核准后公告，此项调整不需要召开基金份额持有人大会。调高基金管理费率、基金托管费率等相关费率须召开基金份额持有人大会审议。基金管理人必须最迟于新的费率实施日前2个工作日在</w:t>
      </w:r>
      <w:r w:rsidRPr="00C86E67" w:rsidR="00332B90">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rPr>
        <w:t>公告。</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1082" w:name="_Toc91764863"/>
      <w:r w:rsidRPr="00C86E67">
        <w:rPr>
          <w:rFonts w:asciiTheme="minorEastAsia" w:eastAsiaTheme="minorEastAsia" w:hAnsiTheme="minorEastAsia" w:hint="eastAsia"/>
          <w:color w:val="000000" w:themeColor="text1"/>
        </w:rPr>
        <w:t>（二）与基金销售有关的费用</w:t>
      </w:r>
      <w:bookmarkEnd w:id="1082"/>
    </w:p>
    <w:p w:rsidR="00552BE1" w:rsidRPr="00C86E67" w:rsidP="00552BE1">
      <w:pPr>
        <w:snapToGrid w:val="0"/>
        <w:spacing w:line="360" w:lineRule="auto"/>
        <w:ind w:firstLine="420"/>
        <w:jc w:val="left"/>
        <w:rPr>
          <w:rFonts w:asciiTheme="minorEastAsia" w:eastAsiaTheme="minorEastAsia" w:hAnsiTheme="minorEastAsia"/>
          <w:color w:val="000000" w:themeColor="text1"/>
          <w:szCs w:val="21"/>
        </w:rPr>
      </w:pPr>
      <w:bookmarkStart w:id="1083" w:name="_Toc84149673"/>
      <w:bookmarkStart w:id="1084" w:name="_Toc86584637"/>
      <w:r w:rsidRPr="00C86E67">
        <w:rPr>
          <w:rFonts w:asciiTheme="minorEastAsia" w:eastAsiaTheme="minorEastAsia" w:hAnsiTheme="minorEastAsia" w:hint="eastAsia"/>
          <w:color w:val="000000" w:themeColor="text1"/>
        </w:rPr>
        <w:t>1、</w:t>
      </w:r>
      <w:r w:rsidRPr="00C86E67" w:rsidR="006928D9">
        <w:rPr>
          <w:rFonts w:asciiTheme="minorEastAsia" w:eastAsiaTheme="minorEastAsia" w:hAnsiTheme="minorEastAsia" w:hint="eastAsia"/>
          <w:color w:val="000000" w:themeColor="text1"/>
          <w:szCs w:val="21"/>
        </w:rPr>
        <w:t>申购费、赎回费的费率水平、收取方式和计算公式详见本招募说明书“八、基金份额的申购、赎回”中的“（七）申购、赎回的费率”和“（八）申购份额、赎回金额的计算方式”的相关规定。</w:t>
      </w:r>
    </w:p>
    <w:p w:rsidR="00C35BC5" w:rsidRPr="00C86E67" w:rsidP="00552BE1">
      <w:pPr>
        <w:snapToGrid w:val="0"/>
        <w:spacing w:line="360" w:lineRule="auto"/>
        <w:ind w:firstLine="420"/>
        <w:jc w:val="left"/>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sidR="00552BE1">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转换费率</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目前，基金管理人已开通了本基金与旗下部分开放式基金之间的转换业务，具体实施办法和转换费率详见相关公告。基金转换费由基金份额持有人承担，基金转换费用由转出基金赎回费用及基金申购补差费用构成，其中赎回费按照</w:t>
      </w:r>
      <w:r w:rsidRPr="00C86E67" w:rsidR="00601FFA">
        <w:rPr>
          <w:rFonts w:asciiTheme="minorEastAsia" w:eastAsiaTheme="minorEastAsia" w:hAnsiTheme="minorEastAsia" w:hint="eastAsia"/>
          <w:color w:val="000000" w:themeColor="text1"/>
        </w:rPr>
        <w:t>各基金</w:t>
      </w:r>
      <w:r w:rsidRPr="00C86E67" w:rsidR="00601FFA">
        <w:rPr>
          <w:rFonts w:asciiTheme="minorEastAsia" w:eastAsiaTheme="minorEastAsia" w:hAnsiTheme="minorEastAsia"/>
          <w:color w:val="000000" w:themeColor="text1"/>
        </w:rPr>
        <w:t>的</w:t>
      </w:r>
      <w:r w:rsidRPr="00C86E67">
        <w:rPr>
          <w:rFonts w:asciiTheme="minorEastAsia" w:eastAsiaTheme="minorEastAsia" w:hAnsiTheme="minorEastAsia" w:hint="eastAsia"/>
          <w:color w:val="000000" w:themeColor="text1"/>
        </w:rPr>
        <w:t>基金合同、更新的招募说明书及最新的相关公告约定的比例归入基金财产，其余部分用于支付注册登记费等相关手续费，</w:t>
      </w:r>
      <w:r w:rsidRPr="00C86E67">
        <w:rPr>
          <w:rFonts w:asciiTheme="minorEastAsia" w:eastAsiaTheme="minorEastAsia" w:hAnsiTheme="minorEastAsia"/>
          <w:color w:val="000000" w:themeColor="text1"/>
        </w:rPr>
        <w:t>转换费用以人民币元为单位，计算结果按照四舍五入方法，保留小数点后两位</w:t>
      </w:r>
      <w:r w:rsidRPr="00C86E67">
        <w:rPr>
          <w:rFonts w:asciiTheme="minorEastAsia" w:eastAsiaTheme="minorEastAsia" w:hAnsiTheme="minorEastAsia" w:hint="eastAsia"/>
          <w:color w:val="000000" w:themeColor="text1"/>
        </w:rPr>
        <w:t>。</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3</w:t>
      </w:r>
      <w:r w:rsidRPr="00C86E67" w:rsidR="00552BE1">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基金管理人可以从本基金财产中计提销售服务费</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用于基金的持续销售和服务基金份</w:t>
      </w:r>
      <w:r w:rsidRPr="00C86E67">
        <w:rPr>
          <w:rFonts w:asciiTheme="minorEastAsia" w:eastAsiaTheme="minorEastAsia" w:hAnsiTheme="minorEastAsia"/>
          <w:color w:val="000000" w:themeColor="text1"/>
        </w:rPr>
        <w:t>额持有人</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具体办法按中国证监会有关规定执行。</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szCs w:val="21"/>
        </w:rPr>
        <w:t>投资者通过本公司网上交易系统（www.efunds.com.cn）进行申购、赎回和转换的交易费率，请具体参照我公司网站上的相关说明。</w:t>
      </w:r>
    </w:p>
    <w:p w:rsidR="00C35BC5" w:rsidRPr="00C86E67" w:rsidP="00552BE1">
      <w:pPr>
        <w:pStyle w:val="NormalIndent"/>
        <w:tabs>
          <w:tab w:val="left" w:pos="735"/>
        </w:tabs>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基金管理人可以在基金合同规定的范围内调整</w:t>
      </w:r>
      <w:r w:rsidRPr="00C86E67">
        <w:rPr>
          <w:rFonts w:asciiTheme="minorEastAsia" w:eastAsiaTheme="minorEastAsia" w:hAnsiTheme="minorEastAsia" w:hint="eastAsia"/>
          <w:color w:val="000000" w:themeColor="text1"/>
        </w:rPr>
        <w:t>上述</w:t>
      </w:r>
      <w:r w:rsidRPr="00C86E67">
        <w:rPr>
          <w:rFonts w:asciiTheme="minorEastAsia" w:eastAsiaTheme="minorEastAsia" w:hAnsiTheme="minorEastAsia"/>
          <w:color w:val="000000" w:themeColor="text1"/>
        </w:rPr>
        <w:t>费率</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上述费率如发生变更，基金管理人应最迟于新的费率实施前</w:t>
      </w:r>
      <w:r w:rsidRPr="00C86E67">
        <w:rPr>
          <w:rFonts w:asciiTheme="minorEastAsia" w:eastAsiaTheme="minorEastAsia" w:hAnsiTheme="minorEastAsia" w:hint="eastAsia"/>
          <w:color w:val="000000" w:themeColor="text1"/>
        </w:rPr>
        <w:t>2</w:t>
      </w:r>
      <w:r w:rsidRPr="00C86E67">
        <w:rPr>
          <w:rFonts w:asciiTheme="minorEastAsia" w:eastAsiaTheme="minorEastAsia" w:hAnsiTheme="minorEastAsia"/>
          <w:color w:val="000000" w:themeColor="text1"/>
        </w:rPr>
        <w:t>个工作日在</w:t>
      </w:r>
      <w:r w:rsidRPr="00C86E67" w:rsidR="00C53A0E">
        <w:rPr>
          <w:rFonts w:asciiTheme="minorEastAsia" w:eastAsiaTheme="minorEastAsia" w:hAnsiTheme="minorEastAsia" w:hint="eastAsia"/>
          <w:color w:val="000000" w:themeColor="text1"/>
        </w:rPr>
        <w:t>指定媒介</w:t>
      </w:r>
      <w:r w:rsidRPr="00C86E67">
        <w:rPr>
          <w:rFonts w:asciiTheme="minorEastAsia" w:eastAsiaTheme="minorEastAsia" w:hAnsiTheme="minorEastAsia"/>
          <w:color w:val="000000" w:themeColor="text1"/>
        </w:rPr>
        <w:t>公告。</w:t>
      </w:r>
    </w:p>
    <w:p w:rsidR="00C35BC5" w:rsidRPr="00C86E67" w:rsidP="00552BE1">
      <w:pPr>
        <w:autoSpaceDE w:val="0"/>
        <w:autoSpaceDN w:val="0"/>
        <w:adjustRightInd w:val="0"/>
        <w:snapToGrid w:val="0"/>
        <w:spacing w:line="360" w:lineRule="auto"/>
        <w:ind w:firstLine="420"/>
        <w:jc w:val="left"/>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6</w:t>
      </w:r>
      <w:r w:rsidRPr="00C86E67" w:rsidR="00552BE1">
        <w:rPr>
          <w:rFonts w:asciiTheme="minorEastAsia" w:eastAsiaTheme="minorEastAsia" w:hAnsiTheme="minorEastAsia" w:hint="eastAsia"/>
          <w:color w:val="000000" w:themeColor="text1"/>
        </w:rPr>
        <w:t>、</w:t>
      </w:r>
      <w:r w:rsidRPr="00C86E67" w:rsidR="00610C23">
        <w:rPr>
          <w:rFonts w:asciiTheme="minorEastAsia" w:eastAsiaTheme="minorEastAsia" w:hAnsiTheme="minorEastAsia" w:hint="eastAsia"/>
          <w:color w:val="000000" w:themeColor="text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1085" w:name="_Toc91764864"/>
      <w:r w:rsidRPr="00C86E67">
        <w:rPr>
          <w:rFonts w:asciiTheme="minorEastAsia" w:eastAsiaTheme="minorEastAsia" w:hAnsiTheme="minorEastAsia" w:hint="eastAsia"/>
          <w:color w:val="000000" w:themeColor="text1"/>
        </w:rPr>
        <w:t>（三）基金税收</w:t>
      </w:r>
      <w:bookmarkEnd w:id="1083"/>
      <w:bookmarkEnd w:id="1084"/>
      <w:bookmarkEnd w:id="1085"/>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本基金运作过程中涉及的各纳税主体，应按国家税收法律、法规履行其纳税义务。</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086" w:name="_Toc91764865"/>
      <w:r w:rsidRPr="00C86E67">
        <w:rPr>
          <w:rFonts w:asciiTheme="minorEastAsia" w:eastAsiaTheme="minorEastAsia" w:hAnsiTheme="minorEastAsia" w:hint="eastAsia"/>
          <w:b/>
          <w:bCs/>
          <w:color w:val="000000" w:themeColor="text1"/>
        </w:rPr>
        <w:t>十七、基金的会计与审计</w:t>
      </w:r>
      <w:bookmarkEnd w:id="1086"/>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87" w:name="_Toc91764866"/>
      <w:r w:rsidRPr="00C86E67">
        <w:rPr>
          <w:rFonts w:asciiTheme="minorEastAsia" w:eastAsiaTheme="minorEastAsia" w:hAnsiTheme="minorEastAsia" w:hint="eastAsia"/>
          <w:b w:val="0"/>
          <w:color w:val="000000" w:themeColor="text1"/>
        </w:rPr>
        <w:t>（一）基金会计政策</w:t>
      </w:r>
      <w:bookmarkEnd w:id="1087"/>
    </w:p>
    <w:p w:rsidR="00C35BC5" w:rsidRPr="00C86E67" w:rsidP="00552BE1">
      <w:pPr>
        <w:numPr>
          <w:ilvl w:val="0"/>
          <w:numId w:val="4"/>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基金管理人为本基金的基金会计责任方；</w:t>
      </w:r>
    </w:p>
    <w:p w:rsidR="00C35BC5" w:rsidRPr="00C86E67" w:rsidP="00552BE1">
      <w:pPr>
        <w:numPr>
          <w:ilvl w:val="0"/>
          <w:numId w:val="4"/>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基金的会计年度为公历每年1月1日至12月31日；</w:t>
      </w:r>
      <w:r w:rsidRPr="00C86E67">
        <w:rPr>
          <w:rFonts w:asciiTheme="minorEastAsia" w:eastAsiaTheme="minorEastAsia" w:hAnsiTheme="minorEastAsia"/>
          <w:color w:val="000000" w:themeColor="text1"/>
          <w:szCs w:val="21"/>
        </w:rPr>
        <w:t>基金首次募集的会计年度按如下原则：如果基金合同生效少于</w:t>
      </w: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个月，可以并入下一个会计年度；</w:t>
      </w:r>
    </w:p>
    <w:p w:rsidR="00C35BC5" w:rsidRPr="00C86E67" w:rsidP="00552BE1">
      <w:pPr>
        <w:numPr>
          <w:ilvl w:val="0"/>
          <w:numId w:val="4"/>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基金核算以人民币为记帐本位币，以人民币元为记账单位；</w:t>
      </w:r>
    </w:p>
    <w:p w:rsidR="00C35BC5" w:rsidRPr="00C86E67" w:rsidP="00552BE1">
      <w:pPr>
        <w:numPr>
          <w:ilvl w:val="0"/>
          <w:numId w:val="4"/>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会计制度执行国家有关的会计制度；</w:t>
      </w:r>
    </w:p>
    <w:p w:rsidR="00C35BC5" w:rsidRPr="00C86E67" w:rsidP="00552BE1">
      <w:pPr>
        <w:numPr>
          <w:ilvl w:val="0"/>
          <w:numId w:val="4"/>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w:t>
      </w:r>
      <w:r w:rsidRPr="00C86E67">
        <w:rPr>
          <w:rFonts w:asciiTheme="minorEastAsia" w:eastAsiaTheme="minorEastAsia" w:hAnsiTheme="minorEastAsia"/>
          <w:color w:val="000000" w:themeColor="text1"/>
          <w:szCs w:val="21"/>
        </w:rPr>
        <w:t>基金</w:t>
      </w:r>
      <w:r w:rsidRPr="00C86E67">
        <w:rPr>
          <w:rFonts w:asciiTheme="minorEastAsia" w:eastAsiaTheme="minorEastAsia" w:hAnsiTheme="minorEastAsia" w:hint="eastAsia"/>
          <w:color w:val="000000" w:themeColor="text1"/>
          <w:szCs w:val="21"/>
        </w:rPr>
        <w:t>独立建帐、独立核算；</w:t>
      </w:r>
    </w:p>
    <w:p w:rsidR="00C35BC5" w:rsidRPr="00C86E67" w:rsidP="00552BE1">
      <w:pPr>
        <w:numPr>
          <w:ilvl w:val="0"/>
          <w:numId w:val="4"/>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基金管理人及基金托管人各自保留完整的基金会计帐目、凭证并进行日常的会计核算，按照有关规定编制基金会计报表；</w:t>
      </w:r>
    </w:p>
    <w:p w:rsidR="00C35BC5" w:rsidRPr="00C86E67" w:rsidP="00552BE1">
      <w:pPr>
        <w:numPr>
          <w:ilvl w:val="0"/>
          <w:numId w:val="4"/>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基金托管人每月与基金管理人就基金的会计核算、报表编制等进行核对并以书面方式确认。</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88" w:name="_Toc91764867"/>
      <w:r w:rsidRPr="00C86E67">
        <w:rPr>
          <w:rFonts w:asciiTheme="minorEastAsia" w:eastAsiaTheme="minorEastAsia" w:hAnsiTheme="minorEastAsia" w:hint="eastAsia"/>
          <w:b w:val="0"/>
          <w:color w:val="000000" w:themeColor="text1"/>
        </w:rPr>
        <w:t>（二）基金年度审计</w:t>
      </w:r>
      <w:bookmarkEnd w:id="1088"/>
    </w:p>
    <w:p w:rsidR="00C35BC5" w:rsidRPr="00C86E67" w:rsidP="00332B90">
      <w:pPr>
        <w:numPr>
          <w:ilvl w:val="0"/>
          <w:numId w:val="5"/>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基金管理人聘请具有证券</w:t>
      </w:r>
      <w:r w:rsidRPr="00C86E67" w:rsidR="00332B90">
        <w:rPr>
          <w:rFonts w:asciiTheme="minorEastAsia" w:eastAsiaTheme="minorEastAsia" w:hAnsiTheme="minorEastAsia" w:hint="eastAsia"/>
          <w:color w:val="000000" w:themeColor="text1"/>
          <w:szCs w:val="21"/>
        </w:rPr>
        <w:t>、期货相关业务资格</w:t>
      </w:r>
      <w:r w:rsidRPr="00C86E67">
        <w:rPr>
          <w:rFonts w:asciiTheme="minorEastAsia" w:eastAsiaTheme="minorEastAsia" w:hAnsiTheme="minorEastAsia" w:hint="eastAsia"/>
          <w:color w:val="000000" w:themeColor="text1"/>
          <w:szCs w:val="21"/>
        </w:rPr>
        <w:t>的会计师事务所及其注册会计师对基金年度财务报表及其它规定事项进行审计。会计师事务所及其注册会计师与基金管理人、基金托管人相互独立。</w:t>
      </w:r>
    </w:p>
    <w:p w:rsidR="00C35BC5" w:rsidRPr="00C86E67" w:rsidP="00552BE1">
      <w:pPr>
        <w:numPr>
          <w:ilvl w:val="0"/>
          <w:numId w:val="5"/>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会计师事务所更换经办注册会计师时，须事先征得基金管理人和基金托管人同意；</w:t>
      </w:r>
    </w:p>
    <w:p w:rsidR="00C35BC5" w:rsidRPr="00C86E67" w:rsidP="00332B90">
      <w:pPr>
        <w:numPr>
          <w:ilvl w:val="0"/>
          <w:numId w:val="5"/>
        </w:numPr>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基金管理人认为有充足理由更换会计师事务所，</w:t>
      </w:r>
      <w:r w:rsidRPr="00C86E67" w:rsidR="00332B90">
        <w:rPr>
          <w:rFonts w:asciiTheme="minorEastAsia" w:eastAsiaTheme="minorEastAsia" w:hAnsiTheme="minorEastAsia" w:hint="eastAsia"/>
          <w:color w:val="000000" w:themeColor="text1"/>
          <w:szCs w:val="21"/>
        </w:rPr>
        <w:t>须通报基金托管人</w:t>
      </w:r>
      <w:r w:rsidRPr="00C86E67">
        <w:rPr>
          <w:rFonts w:asciiTheme="minorEastAsia" w:eastAsiaTheme="minorEastAsia" w:hAnsiTheme="minorEastAsia" w:hint="eastAsia"/>
          <w:color w:val="000000" w:themeColor="text1"/>
          <w:szCs w:val="21"/>
        </w:rPr>
        <w:t>。基金管理人应当在更换会计师事务所后2日内公告。</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089" w:name="_Toc91764868"/>
      <w:r w:rsidRPr="00C86E67">
        <w:rPr>
          <w:rFonts w:asciiTheme="minorEastAsia" w:eastAsiaTheme="minorEastAsia" w:hAnsiTheme="minorEastAsia" w:hint="eastAsia"/>
          <w:b/>
          <w:bCs/>
          <w:color w:val="000000" w:themeColor="text1"/>
        </w:rPr>
        <w:t>十八、基金的信息披露</w:t>
      </w:r>
      <w:bookmarkEnd w:id="1089"/>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（一）本基金的信息披露应符合《基金法》、《运作办法》、《信息披露办法》、《基金合同》及其他有关规定。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（二）信息披露义务人</w:t>
      </w:r>
    </w:p>
    <w:p w:rsidR="00332B90" w:rsidRPr="00C86E67" w:rsidP="00332B90">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本基金信息披露义务人包括基金管理人、基金托管人、召集基金份额持有人大会的基金份额持有人等法律、行政法规和中国证监会规定的自然人、法人和非法人组织。</w:t>
      </w:r>
    </w:p>
    <w:p w:rsidR="00332B90" w:rsidRPr="00C86E67" w:rsidP="00332B90">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本基金信息披露义务人以保护基金份额持有人利益为根本出发点，按照法律法规和中国证监会的规定披露基金信息，并保证所披露信息的真实性、准确性、完整性、及时性、简明性和易得性。</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本基金信息披露义务人应当在中国证监会规定时间内，将应予披露的基金信息通过指定媒介披露，并保证基金投资者能够按照《基金合同》约定的时间和方式查阅或者复制公开披露的信息资料。</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（三）本基金信息披露义务人承诺公开披露的基金信息，不得有下列行为：</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虚假记载、误导性陈述或者重大遗漏；</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对证券投资业绩进行预测；</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3</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违规承诺收益或者承担损失；</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4</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诋毁其他基金管理人、基金托管人或者基金份额发售机构；</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5</w:t>
      </w:r>
      <w:r w:rsidRPr="00C86E67" w:rsidR="00552BE1">
        <w:rPr>
          <w:rFonts w:asciiTheme="minorEastAsia" w:eastAsiaTheme="minorEastAsia" w:hAnsiTheme="minorEastAsia" w:hint="eastAsia"/>
          <w:color w:val="000000" w:themeColor="text1"/>
        </w:rPr>
        <w:t>、</w:t>
      </w:r>
      <w:r w:rsidRPr="00C86E67" w:rsidR="00615F5B">
        <w:rPr>
          <w:rFonts w:asciiTheme="minorEastAsia" w:eastAsiaTheme="minorEastAsia" w:hAnsiTheme="minorEastAsia" w:hint="eastAsia"/>
          <w:color w:val="000000" w:themeColor="text1"/>
        </w:rPr>
        <w:t>登载任何自然人、法人和非法人组织的祝贺性、恭维性或推荐性的文字；</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6</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中国证监会禁止的其他行为。</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（四）本基金公开披露的信息应采用中文文本。如同时采用外文文本的，</w:t>
      </w:r>
      <w:r w:rsidRPr="00C86E67" w:rsidR="00615F5B">
        <w:rPr>
          <w:rFonts w:asciiTheme="minorEastAsia" w:eastAsiaTheme="minorEastAsia" w:hAnsiTheme="minorEastAsia" w:hint="eastAsia"/>
          <w:color w:val="000000" w:themeColor="text1"/>
        </w:rPr>
        <w:t>基金信息披露义务人应保证不同文本的内容一致。不同文本之间发生歧义的</w:t>
      </w:r>
      <w:r w:rsidRPr="00C86E67">
        <w:rPr>
          <w:rFonts w:asciiTheme="minorEastAsia" w:eastAsiaTheme="minorEastAsia" w:hAnsiTheme="minorEastAsia" w:hint="eastAsia"/>
          <w:color w:val="000000" w:themeColor="text1"/>
        </w:rPr>
        <w:t>。两种文本发生歧义的，以中文文本为准。</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本基金公开披露的信息采用阿拉伯数字；除特别说明外，货币单位为人民币元。</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（五）公开披露的基金信息</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公开披露的基金信息包括：</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1、招募说明书、基金合同、托管协议</w:t>
      </w:r>
      <w:r w:rsidRPr="00C86E67" w:rsidR="00615F5B">
        <w:rPr>
          <w:rFonts w:asciiTheme="minorEastAsia" w:eastAsiaTheme="minorEastAsia" w:hAnsiTheme="minorEastAsia" w:hint="eastAsia"/>
          <w:color w:val="000000" w:themeColor="text1"/>
        </w:rPr>
        <w:t>、基金产品资料概要</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基金募集申请经中国证监会核准后，基金管理人在基金份额发售的</w:t>
      </w:r>
      <w:r w:rsidRPr="00C86E67">
        <w:rPr>
          <w:rFonts w:asciiTheme="minorEastAsia" w:eastAsiaTheme="minorEastAsia" w:hAnsiTheme="minorEastAsia"/>
          <w:color w:val="000000" w:themeColor="text1"/>
        </w:rPr>
        <w:t>3</w:t>
      </w:r>
      <w:r w:rsidRPr="00C86E67">
        <w:rPr>
          <w:rFonts w:asciiTheme="minorEastAsia" w:eastAsiaTheme="minorEastAsia" w:hAnsiTheme="minorEastAsia" w:hint="eastAsia"/>
          <w:color w:val="000000" w:themeColor="text1"/>
        </w:rPr>
        <w:t>日前，将招募说明书、基金合同摘要登载在指定报刊和网站上；基金管理人、基金托管人应当将基金合同、托管协议登载在网站上。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（1）招募说明书应当最大限度地披露影响基金投资者决策的全部事项，说明基金认购、申购和赎回安排、基金投资、基金产品特性、风险揭示、信息披露及基金份额持有人服务等内容。</w:t>
      </w:r>
      <w:r w:rsidRPr="00C86E67" w:rsidR="00615F5B">
        <w:rPr>
          <w:rFonts w:asciiTheme="minorEastAsia" w:eastAsiaTheme="minorEastAsia" w:hAnsiTheme="minorEastAsia" w:hint="eastAsia"/>
          <w:color w:val="000000" w:themeColor="text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（2）基金合同是界定基金合同当事人的各项权利、义务关系，明确基金份额持有人大会召开的规则及具体程序，说明基金产品的特性等涉及基金投资者重大利益的事项的法律文件。</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（3）托管协议是界定基金托管人和基金管理人在基金财产保管及基金运作监督等活动中的权利、义务关系的法律文件。</w:t>
      </w:r>
    </w:p>
    <w:p w:rsidR="00615F5B"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2、基金份额发售公告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基金管理人应当就基金份额发售的具体事宜编制基金份额发售公告，并在披露招募说明书的当日登载于指定报刊和网站上。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3、基金合同生效公告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基金管理人应当在本基金合同生效的次日在指定报刊和网站上登载基金合同生效公告。</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4、基金净值信息</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《基金合同》生效后，在开始办理基金份额申购或者赎回前，基金管理人应当至少每周在指定网站披露一次基金份额净值和基金份额累计净值。</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在开始办理基金份额申购或者赎回后，基金管理人应当在不晚于每个开放日的次日，通过指定网站、基金销售机构网站或者营业网点披露开放日的基金份额净值和基金份额累计净值。</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基金管理人应当在不晚于半年度和年度最后一日的次日，在指定网站披露半年度和年度最后一日的基金份额净值和基金份额累计净值。</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5、基金份额申购、赎回价格</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6、基金定期报告，包括基金年度报告、基金中期报告和基金季度报告</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基金管理人应当在上半年结束之日起两个月内，编制完成基金中期报告，将中期报告登载在指定网站上，并将中期报告提示性公告登载在指定报刊上。</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基金管理人应当在季度结束之日起15个工作日内，编制完成基金季度报告，将季度报告登载在指定网站上，并将季度报告提示性公告登载在指定报刊上。</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《基金合同》生效不足2个月的，基金管理人可以不编制当期季度报告、中期报告或者年度报告。</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基金管理人应当在基金年度报告和中期报告中披露基金组合资产情况及其流动性风险分析等。</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7、临时报告</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本基金发生重大事件，有关信息披露义务人应当在2日内编制临时报告书，并登载在指定报刊和指定网站上。</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前款所称重大事件，是指可能对基金份额持有人权益或者基金份额的价格产生重大影响的下列事件：</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基金份额持有人大会的召开及决定的事项；</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基金合同终止、基金清算；</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转换基金运作方式、基金合并；</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更换基金管理人、基金托管人、基金份额登记机构，基金改聘会计师事务所；</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基金管理人委托基金服务机构代为办理基金的份额登记、核算、估值等事项，基金托管人委托基金服务机构代为办理基金的核算、估值、复核等事项；</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基金管理人、基金托管人的法定名称、住所发生变更；</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基金管理公司变更持有百分之五以上股权的股东、基金管理人的实际控制人变更；</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基金募集期延长或提前结束募集；</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基金管理人的高级管理人员、基金经理和基金托管人专门基金托管部门负责人发生变动；</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基金管理人的董事在最近</w:t>
      </w:r>
      <w:r w:rsidRPr="00C86E67">
        <w:rPr>
          <w:rFonts w:asciiTheme="minorEastAsia" w:eastAsiaTheme="minorEastAsia" w:hAnsiTheme="minorEastAsia"/>
          <w:color w:val="000000" w:themeColor="text1"/>
        </w:rPr>
        <w:t>12</w:t>
      </w:r>
      <w:r w:rsidRPr="00C86E67">
        <w:rPr>
          <w:rFonts w:asciiTheme="minorEastAsia" w:eastAsiaTheme="minorEastAsia" w:hAnsiTheme="minorEastAsia" w:hint="eastAsia"/>
          <w:color w:val="000000" w:themeColor="text1"/>
        </w:rPr>
        <w:t>个月内变更超过百分之五十，基金管理人、基金托管人专门基金托管部门的主要业务人员在最近</w:t>
      </w:r>
      <w:r w:rsidRPr="00C86E67">
        <w:rPr>
          <w:rFonts w:asciiTheme="minorEastAsia" w:eastAsiaTheme="minorEastAsia" w:hAnsiTheme="minorEastAsia"/>
          <w:color w:val="000000" w:themeColor="text1"/>
        </w:rPr>
        <w:t>12</w:t>
      </w:r>
      <w:r w:rsidRPr="00C86E67">
        <w:rPr>
          <w:rFonts w:asciiTheme="minorEastAsia" w:eastAsiaTheme="minorEastAsia" w:hAnsiTheme="minorEastAsia" w:hint="eastAsia"/>
          <w:color w:val="000000" w:themeColor="text1"/>
        </w:rPr>
        <w:t>个月内变动超过百分之三十；</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涉及基金财产、基金管理业务、基金托管业务的诉讼或仲裁；</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基金管理人或其高级管理人员、基金经理因基金管理业务相关行为受到重大行政处罚、刑事处罚，基金托管人或其专门基金托管部门负责人因基金托管业务相关行为受到重大行政处罚、刑事处罚；</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基金收益分配事项；</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管理费、托管费、销售服务费、申购费、赎回费等费用计提标准、计提方式和费率发生变更；</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基金份额净值计价错误达基金份额净值百分之零点五；</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本基金开始办理申购、赎回；</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本基金暂停接受申购、赎回申请或重新接受申购、赎回申请；</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调整基金份额类别的设置；</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基金推出新业务或服务；</w:t>
      </w:r>
    </w:p>
    <w:p w:rsidR="00615F5B" w:rsidRPr="00C86E67" w:rsidP="005C20C2">
      <w:pPr>
        <w:pStyle w:val="ListParagraph"/>
        <w:numPr>
          <w:ilvl w:val="2"/>
          <w:numId w:val="21"/>
        </w:numPr>
        <w:snapToGrid w:val="0"/>
        <w:spacing w:line="360" w:lineRule="auto"/>
        <w:ind w:left="420"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基金信息披露义务人认为可能对基金份额持有人权益或者基金份额的价格产生重大影响的其他事项或中国证监会规定的其他事项。</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（八）澄清公告</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15F5B" w:rsidRPr="00C86E67" w:rsidP="00615F5B">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（九）清算报告</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10</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基金份额持有人大会决议</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基金份额持有人大会决定的事项，应当依法报中国证监会核准或者备案，并予以公告。召开基金份额持有人大会的，召集人应当至少提前4</w:t>
      </w:r>
      <w:r w:rsidRPr="00C86E67">
        <w:rPr>
          <w:rFonts w:asciiTheme="minorEastAsia" w:eastAsiaTheme="minorEastAsia" w:hAnsiTheme="minorEastAsia"/>
          <w:color w:val="000000" w:themeColor="text1"/>
        </w:rPr>
        <w:t>0</w:t>
      </w:r>
      <w:r w:rsidRPr="00C86E67">
        <w:rPr>
          <w:rFonts w:asciiTheme="minorEastAsia" w:eastAsiaTheme="minorEastAsia" w:hAnsiTheme="minorEastAsia" w:hint="eastAsia"/>
          <w:color w:val="000000" w:themeColor="text1"/>
        </w:rPr>
        <w:t>日公告基金份额持有人大会的召开时间、会议形式、审议事项、议事程序和表决方式等事项。</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基金份额持有人依法自行召集基金份额持有人大会，本基金管理人、本基金托管人对基金份额持有人大会决定的事项不依法履行信息披露义务的，召集人应当履行相关信息披露义务。</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Pr>
          <w:rFonts w:asciiTheme="minorEastAsia" w:eastAsiaTheme="minorEastAsia" w:hAnsiTheme="minorEastAsia"/>
          <w:color w:val="000000" w:themeColor="text1"/>
        </w:rPr>
        <w:t>1</w:t>
      </w:r>
      <w:r w:rsidRPr="00C86E67" w:rsidR="00552BE1">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中国证监会规定的其他信息。</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（六）信息披露事务管理</w:t>
      </w:r>
    </w:p>
    <w:p w:rsidR="00AE597E" w:rsidRPr="00C86E67" w:rsidP="00AE597E">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基金管理人、基金托管人应当建立健全信息披露管理制度，指定专门部门及高级管理人员负责管理信息披露事务。</w:t>
      </w:r>
    </w:p>
    <w:p w:rsidR="00AE597E" w:rsidRPr="00C86E67" w:rsidP="00AE597E">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基金信息披露义务人公开披露基金信息，应当符合中国证监会相关基金信息披露内容与格式准则等法规的规定。</w:t>
      </w:r>
    </w:p>
    <w:p w:rsidR="00AE597E" w:rsidRPr="00C86E67" w:rsidP="00AE597E">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AE597E" w:rsidRPr="00C86E67" w:rsidP="00AE597E">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AE597E" w:rsidRPr="00C86E67" w:rsidP="00AE597E">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（七）信息披露文件的存放与查阅</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依法必须披露的信息发布后，基金管理人、基金托管人应当按照相关法律法规规定将信息置备于公司办公场所，供社会公众查阅、复制。</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color w:val="000000" w:themeColor="text1"/>
        </w:rPr>
      </w:pPr>
      <w:bookmarkStart w:id="1090" w:name="_Toc91764869"/>
      <w:r w:rsidRPr="00C86E67">
        <w:rPr>
          <w:rFonts w:asciiTheme="minorEastAsia" w:eastAsiaTheme="minorEastAsia" w:hAnsiTheme="minorEastAsia" w:hint="eastAsia"/>
          <w:b/>
          <w:bCs/>
          <w:color w:val="000000" w:themeColor="text1"/>
        </w:rPr>
        <w:t>十九、风险揭示</w:t>
      </w:r>
      <w:bookmarkEnd w:id="1090"/>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91" w:name="_Toc91764870"/>
      <w:r w:rsidRPr="00C86E67">
        <w:rPr>
          <w:rFonts w:asciiTheme="minorEastAsia" w:eastAsiaTheme="minorEastAsia" w:hAnsiTheme="minorEastAsia" w:hint="eastAsia"/>
          <w:b w:val="0"/>
          <w:color w:val="000000" w:themeColor="text1"/>
        </w:rPr>
        <w:t>（一）市场风险</w:t>
      </w:r>
      <w:bookmarkEnd w:id="1091"/>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w:t>
      </w:r>
      <w:r w:rsidRPr="00C86E67">
        <w:rPr>
          <w:rFonts w:asciiTheme="minorEastAsia" w:eastAsiaTheme="minorEastAsia" w:hAnsiTheme="minorEastAsia"/>
          <w:color w:val="000000" w:themeColor="text1"/>
        </w:rPr>
        <w:t>基金主要投资于证券市场，而证券市场价格因受到经济因素、政治因素、投资者心理和交易制度等各种因素的影响而产生波动，从而导致基金收益水平发生变化，产生风险。主要的风险因素包括：</w:t>
      </w:r>
    </w:p>
    <w:p w:rsidR="00C35BC5" w:rsidRPr="00C86E67" w:rsidP="00552BE1">
      <w:pPr>
        <w:numPr>
          <w:ilvl w:val="0"/>
          <w:numId w:val="9"/>
        </w:numPr>
        <w:tabs>
          <w:tab w:val="num" w:pos="420"/>
          <w:tab w:val="num" w:pos="840"/>
          <w:tab w:val="clear" w:pos="1065"/>
        </w:tabs>
        <w:snapToGrid w:val="0"/>
        <w:spacing w:line="360" w:lineRule="auto"/>
        <w:ind w:left="840" w:hanging="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政策风险</w:t>
      </w:r>
    </w:p>
    <w:p w:rsidR="00C35BC5" w:rsidRPr="00C86E67" w:rsidP="00552BE1">
      <w:pPr>
        <w:snapToGrid w:val="0"/>
        <w:spacing w:line="360" w:lineRule="auto"/>
        <w:ind w:left="420" w:firstLine="420" w:leftChars="20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因财政政策、货币政策、产业政策、地区发展政策等国家宏观政策发生变化，导致市场价格波动，影响基金收益而产生风险。</w:t>
      </w:r>
    </w:p>
    <w:p w:rsidR="00C35BC5" w:rsidRPr="00C86E67" w:rsidP="00552BE1">
      <w:pPr>
        <w:numPr>
          <w:ilvl w:val="0"/>
          <w:numId w:val="9"/>
        </w:numPr>
        <w:tabs>
          <w:tab w:val="num" w:pos="420"/>
          <w:tab w:val="num" w:pos="840"/>
          <w:tab w:val="clear" w:pos="1065"/>
        </w:tabs>
        <w:snapToGrid w:val="0"/>
        <w:spacing w:line="360" w:lineRule="auto"/>
        <w:ind w:left="840" w:hanging="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经济周期风险</w:t>
      </w:r>
    </w:p>
    <w:p w:rsidR="00C35BC5" w:rsidRPr="00C86E67" w:rsidP="00552BE1">
      <w:pPr>
        <w:snapToGrid w:val="0"/>
        <w:spacing w:line="360" w:lineRule="auto"/>
        <w:ind w:left="420" w:firstLine="420" w:leftChars="20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随着经济运行的周期性变化，证券市场的收益水平也呈周期性变化，基金投资的收益水平也会随之变化，从而产生风险。</w:t>
      </w:r>
    </w:p>
    <w:p w:rsidR="00C35BC5" w:rsidRPr="00C86E67" w:rsidP="00552BE1">
      <w:pPr>
        <w:numPr>
          <w:ilvl w:val="0"/>
          <w:numId w:val="9"/>
        </w:numPr>
        <w:tabs>
          <w:tab w:val="num" w:pos="420"/>
          <w:tab w:val="num" w:pos="840"/>
          <w:tab w:val="clear" w:pos="1065"/>
        </w:tabs>
        <w:snapToGrid w:val="0"/>
        <w:spacing w:line="360" w:lineRule="auto"/>
        <w:ind w:left="840" w:hanging="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利率风险</w:t>
      </w:r>
    </w:p>
    <w:p w:rsidR="00C35BC5" w:rsidRPr="00C86E67" w:rsidP="00552BE1">
      <w:pPr>
        <w:snapToGrid w:val="0"/>
        <w:spacing w:line="360" w:lineRule="auto"/>
        <w:ind w:left="420" w:firstLine="420" w:leftChars="20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金融市场利率的波动会导致证券市场价格和收益率的变动。利率直接影响着债券的价格和收益率，影响着企业的融资成本和利润。基金投资于债券和股票，其收益水平可能会受到利率变化的影响。</w:t>
      </w:r>
    </w:p>
    <w:p w:rsidR="00C35BC5" w:rsidRPr="00C86E67" w:rsidP="00552BE1">
      <w:pPr>
        <w:numPr>
          <w:ilvl w:val="0"/>
          <w:numId w:val="9"/>
        </w:numPr>
        <w:tabs>
          <w:tab w:val="num" w:pos="420"/>
          <w:tab w:val="num" w:pos="840"/>
          <w:tab w:val="clear" w:pos="1065"/>
        </w:tabs>
        <w:snapToGrid w:val="0"/>
        <w:spacing w:line="360" w:lineRule="auto"/>
        <w:ind w:left="840" w:hanging="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上市公司经营风险</w:t>
      </w:r>
    </w:p>
    <w:p w:rsidR="00C35BC5" w:rsidRPr="00C86E67" w:rsidP="00552BE1">
      <w:pPr>
        <w:snapToGrid w:val="0"/>
        <w:spacing w:line="360" w:lineRule="auto"/>
        <w:ind w:left="420" w:firstLine="420" w:leftChars="20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C35BC5" w:rsidRPr="00C86E67" w:rsidP="00552BE1">
      <w:pPr>
        <w:numPr>
          <w:ilvl w:val="0"/>
          <w:numId w:val="9"/>
        </w:numPr>
        <w:tabs>
          <w:tab w:val="num" w:pos="420"/>
          <w:tab w:val="num" w:pos="840"/>
          <w:tab w:val="clear" w:pos="1065"/>
        </w:tabs>
        <w:snapToGrid w:val="0"/>
        <w:spacing w:line="360" w:lineRule="auto"/>
        <w:ind w:left="840" w:hanging="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购买力风险</w:t>
      </w:r>
    </w:p>
    <w:p w:rsidR="00C35BC5" w:rsidRPr="00C86E67" w:rsidP="00552BE1">
      <w:pPr>
        <w:snapToGrid w:val="0"/>
        <w:spacing w:line="360" w:lineRule="auto"/>
        <w:ind w:left="420" w:firstLine="420" w:leftChars="20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基金</w:t>
      </w:r>
      <w:r w:rsidRPr="00C86E67">
        <w:rPr>
          <w:rFonts w:asciiTheme="minorEastAsia" w:eastAsiaTheme="minorEastAsia" w:hAnsiTheme="minorEastAsia" w:hint="eastAsia"/>
          <w:color w:val="000000" w:themeColor="text1"/>
        </w:rPr>
        <w:t>份额</w:t>
      </w:r>
      <w:r w:rsidRPr="00C86E67">
        <w:rPr>
          <w:rFonts w:asciiTheme="minorEastAsia" w:eastAsiaTheme="minorEastAsia" w:hAnsiTheme="minorEastAsia"/>
          <w:color w:val="000000" w:themeColor="text1"/>
        </w:rPr>
        <w:t>持有人收益将主要通过现金形式来分配，而现金可能因为通货膨胀因素而使其购买力下降,从而使基金的实际收益下降。</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92" w:name="_Toc91764871"/>
      <w:r w:rsidRPr="00C86E67">
        <w:rPr>
          <w:rFonts w:asciiTheme="minorEastAsia" w:eastAsiaTheme="minorEastAsia" w:hAnsiTheme="minorEastAsia"/>
          <w:b w:val="0"/>
          <w:color w:val="000000" w:themeColor="text1"/>
        </w:rPr>
        <w:t>（</w:t>
      </w:r>
      <w:r w:rsidRPr="00C86E67">
        <w:rPr>
          <w:rFonts w:asciiTheme="minorEastAsia" w:eastAsiaTheme="minorEastAsia" w:hAnsiTheme="minorEastAsia" w:hint="eastAsia"/>
          <w:b w:val="0"/>
          <w:color w:val="000000" w:themeColor="text1"/>
        </w:rPr>
        <w:t>二</w:t>
      </w:r>
      <w:r w:rsidRPr="00C86E67">
        <w:rPr>
          <w:rFonts w:asciiTheme="minorEastAsia" w:eastAsiaTheme="minorEastAsia" w:hAnsiTheme="minorEastAsia"/>
          <w:b w:val="0"/>
          <w:color w:val="000000" w:themeColor="text1"/>
        </w:rPr>
        <w:t>）管理风险</w:t>
      </w:r>
      <w:bookmarkEnd w:id="1092"/>
    </w:p>
    <w:p w:rsidR="00C35BC5" w:rsidRPr="00C86E67" w:rsidP="00552BE1">
      <w:pPr>
        <w:numPr>
          <w:ilvl w:val="0"/>
          <w:numId w:val="7"/>
        </w:numPr>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在基金管理运作过程中，基金管理人的知识、经验、判断、决策、技能等，会影响其对信息的占有以及对经济形势、证券价格走势的判断，从而影响基金收益水平；</w:t>
      </w:r>
    </w:p>
    <w:p w:rsidR="00C35BC5" w:rsidRPr="00C86E67" w:rsidP="00552BE1">
      <w:pPr>
        <w:numPr>
          <w:ilvl w:val="0"/>
          <w:numId w:val="7"/>
        </w:numPr>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基金管理人和基金托管人的管理手段和管理技术等因素的变化也会影响基金收益水平。</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93" w:name="_Toc91764872"/>
      <w:r w:rsidRPr="00C86E67">
        <w:rPr>
          <w:rFonts w:asciiTheme="minorEastAsia" w:eastAsiaTheme="minorEastAsia" w:hAnsiTheme="minorEastAsia"/>
          <w:b w:val="0"/>
          <w:color w:val="000000" w:themeColor="text1"/>
        </w:rPr>
        <w:t>（</w:t>
      </w:r>
      <w:r w:rsidRPr="00C86E67">
        <w:rPr>
          <w:rFonts w:asciiTheme="minorEastAsia" w:eastAsiaTheme="minorEastAsia" w:hAnsiTheme="minorEastAsia" w:hint="eastAsia"/>
          <w:b w:val="0"/>
          <w:color w:val="000000" w:themeColor="text1"/>
        </w:rPr>
        <w:t>三</w:t>
      </w:r>
      <w:r w:rsidRPr="00C86E67">
        <w:rPr>
          <w:rFonts w:asciiTheme="minorEastAsia" w:eastAsiaTheme="minorEastAsia" w:hAnsiTheme="minorEastAsia"/>
          <w:b w:val="0"/>
          <w:color w:val="000000" w:themeColor="text1"/>
        </w:rPr>
        <w:t>）流动性风险</w:t>
      </w:r>
      <w:bookmarkEnd w:id="1093"/>
    </w:p>
    <w:p w:rsidR="000E5ECA" w:rsidRPr="00C86E67" w:rsidP="000E5ECA">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1.流动性风险评估</w:t>
      </w:r>
    </w:p>
    <w:p w:rsidR="000E5ECA" w:rsidRPr="00C86E67" w:rsidP="000E5ECA">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本基金为混合型基金，可</w:t>
      </w:r>
      <w:r w:rsidRPr="00C86E67">
        <w:rPr>
          <w:rFonts w:asciiTheme="minorEastAsia" w:eastAsiaTheme="minorEastAsia" w:hAnsiTheme="minorEastAsia"/>
          <w:color w:val="000000" w:themeColor="text1"/>
        </w:rPr>
        <w:t>投资于</w:t>
      </w:r>
      <w:r w:rsidRPr="00C86E67" w:rsidR="00CC3AD2">
        <w:rPr>
          <w:rFonts w:asciiTheme="minorEastAsia" w:eastAsiaTheme="minorEastAsia" w:hAnsiTheme="minorEastAsia" w:hint="eastAsia"/>
          <w:color w:val="000000" w:themeColor="text1"/>
          <w:szCs w:val="21"/>
        </w:rPr>
        <w:t>国内依法发行上市的股票、债券、现金、短期金融工具、权证</w:t>
      </w:r>
      <w:r w:rsidRPr="00C86E67">
        <w:rPr>
          <w:rFonts w:asciiTheme="minorEastAsia" w:eastAsiaTheme="minorEastAsia" w:hAnsiTheme="minorEastAsia" w:hint="eastAsia"/>
          <w:color w:val="000000" w:themeColor="text1"/>
        </w:rPr>
        <w:t>，一般情况下，这些资产市场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股票、债券或其他资产。两者均可能使基金净值受到不利影响。</w:t>
      </w:r>
    </w:p>
    <w:p w:rsidR="000E5ECA" w:rsidRPr="00C86E67" w:rsidP="000E5ECA">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2.巨额赎回情形下的流动性风险管理措施</w:t>
      </w:r>
    </w:p>
    <w:p w:rsidR="000E5ECA" w:rsidRPr="00C86E67" w:rsidP="000E5ECA">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当本基金出现巨额赎回时，基金管理人可以根据基金当时的资产组合状况决定全额赎回或部分延期赎回；此外，如</w:t>
      </w:r>
      <w:r w:rsidRPr="00C86E67" w:rsidR="00CC3AD2">
        <w:rPr>
          <w:rFonts w:asciiTheme="minorEastAsia" w:eastAsiaTheme="minorEastAsia" w:hAnsiTheme="minorEastAsia" w:hint="eastAsia"/>
          <w:color w:val="000000" w:themeColor="text1"/>
        </w:rPr>
        <w:t>本基金连续2个开放日以上发生巨额赎回，如基金管理人认为有必要，可暂停接受赎回申请；已经接受的赎回申请可以延缓支付赎回款项，但不得超过正常支付时间20个工作日</w:t>
      </w:r>
      <w:r w:rsidRPr="00C86E67">
        <w:rPr>
          <w:rFonts w:asciiTheme="minorEastAsia" w:eastAsiaTheme="minorEastAsia" w:hAnsiTheme="minorEastAsia" w:hint="eastAsia"/>
          <w:color w:val="000000" w:themeColor="text1"/>
        </w:rPr>
        <w:t>。当</w:t>
      </w:r>
      <w:r w:rsidRPr="00C86E67" w:rsidR="00CC3AD2">
        <w:rPr>
          <w:rFonts w:asciiTheme="minorEastAsia" w:eastAsiaTheme="minorEastAsia" w:hAnsiTheme="minorEastAsia" w:hint="eastAsia"/>
          <w:color w:val="000000" w:themeColor="text1"/>
        </w:rPr>
        <w:t>本基金发生巨额赎回且单个基金份额持有人的赎回申请超过上一开放日基金总份额10%的，基金管理人有权对该单个基金份额持有人超出该比例的赎回申请实施延期办理</w:t>
      </w:r>
      <w:r w:rsidRPr="00C86E67">
        <w:rPr>
          <w:rFonts w:asciiTheme="minorEastAsia" w:eastAsiaTheme="minorEastAsia" w:hAnsiTheme="minorEastAsia" w:hint="eastAsia"/>
          <w:color w:val="000000" w:themeColor="text1"/>
        </w:rPr>
        <w:t>。具体情形、程序见招募说明书“</w:t>
      </w:r>
      <w:r w:rsidRPr="00C86E67" w:rsidR="00CC3AD2">
        <w:rPr>
          <w:rFonts w:asciiTheme="minorEastAsia" w:eastAsiaTheme="minorEastAsia" w:hAnsiTheme="minorEastAsia" w:hint="eastAsia"/>
          <w:color w:val="000000" w:themeColor="text1"/>
        </w:rPr>
        <w:t>八</w:t>
      </w:r>
      <w:r w:rsidRPr="00C86E67">
        <w:rPr>
          <w:rFonts w:asciiTheme="minorEastAsia" w:eastAsiaTheme="minorEastAsia" w:hAnsiTheme="minorEastAsia" w:hint="eastAsia"/>
          <w:color w:val="000000" w:themeColor="text1"/>
        </w:rPr>
        <w:t>、基金份额的申购、赎回”“（</w:t>
      </w:r>
      <w:r w:rsidRPr="00C86E67" w:rsidR="00CC3AD2">
        <w:rPr>
          <w:rFonts w:asciiTheme="minorEastAsia" w:eastAsiaTheme="minorEastAsia" w:hAnsiTheme="minorEastAsia" w:hint="eastAsia"/>
          <w:color w:val="000000" w:themeColor="text1"/>
        </w:rPr>
        <w:t>十</w:t>
      </w:r>
      <w:r w:rsidRPr="00C86E67">
        <w:rPr>
          <w:rFonts w:asciiTheme="minorEastAsia" w:eastAsiaTheme="minorEastAsia" w:hAnsiTheme="minorEastAsia" w:hint="eastAsia"/>
          <w:color w:val="000000" w:themeColor="text1"/>
        </w:rPr>
        <w:t>）</w:t>
      </w:r>
      <w:r w:rsidRPr="00C86E67" w:rsidR="00CC3AD2">
        <w:rPr>
          <w:rFonts w:asciiTheme="minorEastAsia" w:eastAsiaTheme="minorEastAsia" w:hAnsiTheme="minorEastAsia" w:hint="eastAsia"/>
          <w:color w:val="000000" w:themeColor="text1"/>
        </w:rPr>
        <w:t>巨额赎回的认定及处理方式</w:t>
      </w:r>
      <w:r w:rsidRPr="00C86E67">
        <w:rPr>
          <w:rFonts w:asciiTheme="minorEastAsia" w:eastAsiaTheme="minorEastAsia" w:hAnsiTheme="minorEastAsia" w:hint="eastAsia"/>
          <w:color w:val="000000" w:themeColor="text1"/>
        </w:rPr>
        <w:t>。”</w:t>
      </w:r>
    </w:p>
    <w:p w:rsidR="000E5ECA" w:rsidRPr="00C86E67" w:rsidP="000E5ECA">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0E5ECA" w:rsidRPr="00C86E67" w:rsidP="000E5ECA">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0E5ECA" w:rsidRPr="00C86E67" w:rsidP="000E5ECA">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除巨额赎回情形外，本基金备用流动性风险管理工具包括但不限于暂停接受赎回申请、延缓支付赎回款项、收取短期赎回费、暂停基金估值以及证监会认定的其他措施。</w:t>
      </w:r>
    </w:p>
    <w:p w:rsidR="000E5ECA" w:rsidRPr="00C86E67" w:rsidP="000E5ECA">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暂停接受赎回申请、延缓支付赎回款项等工具的情形、程序见招募说明书“九、基金份额的申购、赎回”之“（十</w:t>
      </w:r>
      <w:r w:rsidRPr="00C86E67" w:rsidR="00CC3AD2">
        <w:rPr>
          <w:rFonts w:asciiTheme="minorEastAsia" w:eastAsiaTheme="minorEastAsia" w:hAnsiTheme="minorEastAsia" w:hint="eastAsia"/>
          <w:color w:val="000000" w:themeColor="text1"/>
        </w:rPr>
        <w:t>一</w:t>
      </w:r>
      <w:r w:rsidRPr="00C86E67">
        <w:rPr>
          <w:rFonts w:asciiTheme="minorEastAsia" w:eastAsiaTheme="minorEastAsia" w:hAnsiTheme="minorEastAsia" w:hint="eastAsia"/>
          <w:color w:val="000000" w:themeColor="text1"/>
        </w:rPr>
        <w:t>）</w:t>
      </w:r>
      <w:r w:rsidRPr="00C86E67" w:rsidR="00CC3AD2">
        <w:rPr>
          <w:rFonts w:asciiTheme="minorEastAsia" w:eastAsiaTheme="minorEastAsia" w:hAnsiTheme="minorEastAsia" w:hint="eastAsia"/>
          <w:color w:val="000000" w:themeColor="text1"/>
        </w:rPr>
        <w:t>拒绝或暂停申购、赎回的情形及处理方式</w:t>
      </w:r>
      <w:r w:rsidRPr="00C86E67">
        <w:rPr>
          <w:rFonts w:asciiTheme="minorEastAsia" w:eastAsiaTheme="minorEastAsia" w:hAnsiTheme="minorEastAsia" w:hint="eastAsia"/>
          <w:color w:val="000000" w:themeColor="text1"/>
        </w:rPr>
        <w:t>”的相关规定。若本基金暂停赎回申请，投资者在暂停赎回期间将无法赎回其持有的基金份额。若本基金延缓支付赎回款项，赎回款支付时间将后延，可能对投资者的资金安排带来不利影响。</w:t>
      </w:r>
    </w:p>
    <w:p w:rsidR="000E5ECA" w:rsidRPr="00C86E67" w:rsidP="000E5ECA">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C35BC5" w:rsidRPr="00C86E67" w:rsidP="000E5ECA">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暂停基金估值的情形、程序见招募说明书“十</w:t>
      </w:r>
      <w:r w:rsidRPr="00C86E67" w:rsidR="00CC3AD2">
        <w:rPr>
          <w:rFonts w:asciiTheme="minorEastAsia" w:eastAsiaTheme="minorEastAsia" w:hAnsiTheme="minorEastAsia" w:hint="eastAsia"/>
          <w:color w:val="000000" w:themeColor="text1"/>
        </w:rPr>
        <w:t>四</w:t>
      </w:r>
      <w:r w:rsidRPr="00C86E67">
        <w:rPr>
          <w:rFonts w:asciiTheme="minorEastAsia" w:eastAsiaTheme="minorEastAsia" w:hAnsiTheme="minorEastAsia" w:hint="eastAsia"/>
          <w:color w:val="000000" w:themeColor="text1"/>
        </w:rPr>
        <w:t>、基金资产估值”之“（六）</w:t>
      </w:r>
      <w:r w:rsidRPr="00C86E67" w:rsidR="00CC3AD2">
        <w:rPr>
          <w:rFonts w:asciiTheme="minorEastAsia" w:eastAsiaTheme="minorEastAsia" w:hAnsiTheme="minorEastAsia" w:hint="eastAsia"/>
          <w:color w:val="000000" w:themeColor="text1"/>
        </w:rPr>
        <w:t>暂停公告净值的情形</w:t>
      </w:r>
      <w:r w:rsidRPr="00C86E67">
        <w:rPr>
          <w:rFonts w:asciiTheme="minorEastAsia" w:eastAsiaTheme="minorEastAsia" w:hAnsiTheme="minorEastAsia" w:hint="eastAsia"/>
          <w:color w:val="000000" w:themeColor="text1"/>
        </w:rPr>
        <w:t>”的相关规定。若本基金暂停基金估值，一方面投资者将无法知晓本基金的基金份额净值，另一方面基金将暂停接受申购赎回申请或延缓支付赎回款项，将导致投资者无法申购或赎回本基金，或赎回款支付时间将后延，可能对投资者的资金安排带来不利影响。</w:t>
      </w:r>
    </w:p>
    <w:p w:rsidR="000342D0" w:rsidRPr="00C86E67" w:rsidP="005C20C2">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1094" w:name="_Toc91764873"/>
      <w:r w:rsidRPr="00C86E67">
        <w:rPr>
          <w:rFonts w:asciiTheme="minorEastAsia" w:eastAsiaTheme="minorEastAsia" w:hAnsiTheme="minorEastAsia" w:hint="eastAsia"/>
          <w:b w:val="0"/>
          <w:color w:val="000000" w:themeColor="text1"/>
        </w:rPr>
        <w:t>（四）本基金法律文件中涉及基金风险特征的表述与销售机构对基金的风险评级可能不一致的风险</w:t>
      </w:r>
      <w:bookmarkEnd w:id="1094"/>
    </w:p>
    <w:p w:rsidR="000342D0" w:rsidRPr="00C86E67" w:rsidP="000342D0">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95" w:name="_Toc91764874"/>
      <w:r w:rsidRPr="00C86E67">
        <w:rPr>
          <w:rFonts w:asciiTheme="minorEastAsia" w:eastAsiaTheme="minorEastAsia" w:hAnsiTheme="minorEastAsia"/>
          <w:b w:val="0"/>
          <w:color w:val="000000" w:themeColor="text1"/>
        </w:rPr>
        <w:t>（</w:t>
      </w:r>
      <w:r w:rsidRPr="00C86E67" w:rsidR="000342D0">
        <w:rPr>
          <w:rFonts w:asciiTheme="minorEastAsia" w:eastAsiaTheme="minorEastAsia" w:hAnsiTheme="minorEastAsia" w:hint="eastAsia"/>
          <w:b w:val="0"/>
          <w:color w:val="000000" w:themeColor="text1"/>
        </w:rPr>
        <w:t>五</w:t>
      </w:r>
      <w:r w:rsidRPr="00C86E67">
        <w:rPr>
          <w:rFonts w:asciiTheme="minorEastAsia" w:eastAsiaTheme="minorEastAsia" w:hAnsiTheme="minorEastAsia"/>
          <w:b w:val="0"/>
          <w:color w:val="000000" w:themeColor="text1"/>
        </w:rPr>
        <w:t>）本基金特有的风险</w:t>
      </w:r>
      <w:bookmarkEnd w:id="1095"/>
    </w:p>
    <w:p w:rsidR="00ED6905" w:rsidRPr="00C86E67" w:rsidP="00ED6905">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kern w:val="0"/>
          <w:szCs w:val="21"/>
        </w:rPr>
        <w:t>1、本基金是混合型基金，基金资产主要投资于债券市场和股票市场</w:t>
      </w:r>
      <w:r w:rsidRPr="00C86E67">
        <w:rPr>
          <w:rFonts w:asciiTheme="minorEastAsia" w:eastAsiaTheme="minorEastAsia" w:hAnsiTheme="minorEastAsia" w:hint="eastAsia"/>
          <w:color w:val="000000" w:themeColor="text1"/>
        </w:rPr>
        <w:t>，其中股票资产占基金资产的40</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95%</w:t>
      </w:r>
      <w:r w:rsidRPr="00C86E67">
        <w:rPr>
          <w:rFonts w:asciiTheme="minorEastAsia" w:eastAsiaTheme="minorEastAsia" w:hAnsiTheme="minorEastAsia" w:hint="eastAsia"/>
          <w:color w:val="000000" w:themeColor="text1"/>
          <w:kern w:val="0"/>
          <w:szCs w:val="21"/>
        </w:rPr>
        <w:t>，当股市或债市上行时，本基金可能过少配置相关资产从而无法获得相应收益；当股市或债市下行时，本基金可能过多配置相关资产从而导致较大损失，股市、债市的变化以及本基金的资产配置情况将影响基金业绩表现。</w:t>
      </w:r>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2、本基金主要投资成长与价值特征突出的股票。本基金特有的风险主要包括：</w:t>
      </w:r>
      <w:r w:rsidRPr="00C86E67" w:rsidR="00447902">
        <w:rPr>
          <w:rFonts w:asciiTheme="minorEastAsia" w:eastAsiaTheme="minorEastAsia" w:hAnsiTheme="minorEastAsia" w:hint="eastAsia"/>
          <w:color w:val="000000" w:themeColor="text1"/>
        </w:rPr>
        <w:t>1.</w:t>
      </w:r>
      <w:r w:rsidRPr="00C86E67">
        <w:rPr>
          <w:rFonts w:asciiTheme="minorEastAsia" w:eastAsiaTheme="minorEastAsia" w:hAnsiTheme="minorEastAsia" w:hint="eastAsia"/>
          <w:color w:val="000000" w:themeColor="text1"/>
        </w:rPr>
        <w:t>模型风险。本基金使用“易方达成长与价值股评价模型”进行选股，模型中的指标、权重、计算方法的选取不当会影响组合中股票构成与投资业绩。本基金会持续地进行投资模型的研究与改进。</w:t>
      </w:r>
      <w:r w:rsidRPr="00C86E67" w:rsidR="00447902">
        <w:rPr>
          <w:rFonts w:asciiTheme="minorEastAsia" w:eastAsiaTheme="minorEastAsia" w:hAnsiTheme="minorEastAsia" w:hint="eastAsia"/>
          <w:color w:val="000000" w:themeColor="text1"/>
        </w:rPr>
        <w:t>2.</w:t>
      </w:r>
      <w:r w:rsidRPr="00C86E67">
        <w:rPr>
          <w:rFonts w:asciiTheme="minorEastAsia" w:eastAsiaTheme="minorEastAsia" w:hAnsiTheme="minorEastAsia" w:hint="eastAsia"/>
          <w:color w:val="000000" w:themeColor="text1"/>
        </w:rPr>
        <w:t>股票研究不深入与业绩预测不准确带来的风险。在本基金的选股模型中，使用了预测性的指标，包括当年的净利润增长率、预期中长期净利润增长率、预期市盈率等，如果研究不深入、业绩预测不准确会增加投资风险。</w:t>
      </w:r>
      <w:r w:rsidRPr="00C86E67" w:rsidR="00447902">
        <w:rPr>
          <w:rFonts w:asciiTheme="minorEastAsia" w:eastAsiaTheme="minorEastAsia" w:hAnsiTheme="minorEastAsia" w:hint="eastAsia"/>
          <w:color w:val="000000" w:themeColor="text1"/>
        </w:rPr>
        <w:t>3.</w:t>
      </w:r>
      <w:r w:rsidRPr="00C86E67">
        <w:rPr>
          <w:rFonts w:asciiTheme="minorEastAsia" w:eastAsiaTheme="minorEastAsia" w:hAnsiTheme="minorEastAsia" w:hint="eastAsia"/>
          <w:color w:val="000000" w:themeColor="text1"/>
        </w:rPr>
        <w:t>行业配置风险。本基金主要以风格因素进行选股，在某段时期，风格特征鲜明的股票可能大多出自少数几个行业，造成本基金的行业风险较高。为避免此风险，本基金会在组合构造过程中，注意行业集中度风险。</w:t>
      </w:r>
    </w:p>
    <w:p w:rsidR="00ED6905" w:rsidRPr="00C86E67" w:rsidP="00ED6905">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color w:val="000000" w:themeColor="text1"/>
          <w:kern w:val="0"/>
          <w:szCs w:val="21"/>
        </w:rPr>
        <w:t>3</w:t>
      </w:r>
      <w:r w:rsidRPr="00C86E67">
        <w:rPr>
          <w:rFonts w:asciiTheme="minorEastAsia" w:eastAsiaTheme="minorEastAsia" w:hAnsiTheme="minorEastAsia" w:hint="eastAsia"/>
          <w:color w:val="000000" w:themeColor="text1"/>
          <w:kern w:val="0"/>
          <w:szCs w:val="21"/>
        </w:rPr>
        <w:t>、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ED6905" w:rsidRPr="00C86E67" w:rsidP="00ED6905">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科创板股票在发行、上市、交易、退市等方面的规则与其他板块存在差异，基金投资科创板股票的风险包括但不限于：</w:t>
      </w:r>
    </w:p>
    <w:p w:rsidR="00ED6905" w:rsidRPr="00C86E67" w:rsidP="00ED6905">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（1）科创板企业退市风险</w:t>
      </w:r>
    </w:p>
    <w:p w:rsidR="00ED6905" w:rsidRPr="00C86E67" w:rsidP="00ED6905">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ED6905" w:rsidRPr="00C86E67" w:rsidP="00ED6905">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（2）市场风险</w:t>
      </w:r>
    </w:p>
    <w:p w:rsidR="00ED6905" w:rsidRPr="00C86E67" w:rsidP="00ED6905">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科创板企业相对集中于新一代信息技术、高端装备、新材料、新能源、节能环保及生物医药等高新技术和战略新兴产业领域，大多数企业为初创型公司，上市门槛略低于A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5个交易日不设涨跌幅限制，其后涨跌幅限制为20%）、科创板股票上市首日即可作为融资融券标的，可能导致较大的股票价格波动。</w:t>
      </w:r>
    </w:p>
    <w:p w:rsidR="00ED6905" w:rsidRPr="00C86E67" w:rsidP="00ED6905">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（3）流动性风险</w:t>
      </w:r>
    </w:p>
    <w:p w:rsidR="00ED6905" w:rsidRPr="00C86E67" w:rsidP="00ED6905">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ED6905" w:rsidRPr="00C86E67" w:rsidP="00ED6905">
      <w:pPr>
        <w:snapToGrid w:val="0"/>
        <w:spacing w:line="360" w:lineRule="auto"/>
        <w:ind w:firstLine="420" w:firstLineChars="200"/>
        <w:rPr>
          <w:rFonts w:asciiTheme="minorEastAsia" w:eastAsiaTheme="minorEastAsia" w:hAnsiTheme="minorEastAsia"/>
          <w:color w:val="000000" w:themeColor="text1"/>
          <w:kern w:val="0"/>
          <w:szCs w:val="21"/>
        </w:rPr>
      </w:pPr>
      <w:r w:rsidRPr="00C86E67">
        <w:rPr>
          <w:rFonts w:asciiTheme="minorEastAsia" w:eastAsiaTheme="minorEastAsia" w:hAnsiTheme="minorEastAsia" w:hint="eastAsia"/>
          <w:color w:val="000000" w:themeColor="text1"/>
          <w:kern w:val="0"/>
          <w:szCs w:val="21"/>
        </w:rPr>
        <w:t>（4）监管规则变化的风险</w:t>
      </w:r>
    </w:p>
    <w:p w:rsidR="00ED6905" w:rsidRPr="00C86E67" w:rsidP="00ED6905">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kern w:val="0"/>
          <w:szCs w:val="21"/>
        </w:rPr>
        <w:t>科创板股票相关法律、行政法规、部门规章、规范性文件和交易所业务规则，可能根据市场情况进行修改完善，或者补充制定新的法律法规和业务规则，导致基金投资运作产生相应调整变化。</w:t>
      </w:r>
    </w:p>
    <w:p w:rsidR="00D0433B"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4</w:t>
      </w:r>
      <w:r w:rsidRPr="00C86E67">
        <w:rPr>
          <w:rFonts w:asciiTheme="minorEastAsia" w:eastAsiaTheme="minorEastAsia" w:hAnsiTheme="minorEastAsia" w:hint="eastAsia"/>
          <w:color w:val="000000" w:themeColor="text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96" w:name="_Toc91764875"/>
      <w:r w:rsidRPr="00C86E67">
        <w:rPr>
          <w:rFonts w:asciiTheme="minorEastAsia" w:eastAsiaTheme="minorEastAsia" w:hAnsiTheme="minorEastAsia"/>
          <w:b w:val="0"/>
          <w:color w:val="000000" w:themeColor="text1"/>
        </w:rPr>
        <w:t>（</w:t>
      </w:r>
      <w:r w:rsidRPr="00C86E67" w:rsidR="000342D0">
        <w:rPr>
          <w:rFonts w:asciiTheme="minorEastAsia" w:eastAsiaTheme="minorEastAsia" w:hAnsiTheme="minorEastAsia" w:hint="eastAsia"/>
          <w:b w:val="0"/>
          <w:color w:val="000000" w:themeColor="text1"/>
        </w:rPr>
        <w:t>六</w:t>
      </w:r>
      <w:r w:rsidRPr="00C86E67">
        <w:rPr>
          <w:rFonts w:asciiTheme="minorEastAsia" w:eastAsiaTheme="minorEastAsia" w:hAnsiTheme="minorEastAsia"/>
          <w:b w:val="0"/>
          <w:color w:val="000000" w:themeColor="text1"/>
        </w:rPr>
        <w:t>）其他风险</w:t>
      </w:r>
      <w:bookmarkEnd w:id="1096"/>
    </w:p>
    <w:p w:rsidR="00C35BC5" w:rsidRPr="00C86E67" w:rsidP="00552BE1">
      <w:pPr>
        <w:numPr>
          <w:ilvl w:val="0"/>
          <w:numId w:val="8"/>
        </w:numPr>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因技术因素而产生的风险，如电脑系统不可靠产生的风险；</w:t>
      </w:r>
    </w:p>
    <w:p w:rsidR="00C35BC5" w:rsidRPr="00C86E67" w:rsidP="00552BE1">
      <w:pPr>
        <w:numPr>
          <w:ilvl w:val="0"/>
          <w:numId w:val="8"/>
        </w:numPr>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因战争、自然灾害等不可抗力导致的基金管理人、基金托管人、基金</w:t>
      </w:r>
      <w:r w:rsidRPr="00C86E67" w:rsidR="00146A02">
        <w:rPr>
          <w:rFonts w:asciiTheme="minorEastAsia" w:eastAsiaTheme="minorEastAsia" w:hAnsiTheme="minorEastAsia" w:hint="eastAsia"/>
          <w:color w:val="000000" w:themeColor="text1"/>
        </w:rPr>
        <w:t>销售</w:t>
      </w:r>
      <w:r w:rsidRPr="00C86E67">
        <w:rPr>
          <w:rFonts w:asciiTheme="minorEastAsia" w:eastAsiaTheme="minorEastAsia" w:hAnsiTheme="minorEastAsia" w:hint="eastAsia"/>
          <w:color w:val="000000" w:themeColor="text1"/>
        </w:rPr>
        <w:t>机构等机构无法正常工作，从而影响基金运作的风险；</w:t>
      </w:r>
    </w:p>
    <w:p w:rsidR="00C35BC5" w:rsidRPr="00C86E67" w:rsidP="00552BE1">
      <w:pPr>
        <w:numPr>
          <w:ilvl w:val="0"/>
          <w:numId w:val="8"/>
        </w:numPr>
        <w:snapToGrid w:val="0"/>
        <w:spacing w:line="360" w:lineRule="auto"/>
        <w:ind w:left="0"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因金融市场危机、代理商违约、基金托管人违约等超出基金管理人自身控制能力的因素出现，可能导致基金或者基金份额持有人利益受损的风险。</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097" w:name="_Toc91764876"/>
      <w:r w:rsidRPr="00C86E67">
        <w:rPr>
          <w:rFonts w:asciiTheme="minorEastAsia" w:eastAsiaTheme="minorEastAsia" w:hAnsiTheme="minorEastAsia" w:hint="eastAsia"/>
          <w:b/>
          <w:bCs/>
          <w:color w:val="000000" w:themeColor="text1"/>
        </w:rPr>
        <w:t>二十、基金合同的终止与基金财产的清算</w:t>
      </w:r>
      <w:bookmarkEnd w:id="1097"/>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98" w:name="_Toc97031319"/>
      <w:bookmarkStart w:id="1099" w:name="_Toc97107279"/>
      <w:bookmarkStart w:id="1100" w:name="_Toc86584659"/>
      <w:bookmarkStart w:id="1101" w:name="_Toc91764877"/>
      <w:bookmarkEnd w:id="1098"/>
      <w:bookmarkEnd w:id="1099"/>
      <w:r w:rsidRPr="00C86E67">
        <w:rPr>
          <w:rFonts w:asciiTheme="minorEastAsia" w:eastAsiaTheme="minorEastAsia" w:hAnsiTheme="minorEastAsia" w:hint="eastAsia"/>
          <w:b w:val="0"/>
          <w:color w:val="000000" w:themeColor="text1"/>
        </w:rPr>
        <w:t>（一）基金合同的终止</w:t>
      </w:r>
      <w:bookmarkEnd w:id="1100"/>
      <w:bookmarkEnd w:id="1101"/>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出现下列情形之一的，经中国证监会核准后基金合同终止：</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1、基金份额持有人</w:t>
      </w:r>
      <w:r w:rsidRPr="00C86E67">
        <w:rPr>
          <w:rFonts w:asciiTheme="minorEastAsia" w:eastAsiaTheme="minorEastAsia" w:hAnsiTheme="minorEastAsia" w:hint="eastAsia"/>
          <w:color w:val="000000" w:themeColor="text1"/>
        </w:rPr>
        <w:t>大会</w:t>
      </w:r>
      <w:r w:rsidRPr="00C86E67">
        <w:rPr>
          <w:rFonts w:asciiTheme="minorEastAsia" w:eastAsiaTheme="minorEastAsia" w:hAnsiTheme="minorEastAsia" w:hint="eastAsia"/>
          <w:color w:val="000000" w:themeColor="text1"/>
          <w:szCs w:val="21"/>
        </w:rPr>
        <w:t>决定终止的；</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2、基金管理人、基金托管人职责终止，在6个月内没有新基金管理人、新基金托管人承接的；</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3、《基金合同》约定的其他情形；</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4、相关法律法规和中国证监会规定的其他情况。</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合同终止后，基金管理人和基金托管人依照《基金法》、《运作办法》、基金合同及其他有关规定，行使请求给付报酬、从基金资产中获得补偿的权利时，可以留置基金资产或者对基金资产的权利归属人提出请求。</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102" w:name="_Toc86584660"/>
      <w:bookmarkStart w:id="1103" w:name="_Toc91764878"/>
      <w:r w:rsidRPr="00C86E67">
        <w:rPr>
          <w:rFonts w:asciiTheme="minorEastAsia" w:eastAsiaTheme="minorEastAsia" w:hAnsiTheme="minorEastAsia" w:hint="eastAsia"/>
          <w:b w:val="0"/>
          <w:color w:val="000000" w:themeColor="text1"/>
        </w:rPr>
        <w:t>（二）基金财产的清算</w:t>
      </w:r>
      <w:bookmarkEnd w:id="1102"/>
      <w:bookmarkEnd w:id="1103"/>
    </w:p>
    <w:p w:rsidR="00C35BC5" w:rsidRPr="00C86E67" w:rsidP="00552BE1">
      <w:pPr>
        <w:numPr>
          <w:ilvl w:val="0"/>
          <w:numId w:val="19"/>
        </w:numPr>
        <w:tabs>
          <w:tab w:val="clear" w:pos="0"/>
          <w:tab w:val="num" w:pos="420"/>
        </w:tabs>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清算小组</w:t>
      </w:r>
    </w:p>
    <w:p w:rsidR="00C35BC5" w:rsidRPr="00C86E67" w:rsidP="00552BE1">
      <w:pPr>
        <w:numPr>
          <w:ilvl w:val="0"/>
          <w:numId w:val="10"/>
        </w:numPr>
        <w:snapToGrid w:val="0"/>
        <w:spacing w:line="360" w:lineRule="auto"/>
        <w:ind w:left="0"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自基金合同终止之日起30个工作日内成立清算小组，清算小组在中国证监会的监督下进行清算。</w:t>
      </w:r>
    </w:p>
    <w:p w:rsidR="00C35BC5" w:rsidRPr="00C86E67" w:rsidP="00552BE1">
      <w:pPr>
        <w:numPr>
          <w:ilvl w:val="0"/>
          <w:numId w:val="10"/>
        </w:numPr>
        <w:snapToGrid w:val="0"/>
        <w:spacing w:line="360" w:lineRule="auto"/>
        <w:ind w:left="0"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清算小组成员由基金管理人、基金托管人、具有从事证券相关业务资格的注册会计师、律师以及中国证监会指定的人员组成。清算小组可以聘用必要的工作人员。清算小组在成立后五个工作日内应当公告。</w:t>
      </w:r>
    </w:p>
    <w:p w:rsidR="00C35BC5" w:rsidRPr="00C86E67" w:rsidP="00552BE1">
      <w:pPr>
        <w:numPr>
          <w:ilvl w:val="0"/>
          <w:numId w:val="10"/>
        </w:numPr>
        <w:snapToGrid w:val="0"/>
        <w:spacing w:line="360" w:lineRule="auto"/>
        <w:ind w:left="0"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清算小组负责基金资产的保管、清理、估价、变现和分配。清算小组可以依法以基金的名义进行必要的民事活动。</w:t>
      </w:r>
    </w:p>
    <w:p w:rsidR="00C35BC5" w:rsidRPr="00C86E67" w:rsidP="00552BE1">
      <w:pPr>
        <w:numPr>
          <w:ilvl w:val="0"/>
          <w:numId w:val="19"/>
        </w:numPr>
        <w:tabs>
          <w:tab w:val="clear" w:pos="0"/>
          <w:tab w:val="num" w:pos="420"/>
        </w:tabs>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清算程序</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（1）基金合同终止后，由基金财产清算小组统一接管基金；</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（2）对基金财产和债权债务进行清理和确认；</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（3）对基金财产进行估值和变现；</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（4）制作清算报告；</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（5）聘请会计师事务所对清算报告进行外部审计，聘请律师事务所对清算报告出具法律意见书；</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（6）将清算报告报中国证监会备案并公告；</w:t>
      </w:r>
    </w:p>
    <w:p w:rsidR="00C35BC5" w:rsidRPr="00C86E67" w:rsidP="00552BE1">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（7）对基金财产进行分配。</w:t>
      </w:r>
    </w:p>
    <w:p w:rsidR="00C35BC5" w:rsidRPr="00C86E67" w:rsidP="00552BE1">
      <w:pPr>
        <w:numPr>
          <w:ilvl w:val="0"/>
          <w:numId w:val="19"/>
        </w:numPr>
        <w:tabs>
          <w:tab w:val="clear" w:pos="0"/>
          <w:tab w:val="num" w:pos="420"/>
        </w:tabs>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清算费用</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清算费用是指清算小组在进行基金财产清算过程中发生的所有合理费用，清算费用由清算小组优先从基金资产中支付。</w:t>
      </w:r>
    </w:p>
    <w:p w:rsidR="00C35BC5" w:rsidRPr="00C86E67" w:rsidP="00552BE1">
      <w:pPr>
        <w:numPr>
          <w:ilvl w:val="0"/>
          <w:numId w:val="19"/>
        </w:numPr>
        <w:tabs>
          <w:tab w:val="clear" w:pos="0"/>
          <w:tab w:val="num" w:pos="420"/>
        </w:tabs>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基金财产清算剩余资产的分配</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依据基金财产清算的分配方案，将基金财产清算后的全部剩余资产扣除基金财产清算费用后，按基金份额持有人持有的基金份额比例进行分配。</w:t>
      </w:r>
    </w:p>
    <w:p w:rsidR="00C35BC5" w:rsidRPr="00C86E67" w:rsidP="00552BE1">
      <w:pPr>
        <w:numPr>
          <w:ilvl w:val="0"/>
          <w:numId w:val="19"/>
        </w:numPr>
        <w:tabs>
          <w:tab w:val="clear" w:pos="0"/>
          <w:tab w:val="num" w:pos="420"/>
        </w:tabs>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基金财产清算的公告</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清算过程中的有关重大事项须及时公告；基金财产清算报告经会计师事务所审计并由律师事务所出具法律意见书后报中国证监会备案并公告。</w:t>
      </w:r>
    </w:p>
    <w:p w:rsidR="00C35BC5" w:rsidRPr="00C86E67" w:rsidP="00552BE1">
      <w:pPr>
        <w:numPr>
          <w:ilvl w:val="0"/>
          <w:numId w:val="19"/>
        </w:numPr>
        <w:tabs>
          <w:tab w:val="clear" w:pos="0"/>
          <w:tab w:val="num" w:pos="420"/>
        </w:tabs>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清算帐册及文件的保存</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清算帐册及有关文件由基金托管人保存</w:t>
      </w:r>
      <w:r w:rsidRPr="00C86E67">
        <w:rPr>
          <w:rFonts w:asciiTheme="minorEastAsia" w:eastAsiaTheme="minorEastAsia" w:hAnsiTheme="minorEastAsia"/>
          <w:color w:val="000000" w:themeColor="text1"/>
          <w:szCs w:val="21"/>
        </w:rPr>
        <w:t>15</w:t>
      </w:r>
      <w:r w:rsidRPr="00C86E67">
        <w:rPr>
          <w:rFonts w:asciiTheme="minorEastAsia" w:eastAsiaTheme="minorEastAsia" w:hAnsiTheme="minorEastAsia" w:hint="eastAsia"/>
          <w:color w:val="000000" w:themeColor="text1"/>
          <w:szCs w:val="21"/>
        </w:rPr>
        <w:t>年以上。</w:t>
      </w: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104" w:name="_Toc91764879"/>
      <w:r w:rsidRPr="00C86E67">
        <w:rPr>
          <w:rFonts w:asciiTheme="minorEastAsia" w:eastAsiaTheme="minorEastAsia" w:hAnsiTheme="minorEastAsia" w:hint="eastAsia"/>
          <w:b/>
          <w:bCs/>
          <w:color w:val="000000" w:themeColor="text1"/>
        </w:rPr>
        <w:t>二十一、基金合同内容摘要</w:t>
      </w:r>
      <w:bookmarkEnd w:id="1104"/>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Cs w:val="21"/>
        </w:rPr>
      </w:pPr>
      <w:bookmarkStart w:id="1105" w:name="_Toc91764880"/>
      <w:r w:rsidRPr="00C86E67">
        <w:rPr>
          <w:rFonts w:asciiTheme="minorEastAsia" w:eastAsiaTheme="minorEastAsia" w:hAnsiTheme="minorEastAsia" w:hint="eastAsia"/>
          <w:b w:val="0"/>
          <w:bCs/>
          <w:color w:val="000000" w:themeColor="text1"/>
        </w:rPr>
        <w:t>（一）前言</w:t>
      </w:r>
      <w:bookmarkEnd w:id="1105"/>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为保护基金投资者合法权益，明确《基金合同》当事人的权利与义务，规范易方达价值成长混合型证券投资基金运作，依照《中华人民共和国合同法》、《中国人民共和国证券投资基金法》（以下简称《基金法》）、《证券投资基金运作管理办法》（以下简称《运作办法》）、《证券投资基金销售管理办法》（以下简称《销售办法》）、《</w:t>
      </w:r>
      <w:r w:rsidRPr="00C86E67" w:rsidR="00C53A0E">
        <w:rPr>
          <w:rFonts w:asciiTheme="minorEastAsia" w:eastAsiaTheme="minorEastAsia" w:hAnsiTheme="minorEastAsia" w:hint="eastAsia"/>
          <w:color w:val="000000" w:themeColor="text1"/>
          <w:szCs w:val="21"/>
        </w:rPr>
        <w:t>公开募集</w:t>
      </w:r>
      <w:r w:rsidRPr="00C86E67">
        <w:rPr>
          <w:rFonts w:asciiTheme="minorEastAsia" w:eastAsiaTheme="minorEastAsia" w:hAnsiTheme="minorEastAsia" w:hint="eastAsia"/>
          <w:color w:val="000000" w:themeColor="text1"/>
          <w:szCs w:val="21"/>
        </w:rPr>
        <w:t>证券投资基金信息披露管理办法》（以下简称《信息披露办法》）及其他有关规定，在平等自愿、诚实信用、充分保护基金投资者及相关当事人的合法权益的原则基础上，特订立《易方达价值成长混合型证券投资基金基金合同》（以下简称“本合同”或“《基金合同》”）。</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合同》是规定基金合同当事人之间权利义务的基本法律文件，其他与本基金相关的涉及基金合同当事人之间权利义务关系的任何文件或表述，均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易方达价值成长混合型证券投资基金（以下简称“本基金”或“基金”）由基金管理人按照法律法规和《基金合同》的规定募集，并经中国证监会核准。中国证监会对基金募集的核准并不表明其对本基金的价值和收益作出实质性判断或保证，也不表明投资于本基金没有风险。投资者投资于本基金，必须自担风险。</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基金管理人依照恪尽职守、诚实信用、勤勉尽责的原则管理和运用基金财产，但不保证</w:t>
      </w:r>
      <w:r w:rsidRPr="00C86E67">
        <w:rPr>
          <w:rFonts w:asciiTheme="minorEastAsia" w:eastAsiaTheme="minorEastAsia" w:hAnsiTheme="minorEastAsia"/>
          <w:color w:val="000000" w:themeColor="text1"/>
          <w:szCs w:val="21"/>
        </w:rPr>
        <w:t>投资</w:t>
      </w:r>
      <w:r w:rsidRPr="00C86E67">
        <w:rPr>
          <w:rFonts w:asciiTheme="minorEastAsia" w:eastAsiaTheme="minorEastAsia" w:hAnsiTheme="minorEastAsia" w:hint="eastAsia"/>
          <w:color w:val="000000" w:themeColor="text1"/>
          <w:szCs w:val="21"/>
        </w:rPr>
        <w:t>本基金一定盈利，也不保证基金份额持有人的最低收益。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合同》应当适用《基金法》及相应法律法规之规定，若因法律法规的修改或更新导致《基金合同》的内容存在与届时有效的法律法规的规定不一致之处，应当以届时有效的法律法规的规定为准，及时作出相应的变更和调整，同时就该等变更或调整进行公告。</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106" w:name="_Toc91764881"/>
      <w:r w:rsidRPr="00C86E67">
        <w:rPr>
          <w:rFonts w:asciiTheme="minorEastAsia" w:eastAsiaTheme="minorEastAsia" w:hAnsiTheme="minorEastAsia" w:hint="eastAsia"/>
          <w:b w:val="0"/>
          <w:bCs/>
          <w:color w:val="000000" w:themeColor="text1"/>
        </w:rPr>
        <w:t>（二）基金管理人的权利与义务</w:t>
      </w:r>
      <w:bookmarkEnd w:id="1106"/>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1、根据《基金法》、《运作办法》及其他有关规定，基金管理人的权利包括但不限于：</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hint="eastAsia"/>
          <w:color w:val="000000" w:themeColor="text1"/>
          <w:szCs w:val="21"/>
        </w:rPr>
        <w:tab/>
        <w:t>依法募集基金；</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hint="eastAsia"/>
          <w:color w:val="000000" w:themeColor="text1"/>
          <w:szCs w:val="21"/>
        </w:rPr>
        <w:tab/>
        <w:t>自《基金合同》生效之日起，根据法律法规和《基金合同》独立运用并管理基金财产；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hint="eastAsia"/>
          <w:color w:val="000000" w:themeColor="text1"/>
          <w:szCs w:val="21"/>
        </w:rPr>
        <w:tab/>
        <w:t>依照《基金合同》收取基金管理费以及法律法规规定或中国证监会批准的其他费用；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w:t>
      </w:r>
      <w:r w:rsidRPr="00C86E67">
        <w:rPr>
          <w:rFonts w:asciiTheme="minorEastAsia" w:eastAsiaTheme="minorEastAsia" w:hAnsiTheme="minorEastAsia" w:hint="eastAsia"/>
          <w:color w:val="000000" w:themeColor="text1"/>
          <w:szCs w:val="21"/>
        </w:rPr>
        <w:tab/>
        <w:t>销售基金份额；</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w:t>
      </w:r>
      <w:r w:rsidRPr="00C86E67">
        <w:rPr>
          <w:rFonts w:asciiTheme="minorEastAsia" w:eastAsiaTheme="minorEastAsia" w:hAnsiTheme="minorEastAsia" w:hint="eastAsia"/>
          <w:color w:val="000000" w:themeColor="text1"/>
          <w:szCs w:val="21"/>
        </w:rPr>
        <w:tab/>
        <w:t>召集基金份额持有人大会；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w:t>
      </w:r>
      <w:r w:rsidRPr="00C86E67">
        <w:rPr>
          <w:rFonts w:asciiTheme="minorEastAsia" w:eastAsiaTheme="minorEastAsia" w:hAnsiTheme="minorEastAsia" w:hint="eastAsia"/>
          <w:color w:val="000000" w:themeColor="text1"/>
          <w:szCs w:val="21"/>
        </w:rPr>
        <w:tab/>
        <w:t>依据《基金合同》及有关法律规定监督基金托管人，如认为基金托管人违反了《基金合同》及国家有关法律规定，应呈报中国证监会和其他监管部门，并采取必要措施保护基金投资者的利益；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hint="eastAsia"/>
          <w:color w:val="000000" w:themeColor="text1"/>
          <w:szCs w:val="21"/>
        </w:rPr>
        <w:tab/>
        <w:t>在基金托管人更换时，提名新的基金托管人；</w:t>
      </w:r>
    </w:p>
    <w:p w:rsidR="00C35BC5" w:rsidRPr="00C86E67" w:rsidP="00552BE1">
      <w:pPr>
        <w:snapToGrid w:val="0"/>
        <w:spacing w:line="360" w:lineRule="auto"/>
        <w:ind w:left="420" w:left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（8）</w:t>
      </w:r>
      <w:r w:rsidRPr="00C86E67">
        <w:rPr>
          <w:rFonts w:asciiTheme="minorEastAsia" w:eastAsiaTheme="minorEastAsia" w:hAnsiTheme="minorEastAsia" w:hint="eastAsia"/>
          <w:color w:val="000000" w:themeColor="text1"/>
          <w:szCs w:val="21"/>
        </w:rPr>
        <w:tab/>
        <w:t>选择、委托、更换基金代销机构，对基金代销机构的相关行为进行监督和处理；（9）</w:t>
      </w:r>
      <w:r w:rsidRPr="00C86E67">
        <w:rPr>
          <w:rFonts w:asciiTheme="minorEastAsia" w:eastAsiaTheme="minorEastAsia" w:hAnsiTheme="minorEastAsia" w:hint="eastAsia"/>
          <w:color w:val="000000" w:themeColor="text1"/>
          <w:szCs w:val="21"/>
        </w:rPr>
        <w:tab/>
        <w:t>担任或委托其他符合条件的机构担任基金注册登记人办理基金注册登记业务并获得《基金合同》规定的费用；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w:t>
      </w:r>
      <w:r w:rsidRPr="00C86E67">
        <w:rPr>
          <w:rFonts w:asciiTheme="minorEastAsia" w:eastAsiaTheme="minorEastAsia" w:hAnsiTheme="minorEastAsia" w:hint="eastAsia"/>
          <w:color w:val="000000" w:themeColor="text1"/>
          <w:szCs w:val="21"/>
        </w:rPr>
        <w:tab/>
        <w:t>依据《基金合同》及有关法律规定决定基金收益的分配方案；</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（11）</w:t>
      </w:r>
      <w:r w:rsidRPr="00C86E67">
        <w:rPr>
          <w:rFonts w:asciiTheme="minorEastAsia" w:eastAsiaTheme="minorEastAsia" w:hAnsiTheme="minorEastAsia" w:hint="eastAsia"/>
          <w:color w:val="000000" w:themeColor="text1"/>
          <w:szCs w:val="21"/>
        </w:rPr>
        <w:tab/>
        <w:t>在《基金合同》约定的范围内，拒绝或暂停受理申购与赎回申请；</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（12）</w:t>
      </w:r>
      <w:r w:rsidRPr="00C86E67">
        <w:rPr>
          <w:rFonts w:asciiTheme="minorEastAsia" w:eastAsiaTheme="minorEastAsia" w:hAnsiTheme="minorEastAsia" w:hint="eastAsia"/>
          <w:color w:val="000000" w:themeColor="text1"/>
          <w:szCs w:val="21"/>
        </w:rPr>
        <w:tab/>
        <w:t>在符合有关法律法规和《基金合同》的前提下，制订和调整开放式基金业务规则，决定和调整除托管费率之外的基金相关费率结构和收费方式；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（13）</w:t>
      </w:r>
      <w:r w:rsidRPr="00C86E67">
        <w:rPr>
          <w:rFonts w:asciiTheme="minorEastAsia" w:eastAsiaTheme="minorEastAsia" w:hAnsiTheme="minorEastAsia" w:hint="eastAsia"/>
          <w:color w:val="000000" w:themeColor="text1"/>
          <w:szCs w:val="21"/>
        </w:rPr>
        <w:tab/>
        <w:t>依照法律法规为基金的利益对被投资公司行使股东权利，为基金的利益行使因基金财产投资于证券所产生的权利；</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（14）</w:t>
      </w:r>
      <w:r w:rsidRPr="00C86E67">
        <w:rPr>
          <w:rFonts w:asciiTheme="minorEastAsia" w:eastAsiaTheme="minorEastAsia" w:hAnsiTheme="minorEastAsia" w:hint="eastAsia"/>
          <w:color w:val="000000" w:themeColor="text1"/>
          <w:szCs w:val="21"/>
        </w:rPr>
        <w:tab/>
        <w:t>在法律法规允许的前提下，为基金的利益依法为基金进行融资；</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（15）</w:t>
      </w:r>
      <w:r w:rsidRPr="00C86E67">
        <w:rPr>
          <w:rFonts w:asciiTheme="minorEastAsia" w:eastAsiaTheme="minorEastAsia" w:hAnsiTheme="minorEastAsia" w:hint="eastAsia"/>
          <w:color w:val="000000" w:themeColor="text1"/>
          <w:szCs w:val="21"/>
        </w:rPr>
        <w:tab/>
        <w:t>以基金管理人的名义，代表基金份额持有人的利益行使诉讼权利或者实施其他法律行为；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（16）</w:t>
      </w:r>
      <w:r w:rsidRPr="00C86E67">
        <w:rPr>
          <w:rFonts w:asciiTheme="minorEastAsia" w:eastAsiaTheme="minorEastAsia" w:hAnsiTheme="minorEastAsia" w:hint="eastAsia"/>
          <w:color w:val="000000" w:themeColor="text1"/>
          <w:szCs w:val="21"/>
        </w:rPr>
        <w:tab/>
        <w:t>选择、更换律师、审计师、证券经纪商或其他为基金提供服务的外部机构；</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（17）</w:t>
      </w:r>
      <w:r w:rsidRPr="00C86E67">
        <w:rPr>
          <w:rFonts w:asciiTheme="minorEastAsia" w:eastAsiaTheme="minorEastAsia" w:hAnsiTheme="minorEastAsia" w:hint="eastAsia"/>
          <w:color w:val="000000" w:themeColor="text1"/>
          <w:szCs w:val="21"/>
        </w:rPr>
        <w:tab/>
        <w:t>法律法规、中国证监会规定的和《基金合同》约定的其他权利。</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2、根据《基金法》、《运作办法》及其他有关规定，基金管理人的义务包括但不限于：</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hint="eastAsia"/>
          <w:color w:val="000000" w:themeColor="text1"/>
          <w:szCs w:val="21"/>
        </w:rPr>
        <w:tab/>
        <w:t>依法募集基金，办理基金备案手续；</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hint="eastAsia"/>
          <w:color w:val="000000" w:themeColor="text1"/>
          <w:szCs w:val="21"/>
        </w:rPr>
        <w:tab/>
        <w:t>自基金合同生效之日起</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以诚实信用、谨慎勤勉的原则管理和运用基金财产；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hint="eastAsia"/>
          <w:color w:val="000000" w:themeColor="text1"/>
          <w:szCs w:val="21"/>
        </w:rPr>
        <w:tab/>
        <w:t>配备足够的具有专业资格的人员进行基金投资分析、决策，以专业化的经营方式管理和运作基金财产；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w:t>
      </w:r>
      <w:r w:rsidRPr="00C86E67">
        <w:rPr>
          <w:rFonts w:asciiTheme="minorEastAsia" w:eastAsiaTheme="minorEastAsia" w:hAnsiTheme="minorEastAsia" w:hint="eastAsia"/>
          <w:color w:val="000000" w:themeColor="text1"/>
          <w:szCs w:val="21"/>
        </w:rPr>
        <w:tab/>
        <w:t>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w:t>
      </w:r>
      <w:r w:rsidRPr="00C86E67">
        <w:rPr>
          <w:rFonts w:asciiTheme="minorEastAsia" w:eastAsiaTheme="minorEastAsia" w:hAnsiTheme="minorEastAsia" w:hint="eastAsia"/>
          <w:color w:val="000000" w:themeColor="text1"/>
          <w:szCs w:val="21"/>
        </w:rPr>
        <w:tab/>
        <w:t>建立健全内部风险控制、监察与稽核、财务管理及人事管理等制度，保证所管理的基金财产和基金管理人的财产相互独立</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对所管理的不同基金分别管理，分别记账，进行证券投资；</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w:t>
      </w:r>
      <w:r w:rsidRPr="00C86E67">
        <w:rPr>
          <w:rFonts w:asciiTheme="minorEastAsia" w:eastAsiaTheme="minorEastAsia" w:hAnsiTheme="minorEastAsia" w:hint="eastAsia"/>
          <w:color w:val="000000" w:themeColor="text1"/>
          <w:szCs w:val="21"/>
        </w:rPr>
        <w:tab/>
        <w:t>除依据《基金法》、《基金合同》及其他有关规定外</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不得利用基金财产为自己及任何第三人谋取利益，不得委托第三人运作基金财产；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hint="eastAsia"/>
          <w:color w:val="000000" w:themeColor="text1"/>
          <w:szCs w:val="21"/>
        </w:rPr>
        <w:tab/>
        <w:t>依法接受基金托管人的监督；</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（8）</w:t>
      </w:r>
      <w:r w:rsidRPr="00C86E67">
        <w:rPr>
          <w:rFonts w:asciiTheme="minorEastAsia" w:eastAsiaTheme="minorEastAsia" w:hAnsiTheme="minorEastAsia" w:hint="eastAsia"/>
          <w:color w:val="000000" w:themeColor="text1"/>
          <w:szCs w:val="21"/>
        </w:rPr>
        <w:tab/>
        <w:t>采取适当合理的措施使计算基金份额认购、申购、赎回和注销价格的方法符合《基金合同》等法律文件的规定，按有关规定计算并公告基金</w:t>
      </w:r>
      <w:r w:rsidRPr="00C86E67" w:rsidR="00C53A0E">
        <w:rPr>
          <w:rFonts w:asciiTheme="minorEastAsia" w:eastAsiaTheme="minorEastAsia" w:hAnsiTheme="minorEastAsia" w:hint="eastAsia"/>
          <w:color w:val="000000" w:themeColor="text1"/>
          <w:szCs w:val="21"/>
        </w:rPr>
        <w:t>净值信息</w:t>
      </w:r>
      <w:r w:rsidRPr="00C86E67">
        <w:rPr>
          <w:rFonts w:asciiTheme="minorEastAsia" w:eastAsiaTheme="minorEastAsia" w:hAnsiTheme="minorEastAsia" w:hint="eastAsia"/>
          <w:color w:val="000000" w:themeColor="text1"/>
          <w:szCs w:val="21"/>
        </w:rPr>
        <w:t>，确定基金份额申购、赎回的价格；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w:t>
      </w:r>
      <w:r w:rsidRPr="00C86E67">
        <w:rPr>
          <w:rFonts w:asciiTheme="minorEastAsia" w:eastAsiaTheme="minorEastAsia" w:hAnsiTheme="minorEastAsia" w:hint="eastAsia"/>
          <w:color w:val="000000" w:themeColor="text1"/>
          <w:szCs w:val="21"/>
        </w:rPr>
        <w:tab/>
        <w:t>进行基金会计核算并编制基金财务会计报告；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w:t>
      </w:r>
      <w:r w:rsidRPr="00C86E67">
        <w:rPr>
          <w:rFonts w:asciiTheme="minorEastAsia" w:eastAsiaTheme="minorEastAsia" w:hAnsiTheme="minorEastAsia" w:hint="eastAsia"/>
          <w:color w:val="000000" w:themeColor="text1"/>
          <w:szCs w:val="21"/>
        </w:rPr>
        <w:tab/>
        <w:t>编制</w:t>
      </w:r>
      <w:r w:rsidRPr="00C86E67" w:rsidR="00C53A0E">
        <w:rPr>
          <w:rFonts w:asciiTheme="minorEastAsia" w:eastAsiaTheme="minorEastAsia" w:hAnsiTheme="minorEastAsia" w:hint="eastAsia"/>
          <w:color w:val="000000" w:themeColor="text1"/>
          <w:szCs w:val="21"/>
        </w:rPr>
        <w:t>季度报告、中期报告和年度报告</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（11）</w:t>
      </w:r>
      <w:r w:rsidRPr="00C86E67">
        <w:rPr>
          <w:rFonts w:asciiTheme="minorEastAsia" w:eastAsiaTheme="minorEastAsia" w:hAnsiTheme="minorEastAsia" w:hint="eastAsia"/>
          <w:color w:val="000000" w:themeColor="text1"/>
          <w:szCs w:val="21"/>
        </w:rPr>
        <w:tab/>
        <w:t>严格按照《基金法》、《基金合同》及其他有关规定，履行信息披露及报告义务；</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（12）</w:t>
      </w:r>
      <w:r w:rsidRPr="00C86E67">
        <w:rPr>
          <w:rFonts w:asciiTheme="minorEastAsia" w:eastAsiaTheme="minorEastAsia" w:hAnsiTheme="minorEastAsia" w:hint="eastAsia"/>
          <w:color w:val="000000" w:themeColor="text1"/>
          <w:szCs w:val="21"/>
        </w:rPr>
        <w:tab/>
        <w:t>保守基金商业秘密，不泄露基金投资计划、投资意向等。除《基金法》、《基金合同》及其他有关规定另有规定外，在基金信息公开披露前应予保密，不向他人泄露；</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（13）</w:t>
      </w:r>
      <w:r w:rsidRPr="00C86E67">
        <w:rPr>
          <w:rFonts w:asciiTheme="minorEastAsia" w:eastAsiaTheme="minorEastAsia" w:hAnsiTheme="minorEastAsia" w:hint="eastAsia"/>
          <w:color w:val="000000" w:themeColor="text1"/>
          <w:szCs w:val="21"/>
        </w:rPr>
        <w:tab/>
        <w:t>按《基金合同》的约定确定基金收益分配方案，及时向基金份额持有人分配基金收益；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（14）</w:t>
      </w:r>
      <w:r w:rsidRPr="00C86E67">
        <w:rPr>
          <w:rFonts w:asciiTheme="minorEastAsia" w:eastAsiaTheme="minorEastAsia" w:hAnsiTheme="minorEastAsia" w:hint="eastAsia"/>
          <w:color w:val="000000" w:themeColor="text1"/>
          <w:szCs w:val="21"/>
        </w:rPr>
        <w:tab/>
        <w:t>按规定受理申购与赎回申请，及时、足额支付赎回款项；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（15）</w:t>
      </w:r>
      <w:r w:rsidRPr="00C86E67">
        <w:rPr>
          <w:rFonts w:asciiTheme="minorEastAsia" w:eastAsiaTheme="minorEastAsia" w:hAnsiTheme="minorEastAsia" w:hint="eastAsia"/>
          <w:color w:val="000000" w:themeColor="text1"/>
          <w:szCs w:val="21"/>
        </w:rPr>
        <w:tab/>
        <w:t>依据《基金法》、《基金合同》及其他有关规定召集基金份额持有人大会</w:t>
      </w:r>
      <w:r w:rsidRPr="00C86E67">
        <w:rPr>
          <w:rFonts w:asciiTheme="minorEastAsia" w:eastAsiaTheme="minorEastAsia" w:hAnsiTheme="minorEastAsia"/>
          <w:color w:val="000000" w:themeColor="text1"/>
          <w:szCs w:val="21"/>
        </w:rPr>
        <w:t>或配合基金托管人、基金份额持有人依法召集基金份额持有人大会</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（16）</w:t>
      </w:r>
      <w:r w:rsidRPr="00C86E67">
        <w:rPr>
          <w:rFonts w:asciiTheme="minorEastAsia" w:eastAsiaTheme="minorEastAsia" w:hAnsiTheme="minorEastAsia" w:hint="eastAsia"/>
          <w:color w:val="000000" w:themeColor="text1"/>
          <w:szCs w:val="21"/>
        </w:rPr>
        <w:tab/>
        <w:t>按规定保存基金财产管理业务活动的会计账册、报表、记录和其他相关资料15年以上；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（17）</w:t>
      </w:r>
      <w:r w:rsidRPr="00C86E67">
        <w:rPr>
          <w:rFonts w:asciiTheme="minorEastAsia" w:eastAsiaTheme="minorEastAsia" w:hAnsiTheme="minorEastAsia" w:hint="eastAsia"/>
          <w:color w:val="000000" w:themeColor="text1"/>
          <w:szCs w:val="21"/>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（18）</w:t>
      </w:r>
      <w:r w:rsidRPr="00C86E67">
        <w:rPr>
          <w:rFonts w:asciiTheme="minorEastAsia" w:eastAsiaTheme="minorEastAsia" w:hAnsiTheme="minorEastAsia" w:hint="eastAsia"/>
          <w:color w:val="000000" w:themeColor="text1"/>
          <w:szCs w:val="21"/>
        </w:rPr>
        <w:tab/>
        <w:t>组织并参加基金财产清算小组</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参与基金财产的保管、清理、估价、变现和分配；</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（19）</w:t>
      </w:r>
      <w:r w:rsidRPr="00C86E67">
        <w:rPr>
          <w:rFonts w:asciiTheme="minorEastAsia" w:eastAsiaTheme="minorEastAsia" w:hAnsiTheme="minorEastAsia" w:hint="eastAsia"/>
          <w:color w:val="000000" w:themeColor="text1"/>
          <w:szCs w:val="21"/>
        </w:rPr>
        <w:tab/>
        <w:t>面临解散、依法被撤销或者被依法宣告破产时，及时报告中国证监会并通知基金托管人；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（20）</w:t>
      </w:r>
      <w:r w:rsidRPr="00C86E67">
        <w:rPr>
          <w:rFonts w:asciiTheme="minorEastAsia" w:eastAsiaTheme="minorEastAsia" w:hAnsiTheme="minorEastAsia" w:hint="eastAsia"/>
          <w:color w:val="000000" w:themeColor="text1"/>
          <w:szCs w:val="21"/>
        </w:rPr>
        <w:tab/>
        <w:t>因违反《基金合同》导致基金财产的损失</w:t>
      </w:r>
      <w:r w:rsidRPr="00C86E67">
        <w:rPr>
          <w:rFonts w:asciiTheme="minorEastAsia" w:eastAsiaTheme="minorEastAsia" w:hAnsiTheme="minorEastAsia"/>
          <w:color w:val="000000" w:themeColor="text1"/>
          <w:szCs w:val="21"/>
        </w:rPr>
        <w:t>或损害基金份额持有人合法权益</w:t>
      </w:r>
      <w:r w:rsidRPr="00C86E67">
        <w:rPr>
          <w:rFonts w:asciiTheme="minorEastAsia" w:eastAsiaTheme="minorEastAsia" w:hAnsiTheme="minorEastAsia" w:hint="eastAsia"/>
          <w:color w:val="000000" w:themeColor="text1"/>
          <w:szCs w:val="21"/>
        </w:rPr>
        <w:t>时，应当承担赔偿责任，其赔偿责任不因其退任而免除；</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22）当基金管理人将其义务委托第三方处理时，应当对第三方处理有关基金事务的行为承担责任；但因第三方过错导致基金财产或基金份额持有人利益受到损失，而基金管理人首先承担了责任的情况下，基金管理人有权向第三方追偿；</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（23）以基金管理人名义，代表基金份额持有人利益行使诉讼权利或实施其他法律行为；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（24）基金管理人在募集期间未能达到基金的备案条件，《基金合同》不能生效，基金管理人承担全部募集费用，将已募集资金并加计银行同期存款利息在基金募集期结束后30日内退还基金认购人；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（25）</w:t>
      </w:r>
      <w:r w:rsidRPr="00C86E67">
        <w:rPr>
          <w:rFonts w:asciiTheme="minorEastAsia" w:eastAsiaTheme="minorEastAsia" w:hAnsiTheme="minorEastAsia"/>
          <w:color w:val="000000" w:themeColor="text1"/>
          <w:szCs w:val="21"/>
        </w:rPr>
        <w:t>执行生效的基金份额持有人大会的决定</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（26）</w:t>
      </w:r>
      <w:r w:rsidRPr="00C86E67">
        <w:rPr>
          <w:rFonts w:asciiTheme="minorEastAsia" w:eastAsiaTheme="minorEastAsia" w:hAnsiTheme="minorEastAsia"/>
          <w:color w:val="000000" w:themeColor="text1"/>
          <w:szCs w:val="21"/>
        </w:rPr>
        <w:t>建立并保存基金份额持有人名册</w:t>
      </w:r>
      <w:r w:rsidRPr="00C86E67">
        <w:rPr>
          <w:rFonts w:asciiTheme="minorEastAsia" w:eastAsiaTheme="minorEastAsia" w:hAnsiTheme="minorEastAsia" w:hint="eastAsia"/>
          <w:color w:val="000000" w:themeColor="text1"/>
          <w:szCs w:val="21"/>
        </w:rPr>
        <w:t>，根据托管协议的约定向基金托管人提供基金份额持有人名册</w:t>
      </w:r>
      <w:r w:rsidRPr="00C86E67">
        <w:rPr>
          <w:rFonts w:asciiTheme="minorEastAsia" w:eastAsiaTheme="minorEastAsia" w:hAnsiTheme="minor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（27）</w:t>
      </w:r>
      <w:r w:rsidRPr="00C86E67">
        <w:rPr>
          <w:rFonts w:asciiTheme="minorEastAsia" w:eastAsiaTheme="minorEastAsia" w:hAnsiTheme="minorEastAsia" w:hint="eastAsia"/>
          <w:color w:val="000000" w:themeColor="text1"/>
          <w:szCs w:val="21"/>
        </w:rPr>
        <w:tab/>
        <w:t>法律法规、中国证监会规定的和《基金合同》约定的其他义务。</w:t>
      </w:r>
    </w:p>
    <w:p w:rsidR="00C35BC5" w:rsidRPr="00C86E67" w:rsidP="00B5132A">
      <w:pPr>
        <w:pStyle w:val="Heading2"/>
        <w:adjustRightInd w:val="0"/>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1107" w:name="_Toc91764882"/>
      <w:r w:rsidRPr="00C86E67">
        <w:rPr>
          <w:rFonts w:asciiTheme="minorEastAsia" w:eastAsiaTheme="minorEastAsia" w:hAnsiTheme="minorEastAsia" w:hint="eastAsia"/>
          <w:b w:val="0"/>
          <w:bCs/>
          <w:color w:val="000000" w:themeColor="text1"/>
        </w:rPr>
        <w:t>（三）基金托管人的权利与义务</w:t>
      </w:r>
      <w:bookmarkEnd w:id="1107"/>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1、根据《基金法》、《运作办法》及其他有关规定，基金托管人的权利包括但不限于：</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hint="eastAsia"/>
          <w:color w:val="000000" w:themeColor="text1"/>
          <w:szCs w:val="21"/>
        </w:rPr>
        <w:tab/>
        <w:t>自本基金合同生效之日起，依法律法规和《基金合同》的规定安全保管基金财产；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hint="eastAsia"/>
          <w:color w:val="000000" w:themeColor="text1"/>
          <w:szCs w:val="21"/>
        </w:rPr>
        <w:tab/>
        <w:t>依《基金合同》约定获得基金托管费以及法律法规规定或监管部门批准的其他收入；</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ab/>
        <w:t>监督基金管理人对本基金的投资运作，如发现基金管理人有违反《基金合同》及国家法律法规行为，应呈报中国证监会，并采取必要措施保护基金投资者的利益；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w:t>
      </w:r>
      <w:r w:rsidRPr="00C86E67">
        <w:rPr>
          <w:rFonts w:asciiTheme="minorEastAsia" w:eastAsiaTheme="minorEastAsia" w:hAnsiTheme="minorEastAsia" w:hint="eastAsia"/>
          <w:color w:val="000000" w:themeColor="text1"/>
          <w:szCs w:val="21"/>
        </w:rPr>
        <w:tab/>
      </w:r>
      <w:r w:rsidRPr="00C86E67">
        <w:rPr>
          <w:rFonts w:asciiTheme="minorEastAsia" w:eastAsiaTheme="minorEastAsia" w:hAnsiTheme="minorEastAsia"/>
          <w:color w:val="000000" w:themeColor="text1"/>
          <w:szCs w:val="21"/>
        </w:rPr>
        <w:t>以基金托管人和基金联名的方式在中国证券登记结算有限公司上海分公司和深圳分公司开设证券账户；</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w:t>
      </w:r>
      <w:r w:rsidRPr="00C86E67">
        <w:rPr>
          <w:rFonts w:asciiTheme="minorEastAsia" w:eastAsiaTheme="minorEastAsia" w:hAnsiTheme="minorEastAsia" w:hint="eastAsia"/>
          <w:color w:val="000000" w:themeColor="text1"/>
          <w:szCs w:val="21"/>
        </w:rPr>
        <w:tab/>
      </w:r>
      <w:r w:rsidRPr="00C86E67">
        <w:rPr>
          <w:rFonts w:asciiTheme="minorEastAsia" w:eastAsiaTheme="minorEastAsia" w:hAnsiTheme="minorEastAsia"/>
          <w:color w:val="000000" w:themeColor="text1"/>
          <w:szCs w:val="21"/>
        </w:rPr>
        <w:t>以基金托管人名义开立证券交易资金账户，用于证券交易资金清算；</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w:t>
      </w:r>
      <w:r w:rsidRPr="00C86E67">
        <w:rPr>
          <w:rFonts w:asciiTheme="minorEastAsia" w:eastAsiaTheme="minorEastAsia" w:hAnsiTheme="minorEastAsia" w:hint="eastAsia"/>
          <w:color w:val="000000" w:themeColor="text1"/>
          <w:szCs w:val="21"/>
        </w:rPr>
        <w:tab/>
      </w:r>
      <w:r w:rsidRPr="00C86E67">
        <w:rPr>
          <w:rFonts w:asciiTheme="minorEastAsia" w:eastAsiaTheme="minorEastAsia" w:hAnsiTheme="minorEastAsia"/>
          <w:color w:val="000000" w:themeColor="text1"/>
          <w:szCs w:val="21"/>
        </w:rPr>
        <w:t>以基金的名义在中央国债登记结算有限公司开设</w:t>
      </w:r>
      <w:r w:rsidRPr="00C86E67">
        <w:rPr>
          <w:rFonts w:asciiTheme="minorEastAsia" w:eastAsiaTheme="minorEastAsia" w:hAnsiTheme="minorEastAsia" w:hint="eastAsia"/>
          <w:color w:val="000000" w:themeColor="text1"/>
          <w:szCs w:val="21"/>
        </w:rPr>
        <w:t>银行间</w:t>
      </w:r>
      <w:r w:rsidRPr="00C86E67">
        <w:rPr>
          <w:rFonts w:asciiTheme="minorEastAsia" w:eastAsiaTheme="minorEastAsia" w:hAnsiTheme="minorEastAsia"/>
          <w:color w:val="000000" w:themeColor="text1"/>
          <w:szCs w:val="21"/>
        </w:rPr>
        <w:t>债券托管账户</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负责基金</w:t>
      </w:r>
      <w:r w:rsidRPr="00C86E67">
        <w:rPr>
          <w:rFonts w:asciiTheme="minorEastAsia" w:eastAsiaTheme="minorEastAsia" w:hAnsiTheme="minorEastAsia" w:hint="eastAsia"/>
          <w:color w:val="000000" w:themeColor="text1"/>
          <w:szCs w:val="21"/>
        </w:rPr>
        <w:t>投资</w:t>
      </w:r>
      <w:r w:rsidRPr="00C86E67">
        <w:rPr>
          <w:rFonts w:asciiTheme="minorEastAsia" w:eastAsiaTheme="minorEastAsia" w:hAnsiTheme="minorEastAsia"/>
          <w:color w:val="000000" w:themeColor="text1"/>
          <w:szCs w:val="21"/>
        </w:rPr>
        <w:t>债券</w:t>
      </w:r>
      <w:r w:rsidRPr="00C86E67">
        <w:rPr>
          <w:rFonts w:asciiTheme="minorEastAsia" w:eastAsiaTheme="minorEastAsia" w:hAnsiTheme="minorEastAsia" w:hint="eastAsia"/>
          <w:color w:val="000000" w:themeColor="text1"/>
          <w:szCs w:val="21"/>
        </w:rPr>
        <w:t>的后台匹配</w:t>
      </w:r>
      <w:r w:rsidRPr="00C86E67">
        <w:rPr>
          <w:rFonts w:asciiTheme="minorEastAsia" w:eastAsiaTheme="minorEastAsia" w:hAnsiTheme="minorEastAsia"/>
          <w:color w:val="000000" w:themeColor="text1"/>
          <w:szCs w:val="21"/>
        </w:rPr>
        <w:t>及资金的清算；</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hint="eastAsia"/>
          <w:color w:val="000000" w:themeColor="text1"/>
          <w:szCs w:val="21"/>
        </w:rPr>
        <w:tab/>
        <w:t>提议召开基金份额持有人大会；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（8）</w:t>
      </w:r>
      <w:r w:rsidRPr="00C86E67">
        <w:rPr>
          <w:rFonts w:asciiTheme="minorEastAsia" w:eastAsiaTheme="minorEastAsia" w:hAnsiTheme="minorEastAsia" w:hint="eastAsia"/>
          <w:color w:val="000000" w:themeColor="text1"/>
          <w:szCs w:val="21"/>
        </w:rPr>
        <w:tab/>
        <w:t>在基金管理人更换时，提名新的基金管理人；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w:t>
      </w:r>
      <w:r w:rsidRPr="00C86E67">
        <w:rPr>
          <w:rFonts w:asciiTheme="minorEastAsia" w:eastAsiaTheme="minorEastAsia" w:hAnsiTheme="minorEastAsia" w:hint="eastAsia"/>
          <w:color w:val="000000" w:themeColor="text1"/>
          <w:szCs w:val="21"/>
        </w:rPr>
        <w:tab/>
        <w:t>法律法规和《基金合同》规定的其他权利。</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2、根据《基金法》、《运作办法》及其他有关规定，基金托管人的义务包括但不限于：</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hint="eastAsia"/>
          <w:color w:val="000000" w:themeColor="text1"/>
          <w:szCs w:val="21"/>
        </w:rPr>
        <w:tab/>
        <w:t>以诚实信用、勤勉尽责的原则持有并安全保管基金财产；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hint="eastAsia"/>
          <w:color w:val="000000" w:themeColor="text1"/>
          <w:szCs w:val="21"/>
        </w:rPr>
        <w:tab/>
        <w:t>设立专门的基金托管部门，具有符合要求的营业场所，配备足够的、合格的熟悉基金托管业务的专职人员，负责基金财产托管事宜；</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hint="eastAsia"/>
          <w:color w:val="000000" w:themeColor="text1"/>
          <w:szCs w:val="21"/>
        </w:rPr>
        <w:tab/>
        <w:t>建立健全内部风险控制、监察与稽核、财务管理及人事管理等制度，确保基金财产的安全，保证其托管的基金财产与基金托管人自有财产以及不同的基金财产相互独立；对不同的基金分别设置账户，独立核算，分账管理，保证不同基金之间在名册登记、账户设置、资金划拨、账册记录等方面相互独立；</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w:t>
      </w:r>
      <w:r w:rsidRPr="00C86E67">
        <w:rPr>
          <w:rFonts w:asciiTheme="minorEastAsia" w:eastAsiaTheme="minorEastAsia" w:hAnsiTheme="minorEastAsia" w:hint="eastAsia"/>
          <w:color w:val="000000" w:themeColor="text1"/>
          <w:szCs w:val="21"/>
        </w:rPr>
        <w:tab/>
        <w:t>除依据《基金法》、《基金合同》及其他有关规定外，不得利用基金财产为自己及任何第三人谋取利益，不得委托第三人托管基金财产；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w:t>
      </w:r>
      <w:r w:rsidRPr="00C86E67">
        <w:rPr>
          <w:rFonts w:asciiTheme="minorEastAsia" w:eastAsiaTheme="minorEastAsia" w:hAnsiTheme="minorEastAsia" w:hint="eastAsia"/>
          <w:color w:val="000000" w:themeColor="text1"/>
          <w:szCs w:val="21"/>
        </w:rPr>
        <w:tab/>
        <w:t>保管由基金管理人代表基金签订的与基金有关的重大合同及有关凭证；</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w:t>
      </w:r>
      <w:r w:rsidRPr="00C86E67">
        <w:rPr>
          <w:rFonts w:asciiTheme="minorEastAsia" w:eastAsiaTheme="minorEastAsia" w:hAnsiTheme="minorEastAsia" w:hint="eastAsia"/>
          <w:color w:val="000000" w:themeColor="text1"/>
          <w:szCs w:val="21"/>
        </w:rPr>
        <w:tab/>
        <w:t>按规定开设基金财产的资金账户和证券账户</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按照《基金合同》的约定，根据基金管理人的投资指令，及时办理清算、交割事宜；</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hint="eastAsia"/>
          <w:color w:val="000000" w:themeColor="text1"/>
          <w:szCs w:val="21"/>
        </w:rPr>
        <w:tab/>
        <w:t>保守基金商业秘密，除《基金法》、《基金合同》及其他有关规定另有规定外，在基金信息公开披露前予以保密，不得向他人泄露；</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（8）</w:t>
      </w:r>
      <w:r w:rsidRPr="00C86E67">
        <w:rPr>
          <w:rFonts w:asciiTheme="minorEastAsia" w:eastAsiaTheme="minorEastAsia" w:hAnsiTheme="minorEastAsia" w:hint="eastAsia"/>
          <w:color w:val="000000" w:themeColor="text1"/>
          <w:szCs w:val="21"/>
        </w:rPr>
        <w:tab/>
        <w:t>复核、审查基金管理人计算的基金资产净值、</w:t>
      </w:r>
      <w:r w:rsidRPr="00C86E67" w:rsidR="00C53A0E">
        <w:rPr>
          <w:rFonts w:asciiTheme="minorEastAsia" w:eastAsiaTheme="minorEastAsia" w:hAnsiTheme="minorEastAsia" w:hint="eastAsia"/>
          <w:color w:val="000000" w:themeColor="text1"/>
          <w:szCs w:val="21"/>
        </w:rPr>
        <w:t>基金份额净值、</w:t>
      </w:r>
      <w:r w:rsidRPr="00C86E67">
        <w:rPr>
          <w:rFonts w:asciiTheme="minorEastAsia" w:eastAsiaTheme="minorEastAsia" w:hAnsiTheme="minorEastAsia" w:hint="eastAsia"/>
          <w:color w:val="000000" w:themeColor="text1"/>
          <w:szCs w:val="21"/>
        </w:rPr>
        <w:t>基金份额申购、赎回价格；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w:t>
      </w:r>
      <w:r w:rsidRPr="00C86E67">
        <w:rPr>
          <w:rFonts w:asciiTheme="minorEastAsia" w:eastAsiaTheme="minorEastAsia" w:hAnsiTheme="minorEastAsia" w:hint="eastAsia"/>
          <w:color w:val="000000" w:themeColor="text1"/>
          <w:szCs w:val="21"/>
        </w:rPr>
        <w:tab/>
        <w:t>办理与基金托管业务活动有关的信息披露事项；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w:t>
      </w:r>
      <w:r w:rsidRPr="00C86E67">
        <w:rPr>
          <w:rFonts w:asciiTheme="minorEastAsia" w:eastAsiaTheme="minorEastAsia" w:hAnsiTheme="minorEastAsia" w:hint="eastAsia"/>
          <w:color w:val="000000" w:themeColor="text1"/>
          <w:szCs w:val="21"/>
        </w:rPr>
        <w:tab/>
        <w:t>对基金财务会计报告、</w:t>
      </w:r>
      <w:r w:rsidRPr="00C86E67" w:rsidR="00C53A0E">
        <w:rPr>
          <w:rFonts w:asciiTheme="minorEastAsia" w:eastAsiaTheme="minorEastAsia" w:hAnsiTheme="minorEastAsia" w:hint="eastAsia"/>
          <w:color w:val="000000" w:themeColor="text1"/>
          <w:szCs w:val="21"/>
        </w:rPr>
        <w:t>季度报告、中期报告和年度报告</w:t>
      </w:r>
      <w:r w:rsidRPr="00C86E67">
        <w:rPr>
          <w:rFonts w:asciiTheme="minorEastAsia" w:eastAsiaTheme="minorEastAsia" w:hAnsiTheme="minorEastAsia" w:hint="eastAsia"/>
          <w:color w:val="000000" w:themeColor="text1"/>
          <w:szCs w:val="21"/>
        </w:rPr>
        <w:t>出具意见，说明基金管理人在各重要方面的运作是否严格按照《基金合同》的规定进行；如果基金管理人有未执行《基金合同》规定的行为，还应当说明基金托管人是否采取了适当的措施；</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（11）</w:t>
      </w:r>
      <w:r w:rsidRPr="00C86E67">
        <w:rPr>
          <w:rFonts w:asciiTheme="minorEastAsia" w:eastAsiaTheme="minorEastAsia" w:hAnsiTheme="minorEastAsia" w:hint="eastAsia"/>
          <w:color w:val="000000" w:themeColor="text1"/>
          <w:szCs w:val="21"/>
        </w:rPr>
        <w:tab/>
        <w:t>按有关规定，保存基金托管业务活动的记录、账册、报表和其他相关资料15年以上；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（12）</w:t>
      </w:r>
      <w:r w:rsidRPr="00C86E67">
        <w:rPr>
          <w:rFonts w:asciiTheme="minorEastAsia" w:eastAsiaTheme="minorEastAsia" w:hAnsiTheme="minorEastAsia" w:hint="eastAsia"/>
          <w:color w:val="000000" w:themeColor="text1"/>
          <w:szCs w:val="21"/>
        </w:rPr>
        <w:tab/>
      </w:r>
      <w:r w:rsidRPr="00C86E67">
        <w:rPr>
          <w:rFonts w:asciiTheme="minorEastAsia" w:eastAsiaTheme="minorEastAsia" w:hAnsiTheme="minorEastAsia"/>
          <w:color w:val="000000" w:themeColor="text1"/>
          <w:szCs w:val="21"/>
        </w:rPr>
        <w:t>建立并保存基金份额持有人名册</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（13）</w:t>
      </w:r>
      <w:r w:rsidRPr="00C86E67">
        <w:rPr>
          <w:rFonts w:asciiTheme="minorEastAsia" w:eastAsiaTheme="minorEastAsia" w:hAnsiTheme="minorEastAsia" w:hint="eastAsia"/>
          <w:color w:val="000000" w:themeColor="text1"/>
          <w:szCs w:val="21"/>
        </w:rPr>
        <w:tab/>
        <w:t>按规定制作相关账册并与基金管理人核对；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（14）</w:t>
      </w:r>
      <w:r w:rsidRPr="00C86E67">
        <w:rPr>
          <w:rFonts w:asciiTheme="minorEastAsia" w:eastAsiaTheme="minorEastAsia" w:hAnsiTheme="minorEastAsia" w:hint="eastAsia"/>
          <w:color w:val="000000" w:themeColor="text1"/>
          <w:szCs w:val="21"/>
        </w:rPr>
        <w:tab/>
        <w:t>依据基金管理人的指令或有关规定向基金份额持有人支付基金收益和赎回款项；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（15）</w:t>
      </w:r>
      <w:r w:rsidRPr="00C86E67">
        <w:rPr>
          <w:rFonts w:asciiTheme="minorEastAsia" w:eastAsiaTheme="minorEastAsia" w:hAnsiTheme="minorEastAsia" w:hint="eastAsia"/>
          <w:color w:val="000000" w:themeColor="text1"/>
          <w:szCs w:val="21"/>
        </w:rPr>
        <w:tab/>
        <w:t>按照规定召集基金份额持有人大会或配合基金份额持有人依法自行召集基金份额持有人大会；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（16）</w:t>
      </w:r>
      <w:r w:rsidRPr="00C86E67">
        <w:rPr>
          <w:rFonts w:asciiTheme="minorEastAsia" w:eastAsiaTheme="minorEastAsia" w:hAnsiTheme="minorEastAsia" w:hint="eastAsia"/>
          <w:color w:val="000000" w:themeColor="text1"/>
          <w:szCs w:val="21"/>
        </w:rPr>
        <w:tab/>
        <w:t>按照法律法规和基金合同的规定监督基金管理人的投资运作；</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（17）</w:t>
      </w:r>
      <w:r w:rsidRPr="00C86E67">
        <w:rPr>
          <w:rFonts w:asciiTheme="minorEastAsia" w:eastAsiaTheme="minorEastAsia" w:hAnsiTheme="minorEastAsia" w:hint="eastAsia"/>
          <w:color w:val="000000" w:themeColor="text1"/>
          <w:szCs w:val="21"/>
        </w:rPr>
        <w:tab/>
        <w:t>参加基金财产清算小组，参与基金财产的保管、清理、估价、变现和分配；</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（18）</w:t>
      </w:r>
      <w:r w:rsidRPr="00C86E67">
        <w:rPr>
          <w:rFonts w:asciiTheme="minorEastAsia" w:eastAsiaTheme="minorEastAsia" w:hAnsiTheme="minorEastAsia" w:hint="eastAsia"/>
          <w:color w:val="000000" w:themeColor="text1"/>
          <w:szCs w:val="21"/>
        </w:rPr>
        <w:tab/>
        <w:t>面临解散、依法被撤销或者被依法宣告破产时，及时报告中国证监会和银行监管机构，并通知基金管理人；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（19）</w:t>
      </w:r>
      <w:r w:rsidRPr="00C86E67">
        <w:rPr>
          <w:rFonts w:asciiTheme="minorEastAsia" w:eastAsiaTheme="minorEastAsia" w:hAnsiTheme="minorEastAsia" w:hint="eastAsia"/>
          <w:color w:val="000000" w:themeColor="text1"/>
          <w:szCs w:val="21"/>
        </w:rPr>
        <w:tab/>
        <w:t>因违反《基金合同》导致基金财产损失时，应承担赔偿责任，其赔偿责任不因其退任而免除；</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（20）</w:t>
      </w:r>
      <w:r w:rsidRPr="00C86E67">
        <w:rPr>
          <w:rFonts w:asciiTheme="minorEastAsia" w:eastAsiaTheme="minorEastAsia" w:hAnsiTheme="minorEastAsia" w:hint="eastAsia"/>
          <w:color w:val="000000" w:themeColor="text1"/>
          <w:szCs w:val="21"/>
        </w:rPr>
        <w:tab/>
        <w:t>监督基金管理人按法律法规和基金合同规定履行自己的义务，基金管理人因违反《基金合同》造成基金财产损失时，应为基金利益向基金管理人追偿；</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（21）</w:t>
      </w:r>
      <w:r w:rsidRPr="00C86E67">
        <w:rPr>
          <w:rFonts w:asciiTheme="minorEastAsia" w:eastAsiaTheme="minorEastAsia" w:hAnsiTheme="minorEastAsia" w:hint="eastAsia"/>
          <w:color w:val="000000" w:themeColor="text1"/>
          <w:szCs w:val="21"/>
        </w:rPr>
        <w:tab/>
      </w:r>
      <w:r w:rsidRPr="00C86E67">
        <w:rPr>
          <w:rFonts w:asciiTheme="minorEastAsia" w:eastAsiaTheme="minorEastAsia" w:hAnsiTheme="minorEastAsia"/>
          <w:color w:val="000000" w:themeColor="text1"/>
          <w:szCs w:val="21"/>
        </w:rPr>
        <w:t>执行生效的基金份额持有人大会的决定</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（22）</w:t>
      </w:r>
      <w:r w:rsidRPr="00C86E67">
        <w:rPr>
          <w:rFonts w:asciiTheme="minorEastAsia" w:eastAsiaTheme="minorEastAsia" w:hAnsiTheme="minorEastAsia" w:hint="eastAsia"/>
          <w:color w:val="000000" w:themeColor="text1"/>
          <w:szCs w:val="21"/>
        </w:rPr>
        <w:tab/>
        <w:t>法律法规、中国证监会规定的和《基金合同》约定的其他义务。</w:t>
      </w:r>
    </w:p>
    <w:p w:rsidR="00C35BC5" w:rsidRPr="00C86E67" w:rsidP="00B5132A">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szCs w:val="21"/>
        </w:rPr>
      </w:pPr>
      <w:bookmarkStart w:id="1108" w:name="_Toc91764883"/>
      <w:r w:rsidRPr="00C86E67">
        <w:rPr>
          <w:rFonts w:asciiTheme="minorEastAsia" w:eastAsiaTheme="minorEastAsia" w:hAnsiTheme="minorEastAsia" w:hint="eastAsia"/>
          <w:b w:val="0"/>
          <w:bCs/>
          <w:color w:val="000000" w:themeColor="text1"/>
        </w:rPr>
        <w:t>（四）基金份额持有人的权利与义务</w:t>
      </w:r>
      <w:bookmarkEnd w:id="1108"/>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本《基金合同》当事人并不以在《基金合同》上书面签章或签字为必要条件。</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每份基金份额具有同等的合法权益。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1、根据《基金法》、《运作办法》及其他有关规定，基金份额持有人的权利包括但不限于：</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hint="eastAsia"/>
          <w:color w:val="000000" w:themeColor="text1"/>
          <w:szCs w:val="21"/>
        </w:rPr>
        <w:tab/>
        <w:t>分享基金财产收益；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hint="eastAsia"/>
          <w:color w:val="000000" w:themeColor="text1"/>
          <w:szCs w:val="21"/>
        </w:rPr>
        <w:tab/>
      </w:r>
      <w:r w:rsidRPr="00C86E67">
        <w:rPr>
          <w:rFonts w:asciiTheme="minorEastAsia" w:eastAsiaTheme="minorEastAsia" w:hAnsiTheme="minorEastAsia"/>
          <w:color w:val="000000" w:themeColor="text1"/>
          <w:szCs w:val="21"/>
        </w:rPr>
        <w:t>参与分配清算后的剩余基金财产</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hint="eastAsia"/>
          <w:color w:val="000000" w:themeColor="text1"/>
          <w:szCs w:val="21"/>
        </w:rPr>
        <w:tab/>
        <w:t>依法申请赎回其持有的基金份额</w:t>
      </w:r>
      <w:r w:rsidRPr="00C86E67">
        <w:rPr>
          <w:rFonts w:asciiTheme="minorEastAsia" w:eastAsiaTheme="minorEastAsia" w:hAnsiTheme="minor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w:t>
      </w:r>
      <w:r w:rsidRPr="00C86E67">
        <w:rPr>
          <w:rFonts w:asciiTheme="minorEastAsia" w:eastAsiaTheme="minorEastAsia" w:hAnsiTheme="minorEastAsia" w:hint="eastAsia"/>
          <w:color w:val="000000" w:themeColor="text1"/>
          <w:szCs w:val="21"/>
        </w:rPr>
        <w:tab/>
      </w:r>
      <w:r w:rsidRPr="00C86E67">
        <w:rPr>
          <w:rFonts w:asciiTheme="minorEastAsia" w:eastAsiaTheme="minorEastAsia" w:hAnsiTheme="minorEastAsia"/>
          <w:color w:val="000000" w:themeColor="text1"/>
          <w:szCs w:val="21"/>
        </w:rPr>
        <w:t>按照规定要求召开基金份额持有人大会</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w:t>
      </w:r>
      <w:r w:rsidRPr="00C86E67">
        <w:rPr>
          <w:rFonts w:asciiTheme="minorEastAsia" w:eastAsiaTheme="minorEastAsia" w:hAnsiTheme="minorEastAsia" w:hint="eastAsia"/>
          <w:color w:val="000000" w:themeColor="text1"/>
          <w:szCs w:val="21"/>
        </w:rPr>
        <w:tab/>
        <w:t>出席或者委派代表出席基金</w:t>
      </w:r>
      <w:r w:rsidRPr="00C86E67">
        <w:rPr>
          <w:rFonts w:asciiTheme="minorEastAsia" w:eastAsiaTheme="minorEastAsia" w:hAnsiTheme="minorEastAsia"/>
          <w:color w:val="000000" w:themeColor="text1"/>
          <w:szCs w:val="21"/>
        </w:rPr>
        <w:t>份额</w:t>
      </w:r>
      <w:r w:rsidRPr="00C86E67">
        <w:rPr>
          <w:rFonts w:asciiTheme="minorEastAsia" w:eastAsiaTheme="minorEastAsia" w:hAnsiTheme="minorEastAsia" w:hint="eastAsia"/>
          <w:color w:val="000000" w:themeColor="text1"/>
          <w:szCs w:val="21"/>
        </w:rPr>
        <w:t>持有人大会，</w:t>
      </w:r>
      <w:r w:rsidRPr="00C86E67">
        <w:rPr>
          <w:rFonts w:asciiTheme="minorEastAsia" w:eastAsiaTheme="minorEastAsia" w:hAnsiTheme="minorEastAsia"/>
          <w:color w:val="000000" w:themeColor="text1"/>
          <w:szCs w:val="21"/>
        </w:rPr>
        <w:t>对基金份额持有人大会审议事项行使表决权</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w:t>
      </w:r>
      <w:r w:rsidRPr="00C86E67">
        <w:rPr>
          <w:rFonts w:asciiTheme="minorEastAsia" w:eastAsiaTheme="minorEastAsia" w:hAnsiTheme="minorEastAsia" w:hint="eastAsia"/>
          <w:color w:val="000000" w:themeColor="text1"/>
          <w:szCs w:val="21"/>
        </w:rPr>
        <w:tab/>
      </w:r>
      <w:r w:rsidRPr="00C86E67">
        <w:rPr>
          <w:rFonts w:asciiTheme="minorEastAsia" w:eastAsiaTheme="minorEastAsia" w:hAnsiTheme="minorEastAsia"/>
          <w:color w:val="000000" w:themeColor="text1"/>
          <w:szCs w:val="21"/>
        </w:rPr>
        <w:t>查阅或者复制公开披露的基金信息资料；</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hint="eastAsia"/>
          <w:color w:val="000000" w:themeColor="text1"/>
          <w:szCs w:val="21"/>
        </w:rPr>
        <w:tab/>
      </w:r>
      <w:r w:rsidRPr="00C86E67">
        <w:rPr>
          <w:rFonts w:asciiTheme="minorEastAsia" w:eastAsiaTheme="minorEastAsia" w:hAnsiTheme="minorEastAsia"/>
          <w:color w:val="000000" w:themeColor="text1"/>
          <w:szCs w:val="21"/>
        </w:rPr>
        <w:t>监督基金管理人的投资运作</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（8）</w:t>
      </w:r>
      <w:r w:rsidRPr="00C86E67">
        <w:rPr>
          <w:rFonts w:asciiTheme="minorEastAsia" w:eastAsiaTheme="minorEastAsia" w:hAnsiTheme="minorEastAsia" w:hint="eastAsia"/>
          <w:color w:val="000000" w:themeColor="text1"/>
          <w:szCs w:val="21"/>
        </w:rPr>
        <w:tab/>
        <w:t>对基金管理人、基金托管人、基金份额发售机构损害其合法权益的行为依法提起诉讼；</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w:t>
      </w:r>
      <w:r w:rsidRPr="00C86E67">
        <w:rPr>
          <w:rFonts w:asciiTheme="minorEastAsia" w:eastAsiaTheme="minorEastAsia" w:hAnsiTheme="minorEastAsia" w:hint="eastAsia"/>
          <w:color w:val="000000" w:themeColor="text1"/>
          <w:szCs w:val="21"/>
        </w:rPr>
        <w:tab/>
        <w:t>法律法规和《基金合同》规定的其他权利。</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2、根据《基金法》、《运作办法》及其他有关规定，基金份额持有人的义务包括但不限于：</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hint="eastAsia"/>
          <w:color w:val="000000" w:themeColor="text1"/>
          <w:szCs w:val="21"/>
        </w:rPr>
        <w:tab/>
        <w:t>遵守《基金合同》；</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hint="eastAsia"/>
          <w:color w:val="000000" w:themeColor="text1"/>
          <w:szCs w:val="21"/>
        </w:rPr>
        <w:tab/>
        <w:t>缴纳基金认购、申购款项及法律法规和《基金合同》所规定的费用；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hint="eastAsia"/>
          <w:color w:val="000000" w:themeColor="text1"/>
          <w:szCs w:val="21"/>
        </w:rPr>
        <w:tab/>
        <w:t>在其持有的基金份额范围内，承担基金亏损或者《基金合同》终止的有限责任；</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w:t>
      </w:r>
      <w:r w:rsidRPr="00C86E67">
        <w:rPr>
          <w:rFonts w:asciiTheme="minorEastAsia" w:eastAsiaTheme="minorEastAsia" w:hAnsiTheme="minorEastAsia" w:hint="eastAsia"/>
          <w:color w:val="000000" w:themeColor="text1"/>
          <w:szCs w:val="21"/>
        </w:rPr>
        <w:tab/>
        <w:t>不从事任何有损基金及其他《基金合同》当事人</w:t>
      </w:r>
      <w:r w:rsidRPr="00C86E67">
        <w:rPr>
          <w:rFonts w:asciiTheme="minorEastAsia" w:eastAsiaTheme="minorEastAsia" w:hAnsiTheme="minorEastAsia"/>
          <w:color w:val="000000" w:themeColor="text1"/>
          <w:szCs w:val="21"/>
        </w:rPr>
        <w:t>合法权益</w:t>
      </w:r>
      <w:r w:rsidRPr="00C86E67">
        <w:rPr>
          <w:rFonts w:asciiTheme="minorEastAsia" w:eastAsiaTheme="minorEastAsia" w:hAnsiTheme="minorEastAsia" w:hint="eastAsia"/>
          <w:color w:val="000000" w:themeColor="text1"/>
          <w:szCs w:val="21"/>
        </w:rPr>
        <w:t>的活动；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w:t>
      </w:r>
      <w:r w:rsidRPr="00C86E67">
        <w:rPr>
          <w:rFonts w:asciiTheme="minorEastAsia" w:eastAsiaTheme="minorEastAsia" w:hAnsiTheme="minorEastAsia" w:hint="eastAsia"/>
          <w:color w:val="000000" w:themeColor="text1"/>
          <w:szCs w:val="21"/>
        </w:rPr>
        <w:tab/>
        <w:t>返还在基金交易过程中因任何原因，自基金管理人、基金托管人及代销机构处获得的不当得利；</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（6）执行生效的基金份额持有人大会的决定；</w:t>
      </w:r>
    </w:p>
    <w:p w:rsidR="00C35BC5" w:rsidRPr="00C86E67" w:rsidP="00552BE1">
      <w:pPr>
        <w:snapToGrid w:val="0"/>
        <w:spacing w:line="360" w:lineRule="auto"/>
        <w:ind w:firstLine="420" w:firstLineChars="200"/>
        <w:rPr>
          <w:rFonts w:asciiTheme="minorEastAsia" w:eastAsiaTheme="minorEastAsia" w:hAnsiTheme="minorEastAsia"/>
          <w:b/>
          <w:bCs/>
          <w:color w:val="000000" w:themeColor="text1"/>
          <w:szCs w:val="21"/>
        </w:rPr>
      </w:pPr>
      <w:r w:rsidRPr="00C86E67">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hint="eastAsia"/>
          <w:color w:val="000000" w:themeColor="text1"/>
          <w:szCs w:val="21"/>
        </w:rPr>
        <w:tab/>
        <w:t>法律法规及中国证监会规定的和《基金合同》约定的其他义务。</w:t>
      </w:r>
    </w:p>
    <w:p w:rsidR="00C35BC5" w:rsidRPr="00C86E67" w:rsidP="00B5132A">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rPr>
      </w:pPr>
      <w:bookmarkStart w:id="1109" w:name="_Toc91764884"/>
      <w:r w:rsidRPr="00C86E67">
        <w:rPr>
          <w:rFonts w:asciiTheme="minorEastAsia" w:eastAsiaTheme="minorEastAsia" w:hAnsiTheme="minorEastAsia" w:hint="eastAsia"/>
          <w:b w:val="0"/>
          <w:bCs/>
          <w:color w:val="000000" w:themeColor="text1"/>
        </w:rPr>
        <w:t>（五）基金份额持有人大会</w:t>
      </w:r>
      <w:bookmarkEnd w:id="1109"/>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基金份额持有人大会由基金份额持有人或基金份额持有人的合法授权代表共同组成。基金份额持有人持有的每一基金份额拥有平等的投票权。</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召开事由</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（1）当出现或需要决定下列事由之一的，应当召开基金份额持有人大会：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1）终止《基金合同》；</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2）更换基金管理人；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3）更换基金托管人；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4）转换基金运作方式；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5）提高基金管理人、基金托管人的报酬标准；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w:t>
      </w:r>
      <w:r w:rsidRPr="00C86E67">
        <w:rPr>
          <w:rFonts w:asciiTheme="minorEastAsia" w:eastAsiaTheme="minorEastAsia" w:hAnsiTheme="minorEastAsia"/>
          <w:color w:val="000000" w:themeColor="text1"/>
          <w:szCs w:val="21"/>
        </w:rPr>
        <w:t>变更基金类别</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w:t>
      </w:r>
      <w:r w:rsidRPr="00C86E67">
        <w:rPr>
          <w:rFonts w:asciiTheme="minorEastAsia" w:eastAsiaTheme="minorEastAsia" w:hAnsiTheme="minorEastAsia"/>
          <w:color w:val="000000" w:themeColor="text1"/>
          <w:szCs w:val="21"/>
        </w:rPr>
        <w:t>变更基金投资目标、范围或策略</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8）</w:t>
      </w:r>
      <w:r w:rsidRPr="00C86E67">
        <w:rPr>
          <w:rFonts w:asciiTheme="minorEastAsia" w:eastAsiaTheme="minorEastAsia" w:hAnsiTheme="minorEastAsia"/>
          <w:color w:val="000000" w:themeColor="text1"/>
          <w:szCs w:val="21"/>
        </w:rPr>
        <w:t>变更基金份额持有人大会程序</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9）对基金当事人权利和义务产生重大影响的事项；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10）基金管理人或基金托管人要求召开基金份额持有人大会；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11）单独或合计持有本基金总份额10％以上（含10％）基金份额的基金份额持有人（以基金管理人收到提议当日的基金份额计算，下同）书面要求召开基金份额持有人大会；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12）法律法规、《基金合同》或中国证监会规定的其他应当召开基金份额持有人大会的事项。</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（2）以下情况可由基金管理人和基金托管人协商后修改，不需召开基金份额持有人大会：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（1）调低基金管理费、基金托管费、基金销售服务费；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（2）法律法规允许增加的基金费用的收取；</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（3）在《基金合同》规定的范围内调低本基金的申购费率、赎回费率或变更收费方式；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（4）因相应的法律法规发生变动而应当对《基金合同》进行修改；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（5）对《基金合同》的修改对基金份额持有人利益无实质性不利影响或修改不涉及基金合同当事人权利义务关系发生变化；</w:t>
      </w:r>
    </w:p>
    <w:p w:rsidR="00C35BC5" w:rsidRPr="00C86E67" w:rsidP="00552BE1">
      <w:pPr>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（6）除按照法律法规和《基金合同》规定应当召开基金份额持有人大会的以外的其他情形。</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3</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会议召集人及召集方式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1）除法律法规规定或《基金合同》另有约定外，基金份额持有人大会由基金管理人召集；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2）基金管理人未按规定召集或不能召集时，由基金托管人召集；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color w:val="000000" w:themeColor="text1"/>
          <w:szCs w:val="21"/>
        </w:rPr>
        <w:t>基金托管人认为有必要召开基金份额持有人大会的，应当向基金管理人提出书面提议。基金管理人应当自收到书面提议之日起</w:t>
      </w:r>
      <w:r w:rsidRPr="00C86E67">
        <w:rPr>
          <w:rFonts w:asciiTheme="minorEastAsia" w:eastAsiaTheme="minorEastAsia" w:hAnsiTheme="minorEastAsia" w:hint="eastAsia"/>
          <w:color w:val="000000" w:themeColor="text1"/>
          <w:szCs w:val="21"/>
        </w:rPr>
        <w:t>10</w:t>
      </w:r>
      <w:r w:rsidRPr="00C86E67">
        <w:rPr>
          <w:rFonts w:asciiTheme="minorEastAsia" w:eastAsiaTheme="minorEastAsia" w:hAnsiTheme="minorEastAsia"/>
          <w:color w:val="000000" w:themeColor="text1"/>
          <w:szCs w:val="21"/>
        </w:rPr>
        <w:t>日内决定是否召集，并书面告知基金托管人。基金管理人决定召集的，应当自出具书面决定之日起</w:t>
      </w:r>
      <w:r w:rsidRPr="00C86E67">
        <w:rPr>
          <w:rFonts w:asciiTheme="minorEastAsia" w:eastAsiaTheme="minorEastAsia" w:hAnsiTheme="minorEastAsia" w:hint="eastAsia"/>
          <w:color w:val="000000" w:themeColor="text1"/>
          <w:szCs w:val="21"/>
        </w:rPr>
        <w:t>60</w:t>
      </w:r>
      <w:r w:rsidRPr="00C86E67">
        <w:rPr>
          <w:rFonts w:asciiTheme="minorEastAsia" w:eastAsiaTheme="minorEastAsia" w:hAnsiTheme="minorEastAsia"/>
          <w:color w:val="000000" w:themeColor="text1"/>
          <w:szCs w:val="21"/>
        </w:rPr>
        <w:t>日内召开；基金管理人决定不召集，基金托管人仍认为有必要召开的，应当</w:t>
      </w:r>
      <w:r w:rsidRPr="00C86E67">
        <w:rPr>
          <w:rFonts w:asciiTheme="minorEastAsia" w:eastAsiaTheme="minorEastAsia" w:hAnsiTheme="minorEastAsia" w:hint="eastAsia"/>
          <w:color w:val="000000" w:themeColor="text1"/>
          <w:szCs w:val="21"/>
        </w:rPr>
        <w:t>由基金托管人</w:t>
      </w:r>
      <w:r w:rsidRPr="00C86E67">
        <w:rPr>
          <w:rFonts w:asciiTheme="minorEastAsia" w:eastAsiaTheme="minorEastAsia" w:hAnsiTheme="minorEastAsia"/>
          <w:color w:val="000000" w:themeColor="text1"/>
          <w:szCs w:val="21"/>
        </w:rPr>
        <w:t>自行召集。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4）代表基金份额10%以上（含10%）的基金份额持有人就同一事项认为有必要召开基金份额持有人大会的，</w:t>
      </w:r>
      <w:r w:rsidRPr="00C86E67">
        <w:rPr>
          <w:rFonts w:asciiTheme="minorEastAsia" w:eastAsiaTheme="minorEastAsia" w:hAnsiTheme="minorEastAsia"/>
          <w:color w:val="000000" w:themeColor="text1"/>
          <w:szCs w:val="21"/>
        </w:rPr>
        <w:t>应当向基金管理人提出书面提议。基金管理人应当自收到书面提议之日起</w:t>
      </w:r>
      <w:r w:rsidRPr="00C86E67">
        <w:rPr>
          <w:rFonts w:asciiTheme="minorEastAsia" w:eastAsiaTheme="minorEastAsia" w:hAnsiTheme="minorEastAsia" w:hint="eastAsia"/>
          <w:color w:val="000000" w:themeColor="text1"/>
          <w:szCs w:val="21"/>
        </w:rPr>
        <w:t>10</w:t>
      </w:r>
      <w:r w:rsidRPr="00C86E67">
        <w:rPr>
          <w:rFonts w:asciiTheme="minorEastAsia" w:eastAsiaTheme="minorEastAsia" w:hAnsiTheme="minorEastAsia"/>
          <w:color w:val="000000" w:themeColor="text1"/>
          <w:szCs w:val="21"/>
        </w:rPr>
        <w:t>日内决定是否召集，并书面告知提出提议的基金份额持有人代表和基金托管人。基金管理人决定召集的，应当自出具书面决定之日起</w:t>
      </w:r>
      <w:r w:rsidRPr="00C86E67">
        <w:rPr>
          <w:rFonts w:asciiTheme="minorEastAsia" w:eastAsiaTheme="minorEastAsia" w:hAnsiTheme="minorEastAsia" w:hint="eastAsia"/>
          <w:color w:val="000000" w:themeColor="text1"/>
          <w:szCs w:val="21"/>
        </w:rPr>
        <w:t>60</w:t>
      </w:r>
      <w:r w:rsidRPr="00C86E67">
        <w:rPr>
          <w:rFonts w:asciiTheme="minorEastAsia" w:eastAsiaTheme="minorEastAsia" w:hAnsiTheme="minorEastAsia"/>
          <w:color w:val="000000" w:themeColor="text1"/>
          <w:szCs w:val="21"/>
        </w:rPr>
        <w:t>日内召开；基金管理人决定不召集，代表基金份额</w:t>
      </w:r>
      <w:r w:rsidRPr="00C86E67">
        <w:rPr>
          <w:rFonts w:asciiTheme="minorEastAsia" w:eastAsiaTheme="minorEastAsia" w:hAnsiTheme="minorEastAsia" w:hint="eastAsia"/>
          <w:color w:val="000000" w:themeColor="text1"/>
          <w:szCs w:val="21"/>
        </w:rPr>
        <w:t>10%</w:t>
      </w:r>
      <w:r w:rsidRPr="00C86E67">
        <w:rPr>
          <w:rFonts w:asciiTheme="minorEastAsia" w:eastAsiaTheme="minorEastAsia" w:hAnsiTheme="minorEastAsia"/>
          <w:color w:val="000000" w:themeColor="text1"/>
          <w:szCs w:val="21"/>
        </w:rPr>
        <w:t>以上</w:t>
      </w:r>
      <w:r w:rsidRPr="00C86E67">
        <w:rPr>
          <w:rFonts w:asciiTheme="minorEastAsia" w:eastAsiaTheme="minorEastAsia" w:hAnsiTheme="minorEastAsia" w:hint="eastAsia"/>
          <w:color w:val="000000" w:themeColor="text1"/>
          <w:szCs w:val="21"/>
        </w:rPr>
        <w:t>（含10%）</w:t>
      </w:r>
      <w:r w:rsidRPr="00C86E67">
        <w:rPr>
          <w:rFonts w:asciiTheme="minorEastAsia" w:eastAsiaTheme="minorEastAsia" w:hAnsiTheme="minorEastAsia"/>
          <w:color w:val="000000" w:themeColor="text1"/>
          <w:szCs w:val="21"/>
        </w:rPr>
        <w:t>的基金份额持有人仍认为有必要召开的，应当向基金托管人提出书面提议。基金托管人应当自收到书面提议之日起</w:t>
      </w:r>
      <w:r w:rsidRPr="00C86E67">
        <w:rPr>
          <w:rFonts w:asciiTheme="minorEastAsia" w:eastAsiaTheme="minorEastAsia" w:hAnsiTheme="minorEastAsia" w:hint="eastAsia"/>
          <w:color w:val="000000" w:themeColor="text1"/>
          <w:szCs w:val="21"/>
        </w:rPr>
        <w:t>10</w:t>
      </w:r>
      <w:r w:rsidRPr="00C86E67">
        <w:rPr>
          <w:rFonts w:asciiTheme="minorEastAsia" w:eastAsiaTheme="minorEastAsia" w:hAnsiTheme="minorEastAsia"/>
          <w:color w:val="000000" w:themeColor="text1"/>
          <w:szCs w:val="21"/>
        </w:rPr>
        <w:t>日内决定是否召集，并书面告知提出提议的基金份额持有人代表和基金管理人；基金托管人决定召集的，应当自出具书面决定之日起</w:t>
      </w:r>
      <w:r w:rsidRPr="00C86E67">
        <w:rPr>
          <w:rFonts w:asciiTheme="minorEastAsia" w:eastAsiaTheme="minorEastAsia" w:hAnsiTheme="minorEastAsia" w:hint="eastAsia"/>
          <w:color w:val="000000" w:themeColor="text1"/>
          <w:szCs w:val="21"/>
        </w:rPr>
        <w:t>60</w:t>
      </w:r>
      <w:r w:rsidRPr="00C86E67">
        <w:rPr>
          <w:rFonts w:asciiTheme="minorEastAsia" w:eastAsiaTheme="minorEastAsia" w:hAnsiTheme="minorEastAsia"/>
          <w:color w:val="000000" w:themeColor="text1"/>
          <w:szCs w:val="21"/>
        </w:rPr>
        <w:t>日内召开。</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如在上述第4条情况下，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35BC5" w:rsidRPr="00C86E67" w:rsidP="00552BE1">
      <w:pPr>
        <w:adjustRightInd w:val="0"/>
        <w:snapToGrid w:val="0"/>
        <w:spacing w:line="360" w:lineRule="auto"/>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6）基金份额持有人会议的召集人负责选择确定开会时间、地点、方式和权益登记日。</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召开基金份额持有人大会的通知时间、通知内容、通知方式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（1）召开基金份额持有人大会，召集人应于会议召开前4</w:t>
      </w:r>
      <w:r w:rsidRPr="00C86E67">
        <w:rPr>
          <w:rFonts w:asciiTheme="minorEastAsia" w:eastAsiaTheme="minorEastAsia" w:hAnsiTheme="minorEastAsia"/>
          <w:color w:val="000000" w:themeColor="text1"/>
          <w:szCs w:val="21"/>
        </w:rPr>
        <w:t>0</w:t>
      </w:r>
      <w:r w:rsidRPr="00C86E67">
        <w:rPr>
          <w:rFonts w:asciiTheme="minorEastAsia" w:eastAsiaTheme="minorEastAsia" w:hAnsiTheme="minorEastAsia" w:hint="eastAsia"/>
          <w:color w:val="000000" w:themeColor="text1"/>
          <w:szCs w:val="21"/>
        </w:rPr>
        <w:t>天，在</w:t>
      </w:r>
      <w:r w:rsidRPr="00C86E67" w:rsidR="00C53A0E">
        <w:rPr>
          <w:rFonts w:asciiTheme="minorEastAsia" w:eastAsiaTheme="minorEastAsia" w:hAnsiTheme="minorEastAsia" w:hint="eastAsia"/>
          <w:color w:val="000000" w:themeColor="text1"/>
          <w:szCs w:val="21"/>
        </w:rPr>
        <w:t>指定媒介</w:t>
      </w:r>
      <w:r w:rsidRPr="00C86E67">
        <w:rPr>
          <w:rFonts w:asciiTheme="minorEastAsia" w:eastAsiaTheme="minorEastAsia" w:hAnsiTheme="minorEastAsia" w:hint="eastAsia"/>
          <w:color w:val="000000" w:themeColor="text1"/>
          <w:szCs w:val="21"/>
        </w:rPr>
        <w:t>上公告。基金份额持有人大会通知应至少载明以下内容：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1）会议召开的时间、地点、方式；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2）会议拟审议的事项、议事程序；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3）有权出席基金份额持有人大会的基金份额持有人的权益登记日；</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4）代理投票授权委托书送达时间和地点；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5）会务常设联系人姓名及联系电话。</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（2）采</w:t>
      </w:r>
      <w:r w:rsidRPr="00C86E67">
        <w:rPr>
          <w:rFonts w:asciiTheme="minorEastAsia" w:eastAsiaTheme="minorEastAsia" w:hAnsiTheme="minorEastAsia"/>
          <w:color w:val="000000" w:themeColor="text1"/>
          <w:szCs w:val="21"/>
        </w:rPr>
        <w:t>取通讯开会方式并进行表决的情况下，</w:t>
      </w:r>
      <w:r w:rsidRPr="00C86E67">
        <w:rPr>
          <w:rFonts w:asciiTheme="minorEastAsia" w:eastAsiaTheme="minorEastAsia" w:hAnsiTheme="minorEastAsia" w:hint="eastAsia"/>
          <w:color w:val="000000" w:themeColor="text1"/>
          <w:szCs w:val="21"/>
        </w:rPr>
        <w:t>由会议召集人决定通讯方式和书面表决方式，并在会议通知中说明本次基金份额持有人大会所采取的具体通讯方式、委托的公证机关及其联系方式和联系人、书面表决意见的寄交的截止时间和收取方式。</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基金份额持有人出席</w:t>
      </w:r>
      <w:r w:rsidRPr="00C86E67">
        <w:rPr>
          <w:rFonts w:asciiTheme="minorEastAsia" w:eastAsiaTheme="minorEastAsia" w:hAnsiTheme="minorEastAsia"/>
          <w:color w:val="000000" w:themeColor="text1"/>
          <w:szCs w:val="21"/>
        </w:rPr>
        <w:t>会议方式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基金份额持有人大会</w:t>
      </w:r>
      <w:r w:rsidRPr="00C86E67">
        <w:rPr>
          <w:rFonts w:asciiTheme="minorEastAsia" w:eastAsiaTheme="minorEastAsia" w:hAnsiTheme="minorEastAsia" w:hint="eastAsia"/>
          <w:color w:val="000000" w:themeColor="text1"/>
          <w:szCs w:val="21"/>
        </w:rPr>
        <w:t>可通过现场开会方式或通讯开会方式召开。</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会议的召开方式由</w:t>
      </w:r>
      <w:r w:rsidRPr="00C86E67">
        <w:rPr>
          <w:rFonts w:asciiTheme="minorEastAsia" w:eastAsiaTheme="minorEastAsia" w:hAnsiTheme="minorEastAsia" w:hint="eastAsia"/>
          <w:color w:val="000000" w:themeColor="text1"/>
          <w:szCs w:val="21"/>
        </w:rPr>
        <w:t>会议</w:t>
      </w:r>
      <w:r w:rsidRPr="00C86E67">
        <w:rPr>
          <w:rFonts w:asciiTheme="minorEastAsia" w:eastAsiaTheme="minorEastAsia" w:hAnsiTheme="minorEastAsia"/>
          <w:color w:val="000000" w:themeColor="text1"/>
          <w:szCs w:val="21"/>
        </w:rPr>
        <w:t>召集人确定，但更换基金管理人和基金托管人必须以现场开会方式召开。</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现场开会。由基金份额持有人本人出席或以代理投票授权委托书委派代表出席，现场开会时基金管理人和基金托管人的授权代表应当</w:t>
      </w:r>
      <w:r w:rsidRPr="00C86E67">
        <w:rPr>
          <w:rFonts w:asciiTheme="minorEastAsia" w:eastAsiaTheme="minorEastAsia" w:hAnsiTheme="minorEastAsia" w:hint="eastAsia"/>
          <w:color w:val="000000" w:themeColor="text1"/>
          <w:szCs w:val="21"/>
        </w:rPr>
        <w:t>列席</w:t>
      </w:r>
      <w:r w:rsidRPr="00C86E67">
        <w:rPr>
          <w:rFonts w:asciiTheme="minorEastAsia" w:eastAsiaTheme="minorEastAsia" w:hAnsiTheme="minorEastAsia"/>
          <w:color w:val="000000" w:themeColor="text1"/>
          <w:szCs w:val="21"/>
        </w:rPr>
        <w:t>基金份额持有人大会</w:t>
      </w:r>
      <w:r w:rsidRPr="00C86E67">
        <w:rPr>
          <w:rFonts w:asciiTheme="minorEastAsia" w:eastAsiaTheme="minorEastAsia" w:hAnsiTheme="minorEastAsia" w:hint="eastAsia"/>
          <w:color w:val="000000" w:themeColor="text1"/>
          <w:szCs w:val="21"/>
        </w:rPr>
        <w:t>，基金管理人或托管人不派代表列席的，不影响表决效力</w:t>
      </w:r>
      <w:r w:rsidRPr="00C86E67">
        <w:rPr>
          <w:rFonts w:asciiTheme="minorEastAsia" w:eastAsiaTheme="minorEastAsia" w:hAnsiTheme="minorEastAsia"/>
          <w:color w:val="000000" w:themeColor="text1"/>
          <w:szCs w:val="21"/>
        </w:rPr>
        <w:t>。现场开会同时符合以下条件时，可以进行基金份额持有人大会议程：</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亲自出席会议者持有基金份额的凭证、受托出席会议者出具的委托人持有基金份额的凭证及委托人的代理投票授权委托书符合法律法规、《基金合同》和会议通知的规定；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经核对，汇总到会者出示的在权</w:t>
      </w:r>
      <w:r w:rsidRPr="00C86E67">
        <w:rPr>
          <w:rFonts w:asciiTheme="minorEastAsia" w:eastAsiaTheme="minorEastAsia" w:hAnsiTheme="minorEastAsia" w:hint="eastAsia"/>
          <w:color w:val="000000" w:themeColor="text1"/>
          <w:szCs w:val="21"/>
        </w:rPr>
        <w:t>益</w:t>
      </w:r>
      <w:r w:rsidRPr="00C86E67">
        <w:rPr>
          <w:rFonts w:asciiTheme="minorEastAsia" w:eastAsiaTheme="minorEastAsia" w:hAnsiTheme="minorEastAsia"/>
          <w:color w:val="000000" w:themeColor="text1"/>
          <w:szCs w:val="21"/>
        </w:rPr>
        <w:t>登记日持有基金份额的凭证显示，有效的基金份额</w:t>
      </w:r>
      <w:r w:rsidRPr="00C86E67">
        <w:rPr>
          <w:rFonts w:asciiTheme="minorEastAsia" w:eastAsiaTheme="minorEastAsia" w:hAnsiTheme="minorEastAsia" w:hint="eastAsia"/>
          <w:color w:val="000000" w:themeColor="text1"/>
          <w:szCs w:val="21"/>
        </w:rPr>
        <w:t>不少</w:t>
      </w:r>
      <w:r w:rsidRPr="00C86E67">
        <w:rPr>
          <w:rFonts w:asciiTheme="minorEastAsia" w:eastAsiaTheme="minorEastAsia" w:hAnsiTheme="minorEastAsia"/>
          <w:color w:val="000000" w:themeColor="text1"/>
          <w:szCs w:val="21"/>
        </w:rPr>
        <w:t>于本基金在</w:t>
      </w:r>
      <w:r w:rsidRPr="00C86E67">
        <w:rPr>
          <w:rFonts w:asciiTheme="minorEastAsia" w:eastAsiaTheme="minorEastAsia" w:hAnsiTheme="minorEastAsia" w:hint="eastAsia"/>
          <w:color w:val="000000" w:themeColor="text1"/>
          <w:szCs w:val="21"/>
        </w:rPr>
        <w:t>权益</w:t>
      </w:r>
      <w:r w:rsidRPr="00C86E67">
        <w:rPr>
          <w:rFonts w:asciiTheme="minorEastAsia" w:eastAsiaTheme="minorEastAsia" w:hAnsiTheme="minorEastAsia"/>
          <w:color w:val="000000" w:themeColor="text1"/>
          <w:szCs w:val="21"/>
        </w:rPr>
        <w:t>登记日基金总</w:t>
      </w:r>
      <w:r w:rsidRPr="00C86E67">
        <w:rPr>
          <w:rFonts w:asciiTheme="minorEastAsia" w:eastAsiaTheme="minorEastAsia" w:hAnsiTheme="minorEastAsia" w:hint="eastAsia"/>
          <w:color w:val="000000" w:themeColor="text1"/>
          <w:szCs w:val="21"/>
        </w:rPr>
        <w:t>份</w:t>
      </w:r>
      <w:r w:rsidRPr="00C86E67">
        <w:rPr>
          <w:rFonts w:asciiTheme="minorEastAsia" w:eastAsiaTheme="minorEastAsia" w:hAnsiTheme="minorEastAsia"/>
          <w:color w:val="000000" w:themeColor="text1"/>
          <w:szCs w:val="21"/>
        </w:rPr>
        <w:t>额的</w:t>
      </w:r>
      <w:r w:rsidRPr="00C86E67">
        <w:rPr>
          <w:rFonts w:asciiTheme="minorEastAsia" w:eastAsiaTheme="minorEastAsia" w:hAnsiTheme="minorEastAsia" w:hint="eastAsia"/>
          <w:color w:val="000000" w:themeColor="text1"/>
          <w:szCs w:val="21"/>
        </w:rPr>
        <w:t>50</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（含50%）</w:t>
      </w:r>
      <w:r w:rsidRPr="00C86E67">
        <w:rPr>
          <w:rFonts w:asciiTheme="minorEastAsia" w:eastAsiaTheme="minorEastAsia" w:hAnsiTheme="minor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通讯开会。</w:t>
      </w:r>
      <w:r w:rsidRPr="00C86E67">
        <w:rPr>
          <w:rFonts w:asciiTheme="minorEastAsia" w:eastAsiaTheme="minorEastAsia" w:hAnsiTheme="minorEastAsia" w:hint="eastAsia"/>
          <w:color w:val="000000" w:themeColor="text1"/>
          <w:szCs w:val="21"/>
        </w:rPr>
        <w:t>通讯开会系指基金份额持有人将其对表决事项的投票以书面形式在表决截止日以前送达至召集人指定的地址。</w:t>
      </w:r>
      <w:r w:rsidRPr="00C86E67">
        <w:rPr>
          <w:rFonts w:asciiTheme="minorEastAsia" w:eastAsiaTheme="minorEastAsia" w:hAnsiTheme="minorEastAsia"/>
          <w:color w:val="000000" w:themeColor="text1"/>
          <w:szCs w:val="21"/>
        </w:rPr>
        <w:t>通讯开会应以书面方式进行表决。</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在</w:t>
      </w:r>
      <w:r w:rsidRPr="00C86E67">
        <w:rPr>
          <w:rFonts w:asciiTheme="minorEastAsia" w:eastAsiaTheme="minorEastAsia" w:hAnsiTheme="minorEastAsia" w:hint="eastAsia"/>
          <w:color w:val="000000" w:themeColor="text1"/>
          <w:szCs w:val="21"/>
        </w:rPr>
        <w:t>同时</w:t>
      </w:r>
      <w:r w:rsidRPr="00C86E67">
        <w:rPr>
          <w:rFonts w:asciiTheme="minorEastAsia" w:eastAsiaTheme="minorEastAsia" w:hAnsiTheme="minorEastAsia"/>
          <w:color w:val="000000" w:themeColor="text1"/>
          <w:szCs w:val="21"/>
        </w:rPr>
        <w:t>符合以下条件时，通讯开会的方式视为有效：</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（1）会议召集人</w:t>
      </w:r>
      <w:r w:rsidRPr="00C86E67">
        <w:rPr>
          <w:rFonts w:asciiTheme="minorEastAsia" w:eastAsiaTheme="minorEastAsia" w:hAnsiTheme="minorEastAsia"/>
          <w:color w:val="000000" w:themeColor="text1"/>
          <w:szCs w:val="21"/>
        </w:rPr>
        <w:t>按《基金合同》规定公布会议通知后，在</w:t>
      </w: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个工作日内连续公布相关提示性公告；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（2）会议召集人</w:t>
      </w:r>
      <w:r w:rsidRPr="00C86E67">
        <w:rPr>
          <w:rFonts w:asciiTheme="minorEastAsia" w:eastAsiaTheme="minorEastAsia" w:hAnsiTheme="minorEastAsia"/>
          <w:color w:val="000000" w:themeColor="text1"/>
          <w:szCs w:val="21"/>
        </w:rPr>
        <w:t>在基金托管人</w:t>
      </w:r>
      <w:r w:rsidRPr="00C86E67">
        <w:rPr>
          <w:rFonts w:asciiTheme="minorEastAsia" w:eastAsiaTheme="minorEastAsia" w:hAnsiTheme="minorEastAsia" w:hint="eastAsia"/>
          <w:color w:val="000000" w:themeColor="text1"/>
          <w:szCs w:val="21"/>
        </w:rPr>
        <w:t>（如果基金托管人为召集人，则为基金管理人）</w:t>
      </w:r>
      <w:r w:rsidRPr="00C86E67">
        <w:rPr>
          <w:rFonts w:asciiTheme="minorEastAsia" w:eastAsiaTheme="minorEastAsia" w:hAnsiTheme="minorEastAsia"/>
          <w:color w:val="000000" w:themeColor="text1"/>
          <w:szCs w:val="21"/>
        </w:rPr>
        <w:t>和公证机关的监督下按照会议通知规定的方式收取基金份额持有人的书面表决意见；</w:t>
      </w:r>
      <w:r w:rsidRPr="00C86E67">
        <w:rPr>
          <w:rFonts w:asciiTheme="minorEastAsia" w:eastAsiaTheme="minorEastAsia" w:hAnsiTheme="minorEastAsia" w:hint="eastAsia"/>
          <w:color w:val="000000" w:themeColor="text1"/>
          <w:szCs w:val="21"/>
        </w:rPr>
        <w:t>基金托管人或基金管理人经通知不参加收取书面表决意见的，不影响表决效力</w:t>
      </w:r>
      <w:r w:rsidRPr="00C86E67">
        <w:rPr>
          <w:rFonts w:asciiTheme="minorEastAsia" w:eastAsiaTheme="minorEastAsia" w:hAnsiTheme="minorEastAsia"/>
          <w:color w:val="000000" w:themeColor="text1"/>
          <w:szCs w:val="21"/>
        </w:rPr>
        <w:t>；</w:t>
      </w:r>
    </w:p>
    <w:p w:rsidR="00C35BC5" w:rsidRPr="00C86E67" w:rsidP="00552BE1">
      <w:pPr>
        <w:snapToGrid w:val="0"/>
        <w:spacing w:line="360" w:lineRule="auto"/>
        <w:ind w:firstLine="472" w:firstLineChars="225"/>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color w:val="000000" w:themeColor="text1"/>
          <w:szCs w:val="21"/>
        </w:rPr>
        <w:t>本人直接出具书面意见或授权他人代表出具书面意见的，基金份额持有人所持有的基金份额</w:t>
      </w:r>
      <w:r w:rsidRPr="00C86E67">
        <w:rPr>
          <w:rFonts w:asciiTheme="minorEastAsia" w:eastAsiaTheme="minorEastAsia" w:hAnsiTheme="minorEastAsia" w:hint="eastAsia"/>
          <w:color w:val="000000" w:themeColor="text1"/>
          <w:szCs w:val="21"/>
        </w:rPr>
        <w:t>不小</w:t>
      </w:r>
      <w:r w:rsidRPr="00C86E67">
        <w:rPr>
          <w:rFonts w:asciiTheme="minorEastAsia" w:eastAsiaTheme="minorEastAsia" w:hAnsiTheme="minorEastAsia"/>
          <w:color w:val="000000" w:themeColor="text1"/>
          <w:szCs w:val="21"/>
        </w:rPr>
        <w:t>于在</w:t>
      </w:r>
      <w:r w:rsidRPr="00C86E67">
        <w:rPr>
          <w:rFonts w:asciiTheme="minorEastAsia" w:eastAsiaTheme="minorEastAsia" w:hAnsiTheme="minorEastAsia" w:hint="eastAsia"/>
          <w:color w:val="000000" w:themeColor="text1"/>
          <w:szCs w:val="21"/>
        </w:rPr>
        <w:t>权益</w:t>
      </w:r>
      <w:r w:rsidRPr="00C86E67">
        <w:rPr>
          <w:rFonts w:asciiTheme="minorEastAsia" w:eastAsiaTheme="minorEastAsia" w:hAnsiTheme="minorEastAsia"/>
          <w:color w:val="000000" w:themeColor="text1"/>
          <w:szCs w:val="21"/>
        </w:rPr>
        <w:t>登记日基金总份额的</w:t>
      </w:r>
      <w:r w:rsidRPr="00C86E67">
        <w:rPr>
          <w:rFonts w:asciiTheme="minorEastAsia" w:eastAsiaTheme="minorEastAsia" w:hAnsiTheme="minorEastAsia" w:hint="eastAsia"/>
          <w:color w:val="000000" w:themeColor="text1"/>
          <w:szCs w:val="21"/>
        </w:rPr>
        <w:t>50%（含50%）</w:t>
      </w:r>
      <w:r w:rsidRPr="00C86E67">
        <w:rPr>
          <w:rFonts w:asciiTheme="minorEastAsia" w:eastAsiaTheme="minorEastAsia" w:hAnsiTheme="minor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（4）上述第（3）项中</w:t>
      </w:r>
      <w:r w:rsidRPr="00C86E67">
        <w:rPr>
          <w:rFonts w:asciiTheme="minorEastAsia" w:eastAsiaTheme="minorEastAsia" w:hAnsiTheme="minorEastAsia"/>
          <w:color w:val="000000" w:themeColor="text1"/>
          <w:szCs w:val="21"/>
        </w:rPr>
        <w:t>直接出具书面意见的基金份额持有人或受托代表他人出具书面意见的代理人，同时提交的持有基金份额的凭证、受托</w:t>
      </w:r>
      <w:r w:rsidRPr="00C86E67">
        <w:rPr>
          <w:rFonts w:asciiTheme="minorEastAsia" w:eastAsiaTheme="minorEastAsia" w:hAnsiTheme="minorEastAsia" w:hint="eastAsia"/>
          <w:color w:val="000000" w:themeColor="text1"/>
          <w:szCs w:val="21"/>
        </w:rPr>
        <w:t>出具书面意见的代理人</w:t>
      </w:r>
      <w:r w:rsidRPr="00C86E67">
        <w:rPr>
          <w:rFonts w:asciiTheme="minorEastAsia" w:eastAsiaTheme="minorEastAsia" w:hAnsiTheme="minorEastAsia"/>
          <w:color w:val="000000" w:themeColor="text1"/>
          <w:szCs w:val="21"/>
        </w:rPr>
        <w:t>出具的委托人持有基金份额的凭证及委托人的代理投票授权委托书符合法律法规、《基金合同》和会议通知的规定；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w:t>
      </w:r>
      <w:r w:rsidRPr="00C86E67">
        <w:rPr>
          <w:rFonts w:asciiTheme="minorEastAsia" w:eastAsiaTheme="minorEastAsia" w:hAnsiTheme="minorEastAsia"/>
          <w:color w:val="000000" w:themeColor="text1"/>
          <w:szCs w:val="21"/>
        </w:rPr>
        <w:t>会议通知公布前报中国证监会备案。</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议事内容与程序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议事内容及提案权</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议事内容为关系基金份额持有人利益的重大事项，如</w:t>
      </w:r>
      <w:r w:rsidRPr="00C86E67">
        <w:rPr>
          <w:rFonts w:asciiTheme="minorEastAsia" w:eastAsiaTheme="minorEastAsia" w:hAnsiTheme="minorEastAsia" w:hint="eastAsia"/>
          <w:color w:val="000000" w:themeColor="text1"/>
          <w:szCs w:val="21"/>
        </w:rPr>
        <w:t>《基金合同》的重大修改</w:t>
      </w:r>
      <w:r w:rsidRPr="00C86E67">
        <w:rPr>
          <w:rFonts w:asciiTheme="minorEastAsia" w:eastAsiaTheme="minorEastAsia" w:hAnsiTheme="minorEastAsia"/>
          <w:color w:val="000000" w:themeColor="text1"/>
          <w:szCs w:val="21"/>
        </w:rPr>
        <w:t>、决定终止</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基金</w:t>
      </w:r>
      <w:r w:rsidRPr="00C86E67">
        <w:rPr>
          <w:rFonts w:asciiTheme="minorEastAsia" w:eastAsiaTheme="minorEastAsia" w:hAnsiTheme="minorEastAsia" w:hint="eastAsia"/>
          <w:color w:val="000000" w:themeColor="text1"/>
          <w:szCs w:val="21"/>
        </w:rPr>
        <w:t>合同》</w:t>
      </w:r>
      <w:r w:rsidRPr="00C86E67">
        <w:rPr>
          <w:rFonts w:asciiTheme="minorEastAsia" w:eastAsiaTheme="minorEastAsia" w:hAnsiTheme="minorEastAsia"/>
          <w:color w:val="000000" w:themeColor="text1"/>
          <w:szCs w:val="21"/>
        </w:rPr>
        <w:t>、更换基金管理人、更换基金托管人、与其他基金合并</w:t>
      </w:r>
      <w:r w:rsidRPr="00C86E67">
        <w:rPr>
          <w:rFonts w:asciiTheme="minorEastAsia" w:eastAsiaTheme="minorEastAsia" w:hAnsiTheme="minorEastAsia" w:hint="eastAsia"/>
          <w:color w:val="000000" w:themeColor="text1"/>
          <w:szCs w:val="21"/>
        </w:rPr>
        <w:t>、法律法规及《基金合同》规定的其他事项</w:t>
      </w:r>
      <w:r w:rsidRPr="00C86E67">
        <w:rPr>
          <w:rFonts w:asciiTheme="minorEastAsia" w:eastAsiaTheme="minorEastAsia" w:hAnsiTheme="minorEastAsia"/>
          <w:color w:val="000000" w:themeColor="text1"/>
          <w:szCs w:val="21"/>
        </w:rPr>
        <w:t>以及</w:t>
      </w:r>
      <w:r w:rsidRPr="00C86E67">
        <w:rPr>
          <w:rFonts w:asciiTheme="minorEastAsia" w:eastAsiaTheme="minorEastAsia" w:hAnsiTheme="minorEastAsia" w:hint="eastAsia"/>
          <w:color w:val="000000" w:themeColor="text1"/>
          <w:szCs w:val="21"/>
        </w:rPr>
        <w:t>会议</w:t>
      </w:r>
      <w:r w:rsidRPr="00C86E67">
        <w:rPr>
          <w:rFonts w:asciiTheme="minorEastAsia" w:eastAsiaTheme="minorEastAsia" w:hAnsiTheme="minorEastAsia"/>
          <w:color w:val="000000" w:themeColor="text1"/>
          <w:szCs w:val="21"/>
        </w:rPr>
        <w:t>召集人认为需提交基金份额持有人大会讨论的其他事项。</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基金管理人、基金托管人、单独或合并持有权</w:t>
      </w:r>
      <w:r w:rsidRPr="00C86E67">
        <w:rPr>
          <w:rFonts w:asciiTheme="minorEastAsia" w:eastAsiaTheme="minorEastAsia" w:hAnsiTheme="minorEastAsia" w:hint="eastAsia"/>
          <w:color w:val="000000" w:themeColor="text1"/>
          <w:szCs w:val="21"/>
        </w:rPr>
        <w:t>益</w:t>
      </w:r>
      <w:r w:rsidRPr="00C86E67">
        <w:rPr>
          <w:rFonts w:asciiTheme="minorEastAsia" w:eastAsiaTheme="minorEastAsia" w:hAnsiTheme="minorEastAsia"/>
          <w:color w:val="000000" w:themeColor="text1"/>
          <w:szCs w:val="21"/>
        </w:rPr>
        <w:t>登记日基金总份额10%</w:t>
      </w:r>
      <w:r w:rsidRPr="00C86E67">
        <w:rPr>
          <w:rFonts w:asciiTheme="minorEastAsia" w:eastAsiaTheme="minorEastAsia" w:hAnsiTheme="minorEastAsia" w:hint="eastAsia"/>
          <w:color w:val="000000" w:themeColor="text1"/>
          <w:szCs w:val="21"/>
        </w:rPr>
        <w:t>（含10%）</w:t>
      </w:r>
      <w:r w:rsidRPr="00C86E67">
        <w:rPr>
          <w:rFonts w:asciiTheme="minorEastAsia" w:eastAsiaTheme="minorEastAsia" w:hAnsiTheme="minorEastAsia"/>
          <w:color w:val="000000" w:themeColor="text1"/>
          <w:szCs w:val="21"/>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C86E67">
        <w:rPr>
          <w:rFonts w:asciiTheme="minorEastAsia" w:eastAsiaTheme="minorEastAsia" w:hAnsiTheme="minorEastAsia" w:hint="eastAsia"/>
          <w:color w:val="000000" w:themeColor="text1"/>
          <w:szCs w:val="21"/>
        </w:rPr>
        <w:t>至少35</w:t>
      </w:r>
      <w:r w:rsidRPr="00C86E67">
        <w:rPr>
          <w:rFonts w:asciiTheme="minorEastAsia" w:eastAsiaTheme="minorEastAsia" w:hAnsiTheme="minorEastAsia"/>
          <w:color w:val="000000" w:themeColor="text1"/>
          <w:szCs w:val="21"/>
        </w:rPr>
        <w:t>天</w:t>
      </w:r>
      <w:r w:rsidRPr="00C86E67">
        <w:rPr>
          <w:rFonts w:asciiTheme="minorEastAsia" w:eastAsiaTheme="minorEastAsia" w:hAnsiTheme="minorEastAsia" w:hint="eastAsia"/>
          <w:color w:val="000000" w:themeColor="text1"/>
          <w:szCs w:val="21"/>
        </w:rPr>
        <w:t>前</w:t>
      </w:r>
      <w:r w:rsidRPr="00C86E67">
        <w:rPr>
          <w:rFonts w:asciiTheme="minorEastAsia" w:eastAsiaTheme="minorEastAsia" w:hAnsiTheme="minorEastAsia"/>
          <w:color w:val="000000" w:themeColor="text1"/>
          <w:szCs w:val="21"/>
        </w:rPr>
        <w:t>提交召集人</w:t>
      </w:r>
      <w:r w:rsidRPr="00C86E67">
        <w:rPr>
          <w:rFonts w:asciiTheme="minorEastAsia" w:eastAsiaTheme="minorEastAsia" w:hAnsiTheme="minorEastAsia" w:hint="eastAsia"/>
          <w:color w:val="000000" w:themeColor="text1"/>
          <w:szCs w:val="21"/>
        </w:rPr>
        <w:t>并由召集人公告</w:t>
      </w:r>
      <w:r w:rsidRPr="00C86E67">
        <w:rPr>
          <w:rFonts w:asciiTheme="minorEastAsia" w:eastAsiaTheme="minorEastAsia" w:hAnsiTheme="minor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基金份额持有人大会的召集人发出召集会议的通知后，对原有提案的修改应当在基金份额持有人大会召开日</w:t>
      </w:r>
      <w:r w:rsidRPr="00C86E67">
        <w:rPr>
          <w:rFonts w:asciiTheme="minorEastAsia" w:eastAsiaTheme="minorEastAsia" w:hAnsiTheme="minorEastAsia" w:hint="eastAsia"/>
          <w:color w:val="000000" w:themeColor="text1"/>
          <w:szCs w:val="21"/>
        </w:rPr>
        <w:t>30</w:t>
      </w:r>
      <w:r w:rsidRPr="00C86E67">
        <w:rPr>
          <w:rFonts w:asciiTheme="minorEastAsia" w:eastAsiaTheme="minorEastAsia" w:hAnsiTheme="minorEastAsia"/>
          <w:color w:val="000000" w:themeColor="text1"/>
          <w:szCs w:val="21"/>
        </w:rPr>
        <w:t>天</w:t>
      </w:r>
      <w:r w:rsidRPr="00C86E67">
        <w:rPr>
          <w:rFonts w:asciiTheme="minorEastAsia" w:eastAsiaTheme="minorEastAsia" w:hAnsiTheme="minorEastAsia" w:hint="eastAsia"/>
          <w:color w:val="000000" w:themeColor="text1"/>
          <w:szCs w:val="21"/>
        </w:rPr>
        <w:t>前</w:t>
      </w:r>
      <w:r w:rsidRPr="00C86E67">
        <w:rPr>
          <w:rFonts w:asciiTheme="minorEastAsia" w:eastAsiaTheme="minorEastAsia" w:hAnsiTheme="minorEastAsia"/>
          <w:color w:val="000000" w:themeColor="text1"/>
          <w:szCs w:val="21"/>
        </w:rPr>
        <w:t>公告。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基金份额持有人大会不得对未事先公告的议事内容进行表决。</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召集人对于基金管理人</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基金托管人和</w:t>
      </w:r>
      <w:r w:rsidRPr="00C86E67">
        <w:rPr>
          <w:rFonts w:asciiTheme="minorEastAsia" w:eastAsiaTheme="minorEastAsia" w:hAnsiTheme="minorEastAsia" w:hint="eastAsia"/>
          <w:color w:val="000000" w:themeColor="text1"/>
          <w:szCs w:val="21"/>
        </w:rPr>
        <w:t>基金份额持有人</w:t>
      </w:r>
      <w:r w:rsidRPr="00C86E67">
        <w:rPr>
          <w:rFonts w:asciiTheme="minorEastAsia" w:eastAsiaTheme="minorEastAsia" w:hAnsiTheme="minorEastAsia"/>
          <w:color w:val="000000" w:themeColor="text1"/>
          <w:szCs w:val="21"/>
        </w:rPr>
        <w:t>提交的临时提案</w:t>
      </w:r>
      <w:r w:rsidRPr="00C86E67">
        <w:rPr>
          <w:rFonts w:asciiTheme="minorEastAsia" w:eastAsiaTheme="minorEastAsia" w:hAnsiTheme="minorEastAsia" w:hint="eastAsia"/>
          <w:color w:val="000000" w:themeColor="text1"/>
          <w:szCs w:val="21"/>
        </w:rPr>
        <w:t>进行审核，符合条件的</w:t>
      </w:r>
      <w:r w:rsidRPr="00C86E67">
        <w:rPr>
          <w:rFonts w:asciiTheme="minorEastAsia" w:eastAsiaTheme="minorEastAsia" w:hAnsiTheme="minorEastAsia"/>
          <w:color w:val="000000" w:themeColor="text1"/>
          <w:szCs w:val="21"/>
        </w:rPr>
        <w:t>应当在大会召开日</w:t>
      </w:r>
      <w:r w:rsidRPr="00C86E67">
        <w:rPr>
          <w:rFonts w:asciiTheme="minorEastAsia" w:eastAsiaTheme="minorEastAsia" w:hAnsiTheme="minorEastAsia" w:hint="eastAsia"/>
          <w:color w:val="000000" w:themeColor="text1"/>
          <w:szCs w:val="21"/>
        </w:rPr>
        <w:t>30</w:t>
      </w:r>
      <w:r w:rsidRPr="00C86E67">
        <w:rPr>
          <w:rFonts w:asciiTheme="minorEastAsia" w:eastAsiaTheme="minorEastAsia" w:hAnsiTheme="minorEastAsia"/>
          <w:color w:val="000000" w:themeColor="text1"/>
          <w:szCs w:val="21"/>
        </w:rPr>
        <w:t>天前公告。大会召集人应当按照以下原则对提案进行审核：</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关联性。大会召集人对于提案涉及事项与基金有直接关系，并且不超出法律法规和</w:t>
      </w:r>
      <w:r w:rsidRPr="00C86E67">
        <w:rPr>
          <w:rFonts w:asciiTheme="minorEastAsia" w:eastAsiaTheme="minorEastAsia" w:hAnsiTheme="minorEastAsia" w:hint="eastAsia"/>
          <w:color w:val="000000" w:themeColor="text1"/>
          <w:szCs w:val="21"/>
        </w:rPr>
        <w:t>《基金合同》</w:t>
      </w:r>
      <w:r w:rsidRPr="00C86E67">
        <w:rPr>
          <w:rFonts w:asciiTheme="minorEastAsia" w:eastAsiaTheme="minorEastAsia" w:hAnsiTheme="minorEastAsia"/>
          <w:color w:val="000000" w:themeColor="text1"/>
          <w:szCs w:val="21"/>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程序性。大会召集人可以对提案涉及的程序性问题</w:t>
      </w:r>
      <w:r w:rsidRPr="00C86E67">
        <w:rPr>
          <w:rFonts w:asciiTheme="minorEastAsia" w:eastAsiaTheme="minorEastAsia" w:hAnsiTheme="minorEastAsia" w:hint="eastAsia"/>
          <w:color w:val="000000" w:themeColor="text1"/>
          <w:szCs w:val="21"/>
        </w:rPr>
        <w:t>做</w:t>
      </w:r>
      <w:r w:rsidRPr="00C86E67">
        <w:rPr>
          <w:rFonts w:asciiTheme="minorEastAsia" w:eastAsiaTheme="minorEastAsia" w:hAnsiTheme="minorEastAsia"/>
          <w:color w:val="000000" w:themeColor="text1"/>
          <w:szCs w:val="21"/>
        </w:rPr>
        <w:t>出决定。如将提案进行分拆或合并表决，需征得原提案人同意；原提案人不同意变更的，大会主持人可以就程序性问题提请基金份额持有人大会</w:t>
      </w:r>
      <w:r w:rsidRPr="00C86E67">
        <w:rPr>
          <w:rFonts w:asciiTheme="minorEastAsia" w:eastAsiaTheme="minorEastAsia" w:hAnsiTheme="minorEastAsia" w:hint="eastAsia"/>
          <w:color w:val="000000" w:themeColor="text1"/>
          <w:szCs w:val="21"/>
        </w:rPr>
        <w:t>做</w:t>
      </w:r>
      <w:r w:rsidRPr="00C86E67">
        <w:rPr>
          <w:rFonts w:asciiTheme="minorEastAsia" w:eastAsiaTheme="minorEastAsia" w:hAnsiTheme="minorEastAsia"/>
          <w:color w:val="000000" w:themeColor="text1"/>
          <w:szCs w:val="21"/>
        </w:rPr>
        <w:t>出决定，并按照基金份额持有人大会决定的程序进行审议。</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单独或合并持有权益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w:t>
      </w:r>
      <w:r w:rsidRPr="00C86E67">
        <w:rPr>
          <w:rFonts w:asciiTheme="minorEastAsia" w:eastAsiaTheme="minorEastAsia" w:hAnsiTheme="minorEastAsia"/>
          <w:color w:val="000000" w:themeColor="text1"/>
          <w:szCs w:val="21"/>
        </w:rPr>
        <w:t>但法律法规另有规定或中国证监会另有要求的除外。</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议事程序</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现场开会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在现场开会的方式下，首先由大会主持人按照下列第七</w:t>
      </w:r>
      <w:r w:rsidRPr="00C86E67">
        <w:rPr>
          <w:rFonts w:asciiTheme="minorEastAsia" w:eastAsiaTheme="minorEastAsia" w:hAnsiTheme="minorEastAsia" w:hint="eastAsia"/>
          <w:color w:val="000000" w:themeColor="text1"/>
          <w:szCs w:val="21"/>
        </w:rPr>
        <w:t>条</w:t>
      </w:r>
      <w:r w:rsidRPr="00C86E67">
        <w:rPr>
          <w:rFonts w:asciiTheme="minorEastAsia" w:eastAsiaTheme="minorEastAsia" w:hAnsiTheme="minorEastAsia"/>
          <w:color w:val="000000" w:themeColor="text1"/>
          <w:szCs w:val="21"/>
        </w:rPr>
        <w:t>规定程序确定和公布监票人，然后由大会主持人宣读提案，经讨论后进行表决，并形成大会决议。大会主持人为基金管理人授权出席会议的代表，在基金管理人</w:t>
      </w:r>
      <w:r w:rsidRPr="00C86E67">
        <w:rPr>
          <w:rFonts w:asciiTheme="minorEastAsia" w:eastAsiaTheme="minorEastAsia" w:hAnsiTheme="minorEastAsia" w:hint="eastAsia"/>
          <w:color w:val="000000" w:themeColor="text1"/>
          <w:szCs w:val="21"/>
        </w:rPr>
        <w:t>授权代表</w:t>
      </w:r>
      <w:r w:rsidRPr="00C86E67">
        <w:rPr>
          <w:rFonts w:asciiTheme="minorEastAsia" w:eastAsiaTheme="minorEastAsia" w:hAnsiTheme="minorEastAsia"/>
          <w:color w:val="000000" w:themeColor="text1"/>
          <w:szCs w:val="21"/>
        </w:rPr>
        <w:t>未能主持大会的情况下，由基金托管人授权其出席会议的代表主持；如果基金管理人</w:t>
      </w:r>
      <w:r w:rsidRPr="00C86E67">
        <w:rPr>
          <w:rFonts w:asciiTheme="minorEastAsia" w:eastAsiaTheme="minorEastAsia" w:hAnsiTheme="minorEastAsia" w:hint="eastAsia"/>
          <w:color w:val="000000" w:themeColor="text1"/>
          <w:szCs w:val="21"/>
        </w:rPr>
        <w:t>授权代表</w:t>
      </w:r>
      <w:r w:rsidRPr="00C86E67">
        <w:rPr>
          <w:rFonts w:asciiTheme="minorEastAsia" w:eastAsiaTheme="minorEastAsia" w:hAnsiTheme="minorEastAsia"/>
          <w:color w:val="000000" w:themeColor="text1"/>
          <w:szCs w:val="21"/>
        </w:rPr>
        <w:t>和基金托管人</w:t>
      </w:r>
      <w:r w:rsidRPr="00C86E67">
        <w:rPr>
          <w:rFonts w:asciiTheme="minorEastAsia" w:eastAsiaTheme="minorEastAsia" w:hAnsiTheme="minorEastAsia" w:hint="eastAsia"/>
          <w:color w:val="000000" w:themeColor="text1"/>
          <w:szCs w:val="21"/>
        </w:rPr>
        <w:t>授权代表</w:t>
      </w:r>
      <w:r w:rsidRPr="00C86E67">
        <w:rPr>
          <w:rFonts w:asciiTheme="minorEastAsia" w:eastAsiaTheme="minorEastAsia" w:hAnsiTheme="minorEastAsia"/>
          <w:color w:val="000000" w:themeColor="text1"/>
          <w:szCs w:val="21"/>
        </w:rPr>
        <w:t>均未能主持大会，则由出席大会的基金份额持有人</w:t>
      </w:r>
      <w:r w:rsidRPr="00C86E67">
        <w:rPr>
          <w:rFonts w:asciiTheme="minorEastAsia" w:eastAsiaTheme="minorEastAsia" w:hAnsiTheme="minorEastAsia" w:hint="eastAsia"/>
          <w:color w:val="000000" w:themeColor="text1"/>
          <w:szCs w:val="21"/>
        </w:rPr>
        <w:t>所持表决权的</w:t>
      </w:r>
      <w:r w:rsidRPr="00C86E67">
        <w:rPr>
          <w:rFonts w:asciiTheme="minorEastAsia" w:eastAsiaTheme="minorEastAsia" w:hAnsiTheme="minorEastAsia"/>
          <w:color w:val="000000" w:themeColor="text1"/>
          <w:szCs w:val="21"/>
        </w:rPr>
        <w:t>50%以上（含50%）</w:t>
      </w:r>
      <w:r w:rsidRPr="00C86E67">
        <w:rPr>
          <w:rFonts w:asciiTheme="minorEastAsia" w:eastAsiaTheme="minorEastAsia" w:hAnsiTheme="minorEastAsia" w:hint="eastAsia"/>
          <w:color w:val="000000" w:themeColor="text1"/>
          <w:szCs w:val="21"/>
        </w:rPr>
        <w:t>选举</w:t>
      </w:r>
      <w:r w:rsidRPr="00C86E67">
        <w:rPr>
          <w:rFonts w:asciiTheme="minorEastAsia" w:eastAsiaTheme="minorEastAsia" w:hAnsiTheme="minorEastAsia"/>
          <w:color w:val="000000" w:themeColor="text1"/>
          <w:szCs w:val="21"/>
        </w:rPr>
        <w:t>产生一名基金份额持有人作为该次基金份额持有人大会的主持人。</w:t>
      </w:r>
      <w:r w:rsidRPr="00C86E67">
        <w:rPr>
          <w:rFonts w:asciiTheme="minorEastAsia" w:eastAsiaTheme="minorEastAsia" w:hAnsiTheme="minorEastAsia" w:hint="eastAsia"/>
          <w:color w:val="000000" w:themeColor="text1"/>
          <w:szCs w:val="21"/>
        </w:rPr>
        <w:t>基金管理人和基金托管人不出席或主持基金份额持有人大会，不影响基金份额持有人大会作出的决议的效力。</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通讯开会</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在通讯开会的情况下，</w:t>
      </w:r>
      <w:r w:rsidRPr="00C86E67">
        <w:rPr>
          <w:rFonts w:asciiTheme="minorEastAsia" w:eastAsiaTheme="minorEastAsia" w:hAnsiTheme="minorEastAsia" w:hint="eastAsia"/>
          <w:color w:val="000000" w:themeColor="text1"/>
          <w:szCs w:val="21"/>
        </w:rPr>
        <w:t>公告会议通知时应当同时</w:t>
      </w:r>
      <w:r w:rsidRPr="00C86E67">
        <w:rPr>
          <w:rFonts w:asciiTheme="minorEastAsia" w:eastAsiaTheme="minorEastAsia" w:hAnsiTheme="minorEastAsia"/>
          <w:color w:val="000000" w:themeColor="text1"/>
          <w:szCs w:val="21"/>
        </w:rPr>
        <w:t>公布提案，在所通知的表决截止日期</w:t>
      </w:r>
      <w:r w:rsidRPr="00C86E67">
        <w:rPr>
          <w:rFonts w:asciiTheme="minorEastAsia" w:eastAsiaTheme="minorEastAsia" w:hAnsiTheme="minorEastAsia" w:hint="eastAsia"/>
          <w:color w:val="000000" w:themeColor="text1"/>
          <w:szCs w:val="21"/>
        </w:rPr>
        <w:t>后2个工作日内</w:t>
      </w:r>
      <w:r w:rsidRPr="00C86E67">
        <w:rPr>
          <w:rFonts w:asciiTheme="minorEastAsia" w:eastAsiaTheme="minorEastAsia" w:hAnsiTheme="minorEastAsia"/>
          <w:color w:val="000000" w:themeColor="text1"/>
          <w:szCs w:val="21"/>
        </w:rPr>
        <w:t>统计全部有效表决，在公证</w:t>
      </w:r>
      <w:r w:rsidRPr="00C86E67">
        <w:rPr>
          <w:rFonts w:asciiTheme="minorEastAsia" w:eastAsiaTheme="minorEastAsia" w:hAnsiTheme="minorEastAsia" w:hint="eastAsia"/>
          <w:color w:val="000000" w:themeColor="text1"/>
          <w:szCs w:val="21"/>
        </w:rPr>
        <w:t>机关</w:t>
      </w:r>
      <w:r w:rsidRPr="00C86E67">
        <w:rPr>
          <w:rFonts w:asciiTheme="minorEastAsia" w:eastAsiaTheme="minorEastAsia" w:hAnsiTheme="minorEastAsia"/>
          <w:color w:val="000000" w:themeColor="text1"/>
          <w:szCs w:val="21"/>
        </w:rPr>
        <w:t>监督下形成决议。</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表决</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基金份额持有人所持每份基金份额有一票表决权。</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基金份额持有人大会决议分为一般决议和特别决议：</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一般决议，一般决议须经参加大会的基金份额持有人</w:t>
      </w:r>
      <w:r w:rsidRPr="00C86E67">
        <w:rPr>
          <w:rFonts w:asciiTheme="minorEastAsia" w:eastAsiaTheme="minorEastAsia" w:hAnsiTheme="minorEastAsia" w:hint="eastAsia"/>
          <w:color w:val="000000" w:themeColor="text1"/>
          <w:szCs w:val="21"/>
        </w:rPr>
        <w:t>或其代理人</w:t>
      </w:r>
      <w:r w:rsidRPr="00C86E67">
        <w:rPr>
          <w:rFonts w:asciiTheme="minorEastAsia" w:eastAsiaTheme="minorEastAsia" w:hAnsiTheme="minorEastAsia"/>
          <w:color w:val="000000" w:themeColor="text1"/>
          <w:szCs w:val="21"/>
        </w:rPr>
        <w:t>所持表决权的</w:t>
      </w:r>
      <w:r w:rsidRPr="00C86E67">
        <w:rPr>
          <w:rFonts w:asciiTheme="minorEastAsia" w:eastAsiaTheme="minorEastAsia" w:hAnsiTheme="minorEastAsia" w:hint="eastAsia"/>
          <w:color w:val="000000" w:themeColor="text1"/>
          <w:szCs w:val="21"/>
        </w:rPr>
        <w:t>50%</w:t>
      </w:r>
      <w:r w:rsidRPr="00C86E67">
        <w:rPr>
          <w:rFonts w:asciiTheme="minorEastAsia" w:eastAsiaTheme="minorEastAsia" w:hAnsiTheme="minorEastAsia"/>
          <w:color w:val="000000" w:themeColor="text1"/>
          <w:szCs w:val="21"/>
        </w:rPr>
        <w:t>以上（含</w:t>
      </w:r>
      <w:r w:rsidRPr="00C86E67">
        <w:rPr>
          <w:rFonts w:asciiTheme="minorEastAsia" w:eastAsiaTheme="minorEastAsia" w:hAnsiTheme="minorEastAsia" w:hint="eastAsia"/>
          <w:color w:val="000000" w:themeColor="text1"/>
          <w:szCs w:val="21"/>
        </w:rPr>
        <w:t>50%</w:t>
      </w:r>
      <w:r w:rsidRPr="00C86E67">
        <w:rPr>
          <w:rFonts w:asciiTheme="minorEastAsia" w:eastAsiaTheme="minorEastAsia" w:hAnsiTheme="minorEastAsia"/>
          <w:color w:val="000000" w:themeColor="text1"/>
          <w:szCs w:val="21"/>
        </w:rPr>
        <w:t>）通过方为有效；除下列</w:t>
      </w:r>
      <w:r w:rsidRPr="00C86E67">
        <w:rPr>
          <w:rFonts w:asciiTheme="minorEastAsia" w:eastAsiaTheme="minorEastAsia" w:hAnsiTheme="minorEastAsia" w:hint="eastAsia"/>
          <w:color w:val="000000" w:themeColor="text1"/>
          <w:szCs w:val="21"/>
        </w:rPr>
        <w:t>第2项</w:t>
      </w:r>
      <w:r w:rsidRPr="00C86E67">
        <w:rPr>
          <w:rFonts w:asciiTheme="minorEastAsia" w:eastAsiaTheme="minorEastAsia" w:hAnsiTheme="minorEastAsia"/>
          <w:color w:val="000000" w:themeColor="text1"/>
          <w:szCs w:val="21"/>
        </w:rPr>
        <w:t>所规定的须以特别决议通过事项以外的其他事项均以一般决议的方式通过。</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特别决议，特别决议应当经参加大会的基金份额持有人</w:t>
      </w:r>
      <w:r w:rsidRPr="00C86E67">
        <w:rPr>
          <w:rFonts w:asciiTheme="minorEastAsia" w:eastAsiaTheme="minorEastAsia" w:hAnsiTheme="minorEastAsia" w:hint="eastAsia"/>
          <w:color w:val="000000" w:themeColor="text1"/>
          <w:szCs w:val="21"/>
        </w:rPr>
        <w:t>或其代理人</w:t>
      </w:r>
      <w:r w:rsidRPr="00C86E67">
        <w:rPr>
          <w:rFonts w:asciiTheme="minorEastAsia" w:eastAsiaTheme="minorEastAsia" w:hAnsiTheme="minorEastAsia"/>
          <w:color w:val="000000" w:themeColor="text1"/>
          <w:szCs w:val="21"/>
        </w:rPr>
        <w:t>所持表决权的三分之二</w:t>
      </w:r>
      <w:r w:rsidRPr="00C86E67">
        <w:rPr>
          <w:rFonts w:asciiTheme="minorEastAsia" w:eastAsiaTheme="minorEastAsia" w:hAnsiTheme="minorEastAsia" w:hint="eastAsia"/>
          <w:color w:val="000000" w:themeColor="text1"/>
          <w:szCs w:val="21"/>
        </w:rPr>
        <w:t>以上（含</w:t>
      </w:r>
      <w:r w:rsidRPr="00C86E67">
        <w:rPr>
          <w:rFonts w:asciiTheme="minorEastAsia" w:eastAsiaTheme="minorEastAsia" w:hAnsiTheme="minorEastAsia"/>
          <w:color w:val="000000" w:themeColor="text1"/>
          <w:szCs w:val="21"/>
        </w:rPr>
        <w:t>三分之二</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通过方可</w:t>
      </w:r>
      <w:r w:rsidRPr="00C86E67">
        <w:rPr>
          <w:rFonts w:asciiTheme="minorEastAsia" w:eastAsiaTheme="minorEastAsia" w:hAnsiTheme="minorEastAsia" w:hint="eastAsia"/>
          <w:color w:val="000000" w:themeColor="text1"/>
          <w:szCs w:val="21"/>
        </w:rPr>
        <w:t>做</w:t>
      </w:r>
      <w:r w:rsidRPr="00C86E67">
        <w:rPr>
          <w:rFonts w:asciiTheme="minorEastAsia" w:eastAsiaTheme="minorEastAsia" w:hAnsiTheme="minorEastAsia"/>
          <w:color w:val="000000" w:themeColor="text1"/>
          <w:szCs w:val="21"/>
        </w:rPr>
        <w:t>出。转换基金运作方式、更换基金管理人或者基金托管人、终止</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基金合同</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以特别决议通过方为有效。</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基金份额持有人大会采取记名方式进行投票表决。</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采取通讯方式进行表决时，</w:t>
      </w:r>
      <w:r w:rsidRPr="00C86E67">
        <w:rPr>
          <w:rFonts w:asciiTheme="minorEastAsia" w:eastAsiaTheme="minorEastAsia" w:hAnsiTheme="minorEastAsia" w:hint="eastAsia"/>
          <w:color w:val="000000" w:themeColor="text1"/>
          <w:szCs w:val="21"/>
        </w:rPr>
        <w:t>除非在计票时有充分的相反证据证明，提交符合会议通知中规定的确认投资者身份文件的表决视为有效出席的投资者，</w:t>
      </w:r>
      <w:r w:rsidRPr="00C86E67">
        <w:rPr>
          <w:rFonts w:asciiTheme="minorEastAsia" w:eastAsiaTheme="minorEastAsia" w:hAnsiTheme="minorEastAsia"/>
          <w:color w:val="000000" w:themeColor="text1"/>
          <w:szCs w:val="21"/>
        </w:rPr>
        <w:t>符合会议通知规定的书面表决意见视为有效表决</w:t>
      </w:r>
      <w:r w:rsidRPr="00C86E67">
        <w:rPr>
          <w:rFonts w:asciiTheme="minorEastAsia" w:eastAsiaTheme="minorEastAsia" w:hAnsiTheme="minorEastAsia" w:hint="eastAsia"/>
          <w:color w:val="000000" w:themeColor="text1"/>
          <w:szCs w:val="21"/>
        </w:rPr>
        <w:t>，表决意见模糊不清或相互矛盾的视为弃权表决，但应当计入出具书面意见的基金份额持有人所代表的基金份额总数。</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基金份额持有人大会的各项提案或同一项提案内并列的各项议题应当分开审议、逐项表决。</w:t>
      </w:r>
    </w:p>
    <w:p w:rsidR="00C35BC5" w:rsidRPr="00C86E67" w:rsidP="00552BE1">
      <w:pPr>
        <w:adjustRightInd w:val="0"/>
        <w:snapToGrid w:val="0"/>
        <w:spacing w:line="360" w:lineRule="auto"/>
        <w:ind w:firstLine="48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8</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计票</w:t>
      </w:r>
    </w:p>
    <w:p w:rsidR="00C35BC5" w:rsidRPr="00C86E67" w:rsidP="00552BE1">
      <w:pPr>
        <w:snapToGrid w:val="0"/>
        <w:spacing w:line="360" w:lineRule="auto"/>
        <w:ind w:left="420" w:firstLine="59" w:firstLineChars="28"/>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现场开会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w:t>
      </w:r>
      <w:r w:rsidRPr="00C86E67">
        <w:rPr>
          <w:rFonts w:asciiTheme="minorEastAsia" w:eastAsiaTheme="minorEastAsia" w:hAnsiTheme="minorEastAsia"/>
          <w:color w:val="000000" w:themeColor="text1"/>
          <w:szCs w:val="21"/>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sidRPr="00C86E67">
        <w:rPr>
          <w:rFonts w:asciiTheme="minorEastAsia" w:eastAsiaTheme="minorEastAsia" w:hAnsiTheme="minorEastAsia" w:hint="eastAsia"/>
          <w:color w:val="000000" w:themeColor="text1"/>
          <w:szCs w:val="21"/>
        </w:rPr>
        <w:t>或大会虽然由基金管理人或基金托管人召集，但是基金管理人或基金托管人未出席大会的</w:t>
      </w:r>
      <w:r w:rsidRPr="00C86E67">
        <w:rPr>
          <w:rFonts w:asciiTheme="minorEastAsia" w:eastAsiaTheme="minorEastAsia" w:hAnsiTheme="minorEastAsia"/>
          <w:color w:val="000000" w:themeColor="text1"/>
          <w:szCs w:val="21"/>
        </w:rPr>
        <w:t>，基金份额持有人大会的主持人应当在会议开始后宣布在出席会议的基金份额持有人中选举三名基金份额持有人代表担任监票人。</w:t>
      </w:r>
      <w:r w:rsidRPr="00C86E67">
        <w:rPr>
          <w:rFonts w:asciiTheme="minorEastAsia" w:eastAsiaTheme="minorEastAsia" w:hAnsiTheme="minorEastAsia" w:hint="eastAsia"/>
          <w:color w:val="000000" w:themeColor="text1"/>
          <w:szCs w:val="21"/>
        </w:rPr>
        <w:t>基金管理人或基金托管人不出席大会的，不影响计票的效力。</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监票人应当在基金份额持有人表决后立即进行清点并由大会主持人当场公布计票结果。</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color w:val="000000" w:themeColor="text1"/>
          <w:szCs w:val="21"/>
        </w:rPr>
        <w:t>如果会议主持人</w:t>
      </w:r>
      <w:r w:rsidRPr="00C86E67">
        <w:rPr>
          <w:rFonts w:asciiTheme="minorEastAsia" w:eastAsiaTheme="minorEastAsia" w:hAnsiTheme="minorEastAsia" w:hint="eastAsia"/>
          <w:color w:val="000000" w:themeColor="text1"/>
          <w:szCs w:val="21"/>
        </w:rPr>
        <w:t>或</w:t>
      </w:r>
      <w:r w:rsidRPr="00C86E67">
        <w:rPr>
          <w:rFonts w:asciiTheme="minorEastAsia" w:eastAsiaTheme="minorEastAsia" w:hAnsiTheme="minorEastAsia"/>
          <w:color w:val="000000" w:themeColor="text1"/>
          <w:szCs w:val="21"/>
        </w:rPr>
        <w:t>基金份额持有人对于提交的表决结果有怀疑，可以在宣布表决结果后立即对所投票数</w:t>
      </w:r>
      <w:r w:rsidRPr="00C86E67">
        <w:rPr>
          <w:rFonts w:asciiTheme="minorEastAsia" w:eastAsiaTheme="minorEastAsia" w:hAnsiTheme="minorEastAsia" w:hint="eastAsia"/>
          <w:color w:val="000000" w:themeColor="text1"/>
          <w:szCs w:val="21"/>
        </w:rPr>
        <w:t>要求</w:t>
      </w:r>
      <w:r w:rsidRPr="00C86E67">
        <w:rPr>
          <w:rFonts w:asciiTheme="minorEastAsia" w:eastAsiaTheme="minorEastAsia" w:hAnsiTheme="minorEastAsia"/>
          <w:color w:val="000000" w:themeColor="text1"/>
          <w:szCs w:val="21"/>
        </w:rPr>
        <w:t>进行重新清点</w:t>
      </w:r>
      <w:r w:rsidRPr="00C86E67">
        <w:rPr>
          <w:rFonts w:asciiTheme="minorEastAsia" w:eastAsiaTheme="minorEastAsia" w:hAnsiTheme="minorEastAsia" w:hint="eastAsia"/>
          <w:color w:val="000000" w:themeColor="text1"/>
          <w:szCs w:val="21"/>
        </w:rPr>
        <w:t>。监票人应当进行重新清点，重新清点以一次为限。重新清点后，大会主持人应当当场公布重新清点结果。</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4）计票过程应由公证机关予以公证,基金管理人或基金托管人拒不出席大会的，不影响计票的效力。</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通讯开会</w:t>
      </w:r>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在通讯开会的情况下，计票方式为：由大会召集人授权的两名监督员在基金托管人授权代表</w:t>
      </w:r>
      <w:r w:rsidRPr="00C86E67">
        <w:rPr>
          <w:rFonts w:asciiTheme="minorEastAsia" w:eastAsiaTheme="minorEastAsia" w:hAnsiTheme="minorEastAsia" w:hint="eastAsia"/>
          <w:color w:val="000000" w:themeColor="text1"/>
          <w:szCs w:val="21"/>
        </w:rPr>
        <w:t>（若由基金托管人召集，则为基金管理人</w:t>
      </w:r>
      <w:r w:rsidRPr="00C86E67">
        <w:rPr>
          <w:rFonts w:asciiTheme="minorEastAsia" w:eastAsiaTheme="minorEastAsia" w:hAnsiTheme="minorEastAsia"/>
          <w:color w:val="000000" w:themeColor="text1"/>
          <w:szCs w:val="21"/>
        </w:rPr>
        <w:t>授权代表</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的监督下进行计票，并由公证机关对其计票过程予以公证。</w:t>
      </w:r>
      <w:r w:rsidRPr="00C86E67">
        <w:rPr>
          <w:rFonts w:asciiTheme="minorEastAsia" w:eastAsiaTheme="minorEastAsia" w:hAnsiTheme="minorEastAsia" w:hint="eastAsia"/>
          <w:color w:val="000000" w:themeColor="text1"/>
          <w:szCs w:val="21"/>
        </w:rPr>
        <w:t>基金管理人或基金托管人拒派代表对书面表决意见的计票进行监督的，不影响计票和表决结果。</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9</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生效与公告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基金份额持有人大会的决议，召集人应当自通过之日起5日内报中国证监会核准或者备案。</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基金份额持有人大会的决议自中国证监会依法核准或者出具无异议意见之日起生效。</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基金份额持有人大会决议自生效之日起</w:t>
      </w: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color w:val="000000" w:themeColor="text1"/>
          <w:szCs w:val="21"/>
        </w:rPr>
        <w:t>日内在</w:t>
      </w:r>
      <w:r w:rsidRPr="00C86E67" w:rsidR="00C53A0E">
        <w:rPr>
          <w:rFonts w:asciiTheme="minorEastAsia" w:eastAsiaTheme="minorEastAsia" w:hAnsiTheme="minorEastAsia" w:hint="eastAsia"/>
          <w:color w:val="000000" w:themeColor="text1"/>
        </w:rPr>
        <w:t>指定媒介</w:t>
      </w:r>
      <w:r w:rsidRPr="00C86E67">
        <w:rPr>
          <w:rFonts w:asciiTheme="minorEastAsia" w:eastAsiaTheme="minorEastAsia" w:hAnsiTheme="minorEastAsia" w:hint="eastAsia"/>
          <w:color w:val="000000" w:themeColor="text1"/>
          <w:szCs w:val="21"/>
        </w:rPr>
        <w:t>上</w:t>
      </w:r>
      <w:r w:rsidRPr="00C86E67">
        <w:rPr>
          <w:rFonts w:asciiTheme="minorEastAsia" w:eastAsiaTheme="minorEastAsia" w:hAnsiTheme="minorEastAsia"/>
          <w:color w:val="000000" w:themeColor="text1"/>
          <w:szCs w:val="21"/>
        </w:rPr>
        <w:t>公告。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基金管理人、基金托管人和基金份额持有人应当执行生效的基金份额持有人大会的决议。</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基金份额持有人大会决议对全体基金份额持有人、基金管理人、基金托管人均有约束力。</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110" w:name="_Toc91764885"/>
      <w:r w:rsidRPr="00C86E67">
        <w:rPr>
          <w:rFonts w:asciiTheme="minorEastAsia" w:eastAsiaTheme="minorEastAsia" w:hAnsiTheme="minorEastAsia" w:hint="eastAsia"/>
          <w:b w:val="0"/>
          <w:bCs/>
          <w:color w:val="000000" w:themeColor="text1"/>
        </w:rPr>
        <w:t>（六）基金合同的变更和终止</w:t>
      </w:r>
      <w:bookmarkEnd w:id="1110"/>
    </w:p>
    <w:p w:rsidR="00C35BC5" w:rsidRPr="00C86E67" w:rsidP="00552BE1">
      <w:pPr>
        <w:snapToGrid w:val="0"/>
        <w:spacing w:line="360" w:lineRule="auto"/>
        <w:ind w:firstLine="42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szCs w:val="21"/>
        </w:rPr>
        <w:t>1</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基金合同的变更</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（1）除非法律法规和《基金合同》另有规定，对《基金合同》的变更应当召开基金份额持有人大会的，《基金合同》变更的内容应经基金份额持有人大会决议通过，并报中国证监会核准或备案。</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（2）依现行有效的有关法律法规，对《基金合同》的变更自中国证监会核准或出具无异议意见之日起生效。</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除依本《基金合同》和/或依现行有效的有关法律法规，对《基金合同》的变更须基金份额持有人大会决议通过和/或须报中国证监会核准以外的情形，经基金管理人和基金托管人同意可对《基金合同》进行变更后公布，并报中国证监会备案。</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基金合同的终止</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有下列情形之一的，基金合同应当终止：</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（1）基金份额持有人大会决定终止的；</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w:t>
      </w:r>
      <w:r w:rsidRPr="00C86E67">
        <w:rPr>
          <w:rFonts w:asciiTheme="minorEastAsia" w:eastAsiaTheme="minorEastAsia" w:hAnsiTheme="minorEastAsia" w:hint="eastAsia"/>
          <w:color w:val="000000" w:themeColor="text1"/>
        </w:rPr>
        <w:t>基金管理人、基金托管人职责终止，在6个月内没有新基金管理人、新基金托管人承接的</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（3）《基金合同》约定的其他情形；</w:t>
      </w:r>
    </w:p>
    <w:p w:rsidR="00C35BC5" w:rsidRPr="00C86E67" w:rsidP="00552BE1">
      <w:pPr>
        <w:adjustRightInd w:val="0"/>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w:t>
      </w:r>
      <w:r w:rsidRPr="00C86E67">
        <w:rPr>
          <w:rFonts w:asciiTheme="minorEastAsia" w:eastAsiaTheme="minorEastAsia" w:hAnsiTheme="minorEastAsia" w:hint="eastAsia"/>
          <w:color w:val="000000" w:themeColor="text1"/>
          <w:sz w:val="24"/>
          <w:szCs w:val="21"/>
        </w:rPr>
        <w:t>相关法律法规和</w:t>
      </w:r>
      <w:r w:rsidRPr="00C86E67">
        <w:rPr>
          <w:rFonts w:asciiTheme="minorEastAsia" w:eastAsiaTheme="minorEastAsia" w:hAnsiTheme="minorEastAsia" w:hint="eastAsia"/>
          <w:color w:val="000000" w:themeColor="text1"/>
          <w:szCs w:val="21"/>
        </w:rPr>
        <w:t>中国证监会允许的其他情况。</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111" w:name="_Toc38437218"/>
      <w:bookmarkStart w:id="1112" w:name="_Toc38437354"/>
      <w:bookmarkStart w:id="1113" w:name="_Toc38437490"/>
      <w:bookmarkStart w:id="1114" w:name="_Toc38437626"/>
      <w:bookmarkStart w:id="1115" w:name="_Toc38437772"/>
      <w:bookmarkStart w:id="1116" w:name="_Toc38437918"/>
      <w:bookmarkStart w:id="1117" w:name="_Toc38438064"/>
      <w:bookmarkStart w:id="1118" w:name="_Toc38438210"/>
      <w:bookmarkStart w:id="1119" w:name="_Toc38438547"/>
      <w:bookmarkStart w:id="1120" w:name="_Toc38438884"/>
      <w:bookmarkStart w:id="1121" w:name="_Toc38439221"/>
      <w:bookmarkStart w:id="1122" w:name="_Toc38439558"/>
      <w:bookmarkStart w:id="1123" w:name="_Toc38439895"/>
      <w:bookmarkStart w:id="1124" w:name="_Toc38440232"/>
      <w:bookmarkStart w:id="1125" w:name="_Toc38440569"/>
      <w:bookmarkStart w:id="1126" w:name="_Toc38440768"/>
      <w:bookmarkStart w:id="1127" w:name="_Toc38441101"/>
      <w:bookmarkStart w:id="1128" w:name="_Toc38441433"/>
      <w:bookmarkStart w:id="1129" w:name="_Toc38441765"/>
      <w:bookmarkStart w:id="1130" w:name="_Toc38442093"/>
      <w:bookmarkStart w:id="1131" w:name="_Toc38442425"/>
      <w:bookmarkStart w:id="1132" w:name="_Toc38442757"/>
      <w:bookmarkStart w:id="1133" w:name="_Toc38443088"/>
      <w:bookmarkStart w:id="1134" w:name="_Toc38443419"/>
      <w:bookmarkStart w:id="1135" w:name="_Toc38443750"/>
      <w:bookmarkStart w:id="1136" w:name="_Toc38433500"/>
      <w:bookmarkStart w:id="1137" w:name="_Toc38433635"/>
      <w:bookmarkStart w:id="1138" w:name="_Toc38433769"/>
      <w:bookmarkStart w:id="1139" w:name="_Toc38433919"/>
      <w:bookmarkStart w:id="1140" w:name="_Toc38434067"/>
      <w:bookmarkStart w:id="1141" w:name="_Toc38434215"/>
      <w:bookmarkStart w:id="1142" w:name="_Toc38434361"/>
      <w:bookmarkStart w:id="1143" w:name="_Toc38434504"/>
      <w:bookmarkStart w:id="1144" w:name="_Toc38434647"/>
      <w:bookmarkStart w:id="1145" w:name="_Toc38434790"/>
      <w:bookmarkStart w:id="1146" w:name="_Toc38434934"/>
      <w:bookmarkStart w:id="1147" w:name="_Toc38437630"/>
      <w:bookmarkStart w:id="1148" w:name="_Toc38437776"/>
      <w:bookmarkStart w:id="1149" w:name="_Toc38437922"/>
      <w:bookmarkStart w:id="1150" w:name="_Toc38438068"/>
      <w:bookmarkStart w:id="1151" w:name="_Toc38438214"/>
      <w:bookmarkStart w:id="1152" w:name="_Toc38438551"/>
      <w:bookmarkStart w:id="1153" w:name="_Toc38438888"/>
      <w:bookmarkStart w:id="1154" w:name="_Toc38439225"/>
      <w:bookmarkStart w:id="1155" w:name="_Toc38439562"/>
      <w:bookmarkStart w:id="1156" w:name="_Toc38439899"/>
      <w:bookmarkStart w:id="1157" w:name="_Toc38440236"/>
      <w:bookmarkStart w:id="1158" w:name="_Toc38440573"/>
      <w:bookmarkStart w:id="1159" w:name="_Toc38440772"/>
      <w:bookmarkStart w:id="1160" w:name="_Toc38441105"/>
      <w:bookmarkStart w:id="1161" w:name="_Toc38441437"/>
      <w:bookmarkStart w:id="1162" w:name="_Toc38441769"/>
      <w:bookmarkStart w:id="1163" w:name="_Toc38442097"/>
      <w:bookmarkStart w:id="1164" w:name="_Toc38442429"/>
      <w:bookmarkStart w:id="1165" w:name="_Toc38442761"/>
      <w:bookmarkStart w:id="1166" w:name="_Toc38443092"/>
      <w:bookmarkStart w:id="1167" w:name="_Toc38443423"/>
      <w:bookmarkStart w:id="1168" w:name="_Toc38443754"/>
      <w:bookmarkStart w:id="1169" w:name="_Toc38433501"/>
      <w:bookmarkStart w:id="1170" w:name="_Toc38433636"/>
      <w:bookmarkStart w:id="1171" w:name="_Toc38433770"/>
      <w:bookmarkStart w:id="1172" w:name="_Toc38433920"/>
      <w:bookmarkStart w:id="1173" w:name="_Toc38434068"/>
      <w:bookmarkStart w:id="1174" w:name="_Toc38434216"/>
      <w:bookmarkStart w:id="1175" w:name="_Toc38434362"/>
      <w:bookmarkStart w:id="1176" w:name="_Toc38434505"/>
      <w:bookmarkStart w:id="1177" w:name="_Toc38434648"/>
      <w:bookmarkStart w:id="1178" w:name="_Toc38434791"/>
      <w:bookmarkStart w:id="1179" w:name="_Toc38434935"/>
      <w:bookmarkStart w:id="1180" w:name="_Toc38437631"/>
      <w:bookmarkStart w:id="1181" w:name="_Toc38437777"/>
      <w:bookmarkStart w:id="1182" w:name="_Toc38437923"/>
      <w:bookmarkStart w:id="1183" w:name="_Toc38438069"/>
      <w:bookmarkStart w:id="1184" w:name="_Toc38438215"/>
      <w:bookmarkStart w:id="1185" w:name="_Toc38438552"/>
      <w:bookmarkStart w:id="1186" w:name="_Toc38438889"/>
      <w:bookmarkStart w:id="1187" w:name="_Toc38439226"/>
      <w:bookmarkStart w:id="1188" w:name="_Toc38439563"/>
      <w:bookmarkStart w:id="1189" w:name="_Toc38439900"/>
      <w:bookmarkStart w:id="1190" w:name="_Toc38440237"/>
      <w:bookmarkStart w:id="1191" w:name="_Toc38440574"/>
      <w:bookmarkStart w:id="1192" w:name="_Toc38440773"/>
      <w:bookmarkStart w:id="1193" w:name="_Toc38441106"/>
      <w:bookmarkStart w:id="1194" w:name="_Toc38441438"/>
      <w:bookmarkStart w:id="1195" w:name="_Toc38441770"/>
      <w:bookmarkStart w:id="1196" w:name="_Toc38442098"/>
      <w:bookmarkStart w:id="1197" w:name="_Toc38442430"/>
      <w:bookmarkStart w:id="1198" w:name="_Toc38442762"/>
      <w:bookmarkStart w:id="1199" w:name="_Toc38443093"/>
      <w:bookmarkStart w:id="1200" w:name="_Toc38443424"/>
      <w:bookmarkStart w:id="1201" w:name="_Toc38443755"/>
      <w:bookmarkStart w:id="1202" w:name="_Toc38433502"/>
      <w:bookmarkStart w:id="1203" w:name="_Toc38433637"/>
      <w:bookmarkStart w:id="1204" w:name="_Toc38433771"/>
      <w:bookmarkStart w:id="1205" w:name="_Toc38433921"/>
      <w:bookmarkStart w:id="1206" w:name="_Toc38434069"/>
      <w:bookmarkStart w:id="1207" w:name="_Toc38434217"/>
      <w:bookmarkStart w:id="1208" w:name="_Toc38434363"/>
      <w:bookmarkStart w:id="1209" w:name="_Toc38434506"/>
      <w:bookmarkStart w:id="1210" w:name="_Toc38434649"/>
      <w:bookmarkStart w:id="1211" w:name="_Toc38434792"/>
      <w:bookmarkStart w:id="1212" w:name="_Toc38434936"/>
      <w:bookmarkStart w:id="1213" w:name="_Toc38437632"/>
      <w:bookmarkStart w:id="1214" w:name="_Toc38437778"/>
      <w:bookmarkStart w:id="1215" w:name="_Toc38437924"/>
      <w:bookmarkStart w:id="1216" w:name="_Toc38438070"/>
      <w:bookmarkStart w:id="1217" w:name="_Toc38438216"/>
      <w:bookmarkStart w:id="1218" w:name="_Toc38438553"/>
      <w:bookmarkStart w:id="1219" w:name="_Toc38438890"/>
      <w:bookmarkStart w:id="1220" w:name="_Toc38439227"/>
      <w:bookmarkStart w:id="1221" w:name="_Toc38439564"/>
      <w:bookmarkStart w:id="1222" w:name="_Toc38439901"/>
      <w:bookmarkStart w:id="1223" w:name="_Toc38440238"/>
      <w:bookmarkStart w:id="1224" w:name="_Toc38440575"/>
      <w:bookmarkStart w:id="1225" w:name="_Toc38440774"/>
      <w:bookmarkStart w:id="1226" w:name="_Toc38441107"/>
      <w:bookmarkStart w:id="1227" w:name="_Toc38441439"/>
      <w:bookmarkStart w:id="1228" w:name="_Toc38441771"/>
      <w:bookmarkStart w:id="1229" w:name="_Toc38442099"/>
      <w:bookmarkStart w:id="1230" w:name="_Toc38442431"/>
      <w:bookmarkStart w:id="1231" w:name="_Toc38442763"/>
      <w:bookmarkStart w:id="1232" w:name="_Toc38443094"/>
      <w:bookmarkStart w:id="1233" w:name="_Toc38443425"/>
      <w:bookmarkStart w:id="1234" w:name="_Toc38443756"/>
      <w:bookmarkStart w:id="1235" w:name="_Toc38433503"/>
      <w:bookmarkStart w:id="1236" w:name="_Toc38433638"/>
      <w:bookmarkStart w:id="1237" w:name="_Toc38433772"/>
      <w:bookmarkStart w:id="1238" w:name="_Toc38433922"/>
      <w:bookmarkStart w:id="1239" w:name="_Toc38434070"/>
      <w:bookmarkStart w:id="1240" w:name="_Toc38434218"/>
      <w:bookmarkStart w:id="1241" w:name="_Toc38434364"/>
      <w:bookmarkStart w:id="1242" w:name="_Toc38434507"/>
      <w:bookmarkStart w:id="1243" w:name="_Toc38434650"/>
      <w:bookmarkStart w:id="1244" w:name="_Toc38434793"/>
      <w:bookmarkStart w:id="1245" w:name="_Toc38434937"/>
      <w:bookmarkStart w:id="1246" w:name="_Toc38437633"/>
      <w:bookmarkStart w:id="1247" w:name="_Toc38437779"/>
      <w:bookmarkStart w:id="1248" w:name="_Toc38437925"/>
      <w:bookmarkStart w:id="1249" w:name="_Toc38438071"/>
      <w:bookmarkStart w:id="1250" w:name="_Toc38438217"/>
      <w:bookmarkStart w:id="1251" w:name="_Toc38438554"/>
      <w:bookmarkStart w:id="1252" w:name="_Toc38438891"/>
      <w:bookmarkStart w:id="1253" w:name="_Toc38439228"/>
      <w:bookmarkStart w:id="1254" w:name="_Toc38439565"/>
      <w:bookmarkStart w:id="1255" w:name="_Toc38439902"/>
      <w:bookmarkStart w:id="1256" w:name="_Toc38440239"/>
      <w:bookmarkStart w:id="1257" w:name="_Toc38440576"/>
      <w:bookmarkStart w:id="1258" w:name="_Toc38440775"/>
      <w:bookmarkStart w:id="1259" w:name="_Toc38441108"/>
      <w:bookmarkStart w:id="1260" w:name="_Toc38441440"/>
      <w:bookmarkStart w:id="1261" w:name="_Toc38441772"/>
      <w:bookmarkStart w:id="1262" w:name="_Toc38442100"/>
      <w:bookmarkStart w:id="1263" w:name="_Toc38442432"/>
      <w:bookmarkStart w:id="1264" w:name="_Toc38442764"/>
      <w:bookmarkStart w:id="1265" w:name="_Toc38443095"/>
      <w:bookmarkStart w:id="1266" w:name="_Toc38443426"/>
      <w:bookmarkStart w:id="1267" w:name="_Toc38443757"/>
      <w:bookmarkStart w:id="1268" w:name="_Toc38433504"/>
      <w:bookmarkStart w:id="1269" w:name="_Toc38433639"/>
      <w:bookmarkStart w:id="1270" w:name="_Toc38433773"/>
      <w:bookmarkStart w:id="1271" w:name="_Toc38433923"/>
      <w:bookmarkStart w:id="1272" w:name="_Toc38434071"/>
      <w:bookmarkStart w:id="1273" w:name="_Toc38434219"/>
      <w:bookmarkStart w:id="1274" w:name="_Toc38434365"/>
      <w:bookmarkStart w:id="1275" w:name="_Toc38434508"/>
      <w:bookmarkStart w:id="1276" w:name="_Toc38434651"/>
      <w:bookmarkStart w:id="1277" w:name="_Toc38434794"/>
      <w:bookmarkStart w:id="1278" w:name="_Toc38434938"/>
      <w:bookmarkStart w:id="1279" w:name="_Toc38437634"/>
      <w:bookmarkStart w:id="1280" w:name="_Toc38437780"/>
      <w:bookmarkStart w:id="1281" w:name="_Toc38437926"/>
      <w:bookmarkStart w:id="1282" w:name="_Toc38438072"/>
      <w:bookmarkStart w:id="1283" w:name="_Toc38438218"/>
      <w:bookmarkStart w:id="1284" w:name="_Toc38438555"/>
      <w:bookmarkStart w:id="1285" w:name="_Toc38438892"/>
      <w:bookmarkStart w:id="1286" w:name="_Toc38439229"/>
      <w:bookmarkStart w:id="1287" w:name="_Toc38439566"/>
      <w:bookmarkStart w:id="1288" w:name="_Toc38439903"/>
      <w:bookmarkStart w:id="1289" w:name="_Toc38440240"/>
      <w:bookmarkStart w:id="1290" w:name="_Toc38440577"/>
      <w:bookmarkStart w:id="1291" w:name="_Toc38440776"/>
      <w:bookmarkStart w:id="1292" w:name="_Toc38441109"/>
      <w:bookmarkStart w:id="1293" w:name="_Toc38441441"/>
      <w:bookmarkStart w:id="1294" w:name="_Toc38441773"/>
      <w:bookmarkStart w:id="1295" w:name="_Toc38442101"/>
      <w:bookmarkStart w:id="1296" w:name="_Toc38442433"/>
      <w:bookmarkStart w:id="1297" w:name="_Toc38442765"/>
      <w:bookmarkStart w:id="1298" w:name="_Toc38443096"/>
      <w:bookmarkStart w:id="1299" w:name="_Toc38443427"/>
      <w:bookmarkStart w:id="1300" w:name="_Toc38443758"/>
      <w:bookmarkStart w:id="1301" w:name="_Toc38433505"/>
      <w:bookmarkStart w:id="1302" w:name="_Toc38433640"/>
      <w:bookmarkStart w:id="1303" w:name="_Toc38433774"/>
      <w:bookmarkStart w:id="1304" w:name="_Toc38433924"/>
      <w:bookmarkStart w:id="1305" w:name="_Toc38434072"/>
      <w:bookmarkStart w:id="1306" w:name="_Toc38434220"/>
      <w:bookmarkStart w:id="1307" w:name="_Toc38434366"/>
      <w:bookmarkStart w:id="1308" w:name="_Toc38434509"/>
      <w:bookmarkStart w:id="1309" w:name="_Toc38434652"/>
      <w:bookmarkStart w:id="1310" w:name="_Toc38434795"/>
      <w:bookmarkStart w:id="1311" w:name="_Toc38434939"/>
      <w:bookmarkStart w:id="1312" w:name="_Toc38437635"/>
      <w:bookmarkStart w:id="1313" w:name="_Toc38437781"/>
      <w:bookmarkStart w:id="1314" w:name="_Toc38437927"/>
      <w:bookmarkStart w:id="1315" w:name="_Toc38438073"/>
      <w:bookmarkStart w:id="1316" w:name="_Toc38438219"/>
      <w:bookmarkStart w:id="1317" w:name="_Toc38438556"/>
      <w:bookmarkStart w:id="1318" w:name="_Toc38438893"/>
      <w:bookmarkStart w:id="1319" w:name="_Toc38439230"/>
      <w:bookmarkStart w:id="1320" w:name="_Toc38439567"/>
      <w:bookmarkStart w:id="1321" w:name="_Toc38439904"/>
      <w:bookmarkStart w:id="1322" w:name="_Toc38440241"/>
      <w:bookmarkStart w:id="1323" w:name="_Toc38440578"/>
      <w:bookmarkStart w:id="1324" w:name="_Toc38440777"/>
      <w:bookmarkStart w:id="1325" w:name="_Toc38441110"/>
      <w:bookmarkStart w:id="1326" w:name="_Toc38441442"/>
      <w:bookmarkStart w:id="1327" w:name="_Toc38441774"/>
      <w:bookmarkStart w:id="1328" w:name="_Toc38442102"/>
      <w:bookmarkStart w:id="1329" w:name="_Toc38442434"/>
      <w:bookmarkStart w:id="1330" w:name="_Toc38442766"/>
      <w:bookmarkStart w:id="1331" w:name="_Toc38443097"/>
      <w:bookmarkStart w:id="1332" w:name="_Toc38443428"/>
      <w:bookmarkStart w:id="1333" w:name="_Toc38443759"/>
      <w:bookmarkStart w:id="1334" w:name="_Toc38433506"/>
      <w:bookmarkStart w:id="1335" w:name="_Toc38433641"/>
      <w:bookmarkStart w:id="1336" w:name="_Toc38433775"/>
      <w:bookmarkStart w:id="1337" w:name="_Toc38433925"/>
      <w:bookmarkStart w:id="1338" w:name="_Toc38434073"/>
      <w:bookmarkStart w:id="1339" w:name="_Toc38434221"/>
      <w:bookmarkStart w:id="1340" w:name="_Toc38434367"/>
      <w:bookmarkStart w:id="1341" w:name="_Toc38434510"/>
      <w:bookmarkStart w:id="1342" w:name="_Toc38434653"/>
      <w:bookmarkStart w:id="1343" w:name="_Toc38434796"/>
      <w:bookmarkStart w:id="1344" w:name="_Toc38434940"/>
      <w:bookmarkStart w:id="1345" w:name="_Toc38437636"/>
      <w:bookmarkStart w:id="1346" w:name="_Toc38437782"/>
      <w:bookmarkStart w:id="1347" w:name="_Toc38437928"/>
      <w:bookmarkStart w:id="1348" w:name="_Toc38438074"/>
      <w:bookmarkStart w:id="1349" w:name="_Toc38438220"/>
      <w:bookmarkStart w:id="1350" w:name="_Toc38438557"/>
      <w:bookmarkStart w:id="1351" w:name="_Toc38438894"/>
      <w:bookmarkStart w:id="1352" w:name="_Toc38439231"/>
      <w:bookmarkStart w:id="1353" w:name="_Toc38439568"/>
      <w:bookmarkStart w:id="1354" w:name="_Toc38439905"/>
      <w:bookmarkStart w:id="1355" w:name="_Toc38440242"/>
      <w:bookmarkStart w:id="1356" w:name="_Toc38440579"/>
      <w:bookmarkStart w:id="1357" w:name="_Toc38440778"/>
      <w:bookmarkStart w:id="1358" w:name="_Toc38441111"/>
      <w:bookmarkStart w:id="1359" w:name="_Toc38441443"/>
      <w:bookmarkStart w:id="1360" w:name="_Toc38441775"/>
      <w:bookmarkStart w:id="1361" w:name="_Toc38442103"/>
      <w:bookmarkStart w:id="1362" w:name="_Toc38442435"/>
      <w:bookmarkStart w:id="1363" w:name="_Toc38442767"/>
      <w:bookmarkStart w:id="1364" w:name="_Toc38443098"/>
      <w:bookmarkStart w:id="1365" w:name="_Toc38443429"/>
      <w:bookmarkStart w:id="1366" w:name="_Toc38443760"/>
      <w:bookmarkStart w:id="1367" w:name="_Toc38433507"/>
      <w:bookmarkStart w:id="1368" w:name="_Toc38433642"/>
      <w:bookmarkStart w:id="1369" w:name="_Toc38433776"/>
      <w:bookmarkStart w:id="1370" w:name="_Toc38433926"/>
      <w:bookmarkStart w:id="1371" w:name="_Toc38434074"/>
      <w:bookmarkStart w:id="1372" w:name="_Toc38434222"/>
      <w:bookmarkStart w:id="1373" w:name="_Toc38434368"/>
      <w:bookmarkStart w:id="1374" w:name="_Toc38434511"/>
      <w:bookmarkStart w:id="1375" w:name="_Toc38434654"/>
      <w:bookmarkStart w:id="1376" w:name="_Toc38434797"/>
      <w:bookmarkStart w:id="1377" w:name="_Toc38434941"/>
      <w:bookmarkStart w:id="1378" w:name="_Toc38437637"/>
      <w:bookmarkStart w:id="1379" w:name="_Toc38437783"/>
      <w:bookmarkStart w:id="1380" w:name="_Toc38437929"/>
      <w:bookmarkStart w:id="1381" w:name="_Toc38438075"/>
      <w:bookmarkStart w:id="1382" w:name="_Toc38438221"/>
      <w:bookmarkStart w:id="1383" w:name="_Toc38438558"/>
      <w:bookmarkStart w:id="1384" w:name="_Toc38438895"/>
      <w:bookmarkStart w:id="1385" w:name="_Toc38439232"/>
      <w:bookmarkStart w:id="1386" w:name="_Toc38439569"/>
      <w:bookmarkStart w:id="1387" w:name="_Toc38439906"/>
      <w:bookmarkStart w:id="1388" w:name="_Toc38440243"/>
      <w:bookmarkStart w:id="1389" w:name="_Toc38440580"/>
      <w:bookmarkStart w:id="1390" w:name="_Toc38440779"/>
      <w:bookmarkStart w:id="1391" w:name="_Toc38441112"/>
      <w:bookmarkStart w:id="1392" w:name="_Toc38441444"/>
      <w:bookmarkStart w:id="1393" w:name="_Toc38441776"/>
      <w:bookmarkStart w:id="1394" w:name="_Toc38442104"/>
      <w:bookmarkStart w:id="1395" w:name="_Toc38442436"/>
      <w:bookmarkStart w:id="1396" w:name="_Toc38442768"/>
      <w:bookmarkStart w:id="1397" w:name="_Toc38443099"/>
      <w:bookmarkStart w:id="1398" w:name="_Toc38443430"/>
      <w:bookmarkStart w:id="1399" w:name="_Toc38443761"/>
      <w:bookmarkStart w:id="1400" w:name="_Toc38433508"/>
      <w:bookmarkStart w:id="1401" w:name="_Toc38433643"/>
      <w:bookmarkStart w:id="1402" w:name="_Toc38433777"/>
      <w:bookmarkStart w:id="1403" w:name="_Toc38433927"/>
      <w:bookmarkStart w:id="1404" w:name="_Toc38434075"/>
      <w:bookmarkStart w:id="1405" w:name="_Toc38434223"/>
      <w:bookmarkStart w:id="1406" w:name="_Toc38434369"/>
      <w:bookmarkStart w:id="1407" w:name="_Toc38434512"/>
      <w:bookmarkStart w:id="1408" w:name="_Toc38434655"/>
      <w:bookmarkStart w:id="1409" w:name="_Toc38434798"/>
      <w:bookmarkStart w:id="1410" w:name="_Toc38434942"/>
      <w:bookmarkStart w:id="1411" w:name="_Toc38437638"/>
      <w:bookmarkStart w:id="1412" w:name="_Toc38437784"/>
      <w:bookmarkStart w:id="1413" w:name="_Toc38437930"/>
      <w:bookmarkStart w:id="1414" w:name="_Toc38438076"/>
      <w:bookmarkStart w:id="1415" w:name="_Toc38438222"/>
      <w:bookmarkStart w:id="1416" w:name="_Toc38438559"/>
      <w:bookmarkStart w:id="1417" w:name="_Toc38438896"/>
      <w:bookmarkStart w:id="1418" w:name="_Toc38439233"/>
      <w:bookmarkStart w:id="1419" w:name="_Toc38439570"/>
      <w:bookmarkStart w:id="1420" w:name="_Toc38439907"/>
      <w:bookmarkStart w:id="1421" w:name="_Toc38440244"/>
      <w:bookmarkStart w:id="1422" w:name="_Toc38440581"/>
      <w:bookmarkStart w:id="1423" w:name="_Toc38440780"/>
      <w:bookmarkStart w:id="1424" w:name="_Toc38441113"/>
      <w:bookmarkStart w:id="1425" w:name="_Toc38441445"/>
      <w:bookmarkStart w:id="1426" w:name="_Toc38441777"/>
      <w:bookmarkStart w:id="1427" w:name="_Toc38442105"/>
      <w:bookmarkStart w:id="1428" w:name="_Toc38442437"/>
      <w:bookmarkStart w:id="1429" w:name="_Toc38442769"/>
      <w:bookmarkStart w:id="1430" w:name="_Toc38443100"/>
      <w:bookmarkStart w:id="1431" w:name="_Toc38443431"/>
      <w:bookmarkStart w:id="1432" w:name="_Toc38443762"/>
      <w:bookmarkStart w:id="1433" w:name="_Toc38433510"/>
      <w:bookmarkStart w:id="1434" w:name="_Toc38433645"/>
      <w:bookmarkStart w:id="1435" w:name="_Toc38433779"/>
      <w:bookmarkStart w:id="1436" w:name="_Toc38433929"/>
      <w:bookmarkStart w:id="1437" w:name="_Toc38434077"/>
      <w:bookmarkStart w:id="1438" w:name="_Toc38434225"/>
      <w:bookmarkStart w:id="1439" w:name="_Toc38434371"/>
      <w:bookmarkStart w:id="1440" w:name="_Toc38434514"/>
      <w:bookmarkStart w:id="1441" w:name="_Toc38434657"/>
      <w:bookmarkStart w:id="1442" w:name="_Toc38434800"/>
      <w:bookmarkStart w:id="1443" w:name="_Toc38434944"/>
      <w:bookmarkStart w:id="1444" w:name="_Toc38437640"/>
      <w:bookmarkStart w:id="1445" w:name="_Toc38437786"/>
      <w:bookmarkStart w:id="1446" w:name="_Toc38437932"/>
      <w:bookmarkStart w:id="1447" w:name="_Toc38438078"/>
      <w:bookmarkStart w:id="1448" w:name="_Toc38438224"/>
      <w:bookmarkStart w:id="1449" w:name="_Toc38438561"/>
      <w:bookmarkStart w:id="1450" w:name="_Toc38438898"/>
      <w:bookmarkStart w:id="1451" w:name="_Toc38439235"/>
      <w:bookmarkStart w:id="1452" w:name="_Toc38439572"/>
      <w:bookmarkStart w:id="1453" w:name="_Toc38439909"/>
      <w:bookmarkStart w:id="1454" w:name="_Toc38440246"/>
      <w:bookmarkStart w:id="1455" w:name="_Toc38440583"/>
      <w:bookmarkStart w:id="1456" w:name="_Toc38440782"/>
      <w:bookmarkStart w:id="1457" w:name="_Toc38441115"/>
      <w:bookmarkStart w:id="1458" w:name="_Toc38441447"/>
      <w:bookmarkStart w:id="1459" w:name="_Toc38441779"/>
      <w:bookmarkStart w:id="1460" w:name="_Toc38442107"/>
      <w:bookmarkStart w:id="1461" w:name="_Toc38442439"/>
      <w:bookmarkStart w:id="1462" w:name="_Toc38442771"/>
      <w:bookmarkStart w:id="1463" w:name="_Toc38443102"/>
      <w:bookmarkStart w:id="1464" w:name="_Toc38443433"/>
      <w:bookmarkStart w:id="1465" w:name="_Toc38443764"/>
      <w:bookmarkStart w:id="1466" w:name="_Toc13148353"/>
      <w:bookmarkStart w:id="1467" w:name="_Toc13150581"/>
      <w:bookmarkStart w:id="1468" w:name="_Toc13291966"/>
      <w:bookmarkStart w:id="1469" w:name="_Toc13504692"/>
      <w:bookmarkStart w:id="1470" w:name="_Toc13504808"/>
      <w:bookmarkStart w:id="1471" w:name="_Toc13556301"/>
      <w:bookmarkStart w:id="1472" w:name="_Toc14337423"/>
      <w:bookmarkStart w:id="1473" w:name="_Toc13148354"/>
      <w:bookmarkStart w:id="1474" w:name="_Toc13150582"/>
      <w:bookmarkStart w:id="1475" w:name="_Toc13291967"/>
      <w:bookmarkStart w:id="1476" w:name="_Toc13504693"/>
      <w:bookmarkStart w:id="1477" w:name="_Toc13504809"/>
      <w:bookmarkStart w:id="1478" w:name="_Toc13556302"/>
      <w:bookmarkStart w:id="1479" w:name="_Toc14337424"/>
      <w:bookmarkStart w:id="1480" w:name="_Toc13148355"/>
      <w:bookmarkStart w:id="1481" w:name="_Toc13150583"/>
      <w:bookmarkStart w:id="1482" w:name="_Toc13291968"/>
      <w:bookmarkStart w:id="1483" w:name="_Toc13504694"/>
      <w:bookmarkStart w:id="1484" w:name="_Toc13504810"/>
      <w:bookmarkStart w:id="1485" w:name="_Toc13556303"/>
      <w:bookmarkStart w:id="1486" w:name="_Toc14337425"/>
      <w:bookmarkStart w:id="1487" w:name="_Toc13148356"/>
      <w:bookmarkStart w:id="1488" w:name="_Toc13150584"/>
      <w:bookmarkStart w:id="1489" w:name="_Toc13291969"/>
      <w:bookmarkStart w:id="1490" w:name="_Toc13504695"/>
      <w:bookmarkStart w:id="1491" w:name="_Toc13504811"/>
      <w:bookmarkStart w:id="1492" w:name="_Toc13556304"/>
      <w:bookmarkStart w:id="1493" w:name="_Toc14337426"/>
      <w:bookmarkStart w:id="1494" w:name="_Toc13148357"/>
      <w:bookmarkStart w:id="1495" w:name="_Toc13150585"/>
      <w:bookmarkStart w:id="1496" w:name="_Toc13291970"/>
      <w:bookmarkStart w:id="1497" w:name="_Toc13504696"/>
      <w:bookmarkStart w:id="1498" w:name="_Toc13504812"/>
      <w:bookmarkStart w:id="1499" w:name="_Toc13556305"/>
      <w:bookmarkStart w:id="1500" w:name="_Toc14337427"/>
      <w:bookmarkStart w:id="1501" w:name="_Toc13148358"/>
      <w:bookmarkStart w:id="1502" w:name="_Toc13150586"/>
      <w:bookmarkStart w:id="1503" w:name="_Toc13291971"/>
      <w:bookmarkStart w:id="1504" w:name="_Toc13504697"/>
      <w:bookmarkStart w:id="1505" w:name="_Toc13504813"/>
      <w:bookmarkStart w:id="1506" w:name="_Toc13556306"/>
      <w:bookmarkStart w:id="1507" w:name="_Toc14337428"/>
      <w:bookmarkStart w:id="1508" w:name="_Toc13148359"/>
      <w:bookmarkStart w:id="1509" w:name="_Toc13150587"/>
      <w:bookmarkStart w:id="1510" w:name="_Toc13291972"/>
      <w:bookmarkStart w:id="1511" w:name="_Toc13504698"/>
      <w:bookmarkStart w:id="1512" w:name="_Toc13504814"/>
      <w:bookmarkStart w:id="1513" w:name="_Toc13556307"/>
      <w:bookmarkStart w:id="1514" w:name="_Toc14337429"/>
      <w:bookmarkStart w:id="1515" w:name="_Toc13148360"/>
      <w:bookmarkStart w:id="1516" w:name="_Toc13150588"/>
      <w:bookmarkStart w:id="1517" w:name="_Toc13291973"/>
      <w:bookmarkStart w:id="1518" w:name="_Toc13504699"/>
      <w:bookmarkStart w:id="1519" w:name="_Toc13504815"/>
      <w:bookmarkStart w:id="1520" w:name="_Toc13556308"/>
      <w:bookmarkStart w:id="1521" w:name="_Toc14337430"/>
      <w:bookmarkStart w:id="1522" w:name="_Toc13148361"/>
      <w:bookmarkStart w:id="1523" w:name="_Toc13150589"/>
      <w:bookmarkStart w:id="1524" w:name="_Toc13291974"/>
      <w:bookmarkStart w:id="1525" w:name="_Toc13504700"/>
      <w:bookmarkStart w:id="1526" w:name="_Toc13504816"/>
      <w:bookmarkStart w:id="1527" w:name="_Toc13556309"/>
      <w:bookmarkStart w:id="1528" w:name="_Toc14337431"/>
      <w:bookmarkStart w:id="1529" w:name="_Toc13148362"/>
      <w:bookmarkStart w:id="1530" w:name="_Toc13150590"/>
      <w:bookmarkStart w:id="1531" w:name="_Toc13291975"/>
      <w:bookmarkStart w:id="1532" w:name="_Toc13504701"/>
      <w:bookmarkStart w:id="1533" w:name="_Toc13504817"/>
      <w:bookmarkStart w:id="1534" w:name="_Toc13556310"/>
      <w:bookmarkStart w:id="1535" w:name="_Toc14337432"/>
      <w:bookmarkStart w:id="1536" w:name="_Toc13148369"/>
      <w:bookmarkStart w:id="1537" w:name="_Toc13150597"/>
      <w:bookmarkStart w:id="1538" w:name="_Toc13291982"/>
      <w:bookmarkStart w:id="1539" w:name="_Toc13504708"/>
      <w:bookmarkStart w:id="1540" w:name="_Toc13504824"/>
      <w:bookmarkStart w:id="1541" w:name="_Toc13556317"/>
      <w:bookmarkStart w:id="1542" w:name="_Toc14337439"/>
      <w:bookmarkStart w:id="1543" w:name="_Toc13148370"/>
      <w:bookmarkStart w:id="1544" w:name="_Toc13150598"/>
      <w:bookmarkStart w:id="1545" w:name="_Toc13291983"/>
      <w:bookmarkStart w:id="1546" w:name="_Toc13504709"/>
      <w:bookmarkStart w:id="1547" w:name="_Toc13504825"/>
      <w:bookmarkStart w:id="1548" w:name="_Toc13556318"/>
      <w:bookmarkStart w:id="1549" w:name="_Toc14337440"/>
      <w:bookmarkStart w:id="1550" w:name="_Toc13148371"/>
      <w:bookmarkStart w:id="1551" w:name="_Toc13150599"/>
      <w:bookmarkStart w:id="1552" w:name="_Toc13291984"/>
      <w:bookmarkStart w:id="1553" w:name="_Toc13504710"/>
      <w:bookmarkStart w:id="1554" w:name="_Toc13504826"/>
      <w:bookmarkStart w:id="1555" w:name="_Toc13556319"/>
      <w:bookmarkStart w:id="1556" w:name="_Toc14337441"/>
      <w:bookmarkStart w:id="1557" w:name="_Toc13148372"/>
      <w:bookmarkStart w:id="1558" w:name="_Toc13150600"/>
      <w:bookmarkStart w:id="1559" w:name="_Toc13291985"/>
      <w:bookmarkStart w:id="1560" w:name="_Toc13504711"/>
      <w:bookmarkStart w:id="1561" w:name="_Toc13504827"/>
      <w:bookmarkStart w:id="1562" w:name="_Toc13556320"/>
      <w:bookmarkStart w:id="1563" w:name="_Toc14337442"/>
      <w:bookmarkStart w:id="1564" w:name="_Toc13148373"/>
      <w:bookmarkStart w:id="1565" w:name="_Toc13150601"/>
      <w:bookmarkStart w:id="1566" w:name="_Toc13291986"/>
      <w:bookmarkStart w:id="1567" w:name="_Toc13504712"/>
      <w:bookmarkStart w:id="1568" w:name="_Toc13504828"/>
      <w:bookmarkStart w:id="1569" w:name="_Toc13556321"/>
      <w:bookmarkStart w:id="1570" w:name="_Toc14337443"/>
      <w:bookmarkStart w:id="1571" w:name="_Toc13148374"/>
      <w:bookmarkStart w:id="1572" w:name="_Toc13150602"/>
      <w:bookmarkStart w:id="1573" w:name="_Toc13291987"/>
      <w:bookmarkStart w:id="1574" w:name="_Toc13504713"/>
      <w:bookmarkStart w:id="1575" w:name="_Toc13504829"/>
      <w:bookmarkStart w:id="1576" w:name="_Toc13556322"/>
      <w:bookmarkStart w:id="1577" w:name="_Toc14337444"/>
      <w:bookmarkStart w:id="1578" w:name="_Toc13148376"/>
      <w:bookmarkStart w:id="1579" w:name="_Toc13150604"/>
      <w:bookmarkStart w:id="1580" w:name="_Toc13291989"/>
      <w:bookmarkStart w:id="1581" w:name="_Toc13504715"/>
      <w:bookmarkStart w:id="1582" w:name="_Toc13504831"/>
      <w:bookmarkStart w:id="1583" w:name="_Toc13556324"/>
      <w:bookmarkStart w:id="1584" w:name="_Toc14337446"/>
      <w:bookmarkStart w:id="1585" w:name="_Toc13148377"/>
      <w:bookmarkStart w:id="1586" w:name="_Toc13150605"/>
      <w:bookmarkStart w:id="1587" w:name="_Toc13291990"/>
      <w:bookmarkStart w:id="1588" w:name="_Toc13504716"/>
      <w:bookmarkStart w:id="1589" w:name="_Toc13504832"/>
      <w:bookmarkStart w:id="1590" w:name="_Toc13556325"/>
      <w:bookmarkStart w:id="1591" w:name="_Toc14337447"/>
      <w:bookmarkStart w:id="1592" w:name="_Toc13148379"/>
      <w:bookmarkStart w:id="1593" w:name="_Toc13150607"/>
      <w:bookmarkStart w:id="1594" w:name="_Toc13291992"/>
      <w:bookmarkStart w:id="1595" w:name="_Toc13504718"/>
      <w:bookmarkStart w:id="1596" w:name="_Toc13504834"/>
      <w:bookmarkStart w:id="1597" w:name="_Toc13556327"/>
      <w:bookmarkStart w:id="1598" w:name="_Toc14337449"/>
      <w:bookmarkStart w:id="1599" w:name="_Toc13148381"/>
      <w:bookmarkStart w:id="1600" w:name="_Toc13150609"/>
      <w:bookmarkStart w:id="1601" w:name="_Toc13291994"/>
      <w:bookmarkStart w:id="1602" w:name="_Toc13504720"/>
      <w:bookmarkStart w:id="1603" w:name="_Toc13504836"/>
      <w:bookmarkStart w:id="1604" w:name="_Toc13556329"/>
      <w:bookmarkStart w:id="1605" w:name="_Toc14337451"/>
      <w:bookmarkStart w:id="1606" w:name="_Toc13148384"/>
      <w:bookmarkStart w:id="1607" w:name="_Toc13150612"/>
      <w:bookmarkStart w:id="1608" w:name="_Toc13291997"/>
      <w:bookmarkStart w:id="1609" w:name="_Toc13504723"/>
      <w:bookmarkStart w:id="1610" w:name="_Toc13504839"/>
      <w:bookmarkStart w:id="1611" w:name="_Toc13556332"/>
      <w:bookmarkStart w:id="1612" w:name="_Toc14337454"/>
      <w:bookmarkStart w:id="1613" w:name="_Toc13148385"/>
      <w:bookmarkStart w:id="1614" w:name="_Toc13150613"/>
      <w:bookmarkStart w:id="1615" w:name="_Toc13291998"/>
      <w:bookmarkStart w:id="1616" w:name="_Toc13504724"/>
      <w:bookmarkStart w:id="1617" w:name="_Toc13504840"/>
      <w:bookmarkStart w:id="1618" w:name="_Toc13556333"/>
      <w:bookmarkStart w:id="1619" w:name="_Toc14337455"/>
      <w:bookmarkStart w:id="1620" w:name="_Toc13148390"/>
      <w:bookmarkStart w:id="1621" w:name="_Toc13150618"/>
      <w:bookmarkStart w:id="1622" w:name="_Toc13292003"/>
      <w:bookmarkStart w:id="1623" w:name="_Toc13504729"/>
      <w:bookmarkStart w:id="1624" w:name="_Toc13504845"/>
      <w:bookmarkStart w:id="1625" w:name="_Toc13556338"/>
      <w:bookmarkStart w:id="1626" w:name="_Toc14337460"/>
      <w:bookmarkStart w:id="1627" w:name="_Toc13148391"/>
      <w:bookmarkStart w:id="1628" w:name="_Toc13150619"/>
      <w:bookmarkStart w:id="1629" w:name="_Toc13292004"/>
      <w:bookmarkStart w:id="1630" w:name="_Toc13504730"/>
      <w:bookmarkStart w:id="1631" w:name="_Toc13504846"/>
      <w:bookmarkStart w:id="1632" w:name="_Toc13556339"/>
      <w:bookmarkStart w:id="1633" w:name="_Toc14337461"/>
      <w:bookmarkStart w:id="1634" w:name="_Toc13148392"/>
      <w:bookmarkStart w:id="1635" w:name="_Toc13150620"/>
      <w:bookmarkStart w:id="1636" w:name="_Toc13292005"/>
      <w:bookmarkStart w:id="1637" w:name="_Toc13504731"/>
      <w:bookmarkStart w:id="1638" w:name="_Toc13504847"/>
      <w:bookmarkStart w:id="1639" w:name="_Toc13556340"/>
      <w:bookmarkStart w:id="1640" w:name="_Toc14337462"/>
      <w:bookmarkStart w:id="1641" w:name="_Toc13148393"/>
      <w:bookmarkStart w:id="1642" w:name="_Toc13150621"/>
      <w:bookmarkStart w:id="1643" w:name="_Toc13292006"/>
      <w:bookmarkStart w:id="1644" w:name="_Toc13504732"/>
      <w:bookmarkStart w:id="1645" w:name="_Toc13504848"/>
      <w:bookmarkStart w:id="1646" w:name="_Toc13556341"/>
      <w:bookmarkStart w:id="1647" w:name="_Toc14337463"/>
      <w:bookmarkStart w:id="1648" w:name="_Toc13148394"/>
      <w:bookmarkStart w:id="1649" w:name="_Toc13150622"/>
      <w:bookmarkStart w:id="1650" w:name="_Toc13292007"/>
      <w:bookmarkStart w:id="1651" w:name="_Toc13504733"/>
      <w:bookmarkStart w:id="1652" w:name="_Toc13504849"/>
      <w:bookmarkStart w:id="1653" w:name="_Toc13556342"/>
      <w:bookmarkStart w:id="1654" w:name="_Toc14337464"/>
      <w:bookmarkStart w:id="1655" w:name="_Toc13148395"/>
      <w:bookmarkStart w:id="1656" w:name="_Toc13150623"/>
      <w:bookmarkStart w:id="1657" w:name="_Toc13292008"/>
      <w:bookmarkStart w:id="1658" w:name="_Toc13504734"/>
      <w:bookmarkStart w:id="1659" w:name="_Toc13504850"/>
      <w:bookmarkStart w:id="1660" w:name="_Toc13556343"/>
      <w:bookmarkStart w:id="1661" w:name="_Toc14337465"/>
      <w:bookmarkStart w:id="1662" w:name="_Toc13148396"/>
      <w:bookmarkStart w:id="1663" w:name="_Toc13150624"/>
      <w:bookmarkStart w:id="1664" w:name="_Toc13292009"/>
      <w:bookmarkStart w:id="1665" w:name="_Toc13504735"/>
      <w:bookmarkStart w:id="1666" w:name="_Toc13504851"/>
      <w:bookmarkStart w:id="1667" w:name="_Toc13556344"/>
      <w:bookmarkStart w:id="1668" w:name="_Toc14337466"/>
      <w:bookmarkStart w:id="1669" w:name="_Toc13148397"/>
      <w:bookmarkStart w:id="1670" w:name="_Toc13150625"/>
      <w:bookmarkStart w:id="1671" w:name="_Toc13292010"/>
      <w:bookmarkStart w:id="1672" w:name="_Toc13504736"/>
      <w:bookmarkStart w:id="1673" w:name="_Toc13504852"/>
      <w:bookmarkStart w:id="1674" w:name="_Toc13556345"/>
      <w:bookmarkStart w:id="1675" w:name="_Toc14337467"/>
      <w:bookmarkStart w:id="1676" w:name="_Toc13148398"/>
      <w:bookmarkStart w:id="1677" w:name="_Toc13150626"/>
      <w:bookmarkStart w:id="1678" w:name="_Toc13292011"/>
      <w:bookmarkStart w:id="1679" w:name="_Toc13504737"/>
      <w:bookmarkStart w:id="1680" w:name="_Toc13504853"/>
      <w:bookmarkStart w:id="1681" w:name="_Toc13556346"/>
      <w:bookmarkStart w:id="1682" w:name="_Toc14337468"/>
      <w:bookmarkStart w:id="1683" w:name="_Toc13148399"/>
      <w:bookmarkStart w:id="1684" w:name="_Toc13150627"/>
      <w:bookmarkStart w:id="1685" w:name="_Toc13292012"/>
      <w:bookmarkStart w:id="1686" w:name="_Toc13504738"/>
      <w:bookmarkStart w:id="1687" w:name="_Toc13504854"/>
      <w:bookmarkStart w:id="1688" w:name="_Toc13556347"/>
      <w:bookmarkStart w:id="1689" w:name="_Toc14337469"/>
      <w:bookmarkStart w:id="1690" w:name="_Toc13148400"/>
      <w:bookmarkStart w:id="1691" w:name="_Toc13150628"/>
      <w:bookmarkStart w:id="1692" w:name="_Toc13292013"/>
      <w:bookmarkStart w:id="1693" w:name="_Toc13504739"/>
      <w:bookmarkStart w:id="1694" w:name="_Toc13504855"/>
      <w:bookmarkStart w:id="1695" w:name="_Toc13556348"/>
      <w:bookmarkStart w:id="1696" w:name="_Toc14337470"/>
      <w:bookmarkStart w:id="1697" w:name="_Toc13148401"/>
      <w:bookmarkStart w:id="1698" w:name="_Toc13150629"/>
      <w:bookmarkStart w:id="1699" w:name="_Toc13292014"/>
      <w:bookmarkStart w:id="1700" w:name="_Toc13504740"/>
      <w:bookmarkStart w:id="1701" w:name="_Toc13504856"/>
      <w:bookmarkStart w:id="1702" w:name="_Toc13556349"/>
      <w:bookmarkStart w:id="1703" w:name="_Toc14337471"/>
      <w:bookmarkStart w:id="1704" w:name="_Toc13148402"/>
      <w:bookmarkStart w:id="1705" w:name="_Toc13150630"/>
      <w:bookmarkStart w:id="1706" w:name="_Toc13292015"/>
      <w:bookmarkStart w:id="1707" w:name="_Toc13504741"/>
      <w:bookmarkStart w:id="1708" w:name="_Toc13504857"/>
      <w:bookmarkStart w:id="1709" w:name="_Toc13556350"/>
      <w:bookmarkStart w:id="1710" w:name="_Toc14337472"/>
      <w:bookmarkStart w:id="1711" w:name="_Toc13148408"/>
      <w:bookmarkStart w:id="1712" w:name="_Toc13150636"/>
      <w:bookmarkStart w:id="1713" w:name="_Toc13292021"/>
      <w:bookmarkStart w:id="1714" w:name="_Toc13504747"/>
      <w:bookmarkStart w:id="1715" w:name="_Toc13504863"/>
      <w:bookmarkStart w:id="1716" w:name="_Toc13556356"/>
      <w:bookmarkStart w:id="1717" w:name="_Toc14337478"/>
      <w:bookmarkStart w:id="1718" w:name="_Toc13148409"/>
      <w:bookmarkStart w:id="1719" w:name="_Toc13150637"/>
      <w:bookmarkStart w:id="1720" w:name="_Toc13292022"/>
      <w:bookmarkStart w:id="1721" w:name="_Toc13504748"/>
      <w:bookmarkStart w:id="1722" w:name="_Toc13504864"/>
      <w:bookmarkStart w:id="1723" w:name="_Toc13556357"/>
      <w:bookmarkStart w:id="1724" w:name="_Toc14337479"/>
      <w:bookmarkStart w:id="1725" w:name="_Toc13148411"/>
      <w:bookmarkStart w:id="1726" w:name="_Toc13150639"/>
      <w:bookmarkStart w:id="1727" w:name="_Toc13292024"/>
      <w:bookmarkStart w:id="1728" w:name="_Toc13504750"/>
      <w:bookmarkStart w:id="1729" w:name="_Toc13504866"/>
      <w:bookmarkStart w:id="1730" w:name="_Toc13556359"/>
      <w:bookmarkStart w:id="1731" w:name="_Toc14337481"/>
      <w:bookmarkStart w:id="1732" w:name="_Toc13148412"/>
      <w:bookmarkStart w:id="1733" w:name="_Toc13150640"/>
      <w:bookmarkStart w:id="1734" w:name="_Toc13292025"/>
      <w:bookmarkStart w:id="1735" w:name="_Toc13504751"/>
      <w:bookmarkStart w:id="1736" w:name="_Toc13504867"/>
      <w:bookmarkStart w:id="1737" w:name="_Toc13556360"/>
      <w:bookmarkStart w:id="1738" w:name="_Toc14337482"/>
      <w:bookmarkStart w:id="1739" w:name="_Toc13148413"/>
      <w:bookmarkStart w:id="1740" w:name="_Toc13150641"/>
      <w:bookmarkStart w:id="1741" w:name="_Toc13292026"/>
      <w:bookmarkStart w:id="1742" w:name="_Toc13504752"/>
      <w:bookmarkStart w:id="1743" w:name="_Toc13504868"/>
      <w:bookmarkStart w:id="1744" w:name="_Toc13556361"/>
      <w:bookmarkStart w:id="1745" w:name="_Toc14337483"/>
      <w:bookmarkStart w:id="1746" w:name="_Toc91764886"/>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Pr="00C86E67">
        <w:rPr>
          <w:rFonts w:asciiTheme="minorEastAsia" w:eastAsiaTheme="minorEastAsia" w:hAnsiTheme="minorEastAsia" w:hint="eastAsia"/>
          <w:b w:val="0"/>
          <w:bCs/>
          <w:color w:val="000000" w:themeColor="text1"/>
        </w:rPr>
        <w:t>（七）争议的处理</w:t>
      </w:r>
      <w:bookmarkStart w:id="1747" w:name="_Toc38438236"/>
      <w:bookmarkStart w:id="1748" w:name="_Toc38438573"/>
      <w:bookmarkStart w:id="1749" w:name="_Toc38438910"/>
      <w:bookmarkStart w:id="1750" w:name="_Toc38439247"/>
      <w:bookmarkStart w:id="1751" w:name="_Toc38439584"/>
      <w:bookmarkStart w:id="1752" w:name="_Toc38439921"/>
      <w:bookmarkStart w:id="1753" w:name="_Toc38440258"/>
      <w:bookmarkStart w:id="1754" w:name="_Toc38440595"/>
      <w:bookmarkStart w:id="1755" w:name="_Toc38440794"/>
      <w:bookmarkStart w:id="1756" w:name="_Toc38441127"/>
      <w:bookmarkStart w:id="1757" w:name="_Toc38441459"/>
      <w:bookmarkStart w:id="1758" w:name="_Toc38441791"/>
      <w:bookmarkStart w:id="1759" w:name="_Toc38442119"/>
      <w:bookmarkStart w:id="1760" w:name="_Toc38442451"/>
      <w:bookmarkStart w:id="1761" w:name="_Toc38442783"/>
      <w:bookmarkStart w:id="1762" w:name="_Toc38443114"/>
      <w:bookmarkStart w:id="1763" w:name="_Toc38443445"/>
      <w:bookmarkStart w:id="1764" w:name="_Toc38443776"/>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rsidR="00C35BC5" w:rsidRPr="00C86E67" w:rsidP="00552BE1">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各方当事人同意，因《基金合同》而产生的或与《基金合同》有关的一切争议，如经友好协商未能解决的，应提交中国国际经济贸易仲裁委员会根据该会当时有效的仲裁规则进行仲裁，仲裁的地点在北京，仲裁裁决是终局性的并对各方当事人具有约束力，仲裁费由败诉方承担。本《基金合同》受中国法律管辖。</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765" w:name="_Toc110945633"/>
      <w:bookmarkStart w:id="1766" w:name="_Toc136870035"/>
      <w:bookmarkStart w:id="1767" w:name="_Toc91764887"/>
      <w:r w:rsidRPr="00C86E67">
        <w:rPr>
          <w:rFonts w:asciiTheme="minorEastAsia" w:eastAsiaTheme="minorEastAsia" w:hAnsiTheme="minorEastAsia" w:hint="eastAsia"/>
          <w:b w:val="0"/>
          <w:bCs/>
          <w:color w:val="000000" w:themeColor="text1"/>
        </w:rPr>
        <w:t>（八）基金合同的存放及查阅方式</w:t>
      </w:r>
      <w:bookmarkEnd w:id="1765"/>
      <w:bookmarkEnd w:id="1766"/>
      <w:bookmarkEnd w:id="1767"/>
    </w:p>
    <w:p w:rsidR="00C35BC5" w:rsidRPr="00C86E67" w:rsidP="00552BE1">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《基金合同》</w:t>
      </w:r>
      <w:r w:rsidRPr="00C86E67">
        <w:rPr>
          <w:rFonts w:asciiTheme="minorEastAsia" w:eastAsiaTheme="minorEastAsia" w:hAnsiTheme="minorEastAsia"/>
          <w:color w:val="000000" w:themeColor="text1"/>
          <w:szCs w:val="21"/>
        </w:rPr>
        <w:t>可印制成册</w:t>
      </w:r>
      <w:r w:rsidRPr="00C86E67">
        <w:rPr>
          <w:rFonts w:asciiTheme="minorEastAsia" w:eastAsiaTheme="minorEastAsia" w:hAnsiTheme="minorEastAsia" w:hint="eastAsia"/>
          <w:color w:val="000000" w:themeColor="text1"/>
          <w:szCs w:val="21"/>
        </w:rPr>
        <w:t>，供投资者在基金管理人、基金托管人、代销机构的办公场所和营业场所查阅；投资者也可按工本费购买《基金合同》复制件或复印件，但内容应以本基金合同正本为准。</w:t>
      </w:r>
    </w:p>
    <w:p w:rsidR="00C35BC5" w:rsidRPr="00C86E67" w:rsidP="00552BE1">
      <w:pPr>
        <w:snapToGrid w:val="0"/>
        <w:spacing w:line="360" w:lineRule="auto"/>
        <w:ind w:firstLine="420"/>
        <w:rPr>
          <w:rFonts w:asciiTheme="minorEastAsia" w:eastAsiaTheme="minorEastAsia" w:hAnsiTheme="minorEastAsia"/>
          <w:color w:val="000000" w:themeColor="text1"/>
          <w:kern w:val="0"/>
          <w:sz w:val="20"/>
          <w:szCs w:val="20"/>
        </w:rPr>
      </w:pP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1768" w:name="_Toc91764888"/>
      <w:r w:rsidRPr="00C86E67">
        <w:rPr>
          <w:rFonts w:asciiTheme="minorEastAsia" w:eastAsiaTheme="minorEastAsia" w:hAnsiTheme="minorEastAsia" w:hint="eastAsia"/>
          <w:b/>
          <w:bCs/>
          <w:color w:val="000000" w:themeColor="text1"/>
        </w:rPr>
        <w:t>二十二、基金托管协议的内容摘要</w:t>
      </w:r>
      <w:bookmarkEnd w:id="1768"/>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color w:val="000000" w:themeColor="text1"/>
          <w:sz w:val="24"/>
        </w:rPr>
      </w:pPr>
      <w:bookmarkStart w:id="1769" w:name="_Toc40511576"/>
      <w:bookmarkStart w:id="1770" w:name="_Toc91764889"/>
      <w:r w:rsidRPr="00C86E67">
        <w:rPr>
          <w:rFonts w:asciiTheme="minorEastAsia" w:eastAsiaTheme="minorEastAsia" w:hAnsiTheme="minorEastAsia" w:hint="eastAsia"/>
          <w:b w:val="0"/>
          <w:bCs/>
          <w:color w:val="000000" w:themeColor="text1"/>
        </w:rPr>
        <w:t>（一）托管协议当事人</w:t>
      </w:r>
      <w:bookmarkEnd w:id="1769"/>
      <w:bookmarkEnd w:id="1770"/>
    </w:p>
    <w:p w:rsidR="00C35BC5" w:rsidRPr="00C86E67" w:rsidP="00552BE1">
      <w:pPr>
        <w:pStyle w:val="PlainText"/>
        <w:snapToGrid w:val="0"/>
        <w:spacing w:line="360" w:lineRule="auto"/>
        <w:ind w:firstLine="403" w:firstLineChars="192"/>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1、基金管理人（或简称“管理人”）</w:t>
      </w:r>
    </w:p>
    <w:p w:rsidR="00C35BC5" w:rsidRPr="00C86E67" w:rsidP="00552BE1">
      <w:pPr>
        <w:snapToGrid w:val="0"/>
        <w:spacing w:line="360" w:lineRule="auto"/>
        <w:ind w:right="26" w:firstLine="403" w:firstLineChars="192"/>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名称：易方达基金管理有限公司</w:t>
      </w:r>
    </w:p>
    <w:p w:rsidR="00C35BC5" w:rsidRPr="00C86E67" w:rsidP="00552BE1">
      <w:pPr>
        <w:snapToGrid w:val="0"/>
        <w:spacing w:line="360" w:lineRule="auto"/>
        <w:ind w:right="26" w:firstLine="403" w:firstLineChars="192"/>
        <w:rPr>
          <w:rFonts w:asciiTheme="minorEastAsia" w:eastAsiaTheme="minorEastAsia" w:hAnsiTheme="minorEastAsia"/>
          <w:color w:val="000000" w:themeColor="text1"/>
          <w:szCs w:val="18"/>
        </w:rPr>
      </w:pPr>
      <w:r w:rsidRPr="00C86E67">
        <w:rPr>
          <w:rFonts w:asciiTheme="minorEastAsia" w:eastAsiaTheme="minorEastAsia" w:hAnsiTheme="minorEastAsia" w:hint="eastAsia"/>
          <w:color w:val="000000" w:themeColor="text1"/>
        </w:rPr>
        <w:t>注册地址：</w:t>
      </w:r>
      <w:r w:rsidRPr="00C86E67" w:rsidR="0018727C">
        <w:rPr>
          <w:rFonts w:asciiTheme="minorEastAsia" w:eastAsiaTheme="minorEastAsia" w:hAnsiTheme="minorEastAsia" w:hint="eastAsia"/>
          <w:color w:val="000000" w:themeColor="text1"/>
          <w:szCs w:val="18"/>
        </w:rPr>
        <w:t>广东省珠海市横琴新区宝华路6号105室－42891（集中办公区）</w:t>
      </w:r>
    </w:p>
    <w:p w:rsidR="00C35BC5" w:rsidRPr="00C86E67" w:rsidP="00552BE1">
      <w:pPr>
        <w:snapToGrid w:val="0"/>
        <w:spacing w:line="360" w:lineRule="auto"/>
        <w:ind w:right="26" w:firstLine="403" w:firstLineChars="192"/>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法定代表人:</w:t>
      </w:r>
      <w:r w:rsidRPr="00C86E67" w:rsidR="00A626CA">
        <w:rPr>
          <w:rFonts w:asciiTheme="minorEastAsia" w:eastAsiaTheme="minorEastAsia" w:hAnsiTheme="minorEastAsia" w:hint="eastAsia"/>
          <w:color w:val="000000" w:themeColor="text1"/>
        </w:rPr>
        <w:t>刘晓艳</w:t>
      </w:r>
    </w:p>
    <w:p w:rsidR="00C35BC5" w:rsidRPr="00C86E67" w:rsidP="00552BE1">
      <w:pPr>
        <w:snapToGrid w:val="0"/>
        <w:spacing w:line="360" w:lineRule="auto"/>
        <w:ind w:right="26" w:firstLine="403" w:firstLineChars="192"/>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注册资本：13,244.2万元人民币</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经营范围：</w:t>
      </w:r>
      <w:r w:rsidRPr="00C86E67" w:rsidR="00024290">
        <w:rPr>
          <w:rFonts w:asciiTheme="minorEastAsia" w:eastAsiaTheme="minorEastAsia" w:hAnsiTheme="minorEastAsia" w:hint="eastAsia"/>
          <w:color w:val="000000" w:themeColor="text1"/>
        </w:rPr>
        <w:t>公开募集证券投资基金管理、基金销售、特定客户资产管理</w:t>
      </w:r>
    </w:p>
    <w:p w:rsidR="00C35BC5" w:rsidRPr="00C86E67" w:rsidP="00552BE1">
      <w:pPr>
        <w:snapToGrid w:val="0"/>
        <w:spacing w:line="360" w:lineRule="auto"/>
        <w:ind w:right="26" w:firstLine="403" w:firstLineChars="192"/>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组织形式：有限责任公司</w:t>
      </w:r>
    </w:p>
    <w:p w:rsidR="00C35BC5" w:rsidRPr="00C86E67" w:rsidP="00552BE1">
      <w:pPr>
        <w:pStyle w:val="PlainText"/>
        <w:snapToGrid w:val="0"/>
        <w:spacing w:line="360" w:lineRule="auto"/>
        <w:ind w:firstLine="403" w:firstLineChars="192"/>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营业期限：持续经营</w:t>
      </w:r>
    </w:p>
    <w:p w:rsidR="00C35BC5" w:rsidRPr="00C86E67" w:rsidP="00552BE1">
      <w:pPr>
        <w:pStyle w:val="PlainText"/>
        <w:snapToGrid w:val="0"/>
        <w:spacing w:line="360" w:lineRule="auto"/>
        <w:ind w:firstLine="403" w:firstLineChars="192"/>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2、基金托管人（或简称“托管人”）</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基金托管人名称：中国工商银行股份有限公司</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注册地址：北京市西城区复兴门内大街55号</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法定代表人：</w:t>
      </w:r>
      <w:r w:rsidRPr="00C86E67" w:rsidR="00C53A0E">
        <w:rPr>
          <w:rFonts w:asciiTheme="minorEastAsia" w:eastAsiaTheme="minorEastAsia" w:hAnsiTheme="minorEastAsia" w:hint="eastAsia"/>
          <w:color w:val="000000" w:themeColor="text1"/>
          <w:spacing w:val="6"/>
        </w:rPr>
        <w:t>陈四清</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成立时间：1984年1月1日</w:t>
      </w:r>
    </w:p>
    <w:p w:rsidR="00C35BC5" w:rsidRPr="00C86E67" w:rsidP="00552BE1">
      <w:pPr>
        <w:snapToGrid w:val="0"/>
        <w:spacing w:line="360" w:lineRule="auto"/>
        <w:ind w:left="420" w:right="26" w:left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批准设立机关及批准设立文号：</w:t>
      </w:r>
      <w:r w:rsidRPr="00C86E67">
        <w:rPr>
          <w:rFonts w:asciiTheme="minorEastAsia" w:eastAsiaTheme="minorEastAsia" w:hAnsiTheme="minorEastAsia" w:hint="eastAsia"/>
          <w:color w:val="000000" w:themeColor="text1"/>
        </w:rPr>
        <w:t>国务院《关于中国人民银行专门行使中央银行职能的决定》（国发[1983]146号）</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组织形式：股份有限公司</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注册资本：</w:t>
      </w:r>
      <w:r w:rsidRPr="00C86E67" w:rsidR="0093167D">
        <w:rPr>
          <w:rFonts w:asciiTheme="minorEastAsia" w:eastAsiaTheme="minorEastAsia" w:hAnsiTheme="minorEastAsia" w:hint="eastAsia"/>
          <w:color w:val="000000" w:themeColor="text1"/>
          <w:szCs w:val="21"/>
        </w:rPr>
        <w:t>人民币35,640,625.7089万元</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存续期间：持续经营</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经营范围：</w:t>
      </w:r>
    </w:p>
    <w:p w:rsidR="00C35BC5" w:rsidRPr="00C86E67" w:rsidP="00552BE1">
      <w:pPr>
        <w:snapToGrid w:val="0"/>
        <w:spacing w:line="360" w:lineRule="auto"/>
        <w:ind w:right="26"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771" w:name="_Toc40511578"/>
      <w:bookmarkStart w:id="1772" w:name="_Toc91764890"/>
      <w:r w:rsidRPr="00C86E67">
        <w:rPr>
          <w:rFonts w:asciiTheme="minorEastAsia" w:eastAsiaTheme="minorEastAsia" w:hAnsiTheme="minorEastAsia" w:hint="eastAsia"/>
          <w:b w:val="0"/>
          <w:bCs/>
          <w:color w:val="000000" w:themeColor="text1"/>
        </w:rPr>
        <w:t>（二）</w:t>
      </w:r>
      <w:bookmarkStart w:id="1773" w:name="_Toc124749227"/>
      <w:bookmarkStart w:id="1774" w:name="_Toc124749938"/>
      <w:bookmarkStart w:id="1775" w:name="_Toc125361075"/>
      <w:r w:rsidRPr="00C86E67">
        <w:rPr>
          <w:rFonts w:asciiTheme="minorEastAsia" w:eastAsiaTheme="minorEastAsia" w:hAnsiTheme="minorEastAsia" w:hint="eastAsia"/>
          <w:b w:val="0"/>
          <w:bCs/>
          <w:color w:val="000000" w:themeColor="text1"/>
        </w:rPr>
        <w:t>基金托管人对基金管理人的业务监督和核查</w:t>
      </w:r>
      <w:bookmarkEnd w:id="1771"/>
      <w:bookmarkEnd w:id="1772"/>
      <w:bookmarkEnd w:id="1773"/>
      <w:bookmarkEnd w:id="1774"/>
      <w:bookmarkEnd w:id="1775"/>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1、基金托管人对基金管理人的投资行为行使监督权</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（1）基金托管人根据有关法律法规的规定和基金合同的约定，对下述基金投资范围、投资对象进行监督。</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本基金将投资于以下金融工具：</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rPr>
      </w:pPr>
      <w:r w:rsidRPr="00C86E67">
        <w:rPr>
          <w:rFonts w:asciiTheme="minorEastAsia" w:eastAsiaTheme="minorEastAsia" w:hAnsiTheme="minorEastAsia" w:cs="宋体" w:hint="eastAsia"/>
          <w:color w:val="000000" w:themeColor="text1"/>
          <w:kern w:val="0"/>
        </w:rPr>
        <w:t>本基金将投资于具有良好流动性的金融工具，包括国内依法发行和上市交易的公司股票</w:t>
      </w:r>
      <w:r w:rsidRPr="00C86E67" w:rsidR="00D0433B">
        <w:rPr>
          <w:rFonts w:asciiTheme="minorEastAsia" w:eastAsiaTheme="minorEastAsia" w:hAnsiTheme="minorEastAsia" w:cs="宋体" w:hint="eastAsia"/>
          <w:color w:val="000000" w:themeColor="text1"/>
          <w:kern w:val="0"/>
        </w:rPr>
        <w:t>（含存托凭证）</w:t>
      </w:r>
      <w:r w:rsidRPr="00C86E67">
        <w:rPr>
          <w:rFonts w:asciiTheme="minorEastAsia" w:eastAsiaTheme="minorEastAsia" w:hAnsiTheme="minorEastAsia" w:cs="宋体" w:hint="eastAsia"/>
          <w:color w:val="000000" w:themeColor="text1"/>
          <w:kern w:val="0"/>
        </w:rPr>
        <w:t>和债券以及经中国证监会允许基金投资的其他金融工具。</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kern w:val="0"/>
        </w:rPr>
        <w:t>本基金不得投资于</w:t>
      </w:r>
      <w:r w:rsidRPr="00C86E67">
        <w:rPr>
          <w:rFonts w:asciiTheme="minorEastAsia" w:eastAsiaTheme="minorEastAsia" w:hAnsiTheme="minorEastAsia" w:hint="eastAsia"/>
          <w:color w:val="000000" w:themeColor="text1"/>
          <w:kern w:val="0"/>
        </w:rPr>
        <w:t>相关法律、法规、部门规章及《基金合同》禁止投资的投资工具</w:t>
      </w:r>
      <w:r w:rsidRPr="00C86E67">
        <w:rPr>
          <w:rFonts w:asciiTheme="minorEastAsia" w:eastAsiaTheme="minorEastAsia" w:hAnsiTheme="minorEastAsia"/>
          <w:color w:val="000000" w:themeColor="text1"/>
          <w:kern w:val="0"/>
        </w:rPr>
        <w:t>。</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（2）基金托管人根据有关法律法规的规定及基金合同的约定对下述基金投融资比例进行监督：</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1）按法律法规的规定及基金合同的约定，本基金的投资资产配置比例为：</w:t>
      </w:r>
    </w:p>
    <w:p w:rsidR="00C35BC5" w:rsidRPr="00C86E67" w:rsidP="00552BE1">
      <w:pPr>
        <w:snapToGrid w:val="0"/>
        <w:spacing w:line="360" w:lineRule="auto"/>
        <w:ind w:firstLine="630" w:firstLineChars="3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股票资产占基金资产的40</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w:t>
      </w:r>
      <w:r w:rsidRPr="00C86E67">
        <w:rPr>
          <w:rFonts w:asciiTheme="minorEastAsia" w:eastAsiaTheme="minorEastAsia" w:hAnsiTheme="minorEastAsia"/>
          <w:color w:val="000000" w:themeColor="text1"/>
        </w:rPr>
        <w:t>95%</w:t>
      </w:r>
      <w:r w:rsidRPr="00C86E67">
        <w:rPr>
          <w:rFonts w:asciiTheme="minorEastAsia" w:eastAsiaTheme="minorEastAsia" w:hAnsiTheme="minorEastAsia" w:hint="eastAsia"/>
          <w:color w:val="000000" w:themeColor="text1"/>
        </w:rPr>
        <w:t>；现金、债券资产、权证以及中国证监会允许基金投资的其他证券品种占基金资产的5</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60</w:t>
      </w:r>
      <w:r w:rsidRPr="00C86E67">
        <w:rPr>
          <w:rFonts w:asciiTheme="minorEastAsia" w:eastAsiaTheme="minorEastAsia" w:hAnsiTheme="minorEastAsia"/>
          <w:color w:val="000000" w:themeColor="text1"/>
        </w:rPr>
        <w:t>%</w:t>
      </w:r>
      <w:r w:rsidRPr="00C86E67">
        <w:rPr>
          <w:rFonts w:asciiTheme="minorEastAsia" w:eastAsiaTheme="minorEastAsia" w:hAnsiTheme="minorEastAsia" w:hint="eastAsia"/>
          <w:color w:val="000000" w:themeColor="text1"/>
        </w:rPr>
        <w:t>，其中，基金持有全部股改权证的市值不得超过基金资产净值的3%，基金保留的现金以及投资于到期日在一年以内的政府债券的比例合计不低于基金资产净值的</w:t>
      </w:r>
      <w:r w:rsidRPr="00C86E67">
        <w:rPr>
          <w:rFonts w:asciiTheme="minorEastAsia" w:eastAsiaTheme="minorEastAsia" w:hAnsiTheme="minorEastAsia"/>
          <w:color w:val="000000" w:themeColor="text1"/>
        </w:rPr>
        <w:t>5%</w:t>
      </w:r>
      <w:r w:rsidRPr="00C86E67" w:rsidR="000E5ECA">
        <w:rPr>
          <w:rFonts w:asciiTheme="minorEastAsia" w:eastAsiaTheme="minorEastAsia" w:hAnsiTheme="minorEastAsia" w:hint="eastAsia"/>
          <w:color w:val="000000" w:themeColor="text1"/>
        </w:rPr>
        <w:t>，现金不包括结算备付金、存出保证金、应收申购款等</w:t>
      </w:r>
      <w:r w:rsidRPr="00C86E67">
        <w:rPr>
          <w:rFonts w:asciiTheme="minorEastAsia" w:eastAsiaTheme="minorEastAsia" w:hAnsiTheme="minorEastAsia" w:hint="eastAsia"/>
          <w:color w:val="000000" w:themeColor="text1"/>
        </w:rPr>
        <w:t>。</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2）根据法律法规的规定及基金合同的约定，本基金投资组合遵循以下投资限制：</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①</w:t>
      </w:r>
      <w:r w:rsidRPr="00C86E67">
        <w:rPr>
          <w:rFonts w:asciiTheme="minorEastAsia" w:eastAsiaTheme="minorEastAsia" w:hAnsiTheme="minorEastAsia"/>
          <w:color w:val="000000" w:themeColor="text1"/>
          <w:szCs w:val="21"/>
        </w:rPr>
        <w:t>持有一家</w:t>
      </w:r>
      <w:r w:rsidRPr="00C86E67">
        <w:rPr>
          <w:rFonts w:asciiTheme="minorEastAsia" w:eastAsiaTheme="minorEastAsia" w:hAnsiTheme="minorEastAsia" w:hint="eastAsia"/>
          <w:color w:val="000000" w:themeColor="text1"/>
          <w:szCs w:val="21"/>
        </w:rPr>
        <w:t>上市</w:t>
      </w:r>
      <w:r w:rsidRPr="00C86E67">
        <w:rPr>
          <w:rFonts w:asciiTheme="minorEastAsia" w:eastAsiaTheme="minorEastAsia" w:hAnsiTheme="minorEastAsia"/>
          <w:color w:val="000000" w:themeColor="text1"/>
          <w:szCs w:val="21"/>
        </w:rPr>
        <w:t>公司的股票，</w:t>
      </w:r>
      <w:r w:rsidRPr="00C86E67">
        <w:rPr>
          <w:rFonts w:asciiTheme="minorEastAsia" w:eastAsiaTheme="minorEastAsia" w:hAnsiTheme="minorEastAsia" w:hint="eastAsia"/>
          <w:color w:val="000000" w:themeColor="text1"/>
          <w:szCs w:val="21"/>
        </w:rPr>
        <w:t>其市值</w:t>
      </w:r>
      <w:r w:rsidRPr="00C86E67">
        <w:rPr>
          <w:rFonts w:asciiTheme="minorEastAsia" w:eastAsiaTheme="minorEastAsia" w:hAnsiTheme="minorEastAsia"/>
          <w:color w:val="000000" w:themeColor="text1"/>
          <w:szCs w:val="21"/>
        </w:rPr>
        <w:t>不得超过基金资产净值的10%；</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②</w:t>
      </w:r>
      <w:r w:rsidRPr="00C86E67">
        <w:rPr>
          <w:rFonts w:asciiTheme="minorEastAsia" w:eastAsiaTheme="minorEastAsia" w:hAnsiTheme="minorEastAsia"/>
          <w:color w:val="000000" w:themeColor="text1"/>
          <w:szCs w:val="21"/>
        </w:rPr>
        <w:t>本基金与由本基金管理人管理的其他基金</w:t>
      </w:r>
      <w:r w:rsidRPr="00C86E67">
        <w:rPr>
          <w:rFonts w:asciiTheme="minorEastAsia" w:eastAsiaTheme="minorEastAsia" w:hAnsiTheme="minorEastAsia" w:hint="eastAsia"/>
          <w:color w:val="000000" w:themeColor="text1"/>
          <w:szCs w:val="21"/>
        </w:rPr>
        <w:t>共同</w:t>
      </w:r>
      <w:r w:rsidRPr="00C86E67">
        <w:rPr>
          <w:rFonts w:asciiTheme="minorEastAsia" w:eastAsiaTheme="minorEastAsia" w:hAnsiTheme="minorEastAsia"/>
          <w:color w:val="000000" w:themeColor="text1"/>
          <w:szCs w:val="21"/>
        </w:rPr>
        <w:t>持有一家公司发行的证券，不得超过该证券的10%；</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③本基金投资股权分置改革中产生的权证，在任何交易日买入的总金额，不超过上一交易日基金资产净值的0.5%，基金持有的全部股改权证的市值不超过基金资产净值的3%，本公司管理的全部基金持有同一股改权证的比例不超过该权证的10%；本基金投资于其它权证的有关比例限制，遵从法规或监管部门的相关规定；</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④现金和到期日不超过1年的政府债券不低于5%</w:t>
      </w:r>
      <w:r w:rsidRPr="00C86E67" w:rsidR="000E5ECA">
        <w:rPr>
          <w:rFonts w:asciiTheme="minorEastAsia" w:eastAsiaTheme="minorEastAsia" w:hAnsiTheme="minorEastAsia" w:hint="eastAsia"/>
          <w:color w:val="000000" w:themeColor="text1"/>
          <w:szCs w:val="21"/>
        </w:rPr>
        <w:t>，现金不包括结算备付金、存出保证金、应收申购款等</w:t>
      </w:r>
      <w:r w:rsidRPr="00C86E67">
        <w:rPr>
          <w:rFonts w:asciiTheme="minorEastAsia" w:eastAsiaTheme="minorEastAsia" w:hAnsiTheme="minorEastAsia" w:hint="eastAsia"/>
          <w:color w:val="000000" w:themeColor="text1"/>
          <w:szCs w:val="21"/>
        </w:rPr>
        <w:t>；</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⑤本基金财产参与股票发行申购，所申报的金额不得超过本基金的总资产，所申报的股票数量不得超过拟发行股票公司本次发行股票的总量；</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⑥本基金不得违反本基金合同关于投资范围、投资策略和投资比例的约定；</w:t>
      </w:r>
    </w:p>
    <w:p w:rsidR="000E5ECA" w:rsidRPr="00C86E67" w:rsidP="000E5ECA">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fldChar w:fldCharType="begin"/>
      </w:r>
      <w:r w:rsidRPr="00C86E67" w:rsidR="00C35BC5">
        <w:rPr>
          <w:rFonts w:asciiTheme="minorEastAsia" w:eastAsiaTheme="minorEastAsia" w:hAnsiTheme="minorEastAsia"/>
          <w:color w:val="000000" w:themeColor="text1"/>
          <w:szCs w:val="21"/>
        </w:rPr>
        <w:instrText xml:space="preserve"> = 7 \* GB3 </w:instrText>
      </w:r>
      <w:r w:rsidRPr="00C86E67">
        <w:rPr>
          <w:rFonts w:asciiTheme="minorEastAsia" w:eastAsiaTheme="minorEastAsia" w:hAnsiTheme="minorEastAsia"/>
          <w:color w:val="000000" w:themeColor="text1"/>
          <w:szCs w:val="21"/>
        </w:rPr>
        <w:fldChar w:fldCharType="separate"/>
      </w:r>
      <w:r w:rsidRPr="00C86E67" w:rsidR="00C35BC5">
        <w:rPr>
          <w:rFonts w:asciiTheme="minorEastAsia" w:eastAsiaTheme="minorEastAsia" w:hAnsiTheme="minorEastAsia"/>
          <w:color w:val="000000" w:themeColor="text1"/>
          <w:szCs w:val="21"/>
        </w:rPr>
        <w:t>⑦</w:t>
      </w:r>
      <w:r w:rsidRPr="00C86E67">
        <w:rPr>
          <w:rFonts w:asciiTheme="minorEastAsia" w:eastAsiaTheme="minorEastAsia" w:hAnsiTheme="minorEastAsia"/>
          <w:color w:val="000000" w:themeColor="text1"/>
          <w:szCs w:val="21"/>
        </w:rPr>
        <w:fldChar w:fldCharType="end"/>
      </w:r>
      <w:r w:rsidRPr="00C86E67">
        <w:rPr>
          <w:rFonts w:asciiTheme="minorEastAsia" w:eastAsiaTheme="minorEastAsia" w:hAnsiTheme="minorEastAsia" w:hint="eastAsia"/>
          <w:color w:val="000000" w:themeColor="text1"/>
          <w:szCs w:val="21"/>
        </w:rPr>
        <w:t>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0E5ECA" w:rsidRPr="00C86E67" w:rsidP="000E5ECA">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⑧本基金主动投资于流动性受限资产的市值合计不得超过该基金资产净值的15%。</w:t>
      </w:r>
    </w:p>
    <w:p w:rsidR="00D0433B" w:rsidRPr="00C86E67" w:rsidP="00D0433B">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⑨本基金投资存托凭证的比例限制依照境内上市交易的股票执行，与境内上市交易的股票合并计算；</w:t>
      </w:r>
    </w:p>
    <w:p w:rsidR="00C35BC5" w:rsidRPr="00C86E67" w:rsidP="00D0433B">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⑩相关法律法规以及监管部门规定的其它投资限制。</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color w:val="000000" w:themeColor="text1"/>
          <w:szCs w:val="21"/>
        </w:rPr>
        <w:t>《基金法》及其他有关法律法规或监管部门</w:t>
      </w:r>
      <w:r w:rsidRPr="00C86E67">
        <w:rPr>
          <w:rFonts w:asciiTheme="minorEastAsia" w:eastAsiaTheme="minorEastAsia" w:hAnsiTheme="minorEastAsia" w:hint="eastAsia"/>
          <w:color w:val="000000" w:themeColor="text1"/>
          <w:szCs w:val="21"/>
        </w:rPr>
        <w:t>取消</w:t>
      </w:r>
      <w:r w:rsidRPr="00C86E67">
        <w:rPr>
          <w:rFonts w:asciiTheme="minorEastAsia" w:eastAsiaTheme="minorEastAsia" w:hAnsiTheme="minorEastAsia"/>
          <w:color w:val="000000" w:themeColor="text1"/>
          <w:szCs w:val="21"/>
        </w:rPr>
        <w:t>上述限制</w:t>
      </w:r>
      <w:r w:rsidRPr="00C86E67">
        <w:rPr>
          <w:rFonts w:asciiTheme="minorEastAsia" w:eastAsiaTheme="minorEastAsia" w:hAnsiTheme="minorEastAsia" w:hint="eastAsia"/>
          <w:color w:val="000000" w:themeColor="text1"/>
          <w:szCs w:val="21"/>
        </w:rPr>
        <w:t>的</w:t>
      </w:r>
      <w:r w:rsidRPr="00C86E67">
        <w:rPr>
          <w:rFonts w:asciiTheme="minorEastAsia" w:eastAsiaTheme="minorEastAsia" w:hAnsiTheme="minorEastAsia"/>
          <w:color w:val="000000" w:themeColor="text1"/>
          <w:szCs w:val="21"/>
        </w:rPr>
        <w:t>，</w:t>
      </w:r>
      <w:r w:rsidRPr="00C86E67">
        <w:rPr>
          <w:rFonts w:asciiTheme="minorEastAsia" w:eastAsiaTheme="minorEastAsia" w:hAnsiTheme="minorEastAsia" w:hint="eastAsia"/>
          <w:color w:val="000000" w:themeColor="text1"/>
          <w:szCs w:val="21"/>
        </w:rPr>
        <w:t>基金不受上述限制</w:t>
      </w:r>
      <w:r w:rsidRPr="00C86E67">
        <w:rPr>
          <w:rFonts w:asciiTheme="minorEastAsia" w:eastAsiaTheme="minorEastAsia" w:hAnsiTheme="minorEastAsia"/>
          <w:color w:val="000000" w:themeColor="text1"/>
          <w:szCs w:val="21"/>
        </w:rPr>
        <w:t>。</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3）法规允许的基金投资比例调整期限</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除上述④、⑤、⑧以外，</w:t>
      </w:r>
      <w:r w:rsidRPr="00C86E67">
        <w:rPr>
          <w:rFonts w:asciiTheme="minorEastAsia" w:eastAsiaTheme="minorEastAsia" w:hAnsiTheme="minorEastAsia"/>
          <w:color w:val="000000" w:themeColor="text1"/>
          <w:szCs w:val="21"/>
        </w:rPr>
        <w:t>由于</w:t>
      </w:r>
      <w:r w:rsidRPr="00C86E67">
        <w:rPr>
          <w:rFonts w:asciiTheme="minorEastAsia" w:eastAsiaTheme="minorEastAsia" w:hAnsiTheme="minorEastAsia" w:hint="eastAsia"/>
          <w:color w:val="000000" w:themeColor="text1"/>
          <w:szCs w:val="21"/>
        </w:rPr>
        <w:t>证券市场波动、上市公司合并</w:t>
      </w:r>
      <w:r w:rsidRPr="00C86E67">
        <w:rPr>
          <w:rFonts w:asciiTheme="minorEastAsia" w:eastAsiaTheme="minorEastAsia" w:hAnsiTheme="minorEastAsia"/>
          <w:color w:val="000000" w:themeColor="text1"/>
          <w:szCs w:val="21"/>
        </w:rPr>
        <w:t>或</w:t>
      </w:r>
      <w:r w:rsidRPr="00C86E67">
        <w:rPr>
          <w:rFonts w:asciiTheme="minorEastAsia" w:eastAsiaTheme="minorEastAsia" w:hAnsiTheme="minorEastAsia" w:hint="eastAsia"/>
          <w:color w:val="000000" w:themeColor="text1"/>
          <w:szCs w:val="21"/>
        </w:rPr>
        <w:t>基金规模变动等基金管理人之外的原因</w:t>
      </w:r>
      <w:r w:rsidRPr="00C86E67">
        <w:rPr>
          <w:rFonts w:asciiTheme="minorEastAsia" w:eastAsiaTheme="minorEastAsia" w:hAnsiTheme="minorEastAsia"/>
          <w:color w:val="000000" w:themeColor="text1"/>
          <w:szCs w:val="21"/>
        </w:rPr>
        <w:t>导致的投资组合</w:t>
      </w:r>
      <w:r w:rsidRPr="00C86E67">
        <w:rPr>
          <w:rFonts w:asciiTheme="minorEastAsia" w:eastAsiaTheme="minorEastAsia" w:hAnsiTheme="minorEastAsia" w:hint="eastAsia"/>
          <w:color w:val="000000" w:themeColor="text1"/>
          <w:szCs w:val="21"/>
        </w:rPr>
        <w:t>不符合</w:t>
      </w:r>
      <w:r w:rsidRPr="00C86E67">
        <w:rPr>
          <w:rFonts w:asciiTheme="minorEastAsia" w:eastAsiaTheme="minorEastAsia" w:hAnsiTheme="minorEastAsia"/>
          <w:color w:val="000000" w:themeColor="text1"/>
          <w:szCs w:val="21"/>
        </w:rPr>
        <w:t>上述约定的比例</w:t>
      </w:r>
      <w:r w:rsidRPr="00C86E67">
        <w:rPr>
          <w:rFonts w:asciiTheme="minorEastAsia" w:eastAsiaTheme="minorEastAsia" w:hAnsiTheme="minorEastAsia" w:hint="eastAsia"/>
          <w:color w:val="000000" w:themeColor="text1"/>
          <w:szCs w:val="21"/>
        </w:rPr>
        <w:t>，</w:t>
      </w:r>
      <w:r w:rsidRPr="00C86E67">
        <w:rPr>
          <w:rFonts w:asciiTheme="minorEastAsia" w:eastAsiaTheme="minorEastAsia" w:hAnsiTheme="minorEastAsia"/>
          <w:color w:val="000000" w:themeColor="text1"/>
          <w:szCs w:val="21"/>
        </w:rPr>
        <w:t>不在限制之内，但基金管理人应在</w:t>
      </w:r>
      <w:r w:rsidRPr="00C86E67">
        <w:rPr>
          <w:rFonts w:asciiTheme="minorEastAsia" w:eastAsiaTheme="minorEastAsia" w:hAnsiTheme="minorEastAsia" w:hint="eastAsia"/>
          <w:color w:val="000000" w:themeColor="text1"/>
          <w:szCs w:val="21"/>
        </w:rPr>
        <w:t>10个交易日</w:t>
      </w:r>
      <w:r w:rsidRPr="00C86E67">
        <w:rPr>
          <w:rFonts w:asciiTheme="minorEastAsia" w:eastAsiaTheme="minorEastAsia" w:hAnsiTheme="minorEastAsia"/>
          <w:color w:val="000000" w:themeColor="text1"/>
          <w:szCs w:val="21"/>
        </w:rPr>
        <w:t>内进行调整，以达到</w:t>
      </w:r>
      <w:r w:rsidRPr="00C86E67">
        <w:rPr>
          <w:rFonts w:asciiTheme="minorEastAsia" w:eastAsiaTheme="minorEastAsia" w:hAnsiTheme="minorEastAsia" w:hint="eastAsia"/>
          <w:color w:val="000000" w:themeColor="text1"/>
          <w:szCs w:val="21"/>
        </w:rPr>
        <w:t>规定的投资比例限制要求。法律法规另有规定的从其规定。</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4）本基金可以按照国家的有关规定进行融资。</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5）相关法律、法规或部门规章规定的其他比例限制。</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基金托管人对基金投资的监督和检查自本基金合同生效之日起开始。</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（3）基金托管人根据有关法律法规的规定及基金合同的约定对下述基金投资禁止行为进行监督：</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根据法律法规的规定及基金合同的约定，本基金禁止从事下列行为：</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1）承销证券；</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2）向他人贷款或提供担保；</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w:t>
      </w:r>
      <w:r w:rsidRPr="00C86E67">
        <w:rPr>
          <w:rFonts w:asciiTheme="minorEastAsia" w:eastAsiaTheme="minorEastAsia" w:hAnsiTheme="minorEastAsia"/>
          <w:color w:val="000000" w:themeColor="text1"/>
          <w:szCs w:val="21"/>
        </w:rPr>
        <w:t>从事</w:t>
      </w:r>
      <w:r w:rsidRPr="00C86E67">
        <w:rPr>
          <w:rFonts w:asciiTheme="minorEastAsia" w:eastAsiaTheme="minorEastAsia" w:hAnsiTheme="minorEastAsia" w:hint="eastAsia"/>
          <w:color w:val="000000" w:themeColor="text1"/>
          <w:szCs w:val="21"/>
        </w:rPr>
        <w:t>可能使基金</w:t>
      </w:r>
      <w:r w:rsidRPr="00C86E67">
        <w:rPr>
          <w:rFonts w:asciiTheme="minorEastAsia" w:eastAsiaTheme="minorEastAsia" w:hAnsiTheme="minorEastAsia"/>
          <w:color w:val="000000" w:themeColor="text1"/>
          <w:szCs w:val="21"/>
        </w:rPr>
        <w:t>承担无限责任的投资；</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4）买卖其他基金份额，但国务院另有规定的除外；</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5）向基金管理人、基金托管人出资或者买卖其基金管理人、基金托管人发行的股票或债券；</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6）买卖与基金管理人、基金托管人有控股关系的股东或者与基金管理人、基金托管人有其他重大利害关系的公司发行的证券或者承销期内承销的证券；</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7）从事内幕交易、操纵证券价格及其他不正当的证券交易活动；</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8）当时有效的法律法规、中国证监会及《基金合同》规定禁止从事的其他行为。</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kern w:val="0"/>
        </w:rPr>
        <w:t>法律法规或监管部门取消上述限制的，则本基金不受上述限制。</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（4）基金托管人依据有关法律法规的规定和基金合同的约定对于基金关联投资限制进行监督。</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关联交易，基金托管人无法阻止该关联交易的发生，只能进行结算，同时向中国证监会报告。</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（5）基金托管人依据有关法律法规的规定和基金合同的约定对基金管理人参与银行间债券市场进行监督。</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1）基金托管人依据有关法律法规的规定和基金合同的约定对于基金管理人参与银行间市场交易时面临的交易对手资信风险进行监督。</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发出书面通知，基金托管人应于2个工作日内回函确认收到。基金管理人收到基金托管人书面确认后，被确认调整的名单开始生效，新名单生效前已与本次剔除的交易对手所进行但尚未结算的交易，仍应按照协议进行结算。</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2）基金托管人对于基金管理人参与银行间市场交易的交易方式的控制</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基金管理人有权要求相关责任人进行赔偿，如果基金托管人在运作中严格遵循了上述监督流程，则对于由于交易对手资信风险引起的损失，不承担赔偿责任。</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（6）基金托管人对基金管理人选择存款银行进行监督。</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kern w:val="0"/>
          <w:szCs w:val="20"/>
        </w:rPr>
        <w:t>本基金投资银行存款的信用风险主要包括存款银行的信用等级、存款银行的支付能力等涉及到存款银行选择方面的风险。本基金核心存款银行名单为</w:t>
      </w:r>
      <w:r w:rsidRPr="00C86E67">
        <w:rPr>
          <w:rFonts w:asciiTheme="minorEastAsia" w:eastAsiaTheme="minorEastAsia" w:hAnsiTheme="minorEastAsia" w:hint="eastAsia"/>
          <w:color w:val="000000" w:themeColor="text1"/>
          <w:szCs w:val="21"/>
        </w:rPr>
        <w:t>中国工商银行、中国银行、中国建设银行、中国农业银行和交通银行，</w:t>
      </w:r>
      <w:r w:rsidRPr="00C86E67">
        <w:rPr>
          <w:rFonts w:asciiTheme="minorEastAsia" w:eastAsiaTheme="minorEastAsia" w:hAnsiTheme="minorEastAsia" w:hint="eastAsia"/>
          <w:color w:val="000000" w:themeColor="text1"/>
          <w:kern w:val="0"/>
          <w:szCs w:val="20"/>
        </w:rPr>
        <w:t>本</w:t>
      </w:r>
      <w:r w:rsidRPr="00C86E67">
        <w:rPr>
          <w:rFonts w:asciiTheme="minorEastAsia" w:eastAsiaTheme="minorEastAsia" w:hAnsiTheme="minorEastAsia" w:hint="eastAsia"/>
          <w:color w:val="000000" w:themeColor="text1"/>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3、基金托管人发现基金管理人的实际投资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C35BC5" w:rsidRPr="00C86E67" w:rsidP="00552BE1">
      <w:pPr>
        <w:pStyle w:val="PlainText"/>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基金托管人发现基金管理人的投资指令违反关法律法规规定或者违反《基金合同》约定的，应当拒绝执行，立即通知基金管理人，并向中国证监会报告。</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基金托管人发现基金管理人依据交易程序已经生效的投资指令违反法律、行政法规和其他有关规定，或者违反《基金合同》约定的，应当立即通知基金管理人，并报告中国证监会。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基金托管人发现基金管理人有重大违规行为，应立即报告中国证监会，同时通知基金管理人限期纠正。</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776" w:name="_Toc91764891"/>
      <w:r w:rsidRPr="00C86E67">
        <w:rPr>
          <w:rFonts w:asciiTheme="minorEastAsia" w:eastAsiaTheme="minorEastAsia" w:hAnsiTheme="minorEastAsia" w:hint="eastAsia"/>
          <w:b w:val="0"/>
          <w:bCs/>
          <w:color w:val="000000" w:themeColor="text1"/>
        </w:rPr>
        <w:t>（三）</w:t>
      </w:r>
      <w:bookmarkStart w:id="1777" w:name="_Toc123705448"/>
      <w:bookmarkStart w:id="1778" w:name="_Toc124749228"/>
      <w:bookmarkStart w:id="1779" w:name="_Toc124749939"/>
      <w:bookmarkStart w:id="1780" w:name="_Toc125361076"/>
      <w:r w:rsidRPr="00C86E67">
        <w:rPr>
          <w:rFonts w:asciiTheme="minorEastAsia" w:eastAsiaTheme="minorEastAsia" w:hAnsiTheme="minorEastAsia" w:hint="eastAsia"/>
          <w:b w:val="0"/>
          <w:bCs/>
          <w:color w:val="000000" w:themeColor="text1"/>
        </w:rPr>
        <w:t>基金管理人对基金托管人的业务核查</w:t>
      </w:r>
      <w:bookmarkEnd w:id="1776"/>
      <w:bookmarkEnd w:id="1777"/>
      <w:bookmarkEnd w:id="1778"/>
      <w:bookmarkEnd w:id="1779"/>
      <w:bookmarkEnd w:id="1780"/>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应在收到通知后下一个工作日内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C86E67">
        <w:rPr>
          <w:rFonts w:asciiTheme="minorEastAsia" w:eastAsiaTheme="minorEastAsia" w:hAnsiTheme="minorEastAsia" w:hint="eastAsia"/>
          <w:color w:val="000000" w:themeColor="text1"/>
          <w:kern w:val="0"/>
        </w:rPr>
        <w:t>基金管理人有义务要求基金托管人赔偿基金因此所遭受的损失。</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基金管理人发现基金托管人有重大违规行为，应立即报告中国证监会和银行业监督管理机构，同时通知基金托管人限期纠正。</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基金托管人应积极配合基金管理人的核查行为，包括但不限于：提交相关资料以供基金管理人核查托管财产的完整性和真实性，在规定时间内答复基金管理人并改正。</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781" w:name="_Toc40511579"/>
      <w:bookmarkStart w:id="1782" w:name="_Toc91764892"/>
      <w:r w:rsidRPr="00C86E67">
        <w:rPr>
          <w:rFonts w:asciiTheme="minorEastAsia" w:eastAsiaTheme="minorEastAsia" w:hAnsiTheme="minorEastAsia" w:hint="eastAsia"/>
          <w:b w:val="0"/>
          <w:bCs/>
          <w:color w:val="000000" w:themeColor="text1"/>
        </w:rPr>
        <w:t>（四）基金财产保管</w:t>
      </w:r>
      <w:bookmarkEnd w:id="1781"/>
      <w:bookmarkEnd w:id="1782"/>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bookmarkStart w:id="1783" w:name="_Toc37159173"/>
      <w:r w:rsidRPr="00C86E67">
        <w:rPr>
          <w:rFonts w:asciiTheme="minorEastAsia" w:eastAsiaTheme="minorEastAsia" w:hAnsiTheme="minorEastAsia" w:hint="eastAsia"/>
          <w:color w:val="000000" w:themeColor="text1"/>
        </w:rPr>
        <w:t>1、基金财产保管的原则</w:t>
      </w:r>
      <w:bookmarkEnd w:id="1783"/>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1）基金财产应独立于基金管理人、基金托管人的固有财产。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2）基金托管人应安全保管基金财产。未经基金管理人的正当指令，不得自行运用、处分、分配基金的任何财产。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3）基金托管人按照规定开设基金财产的资金账户和证券账户。</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4）基金托管人对所托管的不同基金财产分别设置账户，与基金托管人的其他业务和其他基金的托管业务实行严格的分账管理，确保基金财产的完整与独立。</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托管人对此不承担责任。</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bookmarkStart w:id="1784" w:name="_Toc37159174"/>
      <w:r w:rsidRPr="00C86E67">
        <w:rPr>
          <w:rFonts w:asciiTheme="minorEastAsia" w:eastAsiaTheme="minorEastAsia" w:hAnsiTheme="minorEastAsia" w:hint="eastAsia"/>
          <w:color w:val="000000" w:themeColor="text1"/>
        </w:rPr>
        <w:t>2、募集资金的验证</w:t>
      </w:r>
      <w:bookmarkEnd w:id="1784"/>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募集期内销售机构按销售与服务代理协议的约定，将认购资金划入基金管理人在具有托管资格的商业银行开设的易方达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C86E67">
        <w:rPr>
          <w:rFonts w:asciiTheme="minorEastAsia" w:eastAsiaTheme="minorEastAsia" w:hAnsiTheme="minorEastAsia"/>
          <w:color w:val="000000" w:themeColor="text1"/>
        </w:rPr>
        <w:t>2</w:t>
      </w:r>
      <w:r w:rsidRPr="00C86E67">
        <w:rPr>
          <w:rFonts w:asciiTheme="minorEastAsia" w:eastAsiaTheme="minorEastAsia" w:hAnsiTheme="minorEastAsia" w:hint="eastAsia"/>
          <w:color w:val="000000" w:themeColor="text1"/>
        </w:rPr>
        <w:t>名以上（含</w:t>
      </w:r>
      <w:r w:rsidRPr="00C86E67">
        <w:rPr>
          <w:rFonts w:asciiTheme="minorEastAsia" w:eastAsiaTheme="minorEastAsia" w:hAnsiTheme="minorEastAsia"/>
          <w:color w:val="000000" w:themeColor="text1"/>
        </w:rPr>
        <w:t>2</w:t>
      </w:r>
      <w:r w:rsidRPr="00C86E67">
        <w:rPr>
          <w:rFonts w:asciiTheme="minorEastAsia" w:eastAsiaTheme="minorEastAsia" w:hAnsiTheme="minorEastAsia" w:hint="eastAsia"/>
          <w:color w:val="000000" w:themeColor="text1"/>
        </w:rPr>
        <w:t>名）中国注册会计师签字方为有效。验资完成，基金管理人应将募集的</w:t>
      </w:r>
      <w:r w:rsidRPr="00C86E67">
        <w:rPr>
          <w:rFonts w:asciiTheme="minorEastAsia" w:eastAsiaTheme="minorEastAsia" w:hAnsiTheme="minorEastAsia" w:hint="eastAsia"/>
          <w:color w:val="000000" w:themeColor="text1"/>
          <w:szCs w:val="21"/>
        </w:rPr>
        <w:t>属于本基金财产的全部资金</w:t>
      </w:r>
      <w:r w:rsidRPr="00C86E67">
        <w:rPr>
          <w:rFonts w:asciiTheme="minorEastAsia" w:eastAsiaTheme="minorEastAsia" w:hAnsiTheme="minorEastAsia" w:hint="eastAsia"/>
          <w:color w:val="000000" w:themeColor="text1"/>
        </w:rPr>
        <w:t>划入基金托管人为基金开立的资产托管专户中，基金托管人在收到资金当日出具确认文件。</w:t>
      </w:r>
    </w:p>
    <w:p w:rsidR="00C35BC5" w:rsidRPr="00C86E67" w:rsidP="00552BE1">
      <w:pPr>
        <w:pStyle w:val="BodyTextIndent"/>
        <w:snapToGrid w:val="0"/>
        <w:spacing w:after="0" w:line="360" w:lineRule="auto"/>
        <w:ind w:left="13" w:firstLine="420" w:leftChars="6" w:firstLineChars="200"/>
        <w:rPr>
          <w:rFonts w:asciiTheme="minorEastAsia" w:eastAsiaTheme="minorEastAsia" w:hAnsiTheme="minorEastAsia" w:cs="Arial"/>
          <w:color w:val="000000" w:themeColor="text1"/>
        </w:rPr>
      </w:pPr>
      <w:r w:rsidRPr="00C86E67">
        <w:rPr>
          <w:rFonts w:asciiTheme="minorEastAsia" w:eastAsiaTheme="minorEastAsia" w:hAnsiTheme="minorEastAsia" w:cs="Arial" w:hint="eastAsia"/>
          <w:color w:val="000000" w:themeColor="text1"/>
        </w:rPr>
        <w:t>若基金募集期限届满，未能达到基金合同生效的条件，由基金管理人按规定办理退款事宜。</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3、基金的银行账户的开立和管理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资产托管专户的开立和使用，限于满足开展本基金业务的需要。基金托管人和基金管理人不得假借本基金的名义开立其他任何银行账户；亦不得使用基金的任何银行账户进行本基金业务以外的活动。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资产托管专户的管理应符合《银行账户管理办法》、《现金管理条例》、《中国人民银行利率管理的有关规定》、《关于大额现金支付管理的通知》、《支付结算办法》以及银行业监督管理机构的其他规定。</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4、基金证券账户与证券交易资金账户的开设和管理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基金托管人应代表本基金，以基金托管人和本基金联名的方式在中国证券登记结算有限公司上海分公司/深圳分公司开设证券账户。</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基金托管人</w:t>
      </w:r>
      <w:r w:rsidRPr="00C86E67">
        <w:rPr>
          <w:rFonts w:asciiTheme="minorEastAsia" w:eastAsiaTheme="minorEastAsia" w:hAnsiTheme="minorEastAsia"/>
          <w:color w:val="000000" w:themeColor="text1"/>
        </w:rPr>
        <w:t>以</w:t>
      </w:r>
      <w:r w:rsidRPr="00C86E67">
        <w:rPr>
          <w:rFonts w:asciiTheme="minorEastAsia" w:eastAsiaTheme="minorEastAsia" w:hAnsiTheme="minorEastAsia" w:hint="eastAsia"/>
          <w:color w:val="000000" w:themeColor="text1"/>
        </w:rPr>
        <w:t>基金托管人的名义在中国证券登记结算有限责任公司上海分公司/深圳分公司开立基金证券交易资金账户，用于证券清算。</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5、债券托管账户的开立和管理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2）基金管理人和基金托管人应一起负责为基金对外签订全国银行间国债市场回购主协议，正本由基金托管人保管，基金管理人保存副本。</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6、其他账户的开设和管理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7、基金财产投资的有关实物证券等有价凭证的保管</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上述托管人以外机构实际有效控制的实物证券不承担保管责任。</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8、与基金财产有关的重大合同的保管</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10个工作日内通过专人送达、挂号邮寄等安全方式将合同原件送达基金托管人处。合同原件应存放于基金管理人和基金托管人各自文件保管部门15年以上。</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1785" w:name="_Toc91764893"/>
      <w:r w:rsidRPr="00C86E67">
        <w:rPr>
          <w:rFonts w:asciiTheme="minorEastAsia" w:eastAsiaTheme="minorEastAsia" w:hAnsiTheme="minorEastAsia" w:hint="eastAsia"/>
          <w:b w:val="0"/>
          <w:bCs/>
          <w:color w:val="000000" w:themeColor="text1"/>
        </w:rPr>
        <w:t>（五）基金资产净值计算与复核</w:t>
      </w:r>
      <w:bookmarkEnd w:id="1785"/>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1、基金资产净值是指基金资产总值减去负债后的价值。基金份额净值是指计算日基金资产净值除以计算日基金份额总份额后的价值。</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2、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w:t>
      </w:r>
      <w:r w:rsidRPr="00C86E67">
        <w:rPr>
          <w:rFonts w:asciiTheme="minorEastAsia" w:eastAsiaTheme="minorEastAsia" w:hAnsiTheme="minorEastAsia" w:hint="eastAsia"/>
          <w:color w:val="000000" w:themeColor="text1"/>
        </w:rPr>
        <w:t>份额</w:t>
      </w:r>
      <w:r w:rsidRPr="00C86E67">
        <w:rPr>
          <w:rFonts w:asciiTheme="minorEastAsia" w:eastAsiaTheme="minorEastAsia" w:hAnsiTheme="minorEastAsia" w:hint="eastAsia"/>
          <w:color w:val="000000" w:themeColor="text1"/>
          <w:szCs w:val="21"/>
        </w:rPr>
        <w:t>净值并以加密传真方式发送给基金托管人。基金托管人对净值计算结果复核后，签名、盖章并以加密传真方式传送给基金管理人，由基金管理人对基金净值予以公布。</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本基金的估值方法为：</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（1）证券交易所上市的有价证券的估值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A.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B.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C.交易所上市未实行净价交易的债券按估值日收盘价减去债券收盘价中所含的债券应收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D.交易所上市不存在活跃市场的有价证券，采用估值技术确定公允价值。交易所上市的资产支持证券，采用估值技术确定公允价值，在估值技术难以可靠计量公允价值的情况下，按成本估值。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（2）处于未上市期间的有价证券应区分如下情况处理：</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A.送股、转增股、配股和公开增发的新股，按估值日在证券交易所挂牌的同一股票的市价（收盘价）估值；该日无交易的，以最近一日的市价（收盘价）估值；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B.首次公开发行未上市的股票、债券和权证，采用估值技术确定公允价值，在估值技术难以可靠计量公允价值的情况下，按成本估值。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C.首次公开发行有明确锁定期的股票，同一股票在交易所上市后，按交易所上市的同一股票的市价（收盘价）估值；非公开发行有明确锁定期的股票，按监管机构或行业协会有关规定确定公允价值。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（3）因持有股票而享有的配股权，以及停止交易、但未行权的权证，采用估值技术确定公允价值。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（4）全国银行间债券市场交易的债券、资产支持证券等固定收益品种，采用估值技术确定公允价值。</w:t>
      </w:r>
    </w:p>
    <w:p w:rsidR="00D0433B" w:rsidRPr="00C86E67" w:rsidP="00D0433B">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（5）同一债券同时在两个或两个以上市场交易的，按债券所处的市场分别估值。</w:t>
      </w:r>
    </w:p>
    <w:p w:rsidR="00C35BC5" w:rsidRPr="00C86E67" w:rsidP="00D0433B">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（6）本基金投资存托凭证的估值核算，依照境内上市交易的股票执行。</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w:t>
      </w:r>
      <w:r w:rsidRPr="00C86E67" w:rsidR="00D0433B">
        <w:rPr>
          <w:rFonts w:asciiTheme="minorEastAsia" w:eastAsiaTheme="minorEastAsia" w:hAnsiTheme="minorEastAsia" w:cs="宋体" w:hint="eastAsia"/>
          <w:color w:val="000000" w:themeColor="text1"/>
          <w:kern w:val="0"/>
          <w:szCs w:val="21"/>
        </w:rPr>
        <w:t>7</w:t>
      </w:r>
      <w:r w:rsidRPr="00C86E67">
        <w:rPr>
          <w:rFonts w:asciiTheme="minorEastAsia" w:eastAsiaTheme="minorEastAsia" w:hAnsiTheme="minorEastAsia" w:cs="宋体" w:hint="eastAsia"/>
          <w:color w:val="000000" w:themeColor="text1"/>
          <w:kern w:val="0"/>
          <w:szCs w:val="21"/>
        </w:rPr>
        <w:t>）如有确凿证据表明按上述方法进行估值不能客观反映其公允价值的，基金管理人可根据具体情况与基金托管人商定后，按最能反映公允价值的价格估值。</w:t>
      </w:r>
    </w:p>
    <w:p w:rsidR="00C35BC5" w:rsidRPr="00C86E67" w:rsidP="00552BE1">
      <w:pPr>
        <w:widowControl/>
        <w:snapToGrid w:val="0"/>
        <w:spacing w:line="360" w:lineRule="auto"/>
        <w:ind w:firstLine="420" w:firstLineChars="200"/>
        <w:jc w:val="left"/>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w:t>
      </w:r>
      <w:r w:rsidRPr="00C86E67" w:rsidR="00D0433B">
        <w:rPr>
          <w:rFonts w:asciiTheme="minorEastAsia" w:eastAsiaTheme="minorEastAsia" w:hAnsiTheme="minorEastAsia" w:cs="宋体" w:hint="eastAsia"/>
          <w:color w:val="000000" w:themeColor="text1"/>
          <w:kern w:val="0"/>
          <w:szCs w:val="21"/>
        </w:rPr>
        <w:t>8</w:t>
      </w:r>
      <w:r w:rsidRPr="00C86E67">
        <w:rPr>
          <w:rFonts w:asciiTheme="minorEastAsia" w:eastAsiaTheme="minorEastAsia" w:hAnsiTheme="minorEastAsia" w:cs="宋体" w:hint="eastAsia"/>
          <w:color w:val="000000" w:themeColor="text1"/>
          <w:kern w:val="0"/>
          <w:szCs w:val="21"/>
        </w:rPr>
        <w:t>）相关法律法规以及监管部门有强制规定的，从其规定。如有新增事项，按国家最新规定估值。</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786" w:name="_Toc91764894"/>
      <w:r w:rsidRPr="00C86E67">
        <w:rPr>
          <w:rFonts w:asciiTheme="minorEastAsia" w:eastAsiaTheme="minorEastAsia" w:hAnsiTheme="minorEastAsia" w:hint="eastAsia"/>
          <w:b w:val="0"/>
          <w:bCs/>
          <w:color w:val="000000" w:themeColor="text1"/>
        </w:rPr>
        <w:t>（六）基金份额持有人名册的保管</w:t>
      </w:r>
      <w:bookmarkEnd w:id="1786"/>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持有人的名称和持有的基金份额。</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基金份额持有人名册由基金的注册登记人编制，由基金的注册登记人保管。保管方式可以采用电子或文档的形式。保管期限为永久保存。</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基金托管人以电子版形式妥善保管基金份额持有人名册，并定期刻成光盘备份，保存期限为15年。基金托管人不得将所保管的基金份额持有人名册用于基金托管业务以外的其他用途，并应遵守保密义务。</w:t>
      </w:r>
    </w:p>
    <w:p w:rsidR="00C35BC5" w:rsidRPr="00C86E67" w:rsidP="00552BE1">
      <w:pPr>
        <w:snapToGrid w:val="0"/>
        <w:spacing w:line="360" w:lineRule="auto"/>
        <w:ind w:right="28" w:firstLine="420" w:firstLineChars="200"/>
        <w:rPr>
          <w:rFonts w:asciiTheme="minorEastAsia" w:eastAsiaTheme="minorEastAsia" w:hAnsiTheme="minorEastAsia"/>
          <w:b/>
          <w:bCs/>
          <w:color w:val="000000" w:themeColor="text1"/>
        </w:rPr>
      </w:pPr>
      <w:r w:rsidRPr="00C86E67">
        <w:rPr>
          <w:rFonts w:asciiTheme="minorEastAsia" w:eastAsiaTheme="minorEastAsia" w:hAnsiTheme="minorEastAsia" w:hint="eastAsia"/>
          <w:color w:val="000000" w:themeColor="text1"/>
          <w:szCs w:val="21"/>
        </w:rPr>
        <w:t>若基金管理人或基金托管人由于自身原因无法妥善保管基金份额持有人名册，应按有关法规规定各自承担相应的责任。</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787" w:name="_Toc91764895"/>
      <w:r w:rsidRPr="00C86E67">
        <w:rPr>
          <w:rFonts w:asciiTheme="minorEastAsia" w:eastAsiaTheme="minorEastAsia" w:hAnsiTheme="minorEastAsia" w:hint="eastAsia"/>
          <w:b w:val="0"/>
          <w:bCs/>
          <w:color w:val="000000" w:themeColor="text1"/>
        </w:rPr>
        <w:t>（七）争议解决方式</w:t>
      </w:r>
      <w:bookmarkEnd w:id="1787"/>
    </w:p>
    <w:p w:rsidR="00C35BC5" w:rsidRPr="00C86E67" w:rsidP="00552BE1">
      <w:pPr>
        <w:snapToGrid w:val="0"/>
        <w:spacing w:line="360" w:lineRule="auto"/>
        <w:ind w:right="28"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C35BC5" w:rsidRPr="00C86E67" w:rsidP="00552BE1">
      <w:pPr>
        <w:autoSpaceDE w:val="0"/>
        <w:autoSpaceDN w:val="0"/>
        <w:adjustRightInd w:val="0"/>
        <w:snapToGrid w:val="0"/>
        <w:spacing w:line="360" w:lineRule="auto"/>
        <w:ind w:firstLine="420" w:firstLineChars="200"/>
        <w:rPr>
          <w:rFonts w:asciiTheme="minorEastAsia" w:eastAsiaTheme="minorEastAsia" w:hAnsiTheme="minorEastAsia"/>
          <w:b/>
          <w:bCs/>
          <w:color w:val="000000" w:themeColor="text1"/>
        </w:rPr>
      </w:pPr>
      <w:r w:rsidRPr="00C86E67">
        <w:rPr>
          <w:rFonts w:asciiTheme="minorEastAsia" w:eastAsiaTheme="minorEastAsia" w:hAnsiTheme="minorEastAsia" w:hint="eastAsia"/>
          <w:color w:val="000000" w:themeColor="text1"/>
        </w:rPr>
        <w:t>争议处理期间，相关各方当事人应恪守基金管理人和基金托管人职责，继续忠实、勤勉、尽责地履行《基金合同》和托管协议规定的义务，维护基金份额持有人的合法权益。本协议受中华人民共和国（为本协议之目的，不包括香港、澳门及台湾）法律管辖。</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1788" w:name="_Toc91764896"/>
      <w:r w:rsidRPr="00C86E67">
        <w:rPr>
          <w:rFonts w:asciiTheme="minorEastAsia" w:eastAsiaTheme="minorEastAsia" w:hAnsiTheme="minorEastAsia" w:hint="eastAsia"/>
          <w:b w:val="0"/>
          <w:bCs/>
          <w:color w:val="000000" w:themeColor="text1"/>
        </w:rPr>
        <w:t>（八）托管协议的变更与终止</w:t>
      </w:r>
      <w:bookmarkEnd w:id="1788"/>
    </w:p>
    <w:p w:rsidR="00C35BC5" w:rsidRPr="00C86E67" w:rsidP="00126B45">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1</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本协议相关各方当事人经协商一致，可以对协议进行变更。变更后的托管协议，其内容不得与《基金合同》的规定有任何冲突。基金托管协议的变更报中国证监会核准后生效。</w:t>
      </w:r>
    </w:p>
    <w:p w:rsidR="00C35BC5" w:rsidRPr="00C86E67" w:rsidP="00126B45">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发生以下情况，本托管协议终止：</w:t>
      </w:r>
    </w:p>
    <w:p w:rsidR="00C35BC5" w:rsidRPr="00C86E67" w:rsidP="00126B45">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（1）《基金合同》终止；</w:t>
      </w:r>
    </w:p>
    <w:p w:rsidR="00C35BC5" w:rsidRPr="00C86E67" w:rsidP="00126B45">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（2）基金托管人解散、依法被撤销、破产或有其他基金托管人接管基金财产；</w:t>
      </w:r>
    </w:p>
    <w:p w:rsidR="00C35BC5" w:rsidRPr="00C86E67" w:rsidP="00126B45">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（3）基金管理人解散、依法被撤销、破产或有其他基金管理人接管基金管理权；</w:t>
      </w:r>
    </w:p>
    <w:p w:rsidR="00C35BC5" w:rsidRPr="00C86E67" w:rsidP="00126B45">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（4）发生法律法规或基金合同规定的终止事项。</w:t>
      </w:r>
    </w:p>
    <w:p w:rsidR="00C35BC5" w:rsidRPr="00C86E67" w:rsidP="00126B45">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1789" w:name="_Toc91764897"/>
      <w:r w:rsidRPr="00C86E67">
        <w:rPr>
          <w:rFonts w:asciiTheme="minorEastAsia" w:eastAsiaTheme="minorEastAsia" w:hAnsiTheme="minorEastAsia" w:hint="eastAsia"/>
          <w:b/>
          <w:bCs/>
          <w:color w:val="000000" w:themeColor="text1"/>
        </w:rPr>
        <w:t>二</w:t>
      </w:r>
      <w:bookmarkStart w:id="1790" w:name="_Toc38438238"/>
      <w:bookmarkStart w:id="1791" w:name="_Toc38438575"/>
      <w:bookmarkStart w:id="1792" w:name="_Toc38438912"/>
      <w:bookmarkStart w:id="1793" w:name="_Toc38439249"/>
      <w:bookmarkStart w:id="1794" w:name="_Toc38439586"/>
      <w:bookmarkStart w:id="1795" w:name="_Toc38439923"/>
      <w:bookmarkStart w:id="1796" w:name="_Toc38440260"/>
      <w:bookmarkStart w:id="1797" w:name="_Toc38440597"/>
      <w:bookmarkStart w:id="1798" w:name="_Toc38440796"/>
      <w:bookmarkStart w:id="1799" w:name="_Toc38441129"/>
      <w:bookmarkStart w:id="1800" w:name="_Toc38441461"/>
      <w:bookmarkStart w:id="1801" w:name="_Toc38441793"/>
      <w:bookmarkStart w:id="1802" w:name="_Toc38442121"/>
      <w:bookmarkStart w:id="1803" w:name="_Toc38442453"/>
      <w:bookmarkStart w:id="1804" w:name="_Toc38442785"/>
      <w:bookmarkStart w:id="1805" w:name="_Toc38443116"/>
      <w:bookmarkStart w:id="1806" w:name="_Toc38443447"/>
      <w:bookmarkStart w:id="1807" w:name="_Toc38443778"/>
      <w:bookmarkStart w:id="1808" w:name="_Toc38438239"/>
      <w:bookmarkStart w:id="1809" w:name="_Toc38438576"/>
      <w:bookmarkStart w:id="1810" w:name="_Toc38438913"/>
      <w:bookmarkStart w:id="1811" w:name="_Toc38439250"/>
      <w:bookmarkStart w:id="1812" w:name="_Toc38439587"/>
      <w:bookmarkStart w:id="1813" w:name="_Toc38439924"/>
      <w:bookmarkStart w:id="1814" w:name="_Toc38440261"/>
      <w:bookmarkStart w:id="1815" w:name="_Toc38440598"/>
      <w:bookmarkStart w:id="1816" w:name="_Toc38440797"/>
      <w:bookmarkStart w:id="1817" w:name="_Toc38441130"/>
      <w:bookmarkStart w:id="1818" w:name="_Toc38441462"/>
      <w:bookmarkStart w:id="1819" w:name="_Toc38441794"/>
      <w:bookmarkStart w:id="1820" w:name="_Toc38442122"/>
      <w:bookmarkStart w:id="1821" w:name="_Toc38442454"/>
      <w:bookmarkStart w:id="1822" w:name="_Toc38442786"/>
      <w:bookmarkStart w:id="1823" w:name="_Toc38443117"/>
      <w:bookmarkStart w:id="1824" w:name="_Toc38443448"/>
      <w:bookmarkStart w:id="1825" w:name="_Toc38443779"/>
      <w:bookmarkStart w:id="1826" w:name="_Toc38438240"/>
      <w:bookmarkStart w:id="1827" w:name="_Toc38438577"/>
      <w:bookmarkStart w:id="1828" w:name="_Toc38438914"/>
      <w:bookmarkStart w:id="1829" w:name="_Toc38439251"/>
      <w:bookmarkStart w:id="1830" w:name="_Toc38439588"/>
      <w:bookmarkStart w:id="1831" w:name="_Toc38439925"/>
      <w:bookmarkStart w:id="1832" w:name="_Toc38440262"/>
      <w:bookmarkStart w:id="1833" w:name="_Toc38440599"/>
      <w:bookmarkStart w:id="1834" w:name="_Toc38440798"/>
      <w:bookmarkStart w:id="1835" w:name="_Toc38441131"/>
      <w:bookmarkStart w:id="1836" w:name="_Toc38441463"/>
      <w:bookmarkStart w:id="1837" w:name="_Toc38441795"/>
      <w:bookmarkStart w:id="1838" w:name="_Toc38442123"/>
      <w:bookmarkStart w:id="1839" w:name="_Toc38442455"/>
      <w:bookmarkStart w:id="1840" w:name="_Toc38442787"/>
      <w:bookmarkStart w:id="1841" w:name="_Toc38443118"/>
      <w:bookmarkStart w:id="1842" w:name="_Toc38443449"/>
      <w:bookmarkStart w:id="1843" w:name="_Toc38443780"/>
      <w:bookmarkStart w:id="1844" w:name="_Toc38438241"/>
      <w:bookmarkStart w:id="1845" w:name="_Toc38438578"/>
      <w:bookmarkStart w:id="1846" w:name="_Toc38438915"/>
      <w:bookmarkStart w:id="1847" w:name="_Toc38439252"/>
      <w:bookmarkStart w:id="1848" w:name="_Toc38439589"/>
      <w:bookmarkStart w:id="1849" w:name="_Toc38439926"/>
      <w:bookmarkStart w:id="1850" w:name="_Toc38440263"/>
      <w:bookmarkStart w:id="1851" w:name="_Toc38440600"/>
      <w:bookmarkStart w:id="1852" w:name="_Toc38440799"/>
      <w:bookmarkStart w:id="1853" w:name="_Toc38441132"/>
      <w:bookmarkStart w:id="1854" w:name="_Toc38441464"/>
      <w:bookmarkStart w:id="1855" w:name="_Toc38441796"/>
      <w:bookmarkStart w:id="1856" w:name="_Toc38442124"/>
      <w:bookmarkStart w:id="1857" w:name="_Toc38442456"/>
      <w:bookmarkStart w:id="1858" w:name="_Toc38442788"/>
      <w:bookmarkStart w:id="1859" w:name="_Toc38443119"/>
      <w:bookmarkStart w:id="1860" w:name="_Toc38443450"/>
      <w:bookmarkStart w:id="1861" w:name="_Toc38443781"/>
      <w:bookmarkStart w:id="1862" w:name="_Toc38438242"/>
      <w:bookmarkStart w:id="1863" w:name="_Toc38438579"/>
      <w:bookmarkStart w:id="1864" w:name="_Toc38438916"/>
      <w:bookmarkStart w:id="1865" w:name="_Toc38439253"/>
      <w:bookmarkStart w:id="1866" w:name="_Toc38439590"/>
      <w:bookmarkStart w:id="1867" w:name="_Toc38439927"/>
      <w:bookmarkStart w:id="1868" w:name="_Toc38440264"/>
      <w:bookmarkStart w:id="1869" w:name="_Toc38440601"/>
      <w:bookmarkStart w:id="1870" w:name="_Toc38440800"/>
      <w:bookmarkStart w:id="1871" w:name="_Toc38441133"/>
      <w:bookmarkStart w:id="1872" w:name="_Toc38441465"/>
      <w:bookmarkStart w:id="1873" w:name="_Toc38441797"/>
      <w:bookmarkStart w:id="1874" w:name="_Toc38442125"/>
      <w:bookmarkStart w:id="1875" w:name="_Toc38442457"/>
      <w:bookmarkStart w:id="1876" w:name="_Toc38442789"/>
      <w:bookmarkStart w:id="1877" w:name="_Toc38443120"/>
      <w:bookmarkStart w:id="1878" w:name="_Toc38443451"/>
      <w:bookmarkStart w:id="1879" w:name="_Toc38443782"/>
      <w:bookmarkStart w:id="1880" w:name="_Toc38438243"/>
      <w:bookmarkStart w:id="1881" w:name="_Toc38438580"/>
      <w:bookmarkStart w:id="1882" w:name="_Toc38438917"/>
      <w:bookmarkStart w:id="1883" w:name="_Toc38439254"/>
      <w:bookmarkStart w:id="1884" w:name="_Toc38439591"/>
      <w:bookmarkStart w:id="1885" w:name="_Toc38439928"/>
      <w:bookmarkStart w:id="1886" w:name="_Toc38440265"/>
      <w:bookmarkStart w:id="1887" w:name="_Toc38440602"/>
      <w:bookmarkStart w:id="1888" w:name="_Toc38440801"/>
      <w:bookmarkStart w:id="1889" w:name="_Toc38441134"/>
      <w:bookmarkStart w:id="1890" w:name="_Toc38441466"/>
      <w:bookmarkStart w:id="1891" w:name="_Toc38441798"/>
      <w:bookmarkStart w:id="1892" w:name="_Toc38442126"/>
      <w:bookmarkStart w:id="1893" w:name="_Toc38442458"/>
      <w:bookmarkStart w:id="1894" w:name="_Toc38442790"/>
      <w:bookmarkStart w:id="1895" w:name="_Toc38443121"/>
      <w:bookmarkStart w:id="1896" w:name="_Toc38443452"/>
      <w:bookmarkStart w:id="1897" w:name="_Toc38443783"/>
      <w:bookmarkStart w:id="1898" w:name="_Toc38438244"/>
      <w:bookmarkStart w:id="1899" w:name="_Toc38438581"/>
      <w:bookmarkStart w:id="1900" w:name="_Toc38438918"/>
      <w:bookmarkStart w:id="1901" w:name="_Toc38439255"/>
      <w:bookmarkStart w:id="1902" w:name="_Toc38439592"/>
      <w:bookmarkStart w:id="1903" w:name="_Toc38439929"/>
      <w:bookmarkStart w:id="1904" w:name="_Toc38440266"/>
      <w:bookmarkStart w:id="1905" w:name="_Toc38440603"/>
      <w:bookmarkStart w:id="1906" w:name="_Toc38440802"/>
      <w:bookmarkStart w:id="1907" w:name="_Toc38441135"/>
      <w:bookmarkStart w:id="1908" w:name="_Toc38441467"/>
      <w:bookmarkStart w:id="1909" w:name="_Toc38441799"/>
      <w:bookmarkStart w:id="1910" w:name="_Toc38442127"/>
      <w:bookmarkStart w:id="1911" w:name="_Toc38442459"/>
      <w:bookmarkStart w:id="1912" w:name="_Toc38442791"/>
      <w:bookmarkStart w:id="1913" w:name="_Toc38443122"/>
      <w:bookmarkStart w:id="1914" w:name="_Toc38443453"/>
      <w:bookmarkStart w:id="1915" w:name="_Toc38443784"/>
      <w:bookmarkStart w:id="1916" w:name="_Toc38438245"/>
      <w:bookmarkStart w:id="1917" w:name="_Toc38438582"/>
      <w:bookmarkStart w:id="1918" w:name="_Toc38438919"/>
      <w:bookmarkStart w:id="1919" w:name="_Toc38439256"/>
      <w:bookmarkStart w:id="1920" w:name="_Toc38439593"/>
      <w:bookmarkStart w:id="1921" w:name="_Toc38439930"/>
      <w:bookmarkStart w:id="1922" w:name="_Toc38440267"/>
      <w:bookmarkStart w:id="1923" w:name="_Toc38440604"/>
      <w:bookmarkStart w:id="1924" w:name="_Toc38440803"/>
      <w:bookmarkStart w:id="1925" w:name="_Toc38441136"/>
      <w:bookmarkStart w:id="1926" w:name="_Toc38441468"/>
      <w:bookmarkStart w:id="1927" w:name="_Toc38441800"/>
      <w:bookmarkStart w:id="1928" w:name="_Toc38442128"/>
      <w:bookmarkStart w:id="1929" w:name="_Toc38442460"/>
      <w:bookmarkStart w:id="1930" w:name="_Toc38442792"/>
      <w:bookmarkStart w:id="1931" w:name="_Toc38443123"/>
      <w:bookmarkStart w:id="1932" w:name="_Toc38443454"/>
      <w:bookmarkStart w:id="1933" w:name="_Toc38443785"/>
      <w:bookmarkStart w:id="1934" w:name="_Toc38438246"/>
      <w:bookmarkStart w:id="1935" w:name="_Toc38438583"/>
      <w:bookmarkStart w:id="1936" w:name="_Toc38438920"/>
      <w:bookmarkStart w:id="1937" w:name="_Toc38439257"/>
      <w:bookmarkStart w:id="1938" w:name="_Toc38439594"/>
      <w:bookmarkStart w:id="1939" w:name="_Toc38439931"/>
      <w:bookmarkStart w:id="1940" w:name="_Toc38440268"/>
      <w:bookmarkStart w:id="1941" w:name="_Toc38440605"/>
      <w:bookmarkStart w:id="1942" w:name="_Toc38440804"/>
      <w:bookmarkStart w:id="1943" w:name="_Toc38441137"/>
      <w:bookmarkStart w:id="1944" w:name="_Toc38441469"/>
      <w:bookmarkStart w:id="1945" w:name="_Toc38441801"/>
      <w:bookmarkStart w:id="1946" w:name="_Toc38442129"/>
      <w:bookmarkStart w:id="1947" w:name="_Toc38442461"/>
      <w:bookmarkStart w:id="1948" w:name="_Toc38442793"/>
      <w:bookmarkStart w:id="1949" w:name="_Toc38443124"/>
      <w:bookmarkStart w:id="1950" w:name="_Toc38443455"/>
      <w:bookmarkStart w:id="1951" w:name="_Toc38443786"/>
      <w:bookmarkStart w:id="1952" w:name="_Toc38438247"/>
      <w:bookmarkStart w:id="1953" w:name="_Toc38438584"/>
      <w:bookmarkStart w:id="1954" w:name="_Toc38438921"/>
      <w:bookmarkStart w:id="1955" w:name="_Toc38439258"/>
      <w:bookmarkStart w:id="1956" w:name="_Toc38439595"/>
      <w:bookmarkStart w:id="1957" w:name="_Toc38439932"/>
      <w:bookmarkStart w:id="1958" w:name="_Toc38440269"/>
      <w:bookmarkStart w:id="1959" w:name="_Toc38440606"/>
      <w:bookmarkStart w:id="1960" w:name="_Toc38440805"/>
      <w:bookmarkStart w:id="1961" w:name="_Toc38441138"/>
      <w:bookmarkStart w:id="1962" w:name="_Toc38441470"/>
      <w:bookmarkStart w:id="1963" w:name="_Toc38441802"/>
      <w:bookmarkStart w:id="1964" w:name="_Toc38442130"/>
      <w:bookmarkStart w:id="1965" w:name="_Toc38442462"/>
      <w:bookmarkStart w:id="1966" w:name="_Toc38442794"/>
      <w:bookmarkStart w:id="1967" w:name="_Toc38443125"/>
      <w:bookmarkStart w:id="1968" w:name="_Toc38443456"/>
      <w:bookmarkStart w:id="1969" w:name="_Toc38443787"/>
      <w:bookmarkStart w:id="1970" w:name="_Toc38438248"/>
      <w:bookmarkStart w:id="1971" w:name="_Toc38438585"/>
      <w:bookmarkStart w:id="1972" w:name="_Toc38438922"/>
      <w:bookmarkStart w:id="1973" w:name="_Toc38439259"/>
      <w:bookmarkStart w:id="1974" w:name="_Toc38439596"/>
      <w:bookmarkStart w:id="1975" w:name="_Toc38439933"/>
      <w:bookmarkStart w:id="1976" w:name="_Toc38440270"/>
      <w:bookmarkStart w:id="1977" w:name="_Toc38440607"/>
      <w:bookmarkStart w:id="1978" w:name="_Toc38440806"/>
      <w:bookmarkStart w:id="1979" w:name="_Toc38441139"/>
      <w:bookmarkStart w:id="1980" w:name="_Toc38441471"/>
      <w:bookmarkStart w:id="1981" w:name="_Toc38441803"/>
      <w:bookmarkStart w:id="1982" w:name="_Toc38442131"/>
      <w:bookmarkStart w:id="1983" w:name="_Toc38442463"/>
      <w:bookmarkStart w:id="1984" w:name="_Toc38442795"/>
      <w:bookmarkStart w:id="1985" w:name="_Toc38443126"/>
      <w:bookmarkStart w:id="1986" w:name="_Toc38443457"/>
      <w:bookmarkStart w:id="1987" w:name="_Toc38443788"/>
      <w:bookmarkStart w:id="1988" w:name="_Toc38438249"/>
      <w:bookmarkStart w:id="1989" w:name="_Toc38438586"/>
      <w:bookmarkStart w:id="1990" w:name="_Toc38438923"/>
      <w:bookmarkStart w:id="1991" w:name="_Toc38439260"/>
      <w:bookmarkStart w:id="1992" w:name="_Toc38439597"/>
      <w:bookmarkStart w:id="1993" w:name="_Toc38439934"/>
      <w:bookmarkStart w:id="1994" w:name="_Toc38440271"/>
      <w:bookmarkStart w:id="1995" w:name="_Toc38440608"/>
      <w:bookmarkStart w:id="1996" w:name="_Toc38440807"/>
      <w:bookmarkStart w:id="1997" w:name="_Toc38441140"/>
      <w:bookmarkStart w:id="1998" w:name="_Toc38441472"/>
      <w:bookmarkStart w:id="1999" w:name="_Toc38441804"/>
      <w:bookmarkStart w:id="2000" w:name="_Toc38442132"/>
      <w:bookmarkStart w:id="2001" w:name="_Toc38442464"/>
      <w:bookmarkStart w:id="2002" w:name="_Toc38442796"/>
      <w:bookmarkStart w:id="2003" w:name="_Toc38443127"/>
      <w:bookmarkStart w:id="2004" w:name="_Toc38443458"/>
      <w:bookmarkStart w:id="2005" w:name="_Toc38443789"/>
      <w:bookmarkStart w:id="2006" w:name="_Toc38438250"/>
      <w:bookmarkStart w:id="2007" w:name="_Toc38438587"/>
      <w:bookmarkStart w:id="2008" w:name="_Toc38438924"/>
      <w:bookmarkStart w:id="2009" w:name="_Toc38439261"/>
      <w:bookmarkStart w:id="2010" w:name="_Toc38439598"/>
      <w:bookmarkStart w:id="2011" w:name="_Toc38439935"/>
      <w:bookmarkStart w:id="2012" w:name="_Toc38440272"/>
      <w:bookmarkStart w:id="2013" w:name="_Toc38440609"/>
      <w:bookmarkStart w:id="2014" w:name="_Toc38440808"/>
      <w:bookmarkStart w:id="2015" w:name="_Toc38441141"/>
      <w:bookmarkStart w:id="2016" w:name="_Toc38441473"/>
      <w:bookmarkStart w:id="2017" w:name="_Toc38441805"/>
      <w:bookmarkStart w:id="2018" w:name="_Toc38442133"/>
      <w:bookmarkStart w:id="2019" w:name="_Toc38442465"/>
      <w:bookmarkStart w:id="2020" w:name="_Toc38442797"/>
      <w:bookmarkStart w:id="2021" w:name="_Toc38443128"/>
      <w:bookmarkStart w:id="2022" w:name="_Toc38443459"/>
      <w:bookmarkStart w:id="2023" w:name="_Toc38443790"/>
      <w:bookmarkStart w:id="2024" w:name="_Toc38438251"/>
      <w:bookmarkStart w:id="2025" w:name="_Toc38438588"/>
      <w:bookmarkStart w:id="2026" w:name="_Toc38438925"/>
      <w:bookmarkStart w:id="2027" w:name="_Toc38439262"/>
      <w:bookmarkStart w:id="2028" w:name="_Toc38439599"/>
      <w:bookmarkStart w:id="2029" w:name="_Toc38439936"/>
      <w:bookmarkStart w:id="2030" w:name="_Toc38440273"/>
      <w:bookmarkStart w:id="2031" w:name="_Toc38440610"/>
      <w:bookmarkStart w:id="2032" w:name="_Toc38440809"/>
      <w:bookmarkStart w:id="2033" w:name="_Toc38441142"/>
      <w:bookmarkStart w:id="2034" w:name="_Toc38441474"/>
      <w:bookmarkStart w:id="2035" w:name="_Toc38441806"/>
      <w:bookmarkStart w:id="2036" w:name="_Toc38442134"/>
      <w:bookmarkStart w:id="2037" w:name="_Toc38442466"/>
      <w:bookmarkStart w:id="2038" w:name="_Toc38442798"/>
      <w:bookmarkStart w:id="2039" w:name="_Toc38443129"/>
      <w:bookmarkStart w:id="2040" w:name="_Toc38443460"/>
      <w:bookmarkStart w:id="2041" w:name="_Toc38443791"/>
      <w:bookmarkStart w:id="2042" w:name="_Toc38438252"/>
      <w:bookmarkStart w:id="2043" w:name="_Toc38438589"/>
      <w:bookmarkStart w:id="2044" w:name="_Toc38438926"/>
      <w:bookmarkStart w:id="2045" w:name="_Toc38439263"/>
      <w:bookmarkStart w:id="2046" w:name="_Toc38439600"/>
      <w:bookmarkStart w:id="2047" w:name="_Toc38439937"/>
      <w:bookmarkStart w:id="2048" w:name="_Toc38440274"/>
      <w:bookmarkStart w:id="2049" w:name="_Toc38440611"/>
      <w:bookmarkStart w:id="2050" w:name="_Toc38440810"/>
      <w:bookmarkStart w:id="2051" w:name="_Toc38441143"/>
      <w:bookmarkStart w:id="2052" w:name="_Toc38441475"/>
      <w:bookmarkStart w:id="2053" w:name="_Toc38441807"/>
      <w:bookmarkStart w:id="2054" w:name="_Toc38442135"/>
      <w:bookmarkStart w:id="2055" w:name="_Toc38442467"/>
      <w:bookmarkStart w:id="2056" w:name="_Toc38442799"/>
      <w:bookmarkStart w:id="2057" w:name="_Toc38443130"/>
      <w:bookmarkStart w:id="2058" w:name="_Toc38443461"/>
      <w:bookmarkStart w:id="2059" w:name="_Toc38443792"/>
      <w:bookmarkStart w:id="2060" w:name="_Toc38438253"/>
      <w:bookmarkStart w:id="2061" w:name="_Toc38438590"/>
      <w:bookmarkStart w:id="2062" w:name="_Toc38438927"/>
      <w:bookmarkStart w:id="2063" w:name="_Toc38439264"/>
      <w:bookmarkStart w:id="2064" w:name="_Toc38439601"/>
      <w:bookmarkStart w:id="2065" w:name="_Toc38439938"/>
      <w:bookmarkStart w:id="2066" w:name="_Toc38440275"/>
      <w:bookmarkStart w:id="2067" w:name="_Toc38440612"/>
      <w:bookmarkStart w:id="2068" w:name="_Toc38440811"/>
      <w:bookmarkStart w:id="2069" w:name="_Toc38441144"/>
      <w:bookmarkStart w:id="2070" w:name="_Toc38441476"/>
      <w:bookmarkStart w:id="2071" w:name="_Toc38441808"/>
      <w:bookmarkStart w:id="2072" w:name="_Toc38442136"/>
      <w:bookmarkStart w:id="2073" w:name="_Toc38442468"/>
      <w:bookmarkStart w:id="2074" w:name="_Toc38442800"/>
      <w:bookmarkStart w:id="2075" w:name="_Toc38443131"/>
      <w:bookmarkStart w:id="2076" w:name="_Toc38443462"/>
      <w:bookmarkStart w:id="2077" w:name="_Toc38443793"/>
      <w:bookmarkStart w:id="2078" w:name="_Toc38438254"/>
      <w:bookmarkStart w:id="2079" w:name="_Toc38438591"/>
      <w:bookmarkStart w:id="2080" w:name="_Toc38438928"/>
      <w:bookmarkStart w:id="2081" w:name="_Toc38439265"/>
      <w:bookmarkStart w:id="2082" w:name="_Toc38439602"/>
      <w:bookmarkStart w:id="2083" w:name="_Toc38439939"/>
      <w:bookmarkStart w:id="2084" w:name="_Toc38440276"/>
      <w:bookmarkStart w:id="2085" w:name="_Toc38440613"/>
      <w:bookmarkStart w:id="2086" w:name="_Toc38440812"/>
      <w:bookmarkStart w:id="2087" w:name="_Toc38441145"/>
      <w:bookmarkStart w:id="2088" w:name="_Toc38441477"/>
      <w:bookmarkStart w:id="2089" w:name="_Toc38441809"/>
      <w:bookmarkStart w:id="2090" w:name="_Toc38442137"/>
      <w:bookmarkStart w:id="2091" w:name="_Toc38442469"/>
      <w:bookmarkStart w:id="2092" w:name="_Toc38442801"/>
      <w:bookmarkStart w:id="2093" w:name="_Toc38443132"/>
      <w:bookmarkStart w:id="2094" w:name="_Toc38443463"/>
      <w:bookmarkStart w:id="2095" w:name="_Toc38443794"/>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Pr="00C86E67">
        <w:rPr>
          <w:rFonts w:asciiTheme="minorEastAsia" w:eastAsiaTheme="minorEastAsia" w:hAnsiTheme="minorEastAsia" w:hint="eastAsia"/>
          <w:b/>
          <w:bCs/>
          <w:color w:val="000000" w:themeColor="text1"/>
        </w:rPr>
        <w:t>十三、对基金份额持有人的服务</w:t>
      </w:r>
      <w:bookmarkStart w:id="2096" w:name="_Toc38186634"/>
      <w:bookmarkEnd w:id="1789"/>
    </w:p>
    <w:p w:rsidR="00C35BC5" w:rsidRPr="00C86E67" w:rsidP="00552BE1">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097" w:name="_Toc91764898"/>
      <w:r w:rsidRPr="00C86E67">
        <w:rPr>
          <w:rFonts w:asciiTheme="minorEastAsia" w:eastAsiaTheme="minorEastAsia" w:hAnsiTheme="minorEastAsia" w:hint="eastAsia"/>
          <w:bCs/>
          <w:color w:val="000000" w:themeColor="text1"/>
          <w:sz w:val="24"/>
          <w:szCs w:val="24"/>
        </w:rPr>
        <w:t>（一）基金份额持有人投资交易确认服务</w:t>
      </w:r>
      <w:bookmarkEnd w:id="2097"/>
    </w:p>
    <w:p w:rsidR="00C35BC5" w:rsidRPr="00C86E67" w:rsidP="00552BE1">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注册登记机构保留基金份额持有人名册上列明的所有基金份额持有人的基金交易记录。</w:t>
      </w:r>
    </w:p>
    <w:p w:rsidR="00C35BC5" w:rsidRPr="00C86E67" w:rsidP="00552BE1">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基金管理人直销</w:t>
      </w:r>
      <w:r w:rsidRPr="00C86E67" w:rsidR="002564C2">
        <w:rPr>
          <w:rFonts w:asciiTheme="minorEastAsia" w:eastAsiaTheme="minorEastAsia" w:hAnsiTheme="minorEastAsia" w:hint="eastAsia"/>
          <w:color w:val="000000" w:themeColor="text1"/>
        </w:rPr>
        <w:t>网点</w:t>
      </w:r>
      <w:r w:rsidRPr="00C86E67">
        <w:rPr>
          <w:rFonts w:asciiTheme="minorEastAsia" w:eastAsiaTheme="minorEastAsia" w:hAnsiTheme="minorEastAsia" w:hint="eastAsia"/>
          <w:color w:val="000000" w:themeColor="text1"/>
        </w:rPr>
        <w:t>应根据在基金管理人直销</w:t>
      </w:r>
      <w:r w:rsidRPr="00C86E67" w:rsidR="002564C2">
        <w:rPr>
          <w:rFonts w:asciiTheme="minorEastAsia" w:eastAsiaTheme="minorEastAsia" w:hAnsiTheme="minorEastAsia" w:hint="eastAsia"/>
          <w:color w:val="000000" w:themeColor="text1"/>
        </w:rPr>
        <w:t>网点</w:t>
      </w:r>
      <w:r w:rsidRPr="00C86E67">
        <w:rPr>
          <w:rFonts w:asciiTheme="minorEastAsia" w:eastAsiaTheme="minorEastAsia" w:hAnsiTheme="minorEastAsia" w:hint="eastAsia"/>
          <w:color w:val="000000" w:themeColor="text1"/>
        </w:rPr>
        <w:t>进行交易的投资者的要求</w:t>
      </w:r>
      <w:r w:rsidRPr="00C86E67" w:rsidR="00254A49">
        <w:rPr>
          <w:rFonts w:asciiTheme="minorEastAsia" w:eastAsiaTheme="minorEastAsia" w:hAnsiTheme="minorEastAsia" w:hint="eastAsia"/>
          <w:color w:val="000000" w:themeColor="text1"/>
        </w:rPr>
        <w:t>提</w:t>
      </w:r>
      <w:r w:rsidRPr="00C86E67" w:rsidR="005B730D">
        <w:rPr>
          <w:rFonts w:asciiTheme="minorEastAsia" w:eastAsiaTheme="minorEastAsia" w:hAnsiTheme="minorEastAsia" w:hint="eastAsia"/>
          <w:color w:val="000000" w:themeColor="text1"/>
        </w:rPr>
        <w:t>供</w:t>
      </w:r>
      <w:r w:rsidRPr="00C86E67">
        <w:rPr>
          <w:rFonts w:asciiTheme="minorEastAsia" w:eastAsiaTheme="minorEastAsia" w:hAnsiTheme="minorEastAsia" w:hint="eastAsia"/>
          <w:color w:val="000000" w:themeColor="text1"/>
        </w:rPr>
        <w:t>成交确认单。</w:t>
      </w:r>
      <w:r w:rsidRPr="00C86E67" w:rsidR="00C85C52">
        <w:rPr>
          <w:rFonts w:asciiTheme="minorEastAsia" w:eastAsiaTheme="minorEastAsia" w:hAnsiTheme="minorEastAsia" w:hint="eastAsia"/>
          <w:color w:val="000000" w:themeColor="text1"/>
        </w:rPr>
        <w:t>基金非直销销售机构应根据在销售网点进行交易的投资者的要求提供成交确认单。</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098" w:name="_Toc91764899"/>
      <w:r w:rsidRPr="00C86E67">
        <w:rPr>
          <w:rFonts w:asciiTheme="minorEastAsia" w:eastAsiaTheme="minorEastAsia" w:hAnsiTheme="minorEastAsia" w:hint="eastAsia"/>
          <w:bCs/>
          <w:color w:val="000000" w:themeColor="text1"/>
          <w:sz w:val="24"/>
          <w:szCs w:val="24"/>
        </w:rPr>
        <w:t>（二）基金份额持有人交易记录查询服务</w:t>
      </w:r>
      <w:bookmarkEnd w:id="2098"/>
    </w:p>
    <w:p w:rsidR="00C35BC5" w:rsidRPr="00C86E67" w:rsidP="00552BE1">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本基金份额持有人可通过基金管理人的客户服务中心查询历史交易记录。</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Cs/>
          <w:color w:val="000000" w:themeColor="text1"/>
          <w:sz w:val="24"/>
          <w:szCs w:val="24"/>
        </w:rPr>
      </w:pPr>
      <w:bookmarkStart w:id="2099" w:name="_Toc291611090"/>
      <w:bookmarkStart w:id="2100" w:name="_Toc91764900"/>
      <w:r w:rsidRPr="00C86E67">
        <w:rPr>
          <w:rFonts w:asciiTheme="minorEastAsia" w:eastAsiaTheme="minorEastAsia" w:hAnsiTheme="minorEastAsia" w:hint="eastAsia"/>
          <w:bCs/>
          <w:color w:val="000000" w:themeColor="text1"/>
          <w:sz w:val="24"/>
          <w:szCs w:val="24"/>
        </w:rPr>
        <w:t>（三）基金份额持有人的对</w:t>
      </w:r>
      <w:r w:rsidRPr="00C86E67" w:rsidR="00E62308">
        <w:rPr>
          <w:rFonts w:asciiTheme="minorEastAsia" w:eastAsiaTheme="minorEastAsia" w:hAnsiTheme="minorEastAsia" w:hint="eastAsia"/>
          <w:bCs/>
          <w:color w:val="000000" w:themeColor="text1"/>
          <w:sz w:val="24"/>
          <w:szCs w:val="24"/>
        </w:rPr>
        <w:t>账</w:t>
      </w:r>
      <w:r w:rsidRPr="00C86E67">
        <w:rPr>
          <w:rFonts w:asciiTheme="minorEastAsia" w:eastAsiaTheme="minorEastAsia" w:hAnsiTheme="minorEastAsia" w:hint="eastAsia"/>
          <w:bCs/>
          <w:color w:val="000000" w:themeColor="text1"/>
          <w:sz w:val="24"/>
          <w:szCs w:val="24"/>
        </w:rPr>
        <w:t>单服务</w:t>
      </w:r>
      <w:bookmarkEnd w:id="2099"/>
      <w:bookmarkEnd w:id="2100"/>
    </w:p>
    <w:p w:rsidR="00C35BC5" w:rsidRPr="00C86E67" w:rsidP="00552BE1">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基金份额持有人可登录本公司网站（</w:t>
      </w:r>
      <w:hyperlink r:id="rId13" w:history="1">
        <w:r w:rsidRPr="00C86E67">
          <w:rPr>
            <w:rFonts w:asciiTheme="minorEastAsia" w:eastAsiaTheme="minorEastAsia" w:hAnsiTheme="minorEastAsia" w:hint="eastAsia"/>
            <w:color w:val="000000" w:themeColor="text1"/>
          </w:rPr>
          <w:t>http://www.efunds.com.cn</w:t>
        </w:r>
      </w:hyperlink>
      <w:r w:rsidRPr="00C86E67">
        <w:rPr>
          <w:rFonts w:asciiTheme="minorEastAsia" w:eastAsiaTheme="minorEastAsia" w:hAnsiTheme="minorEastAsia" w:hint="eastAsia"/>
          <w:color w:val="000000" w:themeColor="text1"/>
        </w:rPr>
        <w:t>）查阅对账单。</w:t>
      </w:r>
    </w:p>
    <w:p w:rsidR="00C35BC5" w:rsidRPr="00C86E67" w:rsidP="00552BE1">
      <w:pPr>
        <w:autoSpaceDE w:val="0"/>
        <w:autoSpaceDN w:val="0"/>
        <w:adjustRightInd w:val="0"/>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w:t>
      </w:r>
      <w:r w:rsidRPr="00C86E67" w:rsidR="00016F1C">
        <w:rPr>
          <w:rFonts w:asciiTheme="minorEastAsia" w:eastAsiaTheme="minorEastAsia" w:hAnsiTheme="minorEastAsia" w:hint="eastAsia"/>
          <w:color w:val="000000" w:themeColor="text1"/>
        </w:rPr>
        <w:t>、</w:t>
      </w:r>
      <w:r w:rsidRPr="00C86E67" w:rsidR="0013519A">
        <w:rPr>
          <w:rFonts w:asciiTheme="minorEastAsia" w:eastAsiaTheme="minorEastAsia" w:hAnsiTheme="minorEastAsia" w:hint="eastAsia"/>
          <w:color w:val="000000" w:themeColor="text1"/>
        </w:rPr>
        <w:t>本公司至少每年度以电子邮件、短信或其他形式向通过易方达直销系统持有本公司基金份额的持有人提供基金保有情况信息，基金份额持有人也可以向本公司定制电子邮件形式的月度对账单。</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具体查阅和定制账单的方法可参见本公司网站或拨打客服热线咨询。</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Cs/>
          <w:color w:val="000000" w:themeColor="text1"/>
          <w:sz w:val="24"/>
          <w:szCs w:val="24"/>
        </w:rPr>
      </w:pPr>
      <w:bookmarkStart w:id="2101" w:name="_Toc91764901"/>
      <w:r w:rsidRPr="00C86E67">
        <w:rPr>
          <w:rFonts w:asciiTheme="minorEastAsia" w:eastAsiaTheme="minorEastAsia" w:hAnsiTheme="minorEastAsia" w:hint="eastAsia"/>
          <w:bCs/>
          <w:color w:val="000000" w:themeColor="text1"/>
          <w:sz w:val="24"/>
          <w:szCs w:val="24"/>
        </w:rPr>
        <w:t>（</w:t>
      </w:r>
      <w:r w:rsidRPr="00C86E67" w:rsidR="00254A49">
        <w:rPr>
          <w:rFonts w:asciiTheme="minorEastAsia" w:eastAsiaTheme="minorEastAsia" w:hAnsiTheme="minorEastAsia" w:hint="eastAsia"/>
          <w:bCs/>
          <w:color w:val="000000" w:themeColor="text1"/>
          <w:sz w:val="24"/>
          <w:szCs w:val="24"/>
        </w:rPr>
        <w:t>四</w:t>
      </w:r>
      <w:r w:rsidRPr="00C86E67">
        <w:rPr>
          <w:rFonts w:asciiTheme="minorEastAsia" w:eastAsiaTheme="minorEastAsia" w:hAnsiTheme="minorEastAsia" w:hint="eastAsia"/>
          <w:bCs/>
          <w:color w:val="000000" w:themeColor="text1"/>
          <w:sz w:val="24"/>
          <w:szCs w:val="24"/>
        </w:rPr>
        <w:t>）定期定额投资计划</w:t>
      </w:r>
      <w:bookmarkEnd w:id="2101"/>
    </w:p>
    <w:p w:rsidR="002C2586" w:rsidRPr="00C86E67" w:rsidP="00552BE1">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基金管理人可利用</w:t>
      </w:r>
      <w:r w:rsidRPr="00C86E67" w:rsidR="00C85C52">
        <w:rPr>
          <w:rFonts w:asciiTheme="minorEastAsia" w:eastAsiaTheme="minorEastAsia" w:hAnsiTheme="minorEastAsia" w:hint="eastAsia"/>
          <w:color w:val="000000" w:themeColor="text1"/>
        </w:rPr>
        <w:t>非直销销售</w:t>
      </w:r>
      <w:r w:rsidRPr="00C86E67">
        <w:rPr>
          <w:rFonts w:asciiTheme="minorEastAsia" w:eastAsiaTheme="minorEastAsia" w:hAnsiTheme="minorEastAsia" w:hint="eastAsia"/>
          <w:color w:val="000000" w:themeColor="text1"/>
        </w:rPr>
        <w:t>机构网点和本公司网上交易系统为投资者提供定期定额投资的服务（本公司网上交易系统的定期定额投资服务目前仅对个人投资者开通）。通过定期定额投资计划，投资者可以通过固定的渠道，定期定额申购基金份额，具体实施方法见</w:t>
      </w:r>
      <w:r w:rsidRPr="00C86E67" w:rsidR="00254A49">
        <w:rPr>
          <w:rFonts w:asciiTheme="minorEastAsia" w:eastAsiaTheme="minorEastAsia" w:hAnsiTheme="minorEastAsia" w:hint="eastAsia"/>
          <w:color w:val="000000" w:themeColor="text1"/>
        </w:rPr>
        <w:t>相关</w:t>
      </w:r>
      <w:r w:rsidRPr="00C86E67">
        <w:rPr>
          <w:rFonts w:asciiTheme="minorEastAsia" w:eastAsiaTheme="minorEastAsia" w:hAnsiTheme="minorEastAsia" w:hint="eastAsia"/>
          <w:color w:val="000000" w:themeColor="text1"/>
        </w:rPr>
        <w:t>公告。</w:t>
      </w:r>
    </w:p>
    <w:p w:rsidR="00C35BC5" w:rsidRPr="00C86E67" w:rsidP="00B5132A">
      <w:pPr>
        <w:pStyle w:val="Heading2"/>
        <w:snapToGrid w:val="0"/>
        <w:spacing w:beforeLines="0" w:afterLines="0" w:line="360" w:lineRule="auto"/>
        <w:ind w:firstLine="0" w:firstLineChars="0"/>
        <w:rPr>
          <w:rFonts w:asciiTheme="minorEastAsia" w:eastAsiaTheme="minorEastAsia" w:hAnsiTheme="minorEastAsia"/>
          <w:bCs/>
          <w:color w:val="000000" w:themeColor="text1"/>
          <w:sz w:val="24"/>
          <w:szCs w:val="24"/>
        </w:rPr>
      </w:pPr>
      <w:bookmarkStart w:id="2102" w:name="_Toc91764902"/>
      <w:r w:rsidRPr="00C86E67">
        <w:rPr>
          <w:rFonts w:asciiTheme="minorEastAsia" w:eastAsiaTheme="minorEastAsia" w:hAnsiTheme="minorEastAsia" w:hint="eastAsia"/>
          <w:bCs/>
          <w:color w:val="000000" w:themeColor="text1"/>
          <w:sz w:val="24"/>
          <w:szCs w:val="24"/>
        </w:rPr>
        <w:t>（</w:t>
      </w:r>
      <w:r w:rsidRPr="00C86E67" w:rsidR="00254A49">
        <w:rPr>
          <w:rFonts w:asciiTheme="minorEastAsia" w:eastAsiaTheme="minorEastAsia" w:hAnsiTheme="minorEastAsia" w:hint="eastAsia"/>
          <w:bCs/>
          <w:color w:val="000000" w:themeColor="text1"/>
          <w:sz w:val="24"/>
          <w:szCs w:val="24"/>
        </w:rPr>
        <w:t>五</w:t>
      </w:r>
      <w:r w:rsidRPr="00C86E67">
        <w:rPr>
          <w:rFonts w:asciiTheme="minorEastAsia" w:eastAsiaTheme="minorEastAsia" w:hAnsiTheme="minorEastAsia" w:hint="eastAsia"/>
          <w:bCs/>
          <w:color w:val="000000" w:themeColor="text1"/>
          <w:sz w:val="24"/>
          <w:szCs w:val="24"/>
        </w:rPr>
        <w:t>）资讯服务</w:t>
      </w:r>
      <w:bookmarkEnd w:id="2102"/>
    </w:p>
    <w:p w:rsidR="00C35BC5" w:rsidRPr="00C86E67" w:rsidP="00552BE1">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客户服务电话</w:t>
      </w:r>
    </w:p>
    <w:p w:rsidR="00C35BC5" w:rsidRPr="00C86E67" w:rsidP="00552BE1">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投资者如果想了解申购与赎回的交易情况、基金账户余额、基金产品与服务等信息，</w:t>
      </w:r>
      <w:r w:rsidRPr="00C86E67" w:rsidR="005B730D">
        <w:rPr>
          <w:rFonts w:asciiTheme="minorEastAsia" w:eastAsiaTheme="minorEastAsia" w:hAnsiTheme="minorEastAsia" w:hint="eastAsia"/>
          <w:color w:val="000000" w:themeColor="text1"/>
          <w:kern w:val="0"/>
        </w:rPr>
        <w:t>或反馈投资过程中需要投诉与建议的情况，</w:t>
      </w:r>
      <w:r w:rsidRPr="00C86E67">
        <w:rPr>
          <w:rFonts w:asciiTheme="minorEastAsia" w:eastAsiaTheme="minorEastAsia" w:hAnsiTheme="minorEastAsia" w:hint="eastAsia"/>
          <w:color w:val="000000" w:themeColor="text1"/>
        </w:rPr>
        <w:t>可拨打如下电话：4008818088。</w:t>
      </w:r>
      <w:r w:rsidRPr="00C86E67" w:rsidR="005B730D">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C35BC5" w:rsidRPr="00C86E67" w:rsidP="00552BE1">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互联网站及电子信箱</w:t>
      </w:r>
    </w:p>
    <w:p w:rsidR="00C35BC5" w:rsidRPr="00C86E67" w:rsidP="00552BE1">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网址：</w:t>
      </w:r>
      <w:hyperlink r:id="rId13" w:history="1">
        <w:r w:rsidRPr="00C86E67">
          <w:rPr>
            <w:rFonts w:asciiTheme="minorEastAsia" w:eastAsiaTheme="minorEastAsia" w:hAnsiTheme="minorEastAsia" w:hint="eastAsia"/>
            <w:color w:val="000000" w:themeColor="text1"/>
          </w:rPr>
          <w:t>http://www.efunds.com.cn</w:t>
        </w:r>
      </w:hyperlink>
    </w:p>
    <w:p w:rsidR="00C35BC5" w:rsidRPr="00C86E67" w:rsidP="00552BE1">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电子信箱：</w:t>
      </w:r>
      <w:hyperlink r:id="rId14" w:history="1">
        <w:r w:rsidRPr="00C86E67">
          <w:rPr>
            <w:rFonts w:asciiTheme="minorEastAsia" w:eastAsiaTheme="minorEastAsia" w:hAnsiTheme="minorEastAsia" w:hint="eastAsia"/>
            <w:color w:val="000000" w:themeColor="text1"/>
          </w:rPr>
          <w:t>service@efunds.com.cn</w:t>
        </w:r>
      </w:hyperlink>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sectPr w:rsidSect="0013519A">
          <w:pgSz w:w="11906" w:h="16838" w:code="9"/>
          <w:pgMar w:top="1440" w:right="1800" w:bottom="1440" w:left="1800" w:header="851" w:footer="992" w:gutter="0"/>
          <w:cols w:space="425"/>
          <w:docGrid w:type="lines" w:linePitch="312"/>
        </w:sectPr>
      </w:pPr>
      <w:bookmarkStart w:id="2103" w:name="_Toc38438275"/>
      <w:bookmarkStart w:id="2104" w:name="_Toc38438612"/>
      <w:bookmarkStart w:id="2105" w:name="_Toc38438949"/>
      <w:bookmarkStart w:id="2106" w:name="_Toc38439286"/>
      <w:bookmarkStart w:id="2107" w:name="_Toc38439623"/>
      <w:bookmarkStart w:id="2108" w:name="_Toc38439960"/>
      <w:bookmarkStart w:id="2109" w:name="_Toc38440297"/>
      <w:bookmarkStart w:id="2110" w:name="_Toc38440630"/>
      <w:bookmarkStart w:id="2111" w:name="_Toc38440829"/>
      <w:bookmarkStart w:id="2112" w:name="_Toc38441161"/>
      <w:bookmarkStart w:id="2113" w:name="_Toc38441493"/>
      <w:bookmarkStart w:id="2114" w:name="_Toc38441821"/>
      <w:bookmarkStart w:id="2115" w:name="_Toc38442153"/>
      <w:bookmarkStart w:id="2116" w:name="_Toc38442485"/>
      <w:bookmarkStart w:id="2117" w:name="_Toc38442816"/>
      <w:bookmarkStart w:id="2118" w:name="_Toc38443147"/>
      <w:bookmarkStart w:id="2119" w:name="_Toc38443478"/>
      <w:bookmarkStart w:id="2120" w:name="_Toc38443809"/>
      <w:bookmarkStart w:id="2121" w:name="_Toc38438277"/>
      <w:bookmarkStart w:id="2122" w:name="_Toc38438614"/>
      <w:bookmarkStart w:id="2123" w:name="_Toc38438951"/>
      <w:bookmarkStart w:id="2124" w:name="_Toc38439288"/>
      <w:bookmarkStart w:id="2125" w:name="_Toc38439625"/>
      <w:bookmarkStart w:id="2126" w:name="_Toc38439962"/>
      <w:bookmarkStart w:id="2127" w:name="_Toc38440299"/>
      <w:bookmarkStart w:id="2128" w:name="_Toc38440632"/>
      <w:bookmarkStart w:id="2129" w:name="_Toc38440831"/>
      <w:bookmarkStart w:id="2130" w:name="_Toc38441163"/>
      <w:bookmarkStart w:id="2131" w:name="_Toc38441495"/>
      <w:bookmarkStart w:id="2132" w:name="_Toc38441823"/>
      <w:bookmarkStart w:id="2133" w:name="_Toc38442155"/>
      <w:bookmarkStart w:id="2134" w:name="_Toc38442487"/>
      <w:bookmarkStart w:id="2135" w:name="_Toc38442818"/>
      <w:bookmarkStart w:id="2136" w:name="_Toc38443149"/>
      <w:bookmarkStart w:id="2137" w:name="_Toc38443480"/>
      <w:bookmarkStart w:id="2138" w:name="_Toc38443811"/>
      <w:bookmarkStart w:id="2139" w:name="_Toc38438278"/>
      <w:bookmarkStart w:id="2140" w:name="_Toc38438615"/>
      <w:bookmarkStart w:id="2141" w:name="_Toc38438952"/>
      <w:bookmarkStart w:id="2142" w:name="_Toc38439289"/>
      <w:bookmarkStart w:id="2143" w:name="_Toc38439626"/>
      <w:bookmarkStart w:id="2144" w:name="_Toc38439963"/>
      <w:bookmarkStart w:id="2145" w:name="_Toc38440300"/>
      <w:bookmarkStart w:id="2146" w:name="_Toc38440633"/>
      <w:bookmarkStart w:id="2147" w:name="_Toc38440832"/>
      <w:bookmarkStart w:id="2148" w:name="_Toc38441164"/>
      <w:bookmarkStart w:id="2149" w:name="_Toc38441496"/>
      <w:bookmarkStart w:id="2150" w:name="_Toc38441824"/>
      <w:bookmarkStart w:id="2151" w:name="_Toc38442156"/>
      <w:bookmarkStart w:id="2152" w:name="_Toc38442488"/>
      <w:bookmarkStart w:id="2153" w:name="_Toc38442819"/>
      <w:bookmarkStart w:id="2154" w:name="_Toc38443150"/>
      <w:bookmarkStart w:id="2155" w:name="_Toc38443481"/>
      <w:bookmarkStart w:id="2156" w:name="_Toc38443812"/>
      <w:bookmarkStart w:id="2157" w:name="_Toc38438279"/>
      <w:bookmarkStart w:id="2158" w:name="_Toc38438616"/>
      <w:bookmarkStart w:id="2159" w:name="_Toc38438953"/>
      <w:bookmarkStart w:id="2160" w:name="_Toc38439290"/>
      <w:bookmarkStart w:id="2161" w:name="_Toc38439627"/>
      <w:bookmarkStart w:id="2162" w:name="_Toc38439964"/>
      <w:bookmarkStart w:id="2163" w:name="_Toc38440301"/>
      <w:bookmarkStart w:id="2164" w:name="_Toc38440634"/>
      <w:bookmarkStart w:id="2165" w:name="_Toc38440833"/>
      <w:bookmarkStart w:id="2166" w:name="_Toc38441165"/>
      <w:bookmarkStart w:id="2167" w:name="_Toc38441497"/>
      <w:bookmarkStart w:id="2168" w:name="_Toc38441825"/>
      <w:bookmarkStart w:id="2169" w:name="_Toc38442157"/>
      <w:bookmarkStart w:id="2170" w:name="_Toc38442489"/>
      <w:bookmarkStart w:id="2171" w:name="_Toc38442820"/>
      <w:bookmarkStart w:id="2172" w:name="_Toc38443151"/>
      <w:bookmarkStart w:id="2173" w:name="_Toc38443482"/>
      <w:bookmarkStart w:id="2174" w:name="_Toc38443813"/>
      <w:bookmarkStart w:id="2175" w:name="_Toc38438280"/>
      <w:bookmarkStart w:id="2176" w:name="_Toc38438617"/>
      <w:bookmarkStart w:id="2177" w:name="_Toc38438954"/>
      <w:bookmarkStart w:id="2178" w:name="_Toc38439291"/>
      <w:bookmarkStart w:id="2179" w:name="_Toc38439628"/>
      <w:bookmarkStart w:id="2180" w:name="_Toc38439965"/>
      <w:bookmarkStart w:id="2181" w:name="_Toc38440302"/>
      <w:bookmarkStart w:id="2182" w:name="_Toc38440635"/>
      <w:bookmarkStart w:id="2183" w:name="_Toc38440834"/>
      <w:bookmarkStart w:id="2184" w:name="_Toc38441166"/>
      <w:bookmarkStart w:id="2185" w:name="_Toc38441498"/>
      <w:bookmarkStart w:id="2186" w:name="_Toc38441826"/>
      <w:bookmarkStart w:id="2187" w:name="_Toc38442158"/>
      <w:bookmarkStart w:id="2188" w:name="_Toc38442490"/>
      <w:bookmarkStart w:id="2189" w:name="_Toc38442821"/>
      <w:bookmarkStart w:id="2190" w:name="_Toc38443152"/>
      <w:bookmarkStart w:id="2191" w:name="_Toc38443483"/>
      <w:bookmarkStart w:id="2192" w:name="_Toc38443814"/>
      <w:bookmarkStart w:id="2193" w:name="_Toc38438281"/>
      <w:bookmarkStart w:id="2194" w:name="_Toc38438618"/>
      <w:bookmarkStart w:id="2195" w:name="_Toc38438955"/>
      <w:bookmarkStart w:id="2196" w:name="_Toc38439292"/>
      <w:bookmarkStart w:id="2197" w:name="_Toc38439629"/>
      <w:bookmarkStart w:id="2198" w:name="_Toc38439966"/>
      <w:bookmarkStart w:id="2199" w:name="_Toc38440303"/>
      <w:bookmarkStart w:id="2200" w:name="_Toc38440636"/>
      <w:bookmarkStart w:id="2201" w:name="_Toc38440835"/>
      <w:bookmarkStart w:id="2202" w:name="_Toc38441167"/>
      <w:bookmarkStart w:id="2203" w:name="_Toc38441499"/>
      <w:bookmarkStart w:id="2204" w:name="_Toc38441827"/>
      <w:bookmarkStart w:id="2205" w:name="_Toc38442159"/>
      <w:bookmarkStart w:id="2206" w:name="_Toc38442491"/>
      <w:bookmarkStart w:id="2207" w:name="_Toc38442822"/>
      <w:bookmarkStart w:id="2208" w:name="_Toc38443153"/>
      <w:bookmarkStart w:id="2209" w:name="_Toc38443484"/>
      <w:bookmarkStart w:id="2210" w:name="_Toc38443815"/>
      <w:bookmarkStart w:id="2211" w:name="_Toc38438282"/>
      <w:bookmarkStart w:id="2212" w:name="_Toc38438619"/>
      <w:bookmarkStart w:id="2213" w:name="_Toc38438956"/>
      <w:bookmarkStart w:id="2214" w:name="_Toc38439293"/>
      <w:bookmarkStart w:id="2215" w:name="_Toc38439630"/>
      <w:bookmarkStart w:id="2216" w:name="_Toc38439967"/>
      <w:bookmarkStart w:id="2217" w:name="_Toc38440304"/>
      <w:bookmarkStart w:id="2218" w:name="_Toc38440637"/>
      <w:bookmarkStart w:id="2219" w:name="_Toc38440836"/>
      <w:bookmarkStart w:id="2220" w:name="_Toc38441168"/>
      <w:bookmarkStart w:id="2221" w:name="_Toc38441500"/>
      <w:bookmarkStart w:id="2222" w:name="_Toc38441828"/>
      <w:bookmarkStart w:id="2223" w:name="_Toc38442160"/>
      <w:bookmarkStart w:id="2224" w:name="_Toc38442492"/>
      <w:bookmarkStart w:id="2225" w:name="_Toc38442823"/>
      <w:bookmarkStart w:id="2226" w:name="_Toc38443154"/>
      <w:bookmarkStart w:id="2227" w:name="_Toc38443485"/>
      <w:bookmarkStart w:id="2228" w:name="_Toc38443816"/>
      <w:bookmarkStart w:id="2229" w:name="_Toc38438283"/>
      <w:bookmarkStart w:id="2230" w:name="_Toc38438620"/>
      <w:bookmarkStart w:id="2231" w:name="_Toc38438957"/>
      <w:bookmarkStart w:id="2232" w:name="_Toc38439294"/>
      <w:bookmarkStart w:id="2233" w:name="_Toc38439631"/>
      <w:bookmarkStart w:id="2234" w:name="_Toc38439968"/>
      <w:bookmarkStart w:id="2235" w:name="_Toc38440305"/>
      <w:bookmarkStart w:id="2236" w:name="_Toc38440638"/>
      <w:bookmarkStart w:id="2237" w:name="_Toc38440837"/>
      <w:bookmarkStart w:id="2238" w:name="_Toc38441169"/>
      <w:bookmarkStart w:id="2239" w:name="_Toc38441501"/>
      <w:bookmarkStart w:id="2240" w:name="_Toc38441829"/>
      <w:bookmarkStart w:id="2241" w:name="_Toc38442161"/>
      <w:bookmarkStart w:id="2242" w:name="_Toc38442493"/>
      <w:bookmarkStart w:id="2243" w:name="_Toc38442824"/>
      <w:bookmarkStart w:id="2244" w:name="_Toc38443155"/>
      <w:bookmarkStart w:id="2245" w:name="_Toc38443486"/>
      <w:bookmarkStart w:id="2246" w:name="_Toc38443817"/>
      <w:bookmarkStart w:id="2247" w:name="_Toc38438284"/>
      <w:bookmarkStart w:id="2248" w:name="_Toc38438621"/>
      <w:bookmarkStart w:id="2249" w:name="_Toc38438958"/>
      <w:bookmarkStart w:id="2250" w:name="_Toc38439295"/>
      <w:bookmarkStart w:id="2251" w:name="_Toc38439632"/>
      <w:bookmarkStart w:id="2252" w:name="_Toc38439969"/>
      <w:bookmarkStart w:id="2253" w:name="_Toc38440306"/>
      <w:bookmarkStart w:id="2254" w:name="_Toc38440639"/>
      <w:bookmarkStart w:id="2255" w:name="_Toc38440838"/>
      <w:bookmarkStart w:id="2256" w:name="_Toc38441170"/>
      <w:bookmarkStart w:id="2257" w:name="_Toc38441502"/>
      <w:bookmarkStart w:id="2258" w:name="_Toc38441830"/>
      <w:bookmarkStart w:id="2259" w:name="_Toc38442162"/>
      <w:bookmarkStart w:id="2260" w:name="_Toc38442494"/>
      <w:bookmarkStart w:id="2261" w:name="_Toc38442825"/>
      <w:bookmarkStart w:id="2262" w:name="_Toc38443156"/>
      <w:bookmarkStart w:id="2263" w:name="_Toc38443487"/>
      <w:bookmarkStart w:id="2264" w:name="_Toc38443818"/>
      <w:bookmarkStart w:id="2265" w:name="_Toc38438285"/>
      <w:bookmarkStart w:id="2266" w:name="_Toc38438622"/>
      <w:bookmarkStart w:id="2267" w:name="_Toc38438959"/>
      <w:bookmarkStart w:id="2268" w:name="_Toc38439296"/>
      <w:bookmarkStart w:id="2269" w:name="_Toc38439633"/>
      <w:bookmarkStart w:id="2270" w:name="_Toc38439970"/>
      <w:bookmarkStart w:id="2271" w:name="_Toc38440307"/>
      <w:bookmarkStart w:id="2272" w:name="_Toc38440640"/>
      <w:bookmarkStart w:id="2273" w:name="_Toc38440839"/>
      <w:bookmarkStart w:id="2274" w:name="_Toc38441171"/>
      <w:bookmarkStart w:id="2275" w:name="_Toc38441503"/>
      <w:bookmarkStart w:id="2276" w:name="_Toc38441831"/>
      <w:bookmarkStart w:id="2277" w:name="_Toc38442163"/>
      <w:bookmarkStart w:id="2278" w:name="_Toc38442495"/>
      <w:bookmarkStart w:id="2279" w:name="_Toc38442826"/>
      <w:bookmarkStart w:id="2280" w:name="_Toc38443157"/>
      <w:bookmarkStart w:id="2281" w:name="_Toc38443488"/>
      <w:bookmarkStart w:id="2282" w:name="_Toc38443819"/>
      <w:bookmarkStart w:id="2283" w:name="_Toc38438286"/>
      <w:bookmarkStart w:id="2284" w:name="_Toc38438623"/>
      <w:bookmarkStart w:id="2285" w:name="_Toc38438960"/>
      <w:bookmarkStart w:id="2286" w:name="_Toc38439297"/>
      <w:bookmarkStart w:id="2287" w:name="_Toc38439634"/>
      <w:bookmarkStart w:id="2288" w:name="_Toc38439971"/>
      <w:bookmarkStart w:id="2289" w:name="_Toc38440308"/>
      <w:bookmarkStart w:id="2290" w:name="_Toc38440641"/>
      <w:bookmarkStart w:id="2291" w:name="_Toc38440840"/>
      <w:bookmarkStart w:id="2292" w:name="_Toc38441172"/>
      <w:bookmarkStart w:id="2293" w:name="_Toc38441504"/>
      <w:bookmarkStart w:id="2294" w:name="_Toc38441832"/>
      <w:bookmarkStart w:id="2295" w:name="_Toc38442164"/>
      <w:bookmarkStart w:id="2296" w:name="_Toc38442496"/>
      <w:bookmarkStart w:id="2297" w:name="_Toc38442827"/>
      <w:bookmarkStart w:id="2298" w:name="_Toc38443158"/>
      <w:bookmarkStart w:id="2299" w:name="_Toc38443489"/>
      <w:bookmarkStart w:id="2300" w:name="_Toc38443820"/>
      <w:bookmarkStart w:id="2301" w:name="_Toc38438287"/>
      <w:bookmarkStart w:id="2302" w:name="_Toc38438624"/>
      <w:bookmarkStart w:id="2303" w:name="_Toc38438961"/>
      <w:bookmarkStart w:id="2304" w:name="_Toc38439298"/>
      <w:bookmarkStart w:id="2305" w:name="_Toc38439635"/>
      <w:bookmarkStart w:id="2306" w:name="_Toc38439972"/>
      <w:bookmarkStart w:id="2307" w:name="_Toc38440309"/>
      <w:bookmarkStart w:id="2308" w:name="_Toc38440642"/>
      <w:bookmarkStart w:id="2309" w:name="_Toc38440841"/>
      <w:bookmarkStart w:id="2310" w:name="_Toc38441173"/>
      <w:bookmarkStart w:id="2311" w:name="_Toc38441505"/>
      <w:bookmarkStart w:id="2312" w:name="_Toc38441833"/>
      <w:bookmarkStart w:id="2313" w:name="_Toc38442165"/>
      <w:bookmarkStart w:id="2314" w:name="_Toc38442497"/>
      <w:bookmarkStart w:id="2315" w:name="_Toc38442828"/>
      <w:bookmarkStart w:id="2316" w:name="_Toc38443159"/>
      <w:bookmarkStart w:id="2317" w:name="_Toc38443490"/>
      <w:bookmarkStart w:id="2318" w:name="_Toc38443821"/>
      <w:bookmarkStart w:id="2319" w:name="_Toc38438288"/>
      <w:bookmarkStart w:id="2320" w:name="_Toc38438625"/>
      <w:bookmarkStart w:id="2321" w:name="_Toc38438962"/>
      <w:bookmarkStart w:id="2322" w:name="_Toc38439299"/>
      <w:bookmarkStart w:id="2323" w:name="_Toc38439636"/>
      <w:bookmarkStart w:id="2324" w:name="_Toc38439973"/>
      <w:bookmarkStart w:id="2325" w:name="_Toc38440310"/>
      <w:bookmarkStart w:id="2326" w:name="_Toc38440643"/>
      <w:bookmarkStart w:id="2327" w:name="_Toc38440842"/>
      <w:bookmarkStart w:id="2328" w:name="_Toc38441174"/>
      <w:bookmarkStart w:id="2329" w:name="_Toc38441506"/>
      <w:bookmarkStart w:id="2330" w:name="_Toc38441834"/>
      <w:bookmarkStart w:id="2331" w:name="_Toc38442166"/>
      <w:bookmarkStart w:id="2332" w:name="_Toc38442498"/>
      <w:bookmarkStart w:id="2333" w:name="_Toc38442829"/>
      <w:bookmarkStart w:id="2334" w:name="_Toc38443160"/>
      <w:bookmarkStart w:id="2335" w:name="_Toc38443491"/>
      <w:bookmarkStart w:id="2336" w:name="_Toc38443822"/>
      <w:bookmarkStart w:id="2337" w:name="_Toc38438289"/>
      <w:bookmarkStart w:id="2338" w:name="_Toc38438626"/>
      <w:bookmarkStart w:id="2339" w:name="_Toc38438963"/>
      <w:bookmarkStart w:id="2340" w:name="_Toc38439300"/>
      <w:bookmarkStart w:id="2341" w:name="_Toc38439637"/>
      <w:bookmarkStart w:id="2342" w:name="_Toc38439974"/>
      <w:bookmarkStart w:id="2343" w:name="_Toc38440311"/>
      <w:bookmarkStart w:id="2344" w:name="_Toc38440644"/>
      <w:bookmarkStart w:id="2345" w:name="_Toc38440843"/>
      <w:bookmarkStart w:id="2346" w:name="_Toc38441175"/>
      <w:bookmarkStart w:id="2347" w:name="_Toc38441507"/>
      <w:bookmarkStart w:id="2348" w:name="_Toc38441835"/>
      <w:bookmarkStart w:id="2349" w:name="_Toc38442167"/>
      <w:bookmarkStart w:id="2350" w:name="_Toc38442499"/>
      <w:bookmarkStart w:id="2351" w:name="_Toc38442830"/>
      <w:bookmarkStart w:id="2352" w:name="_Toc38443161"/>
      <w:bookmarkStart w:id="2353" w:name="_Toc38443492"/>
      <w:bookmarkStart w:id="2354" w:name="_Toc38443823"/>
      <w:bookmarkStart w:id="2355" w:name="_Toc38438290"/>
      <w:bookmarkStart w:id="2356" w:name="_Toc38438627"/>
      <w:bookmarkStart w:id="2357" w:name="_Toc38438964"/>
      <w:bookmarkStart w:id="2358" w:name="_Toc38439301"/>
      <w:bookmarkStart w:id="2359" w:name="_Toc38439638"/>
      <w:bookmarkStart w:id="2360" w:name="_Toc38439975"/>
      <w:bookmarkStart w:id="2361" w:name="_Toc38440312"/>
      <w:bookmarkStart w:id="2362" w:name="_Toc38440645"/>
      <w:bookmarkStart w:id="2363" w:name="_Toc38440844"/>
      <w:bookmarkStart w:id="2364" w:name="_Toc38441176"/>
      <w:bookmarkStart w:id="2365" w:name="_Toc38441508"/>
      <w:bookmarkStart w:id="2366" w:name="_Toc38441836"/>
      <w:bookmarkStart w:id="2367" w:name="_Toc38442168"/>
      <w:bookmarkStart w:id="2368" w:name="_Toc38442500"/>
      <w:bookmarkStart w:id="2369" w:name="_Toc38442831"/>
      <w:bookmarkStart w:id="2370" w:name="_Toc38443162"/>
      <w:bookmarkStart w:id="2371" w:name="_Toc38443493"/>
      <w:bookmarkStart w:id="2372" w:name="_Toc38443824"/>
      <w:bookmarkStart w:id="2373" w:name="_Toc38438291"/>
      <w:bookmarkStart w:id="2374" w:name="_Toc38438628"/>
      <w:bookmarkStart w:id="2375" w:name="_Toc38438965"/>
      <w:bookmarkStart w:id="2376" w:name="_Toc38439302"/>
      <w:bookmarkStart w:id="2377" w:name="_Toc38439639"/>
      <w:bookmarkStart w:id="2378" w:name="_Toc38439976"/>
      <w:bookmarkStart w:id="2379" w:name="_Toc38440313"/>
      <w:bookmarkStart w:id="2380" w:name="_Toc38440646"/>
      <w:bookmarkStart w:id="2381" w:name="_Toc38440845"/>
      <w:bookmarkStart w:id="2382" w:name="_Toc38441177"/>
      <w:bookmarkStart w:id="2383" w:name="_Toc38441509"/>
      <w:bookmarkStart w:id="2384" w:name="_Toc38441837"/>
      <w:bookmarkStart w:id="2385" w:name="_Toc38442169"/>
      <w:bookmarkStart w:id="2386" w:name="_Toc38442501"/>
      <w:bookmarkStart w:id="2387" w:name="_Toc38442832"/>
      <w:bookmarkStart w:id="2388" w:name="_Toc38443163"/>
      <w:bookmarkStart w:id="2389" w:name="_Toc38443494"/>
      <w:bookmarkStart w:id="2390" w:name="_Toc38443825"/>
      <w:bookmarkStart w:id="2391" w:name="_Toc38438292"/>
      <w:bookmarkStart w:id="2392" w:name="_Toc38438629"/>
      <w:bookmarkStart w:id="2393" w:name="_Toc38438966"/>
      <w:bookmarkStart w:id="2394" w:name="_Toc38439303"/>
      <w:bookmarkStart w:id="2395" w:name="_Toc38439640"/>
      <w:bookmarkStart w:id="2396" w:name="_Toc38439977"/>
      <w:bookmarkStart w:id="2397" w:name="_Toc38440314"/>
      <w:bookmarkStart w:id="2398" w:name="_Toc38440647"/>
      <w:bookmarkStart w:id="2399" w:name="_Toc38440846"/>
      <w:bookmarkStart w:id="2400" w:name="_Toc38441178"/>
      <w:bookmarkStart w:id="2401" w:name="_Toc38441510"/>
      <w:bookmarkStart w:id="2402" w:name="_Toc38441838"/>
      <w:bookmarkStart w:id="2403" w:name="_Toc38442170"/>
      <w:bookmarkStart w:id="2404" w:name="_Toc38442502"/>
      <w:bookmarkStart w:id="2405" w:name="_Toc38442833"/>
      <w:bookmarkStart w:id="2406" w:name="_Toc38443164"/>
      <w:bookmarkStart w:id="2407" w:name="_Toc38443495"/>
      <w:bookmarkStart w:id="2408" w:name="_Toc38443826"/>
      <w:bookmarkStart w:id="2409" w:name="_Toc38438293"/>
      <w:bookmarkStart w:id="2410" w:name="_Toc38438630"/>
      <w:bookmarkStart w:id="2411" w:name="_Toc38438967"/>
      <w:bookmarkStart w:id="2412" w:name="_Toc38439304"/>
      <w:bookmarkStart w:id="2413" w:name="_Toc38439641"/>
      <w:bookmarkStart w:id="2414" w:name="_Toc38439978"/>
      <w:bookmarkStart w:id="2415" w:name="_Toc38440315"/>
      <w:bookmarkStart w:id="2416" w:name="_Toc38440648"/>
      <w:bookmarkStart w:id="2417" w:name="_Toc38440847"/>
      <w:bookmarkStart w:id="2418" w:name="_Toc38441179"/>
      <w:bookmarkStart w:id="2419" w:name="_Toc38441511"/>
      <w:bookmarkStart w:id="2420" w:name="_Toc38441839"/>
      <w:bookmarkStart w:id="2421" w:name="_Toc38442171"/>
      <w:bookmarkStart w:id="2422" w:name="_Toc38442503"/>
      <w:bookmarkStart w:id="2423" w:name="_Toc38442834"/>
      <w:bookmarkStart w:id="2424" w:name="_Toc38443165"/>
      <w:bookmarkStart w:id="2425" w:name="_Toc38443496"/>
      <w:bookmarkStart w:id="2426" w:name="_Toc38443827"/>
      <w:bookmarkStart w:id="2427" w:name="_Toc38438296"/>
      <w:bookmarkStart w:id="2428" w:name="_Toc38438633"/>
      <w:bookmarkStart w:id="2429" w:name="_Toc38438970"/>
      <w:bookmarkStart w:id="2430" w:name="_Toc38439307"/>
      <w:bookmarkStart w:id="2431" w:name="_Toc38439644"/>
      <w:bookmarkStart w:id="2432" w:name="_Toc38439981"/>
      <w:bookmarkStart w:id="2433" w:name="_Toc38440318"/>
      <w:bookmarkStart w:id="2434" w:name="_Toc38440651"/>
      <w:bookmarkStart w:id="2435" w:name="_Toc38440850"/>
      <w:bookmarkStart w:id="2436" w:name="_Toc38441182"/>
      <w:bookmarkStart w:id="2437" w:name="_Toc38441514"/>
      <w:bookmarkStart w:id="2438" w:name="_Toc38441842"/>
      <w:bookmarkStart w:id="2439" w:name="_Toc38442174"/>
      <w:bookmarkStart w:id="2440" w:name="_Toc38442506"/>
      <w:bookmarkStart w:id="2441" w:name="_Toc38442837"/>
      <w:bookmarkStart w:id="2442" w:name="_Toc38443168"/>
      <w:bookmarkStart w:id="2443" w:name="_Toc38443499"/>
      <w:bookmarkStart w:id="2444" w:name="_Toc38443830"/>
      <w:bookmarkStart w:id="2445" w:name="_Toc38438297"/>
      <w:bookmarkStart w:id="2446" w:name="_Toc38438634"/>
      <w:bookmarkStart w:id="2447" w:name="_Toc38438971"/>
      <w:bookmarkStart w:id="2448" w:name="_Toc38439308"/>
      <w:bookmarkStart w:id="2449" w:name="_Toc38439645"/>
      <w:bookmarkStart w:id="2450" w:name="_Toc38439982"/>
      <w:bookmarkStart w:id="2451" w:name="_Toc38440319"/>
      <w:bookmarkStart w:id="2452" w:name="_Toc38440652"/>
      <w:bookmarkStart w:id="2453" w:name="_Toc38440851"/>
      <w:bookmarkStart w:id="2454" w:name="_Toc38441183"/>
      <w:bookmarkStart w:id="2455" w:name="_Toc38441515"/>
      <w:bookmarkStart w:id="2456" w:name="_Toc38441843"/>
      <w:bookmarkStart w:id="2457" w:name="_Toc38442175"/>
      <w:bookmarkStart w:id="2458" w:name="_Toc38442507"/>
      <w:bookmarkStart w:id="2459" w:name="_Toc38442838"/>
      <w:bookmarkStart w:id="2460" w:name="_Toc38443169"/>
      <w:bookmarkStart w:id="2461" w:name="_Toc38443500"/>
      <w:bookmarkStart w:id="2462" w:name="_Toc38443831"/>
      <w:bookmarkStart w:id="2463" w:name="_Toc38438298"/>
      <w:bookmarkStart w:id="2464" w:name="_Toc38438635"/>
      <w:bookmarkStart w:id="2465" w:name="_Toc38438972"/>
      <w:bookmarkStart w:id="2466" w:name="_Toc38439309"/>
      <w:bookmarkStart w:id="2467" w:name="_Toc38439646"/>
      <w:bookmarkStart w:id="2468" w:name="_Toc38439983"/>
      <w:bookmarkStart w:id="2469" w:name="_Toc38440320"/>
      <w:bookmarkStart w:id="2470" w:name="_Toc38440653"/>
      <w:bookmarkStart w:id="2471" w:name="_Toc38440852"/>
      <w:bookmarkStart w:id="2472" w:name="_Toc38441184"/>
      <w:bookmarkStart w:id="2473" w:name="_Toc38441516"/>
      <w:bookmarkStart w:id="2474" w:name="_Toc38441844"/>
      <w:bookmarkStart w:id="2475" w:name="_Toc38442176"/>
      <w:bookmarkStart w:id="2476" w:name="_Toc38442508"/>
      <w:bookmarkStart w:id="2477" w:name="_Toc38442839"/>
      <w:bookmarkStart w:id="2478" w:name="_Toc38443170"/>
      <w:bookmarkStart w:id="2479" w:name="_Toc38443501"/>
      <w:bookmarkStart w:id="2480" w:name="_Toc38443832"/>
      <w:bookmarkStart w:id="2481" w:name="_Toc38438299"/>
      <w:bookmarkStart w:id="2482" w:name="_Toc38438636"/>
      <w:bookmarkStart w:id="2483" w:name="_Toc38438973"/>
      <w:bookmarkStart w:id="2484" w:name="_Toc38439310"/>
      <w:bookmarkStart w:id="2485" w:name="_Toc38439647"/>
      <w:bookmarkStart w:id="2486" w:name="_Toc38439984"/>
      <w:bookmarkStart w:id="2487" w:name="_Toc38440321"/>
      <w:bookmarkStart w:id="2488" w:name="_Toc38440654"/>
      <w:bookmarkStart w:id="2489" w:name="_Toc38440853"/>
      <w:bookmarkStart w:id="2490" w:name="_Toc38441185"/>
      <w:bookmarkStart w:id="2491" w:name="_Toc38441517"/>
      <w:bookmarkStart w:id="2492" w:name="_Toc38441845"/>
      <w:bookmarkStart w:id="2493" w:name="_Toc38442177"/>
      <w:bookmarkStart w:id="2494" w:name="_Toc38442509"/>
      <w:bookmarkStart w:id="2495" w:name="_Toc38442840"/>
      <w:bookmarkStart w:id="2496" w:name="_Toc38443171"/>
      <w:bookmarkStart w:id="2497" w:name="_Toc38443502"/>
      <w:bookmarkStart w:id="2498" w:name="_Toc38443833"/>
      <w:bookmarkStart w:id="2499" w:name="_Toc38438301"/>
      <w:bookmarkStart w:id="2500" w:name="_Toc38438638"/>
      <w:bookmarkStart w:id="2501" w:name="_Toc38438975"/>
      <w:bookmarkStart w:id="2502" w:name="_Toc38439312"/>
      <w:bookmarkStart w:id="2503" w:name="_Toc38439649"/>
      <w:bookmarkStart w:id="2504" w:name="_Toc38439986"/>
      <w:bookmarkStart w:id="2505" w:name="_Toc38440323"/>
      <w:bookmarkStart w:id="2506" w:name="_Toc38440656"/>
      <w:bookmarkStart w:id="2507" w:name="_Toc38440855"/>
      <w:bookmarkStart w:id="2508" w:name="_Toc38441187"/>
      <w:bookmarkStart w:id="2509" w:name="_Toc38441519"/>
      <w:bookmarkStart w:id="2510" w:name="_Toc38441847"/>
      <w:bookmarkStart w:id="2511" w:name="_Toc38442179"/>
      <w:bookmarkStart w:id="2512" w:name="_Toc38442511"/>
      <w:bookmarkStart w:id="2513" w:name="_Toc38442842"/>
      <w:bookmarkStart w:id="2514" w:name="_Toc38443173"/>
      <w:bookmarkStart w:id="2515" w:name="_Toc38443504"/>
      <w:bookmarkStart w:id="2516" w:name="_Toc38443835"/>
      <w:bookmarkStart w:id="2517" w:name="_Toc38438302"/>
      <w:bookmarkStart w:id="2518" w:name="_Toc38438639"/>
      <w:bookmarkStart w:id="2519" w:name="_Toc38438976"/>
      <w:bookmarkStart w:id="2520" w:name="_Toc38439313"/>
      <w:bookmarkStart w:id="2521" w:name="_Toc38439650"/>
      <w:bookmarkStart w:id="2522" w:name="_Toc38439987"/>
      <w:bookmarkStart w:id="2523" w:name="_Toc38440324"/>
      <w:bookmarkStart w:id="2524" w:name="_Toc38440657"/>
      <w:bookmarkStart w:id="2525" w:name="_Toc38440856"/>
      <w:bookmarkStart w:id="2526" w:name="_Toc38441188"/>
      <w:bookmarkStart w:id="2527" w:name="_Toc38441520"/>
      <w:bookmarkStart w:id="2528" w:name="_Toc38441848"/>
      <w:bookmarkStart w:id="2529" w:name="_Toc38442180"/>
      <w:bookmarkStart w:id="2530" w:name="_Toc38442512"/>
      <w:bookmarkStart w:id="2531" w:name="_Toc38442843"/>
      <w:bookmarkStart w:id="2532" w:name="_Toc38443174"/>
      <w:bookmarkStart w:id="2533" w:name="_Toc38443505"/>
      <w:bookmarkStart w:id="2534" w:name="_Toc38443836"/>
      <w:bookmarkStart w:id="2535" w:name="_Toc38438303"/>
      <w:bookmarkStart w:id="2536" w:name="_Toc38438640"/>
      <w:bookmarkStart w:id="2537" w:name="_Toc38438977"/>
      <w:bookmarkStart w:id="2538" w:name="_Toc38439314"/>
      <w:bookmarkStart w:id="2539" w:name="_Toc38439651"/>
      <w:bookmarkStart w:id="2540" w:name="_Toc38439988"/>
      <w:bookmarkStart w:id="2541" w:name="_Toc38440325"/>
      <w:bookmarkStart w:id="2542" w:name="_Toc38440658"/>
      <w:bookmarkStart w:id="2543" w:name="_Toc38440857"/>
      <w:bookmarkStart w:id="2544" w:name="_Toc38441189"/>
      <w:bookmarkStart w:id="2545" w:name="_Toc38441521"/>
      <w:bookmarkStart w:id="2546" w:name="_Toc38441849"/>
      <w:bookmarkStart w:id="2547" w:name="_Toc38442181"/>
      <w:bookmarkStart w:id="2548" w:name="_Toc38442513"/>
      <w:bookmarkStart w:id="2549" w:name="_Toc38442844"/>
      <w:bookmarkStart w:id="2550" w:name="_Toc38443175"/>
      <w:bookmarkStart w:id="2551" w:name="_Toc38443506"/>
      <w:bookmarkStart w:id="2552" w:name="_Toc38443837"/>
      <w:bookmarkStart w:id="2553" w:name="_Toc38438304"/>
      <w:bookmarkStart w:id="2554" w:name="_Toc38438641"/>
      <w:bookmarkStart w:id="2555" w:name="_Toc38438978"/>
      <w:bookmarkStart w:id="2556" w:name="_Toc38439315"/>
      <w:bookmarkStart w:id="2557" w:name="_Toc38439652"/>
      <w:bookmarkStart w:id="2558" w:name="_Toc38439989"/>
      <w:bookmarkStart w:id="2559" w:name="_Toc38440326"/>
      <w:bookmarkStart w:id="2560" w:name="_Toc38440659"/>
      <w:bookmarkStart w:id="2561" w:name="_Toc38440858"/>
      <w:bookmarkStart w:id="2562" w:name="_Toc38441190"/>
      <w:bookmarkStart w:id="2563" w:name="_Toc38441522"/>
      <w:bookmarkStart w:id="2564" w:name="_Toc38441850"/>
      <w:bookmarkStart w:id="2565" w:name="_Toc38442182"/>
      <w:bookmarkStart w:id="2566" w:name="_Toc38442514"/>
      <w:bookmarkStart w:id="2567" w:name="_Toc38442845"/>
      <w:bookmarkStart w:id="2568" w:name="_Toc38443176"/>
      <w:bookmarkStart w:id="2569" w:name="_Toc38443507"/>
      <w:bookmarkStart w:id="2570" w:name="_Toc38443838"/>
      <w:bookmarkStart w:id="2571" w:name="_Toc38438305"/>
      <w:bookmarkStart w:id="2572" w:name="_Toc38438642"/>
      <w:bookmarkStart w:id="2573" w:name="_Toc38438979"/>
      <w:bookmarkStart w:id="2574" w:name="_Toc38439316"/>
      <w:bookmarkStart w:id="2575" w:name="_Toc38439653"/>
      <w:bookmarkStart w:id="2576" w:name="_Toc38439990"/>
      <w:bookmarkStart w:id="2577" w:name="_Toc38440327"/>
      <w:bookmarkStart w:id="2578" w:name="_Toc38440660"/>
      <w:bookmarkStart w:id="2579" w:name="_Toc38440859"/>
      <w:bookmarkStart w:id="2580" w:name="_Toc38441191"/>
      <w:bookmarkStart w:id="2581" w:name="_Toc38441523"/>
      <w:bookmarkStart w:id="2582" w:name="_Toc38441851"/>
      <w:bookmarkStart w:id="2583" w:name="_Toc38442183"/>
      <w:bookmarkStart w:id="2584" w:name="_Toc38442515"/>
      <w:bookmarkStart w:id="2585" w:name="_Toc38442846"/>
      <w:bookmarkStart w:id="2586" w:name="_Toc38443177"/>
      <w:bookmarkStart w:id="2587" w:name="_Toc38443508"/>
      <w:bookmarkStart w:id="2588" w:name="_Toc38443839"/>
      <w:bookmarkStart w:id="2589" w:name="_Toc38438306"/>
      <w:bookmarkStart w:id="2590" w:name="_Toc38438643"/>
      <w:bookmarkStart w:id="2591" w:name="_Toc38438980"/>
      <w:bookmarkStart w:id="2592" w:name="_Toc38439317"/>
      <w:bookmarkStart w:id="2593" w:name="_Toc38439654"/>
      <w:bookmarkStart w:id="2594" w:name="_Toc38439991"/>
      <w:bookmarkStart w:id="2595" w:name="_Toc38440328"/>
      <w:bookmarkStart w:id="2596" w:name="_Toc38440661"/>
      <w:bookmarkStart w:id="2597" w:name="_Toc38440860"/>
      <w:bookmarkStart w:id="2598" w:name="_Toc38441192"/>
      <w:bookmarkStart w:id="2599" w:name="_Toc38441524"/>
      <w:bookmarkStart w:id="2600" w:name="_Toc38441852"/>
      <w:bookmarkStart w:id="2601" w:name="_Toc38442184"/>
      <w:bookmarkStart w:id="2602" w:name="_Toc38442516"/>
      <w:bookmarkStart w:id="2603" w:name="_Toc38442847"/>
      <w:bookmarkStart w:id="2604" w:name="_Toc38443178"/>
      <w:bookmarkStart w:id="2605" w:name="_Toc38443509"/>
      <w:bookmarkStart w:id="2606" w:name="_Toc38443840"/>
      <w:bookmarkStart w:id="2607" w:name="_Toc38438310"/>
      <w:bookmarkStart w:id="2608" w:name="_Toc38438647"/>
      <w:bookmarkStart w:id="2609" w:name="_Toc38438984"/>
      <w:bookmarkStart w:id="2610" w:name="_Toc38439321"/>
      <w:bookmarkStart w:id="2611" w:name="_Toc38439658"/>
      <w:bookmarkStart w:id="2612" w:name="_Toc38439995"/>
      <w:bookmarkStart w:id="2613" w:name="_Toc38440332"/>
      <w:bookmarkStart w:id="2614" w:name="_Toc38440665"/>
      <w:bookmarkStart w:id="2615" w:name="_Toc38440864"/>
      <w:bookmarkStart w:id="2616" w:name="_Toc38441196"/>
      <w:bookmarkStart w:id="2617" w:name="_Toc38441528"/>
      <w:bookmarkStart w:id="2618" w:name="_Toc38441856"/>
      <w:bookmarkStart w:id="2619" w:name="_Toc38442188"/>
      <w:bookmarkStart w:id="2620" w:name="_Toc38442520"/>
      <w:bookmarkStart w:id="2621" w:name="_Toc38442851"/>
      <w:bookmarkStart w:id="2622" w:name="_Toc38443182"/>
      <w:bookmarkStart w:id="2623" w:name="_Toc38443513"/>
      <w:bookmarkStart w:id="2624" w:name="_Toc38443844"/>
      <w:bookmarkStart w:id="2625" w:name="_Toc38438311"/>
      <w:bookmarkStart w:id="2626" w:name="_Toc38438648"/>
      <w:bookmarkStart w:id="2627" w:name="_Toc38438985"/>
      <w:bookmarkStart w:id="2628" w:name="_Toc38439322"/>
      <w:bookmarkStart w:id="2629" w:name="_Toc38439659"/>
      <w:bookmarkStart w:id="2630" w:name="_Toc38439996"/>
      <w:bookmarkStart w:id="2631" w:name="_Toc38440333"/>
      <w:bookmarkStart w:id="2632" w:name="_Toc38440666"/>
      <w:bookmarkStart w:id="2633" w:name="_Toc38440865"/>
      <w:bookmarkStart w:id="2634" w:name="_Toc38441197"/>
      <w:bookmarkStart w:id="2635" w:name="_Toc38441529"/>
      <w:bookmarkStart w:id="2636" w:name="_Toc38441857"/>
      <w:bookmarkStart w:id="2637" w:name="_Toc38442189"/>
      <w:bookmarkStart w:id="2638" w:name="_Toc38442521"/>
      <w:bookmarkStart w:id="2639" w:name="_Toc38442852"/>
      <w:bookmarkStart w:id="2640" w:name="_Toc38443183"/>
      <w:bookmarkStart w:id="2641" w:name="_Toc38443514"/>
      <w:bookmarkStart w:id="2642" w:name="_Toc38443845"/>
      <w:bookmarkStart w:id="2643" w:name="_Toc38438312"/>
      <w:bookmarkStart w:id="2644" w:name="_Toc38438649"/>
      <w:bookmarkStart w:id="2645" w:name="_Toc38438986"/>
      <w:bookmarkStart w:id="2646" w:name="_Toc38439323"/>
      <w:bookmarkStart w:id="2647" w:name="_Toc38439660"/>
      <w:bookmarkStart w:id="2648" w:name="_Toc38439997"/>
      <w:bookmarkStart w:id="2649" w:name="_Toc38440334"/>
      <w:bookmarkStart w:id="2650" w:name="_Toc38440667"/>
      <w:bookmarkStart w:id="2651" w:name="_Toc38440866"/>
      <w:bookmarkStart w:id="2652" w:name="_Toc38441198"/>
      <w:bookmarkStart w:id="2653" w:name="_Toc38441530"/>
      <w:bookmarkStart w:id="2654" w:name="_Toc38441858"/>
      <w:bookmarkStart w:id="2655" w:name="_Toc38442190"/>
      <w:bookmarkStart w:id="2656" w:name="_Toc38442522"/>
      <w:bookmarkStart w:id="2657" w:name="_Toc38442853"/>
      <w:bookmarkStart w:id="2658" w:name="_Toc38443184"/>
      <w:bookmarkStart w:id="2659" w:name="_Toc38443515"/>
      <w:bookmarkStart w:id="2660" w:name="_Toc38443846"/>
      <w:bookmarkStart w:id="2661" w:name="_Toc38438313"/>
      <w:bookmarkStart w:id="2662" w:name="_Toc38438650"/>
      <w:bookmarkStart w:id="2663" w:name="_Toc38438987"/>
      <w:bookmarkStart w:id="2664" w:name="_Toc38439324"/>
      <w:bookmarkStart w:id="2665" w:name="_Toc38439661"/>
      <w:bookmarkStart w:id="2666" w:name="_Toc38439998"/>
      <w:bookmarkStart w:id="2667" w:name="_Toc38440335"/>
      <w:bookmarkStart w:id="2668" w:name="_Toc38440668"/>
      <w:bookmarkStart w:id="2669" w:name="_Toc38440867"/>
      <w:bookmarkStart w:id="2670" w:name="_Toc38441199"/>
      <w:bookmarkStart w:id="2671" w:name="_Toc38441531"/>
      <w:bookmarkStart w:id="2672" w:name="_Toc38441859"/>
      <w:bookmarkStart w:id="2673" w:name="_Toc38442191"/>
      <w:bookmarkStart w:id="2674" w:name="_Toc38442523"/>
      <w:bookmarkStart w:id="2675" w:name="_Toc38442854"/>
      <w:bookmarkStart w:id="2676" w:name="_Toc38443185"/>
      <w:bookmarkStart w:id="2677" w:name="_Toc38443516"/>
      <w:bookmarkStart w:id="2678" w:name="_Toc38443847"/>
      <w:bookmarkStart w:id="2679" w:name="_Toc38438314"/>
      <w:bookmarkStart w:id="2680" w:name="_Toc38438651"/>
      <w:bookmarkStart w:id="2681" w:name="_Toc38438988"/>
      <w:bookmarkStart w:id="2682" w:name="_Toc38439325"/>
      <w:bookmarkStart w:id="2683" w:name="_Toc38439662"/>
      <w:bookmarkStart w:id="2684" w:name="_Toc38439999"/>
      <w:bookmarkStart w:id="2685" w:name="_Toc38440336"/>
      <w:bookmarkStart w:id="2686" w:name="_Toc38440669"/>
      <w:bookmarkStart w:id="2687" w:name="_Toc38440868"/>
      <w:bookmarkStart w:id="2688" w:name="_Toc38441200"/>
      <w:bookmarkStart w:id="2689" w:name="_Toc38441532"/>
      <w:bookmarkStart w:id="2690" w:name="_Toc38441860"/>
      <w:bookmarkStart w:id="2691" w:name="_Toc38442192"/>
      <w:bookmarkStart w:id="2692" w:name="_Toc38442524"/>
      <w:bookmarkStart w:id="2693" w:name="_Toc38442855"/>
      <w:bookmarkStart w:id="2694" w:name="_Toc38443186"/>
      <w:bookmarkStart w:id="2695" w:name="_Toc38443517"/>
      <w:bookmarkStart w:id="2696" w:name="_Toc38443848"/>
      <w:bookmarkStart w:id="2697" w:name="_Toc38438315"/>
      <w:bookmarkStart w:id="2698" w:name="_Toc38438652"/>
      <w:bookmarkStart w:id="2699" w:name="_Toc38438989"/>
      <w:bookmarkStart w:id="2700" w:name="_Toc38439326"/>
      <w:bookmarkStart w:id="2701" w:name="_Toc38439663"/>
      <w:bookmarkStart w:id="2702" w:name="_Toc38440000"/>
      <w:bookmarkStart w:id="2703" w:name="_Toc38440337"/>
      <w:bookmarkStart w:id="2704" w:name="_Toc38440670"/>
      <w:bookmarkStart w:id="2705" w:name="_Toc38440869"/>
      <w:bookmarkStart w:id="2706" w:name="_Toc38441201"/>
      <w:bookmarkStart w:id="2707" w:name="_Toc38441533"/>
      <w:bookmarkStart w:id="2708" w:name="_Toc38441861"/>
      <w:bookmarkStart w:id="2709" w:name="_Toc38442193"/>
      <w:bookmarkStart w:id="2710" w:name="_Toc38442525"/>
      <w:bookmarkStart w:id="2711" w:name="_Toc38442856"/>
      <w:bookmarkStart w:id="2712" w:name="_Toc38443187"/>
      <w:bookmarkStart w:id="2713" w:name="_Toc38443518"/>
      <w:bookmarkStart w:id="2714" w:name="_Toc38443849"/>
      <w:bookmarkStart w:id="2715" w:name="_Toc38438316"/>
      <w:bookmarkStart w:id="2716" w:name="_Toc38438653"/>
      <w:bookmarkStart w:id="2717" w:name="_Toc38438990"/>
      <w:bookmarkStart w:id="2718" w:name="_Toc38439327"/>
      <w:bookmarkStart w:id="2719" w:name="_Toc38439664"/>
      <w:bookmarkStart w:id="2720" w:name="_Toc38440001"/>
      <w:bookmarkStart w:id="2721" w:name="_Toc38440338"/>
      <w:bookmarkStart w:id="2722" w:name="_Toc38440671"/>
      <w:bookmarkStart w:id="2723" w:name="_Toc38440870"/>
      <w:bookmarkStart w:id="2724" w:name="_Toc38441202"/>
      <w:bookmarkStart w:id="2725" w:name="_Toc38441534"/>
      <w:bookmarkStart w:id="2726" w:name="_Toc38441862"/>
      <w:bookmarkStart w:id="2727" w:name="_Toc38442194"/>
      <w:bookmarkStart w:id="2728" w:name="_Toc38442526"/>
      <w:bookmarkStart w:id="2729" w:name="_Toc38442857"/>
      <w:bookmarkStart w:id="2730" w:name="_Toc38443188"/>
      <w:bookmarkStart w:id="2731" w:name="_Toc38443519"/>
      <w:bookmarkStart w:id="2732" w:name="_Toc38443850"/>
      <w:bookmarkStart w:id="2733" w:name="_Toc38438317"/>
      <w:bookmarkStart w:id="2734" w:name="_Toc38438654"/>
      <w:bookmarkStart w:id="2735" w:name="_Toc38438991"/>
      <w:bookmarkStart w:id="2736" w:name="_Toc38439328"/>
      <w:bookmarkStart w:id="2737" w:name="_Toc38439665"/>
      <w:bookmarkStart w:id="2738" w:name="_Toc38440002"/>
      <w:bookmarkStart w:id="2739" w:name="_Toc38440339"/>
      <w:bookmarkStart w:id="2740" w:name="_Toc38440672"/>
      <w:bookmarkStart w:id="2741" w:name="_Toc38440871"/>
      <w:bookmarkStart w:id="2742" w:name="_Toc38441203"/>
      <w:bookmarkStart w:id="2743" w:name="_Toc38441535"/>
      <w:bookmarkStart w:id="2744" w:name="_Toc38441863"/>
      <w:bookmarkStart w:id="2745" w:name="_Toc38442195"/>
      <w:bookmarkStart w:id="2746" w:name="_Toc38442527"/>
      <w:bookmarkStart w:id="2747" w:name="_Toc38442858"/>
      <w:bookmarkStart w:id="2748" w:name="_Toc38443189"/>
      <w:bookmarkStart w:id="2749" w:name="_Toc38443520"/>
      <w:bookmarkStart w:id="2750" w:name="_Toc38443851"/>
      <w:bookmarkStart w:id="2751" w:name="_Toc38438318"/>
      <w:bookmarkStart w:id="2752" w:name="_Toc38438655"/>
      <w:bookmarkStart w:id="2753" w:name="_Toc38438992"/>
      <w:bookmarkStart w:id="2754" w:name="_Toc38439329"/>
      <w:bookmarkStart w:id="2755" w:name="_Toc38439666"/>
      <w:bookmarkStart w:id="2756" w:name="_Toc38440003"/>
      <w:bookmarkStart w:id="2757" w:name="_Toc38440340"/>
      <w:bookmarkStart w:id="2758" w:name="_Toc38440673"/>
      <w:bookmarkStart w:id="2759" w:name="_Toc38440872"/>
      <w:bookmarkStart w:id="2760" w:name="_Toc38441204"/>
      <w:bookmarkStart w:id="2761" w:name="_Toc38441536"/>
      <w:bookmarkStart w:id="2762" w:name="_Toc38441864"/>
      <w:bookmarkStart w:id="2763" w:name="_Toc38442196"/>
      <w:bookmarkStart w:id="2764" w:name="_Toc38442528"/>
      <w:bookmarkStart w:id="2765" w:name="_Toc38442859"/>
      <w:bookmarkStart w:id="2766" w:name="_Toc38443190"/>
      <w:bookmarkStart w:id="2767" w:name="_Toc38443521"/>
      <w:bookmarkStart w:id="2768" w:name="_Toc38443852"/>
      <w:bookmarkStart w:id="2769" w:name="_Toc38438319"/>
      <w:bookmarkStart w:id="2770" w:name="_Toc38438656"/>
      <w:bookmarkStart w:id="2771" w:name="_Toc38438993"/>
      <w:bookmarkStart w:id="2772" w:name="_Toc38439330"/>
      <w:bookmarkStart w:id="2773" w:name="_Toc38439667"/>
      <w:bookmarkStart w:id="2774" w:name="_Toc38440004"/>
      <w:bookmarkStart w:id="2775" w:name="_Toc38440341"/>
      <w:bookmarkStart w:id="2776" w:name="_Toc38440674"/>
      <w:bookmarkStart w:id="2777" w:name="_Toc38440873"/>
      <w:bookmarkStart w:id="2778" w:name="_Toc38441205"/>
      <w:bookmarkStart w:id="2779" w:name="_Toc38441537"/>
      <w:bookmarkStart w:id="2780" w:name="_Toc38441865"/>
      <w:bookmarkStart w:id="2781" w:name="_Toc38442197"/>
      <w:bookmarkStart w:id="2782" w:name="_Toc38442529"/>
      <w:bookmarkStart w:id="2783" w:name="_Toc38442860"/>
      <w:bookmarkStart w:id="2784" w:name="_Toc38443191"/>
      <w:bookmarkStart w:id="2785" w:name="_Toc38443522"/>
      <w:bookmarkStart w:id="2786" w:name="_Toc38443853"/>
      <w:bookmarkStart w:id="2787" w:name="_Toc38438320"/>
      <w:bookmarkStart w:id="2788" w:name="_Toc38438657"/>
      <w:bookmarkStart w:id="2789" w:name="_Toc38438994"/>
      <w:bookmarkStart w:id="2790" w:name="_Toc38439331"/>
      <w:bookmarkStart w:id="2791" w:name="_Toc38439668"/>
      <w:bookmarkStart w:id="2792" w:name="_Toc38440005"/>
      <w:bookmarkStart w:id="2793" w:name="_Toc38440342"/>
      <w:bookmarkStart w:id="2794" w:name="_Toc38440675"/>
      <w:bookmarkStart w:id="2795" w:name="_Toc38440874"/>
      <w:bookmarkStart w:id="2796" w:name="_Toc38441206"/>
      <w:bookmarkStart w:id="2797" w:name="_Toc38441538"/>
      <w:bookmarkStart w:id="2798" w:name="_Toc38441866"/>
      <w:bookmarkStart w:id="2799" w:name="_Toc38442198"/>
      <w:bookmarkStart w:id="2800" w:name="_Toc38442530"/>
      <w:bookmarkStart w:id="2801" w:name="_Toc38442861"/>
      <w:bookmarkStart w:id="2802" w:name="_Toc38443192"/>
      <w:bookmarkStart w:id="2803" w:name="_Toc38443523"/>
      <w:bookmarkStart w:id="2804" w:name="_Toc38443854"/>
      <w:bookmarkStart w:id="2805" w:name="_Toc38438321"/>
      <w:bookmarkStart w:id="2806" w:name="_Toc38438658"/>
      <w:bookmarkStart w:id="2807" w:name="_Toc38438995"/>
      <w:bookmarkStart w:id="2808" w:name="_Toc38439332"/>
      <w:bookmarkStart w:id="2809" w:name="_Toc38439669"/>
      <w:bookmarkStart w:id="2810" w:name="_Toc38440006"/>
      <w:bookmarkStart w:id="2811" w:name="_Toc38440343"/>
      <w:bookmarkStart w:id="2812" w:name="_Toc38440676"/>
      <w:bookmarkStart w:id="2813" w:name="_Toc38440875"/>
      <w:bookmarkStart w:id="2814" w:name="_Toc38441207"/>
      <w:bookmarkStart w:id="2815" w:name="_Toc38441539"/>
      <w:bookmarkStart w:id="2816" w:name="_Toc38441867"/>
      <w:bookmarkStart w:id="2817" w:name="_Toc38442199"/>
      <w:bookmarkStart w:id="2818" w:name="_Toc38442531"/>
      <w:bookmarkStart w:id="2819" w:name="_Toc38442862"/>
      <w:bookmarkStart w:id="2820" w:name="_Toc38443193"/>
      <w:bookmarkStart w:id="2821" w:name="_Toc38443524"/>
      <w:bookmarkStart w:id="2822" w:name="_Toc38443855"/>
      <w:bookmarkStart w:id="2823" w:name="_Toc38438322"/>
      <w:bookmarkStart w:id="2824" w:name="_Toc38438659"/>
      <w:bookmarkStart w:id="2825" w:name="_Toc38438996"/>
      <w:bookmarkStart w:id="2826" w:name="_Toc38439333"/>
      <w:bookmarkStart w:id="2827" w:name="_Toc38439670"/>
      <w:bookmarkStart w:id="2828" w:name="_Toc38440007"/>
      <w:bookmarkStart w:id="2829" w:name="_Toc38440344"/>
      <w:bookmarkStart w:id="2830" w:name="_Toc38440677"/>
      <w:bookmarkStart w:id="2831" w:name="_Toc38440876"/>
      <w:bookmarkStart w:id="2832" w:name="_Toc38441208"/>
      <w:bookmarkStart w:id="2833" w:name="_Toc38441540"/>
      <w:bookmarkStart w:id="2834" w:name="_Toc38441868"/>
      <w:bookmarkStart w:id="2835" w:name="_Toc38442200"/>
      <w:bookmarkStart w:id="2836" w:name="_Toc38442532"/>
      <w:bookmarkStart w:id="2837" w:name="_Toc38442863"/>
      <w:bookmarkStart w:id="2838" w:name="_Toc38443194"/>
      <w:bookmarkStart w:id="2839" w:name="_Toc38443525"/>
      <w:bookmarkStart w:id="2840" w:name="_Toc38443856"/>
      <w:bookmarkStart w:id="2841" w:name="_Toc38438323"/>
      <w:bookmarkStart w:id="2842" w:name="_Toc38438660"/>
      <w:bookmarkStart w:id="2843" w:name="_Toc38438997"/>
      <w:bookmarkStart w:id="2844" w:name="_Toc38439334"/>
      <w:bookmarkStart w:id="2845" w:name="_Toc38439671"/>
      <w:bookmarkStart w:id="2846" w:name="_Toc38440008"/>
      <w:bookmarkStart w:id="2847" w:name="_Toc38440345"/>
      <w:bookmarkStart w:id="2848" w:name="_Toc38440678"/>
      <w:bookmarkStart w:id="2849" w:name="_Toc38440877"/>
      <w:bookmarkStart w:id="2850" w:name="_Toc38441209"/>
      <w:bookmarkStart w:id="2851" w:name="_Toc38441541"/>
      <w:bookmarkStart w:id="2852" w:name="_Toc38441869"/>
      <w:bookmarkStart w:id="2853" w:name="_Toc38442201"/>
      <w:bookmarkStart w:id="2854" w:name="_Toc38442533"/>
      <w:bookmarkStart w:id="2855" w:name="_Toc38442864"/>
      <w:bookmarkStart w:id="2856" w:name="_Toc38443195"/>
      <w:bookmarkStart w:id="2857" w:name="_Toc38443526"/>
      <w:bookmarkStart w:id="2858" w:name="_Toc38443857"/>
      <w:bookmarkStart w:id="2859" w:name="_Toc38438324"/>
      <w:bookmarkStart w:id="2860" w:name="_Toc38438661"/>
      <w:bookmarkStart w:id="2861" w:name="_Toc38438998"/>
      <w:bookmarkStart w:id="2862" w:name="_Toc38439335"/>
      <w:bookmarkStart w:id="2863" w:name="_Toc38439672"/>
      <w:bookmarkStart w:id="2864" w:name="_Toc38440009"/>
      <w:bookmarkStart w:id="2865" w:name="_Toc38440346"/>
      <w:bookmarkStart w:id="2866" w:name="_Toc38440679"/>
      <w:bookmarkStart w:id="2867" w:name="_Toc38440878"/>
      <w:bookmarkStart w:id="2868" w:name="_Toc38441210"/>
      <w:bookmarkStart w:id="2869" w:name="_Toc38441542"/>
      <w:bookmarkStart w:id="2870" w:name="_Toc38441870"/>
      <w:bookmarkStart w:id="2871" w:name="_Toc38442202"/>
      <w:bookmarkStart w:id="2872" w:name="_Toc38442534"/>
      <w:bookmarkStart w:id="2873" w:name="_Toc38442865"/>
      <w:bookmarkStart w:id="2874" w:name="_Toc38443196"/>
      <w:bookmarkStart w:id="2875" w:name="_Toc38443527"/>
      <w:bookmarkStart w:id="2876" w:name="_Toc38443858"/>
      <w:bookmarkStart w:id="2877" w:name="_Toc38438325"/>
      <w:bookmarkStart w:id="2878" w:name="_Toc38438662"/>
      <w:bookmarkStart w:id="2879" w:name="_Toc38438999"/>
      <w:bookmarkStart w:id="2880" w:name="_Toc38439336"/>
      <w:bookmarkStart w:id="2881" w:name="_Toc38439673"/>
      <w:bookmarkStart w:id="2882" w:name="_Toc38440010"/>
      <w:bookmarkStart w:id="2883" w:name="_Toc38440347"/>
      <w:bookmarkStart w:id="2884" w:name="_Toc38440879"/>
      <w:bookmarkStart w:id="2885" w:name="_Toc38441211"/>
      <w:bookmarkStart w:id="2886" w:name="_Toc38441543"/>
      <w:bookmarkStart w:id="2887" w:name="_Toc38441871"/>
      <w:bookmarkStart w:id="2888" w:name="_Toc38442203"/>
      <w:bookmarkStart w:id="2889" w:name="_Toc38442535"/>
      <w:bookmarkStart w:id="2890" w:name="_Toc38442866"/>
      <w:bookmarkStart w:id="2891" w:name="_Toc38443197"/>
      <w:bookmarkStart w:id="2892" w:name="_Toc38443528"/>
      <w:bookmarkStart w:id="2893" w:name="_Toc38443859"/>
      <w:bookmarkStart w:id="2894" w:name="_Toc38438326"/>
      <w:bookmarkStart w:id="2895" w:name="_Toc38438663"/>
      <w:bookmarkStart w:id="2896" w:name="_Toc38439000"/>
      <w:bookmarkStart w:id="2897" w:name="_Toc38439337"/>
      <w:bookmarkStart w:id="2898" w:name="_Toc38439674"/>
      <w:bookmarkStart w:id="2899" w:name="_Toc38440011"/>
      <w:bookmarkStart w:id="2900" w:name="_Toc38440348"/>
      <w:bookmarkStart w:id="2901" w:name="_Toc38440880"/>
      <w:bookmarkStart w:id="2902" w:name="_Toc38441212"/>
      <w:bookmarkStart w:id="2903" w:name="_Toc38441544"/>
      <w:bookmarkStart w:id="2904" w:name="_Toc38441872"/>
      <w:bookmarkStart w:id="2905" w:name="_Toc38442204"/>
      <w:bookmarkStart w:id="2906" w:name="_Toc38442536"/>
      <w:bookmarkStart w:id="2907" w:name="_Toc38442867"/>
      <w:bookmarkStart w:id="2908" w:name="_Toc38443198"/>
      <w:bookmarkStart w:id="2909" w:name="_Toc38443529"/>
      <w:bookmarkStart w:id="2910" w:name="_Toc38443860"/>
      <w:bookmarkStart w:id="2911" w:name="_Toc38438327"/>
      <w:bookmarkStart w:id="2912" w:name="_Toc38438664"/>
      <w:bookmarkStart w:id="2913" w:name="_Toc38439001"/>
      <w:bookmarkStart w:id="2914" w:name="_Toc38439338"/>
      <w:bookmarkStart w:id="2915" w:name="_Toc38439675"/>
      <w:bookmarkStart w:id="2916" w:name="_Toc38440012"/>
      <w:bookmarkStart w:id="2917" w:name="_Toc38440349"/>
      <w:bookmarkStart w:id="2918" w:name="_Toc38440881"/>
      <w:bookmarkStart w:id="2919" w:name="_Toc38441213"/>
      <w:bookmarkStart w:id="2920" w:name="_Toc38441545"/>
      <w:bookmarkStart w:id="2921" w:name="_Toc38441873"/>
      <w:bookmarkStart w:id="2922" w:name="_Toc38442205"/>
      <w:bookmarkStart w:id="2923" w:name="_Toc38442537"/>
      <w:bookmarkStart w:id="2924" w:name="_Toc38442868"/>
      <w:bookmarkStart w:id="2925" w:name="_Toc38443199"/>
      <w:bookmarkStart w:id="2926" w:name="_Toc38443530"/>
      <w:bookmarkStart w:id="2927" w:name="_Toc38443861"/>
      <w:bookmarkStart w:id="2928" w:name="_Toc38438328"/>
      <w:bookmarkStart w:id="2929" w:name="_Toc38438665"/>
      <w:bookmarkStart w:id="2930" w:name="_Toc38439002"/>
      <w:bookmarkStart w:id="2931" w:name="_Toc38439339"/>
      <w:bookmarkStart w:id="2932" w:name="_Toc38439676"/>
      <w:bookmarkStart w:id="2933" w:name="_Toc38440013"/>
      <w:bookmarkStart w:id="2934" w:name="_Toc38440350"/>
      <w:bookmarkStart w:id="2935" w:name="_Toc38440882"/>
      <w:bookmarkStart w:id="2936" w:name="_Toc38441214"/>
      <w:bookmarkStart w:id="2937" w:name="_Toc38441546"/>
      <w:bookmarkStart w:id="2938" w:name="_Toc38441874"/>
      <w:bookmarkStart w:id="2939" w:name="_Toc38442206"/>
      <w:bookmarkStart w:id="2940" w:name="_Toc38442538"/>
      <w:bookmarkStart w:id="2941" w:name="_Toc38442869"/>
      <w:bookmarkStart w:id="2942" w:name="_Toc38443200"/>
      <w:bookmarkStart w:id="2943" w:name="_Toc38443531"/>
      <w:bookmarkStart w:id="2944" w:name="_Toc38443862"/>
      <w:bookmarkStart w:id="2945" w:name="_Toc38438329"/>
      <w:bookmarkStart w:id="2946" w:name="_Toc38438666"/>
      <w:bookmarkStart w:id="2947" w:name="_Toc38439003"/>
      <w:bookmarkStart w:id="2948" w:name="_Toc38439340"/>
      <w:bookmarkStart w:id="2949" w:name="_Toc38439677"/>
      <w:bookmarkStart w:id="2950" w:name="_Toc38440014"/>
      <w:bookmarkStart w:id="2951" w:name="_Toc38440351"/>
      <w:bookmarkStart w:id="2952" w:name="_Toc38440883"/>
      <w:bookmarkStart w:id="2953" w:name="_Toc38441215"/>
      <w:bookmarkStart w:id="2954" w:name="_Toc38441547"/>
      <w:bookmarkStart w:id="2955" w:name="_Toc38441875"/>
      <w:bookmarkStart w:id="2956" w:name="_Toc38442207"/>
      <w:bookmarkStart w:id="2957" w:name="_Toc38442539"/>
      <w:bookmarkStart w:id="2958" w:name="_Toc38442870"/>
      <w:bookmarkStart w:id="2959" w:name="_Toc38443201"/>
      <w:bookmarkStart w:id="2960" w:name="_Toc38443532"/>
      <w:bookmarkStart w:id="2961" w:name="_Toc38443863"/>
      <w:bookmarkStart w:id="2962" w:name="_Toc38438330"/>
      <w:bookmarkStart w:id="2963" w:name="_Toc38438667"/>
      <w:bookmarkStart w:id="2964" w:name="_Toc38439004"/>
      <w:bookmarkStart w:id="2965" w:name="_Toc38439341"/>
      <w:bookmarkStart w:id="2966" w:name="_Toc38439678"/>
      <w:bookmarkStart w:id="2967" w:name="_Toc38440015"/>
      <w:bookmarkStart w:id="2968" w:name="_Toc38440352"/>
      <w:bookmarkStart w:id="2969" w:name="_Toc38440884"/>
      <w:bookmarkStart w:id="2970" w:name="_Toc38441216"/>
      <w:bookmarkStart w:id="2971" w:name="_Toc38441548"/>
      <w:bookmarkStart w:id="2972" w:name="_Toc38441876"/>
      <w:bookmarkStart w:id="2973" w:name="_Toc38442208"/>
      <w:bookmarkStart w:id="2974" w:name="_Toc38442540"/>
      <w:bookmarkStart w:id="2975" w:name="_Toc38442871"/>
      <w:bookmarkStart w:id="2976" w:name="_Toc38443202"/>
      <w:bookmarkStart w:id="2977" w:name="_Toc38443533"/>
      <w:bookmarkStart w:id="2978" w:name="_Toc38443864"/>
      <w:bookmarkStart w:id="2979" w:name="_Toc38438331"/>
      <w:bookmarkStart w:id="2980" w:name="_Toc38438668"/>
      <w:bookmarkStart w:id="2981" w:name="_Toc38439005"/>
      <w:bookmarkStart w:id="2982" w:name="_Toc38439342"/>
      <w:bookmarkStart w:id="2983" w:name="_Toc38439679"/>
      <w:bookmarkStart w:id="2984" w:name="_Toc38440016"/>
      <w:bookmarkStart w:id="2985" w:name="_Toc38440353"/>
      <w:bookmarkStart w:id="2986" w:name="_Toc38440885"/>
      <w:bookmarkStart w:id="2987" w:name="_Toc38441217"/>
      <w:bookmarkStart w:id="2988" w:name="_Toc38441549"/>
      <w:bookmarkStart w:id="2989" w:name="_Toc38441877"/>
      <w:bookmarkStart w:id="2990" w:name="_Toc38442209"/>
      <w:bookmarkStart w:id="2991" w:name="_Toc38442541"/>
      <w:bookmarkStart w:id="2992" w:name="_Toc38442872"/>
      <w:bookmarkStart w:id="2993" w:name="_Toc38443203"/>
      <w:bookmarkStart w:id="2994" w:name="_Toc38443534"/>
      <w:bookmarkStart w:id="2995" w:name="_Toc38443865"/>
      <w:bookmarkStart w:id="2996" w:name="_Toc38438332"/>
      <w:bookmarkStart w:id="2997" w:name="_Toc38438669"/>
      <w:bookmarkStart w:id="2998" w:name="_Toc38439006"/>
      <w:bookmarkStart w:id="2999" w:name="_Toc38439343"/>
      <w:bookmarkStart w:id="3000" w:name="_Toc38439680"/>
      <w:bookmarkStart w:id="3001" w:name="_Toc38440017"/>
      <w:bookmarkStart w:id="3002" w:name="_Toc38440354"/>
      <w:bookmarkStart w:id="3003" w:name="_Toc38440886"/>
      <w:bookmarkStart w:id="3004" w:name="_Toc38441218"/>
      <w:bookmarkStart w:id="3005" w:name="_Toc38441550"/>
      <w:bookmarkStart w:id="3006" w:name="_Toc38441878"/>
      <w:bookmarkStart w:id="3007" w:name="_Toc38442210"/>
      <w:bookmarkStart w:id="3008" w:name="_Toc38442542"/>
      <w:bookmarkStart w:id="3009" w:name="_Toc38442873"/>
      <w:bookmarkStart w:id="3010" w:name="_Toc38443204"/>
      <w:bookmarkStart w:id="3011" w:name="_Toc38443535"/>
      <w:bookmarkStart w:id="3012" w:name="_Toc38443866"/>
      <w:bookmarkStart w:id="3013" w:name="_Toc38438333"/>
      <w:bookmarkStart w:id="3014" w:name="_Toc38438670"/>
      <w:bookmarkStart w:id="3015" w:name="_Toc38439007"/>
      <w:bookmarkStart w:id="3016" w:name="_Toc38439344"/>
      <w:bookmarkStart w:id="3017" w:name="_Toc38439681"/>
      <w:bookmarkStart w:id="3018" w:name="_Toc38440018"/>
      <w:bookmarkStart w:id="3019" w:name="_Toc38440355"/>
      <w:bookmarkStart w:id="3020" w:name="_Toc38440887"/>
      <w:bookmarkStart w:id="3021" w:name="_Toc38441219"/>
      <w:bookmarkStart w:id="3022" w:name="_Toc38441551"/>
      <w:bookmarkStart w:id="3023" w:name="_Toc38441879"/>
      <w:bookmarkStart w:id="3024" w:name="_Toc38442211"/>
      <w:bookmarkStart w:id="3025" w:name="_Toc38442543"/>
      <w:bookmarkStart w:id="3026" w:name="_Toc38442874"/>
      <w:bookmarkStart w:id="3027" w:name="_Toc38443205"/>
      <w:bookmarkStart w:id="3028" w:name="_Toc38443536"/>
      <w:bookmarkStart w:id="3029" w:name="_Toc38443867"/>
      <w:bookmarkStart w:id="3030" w:name="_Toc38438334"/>
      <w:bookmarkStart w:id="3031" w:name="_Toc38438671"/>
      <w:bookmarkStart w:id="3032" w:name="_Toc38439008"/>
      <w:bookmarkStart w:id="3033" w:name="_Toc38439345"/>
      <w:bookmarkStart w:id="3034" w:name="_Toc38439682"/>
      <w:bookmarkStart w:id="3035" w:name="_Toc38440019"/>
      <w:bookmarkStart w:id="3036" w:name="_Toc38440356"/>
      <w:bookmarkStart w:id="3037" w:name="_Toc38440888"/>
      <w:bookmarkStart w:id="3038" w:name="_Toc38441220"/>
      <w:bookmarkStart w:id="3039" w:name="_Toc38441552"/>
      <w:bookmarkStart w:id="3040" w:name="_Toc38441880"/>
      <w:bookmarkStart w:id="3041" w:name="_Toc38442212"/>
      <w:bookmarkStart w:id="3042" w:name="_Toc38442544"/>
      <w:bookmarkStart w:id="3043" w:name="_Toc38442875"/>
      <w:bookmarkStart w:id="3044" w:name="_Toc38443206"/>
      <w:bookmarkStart w:id="3045" w:name="_Toc38443537"/>
      <w:bookmarkStart w:id="3046" w:name="_Toc38443868"/>
      <w:bookmarkStart w:id="3047" w:name="_Toc38438335"/>
      <w:bookmarkStart w:id="3048" w:name="_Toc38438672"/>
      <w:bookmarkStart w:id="3049" w:name="_Toc38439009"/>
      <w:bookmarkStart w:id="3050" w:name="_Toc38439346"/>
      <w:bookmarkStart w:id="3051" w:name="_Toc38439683"/>
      <w:bookmarkStart w:id="3052" w:name="_Toc38440020"/>
      <w:bookmarkStart w:id="3053" w:name="_Toc38440357"/>
      <w:bookmarkStart w:id="3054" w:name="_Toc38440889"/>
      <w:bookmarkStart w:id="3055" w:name="_Toc38441221"/>
      <w:bookmarkStart w:id="3056" w:name="_Toc38441553"/>
      <w:bookmarkStart w:id="3057" w:name="_Toc38441881"/>
      <w:bookmarkStart w:id="3058" w:name="_Toc38442213"/>
      <w:bookmarkStart w:id="3059" w:name="_Toc38442545"/>
      <w:bookmarkStart w:id="3060" w:name="_Toc38442876"/>
      <w:bookmarkStart w:id="3061" w:name="_Toc38443207"/>
      <w:bookmarkStart w:id="3062" w:name="_Toc38443538"/>
      <w:bookmarkStart w:id="3063" w:name="_Toc38443869"/>
      <w:bookmarkStart w:id="3064" w:name="_Toc38438336"/>
      <w:bookmarkStart w:id="3065" w:name="_Toc38438673"/>
      <w:bookmarkStart w:id="3066" w:name="_Toc38439010"/>
      <w:bookmarkStart w:id="3067" w:name="_Toc38439347"/>
      <w:bookmarkStart w:id="3068" w:name="_Toc38439684"/>
      <w:bookmarkStart w:id="3069" w:name="_Toc38440021"/>
      <w:bookmarkStart w:id="3070" w:name="_Toc38440358"/>
      <w:bookmarkStart w:id="3071" w:name="_Toc38440890"/>
      <w:bookmarkStart w:id="3072" w:name="_Toc38441222"/>
      <w:bookmarkStart w:id="3073" w:name="_Toc38441554"/>
      <w:bookmarkStart w:id="3074" w:name="_Toc38441882"/>
      <w:bookmarkStart w:id="3075" w:name="_Toc38442214"/>
      <w:bookmarkStart w:id="3076" w:name="_Toc38442546"/>
      <w:bookmarkStart w:id="3077" w:name="_Toc38442877"/>
      <w:bookmarkStart w:id="3078" w:name="_Toc38443208"/>
      <w:bookmarkStart w:id="3079" w:name="_Toc38443539"/>
      <w:bookmarkStart w:id="3080" w:name="_Toc38443870"/>
      <w:bookmarkStart w:id="3081" w:name="_Toc38438337"/>
      <w:bookmarkStart w:id="3082" w:name="_Toc38438674"/>
      <w:bookmarkStart w:id="3083" w:name="_Toc38439011"/>
      <w:bookmarkStart w:id="3084" w:name="_Toc38439348"/>
      <w:bookmarkStart w:id="3085" w:name="_Toc38439685"/>
      <w:bookmarkStart w:id="3086" w:name="_Toc38440022"/>
      <w:bookmarkStart w:id="3087" w:name="_Toc38440359"/>
      <w:bookmarkStart w:id="3088" w:name="_Toc38440891"/>
      <w:bookmarkStart w:id="3089" w:name="_Toc38441223"/>
      <w:bookmarkStart w:id="3090" w:name="_Toc38441555"/>
      <w:bookmarkStart w:id="3091" w:name="_Toc38441883"/>
      <w:bookmarkStart w:id="3092" w:name="_Toc38442215"/>
      <w:bookmarkStart w:id="3093" w:name="_Toc38442547"/>
      <w:bookmarkStart w:id="3094" w:name="_Toc38442878"/>
      <w:bookmarkStart w:id="3095" w:name="_Toc38443209"/>
      <w:bookmarkStart w:id="3096" w:name="_Toc38443540"/>
      <w:bookmarkStart w:id="3097" w:name="_Toc38443871"/>
      <w:bookmarkStart w:id="3098" w:name="_Toc38438338"/>
      <w:bookmarkStart w:id="3099" w:name="_Toc38438675"/>
      <w:bookmarkStart w:id="3100" w:name="_Toc38439012"/>
      <w:bookmarkStart w:id="3101" w:name="_Toc38439349"/>
      <w:bookmarkStart w:id="3102" w:name="_Toc38439686"/>
      <w:bookmarkStart w:id="3103" w:name="_Toc38440023"/>
      <w:bookmarkStart w:id="3104" w:name="_Toc38440360"/>
      <w:bookmarkStart w:id="3105" w:name="_Toc38440892"/>
      <w:bookmarkStart w:id="3106" w:name="_Toc38441224"/>
      <w:bookmarkStart w:id="3107" w:name="_Toc38441556"/>
      <w:bookmarkStart w:id="3108" w:name="_Toc38441884"/>
      <w:bookmarkStart w:id="3109" w:name="_Toc38442216"/>
      <w:bookmarkStart w:id="3110" w:name="_Toc38442548"/>
      <w:bookmarkStart w:id="3111" w:name="_Toc38442879"/>
      <w:bookmarkStart w:id="3112" w:name="_Toc38443210"/>
      <w:bookmarkStart w:id="3113" w:name="_Toc38443541"/>
      <w:bookmarkStart w:id="3114" w:name="_Toc38443872"/>
      <w:bookmarkStart w:id="3115" w:name="_Toc38438339"/>
      <w:bookmarkStart w:id="3116" w:name="_Toc38438676"/>
      <w:bookmarkStart w:id="3117" w:name="_Toc38439013"/>
      <w:bookmarkStart w:id="3118" w:name="_Toc38439350"/>
      <w:bookmarkStart w:id="3119" w:name="_Toc38439687"/>
      <w:bookmarkStart w:id="3120" w:name="_Toc38440024"/>
      <w:bookmarkStart w:id="3121" w:name="_Toc38440361"/>
      <w:bookmarkStart w:id="3122" w:name="_Toc38440893"/>
      <w:bookmarkStart w:id="3123" w:name="_Toc38441225"/>
      <w:bookmarkStart w:id="3124" w:name="_Toc38441557"/>
      <w:bookmarkStart w:id="3125" w:name="_Toc38441885"/>
      <w:bookmarkStart w:id="3126" w:name="_Toc38442217"/>
      <w:bookmarkStart w:id="3127" w:name="_Toc38442549"/>
      <w:bookmarkStart w:id="3128" w:name="_Toc38442880"/>
      <w:bookmarkStart w:id="3129" w:name="_Toc38443211"/>
      <w:bookmarkStart w:id="3130" w:name="_Toc38443542"/>
      <w:bookmarkStart w:id="3131" w:name="_Toc38443873"/>
      <w:bookmarkStart w:id="3132" w:name="_Toc38438340"/>
      <w:bookmarkStart w:id="3133" w:name="_Toc38438677"/>
      <w:bookmarkStart w:id="3134" w:name="_Toc38439014"/>
      <w:bookmarkStart w:id="3135" w:name="_Toc38439351"/>
      <w:bookmarkStart w:id="3136" w:name="_Toc38439688"/>
      <w:bookmarkStart w:id="3137" w:name="_Toc38440025"/>
      <w:bookmarkStart w:id="3138" w:name="_Toc38440362"/>
      <w:bookmarkStart w:id="3139" w:name="_Toc38440894"/>
      <w:bookmarkStart w:id="3140" w:name="_Toc38441226"/>
      <w:bookmarkStart w:id="3141" w:name="_Toc38441558"/>
      <w:bookmarkStart w:id="3142" w:name="_Toc38441886"/>
      <w:bookmarkStart w:id="3143" w:name="_Toc38442218"/>
      <w:bookmarkStart w:id="3144" w:name="_Toc38442550"/>
      <w:bookmarkStart w:id="3145" w:name="_Toc38442881"/>
      <w:bookmarkStart w:id="3146" w:name="_Toc38443212"/>
      <w:bookmarkStart w:id="3147" w:name="_Toc38443543"/>
      <w:bookmarkStart w:id="3148" w:name="_Toc38443874"/>
      <w:bookmarkStart w:id="3149" w:name="_Toc38438341"/>
      <w:bookmarkStart w:id="3150" w:name="_Toc38438678"/>
      <w:bookmarkStart w:id="3151" w:name="_Toc38439015"/>
      <w:bookmarkStart w:id="3152" w:name="_Toc38439352"/>
      <w:bookmarkStart w:id="3153" w:name="_Toc38439689"/>
      <w:bookmarkStart w:id="3154" w:name="_Toc38440026"/>
      <w:bookmarkStart w:id="3155" w:name="_Toc38440363"/>
      <w:bookmarkStart w:id="3156" w:name="_Toc38440895"/>
      <w:bookmarkStart w:id="3157" w:name="_Toc38441227"/>
      <w:bookmarkStart w:id="3158" w:name="_Toc38441559"/>
      <w:bookmarkStart w:id="3159" w:name="_Toc38441887"/>
      <w:bookmarkStart w:id="3160" w:name="_Toc38442219"/>
      <w:bookmarkStart w:id="3161" w:name="_Toc38442551"/>
      <w:bookmarkStart w:id="3162" w:name="_Toc38442882"/>
      <w:bookmarkStart w:id="3163" w:name="_Toc38443213"/>
      <w:bookmarkStart w:id="3164" w:name="_Toc38443544"/>
      <w:bookmarkStart w:id="3165" w:name="_Toc38443875"/>
      <w:bookmarkStart w:id="3166" w:name="_Toc38438342"/>
      <w:bookmarkStart w:id="3167" w:name="_Toc38438679"/>
      <w:bookmarkStart w:id="3168" w:name="_Toc38439016"/>
      <w:bookmarkStart w:id="3169" w:name="_Toc38439353"/>
      <w:bookmarkStart w:id="3170" w:name="_Toc38439690"/>
      <w:bookmarkStart w:id="3171" w:name="_Toc38440027"/>
      <w:bookmarkStart w:id="3172" w:name="_Toc38440364"/>
      <w:bookmarkStart w:id="3173" w:name="_Toc38440896"/>
      <w:bookmarkStart w:id="3174" w:name="_Toc38441228"/>
      <w:bookmarkStart w:id="3175" w:name="_Toc38441560"/>
      <w:bookmarkStart w:id="3176" w:name="_Toc38441888"/>
      <w:bookmarkStart w:id="3177" w:name="_Toc38442220"/>
      <w:bookmarkStart w:id="3178" w:name="_Toc38442552"/>
      <w:bookmarkStart w:id="3179" w:name="_Toc38442883"/>
      <w:bookmarkStart w:id="3180" w:name="_Toc38443214"/>
      <w:bookmarkStart w:id="3181" w:name="_Toc38443545"/>
      <w:bookmarkStart w:id="3182" w:name="_Toc38443876"/>
      <w:bookmarkStart w:id="3183" w:name="_Toc38438343"/>
      <w:bookmarkStart w:id="3184" w:name="_Toc38438680"/>
      <w:bookmarkStart w:id="3185" w:name="_Toc38439017"/>
      <w:bookmarkStart w:id="3186" w:name="_Toc38439354"/>
      <w:bookmarkStart w:id="3187" w:name="_Toc38439691"/>
      <w:bookmarkStart w:id="3188" w:name="_Toc38440028"/>
      <w:bookmarkStart w:id="3189" w:name="_Toc38440365"/>
      <w:bookmarkStart w:id="3190" w:name="_Toc38440897"/>
      <w:bookmarkStart w:id="3191" w:name="_Toc38441229"/>
      <w:bookmarkStart w:id="3192" w:name="_Toc38441561"/>
      <w:bookmarkStart w:id="3193" w:name="_Toc38441889"/>
      <w:bookmarkStart w:id="3194" w:name="_Toc38442221"/>
      <w:bookmarkStart w:id="3195" w:name="_Toc38442553"/>
      <w:bookmarkStart w:id="3196" w:name="_Toc38442884"/>
      <w:bookmarkStart w:id="3197" w:name="_Toc38443215"/>
      <w:bookmarkStart w:id="3198" w:name="_Toc38443546"/>
      <w:bookmarkStart w:id="3199" w:name="_Toc38443877"/>
      <w:bookmarkStart w:id="3200" w:name="_Toc13148422"/>
      <w:bookmarkEnd w:id="2096"/>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rsidR="00C35BC5" w:rsidRPr="00C86E67" w:rsidP="00B5132A">
      <w:pPr>
        <w:pStyle w:val="Heading1"/>
        <w:snapToGrid w:val="0"/>
        <w:spacing w:beforeLines="0" w:afterLines="0" w:line="360" w:lineRule="auto"/>
        <w:ind w:firstLine="643"/>
        <w:rPr>
          <w:rFonts w:asciiTheme="minorEastAsia" w:eastAsiaTheme="minorEastAsia" w:hAnsiTheme="minorEastAsia"/>
          <w:b/>
          <w:bCs/>
          <w:color w:val="000000" w:themeColor="text1"/>
        </w:rPr>
      </w:pPr>
      <w:bookmarkStart w:id="3201" w:name="_Toc91764903"/>
      <w:r w:rsidRPr="00C86E67">
        <w:rPr>
          <w:rFonts w:asciiTheme="minorEastAsia" w:eastAsiaTheme="minorEastAsia" w:hAnsiTheme="minorEastAsia" w:hint="eastAsia"/>
          <w:b/>
          <w:bCs/>
          <w:color w:val="000000" w:themeColor="text1"/>
        </w:rPr>
        <w:t>二十四、</w:t>
      </w:r>
      <w:bookmarkEnd w:id="3200"/>
      <w:r w:rsidRPr="00C86E67">
        <w:rPr>
          <w:rFonts w:asciiTheme="minorEastAsia" w:eastAsiaTheme="minorEastAsia" w:hAnsiTheme="minorEastAsia" w:hint="eastAsia"/>
          <w:b/>
          <w:bCs/>
          <w:color w:val="000000" w:themeColor="text1"/>
        </w:rPr>
        <w:t>其他应披露事项</w:t>
      </w:r>
      <w:bookmarkEnd w:id="3201"/>
    </w:p>
    <w:tbl>
      <w:tblPr>
        <w:tblStyle w:val="TableTheme"/>
        <w:tblW w:w="7928" w:type="dxa"/>
        <w:tblLayout w:type="fixed"/>
        <w:tblLook w:val="04A0"/>
      </w:tblPr>
      <w:tblGrid>
        <w:gridCol w:w="6511"/>
        <w:gridCol w:w="1417"/>
      </w:tblGrid>
      <w:tr w:rsidTr="00C86E67">
        <w:tblPrEx>
          <w:tblW w:w="7928" w:type="dxa"/>
          <w:tblLayout w:type="fixed"/>
          <w:tblLook w:val="04A0"/>
        </w:tblPrEx>
        <w:trPr>
          <w:trHeight w:val="285"/>
        </w:trPr>
        <w:tc>
          <w:tcPr>
            <w:tcW w:w="6511" w:type="dxa"/>
            <w:hideMark/>
          </w:tcPr>
          <w:p w:rsidR="00024290" w:rsidRPr="00C86E67" w:rsidP="00024290">
            <w:pPr>
              <w:widowControl/>
              <w:jc w:val="center"/>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公告事项</w:t>
            </w:r>
          </w:p>
        </w:tc>
        <w:tc>
          <w:tcPr>
            <w:tcW w:w="1417" w:type="dxa"/>
            <w:hideMark/>
          </w:tcPr>
          <w:p w:rsidR="00024290" w:rsidRPr="00C86E67" w:rsidP="00024290">
            <w:pPr>
              <w:widowControl/>
              <w:jc w:val="center"/>
              <w:rPr>
                <w:rFonts w:asciiTheme="minorEastAsia" w:eastAsiaTheme="minorEastAsia" w:hAnsiTheme="minorEastAsia" w:cs="宋体"/>
                <w:color w:val="000000" w:themeColor="text1"/>
                <w:kern w:val="0"/>
                <w:szCs w:val="21"/>
              </w:rPr>
            </w:pPr>
            <w:r w:rsidRPr="00C86E67">
              <w:rPr>
                <w:rFonts w:asciiTheme="minorEastAsia" w:eastAsiaTheme="minorEastAsia" w:hAnsiTheme="minorEastAsia" w:cs="宋体" w:hint="eastAsia"/>
                <w:color w:val="000000" w:themeColor="text1"/>
                <w:kern w:val="0"/>
                <w:szCs w:val="21"/>
              </w:rPr>
              <w:t>披露日期</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易方达基金管理有限公司旗下部分开放式基金增加东方财富证券为销售机构的公告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2021-01-12</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易方达基金管理有限公司旗下基金2020年第4季度报告提示性公告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2021-01-21</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易方达基金管理有限公司高级管理人员变更公告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2021-01-23</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易方达价值成长混合型证券投资基金暂停机构客户申购、转换转入及定期定额投资业务的公告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2021-02-05</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易方达基金管理有限公司关于旗下部分基金获配新奥股份（600803）非公开发行A股的公告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2021-02-05</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易方达基金管理有限公司关于终止包商银行股份有限公司办理本公司旗下基金销售业务的公告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2021-02-08</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易方达价值成长混合型证券投资基金分红公告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2021-02-08</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易方达价值成长混合型证券投资基金恢复机构客户申购、转换转入及定期定额投资业务的公告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2021-02-08</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易方达基金管理有限公司旗下部分开放式基金增加腾安基金为销售机构的公告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2021-02-10</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易方达价值成长混合型证券投资基金暂停机构客户申购、转换转入及定期定额投资业务的公告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2021-02-23</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易方达价值成长混合型证券投资基金恢复机构客户申购、转换转入及定期定额投资业务的公告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2021-02-24</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易方达价值成长混合型证券投资基金分红公告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2021-02-24</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易方达基金管理有限公司旗下基金2020年年度报告提示性公告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2021-03-30</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易方达基金管理有限公司关于提醒投资者及时提供或更新身份信息资料的公告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2021-04-02</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易方达基金管理有限公司旗下基金2021年第1季度报告提示性公告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2021-04-19</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易方达价值成长混合型证券投资基金基金经理变更公告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2021-05-29</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易方达基金管理有限公司高级管理人员变更公告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2021-07-17</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易方达基金管理有限公司旗下基金2021年第2季度报告提示性公告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2021-07-20</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易方达基金管理有限公司高级管理人员变更公告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2021-07-24</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易方达基金管理有限公司高级管理人员变更公告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2021-07-24</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易方达基金管理有限公司关于南京分公司营业场所变更的公告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2021-07-28</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易方达基金管理有限公司高级管理人员变更公告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2021-07-30</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易方达基金管理有限公司旗下基金2021年中期报告提示性公告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2021-08-28</w:t>
            </w:r>
          </w:p>
        </w:tc>
      </w:tr>
      <w:tr w:rsidTr="00C86E67">
        <w:tblPrEx>
          <w:tblW w:w="7928" w:type="dxa"/>
          <w:tblLayout w:type="fixed"/>
          <w:tblLook w:val="04A0"/>
        </w:tblPrEx>
        <w:tc>
          <w:tcPr>
            <w:tcW w:w="6511" w:type="dxa"/>
          </w:tcPr>
          <w:p w:rsidR="00632EFB" w:rsidRPr="00C86E67">
            <w:pPr>
              <w:jc w:val="lef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易方达基金管理有限公司关于旗下部分公开募集证券投资基金可投资于北京证券交易所股票的公告</w:t>
            </w:r>
          </w:p>
        </w:tc>
        <w:tc>
          <w:tcPr>
            <w:tcW w:w="1417" w:type="dxa"/>
          </w:tcPr>
          <w:p w:rsidR="00632EFB" w:rsidRPr="00C86E67">
            <w:pPr>
              <w:jc w:val="center"/>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2021-11-15</w:t>
            </w:r>
          </w:p>
        </w:tc>
      </w:tr>
    </w:tbl>
    <w:p w:rsidR="00301D6E" w:rsidRPr="00C86E67" w:rsidP="00D33AC5">
      <w:pPr>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注：以上公告事项披露在</w:t>
      </w:r>
      <w:r w:rsidRPr="00C86E67" w:rsidR="0013519A">
        <w:rPr>
          <w:rFonts w:asciiTheme="minorEastAsia" w:eastAsiaTheme="minorEastAsia" w:hAnsiTheme="minorEastAsia" w:hint="eastAsia"/>
          <w:color w:val="000000" w:themeColor="text1"/>
          <w:szCs w:val="21"/>
        </w:rPr>
        <w:t>规</w:t>
      </w:r>
      <w:r w:rsidRPr="00C86E67">
        <w:rPr>
          <w:rFonts w:asciiTheme="minorEastAsia" w:eastAsiaTheme="minorEastAsia" w:hAnsiTheme="minorEastAsia" w:hint="eastAsia"/>
          <w:color w:val="000000" w:themeColor="text1"/>
          <w:szCs w:val="21"/>
        </w:rPr>
        <w:t>定媒介及基金管理人网站上。</w:t>
      </w:r>
    </w:p>
    <w:p w:rsidR="00C35BC5" w:rsidRPr="00C86E67" w:rsidP="00552BE1">
      <w:pPr>
        <w:snapToGrid w:val="0"/>
        <w:spacing w:line="360" w:lineRule="auto"/>
        <w:rPr>
          <w:rFonts w:asciiTheme="minorEastAsia" w:eastAsiaTheme="minorEastAsia" w:hAnsiTheme="minorEastAsia"/>
          <w:color w:val="000000" w:themeColor="text1"/>
          <w:szCs w:val="21"/>
        </w:rPr>
      </w:pPr>
      <w:bookmarkStart w:id="3202" w:name="_Toc38438350"/>
      <w:bookmarkStart w:id="3203" w:name="_Toc38438687"/>
      <w:bookmarkStart w:id="3204" w:name="_Toc38439024"/>
      <w:bookmarkStart w:id="3205" w:name="_Toc38439361"/>
      <w:bookmarkStart w:id="3206" w:name="_Toc38439698"/>
      <w:bookmarkStart w:id="3207" w:name="_Toc38440035"/>
      <w:bookmarkStart w:id="3208" w:name="_Toc38440372"/>
      <w:bookmarkStart w:id="3209" w:name="_Toc38440904"/>
      <w:bookmarkStart w:id="3210" w:name="_Toc38441236"/>
      <w:bookmarkStart w:id="3211" w:name="_Toc38441568"/>
      <w:bookmarkStart w:id="3212" w:name="_Toc38441896"/>
      <w:bookmarkStart w:id="3213" w:name="_Toc38442228"/>
      <w:bookmarkStart w:id="3214" w:name="_Toc38442560"/>
      <w:bookmarkStart w:id="3215" w:name="_Toc38442891"/>
      <w:bookmarkStart w:id="3216" w:name="_Toc38443222"/>
      <w:bookmarkStart w:id="3217" w:name="_Toc38443553"/>
      <w:bookmarkStart w:id="3218" w:name="_Toc38443883"/>
      <w:bookmarkStart w:id="3219" w:name="_Toc38438351"/>
      <w:bookmarkStart w:id="3220" w:name="_Toc38438688"/>
      <w:bookmarkStart w:id="3221" w:name="_Toc38439025"/>
      <w:bookmarkStart w:id="3222" w:name="_Toc38439362"/>
      <w:bookmarkStart w:id="3223" w:name="_Toc38439699"/>
      <w:bookmarkStart w:id="3224" w:name="_Toc38440036"/>
      <w:bookmarkStart w:id="3225" w:name="_Toc38440373"/>
      <w:bookmarkStart w:id="3226" w:name="_Toc38440905"/>
      <w:bookmarkStart w:id="3227" w:name="_Toc38441237"/>
      <w:bookmarkStart w:id="3228" w:name="_Toc38441569"/>
      <w:bookmarkStart w:id="3229" w:name="_Toc38441897"/>
      <w:bookmarkStart w:id="3230" w:name="_Toc38442229"/>
      <w:bookmarkStart w:id="3231" w:name="_Toc38442561"/>
      <w:bookmarkStart w:id="3232" w:name="_Toc38442892"/>
      <w:bookmarkStart w:id="3233" w:name="_Toc38443223"/>
      <w:bookmarkStart w:id="3234" w:name="_Toc38443554"/>
      <w:bookmarkStart w:id="3235" w:name="_Toc38443884"/>
      <w:bookmarkStart w:id="3236" w:name="_Toc38438352"/>
      <w:bookmarkStart w:id="3237" w:name="_Toc38438689"/>
      <w:bookmarkStart w:id="3238" w:name="_Toc38439026"/>
      <w:bookmarkStart w:id="3239" w:name="_Toc38439363"/>
      <w:bookmarkStart w:id="3240" w:name="_Toc38439700"/>
      <w:bookmarkStart w:id="3241" w:name="_Toc38440037"/>
      <w:bookmarkStart w:id="3242" w:name="_Toc38440374"/>
      <w:bookmarkStart w:id="3243" w:name="_Toc38440906"/>
      <w:bookmarkStart w:id="3244" w:name="_Toc38441238"/>
      <w:bookmarkStart w:id="3245" w:name="_Toc38441570"/>
      <w:bookmarkStart w:id="3246" w:name="_Toc38441898"/>
      <w:bookmarkStart w:id="3247" w:name="_Toc38442230"/>
      <w:bookmarkStart w:id="3248" w:name="_Toc38442562"/>
      <w:bookmarkStart w:id="3249" w:name="_Toc38442893"/>
      <w:bookmarkStart w:id="3250" w:name="_Toc38443224"/>
      <w:bookmarkStart w:id="3251" w:name="_Toc38443555"/>
      <w:bookmarkStart w:id="3252" w:name="_Toc38443885"/>
      <w:bookmarkStart w:id="3253" w:name="_Toc38438353"/>
      <w:bookmarkStart w:id="3254" w:name="_Toc38438690"/>
      <w:bookmarkStart w:id="3255" w:name="_Toc38439027"/>
      <w:bookmarkStart w:id="3256" w:name="_Toc38439364"/>
      <w:bookmarkStart w:id="3257" w:name="_Toc38439701"/>
      <w:bookmarkStart w:id="3258" w:name="_Toc38440038"/>
      <w:bookmarkStart w:id="3259" w:name="_Toc38440375"/>
      <w:bookmarkStart w:id="3260" w:name="_Toc38440907"/>
      <w:bookmarkStart w:id="3261" w:name="_Toc38441239"/>
      <w:bookmarkStart w:id="3262" w:name="_Toc38441571"/>
      <w:bookmarkStart w:id="3263" w:name="_Toc38441899"/>
      <w:bookmarkStart w:id="3264" w:name="_Toc38442231"/>
      <w:bookmarkStart w:id="3265" w:name="_Toc38442563"/>
      <w:bookmarkStart w:id="3266" w:name="_Toc38442894"/>
      <w:bookmarkStart w:id="3267" w:name="_Toc38443225"/>
      <w:bookmarkStart w:id="3268" w:name="_Toc38443556"/>
      <w:bookmarkStart w:id="3269" w:name="_Toc38443886"/>
      <w:bookmarkStart w:id="3270" w:name="_Toc38438354"/>
      <w:bookmarkStart w:id="3271" w:name="_Toc38438691"/>
      <w:bookmarkStart w:id="3272" w:name="_Toc38439028"/>
      <w:bookmarkStart w:id="3273" w:name="_Toc38439365"/>
      <w:bookmarkStart w:id="3274" w:name="_Toc38439702"/>
      <w:bookmarkStart w:id="3275" w:name="_Toc38440039"/>
      <w:bookmarkStart w:id="3276" w:name="_Toc38440376"/>
      <w:bookmarkStart w:id="3277" w:name="_Toc38440908"/>
      <w:bookmarkStart w:id="3278" w:name="_Toc38441240"/>
      <w:bookmarkStart w:id="3279" w:name="_Toc38441572"/>
      <w:bookmarkStart w:id="3280" w:name="_Toc38441900"/>
      <w:bookmarkStart w:id="3281" w:name="_Toc38442232"/>
      <w:bookmarkStart w:id="3282" w:name="_Toc38442564"/>
      <w:bookmarkStart w:id="3283" w:name="_Toc38442895"/>
      <w:bookmarkStart w:id="3284" w:name="_Toc38443226"/>
      <w:bookmarkStart w:id="3285" w:name="_Toc38443557"/>
      <w:bookmarkStart w:id="3286" w:name="_Toc38443887"/>
      <w:bookmarkStart w:id="3287" w:name="_Toc38438355"/>
      <w:bookmarkStart w:id="3288" w:name="_Toc38438692"/>
      <w:bookmarkStart w:id="3289" w:name="_Toc38439029"/>
      <w:bookmarkStart w:id="3290" w:name="_Toc38439366"/>
      <w:bookmarkStart w:id="3291" w:name="_Toc38439703"/>
      <w:bookmarkStart w:id="3292" w:name="_Toc38440040"/>
      <w:bookmarkStart w:id="3293" w:name="_Toc38440377"/>
      <w:bookmarkStart w:id="3294" w:name="_Toc38440909"/>
      <w:bookmarkStart w:id="3295" w:name="_Toc38441241"/>
      <w:bookmarkStart w:id="3296" w:name="_Toc38441573"/>
      <w:bookmarkStart w:id="3297" w:name="_Toc38441901"/>
      <w:bookmarkStart w:id="3298" w:name="_Toc38442233"/>
      <w:bookmarkStart w:id="3299" w:name="_Toc38442565"/>
      <w:bookmarkStart w:id="3300" w:name="_Toc38442896"/>
      <w:bookmarkStart w:id="3301" w:name="_Toc38443227"/>
      <w:bookmarkStart w:id="3302" w:name="_Toc38443558"/>
      <w:bookmarkStart w:id="3303" w:name="_Toc38443888"/>
      <w:bookmarkStart w:id="3304" w:name="_Toc38438356"/>
      <w:bookmarkStart w:id="3305" w:name="_Toc38438693"/>
      <w:bookmarkStart w:id="3306" w:name="_Toc38439030"/>
      <w:bookmarkStart w:id="3307" w:name="_Toc38439367"/>
      <w:bookmarkStart w:id="3308" w:name="_Toc38439704"/>
      <w:bookmarkStart w:id="3309" w:name="_Toc38440041"/>
      <w:bookmarkStart w:id="3310" w:name="_Toc38440378"/>
      <w:bookmarkStart w:id="3311" w:name="_Toc38440910"/>
      <w:bookmarkStart w:id="3312" w:name="_Toc38441242"/>
      <w:bookmarkStart w:id="3313" w:name="_Toc38441574"/>
      <w:bookmarkStart w:id="3314" w:name="_Toc38441902"/>
      <w:bookmarkStart w:id="3315" w:name="_Toc38442234"/>
      <w:bookmarkStart w:id="3316" w:name="_Toc38442566"/>
      <w:bookmarkStart w:id="3317" w:name="_Toc38442897"/>
      <w:bookmarkStart w:id="3318" w:name="_Toc38443228"/>
      <w:bookmarkStart w:id="3319" w:name="_Toc38443559"/>
      <w:bookmarkStart w:id="3320" w:name="_Toc38443889"/>
      <w:bookmarkStart w:id="3321" w:name="_Toc38438357"/>
      <w:bookmarkStart w:id="3322" w:name="_Toc38438694"/>
      <w:bookmarkStart w:id="3323" w:name="_Toc38439031"/>
      <w:bookmarkStart w:id="3324" w:name="_Toc38439368"/>
      <w:bookmarkStart w:id="3325" w:name="_Toc38439705"/>
      <w:bookmarkStart w:id="3326" w:name="_Toc38440042"/>
      <w:bookmarkStart w:id="3327" w:name="_Toc38440379"/>
      <w:bookmarkStart w:id="3328" w:name="_Toc38440911"/>
      <w:bookmarkStart w:id="3329" w:name="_Toc38441243"/>
      <w:bookmarkStart w:id="3330" w:name="_Toc38441575"/>
      <w:bookmarkStart w:id="3331" w:name="_Toc38441903"/>
      <w:bookmarkStart w:id="3332" w:name="_Toc38442235"/>
      <w:bookmarkStart w:id="3333" w:name="_Toc38442567"/>
      <w:bookmarkStart w:id="3334" w:name="_Toc38442898"/>
      <w:bookmarkStart w:id="3335" w:name="_Toc38443229"/>
      <w:bookmarkStart w:id="3336" w:name="_Toc38443560"/>
      <w:bookmarkStart w:id="3337" w:name="_Toc38443890"/>
      <w:bookmarkStart w:id="3338" w:name="_Toc38438358"/>
      <w:bookmarkStart w:id="3339" w:name="_Toc38438695"/>
      <w:bookmarkStart w:id="3340" w:name="_Toc38439032"/>
      <w:bookmarkStart w:id="3341" w:name="_Toc38439369"/>
      <w:bookmarkStart w:id="3342" w:name="_Toc38439706"/>
      <w:bookmarkStart w:id="3343" w:name="_Toc38440043"/>
      <w:bookmarkStart w:id="3344" w:name="_Toc38440380"/>
      <w:bookmarkStart w:id="3345" w:name="_Toc38440912"/>
      <w:bookmarkStart w:id="3346" w:name="_Toc38441244"/>
      <w:bookmarkStart w:id="3347" w:name="_Toc38441576"/>
      <w:bookmarkStart w:id="3348" w:name="_Toc38441904"/>
      <w:bookmarkStart w:id="3349" w:name="_Toc38442236"/>
      <w:bookmarkStart w:id="3350" w:name="_Toc38442568"/>
      <w:bookmarkStart w:id="3351" w:name="_Toc38442899"/>
      <w:bookmarkStart w:id="3352" w:name="_Toc38443230"/>
      <w:bookmarkStart w:id="3353" w:name="_Toc38443561"/>
      <w:bookmarkStart w:id="3354" w:name="_Toc38443891"/>
      <w:bookmarkStart w:id="3355" w:name="_Toc38438359"/>
      <w:bookmarkStart w:id="3356" w:name="_Toc38438696"/>
      <w:bookmarkStart w:id="3357" w:name="_Toc38439033"/>
      <w:bookmarkStart w:id="3358" w:name="_Toc38439370"/>
      <w:bookmarkStart w:id="3359" w:name="_Toc38439707"/>
      <w:bookmarkStart w:id="3360" w:name="_Toc38440044"/>
      <w:bookmarkStart w:id="3361" w:name="_Toc38440381"/>
      <w:bookmarkStart w:id="3362" w:name="_Toc38440913"/>
      <w:bookmarkStart w:id="3363" w:name="_Toc38441245"/>
      <w:bookmarkStart w:id="3364" w:name="_Toc38441577"/>
      <w:bookmarkStart w:id="3365" w:name="_Toc38441905"/>
      <w:bookmarkStart w:id="3366" w:name="_Toc38442237"/>
      <w:bookmarkStart w:id="3367" w:name="_Toc38442569"/>
      <w:bookmarkStart w:id="3368" w:name="_Toc38442900"/>
      <w:bookmarkStart w:id="3369" w:name="_Toc38443231"/>
      <w:bookmarkStart w:id="3370" w:name="_Toc38443562"/>
      <w:bookmarkStart w:id="3371" w:name="_Toc38443892"/>
      <w:bookmarkStart w:id="3372" w:name="_Toc38438360"/>
      <w:bookmarkStart w:id="3373" w:name="_Toc38438697"/>
      <w:bookmarkStart w:id="3374" w:name="_Toc38439034"/>
      <w:bookmarkStart w:id="3375" w:name="_Toc38439371"/>
      <w:bookmarkStart w:id="3376" w:name="_Toc38439708"/>
      <w:bookmarkStart w:id="3377" w:name="_Toc38440045"/>
      <w:bookmarkStart w:id="3378" w:name="_Toc38440382"/>
      <w:bookmarkStart w:id="3379" w:name="_Toc38440914"/>
      <w:bookmarkStart w:id="3380" w:name="_Toc38441246"/>
      <w:bookmarkStart w:id="3381" w:name="_Toc38441578"/>
      <w:bookmarkStart w:id="3382" w:name="_Toc38441906"/>
      <w:bookmarkStart w:id="3383" w:name="_Toc38442238"/>
      <w:bookmarkStart w:id="3384" w:name="_Toc38442570"/>
      <w:bookmarkStart w:id="3385" w:name="_Toc38442901"/>
      <w:bookmarkStart w:id="3386" w:name="_Toc38443232"/>
      <w:bookmarkStart w:id="3387" w:name="_Toc38443563"/>
      <w:bookmarkStart w:id="3388" w:name="_Toc38443893"/>
      <w:bookmarkStart w:id="3389" w:name="_Toc38438361"/>
      <w:bookmarkStart w:id="3390" w:name="_Toc38438698"/>
      <w:bookmarkStart w:id="3391" w:name="_Toc38439035"/>
      <w:bookmarkStart w:id="3392" w:name="_Toc38439372"/>
      <w:bookmarkStart w:id="3393" w:name="_Toc38439709"/>
      <w:bookmarkStart w:id="3394" w:name="_Toc38440046"/>
      <w:bookmarkStart w:id="3395" w:name="_Toc38440383"/>
      <w:bookmarkStart w:id="3396" w:name="_Toc38440915"/>
      <w:bookmarkStart w:id="3397" w:name="_Toc38441247"/>
      <w:bookmarkStart w:id="3398" w:name="_Toc38441579"/>
      <w:bookmarkStart w:id="3399" w:name="_Toc38441907"/>
      <w:bookmarkStart w:id="3400" w:name="_Toc38442239"/>
      <w:bookmarkStart w:id="3401" w:name="_Toc38442571"/>
      <w:bookmarkStart w:id="3402" w:name="_Toc38442902"/>
      <w:bookmarkStart w:id="3403" w:name="_Toc38443233"/>
      <w:bookmarkStart w:id="3404" w:name="_Toc38443564"/>
      <w:bookmarkStart w:id="3405" w:name="_Toc38443894"/>
      <w:bookmarkStart w:id="3406" w:name="_Toc38438362"/>
      <w:bookmarkStart w:id="3407" w:name="_Toc38438699"/>
      <w:bookmarkStart w:id="3408" w:name="_Toc38439036"/>
      <w:bookmarkStart w:id="3409" w:name="_Toc38439373"/>
      <w:bookmarkStart w:id="3410" w:name="_Toc38439710"/>
      <w:bookmarkStart w:id="3411" w:name="_Toc38440047"/>
      <w:bookmarkStart w:id="3412" w:name="_Toc38440384"/>
      <w:bookmarkStart w:id="3413" w:name="_Toc38440916"/>
      <w:bookmarkStart w:id="3414" w:name="_Toc38441248"/>
      <w:bookmarkStart w:id="3415" w:name="_Toc38441580"/>
      <w:bookmarkStart w:id="3416" w:name="_Toc38441908"/>
      <w:bookmarkStart w:id="3417" w:name="_Toc38442240"/>
      <w:bookmarkStart w:id="3418" w:name="_Toc38442572"/>
      <w:bookmarkStart w:id="3419" w:name="_Toc38442903"/>
      <w:bookmarkStart w:id="3420" w:name="_Toc38443234"/>
      <w:bookmarkStart w:id="3421" w:name="_Toc38443565"/>
      <w:bookmarkStart w:id="3422" w:name="_Toc38443895"/>
      <w:bookmarkStart w:id="3423" w:name="_Toc38438363"/>
      <w:bookmarkStart w:id="3424" w:name="_Toc38438700"/>
      <w:bookmarkStart w:id="3425" w:name="_Toc38439037"/>
      <w:bookmarkStart w:id="3426" w:name="_Toc38439374"/>
      <w:bookmarkStart w:id="3427" w:name="_Toc38439711"/>
      <w:bookmarkStart w:id="3428" w:name="_Toc38440048"/>
      <w:bookmarkStart w:id="3429" w:name="_Toc38440385"/>
      <w:bookmarkStart w:id="3430" w:name="_Toc38440917"/>
      <w:bookmarkStart w:id="3431" w:name="_Toc38441249"/>
      <w:bookmarkStart w:id="3432" w:name="_Toc38441581"/>
      <w:bookmarkStart w:id="3433" w:name="_Toc38441909"/>
      <w:bookmarkStart w:id="3434" w:name="_Toc38442241"/>
      <w:bookmarkStart w:id="3435" w:name="_Toc38442573"/>
      <w:bookmarkStart w:id="3436" w:name="_Toc38442904"/>
      <w:bookmarkStart w:id="3437" w:name="_Toc38443235"/>
      <w:bookmarkStart w:id="3438" w:name="_Toc38443566"/>
      <w:bookmarkStart w:id="3439" w:name="_Toc38443896"/>
      <w:bookmarkStart w:id="3440" w:name="_Toc38438364"/>
      <w:bookmarkStart w:id="3441" w:name="_Toc38438701"/>
      <w:bookmarkStart w:id="3442" w:name="_Toc38439038"/>
      <w:bookmarkStart w:id="3443" w:name="_Toc38439375"/>
      <w:bookmarkStart w:id="3444" w:name="_Toc38439712"/>
      <w:bookmarkStart w:id="3445" w:name="_Toc38440049"/>
      <w:bookmarkStart w:id="3446" w:name="_Toc38440386"/>
      <w:bookmarkStart w:id="3447" w:name="_Toc38440918"/>
      <w:bookmarkStart w:id="3448" w:name="_Toc38441250"/>
      <w:bookmarkStart w:id="3449" w:name="_Toc38441582"/>
      <w:bookmarkStart w:id="3450" w:name="_Toc38441910"/>
      <w:bookmarkStart w:id="3451" w:name="_Toc38442242"/>
      <w:bookmarkStart w:id="3452" w:name="_Toc38442574"/>
      <w:bookmarkStart w:id="3453" w:name="_Toc38442905"/>
      <w:bookmarkStart w:id="3454" w:name="_Toc38443236"/>
      <w:bookmarkStart w:id="3455" w:name="_Toc38443567"/>
      <w:bookmarkStart w:id="3456" w:name="_Toc38443897"/>
      <w:bookmarkStart w:id="3457" w:name="_Toc38438365"/>
      <w:bookmarkStart w:id="3458" w:name="_Toc38438702"/>
      <w:bookmarkStart w:id="3459" w:name="_Toc38439039"/>
      <w:bookmarkStart w:id="3460" w:name="_Toc38439376"/>
      <w:bookmarkStart w:id="3461" w:name="_Toc38439713"/>
      <w:bookmarkStart w:id="3462" w:name="_Toc38440050"/>
      <w:bookmarkStart w:id="3463" w:name="_Toc38440387"/>
      <w:bookmarkStart w:id="3464" w:name="_Toc38440919"/>
      <w:bookmarkStart w:id="3465" w:name="_Toc38441251"/>
      <w:bookmarkStart w:id="3466" w:name="_Toc38441583"/>
      <w:bookmarkStart w:id="3467" w:name="_Toc38441911"/>
      <w:bookmarkStart w:id="3468" w:name="_Toc38442243"/>
      <w:bookmarkStart w:id="3469" w:name="_Toc38442575"/>
      <w:bookmarkStart w:id="3470" w:name="_Toc38442906"/>
      <w:bookmarkStart w:id="3471" w:name="_Toc38443237"/>
      <w:bookmarkStart w:id="3472" w:name="_Toc38443568"/>
      <w:bookmarkStart w:id="3473" w:name="_Toc38443898"/>
      <w:bookmarkStart w:id="3474" w:name="_Toc38438366"/>
      <w:bookmarkStart w:id="3475" w:name="_Toc38438703"/>
      <w:bookmarkStart w:id="3476" w:name="_Toc38439040"/>
      <w:bookmarkStart w:id="3477" w:name="_Toc38439377"/>
      <w:bookmarkStart w:id="3478" w:name="_Toc38439714"/>
      <w:bookmarkStart w:id="3479" w:name="_Toc38440051"/>
      <w:bookmarkStart w:id="3480" w:name="_Toc38440388"/>
      <w:bookmarkStart w:id="3481" w:name="_Toc38440920"/>
      <w:bookmarkStart w:id="3482" w:name="_Toc38441252"/>
      <w:bookmarkStart w:id="3483" w:name="_Toc38441584"/>
      <w:bookmarkStart w:id="3484" w:name="_Toc38441912"/>
      <w:bookmarkStart w:id="3485" w:name="_Toc38442244"/>
      <w:bookmarkStart w:id="3486" w:name="_Toc38442576"/>
      <w:bookmarkStart w:id="3487" w:name="_Toc38442907"/>
      <w:bookmarkStart w:id="3488" w:name="_Toc38443238"/>
      <w:bookmarkStart w:id="3489" w:name="_Toc38443569"/>
      <w:bookmarkStart w:id="3490" w:name="_Toc38443899"/>
      <w:bookmarkStart w:id="3491" w:name="_Toc38438367"/>
      <w:bookmarkStart w:id="3492" w:name="_Toc38438704"/>
      <w:bookmarkStart w:id="3493" w:name="_Toc38439041"/>
      <w:bookmarkStart w:id="3494" w:name="_Toc38439378"/>
      <w:bookmarkStart w:id="3495" w:name="_Toc38439715"/>
      <w:bookmarkStart w:id="3496" w:name="_Toc38440052"/>
      <w:bookmarkStart w:id="3497" w:name="_Toc38440389"/>
      <w:bookmarkStart w:id="3498" w:name="_Toc38440921"/>
      <w:bookmarkStart w:id="3499" w:name="_Toc38441253"/>
      <w:bookmarkStart w:id="3500" w:name="_Toc38441585"/>
      <w:bookmarkStart w:id="3501" w:name="_Toc38441913"/>
      <w:bookmarkStart w:id="3502" w:name="_Toc38442245"/>
      <w:bookmarkStart w:id="3503" w:name="_Toc38442577"/>
      <w:bookmarkStart w:id="3504" w:name="_Toc38442908"/>
      <w:bookmarkStart w:id="3505" w:name="_Toc38443239"/>
      <w:bookmarkStart w:id="3506" w:name="_Toc38443570"/>
      <w:bookmarkStart w:id="3507" w:name="_Toc38443900"/>
      <w:bookmarkStart w:id="3508" w:name="_Toc38438368"/>
      <w:bookmarkStart w:id="3509" w:name="_Toc38438705"/>
      <w:bookmarkStart w:id="3510" w:name="_Toc38439042"/>
      <w:bookmarkStart w:id="3511" w:name="_Toc38439379"/>
      <w:bookmarkStart w:id="3512" w:name="_Toc38439716"/>
      <w:bookmarkStart w:id="3513" w:name="_Toc38440053"/>
      <w:bookmarkStart w:id="3514" w:name="_Toc38440390"/>
      <w:bookmarkStart w:id="3515" w:name="_Toc38440922"/>
      <w:bookmarkStart w:id="3516" w:name="_Toc38441254"/>
      <w:bookmarkStart w:id="3517" w:name="_Toc38441586"/>
      <w:bookmarkStart w:id="3518" w:name="_Toc38441914"/>
      <w:bookmarkStart w:id="3519" w:name="_Toc38442246"/>
      <w:bookmarkStart w:id="3520" w:name="_Toc38442578"/>
      <w:bookmarkStart w:id="3521" w:name="_Toc38442909"/>
      <w:bookmarkStart w:id="3522" w:name="_Toc38443240"/>
      <w:bookmarkStart w:id="3523" w:name="_Toc38443571"/>
      <w:bookmarkStart w:id="3524" w:name="_Toc38443901"/>
      <w:bookmarkStart w:id="3525" w:name="_Toc38438369"/>
      <w:bookmarkStart w:id="3526" w:name="_Toc38438706"/>
      <w:bookmarkStart w:id="3527" w:name="_Toc38439043"/>
      <w:bookmarkStart w:id="3528" w:name="_Toc38439380"/>
      <w:bookmarkStart w:id="3529" w:name="_Toc38439717"/>
      <w:bookmarkStart w:id="3530" w:name="_Toc38440054"/>
      <w:bookmarkStart w:id="3531" w:name="_Toc38440391"/>
      <w:bookmarkStart w:id="3532" w:name="_Toc38440923"/>
      <w:bookmarkStart w:id="3533" w:name="_Toc38441255"/>
      <w:bookmarkStart w:id="3534" w:name="_Toc38441587"/>
      <w:bookmarkStart w:id="3535" w:name="_Toc38441915"/>
      <w:bookmarkStart w:id="3536" w:name="_Toc38442247"/>
      <w:bookmarkStart w:id="3537" w:name="_Toc38442579"/>
      <w:bookmarkStart w:id="3538" w:name="_Toc38442910"/>
      <w:bookmarkStart w:id="3539" w:name="_Toc38443241"/>
      <w:bookmarkStart w:id="3540" w:name="_Toc38443572"/>
      <w:bookmarkStart w:id="3541" w:name="_Toc38443902"/>
      <w:bookmarkStart w:id="3542" w:name="_Toc38438371"/>
      <w:bookmarkStart w:id="3543" w:name="_Toc38438708"/>
      <w:bookmarkStart w:id="3544" w:name="_Toc38439045"/>
      <w:bookmarkStart w:id="3545" w:name="_Toc38439382"/>
      <w:bookmarkStart w:id="3546" w:name="_Toc38439719"/>
      <w:bookmarkStart w:id="3547" w:name="_Toc38440056"/>
      <w:bookmarkStart w:id="3548" w:name="_Toc38440393"/>
      <w:bookmarkStart w:id="3549" w:name="_Toc38440925"/>
      <w:bookmarkStart w:id="3550" w:name="_Toc38441257"/>
      <w:bookmarkStart w:id="3551" w:name="_Toc38441589"/>
      <w:bookmarkStart w:id="3552" w:name="_Toc38441917"/>
      <w:bookmarkStart w:id="3553" w:name="_Toc38442249"/>
      <w:bookmarkStart w:id="3554" w:name="_Toc38442581"/>
      <w:bookmarkStart w:id="3555" w:name="_Toc38442912"/>
      <w:bookmarkStart w:id="3556" w:name="_Toc38443243"/>
      <w:bookmarkStart w:id="3557" w:name="_Toc38443574"/>
      <w:bookmarkStart w:id="3558" w:name="_Toc38443904"/>
      <w:bookmarkStart w:id="3559" w:name="_Toc38438372"/>
      <w:bookmarkStart w:id="3560" w:name="_Toc38438709"/>
      <w:bookmarkStart w:id="3561" w:name="_Toc38439046"/>
      <w:bookmarkStart w:id="3562" w:name="_Toc38439383"/>
      <w:bookmarkStart w:id="3563" w:name="_Toc38439720"/>
      <w:bookmarkStart w:id="3564" w:name="_Toc38440057"/>
      <w:bookmarkStart w:id="3565" w:name="_Toc38440394"/>
      <w:bookmarkStart w:id="3566" w:name="_Toc38440926"/>
      <w:bookmarkStart w:id="3567" w:name="_Toc38441258"/>
      <w:bookmarkStart w:id="3568" w:name="_Toc38441590"/>
      <w:bookmarkStart w:id="3569" w:name="_Toc38441918"/>
      <w:bookmarkStart w:id="3570" w:name="_Toc38442250"/>
      <w:bookmarkStart w:id="3571" w:name="_Toc38442582"/>
      <w:bookmarkStart w:id="3572" w:name="_Toc38442913"/>
      <w:bookmarkStart w:id="3573" w:name="_Toc38443244"/>
      <w:bookmarkStart w:id="3574" w:name="_Toc38443575"/>
      <w:bookmarkStart w:id="3575" w:name="_Toc38443905"/>
      <w:bookmarkStart w:id="3576" w:name="_Toc38438373"/>
      <w:bookmarkStart w:id="3577" w:name="_Toc38438710"/>
      <w:bookmarkStart w:id="3578" w:name="_Toc38439047"/>
      <w:bookmarkStart w:id="3579" w:name="_Toc38439384"/>
      <w:bookmarkStart w:id="3580" w:name="_Toc38439721"/>
      <w:bookmarkStart w:id="3581" w:name="_Toc38440058"/>
      <w:bookmarkStart w:id="3582" w:name="_Toc38440395"/>
      <w:bookmarkStart w:id="3583" w:name="_Toc38440927"/>
      <w:bookmarkStart w:id="3584" w:name="_Toc38441259"/>
      <w:bookmarkStart w:id="3585" w:name="_Toc38441591"/>
      <w:bookmarkStart w:id="3586" w:name="_Toc38441919"/>
      <w:bookmarkStart w:id="3587" w:name="_Toc38442251"/>
      <w:bookmarkStart w:id="3588" w:name="_Toc38442583"/>
      <w:bookmarkStart w:id="3589" w:name="_Toc38442914"/>
      <w:bookmarkStart w:id="3590" w:name="_Toc38443245"/>
      <w:bookmarkStart w:id="3591" w:name="_Toc38443576"/>
      <w:bookmarkStart w:id="3592" w:name="_Toc38443906"/>
      <w:bookmarkStart w:id="3593" w:name="_Toc38438374"/>
      <w:bookmarkStart w:id="3594" w:name="_Toc38438711"/>
      <w:bookmarkStart w:id="3595" w:name="_Toc38439048"/>
      <w:bookmarkStart w:id="3596" w:name="_Toc38439385"/>
      <w:bookmarkStart w:id="3597" w:name="_Toc38439722"/>
      <w:bookmarkStart w:id="3598" w:name="_Toc38440059"/>
      <w:bookmarkStart w:id="3599" w:name="_Toc38440396"/>
      <w:bookmarkStart w:id="3600" w:name="_Toc38440928"/>
      <w:bookmarkStart w:id="3601" w:name="_Toc38441260"/>
      <w:bookmarkStart w:id="3602" w:name="_Toc38441592"/>
      <w:bookmarkStart w:id="3603" w:name="_Toc38441920"/>
      <w:bookmarkStart w:id="3604" w:name="_Toc38442252"/>
      <w:bookmarkStart w:id="3605" w:name="_Toc38442584"/>
      <w:bookmarkStart w:id="3606" w:name="_Toc38442915"/>
      <w:bookmarkStart w:id="3607" w:name="_Toc38443246"/>
      <w:bookmarkStart w:id="3608" w:name="_Toc38443577"/>
      <w:bookmarkStart w:id="3609" w:name="_Toc38443907"/>
      <w:bookmarkStart w:id="3610" w:name="_Toc38438375"/>
      <w:bookmarkStart w:id="3611" w:name="_Toc38438712"/>
      <w:bookmarkStart w:id="3612" w:name="_Toc38439049"/>
      <w:bookmarkStart w:id="3613" w:name="_Toc38439386"/>
      <w:bookmarkStart w:id="3614" w:name="_Toc38439723"/>
      <w:bookmarkStart w:id="3615" w:name="_Toc38440060"/>
      <w:bookmarkStart w:id="3616" w:name="_Toc38440397"/>
      <w:bookmarkStart w:id="3617" w:name="_Toc38440929"/>
      <w:bookmarkStart w:id="3618" w:name="_Toc38441261"/>
      <w:bookmarkStart w:id="3619" w:name="_Toc38441593"/>
      <w:bookmarkStart w:id="3620" w:name="_Toc38441921"/>
      <w:bookmarkStart w:id="3621" w:name="_Toc38442253"/>
      <w:bookmarkStart w:id="3622" w:name="_Toc38442585"/>
      <w:bookmarkStart w:id="3623" w:name="_Toc38442916"/>
      <w:bookmarkStart w:id="3624" w:name="_Toc38443247"/>
      <w:bookmarkStart w:id="3625" w:name="_Toc38443578"/>
      <w:bookmarkStart w:id="3626" w:name="_Toc38443908"/>
      <w:bookmarkStart w:id="3627" w:name="_Toc38438376"/>
      <w:bookmarkStart w:id="3628" w:name="_Toc38438713"/>
      <w:bookmarkStart w:id="3629" w:name="_Toc38439050"/>
      <w:bookmarkStart w:id="3630" w:name="_Toc38439387"/>
      <w:bookmarkStart w:id="3631" w:name="_Toc38439724"/>
      <w:bookmarkStart w:id="3632" w:name="_Toc38440061"/>
      <w:bookmarkStart w:id="3633" w:name="_Toc38440398"/>
      <w:bookmarkStart w:id="3634" w:name="_Toc38440930"/>
      <w:bookmarkStart w:id="3635" w:name="_Toc38441262"/>
      <w:bookmarkStart w:id="3636" w:name="_Toc38441594"/>
      <w:bookmarkStart w:id="3637" w:name="_Toc38441922"/>
      <w:bookmarkStart w:id="3638" w:name="_Toc38442254"/>
      <w:bookmarkStart w:id="3639" w:name="_Toc38442586"/>
      <w:bookmarkStart w:id="3640" w:name="_Toc38442917"/>
      <w:bookmarkStart w:id="3641" w:name="_Toc38443248"/>
      <w:bookmarkStart w:id="3642" w:name="_Toc38443579"/>
      <w:bookmarkStart w:id="3643" w:name="_Toc38443909"/>
      <w:bookmarkStart w:id="3644" w:name="_Toc38438377"/>
      <w:bookmarkStart w:id="3645" w:name="_Toc38438714"/>
      <w:bookmarkStart w:id="3646" w:name="_Toc38439051"/>
      <w:bookmarkStart w:id="3647" w:name="_Toc38439388"/>
      <w:bookmarkStart w:id="3648" w:name="_Toc38439725"/>
      <w:bookmarkStart w:id="3649" w:name="_Toc38440062"/>
      <w:bookmarkStart w:id="3650" w:name="_Toc38440399"/>
      <w:bookmarkStart w:id="3651" w:name="_Toc38440931"/>
      <w:bookmarkStart w:id="3652" w:name="_Toc38441263"/>
      <w:bookmarkStart w:id="3653" w:name="_Toc38441595"/>
      <w:bookmarkStart w:id="3654" w:name="_Toc38441923"/>
      <w:bookmarkStart w:id="3655" w:name="_Toc38442255"/>
      <w:bookmarkStart w:id="3656" w:name="_Toc38442587"/>
      <w:bookmarkStart w:id="3657" w:name="_Toc38442918"/>
      <w:bookmarkStart w:id="3658" w:name="_Toc38443249"/>
      <w:bookmarkStart w:id="3659" w:name="_Toc38443580"/>
      <w:bookmarkStart w:id="3660" w:name="_Toc38443910"/>
      <w:bookmarkStart w:id="3661" w:name="_Toc38438378"/>
      <w:bookmarkStart w:id="3662" w:name="_Toc38438715"/>
      <w:bookmarkStart w:id="3663" w:name="_Toc38439052"/>
      <w:bookmarkStart w:id="3664" w:name="_Toc38439389"/>
      <w:bookmarkStart w:id="3665" w:name="_Toc38439726"/>
      <w:bookmarkStart w:id="3666" w:name="_Toc38440063"/>
      <w:bookmarkStart w:id="3667" w:name="_Toc38440400"/>
      <w:bookmarkStart w:id="3668" w:name="_Toc38440932"/>
      <w:bookmarkStart w:id="3669" w:name="_Toc38441264"/>
      <w:bookmarkStart w:id="3670" w:name="_Toc38441596"/>
      <w:bookmarkStart w:id="3671" w:name="_Toc38441924"/>
      <w:bookmarkStart w:id="3672" w:name="_Toc38442256"/>
      <w:bookmarkStart w:id="3673" w:name="_Toc38442588"/>
      <w:bookmarkStart w:id="3674" w:name="_Toc38442919"/>
      <w:bookmarkStart w:id="3675" w:name="_Toc38443250"/>
      <w:bookmarkStart w:id="3676" w:name="_Toc38443581"/>
      <w:bookmarkStart w:id="3677" w:name="_Toc38443911"/>
      <w:bookmarkStart w:id="3678" w:name="_Toc38438379"/>
      <w:bookmarkStart w:id="3679" w:name="_Toc38438716"/>
      <w:bookmarkStart w:id="3680" w:name="_Toc38439053"/>
      <w:bookmarkStart w:id="3681" w:name="_Toc38439390"/>
      <w:bookmarkStart w:id="3682" w:name="_Toc38439727"/>
      <w:bookmarkStart w:id="3683" w:name="_Toc38440064"/>
      <w:bookmarkStart w:id="3684" w:name="_Toc38440401"/>
      <w:bookmarkStart w:id="3685" w:name="_Toc38440933"/>
      <w:bookmarkStart w:id="3686" w:name="_Toc38441265"/>
      <w:bookmarkStart w:id="3687" w:name="_Toc38441597"/>
      <w:bookmarkStart w:id="3688" w:name="_Toc38441925"/>
      <w:bookmarkStart w:id="3689" w:name="_Toc38442257"/>
      <w:bookmarkStart w:id="3690" w:name="_Toc38442589"/>
      <w:bookmarkStart w:id="3691" w:name="_Toc38442920"/>
      <w:bookmarkStart w:id="3692" w:name="_Toc38443251"/>
      <w:bookmarkStart w:id="3693" w:name="_Toc38443582"/>
      <w:bookmarkStart w:id="3694" w:name="_Toc38443912"/>
      <w:bookmarkStart w:id="3695" w:name="_Toc38438380"/>
      <w:bookmarkStart w:id="3696" w:name="_Toc38438717"/>
      <w:bookmarkStart w:id="3697" w:name="_Toc38439054"/>
      <w:bookmarkStart w:id="3698" w:name="_Toc38439391"/>
      <w:bookmarkStart w:id="3699" w:name="_Toc38439728"/>
      <w:bookmarkStart w:id="3700" w:name="_Toc38440065"/>
      <w:bookmarkStart w:id="3701" w:name="_Toc38440402"/>
      <w:bookmarkStart w:id="3702" w:name="_Toc38440934"/>
      <w:bookmarkStart w:id="3703" w:name="_Toc38441266"/>
      <w:bookmarkStart w:id="3704" w:name="_Toc38441598"/>
      <w:bookmarkStart w:id="3705" w:name="_Toc38441926"/>
      <w:bookmarkStart w:id="3706" w:name="_Toc38442258"/>
      <w:bookmarkStart w:id="3707" w:name="_Toc38442590"/>
      <w:bookmarkStart w:id="3708" w:name="_Toc38442921"/>
      <w:bookmarkStart w:id="3709" w:name="_Toc38443252"/>
      <w:bookmarkStart w:id="3710" w:name="_Toc38443583"/>
      <w:bookmarkStart w:id="3711" w:name="_Toc38443913"/>
      <w:bookmarkStart w:id="3712" w:name="_Toc38438381"/>
      <w:bookmarkStart w:id="3713" w:name="_Toc38438718"/>
      <w:bookmarkStart w:id="3714" w:name="_Toc38439055"/>
      <w:bookmarkStart w:id="3715" w:name="_Toc38439392"/>
      <w:bookmarkStart w:id="3716" w:name="_Toc38439729"/>
      <w:bookmarkStart w:id="3717" w:name="_Toc38440066"/>
      <w:bookmarkStart w:id="3718" w:name="_Toc38440403"/>
      <w:bookmarkStart w:id="3719" w:name="_Toc38440935"/>
      <w:bookmarkStart w:id="3720" w:name="_Toc38441267"/>
      <w:bookmarkStart w:id="3721" w:name="_Toc38441599"/>
      <w:bookmarkStart w:id="3722" w:name="_Toc38441927"/>
      <w:bookmarkStart w:id="3723" w:name="_Toc38442259"/>
      <w:bookmarkStart w:id="3724" w:name="_Toc38442591"/>
      <w:bookmarkStart w:id="3725" w:name="_Toc38442922"/>
      <w:bookmarkStart w:id="3726" w:name="_Toc38443253"/>
      <w:bookmarkStart w:id="3727" w:name="_Toc38443584"/>
      <w:bookmarkStart w:id="3728" w:name="_Toc38443914"/>
      <w:bookmarkStart w:id="3729" w:name="_Toc38438382"/>
      <w:bookmarkStart w:id="3730" w:name="_Toc38438719"/>
      <w:bookmarkStart w:id="3731" w:name="_Toc38439056"/>
      <w:bookmarkStart w:id="3732" w:name="_Toc38439393"/>
      <w:bookmarkStart w:id="3733" w:name="_Toc38439730"/>
      <w:bookmarkStart w:id="3734" w:name="_Toc38440067"/>
      <w:bookmarkStart w:id="3735" w:name="_Toc38440404"/>
      <w:bookmarkStart w:id="3736" w:name="_Toc38440936"/>
      <w:bookmarkStart w:id="3737" w:name="_Toc38441268"/>
      <w:bookmarkStart w:id="3738" w:name="_Toc38441600"/>
      <w:bookmarkStart w:id="3739" w:name="_Toc38441928"/>
      <w:bookmarkStart w:id="3740" w:name="_Toc38442260"/>
      <w:bookmarkStart w:id="3741" w:name="_Toc38442592"/>
      <w:bookmarkStart w:id="3742" w:name="_Toc38442923"/>
      <w:bookmarkStart w:id="3743" w:name="_Toc38443254"/>
      <w:bookmarkStart w:id="3744" w:name="_Toc38443585"/>
      <w:bookmarkStart w:id="3745" w:name="_Toc38443915"/>
      <w:bookmarkStart w:id="3746" w:name="_Toc38438383"/>
      <w:bookmarkStart w:id="3747" w:name="_Toc38438720"/>
      <w:bookmarkStart w:id="3748" w:name="_Toc38439057"/>
      <w:bookmarkStart w:id="3749" w:name="_Toc38439394"/>
      <w:bookmarkStart w:id="3750" w:name="_Toc38439731"/>
      <w:bookmarkStart w:id="3751" w:name="_Toc38440068"/>
      <w:bookmarkStart w:id="3752" w:name="_Toc38440405"/>
      <w:bookmarkStart w:id="3753" w:name="_Toc38440937"/>
      <w:bookmarkStart w:id="3754" w:name="_Toc38441269"/>
      <w:bookmarkStart w:id="3755" w:name="_Toc38441601"/>
      <w:bookmarkStart w:id="3756" w:name="_Toc38441929"/>
      <w:bookmarkStart w:id="3757" w:name="_Toc38442261"/>
      <w:bookmarkStart w:id="3758" w:name="_Toc38442593"/>
      <w:bookmarkStart w:id="3759" w:name="_Toc38442924"/>
      <w:bookmarkStart w:id="3760" w:name="_Toc38443255"/>
      <w:bookmarkStart w:id="3761" w:name="_Toc38443586"/>
      <w:bookmarkStart w:id="3762" w:name="_Toc38443916"/>
      <w:bookmarkStart w:id="3763" w:name="_Toc38438384"/>
      <w:bookmarkStart w:id="3764" w:name="_Toc38438721"/>
      <w:bookmarkStart w:id="3765" w:name="_Toc38439058"/>
      <w:bookmarkStart w:id="3766" w:name="_Toc38439395"/>
      <w:bookmarkStart w:id="3767" w:name="_Toc38439732"/>
      <w:bookmarkStart w:id="3768" w:name="_Toc38440069"/>
      <w:bookmarkStart w:id="3769" w:name="_Toc38440406"/>
      <w:bookmarkStart w:id="3770" w:name="_Toc38440938"/>
      <w:bookmarkStart w:id="3771" w:name="_Toc38441270"/>
      <w:bookmarkStart w:id="3772" w:name="_Toc38441602"/>
      <w:bookmarkStart w:id="3773" w:name="_Toc38441930"/>
      <w:bookmarkStart w:id="3774" w:name="_Toc38442262"/>
      <w:bookmarkStart w:id="3775" w:name="_Toc38442594"/>
      <w:bookmarkStart w:id="3776" w:name="_Toc38442925"/>
      <w:bookmarkStart w:id="3777" w:name="_Toc38443256"/>
      <w:bookmarkStart w:id="3778" w:name="_Toc38443587"/>
      <w:bookmarkStart w:id="3779" w:name="_Toc38443917"/>
      <w:bookmarkStart w:id="3780" w:name="_Toc38438385"/>
      <w:bookmarkStart w:id="3781" w:name="_Toc38438722"/>
      <w:bookmarkStart w:id="3782" w:name="_Toc38439059"/>
      <w:bookmarkStart w:id="3783" w:name="_Toc38439396"/>
      <w:bookmarkStart w:id="3784" w:name="_Toc38439733"/>
      <w:bookmarkStart w:id="3785" w:name="_Toc38440070"/>
      <w:bookmarkStart w:id="3786" w:name="_Toc38440407"/>
      <w:bookmarkStart w:id="3787" w:name="_Toc38440939"/>
      <w:bookmarkStart w:id="3788" w:name="_Toc38441271"/>
      <w:bookmarkStart w:id="3789" w:name="_Toc38441603"/>
      <w:bookmarkStart w:id="3790" w:name="_Toc38441931"/>
      <w:bookmarkStart w:id="3791" w:name="_Toc38442263"/>
      <w:bookmarkStart w:id="3792" w:name="_Toc38442595"/>
      <w:bookmarkStart w:id="3793" w:name="_Toc38442926"/>
      <w:bookmarkStart w:id="3794" w:name="_Toc38443257"/>
      <w:bookmarkStart w:id="3795" w:name="_Toc38443588"/>
      <w:bookmarkStart w:id="3796" w:name="_Toc38443918"/>
      <w:bookmarkStart w:id="3797" w:name="_Toc38438386"/>
      <w:bookmarkStart w:id="3798" w:name="_Toc38438723"/>
      <w:bookmarkStart w:id="3799" w:name="_Toc38439060"/>
      <w:bookmarkStart w:id="3800" w:name="_Toc38439397"/>
      <w:bookmarkStart w:id="3801" w:name="_Toc38439734"/>
      <w:bookmarkStart w:id="3802" w:name="_Toc38440071"/>
      <w:bookmarkStart w:id="3803" w:name="_Toc38440408"/>
      <w:bookmarkStart w:id="3804" w:name="_Toc38440940"/>
      <w:bookmarkStart w:id="3805" w:name="_Toc38441272"/>
      <w:bookmarkStart w:id="3806" w:name="_Toc38441604"/>
      <w:bookmarkStart w:id="3807" w:name="_Toc38441932"/>
      <w:bookmarkStart w:id="3808" w:name="_Toc38442264"/>
      <w:bookmarkStart w:id="3809" w:name="_Toc38442596"/>
      <w:bookmarkStart w:id="3810" w:name="_Toc38442927"/>
      <w:bookmarkStart w:id="3811" w:name="_Toc38443258"/>
      <w:bookmarkStart w:id="3812" w:name="_Toc38443589"/>
      <w:bookmarkStart w:id="3813" w:name="_Toc38443919"/>
      <w:bookmarkStart w:id="3814" w:name="_Toc38438387"/>
      <w:bookmarkStart w:id="3815" w:name="_Toc38438724"/>
      <w:bookmarkStart w:id="3816" w:name="_Toc38439061"/>
      <w:bookmarkStart w:id="3817" w:name="_Toc38439398"/>
      <w:bookmarkStart w:id="3818" w:name="_Toc38439735"/>
      <w:bookmarkStart w:id="3819" w:name="_Toc38440072"/>
      <w:bookmarkStart w:id="3820" w:name="_Toc38440409"/>
      <w:bookmarkStart w:id="3821" w:name="_Toc38440941"/>
      <w:bookmarkStart w:id="3822" w:name="_Toc38441273"/>
      <w:bookmarkStart w:id="3823" w:name="_Toc38441605"/>
      <w:bookmarkStart w:id="3824" w:name="_Toc38441933"/>
      <w:bookmarkStart w:id="3825" w:name="_Toc38442265"/>
      <w:bookmarkStart w:id="3826" w:name="_Toc38442597"/>
      <w:bookmarkStart w:id="3827" w:name="_Toc38442928"/>
      <w:bookmarkStart w:id="3828" w:name="_Toc38443259"/>
      <w:bookmarkStart w:id="3829" w:name="_Toc38443590"/>
      <w:bookmarkStart w:id="3830" w:name="_Toc38443920"/>
      <w:bookmarkStart w:id="3831" w:name="_Toc38438388"/>
      <w:bookmarkStart w:id="3832" w:name="_Toc38438725"/>
      <w:bookmarkStart w:id="3833" w:name="_Toc38439062"/>
      <w:bookmarkStart w:id="3834" w:name="_Toc38439399"/>
      <w:bookmarkStart w:id="3835" w:name="_Toc38439736"/>
      <w:bookmarkStart w:id="3836" w:name="_Toc38440073"/>
      <w:bookmarkStart w:id="3837" w:name="_Toc38440410"/>
      <w:bookmarkStart w:id="3838" w:name="_Toc38440942"/>
      <w:bookmarkStart w:id="3839" w:name="_Toc38441274"/>
      <w:bookmarkStart w:id="3840" w:name="_Toc38441606"/>
      <w:bookmarkStart w:id="3841" w:name="_Toc38441934"/>
      <w:bookmarkStart w:id="3842" w:name="_Toc38442266"/>
      <w:bookmarkStart w:id="3843" w:name="_Toc38442598"/>
      <w:bookmarkStart w:id="3844" w:name="_Toc38442929"/>
      <w:bookmarkStart w:id="3845" w:name="_Toc38443260"/>
      <w:bookmarkStart w:id="3846" w:name="_Toc38443591"/>
      <w:bookmarkStart w:id="3847" w:name="_Toc38443921"/>
      <w:bookmarkStart w:id="3848" w:name="_Toc38438389"/>
      <w:bookmarkStart w:id="3849" w:name="_Toc38438726"/>
      <w:bookmarkStart w:id="3850" w:name="_Toc38439063"/>
      <w:bookmarkStart w:id="3851" w:name="_Toc38439400"/>
      <w:bookmarkStart w:id="3852" w:name="_Toc38439737"/>
      <w:bookmarkStart w:id="3853" w:name="_Toc38440074"/>
      <w:bookmarkStart w:id="3854" w:name="_Toc38440411"/>
      <w:bookmarkStart w:id="3855" w:name="_Toc38440943"/>
      <w:bookmarkStart w:id="3856" w:name="_Toc38441275"/>
      <w:bookmarkStart w:id="3857" w:name="_Toc38441607"/>
      <w:bookmarkStart w:id="3858" w:name="_Toc38441935"/>
      <w:bookmarkStart w:id="3859" w:name="_Toc38442267"/>
      <w:bookmarkStart w:id="3860" w:name="_Toc38442599"/>
      <w:bookmarkStart w:id="3861" w:name="_Toc38442930"/>
      <w:bookmarkStart w:id="3862" w:name="_Toc38443261"/>
      <w:bookmarkStart w:id="3863" w:name="_Toc38443592"/>
      <w:bookmarkStart w:id="3864" w:name="_Toc38443922"/>
      <w:bookmarkStart w:id="3865" w:name="_Toc38438390"/>
      <w:bookmarkStart w:id="3866" w:name="_Toc38438727"/>
      <w:bookmarkStart w:id="3867" w:name="_Toc38439064"/>
      <w:bookmarkStart w:id="3868" w:name="_Toc38439401"/>
      <w:bookmarkStart w:id="3869" w:name="_Toc38439738"/>
      <w:bookmarkStart w:id="3870" w:name="_Toc38440075"/>
      <w:bookmarkStart w:id="3871" w:name="_Toc38440412"/>
      <w:bookmarkStart w:id="3872" w:name="_Toc38440944"/>
      <w:bookmarkStart w:id="3873" w:name="_Toc38441276"/>
      <w:bookmarkStart w:id="3874" w:name="_Toc38441608"/>
      <w:bookmarkStart w:id="3875" w:name="_Toc38441936"/>
      <w:bookmarkStart w:id="3876" w:name="_Toc38442268"/>
      <w:bookmarkStart w:id="3877" w:name="_Toc38442600"/>
      <w:bookmarkStart w:id="3878" w:name="_Toc38442931"/>
      <w:bookmarkStart w:id="3879" w:name="_Toc38443262"/>
      <w:bookmarkStart w:id="3880" w:name="_Toc38443593"/>
      <w:bookmarkStart w:id="3881" w:name="_Toc38443923"/>
      <w:bookmarkStart w:id="3882" w:name="_Toc38438391"/>
      <w:bookmarkStart w:id="3883" w:name="_Toc38438728"/>
      <w:bookmarkStart w:id="3884" w:name="_Toc38439065"/>
      <w:bookmarkStart w:id="3885" w:name="_Toc38439402"/>
      <w:bookmarkStart w:id="3886" w:name="_Toc38439739"/>
      <w:bookmarkStart w:id="3887" w:name="_Toc38440076"/>
      <w:bookmarkStart w:id="3888" w:name="_Toc38440413"/>
      <w:bookmarkStart w:id="3889" w:name="_Toc38440945"/>
      <w:bookmarkStart w:id="3890" w:name="_Toc38441277"/>
      <w:bookmarkStart w:id="3891" w:name="_Toc38441609"/>
      <w:bookmarkStart w:id="3892" w:name="_Toc38441937"/>
      <w:bookmarkStart w:id="3893" w:name="_Toc38442269"/>
      <w:bookmarkStart w:id="3894" w:name="_Toc38442601"/>
      <w:bookmarkStart w:id="3895" w:name="_Toc38442932"/>
      <w:bookmarkStart w:id="3896" w:name="_Toc38443263"/>
      <w:bookmarkStart w:id="3897" w:name="_Toc38443594"/>
      <w:bookmarkStart w:id="3898" w:name="_Toc38443924"/>
      <w:bookmarkStart w:id="3899" w:name="_Toc38438392"/>
      <w:bookmarkStart w:id="3900" w:name="_Toc38438729"/>
      <w:bookmarkStart w:id="3901" w:name="_Toc38439066"/>
      <w:bookmarkStart w:id="3902" w:name="_Toc38439403"/>
      <w:bookmarkStart w:id="3903" w:name="_Toc38439740"/>
      <w:bookmarkStart w:id="3904" w:name="_Toc38440077"/>
      <w:bookmarkStart w:id="3905" w:name="_Toc38440414"/>
      <w:bookmarkStart w:id="3906" w:name="_Toc38440946"/>
      <w:bookmarkStart w:id="3907" w:name="_Toc38441278"/>
      <w:bookmarkStart w:id="3908" w:name="_Toc38441610"/>
      <w:bookmarkStart w:id="3909" w:name="_Toc38441938"/>
      <w:bookmarkStart w:id="3910" w:name="_Toc38442270"/>
      <w:bookmarkStart w:id="3911" w:name="_Toc38442602"/>
      <w:bookmarkStart w:id="3912" w:name="_Toc38442933"/>
      <w:bookmarkStart w:id="3913" w:name="_Toc38443264"/>
      <w:bookmarkStart w:id="3914" w:name="_Toc38443595"/>
      <w:bookmarkStart w:id="3915" w:name="_Toc38443925"/>
      <w:bookmarkStart w:id="3916" w:name="_Toc38438393"/>
      <w:bookmarkStart w:id="3917" w:name="_Toc38438730"/>
      <w:bookmarkStart w:id="3918" w:name="_Toc38439067"/>
      <w:bookmarkStart w:id="3919" w:name="_Toc38439404"/>
      <w:bookmarkStart w:id="3920" w:name="_Toc38439741"/>
      <w:bookmarkStart w:id="3921" w:name="_Toc38440078"/>
      <w:bookmarkStart w:id="3922" w:name="_Toc38440415"/>
      <w:bookmarkStart w:id="3923" w:name="_Toc38440947"/>
      <w:bookmarkStart w:id="3924" w:name="_Toc38441279"/>
      <w:bookmarkStart w:id="3925" w:name="_Toc38441611"/>
      <w:bookmarkStart w:id="3926" w:name="_Toc38441939"/>
      <w:bookmarkStart w:id="3927" w:name="_Toc38442271"/>
      <w:bookmarkStart w:id="3928" w:name="_Toc38442603"/>
      <w:bookmarkStart w:id="3929" w:name="_Toc38442934"/>
      <w:bookmarkStart w:id="3930" w:name="_Toc38443265"/>
      <w:bookmarkStart w:id="3931" w:name="_Toc38443596"/>
      <w:bookmarkStart w:id="3932" w:name="_Toc38443926"/>
      <w:bookmarkStart w:id="3933" w:name="_Toc38438394"/>
      <w:bookmarkStart w:id="3934" w:name="_Toc38438731"/>
      <w:bookmarkStart w:id="3935" w:name="_Toc38439068"/>
      <w:bookmarkStart w:id="3936" w:name="_Toc38439405"/>
      <w:bookmarkStart w:id="3937" w:name="_Toc38439742"/>
      <w:bookmarkStart w:id="3938" w:name="_Toc38440079"/>
      <w:bookmarkStart w:id="3939" w:name="_Toc38440416"/>
      <w:bookmarkStart w:id="3940" w:name="_Toc38440948"/>
      <w:bookmarkStart w:id="3941" w:name="_Toc38441280"/>
      <w:bookmarkStart w:id="3942" w:name="_Toc38441612"/>
      <w:bookmarkStart w:id="3943" w:name="_Toc38441940"/>
      <w:bookmarkStart w:id="3944" w:name="_Toc38442272"/>
      <w:bookmarkStart w:id="3945" w:name="_Toc38442604"/>
      <w:bookmarkStart w:id="3946" w:name="_Toc38442935"/>
      <w:bookmarkStart w:id="3947" w:name="_Toc38443266"/>
      <w:bookmarkStart w:id="3948" w:name="_Toc38443597"/>
      <w:bookmarkStart w:id="3949" w:name="_Toc38443927"/>
      <w:bookmarkStart w:id="3950" w:name="_Toc38438395"/>
      <w:bookmarkStart w:id="3951" w:name="_Toc38438732"/>
      <w:bookmarkStart w:id="3952" w:name="_Toc38439069"/>
      <w:bookmarkStart w:id="3953" w:name="_Toc38439406"/>
      <w:bookmarkStart w:id="3954" w:name="_Toc38439743"/>
      <w:bookmarkStart w:id="3955" w:name="_Toc38440080"/>
      <w:bookmarkStart w:id="3956" w:name="_Toc38440417"/>
      <w:bookmarkStart w:id="3957" w:name="_Toc38440949"/>
      <w:bookmarkStart w:id="3958" w:name="_Toc38441281"/>
      <w:bookmarkStart w:id="3959" w:name="_Toc38441613"/>
      <w:bookmarkStart w:id="3960" w:name="_Toc38441941"/>
      <w:bookmarkStart w:id="3961" w:name="_Toc38442273"/>
      <w:bookmarkStart w:id="3962" w:name="_Toc38442605"/>
      <w:bookmarkStart w:id="3963" w:name="_Toc38442936"/>
      <w:bookmarkStart w:id="3964" w:name="_Toc38443267"/>
      <w:bookmarkStart w:id="3965" w:name="_Toc38443598"/>
      <w:bookmarkStart w:id="3966" w:name="_Toc38443928"/>
      <w:bookmarkStart w:id="3967" w:name="_Toc38438396"/>
      <w:bookmarkStart w:id="3968" w:name="_Toc38438733"/>
      <w:bookmarkStart w:id="3969" w:name="_Toc38439070"/>
      <w:bookmarkStart w:id="3970" w:name="_Toc38439407"/>
      <w:bookmarkStart w:id="3971" w:name="_Toc38439744"/>
      <w:bookmarkStart w:id="3972" w:name="_Toc38440081"/>
      <w:bookmarkStart w:id="3973" w:name="_Toc38440418"/>
      <w:bookmarkStart w:id="3974" w:name="_Toc38440950"/>
      <w:bookmarkStart w:id="3975" w:name="_Toc38441282"/>
      <w:bookmarkStart w:id="3976" w:name="_Toc38441614"/>
      <w:bookmarkStart w:id="3977" w:name="_Toc38441942"/>
      <w:bookmarkStart w:id="3978" w:name="_Toc38442274"/>
      <w:bookmarkStart w:id="3979" w:name="_Toc38442606"/>
      <w:bookmarkStart w:id="3980" w:name="_Toc38442937"/>
      <w:bookmarkStart w:id="3981" w:name="_Toc38443268"/>
      <w:bookmarkStart w:id="3982" w:name="_Toc38443599"/>
      <w:bookmarkStart w:id="3983" w:name="_Toc38443929"/>
      <w:bookmarkStart w:id="3984" w:name="_Toc38438397"/>
      <w:bookmarkStart w:id="3985" w:name="_Toc38438734"/>
      <w:bookmarkStart w:id="3986" w:name="_Toc38439071"/>
      <w:bookmarkStart w:id="3987" w:name="_Toc38439408"/>
      <w:bookmarkStart w:id="3988" w:name="_Toc38439745"/>
      <w:bookmarkStart w:id="3989" w:name="_Toc38440082"/>
      <w:bookmarkStart w:id="3990" w:name="_Toc38440419"/>
      <w:bookmarkStart w:id="3991" w:name="_Toc38440951"/>
      <w:bookmarkStart w:id="3992" w:name="_Toc38441283"/>
      <w:bookmarkStart w:id="3993" w:name="_Toc38441615"/>
      <w:bookmarkStart w:id="3994" w:name="_Toc38441943"/>
      <w:bookmarkStart w:id="3995" w:name="_Toc38442275"/>
      <w:bookmarkStart w:id="3996" w:name="_Toc38442607"/>
      <w:bookmarkStart w:id="3997" w:name="_Toc38442938"/>
      <w:bookmarkStart w:id="3998" w:name="_Toc38443269"/>
      <w:bookmarkStart w:id="3999" w:name="_Toc38443600"/>
      <w:bookmarkStart w:id="4000" w:name="_Toc38443930"/>
      <w:bookmarkStart w:id="4001" w:name="_Toc38438398"/>
      <w:bookmarkStart w:id="4002" w:name="_Toc38438735"/>
      <w:bookmarkStart w:id="4003" w:name="_Toc38439072"/>
      <w:bookmarkStart w:id="4004" w:name="_Toc38439409"/>
      <w:bookmarkStart w:id="4005" w:name="_Toc38439746"/>
      <w:bookmarkStart w:id="4006" w:name="_Toc38440083"/>
      <w:bookmarkStart w:id="4007" w:name="_Toc38440420"/>
      <w:bookmarkStart w:id="4008" w:name="_Toc38440952"/>
      <w:bookmarkStart w:id="4009" w:name="_Toc38441284"/>
      <w:bookmarkStart w:id="4010" w:name="_Toc38441616"/>
      <w:bookmarkStart w:id="4011" w:name="_Toc38441944"/>
      <w:bookmarkStart w:id="4012" w:name="_Toc38442276"/>
      <w:bookmarkStart w:id="4013" w:name="_Toc38442608"/>
      <w:bookmarkStart w:id="4014" w:name="_Toc38442939"/>
      <w:bookmarkStart w:id="4015" w:name="_Toc38443270"/>
      <w:bookmarkStart w:id="4016" w:name="_Toc38443601"/>
      <w:bookmarkStart w:id="4017" w:name="_Toc38443931"/>
      <w:bookmarkStart w:id="4018" w:name="_Toc38438400"/>
      <w:bookmarkStart w:id="4019" w:name="_Toc38438737"/>
      <w:bookmarkStart w:id="4020" w:name="_Toc38439074"/>
      <w:bookmarkStart w:id="4021" w:name="_Toc38439411"/>
      <w:bookmarkStart w:id="4022" w:name="_Toc38439748"/>
      <w:bookmarkStart w:id="4023" w:name="_Toc38440085"/>
      <w:bookmarkStart w:id="4024" w:name="_Toc38440422"/>
      <w:bookmarkStart w:id="4025" w:name="_Toc38440954"/>
      <w:bookmarkStart w:id="4026" w:name="_Toc38441286"/>
      <w:bookmarkStart w:id="4027" w:name="_Toc38441618"/>
      <w:bookmarkStart w:id="4028" w:name="_Toc38441946"/>
      <w:bookmarkStart w:id="4029" w:name="_Toc38442278"/>
      <w:bookmarkStart w:id="4030" w:name="_Toc38442610"/>
      <w:bookmarkStart w:id="4031" w:name="_Toc38442941"/>
      <w:bookmarkStart w:id="4032" w:name="_Toc38443272"/>
      <w:bookmarkStart w:id="4033" w:name="_Toc38443603"/>
      <w:bookmarkStart w:id="4034" w:name="_Toc38443933"/>
      <w:bookmarkStart w:id="4035" w:name="_Toc38438401"/>
      <w:bookmarkStart w:id="4036" w:name="_Toc38438738"/>
      <w:bookmarkStart w:id="4037" w:name="_Toc38439075"/>
      <w:bookmarkStart w:id="4038" w:name="_Toc38439412"/>
      <w:bookmarkStart w:id="4039" w:name="_Toc38439749"/>
      <w:bookmarkStart w:id="4040" w:name="_Toc38440086"/>
      <w:bookmarkStart w:id="4041" w:name="_Toc38440423"/>
      <w:bookmarkStart w:id="4042" w:name="_Toc38440955"/>
      <w:bookmarkStart w:id="4043" w:name="_Toc38441287"/>
      <w:bookmarkStart w:id="4044" w:name="_Toc38441619"/>
      <w:bookmarkStart w:id="4045" w:name="_Toc38441947"/>
      <w:bookmarkStart w:id="4046" w:name="_Toc38442279"/>
      <w:bookmarkStart w:id="4047" w:name="_Toc38442611"/>
      <w:bookmarkStart w:id="4048" w:name="_Toc38442942"/>
      <w:bookmarkStart w:id="4049" w:name="_Toc38443273"/>
      <w:bookmarkStart w:id="4050" w:name="_Toc38443604"/>
      <w:bookmarkStart w:id="4051" w:name="_Toc38443934"/>
      <w:bookmarkStart w:id="4052" w:name="_Toc38438402"/>
      <w:bookmarkStart w:id="4053" w:name="_Toc38438739"/>
      <w:bookmarkStart w:id="4054" w:name="_Toc38439076"/>
      <w:bookmarkStart w:id="4055" w:name="_Toc38439413"/>
      <w:bookmarkStart w:id="4056" w:name="_Toc38439750"/>
      <w:bookmarkStart w:id="4057" w:name="_Toc38440087"/>
      <w:bookmarkStart w:id="4058" w:name="_Toc38440424"/>
      <w:bookmarkStart w:id="4059" w:name="_Toc38440956"/>
      <w:bookmarkStart w:id="4060" w:name="_Toc38441288"/>
      <w:bookmarkStart w:id="4061" w:name="_Toc38441620"/>
      <w:bookmarkStart w:id="4062" w:name="_Toc38441948"/>
      <w:bookmarkStart w:id="4063" w:name="_Toc38442280"/>
      <w:bookmarkStart w:id="4064" w:name="_Toc38442612"/>
      <w:bookmarkStart w:id="4065" w:name="_Toc38442943"/>
      <w:bookmarkStart w:id="4066" w:name="_Toc38443274"/>
      <w:bookmarkStart w:id="4067" w:name="_Toc38443605"/>
      <w:bookmarkStart w:id="4068" w:name="_Toc38443935"/>
      <w:bookmarkStart w:id="4069" w:name="_Toc38438404"/>
      <w:bookmarkStart w:id="4070" w:name="_Toc38438741"/>
      <w:bookmarkStart w:id="4071" w:name="_Toc38439078"/>
      <w:bookmarkStart w:id="4072" w:name="_Toc38439415"/>
      <w:bookmarkStart w:id="4073" w:name="_Toc38439752"/>
      <w:bookmarkStart w:id="4074" w:name="_Toc38440089"/>
      <w:bookmarkStart w:id="4075" w:name="_Toc38440426"/>
      <w:bookmarkStart w:id="4076" w:name="_Toc38440958"/>
      <w:bookmarkStart w:id="4077" w:name="_Toc38441290"/>
      <w:bookmarkStart w:id="4078" w:name="_Toc38441622"/>
      <w:bookmarkStart w:id="4079" w:name="_Toc38441950"/>
      <w:bookmarkStart w:id="4080" w:name="_Toc38442282"/>
      <w:bookmarkStart w:id="4081" w:name="_Toc38442614"/>
      <w:bookmarkStart w:id="4082" w:name="_Toc38442945"/>
      <w:bookmarkStart w:id="4083" w:name="_Toc38443276"/>
      <w:bookmarkStart w:id="4084" w:name="_Toc38443607"/>
      <w:bookmarkStart w:id="4085" w:name="_Toc38443937"/>
      <w:bookmarkStart w:id="4086" w:name="_Toc38438405"/>
      <w:bookmarkStart w:id="4087" w:name="_Toc38438742"/>
      <w:bookmarkStart w:id="4088" w:name="_Toc38439079"/>
      <w:bookmarkStart w:id="4089" w:name="_Toc38439416"/>
      <w:bookmarkStart w:id="4090" w:name="_Toc38439753"/>
      <w:bookmarkStart w:id="4091" w:name="_Toc38440090"/>
      <w:bookmarkStart w:id="4092" w:name="_Toc38440427"/>
      <w:bookmarkStart w:id="4093" w:name="_Toc38440959"/>
      <w:bookmarkStart w:id="4094" w:name="_Toc38441291"/>
      <w:bookmarkStart w:id="4095" w:name="_Toc38441623"/>
      <w:bookmarkStart w:id="4096" w:name="_Toc38441951"/>
      <w:bookmarkStart w:id="4097" w:name="_Toc38442283"/>
      <w:bookmarkStart w:id="4098" w:name="_Toc38442615"/>
      <w:bookmarkStart w:id="4099" w:name="_Toc38442946"/>
      <w:bookmarkStart w:id="4100" w:name="_Toc38443277"/>
      <w:bookmarkStart w:id="4101" w:name="_Toc38443608"/>
      <w:bookmarkStart w:id="4102" w:name="_Toc38443938"/>
      <w:bookmarkStart w:id="4103" w:name="_Toc38438406"/>
      <w:bookmarkStart w:id="4104" w:name="_Toc38438743"/>
      <w:bookmarkStart w:id="4105" w:name="_Toc38439080"/>
      <w:bookmarkStart w:id="4106" w:name="_Toc38439417"/>
      <w:bookmarkStart w:id="4107" w:name="_Toc38439754"/>
      <w:bookmarkStart w:id="4108" w:name="_Toc38440091"/>
      <w:bookmarkStart w:id="4109" w:name="_Toc38440428"/>
      <w:bookmarkStart w:id="4110" w:name="_Toc38440960"/>
      <w:bookmarkStart w:id="4111" w:name="_Toc38441292"/>
      <w:bookmarkStart w:id="4112" w:name="_Toc38441624"/>
      <w:bookmarkStart w:id="4113" w:name="_Toc38441952"/>
      <w:bookmarkStart w:id="4114" w:name="_Toc38442284"/>
      <w:bookmarkStart w:id="4115" w:name="_Toc38442616"/>
      <w:bookmarkStart w:id="4116" w:name="_Toc38442947"/>
      <w:bookmarkStart w:id="4117" w:name="_Toc38443278"/>
      <w:bookmarkStart w:id="4118" w:name="_Toc38443609"/>
      <w:bookmarkStart w:id="4119" w:name="_Toc38443939"/>
      <w:bookmarkStart w:id="4120" w:name="_Toc38438407"/>
      <w:bookmarkStart w:id="4121" w:name="_Toc38438744"/>
      <w:bookmarkStart w:id="4122" w:name="_Toc38439081"/>
      <w:bookmarkStart w:id="4123" w:name="_Toc38439418"/>
      <w:bookmarkStart w:id="4124" w:name="_Toc38439755"/>
      <w:bookmarkStart w:id="4125" w:name="_Toc38440092"/>
      <w:bookmarkStart w:id="4126" w:name="_Toc38440429"/>
      <w:bookmarkStart w:id="4127" w:name="_Toc38440961"/>
      <w:bookmarkStart w:id="4128" w:name="_Toc38441293"/>
      <w:bookmarkStart w:id="4129" w:name="_Toc38441625"/>
      <w:bookmarkStart w:id="4130" w:name="_Toc38441953"/>
      <w:bookmarkStart w:id="4131" w:name="_Toc38442285"/>
      <w:bookmarkStart w:id="4132" w:name="_Toc38442617"/>
      <w:bookmarkStart w:id="4133" w:name="_Toc38442948"/>
      <w:bookmarkStart w:id="4134" w:name="_Toc38443279"/>
      <w:bookmarkStart w:id="4135" w:name="_Toc38443610"/>
      <w:bookmarkStart w:id="4136" w:name="_Toc38443940"/>
      <w:bookmarkStart w:id="4137" w:name="_Toc38438408"/>
      <w:bookmarkStart w:id="4138" w:name="_Toc38438745"/>
      <w:bookmarkStart w:id="4139" w:name="_Toc38439082"/>
      <w:bookmarkStart w:id="4140" w:name="_Toc38439419"/>
      <w:bookmarkStart w:id="4141" w:name="_Toc38439756"/>
      <w:bookmarkStart w:id="4142" w:name="_Toc38440093"/>
      <w:bookmarkStart w:id="4143" w:name="_Toc38440430"/>
      <w:bookmarkStart w:id="4144" w:name="_Toc38440962"/>
      <w:bookmarkStart w:id="4145" w:name="_Toc38441294"/>
      <w:bookmarkStart w:id="4146" w:name="_Toc38441626"/>
      <w:bookmarkStart w:id="4147" w:name="_Toc38441954"/>
      <w:bookmarkStart w:id="4148" w:name="_Toc38442286"/>
      <w:bookmarkStart w:id="4149" w:name="_Toc38442618"/>
      <w:bookmarkStart w:id="4150" w:name="_Toc38442949"/>
      <w:bookmarkStart w:id="4151" w:name="_Toc38443280"/>
      <w:bookmarkStart w:id="4152" w:name="_Toc38443611"/>
      <w:bookmarkStart w:id="4153" w:name="_Toc38443941"/>
      <w:bookmarkStart w:id="4154" w:name="_Toc38438409"/>
      <w:bookmarkStart w:id="4155" w:name="_Toc38438746"/>
      <w:bookmarkStart w:id="4156" w:name="_Toc38439083"/>
      <w:bookmarkStart w:id="4157" w:name="_Toc38439420"/>
      <w:bookmarkStart w:id="4158" w:name="_Toc38439757"/>
      <w:bookmarkStart w:id="4159" w:name="_Toc38440094"/>
      <w:bookmarkStart w:id="4160" w:name="_Toc38440431"/>
      <w:bookmarkStart w:id="4161" w:name="_Toc38440963"/>
      <w:bookmarkStart w:id="4162" w:name="_Toc38441295"/>
      <w:bookmarkStart w:id="4163" w:name="_Toc38441627"/>
      <w:bookmarkStart w:id="4164" w:name="_Toc38441955"/>
      <w:bookmarkStart w:id="4165" w:name="_Toc38442287"/>
      <w:bookmarkStart w:id="4166" w:name="_Toc38442619"/>
      <w:bookmarkStart w:id="4167" w:name="_Toc38442950"/>
      <w:bookmarkStart w:id="4168" w:name="_Toc38443281"/>
      <w:bookmarkStart w:id="4169" w:name="_Toc38443612"/>
      <w:bookmarkStart w:id="4170" w:name="_Toc38443942"/>
      <w:bookmarkStart w:id="4171" w:name="_Toc38438410"/>
      <w:bookmarkStart w:id="4172" w:name="_Toc38438747"/>
      <w:bookmarkStart w:id="4173" w:name="_Toc38439084"/>
      <w:bookmarkStart w:id="4174" w:name="_Toc38439421"/>
      <w:bookmarkStart w:id="4175" w:name="_Toc38439758"/>
      <w:bookmarkStart w:id="4176" w:name="_Toc38440095"/>
      <w:bookmarkStart w:id="4177" w:name="_Toc38440432"/>
      <w:bookmarkStart w:id="4178" w:name="_Toc38440964"/>
      <w:bookmarkStart w:id="4179" w:name="_Toc38441296"/>
      <w:bookmarkStart w:id="4180" w:name="_Toc38441628"/>
      <w:bookmarkStart w:id="4181" w:name="_Toc38441956"/>
      <w:bookmarkStart w:id="4182" w:name="_Toc38442288"/>
      <w:bookmarkStart w:id="4183" w:name="_Toc38442620"/>
      <w:bookmarkStart w:id="4184" w:name="_Toc38442951"/>
      <w:bookmarkStart w:id="4185" w:name="_Toc38443282"/>
      <w:bookmarkStart w:id="4186" w:name="_Toc38443613"/>
      <w:bookmarkStart w:id="4187" w:name="_Toc38443943"/>
      <w:bookmarkStart w:id="4188" w:name="_Toc38438411"/>
      <w:bookmarkStart w:id="4189" w:name="_Toc38438748"/>
      <w:bookmarkStart w:id="4190" w:name="_Toc38439085"/>
      <w:bookmarkStart w:id="4191" w:name="_Toc38439422"/>
      <w:bookmarkStart w:id="4192" w:name="_Toc38439759"/>
      <w:bookmarkStart w:id="4193" w:name="_Toc38440096"/>
      <w:bookmarkStart w:id="4194" w:name="_Toc38440433"/>
      <w:bookmarkStart w:id="4195" w:name="_Toc38440965"/>
      <w:bookmarkStart w:id="4196" w:name="_Toc38441297"/>
      <w:bookmarkStart w:id="4197" w:name="_Toc38441629"/>
      <w:bookmarkStart w:id="4198" w:name="_Toc38441957"/>
      <w:bookmarkStart w:id="4199" w:name="_Toc38442289"/>
      <w:bookmarkStart w:id="4200" w:name="_Toc38442621"/>
      <w:bookmarkStart w:id="4201" w:name="_Toc38442952"/>
      <w:bookmarkStart w:id="4202" w:name="_Toc38443283"/>
      <w:bookmarkStart w:id="4203" w:name="_Toc38443614"/>
      <w:bookmarkStart w:id="4204" w:name="_Toc38443944"/>
      <w:bookmarkStart w:id="4205" w:name="_Toc38438412"/>
      <w:bookmarkStart w:id="4206" w:name="_Toc38438749"/>
      <w:bookmarkStart w:id="4207" w:name="_Toc38439086"/>
      <w:bookmarkStart w:id="4208" w:name="_Toc38439423"/>
      <w:bookmarkStart w:id="4209" w:name="_Toc38439760"/>
      <w:bookmarkStart w:id="4210" w:name="_Toc38440097"/>
      <w:bookmarkStart w:id="4211" w:name="_Toc38440434"/>
      <w:bookmarkStart w:id="4212" w:name="_Toc38440966"/>
      <w:bookmarkStart w:id="4213" w:name="_Toc38441298"/>
      <w:bookmarkStart w:id="4214" w:name="_Toc38441630"/>
      <w:bookmarkStart w:id="4215" w:name="_Toc38441958"/>
      <w:bookmarkStart w:id="4216" w:name="_Toc38442290"/>
      <w:bookmarkStart w:id="4217" w:name="_Toc38442622"/>
      <w:bookmarkStart w:id="4218" w:name="_Toc38442953"/>
      <w:bookmarkStart w:id="4219" w:name="_Toc38443284"/>
      <w:bookmarkStart w:id="4220" w:name="_Toc38443615"/>
      <w:bookmarkStart w:id="4221" w:name="_Toc38443945"/>
      <w:bookmarkStart w:id="4222" w:name="_Toc38438413"/>
      <w:bookmarkStart w:id="4223" w:name="_Toc38438750"/>
      <w:bookmarkStart w:id="4224" w:name="_Toc38439087"/>
      <w:bookmarkStart w:id="4225" w:name="_Toc38439424"/>
      <w:bookmarkStart w:id="4226" w:name="_Toc38439761"/>
      <w:bookmarkStart w:id="4227" w:name="_Toc38440098"/>
      <w:bookmarkStart w:id="4228" w:name="_Toc38440435"/>
      <w:bookmarkStart w:id="4229" w:name="_Toc38440967"/>
      <w:bookmarkStart w:id="4230" w:name="_Toc38441299"/>
      <w:bookmarkStart w:id="4231" w:name="_Toc38441631"/>
      <w:bookmarkStart w:id="4232" w:name="_Toc38441959"/>
      <w:bookmarkStart w:id="4233" w:name="_Toc38442291"/>
      <w:bookmarkStart w:id="4234" w:name="_Toc38442623"/>
      <w:bookmarkStart w:id="4235" w:name="_Toc38442954"/>
      <w:bookmarkStart w:id="4236" w:name="_Toc38443285"/>
      <w:bookmarkStart w:id="4237" w:name="_Toc38443616"/>
      <w:bookmarkStart w:id="4238" w:name="_Toc38443946"/>
      <w:bookmarkStart w:id="4239" w:name="_Toc38438414"/>
      <w:bookmarkStart w:id="4240" w:name="_Toc38438751"/>
      <w:bookmarkStart w:id="4241" w:name="_Toc38439088"/>
      <w:bookmarkStart w:id="4242" w:name="_Toc38439425"/>
      <w:bookmarkStart w:id="4243" w:name="_Toc38439762"/>
      <w:bookmarkStart w:id="4244" w:name="_Toc38440099"/>
      <w:bookmarkStart w:id="4245" w:name="_Toc38440436"/>
      <w:bookmarkStart w:id="4246" w:name="_Toc38440968"/>
      <w:bookmarkStart w:id="4247" w:name="_Toc38441300"/>
      <w:bookmarkStart w:id="4248" w:name="_Toc38441632"/>
      <w:bookmarkStart w:id="4249" w:name="_Toc38441960"/>
      <w:bookmarkStart w:id="4250" w:name="_Toc38442292"/>
      <w:bookmarkStart w:id="4251" w:name="_Toc38442624"/>
      <w:bookmarkStart w:id="4252" w:name="_Toc38442955"/>
      <w:bookmarkStart w:id="4253" w:name="_Toc38443286"/>
      <w:bookmarkStart w:id="4254" w:name="_Toc38443617"/>
      <w:bookmarkStart w:id="4255" w:name="_Toc38443947"/>
      <w:bookmarkStart w:id="4256" w:name="_Toc38438415"/>
      <w:bookmarkStart w:id="4257" w:name="_Toc38438752"/>
      <w:bookmarkStart w:id="4258" w:name="_Toc38439089"/>
      <w:bookmarkStart w:id="4259" w:name="_Toc38439426"/>
      <w:bookmarkStart w:id="4260" w:name="_Toc38439763"/>
      <w:bookmarkStart w:id="4261" w:name="_Toc38440100"/>
      <w:bookmarkStart w:id="4262" w:name="_Toc38440437"/>
      <w:bookmarkStart w:id="4263" w:name="_Toc38440969"/>
      <w:bookmarkStart w:id="4264" w:name="_Toc38441301"/>
      <w:bookmarkStart w:id="4265" w:name="_Toc38441633"/>
      <w:bookmarkStart w:id="4266" w:name="_Toc38441961"/>
      <w:bookmarkStart w:id="4267" w:name="_Toc38442293"/>
      <w:bookmarkStart w:id="4268" w:name="_Toc38442625"/>
      <w:bookmarkStart w:id="4269" w:name="_Toc38442956"/>
      <w:bookmarkStart w:id="4270" w:name="_Toc38443287"/>
      <w:bookmarkStart w:id="4271" w:name="_Toc38443618"/>
      <w:bookmarkStart w:id="4272" w:name="_Toc38443948"/>
      <w:bookmarkStart w:id="4273" w:name="_Toc38438416"/>
      <w:bookmarkStart w:id="4274" w:name="_Toc38438753"/>
      <w:bookmarkStart w:id="4275" w:name="_Toc38439090"/>
      <w:bookmarkStart w:id="4276" w:name="_Toc38439427"/>
      <w:bookmarkStart w:id="4277" w:name="_Toc38439764"/>
      <w:bookmarkStart w:id="4278" w:name="_Toc38440101"/>
      <w:bookmarkStart w:id="4279" w:name="_Toc38440438"/>
      <w:bookmarkStart w:id="4280" w:name="_Toc38440970"/>
      <w:bookmarkStart w:id="4281" w:name="_Toc38441302"/>
      <w:bookmarkStart w:id="4282" w:name="_Toc38441634"/>
      <w:bookmarkStart w:id="4283" w:name="_Toc38441962"/>
      <w:bookmarkStart w:id="4284" w:name="_Toc38442294"/>
      <w:bookmarkStart w:id="4285" w:name="_Toc38442626"/>
      <w:bookmarkStart w:id="4286" w:name="_Toc38442957"/>
      <w:bookmarkStart w:id="4287" w:name="_Toc38443288"/>
      <w:bookmarkStart w:id="4288" w:name="_Toc38443619"/>
      <w:bookmarkStart w:id="4289" w:name="_Toc38443949"/>
      <w:bookmarkStart w:id="4290" w:name="_Toc38438417"/>
      <w:bookmarkStart w:id="4291" w:name="_Toc38438754"/>
      <w:bookmarkStart w:id="4292" w:name="_Toc38439091"/>
      <w:bookmarkStart w:id="4293" w:name="_Toc38439428"/>
      <w:bookmarkStart w:id="4294" w:name="_Toc38439765"/>
      <w:bookmarkStart w:id="4295" w:name="_Toc38440102"/>
      <w:bookmarkStart w:id="4296" w:name="_Toc38440439"/>
      <w:bookmarkStart w:id="4297" w:name="_Toc38440971"/>
      <w:bookmarkStart w:id="4298" w:name="_Toc38441303"/>
      <w:bookmarkStart w:id="4299" w:name="_Toc38441635"/>
      <w:bookmarkStart w:id="4300" w:name="_Toc38441963"/>
      <w:bookmarkStart w:id="4301" w:name="_Toc38442295"/>
      <w:bookmarkStart w:id="4302" w:name="_Toc38442627"/>
      <w:bookmarkStart w:id="4303" w:name="_Toc38442958"/>
      <w:bookmarkStart w:id="4304" w:name="_Toc38443289"/>
      <w:bookmarkStart w:id="4305" w:name="_Toc38443620"/>
      <w:bookmarkStart w:id="4306" w:name="_Toc38443950"/>
      <w:bookmarkStart w:id="4307" w:name="_Toc38438418"/>
      <w:bookmarkStart w:id="4308" w:name="_Toc38438755"/>
      <w:bookmarkStart w:id="4309" w:name="_Toc38439092"/>
      <w:bookmarkStart w:id="4310" w:name="_Toc38439429"/>
      <w:bookmarkStart w:id="4311" w:name="_Toc38439766"/>
      <w:bookmarkStart w:id="4312" w:name="_Toc38440103"/>
      <w:bookmarkStart w:id="4313" w:name="_Toc38440440"/>
      <w:bookmarkStart w:id="4314" w:name="_Toc38440972"/>
      <w:bookmarkStart w:id="4315" w:name="_Toc38441304"/>
      <w:bookmarkStart w:id="4316" w:name="_Toc38441636"/>
      <w:bookmarkStart w:id="4317" w:name="_Toc38441964"/>
      <w:bookmarkStart w:id="4318" w:name="_Toc38442296"/>
      <w:bookmarkStart w:id="4319" w:name="_Toc38442628"/>
      <w:bookmarkStart w:id="4320" w:name="_Toc38442959"/>
      <w:bookmarkStart w:id="4321" w:name="_Toc38443290"/>
      <w:bookmarkStart w:id="4322" w:name="_Toc38443621"/>
      <w:bookmarkStart w:id="4323" w:name="_Toc38443951"/>
      <w:bookmarkStart w:id="4324" w:name="_Toc38438419"/>
      <w:bookmarkStart w:id="4325" w:name="_Toc38438756"/>
      <w:bookmarkStart w:id="4326" w:name="_Toc38439093"/>
      <w:bookmarkStart w:id="4327" w:name="_Toc38439430"/>
      <w:bookmarkStart w:id="4328" w:name="_Toc38439767"/>
      <w:bookmarkStart w:id="4329" w:name="_Toc38440104"/>
      <w:bookmarkStart w:id="4330" w:name="_Toc38440441"/>
      <w:bookmarkStart w:id="4331" w:name="_Toc38440973"/>
      <w:bookmarkStart w:id="4332" w:name="_Toc38441305"/>
      <w:bookmarkStart w:id="4333" w:name="_Toc38441637"/>
      <w:bookmarkStart w:id="4334" w:name="_Toc38441965"/>
      <w:bookmarkStart w:id="4335" w:name="_Toc38442297"/>
      <w:bookmarkStart w:id="4336" w:name="_Toc38442629"/>
      <w:bookmarkStart w:id="4337" w:name="_Toc38442960"/>
      <w:bookmarkStart w:id="4338" w:name="_Toc38443291"/>
      <w:bookmarkStart w:id="4339" w:name="_Toc38443622"/>
      <w:bookmarkStart w:id="4340" w:name="_Toc38443952"/>
      <w:bookmarkStart w:id="4341" w:name="_Toc38438420"/>
      <w:bookmarkStart w:id="4342" w:name="_Toc38438757"/>
      <w:bookmarkStart w:id="4343" w:name="_Toc38439094"/>
      <w:bookmarkStart w:id="4344" w:name="_Toc38439431"/>
      <w:bookmarkStart w:id="4345" w:name="_Toc38439768"/>
      <w:bookmarkStart w:id="4346" w:name="_Toc38440105"/>
      <w:bookmarkStart w:id="4347" w:name="_Toc38440442"/>
      <w:bookmarkStart w:id="4348" w:name="_Toc38440974"/>
      <w:bookmarkStart w:id="4349" w:name="_Toc38441306"/>
      <w:bookmarkStart w:id="4350" w:name="_Toc38441638"/>
      <w:bookmarkStart w:id="4351" w:name="_Toc38441966"/>
      <w:bookmarkStart w:id="4352" w:name="_Toc38442298"/>
      <w:bookmarkStart w:id="4353" w:name="_Toc38442630"/>
      <w:bookmarkStart w:id="4354" w:name="_Toc38442961"/>
      <w:bookmarkStart w:id="4355" w:name="_Toc38443292"/>
      <w:bookmarkStart w:id="4356" w:name="_Toc38443623"/>
      <w:bookmarkStart w:id="4357" w:name="_Toc38443953"/>
      <w:bookmarkStart w:id="4358" w:name="_Toc38438421"/>
      <w:bookmarkStart w:id="4359" w:name="_Toc38438758"/>
      <w:bookmarkStart w:id="4360" w:name="_Toc38439095"/>
      <w:bookmarkStart w:id="4361" w:name="_Toc38439432"/>
      <w:bookmarkStart w:id="4362" w:name="_Toc38439769"/>
      <w:bookmarkStart w:id="4363" w:name="_Toc38440106"/>
      <w:bookmarkStart w:id="4364" w:name="_Toc38440443"/>
      <w:bookmarkStart w:id="4365" w:name="_Toc38440975"/>
      <w:bookmarkStart w:id="4366" w:name="_Toc38441307"/>
      <w:bookmarkStart w:id="4367" w:name="_Toc38441639"/>
      <w:bookmarkStart w:id="4368" w:name="_Toc38441967"/>
      <w:bookmarkStart w:id="4369" w:name="_Toc38442299"/>
      <w:bookmarkStart w:id="4370" w:name="_Toc38442631"/>
      <w:bookmarkStart w:id="4371" w:name="_Toc38442962"/>
      <w:bookmarkStart w:id="4372" w:name="_Toc38443293"/>
      <w:bookmarkStart w:id="4373" w:name="_Toc38443624"/>
      <w:bookmarkStart w:id="4374" w:name="_Toc38443954"/>
      <w:bookmarkStart w:id="4375" w:name="_Toc38438422"/>
      <w:bookmarkStart w:id="4376" w:name="_Toc38438759"/>
      <w:bookmarkStart w:id="4377" w:name="_Toc38439096"/>
      <w:bookmarkStart w:id="4378" w:name="_Toc38439433"/>
      <w:bookmarkStart w:id="4379" w:name="_Toc38439770"/>
      <w:bookmarkStart w:id="4380" w:name="_Toc38440107"/>
      <w:bookmarkStart w:id="4381" w:name="_Toc38440444"/>
      <w:bookmarkStart w:id="4382" w:name="_Toc38440976"/>
      <w:bookmarkStart w:id="4383" w:name="_Toc38441308"/>
      <w:bookmarkStart w:id="4384" w:name="_Toc38441640"/>
      <w:bookmarkStart w:id="4385" w:name="_Toc38441968"/>
      <w:bookmarkStart w:id="4386" w:name="_Toc38442300"/>
      <w:bookmarkStart w:id="4387" w:name="_Toc38442632"/>
      <w:bookmarkStart w:id="4388" w:name="_Toc38442963"/>
      <w:bookmarkStart w:id="4389" w:name="_Toc38443294"/>
      <w:bookmarkStart w:id="4390" w:name="_Toc38443625"/>
      <w:bookmarkStart w:id="4391" w:name="_Toc38443955"/>
      <w:bookmarkStart w:id="4392" w:name="_Toc38438423"/>
      <w:bookmarkStart w:id="4393" w:name="_Toc38438760"/>
      <w:bookmarkStart w:id="4394" w:name="_Toc38439097"/>
      <w:bookmarkStart w:id="4395" w:name="_Toc38439434"/>
      <w:bookmarkStart w:id="4396" w:name="_Toc38439771"/>
      <w:bookmarkStart w:id="4397" w:name="_Toc38440108"/>
      <w:bookmarkStart w:id="4398" w:name="_Toc38440445"/>
      <w:bookmarkStart w:id="4399" w:name="_Toc38440977"/>
      <w:bookmarkStart w:id="4400" w:name="_Toc38441309"/>
      <w:bookmarkStart w:id="4401" w:name="_Toc38441641"/>
      <w:bookmarkStart w:id="4402" w:name="_Toc38441969"/>
      <w:bookmarkStart w:id="4403" w:name="_Toc38442301"/>
      <w:bookmarkStart w:id="4404" w:name="_Toc38442633"/>
      <w:bookmarkStart w:id="4405" w:name="_Toc38442964"/>
      <w:bookmarkStart w:id="4406" w:name="_Toc38443295"/>
      <w:bookmarkStart w:id="4407" w:name="_Toc38443626"/>
      <w:bookmarkStart w:id="4408" w:name="_Toc38443956"/>
      <w:bookmarkStart w:id="4409" w:name="_Toc38438424"/>
      <w:bookmarkStart w:id="4410" w:name="_Toc38438761"/>
      <w:bookmarkStart w:id="4411" w:name="_Toc38439098"/>
      <w:bookmarkStart w:id="4412" w:name="_Toc38439435"/>
      <w:bookmarkStart w:id="4413" w:name="_Toc38439772"/>
      <w:bookmarkStart w:id="4414" w:name="_Toc38440109"/>
      <w:bookmarkStart w:id="4415" w:name="_Toc38440446"/>
      <w:bookmarkStart w:id="4416" w:name="_Toc38440978"/>
      <w:bookmarkStart w:id="4417" w:name="_Toc38441310"/>
      <w:bookmarkStart w:id="4418" w:name="_Toc38441642"/>
      <w:bookmarkStart w:id="4419" w:name="_Toc38441970"/>
      <w:bookmarkStart w:id="4420" w:name="_Toc38442302"/>
      <w:bookmarkStart w:id="4421" w:name="_Toc38442634"/>
      <w:bookmarkStart w:id="4422" w:name="_Toc38442965"/>
      <w:bookmarkStart w:id="4423" w:name="_Toc38443296"/>
      <w:bookmarkStart w:id="4424" w:name="_Toc38443627"/>
      <w:bookmarkStart w:id="4425" w:name="_Toc38443957"/>
      <w:bookmarkStart w:id="4426" w:name="_Toc38438425"/>
      <w:bookmarkStart w:id="4427" w:name="_Toc38438762"/>
      <w:bookmarkStart w:id="4428" w:name="_Toc38439099"/>
      <w:bookmarkStart w:id="4429" w:name="_Toc38439436"/>
      <w:bookmarkStart w:id="4430" w:name="_Toc38439773"/>
      <w:bookmarkStart w:id="4431" w:name="_Toc38440110"/>
      <w:bookmarkStart w:id="4432" w:name="_Toc38440447"/>
      <w:bookmarkStart w:id="4433" w:name="_Toc38440979"/>
      <w:bookmarkStart w:id="4434" w:name="_Toc38441311"/>
      <w:bookmarkStart w:id="4435" w:name="_Toc38441643"/>
      <w:bookmarkStart w:id="4436" w:name="_Toc38441971"/>
      <w:bookmarkStart w:id="4437" w:name="_Toc38442303"/>
      <w:bookmarkStart w:id="4438" w:name="_Toc38442635"/>
      <w:bookmarkStart w:id="4439" w:name="_Toc38442966"/>
      <w:bookmarkStart w:id="4440" w:name="_Toc38443297"/>
      <w:bookmarkStart w:id="4441" w:name="_Toc38443628"/>
      <w:bookmarkStart w:id="4442" w:name="_Toc38443958"/>
      <w:bookmarkStart w:id="4443" w:name="_Toc38438426"/>
      <w:bookmarkStart w:id="4444" w:name="_Toc38438763"/>
      <w:bookmarkStart w:id="4445" w:name="_Toc38439100"/>
      <w:bookmarkStart w:id="4446" w:name="_Toc38439437"/>
      <w:bookmarkStart w:id="4447" w:name="_Toc38439774"/>
      <w:bookmarkStart w:id="4448" w:name="_Toc38440111"/>
      <w:bookmarkStart w:id="4449" w:name="_Toc38440448"/>
      <w:bookmarkStart w:id="4450" w:name="_Toc38440980"/>
      <w:bookmarkStart w:id="4451" w:name="_Toc38441312"/>
      <w:bookmarkStart w:id="4452" w:name="_Toc38441644"/>
      <w:bookmarkStart w:id="4453" w:name="_Toc38441972"/>
      <w:bookmarkStart w:id="4454" w:name="_Toc38442304"/>
      <w:bookmarkStart w:id="4455" w:name="_Toc38442636"/>
      <w:bookmarkStart w:id="4456" w:name="_Toc38442967"/>
      <w:bookmarkStart w:id="4457" w:name="_Toc38443298"/>
      <w:bookmarkStart w:id="4458" w:name="_Toc38443629"/>
      <w:bookmarkStart w:id="4459" w:name="_Toc38443959"/>
      <w:bookmarkStart w:id="4460" w:name="_Toc38438427"/>
      <w:bookmarkStart w:id="4461" w:name="_Toc38438764"/>
      <w:bookmarkStart w:id="4462" w:name="_Toc38439101"/>
      <w:bookmarkStart w:id="4463" w:name="_Toc38439438"/>
      <w:bookmarkStart w:id="4464" w:name="_Toc38439775"/>
      <w:bookmarkStart w:id="4465" w:name="_Toc38440112"/>
      <w:bookmarkStart w:id="4466" w:name="_Toc38440449"/>
      <w:bookmarkStart w:id="4467" w:name="_Toc38440981"/>
      <w:bookmarkStart w:id="4468" w:name="_Toc38441313"/>
      <w:bookmarkStart w:id="4469" w:name="_Toc38441645"/>
      <w:bookmarkStart w:id="4470" w:name="_Toc38441973"/>
      <w:bookmarkStart w:id="4471" w:name="_Toc38442305"/>
      <w:bookmarkStart w:id="4472" w:name="_Toc38442637"/>
      <w:bookmarkStart w:id="4473" w:name="_Toc38442968"/>
      <w:bookmarkStart w:id="4474" w:name="_Toc38443299"/>
      <w:bookmarkStart w:id="4475" w:name="_Toc38443630"/>
      <w:bookmarkStart w:id="4476" w:name="_Toc38443960"/>
      <w:bookmarkStart w:id="4477" w:name="_Toc38438428"/>
      <w:bookmarkStart w:id="4478" w:name="_Toc38438765"/>
      <w:bookmarkStart w:id="4479" w:name="_Toc38439102"/>
      <w:bookmarkStart w:id="4480" w:name="_Toc38439439"/>
      <w:bookmarkStart w:id="4481" w:name="_Toc38439776"/>
      <w:bookmarkStart w:id="4482" w:name="_Toc38440113"/>
      <w:bookmarkStart w:id="4483" w:name="_Toc38440450"/>
      <w:bookmarkStart w:id="4484" w:name="_Toc38440982"/>
      <w:bookmarkStart w:id="4485" w:name="_Toc38441314"/>
      <w:bookmarkStart w:id="4486" w:name="_Toc38441646"/>
      <w:bookmarkStart w:id="4487" w:name="_Toc38441974"/>
      <w:bookmarkStart w:id="4488" w:name="_Toc38442306"/>
      <w:bookmarkStart w:id="4489" w:name="_Toc38442638"/>
      <w:bookmarkStart w:id="4490" w:name="_Toc38442969"/>
      <w:bookmarkStart w:id="4491" w:name="_Toc38443300"/>
      <w:bookmarkStart w:id="4492" w:name="_Toc38443631"/>
      <w:bookmarkStart w:id="4493" w:name="_Toc38443961"/>
      <w:bookmarkStart w:id="4494" w:name="_Toc38438429"/>
      <w:bookmarkStart w:id="4495" w:name="_Toc38438766"/>
      <w:bookmarkStart w:id="4496" w:name="_Toc38439103"/>
      <w:bookmarkStart w:id="4497" w:name="_Toc38439440"/>
      <w:bookmarkStart w:id="4498" w:name="_Toc38439777"/>
      <w:bookmarkStart w:id="4499" w:name="_Toc38440114"/>
      <w:bookmarkStart w:id="4500" w:name="_Toc38440451"/>
      <w:bookmarkStart w:id="4501" w:name="_Toc38440983"/>
      <w:bookmarkStart w:id="4502" w:name="_Toc38441315"/>
      <w:bookmarkStart w:id="4503" w:name="_Toc38441647"/>
      <w:bookmarkStart w:id="4504" w:name="_Toc38441975"/>
      <w:bookmarkStart w:id="4505" w:name="_Toc38442307"/>
      <w:bookmarkStart w:id="4506" w:name="_Toc38442639"/>
      <w:bookmarkStart w:id="4507" w:name="_Toc38442970"/>
      <w:bookmarkStart w:id="4508" w:name="_Toc38443301"/>
      <w:bookmarkStart w:id="4509" w:name="_Toc38443632"/>
      <w:bookmarkStart w:id="4510" w:name="_Toc38443962"/>
      <w:bookmarkStart w:id="4511" w:name="_Toc38438430"/>
      <w:bookmarkStart w:id="4512" w:name="_Toc38438767"/>
      <w:bookmarkStart w:id="4513" w:name="_Toc38439104"/>
      <w:bookmarkStart w:id="4514" w:name="_Toc38439441"/>
      <w:bookmarkStart w:id="4515" w:name="_Toc38439778"/>
      <w:bookmarkStart w:id="4516" w:name="_Toc38440115"/>
      <w:bookmarkStart w:id="4517" w:name="_Toc38440452"/>
      <w:bookmarkStart w:id="4518" w:name="_Toc38440984"/>
      <w:bookmarkStart w:id="4519" w:name="_Toc38441316"/>
      <w:bookmarkStart w:id="4520" w:name="_Toc38441648"/>
      <w:bookmarkStart w:id="4521" w:name="_Toc38441976"/>
      <w:bookmarkStart w:id="4522" w:name="_Toc38442308"/>
      <w:bookmarkStart w:id="4523" w:name="_Toc38442640"/>
      <w:bookmarkStart w:id="4524" w:name="_Toc38442971"/>
      <w:bookmarkStart w:id="4525" w:name="_Toc38443302"/>
      <w:bookmarkStart w:id="4526" w:name="_Toc38443633"/>
      <w:bookmarkStart w:id="4527" w:name="_Toc38443963"/>
      <w:bookmarkStart w:id="4528" w:name="_Toc38438431"/>
      <w:bookmarkStart w:id="4529" w:name="_Toc38438768"/>
      <w:bookmarkStart w:id="4530" w:name="_Toc38439105"/>
      <w:bookmarkStart w:id="4531" w:name="_Toc38439442"/>
      <w:bookmarkStart w:id="4532" w:name="_Toc38439779"/>
      <w:bookmarkStart w:id="4533" w:name="_Toc38440116"/>
      <w:bookmarkStart w:id="4534" w:name="_Toc38440453"/>
      <w:bookmarkStart w:id="4535" w:name="_Toc38440985"/>
      <w:bookmarkStart w:id="4536" w:name="_Toc38441317"/>
      <w:bookmarkStart w:id="4537" w:name="_Toc38441649"/>
      <w:bookmarkStart w:id="4538" w:name="_Toc38441977"/>
      <w:bookmarkStart w:id="4539" w:name="_Toc38442309"/>
      <w:bookmarkStart w:id="4540" w:name="_Toc38442641"/>
      <w:bookmarkStart w:id="4541" w:name="_Toc38442972"/>
      <w:bookmarkStart w:id="4542" w:name="_Toc38443303"/>
      <w:bookmarkStart w:id="4543" w:name="_Toc38443634"/>
      <w:bookmarkStart w:id="4544" w:name="_Toc38443964"/>
      <w:bookmarkStart w:id="4545" w:name="_Toc38438432"/>
      <w:bookmarkStart w:id="4546" w:name="_Toc38438769"/>
      <w:bookmarkStart w:id="4547" w:name="_Toc38439106"/>
      <w:bookmarkStart w:id="4548" w:name="_Toc38439443"/>
      <w:bookmarkStart w:id="4549" w:name="_Toc38439780"/>
      <w:bookmarkStart w:id="4550" w:name="_Toc38440117"/>
      <w:bookmarkStart w:id="4551" w:name="_Toc38440454"/>
      <w:bookmarkStart w:id="4552" w:name="_Toc38440986"/>
      <w:bookmarkStart w:id="4553" w:name="_Toc38441318"/>
      <w:bookmarkStart w:id="4554" w:name="_Toc38441650"/>
      <w:bookmarkStart w:id="4555" w:name="_Toc38441978"/>
      <w:bookmarkStart w:id="4556" w:name="_Toc38442310"/>
      <w:bookmarkStart w:id="4557" w:name="_Toc38442642"/>
      <w:bookmarkStart w:id="4558" w:name="_Toc38442973"/>
      <w:bookmarkStart w:id="4559" w:name="_Toc38443304"/>
      <w:bookmarkStart w:id="4560" w:name="_Toc38443635"/>
      <w:bookmarkStart w:id="4561" w:name="_Toc38443965"/>
      <w:bookmarkStart w:id="4562" w:name="_Toc38438433"/>
      <w:bookmarkStart w:id="4563" w:name="_Toc38438770"/>
      <w:bookmarkStart w:id="4564" w:name="_Toc38439107"/>
      <w:bookmarkStart w:id="4565" w:name="_Toc38439444"/>
      <w:bookmarkStart w:id="4566" w:name="_Toc38439781"/>
      <w:bookmarkStart w:id="4567" w:name="_Toc38440118"/>
      <w:bookmarkStart w:id="4568" w:name="_Toc38440455"/>
      <w:bookmarkStart w:id="4569" w:name="_Toc38440987"/>
      <w:bookmarkStart w:id="4570" w:name="_Toc38441319"/>
      <w:bookmarkStart w:id="4571" w:name="_Toc38441651"/>
      <w:bookmarkStart w:id="4572" w:name="_Toc38441979"/>
      <w:bookmarkStart w:id="4573" w:name="_Toc38442311"/>
      <w:bookmarkStart w:id="4574" w:name="_Toc38442643"/>
      <w:bookmarkStart w:id="4575" w:name="_Toc38442974"/>
      <w:bookmarkStart w:id="4576" w:name="_Toc38443305"/>
      <w:bookmarkStart w:id="4577" w:name="_Toc38443636"/>
      <w:bookmarkStart w:id="4578" w:name="_Toc38443966"/>
      <w:bookmarkStart w:id="4579" w:name="_Toc38438434"/>
      <w:bookmarkStart w:id="4580" w:name="_Toc38438771"/>
      <w:bookmarkStart w:id="4581" w:name="_Toc38439108"/>
      <w:bookmarkStart w:id="4582" w:name="_Toc38439445"/>
      <w:bookmarkStart w:id="4583" w:name="_Toc38439782"/>
      <w:bookmarkStart w:id="4584" w:name="_Toc38440119"/>
      <w:bookmarkStart w:id="4585" w:name="_Toc38440456"/>
      <w:bookmarkStart w:id="4586" w:name="_Toc38440988"/>
      <w:bookmarkStart w:id="4587" w:name="_Toc38441320"/>
      <w:bookmarkStart w:id="4588" w:name="_Toc38441652"/>
      <w:bookmarkStart w:id="4589" w:name="_Toc38441980"/>
      <w:bookmarkStart w:id="4590" w:name="_Toc38442312"/>
      <w:bookmarkStart w:id="4591" w:name="_Toc38442644"/>
      <w:bookmarkStart w:id="4592" w:name="_Toc38442975"/>
      <w:bookmarkStart w:id="4593" w:name="_Toc38443306"/>
      <w:bookmarkStart w:id="4594" w:name="_Toc38443637"/>
      <w:bookmarkStart w:id="4595" w:name="_Toc38443967"/>
      <w:bookmarkStart w:id="4596" w:name="_Toc38438435"/>
      <w:bookmarkStart w:id="4597" w:name="_Toc38438772"/>
      <w:bookmarkStart w:id="4598" w:name="_Toc38439109"/>
      <w:bookmarkStart w:id="4599" w:name="_Toc38439446"/>
      <w:bookmarkStart w:id="4600" w:name="_Toc38439783"/>
      <w:bookmarkStart w:id="4601" w:name="_Toc38440120"/>
      <w:bookmarkStart w:id="4602" w:name="_Toc38440457"/>
      <w:bookmarkStart w:id="4603" w:name="_Toc38440989"/>
      <w:bookmarkStart w:id="4604" w:name="_Toc38441321"/>
      <w:bookmarkStart w:id="4605" w:name="_Toc38441653"/>
      <w:bookmarkStart w:id="4606" w:name="_Toc38441981"/>
      <w:bookmarkStart w:id="4607" w:name="_Toc38442313"/>
      <w:bookmarkStart w:id="4608" w:name="_Toc38442645"/>
      <w:bookmarkStart w:id="4609" w:name="_Toc38442976"/>
      <w:bookmarkStart w:id="4610" w:name="_Toc38443307"/>
      <w:bookmarkStart w:id="4611" w:name="_Toc38443638"/>
      <w:bookmarkStart w:id="4612" w:name="_Toc38443968"/>
      <w:bookmarkStart w:id="4613" w:name="_Toc38438436"/>
      <w:bookmarkStart w:id="4614" w:name="_Toc38438773"/>
      <w:bookmarkStart w:id="4615" w:name="_Toc38439110"/>
      <w:bookmarkStart w:id="4616" w:name="_Toc38439447"/>
      <w:bookmarkStart w:id="4617" w:name="_Toc38439784"/>
      <w:bookmarkStart w:id="4618" w:name="_Toc38440121"/>
      <w:bookmarkStart w:id="4619" w:name="_Toc38440458"/>
      <w:bookmarkStart w:id="4620" w:name="_Toc38440990"/>
      <w:bookmarkStart w:id="4621" w:name="_Toc38441322"/>
      <w:bookmarkStart w:id="4622" w:name="_Toc38441654"/>
      <w:bookmarkStart w:id="4623" w:name="_Toc38441982"/>
      <w:bookmarkStart w:id="4624" w:name="_Toc38442314"/>
      <w:bookmarkStart w:id="4625" w:name="_Toc38442646"/>
      <w:bookmarkStart w:id="4626" w:name="_Toc38442977"/>
      <w:bookmarkStart w:id="4627" w:name="_Toc38443308"/>
      <w:bookmarkStart w:id="4628" w:name="_Toc38443639"/>
      <w:bookmarkStart w:id="4629" w:name="_Toc38443969"/>
      <w:bookmarkStart w:id="4630" w:name="_Toc38438437"/>
      <w:bookmarkStart w:id="4631" w:name="_Toc38438774"/>
      <w:bookmarkStart w:id="4632" w:name="_Toc38439111"/>
      <w:bookmarkStart w:id="4633" w:name="_Toc38439448"/>
      <w:bookmarkStart w:id="4634" w:name="_Toc38439785"/>
      <w:bookmarkStart w:id="4635" w:name="_Toc38440122"/>
      <w:bookmarkStart w:id="4636" w:name="_Toc38440459"/>
      <w:bookmarkStart w:id="4637" w:name="_Toc38440991"/>
      <w:bookmarkStart w:id="4638" w:name="_Toc38441323"/>
      <w:bookmarkStart w:id="4639" w:name="_Toc38441655"/>
      <w:bookmarkStart w:id="4640" w:name="_Toc38441983"/>
      <w:bookmarkStart w:id="4641" w:name="_Toc38442315"/>
      <w:bookmarkStart w:id="4642" w:name="_Toc38442647"/>
      <w:bookmarkStart w:id="4643" w:name="_Toc38442978"/>
      <w:bookmarkStart w:id="4644" w:name="_Toc38443309"/>
      <w:bookmarkStart w:id="4645" w:name="_Toc38443640"/>
      <w:bookmarkStart w:id="4646" w:name="_Toc38443970"/>
      <w:bookmarkStart w:id="4647" w:name="_Toc38438438"/>
      <w:bookmarkStart w:id="4648" w:name="_Toc38438775"/>
      <w:bookmarkStart w:id="4649" w:name="_Toc38439112"/>
      <w:bookmarkStart w:id="4650" w:name="_Toc38439449"/>
      <w:bookmarkStart w:id="4651" w:name="_Toc38439786"/>
      <w:bookmarkStart w:id="4652" w:name="_Toc38440123"/>
      <w:bookmarkStart w:id="4653" w:name="_Toc38440460"/>
      <w:bookmarkStart w:id="4654" w:name="_Toc38440992"/>
      <w:bookmarkStart w:id="4655" w:name="_Toc38441324"/>
      <w:bookmarkStart w:id="4656" w:name="_Toc38441656"/>
      <w:bookmarkStart w:id="4657" w:name="_Toc38441984"/>
      <w:bookmarkStart w:id="4658" w:name="_Toc38442316"/>
      <w:bookmarkStart w:id="4659" w:name="_Toc38442648"/>
      <w:bookmarkStart w:id="4660" w:name="_Toc38442979"/>
      <w:bookmarkStart w:id="4661" w:name="_Toc38443310"/>
      <w:bookmarkStart w:id="4662" w:name="_Toc38443641"/>
      <w:bookmarkStart w:id="4663" w:name="_Toc38443971"/>
      <w:bookmarkStart w:id="4664" w:name="_Toc38438439"/>
      <w:bookmarkStart w:id="4665" w:name="_Toc38438776"/>
      <w:bookmarkStart w:id="4666" w:name="_Toc38439113"/>
      <w:bookmarkStart w:id="4667" w:name="_Toc38439450"/>
      <w:bookmarkStart w:id="4668" w:name="_Toc38439787"/>
      <w:bookmarkStart w:id="4669" w:name="_Toc38440124"/>
      <w:bookmarkStart w:id="4670" w:name="_Toc38440461"/>
      <w:bookmarkStart w:id="4671" w:name="_Toc38440993"/>
      <w:bookmarkStart w:id="4672" w:name="_Toc38441325"/>
      <w:bookmarkStart w:id="4673" w:name="_Toc38441657"/>
      <w:bookmarkStart w:id="4674" w:name="_Toc38441985"/>
      <w:bookmarkStart w:id="4675" w:name="_Toc38442317"/>
      <w:bookmarkStart w:id="4676" w:name="_Toc38442649"/>
      <w:bookmarkStart w:id="4677" w:name="_Toc38442980"/>
      <w:bookmarkStart w:id="4678" w:name="_Toc38443311"/>
      <w:bookmarkStart w:id="4679" w:name="_Toc38443642"/>
      <w:bookmarkStart w:id="4680" w:name="_Toc38443972"/>
      <w:bookmarkStart w:id="4681" w:name="_Toc38438440"/>
      <w:bookmarkStart w:id="4682" w:name="_Toc38438777"/>
      <w:bookmarkStart w:id="4683" w:name="_Toc38439114"/>
      <w:bookmarkStart w:id="4684" w:name="_Toc38439451"/>
      <w:bookmarkStart w:id="4685" w:name="_Toc38439788"/>
      <w:bookmarkStart w:id="4686" w:name="_Toc38440125"/>
      <w:bookmarkStart w:id="4687" w:name="_Toc38440462"/>
      <w:bookmarkStart w:id="4688" w:name="_Toc38440994"/>
      <w:bookmarkStart w:id="4689" w:name="_Toc38441326"/>
      <w:bookmarkStart w:id="4690" w:name="_Toc38441658"/>
      <w:bookmarkStart w:id="4691" w:name="_Toc38441986"/>
      <w:bookmarkStart w:id="4692" w:name="_Toc38442318"/>
      <w:bookmarkStart w:id="4693" w:name="_Toc38442650"/>
      <w:bookmarkStart w:id="4694" w:name="_Toc38442981"/>
      <w:bookmarkStart w:id="4695" w:name="_Toc38443312"/>
      <w:bookmarkStart w:id="4696" w:name="_Toc38443643"/>
      <w:bookmarkStart w:id="4697" w:name="_Toc38443973"/>
      <w:bookmarkStart w:id="4698" w:name="_Toc38438441"/>
      <w:bookmarkStart w:id="4699" w:name="_Toc38438778"/>
      <w:bookmarkStart w:id="4700" w:name="_Toc38439115"/>
      <w:bookmarkStart w:id="4701" w:name="_Toc38439452"/>
      <w:bookmarkStart w:id="4702" w:name="_Toc38439789"/>
      <w:bookmarkStart w:id="4703" w:name="_Toc38440126"/>
      <w:bookmarkStart w:id="4704" w:name="_Toc38440463"/>
      <w:bookmarkStart w:id="4705" w:name="_Toc38440995"/>
      <w:bookmarkStart w:id="4706" w:name="_Toc38441327"/>
      <w:bookmarkStart w:id="4707" w:name="_Toc38441659"/>
      <w:bookmarkStart w:id="4708" w:name="_Toc38441987"/>
      <w:bookmarkStart w:id="4709" w:name="_Toc38442319"/>
      <w:bookmarkStart w:id="4710" w:name="_Toc38442651"/>
      <w:bookmarkStart w:id="4711" w:name="_Toc38442982"/>
      <w:bookmarkStart w:id="4712" w:name="_Toc38443313"/>
      <w:bookmarkStart w:id="4713" w:name="_Toc38443644"/>
      <w:bookmarkStart w:id="4714" w:name="_Toc38443974"/>
      <w:bookmarkStart w:id="4715" w:name="_Toc38438442"/>
      <w:bookmarkStart w:id="4716" w:name="_Toc38438779"/>
      <w:bookmarkStart w:id="4717" w:name="_Toc38439116"/>
      <w:bookmarkStart w:id="4718" w:name="_Toc38439453"/>
      <w:bookmarkStart w:id="4719" w:name="_Toc38439790"/>
      <w:bookmarkStart w:id="4720" w:name="_Toc38440127"/>
      <w:bookmarkStart w:id="4721" w:name="_Toc38440464"/>
      <w:bookmarkStart w:id="4722" w:name="_Toc38440996"/>
      <w:bookmarkStart w:id="4723" w:name="_Toc38441328"/>
      <w:bookmarkStart w:id="4724" w:name="_Toc38441660"/>
      <w:bookmarkStart w:id="4725" w:name="_Toc38441988"/>
      <w:bookmarkStart w:id="4726" w:name="_Toc38442320"/>
      <w:bookmarkStart w:id="4727" w:name="_Toc38442652"/>
      <w:bookmarkStart w:id="4728" w:name="_Toc38442983"/>
      <w:bookmarkStart w:id="4729" w:name="_Toc38443314"/>
      <w:bookmarkStart w:id="4730" w:name="_Toc38443645"/>
      <w:bookmarkStart w:id="4731" w:name="_Toc38443975"/>
      <w:bookmarkStart w:id="4732" w:name="_Toc38438443"/>
      <w:bookmarkStart w:id="4733" w:name="_Toc38438780"/>
      <w:bookmarkStart w:id="4734" w:name="_Toc38439117"/>
      <w:bookmarkStart w:id="4735" w:name="_Toc38439454"/>
      <w:bookmarkStart w:id="4736" w:name="_Toc38439791"/>
      <w:bookmarkStart w:id="4737" w:name="_Toc38440128"/>
      <w:bookmarkStart w:id="4738" w:name="_Toc38440465"/>
      <w:bookmarkStart w:id="4739" w:name="_Toc38440997"/>
      <w:bookmarkStart w:id="4740" w:name="_Toc38441329"/>
      <w:bookmarkStart w:id="4741" w:name="_Toc38441661"/>
      <w:bookmarkStart w:id="4742" w:name="_Toc38441989"/>
      <w:bookmarkStart w:id="4743" w:name="_Toc38442321"/>
      <w:bookmarkStart w:id="4744" w:name="_Toc38442653"/>
      <w:bookmarkStart w:id="4745" w:name="_Toc38442984"/>
      <w:bookmarkStart w:id="4746" w:name="_Toc38443315"/>
      <w:bookmarkStart w:id="4747" w:name="_Toc38443646"/>
      <w:bookmarkStart w:id="4748" w:name="_Toc38443976"/>
      <w:bookmarkStart w:id="4749" w:name="_Toc38438444"/>
      <w:bookmarkStart w:id="4750" w:name="_Toc38438781"/>
      <w:bookmarkStart w:id="4751" w:name="_Toc38439118"/>
      <w:bookmarkStart w:id="4752" w:name="_Toc38439455"/>
      <w:bookmarkStart w:id="4753" w:name="_Toc38439792"/>
      <w:bookmarkStart w:id="4754" w:name="_Toc38440129"/>
      <w:bookmarkStart w:id="4755" w:name="_Toc38440466"/>
      <w:bookmarkStart w:id="4756" w:name="_Toc38440998"/>
      <w:bookmarkStart w:id="4757" w:name="_Toc38441330"/>
      <w:bookmarkStart w:id="4758" w:name="_Toc38441662"/>
      <w:bookmarkStart w:id="4759" w:name="_Toc38441990"/>
      <w:bookmarkStart w:id="4760" w:name="_Toc38442322"/>
      <w:bookmarkStart w:id="4761" w:name="_Toc38442654"/>
      <w:bookmarkStart w:id="4762" w:name="_Toc38442985"/>
      <w:bookmarkStart w:id="4763" w:name="_Toc38443316"/>
      <w:bookmarkStart w:id="4764" w:name="_Toc38443647"/>
      <w:bookmarkStart w:id="4765" w:name="_Toc38443977"/>
      <w:bookmarkStart w:id="4766" w:name="_Toc38438445"/>
      <w:bookmarkStart w:id="4767" w:name="_Toc38438782"/>
      <w:bookmarkStart w:id="4768" w:name="_Toc38439119"/>
      <w:bookmarkStart w:id="4769" w:name="_Toc38439456"/>
      <w:bookmarkStart w:id="4770" w:name="_Toc38439793"/>
      <w:bookmarkStart w:id="4771" w:name="_Toc38440130"/>
      <w:bookmarkStart w:id="4772" w:name="_Toc38440467"/>
      <w:bookmarkStart w:id="4773" w:name="_Toc38440999"/>
      <w:bookmarkStart w:id="4774" w:name="_Toc38441331"/>
      <w:bookmarkStart w:id="4775" w:name="_Toc38441663"/>
      <w:bookmarkStart w:id="4776" w:name="_Toc38441991"/>
      <w:bookmarkStart w:id="4777" w:name="_Toc38442323"/>
      <w:bookmarkStart w:id="4778" w:name="_Toc38442655"/>
      <w:bookmarkStart w:id="4779" w:name="_Toc38442986"/>
      <w:bookmarkStart w:id="4780" w:name="_Toc38443317"/>
      <w:bookmarkStart w:id="4781" w:name="_Toc38443648"/>
      <w:bookmarkStart w:id="4782" w:name="_Toc38443978"/>
      <w:bookmarkStart w:id="4783" w:name="_Toc38438446"/>
      <w:bookmarkStart w:id="4784" w:name="_Toc38438783"/>
      <w:bookmarkStart w:id="4785" w:name="_Toc38439120"/>
      <w:bookmarkStart w:id="4786" w:name="_Toc38439457"/>
      <w:bookmarkStart w:id="4787" w:name="_Toc38439794"/>
      <w:bookmarkStart w:id="4788" w:name="_Toc38440131"/>
      <w:bookmarkStart w:id="4789" w:name="_Toc38440468"/>
      <w:bookmarkStart w:id="4790" w:name="_Toc38441000"/>
      <w:bookmarkStart w:id="4791" w:name="_Toc38441332"/>
      <w:bookmarkStart w:id="4792" w:name="_Toc38441664"/>
      <w:bookmarkStart w:id="4793" w:name="_Toc38441992"/>
      <w:bookmarkStart w:id="4794" w:name="_Toc38442324"/>
      <w:bookmarkStart w:id="4795" w:name="_Toc38442656"/>
      <w:bookmarkStart w:id="4796" w:name="_Toc38442987"/>
      <w:bookmarkStart w:id="4797" w:name="_Toc38443318"/>
      <w:bookmarkStart w:id="4798" w:name="_Toc38443649"/>
      <w:bookmarkStart w:id="4799" w:name="_Toc38443979"/>
      <w:bookmarkStart w:id="4800" w:name="_Toc38438447"/>
      <w:bookmarkStart w:id="4801" w:name="_Toc38438784"/>
      <w:bookmarkStart w:id="4802" w:name="_Toc38439121"/>
      <w:bookmarkStart w:id="4803" w:name="_Toc38439458"/>
      <w:bookmarkStart w:id="4804" w:name="_Toc38439795"/>
      <w:bookmarkStart w:id="4805" w:name="_Toc38440132"/>
      <w:bookmarkStart w:id="4806" w:name="_Toc38440469"/>
      <w:bookmarkStart w:id="4807" w:name="_Toc38441001"/>
      <w:bookmarkStart w:id="4808" w:name="_Toc38441333"/>
      <w:bookmarkStart w:id="4809" w:name="_Toc38441665"/>
      <w:bookmarkStart w:id="4810" w:name="_Toc38441993"/>
      <w:bookmarkStart w:id="4811" w:name="_Toc38442325"/>
      <w:bookmarkStart w:id="4812" w:name="_Toc38442657"/>
      <w:bookmarkStart w:id="4813" w:name="_Toc38442988"/>
      <w:bookmarkStart w:id="4814" w:name="_Toc38443319"/>
      <w:bookmarkStart w:id="4815" w:name="_Toc38443650"/>
      <w:bookmarkStart w:id="4816" w:name="_Toc38443980"/>
      <w:bookmarkStart w:id="4817" w:name="_Toc38438448"/>
      <w:bookmarkStart w:id="4818" w:name="_Toc38438785"/>
      <w:bookmarkStart w:id="4819" w:name="_Toc38439122"/>
      <w:bookmarkStart w:id="4820" w:name="_Toc38439459"/>
      <w:bookmarkStart w:id="4821" w:name="_Toc38439796"/>
      <w:bookmarkStart w:id="4822" w:name="_Toc38440133"/>
      <w:bookmarkStart w:id="4823" w:name="_Toc38440470"/>
      <w:bookmarkStart w:id="4824" w:name="_Toc38441002"/>
      <w:bookmarkStart w:id="4825" w:name="_Toc38441334"/>
      <w:bookmarkStart w:id="4826" w:name="_Toc38441666"/>
      <w:bookmarkStart w:id="4827" w:name="_Toc38441994"/>
      <w:bookmarkStart w:id="4828" w:name="_Toc38442326"/>
      <w:bookmarkStart w:id="4829" w:name="_Toc38442658"/>
      <w:bookmarkStart w:id="4830" w:name="_Toc38442989"/>
      <w:bookmarkStart w:id="4831" w:name="_Toc38443320"/>
      <w:bookmarkStart w:id="4832" w:name="_Toc38443651"/>
      <w:bookmarkStart w:id="4833" w:name="_Toc38443981"/>
      <w:bookmarkStart w:id="4834" w:name="_Toc38438449"/>
      <w:bookmarkStart w:id="4835" w:name="_Toc38438786"/>
      <w:bookmarkStart w:id="4836" w:name="_Toc38439123"/>
      <w:bookmarkStart w:id="4837" w:name="_Toc38439460"/>
      <w:bookmarkStart w:id="4838" w:name="_Toc38439797"/>
      <w:bookmarkStart w:id="4839" w:name="_Toc38440134"/>
      <w:bookmarkStart w:id="4840" w:name="_Toc38440471"/>
      <w:bookmarkStart w:id="4841" w:name="_Toc38441003"/>
      <w:bookmarkStart w:id="4842" w:name="_Toc38441335"/>
      <w:bookmarkStart w:id="4843" w:name="_Toc38441667"/>
      <w:bookmarkStart w:id="4844" w:name="_Toc38441995"/>
      <w:bookmarkStart w:id="4845" w:name="_Toc38442327"/>
      <w:bookmarkStart w:id="4846" w:name="_Toc38442659"/>
      <w:bookmarkStart w:id="4847" w:name="_Toc38442990"/>
      <w:bookmarkStart w:id="4848" w:name="_Toc38443321"/>
      <w:bookmarkStart w:id="4849" w:name="_Toc38443652"/>
      <w:bookmarkStart w:id="4850" w:name="_Toc38443982"/>
      <w:bookmarkStart w:id="4851" w:name="_Toc38438450"/>
      <w:bookmarkStart w:id="4852" w:name="_Toc38438787"/>
      <w:bookmarkStart w:id="4853" w:name="_Toc38439124"/>
      <w:bookmarkStart w:id="4854" w:name="_Toc38439461"/>
      <w:bookmarkStart w:id="4855" w:name="_Toc38439798"/>
      <w:bookmarkStart w:id="4856" w:name="_Toc38440135"/>
      <w:bookmarkStart w:id="4857" w:name="_Toc38440472"/>
      <w:bookmarkStart w:id="4858" w:name="_Toc38441004"/>
      <w:bookmarkStart w:id="4859" w:name="_Toc38441336"/>
      <w:bookmarkStart w:id="4860" w:name="_Toc38441668"/>
      <w:bookmarkStart w:id="4861" w:name="_Toc38441996"/>
      <w:bookmarkStart w:id="4862" w:name="_Toc38442328"/>
      <w:bookmarkStart w:id="4863" w:name="_Toc38442660"/>
      <w:bookmarkStart w:id="4864" w:name="_Toc38442991"/>
      <w:bookmarkStart w:id="4865" w:name="_Toc38443322"/>
      <w:bookmarkStart w:id="4866" w:name="_Toc38443653"/>
      <w:bookmarkStart w:id="4867" w:name="_Toc38443983"/>
      <w:bookmarkStart w:id="4868" w:name="_Toc38438451"/>
      <w:bookmarkStart w:id="4869" w:name="_Toc38438788"/>
      <w:bookmarkStart w:id="4870" w:name="_Toc38439125"/>
      <w:bookmarkStart w:id="4871" w:name="_Toc38439462"/>
      <w:bookmarkStart w:id="4872" w:name="_Toc38439799"/>
      <w:bookmarkStart w:id="4873" w:name="_Toc38440136"/>
      <w:bookmarkStart w:id="4874" w:name="_Toc38440473"/>
      <w:bookmarkStart w:id="4875" w:name="_Toc38441005"/>
      <w:bookmarkStart w:id="4876" w:name="_Toc38441337"/>
      <w:bookmarkStart w:id="4877" w:name="_Toc38441669"/>
      <w:bookmarkStart w:id="4878" w:name="_Toc38441997"/>
      <w:bookmarkStart w:id="4879" w:name="_Toc38442329"/>
      <w:bookmarkStart w:id="4880" w:name="_Toc38442661"/>
      <w:bookmarkStart w:id="4881" w:name="_Toc38442992"/>
      <w:bookmarkStart w:id="4882" w:name="_Toc38443323"/>
      <w:bookmarkStart w:id="4883" w:name="_Toc38443654"/>
      <w:bookmarkStart w:id="4884" w:name="_Toc38443984"/>
      <w:bookmarkStart w:id="4885" w:name="_Toc38438452"/>
      <w:bookmarkStart w:id="4886" w:name="_Toc38438789"/>
      <w:bookmarkStart w:id="4887" w:name="_Toc38439126"/>
      <w:bookmarkStart w:id="4888" w:name="_Toc38439463"/>
      <w:bookmarkStart w:id="4889" w:name="_Toc38439800"/>
      <w:bookmarkStart w:id="4890" w:name="_Toc38440137"/>
      <w:bookmarkStart w:id="4891" w:name="_Toc38440474"/>
      <w:bookmarkStart w:id="4892" w:name="_Toc38441006"/>
      <w:bookmarkStart w:id="4893" w:name="_Toc38441338"/>
      <w:bookmarkStart w:id="4894" w:name="_Toc38441670"/>
      <w:bookmarkStart w:id="4895" w:name="_Toc38441998"/>
      <w:bookmarkStart w:id="4896" w:name="_Toc38442330"/>
      <w:bookmarkStart w:id="4897" w:name="_Toc38442662"/>
      <w:bookmarkStart w:id="4898" w:name="_Toc38442993"/>
      <w:bookmarkStart w:id="4899" w:name="_Toc38443324"/>
      <w:bookmarkStart w:id="4900" w:name="_Toc38443655"/>
      <w:bookmarkStart w:id="4901" w:name="_Toc38443985"/>
      <w:bookmarkStart w:id="4902" w:name="_Toc38438453"/>
      <w:bookmarkStart w:id="4903" w:name="_Toc38438790"/>
      <w:bookmarkStart w:id="4904" w:name="_Toc38439127"/>
      <w:bookmarkStart w:id="4905" w:name="_Toc38439464"/>
      <w:bookmarkStart w:id="4906" w:name="_Toc38439801"/>
      <w:bookmarkStart w:id="4907" w:name="_Toc38440138"/>
      <w:bookmarkStart w:id="4908" w:name="_Toc38440475"/>
      <w:bookmarkStart w:id="4909" w:name="_Toc38441007"/>
      <w:bookmarkStart w:id="4910" w:name="_Toc38441339"/>
      <w:bookmarkStart w:id="4911" w:name="_Toc38441671"/>
      <w:bookmarkStart w:id="4912" w:name="_Toc38441999"/>
      <w:bookmarkStart w:id="4913" w:name="_Toc38442331"/>
      <w:bookmarkStart w:id="4914" w:name="_Toc38442663"/>
      <w:bookmarkStart w:id="4915" w:name="_Toc38442994"/>
      <w:bookmarkStart w:id="4916" w:name="_Toc38443325"/>
      <w:bookmarkStart w:id="4917" w:name="_Toc38443656"/>
      <w:bookmarkStart w:id="4918" w:name="_Toc38443986"/>
      <w:bookmarkStart w:id="4919" w:name="_Toc38438454"/>
      <w:bookmarkStart w:id="4920" w:name="_Toc38438791"/>
      <w:bookmarkStart w:id="4921" w:name="_Toc38439128"/>
      <w:bookmarkStart w:id="4922" w:name="_Toc38439465"/>
      <w:bookmarkStart w:id="4923" w:name="_Toc38439802"/>
      <w:bookmarkStart w:id="4924" w:name="_Toc38440139"/>
      <w:bookmarkStart w:id="4925" w:name="_Toc38440476"/>
      <w:bookmarkStart w:id="4926" w:name="_Toc38441008"/>
      <w:bookmarkStart w:id="4927" w:name="_Toc38441340"/>
      <w:bookmarkStart w:id="4928" w:name="_Toc38441672"/>
      <w:bookmarkStart w:id="4929" w:name="_Toc38442000"/>
      <w:bookmarkStart w:id="4930" w:name="_Toc38442332"/>
      <w:bookmarkStart w:id="4931" w:name="_Toc38442664"/>
      <w:bookmarkStart w:id="4932" w:name="_Toc38442995"/>
      <w:bookmarkStart w:id="4933" w:name="_Toc38443326"/>
      <w:bookmarkStart w:id="4934" w:name="_Toc38443657"/>
      <w:bookmarkStart w:id="4935" w:name="_Toc38443987"/>
      <w:bookmarkStart w:id="4936" w:name="_Toc38438455"/>
      <w:bookmarkStart w:id="4937" w:name="_Toc38438792"/>
      <w:bookmarkStart w:id="4938" w:name="_Toc38439129"/>
      <w:bookmarkStart w:id="4939" w:name="_Toc38439466"/>
      <w:bookmarkStart w:id="4940" w:name="_Toc38439803"/>
      <w:bookmarkStart w:id="4941" w:name="_Toc38440140"/>
      <w:bookmarkStart w:id="4942" w:name="_Toc38440477"/>
      <w:bookmarkStart w:id="4943" w:name="_Toc38441009"/>
      <w:bookmarkStart w:id="4944" w:name="_Toc38441341"/>
      <w:bookmarkStart w:id="4945" w:name="_Toc38441673"/>
      <w:bookmarkStart w:id="4946" w:name="_Toc38442001"/>
      <w:bookmarkStart w:id="4947" w:name="_Toc38442333"/>
      <w:bookmarkStart w:id="4948" w:name="_Toc38442665"/>
      <w:bookmarkStart w:id="4949" w:name="_Toc38442996"/>
      <w:bookmarkStart w:id="4950" w:name="_Toc38443327"/>
      <w:bookmarkStart w:id="4951" w:name="_Toc38443658"/>
      <w:bookmarkStart w:id="4952" w:name="_Toc38443988"/>
      <w:bookmarkStart w:id="4953" w:name="_Toc38438456"/>
      <w:bookmarkStart w:id="4954" w:name="_Toc38438793"/>
      <w:bookmarkStart w:id="4955" w:name="_Toc38439130"/>
      <w:bookmarkStart w:id="4956" w:name="_Toc38439467"/>
      <w:bookmarkStart w:id="4957" w:name="_Toc38439804"/>
      <w:bookmarkStart w:id="4958" w:name="_Toc38440141"/>
      <w:bookmarkStart w:id="4959" w:name="_Toc38440478"/>
      <w:bookmarkStart w:id="4960" w:name="_Toc38441010"/>
      <w:bookmarkStart w:id="4961" w:name="_Toc38441342"/>
      <w:bookmarkStart w:id="4962" w:name="_Toc38441674"/>
      <w:bookmarkStart w:id="4963" w:name="_Toc38442002"/>
      <w:bookmarkStart w:id="4964" w:name="_Toc38442334"/>
      <w:bookmarkStart w:id="4965" w:name="_Toc38442666"/>
      <w:bookmarkStart w:id="4966" w:name="_Toc38442997"/>
      <w:bookmarkStart w:id="4967" w:name="_Toc38443328"/>
      <w:bookmarkStart w:id="4968" w:name="_Toc38443659"/>
      <w:bookmarkStart w:id="4969" w:name="_Toc38443989"/>
      <w:bookmarkStart w:id="4970" w:name="_Toc38438457"/>
      <w:bookmarkStart w:id="4971" w:name="_Toc38438794"/>
      <w:bookmarkStart w:id="4972" w:name="_Toc38439131"/>
      <w:bookmarkStart w:id="4973" w:name="_Toc38439468"/>
      <w:bookmarkStart w:id="4974" w:name="_Toc38439805"/>
      <w:bookmarkStart w:id="4975" w:name="_Toc38440142"/>
      <w:bookmarkStart w:id="4976" w:name="_Toc38440479"/>
      <w:bookmarkStart w:id="4977" w:name="_Toc38441011"/>
      <w:bookmarkStart w:id="4978" w:name="_Toc38441343"/>
      <w:bookmarkStart w:id="4979" w:name="_Toc38441675"/>
      <w:bookmarkStart w:id="4980" w:name="_Toc38442003"/>
      <w:bookmarkStart w:id="4981" w:name="_Toc38442335"/>
      <w:bookmarkStart w:id="4982" w:name="_Toc38442667"/>
      <w:bookmarkStart w:id="4983" w:name="_Toc38442998"/>
      <w:bookmarkStart w:id="4984" w:name="_Toc38443329"/>
      <w:bookmarkStart w:id="4985" w:name="_Toc38443660"/>
      <w:bookmarkStart w:id="4986" w:name="_Toc38443990"/>
      <w:bookmarkStart w:id="4987" w:name="_Toc38438458"/>
      <w:bookmarkStart w:id="4988" w:name="_Toc38438795"/>
      <w:bookmarkStart w:id="4989" w:name="_Toc38439132"/>
      <w:bookmarkStart w:id="4990" w:name="_Toc38439469"/>
      <w:bookmarkStart w:id="4991" w:name="_Toc38439806"/>
      <w:bookmarkStart w:id="4992" w:name="_Toc38440143"/>
      <w:bookmarkStart w:id="4993" w:name="_Toc38440480"/>
      <w:bookmarkStart w:id="4994" w:name="_Toc38441012"/>
      <w:bookmarkStart w:id="4995" w:name="_Toc38441344"/>
      <w:bookmarkStart w:id="4996" w:name="_Toc38441676"/>
      <w:bookmarkStart w:id="4997" w:name="_Toc38442004"/>
      <w:bookmarkStart w:id="4998" w:name="_Toc38442336"/>
      <w:bookmarkStart w:id="4999" w:name="_Toc38442668"/>
      <w:bookmarkStart w:id="5000" w:name="_Toc38442999"/>
      <w:bookmarkStart w:id="5001" w:name="_Toc38443330"/>
      <w:bookmarkStart w:id="5002" w:name="_Toc38443661"/>
      <w:bookmarkStart w:id="5003" w:name="_Toc3844399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p>
    <w:p w:rsidR="00C35BC5" w:rsidRPr="00C86E67" w:rsidP="00552BE1">
      <w:pPr>
        <w:snapToGrid w:val="0"/>
        <w:spacing w:line="360" w:lineRule="auto"/>
        <w:ind w:firstLine="640"/>
        <w:rPr>
          <w:rFonts w:asciiTheme="minorEastAsia" w:eastAsiaTheme="minorEastAsia" w:hAnsiTheme="minorEastAsia"/>
          <w:color w:val="000000" w:themeColor="text1"/>
          <w:szCs w:val="21"/>
        </w:rPr>
        <w:sectPr w:rsidSect="0013519A">
          <w:pgSz w:w="11906" w:h="16838" w:code="9"/>
          <w:pgMar w:top="1440" w:right="1800" w:bottom="1440" w:left="1800" w:header="851" w:footer="992" w:gutter="0"/>
          <w:cols w:space="425"/>
          <w:docGrid w:type="lines" w:linePitch="312"/>
        </w:sectPr>
      </w:pPr>
    </w:p>
    <w:p w:rsidR="00C35BC5" w:rsidRPr="00C86E67" w:rsidP="00B5132A">
      <w:pPr>
        <w:pStyle w:val="Heading1"/>
        <w:snapToGrid w:val="0"/>
        <w:spacing w:beforeLines="0" w:afterLines="0" w:line="360" w:lineRule="auto"/>
        <w:ind w:firstLine="643"/>
        <w:rPr>
          <w:rFonts w:asciiTheme="minorEastAsia" w:eastAsiaTheme="minorEastAsia" w:hAnsiTheme="minorEastAsia"/>
          <w:bCs/>
          <w:color w:val="000000" w:themeColor="text1"/>
        </w:rPr>
      </w:pPr>
      <w:bookmarkStart w:id="5004" w:name="_Toc91764904"/>
      <w:r w:rsidRPr="00C86E67">
        <w:rPr>
          <w:rFonts w:asciiTheme="minorEastAsia" w:eastAsiaTheme="minorEastAsia" w:hAnsiTheme="minorEastAsia" w:hint="eastAsia"/>
          <w:b/>
          <w:bCs/>
          <w:color w:val="000000" w:themeColor="text1"/>
        </w:rPr>
        <w:t>二十五、招募说明书存放及查阅方式</w:t>
      </w:r>
      <w:bookmarkEnd w:id="5004"/>
    </w:p>
    <w:p w:rsidR="00C35BC5" w:rsidRPr="00C86E67" w:rsidP="00552BE1">
      <w:pPr>
        <w:snapToGrid w:val="0"/>
        <w:spacing w:line="360" w:lineRule="auto"/>
        <w:ind w:firstLine="48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本《招募说明书》存放在基金管理人、基金托管人及基金</w:t>
      </w:r>
      <w:r w:rsidRPr="00C86E67" w:rsidR="00146A02">
        <w:rPr>
          <w:rFonts w:asciiTheme="minorEastAsia" w:eastAsiaTheme="minorEastAsia" w:hAnsiTheme="minorEastAsia" w:hint="eastAsia"/>
          <w:color w:val="000000" w:themeColor="text1"/>
          <w:szCs w:val="21"/>
        </w:rPr>
        <w:t>销售</w:t>
      </w:r>
      <w:r w:rsidRPr="00C86E67">
        <w:rPr>
          <w:rFonts w:asciiTheme="minorEastAsia" w:eastAsiaTheme="minorEastAsia" w:hAnsiTheme="minorEastAsia" w:hint="eastAsia"/>
          <w:color w:val="000000" w:themeColor="text1"/>
          <w:szCs w:val="21"/>
        </w:rPr>
        <w:t>机构</w:t>
      </w:r>
      <w:r w:rsidRPr="00C86E67" w:rsidR="0013519A">
        <w:rPr>
          <w:rFonts w:asciiTheme="minorEastAsia" w:eastAsiaTheme="minorEastAsia" w:hAnsiTheme="minorEastAsia" w:hint="eastAsia"/>
          <w:color w:val="000000" w:themeColor="text1"/>
          <w:szCs w:val="21"/>
        </w:rPr>
        <w:t>处</w:t>
      </w:r>
      <w:r w:rsidRPr="00C86E67">
        <w:rPr>
          <w:rFonts w:asciiTheme="minorEastAsia" w:eastAsiaTheme="minorEastAsia" w:hAnsiTheme="minorEastAsia" w:hint="eastAsia"/>
          <w:color w:val="000000" w:themeColor="text1"/>
          <w:szCs w:val="21"/>
        </w:rPr>
        <w:t>，投资者可在营业时间免费查阅，也可按工本费购买复印件。</w:t>
      </w:r>
      <w:r w:rsidRPr="00C86E67">
        <w:rPr>
          <w:rFonts w:asciiTheme="minorEastAsia" w:eastAsiaTheme="minorEastAsia" w:hAnsiTheme="minorEastAsia"/>
          <w:color w:val="000000" w:themeColor="text1"/>
        </w:rPr>
        <w:t>基金管理人和基金托管人保证</w:t>
      </w:r>
      <w:r w:rsidRPr="00C86E67">
        <w:rPr>
          <w:rFonts w:asciiTheme="minorEastAsia" w:eastAsiaTheme="minorEastAsia" w:hAnsiTheme="minorEastAsia" w:hint="eastAsia"/>
          <w:color w:val="000000" w:themeColor="text1"/>
        </w:rPr>
        <w:t>其所提供的</w:t>
      </w:r>
      <w:r w:rsidRPr="00C86E67">
        <w:rPr>
          <w:rFonts w:asciiTheme="minorEastAsia" w:eastAsiaTheme="minorEastAsia" w:hAnsiTheme="minorEastAsia"/>
          <w:color w:val="000000" w:themeColor="text1"/>
        </w:rPr>
        <w:t>文本的内容与所公告的内容完全一致。</w:t>
      </w:r>
    </w:p>
    <w:p w:rsidR="00C35BC5" w:rsidRPr="00C86E67" w:rsidP="00B5132A">
      <w:pPr>
        <w:pStyle w:val="Heading1"/>
        <w:snapToGrid w:val="0"/>
        <w:spacing w:beforeLines="0" w:afterLines="0" w:line="360" w:lineRule="auto"/>
        <w:ind w:firstLine="643"/>
        <w:rPr>
          <w:rFonts w:asciiTheme="minorEastAsia" w:eastAsiaTheme="minorEastAsia" w:hAnsiTheme="minorEastAsia"/>
          <w:b/>
          <w:color w:val="000000" w:themeColor="text1"/>
          <w:szCs w:val="21"/>
        </w:rPr>
      </w:pPr>
      <w:r w:rsidRPr="00C86E67">
        <w:rPr>
          <w:rFonts w:asciiTheme="minorEastAsia" w:eastAsiaTheme="minorEastAsia" w:hAnsiTheme="minorEastAsia"/>
          <w:b/>
          <w:color w:val="000000" w:themeColor="text1"/>
        </w:rPr>
        <w:br w:type="page"/>
      </w:r>
      <w:bookmarkStart w:id="5005" w:name="_Toc91764905"/>
      <w:r w:rsidRPr="00C86E67">
        <w:rPr>
          <w:rFonts w:asciiTheme="minorEastAsia" w:eastAsiaTheme="minorEastAsia" w:hAnsiTheme="minorEastAsia" w:hint="eastAsia"/>
          <w:b/>
          <w:color w:val="000000" w:themeColor="text1"/>
        </w:rPr>
        <w:t>二十六、备查文件</w:t>
      </w:r>
      <w:bookmarkEnd w:id="5005"/>
    </w:p>
    <w:p w:rsidR="00C35BC5" w:rsidRPr="00C86E67" w:rsidP="00552BE1">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1</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中国证监会核准易方达价值成长混合型证券投资基金募集的文件；</w:t>
      </w:r>
    </w:p>
    <w:p w:rsidR="00C35BC5" w:rsidRPr="00C86E67" w:rsidP="00552BE1">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2</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《易方达价值成长混合型证券投资基金基金合同》；</w:t>
      </w:r>
    </w:p>
    <w:p w:rsidR="00C35BC5" w:rsidRPr="00C86E67" w:rsidP="00552BE1">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3</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《易方达基金管理有限公司开放式基金业务规则》；</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4</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《易方达价值成长混合型证券投资基金托管协议》；</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5</w:t>
      </w:r>
      <w:r w:rsidRPr="00C86E67" w:rsidR="00016F1C">
        <w:rPr>
          <w:rFonts w:asciiTheme="minorEastAsia" w:eastAsiaTheme="minorEastAsia" w:hAnsiTheme="minorEastAsia" w:hint="eastAsia"/>
          <w:color w:val="000000" w:themeColor="text1"/>
        </w:rPr>
        <w:t>、</w:t>
      </w:r>
      <w:r w:rsidRPr="00C86E67">
        <w:rPr>
          <w:rFonts w:asciiTheme="minorEastAsia" w:eastAsiaTheme="minorEastAsia" w:hAnsiTheme="minorEastAsia" w:hint="eastAsia"/>
          <w:color w:val="000000" w:themeColor="text1"/>
        </w:rPr>
        <w:t>法律意见书；</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6</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基金管理人业务资格批件和营业执照；</w:t>
      </w:r>
    </w:p>
    <w:p w:rsidR="00C35BC5" w:rsidRPr="00C86E67" w:rsidP="00552BE1">
      <w:pPr>
        <w:snapToGrid w:val="0"/>
        <w:spacing w:line="360" w:lineRule="auto"/>
        <w:ind w:firstLine="42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szCs w:val="21"/>
        </w:rPr>
        <w:t>7</w:t>
      </w:r>
      <w:r w:rsidRPr="00C86E67" w:rsidR="00016F1C">
        <w:rPr>
          <w:rFonts w:asciiTheme="minorEastAsia" w:eastAsiaTheme="minorEastAsia" w:hAnsiTheme="minorEastAsia" w:hint="eastAsia"/>
          <w:color w:val="000000" w:themeColor="text1"/>
          <w:szCs w:val="21"/>
        </w:rPr>
        <w:t>、</w:t>
      </w:r>
      <w:r w:rsidRPr="00C86E67">
        <w:rPr>
          <w:rFonts w:asciiTheme="minorEastAsia" w:eastAsiaTheme="minorEastAsia" w:hAnsiTheme="minorEastAsia" w:hint="eastAsia"/>
          <w:color w:val="000000" w:themeColor="text1"/>
          <w:szCs w:val="21"/>
        </w:rPr>
        <w:t>基金托管人业务资格批件和营业执照。</w:t>
      </w:r>
    </w:p>
    <w:p w:rsidR="00C35BC5" w:rsidRPr="00C86E67" w:rsidP="00552BE1">
      <w:pPr>
        <w:snapToGrid w:val="0"/>
        <w:spacing w:line="360" w:lineRule="auto"/>
        <w:ind w:firstLine="420" w:firstLineChars="200"/>
        <w:rPr>
          <w:rFonts w:asciiTheme="minorEastAsia" w:eastAsiaTheme="minorEastAsia" w:hAnsiTheme="minorEastAsia"/>
          <w:color w:val="000000" w:themeColor="text1"/>
        </w:rPr>
      </w:pPr>
      <w:r w:rsidRPr="00C86E67">
        <w:rPr>
          <w:rFonts w:asciiTheme="minorEastAsia" w:eastAsiaTheme="minorEastAsia" w:hAnsiTheme="minorEastAsia" w:hint="eastAsia"/>
          <w:color w:val="000000" w:themeColor="text1"/>
        </w:rPr>
        <w:t>存放地点：基金管理人、基金托管人处</w:t>
      </w:r>
    </w:p>
    <w:p w:rsidR="00C35BC5" w:rsidRPr="00C86E67" w:rsidP="00552BE1">
      <w:pPr>
        <w:snapToGrid w:val="0"/>
        <w:spacing w:line="360" w:lineRule="auto"/>
        <w:ind w:firstLine="420" w:firstLineChars="200"/>
        <w:rPr>
          <w:rFonts w:asciiTheme="minorEastAsia" w:eastAsiaTheme="minorEastAsia" w:hAnsiTheme="minorEastAsia"/>
          <w:color w:val="000000" w:themeColor="text1"/>
          <w:szCs w:val="21"/>
        </w:rPr>
      </w:pPr>
      <w:r w:rsidRPr="00C86E67">
        <w:rPr>
          <w:rFonts w:asciiTheme="minorEastAsia" w:eastAsiaTheme="minorEastAsia" w:hAnsiTheme="minorEastAsia" w:hint="eastAsia"/>
          <w:color w:val="000000" w:themeColor="text1"/>
        </w:rPr>
        <w:t>查阅方式：投资者可在营业时间免费查阅，也可按工本费购买复印件。</w:t>
      </w:r>
    </w:p>
    <w:p w:rsidR="00C35BC5" w:rsidRPr="00C86E67" w:rsidP="00552BE1">
      <w:pPr>
        <w:snapToGrid w:val="0"/>
        <w:spacing w:line="360" w:lineRule="auto"/>
        <w:ind w:left="480"/>
        <w:rPr>
          <w:rFonts w:asciiTheme="minorEastAsia" w:eastAsiaTheme="minorEastAsia" w:hAnsiTheme="minorEastAsia"/>
          <w:color w:val="000000" w:themeColor="text1"/>
          <w:szCs w:val="21"/>
        </w:rPr>
      </w:pPr>
    </w:p>
    <w:p w:rsidR="00C35BC5" w:rsidRPr="00C86E67" w:rsidP="00552BE1">
      <w:pPr>
        <w:snapToGrid w:val="0"/>
        <w:spacing w:line="360" w:lineRule="auto"/>
        <w:ind w:left="480"/>
        <w:rPr>
          <w:rFonts w:asciiTheme="minorEastAsia" w:eastAsiaTheme="minorEastAsia" w:hAnsiTheme="minorEastAsia"/>
          <w:color w:val="000000" w:themeColor="text1"/>
          <w:szCs w:val="21"/>
        </w:rPr>
      </w:pPr>
    </w:p>
    <w:p w:rsidR="0098488E" w:rsidRPr="00C86E67" w:rsidP="00552BE1">
      <w:pPr>
        <w:snapToGrid w:val="0"/>
        <w:spacing w:line="360" w:lineRule="auto"/>
        <w:ind w:left="360" w:firstLine="480"/>
        <w:jc w:val="right"/>
        <w:rPr>
          <w:rFonts w:asciiTheme="minorEastAsia" w:eastAsiaTheme="minorEastAsia" w:hAnsiTheme="minorEastAsia"/>
          <w:color w:val="000000" w:themeColor="text1"/>
        </w:rPr>
      </w:pPr>
      <w:bookmarkStart w:id="5006" w:name="_PictureBullets"/>
      <w:bookmarkEnd w:id="5006"/>
      <w:r w:rsidRPr="00C86E67">
        <w:rPr>
          <w:rFonts w:asciiTheme="minorEastAsia" w:eastAsiaTheme="minorEastAsia" w:hAnsiTheme="minorEastAsia" w:hint="eastAsia"/>
          <w:color w:val="000000" w:themeColor="text1"/>
        </w:rPr>
        <w:t>易方达基金管理有限公司</w:t>
      </w:r>
    </w:p>
    <w:p w:rsidR="002A0168" w:rsidRPr="00C86E67" w:rsidP="00552BE1">
      <w:pPr>
        <w:snapToGrid w:val="0"/>
        <w:spacing w:line="360" w:lineRule="auto"/>
        <w:ind w:right="315"/>
        <w:jc w:val="right"/>
        <w:rPr>
          <w:rFonts w:asciiTheme="minorEastAsia" w:eastAsiaTheme="minorEastAsia" w:hAnsiTheme="minorEastAsia"/>
          <w:color w:val="000000" w:themeColor="text1"/>
        </w:rPr>
      </w:pPr>
      <w:r w:rsidRPr="00C86E67">
        <w:rPr>
          <w:rFonts w:asciiTheme="minorEastAsia" w:eastAsiaTheme="minorEastAsia" w:hAnsiTheme="minorEastAsia"/>
          <w:color w:val="000000" w:themeColor="text1"/>
        </w:rPr>
        <w:t>2021年12月31日</w:t>
      </w:r>
    </w:p>
    <w:sectPr w:rsidSect="0013519A">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3D7" w:rsidP="002A0168">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fldChar w:fldCharType="separate"/>
    </w:r>
    <w:r>
      <w:fldChar w:fldCharType="end"/>
    </w:r>
  </w:p>
  <w:p w:rsidR="009A23D7" w:rsidP="002A016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3D7">
    <w:pPr>
      <w:pStyle w:val="Footer"/>
      <w:ind w:right="359" w:firstLine="360" w:rightChars="17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3D7" w:rsidP="002A0168">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3D7" w:rsidP="002A0168">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96</w:t>
    </w:r>
    <w:r>
      <w:rPr>
        <w:rStyle w:val="PageNumber"/>
      </w:rPr>
      <w:fldChar w:fldCharType="end"/>
    </w:r>
  </w:p>
  <w:p w:rsidR="009A23D7">
    <w:pPr>
      <w:pStyle w:val="Footer"/>
      <w:ind w:right="359" w:firstLine="360" w:rightChars="171"/>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3D7" w:rsidP="002A0168">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3D7" w:rsidRPr="00D31A2E" w:rsidP="005364CC">
    <w:pPr>
      <w:pStyle w:val="Header"/>
      <w:pBdr>
        <w:bottom w:val="none" w:sz="0" w:space="0" w:color="auto"/>
      </w:pBdr>
      <w:ind w:firstLine="0" w:firstLineChars="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3D7" w:rsidRPr="004B7993" w:rsidP="002A0168">
    <w:pPr>
      <w:pStyle w:val="Header"/>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3D7" w:rsidRPr="004B7993" w:rsidP="002A0168">
    <w:pPr>
      <w:pStyle w:val="Header"/>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D2D3E"/>
    <w:multiLevelType w:val="singleLevel"/>
    <w:tmpl w:val="8A62539A"/>
    <w:lvl w:ilvl="0">
      <w:start w:val="1"/>
      <w:numFmt w:val="decimal"/>
      <w:lvlText w:val="(%1)"/>
      <w:lvlJc w:val="left"/>
      <w:pPr>
        <w:tabs>
          <w:tab w:val="num" w:pos="425"/>
        </w:tabs>
        <w:ind w:left="425" w:hanging="425"/>
      </w:pPr>
      <w:rPr>
        <w:rFonts w:ascii="宋体" w:eastAsia="宋体" w:hint="eastAsia"/>
        <w:b w:val="0"/>
        <w:i w:val="0"/>
        <w:sz w:val="21"/>
      </w:rPr>
    </w:lvl>
  </w:abstractNum>
  <w:abstractNum w:abstractNumId="1">
    <w:nsid w:val="2359552A"/>
    <w:multiLevelType w:val="hybridMultilevel"/>
    <w:tmpl w:val="66A8970E"/>
    <w:lvl w:ilvl="0">
      <w:start w:val="1"/>
      <w:numFmt w:val="decimal"/>
      <w:lvlText w:val="%1、"/>
      <w:lvlJc w:val="left"/>
      <w:pPr>
        <w:tabs>
          <w:tab w:val="num" w:pos="900"/>
        </w:tabs>
        <w:ind w:left="900" w:hanging="420"/>
      </w:pPr>
      <w:rPr>
        <w:rFonts w:hint="default"/>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2">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3">
    <w:nsid w:val="278F45CC"/>
    <w:multiLevelType w:val="hybridMultilevel"/>
    <w:tmpl w:val="A6E08A26"/>
    <w:lvl w:ilvl="0">
      <w:start w:val="1"/>
      <w:numFmt w:val="bullet"/>
      <w:lvlText w:val=""/>
      <w:lvlJc w:val="left"/>
      <w:pPr>
        <w:tabs>
          <w:tab w:val="num" w:pos="420"/>
        </w:tabs>
        <w:ind w:left="420" w:hanging="420"/>
      </w:pPr>
      <w:rPr>
        <w:rFonts w:ascii="Wingdings" w:hAnsi="Wingdings" w:hint="default"/>
        <w:sz w:val="16"/>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nsid w:val="282A7BFB"/>
    <w:multiLevelType w:val="hybridMultilevel"/>
    <w:tmpl w:val="12883FF2"/>
    <w:lvl w:ilvl="0">
      <w:start w:val="1"/>
      <w:numFmt w:val="decimal"/>
      <w:lvlText w:val="%1、"/>
      <w:lvlJc w:val="left"/>
      <w:pPr>
        <w:tabs>
          <w:tab w:val="num" w:pos="360"/>
        </w:tabs>
        <w:ind w:left="360" w:hanging="360"/>
      </w:pPr>
      <w:rPr>
        <w:rFonts w:hint="default"/>
      </w:rPr>
    </w:lvl>
    <w:lvl w:ilvl="1">
      <w:start w:val="24"/>
      <w:numFmt w:val="decimal"/>
      <w:lvlText w:val="（%2）"/>
      <w:lvlJc w:val="left"/>
      <w:pPr>
        <w:tabs>
          <w:tab w:val="num" w:pos="1260"/>
        </w:tabs>
        <w:ind w:left="1260" w:hanging="84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
    <w:nsid w:val="2CB424B5"/>
    <w:multiLevelType w:val="hybridMultilevel"/>
    <w:tmpl w:val="C714E742"/>
    <w:lvl w:ilvl="0">
      <w:start w:val="1"/>
      <w:numFmt w:val="bullet"/>
      <w:lvlText w:val=""/>
      <w:lvlJc w:val="left"/>
      <w:pPr>
        <w:tabs>
          <w:tab w:val="num" w:pos="420"/>
        </w:tabs>
        <w:ind w:left="420" w:hanging="420"/>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nsid w:val="2E34449B"/>
    <w:multiLevelType w:val="hybridMultilevel"/>
    <w:tmpl w:val="83F606D8"/>
    <w:lvl w:ilvl="0">
      <w:start w:val="1"/>
      <w:numFmt w:val="decimal"/>
      <w:lvlText w:val="（%1）"/>
      <w:lvlJc w:val="left"/>
      <w:pPr>
        <w:ind w:left="840" w:hanging="420"/>
      </w:pPr>
      <w:rPr>
        <w:rFonts w:ascii="Arial" w:hAnsi="Arial" w:cs="Arial" w:hint="default"/>
      </w:rPr>
    </w:lvl>
    <w:lvl w:ilvl="1" w:tentative="1">
      <w:start w:val="1"/>
      <w:numFmt w:val="lowerLetter"/>
      <w:lvlText w:val="%2)"/>
      <w:lvlJc w:val="left"/>
      <w:pPr>
        <w:ind w:left="1260" w:hanging="420"/>
      </w:pPr>
    </w:lvl>
    <w:lvl w:ilvl="2">
      <w:start w:val="1"/>
      <w:numFmt w:val="decimal"/>
      <w:lvlText w:val="（%3）"/>
      <w:lvlJc w:val="left"/>
      <w:pPr>
        <w:ind w:left="1680" w:hanging="420"/>
      </w:pPr>
      <w:rPr>
        <w:rFonts w:ascii="Arial" w:hAnsi="Arial" w:cs="Arial" w:hint="default"/>
      </w:r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nsid w:val="316E0301"/>
    <w:multiLevelType w:val="hybridMultilevel"/>
    <w:tmpl w:val="33663B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
    <w:nsid w:val="35E30155"/>
    <w:multiLevelType w:val="hybridMultilevel"/>
    <w:tmpl w:val="FD403740"/>
    <w:lvl w:ilvl="0">
      <w:start w:val="1"/>
      <w:numFmt w:val="decimal"/>
      <w:lvlText w:val="%1、"/>
      <w:lvlJc w:val="left"/>
      <w:pPr>
        <w:tabs>
          <w:tab w:val="num" w:pos="6"/>
        </w:tabs>
        <w:ind w:left="426" w:firstLine="0"/>
      </w:pPr>
      <w:rPr>
        <w:rFonts w:hint="default"/>
      </w:rPr>
    </w:lvl>
    <w:lvl w:ilvl="1" w:tentative="1">
      <w:start w:val="1"/>
      <w:numFmt w:val="lowerLetter"/>
      <w:lvlText w:val="%2)"/>
      <w:lvlJc w:val="left"/>
      <w:pPr>
        <w:tabs>
          <w:tab w:val="num" w:pos="426"/>
        </w:tabs>
        <w:ind w:left="426" w:hanging="420"/>
      </w:pPr>
    </w:lvl>
    <w:lvl w:ilvl="2" w:tentative="1">
      <w:start w:val="1"/>
      <w:numFmt w:val="lowerRoman"/>
      <w:lvlText w:val="%3."/>
      <w:lvlJc w:val="right"/>
      <w:pPr>
        <w:tabs>
          <w:tab w:val="num" w:pos="846"/>
        </w:tabs>
        <w:ind w:left="846" w:hanging="420"/>
      </w:pPr>
    </w:lvl>
    <w:lvl w:ilvl="3" w:tentative="1">
      <w:start w:val="1"/>
      <w:numFmt w:val="decimal"/>
      <w:lvlText w:val="%4."/>
      <w:lvlJc w:val="left"/>
      <w:pPr>
        <w:tabs>
          <w:tab w:val="num" w:pos="1266"/>
        </w:tabs>
        <w:ind w:left="1266" w:hanging="420"/>
      </w:pPr>
    </w:lvl>
    <w:lvl w:ilvl="4" w:tentative="1">
      <w:start w:val="1"/>
      <w:numFmt w:val="lowerLetter"/>
      <w:lvlText w:val="%5)"/>
      <w:lvlJc w:val="left"/>
      <w:pPr>
        <w:tabs>
          <w:tab w:val="num" w:pos="1686"/>
        </w:tabs>
        <w:ind w:left="1686" w:hanging="420"/>
      </w:pPr>
    </w:lvl>
    <w:lvl w:ilvl="5" w:tentative="1">
      <w:start w:val="1"/>
      <w:numFmt w:val="lowerRoman"/>
      <w:lvlText w:val="%6."/>
      <w:lvlJc w:val="right"/>
      <w:pPr>
        <w:tabs>
          <w:tab w:val="num" w:pos="2106"/>
        </w:tabs>
        <w:ind w:left="2106" w:hanging="420"/>
      </w:pPr>
    </w:lvl>
    <w:lvl w:ilvl="6" w:tentative="1">
      <w:start w:val="1"/>
      <w:numFmt w:val="decimal"/>
      <w:lvlText w:val="%7."/>
      <w:lvlJc w:val="left"/>
      <w:pPr>
        <w:tabs>
          <w:tab w:val="num" w:pos="2526"/>
        </w:tabs>
        <w:ind w:left="2526" w:hanging="420"/>
      </w:pPr>
    </w:lvl>
    <w:lvl w:ilvl="7" w:tentative="1">
      <w:start w:val="1"/>
      <w:numFmt w:val="lowerLetter"/>
      <w:lvlText w:val="%8)"/>
      <w:lvlJc w:val="left"/>
      <w:pPr>
        <w:tabs>
          <w:tab w:val="num" w:pos="2946"/>
        </w:tabs>
        <w:ind w:left="2946" w:hanging="420"/>
      </w:pPr>
    </w:lvl>
    <w:lvl w:ilvl="8" w:tentative="1">
      <w:start w:val="1"/>
      <w:numFmt w:val="lowerRoman"/>
      <w:lvlText w:val="%9."/>
      <w:lvlJc w:val="right"/>
      <w:pPr>
        <w:tabs>
          <w:tab w:val="num" w:pos="3366"/>
        </w:tabs>
        <w:ind w:left="3366" w:hanging="420"/>
      </w:pPr>
    </w:lvl>
  </w:abstractNum>
  <w:abstractNum w:abstractNumId="9">
    <w:nsid w:val="3CB8123E"/>
    <w:multiLevelType w:val="hybridMultilevel"/>
    <w:tmpl w:val="333C0EB4"/>
    <w:lvl w:ilvl="0">
      <w:start w:val="1"/>
      <w:numFmt w:val="decimal"/>
      <w:lvlText w:val="（%1）"/>
      <w:lvlJc w:val="left"/>
      <w:pPr>
        <w:tabs>
          <w:tab w:val="num" w:pos="1140"/>
        </w:tabs>
        <w:ind w:left="1140" w:hanging="720"/>
      </w:pPr>
      <w:rPr>
        <w:rFonts w:hint="eastAsia"/>
      </w:rPr>
    </w:lvl>
    <w:lvl w:ilvl="1">
      <w:start w:val="1"/>
      <w:numFmt w:val="bullet"/>
      <w:lvlText w:val=""/>
      <w:lvlJc w:val="left"/>
      <w:pPr>
        <w:tabs>
          <w:tab w:val="num" w:pos="420"/>
        </w:tabs>
        <w:ind w:left="420" w:hanging="420"/>
      </w:pPr>
      <w:rPr>
        <w:rFonts w:ascii="Wingdings" w:hAnsi="Wingdings" w:hint="default"/>
        <w:sz w:val="16"/>
      </w:rPr>
    </w:lvl>
    <w:lvl w:ilvl="2">
      <w:start w:val="1"/>
      <w:numFmt w:val="lowerRoman"/>
      <w:lvlText w:val="%3."/>
      <w:lvlJc w:val="right"/>
      <w:pPr>
        <w:tabs>
          <w:tab w:val="num" w:pos="840"/>
        </w:tabs>
        <w:ind w:left="840" w:hanging="420"/>
      </w:pPr>
    </w:lvl>
    <w:lvl w:ilvl="3">
      <w:start w:val="1"/>
      <w:numFmt w:val="lowerLetter"/>
      <w:lvlText w:val="%4."/>
      <w:lvlJc w:val="left"/>
      <w:pPr>
        <w:tabs>
          <w:tab w:val="num" w:pos="1200"/>
        </w:tabs>
        <w:ind w:left="1200" w:hanging="360"/>
      </w:pPr>
      <w:rPr>
        <w:rFonts w:hint="eastAsia"/>
      </w:r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tentative="1">
      <w:start w:val="1"/>
      <w:numFmt w:val="decimal"/>
      <w:lvlText w:val="%7."/>
      <w:lvlJc w:val="left"/>
      <w:pPr>
        <w:tabs>
          <w:tab w:val="num" w:pos="2520"/>
        </w:tabs>
        <w:ind w:left="2520" w:hanging="420"/>
      </w:pPr>
    </w:lvl>
    <w:lvl w:ilvl="7" w:tentative="1">
      <w:start w:val="1"/>
      <w:numFmt w:val="lowerLetter"/>
      <w:lvlText w:val="%8)"/>
      <w:lvlJc w:val="left"/>
      <w:pPr>
        <w:tabs>
          <w:tab w:val="num" w:pos="2940"/>
        </w:tabs>
        <w:ind w:left="2940" w:hanging="420"/>
      </w:pPr>
    </w:lvl>
    <w:lvl w:ilvl="8" w:tentative="1">
      <w:start w:val="1"/>
      <w:numFmt w:val="lowerRoman"/>
      <w:lvlText w:val="%9."/>
      <w:lvlJc w:val="right"/>
      <w:pPr>
        <w:tabs>
          <w:tab w:val="num" w:pos="3360"/>
        </w:tabs>
        <w:ind w:left="3360" w:hanging="420"/>
      </w:pPr>
    </w:lvl>
  </w:abstractNum>
  <w:abstractNum w:abstractNumId="10">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CharCharCharCharCharCharChar"/>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
    <w:nsid w:val="4C9109DF"/>
    <w:multiLevelType w:val="hybridMultilevel"/>
    <w:tmpl w:val="20C6A2CE"/>
    <w:lvl w:ilvl="0">
      <w:start w:val="1"/>
      <w:numFmt w:val="decimal"/>
      <w:lvlText w:val="%1、"/>
      <w:lvlJc w:val="left"/>
      <w:pPr>
        <w:tabs>
          <w:tab w:val="num" w:pos="900"/>
        </w:tabs>
        <w:ind w:left="900" w:hanging="420"/>
      </w:pPr>
      <w:rPr>
        <w:rFonts w:hint="default"/>
      </w:rPr>
    </w:lvl>
    <w:lvl w:ilvl="1">
      <w:start w:val="1"/>
      <w:numFmt w:val="decimalEnclosedCircle"/>
      <w:lvlText w:val="%2"/>
      <w:lvlJc w:val="left"/>
      <w:pPr>
        <w:tabs>
          <w:tab w:val="num" w:pos="1260"/>
        </w:tabs>
        <w:ind w:left="1260" w:hanging="360"/>
      </w:pPr>
      <w:rPr>
        <w:rFonts w:ascii="宋体" w:hAnsi="宋体" w:hint="eastAsia"/>
      </w:r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12">
    <w:nsid w:val="5562621F"/>
    <w:multiLevelType w:val="hybridMultilevel"/>
    <w:tmpl w:val="1A3A79AA"/>
    <w:lvl w:ilvl="0">
      <w:start w:val="1"/>
      <w:numFmt w:val="decimal"/>
      <w:lvlText w:val="%1."/>
      <w:lvlJc w:val="left"/>
      <w:pPr>
        <w:tabs>
          <w:tab w:val="num" w:pos="780"/>
        </w:tabs>
        <w:ind w:left="420" w:firstLine="0"/>
      </w:pPr>
      <w:rPr>
        <w:rFonts w:hint="eastAsia"/>
      </w:rPr>
    </w:lvl>
    <w:lvl w:ilvl="1">
      <w:start w:val="1"/>
      <w:numFmt w:val="decimal"/>
      <w:lvlText w:val="（%2）"/>
      <w:lvlJc w:val="left"/>
      <w:pPr>
        <w:tabs>
          <w:tab w:val="num" w:pos="1134"/>
        </w:tabs>
        <w:ind w:left="1134" w:hanging="714"/>
      </w:pPr>
      <w:rPr>
        <w:rFonts w:hint="eastAsia"/>
      </w:rPr>
    </w:lvl>
    <w:lvl w:ilvl="2">
      <w:start w:val="1"/>
      <w:numFmt w:val="decimal"/>
      <w:lvlText w:val="%3"/>
      <w:lvlJc w:val="left"/>
      <w:pPr>
        <w:tabs>
          <w:tab w:val="num" w:pos="780"/>
        </w:tabs>
        <w:ind w:left="420" w:firstLine="0"/>
      </w:pPr>
      <w:rPr>
        <w:rFonts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
    <w:nsid w:val="5693180F"/>
    <w:multiLevelType w:val="hybridMultilevel"/>
    <w:tmpl w:val="4C1890C8"/>
    <w:lvl w:ilvl="0">
      <w:start w:val="1"/>
      <w:numFmt w:val="decimal"/>
      <w:lvlText w:val="%1、"/>
      <w:lvlJc w:val="left"/>
      <w:pPr>
        <w:tabs>
          <w:tab w:val="num" w:pos="780"/>
        </w:tabs>
        <w:ind w:left="420" w:firstLine="0"/>
      </w:pPr>
      <w:rPr>
        <w:rFonts w:hint="default"/>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
    <w:nsid w:val="5AC03B02"/>
    <w:multiLevelType w:val="hybridMultilevel"/>
    <w:tmpl w:val="96246D3C"/>
    <w:lvl w:ilvl="0">
      <w:start w:val="1"/>
      <w:numFmt w:val="decimal"/>
      <w:lvlText w:val="%1、"/>
      <w:lvlJc w:val="left"/>
      <w:pPr>
        <w:tabs>
          <w:tab w:val="num" w:pos="1065"/>
        </w:tabs>
        <w:ind w:left="1065" w:hanging="645"/>
      </w:pPr>
      <w:rPr>
        <w:rFonts w:hint="default"/>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5">
    <w:nsid w:val="623554FE"/>
    <w:multiLevelType w:val="hybridMultilevel"/>
    <w:tmpl w:val="988A82FE"/>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
    <w:nsid w:val="63B42CF3"/>
    <w:multiLevelType w:val="hybridMultilevel"/>
    <w:tmpl w:val="1DF49F36"/>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18">
    <w:nsid w:val="670D2E3A"/>
    <w:multiLevelType w:val="hybridMultilevel"/>
    <w:tmpl w:val="879AA5C0"/>
    <w:lvl w:ilvl="0">
      <w:start w:val="1"/>
      <w:numFmt w:val="decimal"/>
      <w:lvlText w:val="%1、"/>
      <w:lvlJc w:val="left"/>
      <w:pPr>
        <w:tabs>
          <w:tab w:val="num" w:pos="0"/>
        </w:tabs>
        <w:ind w:left="420" w:firstLine="0"/>
      </w:pPr>
      <w:rPr>
        <w:rFonts w:hint="default"/>
      </w:rPr>
    </w:lvl>
    <w:lvl w:ilvl="1" w:tentative="1">
      <w:start w:val="1"/>
      <w:numFmt w:val="lowerLetter"/>
      <w:lvlText w:val="%2)"/>
      <w:lvlJc w:val="left"/>
      <w:pPr>
        <w:tabs>
          <w:tab w:val="num" w:pos="420"/>
        </w:tabs>
        <w:ind w:left="420" w:hanging="420"/>
      </w:pPr>
    </w:lvl>
    <w:lvl w:ilvl="2" w:tentative="1">
      <w:start w:val="1"/>
      <w:numFmt w:val="lowerRoman"/>
      <w:lvlText w:val="%3."/>
      <w:lvlJc w:val="right"/>
      <w:pPr>
        <w:tabs>
          <w:tab w:val="num" w:pos="840"/>
        </w:tabs>
        <w:ind w:left="840" w:hanging="420"/>
      </w:pPr>
    </w:lvl>
    <w:lvl w:ilvl="3" w:tentative="1">
      <w:start w:val="1"/>
      <w:numFmt w:val="decimal"/>
      <w:lvlText w:val="%4."/>
      <w:lvlJc w:val="left"/>
      <w:pPr>
        <w:tabs>
          <w:tab w:val="num" w:pos="1260"/>
        </w:tabs>
        <w:ind w:left="1260" w:hanging="420"/>
      </w:pPr>
    </w:lvl>
    <w:lvl w:ilvl="4" w:tentative="1">
      <w:start w:val="1"/>
      <w:numFmt w:val="lowerLetter"/>
      <w:lvlText w:val="%5)"/>
      <w:lvlJc w:val="left"/>
      <w:pPr>
        <w:tabs>
          <w:tab w:val="num" w:pos="1680"/>
        </w:tabs>
        <w:ind w:left="1680" w:hanging="420"/>
      </w:pPr>
    </w:lvl>
    <w:lvl w:ilvl="5" w:tentative="1">
      <w:start w:val="1"/>
      <w:numFmt w:val="lowerRoman"/>
      <w:lvlText w:val="%6."/>
      <w:lvlJc w:val="right"/>
      <w:pPr>
        <w:tabs>
          <w:tab w:val="num" w:pos="2100"/>
        </w:tabs>
        <w:ind w:left="2100" w:hanging="420"/>
      </w:pPr>
    </w:lvl>
    <w:lvl w:ilvl="6" w:tentative="1">
      <w:start w:val="1"/>
      <w:numFmt w:val="decimal"/>
      <w:lvlText w:val="%7."/>
      <w:lvlJc w:val="left"/>
      <w:pPr>
        <w:tabs>
          <w:tab w:val="num" w:pos="2520"/>
        </w:tabs>
        <w:ind w:left="2520" w:hanging="420"/>
      </w:pPr>
    </w:lvl>
    <w:lvl w:ilvl="7" w:tentative="1">
      <w:start w:val="1"/>
      <w:numFmt w:val="lowerLetter"/>
      <w:lvlText w:val="%8)"/>
      <w:lvlJc w:val="left"/>
      <w:pPr>
        <w:tabs>
          <w:tab w:val="num" w:pos="2940"/>
        </w:tabs>
        <w:ind w:left="2940" w:hanging="420"/>
      </w:pPr>
    </w:lvl>
    <w:lvl w:ilvl="8" w:tentative="1">
      <w:start w:val="1"/>
      <w:numFmt w:val="lowerRoman"/>
      <w:lvlText w:val="%9."/>
      <w:lvlJc w:val="right"/>
      <w:pPr>
        <w:tabs>
          <w:tab w:val="num" w:pos="3360"/>
        </w:tabs>
        <w:ind w:left="3360" w:hanging="420"/>
      </w:pPr>
    </w:lvl>
  </w:abstractNum>
  <w:abstractNum w:abstractNumId="19">
    <w:nsid w:val="69996945"/>
    <w:multiLevelType w:val="hybridMultilevel"/>
    <w:tmpl w:val="C21C2A68"/>
    <w:lvl w:ilvl="0">
      <w:start w:val="1"/>
      <w:numFmt w:val="upperLetter"/>
      <w:lvlText w:val="%1."/>
      <w:lvlJc w:val="left"/>
      <w:pPr>
        <w:tabs>
          <w:tab w:val="num" w:pos="902"/>
        </w:tabs>
        <w:ind w:left="902" w:hanging="420"/>
      </w:pPr>
    </w:lvl>
    <w:lvl w:ilvl="1">
      <w:start w:val="1"/>
      <w:numFmt w:val="lowerLetter"/>
      <w:lvlText w:val="%2)"/>
      <w:lvlJc w:val="left"/>
      <w:pPr>
        <w:tabs>
          <w:tab w:val="num" w:pos="1322"/>
        </w:tabs>
        <w:ind w:left="1322" w:hanging="420"/>
      </w:pPr>
    </w:lvl>
    <w:lvl w:ilvl="2" w:tentative="1">
      <w:start w:val="1"/>
      <w:numFmt w:val="lowerRoman"/>
      <w:lvlText w:val="%3."/>
      <w:lvlJc w:val="right"/>
      <w:pPr>
        <w:tabs>
          <w:tab w:val="num" w:pos="1742"/>
        </w:tabs>
        <w:ind w:left="1742" w:hanging="420"/>
      </w:pPr>
    </w:lvl>
    <w:lvl w:ilvl="3" w:tentative="1">
      <w:start w:val="1"/>
      <w:numFmt w:val="decimal"/>
      <w:lvlText w:val="%4."/>
      <w:lvlJc w:val="left"/>
      <w:pPr>
        <w:tabs>
          <w:tab w:val="num" w:pos="2162"/>
        </w:tabs>
        <w:ind w:left="2162" w:hanging="420"/>
      </w:pPr>
    </w:lvl>
    <w:lvl w:ilvl="4" w:tentative="1">
      <w:start w:val="1"/>
      <w:numFmt w:val="lowerLetter"/>
      <w:lvlText w:val="%5)"/>
      <w:lvlJc w:val="left"/>
      <w:pPr>
        <w:tabs>
          <w:tab w:val="num" w:pos="2582"/>
        </w:tabs>
        <w:ind w:left="2582" w:hanging="420"/>
      </w:pPr>
    </w:lvl>
    <w:lvl w:ilvl="5" w:tentative="1">
      <w:start w:val="1"/>
      <w:numFmt w:val="lowerRoman"/>
      <w:lvlText w:val="%6."/>
      <w:lvlJc w:val="right"/>
      <w:pPr>
        <w:tabs>
          <w:tab w:val="num" w:pos="3002"/>
        </w:tabs>
        <w:ind w:left="3002" w:hanging="420"/>
      </w:pPr>
    </w:lvl>
    <w:lvl w:ilvl="6" w:tentative="1">
      <w:start w:val="1"/>
      <w:numFmt w:val="decimal"/>
      <w:lvlText w:val="%7."/>
      <w:lvlJc w:val="left"/>
      <w:pPr>
        <w:tabs>
          <w:tab w:val="num" w:pos="3422"/>
        </w:tabs>
        <w:ind w:left="3422" w:hanging="420"/>
      </w:pPr>
    </w:lvl>
    <w:lvl w:ilvl="7" w:tentative="1">
      <w:start w:val="1"/>
      <w:numFmt w:val="lowerLetter"/>
      <w:lvlText w:val="%8)"/>
      <w:lvlJc w:val="left"/>
      <w:pPr>
        <w:tabs>
          <w:tab w:val="num" w:pos="3842"/>
        </w:tabs>
        <w:ind w:left="3842" w:hanging="420"/>
      </w:pPr>
    </w:lvl>
    <w:lvl w:ilvl="8" w:tentative="1">
      <w:start w:val="1"/>
      <w:numFmt w:val="lowerRoman"/>
      <w:lvlText w:val="%9."/>
      <w:lvlJc w:val="right"/>
      <w:pPr>
        <w:tabs>
          <w:tab w:val="num" w:pos="4262"/>
        </w:tabs>
        <w:ind w:left="4262" w:hanging="420"/>
      </w:pPr>
    </w:lvl>
  </w:abstractNum>
  <w:abstractNum w:abstractNumId="20">
    <w:nsid w:val="6FE147B6"/>
    <w:multiLevelType w:val="singleLevel"/>
    <w:tmpl w:val="5DAA9A04"/>
    <w:lvl w:ilvl="0">
      <w:start w:val="1"/>
      <w:numFmt w:val="decimal"/>
      <w:pStyle w:val="Subtitle"/>
      <w:lvlText w:val="(%1)"/>
      <w:lvlJc w:val="left"/>
      <w:pPr>
        <w:tabs>
          <w:tab w:val="num" w:pos="360"/>
        </w:tabs>
        <w:ind w:left="0" w:firstLine="0"/>
      </w:pPr>
      <w:rPr>
        <w:rFonts w:hint="eastAsia"/>
      </w:rPr>
    </w:lvl>
  </w:abstractNum>
  <w:num w:numId="1">
    <w:abstractNumId w:val="2"/>
  </w:num>
  <w:num w:numId="2">
    <w:abstractNumId w:val="17"/>
  </w:num>
  <w:num w:numId="3">
    <w:abstractNumId w:val="10"/>
  </w:num>
  <w:num w:numId="4">
    <w:abstractNumId w:val="11"/>
  </w:num>
  <w:num w:numId="5">
    <w:abstractNumId w:val="1"/>
  </w:num>
  <w:num w:numId="6">
    <w:abstractNumId w:val="12"/>
  </w:num>
  <w:num w:numId="7">
    <w:abstractNumId w:val="7"/>
  </w:num>
  <w:num w:numId="8">
    <w:abstractNumId w:val="4"/>
  </w:num>
  <w:num w:numId="9">
    <w:abstractNumId w:val="14"/>
  </w:num>
  <w:num w:numId="10">
    <w:abstractNumId w:val="0"/>
  </w:num>
  <w:num w:numId="11">
    <w:abstractNumId w:val="13"/>
  </w:num>
  <w:num w:numId="12">
    <w:abstractNumId w:val="19"/>
  </w:num>
  <w:num w:numId="13">
    <w:abstractNumId w:val="20"/>
  </w:num>
  <w:num w:numId="14">
    <w:abstractNumId w:val="9"/>
  </w:num>
  <w:num w:numId="15">
    <w:abstractNumId w:val="15"/>
  </w:num>
  <w:num w:numId="16">
    <w:abstractNumId w:val="16"/>
  </w:num>
  <w:num w:numId="17">
    <w:abstractNumId w:val="5"/>
  </w:num>
  <w:num w:numId="18">
    <w:abstractNumId w:val="3"/>
  </w:num>
  <w:num w:numId="19">
    <w:abstractNumId w:val="18"/>
  </w:num>
  <w:num w:numId="20">
    <w:abstractNumId w:val="8"/>
  </w:num>
  <w:num w:numId="2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4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C35BC5"/>
    <w:rsid w:val="00001016"/>
    <w:rsid w:val="000043CA"/>
    <w:rsid w:val="000045D4"/>
    <w:rsid w:val="000150BC"/>
    <w:rsid w:val="00016F1C"/>
    <w:rsid w:val="00020A4D"/>
    <w:rsid w:val="000240EB"/>
    <w:rsid w:val="00024290"/>
    <w:rsid w:val="00025B60"/>
    <w:rsid w:val="000342D0"/>
    <w:rsid w:val="00037B59"/>
    <w:rsid w:val="00040DAE"/>
    <w:rsid w:val="00046AFB"/>
    <w:rsid w:val="00047990"/>
    <w:rsid w:val="00054718"/>
    <w:rsid w:val="00063CA4"/>
    <w:rsid w:val="0006600F"/>
    <w:rsid w:val="00067BA7"/>
    <w:rsid w:val="00075B44"/>
    <w:rsid w:val="00084F6A"/>
    <w:rsid w:val="00094E6A"/>
    <w:rsid w:val="000A2154"/>
    <w:rsid w:val="000A24C5"/>
    <w:rsid w:val="000A33E9"/>
    <w:rsid w:val="000A6039"/>
    <w:rsid w:val="000A7D14"/>
    <w:rsid w:val="000B52F0"/>
    <w:rsid w:val="000C09CB"/>
    <w:rsid w:val="000C24AC"/>
    <w:rsid w:val="000C4327"/>
    <w:rsid w:val="000C5D3B"/>
    <w:rsid w:val="000D20F3"/>
    <w:rsid w:val="000D2336"/>
    <w:rsid w:val="000D7734"/>
    <w:rsid w:val="000E16CA"/>
    <w:rsid w:val="000E1962"/>
    <w:rsid w:val="000E5ECA"/>
    <w:rsid w:val="000E7840"/>
    <w:rsid w:val="000F0628"/>
    <w:rsid w:val="000F326B"/>
    <w:rsid w:val="000F5B9D"/>
    <w:rsid w:val="000F70FB"/>
    <w:rsid w:val="00107414"/>
    <w:rsid w:val="0011043B"/>
    <w:rsid w:val="00110C0D"/>
    <w:rsid w:val="00111E01"/>
    <w:rsid w:val="00121DBE"/>
    <w:rsid w:val="0012204A"/>
    <w:rsid w:val="001243DA"/>
    <w:rsid w:val="00125366"/>
    <w:rsid w:val="00126B45"/>
    <w:rsid w:val="00130A92"/>
    <w:rsid w:val="00131753"/>
    <w:rsid w:val="0013499E"/>
    <w:rsid w:val="0013519A"/>
    <w:rsid w:val="00136BDC"/>
    <w:rsid w:val="00141042"/>
    <w:rsid w:val="001462CC"/>
    <w:rsid w:val="00146A02"/>
    <w:rsid w:val="00151707"/>
    <w:rsid w:val="00152818"/>
    <w:rsid w:val="001541AC"/>
    <w:rsid w:val="001636CA"/>
    <w:rsid w:val="00170BAB"/>
    <w:rsid w:val="00173CCB"/>
    <w:rsid w:val="00174B6A"/>
    <w:rsid w:val="00181730"/>
    <w:rsid w:val="0018581D"/>
    <w:rsid w:val="0018727C"/>
    <w:rsid w:val="001874D8"/>
    <w:rsid w:val="001921E9"/>
    <w:rsid w:val="001924C9"/>
    <w:rsid w:val="001947A3"/>
    <w:rsid w:val="001B277E"/>
    <w:rsid w:val="001C3B8B"/>
    <w:rsid w:val="001C576A"/>
    <w:rsid w:val="001C6B95"/>
    <w:rsid w:val="001D7A29"/>
    <w:rsid w:val="001E0710"/>
    <w:rsid w:val="001E7905"/>
    <w:rsid w:val="001F1E99"/>
    <w:rsid w:val="001F3B8E"/>
    <w:rsid w:val="001F47B6"/>
    <w:rsid w:val="001F771B"/>
    <w:rsid w:val="00211C28"/>
    <w:rsid w:val="00212C58"/>
    <w:rsid w:val="00212E3C"/>
    <w:rsid w:val="00214F6B"/>
    <w:rsid w:val="00215D8B"/>
    <w:rsid w:val="0021708B"/>
    <w:rsid w:val="00224591"/>
    <w:rsid w:val="00227297"/>
    <w:rsid w:val="002315B8"/>
    <w:rsid w:val="002338D2"/>
    <w:rsid w:val="0023549B"/>
    <w:rsid w:val="00237671"/>
    <w:rsid w:val="0024098F"/>
    <w:rsid w:val="00240E28"/>
    <w:rsid w:val="0024725C"/>
    <w:rsid w:val="00247A89"/>
    <w:rsid w:val="002504F1"/>
    <w:rsid w:val="00251F65"/>
    <w:rsid w:val="00252CA4"/>
    <w:rsid w:val="00254A49"/>
    <w:rsid w:val="0025556B"/>
    <w:rsid w:val="002564C2"/>
    <w:rsid w:val="00260AC5"/>
    <w:rsid w:val="00262477"/>
    <w:rsid w:val="0026267F"/>
    <w:rsid w:val="00262826"/>
    <w:rsid w:val="00270A0D"/>
    <w:rsid w:val="00282E48"/>
    <w:rsid w:val="0028513A"/>
    <w:rsid w:val="00291C79"/>
    <w:rsid w:val="002944F1"/>
    <w:rsid w:val="00295178"/>
    <w:rsid w:val="00296C5D"/>
    <w:rsid w:val="00297644"/>
    <w:rsid w:val="002A0168"/>
    <w:rsid w:val="002A043D"/>
    <w:rsid w:val="002B0131"/>
    <w:rsid w:val="002B0152"/>
    <w:rsid w:val="002B56BA"/>
    <w:rsid w:val="002B68CA"/>
    <w:rsid w:val="002C2586"/>
    <w:rsid w:val="002C2AF0"/>
    <w:rsid w:val="002C3C91"/>
    <w:rsid w:val="002C736E"/>
    <w:rsid w:val="002D39E9"/>
    <w:rsid w:val="002D5CC8"/>
    <w:rsid w:val="002E2942"/>
    <w:rsid w:val="002E3760"/>
    <w:rsid w:val="002E6F8D"/>
    <w:rsid w:val="002E7578"/>
    <w:rsid w:val="002E7D9F"/>
    <w:rsid w:val="002F5672"/>
    <w:rsid w:val="002F61BB"/>
    <w:rsid w:val="00300F51"/>
    <w:rsid w:val="00301D6E"/>
    <w:rsid w:val="00302AED"/>
    <w:rsid w:val="0030331F"/>
    <w:rsid w:val="00306E6D"/>
    <w:rsid w:val="003131CE"/>
    <w:rsid w:val="00313A9A"/>
    <w:rsid w:val="00314B1A"/>
    <w:rsid w:val="00314C58"/>
    <w:rsid w:val="003153E8"/>
    <w:rsid w:val="0031600F"/>
    <w:rsid w:val="003176AB"/>
    <w:rsid w:val="00323BE2"/>
    <w:rsid w:val="00331969"/>
    <w:rsid w:val="00332B22"/>
    <w:rsid w:val="00332B90"/>
    <w:rsid w:val="003330E6"/>
    <w:rsid w:val="003352D9"/>
    <w:rsid w:val="003421C3"/>
    <w:rsid w:val="00342B35"/>
    <w:rsid w:val="0034516B"/>
    <w:rsid w:val="00351A31"/>
    <w:rsid w:val="003543F1"/>
    <w:rsid w:val="003660E5"/>
    <w:rsid w:val="003676A4"/>
    <w:rsid w:val="00367CD8"/>
    <w:rsid w:val="00371AA7"/>
    <w:rsid w:val="00372259"/>
    <w:rsid w:val="00375257"/>
    <w:rsid w:val="00375539"/>
    <w:rsid w:val="00377FAE"/>
    <w:rsid w:val="003834D2"/>
    <w:rsid w:val="00383A29"/>
    <w:rsid w:val="00384510"/>
    <w:rsid w:val="003930D6"/>
    <w:rsid w:val="003954C9"/>
    <w:rsid w:val="00395C9A"/>
    <w:rsid w:val="00396AAC"/>
    <w:rsid w:val="00396CAE"/>
    <w:rsid w:val="003A1C8A"/>
    <w:rsid w:val="003B074E"/>
    <w:rsid w:val="003B2DD4"/>
    <w:rsid w:val="003B6009"/>
    <w:rsid w:val="003C78BB"/>
    <w:rsid w:val="003C7B11"/>
    <w:rsid w:val="003D0DE7"/>
    <w:rsid w:val="003D2DD1"/>
    <w:rsid w:val="003D348C"/>
    <w:rsid w:val="003E63CA"/>
    <w:rsid w:val="003E6AC8"/>
    <w:rsid w:val="003E6F65"/>
    <w:rsid w:val="003E7941"/>
    <w:rsid w:val="003E7E35"/>
    <w:rsid w:val="003F6CEE"/>
    <w:rsid w:val="00412012"/>
    <w:rsid w:val="004206F7"/>
    <w:rsid w:val="00421ED5"/>
    <w:rsid w:val="00421F9A"/>
    <w:rsid w:val="004241B1"/>
    <w:rsid w:val="00437E7C"/>
    <w:rsid w:val="00442044"/>
    <w:rsid w:val="00447902"/>
    <w:rsid w:val="004521C8"/>
    <w:rsid w:val="004539C6"/>
    <w:rsid w:val="00453CD8"/>
    <w:rsid w:val="004573DE"/>
    <w:rsid w:val="004628D0"/>
    <w:rsid w:val="004643D5"/>
    <w:rsid w:val="0046627F"/>
    <w:rsid w:val="004679CF"/>
    <w:rsid w:val="00467CBF"/>
    <w:rsid w:val="00477CF5"/>
    <w:rsid w:val="004814BE"/>
    <w:rsid w:val="00487415"/>
    <w:rsid w:val="0049308F"/>
    <w:rsid w:val="004A134D"/>
    <w:rsid w:val="004A2A19"/>
    <w:rsid w:val="004B078E"/>
    <w:rsid w:val="004B4149"/>
    <w:rsid w:val="004B7993"/>
    <w:rsid w:val="004C10E1"/>
    <w:rsid w:val="004C1E5D"/>
    <w:rsid w:val="004C3433"/>
    <w:rsid w:val="004C397F"/>
    <w:rsid w:val="004C3CCB"/>
    <w:rsid w:val="004C4393"/>
    <w:rsid w:val="004C7328"/>
    <w:rsid w:val="004D1314"/>
    <w:rsid w:val="004D1CDE"/>
    <w:rsid w:val="004D3B26"/>
    <w:rsid w:val="004E3920"/>
    <w:rsid w:val="004E69F8"/>
    <w:rsid w:val="004F226F"/>
    <w:rsid w:val="004F2280"/>
    <w:rsid w:val="004F38EF"/>
    <w:rsid w:val="004F3D5D"/>
    <w:rsid w:val="004F6E9A"/>
    <w:rsid w:val="00500D8D"/>
    <w:rsid w:val="00501A43"/>
    <w:rsid w:val="00506D31"/>
    <w:rsid w:val="00507F5D"/>
    <w:rsid w:val="00511289"/>
    <w:rsid w:val="005149F0"/>
    <w:rsid w:val="00522BDF"/>
    <w:rsid w:val="005272AC"/>
    <w:rsid w:val="00535BF1"/>
    <w:rsid w:val="005364CC"/>
    <w:rsid w:val="0054541A"/>
    <w:rsid w:val="0054679B"/>
    <w:rsid w:val="00552B48"/>
    <w:rsid w:val="00552BE1"/>
    <w:rsid w:val="005539D6"/>
    <w:rsid w:val="00553A4C"/>
    <w:rsid w:val="00554F32"/>
    <w:rsid w:val="0055517E"/>
    <w:rsid w:val="00556E6F"/>
    <w:rsid w:val="00565E0D"/>
    <w:rsid w:val="005731BC"/>
    <w:rsid w:val="00577651"/>
    <w:rsid w:val="00577665"/>
    <w:rsid w:val="00580BA2"/>
    <w:rsid w:val="00580CCF"/>
    <w:rsid w:val="00583EB6"/>
    <w:rsid w:val="00596D6E"/>
    <w:rsid w:val="00597477"/>
    <w:rsid w:val="005A17B0"/>
    <w:rsid w:val="005B6735"/>
    <w:rsid w:val="005B730D"/>
    <w:rsid w:val="005C174F"/>
    <w:rsid w:val="005C20C2"/>
    <w:rsid w:val="005C683A"/>
    <w:rsid w:val="005C70DD"/>
    <w:rsid w:val="005D059D"/>
    <w:rsid w:val="005D1BCE"/>
    <w:rsid w:val="005E2891"/>
    <w:rsid w:val="005E6889"/>
    <w:rsid w:val="005F2321"/>
    <w:rsid w:val="005F236D"/>
    <w:rsid w:val="005F277D"/>
    <w:rsid w:val="005F38C0"/>
    <w:rsid w:val="005F4834"/>
    <w:rsid w:val="0060156A"/>
    <w:rsid w:val="00601FFA"/>
    <w:rsid w:val="00602881"/>
    <w:rsid w:val="006036A6"/>
    <w:rsid w:val="00610C23"/>
    <w:rsid w:val="0061477E"/>
    <w:rsid w:val="00614FA2"/>
    <w:rsid w:val="00615702"/>
    <w:rsid w:val="00615F5B"/>
    <w:rsid w:val="006170A9"/>
    <w:rsid w:val="00621D10"/>
    <w:rsid w:val="00626FBC"/>
    <w:rsid w:val="00627417"/>
    <w:rsid w:val="00627813"/>
    <w:rsid w:val="00627BD2"/>
    <w:rsid w:val="00632EFB"/>
    <w:rsid w:val="00633A78"/>
    <w:rsid w:val="00635237"/>
    <w:rsid w:val="006369DC"/>
    <w:rsid w:val="00642BB8"/>
    <w:rsid w:val="00647A42"/>
    <w:rsid w:val="00651F68"/>
    <w:rsid w:val="006523EA"/>
    <w:rsid w:val="0065401C"/>
    <w:rsid w:val="00654E45"/>
    <w:rsid w:val="00657327"/>
    <w:rsid w:val="00662EE8"/>
    <w:rsid w:val="00665167"/>
    <w:rsid w:val="00667012"/>
    <w:rsid w:val="0067002D"/>
    <w:rsid w:val="006714D4"/>
    <w:rsid w:val="00673842"/>
    <w:rsid w:val="00673B2D"/>
    <w:rsid w:val="00682DB2"/>
    <w:rsid w:val="006928D9"/>
    <w:rsid w:val="00695949"/>
    <w:rsid w:val="006A09C2"/>
    <w:rsid w:val="006A570A"/>
    <w:rsid w:val="006A72CC"/>
    <w:rsid w:val="006A72E4"/>
    <w:rsid w:val="006B4461"/>
    <w:rsid w:val="006B49A4"/>
    <w:rsid w:val="006B4EC3"/>
    <w:rsid w:val="006B5580"/>
    <w:rsid w:val="006B6E7E"/>
    <w:rsid w:val="006C728E"/>
    <w:rsid w:val="006C7383"/>
    <w:rsid w:val="006D50CF"/>
    <w:rsid w:val="006E6796"/>
    <w:rsid w:val="006F3266"/>
    <w:rsid w:val="006F50D0"/>
    <w:rsid w:val="006F7BE0"/>
    <w:rsid w:val="00703ED2"/>
    <w:rsid w:val="0070406E"/>
    <w:rsid w:val="00707AE6"/>
    <w:rsid w:val="007110DB"/>
    <w:rsid w:val="00714924"/>
    <w:rsid w:val="00716D81"/>
    <w:rsid w:val="00717029"/>
    <w:rsid w:val="00717BE1"/>
    <w:rsid w:val="00720449"/>
    <w:rsid w:val="00724311"/>
    <w:rsid w:val="00731B05"/>
    <w:rsid w:val="0073370B"/>
    <w:rsid w:val="007417EC"/>
    <w:rsid w:val="00744EEE"/>
    <w:rsid w:val="0075006C"/>
    <w:rsid w:val="0075264E"/>
    <w:rsid w:val="00752755"/>
    <w:rsid w:val="00753935"/>
    <w:rsid w:val="00753CA6"/>
    <w:rsid w:val="007550E3"/>
    <w:rsid w:val="0076029E"/>
    <w:rsid w:val="00762CA9"/>
    <w:rsid w:val="0076351E"/>
    <w:rsid w:val="00767753"/>
    <w:rsid w:val="0079120D"/>
    <w:rsid w:val="00792BB9"/>
    <w:rsid w:val="00794547"/>
    <w:rsid w:val="0079567F"/>
    <w:rsid w:val="00797C7A"/>
    <w:rsid w:val="007A30B3"/>
    <w:rsid w:val="007A57BD"/>
    <w:rsid w:val="007A62B0"/>
    <w:rsid w:val="007B082E"/>
    <w:rsid w:val="007C0306"/>
    <w:rsid w:val="007C611B"/>
    <w:rsid w:val="007C6B13"/>
    <w:rsid w:val="007C7712"/>
    <w:rsid w:val="007D41BD"/>
    <w:rsid w:val="007E2911"/>
    <w:rsid w:val="007E2C57"/>
    <w:rsid w:val="007E42FF"/>
    <w:rsid w:val="007E7D82"/>
    <w:rsid w:val="007F2278"/>
    <w:rsid w:val="007F35CE"/>
    <w:rsid w:val="00804AB9"/>
    <w:rsid w:val="00805B85"/>
    <w:rsid w:val="00807376"/>
    <w:rsid w:val="0081467A"/>
    <w:rsid w:val="00816144"/>
    <w:rsid w:val="00816413"/>
    <w:rsid w:val="0081715E"/>
    <w:rsid w:val="00817E5A"/>
    <w:rsid w:val="00820053"/>
    <w:rsid w:val="00833746"/>
    <w:rsid w:val="008358E5"/>
    <w:rsid w:val="00836F6B"/>
    <w:rsid w:val="00840A1B"/>
    <w:rsid w:val="008447DF"/>
    <w:rsid w:val="00846512"/>
    <w:rsid w:val="00847514"/>
    <w:rsid w:val="00850C06"/>
    <w:rsid w:val="0085336B"/>
    <w:rsid w:val="00855E21"/>
    <w:rsid w:val="00862E2A"/>
    <w:rsid w:val="00866A48"/>
    <w:rsid w:val="0086708C"/>
    <w:rsid w:val="008729A3"/>
    <w:rsid w:val="00872FDF"/>
    <w:rsid w:val="008864C4"/>
    <w:rsid w:val="0088766A"/>
    <w:rsid w:val="008963C8"/>
    <w:rsid w:val="008A377E"/>
    <w:rsid w:val="008A4F39"/>
    <w:rsid w:val="008A5AF3"/>
    <w:rsid w:val="008A6B65"/>
    <w:rsid w:val="008B053F"/>
    <w:rsid w:val="008B2D77"/>
    <w:rsid w:val="008B304E"/>
    <w:rsid w:val="008C1942"/>
    <w:rsid w:val="008C2ACA"/>
    <w:rsid w:val="008C7ED3"/>
    <w:rsid w:val="008D0789"/>
    <w:rsid w:val="008E1085"/>
    <w:rsid w:val="008E615B"/>
    <w:rsid w:val="008E68A1"/>
    <w:rsid w:val="008F5FDB"/>
    <w:rsid w:val="008F6ADE"/>
    <w:rsid w:val="008F7725"/>
    <w:rsid w:val="00904A41"/>
    <w:rsid w:val="00914DE2"/>
    <w:rsid w:val="00923056"/>
    <w:rsid w:val="009232EF"/>
    <w:rsid w:val="0093167D"/>
    <w:rsid w:val="00931D6D"/>
    <w:rsid w:val="00932766"/>
    <w:rsid w:val="00933F3A"/>
    <w:rsid w:val="00935D51"/>
    <w:rsid w:val="00944A1A"/>
    <w:rsid w:val="009510FA"/>
    <w:rsid w:val="00951104"/>
    <w:rsid w:val="00957C38"/>
    <w:rsid w:val="00962912"/>
    <w:rsid w:val="0096469D"/>
    <w:rsid w:val="00965319"/>
    <w:rsid w:val="00965F65"/>
    <w:rsid w:val="0096650E"/>
    <w:rsid w:val="009703F1"/>
    <w:rsid w:val="00971547"/>
    <w:rsid w:val="0097335B"/>
    <w:rsid w:val="009754DC"/>
    <w:rsid w:val="009759AC"/>
    <w:rsid w:val="00977BE2"/>
    <w:rsid w:val="00981218"/>
    <w:rsid w:val="0098488E"/>
    <w:rsid w:val="00985D67"/>
    <w:rsid w:val="009869DE"/>
    <w:rsid w:val="009869E1"/>
    <w:rsid w:val="00993C6A"/>
    <w:rsid w:val="00996110"/>
    <w:rsid w:val="009A1961"/>
    <w:rsid w:val="009A23D7"/>
    <w:rsid w:val="009B2F9D"/>
    <w:rsid w:val="009C2189"/>
    <w:rsid w:val="009C6025"/>
    <w:rsid w:val="009C7187"/>
    <w:rsid w:val="009D1045"/>
    <w:rsid w:val="009D1B54"/>
    <w:rsid w:val="009D2F19"/>
    <w:rsid w:val="009D3465"/>
    <w:rsid w:val="009D368B"/>
    <w:rsid w:val="009D70B6"/>
    <w:rsid w:val="009E22B4"/>
    <w:rsid w:val="00A07D1C"/>
    <w:rsid w:val="00A11BDF"/>
    <w:rsid w:val="00A13DBA"/>
    <w:rsid w:val="00A13FDB"/>
    <w:rsid w:val="00A1432B"/>
    <w:rsid w:val="00A2375A"/>
    <w:rsid w:val="00A24CC1"/>
    <w:rsid w:val="00A300FE"/>
    <w:rsid w:val="00A3118E"/>
    <w:rsid w:val="00A377F3"/>
    <w:rsid w:val="00A4121D"/>
    <w:rsid w:val="00A424FA"/>
    <w:rsid w:val="00A45EE9"/>
    <w:rsid w:val="00A46E73"/>
    <w:rsid w:val="00A4720F"/>
    <w:rsid w:val="00A53E47"/>
    <w:rsid w:val="00A626CA"/>
    <w:rsid w:val="00A66D08"/>
    <w:rsid w:val="00A726EF"/>
    <w:rsid w:val="00A75B98"/>
    <w:rsid w:val="00A75FD5"/>
    <w:rsid w:val="00A777CC"/>
    <w:rsid w:val="00A77C59"/>
    <w:rsid w:val="00A81355"/>
    <w:rsid w:val="00A838BC"/>
    <w:rsid w:val="00A840D5"/>
    <w:rsid w:val="00A944A8"/>
    <w:rsid w:val="00AA26BE"/>
    <w:rsid w:val="00AB1307"/>
    <w:rsid w:val="00AC36F4"/>
    <w:rsid w:val="00AC5D71"/>
    <w:rsid w:val="00AC798E"/>
    <w:rsid w:val="00AD0AAE"/>
    <w:rsid w:val="00AD1360"/>
    <w:rsid w:val="00AD239B"/>
    <w:rsid w:val="00AD4DFA"/>
    <w:rsid w:val="00AD5A72"/>
    <w:rsid w:val="00AD7071"/>
    <w:rsid w:val="00AE388F"/>
    <w:rsid w:val="00AE597E"/>
    <w:rsid w:val="00AF1E46"/>
    <w:rsid w:val="00AF4220"/>
    <w:rsid w:val="00B04B02"/>
    <w:rsid w:val="00B11A9B"/>
    <w:rsid w:val="00B249AE"/>
    <w:rsid w:val="00B41604"/>
    <w:rsid w:val="00B41704"/>
    <w:rsid w:val="00B46019"/>
    <w:rsid w:val="00B47065"/>
    <w:rsid w:val="00B5132A"/>
    <w:rsid w:val="00B51FA4"/>
    <w:rsid w:val="00B5577D"/>
    <w:rsid w:val="00B577B3"/>
    <w:rsid w:val="00B66DDB"/>
    <w:rsid w:val="00B71283"/>
    <w:rsid w:val="00B72D84"/>
    <w:rsid w:val="00B90648"/>
    <w:rsid w:val="00B9221F"/>
    <w:rsid w:val="00B947B6"/>
    <w:rsid w:val="00B94978"/>
    <w:rsid w:val="00B94E11"/>
    <w:rsid w:val="00B9539F"/>
    <w:rsid w:val="00B9619B"/>
    <w:rsid w:val="00B96296"/>
    <w:rsid w:val="00BA0AA9"/>
    <w:rsid w:val="00BA1749"/>
    <w:rsid w:val="00BA1B83"/>
    <w:rsid w:val="00BA1F21"/>
    <w:rsid w:val="00BA32A2"/>
    <w:rsid w:val="00BA3900"/>
    <w:rsid w:val="00BB4390"/>
    <w:rsid w:val="00BB78FB"/>
    <w:rsid w:val="00BC2DF3"/>
    <w:rsid w:val="00BC4D01"/>
    <w:rsid w:val="00BD022A"/>
    <w:rsid w:val="00BD7570"/>
    <w:rsid w:val="00BE0466"/>
    <w:rsid w:val="00BE4425"/>
    <w:rsid w:val="00BE5442"/>
    <w:rsid w:val="00BE7B5B"/>
    <w:rsid w:val="00BE7BEE"/>
    <w:rsid w:val="00BF34AD"/>
    <w:rsid w:val="00BF5EE6"/>
    <w:rsid w:val="00C05C24"/>
    <w:rsid w:val="00C1018A"/>
    <w:rsid w:val="00C10641"/>
    <w:rsid w:val="00C10ED5"/>
    <w:rsid w:val="00C24F02"/>
    <w:rsid w:val="00C264BF"/>
    <w:rsid w:val="00C30705"/>
    <w:rsid w:val="00C307D6"/>
    <w:rsid w:val="00C31059"/>
    <w:rsid w:val="00C3235B"/>
    <w:rsid w:val="00C326D3"/>
    <w:rsid w:val="00C32C8A"/>
    <w:rsid w:val="00C3381E"/>
    <w:rsid w:val="00C35BC5"/>
    <w:rsid w:val="00C366A9"/>
    <w:rsid w:val="00C3767B"/>
    <w:rsid w:val="00C46779"/>
    <w:rsid w:val="00C5263C"/>
    <w:rsid w:val="00C53A0E"/>
    <w:rsid w:val="00C548C5"/>
    <w:rsid w:val="00C54BA9"/>
    <w:rsid w:val="00C57BDD"/>
    <w:rsid w:val="00C60CBB"/>
    <w:rsid w:val="00C63DEC"/>
    <w:rsid w:val="00C651EF"/>
    <w:rsid w:val="00C67772"/>
    <w:rsid w:val="00C7271D"/>
    <w:rsid w:val="00C75607"/>
    <w:rsid w:val="00C77AAD"/>
    <w:rsid w:val="00C82076"/>
    <w:rsid w:val="00C834B1"/>
    <w:rsid w:val="00C85015"/>
    <w:rsid w:val="00C85231"/>
    <w:rsid w:val="00C85C52"/>
    <w:rsid w:val="00C864D6"/>
    <w:rsid w:val="00C869D7"/>
    <w:rsid w:val="00C86E67"/>
    <w:rsid w:val="00C9149F"/>
    <w:rsid w:val="00C9426F"/>
    <w:rsid w:val="00C950D9"/>
    <w:rsid w:val="00C95F99"/>
    <w:rsid w:val="00C964E5"/>
    <w:rsid w:val="00CA7FF5"/>
    <w:rsid w:val="00CB189F"/>
    <w:rsid w:val="00CB3B04"/>
    <w:rsid w:val="00CC1798"/>
    <w:rsid w:val="00CC1913"/>
    <w:rsid w:val="00CC3AD2"/>
    <w:rsid w:val="00CC7AA0"/>
    <w:rsid w:val="00CD0D2F"/>
    <w:rsid w:val="00CD1144"/>
    <w:rsid w:val="00CE0859"/>
    <w:rsid w:val="00CE0DB0"/>
    <w:rsid w:val="00CE1406"/>
    <w:rsid w:val="00CE5A7A"/>
    <w:rsid w:val="00CE7917"/>
    <w:rsid w:val="00CF1816"/>
    <w:rsid w:val="00CF2EDE"/>
    <w:rsid w:val="00CF339F"/>
    <w:rsid w:val="00D00979"/>
    <w:rsid w:val="00D016A9"/>
    <w:rsid w:val="00D041F8"/>
    <w:rsid w:val="00D0433B"/>
    <w:rsid w:val="00D10670"/>
    <w:rsid w:val="00D14C6D"/>
    <w:rsid w:val="00D21B17"/>
    <w:rsid w:val="00D23381"/>
    <w:rsid w:val="00D25C40"/>
    <w:rsid w:val="00D2657F"/>
    <w:rsid w:val="00D270D6"/>
    <w:rsid w:val="00D30DFE"/>
    <w:rsid w:val="00D31A2E"/>
    <w:rsid w:val="00D31ED5"/>
    <w:rsid w:val="00D33925"/>
    <w:rsid w:val="00D33AC5"/>
    <w:rsid w:val="00D3436C"/>
    <w:rsid w:val="00D34813"/>
    <w:rsid w:val="00D34D64"/>
    <w:rsid w:val="00D359F0"/>
    <w:rsid w:val="00D454C2"/>
    <w:rsid w:val="00D51258"/>
    <w:rsid w:val="00D52FFB"/>
    <w:rsid w:val="00D54C84"/>
    <w:rsid w:val="00D6389B"/>
    <w:rsid w:val="00D67EF8"/>
    <w:rsid w:val="00D67FA6"/>
    <w:rsid w:val="00D7284C"/>
    <w:rsid w:val="00D7644B"/>
    <w:rsid w:val="00D7714F"/>
    <w:rsid w:val="00D80EF3"/>
    <w:rsid w:val="00D83048"/>
    <w:rsid w:val="00D91852"/>
    <w:rsid w:val="00D91895"/>
    <w:rsid w:val="00D92646"/>
    <w:rsid w:val="00D926B5"/>
    <w:rsid w:val="00D92A32"/>
    <w:rsid w:val="00D96402"/>
    <w:rsid w:val="00D96515"/>
    <w:rsid w:val="00D969F7"/>
    <w:rsid w:val="00D97C23"/>
    <w:rsid w:val="00D97E7E"/>
    <w:rsid w:val="00DB0190"/>
    <w:rsid w:val="00DB2820"/>
    <w:rsid w:val="00DB6FAC"/>
    <w:rsid w:val="00DC0C07"/>
    <w:rsid w:val="00DC2E97"/>
    <w:rsid w:val="00DC6E8B"/>
    <w:rsid w:val="00DC6FFF"/>
    <w:rsid w:val="00DC732D"/>
    <w:rsid w:val="00DD2F95"/>
    <w:rsid w:val="00DD3DC6"/>
    <w:rsid w:val="00DD4750"/>
    <w:rsid w:val="00DF3243"/>
    <w:rsid w:val="00DF609B"/>
    <w:rsid w:val="00DF6238"/>
    <w:rsid w:val="00DF6BE3"/>
    <w:rsid w:val="00DF7B3A"/>
    <w:rsid w:val="00E00090"/>
    <w:rsid w:val="00E02C36"/>
    <w:rsid w:val="00E04344"/>
    <w:rsid w:val="00E054C3"/>
    <w:rsid w:val="00E12DB6"/>
    <w:rsid w:val="00E13553"/>
    <w:rsid w:val="00E147BD"/>
    <w:rsid w:val="00E214D2"/>
    <w:rsid w:val="00E21A62"/>
    <w:rsid w:val="00E21FC6"/>
    <w:rsid w:val="00E278F3"/>
    <w:rsid w:val="00E43DF0"/>
    <w:rsid w:val="00E47827"/>
    <w:rsid w:val="00E62308"/>
    <w:rsid w:val="00E7268E"/>
    <w:rsid w:val="00E73FA7"/>
    <w:rsid w:val="00E85E91"/>
    <w:rsid w:val="00E862A5"/>
    <w:rsid w:val="00E91D88"/>
    <w:rsid w:val="00E966B5"/>
    <w:rsid w:val="00EA0941"/>
    <w:rsid w:val="00EA2712"/>
    <w:rsid w:val="00EC2295"/>
    <w:rsid w:val="00EC717C"/>
    <w:rsid w:val="00ED652B"/>
    <w:rsid w:val="00ED65CD"/>
    <w:rsid w:val="00ED68C4"/>
    <w:rsid w:val="00ED6905"/>
    <w:rsid w:val="00EE0589"/>
    <w:rsid w:val="00EE0FD5"/>
    <w:rsid w:val="00EE4543"/>
    <w:rsid w:val="00EE7933"/>
    <w:rsid w:val="00EE7EEF"/>
    <w:rsid w:val="00EF06A7"/>
    <w:rsid w:val="00EF2192"/>
    <w:rsid w:val="00EF53AB"/>
    <w:rsid w:val="00EF5BB6"/>
    <w:rsid w:val="00F00D06"/>
    <w:rsid w:val="00F052B3"/>
    <w:rsid w:val="00F0766E"/>
    <w:rsid w:val="00F10396"/>
    <w:rsid w:val="00F105F1"/>
    <w:rsid w:val="00F11DAE"/>
    <w:rsid w:val="00F12755"/>
    <w:rsid w:val="00F12CD7"/>
    <w:rsid w:val="00F1486D"/>
    <w:rsid w:val="00F1506F"/>
    <w:rsid w:val="00F22819"/>
    <w:rsid w:val="00F24F85"/>
    <w:rsid w:val="00F266E3"/>
    <w:rsid w:val="00F273B1"/>
    <w:rsid w:val="00F27D96"/>
    <w:rsid w:val="00F40670"/>
    <w:rsid w:val="00F42853"/>
    <w:rsid w:val="00F51CE9"/>
    <w:rsid w:val="00F52D50"/>
    <w:rsid w:val="00F53121"/>
    <w:rsid w:val="00F54300"/>
    <w:rsid w:val="00F57B65"/>
    <w:rsid w:val="00F63B91"/>
    <w:rsid w:val="00F65027"/>
    <w:rsid w:val="00F71CE7"/>
    <w:rsid w:val="00F7635A"/>
    <w:rsid w:val="00F85F1E"/>
    <w:rsid w:val="00F903AA"/>
    <w:rsid w:val="00F93478"/>
    <w:rsid w:val="00F945F5"/>
    <w:rsid w:val="00F976A5"/>
    <w:rsid w:val="00FA35F9"/>
    <w:rsid w:val="00FA4C36"/>
    <w:rsid w:val="00FA586D"/>
    <w:rsid w:val="00FC0660"/>
    <w:rsid w:val="00FC0DBB"/>
    <w:rsid w:val="00FE0061"/>
    <w:rsid w:val="00FF080C"/>
    <w:rsid w:val="00FF53ED"/>
    <w:rsid w:val="00FF70D8"/>
    <w:rsid w:val="00FF7E7C"/>
  </w:rsids>
  <w:docVars>
    <w:docVar w:name="KGWebUrl" w:val="http://idp.efunds.com.cn/api/v1/backend/docSyncController/downloadAnnFile.json?force=true&amp;fileName=61520211231110010%E6%98%93%E6%96%B9%E8%BE%BE%E4%BB%B7%E5%80%BC%E6%88%90%E9%95%BF%E6%B7%B7%E5%90%88%E5%9E%8B%E8%AF%81%E5%88%B8%E6%8A%95%E8%B5%84%E5%9F%BA%E9%87%91%E6%9B%B4%E6%96%B0%E7%9A%84%E6%8B%9B%E5%8B%9F%E8%AF%B4%E6%98%8E%E4%B9%A6.docx&amp;fileId=ANN_DOC_10623&amp;t=1640346818723"/>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01A6DFB5-A816-4F6F-BAED-8AFEE25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C5"/>
    <w:pPr>
      <w:widowControl w:val="0"/>
      <w:jc w:val="both"/>
    </w:pPr>
    <w:rPr>
      <w:rFonts w:ascii="Times New Roman" w:hAnsi="Times New Roman"/>
      <w:kern w:val="2"/>
      <w:sz w:val="21"/>
      <w:szCs w:val="24"/>
    </w:rPr>
  </w:style>
  <w:style w:type="paragraph" w:styleId="Heading1">
    <w:name w:val="heading 1"/>
    <w:aliases w:val="123321,H1,Heading 0,Heading 11,Level 1 Head,Level 1 Topic Heading,PIM 1,h1,level 1"/>
    <w:basedOn w:val="Normal"/>
    <w:next w:val="Normal"/>
    <w:link w:val="1Char"/>
    <w:qFormat/>
    <w:rsid w:val="00C35BC5"/>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link w:val="2Char"/>
    <w:qFormat/>
    <w:rsid w:val="00C35BC5"/>
    <w:pPr>
      <w:keepNext/>
      <w:keepLines/>
      <w:spacing w:beforeLines="100" w:afterLines="100"/>
      <w:ind w:firstLine="200" w:firstLineChars="200"/>
      <w:outlineLvl w:val="1"/>
    </w:pPr>
    <w:rPr>
      <w:rFonts w:ascii="Arial" w:hAnsi="Arial"/>
      <w:b/>
      <w:sz w:val="28"/>
      <w:szCs w:val="28"/>
    </w:rPr>
  </w:style>
  <w:style w:type="paragraph" w:styleId="Heading3">
    <w:name w:val="heading 3"/>
    <w:aliases w:val="- Maj Side,3,3heading,3rd level,Bold Head,CT,Fab-3,H3,H31,HeadC,Heading 3 - old,Heading 31,Heading 3under,Level 3 Head,Map,PIM 3,Title3,bh,h3,heading 3,l3,level_3,prop3,sect1.2.3,sect1.2.31,sect1.2.311,sect1.2.312,sect1.2.32,sect1.2.33,sl3,标题 4.1.1"/>
    <w:basedOn w:val="Normal"/>
    <w:next w:val="Normal"/>
    <w:link w:val="3Char"/>
    <w:qFormat/>
    <w:rsid w:val="00C35BC5"/>
    <w:pPr>
      <w:numPr>
        <w:ilvl w:val="2"/>
        <w:numId w:val="2"/>
      </w:numPr>
      <w:spacing w:before="260" w:after="260" w:line="416" w:lineRule="auto"/>
      <w:outlineLvl w:val="2"/>
    </w:pPr>
    <w:rPr>
      <w:rFonts w:ascii="仿宋_GB2312" w:eastAsia="仿宋_GB2312"/>
      <w:sz w:val="24"/>
      <w:szCs w:val="20"/>
    </w:rPr>
  </w:style>
  <w:style w:type="paragraph" w:styleId="Heading4">
    <w:name w:val="heading 4"/>
    <w:aliases w:val="Fab-4,H4,Heading sql,PIM 4,Ref Heading 1,T5,h4,rh1,sect 1.2.3.4"/>
    <w:basedOn w:val="Normal"/>
    <w:next w:val="Normal"/>
    <w:link w:val="4Char"/>
    <w:qFormat/>
    <w:rsid w:val="00C35BC5"/>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Char"/>
    <w:qFormat/>
    <w:rsid w:val="00C35BC5"/>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link w:val="6Char"/>
    <w:qFormat/>
    <w:rsid w:val="00C35BC5"/>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link w:val="7Char"/>
    <w:qFormat/>
    <w:rsid w:val="00C35BC5"/>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link w:val="8Char"/>
    <w:qFormat/>
    <w:rsid w:val="00C35BC5"/>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link w:val="9Char"/>
    <w:qFormat/>
    <w:rsid w:val="00C35BC5"/>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C35BC5"/>
    <w:rPr>
      <w:rFonts w:ascii="黑体" w:eastAsia="黑体" w:hAnsi="Times New Roman" w:cs="Times New Roman"/>
      <w:sz w:val="32"/>
      <w:szCs w:val="32"/>
    </w:rPr>
  </w:style>
  <w:style w:type="character" w:customStyle="1" w:styleId="2Char">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rsid w:val="00C35BC5"/>
    <w:rPr>
      <w:rFonts w:ascii="Arial" w:eastAsia="宋体" w:hAnsi="Arial" w:cs="Times New Roman"/>
      <w:b/>
      <w:sz w:val="28"/>
      <w:szCs w:val="28"/>
    </w:rPr>
  </w:style>
  <w:style w:type="character" w:customStyle="1" w:styleId="3Char">
    <w:name w:val="标题 3 Char"/>
    <w:aliases w:val="- Maj Side Char,3 Char,3heading Char,3rd level Char,Bold Head Char,CT Char,Fab-3 Char,H3 Char,H31 Char,HeadC Char,Heading 3 - old Char,Heading 31 Char,Heading 3under Char,Level 3 Head Char,Map Char,PIM 3 Char,Title3 Char,bh Char,h3 Char"/>
    <w:basedOn w:val="DefaultParagraphFont"/>
    <w:link w:val="Heading3"/>
    <w:rsid w:val="00C35BC5"/>
    <w:rPr>
      <w:rFonts w:ascii="仿宋_GB2312" w:eastAsia="仿宋_GB2312" w:hAnsi="Times New Roman"/>
      <w:kern w:val="2"/>
      <w:sz w:val="24"/>
    </w:rPr>
  </w:style>
  <w:style w:type="character" w:customStyle="1" w:styleId="4Char">
    <w:name w:val="标题 4 Char"/>
    <w:aliases w:val="Fab-4 Char,H4 Char,Heading sql Char,PIM 4 Char,Ref Heading 1 Char,T5 Char,h4 Char,rh1 Char,sect 1.2.3.4 Char"/>
    <w:basedOn w:val="DefaultParagraphFont"/>
    <w:link w:val="Heading4"/>
    <w:rsid w:val="00C35BC5"/>
    <w:rPr>
      <w:rFonts w:ascii="Arial" w:eastAsia="黑体" w:hAnsi="Arial"/>
      <w:b/>
      <w:bCs/>
      <w:kern w:val="2"/>
      <w:sz w:val="28"/>
      <w:szCs w:val="28"/>
    </w:rPr>
  </w:style>
  <w:style w:type="character" w:customStyle="1" w:styleId="5Char">
    <w:name w:val="标题 5 Char"/>
    <w:basedOn w:val="DefaultParagraphFont"/>
    <w:link w:val="Heading5"/>
    <w:rsid w:val="00C35BC5"/>
    <w:rPr>
      <w:rFonts w:ascii="Times New Roman" w:hAnsi="Times New Roman"/>
      <w:b/>
      <w:bCs/>
      <w:kern w:val="2"/>
      <w:sz w:val="28"/>
      <w:szCs w:val="28"/>
    </w:rPr>
  </w:style>
  <w:style w:type="character" w:customStyle="1" w:styleId="6Char">
    <w:name w:val="标题 6 Char"/>
    <w:basedOn w:val="DefaultParagraphFont"/>
    <w:link w:val="Heading6"/>
    <w:rsid w:val="00C35BC5"/>
    <w:rPr>
      <w:rFonts w:ascii="Arial" w:eastAsia="黑体" w:hAnsi="Arial"/>
      <w:b/>
      <w:bCs/>
      <w:kern w:val="2"/>
      <w:sz w:val="24"/>
      <w:szCs w:val="24"/>
    </w:rPr>
  </w:style>
  <w:style w:type="character" w:customStyle="1" w:styleId="7Char">
    <w:name w:val="标题 7 Char"/>
    <w:basedOn w:val="DefaultParagraphFont"/>
    <w:link w:val="Heading7"/>
    <w:rsid w:val="00C35BC5"/>
    <w:rPr>
      <w:rFonts w:ascii="Times New Roman" w:hAnsi="Times New Roman"/>
      <w:b/>
      <w:bCs/>
      <w:kern w:val="2"/>
      <w:sz w:val="24"/>
      <w:szCs w:val="24"/>
    </w:rPr>
  </w:style>
  <w:style w:type="character" w:customStyle="1" w:styleId="8Char">
    <w:name w:val="标题 8 Char"/>
    <w:basedOn w:val="DefaultParagraphFont"/>
    <w:link w:val="Heading8"/>
    <w:rsid w:val="00C35BC5"/>
    <w:rPr>
      <w:rFonts w:ascii="Arial" w:eastAsia="黑体" w:hAnsi="Arial"/>
      <w:kern w:val="2"/>
      <w:sz w:val="24"/>
      <w:szCs w:val="24"/>
    </w:rPr>
  </w:style>
  <w:style w:type="character" w:customStyle="1" w:styleId="9Char">
    <w:name w:val="标题 9 Char"/>
    <w:basedOn w:val="DefaultParagraphFont"/>
    <w:link w:val="Heading9"/>
    <w:rsid w:val="00C35BC5"/>
    <w:rPr>
      <w:rFonts w:ascii="Arial" w:eastAsia="黑体" w:hAnsi="Arial"/>
      <w:kern w:val="2"/>
      <w:sz w:val="24"/>
      <w:szCs w:val="21"/>
    </w:rPr>
  </w:style>
  <w:style w:type="paragraph" w:customStyle="1" w:styleId="CharCharCharCharCharCharChar">
    <w:name w:val="正文文字 Char Char Char Char Char Char Char"/>
    <w:basedOn w:val="Normal"/>
    <w:next w:val="BodyText3"/>
    <w:rsid w:val="00C35BC5"/>
    <w:pPr>
      <w:numPr>
        <w:ilvl w:val="1"/>
        <w:numId w:val="3"/>
      </w:numPr>
      <w:spacing w:after="120"/>
    </w:pPr>
    <w:rPr>
      <w:sz w:val="16"/>
      <w:szCs w:val="16"/>
    </w:rPr>
  </w:style>
  <w:style w:type="paragraph" w:styleId="BodyText3">
    <w:name w:val="Body Text 3"/>
    <w:basedOn w:val="Normal"/>
    <w:link w:val="3Char1"/>
    <w:rsid w:val="00C35BC5"/>
    <w:pPr>
      <w:spacing w:after="120"/>
    </w:pPr>
    <w:rPr>
      <w:sz w:val="16"/>
      <w:szCs w:val="16"/>
    </w:rPr>
  </w:style>
  <w:style w:type="character" w:customStyle="1" w:styleId="3Char1">
    <w:name w:val="正文文本 3 Char"/>
    <w:basedOn w:val="DefaultParagraphFont"/>
    <w:link w:val="BodyText3"/>
    <w:rsid w:val="00C35BC5"/>
    <w:rPr>
      <w:rFonts w:ascii="Times New Roman" w:eastAsia="宋体" w:hAnsi="Times New Roman" w:cs="Times New Roman"/>
      <w:sz w:val="16"/>
      <w:szCs w:val="16"/>
    </w:rPr>
  </w:style>
  <w:style w:type="paragraph" w:styleId="TOC1">
    <w:name w:val="toc 1"/>
    <w:basedOn w:val="Normal"/>
    <w:next w:val="Normal"/>
    <w:autoRedefine/>
    <w:uiPriority w:val="39"/>
    <w:rsid w:val="00C35BC5"/>
    <w:pPr>
      <w:tabs>
        <w:tab w:val="right" w:leader="dot" w:pos="8296"/>
      </w:tabs>
      <w:jc w:val="left"/>
    </w:pPr>
    <w:rPr>
      <w:rFonts w:ascii="宋体" w:eastAsia="黑体" w:hAnsi="宋体"/>
      <w:caps/>
      <w:noProof/>
      <w:sz w:val="24"/>
      <w:szCs w:val="28"/>
    </w:rPr>
  </w:style>
  <w:style w:type="paragraph" w:styleId="TOC2">
    <w:name w:val="toc 2"/>
    <w:basedOn w:val="Normal"/>
    <w:next w:val="Normal"/>
    <w:autoRedefine/>
    <w:uiPriority w:val="39"/>
    <w:rsid w:val="005731BC"/>
    <w:pPr>
      <w:tabs>
        <w:tab w:val="right" w:leader="dot" w:pos="8268"/>
      </w:tabs>
      <w:ind w:left="319" w:firstLine="731" w:leftChars="152" w:firstLineChars="348"/>
      <w:jc w:val="left"/>
    </w:pPr>
    <w:rPr>
      <w:rFonts w:eastAsia="仿宋_GB2312"/>
      <w:smallCaps/>
      <w:noProof/>
      <w:szCs w:val="20"/>
    </w:rPr>
  </w:style>
  <w:style w:type="paragraph" w:customStyle="1" w:styleId="1">
    <w:name w:val="样式 标题 1 + 黑体 非加粗"/>
    <w:basedOn w:val="Heading1"/>
    <w:rsid w:val="00C35BC5"/>
    <w:pPr>
      <w:pageBreakBefore/>
    </w:pPr>
    <w:rPr>
      <w:rFonts w:hAnsi="黑体"/>
      <w:b/>
    </w:rPr>
  </w:style>
  <w:style w:type="paragraph" w:customStyle="1" w:styleId="111">
    <w:name w:val="样式 标题 1 + 段前: 1 行 段后: 1 行"/>
    <w:basedOn w:val="Heading1"/>
    <w:rsid w:val="00C35BC5"/>
    <w:pPr>
      <w:pageBreakBefore/>
    </w:pPr>
    <w:rPr>
      <w:szCs w:val="20"/>
    </w:rPr>
  </w:style>
  <w:style w:type="paragraph" w:customStyle="1" w:styleId="20">
    <w:name w:val="样式 首行缩进:  2 字符"/>
    <w:basedOn w:val="Normal"/>
    <w:rsid w:val="00C35BC5"/>
    <w:pPr>
      <w:spacing w:before="100" w:beforeAutospacing="1" w:after="100" w:afterAutospacing="1" w:line="360" w:lineRule="auto"/>
      <w:ind w:firstLine="480" w:firstLineChars="200"/>
    </w:pPr>
    <w:rPr>
      <w:szCs w:val="20"/>
    </w:rPr>
  </w:style>
  <w:style w:type="paragraph" w:styleId="Header">
    <w:name w:val="header"/>
    <w:basedOn w:val="Normal"/>
    <w:link w:val="Char"/>
    <w:uiPriority w:val="99"/>
    <w:rsid w:val="00C35BC5"/>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customStyle="1" w:styleId="Char">
    <w:name w:val="页眉 Char"/>
    <w:basedOn w:val="DefaultParagraphFont"/>
    <w:link w:val="Header"/>
    <w:uiPriority w:val="99"/>
    <w:rsid w:val="00C35BC5"/>
    <w:rPr>
      <w:rFonts w:ascii="Times New Roman" w:eastAsia="仿宋_GB2312" w:hAnsi="Times New Roman" w:cs="Times New Roman"/>
      <w:sz w:val="18"/>
      <w:szCs w:val="20"/>
    </w:rPr>
  </w:style>
  <w:style w:type="character" w:styleId="PageNumber">
    <w:name w:val="page number"/>
    <w:basedOn w:val="DefaultParagraphFont"/>
    <w:rsid w:val="00C35BC5"/>
  </w:style>
  <w:style w:type="paragraph" w:styleId="Footer">
    <w:name w:val="footer"/>
    <w:basedOn w:val="Normal"/>
    <w:link w:val="Char0"/>
    <w:uiPriority w:val="99"/>
    <w:rsid w:val="00C35BC5"/>
    <w:pPr>
      <w:tabs>
        <w:tab w:val="center" w:pos="4153"/>
        <w:tab w:val="right" w:pos="8306"/>
      </w:tabs>
      <w:snapToGrid w:val="0"/>
      <w:ind w:firstLine="200" w:firstLineChars="200"/>
      <w:jc w:val="left"/>
    </w:pPr>
    <w:rPr>
      <w:rFonts w:eastAsia="仿宋_GB2312"/>
      <w:sz w:val="18"/>
      <w:szCs w:val="20"/>
    </w:rPr>
  </w:style>
  <w:style w:type="character" w:customStyle="1" w:styleId="Char0">
    <w:name w:val="页脚 Char"/>
    <w:basedOn w:val="DefaultParagraphFont"/>
    <w:link w:val="Footer"/>
    <w:uiPriority w:val="99"/>
    <w:rsid w:val="00C35BC5"/>
    <w:rPr>
      <w:rFonts w:ascii="Times New Roman" w:eastAsia="仿宋_GB2312" w:hAnsi="Times New Roman" w:cs="Times New Roman"/>
      <w:sz w:val="18"/>
      <w:szCs w:val="20"/>
    </w:rPr>
  </w:style>
  <w:style w:type="paragraph" w:styleId="Title">
    <w:name w:val="Title"/>
    <w:basedOn w:val="Normal"/>
    <w:link w:val="Char1"/>
    <w:qFormat/>
    <w:rsid w:val="00C35BC5"/>
    <w:pPr>
      <w:spacing w:before="240" w:after="60"/>
      <w:jc w:val="center"/>
      <w:outlineLvl w:val="0"/>
    </w:pPr>
    <w:rPr>
      <w:rFonts w:ascii="Arial" w:hAnsi="Arial" w:cs="Arial"/>
      <w:b/>
      <w:bCs/>
      <w:sz w:val="32"/>
      <w:szCs w:val="32"/>
    </w:rPr>
  </w:style>
  <w:style w:type="character" w:customStyle="1" w:styleId="Char1">
    <w:name w:val="标题 Char"/>
    <w:basedOn w:val="DefaultParagraphFont"/>
    <w:link w:val="Title"/>
    <w:rsid w:val="00C35BC5"/>
    <w:rPr>
      <w:rFonts w:ascii="Arial" w:eastAsia="宋体" w:hAnsi="Arial" w:cs="Arial"/>
      <w:b/>
      <w:bCs/>
      <w:sz w:val="32"/>
      <w:szCs w:val="32"/>
    </w:rPr>
  </w:style>
  <w:style w:type="paragraph" w:styleId="Closing">
    <w:name w:val="Closing"/>
    <w:basedOn w:val="Normal"/>
    <w:link w:val="Char2"/>
    <w:rsid w:val="00C35BC5"/>
    <w:pPr>
      <w:ind w:left="100" w:leftChars="2100"/>
    </w:pPr>
  </w:style>
  <w:style w:type="character" w:customStyle="1" w:styleId="Char2">
    <w:name w:val="结束语 Char"/>
    <w:basedOn w:val="DefaultParagraphFont"/>
    <w:link w:val="Closing"/>
    <w:rsid w:val="00C35BC5"/>
    <w:rPr>
      <w:rFonts w:ascii="Times New Roman" w:eastAsia="宋体" w:hAnsi="Times New Roman" w:cs="Times New Roman"/>
      <w:szCs w:val="24"/>
    </w:rPr>
  </w:style>
  <w:style w:type="paragraph" w:styleId="ListNumber">
    <w:name w:val="List Number"/>
    <w:basedOn w:val="Normal"/>
    <w:rsid w:val="00C35BC5"/>
    <w:pPr>
      <w:tabs>
        <w:tab w:val="num" w:pos="360"/>
      </w:tabs>
      <w:ind w:left="360" w:hanging="360" w:hangingChars="200"/>
    </w:pPr>
  </w:style>
  <w:style w:type="paragraph" w:styleId="ListNumber2">
    <w:name w:val="List Number 2"/>
    <w:basedOn w:val="Normal"/>
    <w:rsid w:val="00C35BC5"/>
    <w:pPr>
      <w:tabs>
        <w:tab w:val="num" w:pos="780"/>
      </w:tabs>
      <w:ind w:left="780" w:hanging="360" w:leftChars="200" w:hangingChars="200"/>
    </w:pPr>
  </w:style>
  <w:style w:type="paragraph" w:styleId="ListNumber3">
    <w:name w:val="List Number 3"/>
    <w:basedOn w:val="Normal"/>
    <w:rsid w:val="00C35BC5"/>
    <w:pPr>
      <w:tabs>
        <w:tab w:val="num" w:pos="1200"/>
      </w:tabs>
      <w:ind w:left="1200" w:hanging="360" w:leftChars="400" w:hangingChars="200"/>
    </w:pPr>
  </w:style>
  <w:style w:type="paragraph" w:styleId="ListNumber4">
    <w:name w:val="List Number 4"/>
    <w:basedOn w:val="Normal"/>
    <w:rsid w:val="00C35BC5"/>
    <w:pPr>
      <w:tabs>
        <w:tab w:val="num" w:pos="1620"/>
      </w:tabs>
      <w:ind w:left="1620" w:hanging="360" w:leftChars="600" w:hangingChars="200"/>
    </w:pPr>
  </w:style>
  <w:style w:type="paragraph" w:styleId="ListNumber5">
    <w:name w:val="List Number 5"/>
    <w:basedOn w:val="Normal"/>
    <w:rsid w:val="00C35BC5"/>
    <w:pPr>
      <w:tabs>
        <w:tab w:val="num" w:pos="2040"/>
      </w:tabs>
      <w:ind w:left="2040" w:hanging="360" w:leftChars="800" w:hangingChars="200"/>
    </w:pPr>
  </w:style>
  <w:style w:type="paragraph" w:styleId="ListBullet">
    <w:name w:val="List Bullet"/>
    <w:basedOn w:val="Normal"/>
    <w:autoRedefine/>
    <w:rsid w:val="00C35BC5"/>
    <w:pPr>
      <w:tabs>
        <w:tab w:val="num" w:pos="360"/>
      </w:tabs>
      <w:ind w:left="360" w:hanging="360" w:hangingChars="200"/>
    </w:pPr>
  </w:style>
  <w:style w:type="paragraph" w:styleId="ListBullet2">
    <w:name w:val="List Bullet 2"/>
    <w:basedOn w:val="Normal"/>
    <w:autoRedefine/>
    <w:rsid w:val="00C35BC5"/>
    <w:pPr>
      <w:tabs>
        <w:tab w:val="num" w:pos="780"/>
      </w:tabs>
      <w:ind w:left="780" w:hanging="360" w:leftChars="200" w:hangingChars="200"/>
    </w:pPr>
  </w:style>
  <w:style w:type="paragraph" w:styleId="ListBullet3">
    <w:name w:val="List Bullet 3"/>
    <w:basedOn w:val="Normal"/>
    <w:autoRedefine/>
    <w:rsid w:val="00C35BC5"/>
    <w:pPr>
      <w:tabs>
        <w:tab w:val="num" w:pos="1200"/>
      </w:tabs>
      <w:ind w:left="1200" w:hanging="360" w:leftChars="400" w:hangingChars="200"/>
    </w:pPr>
  </w:style>
  <w:style w:type="paragraph" w:styleId="ListBullet4">
    <w:name w:val="List Bullet 4"/>
    <w:basedOn w:val="Normal"/>
    <w:autoRedefine/>
    <w:rsid w:val="00C35BC5"/>
    <w:pPr>
      <w:tabs>
        <w:tab w:val="num" w:pos="1620"/>
      </w:tabs>
      <w:ind w:left="1620" w:hanging="360" w:leftChars="600" w:hangingChars="200"/>
    </w:pPr>
  </w:style>
  <w:style w:type="paragraph" w:styleId="ListBullet5">
    <w:name w:val="List Bullet 5"/>
    <w:basedOn w:val="Normal"/>
    <w:autoRedefine/>
    <w:rsid w:val="00C35BC5"/>
    <w:pPr>
      <w:tabs>
        <w:tab w:val="num" w:pos="2040"/>
      </w:tabs>
      <w:ind w:left="2040" w:hanging="360" w:leftChars="800" w:hangingChars="200"/>
    </w:pPr>
  </w:style>
  <w:style w:type="paragraph" w:styleId="TableofFigures">
    <w:name w:val="table of figures"/>
    <w:basedOn w:val="Normal"/>
    <w:next w:val="Normal"/>
    <w:semiHidden/>
    <w:rsid w:val="00C35BC5"/>
    <w:pPr>
      <w:ind w:left="840" w:hanging="420" w:leftChars="200" w:hangingChars="200"/>
    </w:pPr>
  </w:style>
  <w:style w:type="paragraph" w:styleId="BodyText">
    <w:name w:val="Body Text"/>
    <w:basedOn w:val="Normal"/>
    <w:link w:val="Char3"/>
    <w:rsid w:val="00C35BC5"/>
    <w:pPr>
      <w:spacing w:after="120"/>
    </w:pPr>
  </w:style>
  <w:style w:type="character" w:customStyle="1" w:styleId="Char3">
    <w:name w:val="正文文本 Char"/>
    <w:basedOn w:val="DefaultParagraphFont"/>
    <w:link w:val="BodyText"/>
    <w:rsid w:val="00C35BC5"/>
    <w:rPr>
      <w:rFonts w:ascii="Times New Roman" w:eastAsia="宋体" w:hAnsi="Times New Roman" w:cs="Times New Roman"/>
      <w:szCs w:val="24"/>
    </w:rPr>
  </w:style>
  <w:style w:type="paragraph" w:styleId="BodyTextFirstIndent">
    <w:name w:val="Body Text First Indent"/>
    <w:basedOn w:val="BodyText"/>
    <w:link w:val="Char4"/>
    <w:rsid w:val="00C35BC5"/>
    <w:pPr>
      <w:ind w:firstLine="420" w:firstLineChars="100"/>
    </w:pPr>
  </w:style>
  <w:style w:type="character" w:customStyle="1" w:styleId="Char4">
    <w:name w:val="正文首行缩进 Char"/>
    <w:basedOn w:val="Char3"/>
    <w:link w:val="BodyTextFirstIndent"/>
    <w:rsid w:val="00C35BC5"/>
    <w:rPr>
      <w:rFonts w:ascii="Times New Roman" w:eastAsia="宋体" w:hAnsi="Times New Roman" w:cs="Times New Roman"/>
      <w:szCs w:val="24"/>
    </w:rPr>
  </w:style>
  <w:style w:type="paragraph" w:styleId="BodyTextIndent">
    <w:name w:val="Body Text Indent"/>
    <w:basedOn w:val="Normal"/>
    <w:link w:val="Char5"/>
    <w:rsid w:val="00C35BC5"/>
    <w:pPr>
      <w:spacing w:after="120"/>
      <w:ind w:left="420"/>
    </w:pPr>
  </w:style>
  <w:style w:type="character" w:customStyle="1" w:styleId="Char5">
    <w:name w:val="正文文本缩进 Char"/>
    <w:basedOn w:val="DefaultParagraphFont"/>
    <w:link w:val="BodyTextIndent"/>
    <w:rsid w:val="00C35BC5"/>
    <w:rPr>
      <w:rFonts w:ascii="Times New Roman" w:eastAsia="宋体" w:hAnsi="Times New Roman" w:cs="Times New Roman"/>
      <w:szCs w:val="24"/>
    </w:rPr>
  </w:style>
  <w:style w:type="paragraph" w:styleId="NoteHeading">
    <w:name w:val="Note Heading"/>
    <w:basedOn w:val="Normal"/>
    <w:next w:val="Normal"/>
    <w:link w:val="Char6"/>
    <w:rsid w:val="00C35BC5"/>
    <w:pPr>
      <w:jc w:val="center"/>
    </w:pPr>
  </w:style>
  <w:style w:type="character" w:customStyle="1" w:styleId="Char6">
    <w:name w:val="注释标题 Char"/>
    <w:basedOn w:val="DefaultParagraphFont"/>
    <w:link w:val="NoteHeading"/>
    <w:rsid w:val="00C35BC5"/>
    <w:rPr>
      <w:rFonts w:ascii="Times New Roman" w:eastAsia="宋体" w:hAnsi="Times New Roman" w:cs="Times New Roman"/>
      <w:szCs w:val="24"/>
    </w:rPr>
  </w:style>
  <w:style w:type="character" w:customStyle="1" w:styleId="da">
    <w:name w:val="da"/>
    <w:basedOn w:val="DefaultParagraphFont"/>
    <w:rsid w:val="00C35BC5"/>
  </w:style>
  <w:style w:type="paragraph" w:customStyle="1" w:styleId="a">
    <w:name w:val="特点"/>
    <w:aliases w:val="正文非缩进,段1,表正文"/>
    <w:basedOn w:val="Normal"/>
    <w:next w:val="NormalIndent"/>
    <w:rsid w:val="00C35BC5"/>
    <w:pPr>
      <w:ind w:firstLine="420"/>
    </w:pPr>
    <w:rPr>
      <w:szCs w:val="20"/>
    </w:rPr>
  </w:style>
  <w:style w:type="paragraph" w:styleId="NormalIndent">
    <w:name w:val="Normal Indent"/>
    <w:aliases w:val="ALT+Z,正文缩进1"/>
    <w:basedOn w:val="Normal"/>
    <w:rsid w:val="00C35BC5"/>
    <w:pPr>
      <w:ind w:firstLine="420"/>
    </w:pPr>
  </w:style>
  <w:style w:type="paragraph" w:styleId="BodyTextIndent3">
    <w:name w:val="Body Text Indent 3"/>
    <w:basedOn w:val="Normal"/>
    <w:link w:val="3Char2"/>
    <w:rsid w:val="00C35BC5"/>
    <w:pPr>
      <w:spacing w:after="120"/>
      <w:ind w:left="420"/>
    </w:pPr>
    <w:rPr>
      <w:sz w:val="16"/>
      <w:szCs w:val="16"/>
    </w:rPr>
  </w:style>
  <w:style w:type="character" w:customStyle="1" w:styleId="3Char2">
    <w:name w:val="正文文本缩进 3 Char"/>
    <w:basedOn w:val="DefaultParagraphFont"/>
    <w:link w:val="BodyTextIndent3"/>
    <w:rsid w:val="00C35BC5"/>
    <w:rPr>
      <w:rFonts w:ascii="Times New Roman" w:eastAsia="宋体" w:hAnsi="Times New Roman" w:cs="Times New Roman"/>
      <w:sz w:val="16"/>
      <w:szCs w:val="16"/>
    </w:rPr>
  </w:style>
  <w:style w:type="paragraph" w:styleId="PlainText">
    <w:name w:val="Plain Text"/>
    <w:basedOn w:val="Normal"/>
    <w:link w:val="Char7"/>
    <w:rsid w:val="00C35BC5"/>
    <w:rPr>
      <w:rFonts w:ascii="宋体" w:hAnsi="Courier New" w:cs="Courier New"/>
      <w:szCs w:val="21"/>
    </w:rPr>
  </w:style>
  <w:style w:type="character" w:customStyle="1" w:styleId="Char7">
    <w:name w:val="纯文本 Char"/>
    <w:basedOn w:val="DefaultParagraphFont"/>
    <w:link w:val="PlainText"/>
    <w:rsid w:val="00C35BC5"/>
    <w:rPr>
      <w:rFonts w:ascii="宋体" w:eastAsia="宋体" w:hAnsi="Courier New" w:cs="Courier New"/>
      <w:szCs w:val="21"/>
    </w:rPr>
  </w:style>
  <w:style w:type="character" w:styleId="Hyperlink">
    <w:name w:val="Hyperlink"/>
    <w:basedOn w:val="DefaultParagraphFont"/>
    <w:uiPriority w:val="99"/>
    <w:rsid w:val="00C35BC5"/>
    <w:rPr>
      <w:color w:val="0000FF"/>
      <w:u w:val="single"/>
    </w:rPr>
  </w:style>
  <w:style w:type="paragraph" w:styleId="BodyTextIndent2">
    <w:name w:val="Body Text Indent 2"/>
    <w:basedOn w:val="Normal"/>
    <w:link w:val="2Char1"/>
    <w:rsid w:val="00C35BC5"/>
    <w:pPr>
      <w:spacing w:after="120" w:line="480" w:lineRule="auto"/>
      <w:ind w:left="420"/>
    </w:pPr>
  </w:style>
  <w:style w:type="character" w:customStyle="1" w:styleId="2Char1">
    <w:name w:val="正文文本缩进 2 Char"/>
    <w:basedOn w:val="DefaultParagraphFont"/>
    <w:link w:val="BodyTextIndent2"/>
    <w:rsid w:val="00C35BC5"/>
    <w:rPr>
      <w:rFonts w:ascii="Times New Roman" w:eastAsia="宋体" w:hAnsi="Times New Roman" w:cs="Times New Roman"/>
      <w:szCs w:val="24"/>
    </w:rPr>
  </w:style>
  <w:style w:type="paragraph" w:styleId="BodyText2">
    <w:name w:val="Body Text 2"/>
    <w:basedOn w:val="Normal"/>
    <w:link w:val="2Char2"/>
    <w:rsid w:val="00C35BC5"/>
    <w:pPr>
      <w:spacing w:after="120" w:line="480" w:lineRule="auto"/>
    </w:pPr>
  </w:style>
  <w:style w:type="character" w:customStyle="1" w:styleId="2Char2">
    <w:name w:val="正文文本 2 Char"/>
    <w:basedOn w:val="DefaultParagraphFont"/>
    <w:link w:val="BodyText2"/>
    <w:rsid w:val="00C35BC5"/>
    <w:rPr>
      <w:rFonts w:ascii="Times New Roman" w:eastAsia="宋体" w:hAnsi="Times New Roman" w:cs="Times New Roman"/>
      <w:szCs w:val="24"/>
    </w:rPr>
  </w:style>
  <w:style w:type="character" w:styleId="FollowedHyperlink">
    <w:name w:val="FollowedHyperlink"/>
    <w:basedOn w:val="DefaultParagraphFont"/>
    <w:uiPriority w:val="99"/>
    <w:rsid w:val="00C35BC5"/>
    <w:rPr>
      <w:color w:val="800080"/>
      <w:u w:val="single"/>
    </w:rPr>
  </w:style>
  <w:style w:type="paragraph" w:styleId="HTMLPreformatted">
    <w:name w:val="HTML Preformatted"/>
    <w:basedOn w:val="Normal"/>
    <w:link w:val="HTMLChar"/>
    <w:uiPriority w:val="99"/>
    <w:rsid w:val="00C35BC5"/>
    <w:rPr>
      <w:rFonts w:ascii="Courier New" w:hAnsi="Courier New" w:cs="Courier New"/>
      <w:sz w:val="20"/>
      <w:szCs w:val="20"/>
    </w:rPr>
  </w:style>
  <w:style w:type="character" w:customStyle="1" w:styleId="HTMLChar">
    <w:name w:val="HTML 预设格式 Char"/>
    <w:basedOn w:val="DefaultParagraphFont"/>
    <w:link w:val="HTMLPreformatted"/>
    <w:uiPriority w:val="99"/>
    <w:rsid w:val="00C35BC5"/>
    <w:rPr>
      <w:rFonts w:ascii="Courier New" w:eastAsia="宋体" w:hAnsi="Courier New" w:cs="Courier New"/>
      <w:sz w:val="20"/>
      <w:szCs w:val="20"/>
    </w:rPr>
  </w:style>
  <w:style w:type="paragraph" w:styleId="NormalWeb">
    <w:name w:val="Normal (Web)"/>
    <w:basedOn w:val="Normal"/>
    <w:rsid w:val="00C35BC5"/>
    <w:rPr>
      <w:sz w:val="24"/>
    </w:rPr>
  </w:style>
  <w:style w:type="paragraph" w:styleId="Subtitle">
    <w:name w:val="Subtitle"/>
    <w:basedOn w:val="Normal"/>
    <w:link w:val="Char8"/>
    <w:qFormat/>
    <w:rsid w:val="00C35BC5"/>
    <w:pPr>
      <w:numPr>
        <w:numId w:val="13"/>
      </w:numPr>
      <w:tabs>
        <w:tab w:val="clear" w:pos="360"/>
      </w:tabs>
      <w:spacing w:before="240" w:after="60" w:line="312" w:lineRule="auto"/>
      <w:jc w:val="center"/>
      <w:outlineLvl w:val="1"/>
    </w:pPr>
    <w:rPr>
      <w:rFonts w:ascii="Arial" w:hAnsi="Arial" w:cs="Arial"/>
      <w:b/>
      <w:bCs/>
      <w:kern w:val="28"/>
      <w:sz w:val="32"/>
      <w:szCs w:val="32"/>
    </w:rPr>
  </w:style>
  <w:style w:type="character" w:customStyle="1" w:styleId="Char8">
    <w:name w:val="副标题 Char"/>
    <w:basedOn w:val="DefaultParagraphFont"/>
    <w:link w:val="Subtitle"/>
    <w:rsid w:val="00C35BC5"/>
    <w:rPr>
      <w:rFonts w:ascii="Arial" w:hAnsi="Arial" w:cs="Arial"/>
      <w:b/>
      <w:bCs/>
      <w:kern w:val="28"/>
      <w:sz w:val="32"/>
      <w:szCs w:val="32"/>
    </w:rPr>
  </w:style>
  <w:style w:type="paragraph" w:styleId="BlockText">
    <w:name w:val="Block Text"/>
    <w:basedOn w:val="Normal"/>
    <w:rsid w:val="00C35BC5"/>
    <w:pPr>
      <w:spacing w:after="120"/>
      <w:ind w:left="1440" w:right="1440"/>
    </w:pPr>
  </w:style>
  <w:style w:type="character" w:styleId="Strong">
    <w:name w:val="Strong"/>
    <w:basedOn w:val="DefaultParagraphFont"/>
    <w:qFormat/>
    <w:rsid w:val="00C35BC5"/>
    <w:rPr>
      <w:b/>
      <w:bCs/>
    </w:rPr>
  </w:style>
  <w:style w:type="paragraph" w:styleId="DocumentMap">
    <w:name w:val="Document Map"/>
    <w:basedOn w:val="Normal"/>
    <w:link w:val="Char9"/>
    <w:semiHidden/>
    <w:rsid w:val="00C35BC5"/>
    <w:pPr>
      <w:shd w:val="clear" w:color="auto" w:fill="000080"/>
    </w:pPr>
  </w:style>
  <w:style w:type="character" w:customStyle="1" w:styleId="Char9">
    <w:name w:val="文档结构图 Char"/>
    <w:basedOn w:val="DefaultParagraphFont"/>
    <w:link w:val="DocumentMap"/>
    <w:semiHidden/>
    <w:rsid w:val="00C35BC5"/>
    <w:rPr>
      <w:rFonts w:ascii="Times New Roman" w:eastAsia="宋体" w:hAnsi="Times New Roman" w:cs="Times New Roman"/>
      <w:szCs w:val="24"/>
      <w:shd w:val="clear" w:color="auto" w:fill="000080"/>
    </w:rPr>
  </w:style>
  <w:style w:type="paragraph" w:customStyle="1" w:styleId="21">
    <w:name w:val="列表2"/>
    <w:basedOn w:val="Normal"/>
    <w:next w:val="Title"/>
    <w:rsid w:val="00C35BC5"/>
    <w:pPr>
      <w:tabs>
        <w:tab w:val="num" w:pos="360"/>
      </w:tabs>
      <w:spacing w:line="360" w:lineRule="auto"/>
    </w:pPr>
    <w:rPr>
      <w:rFonts w:ascii="宋体"/>
      <w:szCs w:val="20"/>
    </w:rPr>
  </w:style>
  <w:style w:type="paragraph" w:styleId="BalloonText">
    <w:name w:val="Balloon Text"/>
    <w:basedOn w:val="Normal"/>
    <w:link w:val="Char10"/>
    <w:semiHidden/>
    <w:rsid w:val="00C35BC5"/>
    <w:rPr>
      <w:sz w:val="18"/>
      <w:szCs w:val="18"/>
    </w:rPr>
  </w:style>
  <w:style w:type="character" w:customStyle="1" w:styleId="Char10">
    <w:name w:val="批注框文本 Char"/>
    <w:basedOn w:val="DefaultParagraphFont"/>
    <w:link w:val="BalloonText"/>
    <w:semiHidden/>
    <w:rsid w:val="00C35BC5"/>
    <w:rPr>
      <w:rFonts w:ascii="Times New Roman" w:eastAsia="宋体" w:hAnsi="Times New Roman" w:cs="Times New Roman"/>
      <w:sz w:val="18"/>
      <w:szCs w:val="18"/>
    </w:rPr>
  </w:style>
  <w:style w:type="paragraph" w:styleId="CommentText">
    <w:name w:val="annotation text"/>
    <w:basedOn w:val="Normal"/>
    <w:link w:val="Char11"/>
    <w:semiHidden/>
    <w:unhideWhenUsed/>
    <w:rsid w:val="00C35BC5"/>
    <w:pPr>
      <w:jc w:val="left"/>
    </w:pPr>
  </w:style>
  <w:style w:type="character" w:customStyle="1" w:styleId="Char11">
    <w:name w:val="批注文字 Char"/>
    <w:basedOn w:val="DefaultParagraphFont"/>
    <w:link w:val="CommentText"/>
    <w:semiHidden/>
    <w:rsid w:val="00C35BC5"/>
    <w:rPr>
      <w:rFonts w:ascii="Times New Roman" w:eastAsia="宋体" w:hAnsi="Times New Roman" w:cs="Times New Roman"/>
      <w:szCs w:val="24"/>
    </w:rPr>
  </w:style>
  <w:style w:type="paragraph" w:styleId="CommentSubject">
    <w:name w:val="annotation subject"/>
    <w:basedOn w:val="CommentText"/>
    <w:next w:val="CommentText"/>
    <w:link w:val="Char12"/>
    <w:semiHidden/>
    <w:rsid w:val="00C35BC5"/>
    <w:rPr>
      <w:b/>
      <w:bCs/>
    </w:rPr>
  </w:style>
  <w:style w:type="character" w:customStyle="1" w:styleId="Char12">
    <w:name w:val="批注主题 Char"/>
    <w:basedOn w:val="Char11"/>
    <w:link w:val="CommentSubject"/>
    <w:semiHidden/>
    <w:rsid w:val="00C35BC5"/>
    <w:rPr>
      <w:rFonts w:ascii="Times New Roman" w:eastAsia="宋体" w:hAnsi="Times New Roman" w:cs="Times New Roman"/>
      <w:b/>
      <w:bCs/>
      <w:szCs w:val="24"/>
    </w:rPr>
  </w:style>
  <w:style w:type="paragraph" w:styleId="Date">
    <w:name w:val="Date"/>
    <w:basedOn w:val="Normal"/>
    <w:next w:val="Normal"/>
    <w:link w:val="Char13"/>
    <w:rsid w:val="00C35BC5"/>
    <w:rPr>
      <w:sz w:val="24"/>
      <w:szCs w:val="20"/>
    </w:rPr>
  </w:style>
  <w:style w:type="character" w:customStyle="1" w:styleId="Char13">
    <w:name w:val="日期 Char"/>
    <w:basedOn w:val="DefaultParagraphFont"/>
    <w:link w:val="Date"/>
    <w:rsid w:val="00C35BC5"/>
    <w:rPr>
      <w:rFonts w:ascii="Times New Roman" w:eastAsia="宋体" w:hAnsi="Times New Roman" w:cs="Times New Roman"/>
      <w:sz w:val="24"/>
      <w:szCs w:val="20"/>
    </w:rPr>
  </w:style>
  <w:style w:type="paragraph" w:styleId="TOC9">
    <w:name w:val="toc 9"/>
    <w:basedOn w:val="Normal"/>
    <w:next w:val="Normal"/>
    <w:autoRedefine/>
    <w:uiPriority w:val="39"/>
    <w:rsid w:val="00C35BC5"/>
    <w:pPr>
      <w:ind w:left="3360" w:leftChars="1600"/>
    </w:pPr>
  </w:style>
  <w:style w:type="character" w:styleId="HTMLTypewriter">
    <w:name w:val="HTML Typewriter"/>
    <w:basedOn w:val="DefaultParagraphFont"/>
    <w:uiPriority w:val="99"/>
    <w:rsid w:val="00C35BC5"/>
    <w:rPr>
      <w:rFonts w:ascii="黑体" w:eastAsia="黑体" w:hAnsi="Courier New" w:cs="Courier New"/>
      <w:sz w:val="20"/>
      <w:szCs w:val="20"/>
    </w:rPr>
  </w:style>
  <w:style w:type="paragraph" w:styleId="FootnoteText">
    <w:name w:val="footnote text"/>
    <w:basedOn w:val="Normal"/>
    <w:link w:val="Char14"/>
    <w:semiHidden/>
    <w:rsid w:val="00C35BC5"/>
    <w:pPr>
      <w:snapToGrid w:val="0"/>
      <w:jc w:val="left"/>
    </w:pPr>
    <w:rPr>
      <w:sz w:val="18"/>
      <w:szCs w:val="18"/>
    </w:rPr>
  </w:style>
  <w:style w:type="character" w:customStyle="1" w:styleId="Char14">
    <w:name w:val="脚注文本 Char"/>
    <w:basedOn w:val="DefaultParagraphFont"/>
    <w:link w:val="FootnoteText"/>
    <w:semiHidden/>
    <w:rsid w:val="00C35BC5"/>
    <w:rPr>
      <w:rFonts w:ascii="Times New Roman" w:eastAsia="宋体" w:hAnsi="Times New Roman" w:cs="Times New Roman"/>
      <w:sz w:val="18"/>
      <w:szCs w:val="18"/>
    </w:rPr>
  </w:style>
  <w:style w:type="paragraph" w:styleId="TOC3">
    <w:name w:val="toc 3"/>
    <w:basedOn w:val="Normal"/>
    <w:next w:val="Normal"/>
    <w:autoRedefine/>
    <w:uiPriority w:val="39"/>
    <w:rsid w:val="00C35BC5"/>
    <w:pPr>
      <w:ind w:left="840" w:leftChars="400"/>
    </w:pPr>
    <w:rPr>
      <w:rFonts w:eastAsia="仿宋_GB2312"/>
    </w:rPr>
  </w:style>
  <w:style w:type="paragraph" w:styleId="TOC4">
    <w:name w:val="toc 4"/>
    <w:basedOn w:val="Normal"/>
    <w:next w:val="Normal"/>
    <w:autoRedefine/>
    <w:uiPriority w:val="39"/>
    <w:rsid w:val="00C35BC5"/>
    <w:pPr>
      <w:ind w:left="1260" w:leftChars="600"/>
    </w:pPr>
  </w:style>
  <w:style w:type="paragraph" w:styleId="TOC5">
    <w:name w:val="toc 5"/>
    <w:basedOn w:val="Normal"/>
    <w:next w:val="Normal"/>
    <w:autoRedefine/>
    <w:uiPriority w:val="39"/>
    <w:rsid w:val="00C35BC5"/>
    <w:pPr>
      <w:ind w:left="1680" w:leftChars="800"/>
    </w:pPr>
  </w:style>
  <w:style w:type="paragraph" w:styleId="TOC6">
    <w:name w:val="toc 6"/>
    <w:basedOn w:val="Normal"/>
    <w:next w:val="Normal"/>
    <w:autoRedefine/>
    <w:uiPriority w:val="39"/>
    <w:rsid w:val="00C35BC5"/>
    <w:pPr>
      <w:ind w:left="2100" w:leftChars="1000"/>
    </w:pPr>
  </w:style>
  <w:style w:type="paragraph" w:styleId="TOC7">
    <w:name w:val="toc 7"/>
    <w:basedOn w:val="Normal"/>
    <w:next w:val="Normal"/>
    <w:autoRedefine/>
    <w:uiPriority w:val="39"/>
    <w:rsid w:val="00C35BC5"/>
    <w:pPr>
      <w:ind w:left="2520" w:leftChars="1200"/>
    </w:pPr>
  </w:style>
  <w:style w:type="paragraph" w:styleId="TOC8">
    <w:name w:val="toc 8"/>
    <w:basedOn w:val="Normal"/>
    <w:next w:val="Normal"/>
    <w:autoRedefine/>
    <w:uiPriority w:val="39"/>
    <w:rsid w:val="00C35BC5"/>
    <w:pPr>
      <w:ind w:left="2940" w:leftChars="1400"/>
    </w:pPr>
  </w:style>
  <w:style w:type="paragraph" w:styleId="HTMLAddress">
    <w:name w:val="HTML Address"/>
    <w:basedOn w:val="Normal"/>
    <w:link w:val="HTMLChar0"/>
    <w:rsid w:val="00C35BC5"/>
    <w:rPr>
      <w:i/>
      <w:iCs/>
    </w:rPr>
  </w:style>
  <w:style w:type="character" w:customStyle="1" w:styleId="HTMLChar0">
    <w:name w:val="HTML 地址 Char"/>
    <w:basedOn w:val="DefaultParagraphFont"/>
    <w:link w:val="HTMLAddress"/>
    <w:rsid w:val="00C35BC5"/>
    <w:rPr>
      <w:rFonts w:ascii="Times New Roman" w:eastAsia="宋体" w:hAnsi="Times New Roman" w:cs="Times New Roman"/>
      <w:i/>
      <w:iCs/>
      <w:szCs w:val="24"/>
    </w:rPr>
  </w:style>
  <w:style w:type="paragraph" w:styleId="Salutation">
    <w:name w:val="Salutation"/>
    <w:basedOn w:val="Normal"/>
    <w:next w:val="Normal"/>
    <w:link w:val="Char15"/>
    <w:rsid w:val="00C35BC5"/>
  </w:style>
  <w:style w:type="character" w:customStyle="1" w:styleId="Char15">
    <w:name w:val="称呼 Char"/>
    <w:basedOn w:val="DefaultParagraphFont"/>
    <w:link w:val="Salutation"/>
    <w:rsid w:val="00C35BC5"/>
    <w:rPr>
      <w:rFonts w:ascii="Times New Roman" w:eastAsia="宋体" w:hAnsi="Times New Roman" w:cs="Times New Roman"/>
      <w:szCs w:val="24"/>
    </w:rPr>
  </w:style>
  <w:style w:type="paragraph" w:styleId="E-mailSignature">
    <w:name w:val="E-mail Signature"/>
    <w:basedOn w:val="Normal"/>
    <w:link w:val="Char16"/>
    <w:rsid w:val="00C35BC5"/>
  </w:style>
  <w:style w:type="character" w:customStyle="1" w:styleId="Char16">
    <w:name w:val="电子邮件签名 Char"/>
    <w:basedOn w:val="DefaultParagraphFont"/>
    <w:link w:val="E-mailSignature"/>
    <w:rsid w:val="00C35BC5"/>
    <w:rPr>
      <w:rFonts w:ascii="Times New Roman" w:eastAsia="宋体" w:hAnsi="Times New Roman" w:cs="Times New Roman"/>
      <w:szCs w:val="24"/>
    </w:rPr>
  </w:style>
  <w:style w:type="paragraph" w:styleId="Macro">
    <w:name w:val="macro"/>
    <w:link w:val="Char17"/>
    <w:semiHidden/>
    <w:rsid w:val="00C35B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仿宋_GB2312"/>
      <w:kern w:val="2"/>
      <w:sz w:val="24"/>
      <w:szCs w:val="24"/>
    </w:rPr>
  </w:style>
  <w:style w:type="character" w:customStyle="1" w:styleId="Char17">
    <w:name w:val="宏文本 Char"/>
    <w:basedOn w:val="DefaultParagraphFont"/>
    <w:link w:val="Macro"/>
    <w:semiHidden/>
    <w:rsid w:val="00C35BC5"/>
    <w:rPr>
      <w:rFonts w:ascii="Courier New" w:hAnsi="Courier New" w:cs="仿宋_GB2312"/>
      <w:kern w:val="2"/>
      <w:sz w:val="24"/>
      <w:szCs w:val="24"/>
      <w:lang w:val="en-US" w:eastAsia="zh-CN" w:bidi="ar-SA"/>
    </w:rPr>
  </w:style>
  <w:style w:type="paragraph" w:styleId="EnvelopeReturn">
    <w:name w:val="envelope return"/>
    <w:basedOn w:val="Normal"/>
    <w:rsid w:val="00C35BC5"/>
    <w:pPr>
      <w:snapToGrid w:val="0"/>
    </w:pPr>
    <w:rPr>
      <w:rFonts w:ascii="Arial" w:hAnsi="Arial" w:cs="Arial"/>
    </w:rPr>
  </w:style>
  <w:style w:type="paragraph" w:styleId="List">
    <w:name w:val="List"/>
    <w:basedOn w:val="Normal"/>
    <w:rsid w:val="00C35BC5"/>
    <w:pPr>
      <w:ind w:left="200" w:hanging="200" w:hangingChars="200"/>
    </w:pPr>
  </w:style>
  <w:style w:type="paragraph" w:styleId="List2">
    <w:name w:val="List 2"/>
    <w:basedOn w:val="Normal"/>
    <w:rsid w:val="00C35BC5"/>
    <w:pPr>
      <w:ind w:left="100" w:hanging="200" w:leftChars="200" w:hangingChars="200"/>
    </w:pPr>
  </w:style>
  <w:style w:type="paragraph" w:styleId="List3">
    <w:name w:val="List 3"/>
    <w:basedOn w:val="Normal"/>
    <w:rsid w:val="00C35BC5"/>
    <w:pPr>
      <w:ind w:left="100" w:hanging="200" w:leftChars="400" w:hangingChars="200"/>
    </w:pPr>
  </w:style>
  <w:style w:type="paragraph" w:styleId="List4">
    <w:name w:val="List 4"/>
    <w:basedOn w:val="Normal"/>
    <w:rsid w:val="00C35BC5"/>
    <w:pPr>
      <w:ind w:left="100" w:hanging="200" w:leftChars="600" w:hangingChars="200"/>
    </w:pPr>
  </w:style>
  <w:style w:type="paragraph" w:styleId="List5">
    <w:name w:val="List 5"/>
    <w:basedOn w:val="Normal"/>
    <w:rsid w:val="00C35BC5"/>
    <w:pPr>
      <w:ind w:left="100" w:hanging="200" w:leftChars="800" w:hangingChars="200"/>
    </w:pPr>
  </w:style>
  <w:style w:type="paragraph" w:styleId="ListContinue">
    <w:name w:val="List Continue"/>
    <w:basedOn w:val="Normal"/>
    <w:rsid w:val="00C35BC5"/>
    <w:pPr>
      <w:spacing w:after="120"/>
      <w:ind w:left="420" w:leftChars="200"/>
    </w:pPr>
  </w:style>
  <w:style w:type="paragraph" w:styleId="ListContinue2">
    <w:name w:val="List Continue 2"/>
    <w:basedOn w:val="Normal"/>
    <w:rsid w:val="00C35BC5"/>
    <w:pPr>
      <w:spacing w:after="120"/>
      <w:ind w:left="840" w:leftChars="400"/>
    </w:pPr>
  </w:style>
  <w:style w:type="paragraph" w:styleId="ListContinue3">
    <w:name w:val="List Continue 3"/>
    <w:basedOn w:val="Normal"/>
    <w:rsid w:val="00C35BC5"/>
    <w:pPr>
      <w:spacing w:after="120"/>
      <w:ind w:left="1260" w:leftChars="600"/>
    </w:pPr>
  </w:style>
  <w:style w:type="paragraph" w:styleId="ListContinue4">
    <w:name w:val="List Continue 4"/>
    <w:basedOn w:val="Normal"/>
    <w:rsid w:val="00C35BC5"/>
    <w:pPr>
      <w:spacing w:after="120"/>
      <w:ind w:left="1680" w:leftChars="800"/>
    </w:pPr>
  </w:style>
  <w:style w:type="paragraph" w:styleId="ListContinue5">
    <w:name w:val="List Continue 5"/>
    <w:basedOn w:val="Normal"/>
    <w:rsid w:val="00C35BC5"/>
    <w:pPr>
      <w:spacing w:after="120"/>
      <w:ind w:left="2100" w:leftChars="1000"/>
    </w:pPr>
  </w:style>
  <w:style w:type="paragraph" w:styleId="Signature">
    <w:name w:val="Signature"/>
    <w:basedOn w:val="Normal"/>
    <w:link w:val="Char18"/>
    <w:rsid w:val="00C35BC5"/>
    <w:pPr>
      <w:ind w:left="100" w:leftChars="2100"/>
    </w:pPr>
  </w:style>
  <w:style w:type="character" w:customStyle="1" w:styleId="Char18">
    <w:name w:val="签名 Char"/>
    <w:basedOn w:val="DefaultParagraphFont"/>
    <w:link w:val="Signature"/>
    <w:rsid w:val="00C35BC5"/>
    <w:rPr>
      <w:rFonts w:ascii="Times New Roman" w:eastAsia="宋体" w:hAnsi="Times New Roman" w:cs="Times New Roman"/>
      <w:szCs w:val="24"/>
    </w:rPr>
  </w:style>
  <w:style w:type="paragraph" w:styleId="Index1">
    <w:name w:val="index 1"/>
    <w:basedOn w:val="Normal"/>
    <w:next w:val="Normal"/>
    <w:autoRedefine/>
    <w:semiHidden/>
    <w:rsid w:val="00C35BC5"/>
  </w:style>
  <w:style w:type="paragraph" w:styleId="Index2">
    <w:name w:val="index 2"/>
    <w:basedOn w:val="Normal"/>
    <w:next w:val="Normal"/>
    <w:autoRedefine/>
    <w:semiHidden/>
    <w:rsid w:val="00C35BC5"/>
    <w:pPr>
      <w:ind w:left="200" w:leftChars="200"/>
    </w:pPr>
  </w:style>
  <w:style w:type="paragraph" w:styleId="Index3">
    <w:name w:val="index 3"/>
    <w:basedOn w:val="Normal"/>
    <w:next w:val="Normal"/>
    <w:autoRedefine/>
    <w:semiHidden/>
    <w:rsid w:val="00C35BC5"/>
    <w:pPr>
      <w:ind w:left="400" w:leftChars="400"/>
    </w:pPr>
  </w:style>
  <w:style w:type="paragraph" w:styleId="Index4">
    <w:name w:val="index 4"/>
    <w:basedOn w:val="Normal"/>
    <w:next w:val="Normal"/>
    <w:autoRedefine/>
    <w:semiHidden/>
    <w:rsid w:val="00C35BC5"/>
    <w:pPr>
      <w:ind w:left="600" w:leftChars="600"/>
    </w:pPr>
  </w:style>
  <w:style w:type="paragraph" w:styleId="Index5">
    <w:name w:val="index 5"/>
    <w:basedOn w:val="Normal"/>
    <w:next w:val="Normal"/>
    <w:autoRedefine/>
    <w:semiHidden/>
    <w:rsid w:val="00C35BC5"/>
    <w:pPr>
      <w:ind w:left="800" w:leftChars="800"/>
    </w:pPr>
  </w:style>
  <w:style w:type="paragraph" w:styleId="Index6">
    <w:name w:val="index 6"/>
    <w:basedOn w:val="Normal"/>
    <w:next w:val="Normal"/>
    <w:autoRedefine/>
    <w:semiHidden/>
    <w:rsid w:val="00C35BC5"/>
    <w:pPr>
      <w:ind w:left="1000" w:leftChars="1000"/>
    </w:pPr>
  </w:style>
  <w:style w:type="paragraph" w:styleId="Index7">
    <w:name w:val="index 7"/>
    <w:basedOn w:val="Normal"/>
    <w:next w:val="Normal"/>
    <w:autoRedefine/>
    <w:semiHidden/>
    <w:rsid w:val="00C35BC5"/>
    <w:pPr>
      <w:ind w:left="1200" w:leftChars="1200"/>
    </w:pPr>
  </w:style>
  <w:style w:type="paragraph" w:styleId="Index8">
    <w:name w:val="index 8"/>
    <w:basedOn w:val="Normal"/>
    <w:next w:val="Normal"/>
    <w:autoRedefine/>
    <w:semiHidden/>
    <w:rsid w:val="00C35BC5"/>
    <w:pPr>
      <w:ind w:left="1400" w:leftChars="1400"/>
    </w:pPr>
  </w:style>
  <w:style w:type="paragraph" w:styleId="Index9">
    <w:name w:val="index 9"/>
    <w:basedOn w:val="Normal"/>
    <w:next w:val="Normal"/>
    <w:autoRedefine/>
    <w:semiHidden/>
    <w:rsid w:val="00C35BC5"/>
    <w:pPr>
      <w:ind w:left="1600" w:leftChars="1600"/>
    </w:pPr>
  </w:style>
  <w:style w:type="paragraph" w:styleId="IndexHeading">
    <w:name w:val="index heading"/>
    <w:basedOn w:val="Normal"/>
    <w:next w:val="Index1"/>
    <w:semiHidden/>
    <w:rsid w:val="00C35BC5"/>
    <w:rPr>
      <w:rFonts w:ascii="Arial" w:hAnsi="Arial" w:cs="Arial"/>
      <w:b/>
      <w:bCs/>
    </w:rPr>
  </w:style>
  <w:style w:type="paragraph" w:styleId="Caption">
    <w:name w:val="caption"/>
    <w:basedOn w:val="Normal"/>
    <w:next w:val="Normal"/>
    <w:qFormat/>
    <w:rsid w:val="00C35BC5"/>
    <w:pPr>
      <w:spacing w:before="152" w:after="160"/>
    </w:pPr>
    <w:rPr>
      <w:rFonts w:ascii="Arial" w:eastAsia="黑体" w:hAnsi="Arial" w:cs="Arial"/>
      <w:sz w:val="20"/>
      <w:szCs w:val="20"/>
    </w:rPr>
  </w:style>
  <w:style w:type="paragraph" w:styleId="EndnoteText">
    <w:name w:val="endnote text"/>
    <w:basedOn w:val="Normal"/>
    <w:link w:val="Char19"/>
    <w:semiHidden/>
    <w:rsid w:val="00C35BC5"/>
    <w:pPr>
      <w:snapToGrid w:val="0"/>
      <w:jc w:val="left"/>
    </w:pPr>
  </w:style>
  <w:style w:type="character" w:customStyle="1" w:styleId="Char19">
    <w:name w:val="尾注文本 Char"/>
    <w:basedOn w:val="DefaultParagraphFont"/>
    <w:link w:val="EndnoteText"/>
    <w:semiHidden/>
    <w:rsid w:val="00C35BC5"/>
    <w:rPr>
      <w:rFonts w:ascii="Times New Roman" w:eastAsia="宋体" w:hAnsi="Times New Roman" w:cs="Times New Roman"/>
      <w:szCs w:val="24"/>
    </w:rPr>
  </w:style>
  <w:style w:type="paragraph" w:styleId="EnvelopeAddress">
    <w:name w:val="envelope address"/>
    <w:basedOn w:val="Normal"/>
    <w:rsid w:val="00C35BC5"/>
    <w:pPr>
      <w:framePr w:w="7920" w:h="1980" w:hRule="exact" w:hSpace="180" w:wrap="auto" w:hAnchor="page" w:xAlign="center" w:yAlign="bottom"/>
      <w:snapToGrid w:val="0"/>
      <w:ind w:left="100" w:leftChars="1400"/>
    </w:pPr>
    <w:rPr>
      <w:rFonts w:ascii="Arial" w:hAnsi="Arial" w:cs="Arial"/>
      <w:sz w:val="24"/>
    </w:rPr>
  </w:style>
  <w:style w:type="paragraph" w:styleId="MessageHeader">
    <w:name w:val="Message Header"/>
    <w:basedOn w:val="Normal"/>
    <w:link w:val="Char20"/>
    <w:rsid w:val="00C35BC5"/>
    <w:pPr>
      <w:pBdr>
        <w:top w:val="single" w:sz="6" w:space="1" w:color="auto"/>
        <w:left w:val="single" w:sz="6" w:space="1" w:color="auto"/>
        <w:bottom w:val="single" w:sz="6" w:space="1" w:color="auto"/>
        <w:right w:val="single" w:sz="6" w:space="1" w:color="auto"/>
      </w:pBdr>
      <w:shd w:val="pct20" w:color="auto" w:fill="auto"/>
      <w:ind w:left="1080" w:hanging="1080" w:leftChars="500" w:hangingChars="500"/>
    </w:pPr>
    <w:rPr>
      <w:rFonts w:ascii="Arial" w:hAnsi="Arial" w:cs="Arial"/>
      <w:sz w:val="24"/>
    </w:rPr>
  </w:style>
  <w:style w:type="character" w:customStyle="1" w:styleId="Char20">
    <w:name w:val="信息标题 Char"/>
    <w:basedOn w:val="DefaultParagraphFont"/>
    <w:link w:val="MessageHeader"/>
    <w:rsid w:val="00C35BC5"/>
    <w:rPr>
      <w:rFonts w:ascii="Arial" w:eastAsia="宋体" w:hAnsi="Arial" w:cs="Arial"/>
      <w:sz w:val="24"/>
      <w:szCs w:val="24"/>
      <w:shd w:val="pct20" w:color="auto" w:fill="auto"/>
    </w:rPr>
  </w:style>
  <w:style w:type="paragraph" w:styleId="TableofAuthorities">
    <w:name w:val="table of authorities"/>
    <w:basedOn w:val="Normal"/>
    <w:next w:val="Normal"/>
    <w:semiHidden/>
    <w:rsid w:val="00C35BC5"/>
    <w:pPr>
      <w:ind w:left="420" w:leftChars="200"/>
    </w:pPr>
  </w:style>
  <w:style w:type="paragraph" w:styleId="TOAHeading">
    <w:name w:val="toa heading"/>
    <w:basedOn w:val="Normal"/>
    <w:next w:val="Normal"/>
    <w:semiHidden/>
    <w:rsid w:val="00C35BC5"/>
    <w:pPr>
      <w:spacing w:before="120"/>
    </w:pPr>
    <w:rPr>
      <w:rFonts w:ascii="Arial" w:hAnsi="Arial" w:cs="Arial"/>
      <w:sz w:val="24"/>
    </w:rPr>
  </w:style>
  <w:style w:type="paragraph" w:styleId="BodyTextFirstIndent2">
    <w:name w:val="Body Text First Indent 2"/>
    <w:basedOn w:val="BodyTextIndent"/>
    <w:link w:val="2Char3"/>
    <w:rsid w:val="00C35BC5"/>
    <w:pPr>
      <w:ind w:left="200" w:firstLine="210" w:leftChars="200" w:firstLineChars="200"/>
    </w:pPr>
  </w:style>
  <w:style w:type="character" w:customStyle="1" w:styleId="2Char3">
    <w:name w:val="正文首行缩进 2 Char"/>
    <w:basedOn w:val="Char5"/>
    <w:link w:val="BodyTextFirstIndent2"/>
    <w:rsid w:val="00C35BC5"/>
    <w:rPr>
      <w:rFonts w:ascii="Times New Roman" w:eastAsia="宋体" w:hAnsi="Times New Roman" w:cs="Times New Roman"/>
      <w:szCs w:val="24"/>
    </w:rPr>
  </w:style>
  <w:style w:type="table" w:styleId="TableGrid">
    <w:name w:val="Table Grid"/>
    <w:basedOn w:val="TableNormal"/>
    <w:qFormat/>
    <w:rsid w:val="00C35BC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C35BC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E11"/>
    <w:pPr>
      <w:ind w:firstLine="420" w:firstLineChars="200"/>
    </w:pPr>
  </w:style>
  <w:style w:type="paragraph" w:styleId="Revision">
    <w:name w:val="Revision"/>
    <w:uiPriority w:val="99"/>
    <w:semiHidden/>
    <w:rsid w:val="0018727C"/>
    <w:rPr>
      <w:rFonts w:ascii="Times New Roman" w:hAnsi="Times New Roman"/>
      <w:kern w:val="2"/>
      <w:sz w:val="21"/>
      <w:szCs w:val="24"/>
    </w:rPr>
  </w:style>
  <w:style w:type="character" w:styleId="FootnoteReference">
    <w:name w:val="footnote reference"/>
    <w:basedOn w:val="DefaultParagraphFont"/>
    <w:semiHidden/>
    <w:unhideWhenUsed/>
    <w:rsid w:val="0018727C"/>
    <w:rPr>
      <w:vertAlign w:val="superscript"/>
    </w:rPr>
  </w:style>
  <w:style w:type="character" w:styleId="CommentReference">
    <w:name w:val="annotation reference"/>
    <w:basedOn w:val="DefaultParagraphFont"/>
    <w:semiHidden/>
    <w:unhideWhenUsed/>
    <w:rsid w:val="0018727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yperlink" Target="http://www.efunds.com.cn" TargetMode="External" /><Relationship Id="rId14" Type="http://schemas.openxmlformats.org/officeDocument/2006/relationships/hyperlink" Target="mailto:service@efunds.com.cn"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4644A3-051E-4BC8-B923-C55F4F23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102</Pages>
  <Words>13369</Words>
  <Characters>76208</Characters>
  <Application>Microsoft Office Word</Application>
  <DocSecurity>0</DocSecurity>
  <Lines>635</Lines>
  <Paragraphs>178</Paragraphs>
  <ScaleCrop>false</ScaleCrop>
  <Company>E FUND</Company>
  <LinksUpToDate>false</LinksUpToDate>
  <CharactersWithSpaces>89399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陈红</dc:creator>
  <cp:lastModifiedBy>梅邑凯</cp:lastModifiedBy>
  <cp:revision>7</cp:revision>
  <cp:lastPrinted>2012-04-26T08:48:00Z</cp:lastPrinted>
  <dcterms:created xsi:type="dcterms:W3CDTF">2021-12-24T11:55:00Z</dcterms:created>
  <dcterms:modified xsi:type="dcterms:W3CDTF">2021-12-30T08:10:00Z</dcterms:modified>
</cp:coreProperties>
</file>