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8F2942" w:rsidRPr="001F61B7" w:rsidP="00C42A18">
      <w:pPr>
        <w:tabs>
          <w:tab w:val="left" w:pos="3544"/>
        </w:tabs>
        <w:adjustRightInd w:val="0"/>
        <w:snapToGrid w:val="0"/>
        <w:spacing w:line="360" w:lineRule="auto"/>
        <w:jc w:val="left"/>
        <w:rPr>
          <w:rFonts w:asciiTheme="minorEastAsia" w:eastAsiaTheme="minorEastAsia" w:hAnsiTheme="minorEastAsia"/>
          <w:color w:val="000000" w:themeColor="text1"/>
          <w:szCs w:val="21"/>
        </w:rPr>
      </w:pPr>
    </w:p>
    <w:p w:rsidR="00BA4B87" w:rsidRPr="001F61B7" w:rsidP="00C42A18">
      <w:pPr>
        <w:tabs>
          <w:tab w:val="left" w:pos="1890"/>
          <w:tab w:val="left" w:pos="3544"/>
        </w:tabs>
        <w:rPr>
          <w:rFonts w:asciiTheme="minorEastAsia" w:eastAsiaTheme="minorEastAsia" w:hAnsiTheme="minorEastAsia"/>
          <w:i/>
          <w:iCs/>
          <w:color w:val="000000" w:themeColor="text1"/>
          <w:sz w:val="28"/>
          <w:szCs w:val="28"/>
        </w:rPr>
      </w:pPr>
    </w:p>
    <w:p w:rsidR="00BA4B87" w:rsidRPr="001F61B7" w:rsidP="00C42A18">
      <w:pPr>
        <w:tabs>
          <w:tab w:val="left" w:pos="3544"/>
        </w:tabs>
        <w:spacing w:line="360" w:lineRule="auto"/>
        <w:ind w:firstLine="881"/>
        <w:jc w:val="center"/>
        <w:rPr>
          <w:rFonts w:asciiTheme="minorEastAsia" w:eastAsiaTheme="minorEastAsia" w:hAnsiTheme="minorEastAsia"/>
          <w:b/>
          <w:color w:val="000000" w:themeColor="text1"/>
          <w:sz w:val="44"/>
        </w:rPr>
      </w:pPr>
    </w:p>
    <w:p w:rsidR="00BA4B87" w:rsidRPr="001F61B7" w:rsidP="00C42A18">
      <w:pPr>
        <w:tabs>
          <w:tab w:val="left" w:pos="3544"/>
        </w:tabs>
        <w:spacing w:line="360" w:lineRule="auto"/>
        <w:ind w:firstLine="881"/>
        <w:jc w:val="center"/>
        <w:rPr>
          <w:rFonts w:asciiTheme="minorEastAsia" w:eastAsiaTheme="minorEastAsia" w:hAnsiTheme="minorEastAsia"/>
          <w:b/>
          <w:color w:val="000000" w:themeColor="text1"/>
          <w:sz w:val="44"/>
        </w:rPr>
      </w:pPr>
    </w:p>
    <w:p w:rsidR="00BA4B87" w:rsidRPr="001F61B7" w:rsidP="00C42A18">
      <w:pPr>
        <w:tabs>
          <w:tab w:val="left" w:pos="3544"/>
        </w:tabs>
        <w:spacing w:line="360" w:lineRule="auto"/>
        <w:ind w:firstLine="881"/>
        <w:jc w:val="center"/>
        <w:rPr>
          <w:rFonts w:asciiTheme="minorEastAsia" w:eastAsiaTheme="minorEastAsia" w:hAnsiTheme="minorEastAsia"/>
          <w:b/>
          <w:color w:val="000000" w:themeColor="text1"/>
          <w:sz w:val="44"/>
        </w:rPr>
      </w:pPr>
    </w:p>
    <w:p w:rsidR="00BA4B87" w:rsidRPr="001F61B7" w:rsidP="00C42A18">
      <w:pPr>
        <w:tabs>
          <w:tab w:val="left" w:pos="3544"/>
        </w:tabs>
        <w:spacing w:line="360" w:lineRule="auto"/>
        <w:ind w:firstLine="881"/>
        <w:jc w:val="center"/>
        <w:rPr>
          <w:rFonts w:asciiTheme="minorEastAsia" w:eastAsiaTheme="minorEastAsia" w:hAnsiTheme="minorEastAsia"/>
          <w:b/>
          <w:color w:val="000000" w:themeColor="text1"/>
          <w:sz w:val="44"/>
        </w:rPr>
      </w:pPr>
    </w:p>
    <w:p w:rsidR="00992FE4" w:rsidRPr="001F61B7" w:rsidP="00C42A18">
      <w:pPr>
        <w:tabs>
          <w:tab w:val="left" w:pos="3544"/>
        </w:tabs>
        <w:spacing w:line="360" w:lineRule="auto"/>
        <w:ind w:left="-2" w:hanging="282" w:leftChars="-135" w:hangingChars="64"/>
        <w:jc w:val="center"/>
        <w:rPr>
          <w:rFonts w:asciiTheme="minorEastAsia" w:eastAsiaTheme="minorEastAsia" w:hAnsiTheme="minorEastAsia"/>
          <w:color w:val="000000" w:themeColor="text1"/>
          <w:sz w:val="30"/>
          <w:szCs w:val="30"/>
        </w:rPr>
      </w:pPr>
      <w:r w:rsidRPr="001F61B7">
        <w:rPr>
          <w:rFonts w:asciiTheme="minorEastAsia" w:eastAsiaTheme="minorEastAsia" w:hAnsiTheme="minorEastAsia"/>
          <w:b/>
          <w:color w:val="000000" w:themeColor="text1"/>
          <w:sz w:val="44"/>
        </w:rPr>
        <w:t>易方达</w:t>
      </w:r>
      <w:r w:rsidRPr="001F61B7" w:rsidR="00FD375F">
        <w:rPr>
          <w:rFonts w:asciiTheme="minorEastAsia" w:eastAsiaTheme="minorEastAsia" w:hAnsiTheme="minorEastAsia"/>
          <w:b/>
          <w:color w:val="000000" w:themeColor="text1"/>
          <w:sz w:val="44"/>
        </w:rPr>
        <w:t>中证科技50</w:t>
      </w:r>
      <w:r w:rsidRPr="001F61B7">
        <w:rPr>
          <w:rFonts w:asciiTheme="minorEastAsia" w:eastAsiaTheme="minorEastAsia" w:hAnsiTheme="minorEastAsia"/>
          <w:b/>
          <w:color w:val="000000" w:themeColor="text1"/>
          <w:sz w:val="44"/>
        </w:rPr>
        <w:t>交易型开放式指数证券投资基金</w:t>
      </w:r>
      <w:r w:rsidRPr="001F61B7" w:rsidR="00717B3B">
        <w:rPr>
          <w:rFonts w:asciiTheme="minorEastAsia" w:eastAsiaTheme="minorEastAsia" w:hAnsiTheme="minorEastAsia" w:hint="eastAsia"/>
          <w:b/>
          <w:color w:val="000000" w:themeColor="text1"/>
          <w:sz w:val="44"/>
        </w:rPr>
        <w:t>更新的</w:t>
      </w:r>
      <w:r w:rsidRPr="001F61B7" w:rsidR="00BA4B87">
        <w:rPr>
          <w:rFonts w:asciiTheme="minorEastAsia" w:eastAsiaTheme="minorEastAsia" w:hAnsiTheme="minorEastAsia"/>
          <w:b/>
          <w:color w:val="000000" w:themeColor="text1"/>
          <w:sz w:val="44"/>
        </w:rPr>
        <w:t>招募说明书</w:t>
      </w:r>
    </w:p>
    <w:p w:rsidR="00BA4B87" w:rsidRPr="001F61B7" w:rsidP="00C42A18">
      <w:pPr>
        <w:tabs>
          <w:tab w:val="left" w:pos="3544"/>
        </w:tabs>
        <w:spacing w:line="360" w:lineRule="auto"/>
        <w:ind w:left="1680" w:leftChars="800"/>
        <w:rPr>
          <w:rFonts w:asciiTheme="minorEastAsia" w:eastAsiaTheme="minorEastAsia" w:hAnsiTheme="minorEastAsia"/>
          <w:color w:val="000000" w:themeColor="text1"/>
          <w:sz w:val="30"/>
          <w:szCs w:val="30"/>
        </w:rPr>
      </w:pPr>
    </w:p>
    <w:p w:rsidR="00BA4B87" w:rsidRPr="001F61B7" w:rsidP="00C42A18">
      <w:pPr>
        <w:tabs>
          <w:tab w:val="left" w:pos="3544"/>
        </w:tabs>
        <w:spacing w:line="360" w:lineRule="auto"/>
        <w:ind w:left="1680" w:leftChars="800"/>
        <w:rPr>
          <w:rFonts w:asciiTheme="minorEastAsia" w:eastAsiaTheme="minorEastAsia" w:hAnsiTheme="minorEastAsia"/>
          <w:color w:val="000000" w:themeColor="text1"/>
          <w:sz w:val="30"/>
          <w:szCs w:val="30"/>
        </w:rPr>
      </w:pPr>
    </w:p>
    <w:p w:rsidR="00BA4B87" w:rsidRPr="001F61B7" w:rsidP="00C42A18">
      <w:pPr>
        <w:tabs>
          <w:tab w:val="left" w:pos="3544"/>
        </w:tabs>
        <w:spacing w:line="360" w:lineRule="auto"/>
        <w:ind w:left="1680" w:leftChars="800"/>
        <w:rPr>
          <w:rFonts w:asciiTheme="minorEastAsia" w:eastAsiaTheme="minorEastAsia" w:hAnsiTheme="minorEastAsia"/>
          <w:color w:val="000000" w:themeColor="text1"/>
          <w:sz w:val="30"/>
          <w:szCs w:val="30"/>
        </w:rPr>
      </w:pPr>
    </w:p>
    <w:p w:rsidR="00BA4B87" w:rsidRPr="001F61B7" w:rsidP="00C42A18">
      <w:pPr>
        <w:tabs>
          <w:tab w:val="left" w:pos="3544"/>
        </w:tabs>
        <w:spacing w:line="360" w:lineRule="auto"/>
        <w:ind w:left="1680" w:leftChars="800"/>
        <w:rPr>
          <w:rFonts w:asciiTheme="minorEastAsia" w:eastAsiaTheme="minorEastAsia" w:hAnsiTheme="minorEastAsia"/>
          <w:color w:val="000000" w:themeColor="text1"/>
          <w:sz w:val="30"/>
          <w:szCs w:val="30"/>
        </w:rPr>
      </w:pPr>
    </w:p>
    <w:p w:rsidR="00BA4B87" w:rsidRPr="001F61B7" w:rsidP="00C42A18">
      <w:pPr>
        <w:tabs>
          <w:tab w:val="left" w:pos="3544"/>
        </w:tabs>
        <w:spacing w:line="360" w:lineRule="auto"/>
        <w:jc w:val="center"/>
        <w:rPr>
          <w:rFonts w:asciiTheme="minorEastAsia" w:eastAsiaTheme="minorEastAsia" w:hAnsiTheme="minorEastAsia"/>
          <w:b/>
          <w:color w:val="000000" w:themeColor="text1"/>
          <w:sz w:val="32"/>
          <w:szCs w:val="32"/>
        </w:rPr>
      </w:pPr>
      <w:r w:rsidRPr="001F61B7">
        <w:rPr>
          <w:rFonts w:asciiTheme="minorEastAsia" w:eastAsiaTheme="minorEastAsia" w:hAnsiTheme="minorEastAsia"/>
          <w:b/>
          <w:color w:val="000000" w:themeColor="text1"/>
          <w:sz w:val="32"/>
          <w:szCs w:val="32"/>
        </w:rPr>
        <w:t>基金管理人：易方达基金管理有限公司</w:t>
      </w:r>
    </w:p>
    <w:p w:rsidR="00BA4B87" w:rsidRPr="001F61B7" w:rsidP="00C42A18">
      <w:pPr>
        <w:tabs>
          <w:tab w:val="left" w:pos="3544"/>
        </w:tabs>
        <w:spacing w:line="360" w:lineRule="auto"/>
        <w:jc w:val="center"/>
        <w:rPr>
          <w:rFonts w:asciiTheme="minorEastAsia" w:eastAsiaTheme="minorEastAsia" w:hAnsiTheme="minorEastAsia"/>
          <w:b/>
          <w:color w:val="000000" w:themeColor="text1"/>
          <w:sz w:val="32"/>
          <w:szCs w:val="32"/>
        </w:rPr>
      </w:pPr>
      <w:r w:rsidRPr="001F61B7">
        <w:rPr>
          <w:rFonts w:asciiTheme="minorEastAsia" w:eastAsiaTheme="minorEastAsia" w:hAnsiTheme="minorEastAsia"/>
          <w:b/>
          <w:color w:val="000000" w:themeColor="text1"/>
          <w:sz w:val="32"/>
          <w:szCs w:val="32"/>
        </w:rPr>
        <w:t>基金托管人：</w:t>
      </w:r>
      <w:r w:rsidRPr="001F61B7" w:rsidR="005708C1">
        <w:rPr>
          <w:rFonts w:asciiTheme="minorEastAsia" w:eastAsiaTheme="minorEastAsia" w:hAnsiTheme="minorEastAsia" w:hint="eastAsia"/>
          <w:b/>
          <w:color w:val="000000" w:themeColor="text1"/>
          <w:sz w:val="32"/>
          <w:szCs w:val="32"/>
        </w:rPr>
        <w:t>中国</w:t>
      </w:r>
      <w:r w:rsidRPr="001F61B7" w:rsidR="00CC032E">
        <w:rPr>
          <w:rFonts w:asciiTheme="minorEastAsia" w:eastAsiaTheme="minorEastAsia" w:hAnsiTheme="minorEastAsia"/>
          <w:b/>
          <w:color w:val="000000" w:themeColor="text1"/>
          <w:sz w:val="32"/>
          <w:szCs w:val="32"/>
        </w:rPr>
        <w:t>银行</w:t>
      </w:r>
      <w:r w:rsidRPr="001F61B7" w:rsidR="000C70B0">
        <w:rPr>
          <w:rFonts w:asciiTheme="minorEastAsia" w:eastAsiaTheme="minorEastAsia" w:hAnsiTheme="minorEastAsia"/>
          <w:b/>
          <w:color w:val="000000" w:themeColor="text1"/>
          <w:sz w:val="32"/>
          <w:szCs w:val="32"/>
        </w:rPr>
        <w:t>股份有限公司</w:t>
      </w:r>
    </w:p>
    <w:p w:rsidR="00BA4B87" w:rsidRPr="001F61B7" w:rsidP="00C42A18">
      <w:pPr>
        <w:tabs>
          <w:tab w:val="left" w:pos="3544"/>
        </w:tabs>
        <w:spacing w:line="360" w:lineRule="auto"/>
        <w:ind w:firstLine="561"/>
        <w:jc w:val="center"/>
        <w:rPr>
          <w:rFonts w:asciiTheme="minorEastAsia" w:eastAsiaTheme="minorEastAsia" w:hAnsiTheme="minorEastAsia"/>
          <w:b/>
          <w:color w:val="000000" w:themeColor="text1"/>
          <w:sz w:val="24"/>
        </w:rPr>
      </w:pPr>
    </w:p>
    <w:p w:rsidR="00825D78" w:rsidRPr="001F61B7" w:rsidP="00C94D2B">
      <w:pPr>
        <w:tabs>
          <w:tab w:val="left" w:pos="3544"/>
        </w:tabs>
        <w:spacing w:line="320" w:lineRule="exact"/>
        <w:jc w:val="center"/>
        <w:rPr>
          <w:rFonts w:asciiTheme="minorEastAsia" w:eastAsiaTheme="minorEastAsia" w:hAnsiTheme="minorEastAsia"/>
          <w:b/>
          <w:noProof/>
          <w:color w:val="000000" w:themeColor="text1"/>
          <w:sz w:val="28"/>
          <w:szCs w:val="32"/>
        </w:rPr>
      </w:pPr>
      <w:r>
        <w:rPr>
          <w:b/>
          <w:sz w:val="28"/>
        </w:rPr>
        <w:t>二〇二一年十二月</w:t>
      </w:r>
    </w:p>
    <w:p w:rsidR="00210FC4" w:rsidRPr="001F61B7" w:rsidP="00C42A18">
      <w:pPr>
        <w:tabs>
          <w:tab w:val="left" w:pos="3544"/>
        </w:tabs>
        <w:spacing w:line="320" w:lineRule="exact"/>
        <w:rPr>
          <w:rFonts w:asciiTheme="minorEastAsia" w:eastAsiaTheme="minorEastAsia" w:hAnsiTheme="minorEastAsia"/>
          <w:b/>
          <w:color w:val="000000" w:themeColor="text1"/>
          <w:sz w:val="28"/>
          <w:szCs w:val="32"/>
        </w:rPr>
        <w:sectPr w:rsidSect="00C94D2B">
          <w:headerReference w:type="even" r:id="rId5"/>
          <w:headerReference w:type="default" r:id="rId6"/>
          <w:footerReference w:type="even" r:id="rId7"/>
          <w:footerReference w:type="default" r:id="rId8"/>
          <w:headerReference w:type="first" r:id="rId9"/>
          <w:footerReference w:type="first" r:id="rId10"/>
          <w:pgSz w:w="11906" w:h="16838" w:code="9"/>
          <w:pgMar w:top="1440" w:right="1800" w:bottom="1440" w:left="1800" w:header="1134" w:footer="1247" w:gutter="0"/>
          <w:pgNumType w:fmt="upperRoman" w:start="1"/>
          <w:cols w:space="720"/>
          <w:docGrid w:type="lines" w:linePitch="447"/>
        </w:sectPr>
      </w:pPr>
    </w:p>
    <w:p w:rsidR="00DE3601">
      <w:pPr>
        <w:widowControl/>
        <w:jc w:val="left"/>
        <w:rPr>
          <w:rFonts w:asciiTheme="minorEastAsia" w:eastAsiaTheme="minorEastAsia" w:hAnsiTheme="minorEastAsia"/>
          <w:b/>
          <w:color w:val="000000" w:themeColor="text1"/>
          <w:sz w:val="28"/>
          <w:szCs w:val="28"/>
        </w:rPr>
      </w:pPr>
      <w:r>
        <w:rPr>
          <w:rFonts w:asciiTheme="minorEastAsia" w:eastAsiaTheme="minorEastAsia" w:hAnsiTheme="minorEastAsia"/>
          <w:b/>
          <w:color w:val="000000" w:themeColor="text1"/>
          <w:sz w:val="28"/>
          <w:szCs w:val="28"/>
        </w:rPr>
        <w:br w:type="page"/>
      </w:r>
    </w:p>
    <w:p w:rsidR="00BA4B87" w:rsidRPr="001F61B7" w:rsidP="00C42A18">
      <w:pPr>
        <w:tabs>
          <w:tab w:val="left" w:pos="3544"/>
        </w:tabs>
        <w:spacing w:line="288" w:lineRule="auto"/>
        <w:jc w:val="center"/>
        <w:rPr>
          <w:rFonts w:asciiTheme="minorEastAsia" w:eastAsiaTheme="minorEastAsia" w:hAnsiTheme="minorEastAsia"/>
          <w:b/>
          <w:color w:val="000000" w:themeColor="text1"/>
          <w:sz w:val="28"/>
          <w:szCs w:val="28"/>
        </w:rPr>
      </w:pPr>
      <w:r w:rsidRPr="001F61B7">
        <w:rPr>
          <w:rFonts w:asciiTheme="minorEastAsia" w:eastAsiaTheme="minorEastAsia" w:hAnsiTheme="minorEastAsia"/>
          <w:b/>
          <w:color w:val="000000" w:themeColor="text1"/>
          <w:sz w:val="28"/>
          <w:szCs w:val="28"/>
        </w:rPr>
        <w:t>重要提示</w:t>
      </w:r>
    </w:p>
    <w:p w:rsidR="00BA4B87" w:rsidRPr="001F61B7" w:rsidP="00C42A18">
      <w:pPr>
        <w:tabs>
          <w:tab w:val="left" w:pos="3544"/>
        </w:tabs>
        <w:spacing w:line="360" w:lineRule="auto"/>
        <w:ind w:firstLine="420" w:firstLineChars="200"/>
        <w:rPr>
          <w:rFonts w:asciiTheme="minorEastAsia" w:eastAsiaTheme="minorEastAsia" w:hAnsiTheme="minorEastAsia"/>
          <w:b/>
          <w:color w:val="000000" w:themeColor="text1"/>
        </w:rPr>
      </w:pPr>
      <w:r w:rsidRPr="001F61B7">
        <w:rPr>
          <w:rFonts w:asciiTheme="minorEastAsia" w:eastAsiaTheme="minorEastAsia" w:hAnsiTheme="minorEastAsia" w:hint="eastAsia"/>
          <w:b/>
          <w:color w:val="000000" w:themeColor="text1"/>
        </w:rPr>
        <w:t>1、本基金根据2020年2月10日中国证券监督管理委员会《关于准予易方达中证科技50交易型开放式指数证券投资基金注册的批复》（证监许可【2020】235号）进行募集。本基金基金合同于2020年3月16日正式生效。</w:t>
      </w:r>
    </w:p>
    <w:p w:rsidR="00BA4B87" w:rsidRPr="001F61B7" w:rsidP="00C42A18">
      <w:pPr>
        <w:tabs>
          <w:tab w:val="left" w:pos="3544"/>
        </w:tabs>
        <w:spacing w:line="360" w:lineRule="auto"/>
        <w:ind w:firstLine="420" w:firstLineChars="200"/>
        <w:rPr>
          <w:rFonts w:asciiTheme="minorEastAsia" w:eastAsiaTheme="minorEastAsia" w:hAnsiTheme="minorEastAsia"/>
          <w:b/>
          <w:color w:val="000000" w:themeColor="text1"/>
        </w:rPr>
      </w:pPr>
      <w:r w:rsidRPr="001F61B7">
        <w:rPr>
          <w:rFonts w:asciiTheme="minorEastAsia" w:eastAsiaTheme="minorEastAsia" w:hAnsiTheme="minorEastAsia"/>
          <w:b/>
          <w:color w:val="000000" w:themeColor="text1"/>
        </w:rPr>
        <w:t>2、基金管理人保证《招募说明书》的内容真实、准确、完整。本</w:t>
      </w:r>
      <w:r w:rsidRPr="001F61B7" w:rsidR="001E6198">
        <w:rPr>
          <w:rFonts w:asciiTheme="minorEastAsia" w:eastAsiaTheme="minorEastAsia" w:hAnsiTheme="minorEastAsia"/>
          <w:b/>
          <w:color w:val="000000" w:themeColor="text1"/>
        </w:rPr>
        <w:t>基金</w:t>
      </w:r>
      <w:r w:rsidRPr="001F61B7">
        <w:rPr>
          <w:rFonts w:asciiTheme="minorEastAsia" w:eastAsiaTheme="minorEastAsia" w:hAnsiTheme="minorEastAsia"/>
          <w:b/>
          <w:color w:val="000000" w:themeColor="text1"/>
        </w:rPr>
        <w:t>经中国证监会</w:t>
      </w:r>
      <w:r w:rsidRPr="001F61B7" w:rsidR="001F59B1">
        <w:rPr>
          <w:rFonts w:asciiTheme="minorEastAsia" w:eastAsiaTheme="minorEastAsia" w:hAnsiTheme="minorEastAsia"/>
          <w:b/>
          <w:color w:val="000000" w:themeColor="text1"/>
        </w:rPr>
        <w:t>注册</w:t>
      </w:r>
      <w:r w:rsidRPr="001F61B7">
        <w:rPr>
          <w:rFonts w:asciiTheme="minorEastAsia" w:eastAsiaTheme="minorEastAsia" w:hAnsiTheme="minorEastAsia"/>
          <w:b/>
          <w:color w:val="000000" w:themeColor="text1"/>
        </w:rPr>
        <w:t>，但中国证监会对本基金募集的</w:t>
      </w:r>
      <w:r w:rsidRPr="001F61B7" w:rsidR="001F59B1">
        <w:rPr>
          <w:rFonts w:asciiTheme="minorEastAsia" w:eastAsiaTheme="minorEastAsia" w:hAnsiTheme="minorEastAsia"/>
          <w:b/>
          <w:color w:val="000000" w:themeColor="text1"/>
        </w:rPr>
        <w:t>注册</w:t>
      </w:r>
      <w:r w:rsidRPr="001F61B7">
        <w:rPr>
          <w:rFonts w:asciiTheme="minorEastAsia" w:eastAsiaTheme="minorEastAsia" w:hAnsiTheme="minorEastAsia"/>
          <w:b/>
          <w:color w:val="000000" w:themeColor="text1"/>
        </w:rPr>
        <w:t>，并不表明其对本基金的</w:t>
      </w:r>
      <w:r w:rsidRPr="001F61B7" w:rsidR="00DC001E">
        <w:rPr>
          <w:rFonts w:asciiTheme="minorEastAsia" w:eastAsiaTheme="minorEastAsia" w:hAnsiTheme="minorEastAsia"/>
          <w:b/>
          <w:color w:val="000000" w:themeColor="text1"/>
        </w:rPr>
        <w:t>投资价值、市场前景</w:t>
      </w:r>
      <w:r w:rsidRPr="001F61B7">
        <w:rPr>
          <w:rFonts w:asciiTheme="minorEastAsia" w:eastAsiaTheme="minorEastAsia" w:hAnsiTheme="minorEastAsia"/>
          <w:b/>
          <w:color w:val="000000" w:themeColor="text1"/>
        </w:rPr>
        <w:t>和收益作出实质性判断或保证，也不表明投资于本基金没有风险。</w:t>
      </w:r>
    </w:p>
    <w:p w:rsidR="00BA4B87" w:rsidRPr="001F61B7" w:rsidP="00C42A18">
      <w:pPr>
        <w:tabs>
          <w:tab w:val="left" w:pos="3544"/>
        </w:tabs>
        <w:spacing w:line="360" w:lineRule="auto"/>
        <w:ind w:firstLine="420" w:firstLineChars="200"/>
        <w:rPr>
          <w:rFonts w:asciiTheme="minorEastAsia" w:eastAsiaTheme="minorEastAsia" w:hAnsiTheme="minorEastAsia"/>
          <w:b/>
          <w:color w:val="000000" w:themeColor="text1"/>
        </w:rPr>
      </w:pPr>
      <w:r w:rsidRPr="001F61B7">
        <w:rPr>
          <w:rFonts w:asciiTheme="minorEastAsia" w:eastAsiaTheme="minorEastAsia" w:hAnsiTheme="minorEastAsia"/>
          <w:b/>
          <w:color w:val="000000" w:themeColor="text1"/>
        </w:rPr>
        <w:t>基金管理人依照恪尽职守、诚实信用、谨慎勤勉的原则管理和运用基金财产，但不保证基金一定盈利，也不保证最低收益。</w:t>
      </w:r>
    </w:p>
    <w:p w:rsidR="00B23B6C" w:rsidRPr="001F61B7" w:rsidP="00B23B6C">
      <w:pPr>
        <w:tabs>
          <w:tab w:val="left" w:pos="3544"/>
        </w:tabs>
        <w:spacing w:line="360" w:lineRule="auto"/>
        <w:ind w:firstLine="420" w:firstLineChars="200"/>
        <w:rPr>
          <w:rFonts w:asciiTheme="minorEastAsia" w:eastAsiaTheme="minorEastAsia" w:hAnsiTheme="minorEastAsia"/>
          <w:b/>
          <w:color w:val="000000" w:themeColor="text1"/>
        </w:rPr>
      </w:pPr>
      <w:r w:rsidRPr="001F61B7">
        <w:rPr>
          <w:rFonts w:asciiTheme="minorEastAsia" w:eastAsiaTheme="minorEastAsia" w:hAnsiTheme="minorEastAsia" w:hint="eastAsia"/>
          <w:b/>
          <w:color w:val="000000" w:themeColor="text1"/>
        </w:rPr>
        <w:t>3、本基金标的指数为</w:t>
      </w:r>
      <w:r w:rsidRPr="001F61B7" w:rsidR="00127F96">
        <w:rPr>
          <w:rFonts w:asciiTheme="minorEastAsia" w:eastAsiaTheme="minorEastAsia" w:hAnsiTheme="minorEastAsia"/>
          <w:b/>
          <w:color w:val="000000" w:themeColor="text1"/>
        </w:rPr>
        <w:t>中证科技50</w:t>
      </w:r>
      <w:r w:rsidRPr="001F61B7">
        <w:rPr>
          <w:rFonts w:asciiTheme="minorEastAsia" w:eastAsiaTheme="minorEastAsia" w:hAnsiTheme="minorEastAsia" w:hint="eastAsia"/>
          <w:b/>
          <w:color w:val="000000" w:themeColor="text1"/>
        </w:rPr>
        <w:t>指数。</w:t>
      </w:r>
      <w:r w:rsidRPr="001F61B7" w:rsidR="00AC0636">
        <w:rPr>
          <w:rFonts w:asciiTheme="minorEastAsia" w:eastAsiaTheme="minorEastAsia" w:hAnsiTheme="minorEastAsia" w:hint="eastAsia"/>
          <w:b/>
          <w:color w:val="000000" w:themeColor="text1"/>
        </w:rPr>
        <w:t>中证科技50指数从沪深市场科技相关行业中选取50只市值大、流动性好的上市公司证券作为指数样本，以反映科技领域上市公司证券的整体表现，为投资者提供更多样化的投资标的。</w:t>
      </w:r>
    </w:p>
    <w:p w:rsidR="00B23B6C" w:rsidRPr="001F61B7" w:rsidP="00B23B6C">
      <w:pPr>
        <w:tabs>
          <w:tab w:val="left" w:pos="3544"/>
        </w:tabs>
        <w:spacing w:line="360" w:lineRule="auto"/>
        <w:ind w:firstLine="420" w:firstLineChars="200"/>
        <w:rPr>
          <w:rFonts w:asciiTheme="minorEastAsia" w:eastAsiaTheme="minorEastAsia" w:hAnsiTheme="minorEastAsia"/>
          <w:b/>
          <w:color w:val="000000" w:themeColor="text1"/>
        </w:rPr>
      </w:pPr>
      <w:r w:rsidRPr="001F61B7">
        <w:rPr>
          <w:rFonts w:asciiTheme="minorEastAsia" w:eastAsiaTheme="minorEastAsia" w:hAnsiTheme="minorEastAsia" w:hint="eastAsia"/>
          <w:b/>
          <w:color w:val="000000" w:themeColor="text1"/>
        </w:rPr>
        <w:t>（1）指数样本空间</w:t>
      </w:r>
    </w:p>
    <w:p w:rsidR="00B23B6C" w:rsidRPr="001F61B7" w:rsidP="00B23B6C">
      <w:pPr>
        <w:tabs>
          <w:tab w:val="left" w:pos="3544"/>
        </w:tabs>
        <w:spacing w:line="360" w:lineRule="auto"/>
        <w:ind w:firstLine="420" w:firstLineChars="200"/>
        <w:rPr>
          <w:rFonts w:asciiTheme="minorEastAsia" w:eastAsiaTheme="minorEastAsia" w:hAnsiTheme="minorEastAsia"/>
          <w:b/>
          <w:color w:val="000000" w:themeColor="text1"/>
        </w:rPr>
      </w:pPr>
      <w:r w:rsidRPr="001F61B7">
        <w:rPr>
          <w:rFonts w:asciiTheme="minorEastAsia" w:eastAsiaTheme="minorEastAsia" w:hAnsiTheme="minorEastAsia" w:hint="eastAsia"/>
          <w:b/>
          <w:color w:val="000000" w:themeColor="text1"/>
        </w:rPr>
        <w:t>同中证全指指数的样本空间。</w:t>
      </w:r>
    </w:p>
    <w:p w:rsidR="00B23B6C" w:rsidRPr="001F61B7" w:rsidP="00B23B6C">
      <w:pPr>
        <w:tabs>
          <w:tab w:val="left" w:pos="3544"/>
        </w:tabs>
        <w:spacing w:line="360" w:lineRule="auto"/>
        <w:ind w:firstLine="420" w:firstLineChars="200"/>
        <w:rPr>
          <w:rFonts w:asciiTheme="minorEastAsia" w:eastAsiaTheme="minorEastAsia" w:hAnsiTheme="minorEastAsia"/>
          <w:b/>
          <w:color w:val="000000" w:themeColor="text1"/>
        </w:rPr>
      </w:pPr>
      <w:r w:rsidRPr="001F61B7">
        <w:rPr>
          <w:rFonts w:asciiTheme="minorEastAsia" w:eastAsiaTheme="minorEastAsia" w:hAnsiTheme="minorEastAsia" w:hint="eastAsia"/>
          <w:b/>
          <w:color w:val="000000" w:themeColor="text1"/>
        </w:rPr>
        <w:t>（2）选样方法</w:t>
      </w:r>
    </w:p>
    <w:p w:rsidR="00B23B6C" w:rsidRPr="001F61B7" w:rsidP="00AC0636">
      <w:pPr>
        <w:tabs>
          <w:tab w:val="left" w:pos="3544"/>
        </w:tabs>
        <w:spacing w:line="360" w:lineRule="auto"/>
        <w:ind w:firstLine="420" w:firstLineChars="200"/>
        <w:rPr>
          <w:rFonts w:asciiTheme="minorEastAsia" w:eastAsiaTheme="minorEastAsia" w:hAnsiTheme="minorEastAsia"/>
          <w:b/>
          <w:color w:val="000000" w:themeColor="text1"/>
        </w:rPr>
      </w:pPr>
      <w:r w:rsidRPr="001F61B7">
        <w:rPr>
          <w:rFonts w:asciiTheme="minorEastAsia" w:eastAsiaTheme="minorEastAsia" w:hAnsiTheme="minorEastAsia" w:hint="eastAsia"/>
          <w:b/>
          <w:color w:val="000000" w:themeColor="text1"/>
        </w:rPr>
        <w:t>1）对样本空间内证券按照过去一年的日均成交金额由高到低排名，剔除排名后20%的证券；2）在剩余证券中选出属于如下中证行业分类的证券作为待选样本：中证一级信息技术与电信业务，中证四级航空航天与国防、新能源设备、医疗器械、医疗保健技术、生物科技、化学药、制药与生物科技服务、其他化学制品、塑料制品、涂料涂漆、纤维及树脂、橡胶制品、印染化学品；3）在待选样本中，剔除过去两年平均研发支出占营业收入比例小于5%的上市公司证券；4）在3）的基础上，剔除第一大股东质押比例大于90%，或第一大股东质押比例大于85%且总质押比例大于35%的上市公司证券；5）在4）的基础上，依次选取最近年报或半年报中商誉占净资产比例小于40%的证券，最新年报中的研发资本化支出占研发支出比例在50%以下的证券；6）在5）的基础上，选取过去一年日均总市值最大的50只证券作为指数样本。</w:t>
      </w:r>
    </w:p>
    <w:p w:rsidR="00B23B6C" w:rsidRPr="001F61B7" w:rsidP="00B23B6C">
      <w:pPr>
        <w:tabs>
          <w:tab w:val="left" w:pos="3544"/>
        </w:tabs>
        <w:spacing w:line="360" w:lineRule="auto"/>
        <w:ind w:firstLine="420" w:firstLineChars="200"/>
        <w:rPr>
          <w:rFonts w:asciiTheme="minorEastAsia" w:eastAsiaTheme="minorEastAsia" w:hAnsiTheme="minorEastAsia"/>
          <w:b/>
          <w:color w:val="000000" w:themeColor="text1"/>
        </w:rPr>
      </w:pPr>
      <w:r w:rsidRPr="001F61B7">
        <w:rPr>
          <w:rFonts w:asciiTheme="minorEastAsia" w:eastAsiaTheme="minorEastAsia" w:hAnsiTheme="minorEastAsia" w:hint="eastAsia"/>
          <w:b/>
          <w:color w:val="000000" w:themeColor="text1"/>
        </w:rPr>
        <w:t>（3）指数计算</w:t>
      </w:r>
    </w:p>
    <w:p w:rsidR="00AC0636" w:rsidRPr="001F61B7" w:rsidP="00B23B6C">
      <w:pPr>
        <w:tabs>
          <w:tab w:val="left" w:pos="3544"/>
        </w:tabs>
        <w:spacing w:line="360" w:lineRule="auto"/>
        <w:ind w:firstLine="420" w:firstLineChars="200"/>
        <w:rPr>
          <w:rFonts w:asciiTheme="minorEastAsia" w:eastAsiaTheme="minorEastAsia" w:hAnsiTheme="minorEastAsia"/>
          <w:b/>
          <w:color w:val="000000" w:themeColor="text1"/>
        </w:rPr>
      </w:pPr>
      <w:r w:rsidRPr="001F61B7">
        <w:rPr>
          <w:rFonts w:asciiTheme="minorEastAsia" w:eastAsiaTheme="minorEastAsia" w:hAnsiTheme="minorEastAsia" w:hint="eastAsia"/>
          <w:b/>
          <w:color w:val="000000" w:themeColor="text1"/>
          <w:szCs w:val="21"/>
        </w:rPr>
        <w:t>指数计算公式为：报告期指数=报告期样本的调整市值/除数×1000。</w:t>
      </w:r>
      <w:r w:rsidRPr="001F61B7">
        <w:rPr>
          <w:rFonts w:asciiTheme="minorEastAsia" w:eastAsiaTheme="minorEastAsia" w:hAnsiTheme="minorEastAsia" w:hint="eastAsia"/>
          <w:b/>
          <w:color w:val="000000" w:themeColor="text1"/>
        </w:rPr>
        <w:t>其中，调整市值＝Σ(证券价格×调整股本数×权重因子)。调整股本数的计算方法、除数修正方法参见计算与维护细则。权重因子介于0和1之间，以使单个样本权重不超过10%。</w:t>
      </w:r>
    </w:p>
    <w:p w:rsidR="00B23B6C" w:rsidRPr="001F61B7" w:rsidP="00B23B6C">
      <w:pPr>
        <w:tabs>
          <w:tab w:val="left" w:pos="3544"/>
        </w:tabs>
        <w:spacing w:line="360" w:lineRule="auto"/>
        <w:ind w:firstLine="420" w:firstLineChars="200"/>
        <w:rPr>
          <w:rFonts w:asciiTheme="minorEastAsia" w:eastAsiaTheme="minorEastAsia" w:hAnsiTheme="minorEastAsia"/>
          <w:b/>
          <w:color w:val="000000" w:themeColor="text1"/>
        </w:rPr>
      </w:pPr>
      <w:r w:rsidRPr="001F61B7">
        <w:rPr>
          <w:rFonts w:asciiTheme="minorEastAsia" w:eastAsiaTheme="minorEastAsia" w:hAnsiTheme="minorEastAsia" w:hint="eastAsia"/>
          <w:b/>
          <w:color w:val="000000" w:themeColor="text1"/>
          <w:szCs w:val="21"/>
        </w:rPr>
        <w:t>有关标的指数具体编制方案及成份股信息详见中证指数有限公司网站，网址： www.csindex.com.cn。</w:t>
      </w:r>
    </w:p>
    <w:p w:rsidR="00BF4073" w:rsidRPr="001F61B7" w:rsidP="00C42A18">
      <w:pPr>
        <w:tabs>
          <w:tab w:val="left" w:pos="3544"/>
        </w:tabs>
        <w:overflowPunct w:val="0"/>
        <w:spacing w:line="360" w:lineRule="auto"/>
        <w:ind w:firstLine="420" w:firstLineChars="200"/>
        <w:rPr>
          <w:rFonts w:asciiTheme="minorEastAsia" w:eastAsiaTheme="minorEastAsia" w:hAnsiTheme="minorEastAsia"/>
          <w:b/>
          <w:color w:val="000000" w:themeColor="text1"/>
        </w:rPr>
      </w:pPr>
      <w:r w:rsidRPr="001F61B7">
        <w:rPr>
          <w:rFonts w:asciiTheme="minorEastAsia" w:eastAsiaTheme="minorEastAsia" w:hAnsiTheme="minorEastAsia"/>
          <w:b/>
          <w:color w:val="000000" w:themeColor="text1"/>
        </w:rPr>
        <w:t>4</w:t>
      </w:r>
      <w:r w:rsidRPr="001F61B7" w:rsidR="00BA4B87">
        <w:rPr>
          <w:rFonts w:asciiTheme="minorEastAsia" w:eastAsiaTheme="minorEastAsia" w:hAnsiTheme="minorEastAsia"/>
          <w:b/>
          <w:color w:val="000000" w:themeColor="text1"/>
        </w:rPr>
        <w:t>、</w:t>
      </w:r>
      <w:r w:rsidRPr="001F61B7" w:rsidR="00BB1B5B">
        <w:rPr>
          <w:rFonts w:asciiTheme="minorEastAsia" w:eastAsiaTheme="minorEastAsia" w:hAnsiTheme="minorEastAsia"/>
          <w:b/>
          <w:color w:val="000000" w:themeColor="text1"/>
        </w:rPr>
        <w:t>本基金投资于</w:t>
      </w:r>
      <w:r w:rsidRPr="001F61B7" w:rsidR="00FD375F">
        <w:rPr>
          <w:rFonts w:asciiTheme="minorEastAsia" w:eastAsiaTheme="minorEastAsia" w:hAnsiTheme="minorEastAsia"/>
          <w:b/>
          <w:color w:val="000000" w:themeColor="text1"/>
        </w:rPr>
        <w:t>中证科技50</w:t>
      </w:r>
      <w:r w:rsidRPr="001F61B7" w:rsidR="00BB1B5B">
        <w:rPr>
          <w:rFonts w:asciiTheme="minorEastAsia" w:eastAsiaTheme="minorEastAsia" w:hAnsiTheme="minorEastAsia"/>
          <w:b/>
          <w:color w:val="000000" w:themeColor="text1"/>
        </w:rPr>
        <w:t>指数成份股及备选成份股的资产不低于非现金基金资产的80%且不低于基金资产净值的90%，其投资目标是紧密跟踪标的指数，追求跟踪偏离度和跟踪误差的最小化。本基金投资于证券期货市场，基金净值会因为证券期货市场波动等因素产生波动，投资者在投资本基金前，请认真阅读本招募说明书，全面认识本基金产品的风险收益特征和产品特性，充分考虑自身的风险承受能力，理性判断市场，对认购（或申购）基金的意愿、时机、数量等投资行为作出独立决策，承担基金投资中可能出现的各类风险。投资本基金可能遇到的主要风险包括：本基金特有风险、市场风险、管理风险、流动性风险</w:t>
      </w:r>
      <w:r w:rsidRPr="001F61B7" w:rsidR="00813920">
        <w:rPr>
          <w:rFonts w:asciiTheme="minorEastAsia" w:eastAsiaTheme="minorEastAsia" w:hAnsiTheme="minorEastAsia"/>
          <w:b/>
          <w:color w:val="000000" w:themeColor="text1"/>
        </w:rPr>
        <w:t>、本基金法律文件中涉及基金风险特征的表述与销售机构对基金的风险评级可能不一致的风险</w:t>
      </w:r>
      <w:r w:rsidRPr="001F61B7" w:rsidR="00BB1B5B">
        <w:rPr>
          <w:rFonts w:asciiTheme="minorEastAsia" w:eastAsiaTheme="minorEastAsia" w:hAnsiTheme="minorEastAsia"/>
          <w:b/>
          <w:color w:val="000000" w:themeColor="text1"/>
        </w:rPr>
        <w:t>及其他风险等。本基金特有风险包括：指数化投资的风险、标的指数的风险</w:t>
      </w:r>
      <w:r w:rsidRPr="001F61B7" w:rsidR="003D40C1">
        <w:rPr>
          <w:rFonts w:asciiTheme="minorEastAsia" w:eastAsiaTheme="minorEastAsia" w:hAnsiTheme="minorEastAsia"/>
          <w:b/>
          <w:color w:val="000000" w:themeColor="text1"/>
        </w:rPr>
        <w:t>（包括标的指数回报与股票市场平均回报偏离的风险、</w:t>
      </w:r>
      <w:r w:rsidRPr="001F61B7" w:rsidR="00F10EFC">
        <w:rPr>
          <w:rFonts w:asciiTheme="minorEastAsia" w:eastAsiaTheme="minorEastAsia" w:hAnsiTheme="minorEastAsia" w:hint="eastAsia"/>
          <w:b/>
          <w:color w:val="000000" w:themeColor="text1"/>
        </w:rPr>
        <w:t>标的指数成份股行业集中风险、</w:t>
      </w:r>
      <w:r w:rsidRPr="001F61B7" w:rsidR="003D40C1">
        <w:rPr>
          <w:rFonts w:asciiTheme="minorEastAsia" w:eastAsiaTheme="minorEastAsia" w:hAnsiTheme="minorEastAsia"/>
          <w:b/>
          <w:color w:val="000000" w:themeColor="text1"/>
        </w:rPr>
        <w:t>标的指数波动的风险、标的指数值计算出错的风险、标的指数编制方案带来的风险、标的指数变更的风险等）</w:t>
      </w:r>
      <w:r w:rsidRPr="001F61B7" w:rsidR="00BB1B5B">
        <w:rPr>
          <w:rFonts w:asciiTheme="minorEastAsia" w:eastAsiaTheme="minorEastAsia" w:hAnsiTheme="minorEastAsia"/>
          <w:b/>
          <w:color w:val="000000" w:themeColor="text1"/>
        </w:rPr>
        <w:t>、</w:t>
      </w:r>
      <w:r w:rsidRPr="001F61B7" w:rsidR="009F1532">
        <w:rPr>
          <w:rFonts w:asciiTheme="minorEastAsia" w:eastAsiaTheme="minorEastAsia" w:hAnsiTheme="minorEastAsia" w:hint="eastAsia"/>
          <w:b/>
          <w:color w:val="000000" w:themeColor="text1"/>
        </w:rPr>
        <w:t>可接受股票认购导致的风险、</w:t>
      </w:r>
      <w:r w:rsidRPr="001F61B7" w:rsidR="00BB1B5B">
        <w:rPr>
          <w:rFonts w:asciiTheme="minorEastAsia" w:eastAsiaTheme="minorEastAsia" w:hAnsiTheme="minorEastAsia"/>
          <w:b/>
          <w:color w:val="000000" w:themeColor="text1"/>
        </w:rPr>
        <w:t>基金投资组合回报与标的指数回报偏离的风险、</w:t>
      </w:r>
      <w:r w:rsidRPr="001F61B7" w:rsidR="007437C1">
        <w:rPr>
          <w:rFonts w:asciiTheme="minorEastAsia" w:eastAsiaTheme="minorEastAsia" w:hAnsiTheme="minorEastAsia" w:hint="eastAsia"/>
          <w:b/>
          <w:color w:val="000000" w:themeColor="text1"/>
        </w:rPr>
        <w:t>跟踪误差控制未达约定目标的风险、指数编制机构停止服务的风险、成份股停牌的风险、</w:t>
      </w:r>
      <w:r w:rsidRPr="001F61B7" w:rsidR="00BB1B5B">
        <w:rPr>
          <w:rFonts w:asciiTheme="minorEastAsia" w:eastAsiaTheme="minorEastAsia" w:hAnsiTheme="minorEastAsia"/>
          <w:b/>
          <w:color w:val="000000" w:themeColor="text1"/>
        </w:rPr>
        <w:t>基金交易价格与份额净值发生偏离的风险、参考IOPV决策和IOPV计算错误的风险、投资人申购失败的风险、投资人赎回失败的风险、</w:t>
      </w:r>
      <w:r w:rsidRPr="001F61B7" w:rsidR="000742DC">
        <w:rPr>
          <w:rFonts w:asciiTheme="minorEastAsia" w:eastAsiaTheme="minorEastAsia" w:hAnsiTheme="minorEastAsia" w:hint="eastAsia"/>
          <w:b/>
          <w:color w:val="000000" w:themeColor="text1"/>
        </w:rPr>
        <w:t>申购赎回清单中设置较低的申购/赎回份额上限的风险、</w:t>
      </w:r>
      <w:r w:rsidRPr="001F61B7" w:rsidR="00BB1B5B">
        <w:rPr>
          <w:rFonts w:asciiTheme="minorEastAsia" w:eastAsiaTheme="minorEastAsia" w:hAnsiTheme="minorEastAsia"/>
          <w:b/>
          <w:color w:val="000000" w:themeColor="text1"/>
        </w:rPr>
        <w:t>基金份额赎回对价的变现风险、套利风险、申购赎回清单差错风险、退市风险、</w:t>
      </w:r>
      <w:r w:rsidRPr="001F61B7" w:rsidR="001E16E3">
        <w:rPr>
          <w:rFonts w:asciiTheme="minorEastAsia" w:eastAsiaTheme="minorEastAsia" w:hAnsiTheme="minorEastAsia"/>
          <w:b/>
          <w:color w:val="000000" w:themeColor="text1"/>
        </w:rPr>
        <w:t>终止清盘风险、</w:t>
      </w:r>
      <w:r w:rsidRPr="001F61B7" w:rsidR="00BB1B5B">
        <w:rPr>
          <w:rFonts w:asciiTheme="minorEastAsia" w:eastAsiaTheme="minorEastAsia" w:hAnsiTheme="minorEastAsia"/>
          <w:b/>
          <w:color w:val="000000" w:themeColor="text1"/>
        </w:rPr>
        <w:t>第三方机构服务的风险</w:t>
      </w:r>
      <w:r w:rsidRPr="001F61B7" w:rsidR="001E16E3">
        <w:rPr>
          <w:rFonts w:asciiTheme="minorEastAsia" w:eastAsiaTheme="minorEastAsia" w:hAnsiTheme="minorEastAsia"/>
          <w:b/>
          <w:color w:val="000000" w:themeColor="text1"/>
        </w:rPr>
        <w:t>、</w:t>
      </w:r>
      <w:r w:rsidRPr="001F61B7" w:rsidR="009F1532">
        <w:rPr>
          <w:rFonts w:asciiTheme="minorEastAsia" w:eastAsiaTheme="minorEastAsia" w:hAnsiTheme="minorEastAsia" w:hint="eastAsia"/>
          <w:b/>
          <w:color w:val="000000" w:themeColor="text1"/>
        </w:rPr>
        <w:t>沪市成份证券申赎处理规则带来的风险</w:t>
      </w:r>
      <w:r w:rsidRPr="001F61B7" w:rsidR="003D40C1">
        <w:rPr>
          <w:rFonts w:asciiTheme="minorEastAsia" w:eastAsiaTheme="minorEastAsia" w:hAnsiTheme="minorEastAsia"/>
          <w:b/>
          <w:color w:val="000000" w:themeColor="text1"/>
        </w:rPr>
        <w:t>、</w:t>
      </w:r>
      <w:r w:rsidRPr="001F61B7" w:rsidR="001E16E3">
        <w:rPr>
          <w:rFonts w:asciiTheme="minorEastAsia" w:eastAsiaTheme="minorEastAsia" w:hAnsiTheme="minorEastAsia"/>
          <w:b/>
          <w:color w:val="000000" w:themeColor="text1"/>
        </w:rPr>
        <w:t>申购赎回清单标识设置风险、</w:t>
      </w:r>
      <w:r w:rsidRPr="001F61B7" w:rsidR="003D40C1">
        <w:rPr>
          <w:rFonts w:asciiTheme="minorEastAsia" w:eastAsiaTheme="minorEastAsia" w:hAnsiTheme="minorEastAsia"/>
          <w:b/>
          <w:color w:val="000000" w:themeColor="text1"/>
        </w:rPr>
        <w:t>基金收益分配后基金份额净值低于面值的风险、</w:t>
      </w:r>
      <w:r w:rsidRPr="001F61B7" w:rsidR="001E16E3">
        <w:rPr>
          <w:rFonts w:asciiTheme="minorEastAsia" w:eastAsiaTheme="minorEastAsia" w:hAnsiTheme="minorEastAsia"/>
          <w:b/>
          <w:color w:val="000000" w:themeColor="text1"/>
        </w:rPr>
        <w:t>投资特定品种（包括股指期货、期权等金融衍生品、资产支持证券</w:t>
      </w:r>
      <w:r w:rsidRPr="001F61B7" w:rsidR="000B703B">
        <w:rPr>
          <w:rFonts w:asciiTheme="minorEastAsia" w:eastAsiaTheme="minorEastAsia" w:hAnsiTheme="minorEastAsia"/>
          <w:b/>
          <w:color w:val="000000" w:themeColor="text1"/>
        </w:rPr>
        <w:t>、</w:t>
      </w:r>
      <w:r w:rsidRPr="001F61B7" w:rsidR="000B703B">
        <w:rPr>
          <w:rFonts w:asciiTheme="minorEastAsia" w:eastAsiaTheme="minorEastAsia" w:hAnsiTheme="minorEastAsia" w:hint="eastAsia"/>
          <w:b/>
          <w:color w:val="000000" w:themeColor="text1"/>
        </w:rPr>
        <w:t>存托凭证</w:t>
      </w:r>
      <w:r w:rsidRPr="001F61B7" w:rsidR="001E16E3">
        <w:rPr>
          <w:rFonts w:asciiTheme="minorEastAsia" w:eastAsiaTheme="minorEastAsia" w:hAnsiTheme="minorEastAsia"/>
          <w:b/>
          <w:color w:val="000000" w:themeColor="text1"/>
        </w:rPr>
        <w:t>等）的特有风险</w:t>
      </w:r>
      <w:r w:rsidRPr="001F61B7">
        <w:rPr>
          <w:rFonts w:asciiTheme="minorEastAsia" w:eastAsiaTheme="minorEastAsia" w:hAnsiTheme="minorEastAsia"/>
          <w:b/>
          <w:color w:val="000000" w:themeColor="text1"/>
        </w:rPr>
        <w:t>、参与转融通证券出借业务的特有风险</w:t>
      </w:r>
      <w:r w:rsidRPr="001F61B7" w:rsidR="00BB1B5B">
        <w:rPr>
          <w:rFonts w:asciiTheme="minorEastAsia" w:eastAsiaTheme="minorEastAsia" w:hAnsiTheme="minorEastAsia"/>
          <w:b/>
          <w:color w:val="000000" w:themeColor="text1"/>
        </w:rPr>
        <w:t>等。</w:t>
      </w:r>
    </w:p>
    <w:p w:rsidR="00D61C9D" w:rsidRPr="001F61B7" w:rsidP="00C42A18">
      <w:pPr>
        <w:tabs>
          <w:tab w:val="left" w:pos="3544"/>
        </w:tabs>
        <w:overflowPunct w:val="0"/>
        <w:spacing w:line="360" w:lineRule="auto"/>
        <w:ind w:firstLine="420" w:firstLineChars="200"/>
        <w:rPr>
          <w:rFonts w:asciiTheme="minorEastAsia" w:eastAsiaTheme="minorEastAsia" w:hAnsiTheme="minorEastAsia"/>
          <w:b/>
          <w:color w:val="000000" w:themeColor="text1"/>
        </w:rPr>
      </w:pPr>
      <w:r w:rsidRPr="001F61B7">
        <w:rPr>
          <w:rFonts w:asciiTheme="minorEastAsia" w:eastAsiaTheme="minorEastAsia" w:hAnsiTheme="minorEastAsia"/>
          <w:b/>
          <w:color w:val="000000" w:themeColor="text1"/>
        </w:rPr>
        <w:t>本基金为股票型基金，预期风险与预期收益水平高于混合型基金、债券型基金与货币市场基金。本基金为指数型基金，主要采用完全复制法跟踪标的指数的表现，具有与标的指数相似的风险收益特征。</w:t>
      </w:r>
    </w:p>
    <w:p w:rsidR="00D61C9D" w:rsidRPr="001F61B7" w:rsidP="00C42A18">
      <w:pPr>
        <w:tabs>
          <w:tab w:val="left" w:pos="3544"/>
        </w:tabs>
        <w:overflowPunct w:val="0"/>
        <w:spacing w:line="360" w:lineRule="auto"/>
        <w:ind w:firstLine="420" w:firstLineChars="200"/>
        <w:rPr>
          <w:rFonts w:asciiTheme="minorEastAsia" w:eastAsiaTheme="minorEastAsia" w:hAnsiTheme="minorEastAsia"/>
          <w:b/>
          <w:color w:val="000000" w:themeColor="text1"/>
        </w:rPr>
      </w:pPr>
      <w:r w:rsidRPr="001F61B7">
        <w:rPr>
          <w:rFonts w:asciiTheme="minorEastAsia" w:eastAsiaTheme="minorEastAsia" w:hAnsiTheme="minorEastAsia"/>
          <w:b/>
          <w:color w:val="000000" w:themeColor="text1"/>
        </w:rPr>
        <w:t>本基金以1元初始面值进行募集，在市场波动等因素的影响下，存在单位份额净值跌破1元初始面值的风险。</w:t>
      </w:r>
    </w:p>
    <w:p w:rsidR="007944ED"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pacing w:val="-2"/>
          <w:szCs w:val="21"/>
        </w:rPr>
      </w:pPr>
      <w:r w:rsidRPr="001F61B7">
        <w:rPr>
          <w:rFonts w:asciiTheme="minorEastAsia" w:eastAsiaTheme="minorEastAsia" w:hAnsiTheme="minorEastAsia"/>
          <w:b/>
          <w:color w:val="000000" w:themeColor="text1"/>
        </w:rPr>
        <w:t>基金管理人提醒投资者基金投资的“买者自负”原则，在投资者作出投资决策后，基金运营状况与基金净值变化引致的投资风险，由投资者自行负责。</w:t>
      </w:r>
    </w:p>
    <w:p w:rsidR="002E4E12" w:rsidRPr="001F61B7" w:rsidP="00C42A18">
      <w:pPr>
        <w:tabs>
          <w:tab w:val="left" w:pos="3544"/>
        </w:tabs>
        <w:overflowPunct w:val="0"/>
        <w:spacing w:line="360" w:lineRule="auto"/>
        <w:ind w:firstLine="420" w:firstLineChars="200"/>
        <w:rPr>
          <w:rFonts w:asciiTheme="minorEastAsia" w:eastAsiaTheme="minorEastAsia" w:hAnsiTheme="minorEastAsia"/>
          <w:b/>
          <w:color w:val="000000" w:themeColor="text1"/>
        </w:rPr>
      </w:pPr>
      <w:r w:rsidRPr="001F61B7">
        <w:rPr>
          <w:rFonts w:asciiTheme="minorEastAsia" w:eastAsiaTheme="minorEastAsia" w:hAnsiTheme="minorEastAsia"/>
          <w:b/>
          <w:color w:val="000000" w:themeColor="text1"/>
        </w:rPr>
        <w:t>基金不同于银行储蓄，基金</w:t>
      </w:r>
      <w:r w:rsidRPr="001F61B7" w:rsidR="008D4032">
        <w:rPr>
          <w:rFonts w:asciiTheme="minorEastAsia" w:eastAsiaTheme="minorEastAsia" w:hAnsiTheme="minorEastAsia"/>
          <w:b/>
          <w:color w:val="000000" w:themeColor="text1"/>
        </w:rPr>
        <w:t>投资人</w:t>
      </w:r>
      <w:r w:rsidRPr="001F61B7" w:rsidR="00445477">
        <w:rPr>
          <w:rFonts w:asciiTheme="minorEastAsia" w:eastAsiaTheme="minorEastAsia" w:hAnsiTheme="minorEastAsia"/>
          <w:b/>
          <w:color w:val="000000" w:themeColor="text1"/>
        </w:rPr>
        <w:t>投资于基金</w:t>
      </w:r>
      <w:r w:rsidRPr="001F61B7">
        <w:rPr>
          <w:rFonts w:asciiTheme="minorEastAsia" w:eastAsiaTheme="minorEastAsia" w:hAnsiTheme="minorEastAsia"/>
          <w:b/>
          <w:color w:val="000000" w:themeColor="text1"/>
        </w:rPr>
        <w:t>有可能获得较高的收益，也有可能损失本金。投资有风险，</w:t>
      </w:r>
      <w:r w:rsidRPr="001F61B7" w:rsidR="008D4032">
        <w:rPr>
          <w:rFonts w:asciiTheme="minorEastAsia" w:eastAsiaTheme="minorEastAsia" w:hAnsiTheme="minorEastAsia"/>
          <w:b/>
          <w:color w:val="000000" w:themeColor="text1"/>
        </w:rPr>
        <w:t>投资人</w:t>
      </w:r>
      <w:r w:rsidRPr="001F61B7">
        <w:rPr>
          <w:rFonts w:asciiTheme="minorEastAsia" w:eastAsiaTheme="minorEastAsia" w:hAnsiTheme="minorEastAsia"/>
          <w:b/>
          <w:color w:val="000000" w:themeColor="text1"/>
        </w:rPr>
        <w:t>在进行投资决策前，请仔细阅读本基金的《招募说明书》及《基金合同》。</w:t>
      </w:r>
    </w:p>
    <w:p w:rsidR="00CC71FF" w:rsidRPr="001F61B7" w:rsidP="00C42A18">
      <w:pPr>
        <w:tabs>
          <w:tab w:val="left" w:pos="3544"/>
        </w:tabs>
        <w:overflowPunct w:val="0"/>
        <w:spacing w:line="360" w:lineRule="auto"/>
        <w:ind w:firstLine="420" w:firstLineChars="200"/>
        <w:rPr>
          <w:rFonts w:asciiTheme="minorEastAsia" w:eastAsiaTheme="minorEastAsia" w:hAnsiTheme="minorEastAsia"/>
          <w:b/>
          <w:color w:val="000000" w:themeColor="text1"/>
        </w:rPr>
      </w:pPr>
      <w:r w:rsidRPr="001F61B7">
        <w:rPr>
          <w:rFonts w:asciiTheme="minorEastAsia" w:eastAsiaTheme="minorEastAsia" w:hAnsiTheme="minorEastAsia"/>
          <w:b/>
          <w:color w:val="000000" w:themeColor="text1"/>
        </w:rPr>
        <w:t>5</w:t>
      </w:r>
      <w:r w:rsidRPr="001F61B7" w:rsidR="00762381">
        <w:rPr>
          <w:rFonts w:asciiTheme="minorEastAsia" w:eastAsiaTheme="minorEastAsia" w:hAnsiTheme="minorEastAsia"/>
          <w:b/>
          <w:color w:val="000000" w:themeColor="text1"/>
        </w:rPr>
        <w:t>、在</w:t>
      </w:r>
      <w:r w:rsidRPr="001F61B7">
        <w:rPr>
          <w:rFonts w:asciiTheme="minorEastAsia" w:eastAsiaTheme="minorEastAsia" w:hAnsiTheme="minorEastAsia"/>
          <w:b/>
          <w:color w:val="000000" w:themeColor="text1"/>
        </w:rPr>
        <w:t>现有</w:t>
      </w:r>
      <w:r w:rsidRPr="001F61B7" w:rsidR="00762381">
        <w:rPr>
          <w:rFonts w:asciiTheme="minorEastAsia" w:eastAsiaTheme="minorEastAsia" w:hAnsiTheme="minorEastAsia"/>
          <w:b/>
          <w:color w:val="000000" w:themeColor="text1"/>
        </w:rPr>
        <w:t>结算规则下，</w:t>
      </w:r>
      <w:r w:rsidRPr="001F61B7" w:rsidR="00296316">
        <w:rPr>
          <w:rFonts w:asciiTheme="minorEastAsia" w:eastAsiaTheme="minorEastAsia" w:hAnsiTheme="minorEastAsia"/>
          <w:b/>
          <w:color w:val="000000" w:themeColor="text1"/>
        </w:rPr>
        <w:t>当日竞价买入的</w:t>
      </w:r>
      <w:r w:rsidRPr="001F61B7" w:rsidR="00517A35">
        <w:rPr>
          <w:rFonts w:asciiTheme="minorEastAsia" w:eastAsiaTheme="minorEastAsia" w:hAnsiTheme="minorEastAsia"/>
          <w:b/>
          <w:color w:val="000000" w:themeColor="text1"/>
        </w:rPr>
        <w:t>基金</w:t>
      </w:r>
      <w:r w:rsidRPr="001F61B7" w:rsidR="003A4D89">
        <w:rPr>
          <w:rFonts w:asciiTheme="minorEastAsia" w:eastAsiaTheme="minorEastAsia" w:hAnsiTheme="minorEastAsia"/>
          <w:b/>
          <w:color w:val="000000" w:themeColor="text1"/>
        </w:rPr>
        <w:t>份额，当日可以赎回</w:t>
      </w:r>
      <w:r w:rsidRPr="001F61B7" w:rsidR="00296316">
        <w:rPr>
          <w:rFonts w:asciiTheme="minorEastAsia" w:eastAsiaTheme="minorEastAsia" w:hAnsiTheme="minorEastAsia"/>
          <w:b/>
          <w:color w:val="000000" w:themeColor="text1"/>
        </w:rPr>
        <w:t>；当日申购的</w:t>
      </w:r>
      <w:r w:rsidRPr="001F61B7" w:rsidR="00517A35">
        <w:rPr>
          <w:rFonts w:asciiTheme="minorEastAsia" w:eastAsiaTheme="minorEastAsia" w:hAnsiTheme="minorEastAsia"/>
          <w:b/>
          <w:color w:val="000000" w:themeColor="text1"/>
        </w:rPr>
        <w:t>基金</w:t>
      </w:r>
      <w:r w:rsidRPr="001F61B7" w:rsidR="00296316">
        <w:rPr>
          <w:rFonts w:asciiTheme="minorEastAsia" w:eastAsiaTheme="minorEastAsia" w:hAnsiTheme="minorEastAsia"/>
          <w:b/>
          <w:color w:val="000000" w:themeColor="text1"/>
        </w:rPr>
        <w:t>份额，当日可以竞价卖出，次一交易日可以赎回</w:t>
      </w:r>
      <w:r w:rsidRPr="001F61B7" w:rsidR="00762381">
        <w:rPr>
          <w:rFonts w:asciiTheme="minorEastAsia" w:eastAsiaTheme="minorEastAsia" w:hAnsiTheme="minorEastAsia"/>
          <w:b/>
          <w:color w:val="000000" w:themeColor="text1"/>
        </w:rPr>
        <w:t>。</w:t>
      </w:r>
    </w:p>
    <w:p w:rsidR="00762381" w:rsidRPr="001F61B7" w:rsidP="00C42A18">
      <w:pPr>
        <w:tabs>
          <w:tab w:val="left" w:pos="3544"/>
        </w:tabs>
        <w:overflowPunct w:val="0"/>
        <w:spacing w:line="360" w:lineRule="auto"/>
        <w:ind w:firstLine="420" w:firstLineChars="200"/>
        <w:rPr>
          <w:rFonts w:asciiTheme="minorEastAsia" w:eastAsiaTheme="minorEastAsia" w:hAnsiTheme="minorEastAsia"/>
          <w:b/>
          <w:color w:val="000000" w:themeColor="text1"/>
        </w:rPr>
      </w:pPr>
      <w:r w:rsidRPr="001F61B7">
        <w:rPr>
          <w:rFonts w:asciiTheme="minorEastAsia" w:eastAsiaTheme="minorEastAsia" w:hAnsiTheme="minorEastAsia" w:hint="eastAsia"/>
          <w:b/>
          <w:color w:val="000000" w:themeColor="text1"/>
        </w:rPr>
        <w:t>投资者投资于本基金前请认真阅读证券交易所和登记结算机构关于</w:t>
      </w:r>
      <w:r w:rsidRPr="001F61B7">
        <w:rPr>
          <w:rFonts w:asciiTheme="minorEastAsia" w:eastAsiaTheme="minorEastAsia" w:hAnsiTheme="minorEastAsia"/>
          <w:b/>
          <w:color w:val="000000" w:themeColor="text1"/>
        </w:rPr>
        <w:t>ETF</w:t>
      </w:r>
      <w:r w:rsidRPr="001F61B7">
        <w:rPr>
          <w:rFonts w:asciiTheme="minorEastAsia" w:eastAsiaTheme="minorEastAsia" w:hAnsiTheme="minorEastAsia" w:hint="eastAsia"/>
          <w:b/>
          <w:color w:val="000000" w:themeColor="text1"/>
        </w:rPr>
        <w:t>的相关业务规则及其不时的更新，确保具备相关专业知识、清楚了解相关规则流程后方可参与本基金的申购、赎回及交易。投资者一旦认购、申购或赎回本基金，即表示对基金认购、申购和赎回所涉及的基金份额的证券变更登记方式以及申购赎回所涉及组合证券、现金替代、现金差额等相关的交收方式已经认可</w:t>
      </w:r>
      <w:r w:rsidRPr="001F61B7">
        <w:rPr>
          <w:rFonts w:asciiTheme="minorEastAsia" w:eastAsiaTheme="minorEastAsia" w:hAnsiTheme="minorEastAsia"/>
          <w:b/>
          <w:color w:val="000000" w:themeColor="text1"/>
        </w:rPr>
        <w:t>。</w:t>
      </w:r>
    </w:p>
    <w:p w:rsidR="00D61C9D" w:rsidRPr="001F61B7" w:rsidP="00C42A18">
      <w:pPr>
        <w:tabs>
          <w:tab w:val="left" w:pos="3544"/>
        </w:tabs>
        <w:overflowPunct w:val="0"/>
        <w:spacing w:line="360" w:lineRule="auto"/>
        <w:ind w:firstLine="420" w:firstLineChars="200"/>
        <w:rPr>
          <w:rFonts w:asciiTheme="minorEastAsia" w:eastAsiaTheme="minorEastAsia" w:hAnsiTheme="minorEastAsia"/>
          <w:b/>
          <w:color w:val="000000" w:themeColor="text1"/>
        </w:rPr>
      </w:pPr>
      <w:r w:rsidRPr="001F61B7">
        <w:rPr>
          <w:rFonts w:asciiTheme="minorEastAsia" w:eastAsiaTheme="minorEastAsia" w:hAnsiTheme="minorEastAsia"/>
          <w:b/>
          <w:color w:val="000000" w:themeColor="text1"/>
        </w:rPr>
        <w:t>6</w:t>
      </w:r>
      <w:r w:rsidRPr="001F61B7" w:rsidR="00762381">
        <w:rPr>
          <w:rFonts w:asciiTheme="minorEastAsia" w:eastAsiaTheme="minorEastAsia" w:hAnsiTheme="minorEastAsia"/>
          <w:b/>
          <w:color w:val="000000" w:themeColor="text1"/>
        </w:rPr>
        <w:t>、</w:t>
      </w:r>
      <w:r w:rsidRPr="001F61B7">
        <w:rPr>
          <w:rFonts w:asciiTheme="minorEastAsia" w:eastAsiaTheme="minorEastAsia" w:hAnsiTheme="minorEastAsia"/>
          <w:b/>
          <w:color w:val="000000" w:themeColor="text1"/>
        </w:rPr>
        <w:t>基金的过往业绩并不预示其未来表现</w:t>
      </w:r>
      <w:r w:rsidRPr="001F61B7" w:rsidR="002E4E12">
        <w:rPr>
          <w:rFonts w:asciiTheme="minorEastAsia" w:eastAsiaTheme="minorEastAsia" w:hAnsiTheme="minorEastAsia"/>
          <w:b/>
          <w:color w:val="000000" w:themeColor="text1"/>
        </w:rPr>
        <w:t>，基金管理人管理的其他基金的业绩并不构成对本基金表现的保证</w:t>
      </w:r>
      <w:r w:rsidRPr="001F61B7">
        <w:rPr>
          <w:rFonts w:asciiTheme="minorEastAsia" w:eastAsiaTheme="minorEastAsia" w:hAnsiTheme="minorEastAsia"/>
          <w:b/>
          <w:color w:val="000000" w:themeColor="text1"/>
        </w:rPr>
        <w:t>。</w:t>
      </w:r>
    </w:p>
    <w:p w:rsidR="004A2159" w:rsidRPr="001F61B7" w:rsidP="004A2159">
      <w:pPr>
        <w:spacing w:line="360" w:lineRule="auto"/>
        <w:ind w:firstLine="420" w:firstLineChars="200"/>
        <w:rPr>
          <w:rFonts w:asciiTheme="minorEastAsia" w:eastAsiaTheme="minorEastAsia" w:hAnsiTheme="minorEastAsia"/>
          <w:b/>
          <w:color w:val="000000" w:themeColor="text1"/>
        </w:rPr>
      </w:pPr>
      <w:r w:rsidRPr="004F6D3C">
        <w:rPr>
          <w:rFonts w:asciiTheme="minorEastAsia" w:eastAsiaTheme="minorEastAsia" w:hAnsiTheme="minorEastAsia" w:hint="eastAsia"/>
          <w:b/>
          <w:color w:val="000000" w:themeColor="text1"/>
        </w:rPr>
        <w:t>本基金有关财务数据截止日为2021年9月30日，净值表现截止日为2020年12月31日，主要人员情况截止日为2021年12月30日，除非另有说明，本招募说明书其他所载内容截止日为2021年11月16日。（本报告中财务数据未经审计）</w:t>
      </w:r>
    </w:p>
    <w:p w:rsidR="00DE3601" w:rsidP="00DE3601">
      <w:pPr>
        <w:widowControl/>
        <w:rPr>
          <w:rFonts w:asciiTheme="minorEastAsia" w:eastAsiaTheme="minorEastAsia" w:hAnsiTheme="minorEastAsia"/>
          <w:color w:val="000000" w:themeColor="text1"/>
          <w:sz w:val="30"/>
        </w:rPr>
      </w:pPr>
    </w:p>
    <w:p w:rsidR="00DE3601" w:rsidP="00DE3601">
      <w:pPr>
        <w:widowControl/>
        <w:jc w:val="center"/>
        <w:rPr>
          <w:rFonts w:asciiTheme="minorEastAsia" w:eastAsiaTheme="minorEastAsia" w:hAnsiTheme="minorEastAsia"/>
          <w:color w:val="000000" w:themeColor="text1"/>
          <w:sz w:val="30"/>
        </w:rPr>
      </w:pPr>
      <w:r>
        <w:rPr>
          <w:rFonts w:asciiTheme="minorEastAsia" w:eastAsiaTheme="minorEastAsia" w:hAnsiTheme="minorEastAsia"/>
          <w:color w:val="000000" w:themeColor="text1"/>
          <w:sz w:val="30"/>
        </w:rPr>
        <w:br w:type="page"/>
      </w:r>
    </w:p>
    <w:p w:rsidR="00DE3601" w:rsidP="00DE3601">
      <w:pPr>
        <w:widowControl/>
        <w:jc w:val="center"/>
        <w:rPr>
          <w:rFonts w:asciiTheme="minorEastAsia" w:eastAsiaTheme="minorEastAsia" w:hAnsiTheme="minorEastAsia"/>
          <w:color w:val="000000" w:themeColor="text1"/>
          <w:sz w:val="30"/>
        </w:rPr>
        <w:sectPr w:rsidSect="00DE3601">
          <w:headerReference w:type="even" r:id="rId11"/>
          <w:headerReference w:type="default" r:id="rId12"/>
          <w:footerReference w:type="even" r:id="rId13"/>
          <w:footerReference w:type="default" r:id="rId14"/>
          <w:type w:val="continuous"/>
          <w:pgSz w:w="11906" w:h="16838" w:code="9"/>
          <w:pgMar w:top="1440" w:right="1800" w:bottom="1440" w:left="1800" w:header="851" w:footer="992" w:gutter="0"/>
          <w:pgNumType w:fmt="upperRoman" w:start="1"/>
          <w:cols w:space="720"/>
          <w:docGrid w:type="lines" w:linePitch="317"/>
        </w:sectPr>
      </w:pPr>
    </w:p>
    <w:p w:rsidR="00BA4B87" w:rsidRPr="00DE3601" w:rsidP="00DE3601">
      <w:pPr>
        <w:widowControl/>
        <w:jc w:val="center"/>
        <w:rPr>
          <w:rFonts w:asciiTheme="minorEastAsia" w:eastAsiaTheme="minorEastAsia" w:hAnsiTheme="minorEastAsia"/>
          <w:b/>
          <w:color w:val="000000" w:themeColor="text1"/>
          <w:szCs w:val="21"/>
        </w:rPr>
      </w:pPr>
      <w:r w:rsidRPr="001F61B7">
        <w:rPr>
          <w:rFonts w:asciiTheme="minorEastAsia" w:eastAsiaTheme="minorEastAsia" w:hAnsiTheme="minorEastAsia"/>
          <w:color w:val="000000" w:themeColor="text1"/>
          <w:sz w:val="30"/>
        </w:rPr>
        <w:t>目     录</w:t>
      </w:r>
    </w:p>
    <w:p w:rsidR="001F61B7">
      <w:pPr>
        <w:pStyle w:val="TOC1"/>
        <w:rPr>
          <w:rFonts w:asciiTheme="minorHAnsi" w:eastAsiaTheme="minorEastAsia" w:hAnsiTheme="minorHAnsi" w:cstheme="minorBidi"/>
          <w:caps w:val="0"/>
          <w:color w:val="auto"/>
          <w:sz w:val="21"/>
          <w:szCs w:val="22"/>
        </w:rPr>
      </w:pPr>
      <w:r w:rsidRPr="001F61B7">
        <w:rPr>
          <w:rFonts w:asciiTheme="minorEastAsia" w:eastAsiaTheme="minorEastAsia" w:hAnsiTheme="minorEastAsia"/>
          <w:b/>
          <w:color w:val="000000" w:themeColor="text1"/>
        </w:rPr>
        <w:fldChar w:fldCharType="begin"/>
      </w:r>
      <w:r w:rsidRPr="001F61B7" w:rsidR="00BA1E8F">
        <w:rPr>
          <w:rFonts w:asciiTheme="minorEastAsia" w:eastAsiaTheme="minorEastAsia" w:hAnsiTheme="minorEastAsia"/>
          <w:b/>
          <w:color w:val="000000" w:themeColor="text1"/>
        </w:rPr>
        <w:instrText xml:space="preserve"> TOC \o "1-1" \h \z \u </w:instrText>
      </w:r>
      <w:r w:rsidRPr="001F61B7">
        <w:rPr>
          <w:rFonts w:asciiTheme="minorEastAsia" w:eastAsiaTheme="minorEastAsia" w:hAnsiTheme="minorEastAsia"/>
          <w:b/>
          <w:color w:val="000000" w:themeColor="text1"/>
        </w:rPr>
        <w:fldChar w:fldCharType="separate"/>
      </w:r>
      <w:hyperlink w:anchor="_Toc80796265" w:history="1">
        <w:r w:rsidRPr="00BF1710">
          <w:rPr>
            <w:rStyle w:val="Hyperlink"/>
            <w:rFonts w:asciiTheme="minorEastAsia" w:hAnsiTheme="minorEastAsia" w:hint="eastAsia"/>
          </w:rPr>
          <w:t>一、绪</w:t>
        </w:r>
        <w:r w:rsidRPr="00BF1710">
          <w:rPr>
            <w:rStyle w:val="Hyperlink"/>
            <w:rFonts w:asciiTheme="minorEastAsia" w:hAnsiTheme="minorEastAsia"/>
          </w:rPr>
          <w:t xml:space="preserve">  </w:t>
        </w:r>
        <w:r w:rsidRPr="00BF1710">
          <w:rPr>
            <w:rStyle w:val="Hyperlink"/>
            <w:rFonts w:asciiTheme="minorEastAsia" w:hAnsiTheme="minorEastAsia" w:hint="eastAsia"/>
          </w:rPr>
          <w:t>言</w:t>
        </w:r>
        <w:r>
          <w:rPr>
            <w:webHidden/>
          </w:rPr>
          <w:tab/>
        </w:r>
        <w:r>
          <w:rPr>
            <w:webHidden/>
          </w:rPr>
          <w:fldChar w:fldCharType="begin"/>
        </w:r>
        <w:r>
          <w:rPr>
            <w:webHidden/>
          </w:rPr>
          <w:instrText xml:space="preserve"> PAGEREF _Toc80796265 \h </w:instrText>
        </w:r>
        <w:r>
          <w:rPr>
            <w:webHidden/>
          </w:rPr>
          <w:fldChar w:fldCharType="separate"/>
        </w:r>
        <w:r w:rsidR="00DE3601">
          <w:rPr>
            <w:webHidden/>
          </w:rPr>
          <w:t>1</w:t>
        </w:r>
        <w:r>
          <w:rPr>
            <w:webHidden/>
          </w:rPr>
          <w:fldChar w:fldCharType="end"/>
        </w:r>
      </w:hyperlink>
    </w:p>
    <w:p w:rsidR="001F61B7">
      <w:pPr>
        <w:pStyle w:val="TOC1"/>
        <w:rPr>
          <w:rFonts w:asciiTheme="minorHAnsi" w:eastAsiaTheme="minorEastAsia" w:hAnsiTheme="minorHAnsi" w:cstheme="minorBidi"/>
          <w:caps w:val="0"/>
          <w:color w:val="auto"/>
          <w:sz w:val="21"/>
          <w:szCs w:val="22"/>
        </w:rPr>
      </w:pPr>
      <w:hyperlink w:anchor="_Toc80796266" w:history="1">
        <w:r w:rsidRPr="00BF1710" w:rsidR="00C50AE9">
          <w:rPr>
            <w:rStyle w:val="Hyperlink"/>
            <w:rFonts w:asciiTheme="minorEastAsia" w:hAnsiTheme="minorEastAsia" w:hint="eastAsia"/>
          </w:rPr>
          <w:t>二、释</w:t>
        </w:r>
        <w:r w:rsidRPr="00BF1710" w:rsidR="00C50AE9">
          <w:rPr>
            <w:rStyle w:val="Hyperlink"/>
            <w:rFonts w:asciiTheme="minorEastAsia" w:hAnsiTheme="minorEastAsia"/>
          </w:rPr>
          <w:t xml:space="preserve">  </w:t>
        </w:r>
        <w:r w:rsidRPr="00BF1710" w:rsidR="00C50AE9">
          <w:rPr>
            <w:rStyle w:val="Hyperlink"/>
            <w:rFonts w:asciiTheme="minorEastAsia" w:hAnsiTheme="minorEastAsia" w:hint="eastAsia"/>
          </w:rPr>
          <w:t>义</w:t>
        </w:r>
        <w:r w:rsidR="00C50AE9">
          <w:rPr>
            <w:webHidden/>
          </w:rPr>
          <w:tab/>
        </w:r>
        <w:r w:rsidR="00C50AE9">
          <w:rPr>
            <w:webHidden/>
          </w:rPr>
          <w:fldChar w:fldCharType="begin"/>
        </w:r>
        <w:r w:rsidR="00C50AE9">
          <w:rPr>
            <w:webHidden/>
          </w:rPr>
          <w:instrText xml:space="preserve"> PAGEREF _Toc80796266 \h </w:instrText>
        </w:r>
        <w:r w:rsidR="00C50AE9">
          <w:rPr>
            <w:webHidden/>
          </w:rPr>
          <w:fldChar w:fldCharType="separate"/>
        </w:r>
        <w:r w:rsidR="00DE3601">
          <w:rPr>
            <w:webHidden/>
          </w:rPr>
          <w:t>2</w:t>
        </w:r>
        <w:r w:rsidR="00C50AE9">
          <w:rPr>
            <w:webHidden/>
          </w:rPr>
          <w:fldChar w:fldCharType="end"/>
        </w:r>
      </w:hyperlink>
    </w:p>
    <w:p w:rsidR="001F61B7">
      <w:pPr>
        <w:pStyle w:val="TOC1"/>
        <w:rPr>
          <w:rFonts w:asciiTheme="minorHAnsi" w:eastAsiaTheme="minorEastAsia" w:hAnsiTheme="minorHAnsi" w:cstheme="minorBidi"/>
          <w:caps w:val="0"/>
          <w:color w:val="auto"/>
          <w:sz w:val="21"/>
          <w:szCs w:val="22"/>
        </w:rPr>
      </w:pPr>
      <w:hyperlink w:anchor="_Toc80796267" w:history="1">
        <w:r w:rsidRPr="00BF1710" w:rsidR="00C50AE9">
          <w:rPr>
            <w:rStyle w:val="Hyperlink"/>
            <w:rFonts w:asciiTheme="minorEastAsia" w:hAnsiTheme="minorEastAsia" w:hint="eastAsia"/>
          </w:rPr>
          <w:t>三、基金管</w:t>
        </w:r>
        <w:r w:rsidRPr="00BF1710" w:rsidR="00C50AE9">
          <w:rPr>
            <w:rStyle w:val="Hyperlink"/>
            <w:rFonts w:asciiTheme="minorEastAsia" w:hAnsiTheme="minorEastAsia" w:hint="eastAsia"/>
          </w:rPr>
          <w:t>理</w:t>
        </w:r>
        <w:r w:rsidRPr="00BF1710" w:rsidR="00C50AE9">
          <w:rPr>
            <w:rStyle w:val="Hyperlink"/>
            <w:rFonts w:asciiTheme="minorEastAsia" w:hAnsiTheme="minorEastAsia" w:hint="eastAsia"/>
          </w:rPr>
          <w:t>人</w:t>
        </w:r>
        <w:r w:rsidR="00C50AE9">
          <w:rPr>
            <w:webHidden/>
          </w:rPr>
          <w:tab/>
        </w:r>
        <w:r w:rsidR="00C50AE9">
          <w:rPr>
            <w:webHidden/>
          </w:rPr>
          <w:fldChar w:fldCharType="begin"/>
        </w:r>
        <w:r w:rsidR="00C50AE9">
          <w:rPr>
            <w:webHidden/>
          </w:rPr>
          <w:instrText xml:space="preserve"> PAGEREF _Toc80796267 \h </w:instrText>
        </w:r>
        <w:r w:rsidR="00C50AE9">
          <w:rPr>
            <w:webHidden/>
          </w:rPr>
          <w:fldChar w:fldCharType="separate"/>
        </w:r>
        <w:r w:rsidR="00DE3601">
          <w:rPr>
            <w:webHidden/>
          </w:rPr>
          <w:t>7</w:t>
        </w:r>
        <w:r w:rsidR="00C50AE9">
          <w:rPr>
            <w:webHidden/>
          </w:rPr>
          <w:fldChar w:fldCharType="end"/>
        </w:r>
      </w:hyperlink>
    </w:p>
    <w:p w:rsidR="001F61B7">
      <w:pPr>
        <w:pStyle w:val="TOC1"/>
        <w:rPr>
          <w:rFonts w:asciiTheme="minorHAnsi" w:eastAsiaTheme="minorEastAsia" w:hAnsiTheme="minorHAnsi" w:cstheme="minorBidi"/>
          <w:caps w:val="0"/>
          <w:color w:val="auto"/>
          <w:sz w:val="21"/>
          <w:szCs w:val="22"/>
        </w:rPr>
      </w:pPr>
      <w:hyperlink w:anchor="_Toc80796268" w:history="1">
        <w:r w:rsidRPr="00BF1710" w:rsidR="00C50AE9">
          <w:rPr>
            <w:rStyle w:val="Hyperlink"/>
            <w:rFonts w:asciiTheme="minorEastAsia" w:hAnsiTheme="minorEastAsia" w:hint="eastAsia"/>
          </w:rPr>
          <w:t>四、基金托管人</w:t>
        </w:r>
        <w:r w:rsidR="00C50AE9">
          <w:rPr>
            <w:webHidden/>
          </w:rPr>
          <w:tab/>
        </w:r>
        <w:r w:rsidR="00C50AE9">
          <w:rPr>
            <w:webHidden/>
          </w:rPr>
          <w:fldChar w:fldCharType="begin"/>
        </w:r>
        <w:r w:rsidR="00C50AE9">
          <w:rPr>
            <w:webHidden/>
          </w:rPr>
          <w:instrText xml:space="preserve"> PAGEREF _Toc80796268 \h </w:instrText>
        </w:r>
        <w:r w:rsidR="00C50AE9">
          <w:rPr>
            <w:webHidden/>
          </w:rPr>
          <w:fldChar w:fldCharType="separate"/>
        </w:r>
        <w:r w:rsidR="00DE3601">
          <w:rPr>
            <w:webHidden/>
          </w:rPr>
          <w:t>19</w:t>
        </w:r>
        <w:r w:rsidR="00C50AE9">
          <w:rPr>
            <w:webHidden/>
          </w:rPr>
          <w:fldChar w:fldCharType="end"/>
        </w:r>
      </w:hyperlink>
    </w:p>
    <w:p w:rsidR="001F61B7">
      <w:pPr>
        <w:pStyle w:val="TOC1"/>
        <w:rPr>
          <w:rFonts w:asciiTheme="minorHAnsi" w:eastAsiaTheme="minorEastAsia" w:hAnsiTheme="minorHAnsi" w:cstheme="minorBidi"/>
          <w:caps w:val="0"/>
          <w:color w:val="auto"/>
          <w:sz w:val="21"/>
          <w:szCs w:val="22"/>
        </w:rPr>
      </w:pPr>
      <w:hyperlink w:anchor="_Toc80796269" w:history="1">
        <w:r w:rsidRPr="00BF1710" w:rsidR="00C50AE9">
          <w:rPr>
            <w:rStyle w:val="Hyperlink"/>
            <w:rFonts w:asciiTheme="minorEastAsia" w:hAnsiTheme="minorEastAsia" w:hint="eastAsia"/>
          </w:rPr>
          <w:t>五、相关服务机构</w:t>
        </w:r>
        <w:r w:rsidR="00C50AE9">
          <w:rPr>
            <w:webHidden/>
          </w:rPr>
          <w:tab/>
        </w:r>
        <w:r w:rsidR="00C50AE9">
          <w:rPr>
            <w:webHidden/>
          </w:rPr>
          <w:fldChar w:fldCharType="begin"/>
        </w:r>
        <w:r w:rsidR="00C50AE9">
          <w:rPr>
            <w:webHidden/>
          </w:rPr>
          <w:instrText xml:space="preserve"> PAGEREF _Toc80796269 \h </w:instrText>
        </w:r>
        <w:r w:rsidR="00C50AE9">
          <w:rPr>
            <w:webHidden/>
          </w:rPr>
          <w:fldChar w:fldCharType="separate"/>
        </w:r>
        <w:r w:rsidR="00DE3601">
          <w:rPr>
            <w:webHidden/>
          </w:rPr>
          <w:t>21</w:t>
        </w:r>
        <w:r w:rsidR="00C50AE9">
          <w:rPr>
            <w:webHidden/>
          </w:rPr>
          <w:fldChar w:fldCharType="end"/>
        </w:r>
      </w:hyperlink>
    </w:p>
    <w:p w:rsidR="001F61B7">
      <w:pPr>
        <w:pStyle w:val="TOC1"/>
        <w:rPr>
          <w:rFonts w:asciiTheme="minorHAnsi" w:eastAsiaTheme="minorEastAsia" w:hAnsiTheme="minorHAnsi" w:cstheme="minorBidi"/>
          <w:caps w:val="0"/>
          <w:color w:val="auto"/>
          <w:sz w:val="21"/>
          <w:szCs w:val="22"/>
        </w:rPr>
      </w:pPr>
      <w:hyperlink w:anchor="_Toc80796270" w:history="1">
        <w:r w:rsidRPr="00BF1710" w:rsidR="00C50AE9">
          <w:rPr>
            <w:rStyle w:val="Hyperlink"/>
            <w:rFonts w:asciiTheme="minorEastAsia" w:hAnsiTheme="minorEastAsia" w:hint="eastAsia"/>
            <w:bCs/>
          </w:rPr>
          <w:t>六、基金的募集</w:t>
        </w:r>
        <w:r w:rsidR="00C50AE9">
          <w:rPr>
            <w:webHidden/>
          </w:rPr>
          <w:tab/>
        </w:r>
        <w:r w:rsidR="00C50AE9">
          <w:rPr>
            <w:webHidden/>
          </w:rPr>
          <w:fldChar w:fldCharType="begin"/>
        </w:r>
        <w:r w:rsidR="00C50AE9">
          <w:rPr>
            <w:webHidden/>
          </w:rPr>
          <w:instrText xml:space="preserve"> PAGEREF _Toc80796270 \h </w:instrText>
        </w:r>
        <w:r w:rsidR="00C50AE9">
          <w:rPr>
            <w:webHidden/>
          </w:rPr>
          <w:fldChar w:fldCharType="separate"/>
        </w:r>
        <w:r w:rsidR="00DE3601">
          <w:rPr>
            <w:webHidden/>
          </w:rPr>
          <w:t>23</w:t>
        </w:r>
        <w:r w:rsidR="00C50AE9">
          <w:rPr>
            <w:webHidden/>
          </w:rPr>
          <w:fldChar w:fldCharType="end"/>
        </w:r>
      </w:hyperlink>
    </w:p>
    <w:p w:rsidR="001F61B7">
      <w:pPr>
        <w:pStyle w:val="TOC1"/>
        <w:rPr>
          <w:rFonts w:asciiTheme="minorHAnsi" w:eastAsiaTheme="minorEastAsia" w:hAnsiTheme="minorHAnsi" w:cstheme="minorBidi"/>
          <w:caps w:val="0"/>
          <w:color w:val="auto"/>
          <w:sz w:val="21"/>
          <w:szCs w:val="22"/>
        </w:rPr>
      </w:pPr>
      <w:hyperlink w:anchor="_Toc80796271" w:history="1">
        <w:r w:rsidRPr="00BF1710" w:rsidR="00C50AE9">
          <w:rPr>
            <w:rStyle w:val="Hyperlink"/>
            <w:rFonts w:asciiTheme="minorEastAsia" w:hAnsiTheme="minorEastAsia" w:hint="eastAsia"/>
            <w:bCs/>
          </w:rPr>
          <w:t>七、基金合同的生效</w:t>
        </w:r>
        <w:r w:rsidR="00C50AE9">
          <w:rPr>
            <w:webHidden/>
          </w:rPr>
          <w:tab/>
        </w:r>
        <w:r w:rsidR="00C50AE9">
          <w:rPr>
            <w:webHidden/>
          </w:rPr>
          <w:fldChar w:fldCharType="begin"/>
        </w:r>
        <w:r w:rsidR="00C50AE9">
          <w:rPr>
            <w:webHidden/>
          </w:rPr>
          <w:instrText xml:space="preserve"> PAGEREF _Toc80796271 \h </w:instrText>
        </w:r>
        <w:r w:rsidR="00C50AE9">
          <w:rPr>
            <w:webHidden/>
          </w:rPr>
          <w:fldChar w:fldCharType="separate"/>
        </w:r>
        <w:r w:rsidR="00DE3601">
          <w:rPr>
            <w:webHidden/>
          </w:rPr>
          <w:t>24</w:t>
        </w:r>
        <w:r w:rsidR="00C50AE9">
          <w:rPr>
            <w:webHidden/>
          </w:rPr>
          <w:fldChar w:fldCharType="end"/>
        </w:r>
      </w:hyperlink>
    </w:p>
    <w:p w:rsidR="001F61B7">
      <w:pPr>
        <w:pStyle w:val="TOC1"/>
        <w:rPr>
          <w:rFonts w:asciiTheme="minorHAnsi" w:eastAsiaTheme="minorEastAsia" w:hAnsiTheme="minorHAnsi" w:cstheme="minorBidi"/>
          <w:caps w:val="0"/>
          <w:color w:val="auto"/>
          <w:sz w:val="21"/>
          <w:szCs w:val="22"/>
        </w:rPr>
      </w:pPr>
      <w:hyperlink w:anchor="_Toc80796272" w:history="1">
        <w:r w:rsidRPr="00BF1710" w:rsidR="00C50AE9">
          <w:rPr>
            <w:rStyle w:val="Hyperlink"/>
            <w:rFonts w:asciiTheme="minorEastAsia" w:hAnsiTheme="minorEastAsia" w:hint="eastAsia"/>
          </w:rPr>
          <w:t>八、基金份额的上市交易</w:t>
        </w:r>
        <w:r w:rsidR="00C50AE9">
          <w:rPr>
            <w:webHidden/>
          </w:rPr>
          <w:tab/>
        </w:r>
        <w:r w:rsidR="00C50AE9">
          <w:rPr>
            <w:webHidden/>
          </w:rPr>
          <w:fldChar w:fldCharType="begin"/>
        </w:r>
        <w:r w:rsidR="00C50AE9">
          <w:rPr>
            <w:webHidden/>
          </w:rPr>
          <w:instrText xml:space="preserve"> PAGEREF _Toc80796272 \h </w:instrText>
        </w:r>
        <w:r w:rsidR="00C50AE9">
          <w:rPr>
            <w:webHidden/>
          </w:rPr>
          <w:fldChar w:fldCharType="separate"/>
        </w:r>
        <w:r w:rsidR="00DE3601">
          <w:rPr>
            <w:webHidden/>
          </w:rPr>
          <w:t>25</w:t>
        </w:r>
        <w:r w:rsidR="00C50AE9">
          <w:rPr>
            <w:webHidden/>
          </w:rPr>
          <w:fldChar w:fldCharType="end"/>
        </w:r>
      </w:hyperlink>
    </w:p>
    <w:p w:rsidR="001F61B7">
      <w:pPr>
        <w:pStyle w:val="TOC1"/>
        <w:rPr>
          <w:rFonts w:asciiTheme="minorHAnsi" w:eastAsiaTheme="minorEastAsia" w:hAnsiTheme="minorHAnsi" w:cstheme="minorBidi"/>
          <w:caps w:val="0"/>
          <w:color w:val="auto"/>
          <w:sz w:val="21"/>
          <w:szCs w:val="22"/>
        </w:rPr>
      </w:pPr>
      <w:hyperlink w:anchor="_Toc80796273" w:history="1">
        <w:r w:rsidRPr="00BF1710" w:rsidR="00C50AE9">
          <w:rPr>
            <w:rStyle w:val="Hyperlink"/>
            <w:rFonts w:asciiTheme="minorEastAsia" w:hAnsiTheme="minorEastAsia" w:hint="eastAsia"/>
          </w:rPr>
          <w:t>九、基金份</w:t>
        </w:r>
        <w:bookmarkStart w:id="0" w:name="_GoBack"/>
        <w:bookmarkEnd w:id="0"/>
        <w:r w:rsidRPr="00BF1710" w:rsidR="00C50AE9">
          <w:rPr>
            <w:rStyle w:val="Hyperlink"/>
            <w:rFonts w:asciiTheme="minorEastAsia" w:hAnsiTheme="minorEastAsia" w:hint="eastAsia"/>
          </w:rPr>
          <w:t>额的申购与赎回</w:t>
        </w:r>
        <w:r w:rsidR="00C50AE9">
          <w:rPr>
            <w:webHidden/>
          </w:rPr>
          <w:tab/>
        </w:r>
        <w:r w:rsidR="00C50AE9">
          <w:rPr>
            <w:webHidden/>
          </w:rPr>
          <w:fldChar w:fldCharType="begin"/>
        </w:r>
        <w:r w:rsidR="00C50AE9">
          <w:rPr>
            <w:webHidden/>
          </w:rPr>
          <w:instrText xml:space="preserve"> PAGEREF _Toc80796273 \h </w:instrText>
        </w:r>
        <w:r w:rsidR="00C50AE9">
          <w:rPr>
            <w:webHidden/>
          </w:rPr>
          <w:fldChar w:fldCharType="separate"/>
        </w:r>
        <w:r w:rsidR="00DE3601">
          <w:rPr>
            <w:webHidden/>
          </w:rPr>
          <w:t>27</w:t>
        </w:r>
        <w:r w:rsidR="00C50AE9">
          <w:rPr>
            <w:webHidden/>
          </w:rPr>
          <w:fldChar w:fldCharType="end"/>
        </w:r>
      </w:hyperlink>
    </w:p>
    <w:p w:rsidR="001F61B7">
      <w:pPr>
        <w:pStyle w:val="TOC1"/>
        <w:rPr>
          <w:rFonts w:asciiTheme="minorHAnsi" w:eastAsiaTheme="minorEastAsia" w:hAnsiTheme="minorHAnsi" w:cstheme="minorBidi"/>
          <w:caps w:val="0"/>
          <w:color w:val="auto"/>
          <w:sz w:val="21"/>
          <w:szCs w:val="22"/>
        </w:rPr>
      </w:pPr>
      <w:hyperlink w:anchor="_Toc80796274" w:history="1">
        <w:r w:rsidRPr="00BF1710" w:rsidR="00C50AE9">
          <w:rPr>
            <w:rStyle w:val="Hyperlink"/>
            <w:rFonts w:asciiTheme="minorEastAsia" w:hAnsiTheme="minorEastAsia" w:hint="eastAsia"/>
          </w:rPr>
          <w:t>十、基金份额的折算</w:t>
        </w:r>
        <w:r w:rsidR="00C50AE9">
          <w:rPr>
            <w:webHidden/>
          </w:rPr>
          <w:tab/>
        </w:r>
        <w:r w:rsidR="00C50AE9">
          <w:rPr>
            <w:webHidden/>
          </w:rPr>
          <w:fldChar w:fldCharType="begin"/>
        </w:r>
        <w:r w:rsidR="00C50AE9">
          <w:rPr>
            <w:webHidden/>
          </w:rPr>
          <w:instrText xml:space="preserve"> PAGEREF _Toc80796274 \h </w:instrText>
        </w:r>
        <w:r w:rsidR="00C50AE9">
          <w:rPr>
            <w:webHidden/>
          </w:rPr>
          <w:fldChar w:fldCharType="separate"/>
        </w:r>
        <w:r w:rsidR="00DE3601">
          <w:rPr>
            <w:webHidden/>
          </w:rPr>
          <w:t>41</w:t>
        </w:r>
        <w:r w:rsidR="00C50AE9">
          <w:rPr>
            <w:webHidden/>
          </w:rPr>
          <w:fldChar w:fldCharType="end"/>
        </w:r>
      </w:hyperlink>
    </w:p>
    <w:p w:rsidR="001F61B7">
      <w:pPr>
        <w:pStyle w:val="TOC1"/>
        <w:rPr>
          <w:rFonts w:asciiTheme="minorHAnsi" w:eastAsiaTheme="minorEastAsia" w:hAnsiTheme="minorHAnsi" w:cstheme="minorBidi"/>
          <w:caps w:val="0"/>
          <w:color w:val="auto"/>
          <w:sz w:val="21"/>
          <w:szCs w:val="22"/>
        </w:rPr>
      </w:pPr>
      <w:hyperlink w:anchor="_Toc80796275" w:history="1">
        <w:r w:rsidRPr="00BF1710" w:rsidR="00C50AE9">
          <w:rPr>
            <w:rStyle w:val="Hyperlink"/>
            <w:rFonts w:asciiTheme="minorEastAsia" w:hAnsiTheme="minorEastAsia" w:hint="eastAsia"/>
          </w:rPr>
          <w:t>十一、基金的投资</w:t>
        </w:r>
        <w:r w:rsidR="00C50AE9">
          <w:rPr>
            <w:webHidden/>
          </w:rPr>
          <w:tab/>
        </w:r>
        <w:r w:rsidR="00C50AE9">
          <w:rPr>
            <w:webHidden/>
          </w:rPr>
          <w:fldChar w:fldCharType="begin"/>
        </w:r>
        <w:r w:rsidR="00C50AE9">
          <w:rPr>
            <w:webHidden/>
          </w:rPr>
          <w:instrText xml:space="preserve"> PAGEREF _Toc80796275 \h </w:instrText>
        </w:r>
        <w:r w:rsidR="00C50AE9">
          <w:rPr>
            <w:webHidden/>
          </w:rPr>
          <w:fldChar w:fldCharType="separate"/>
        </w:r>
        <w:r w:rsidR="00DE3601">
          <w:rPr>
            <w:webHidden/>
          </w:rPr>
          <w:t>42</w:t>
        </w:r>
        <w:r w:rsidR="00C50AE9">
          <w:rPr>
            <w:webHidden/>
          </w:rPr>
          <w:fldChar w:fldCharType="end"/>
        </w:r>
      </w:hyperlink>
    </w:p>
    <w:p w:rsidR="001F61B7">
      <w:pPr>
        <w:pStyle w:val="TOC1"/>
        <w:rPr>
          <w:rFonts w:asciiTheme="minorHAnsi" w:eastAsiaTheme="minorEastAsia" w:hAnsiTheme="minorHAnsi" w:cstheme="minorBidi"/>
          <w:caps w:val="0"/>
          <w:color w:val="auto"/>
          <w:sz w:val="21"/>
          <w:szCs w:val="22"/>
        </w:rPr>
      </w:pPr>
      <w:hyperlink w:anchor="_Toc80796276" w:history="1">
        <w:r w:rsidRPr="00BF1710" w:rsidR="00C50AE9">
          <w:rPr>
            <w:rStyle w:val="Hyperlink"/>
            <w:rFonts w:asciiTheme="minorEastAsia" w:hAnsiTheme="minorEastAsia" w:hint="eastAsia"/>
          </w:rPr>
          <w:t>十二、基金的业绩</w:t>
        </w:r>
        <w:r w:rsidR="00C50AE9">
          <w:rPr>
            <w:webHidden/>
          </w:rPr>
          <w:tab/>
        </w:r>
        <w:r w:rsidR="00C50AE9">
          <w:rPr>
            <w:webHidden/>
          </w:rPr>
          <w:fldChar w:fldCharType="begin"/>
        </w:r>
        <w:r w:rsidR="00C50AE9">
          <w:rPr>
            <w:webHidden/>
          </w:rPr>
          <w:instrText xml:space="preserve"> PAGEREF _Toc80796276 \h </w:instrText>
        </w:r>
        <w:r w:rsidR="00C50AE9">
          <w:rPr>
            <w:webHidden/>
          </w:rPr>
          <w:fldChar w:fldCharType="separate"/>
        </w:r>
        <w:r w:rsidR="00DE3601">
          <w:rPr>
            <w:webHidden/>
          </w:rPr>
          <w:t>52</w:t>
        </w:r>
        <w:r w:rsidR="00C50AE9">
          <w:rPr>
            <w:webHidden/>
          </w:rPr>
          <w:fldChar w:fldCharType="end"/>
        </w:r>
      </w:hyperlink>
    </w:p>
    <w:p w:rsidR="001F61B7">
      <w:pPr>
        <w:pStyle w:val="TOC1"/>
        <w:rPr>
          <w:rFonts w:asciiTheme="minorHAnsi" w:eastAsiaTheme="minorEastAsia" w:hAnsiTheme="minorHAnsi" w:cstheme="minorBidi"/>
          <w:caps w:val="0"/>
          <w:color w:val="auto"/>
          <w:sz w:val="21"/>
          <w:szCs w:val="22"/>
        </w:rPr>
      </w:pPr>
      <w:hyperlink w:anchor="_Toc80796277" w:history="1">
        <w:r w:rsidRPr="00BF1710" w:rsidR="00C50AE9">
          <w:rPr>
            <w:rStyle w:val="Hyperlink"/>
            <w:rFonts w:asciiTheme="minorEastAsia" w:hAnsiTheme="minorEastAsia" w:hint="eastAsia"/>
          </w:rPr>
          <w:t>十三、基金的财产</w:t>
        </w:r>
        <w:r w:rsidR="00C50AE9">
          <w:rPr>
            <w:webHidden/>
          </w:rPr>
          <w:tab/>
        </w:r>
        <w:r w:rsidR="00C50AE9">
          <w:rPr>
            <w:webHidden/>
          </w:rPr>
          <w:fldChar w:fldCharType="begin"/>
        </w:r>
        <w:r w:rsidR="00C50AE9">
          <w:rPr>
            <w:webHidden/>
          </w:rPr>
          <w:instrText xml:space="preserve"> PAGEREF _Toc80796277 \h </w:instrText>
        </w:r>
        <w:r w:rsidR="00C50AE9">
          <w:rPr>
            <w:webHidden/>
          </w:rPr>
          <w:fldChar w:fldCharType="separate"/>
        </w:r>
        <w:r w:rsidR="00DE3601">
          <w:rPr>
            <w:webHidden/>
          </w:rPr>
          <w:t>53</w:t>
        </w:r>
        <w:r w:rsidR="00C50AE9">
          <w:rPr>
            <w:webHidden/>
          </w:rPr>
          <w:fldChar w:fldCharType="end"/>
        </w:r>
      </w:hyperlink>
    </w:p>
    <w:p w:rsidR="001F61B7">
      <w:pPr>
        <w:pStyle w:val="TOC1"/>
        <w:rPr>
          <w:rFonts w:asciiTheme="minorHAnsi" w:eastAsiaTheme="minorEastAsia" w:hAnsiTheme="minorHAnsi" w:cstheme="minorBidi"/>
          <w:caps w:val="0"/>
          <w:color w:val="auto"/>
          <w:sz w:val="21"/>
          <w:szCs w:val="22"/>
        </w:rPr>
      </w:pPr>
      <w:hyperlink w:anchor="_Toc80796278" w:history="1">
        <w:r w:rsidRPr="00BF1710" w:rsidR="00C50AE9">
          <w:rPr>
            <w:rStyle w:val="Hyperlink"/>
            <w:rFonts w:asciiTheme="minorEastAsia" w:hAnsiTheme="minorEastAsia" w:hint="eastAsia"/>
          </w:rPr>
          <w:t>十四、基金资产的估值</w:t>
        </w:r>
        <w:r w:rsidR="00C50AE9">
          <w:rPr>
            <w:webHidden/>
          </w:rPr>
          <w:tab/>
        </w:r>
        <w:r w:rsidR="00C50AE9">
          <w:rPr>
            <w:webHidden/>
          </w:rPr>
          <w:fldChar w:fldCharType="begin"/>
        </w:r>
        <w:r w:rsidR="00C50AE9">
          <w:rPr>
            <w:webHidden/>
          </w:rPr>
          <w:instrText xml:space="preserve"> PAGEREF _Toc80796278 \h </w:instrText>
        </w:r>
        <w:r w:rsidR="00C50AE9">
          <w:rPr>
            <w:webHidden/>
          </w:rPr>
          <w:fldChar w:fldCharType="separate"/>
        </w:r>
        <w:r w:rsidR="00DE3601">
          <w:rPr>
            <w:webHidden/>
          </w:rPr>
          <w:t>54</w:t>
        </w:r>
        <w:r w:rsidR="00C50AE9">
          <w:rPr>
            <w:webHidden/>
          </w:rPr>
          <w:fldChar w:fldCharType="end"/>
        </w:r>
      </w:hyperlink>
    </w:p>
    <w:p w:rsidR="001F61B7">
      <w:pPr>
        <w:pStyle w:val="TOC1"/>
        <w:rPr>
          <w:rFonts w:asciiTheme="minorHAnsi" w:eastAsiaTheme="minorEastAsia" w:hAnsiTheme="minorHAnsi" w:cstheme="minorBidi"/>
          <w:caps w:val="0"/>
          <w:color w:val="auto"/>
          <w:sz w:val="21"/>
          <w:szCs w:val="22"/>
        </w:rPr>
      </w:pPr>
      <w:hyperlink w:anchor="_Toc80796279" w:history="1">
        <w:r w:rsidRPr="00BF1710" w:rsidR="00C50AE9">
          <w:rPr>
            <w:rStyle w:val="Hyperlink"/>
            <w:rFonts w:asciiTheme="minorEastAsia" w:hAnsiTheme="minorEastAsia" w:hint="eastAsia"/>
          </w:rPr>
          <w:t>十五、基金的收益分配</w:t>
        </w:r>
        <w:r w:rsidR="00C50AE9">
          <w:rPr>
            <w:webHidden/>
          </w:rPr>
          <w:tab/>
        </w:r>
        <w:r w:rsidR="00C50AE9">
          <w:rPr>
            <w:webHidden/>
          </w:rPr>
          <w:fldChar w:fldCharType="begin"/>
        </w:r>
        <w:r w:rsidR="00C50AE9">
          <w:rPr>
            <w:webHidden/>
          </w:rPr>
          <w:instrText xml:space="preserve"> PAGEREF _Toc80796279 \h </w:instrText>
        </w:r>
        <w:r w:rsidR="00C50AE9">
          <w:rPr>
            <w:webHidden/>
          </w:rPr>
          <w:fldChar w:fldCharType="separate"/>
        </w:r>
        <w:r w:rsidR="00DE3601">
          <w:rPr>
            <w:webHidden/>
          </w:rPr>
          <w:t>59</w:t>
        </w:r>
        <w:r w:rsidR="00C50AE9">
          <w:rPr>
            <w:webHidden/>
          </w:rPr>
          <w:fldChar w:fldCharType="end"/>
        </w:r>
      </w:hyperlink>
    </w:p>
    <w:p w:rsidR="001F61B7">
      <w:pPr>
        <w:pStyle w:val="TOC1"/>
        <w:rPr>
          <w:rFonts w:asciiTheme="minorHAnsi" w:eastAsiaTheme="minorEastAsia" w:hAnsiTheme="minorHAnsi" w:cstheme="minorBidi"/>
          <w:caps w:val="0"/>
          <w:color w:val="auto"/>
          <w:sz w:val="21"/>
          <w:szCs w:val="22"/>
        </w:rPr>
      </w:pPr>
      <w:hyperlink w:anchor="_Toc80796280" w:history="1">
        <w:r w:rsidRPr="00BF1710" w:rsidR="00C50AE9">
          <w:rPr>
            <w:rStyle w:val="Hyperlink"/>
            <w:rFonts w:asciiTheme="minorEastAsia" w:hAnsiTheme="minorEastAsia" w:hint="eastAsia"/>
          </w:rPr>
          <w:t>十六、基金的费用与税收</w:t>
        </w:r>
        <w:r w:rsidR="00C50AE9">
          <w:rPr>
            <w:webHidden/>
          </w:rPr>
          <w:tab/>
        </w:r>
        <w:r w:rsidR="00C50AE9">
          <w:rPr>
            <w:webHidden/>
          </w:rPr>
          <w:fldChar w:fldCharType="begin"/>
        </w:r>
        <w:r w:rsidR="00C50AE9">
          <w:rPr>
            <w:webHidden/>
          </w:rPr>
          <w:instrText xml:space="preserve"> PAGEREF _Toc80796280 \h </w:instrText>
        </w:r>
        <w:r w:rsidR="00C50AE9">
          <w:rPr>
            <w:webHidden/>
          </w:rPr>
          <w:fldChar w:fldCharType="separate"/>
        </w:r>
        <w:r w:rsidR="00DE3601">
          <w:rPr>
            <w:webHidden/>
          </w:rPr>
          <w:t>61</w:t>
        </w:r>
        <w:r w:rsidR="00C50AE9">
          <w:rPr>
            <w:webHidden/>
          </w:rPr>
          <w:fldChar w:fldCharType="end"/>
        </w:r>
      </w:hyperlink>
    </w:p>
    <w:p w:rsidR="001F61B7">
      <w:pPr>
        <w:pStyle w:val="TOC1"/>
        <w:rPr>
          <w:rFonts w:asciiTheme="minorHAnsi" w:eastAsiaTheme="minorEastAsia" w:hAnsiTheme="minorHAnsi" w:cstheme="minorBidi"/>
          <w:caps w:val="0"/>
          <w:color w:val="auto"/>
          <w:sz w:val="21"/>
          <w:szCs w:val="22"/>
        </w:rPr>
      </w:pPr>
      <w:hyperlink w:anchor="_Toc80796281" w:history="1">
        <w:r w:rsidRPr="00BF1710" w:rsidR="00C50AE9">
          <w:rPr>
            <w:rStyle w:val="Hyperlink"/>
            <w:rFonts w:asciiTheme="minorEastAsia" w:hAnsiTheme="minorEastAsia" w:hint="eastAsia"/>
          </w:rPr>
          <w:t>十七、基金的会计与审计</w:t>
        </w:r>
        <w:r w:rsidR="00C50AE9">
          <w:rPr>
            <w:webHidden/>
          </w:rPr>
          <w:tab/>
        </w:r>
        <w:r w:rsidR="00C50AE9">
          <w:rPr>
            <w:webHidden/>
          </w:rPr>
          <w:fldChar w:fldCharType="begin"/>
        </w:r>
        <w:r w:rsidR="00C50AE9">
          <w:rPr>
            <w:webHidden/>
          </w:rPr>
          <w:instrText xml:space="preserve"> PAGEREF _Toc80796281 \h </w:instrText>
        </w:r>
        <w:r w:rsidR="00C50AE9">
          <w:rPr>
            <w:webHidden/>
          </w:rPr>
          <w:fldChar w:fldCharType="separate"/>
        </w:r>
        <w:r w:rsidR="00DE3601">
          <w:rPr>
            <w:webHidden/>
          </w:rPr>
          <w:t>64</w:t>
        </w:r>
        <w:r w:rsidR="00C50AE9">
          <w:rPr>
            <w:webHidden/>
          </w:rPr>
          <w:fldChar w:fldCharType="end"/>
        </w:r>
      </w:hyperlink>
    </w:p>
    <w:p w:rsidR="001F61B7">
      <w:pPr>
        <w:pStyle w:val="TOC1"/>
        <w:rPr>
          <w:rFonts w:asciiTheme="minorHAnsi" w:eastAsiaTheme="minorEastAsia" w:hAnsiTheme="minorHAnsi" w:cstheme="minorBidi"/>
          <w:caps w:val="0"/>
          <w:color w:val="auto"/>
          <w:sz w:val="21"/>
          <w:szCs w:val="22"/>
        </w:rPr>
      </w:pPr>
      <w:hyperlink w:anchor="_Toc80796282" w:history="1">
        <w:r w:rsidRPr="00BF1710" w:rsidR="00C50AE9">
          <w:rPr>
            <w:rStyle w:val="Hyperlink"/>
            <w:rFonts w:asciiTheme="minorEastAsia" w:hAnsiTheme="minorEastAsia" w:hint="eastAsia"/>
          </w:rPr>
          <w:t>十八、基金的信息披露</w:t>
        </w:r>
        <w:r w:rsidR="00C50AE9">
          <w:rPr>
            <w:webHidden/>
          </w:rPr>
          <w:tab/>
        </w:r>
        <w:r w:rsidR="00C50AE9">
          <w:rPr>
            <w:webHidden/>
          </w:rPr>
          <w:fldChar w:fldCharType="begin"/>
        </w:r>
        <w:r w:rsidR="00C50AE9">
          <w:rPr>
            <w:webHidden/>
          </w:rPr>
          <w:instrText xml:space="preserve"> PAGEREF _Toc80796282 \h </w:instrText>
        </w:r>
        <w:r w:rsidR="00C50AE9">
          <w:rPr>
            <w:webHidden/>
          </w:rPr>
          <w:fldChar w:fldCharType="separate"/>
        </w:r>
        <w:r w:rsidR="00DE3601">
          <w:rPr>
            <w:webHidden/>
          </w:rPr>
          <w:t>65</w:t>
        </w:r>
        <w:r w:rsidR="00C50AE9">
          <w:rPr>
            <w:webHidden/>
          </w:rPr>
          <w:fldChar w:fldCharType="end"/>
        </w:r>
      </w:hyperlink>
    </w:p>
    <w:p w:rsidR="001F61B7">
      <w:pPr>
        <w:pStyle w:val="TOC1"/>
        <w:rPr>
          <w:rFonts w:asciiTheme="minorHAnsi" w:eastAsiaTheme="minorEastAsia" w:hAnsiTheme="minorHAnsi" w:cstheme="minorBidi"/>
          <w:caps w:val="0"/>
          <w:color w:val="auto"/>
          <w:sz w:val="21"/>
          <w:szCs w:val="22"/>
        </w:rPr>
      </w:pPr>
      <w:hyperlink w:anchor="_Toc80796283" w:history="1">
        <w:r w:rsidRPr="00BF1710" w:rsidR="00C50AE9">
          <w:rPr>
            <w:rStyle w:val="Hyperlink"/>
            <w:rFonts w:asciiTheme="minorEastAsia" w:hAnsiTheme="minorEastAsia" w:hint="eastAsia"/>
          </w:rPr>
          <w:t>十九、风险揭示</w:t>
        </w:r>
        <w:r w:rsidR="00C50AE9">
          <w:rPr>
            <w:webHidden/>
          </w:rPr>
          <w:tab/>
        </w:r>
        <w:r w:rsidR="00C50AE9">
          <w:rPr>
            <w:webHidden/>
          </w:rPr>
          <w:fldChar w:fldCharType="begin"/>
        </w:r>
        <w:r w:rsidR="00C50AE9">
          <w:rPr>
            <w:webHidden/>
          </w:rPr>
          <w:instrText xml:space="preserve"> PAGEREF _Toc80796283 \h </w:instrText>
        </w:r>
        <w:r w:rsidR="00C50AE9">
          <w:rPr>
            <w:webHidden/>
          </w:rPr>
          <w:fldChar w:fldCharType="separate"/>
        </w:r>
        <w:r w:rsidR="00DE3601">
          <w:rPr>
            <w:webHidden/>
          </w:rPr>
          <w:t>71</w:t>
        </w:r>
        <w:r w:rsidR="00C50AE9">
          <w:rPr>
            <w:webHidden/>
          </w:rPr>
          <w:fldChar w:fldCharType="end"/>
        </w:r>
      </w:hyperlink>
    </w:p>
    <w:p w:rsidR="001F61B7">
      <w:pPr>
        <w:pStyle w:val="TOC1"/>
        <w:rPr>
          <w:rFonts w:asciiTheme="minorHAnsi" w:eastAsiaTheme="minorEastAsia" w:hAnsiTheme="minorHAnsi" w:cstheme="minorBidi"/>
          <w:caps w:val="0"/>
          <w:color w:val="auto"/>
          <w:sz w:val="21"/>
          <w:szCs w:val="22"/>
        </w:rPr>
      </w:pPr>
      <w:hyperlink w:anchor="_Toc80796284" w:history="1">
        <w:r w:rsidRPr="00BF1710" w:rsidR="00C50AE9">
          <w:rPr>
            <w:rStyle w:val="Hyperlink"/>
            <w:rFonts w:asciiTheme="minorEastAsia" w:hAnsiTheme="minorEastAsia" w:hint="eastAsia"/>
          </w:rPr>
          <w:t>二十、基金合同的终止与清算</w:t>
        </w:r>
        <w:r w:rsidR="00C50AE9">
          <w:rPr>
            <w:webHidden/>
          </w:rPr>
          <w:tab/>
        </w:r>
        <w:r w:rsidR="00C50AE9">
          <w:rPr>
            <w:webHidden/>
          </w:rPr>
          <w:fldChar w:fldCharType="begin"/>
        </w:r>
        <w:r w:rsidR="00C50AE9">
          <w:rPr>
            <w:webHidden/>
          </w:rPr>
          <w:instrText xml:space="preserve"> PAGEREF _Toc80796284 \h </w:instrText>
        </w:r>
        <w:r w:rsidR="00C50AE9">
          <w:rPr>
            <w:webHidden/>
          </w:rPr>
          <w:fldChar w:fldCharType="separate"/>
        </w:r>
        <w:r w:rsidR="00DE3601">
          <w:rPr>
            <w:webHidden/>
          </w:rPr>
          <w:t>80</w:t>
        </w:r>
        <w:r w:rsidR="00C50AE9">
          <w:rPr>
            <w:webHidden/>
          </w:rPr>
          <w:fldChar w:fldCharType="end"/>
        </w:r>
      </w:hyperlink>
    </w:p>
    <w:p w:rsidR="001F61B7">
      <w:pPr>
        <w:pStyle w:val="TOC1"/>
        <w:rPr>
          <w:rFonts w:asciiTheme="minorHAnsi" w:eastAsiaTheme="minorEastAsia" w:hAnsiTheme="minorHAnsi" w:cstheme="minorBidi"/>
          <w:caps w:val="0"/>
          <w:color w:val="auto"/>
          <w:sz w:val="21"/>
          <w:szCs w:val="22"/>
        </w:rPr>
      </w:pPr>
      <w:hyperlink w:anchor="_Toc80796285" w:history="1">
        <w:r w:rsidRPr="00BF1710" w:rsidR="00C50AE9">
          <w:rPr>
            <w:rStyle w:val="Hyperlink"/>
            <w:rFonts w:asciiTheme="minorEastAsia" w:hAnsiTheme="minorEastAsia" w:hint="eastAsia"/>
          </w:rPr>
          <w:t>二十一、基金合同的内容摘要</w:t>
        </w:r>
        <w:r w:rsidR="00C50AE9">
          <w:rPr>
            <w:webHidden/>
          </w:rPr>
          <w:tab/>
        </w:r>
        <w:r w:rsidR="00C50AE9">
          <w:rPr>
            <w:webHidden/>
          </w:rPr>
          <w:fldChar w:fldCharType="begin"/>
        </w:r>
        <w:r w:rsidR="00C50AE9">
          <w:rPr>
            <w:webHidden/>
          </w:rPr>
          <w:instrText xml:space="preserve"> PAGEREF _Toc80796285 \h </w:instrText>
        </w:r>
        <w:r w:rsidR="00C50AE9">
          <w:rPr>
            <w:webHidden/>
          </w:rPr>
          <w:fldChar w:fldCharType="separate"/>
        </w:r>
        <w:r w:rsidR="00DE3601">
          <w:rPr>
            <w:webHidden/>
          </w:rPr>
          <w:t>82</w:t>
        </w:r>
        <w:r w:rsidR="00C50AE9">
          <w:rPr>
            <w:webHidden/>
          </w:rPr>
          <w:fldChar w:fldCharType="end"/>
        </w:r>
      </w:hyperlink>
    </w:p>
    <w:p w:rsidR="001F61B7">
      <w:pPr>
        <w:pStyle w:val="TOC1"/>
        <w:rPr>
          <w:rFonts w:asciiTheme="minorHAnsi" w:eastAsiaTheme="minorEastAsia" w:hAnsiTheme="minorHAnsi" w:cstheme="minorBidi"/>
          <w:caps w:val="0"/>
          <w:color w:val="auto"/>
          <w:sz w:val="21"/>
          <w:szCs w:val="22"/>
        </w:rPr>
      </w:pPr>
      <w:hyperlink w:anchor="_Toc80796286" w:history="1">
        <w:r w:rsidRPr="00BF1710" w:rsidR="00C50AE9">
          <w:rPr>
            <w:rStyle w:val="Hyperlink"/>
            <w:rFonts w:asciiTheme="minorEastAsia" w:hAnsiTheme="minorEastAsia" w:hint="eastAsia"/>
          </w:rPr>
          <w:t>二十二、基金托管协议的内容摘要</w:t>
        </w:r>
        <w:r w:rsidR="00C50AE9">
          <w:rPr>
            <w:webHidden/>
          </w:rPr>
          <w:tab/>
        </w:r>
        <w:r w:rsidR="00C50AE9">
          <w:rPr>
            <w:webHidden/>
          </w:rPr>
          <w:fldChar w:fldCharType="begin"/>
        </w:r>
        <w:r w:rsidR="00C50AE9">
          <w:rPr>
            <w:webHidden/>
          </w:rPr>
          <w:instrText xml:space="preserve"> PAGEREF _Toc80796286 \h </w:instrText>
        </w:r>
        <w:r w:rsidR="00C50AE9">
          <w:rPr>
            <w:webHidden/>
          </w:rPr>
          <w:fldChar w:fldCharType="separate"/>
        </w:r>
        <w:r w:rsidR="00DE3601">
          <w:rPr>
            <w:webHidden/>
          </w:rPr>
          <w:t>104</w:t>
        </w:r>
        <w:r w:rsidR="00C50AE9">
          <w:rPr>
            <w:webHidden/>
          </w:rPr>
          <w:fldChar w:fldCharType="end"/>
        </w:r>
      </w:hyperlink>
    </w:p>
    <w:p w:rsidR="001F61B7">
      <w:pPr>
        <w:pStyle w:val="TOC1"/>
        <w:rPr>
          <w:rFonts w:asciiTheme="minorHAnsi" w:eastAsiaTheme="minorEastAsia" w:hAnsiTheme="minorHAnsi" w:cstheme="minorBidi"/>
          <w:caps w:val="0"/>
          <w:color w:val="auto"/>
          <w:sz w:val="21"/>
          <w:szCs w:val="22"/>
        </w:rPr>
      </w:pPr>
      <w:hyperlink w:anchor="_Toc80796287" w:history="1">
        <w:r w:rsidRPr="00BF1710" w:rsidR="00C50AE9">
          <w:rPr>
            <w:rStyle w:val="Hyperlink"/>
            <w:rFonts w:asciiTheme="minorEastAsia" w:hAnsiTheme="minorEastAsia" w:hint="eastAsia"/>
          </w:rPr>
          <w:t>二十三、对基金份额持有人的服务</w:t>
        </w:r>
        <w:r w:rsidR="00C50AE9">
          <w:rPr>
            <w:webHidden/>
          </w:rPr>
          <w:tab/>
        </w:r>
        <w:r w:rsidR="00C50AE9">
          <w:rPr>
            <w:webHidden/>
          </w:rPr>
          <w:fldChar w:fldCharType="begin"/>
        </w:r>
        <w:r w:rsidR="00C50AE9">
          <w:rPr>
            <w:webHidden/>
          </w:rPr>
          <w:instrText xml:space="preserve"> PAGEREF _Toc80796287 \h </w:instrText>
        </w:r>
        <w:r w:rsidR="00C50AE9">
          <w:rPr>
            <w:webHidden/>
          </w:rPr>
          <w:fldChar w:fldCharType="separate"/>
        </w:r>
        <w:r w:rsidR="00DE3601">
          <w:rPr>
            <w:webHidden/>
          </w:rPr>
          <w:t>115</w:t>
        </w:r>
        <w:r w:rsidR="00C50AE9">
          <w:rPr>
            <w:webHidden/>
          </w:rPr>
          <w:fldChar w:fldCharType="end"/>
        </w:r>
      </w:hyperlink>
    </w:p>
    <w:p w:rsidR="001F61B7">
      <w:pPr>
        <w:pStyle w:val="TOC1"/>
        <w:rPr>
          <w:rFonts w:asciiTheme="minorHAnsi" w:eastAsiaTheme="minorEastAsia" w:hAnsiTheme="minorHAnsi" w:cstheme="minorBidi"/>
          <w:caps w:val="0"/>
          <w:color w:val="auto"/>
          <w:sz w:val="21"/>
          <w:szCs w:val="22"/>
        </w:rPr>
      </w:pPr>
      <w:hyperlink w:anchor="_Toc80796288" w:history="1">
        <w:r w:rsidRPr="00BF1710" w:rsidR="00C50AE9">
          <w:rPr>
            <w:rStyle w:val="Hyperlink"/>
            <w:rFonts w:asciiTheme="minorEastAsia" w:hAnsiTheme="minorEastAsia" w:hint="eastAsia"/>
          </w:rPr>
          <w:t>二十四、其他应披露事项</w:t>
        </w:r>
        <w:r w:rsidR="00C50AE9">
          <w:rPr>
            <w:webHidden/>
          </w:rPr>
          <w:tab/>
        </w:r>
        <w:r w:rsidR="00C50AE9">
          <w:rPr>
            <w:webHidden/>
          </w:rPr>
          <w:fldChar w:fldCharType="begin"/>
        </w:r>
        <w:r w:rsidR="00C50AE9">
          <w:rPr>
            <w:webHidden/>
          </w:rPr>
          <w:instrText xml:space="preserve"> PAGEREF _Toc80796288 \h </w:instrText>
        </w:r>
        <w:r w:rsidR="00C50AE9">
          <w:rPr>
            <w:webHidden/>
          </w:rPr>
          <w:fldChar w:fldCharType="separate"/>
        </w:r>
        <w:r w:rsidR="00DE3601">
          <w:rPr>
            <w:webHidden/>
          </w:rPr>
          <w:t>116</w:t>
        </w:r>
        <w:r w:rsidR="00C50AE9">
          <w:rPr>
            <w:webHidden/>
          </w:rPr>
          <w:fldChar w:fldCharType="end"/>
        </w:r>
      </w:hyperlink>
    </w:p>
    <w:p w:rsidR="001F61B7">
      <w:pPr>
        <w:pStyle w:val="TOC1"/>
        <w:rPr>
          <w:rFonts w:asciiTheme="minorHAnsi" w:eastAsiaTheme="minorEastAsia" w:hAnsiTheme="minorHAnsi" w:cstheme="minorBidi"/>
          <w:caps w:val="0"/>
          <w:color w:val="auto"/>
          <w:sz w:val="21"/>
          <w:szCs w:val="22"/>
        </w:rPr>
      </w:pPr>
      <w:hyperlink w:anchor="_Toc80796289" w:history="1">
        <w:r w:rsidRPr="00BF1710" w:rsidR="00C50AE9">
          <w:rPr>
            <w:rStyle w:val="Hyperlink"/>
            <w:rFonts w:asciiTheme="minorEastAsia" w:hAnsiTheme="minorEastAsia" w:hint="eastAsia"/>
          </w:rPr>
          <w:t>二十五、招募说明书的存放及查阅方式</w:t>
        </w:r>
        <w:r w:rsidR="00C50AE9">
          <w:rPr>
            <w:webHidden/>
          </w:rPr>
          <w:tab/>
        </w:r>
        <w:r w:rsidR="00C50AE9">
          <w:rPr>
            <w:webHidden/>
          </w:rPr>
          <w:fldChar w:fldCharType="begin"/>
        </w:r>
        <w:r w:rsidR="00C50AE9">
          <w:rPr>
            <w:webHidden/>
          </w:rPr>
          <w:instrText xml:space="preserve"> PAGEREF _Toc80796289 \h </w:instrText>
        </w:r>
        <w:r w:rsidR="00C50AE9">
          <w:rPr>
            <w:webHidden/>
          </w:rPr>
          <w:fldChar w:fldCharType="separate"/>
        </w:r>
        <w:r w:rsidR="00DE3601">
          <w:rPr>
            <w:webHidden/>
          </w:rPr>
          <w:t>118</w:t>
        </w:r>
        <w:r w:rsidR="00C50AE9">
          <w:rPr>
            <w:webHidden/>
          </w:rPr>
          <w:fldChar w:fldCharType="end"/>
        </w:r>
      </w:hyperlink>
    </w:p>
    <w:p w:rsidR="001F61B7">
      <w:pPr>
        <w:pStyle w:val="TOC1"/>
        <w:rPr>
          <w:rFonts w:asciiTheme="minorHAnsi" w:eastAsiaTheme="minorEastAsia" w:hAnsiTheme="minorHAnsi" w:cstheme="minorBidi"/>
          <w:caps w:val="0"/>
          <w:color w:val="auto"/>
          <w:sz w:val="21"/>
          <w:szCs w:val="22"/>
        </w:rPr>
      </w:pPr>
      <w:hyperlink w:anchor="_Toc80796290" w:history="1">
        <w:r w:rsidRPr="00BF1710" w:rsidR="00C50AE9">
          <w:rPr>
            <w:rStyle w:val="Hyperlink"/>
            <w:rFonts w:asciiTheme="minorEastAsia" w:hAnsiTheme="minorEastAsia" w:hint="eastAsia"/>
          </w:rPr>
          <w:t>二十六、备查文件</w:t>
        </w:r>
        <w:r w:rsidR="00C50AE9">
          <w:rPr>
            <w:webHidden/>
          </w:rPr>
          <w:tab/>
        </w:r>
        <w:r w:rsidR="00C50AE9">
          <w:rPr>
            <w:webHidden/>
          </w:rPr>
          <w:fldChar w:fldCharType="begin"/>
        </w:r>
        <w:r w:rsidR="00C50AE9">
          <w:rPr>
            <w:webHidden/>
          </w:rPr>
          <w:instrText xml:space="preserve"> PAGEREF _Toc80796290 \h </w:instrText>
        </w:r>
        <w:r w:rsidR="00C50AE9">
          <w:rPr>
            <w:webHidden/>
          </w:rPr>
          <w:fldChar w:fldCharType="separate"/>
        </w:r>
        <w:r w:rsidR="00DE3601">
          <w:rPr>
            <w:webHidden/>
          </w:rPr>
          <w:t>119</w:t>
        </w:r>
        <w:r w:rsidR="00C50AE9">
          <w:rPr>
            <w:webHidden/>
          </w:rPr>
          <w:fldChar w:fldCharType="end"/>
        </w:r>
      </w:hyperlink>
    </w:p>
    <w:p w:rsidR="00BA4B87" w:rsidRPr="001F61B7" w:rsidP="00C42A18">
      <w:pPr>
        <w:tabs>
          <w:tab w:val="left" w:pos="3544"/>
        </w:tabs>
        <w:spacing w:line="360" w:lineRule="auto"/>
        <w:ind w:firstLine="560"/>
        <w:jc w:val="center"/>
        <w:rPr>
          <w:rFonts w:asciiTheme="minorEastAsia" w:eastAsiaTheme="minorEastAsia" w:hAnsiTheme="minorEastAsia"/>
          <w:b/>
          <w:caps/>
          <w:noProof/>
          <w:color w:val="000000" w:themeColor="text1"/>
          <w:sz w:val="24"/>
          <w:szCs w:val="28"/>
        </w:rPr>
      </w:pPr>
      <w:r w:rsidRPr="001F61B7">
        <w:rPr>
          <w:rFonts w:asciiTheme="minorEastAsia" w:eastAsiaTheme="minorEastAsia" w:hAnsiTheme="minorEastAsia"/>
          <w:b/>
          <w:caps/>
          <w:noProof/>
          <w:color w:val="000000" w:themeColor="text1"/>
          <w:sz w:val="24"/>
          <w:szCs w:val="28"/>
        </w:rPr>
        <w:fldChar w:fldCharType="end"/>
      </w:r>
    </w:p>
    <w:p w:rsidR="00AE70B8" w:rsidRPr="001F61B7" w:rsidP="00C42A18">
      <w:pPr>
        <w:tabs>
          <w:tab w:val="left" w:pos="3544"/>
        </w:tabs>
        <w:ind w:firstLine="560"/>
        <w:jc w:val="center"/>
        <w:rPr>
          <w:rFonts w:asciiTheme="minorEastAsia" w:eastAsiaTheme="minorEastAsia" w:hAnsiTheme="minorEastAsia"/>
          <w:b/>
          <w:caps/>
          <w:noProof/>
          <w:color w:val="000000" w:themeColor="text1"/>
          <w:sz w:val="24"/>
          <w:szCs w:val="28"/>
        </w:rPr>
        <w:sectPr w:rsidSect="00DE3601">
          <w:footerReference w:type="default" r:id="rId15"/>
          <w:type w:val="continuous"/>
          <w:pgSz w:w="11906" w:h="16838" w:code="9"/>
          <w:pgMar w:top="1440" w:right="1800" w:bottom="1440" w:left="1800" w:header="851" w:footer="992" w:gutter="0"/>
          <w:pgNumType w:fmt="upperRoman" w:start="1"/>
          <w:cols w:space="720"/>
          <w:docGrid w:type="lines" w:linePitch="317"/>
        </w:sectPr>
      </w:pPr>
    </w:p>
    <w:p w:rsidR="00BA4B87" w:rsidRPr="001F61B7" w:rsidP="00C42A18">
      <w:pPr>
        <w:pStyle w:val="1"/>
        <w:tabs>
          <w:tab w:val="left" w:pos="3544"/>
        </w:tabs>
        <w:spacing w:before="317" w:after="317" w:line="320" w:lineRule="exact"/>
        <w:ind w:firstLine="600"/>
        <w:rPr>
          <w:rFonts w:asciiTheme="minorEastAsia" w:eastAsiaTheme="minorEastAsia" w:hAnsiTheme="minorEastAsia"/>
          <w:b w:val="0"/>
          <w:color w:val="000000" w:themeColor="text1"/>
          <w:sz w:val="30"/>
        </w:rPr>
      </w:pPr>
      <w:bookmarkStart w:id="1" w:name="_Toc332373444"/>
      <w:bookmarkStart w:id="2" w:name="_Toc80796265"/>
      <w:r w:rsidRPr="001F61B7">
        <w:rPr>
          <w:rFonts w:asciiTheme="minorEastAsia" w:eastAsiaTheme="minorEastAsia" w:hAnsiTheme="minorEastAsia"/>
          <w:b w:val="0"/>
          <w:color w:val="000000" w:themeColor="text1"/>
          <w:sz w:val="30"/>
        </w:rPr>
        <w:t>一、</w:t>
      </w:r>
      <w:r w:rsidRPr="001F61B7">
        <w:rPr>
          <w:rFonts w:asciiTheme="minorEastAsia" w:eastAsiaTheme="minorEastAsia" w:hAnsiTheme="minorEastAsia"/>
          <w:b w:val="0"/>
          <w:color w:val="000000" w:themeColor="text1"/>
        </w:rPr>
        <w:t>绪  言</w:t>
      </w:r>
      <w:bookmarkEnd w:id="1"/>
      <w:bookmarkEnd w:id="2"/>
    </w:p>
    <w:p w:rsidR="00BA4B87" w:rsidRPr="001F61B7" w:rsidP="00C42A18">
      <w:pPr>
        <w:tabs>
          <w:tab w:val="left" w:pos="3544"/>
        </w:tabs>
        <w:spacing w:line="360" w:lineRule="auto"/>
        <w:ind w:firstLine="420" w:firstLineChars="200"/>
        <w:rPr>
          <w:rFonts w:asciiTheme="minorEastAsia" w:eastAsiaTheme="minorEastAsia" w:hAnsiTheme="minorEastAsia"/>
          <w:color w:val="000000" w:themeColor="text1"/>
        </w:rPr>
      </w:pPr>
    </w:p>
    <w:p w:rsidR="000C755A" w:rsidRPr="001F61B7" w:rsidP="00C42A18">
      <w:pPr>
        <w:tabs>
          <w:tab w:val="left" w:pos="3544"/>
        </w:tabs>
        <w:autoSpaceDE w:val="0"/>
        <w:autoSpaceDN w:val="0"/>
        <w:spacing w:line="360" w:lineRule="auto"/>
        <w:ind w:firstLine="420" w:firstLineChars="200"/>
        <w:rPr>
          <w:rFonts w:asciiTheme="minorEastAsia" w:eastAsiaTheme="minorEastAsia" w:hAnsiTheme="minorEastAsia"/>
          <w:color w:val="000000" w:themeColor="text1"/>
        </w:rPr>
      </w:pPr>
      <w:r w:rsidRPr="001F61B7">
        <w:rPr>
          <w:rFonts w:asciiTheme="minorEastAsia" w:eastAsiaTheme="minorEastAsia" w:hAnsiTheme="minorEastAsia"/>
          <w:color w:val="000000" w:themeColor="text1"/>
        </w:rPr>
        <w:t>本招募说明书依据《中华人民共和国证券投资基金法》（以下简称《基金法》）、《公开募集证券投资基金运作管理办法》（以下简称《运作办法》）、《证券投资基金销售管理办法》（以下简称《销售办法》）、《</w:t>
      </w:r>
      <w:r w:rsidRPr="001F61B7" w:rsidR="00296316">
        <w:rPr>
          <w:rFonts w:asciiTheme="minorEastAsia" w:eastAsiaTheme="minorEastAsia" w:hAnsiTheme="minorEastAsia"/>
          <w:color w:val="000000" w:themeColor="text1"/>
        </w:rPr>
        <w:t>公开募集</w:t>
      </w:r>
      <w:r w:rsidRPr="001F61B7">
        <w:rPr>
          <w:rFonts w:asciiTheme="minorEastAsia" w:eastAsiaTheme="minorEastAsia" w:hAnsiTheme="minorEastAsia"/>
          <w:color w:val="000000" w:themeColor="text1"/>
        </w:rPr>
        <w:t>证券投资基金信息披露管理办法》（以下简称《信息披露办法》）、《公开募集开放式证券投资基金流动性风险管理规定》（以下简称《</w:t>
      </w:r>
      <w:r w:rsidRPr="001F61B7" w:rsidR="00A77243">
        <w:rPr>
          <w:rFonts w:asciiTheme="minorEastAsia" w:eastAsiaTheme="minorEastAsia" w:hAnsiTheme="minorEastAsia"/>
          <w:color w:val="000000" w:themeColor="text1"/>
        </w:rPr>
        <w:t>流动性风险管理规定</w:t>
      </w:r>
      <w:r w:rsidRPr="001F61B7">
        <w:rPr>
          <w:rFonts w:asciiTheme="minorEastAsia" w:eastAsiaTheme="minorEastAsia" w:hAnsiTheme="minorEastAsia"/>
          <w:color w:val="000000" w:themeColor="text1"/>
        </w:rPr>
        <w:t>》）</w:t>
      </w:r>
      <w:r w:rsidRPr="001F61B7" w:rsidR="002B3A6F">
        <w:rPr>
          <w:rFonts w:asciiTheme="minorEastAsia" w:eastAsiaTheme="minorEastAsia" w:hAnsiTheme="minorEastAsia" w:hint="eastAsia"/>
          <w:color w:val="000000" w:themeColor="text1"/>
        </w:rPr>
        <w:t>、《公开募集证券投资基金运作指引第3号——指数基金指引》（以下简称《指数基金指引》）</w:t>
      </w:r>
      <w:r w:rsidRPr="001F61B7">
        <w:rPr>
          <w:rFonts w:asciiTheme="minorEastAsia" w:eastAsiaTheme="minorEastAsia" w:hAnsiTheme="minorEastAsia"/>
          <w:color w:val="000000" w:themeColor="text1"/>
        </w:rPr>
        <w:t>、《证券投资基金信息披露内容与格式准则第5号&lt;招募说明书的内容与格式&gt;》、《易方达</w:t>
      </w:r>
      <w:r w:rsidRPr="001F61B7" w:rsidR="00FD375F">
        <w:rPr>
          <w:rFonts w:asciiTheme="minorEastAsia" w:eastAsiaTheme="minorEastAsia" w:hAnsiTheme="minorEastAsia"/>
          <w:color w:val="000000" w:themeColor="text1"/>
        </w:rPr>
        <w:t>中证科技50</w:t>
      </w:r>
      <w:r w:rsidRPr="001F61B7">
        <w:rPr>
          <w:rFonts w:asciiTheme="minorEastAsia" w:eastAsiaTheme="minorEastAsia" w:hAnsiTheme="minorEastAsia"/>
          <w:color w:val="000000" w:themeColor="text1"/>
        </w:rPr>
        <w:t>交易型开放式指数证券投资基金基金合同》（以下简称基金合同）及其它有关规定等编写。</w:t>
      </w:r>
    </w:p>
    <w:p w:rsidR="000C755A" w:rsidRPr="001F61B7" w:rsidP="00C42A18">
      <w:pPr>
        <w:tabs>
          <w:tab w:val="left" w:pos="3544"/>
        </w:tabs>
        <w:autoSpaceDE w:val="0"/>
        <w:autoSpaceDN w:val="0"/>
        <w:spacing w:line="360" w:lineRule="auto"/>
        <w:ind w:firstLine="420" w:firstLineChars="200"/>
        <w:rPr>
          <w:rFonts w:asciiTheme="minorEastAsia" w:eastAsiaTheme="minorEastAsia" w:hAnsiTheme="minorEastAsia"/>
          <w:color w:val="000000" w:themeColor="text1"/>
        </w:rPr>
      </w:pPr>
      <w:r w:rsidRPr="001F61B7">
        <w:rPr>
          <w:rFonts w:asciiTheme="minorEastAsia" w:eastAsiaTheme="minorEastAsia" w:hAnsiTheme="minorEastAsia"/>
          <w:color w:val="000000" w:themeColor="text1"/>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BA4B87" w:rsidRPr="001F61B7" w:rsidP="00C42A18">
      <w:pPr>
        <w:tabs>
          <w:tab w:val="left" w:pos="3544"/>
        </w:tabs>
        <w:autoSpaceDE w:val="0"/>
        <w:autoSpaceDN w:val="0"/>
        <w:spacing w:line="360" w:lineRule="auto"/>
        <w:ind w:firstLine="420" w:firstLineChars="200"/>
        <w:rPr>
          <w:rStyle w:val="da"/>
          <w:rFonts w:asciiTheme="minorEastAsia" w:eastAsiaTheme="minorEastAsia" w:hAnsiTheme="minorEastAsia"/>
          <w:color w:val="000000" w:themeColor="text1"/>
        </w:rPr>
      </w:pPr>
      <w:r w:rsidRPr="001F61B7">
        <w:rPr>
          <w:rFonts w:asciiTheme="minorEastAsia" w:eastAsiaTheme="minorEastAsia" w:hAnsiTheme="minorEastAsia"/>
          <w:color w:val="000000" w:themeColor="text1"/>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r w:rsidRPr="001F61B7">
        <w:rPr>
          <w:rStyle w:val="da"/>
          <w:rFonts w:asciiTheme="minorEastAsia" w:eastAsiaTheme="minorEastAsia" w:hAnsiTheme="minorEastAsia"/>
          <w:color w:val="000000" w:themeColor="text1"/>
        </w:rPr>
        <w:t>。</w:t>
      </w:r>
    </w:p>
    <w:p w:rsidR="00E418C5" w:rsidRPr="001F61B7" w:rsidP="00C42A18">
      <w:pPr>
        <w:tabs>
          <w:tab w:val="left" w:pos="3544"/>
        </w:tabs>
        <w:spacing w:line="320" w:lineRule="exact"/>
        <w:ind w:firstLine="482"/>
        <w:rPr>
          <w:rFonts w:asciiTheme="minorEastAsia" w:eastAsiaTheme="minorEastAsia" w:hAnsiTheme="minorEastAsia"/>
          <w:color w:val="000000" w:themeColor="text1"/>
        </w:rPr>
        <w:sectPr w:rsidSect="00C94D2B">
          <w:footerReference w:type="default" r:id="rId16"/>
          <w:pgSz w:w="11906" w:h="16838" w:code="9"/>
          <w:pgMar w:top="1440" w:right="1800" w:bottom="1440" w:left="1800" w:header="851" w:footer="992" w:gutter="0"/>
          <w:pgNumType w:start="1"/>
          <w:cols w:space="720"/>
          <w:docGrid w:type="lines" w:linePitch="317"/>
        </w:sectPr>
      </w:pPr>
    </w:p>
    <w:p w:rsidR="00BA4B87" w:rsidRPr="001F61B7" w:rsidP="00C42A18">
      <w:pPr>
        <w:pStyle w:val="111"/>
        <w:pageBreakBefore w:val="0"/>
        <w:tabs>
          <w:tab w:val="left" w:pos="3544"/>
        </w:tabs>
        <w:spacing w:before="317" w:after="317" w:line="320" w:lineRule="exact"/>
        <w:ind w:firstLine="600"/>
        <w:rPr>
          <w:rFonts w:asciiTheme="minorEastAsia" w:eastAsiaTheme="minorEastAsia" w:hAnsiTheme="minorEastAsia"/>
          <w:color w:val="000000" w:themeColor="text1"/>
          <w:sz w:val="30"/>
        </w:rPr>
      </w:pPr>
      <w:bookmarkStart w:id="3" w:name="_Toc332373445"/>
      <w:bookmarkStart w:id="4" w:name="_Toc80796266"/>
      <w:r w:rsidRPr="001F61B7">
        <w:rPr>
          <w:rFonts w:asciiTheme="minorEastAsia" w:eastAsiaTheme="minorEastAsia" w:hAnsiTheme="minorEastAsia"/>
          <w:color w:val="000000" w:themeColor="text1"/>
          <w:sz w:val="30"/>
        </w:rPr>
        <w:t>二、释  义</w:t>
      </w:r>
      <w:bookmarkEnd w:id="3"/>
      <w:bookmarkEnd w:id="4"/>
    </w:p>
    <w:p w:rsidR="00473832"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Style w:val="da"/>
          <w:rFonts w:asciiTheme="minorEastAsia" w:eastAsiaTheme="minorEastAsia" w:hAnsiTheme="minorEastAsia"/>
          <w:color w:val="000000" w:themeColor="text1"/>
        </w:rPr>
        <w:t>本招募说明书中</w:t>
      </w:r>
      <w:r w:rsidRPr="001F61B7">
        <w:rPr>
          <w:rFonts w:asciiTheme="minorEastAsia" w:eastAsiaTheme="minorEastAsia" w:hAnsiTheme="minorEastAsia"/>
          <w:bCs/>
          <w:color w:val="000000" w:themeColor="text1"/>
          <w:szCs w:val="21"/>
        </w:rPr>
        <w:t>除非文意另有所指，下列词语</w:t>
      </w:r>
      <w:r w:rsidRPr="001F61B7" w:rsidR="006820BC">
        <w:rPr>
          <w:rFonts w:asciiTheme="minorEastAsia" w:eastAsiaTheme="minorEastAsia" w:hAnsiTheme="minorEastAsia"/>
          <w:bCs/>
          <w:color w:val="000000" w:themeColor="text1"/>
          <w:szCs w:val="21"/>
        </w:rPr>
        <w:t>或简称具</w:t>
      </w:r>
      <w:r w:rsidRPr="001F61B7">
        <w:rPr>
          <w:rFonts w:asciiTheme="minorEastAsia" w:eastAsiaTheme="minorEastAsia" w:hAnsiTheme="minorEastAsia"/>
          <w:bCs/>
          <w:color w:val="000000" w:themeColor="text1"/>
          <w:szCs w:val="21"/>
        </w:rPr>
        <w:t>有如下含义：</w:t>
      </w:r>
    </w:p>
    <w:p w:rsidR="00B7511E"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hint="eastAsia"/>
          <w:bCs/>
          <w:color w:val="000000" w:themeColor="text1"/>
          <w:szCs w:val="21"/>
        </w:rPr>
        <w:t>1、基金或本基金：指易方达中证科技50交易型开放式指数证券投资基金</w:t>
      </w:r>
    </w:p>
    <w:p w:rsidR="00B7511E"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hint="eastAsia"/>
          <w:bCs/>
          <w:color w:val="000000" w:themeColor="text1"/>
          <w:szCs w:val="21"/>
        </w:rPr>
        <w:t>2、基金管理人：指易方达基金管理有限公司</w:t>
      </w:r>
    </w:p>
    <w:p w:rsidR="00B7511E"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hint="eastAsia"/>
          <w:bCs/>
          <w:color w:val="000000" w:themeColor="text1"/>
          <w:szCs w:val="21"/>
        </w:rPr>
        <w:t>3、基金托管人：指中国银行股份有限公司</w:t>
      </w:r>
    </w:p>
    <w:p w:rsidR="00B7511E"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hint="eastAsia"/>
          <w:bCs/>
          <w:color w:val="000000" w:themeColor="text1"/>
          <w:szCs w:val="21"/>
        </w:rPr>
        <w:t>4、基金合同或本基金合同：指《易方达中证科技50交易型开放式指数证券投资基金基金合同》及对基金合同的任何有效修订和补充</w:t>
      </w:r>
    </w:p>
    <w:p w:rsidR="00B7511E"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hint="eastAsia"/>
          <w:bCs/>
          <w:color w:val="000000" w:themeColor="text1"/>
          <w:szCs w:val="21"/>
        </w:rPr>
        <w:t>5、托管协议：指基金管理人与基金托管人就本基金签订之《易方达中证科技50交易型开放式指数证券投资基金托管协议》及对该托管协议的任何有效修订和补充</w:t>
      </w:r>
    </w:p>
    <w:p w:rsidR="00B7511E"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hint="eastAsia"/>
          <w:bCs/>
          <w:color w:val="000000" w:themeColor="text1"/>
          <w:szCs w:val="21"/>
        </w:rPr>
        <w:t>6、招募说明书：指《易方达中证科技50交易型开放式指数证券投资基金招募说明书》及其更新</w:t>
      </w:r>
    </w:p>
    <w:p w:rsidR="00B7511E"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hint="eastAsia"/>
          <w:bCs/>
          <w:color w:val="000000" w:themeColor="text1"/>
          <w:szCs w:val="21"/>
        </w:rPr>
        <w:t>7、基金产品资料概要：指《易方达中证科技50交易型开放式指数证券投资基金基金产品资料概要》及其更新</w:t>
      </w:r>
    </w:p>
    <w:p w:rsidR="00B7511E"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hint="eastAsia"/>
          <w:bCs/>
          <w:color w:val="000000" w:themeColor="text1"/>
          <w:szCs w:val="21"/>
        </w:rPr>
        <w:t>8、基金份额发售公告：指《易方达中证科技50交易型开放式指数证券投资基金基金份额发售公告》</w:t>
      </w:r>
    </w:p>
    <w:p w:rsidR="00B7511E"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hint="eastAsia"/>
          <w:bCs/>
          <w:color w:val="000000" w:themeColor="text1"/>
          <w:szCs w:val="21"/>
        </w:rPr>
        <w:t>9、基金份额上市交易公告书：指《易方达中证科技50交易型开放式指数证券投资基金基金份额上市交易公告书》</w:t>
      </w:r>
    </w:p>
    <w:p w:rsidR="00B7511E"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hint="eastAsia"/>
          <w:bCs/>
          <w:color w:val="000000" w:themeColor="text1"/>
          <w:szCs w:val="21"/>
        </w:rPr>
        <w:t>10、交易型开放式证券投资基金：指《深圳证券交易所证券投资基金交易和申购赎回实施细则》定义的“交易型开放式基金”，简称“ETF（Exchange Traded Fund）”</w:t>
      </w:r>
    </w:p>
    <w:p w:rsidR="00B7511E"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hint="eastAsia"/>
          <w:bCs/>
          <w:color w:val="000000" w:themeColor="text1"/>
          <w:szCs w:val="21"/>
        </w:rPr>
        <w:t>11、标的指数：指中证科技50指数及其未来可能发生的变更</w:t>
      </w:r>
    </w:p>
    <w:p w:rsidR="00B7511E"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hint="eastAsia"/>
          <w:bCs/>
          <w:color w:val="000000" w:themeColor="text1"/>
          <w:szCs w:val="21"/>
        </w:rPr>
        <w:t>12、ETF联接基金：指将绝大部分基金财产投资于本基金，与本基金的投资目标类似，采用开放式运作方式的基金</w:t>
      </w:r>
    </w:p>
    <w:p w:rsidR="00B7511E"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hint="eastAsia"/>
          <w:bCs/>
          <w:color w:val="000000" w:themeColor="text1"/>
          <w:szCs w:val="21"/>
        </w:rPr>
        <w:t>13、法律法规：指中国现行有效并公布实施的法律、行政法规、规范性文件、司法解释、行政规章以及其他对基金合同当事人有约束力的决定、决议、通知等</w:t>
      </w:r>
    </w:p>
    <w:p w:rsidR="00B7511E"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hint="eastAsia"/>
          <w:bCs/>
          <w:color w:val="000000" w:themeColor="text1"/>
          <w:szCs w:val="21"/>
        </w:rPr>
        <w:t>14、《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w:t>
      </w:r>
      <w:r w:rsidRPr="001F61B7">
        <w:rPr>
          <w:rFonts w:asciiTheme="minorEastAsia" w:eastAsiaTheme="minorEastAsia" w:hAnsiTheme="minorEastAsia" w:hint="eastAsia"/>
          <w:bCs/>
          <w:color w:val="000000" w:themeColor="text1"/>
          <w:szCs w:val="21"/>
        </w:rPr>
        <w:t>的决定》修正的《中华人民共和国证券投资基金法》及颁布机关对其不时做出的修订</w:t>
      </w:r>
    </w:p>
    <w:p w:rsidR="00B7511E"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hint="eastAsia"/>
          <w:bCs/>
          <w:color w:val="000000" w:themeColor="text1"/>
          <w:szCs w:val="21"/>
        </w:rPr>
        <w:t>15、《销售办法》：指中国证监会2013年3月15日颁布、同年6月1日实施的《证券投资基金销售管理办法》及颁布机关对其不时做出的修订</w:t>
      </w:r>
    </w:p>
    <w:p w:rsidR="00B7511E"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hint="eastAsia"/>
          <w:bCs/>
          <w:color w:val="000000" w:themeColor="text1"/>
          <w:szCs w:val="21"/>
        </w:rPr>
        <w:t>16、《信息披露办法》：指中国证监会2019年7月26日颁布、同年9月1日实施的《公开募集证券投资基金信息披露管理办法》及颁布机关对其不时做出的修订</w:t>
      </w:r>
    </w:p>
    <w:p w:rsidR="00B7511E"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hint="eastAsia"/>
          <w:bCs/>
          <w:color w:val="000000" w:themeColor="text1"/>
          <w:szCs w:val="21"/>
        </w:rPr>
        <w:t>17、《运作办法》：指中国证监会2014年7月7日颁布、同年8月8日实施的《公开募集证券投资基金运作管理办法》及颁布机关对其不时做出的修订</w:t>
      </w:r>
    </w:p>
    <w:p w:rsidR="00D96025"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hint="eastAsia"/>
          <w:bCs/>
          <w:color w:val="000000" w:themeColor="text1"/>
          <w:szCs w:val="21"/>
        </w:rPr>
        <w:t>18、《流动性风险管理规定》：指中国证监会2017年8月31日颁布、同年10月1日实施的《公开募集开放式证券投资基金流动性风险管理规定》及颁布机关对其不时做出的修订</w:t>
      </w:r>
    </w:p>
    <w:p w:rsidR="00B7511E"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hint="eastAsia"/>
          <w:bCs/>
          <w:color w:val="000000" w:themeColor="text1"/>
          <w:szCs w:val="21"/>
        </w:rPr>
        <w:t>19、《指数基金指引》：指中国证监会2021年1月22日颁布、同年2月1日实施的《公开募集证券投资基金运作指引第3号——指数基金指引》及颁布机关对其不时做出的修订</w:t>
      </w:r>
    </w:p>
    <w:p w:rsidR="00B7511E"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bCs/>
          <w:color w:val="000000" w:themeColor="text1"/>
          <w:szCs w:val="21"/>
        </w:rPr>
        <w:t>20</w:t>
      </w:r>
      <w:r w:rsidRPr="001F61B7">
        <w:rPr>
          <w:rFonts w:asciiTheme="minorEastAsia" w:eastAsiaTheme="minorEastAsia" w:hAnsiTheme="minorEastAsia" w:hint="eastAsia"/>
          <w:bCs/>
          <w:color w:val="000000" w:themeColor="text1"/>
          <w:szCs w:val="21"/>
        </w:rPr>
        <w:t>、中国证监会：指中国证券监督管理委员会</w:t>
      </w:r>
    </w:p>
    <w:p w:rsidR="00B7511E"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hint="eastAsia"/>
          <w:bCs/>
          <w:color w:val="000000" w:themeColor="text1"/>
          <w:szCs w:val="21"/>
        </w:rPr>
        <w:t>2</w:t>
      </w:r>
      <w:r w:rsidRPr="001F61B7" w:rsidR="00CA5304">
        <w:rPr>
          <w:rFonts w:asciiTheme="minorEastAsia" w:eastAsiaTheme="minorEastAsia" w:hAnsiTheme="minorEastAsia" w:hint="eastAsia"/>
          <w:bCs/>
          <w:color w:val="000000" w:themeColor="text1"/>
          <w:szCs w:val="21"/>
        </w:rPr>
        <w:t>1</w:t>
      </w:r>
      <w:r w:rsidRPr="001F61B7">
        <w:rPr>
          <w:rFonts w:asciiTheme="minorEastAsia" w:eastAsiaTheme="minorEastAsia" w:hAnsiTheme="minorEastAsia" w:hint="eastAsia"/>
          <w:bCs/>
          <w:color w:val="000000" w:themeColor="text1"/>
          <w:szCs w:val="21"/>
        </w:rPr>
        <w:t>、银行业监督管理机构：指中国人民银行和/或中国银行保险监督管理委员会</w:t>
      </w:r>
    </w:p>
    <w:p w:rsidR="00B7511E"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hint="eastAsia"/>
          <w:bCs/>
          <w:color w:val="000000" w:themeColor="text1"/>
          <w:szCs w:val="21"/>
        </w:rPr>
        <w:t>2</w:t>
      </w:r>
      <w:r w:rsidRPr="001F61B7" w:rsidR="00CA5304">
        <w:rPr>
          <w:rFonts w:asciiTheme="minorEastAsia" w:eastAsiaTheme="minorEastAsia" w:hAnsiTheme="minorEastAsia" w:hint="eastAsia"/>
          <w:bCs/>
          <w:color w:val="000000" w:themeColor="text1"/>
          <w:szCs w:val="21"/>
        </w:rPr>
        <w:t>2</w:t>
      </w:r>
      <w:r w:rsidRPr="001F61B7">
        <w:rPr>
          <w:rFonts w:asciiTheme="minorEastAsia" w:eastAsiaTheme="minorEastAsia" w:hAnsiTheme="minorEastAsia" w:hint="eastAsia"/>
          <w:bCs/>
          <w:color w:val="000000" w:themeColor="text1"/>
          <w:szCs w:val="21"/>
        </w:rPr>
        <w:t>、基金合同当事人：指受基金合同约束，根据基金合同享有权利并承担义务的法律主体，包括基金管理人、基金托管人和基金份额持有人</w:t>
      </w:r>
    </w:p>
    <w:p w:rsidR="00B7511E"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hint="eastAsia"/>
          <w:bCs/>
          <w:color w:val="000000" w:themeColor="text1"/>
          <w:szCs w:val="21"/>
        </w:rPr>
        <w:t>2</w:t>
      </w:r>
      <w:r w:rsidRPr="001F61B7" w:rsidR="00CA5304">
        <w:rPr>
          <w:rFonts w:asciiTheme="minorEastAsia" w:eastAsiaTheme="minorEastAsia" w:hAnsiTheme="minorEastAsia" w:hint="eastAsia"/>
          <w:bCs/>
          <w:color w:val="000000" w:themeColor="text1"/>
          <w:szCs w:val="21"/>
        </w:rPr>
        <w:t>3</w:t>
      </w:r>
      <w:r w:rsidRPr="001F61B7">
        <w:rPr>
          <w:rFonts w:asciiTheme="minorEastAsia" w:eastAsiaTheme="minorEastAsia" w:hAnsiTheme="minorEastAsia" w:hint="eastAsia"/>
          <w:bCs/>
          <w:color w:val="000000" w:themeColor="text1"/>
          <w:szCs w:val="21"/>
        </w:rPr>
        <w:t>、个人投资者：指依据有关法律法规规定可投资于证券投资基金的自然人</w:t>
      </w:r>
    </w:p>
    <w:p w:rsidR="00B7511E"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hint="eastAsia"/>
          <w:bCs/>
          <w:color w:val="000000" w:themeColor="text1"/>
          <w:szCs w:val="21"/>
        </w:rPr>
        <w:t>2</w:t>
      </w:r>
      <w:r w:rsidRPr="001F61B7" w:rsidR="00CA5304">
        <w:rPr>
          <w:rFonts w:asciiTheme="minorEastAsia" w:eastAsiaTheme="minorEastAsia" w:hAnsiTheme="minorEastAsia" w:hint="eastAsia"/>
          <w:bCs/>
          <w:color w:val="000000" w:themeColor="text1"/>
          <w:szCs w:val="21"/>
        </w:rPr>
        <w:t>4</w:t>
      </w:r>
      <w:r w:rsidRPr="001F61B7">
        <w:rPr>
          <w:rFonts w:asciiTheme="minorEastAsia" w:eastAsiaTheme="minorEastAsia" w:hAnsiTheme="minorEastAsia" w:hint="eastAsia"/>
          <w:bCs/>
          <w:color w:val="000000" w:themeColor="text1"/>
          <w:szCs w:val="21"/>
        </w:rPr>
        <w:t>、机构投资者：指依法可以投资证券投资基金的、在中华人民共和国境内合法登记并存续或经有关政府部门批准设立并存续的企业法人、事业法人、社会团体或其他组织</w:t>
      </w:r>
    </w:p>
    <w:p w:rsidR="00B7511E"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hint="eastAsia"/>
          <w:bCs/>
          <w:color w:val="000000" w:themeColor="text1"/>
          <w:szCs w:val="21"/>
        </w:rPr>
        <w:t>2</w:t>
      </w:r>
      <w:r w:rsidRPr="001F61B7" w:rsidR="00CA5304">
        <w:rPr>
          <w:rFonts w:asciiTheme="minorEastAsia" w:eastAsiaTheme="minorEastAsia" w:hAnsiTheme="minorEastAsia" w:hint="eastAsia"/>
          <w:bCs/>
          <w:color w:val="000000" w:themeColor="text1"/>
          <w:szCs w:val="21"/>
        </w:rPr>
        <w:t>5</w:t>
      </w:r>
      <w:r w:rsidRPr="001F61B7">
        <w:rPr>
          <w:rFonts w:asciiTheme="minorEastAsia" w:eastAsiaTheme="minorEastAsia" w:hAnsiTheme="minorEastAsia" w:hint="eastAsia"/>
          <w:bCs/>
          <w:color w:val="000000" w:themeColor="text1"/>
          <w:szCs w:val="21"/>
        </w:rPr>
        <w:t>、合格境外机构投资者：指符合相关法律法规规定可以投资于在中国境内依法募集的证券投资基金的中国境外的机构投资者</w:t>
      </w:r>
    </w:p>
    <w:p w:rsidR="00B7511E"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hint="eastAsia"/>
          <w:bCs/>
          <w:color w:val="000000" w:themeColor="text1"/>
          <w:szCs w:val="21"/>
        </w:rPr>
        <w:t>2</w:t>
      </w:r>
      <w:r w:rsidRPr="001F61B7" w:rsidR="00CA5304">
        <w:rPr>
          <w:rFonts w:asciiTheme="minorEastAsia" w:eastAsiaTheme="minorEastAsia" w:hAnsiTheme="minorEastAsia" w:hint="eastAsia"/>
          <w:bCs/>
          <w:color w:val="000000" w:themeColor="text1"/>
          <w:szCs w:val="21"/>
        </w:rPr>
        <w:t>6</w:t>
      </w:r>
      <w:r w:rsidRPr="001F61B7">
        <w:rPr>
          <w:rFonts w:asciiTheme="minorEastAsia" w:eastAsiaTheme="minorEastAsia" w:hAnsiTheme="minorEastAsia" w:hint="eastAsia"/>
          <w:bCs/>
          <w:color w:val="000000" w:themeColor="text1"/>
          <w:szCs w:val="21"/>
        </w:rPr>
        <w:t>、人民币合格境外机构投资者：指按照《人民币合格境外机构投资者境内证券投资试点办法》及相关法律法规规定，运用来自境外的人民币资金进行境内证券投资的境外法人</w:t>
      </w:r>
    </w:p>
    <w:p w:rsidR="00B7511E"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hint="eastAsia"/>
          <w:bCs/>
          <w:color w:val="000000" w:themeColor="text1"/>
          <w:szCs w:val="21"/>
        </w:rPr>
        <w:t>2</w:t>
      </w:r>
      <w:r w:rsidRPr="001F61B7" w:rsidR="00CA5304">
        <w:rPr>
          <w:rFonts w:asciiTheme="minorEastAsia" w:eastAsiaTheme="minorEastAsia" w:hAnsiTheme="minorEastAsia" w:hint="eastAsia"/>
          <w:bCs/>
          <w:color w:val="000000" w:themeColor="text1"/>
          <w:szCs w:val="21"/>
        </w:rPr>
        <w:t>7</w:t>
      </w:r>
      <w:r w:rsidRPr="001F61B7">
        <w:rPr>
          <w:rFonts w:asciiTheme="minorEastAsia" w:eastAsiaTheme="minorEastAsia" w:hAnsiTheme="minorEastAsia" w:hint="eastAsia"/>
          <w:bCs/>
          <w:color w:val="000000" w:themeColor="text1"/>
          <w:szCs w:val="21"/>
        </w:rPr>
        <w:t>、投资人、投资者：指个人投资者、机构投资者、合格境外机构投资者和人民币合格境外机构投资者以及法律法规或中国证监会允许购买证券投资基金的其他投资人的合称</w:t>
      </w:r>
    </w:p>
    <w:p w:rsidR="00B7511E"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hint="eastAsia"/>
          <w:bCs/>
          <w:color w:val="000000" w:themeColor="text1"/>
          <w:szCs w:val="21"/>
        </w:rPr>
        <w:t>28、基金份额持有人：指依基金合同和招募说明书合法取得基金份额的投资人</w:t>
      </w:r>
    </w:p>
    <w:p w:rsidR="00B7511E"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hint="eastAsia"/>
          <w:bCs/>
          <w:color w:val="000000" w:themeColor="text1"/>
          <w:szCs w:val="21"/>
        </w:rPr>
        <w:t>29、基金销售业务：指基金管理人或销售机构宣传推介基金，发售基金份额，办理基金份额的申购、赎回、转换、转托管及定期定额投资等业务</w:t>
      </w:r>
    </w:p>
    <w:p w:rsidR="00B7511E"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hint="eastAsia"/>
          <w:bCs/>
          <w:color w:val="000000" w:themeColor="text1"/>
          <w:szCs w:val="21"/>
        </w:rPr>
        <w:t>30、销售机构：指易方达基金管理有限公司以及符合《销售办法》和中国证监会规定的其他条件，取得基金销售业务资格并与基金管理人签订了基金销售服务协议，办理基金销售</w:t>
      </w:r>
      <w:r w:rsidRPr="001F61B7">
        <w:rPr>
          <w:rFonts w:asciiTheme="minorEastAsia" w:eastAsiaTheme="minorEastAsia" w:hAnsiTheme="minorEastAsia" w:hint="eastAsia"/>
          <w:bCs/>
          <w:color w:val="000000" w:themeColor="text1"/>
          <w:szCs w:val="21"/>
        </w:rPr>
        <w:t>业务的机构，包括发售代理机构和办理申购赎回业务的申购赎回代理券商</w:t>
      </w:r>
    </w:p>
    <w:p w:rsidR="00B7511E"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hint="eastAsia"/>
          <w:bCs/>
          <w:color w:val="000000" w:themeColor="text1"/>
          <w:szCs w:val="21"/>
        </w:rPr>
        <w:t>31、发售代理机构：指符合《销售办法》和中国证监会规定的其他条件，由基金管理人指定的、在募集期间代理本基金发售业务的机构</w:t>
      </w:r>
    </w:p>
    <w:p w:rsidR="00B7511E"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hint="eastAsia"/>
          <w:bCs/>
          <w:color w:val="000000" w:themeColor="text1"/>
          <w:szCs w:val="21"/>
        </w:rPr>
        <w:t>32、申购赎回代理券商：指符合《销售办法》和中国证监会规定的其他条件，由基金管理人指定的、在《基金合同》生效后代理办理本基金申购、赎回业务的证劵公司，又称为代办证券公司</w:t>
      </w:r>
    </w:p>
    <w:p w:rsidR="00B7511E"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hint="eastAsia"/>
          <w:bCs/>
          <w:color w:val="000000" w:themeColor="text1"/>
          <w:szCs w:val="21"/>
        </w:rPr>
        <w:t>33、登记结算业务：指基金登记、存管、过户、清算和结算业务，具体内容包括投资人基金账户的建立和管理、基金份额注册登记、基金交易的确认、清算和结算、代理发放红利、建立并保管基金份额持有人名册等</w:t>
      </w:r>
    </w:p>
    <w:p w:rsidR="00B7511E"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hint="eastAsia"/>
          <w:bCs/>
          <w:color w:val="000000" w:themeColor="text1"/>
          <w:szCs w:val="21"/>
        </w:rPr>
        <w:t>34、登记结算机构：指办理登记结算业务的机构。本基金的登记结算机构是中国证券登记结算有限责任公司（简称“中国结算”）</w:t>
      </w:r>
    </w:p>
    <w:p w:rsidR="00B7511E"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hint="eastAsia"/>
          <w:bCs/>
          <w:color w:val="000000" w:themeColor="text1"/>
          <w:szCs w:val="21"/>
        </w:rPr>
        <w:t>35、基金账户：指登记结算机构为投资人开立的、记录其持有的、基金管理人所管理的基金份额余额及其变动情况的账户</w:t>
      </w:r>
    </w:p>
    <w:p w:rsidR="00B7511E"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hint="eastAsia"/>
          <w:bCs/>
          <w:color w:val="000000" w:themeColor="text1"/>
          <w:szCs w:val="21"/>
        </w:rPr>
        <w:t>36、基金合同生效日：指基金募集达到法律法规规定及基金合同规定的条件，基金管理人向中国证监会办理基金备案手续完毕，并获得中国证监会书面确认的日期</w:t>
      </w:r>
    </w:p>
    <w:p w:rsidR="00B7511E"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hint="eastAsia"/>
          <w:bCs/>
          <w:color w:val="000000" w:themeColor="text1"/>
          <w:szCs w:val="21"/>
        </w:rPr>
        <w:t>37、基金合同终止日：指基金合同规定的基金合同终止事由出现后，基金财产清算完毕，清算结果报中国证监会备案并予以公告的日期</w:t>
      </w:r>
    </w:p>
    <w:p w:rsidR="00B7511E"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hint="eastAsia"/>
          <w:bCs/>
          <w:color w:val="000000" w:themeColor="text1"/>
          <w:szCs w:val="21"/>
        </w:rPr>
        <w:t>38、基金募集期：指自基金份额发售之日起至发售结束之日止的期间，最长不得超过3个月</w:t>
      </w:r>
    </w:p>
    <w:p w:rsidR="00B7511E"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hint="eastAsia"/>
          <w:bCs/>
          <w:color w:val="000000" w:themeColor="text1"/>
          <w:szCs w:val="21"/>
        </w:rPr>
        <w:t>39、存续期：指基金合同生效日至终止日之间的不定期期限</w:t>
      </w:r>
    </w:p>
    <w:p w:rsidR="00B7511E"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hint="eastAsia"/>
          <w:bCs/>
          <w:color w:val="000000" w:themeColor="text1"/>
          <w:szCs w:val="21"/>
        </w:rPr>
        <w:t>40、日、天：指公历日</w:t>
      </w:r>
    </w:p>
    <w:p w:rsidR="00B7511E"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hint="eastAsia"/>
          <w:bCs/>
          <w:color w:val="000000" w:themeColor="text1"/>
          <w:szCs w:val="21"/>
        </w:rPr>
        <w:t>41、月：指公历月</w:t>
      </w:r>
    </w:p>
    <w:p w:rsidR="00B7511E"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hint="eastAsia"/>
          <w:bCs/>
          <w:color w:val="000000" w:themeColor="text1"/>
          <w:szCs w:val="21"/>
        </w:rPr>
        <w:t>42、工作日：指上海证券交易所、深圳证券交易所的交易日</w:t>
      </w:r>
    </w:p>
    <w:p w:rsidR="00B7511E"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hint="eastAsia"/>
          <w:bCs/>
          <w:color w:val="000000" w:themeColor="text1"/>
          <w:szCs w:val="21"/>
        </w:rPr>
        <w:t>43、T日：指销售机构在规定时间受理投资人申购、赎回或其他业务申请的开放日</w:t>
      </w:r>
    </w:p>
    <w:p w:rsidR="00B7511E"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hint="eastAsia"/>
          <w:bCs/>
          <w:color w:val="000000" w:themeColor="text1"/>
          <w:szCs w:val="21"/>
        </w:rPr>
        <w:t>44、T+n日：指自T日起第n个工作日(不包含T日) ，n为自然数</w:t>
      </w:r>
    </w:p>
    <w:p w:rsidR="00B7511E"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hint="eastAsia"/>
          <w:bCs/>
          <w:color w:val="000000" w:themeColor="text1"/>
          <w:szCs w:val="21"/>
        </w:rPr>
        <w:t>45、开放日：指为投资人办理基金份额申购、赎回或其他业务的工作日</w:t>
      </w:r>
    </w:p>
    <w:p w:rsidR="00B7511E"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hint="eastAsia"/>
          <w:bCs/>
          <w:color w:val="000000" w:themeColor="text1"/>
          <w:szCs w:val="21"/>
        </w:rPr>
        <w:t>46、开放时间：指开放日基金接受申购、赎回或其他交易的时间段</w:t>
      </w:r>
    </w:p>
    <w:p w:rsidR="00B7511E"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hint="eastAsia"/>
          <w:bCs/>
          <w:color w:val="000000" w:themeColor="text1"/>
          <w:szCs w:val="21"/>
        </w:rPr>
        <w:t>47、《业务规则》：指深圳证券交易所、登记结算机构、基金管理人及基金销售机构的相关业务规则及其不时做出的修订</w:t>
      </w:r>
    </w:p>
    <w:p w:rsidR="00B7511E"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hint="eastAsia"/>
          <w:bCs/>
          <w:color w:val="000000" w:themeColor="text1"/>
          <w:szCs w:val="21"/>
        </w:rPr>
        <w:t>48、认购：指在基金募集期内，投资人根据基金合同和招募说明书的规定申请购买基金份额的行为</w:t>
      </w:r>
    </w:p>
    <w:p w:rsidR="00B7511E"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hint="eastAsia"/>
          <w:bCs/>
          <w:color w:val="000000" w:themeColor="text1"/>
          <w:szCs w:val="21"/>
        </w:rPr>
        <w:t>49、发售：指在本基金募集期内，销售机构向投资人销售本基金基金份额的行为</w:t>
      </w:r>
    </w:p>
    <w:p w:rsidR="00B7511E"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hint="eastAsia"/>
          <w:bCs/>
          <w:color w:val="000000" w:themeColor="text1"/>
          <w:szCs w:val="21"/>
        </w:rPr>
        <w:t>50、申购：指基金合同生效后，投资人根据基金合同和招募说明书规定的条件，以基金合同规定的对价向基金管理人购买基金份额的行为</w:t>
      </w:r>
    </w:p>
    <w:p w:rsidR="00B7511E"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hint="eastAsia"/>
          <w:bCs/>
          <w:color w:val="000000" w:themeColor="text1"/>
          <w:szCs w:val="21"/>
        </w:rPr>
        <w:t>51、赎回：指基金合同生效后，基金份额持有人按基金合同和招募说明书规定的条件，要求将基金份额兑换为基金合同所规定对价的行为</w:t>
      </w:r>
    </w:p>
    <w:p w:rsidR="00B7511E"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hint="eastAsia"/>
          <w:bCs/>
          <w:color w:val="000000" w:themeColor="text1"/>
          <w:szCs w:val="21"/>
        </w:rPr>
        <w:t>52、申购赎回清单：指由基金管理人编制的用以公告申购对价、赎回对价等信息的文件</w:t>
      </w:r>
    </w:p>
    <w:p w:rsidR="00B7511E"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hint="eastAsia"/>
          <w:bCs/>
          <w:color w:val="000000" w:themeColor="text1"/>
          <w:szCs w:val="21"/>
        </w:rPr>
        <w:t>53、申购对价：指投资人申购基金份额时，按基金合同和招募说明书规定应交付的组合证券、现金替代、现金差额及其他对价</w:t>
      </w:r>
    </w:p>
    <w:p w:rsidR="00B7511E"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hint="eastAsia"/>
          <w:bCs/>
          <w:color w:val="000000" w:themeColor="text1"/>
          <w:szCs w:val="21"/>
        </w:rPr>
        <w:t>54、赎回对价：指基金份额持有人赎回基金份额时，基金管理人按基金合同和招募说明书规定应交付给赎回人的组合证券、现金替代、现金差额及其他对价</w:t>
      </w:r>
    </w:p>
    <w:p w:rsidR="00B7511E"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hint="eastAsia"/>
          <w:bCs/>
          <w:color w:val="000000" w:themeColor="text1"/>
          <w:szCs w:val="21"/>
        </w:rPr>
        <w:t>55、组合证券：指本基金标的指数所包含的全部或部分证券</w:t>
      </w:r>
    </w:p>
    <w:p w:rsidR="00B7511E"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hint="eastAsia"/>
          <w:bCs/>
          <w:color w:val="000000" w:themeColor="text1"/>
          <w:szCs w:val="21"/>
        </w:rPr>
        <w:t>56、现金替代：指申购、赎回过程中，投资人按基金合同和招募说明书的规定，用于替代组合证券中部分证券的一定数量的现金</w:t>
      </w:r>
    </w:p>
    <w:p w:rsidR="00B7511E"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hint="eastAsia"/>
          <w:bCs/>
          <w:color w:val="000000" w:themeColor="text1"/>
          <w:szCs w:val="21"/>
        </w:rPr>
        <w:t>57、现金差额：指最小申购、赎回单位的资产净值与按T日收盘价计算的最小申购、赎回单位中的组合证券市值和现金替代之差；投资者申购、赎回时应支付或应获得的现金差额根据最小申购、赎回单位对应的现金差额和申购或赎回的最小申购、赎回单位数量计算</w:t>
      </w:r>
    </w:p>
    <w:p w:rsidR="00B7511E"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hint="eastAsia"/>
          <w:bCs/>
          <w:color w:val="000000" w:themeColor="text1"/>
          <w:szCs w:val="21"/>
        </w:rPr>
        <w:t>58、预估现金部分：指由基金管理人估计并在T日申购赎回清单中公布的当日现金差额的估计值，预估现金部分由申购赎回代理券商（代办证券公司）预先冻结</w:t>
      </w:r>
    </w:p>
    <w:p w:rsidR="00B7511E"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hint="eastAsia"/>
          <w:bCs/>
          <w:color w:val="000000" w:themeColor="text1"/>
          <w:szCs w:val="21"/>
        </w:rPr>
        <w:t>59、最小申购、赎回单位：指本基金申购、赎回份额的最低数量，投资人申购、赎回的基金份额应为最小申购、赎回单位的整数倍</w:t>
      </w:r>
    </w:p>
    <w:p w:rsidR="00B7511E"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hint="eastAsia"/>
          <w:bCs/>
          <w:color w:val="000000" w:themeColor="text1"/>
          <w:szCs w:val="21"/>
        </w:rPr>
        <w:t>60、基金份额参考净值：指基金管理人或基金管理人委托的机构在开市后根据申购赎回清单和组合证券内各只证券的实时成交数据计算，并通过深圳证券交易所发布的基金份额参考净值，简称“IOPV”</w:t>
      </w:r>
    </w:p>
    <w:p w:rsidR="00B7511E"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hint="eastAsia"/>
          <w:bCs/>
          <w:color w:val="000000" w:themeColor="text1"/>
          <w:szCs w:val="21"/>
        </w:rPr>
        <w:t>61、基金份额折算：指基金管理人根据基金运作的需要，在基金资产净值不变的前提下，按照一定比例调整基金份额总额及基金份额净值</w:t>
      </w:r>
    </w:p>
    <w:p w:rsidR="00B7511E"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hint="eastAsia"/>
          <w:bCs/>
          <w:color w:val="000000" w:themeColor="text1"/>
          <w:szCs w:val="21"/>
        </w:rPr>
        <w:t>62、收益评价日：指基金管理人计算本基金累计报酬率与标的指数累计报酬率差额之基准日</w:t>
      </w:r>
    </w:p>
    <w:p w:rsidR="00B7511E"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hint="eastAsia"/>
          <w:bCs/>
          <w:color w:val="000000" w:themeColor="text1"/>
          <w:szCs w:val="21"/>
        </w:rPr>
        <w:t>63、基金累计报酬率：收益评价日基金份额净值（如上市后基金份额发生折算，则采用剔除上市后折算因素的基金份额净值）与基金上市前一深圳证券交易所交易日基金份额净值之比减去100%</w:t>
      </w:r>
    </w:p>
    <w:p w:rsidR="00B7511E"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hint="eastAsia"/>
          <w:bCs/>
          <w:color w:val="000000" w:themeColor="text1"/>
          <w:szCs w:val="21"/>
        </w:rPr>
        <w:t>64、标的指数同期累计报酬率：收益评价日标的指数收盘值与基金上市前一深圳证券交易所交易日标的指数收盘值之比减去100%</w:t>
      </w:r>
    </w:p>
    <w:p w:rsidR="00B7511E"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hint="eastAsia"/>
          <w:bCs/>
          <w:color w:val="000000" w:themeColor="text1"/>
          <w:szCs w:val="21"/>
        </w:rPr>
        <w:t>65、元：指人民币元</w:t>
      </w:r>
    </w:p>
    <w:p w:rsidR="00B7511E"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hint="eastAsia"/>
          <w:bCs/>
          <w:color w:val="000000" w:themeColor="text1"/>
          <w:szCs w:val="21"/>
        </w:rPr>
        <w:t>66、基金收益：指基金投资所得红利、股息、债券利息、买卖证券价差、银行存款利息、已实现的其他合法收入及因运用基金财产带来的成本和费用的节约</w:t>
      </w:r>
    </w:p>
    <w:p w:rsidR="00B7511E"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hint="eastAsia"/>
          <w:bCs/>
          <w:color w:val="000000" w:themeColor="text1"/>
          <w:szCs w:val="21"/>
        </w:rPr>
        <w:t>67、基金资产总值：指基金拥有的各类有价证券、银行存款本息、基金应收申购款及其他资产的价值总和</w:t>
      </w:r>
    </w:p>
    <w:p w:rsidR="00B7511E"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hint="eastAsia"/>
          <w:bCs/>
          <w:color w:val="000000" w:themeColor="text1"/>
          <w:szCs w:val="21"/>
        </w:rPr>
        <w:t>68、基金资产净值：指基金资产总值减去基金负债后的价值</w:t>
      </w:r>
    </w:p>
    <w:p w:rsidR="00B7511E"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hint="eastAsia"/>
          <w:bCs/>
          <w:color w:val="000000" w:themeColor="text1"/>
          <w:szCs w:val="21"/>
        </w:rPr>
        <w:t>69、基金份额净值：指计算日基金资产净值除以计算日基金份额总数</w:t>
      </w:r>
    </w:p>
    <w:p w:rsidR="00B7511E"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hint="eastAsia"/>
          <w:bCs/>
          <w:color w:val="000000" w:themeColor="text1"/>
          <w:szCs w:val="21"/>
        </w:rPr>
        <w:t>70、基金资产估值：指计算评估基金资产和负债的价值，以确定基金资产净值和基金份额净值的过程</w:t>
      </w:r>
    </w:p>
    <w:p w:rsidR="00B7511E"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hint="eastAsia"/>
          <w:bCs/>
          <w:color w:val="000000" w:themeColor="text1"/>
          <w:szCs w:val="21"/>
        </w:rPr>
        <w:t>71、指定媒介：指中国证监会指定的用以进行信息披露的全国性报刊及指定互联网网站（包括基金管理人网站、基金托管人网站、中国证监会基金电子披露网站）等媒介</w:t>
      </w:r>
    </w:p>
    <w:p w:rsidR="00B7511E"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hint="eastAsia"/>
          <w:bCs/>
          <w:color w:val="000000" w:themeColor="text1"/>
          <w:szCs w:val="21"/>
        </w:rPr>
        <w:t>72、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p w:rsidR="00B7511E"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hint="eastAsia"/>
          <w:bCs/>
          <w:color w:val="000000" w:themeColor="text1"/>
          <w:szCs w:val="21"/>
        </w:rPr>
        <w:t>73、转融通证券出借业务：指本基金以一定费率通过证券交易所综合业务平台向中国证券金融股份有限公司出借证券，中国证券金融股份有限公司到期归还所借证券及相应权益补偿并支付费用的业务</w:t>
      </w:r>
    </w:p>
    <w:p w:rsidR="006820BC"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hint="eastAsia"/>
          <w:bCs/>
          <w:color w:val="000000" w:themeColor="text1"/>
          <w:szCs w:val="21"/>
        </w:rPr>
        <w:t>74、</w:t>
      </w:r>
      <w:r w:rsidRPr="001F61B7" w:rsidR="00B7511E">
        <w:rPr>
          <w:rFonts w:asciiTheme="minorEastAsia" w:eastAsiaTheme="minorEastAsia" w:hAnsiTheme="minorEastAsia" w:hint="eastAsia"/>
          <w:bCs/>
          <w:color w:val="000000" w:themeColor="text1"/>
          <w:szCs w:val="21"/>
        </w:rPr>
        <w:t>不可抗力：指基金合同当事人不能预见、不能避免且不能克服的客观事件</w:t>
      </w:r>
    </w:p>
    <w:p w:rsidR="00BA4B87" w:rsidRPr="001F61B7" w:rsidP="00C42A18">
      <w:pPr>
        <w:pStyle w:val="111"/>
        <w:pageBreakBefore w:val="0"/>
        <w:tabs>
          <w:tab w:val="left" w:pos="3544"/>
        </w:tabs>
        <w:spacing w:before="317" w:after="317" w:line="320" w:lineRule="exact"/>
        <w:ind w:firstLine="640"/>
        <w:rPr>
          <w:rFonts w:asciiTheme="minorEastAsia" w:eastAsiaTheme="minorEastAsia" w:hAnsiTheme="minorEastAsia"/>
          <w:color w:val="000000" w:themeColor="text1"/>
          <w:sz w:val="30"/>
        </w:rPr>
      </w:pPr>
      <w:r w:rsidRPr="001F61B7">
        <w:rPr>
          <w:rFonts w:asciiTheme="minorEastAsia" w:eastAsiaTheme="minorEastAsia" w:hAnsiTheme="minorEastAsia"/>
          <w:color w:val="000000" w:themeColor="text1"/>
          <w:kern w:val="0"/>
        </w:rPr>
        <w:br w:type="column"/>
      </w:r>
      <w:bookmarkStart w:id="5" w:name="_Toc332373446"/>
      <w:bookmarkStart w:id="6" w:name="_Toc80796267"/>
      <w:r w:rsidRPr="001F61B7">
        <w:rPr>
          <w:rFonts w:asciiTheme="minorEastAsia" w:eastAsiaTheme="minorEastAsia" w:hAnsiTheme="minorEastAsia"/>
          <w:color w:val="000000" w:themeColor="text1"/>
          <w:sz w:val="30"/>
        </w:rPr>
        <w:t>三、基金管理人</w:t>
      </w:r>
      <w:bookmarkEnd w:id="5"/>
      <w:bookmarkEnd w:id="6"/>
    </w:p>
    <w:p w:rsidR="00FE6444"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bookmarkStart w:id="7" w:name="_Toc332373447"/>
      <w:bookmarkStart w:id="8" w:name="_Toc332373448"/>
      <w:bookmarkStart w:id="9" w:name="_Toc332373449"/>
      <w:r w:rsidRPr="001F61B7">
        <w:rPr>
          <w:rStyle w:val="da"/>
          <w:rFonts w:asciiTheme="minorEastAsia" w:eastAsiaTheme="minorEastAsia" w:hAnsiTheme="minorEastAsia"/>
          <w:color w:val="000000" w:themeColor="text1"/>
        </w:rPr>
        <w:t>（一）基金管理人基本情况</w:t>
      </w:r>
      <w:bookmarkEnd w:id="7"/>
    </w:p>
    <w:p w:rsidR="00137E13" w:rsidRPr="001F61B7" w:rsidP="00C42A18">
      <w:pPr>
        <w:tabs>
          <w:tab w:val="left" w:pos="3544"/>
        </w:tabs>
        <w:spacing w:line="360" w:lineRule="auto"/>
        <w:ind w:firstLine="420"/>
        <w:rPr>
          <w:rFonts w:asciiTheme="minorEastAsia" w:eastAsiaTheme="minorEastAsia" w:hAnsiTheme="minorEastAsia"/>
          <w:color w:val="000000" w:themeColor="text1"/>
        </w:rPr>
      </w:pPr>
      <w:r w:rsidRPr="001F61B7">
        <w:rPr>
          <w:rFonts w:asciiTheme="minorEastAsia" w:eastAsiaTheme="minorEastAsia" w:hAnsiTheme="minorEastAsia"/>
          <w:color w:val="000000" w:themeColor="text1"/>
        </w:rPr>
        <w:t>1、基金管理人：易方达基金管理有限公司</w:t>
      </w:r>
    </w:p>
    <w:p w:rsidR="00137E13"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bCs/>
          <w:color w:val="000000" w:themeColor="text1"/>
          <w:szCs w:val="21"/>
        </w:rPr>
        <w:t>注册地址：广东省珠海市横琴新区宝华路6号105室-42891（集中办公区）</w:t>
      </w:r>
    </w:p>
    <w:p w:rsidR="00137E13"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bCs/>
          <w:color w:val="000000" w:themeColor="text1"/>
          <w:szCs w:val="21"/>
        </w:rPr>
        <w:t>办公地址：广州市天河区珠江新城珠江东路30号广州银行大厦40-43楼</w:t>
      </w:r>
    </w:p>
    <w:p w:rsidR="00137E13"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bCs/>
          <w:color w:val="000000" w:themeColor="text1"/>
          <w:szCs w:val="21"/>
        </w:rPr>
        <w:t>设立日期：2001年4月17日</w:t>
      </w:r>
    </w:p>
    <w:p w:rsidR="00137E13"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bCs/>
          <w:color w:val="000000" w:themeColor="text1"/>
          <w:szCs w:val="21"/>
        </w:rPr>
        <w:t xml:space="preserve">法定代表人：刘晓艳 </w:t>
      </w:r>
    </w:p>
    <w:p w:rsidR="00137E13"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bCs/>
          <w:color w:val="000000" w:themeColor="text1"/>
          <w:szCs w:val="21"/>
        </w:rPr>
        <w:t>联系电话：400 881 8088</w:t>
      </w:r>
    </w:p>
    <w:p w:rsidR="00137E13"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bCs/>
          <w:color w:val="000000" w:themeColor="text1"/>
          <w:szCs w:val="21"/>
        </w:rPr>
        <w:t>联系人：李红枫</w:t>
      </w:r>
    </w:p>
    <w:p w:rsidR="00137E13" w:rsidRPr="001F61B7" w:rsidP="00C42A18">
      <w:pPr>
        <w:tabs>
          <w:tab w:val="left" w:pos="3544"/>
        </w:tabs>
        <w:spacing w:line="360" w:lineRule="auto"/>
        <w:ind w:firstLine="420" w:firstLineChars="200"/>
        <w:rPr>
          <w:rFonts w:asciiTheme="minorEastAsia" w:eastAsiaTheme="minorEastAsia" w:hAnsiTheme="minorEastAsia"/>
          <w:bCs/>
          <w:color w:val="000000" w:themeColor="text1"/>
        </w:rPr>
      </w:pPr>
      <w:r w:rsidRPr="001F61B7">
        <w:rPr>
          <w:rFonts w:asciiTheme="minorEastAsia" w:eastAsiaTheme="minorEastAsia" w:hAnsiTheme="minorEastAsia"/>
          <w:bCs/>
          <w:color w:val="000000" w:themeColor="text1"/>
          <w:szCs w:val="21"/>
        </w:rPr>
        <w:t>注册资本：13,244.2万元人民币</w:t>
      </w:r>
    </w:p>
    <w:p w:rsidR="00137E13" w:rsidRPr="001F61B7" w:rsidP="00C42A18">
      <w:pPr>
        <w:tabs>
          <w:tab w:val="left" w:pos="3544"/>
        </w:tabs>
        <w:spacing w:line="360" w:lineRule="auto"/>
        <w:ind w:firstLine="420" w:firstLineChars="200"/>
        <w:rPr>
          <w:rFonts w:asciiTheme="minorEastAsia" w:eastAsiaTheme="minorEastAsia" w:hAnsiTheme="minorEastAsia"/>
          <w:bCs/>
          <w:color w:val="000000" w:themeColor="text1"/>
        </w:rPr>
      </w:pPr>
      <w:r w:rsidRPr="001F61B7">
        <w:rPr>
          <w:rFonts w:asciiTheme="minorEastAsia" w:eastAsiaTheme="minorEastAsia" w:hAnsiTheme="minorEastAsia"/>
          <w:bCs/>
          <w:color w:val="000000" w:themeColor="text1"/>
          <w:szCs w:val="21"/>
        </w:rPr>
        <w:t>批准设立机关及文号：中国证券监督管理委员会，证监基金字[2001]4号</w:t>
      </w:r>
    </w:p>
    <w:p w:rsidR="00137E13"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bCs/>
          <w:color w:val="000000" w:themeColor="text1"/>
          <w:szCs w:val="21"/>
        </w:rPr>
        <w:t>经营范围：公开募集证券投资基金管理、基金销售、特定客户资产管理</w:t>
      </w:r>
    </w:p>
    <w:p w:rsidR="00137E13" w:rsidRPr="001F61B7" w:rsidP="00C42A18">
      <w:pPr>
        <w:pStyle w:val="PlainText"/>
        <w:tabs>
          <w:tab w:val="left" w:pos="3544"/>
        </w:tabs>
        <w:adjustRightInd w:val="0"/>
        <w:spacing w:line="360" w:lineRule="auto"/>
        <w:ind w:firstLine="480"/>
        <w:textAlignment w:val="baseline"/>
        <w:rPr>
          <w:rFonts w:asciiTheme="minorEastAsia" w:eastAsiaTheme="minorEastAsia" w:hAnsiTheme="minorEastAsia"/>
          <w:color w:val="000000" w:themeColor="text1"/>
          <w:kern w:val="0"/>
        </w:rPr>
      </w:pPr>
      <w:r w:rsidRPr="001F61B7">
        <w:rPr>
          <w:rFonts w:asciiTheme="minorEastAsia" w:eastAsiaTheme="minorEastAsia" w:hAnsiTheme="minorEastAsia"/>
          <w:color w:val="000000" w:themeColor="text1"/>
          <w:kern w:val="0"/>
        </w:rPr>
        <w:t>2、股权结构</w:t>
      </w:r>
    </w:p>
    <w:tbl>
      <w:tblPr>
        <w:tblW w:w="42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0"/>
        <w:gridCol w:w="2576"/>
      </w:tblGrid>
      <w:tr w:rsidTr="00B52B85">
        <w:tblPrEx>
          <w:tblW w:w="42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3210" w:type="pct"/>
            <w:tcBorders>
              <w:top w:val="single" w:sz="4" w:space="0" w:color="auto"/>
              <w:left w:val="single" w:sz="4" w:space="0" w:color="auto"/>
              <w:bottom w:val="single" w:sz="4" w:space="0" w:color="auto"/>
              <w:right w:val="single" w:sz="4" w:space="0" w:color="auto"/>
            </w:tcBorders>
            <w:vAlign w:val="center"/>
            <w:hideMark/>
          </w:tcPr>
          <w:p w:rsidR="00137E13" w:rsidRPr="001F61B7" w:rsidP="00C42A18">
            <w:pPr>
              <w:tabs>
                <w:tab w:val="left" w:pos="3544"/>
              </w:tabs>
              <w:spacing w:line="360" w:lineRule="auto"/>
              <w:ind w:firstLine="420" w:firstLineChars="200"/>
              <w:rPr>
                <w:rFonts w:asciiTheme="minorEastAsia" w:eastAsiaTheme="minorEastAsia" w:hAnsiTheme="minorEastAsia"/>
                <w:color w:val="000000" w:themeColor="text1"/>
              </w:rPr>
            </w:pPr>
            <w:r w:rsidRPr="001F61B7">
              <w:rPr>
                <w:rFonts w:asciiTheme="minorEastAsia" w:eastAsiaTheme="minorEastAsia" w:hAnsiTheme="minorEastAsia"/>
                <w:color w:val="000000" w:themeColor="text1"/>
              </w:rPr>
              <w:t>股东名称</w:t>
            </w:r>
          </w:p>
        </w:tc>
        <w:tc>
          <w:tcPr>
            <w:tcW w:w="1790" w:type="pct"/>
            <w:tcBorders>
              <w:top w:val="single" w:sz="4" w:space="0" w:color="auto"/>
              <w:left w:val="single" w:sz="4" w:space="0" w:color="auto"/>
              <w:bottom w:val="single" w:sz="4" w:space="0" w:color="auto"/>
              <w:right w:val="single" w:sz="4" w:space="0" w:color="auto"/>
            </w:tcBorders>
            <w:vAlign w:val="center"/>
            <w:hideMark/>
          </w:tcPr>
          <w:p w:rsidR="00137E13" w:rsidRPr="001F61B7" w:rsidP="00C42A18">
            <w:pPr>
              <w:tabs>
                <w:tab w:val="left" w:pos="3544"/>
              </w:tabs>
              <w:spacing w:line="360" w:lineRule="auto"/>
              <w:ind w:firstLine="420" w:firstLineChars="200"/>
              <w:rPr>
                <w:rFonts w:asciiTheme="minorEastAsia" w:eastAsiaTheme="minorEastAsia" w:hAnsiTheme="minorEastAsia"/>
                <w:color w:val="000000" w:themeColor="text1"/>
              </w:rPr>
            </w:pPr>
            <w:r w:rsidRPr="001F61B7">
              <w:rPr>
                <w:rFonts w:asciiTheme="minorEastAsia" w:eastAsiaTheme="minorEastAsia" w:hAnsiTheme="minorEastAsia"/>
                <w:color w:val="000000" w:themeColor="text1"/>
              </w:rPr>
              <w:t>出资比例</w:t>
            </w:r>
          </w:p>
        </w:tc>
      </w:tr>
      <w:tr w:rsidTr="00AE28CC">
        <w:tblPrEx>
          <w:tblW w:w="4222" w:type="pct"/>
          <w:jc w:val="center"/>
          <w:tblLook w:val="04A0"/>
        </w:tblPrEx>
        <w:trPr>
          <w:jc w:val="center"/>
        </w:trPr>
        <w:tc>
          <w:tcPr>
            <w:tcW w:w="3210" w:type="pct"/>
          </w:tcPr>
          <w:p w:rsidR="000D684F">
            <w:r>
              <w:t>广东粤财信托有限公司</w:t>
            </w:r>
          </w:p>
        </w:tc>
        <w:tc>
          <w:tcPr>
            <w:tcW w:w="1790" w:type="pct"/>
          </w:tcPr>
          <w:p w:rsidR="000D684F">
            <w:r>
              <w:t>22.6514</w:t>
            </w:r>
            <w:r>
              <w:t>％</w:t>
            </w:r>
          </w:p>
        </w:tc>
      </w:tr>
      <w:tr w:rsidTr="00AE28CC">
        <w:tblPrEx>
          <w:tblW w:w="4222" w:type="pct"/>
          <w:jc w:val="center"/>
          <w:tblLook w:val="04A0"/>
        </w:tblPrEx>
        <w:trPr>
          <w:jc w:val="center"/>
        </w:trPr>
        <w:tc>
          <w:tcPr>
            <w:tcW w:w="3210" w:type="pct"/>
          </w:tcPr>
          <w:p w:rsidR="000D684F">
            <w:r>
              <w:t>广发证券股份有限公司</w:t>
            </w:r>
          </w:p>
        </w:tc>
        <w:tc>
          <w:tcPr>
            <w:tcW w:w="1790" w:type="pct"/>
          </w:tcPr>
          <w:p w:rsidR="000D684F">
            <w:r>
              <w:t>22.6514</w:t>
            </w:r>
            <w:r>
              <w:t>％</w:t>
            </w:r>
          </w:p>
        </w:tc>
      </w:tr>
      <w:tr w:rsidTr="00AE28CC">
        <w:tblPrEx>
          <w:tblW w:w="4222" w:type="pct"/>
          <w:jc w:val="center"/>
          <w:tblLook w:val="04A0"/>
        </w:tblPrEx>
        <w:trPr>
          <w:jc w:val="center"/>
        </w:trPr>
        <w:tc>
          <w:tcPr>
            <w:tcW w:w="3210" w:type="pct"/>
          </w:tcPr>
          <w:p w:rsidR="000D684F">
            <w:r>
              <w:t>盈峰集团有限公司</w:t>
            </w:r>
          </w:p>
        </w:tc>
        <w:tc>
          <w:tcPr>
            <w:tcW w:w="1790" w:type="pct"/>
          </w:tcPr>
          <w:p w:rsidR="000D684F">
            <w:r>
              <w:t>22.6514</w:t>
            </w:r>
            <w:r>
              <w:t>％</w:t>
            </w:r>
          </w:p>
        </w:tc>
      </w:tr>
      <w:tr w:rsidTr="00AE28CC">
        <w:tblPrEx>
          <w:tblW w:w="4222" w:type="pct"/>
          <w:jc w:val="center"/>
          <w:tblLook w:val="04A0"/>
        </w:tblPrEx>
        <w:trPr>
          <w:jc w:val="center"/>
        </w:trPr>
        <w:tc>
          <w:tcPr>
            <w:tcW w:w="3210" w:type="pct"/>
          </w:tcPr>
          <w:p w:rsidR="000D684F">
            <w:r>
              <w:t>广东省广晟控股集团有限公司</w:t>
            </w:r>
          </w:p>
        </w:tc>
        <w:tc>
          <w:tcPr>
            <w:tcW w:w="1790" w:type="pct"/>
          </w:tcPr>
          <w:p w:rsidR="000D684F">
            <w:r>
              <w:t>15.1010</w:t>
            </w:r>
            <w:r>
              <w:t>％</w:t>
            </w:r>
          </w:p>
        </w:tc>
      </w:tr>
      <w:tr w:rsidTr="00AE28CC">
        <w:tblPrEx>
          <w:tblW w:w="4222" w:type="pct"/>
          <w:jc w:val="center"/>
          <w:tblLook w:val="04A0"/>
        </w:tblPrEx>
        <w:trPr>
          <w:jc w:val="center"/>
        </w:trPr>
        <w:tc>
          <w:tcPr>
            <w:tcW w:w="3210" w:type="pct"/>
          </w:tcPr>
          <w:p w:rsidR="000D684F">
            <w:r>
              <w:t>广州市广永国有资产经营有限公司</w:t>
            </w:r>
          </w:p>
        </w:tc>
        <w:tc>
          <w:tcPr>
            <w:tcW w:w="1790" w:type="pct"/>
          </w:tcPr>
          <w:p w:rsidR="000D684F">
            <w:r>
              <w:t>7.5505</w:t>
            </w:r>
            <w:r>
              <w:t>％</w:t>
            </w:r>
          </w:p>
        </w:tc>
      </w:tr>
      <w:tr w:rsidTr="00AE28CC">
        <w:tblPrEx>
          <w:tblW w:w="4222" w:type="pct"/>
          <w:jc w:val="center"/>
          <w:tblLook w:val="04A0"/>
        </w:tblPrEx>
        <w:trPr>
          <w:jc w:val="center"/>
        </w:trPr>
        <w:tc>
          <w:tcPr>
            <w:tcW w:w="3210" w:type="pct"/>
          </w:tcPr>
          <w:p w:rsidR="000D684F">
            <w:r>
              <w:t>珠海祺荣宝股权投资合伙企业（有限合伙）</w:t>
            </w:r>
          </w:p>
        </w:tc>
        <w:tc>
          <w:tcPr>
            <w:tcW w:w="1790" w:type="pct"/>
          </w:tcPr>
          <w:p w:rsidR="000D684F">
            <w:r>
              <w:t>1.5087</w:t>
            </w:r>
            <w:r>
              <w:t>％</w:t>
            </w:r>
          </w:p>
        </w:tc>
      </w:tr>
      <w:tr w:rsidTr="00AE28CC">
        <w:tblPrEx>
          <w:tblW w:w="4222" w:type="pct"/>
          <w:jc w:val="center"/>
          <w:tblLook w:val="04A0"/>
        </w:tblPrEx>
        <w:trPr>
          <w:jc w:val="center"/>
        </w:trPr>
        <w:tc>
          <w:tcPr>
            <w:tcW w:w="3210" w:type="pct"/>
          </w:tcPr>
          <w:p w:rsidR="000D684F">
            <w:r>
              <w:t>珠海祺泰宝股权投资合伙企业（有限合伙）</w:t>
            </w:r>
          </w:p>
        </w:tc>
        <w:tc>
          <w:tcPr>
            <w:tcW w:w="1790" w:type="pct"/>
          </w:tcPr>
          <w:p w:rsidR="000D684F">
            <w:r>
              <w:t>1.6205</w:t>
            </w:r>
            <w:r>
              <w:t>％</w:t>
            </w:r>
          </w:p>
        </w:tc>
      </w:tr>
      <w:tr w:rsidTr="00AE28CC">
        <w:tblPrEx>
          <w:tblW w:w="4222" w:type="pct"/>
          <w:jc w:val="center"/>
          <w:tblLook w:val="04A0"/>
        </w:tblPrEx>
        <w:trPr>
          <w:jc w:val="center"/>
        </w:trPr>
        <w:tc>
          <w:tcPr>
            <w:tcW w:w="3210" w:type="pct"/>
          </w:tcPr>
          <w:p w:rsidR="000D684F">
            <w:r>
              <w:t>珠海祺丰宝股权投资合伙企业（有限合伙）</w:t>
            </w:r>
          </w:p>
        </w:tc>
        <w:tc>
          <w:tcPr>
            <w:tcW w:w="1790" w:type="pct"/>
          </w:tcPr>
          <w:p w:rsidR="000D684F">
            <w:r>
              <w:t>1.5309</w:t>
            </w:r>
            <w:r>
              <w:t>％</w:t>
            </w:r>
          </w:p>
        </w:tc>
      </w:tr>
      <w:tr w:rsidTr="00AE28CC">
        <w:tblPrEx>
          <w:tblW w:w="4222" w:type="pct"/>
          <w:jc w:val="center"/>
          <w:tblLook w:val="04A0"/>
        </w:tblPrEx>
        <w:trPr>
          <w:jc w:val="center"/>
        </w:trPr>
        <w:tc>
          <w:tcPr>
            <w:tcW w:w="3210" w:type="pct"/>
          </w:tcPr>
          <w:p w:rsidR="000D684F">
            <w:r>
              <w:t>珠海聚莱康股权投资合伙企业（有限合伙）</w:t>
            </w:r>
          </w:p>
        </w:tc>
        <w:tc>
          <w:tcPr>
            <w:tcW w:w="1790" w:type="pct"/>
          </w:tcPr>
          <w:p w:rsidR="000D684F">
            <w:r>
              <w:t>1.7558</w:t>
            </w:r>
            <w:r>
              <w:t>％</w:t>
            </w:r>
          </w:p>
        </w:tc>
      </w:tr>
      <w:tr w:rsidTr="00AE28CC">
        <w:tblPrEx>
          <w:tblW w:w="4222" w:type="pct"/>
          <w:jc w:val="center"/>
          <w:tblLook w:val="04A0"/>
        </w:tblPrEx>
        <w:trPr>
          <w:jc w:val="center"/>
        </w:trPr>
        <w:tc>
          <w:tcPr>
            <w:tcW w:w="3210" w:type="pct"/>
          </w:tcPr>
          <w:p w:rsidR="000D684F">
            <w:r>
              <w:t>珠海聚宁康股权投资合伙企业（有限合伙）</w:t>
            </w:r>
          </w:p>
        </w:tc>
        <w:tc>
          <w:tcPr>
            <w:tcW w:w="1790" w:type="pct"/>
          </w:tcPr>
          <w:p w:rsidR="000D684F">
            <w:r>
              <w:t>1.4396</w:t>
            </w:r>
            <w:r>
              <w:t>％</w:t>
            </w:r>
          </w:p>
        </w:tc>
      </w:tr>
      <w:tr w:rsidTr="00AE28CC">
        <w:tblPrEx>
          <w:tblW w:w="4222" w:type="pct"/>
          <w:jc w:val="center"/>
          <w:tblLook w:val="04A0"/>
        </w:tblPrEx>
        <w:trPr>
          <w:jc w:val="center"/>
        </w:trPr>
        <w:tc>
          <w:tcPr>
            <w:tcW w:w="3210" w:type="pct"/>
          </w:tcPr>
          <w:p w:rsidR="000D684F">
            <w:r>
              <w:t>珠海聚弘康股权投资合伙企业（有限合伙）</w:t>
            </w:r>
          </w:p>
        </w:tc>
        <w:tc>
          <w:tcPr>
            <w:tcW w:w="1790" w:type="pct"/>
          </w:tcPr>
          <w:p w:rsidR="000D684F">
            <w:r>
              <w:t>1.5388</w:t>
            </w:r>
            <w:r>
              <w:t>％</w:t>
            </w:r>
          </w:p>
        </w:tc>
      </w:tr>
      <w:tr w:rsidTr="00AE28CC">
        <w:tblPrEx>
          <w:tblW w:w="4222" w:type="pct"/>
          <w:jc w:val="center"/>
          <w:tblLook w:val="04A0"/>
        </w:tblPrEx>
        <w:trPr>
          <w:jc w:val="center"/>
        </w:trPr>
        <w:tc>
          <w:tcPr>
            <w:tcW w:w="3210" w:type="pct"/>
          </w:tcPr>
          <w:p w:rsidR="000D684F">
            <w:r>
              <w:t>总</w:t>
            </w:r>
            <w:r>
              <w:t xml:space="preserve">   </w:t>
            </w:r>
            <w:r>
              <w:t>计</w:t>
            </w:r>
          </w:p>
        </w:tc>
        <w:tc>
          <w:tcPr>
            <w:tcW w:w="1790" w:type="pct"/>
          </w:tcPr>
          <w:p w:rsidR="000D684F">
            <w:r>
              <w:t>100%</w:t>
            </w:r>
          </w:p>
        </w:tc>
      </w:tr>
    </w:tbl>
    <w:p w:rsidR="00137E13" w:rsidRPr="001F61B7" w:rsidP="00C42A18">
      <w:pPr>
        <w:tabs>
          <w:tab w:val="left" w:pos="3544"/>
        </w:tabs>
        <w:spacing w:line="360" w:lineRule="auto"/>
        <w:ind w:firstLine="420"/>
        <w:rPr>
          <w:rFonts w:asciiTheme="minorEastAsia" w:eastAsiaTheme="minorEastAsia" w:hAnsiTheme="minorEastAsia"/>
          <w:color w:val="000000" w:themeColor="text1"/>
        </w:rPr>
      </w:pPr>
      <w:r w:rsidRPr="001F61B7">
        <w:rPr>
          <w:rFonts w:asciiTheme="minorEastAsia" w:eastAsiaTheme="minorEastAsia" w:hAnsiTheme="minorEastAsia"/>
          <w:color w:val="000000" w:themeColor="text1"/>
        </w:rPr>
        <w:t>二、主要人员情况</w:t>
      </w:r>
    </w:p>
    <w:p w:rsidR="00137E13" w:rsidRPr="001F61B7" w:rsidP="00C94D2B">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1、董事、监事及高级管理人员</w:t>
      </w:r>
    </w:p>
    <w:p w:rsidR="00C8455F" w:rsidRPr="008C1942" w:rsidP="00AE28CC">
      <w:pPr>
        <w:spacing w:line="360" w:lineRule="auto"/>
        <w:ind w:firstLine="420"/>
      </w:pPr>
      <w:r w:rsidRPr="00762CA9">
        <w:rPr>
          <w:rFonts w:hint="eastAsia"/>
        </w:rPr>
        <w:t>詹</w:t>
      </w:r>
      <w:r w:rsidRPr="00AF4220">
        <w:rPr>
          <w:rFonts w:hint="eastAsia"/>
        </w:rPr>
        <w:t>余引先生，工商管理博士。现任易方达基金管理有限公司董事长，易方达国际控股有限公司董事长。曾任中国平安保险公司证券部研究咨询室总经理助理，平安证券有限责任公司研究咨询部副总经理（主持工作）、国债部副总经理（主持工作）、资产管理部副总经理、资产管理部总经理，中国平安保险股份有限公司投资管理部副总经理（主持工作），全国社</w:t>
      </w:r>
      <w:r w:rsidRPr="00AF4220">
        <w:rPr>
          <w:rFonts w:hint="eastAsia"/>
        </w:rPr>
        <w:t>会保障基金理事会投资部资产配置处处长、投资部副主任、境外投资部主任、投资部主任、证券投资部主任。</w:t>
      </w:r>
    </w:p>
    <w:p w:rsidR="00C8455F" w:rsidP="00AE28CC">
      <w:pPr>
        <w:spacing w:line="360" w:lineRule="auto"/>
        <w:ind w:firstLine="420"/>
      </w:pPr>
      <w:r w:rsidRPr="00762CA9">
        <w:rPr>
          <w:rFonts w:hint="eastAsia"/>
        </w:rPr>
        <w:t>刘</w:t>
      </w:r>
      <w:r w:rsidRPr="00AF4220">
        <w:rPr>
          <w:rFonts w:hint="eastAsia"/>
        </w:rPr>
        <w:t>晓艳女士，经济学博士</w:t>
      </w:r>
      <w:r w:rsidRPr="0011043B">
        <w:rPr>
          <w:rFonts w:hint="eastAsia"/>
        </w:rPr>
        <w:t>、工商管理博士</w:t>
      </w:r>
      <w:r w:rsidRPr="00AF4220">
        <w:rPr>
          <w:rFonts w:hint="eastAsia"/>
        </w:rPr>
        <w:t>。现任易方达基金管理有限公司副董事长、总裁，易方达国际控股有限公司董事。曾任广发证券有限责任公司投资理财部副经理、基金经理</w:t>
      </w:r>
      <w:r w:rsidRPr="00AF4220">
        <w:t>、</w:t>
      </w:r>
      <w:r w:rsidRPr="00AF4220">
        <w:rPr>
          <w:rFonts w:hint="eastAsia"/>
        </w:rPr>
        <w:t>基金投资理财部副总经理，易方达基金管理有限公司督察员、监察部总经理、市场部总经理、总裁助理、副总裁、常务副总裁，易方达资产管理有限公司董事，易方达资产管理</w:t>
      </w:r>
      <w:r>
        <w:rPr>
          <w:rFonts w:hint="eastAsia"/>
        </w:rPr>
        <w:t>（香港）</w:t>
      </w:r>
      <w:r w:rsidRPr="00AF4220">
        <w:rPr>
          <w:rFonts w:hint="eastAsia"/>
        </w:rPr>
        <w:t>有限公司董事</w:t>
      </w:r>
      <w:r>
        <w:rPr>
          <w:rFonts w:hint="eastAsia"/>
        </w:rPr>
        <w:t>长</w:t>
      </w:r>
      <w:r w:rsidRPr="00AF4220">
        <w:rPr>
          <w:rFonts w:hint="eastAsia"/>
        </w:rPr>
        <w:t>。</w:t>
      </w:r>
    </w:p>
    <w:p w:rsidR="00C8455F" w:rsidRPr="001947A3" w:rsidP="00AE28CC">
      <w:pPr>
        <w:spacing w:line="360" w:lineRule="auto"/>
        <w:ind w:firstLine="420"/>
      </w:pPr>
      <w:r w:rsidRPr="001947A3">
        <w:rPr>
          <w:rFonts w:hint="eastAsia"/>
        </w:rPr>
        <w:t>周泽群先生，高级管理人员工商管理硕士（</w:t>
      </w:r>
      <w:r w:rsidRPr="001947A3">
        <w:rPr>
          <w:rFonts w:hint="eastAsia"/>
        </w:rPr>
        <w:t>EMBA</w:t>
      </w:r>
      <w:r w:rsidRPr="001947A3">
        <w:rPr>
          <w:rFonts w:hint="eastAsia"/>
        </w:rPr>
        <w:t>）。现任</w:t>
      </w:r>
      <w:r w:rsidRPr="00F24F85">
        <w:rPr>
          <w:rFonts w:hint="eastAsia"/>
        </w:rPr>
        <w:t>易方达</w:t>
      </w:r>
      <w:r w:rsidRPr="0076351E">
        <w:rPr>
          <w:rFonts w:hint="eastAsia"/>
        </w:rPr>
        <w:t>基金管理有限公司董事</w:t>
      </w:r>
      <w:r>
        <w:rPr>
          <w:rFonts w:hint="eastAsia"/>
        </w:rPr>
        <w:t>，</w:t>
      </w:r>
      <w:r w:rsidRPr="001947A3">
        <w:rPr>
          <w:rFonts w:hint="eastAsia"/>
        </w:rPr>
        <w:t>广东粤财投资控股有限公司董事、总经理</w:t>
      </w:r>
      <w:r>
        <w:rPr>
          <w:rFonts w:hint="eastAsia"/>
        </w:rPr>
        <w:t>，</w:t>
      </w:r>
      <w:r w:rsidRPr="00D67EF8">
        <w:rPr>
          <w:rFonts w:hint="eastAsia"/>
        </w:rPr>
        <w:t>中航通用飞机有限责任公司副董事长</w:t>
      </w:r>
      <w:r w:rsidRPr="001947A3">
        <w:rPr>
          <w:rFonts w:hint="eastAsia"/>
        </w:rPr>
        <w:t>。曾任珠海粤财实业有限公司董事长</w:t>
      </w:r>
      <w:r>
        <w:rPr>
          <w:rFonts w:hint="eastAsia"/>
        </w:rPr>
        <w:t>，</w:t>
      </w:r>
      <w:r w:rsidRPr="001947A3">
        <w:rPr>
          <w:rFonts w:hint="eastAsia"/>
        </w:rPr>
        <w:t>粤财控股（北京）有限公司总经理、董事长</w:t>
      </w:r>
      <w:r>
        <w:rPr>
          <w:rFonts w:hint="eastAsia"/>
        </w:rPr>
        <w:t>，</w:t>
      </w:r>
      <w:r w:rsidRPr="001947A3">
        <w:rPr>
          <w:rFonts w:hint="eastAsia"/>
        </w:rPr>
        <w:t>广东粤财投资控股有限公司总经理助理</w:t>
      </w:r>
      <w:r w:rsidRPr="004D1CDE">
        <w:rPr>
          <w:rFonts w:hint="eastAsia"/>
        </w:rPr>
        <w:t>、</w:t>
      </w:r>
      <w:r w:rsidRPr="001947A3">
        <w:rPr>
          <w:rFonts w:hint="eastAsia"/>
        </w:rPr>
        <w:t>办公室主任</w:t>
      </w:r>
      <w:r>
        <w:rPr>
          <w:rFonts w:hint="eastAsia"/>
        </w:rPr>
        <w:t>，</w:t>
      </w:r>
      <w:r w:rsidRPr="004D1CDE">
        <w:rPr>
          <w:rFonts w:hint="eastAsia"/>
        </w:rPr>
        <w:t>广东粤财投资控股有限公司</w:t>
      </w:r>
      <w:r w:rsidRPr="001947A3">
        <w:rPr>
          <w:rFonts w:hint="eastAsia"/>
        </w:rPr>
        <w:t>副总经理。</w:t>
      </w:r>
    </w:p>
    <w:p w:rsidR="00C8455F" w:rsidRPr="00AE28CC" w:rsidP="00AE28CC">
      <w:pPr>
        <w:spacing w:line="360" w:lineRule="auto"/>
        <w:ind w:firstLine="420"/>
        <w:rPr>
          <w:rFonts w:hAnsi="宋体"/>
          <w:kern w:val="0"/>
          <w:sz w:val="24"/>
        </w:rPr>
      </w:pPr>
      <w:r w:rsidRPr="00AE28CC">
        <w:rPr>
          <w:rFonts w:hint="eastAsia"/>
        </w:rPr>
        <w:t>秦力先生，经济学博士。现任易方达基金管理有限公司董事，广发证券股份有限公司执行董事、公司总监。曾任广发证券投资银行部常务副总经理、投资理财部总经理、资金营运部总经理、规划管理部总经理、投资部总经理、公司总经理助理、副总经理、常务副总经理，广东金融高新区股权交易中心有限公司董事长，广发证券资产管理（广东）有限公司董事长，广发控股（香港）有限公司董事长。</w:t>
      </w:r>
    </w:p>
    <w:p w:rsidR="00C8455F" w:rsidRPr="00AE28CC" w:rsidP="00AE28CC">
      <w:pPr>
        <w:spacing w:line="360" w:lineRule="auto"/>
        <w:ind w:firstLine="420"/>
        <w:rPr>
          <w:rFonts w:hAnsi="宋体"/>
          <w:kern w:val="0"/>
          <w:sz w:val="24"/>
        </w:rPr>
      </w:pPr>
      <w:r w:rsidRPr="00AE28CC">
        <w:rPr>
          <w:rFonts w:hint="eastAsia"/>
        </w:rPr>
        <w:t>苏斌先生，管理学硕士。现任易方达基金管理有限公司董事，盈峰集团有限公司董事、副总裁，盈合（深圳）机器人与自动化科技有限公司董事长，广东民营投资股份有限公司董事，宁波盈峰股权投资基金管理有限公司执行董事，北京华录百纳影视股份有限公司董事，南京柯勒复合材料有限责任公司总经理，盈峰环境科技集团股份有限公司董事，广州华艺国际拍卖有限公司董事。曾任中富证券有限责任公司投行部经理，鸿商产业控股集团有限公司产业投资部执行董事，名力中国成长基金合伙人，复星能源环境与智能装备集团总裁。</w:t>
      </w:r>
    </w:p>
    <w:p w:rsidR="00C8455F" w:rsidRPr="00AE28CC" w:rsidP="00AE28CC">
      <w:pPr>
        <w:spacing w:line="360" w:lineRule="auto"/>
        <w:ind w:firstLine="420"/>
        <w:rPr>
          <w:sz w:val="24"/>
        </w:rPr>
      </w:pPr>
      <w:r w:rsidRPr="00AE28CC">
        <w:rPr>
          <w:rFonts w:hint="eastAsia"/>
        </w:rPr>
        <w:t>潘文皓先生，经济学硕士。现任易方达基金管理有限公司董事，广东省广晟控股集团有限公司资本运营部副部长（主持工作），广东南粤银行股份有限公司董事，澳大利亚泛澳公司董事，广东省广晟财务有限公司董事。曾任劲牌有限公司资金管理部综合分析员，云南锡业股份有限公司证券部业务主管、证券事务代表、证券部主任、董事会秘书、副总经理、董事，云南华联锌铟股份有限公司董事会办公室主任、董事会秘书、财务总监，云锡（深圳）融资租赁公司董事长，西藏巨龙铜业有限公司董事会秘书、董事，广晟有色金属股份有限公司董事会秘书。</w:t>
      </w:r>
    </w:p>
    <w:p w:rsidR="00C8455F" w:rsidRPr="00AE28CC" w:rsidP="00AE28CC">
      <w:pPr>
        <w:spacing w:line="360" w:lineRule="auto"/>
        <w:ind w:firstLine="420"/>
        <w:rPr>
          <w:sz w:val="24"/>
        </w:rPr>
      </w:pPr>
      <w:r w:rsidRPr="00AE28CC">
        <w:rPr>
          <w:rFonts w:hint="eastAsia"/>
        </w:rPr>
        <w:t>忻榕女士，工商行政管理博士。现任易方达基金管理有限公司独立董事，中欧国际工商学院教授，复星旅游文化集团（开曼）有限公司独立董事，上海汇招信息技术有限公司董事，上海卡恩文化传播股份有限公司独立董事，上海智篆文化传播有限公司董事。曾任中科院研究生院讲师，美国加州高温橡胶公司市场部经理，美国加州大学讲师，美国南加州大学助理教授，香港科技大学副教授，中欧国际工商学院教授，瑞士洛桑管理学院教授。</w:t>
      </w:r>
    </w:p>
    <w:p w:rsidR="00C8455F" w:rsidRPr="00AE28CC" w:rsidP="00AE28CC">
      <w:pPr>
        <w:spacing w:line="360" w:lineRule="auto"/>
        <w:ind w:firstLine="420"/>
        <w:rPr>
          <w:sz w:val="24"/>
        </w:rPr>
      </w:pPr>
      <w:r w:rsidRPr="00AE28CC">
        <w:rPr>
          <w:rFonts w:hint="eastAsia"/>
        </w:rPr>
        <w:t>谭劲松先生，管理学博士（会计学）。现任易方达基金管理有限公司独立董事，中山大学管理学院教授，中远海运特种运输股份有限公司独立董事，上海莱士血液制品股份有限公司独立董事，广州环保投资集团有限公司外部董事，玉山银行（中国）有限公司独立董事，广东粤财金融租赁股份有限公司独立董事，中新广州知识城投资开发有限公司监事，美的置业控股有限公司独立非执行董事，中信证券华南股份有限公司独立董事，数字广东网络建设有限公司独立董事，广州农村商业银行股份有限公司独立董事，广州港集团有限公司外部董事。曾任邵阳市财会学校教师，中山大学管理学院助教、讲师、副教授，广州恒运企业集团股份有限公司独立董事，中国南方航空股份有限公司独立董事，珠海华发实业股份有限公司独立董事。</w:t>
      </w:r>
    </w:p>
    <w:p w:rsidR="00C8455F" w:rsidRPr="00AE28CC" w:rsidP="00AE28CC">
      <w:pPr>
        <w:spacing w:line="360" w:lineRule="auto"/>
        <w:ind w:firstLine="420"/>
        <w:rPr>
          <w:sz w:val="24"/>
        </w:rPr>
      </w:pPr>
      <w:r w:rsidRPr="00AE28CC">
        <w:rPr>
          <w:rFonts w:hint="eastAsia"/>
        </w:rPr>
        <w:t>王承志先生，法学博士。现任易方达基金管理有限公司独立董事，中山大学法学院副教授、博士生导师，广东省法学会国际法学研究会秘书长，中国国际私法学会理事，江苏凯强医学检验有限公司董事，广州茉莉数字科技集团股份有限公司独立董事，广东神朗律师事务所兼职律师，深圳市美之高科技股份有限公司独立董事。曾任美国天普大学法学院访问副教授。</w:t>
      </w:r>
    </w:p>
    <w:p w:rsidR="00C8455F" w:rsidRPr="00AE28CC" w:rsidP="00AE28CC">
      <w:pPr>
        <w:spacing w:line="360" w:lineRule="auto"/>
        <w:ind w:firstLine="420"/>
        <w:rPr>
          <w:sz w:val="24"/>
        </w:rPr>
      </w:pPr>
      <w:r w:rsidRPr="00AE28CC">
        <w:rPr>
          <w:rFonts w:hint="eastAsia"/>
        </w:rPr>
        <w:t>刘发宏先生，工商管理硕士。现任易方达基金管理有限公司监事会主席，广东粤财信托有限公司董事，广东省融资再担保有限公司监事长。曾任天津商学院团总支书记兼政治辅导员、人事处干部，海南省三亚国际奥林匹克射击娱乐中心会计主管，三英（珠海）纺织有限公司财务主管，珠海市饼业食品有限公司财务部长、审计部长，珠海市国弘财务顾问有限公司项目经理，珠海市迪威有限公司会计师，珠海市卡都九洲食品有限公司财务总监，珠海格力集团（派驻下属企业）财务总监，珠海市国资委（派驻国有企业）财务总监，珠海港置业开发有限公司总经理，酒鬼酒股份有限公司副总经理，广东粤财投资控股有限公司审计部总经理、党委办主任、人力资源部总经理，广东粤财信托有限公司党委委员、副书记。</w:t>
      </w:r>
    </w:p>
    <w:p w:rsidR="00C8455F" w:rsidRPr="00AE28CC" w:rsidP="00AE28CC">
      <w:pPr>
        <w:spacing w:line="360" w:lineRule="auto"/>
        <w:ind w:firstLine="420"/>
        <w:rPr>
          <w:sz w:val="24"/>
        </w:rPr>
      </w:pPr>
      <w:r w:rsidRPr="00AE28CC">
        <w:rPr>
          <w:rFonts w:hint="eastAsia"/>
        </w:rPr>
        <w:t>危勇先生，经济学博士。现任易方达基金管理有限公司监事，广州市广永国有资产经营有限公司董事长、总裁，广州赛马娱乐总公司董事，万联证券股份有限公司监事，广州银行</w:t>
      </w:r>
      <w:r w:rsidRPr="00AE28CC">
        <w:rPr>
          <w:rFonts w:hint="eastAsia"/>
        </w:rPr>
        <w:t>股份有限公司董事，广州广永投资管理有限公司董事长，广州广永股权投资基金管理有限公司董事长。曾任中国水利水电第八工程局三产实业开发部秘书，中国人民银行广州分行统计研究处干部、货币信贷管理处主任科员、营管部综合处助理调研员，广州金融控股集团有限公司行政办公室主任，广州金融资产交易中心有限公司董事，广州股权交易中心有限公司董事，广州广永丽都酒店有限公司董事长。</w:t>
      </w:r>
    </w:p>
    <w:p w:rsidR="00C8455F" w:rsidRPr="00AE28CC" w:rsidP="00AE28CC">
      <w:pPr>
        <w:spacing w:line="360" w:lineRule="auto"/>
        <w:ind w:firstLine="420"/>
        <w:rPr>
          <w:sz w:val="24"/>
        </w:rPr>
      </w:pPr>
      <w:r w:rsidRPr="00AE28CC">
        <w:rPr>
          <w:rFonts w:hint="eastAsia"/>
        </w:rPr>
        <w:t>廖智先生，经济学硕士。现任易方达基金管理有限公司监事、总裁助理、行政管理部总经理，广东粤财互联网金融股份有限公司董事。曾任广东证券股份有限公司基金部主管，易方达基金管理有限公司综合管理部副总经理、人力资源部副总经理、市场部总经理、互联网金融部总经理、综合管理部总经理。</w:t>
      </w:r>
    </w:p>
    <w:p w:rsidR="00C8455F" w:rsidRPr="00AE28CC" w:rsidP="00AE28CC">
      <w:pPr>
        <w:spacing w:line="360" w:lineRule="auto"/>
        <w:ind w:firstLine="420"/>
        <w:rPr>
          <w:sz w:val="24"/>
        </w:rPr>
      </w:pPr>
      <w:r w:rsidRPr="00AE28CC">
        <w:rPr>
          <w:rFonts w:hint="eastAsia"/>
        </w:rPr>
        <w:t>邓志盛先生，经济学研究生。现任易方达基金管理有限公司监事、行政总监、党群工作部总经理。曾任广东证监会信息部部长，中国证监会广州证管办机构二处处长，金鹰基金管理有限公司副总经理，易方达基金管理有限公司综合管理部总经理、董事会秘书。</w:t>
      </w:r>
    </w:p>
    <w:p w:rsidR="00C8455F" w:rsidRPr="00AE28CC" w:rsidP="00AE28CC">
      <w:pPr>
        <w:spacing w:line="360" w:lineRule="auto"/>
        <w:ind w:firstLine="420"/>
        <w:rPr>
          <w:sz w:val="24"/>
        </w:rPr>
      </w:pPr>
      <w:r w:rsidRPr="00AE28CC">
        <w:rPr>
          <w:rFonts w:hint="eastAsia"/>
        </w:rPr>
        <w:t>刘炜先生，工商管理硕士（</w:t>
      </w:r>
      <w:r w:rsidRPr="00AE28CC">
        <w:t>EMBA</w:t>
      </w:r>
      <w:r w:rsidRPr="00AE28CC">
        <w:rPr>
          <w:rFonts w:hint="eastAsia"/>
        </w:rPr>
        <w:t>）、法学硕士。现任易方达基金管理有限公司监事、人力资源部总经理。曾任易方达基金管理有限公司监察部监察员、上海分公司销售经理、市场部总经理助理、人力资源部副总经理、综合管理部总经理。</w:t>
      </w:r>
    </w:p>
    <w:p w:rsidR="00C8455F" w:rsidRPr="00AE28CC" w:rsidP="00AE28CC">
      <w:pPr>
        <w:spacing w:line="360" w:lineRule="auto"/>
        <w:ind w:firstLine="420"/>
        <w:rPr>
          <w:sz w:val="24"/>
        </w:rPr>
      </w:pPr>
      <w:r w:rsidRPr="00AE28CC">
        <w:rPr>
          <w:rFonts w:hint="eastAsia"/>
        </w:rPr>
        <w:t>马骏先生，工商管理硕士（</w:t>
      </w:r>
      <w:r w:rsidRPr="00AE28CC">
        <w:t>EMBA</w:t>
      </w:r>
      <w:r w:rsidRPr="00AE28CC">
        <w:rPr>
          <w:rFonts w:hint="eastAsia"/>
        </w:rPr>
        <w:t>）。现任易方达基金管理有限公司常务副总裁、固定收益投资决策委员会委员，易方达资产管理（香港）有限公司董事长、人民币合格境外投资者（</w:t>
      </w:r>
      <w:r w:rsidRPr="00AE28CC">
        <w:t>RQFII</w:t>
      </w:r>
      <w:r w:rsidRPr="00AE28CC">
        <w:rPr>
          <w:rFonts w:hint="eastAsia"/>
        </w:rPr>
        <w:t>）业务负责人、证券交易负责人员（</w:t>
      </w:r>
      <w:r w:rsidRPr="00AE28CC">
        <w:t>RO</w:t>
      </w:r>
      <w:r w:rsidRPr="00AE28CC">
        <w:rPr>
          <w:rFonts w:hint="eastAsia"/>
        </w:rPr>
        <w:t>）、就证券提供意见负责人员（</w:t>
      </w:r>
      <w:r w:rsidRPr="00AE28CC">
        <w:t>RO</w:t>
      </w:r>
      <w:r w:rsidRPr="00AE28CC">
        <w:rPr>
          <w:rFonts w:hint="eastAsia"/>
        </w:rPr>
        <w:t>）、提供资产管理负责人员（</w:t>
      </w:r>
      <w:r w:rsidRPr="00AE28CC">
        <w:t>RO</w:t>
      </w:r>
      <w:r w:rsidRPr="00AE28CC">
        <w:rPr>
          <w:rFonts w:hint="eastAsia"/>
        </w:rPr>
        <w:t>）、产品审批委员会委员。曾任君安证券有限公司营业部职员，深圳众大投资有限公司投资部副总经理，广发证券有限责任公司研究员，易方达基金管理有限公司基金经理、固定收益部总经理、现金管理部总经理、固定收益总部总经理、总裁助理、固定收益投资总监、固定收益首席投资官，易方达资产管理有限公司董事。</w:t>
      </w:r>
    </w:p>
    <w:p w:rsidR="00C8455F" w:rsidRPr="00AE28CC" w:rsidP="00AE28CC">
      <w:pPr>
        <w:spacing w:line="360" w:lineRule="auto"/>
        <w:ind w:firstLine="420"/>
        <w:rPr>
          <w:sz w:val="24"/>
        </w:rPr>
      </w:pPr>
      <w:r w:rsidRPr="00AE28CC">
        <w:rPr>
          <w:rFonts w:hint="eastAsia"/>
        </w:rPr>
        <w:t>吴欣荣先生，工学硕士。现任易方达基金管理有限公司常务副总裁、权益投资决策委员会委员，易方达资产管理（香港）有限公司董事。曾任易方达基金管理有限公司研究员、投资管理部经理、基金经理、基金投资部副总经理、研究部副总经理、研究部总经理、基金投资部总经理、公募基金投资部总经理、权益投资总部总经理、总裁助理、权益投资总监，易方达国际控股有限公司董事。</w:t>
      </w:r>
    </w:p>
    <w:p w:rsidR="00C8455F" w:rsidRPr="00AE28CC" w:rsidP="00AE28CC">
      <w:pPr>
        <w:spacing w:line="360" w:lineRule="auto"/>
        <w:ind w:firstLine="420"/>
        <w:rPr>
          <w:sz w:val="24"/>
        </w:rPr>
      </w:pPr>
      <w:r w:rsidRPr="00AE28CC">
        <w:rPr>
          <w:rFonts w:hint="eastAsia"/>
        </w:rPr>
        <w:t>陈彤先生，经济学博士。现任易方达基金管理有限公司副总经理级高级管理人员，易方达国际控股有限公司董事。曾任中国经济开发信托投资公司成都营业部研发部副经理、交易</w:t>
      </w:r>
      <w:r w:rsidRPr="00AE28CC">
        <w:rPr>
          <w:rFonts w:hint="eastAsia"/>
        </w:rPr>
        <w:t>部经理、研发部经理、证券总部研究部行业研究员，易方达基金管理有限公司市场拓展部主管、基金经理、市场部华东区大区销售经理、市场部总经理助理、南京分公司总经理、成都分公司总经理、上海分公司总经理、总裁助理、市场总监。</w:t>
      </w:r>
    </w:p>
    <w:p w:rsidR="00C8455F" w:rsidRPr="00AE28CC" w:rsidP="00AE28CC">
      <w:pPr>
        <w:spacing w:line="360" w:lineRule="auto"/>
        <w:ind w:firstLine="420"/>
        <w:rPr>
          <w:sz w:val="24"/>
        </w:rPr>
      </w:pPr>
      <w:r w:rsidRPr="00AE28CC">
        <w:rPr>
          <w:rFonts w:hint="eastAsia"/>
        </w:rPr>
        <w:t>张南女士，经济学博士。现任易方达基金管理有限公司督察长。曾任广东省经济贸易委员会主任科员、副处长，易方达基金管理有限公司市场拓展部副总经理、监察部总经理。</w:t>
      </w:r>
    </w:p>
    <w:p w:rsidR="00C8455F" w:rsidRPr="00AE28CC" w:rsidP="00AE28CC">
      <w:pPr>
        <w:spacing w:line="360" w:lineRule="auto"/>
        <w:ind w:firstLine="420"/>
        <w:rPr>
          <w:sz w:val="24"/>
        </w:rPr>
      </w:pPr>
      <w:r w:rsidRPr="00AE28CC">
        <w:rPr>
          <w:rFonts w:hint="eastAsia"/>
        </w:rPr>
        <w:t>范岳先生，工商管理硕士。现任易方达基金管理有限公司副总经理级高级管理人员。曾任中国工商银行深圳分行国际业务部科员，深圳证券登记结算公司办公室经理、国际部经理，深圳证券交易所北京中心助理主任、上市部副总监、基金债券部副总监、基金管理部总监，易方达资产管理（香港）有限公司董事。</w:t>
      </w:r>
    </w:p>
    <w:p w:rsidR="00C8455F" w:rsidRPr="00AE28CC" w:rsidP="00AE28CC">
      <w:pPr>
        <w:spacing w:line="360" w:lineRule="auto"/>
        <w:ind w:firstLine="420"/>
        <w:rPr>
          <w:rFonts w:hAnsi="Courier New"/>
        </w:rPr>
      </w:pPr>
      <w:r w:rsidRPr="00AE28CC">
        <w:rPr>
          <w:rFonts w:hint="eastAsia"/>
        </w:rPr>
        <w:t>高松凡先生，工商管理硕士（</w:t>
      </w:r>
      <w:r w:rsidRPr="00AE28CC">
        <w:t>EMBA</w:t>
      </w:r>
      <w:r w:rsidRPr="00AE28CC">
        <w:rPr>
          <w:rFonts w:hint="eastAsia"/>
        </w:rPr>
        <w:t>）。现任易方达基金管理有限公司</w:t>
      </w:r>
      <w:r>
        <w:rPr>
          <w:rFonts w:hint="eastAsia"/>
        </w:rPr>
        <w:t>副总经理级</w:t>
      </w:r>
      <w:r w:rsidRPr="00AE28CC">
        <w:rPr>
          <w:rFonts w:hint="eastAsia"/>
        </w:rPr>
        <w:t>高级管理人员。曾任招商银行总行人事部高级经理、企业年金中心副主任，浦东发展银行总行企业年金部总经理，长江养老保险公司首席市场总监，易方达基金管理有限公司养老金业务总监。</w:t>
      </w:r>
    </w:p>
    <w:p w:rsidR="00C8455F" w:rsidRPr="00AE28CC" w:rsidP="00AE28CC">
      <w:pPr>
        <w:spacing w:line="360" w:lineRule="auto"/>
        <w:ind w:firstLine="420"/>
        <w:rPr>
          <w:rFonts w:hAnsi="Courier New"/>
        </w:rPr>
      </w:pPr>
      <w:r w:rsidRPr="00AE28CC">
        <w:rPr>
          <w:rFonts w:hint="eastAsia"/>
        </w:rPr>
        <w:t>关秀霞女士，工商管理硕士、金融学硕士。现任易方达基金管理有限公司</w:t>
      </w:r>
      <w:r>
        <w:rPr>
          <w:rFonts w:hint="eastAsia"/>
        </w:rPr>
        <w:t>副总经理级</w:t>
      </w:r>
      <w:r w:rsidRPr="00AE28CC">
        <w:rPr>
          <w:rFonts w:hint="eastAsia"/>
        </w:rPr>
        <w:t>高级管理人员。曾任中国银行（香港）有限公司分析员，</w:t>
      </w:r>
      <w:r w:rsidRPr="00AE28CC">
        <w:t>Daniel Dennis</w:t>
      </w:r>
      <w:r w:rsidRPr="00AE28CC">
        <w:rPr>
          <w:rFonts w:hint="eastAsia"/>
        </w:rPr>
        <w:t>高级审计师，美国道富银行公司内部审计部高级审计师、美国共同基金业务风险经理、亚洲区（除日本外）机构服务主管、亚洲区（除日本外）副总裁、大中华地区董事总经理、大中华地区高级副总裁、中国区行长。</w:t>
      </w:r>
    </w:p>
    <w:p w:rsidR="00C8455F" w:rsidRPr="00AE28CC" w:rsidP="00AE28CC">
      <w:pPr>
        <w:spacing w:line="360" w:lineRule="auto"/>
        <w:ind w:firstLine="420"/>
        <w:rPr>
          <w:rFonts w:hAnsi="Courier New"/>
        </w:rPr>
      </w:pPr>
      <w:r w:rsidRPr="00AE28CC">
        <w:rPr>
          <w:rFonts w:hint="eastAsia"/>
        </w:rPr>
        <w:t>陈荣女士，经济学博士。</w:t>
      </w:r>
      <w:r w:rsidRPr="007F2278">
        <w:rPr>
          <w:rFonts w:hint="eastAsia"/>
        </w:rPr>
        <w:t>现任易方达基金管理有限公司</w:t>
      </w:r>
      <w:r>
        <w:rPr>
          <w:rFonts w:hint="eastAsia"/>
        </w:rPr>
        <w:t>副总经理级</w:t>
      </w:r>
      <w:r w:rsidRPr="007F2278">
        <w:rPr>
          <w:rFonts w:hint="eastAsia"/>
        </w:rPr>
        <w:t>高级管理人员</w:t>
      </w:r>
      <w:r w:rsidRPr="009D1B54">
        <w:rPr>
          <w:rFonts w:hint="eastAsia"/>
        </w:rPr>
        <w:t>，</w:t>
      </w:r>
      <w:r>
        <w:rPr>
          <w:rFonts w:hint="eastAsia"/>
        </w:rPr>
        <w:t>易方达国际控股有限公司董事，</w:t>
      </w:r>
      <w:r w:rsidRPr="009D1B54">
        <w:rPr>
          <w:rFonts w:hint="eastAsia"/>
        </w:rPr>
        <w:t>易方达资产管理（香港）有限公司董事，易方达资产管理有限公司监事，易方达</w:t>
      </w:r>
      <w:r>
        <w:rPr>
          <w:rFonts w:hint="eastAsia"/>
        </w:rPr>
        <w:t>私募基金管理（上海）有限</w:t>
      </w:r>
      <w:r w:rsidRPr="009D1B54">
        <w:rPr>
          <w:rFonts w:hint="eastAsia"/>
        </w:rPr>
        <w:t>公司监事。</w:t>
      </w:r>
      <w:r w:rsidRPr="007F2278">
        <w:rPr>
          <w:rFonts w:hint="eastAsia"/>
        </w:rPr>
        <w:t>曾任中国人民银行广州分行统计研究处科员</w:t>
      </w:r>
      <w:r>
        <w:rPr>
          <w:rFonts w:hint="eastAsia"/>
        </w:rPr>
        <w:t>，</w:t>
      </w:r>
      <w:r w:rsidRPr="007F2278">
        <w:rPr>
          <w:rFonts w:hint="eastAsia"/>
        </w:rPr>
        <w:t>易方达基金管理有限公司运作支持部经理、核算部总经理助理、核算部副总经理、核算部总经理、投资风险管理部总经理、</w:t>
      </w:r>
      <w:r w:rsidRPr="002C736E">
        <w:rPr>
          <w:rFonts w:hint="eastAsia"/>
        </w:rPr>
        <w:t>总裁助理、董事会秘书、公</w:t>
      </w:r>
      <w:r w:rsidRPr="007F2278">
        <w:rPr>
          <w:rFonts w:hint="eastAsia"/>
        </w:rPr>
        <w:t>司财务中心主任。</w:t>
      </w:r>
    </w:p>
    <w:p w:rsidR="00C8455F" w:rsidRPr="007F2278" w:rsidP="00AE28CC">
      <w:pPr>
        <w:spacing w:line="360" w:lineRule="auto"/>
        <w:ind w:firstLine="420"/>
      </w:pPr>
      <w:r w:rsidRPr="007F2278">
        <w:rPr>
          <w:rFonts w:hint="eastAsia"/>
        </w:rPr>
        <w:t>张坤先生，理学硕士。现任易方达基金管理有限公司</w:t>
      </w:r>
      <w:r>
        <w:rPr>
          <w:rFonts w:hint="eastAsia"/>
        </w:rPr>
        <w:t>副总经理级</w:t>
      </w:r>
      <w:r w:rsidRPr="007F2278">
        <w:rPr>
          <w:rFonts w:hint="eastAsia"/>
        </w:rPr>
        <w:t>高级管理人员、权益投资决策委员会委员、基金经理。曾任易方达基金管理有限公司行业研究员、基金经理助理、研究部总经理助理。</w:t>
      </w:r>
    </w:p>
    <w:p w:rsidR="00C8455F" w:rsidRPr="00AE28CC" w:rsidP="00AE28CC">
      <w:pPr>
        <w:spacing w:line="360" w:lineRule="auto"/>
        <w:ind w:firstLine="420"/>
      </w:pPr>
      <w:r w:rsidRPr="00AE28CC">
        <w:rPr>
          <w:rFonts w:hint="eastAsia"/>
        </w:rPr>
        <w:t>胡剑先生，经济学硕士。现任易方达基金管理有限公司副总经理级高级管理人员、固定收益投资业务总部总经理、固定收益投资决策委员会委员、基金经理。曾任易方达基金管理有限公司债券研究员、基金经理助理、固定收益研究部负责人、固定收益总部总经理助理、</w:t>
      </w:r>
      <w:r w:rsidRPr="00AE28CC">
        <w:rPr>
          <w:rFonts w:hint="eastAsia"/>
        </w:rPr>
        <w:t>固定收益研究部总经理、固定收益投资部总经理。</w:t>
      </w:r>
    </w:p>
    <w:p w:rsidR="00C8455F" w:rsidRPr="00AE28CC" w:rsidP="00AE28CC">
      <w:pPr>
        <w:spacing w:line="360" w:lineRule="auto"/>
        <w:ind w:firstLine="420"/>
      </w:pPr>
      <w:r w:rsidRPr="00AE28CC">
        <w:rPr>
          <w:rFonts w:hint="eastAsia"/>
        </w:rPr>
        <w:t>张清华先生，物理学硕士。现任易方达基金管理有限公司副总经理级高级管理人员、多资产投资业务总部总经理、固定收益投资决策委员会委员、基金经理。曾任晨星资讯（深圳）有限公司数量分析师，中信证券股份有限公司研究员，易方达基金管理有限公司投资经理、固定收益基金投资部总经理、混合资产投资部总经理。</w:t>
      </w:r>
    </w:p>
    <w:p w:rsidR="00C8455F" w:rsidRPr="00AE28CC" w:rsidP="00AE28CC">
      <w:pPr>
        <w:spacing w:line="360" w:lineRule="auto"/>
        <w:ind w:firstLine="420"/>
      </w:pPr>
      <w:r w:rsidRPr="00AE28CC">
        <w:rPr>
          <w:rFonts w:hint="eastAsia"/>
        </w:rPr>
        <w:t>冯波先生，经济学硕士。现任易方达基金管理有限公司副总经理级高级管理人员、研究部总经理、权益投资决策委员会委员、基金经理。曾任广东发展银行行员，易方达基金管理有限公司市场拓展部研究员、市场拓展部副经理、市场部大区销售经理、北京分公司副总经理、行业研究员、基金经理助理、研究部总经理助理、研究部副总经理。</w:t>
      </w:r>
    </w:p>
    <w:p w:rsidR="00C8455F" w:rsidRPr="00AE28CC" w:rsidP="00AE28CC">
      <w:pPr>
        <w:spacing w:line="360" w:lineRule="auto"/>
        <w:ind w:firstLine="420"/>
      </w:pPr>
      <w:r w:rsidRPr="00AE28CC">
        <w:rPr>
          <w:rFonts w:hint="eastAsia"/>
        </w:rPr>
        <w:t>陈皓先生，管理学硕士。现任易方达基金管理有限公司副总经理级高级管理人员、投资一部总经理、权益投资决策委员会委员、基金经理。曾任易方达基金管理有限公司行业研究员、基金经理助理、投资一部总经理助理、投资一部副总经理、投资经理。</w:t>
      </w:r>
    </w:p>
    <w:p w:rsidR="00C8455F" w:rsidRPr="00AE28CC" w:rsidP="00AE28CC">
      <w:pPr>
        <w:spacing w:line="360" w:lineRule="auto"/>
        <w:ind w:firstLine="420"/>
      </w:pPr>
      <w:r w:rsidRPr="00AE28CC">
        <w:rPr>
          <w:rFonts w:hint="eastAsia"/>
        </w:rPr>
        <w:t>娄利舟女士，工商管理硕士（</w:t>
      </w:r>
      <w:r w:rsidRPr="00AE28CC">
        <w:t>EMBA</w:t>
      </w:r>
      <w:r w:rsidRPr="00AE28CC">
        <w:rPr>
          <w:rFonts w:hint="eastAsia"/>
        </w:rPr>
        <w:t>）、经济学硕士。现任易方达基金管理有限公司副总经理级高级管理人员、</w:t>
      </w:r>
      <w:r w:rsidRPr="00AE28CC">
        <w:t>FOF</w:t>
      </w:r>
      <w:r w:rsidRPr="00AE28CC">
        <w:rPr>
          <w:rFonts w:hint="eastAsia"/>
        </w:rPr>
        <w:t>投资决策委员会委员，易方达资产管理有限公司董事长，易方达资产管理（香港）有限公司董事。曾任联合证券有限责任公司证券营业部分析师、研究所策略研究员、经纪业务部高级经理，易方达基金管理有限公司销售支持中心经理、市场部总经理助理、市场部副总经理、广州分公司总经理、北京分公司总经理、总裁助理，易方达资产管理有限公司总经理。</w:t>
      </w:r>
    </w:p>
    <w:p w:rsidR="00C8455F" w:rsidRPr="00AE28CC" w:rsidP="00AE28CC">
      <w:pPr>
        <w:spacing w:line="360" w:lineRule="auto"/>
        <w:ind w:firstLine="420"/>
      </w:pPr>
      <w:r w:rsidRPr="00AE28CC">
        <w:rPr>
          <w:rFonts w:hint="eastAsia"/>
        </w:rPr>
        <w:t>萧楠先生，经济学硕士。现任易方达基金管理有限公司副总经理级高级管理人员、投资三部总经理、研究部副总经理、基金经理。曾任易方达基金管理有限公司行业研究员、基金经理助理、投资经理。</w:t>
      </w:r>
    </w:p>
    <w:p w:rsidR="00C8455F" w:rsidRPr="00AE28CC" w:rsidP="00AE28CC">
      <w:pPr>
        <w:spacing w:line="360" w:lineRule="auto"/>
        <w:ind w:firstLine="420"/>
      </w:pPr>
      <w:r w:rsidRPr="00AE28CC">
        <w:rPr>
          <w:rFonts w:hint="eastAsia"/>
        </w:rPr>
        <w:t>管勇先生，理学硕士。现任易方达基金管理有限公司首席信息官、规划与支持中心总经理。曾任长城证券有限责任公司信息技术中心职员、营业部电脑部经理，金鹰基金管理有限公司运作保障部经理、总监助理、副总监、总监，国泰基金管理有限公司信息技术部副总监（主持工作）、总监，易方达基金管理有限公司信息技术部副总经理、系统研发部副总经理、技术运营部总经理、数据平台研发中心总经理。</w:t>
      </w:r>
    </w:p>
    <w:p w:rsidR="00C8455F" w:rsidRPr="00AE28CC" w:rsidP="00AE28CC">
      <w:pPr>
        <w:spacing w:line="360" w:lineRule="auto"/>
        <w:ind w:firstLine="420"/>
      </w:pPr>
      <w:r w:rsidRPr="00AE28CC">
        <w:rPr>
          <w:rFonts w:hint="eastAsia"/>
        </w:rPr>
        <w:t>杨冬梅女士，工商管理硕士、经济学硕士。现任易方达基金管理有限公司副总经理级高级管理人员、董事会秘书、宣传策划部总经理、全球投资客户部总经理，易方达资产管理（香港）有限公司董事。曾任广发证券有限责任公司投资理财部职员、发展研究中心市场研究部</w:t>
      </w:r>
      <w:r w:rsidRPr="00AE28CC">
        <w:rPr>
          <w:rFonts w:hint="eastAsia"/>
        </w:rPr>
        <w:t>负责人，南方证券股份有限公司研究所高级研究员，招商基金管理有限公司机构理财部高级经理、股票投资部高级经理，易方达基金管理有限公司宣传策划专员、市场部总经理助理、市场部副总经理。</w:t>
      </w:r>
    </w:p>
    <w:p w:rsidR="00BB6930"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bCs/>
          <w:color w:val="000000" w:themeColor="text1"/>
          <w:szCs w:val="21"/>
        </w:rPr>
        <w:t>2、基金经理</w:t>
      </w:r>
    </w:p>
    <w:p w:rsidR="003C0B06">
      <w:pPr>
        <w:spacing w:line="360" w:lineRule="auto"/>
        <w:ind w:firstLine="420"/>
      </w:pPr>
      <w:r>
        <w:t>张湛先生，理学硕士，本基金的基金经理。现任易方达基金管理有限公司易方达中证科技</w:t>
      </w:r>
      <w:r>
        <w:t>50</w:t>
      </w:r>
      <w:r>
        <w:t>交易型开放式指数证券投资基金基金经理（自</w:t>
      </w:r>
      <w:r>
        <w:t>2020</w:t>
      </w:r>
      <w:r>
        <w:t>年</w:t>
      </w:r>
      <w:r>
        <w:t>3</w:t>
      </w:r>
      <w:r>
        <w:t>月</w:t>
      </w:r>
      <w:r>
        <w:t>16</w:t>
      </w:r>
      <w:r>
        <w:t>日起任职）、易方达中证军工交易型开放式指数证券投资基金基金经理（自</w:t>
      </w:r>
      <w:r>
        <w:t>2020</w:t>
      </w:r>
      <w:r>
        <w:t>年</w:t>
      </w:r>
      <w:r>
        <w:t>4</w:t>
      </w:r>
      <w:r>
        <w:t>月</w:t>
      </w:r>
      <w:r>
        <w:t>30</w:t>
      </w:r>
      <w:r>
        <w:t>日起任职）、易方达中证全指证券公司交易型开放式指数证券投资基金基金经理（自</w:t>
      </w:r>
      <w:r>
        <w:t>2020</w:t>
      </w:r>
      <w:r>
        <w:t>年</w:t>
      </w:r>
      <w:r>
        <w:t>4</w:t>
      </w:r>
      <w:r>
        <w:t>月</w:t>
      </w:r>
      <w:r>
        <w:t>30</w:t>
      </w:r>
      <w:r>
        <w:t>日起任职）、易方达中证人工智能主题交易型开放式指数证券投资基金基金经理（自</w:t>
      </w:r>
      <w:r>
        <w:t>2020</w:t>
      </w:r>
      <w:r>
        <w:t>年</w:t>
      </w:r>
      <w:r>
        <w:t>7</w:t>
      </w:r>
      <w:r>
        <w:t>月</w:t>
      </w:r>
      <w:r>
        <w:t>27</w:t>
      </w:r>
      <w:r>
        <w:t>日起任职）、易方达中证万得生物科技指数证券投资基金（</w:t>
      </w:r>
      <w:r>
        <w:t>LOF</w:t>
      </w:r>
      <w:r>
        <w:t>）基金经理（自</w:t>
      </w:r>
      <w:r>
        <w:t>2020</w:t>
      </w:r>
      <w:r>
        <w:t>年</w:t>
      </w:r>
      <w:r>
        <w:t>12</w:t>
      </w:r>
      <w:r>
        <w:t>月</w:t>
      </w:r>
      <w:r>
        <w:t>3</w:t>
      </w:r>
      <w:r>
        <w:t>日起任职）、易方达中证军工指数证券投资基金（</w:t>
      </w:r>
      <w:r>
        <w:t>LOF</w:t>
      </w:r>
      <w:r>
        <w:t>）基金经理（自</w:t>
      </w:r>
      <w:r>
        <w:t>2021</w:t>
      </w:r>
      <w:r>
        <w:t>年</w:t>
      </w:r>
      <w:r>
        <w:t>1</w:t>
      </w:r>
      <w:r>
        <w:t>月</w:t>
      </w:r>
      <w:r>
        <w:t>1</w:t>
      </w:r>
      <w:r>
        <w:t>日起任职）、易方达中证全指证券公司指数证券投资基金（</w:t>
      </w:r>
      <w:r>
        <w:t>LOF</w:t>
      </w:r>
      <w:r>
        <w:t>）基金经理（自</w:t>
      </w:r>
      <w:r>
        <w:t>2021</w:t>
      </w:r>
      <w:r>
        <w:t>年</w:t>
      </w:r>
      <w:r>
        <w:t>1</w:t>
      </w:r>
      <w:r>
        <w:t>月</w:t>
      </w:r>
      <w:r>
        <w:t>1</w:t>
      </w:r>
      <w:r>
        <w:t>日起任职）、易方达中证生物科技主题交易型开放式指数证券投资基金基金经理（自</w:t>
      </w:r>
      <w:r>
        <w:t>2021</w:t>
      </w:r>
      <w:r>
        <w:t>年</w:t>
      </w:r>
      <w:r>
        <w:t>1</w:t>
      </w:r>
      <w:r>
        <w:t>月</w:t>
      </w:r>
      <w:r>
        <w:t>14</w:t>
      </w:r>
      <w:r>
        <w:t>日起任职）、易方达中证新能源交易型开放式指数证券投资基金基金经理（自</w:t>
      </w:r>
      <w:r>
        <w:t>2021</w:t>
      </w:r>
      <w:r>
        <w:t>年</w:t>
      </w:r>
      <w:r>
        <w:t>3</w:t>
      </w:r>
      <w:r>
        <w:t>月</w:t>
      </w:r>
      <w:r>
        <w:t>11</w:t>
      </w:r>
      <w:r>
        <w:t>日起任职）、易方达中证云计算与大数据主题交易型开放式指数证券投资基金基金经理（自</w:t>
      </w:r>
      <w:r>
        <w:t>2021</w:t>
      </w:r>
      <w:r>
        <w:t>年</w:t>
      </w:r>
      <w:r>
        <w:t>3</w:t>
      </w:r>
      <w:r>
        <w:t>月</w:t>
      </w:r>
      <w:r>
        <w:t>29</w:t>
      </w:r>
      <w:r>
        <w:t>日起任职）、易方达中证内地低碳经济主题交易型开放式指数证券投资基金基金经理（自</w:t>
      </w:r>
      <w:r>
        <w:t>2021</w:t>
      </w:r>
      <w:r>
        <w:t>年</w:t>
      </w:r>
      <w:r>
        <w:t>4</w:t>
      </w:r>
      <w:r>
        <w:t>月</w:t>
      </w:r>
      <w:r>
        <w:t>15</w:t>
      </w:r>
      <w:r>
        <w:t>日起任职）、易方达中证医疗交易型开放式指数证券投资基金基金经理（自</w:t>
      </w:r>
      <w:r>
        <w:t>2021</w:t>
      </w:r>
      <w:r>
        <w:t>年</w:t>
      </w:r>
      <w:r>
        <w:t>7</w:t>
      </w:r>
      <w:r>
        <w:t>月</w:t>
      </w:r>
      <w:r>
        <w:t>8</w:t>
      </w:r>
      <w:r>
        <w:t>日起任职）、易方达中证物联网主题交易型开放式指数证券投资基金基金经理（自</w:t>
      </w:r>
      <w:r>
        <w:t>2021</w:t>
      </w:r>
      <w:r>
        <w:t>年</w:t>
      </w:r>
      <w:r>
        <w:t>10</w:t>
      </w:r>
      <w:r>
        <w:t>月</w:t>
      </w:r>
      <w:r>
        <w:t>13</w:t>
      </w:r>
      <w:r>
        <w:t>日起任职）、易方达中证芯片产业交易型开放式指数证券投资基金基金经理（自</w:t>
      </w:r>
      <w:r>
        <w:t>2021</w:t>
      </w:r>
      <w:r>
        <w:t>年</w:t>
      </w:r>
      <w:r>
        <w:t>12</w:t>
      </w:r>
      <w:r>
        <w:t>月</w:t>
      </w:r>
      <w:r>
        <w:t>15</w:t>
      </w:r>
      <w:r>
        <w:t>日起任职）。曾任易方达基金管理有限公司数量化投资研究员、量化研究员、投资经理。</w:t>
      </w:r>
    </w:p>
    <w:p w:rsidR="003C0B06">
      <w:pPr>
        <w:spacing w:line="360" w:lineRule="auto"/>
        <w:ind w:firstLine="420"/>
      </w:pPr>
      <w:r>
        <w:t>3</w:t>
      </w:r>
      <w:r>
        <w:t>、指数投资决策委员会成员</w:t>
      </w:r>
    </w:p>
    <w:p w:rsidR="003C0B06">
      <w:pPr>
        <w:spacing w:line="360" w:lineRule="auto"/>
        <w:ind w:firstLine="420"/>
      </w:pPr>
      <w:r>
        <w:t>本公司指数投资决策委员会成员包括：林伟斌先生、余海燕女士、</w:t>
      </w:r>
      <w:r>
        <w:t>FAN BING</w:t>
      </w:r>
      <w:r>
        <w:t>（范冰）先生。</w:t>
      </w:r>
    </w:p>
    <w:p w:rsidR="003C0B06">
      <w:pPr>
        <w:spacing w:line="360" w:lineRule="auto"/>
        <w:ind w:firstLine="420"/>
      </w:pPr>
      <w:r>
        <w:t>林伟斌先生，易方达基金管理有限公司指数投资部总经理、基金经理。</w:t>
      </w:r>
    </w:p>
    <w:p w:rsidR="003C0B06">
      <w:pPr>
        <w:spacing w:line="360" w:lineRule="auto"/>
        <w:ind w:firstLine="420"/>
      </w:pPr>
      <w:r>
        <w:t>余海燕女士，易方达基金管理有限公司指数投资部副总经理、基金经理。</w:t>
      </w:r>
    </w:p>
    <w:p w:rsidR="003C0B06">
      <w:pPr>
        <w:spacing w:line="360" w:lineRule="auto"/>
        <w:ind w:firstLine="420"/>
      </w:pPr>
      <w:r>
        <w:t>FAN BING</w:t>
      </w:r>
      <w:r>
        <w:t>（范冰）先生，易方达基金管理有限公司基金经理。</w:t>
      </w:r>
    </w:p>
    <w:bookmarkEnd w:id="8"/>
    <w:bookmarkEnd w:id="9"/>
    <w:p w:rsidR="00BA4B87"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4、上述人员之间均不存在近亲属关系。</w:t>
      </w:r>
    </w:p>
    <w:p w:rsidR="00BA4B87"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bookmarkStart w:id="10" w:name="_Toc332373451"/>
      <w:r w:rsidRPr="001F61B7">
        <w:rPr>
          <w:rStyle w:val="da"/>
          <w:rFonts w:asciiTheme="minorEastAsia" w:eastAsiaTheme="minorEastAsia" w:hAnsiTheme="minorEastAsia"/>
          <w:color w:val="000000" w:themeColor="text1"/>
        </w:rPr>
        <w:t>（三）基金管理人的职责</w:t>
      </w:r>
      <w:bookmarkEnd w:id="10"/>
    </w:p>
    <w:p w:rsidR="003059D7"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bookmarkStart w:id="11" w:name="_Toc332373455"/>
      <w:r w:rsidRPr="001F61B7">
        <w:rPr>
          <w:rStyle w:val="da"/>
          <w:rFonts w:asciiTheme="minorEastAsia" w:eastAsiaTheme="minorEastAsia" w:hAnsiTheme="minorEastAsia"/>
          <w:color w:val="000000" w:themeColor="text1"/>
        </w:rPr>
        <w:t>1、依法募集资金，办理基金份额的发售和登记事宜；</w:t>
      </w:r>
    </w:p>
    <w:p w:rsidR="003059D7"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bookmarkStart w:id="12" w:name="_Toc332373452"/>
      <w:r w:rsidRPr="001F61B7">
        <w:rPr>
          <w:rStyle w:val="da"/>
          <w:rFonts w:asciiTheme="minorEastAsia" w:eastAsiaTheme="minorEastAsia" w:hAnsiTheme="minorEastAsia"/>
          <w:color w:val="000000" w:themeColor="text1"/>
        </w:rPr>
        <w:t>2、办理基金备案手续；</w:t>
      </w:r>
      <w:bookmarkEnd w:id="12"/>
    </w:p>
    <w:p w:rsidR="003059D7"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3、对所管理的不同基金财产分别管理、分别记账，进行证券投资；</w:t>
      </w:r>
    </w:p>
    <w:p w:rsidR="003059D7"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4、</w:t>
      </w:r>
      <w:r w:rsidRPr="001F61B7" w:rsidR="00EB66FD">
        <w:rPr>
          <w:rFonts w:asciiTheme="minorEastAsia" w:eastAsiaTheme="minorEastAsia" w:hAnsiTheme="minorEastAsia"/>
          <w:color w:val="000000" w:themeColor="text1"/>
          <w:szCs w:val="21"/>
        </w:rPr>
        <w:t>按照基金合同的约定确定基金收益分配方案，及时向基金份额持有人分配收益；</w:t>
      </w:r>
    </w:p>
    <w:p w:rsidR="003059D7"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5、进行基金会计核算并编制基金财务会计报告；</w:t>
      </w:r>
    </w:p>
    <w:p w:rsidR="003059D7"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6、编制季度</w:t>
      </w:r>
      <w:r w:rsidRPr="001F61B7" w:rsidR="006820BC">
        <w:rPr>
          <w:rStyle w:val="da"/>
          <w:rFonts w:asciiTheme="minorEastAsia" w:eastAsiaTheme="minorEastAsia" w:hAnsiTheme="minorEastAsia"/>
          <w:color w:val="000000" w:themeColor="text1"/>
        </w:rPr>
        <w:t>报告</w:t>
      </w:r>
      <w:r w:rsidRPr="001F61B7">
        <w:rPr>
          <w:rStyle w:val="da"/>
          <w:rFonts w:asciiTheme="minorEastAsia" w:eastAsiaTheme="minorEastAsia" w:hAnsiTheme="minorEastAsia"/>
          <w:color w:val="000000" w:themeColor="text1"/>
        </w:rPr>
        <w:t>、</w:t>
      </w:r>
      <w:r w:rsidRPr="001F61B7" w:rsidR="006820BC">
        <w:rPr>
          <w:rStyle w:val="da"/>
          <w:rFonts w:asciiTheme="minorEastAsia" w:eastAsiaTheme="minorEastAsia" w:hAnsiTheme="minorEastAsia"/>
          <w:color w:val="000000" w:themeColor="text1"/>
        </w:rPr>
        <w:t>中期报告</w:t>
      </w:r>
      <w:r w:rsidRPr="001F61B7">
        <w:rPr>
          <w:rStyle w:val="da"/>
          <w:rFonts w:asciiTheme="minorEastAsia" w:eastAsiaTheme="minorEastAsia" w:hAnsiTheme="minorEastAsia"/>
          <w:color w:val="000000" w:themeColor="text1"/>
        </w:rPr>
        <w:t>和年度基金报告；</w:t>
      </w:r>
    </w:p>
    <w:p w:rsidR="003059D7"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7、计算并公告基金净值</w:t>
      </w:r>
      <w:r w:rsidRPr="001F61B7" w:rsidR="006820BC">
        <w:rPr>
          <w:rStyle w:val="da"/>
          <w:rFonts w:asciiTheme="minorEastAsia" w:eastAsiaTheme="minorEastAsia" w:hAnsiTheme="minorEastAsia"/>
          <w:color w:val="000000" w:themeColor="text1"/>
        </w:rPr>
        <w:t>信息</w:t>
      </w:r>
      <w:r w:rsidRPr="001F61B7" w:rsidR="00FF3FA9">
        <w:rPr>
          <w:rStyle w:val="da"/>
          <w:rFonts w:asciiTheme="minorEastAsia" w:eastAsiaTheme="minorEastAsia" w:hAnsiTheme="minorEastAsia"/>
          <w:color w:val="000000" w:themeColor="text1"/>
        </w:rPr>
        <w:t>，确定基金份额申购、赎回</w:t>
      </w:r>
      <w:r w:rsidRPr="001F61B7" w:rsidR="006820BC">
        <w:rPr>
          <w:rStyle w:val="da"/>
          <w:rFonts w:asciiTheme="minorEastAsia" w:eastAsiaTheme="minorEastAsia" w:hAnsiTheme="minorEastAsia"/>
          <w:color w:val="000000" w:themeColor="text1"/>
        </w:rPr>
        <w:t>对价</w:t>
      </w:r>
      <w:r w:rsidRPr="001F61B7">
        <w:rPr>
          <w:rStyle w:val="da"/>
          <w:rFonts w:asciiTheme="minorEastAsia" w:eastAsiaTheme="minorEastAsia" w:hAnsiTheme="minorEastAsia"/>
          <w:color w:val="000000" w:themeColor="text1"/>
        </w:rPr>
        <w:t>；</w:t>
      </w:r>
    </w:p>
    <w:p w:rsidR="003059D7"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bookmarkStart w:id="13" w:name="_Toc332373453"/>
      <w:r w:rsidRPr="001F61B7">
        <w:rPr>
          <w:rStyle w:val="da"/>
          <w:rFonts w:asciiTheme="minorEastAsia" w:eastAsiaTheme="minorEastAsia" w:hAnsiTheme="minorEastAsia"/>
          <w:color w:val="000000" w:themeColor="text1"/>
        </w:rPr>
        <w:t>8、办理与基金财产管理业务活动有关的信息披露事项；</w:t>
      </w:r>
      <w:bookmarkEnd w:id="13"/>
    </w:p>
    <w:p w:rsidR="003059D7"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9、按照规定召集基金份额持有人大会；</w:t>
      </w:r>
    </w:p>
    <w:p w:rsidR="003059D7"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bookmarkStart w:id="14" w:name="_Toc332373454"/>
      <w:r w:rsidRPr="001F61B7">
        <w:rPr>
          <w:rStyle w:val="da"/>
          <w:rFonts w:asciiTheme="minorEastAsia" w:eastAsiaTheme="minorEastAsia" w:hAnsiTheme="minorEastAsia"/>
          <w:color w:val="000000" w:themeColor="text1"/>
        </w:rPr>
        <w:t>10、保存基金财产管理业务活动的记录、账册、报表和其他相关资料；</w:t>
      </w:r>
      <w:bookmarkEnd w:id="14"/>
    </w:p>
    <w:p w:rsidR="003059D7"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11、以基金管理人名义，代表基金份额持有人利益行使诉讼权利或者实施其他法律行为；</w:t>
      </w:r>
    </w:p>
    <w:p w:rsidR="003059D7" w:rsidRPr="001F61B7" w:rsidP="00C42A18">
      <w:pPr>
        <w:tabs>
          <w:tab w:val="left" w:pos="3544"/>
        </w:tabs>
        <w:spacing w:line="360" w:lineRule="auto"/>
        <w:ind w:firstLine="420"/>
        <w:rPr>
          <w:rFonts w:asciiTheme="minorEastAsia" w:eastAsiaTheme="minorEastAsia" w:hAnsiTheme="minorEastAsia"/>
          <w:color w:val="000000" w:themeColor="text1"/>
          <w:kern w:val="0"/>
        </w:rPr>
      </w:pPr>
      <w:r w:rsidRPr="001F61B7">
        <w:rPr>
          <w:rStyle w:val="da"/>
          <w:rFonts w:asciiTheme="minorEastAsia" w:eastAsiaTheme="minorEastAsia" w:hAnsiTheme="minorEastAsia"/>
          <w:color w:val="000000" w:themeColor="text1"/>
        </w:rPr>
        <w:t>12、中国证监会规定的其他职责</w:t>
      </w:r>
      <w:r w:rsidRPr="001F61B7">
        <w:rPr>
          <w:rFonts w:asciiTheme="minorEastAsia" w:eastAsiaTheme="minorEastAsia" w:hAnsiTheme="minorEastAsia"/>
          <w:color w:val="000000" w:themeColor="text1"/>
          <w:kern w:val="0"/>
        </w:rPr>
        <w:t>。</w:t>
      </w:r>
    </w:p>
    <w:p w:rsidR="00BA4B87"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（四）基金管理人的承诺</w:t>
      </w:r>
      <w:bookmarkEnd w:id="11"/>
    </w:p>
    <w:p w:rsidR="00BA4B87"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1、本基金管理人承诺严格遵守现行有效的相关法律、法规、规章、基金合同和中国证监会的有关规定，建立健全内部控制制度，采取有效措施，防止违反现行有效的有关法律、法规、规章、基金合同和中国证监会有关规定的行为发生。</w:t>
      </w:r>
    </w:p>
    <w:p w:rsidR="00BA4B87"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2、本基金管理人承诺严格遵守《证券法》、《基金法》及有关法律法规，建立健全内部控制制度，采取有效措施，防止下列行为发生：</w:t>
      </w:r>
    </w:p>
    <w:p w:rsidR="00BA4B87"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bookmarkStart w:id="15" w:name="_Toc332373456"/>
      <w:r w:rsidRPr="001F61B7">
        <w:rPr>
          <w:rStyle w:val="da"/>
          <w:rFonts w:asciiTheme="minorEastAsia" w:eastAsiaTheme="minorEastAsia" w:hAnsiTheme="minorEastAsia"/>
          <w:color w:val="000000" w:themeColor="text1"/>
        </w:rPr>
        <w:t>（</w:t>
      </w:r>
      <w:r w:rsidRPr="001F61B7" w:rsidR="002F62DA">
        <w:rPr>
          <w:rStyle w:val="da"/>
          <w:rFonts w:asciiTheme="minorEastAsia" w:eastAsiaTheme="minorEastAsia" w:hAnsiTheme="minorEastAsia"/>
          <w:color w:val="000000" w:themeColor="text1"/>
        </w:rPr>
        <w:t>1</w:t>
      </w:r>
      <w:r w:rsidRPr="001F61B7">
        <w:rPr>
          <w:rStyle w:val="da"/>
          <w:rFonts w:asciiTheme="minorEastAsia" w:eastAsiaTheme="minorEastAsia" w:hAnsiTheme="minorEastAsia"/>
          <w:color w:val="000000" w:themeColor="text1"/>
        </w:rPr>
        <w:t>）将其固有财产或者他人财产混同于基金财产从事证券投资；</w:t>
      </w:r>
      <w:bookmarkEnd w:id="15"/>
    </w:p>
    <w:p w:rsidR="00BA4B87"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w:t>
      </w:r>
      <w:r w:rsidRPr="001F61B7" w:rsidR="00D55E50">
        <w:rPr>
          <w:rStyle w:val="da"/>
          <w:rFonts w:asciiTheme="minorEastAsia" w:eastAsiaTheme="minorEastAsia" w:hAnsiTheme="minorEastAsia"/>
          <w:color w:val="000000" w:themeColor="text1"/>
        </w:rPr>
        <w:t>2</w:t>
      </w:r>
      <w:r w:rsidRPr="001F61B7">
        <w:rPr>
          <w:rStyle w:val="da"/>
          <w:rFonts w:asciiTheme="minorEastAsia" w:eastAsiaTheme="minorEastAsia" w:hAnsiTheme="minorEastAsia"/>
          <w:color w:val="000000" w:themeColor="text1"/>
        </w:rPr>
        <w:t>）不公平地对待其管理的不同基金财产；</w:t>
      </w:r>
    </w:p>
    <w:p w:rsidR="00BA4B87"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bookmarkStart w:id="16" w:name="_Toc332373457"/>
      <w:r w:rsidRPr="001F61B7">
        <w:rPr>
          <w:rStyle w:val="da"/>
          <w:rFonts w:asciiTheme="minorEastAsia" w:eastAsiaTheme="minorEastAsia" w:hAnsiTheme="minorEastAsia"/>
          <w:color w:val="000000" w:themeColor="text1"/>
        </w:rPr>
        <w:t>（</w:t>
      </w:r>
      <w:r w:rsidRPr="001F61B7" w:rsidR="00D55E50">
        <w:rPr>
          <w:rStyle w:val="da"/>
          <w:rFonts w:asciiTheme="minorEastAsia" w:eastAsiaTheme="minorEastAsia" w:hAnsiTheme="minorEastAsia"/>
          <w:color w:val="000000" w:themeColor="text1"/>
        </w:rPr>
        <w:t>3</w:t>
      </w:r>
      <w:r w:rsidRPr="001F61B7">
        <w:rPr>
          <w:rStyle w:val="da"/>
          <w:rFonts w:asciiTheme="minorEastAsia" w:eastAsiaTheme="minorEastAsia" w:hAnsiTheme="minorEastAsia"/>
          <w:color w:val="000000" w:themeColor="text1"/>
        </w:rPr>
        <w:t>）利用基金财产为基金份额持有人以外的第三人谋取利益；</w:t>
      </w:r>
      <w:bookmarkEnd w:id="16"/>
    </w:p>
    <w:p w:rsidR="00BA4B87"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w:t>
      </w:r>
      <w:r w:rsidRPr="001F61B7" w:rsidR="00D55E50">
        <w:rPr>
          <w:rStyle w:val="da"/>
          <w:rFonts w:asciiTheme="minorEastAsia" w:eastAsiaTheme="minorEastAsia" w:hAnsiTheme="minorEastAsia"/>
          <w:color w:val="000000" w:themeColor="text1"/>
        </w:rPr>
        <w:t>4</w:t>
      </w:r>
      <w:r w:rsidRPr="001F61B7">
        <w:rPr>
          <w:rStyle w:val="da"/>
          <w:rFonts w:asciiTheme="minorEastAsia" w:eastAsiaTheme="minorEastAsia" w:hAnsiTheme="minorEastAsia"/>
          <w:color w:val="000000" w:themeColor="text1"/>
        </w:rPr>
        <w:t>）向基金份额持有人违规承诺收益或者承担损失；</w:t>
      </w:r>
    </w:p>
    <w:p w:rsidR="005D7F94"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（5）侵占、挪用基金财产；</w:t>
      </w:r>
    </w:p>
    <w:p w:rsidR="005D7F94"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（6）泄漏因职务便利获取的未公开信息、利用该信息从事或者明示、暗示他人从事相关的交易活动；</w:t>
      </w:r>
    </w:p>
    <w:p w:rsidR="005D7F94"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（7）玩忽职守，不按照规定履行职责；</w:t>
      </w:r>
    </w:p>
    <w:p w:rsidR="00B918DA"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（8）法律、行政法规和中国证监会禁止的其他行为。</w:t>
      </w:r>
    </w:p>
    <w:p w:rsidR="00BA4B87"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3、本基金管理人承诺加强人员管理，强化职业操守，督促和约束员工遵守国家有关法律、法规及行业规范，诚实信用、勤勉尽责，不从事以下活动：</w:t>
      </w:r>
    </w:p>
    <w:p w:rsidR="00BA4B87"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w:t>
      </w:r>
      <w:r w:rsidRPr="001F61B7" w:rsidR="00A2578B">
        <w:rPr>
          <w:rStyle w:val="da"/>
          <w:rFonts w:asciiTheme="minorEastAsia" w:eastAsiaTheme="minorEastAsia" w:hAnsiTheme="minorEastAsia"/>
          <w:color w:val="000000" w:themeColor="text1"/>
        </w:rPr>
        <w:t>1</w:t>
      </w:r>
      <w:r w:rsidRPr="001F61B7">
        <w:rPr>
          <w:rStyle w:val="da"/>
          <w:rFonts w:asciiTheme="minorEastAsia" w:eastAsiaTheme="minorEastAsia" w:hAnsiTheme="minorEastAsia"/>
          <w:color w:val="000000" w:themeColor="text1"/>
        </w:rPr>
        <w:t>）越权或违规经营；</w:t>
      </w:r>
    </w:p>
    <w:p w:rsidR="00BA4B87"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w:t>
      </w:r>
      <w:r w:rsidRPr="001F61B7" w:rsidR="00A2578B">
        <w:rPr>
          <w:rStyle w:val="da"/>
          <w:rFonts w:asciiTheme="minorEastAsia" w:eastAsiaTheme="minorEastAsia" w:hAnsiTheme="minorEastAsia"/>
          <w:color w:val="000000" w:themeColor="text1"/>
        </w:rPr>
        <w:t>2</w:t>
      </w:r>
      <w:r w:rsidRPr="001F61B7">
        <w:rPr>
          <w:rStyle w:val="da"/>
          <w:rFonts w:asciiTheme="minorEastAsia" w:eastAsiaTheme="minorEastAsia" w:hAnsiTheme="minorEastAsia"/>
          <w:color w:val="000000" w:themeColor="text1"/>
        </w:rPr>
        <w:t>）违反基金合同或托管协议；</w:t>
      </w:r>
    </w:p>
    <w:p w:rsidR="00BA4B87"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w:t>
      </w:r>
      <w:r w:rsidRPr="001F61B7" w:rsidR="00A2578B">
        <w:rPr>
          <w:rStyle w:val="da"/>
          <w:rFonts w:asciiTheme="minorEastAsia" w:eastAsiaTheme="minorEastAsia" w:hAnsiTheme="minorEastAsia"/>
          <w:color w:val="000000" w:themeColor="text1"/>
        </w:rPr>
        <w:t>3</w:t>
      </w:r>
      <w:r w:rsidRPr="001F61B7">
        <w:rPr>
          <w:rStyle w:val="da"/>
          <w:rFonts w:asciiTheme="minorEastAsia" w:eastAsiaTheme="minorEastAsia" w:hAnsiTheme="minorEastAsia"/>
          <w:color w:val="000000" w:themeColor="text1"/>
        </w:rPr>
        <w:t>）故意损害基金份额持有人或其他基金相关机构的合法利益；</w:t>
      </w:r>
    </w:p>
    <w:p w:rsidR="00BA4B87"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bookmarkStart w:id="17" w:name="_Toc332373458"/>
      <w:r w:rsidRPr="001F61B7">
        <w:rPr>
          <w:rStyle w:val="da"/>
          <w:rFonts w:asciiTheme="minorEastAsia" w:eastAsiaTheme="minorEastAsia" w:hAnsiTheme="minorEastAsia"/>
          <w:color w:val="000000" w:themeColor="text1"/>
        </w:rPr>
        <w:t>（</w:t>
      </w:r>
      <w:r w:rsidRPr="001F61B7" w:rsidR="00A2578B">
        <w:rPr>
          <w:rStyle w:val="da"/>
          <w:rFonts w:asciiTheme="minorEastAsia" w:eastAsiaTheme="minorEastAsia" w:hAnsiTheme="minorEastAsia"/>
          <w:color w:val="000000" w:themeColor="text1"/>
        </w:rPr>
        <w:t>4</w:t>
      </w:r>
      <w:r w:rsidRPr="001F61B7">
        <w:rPr>
          <w:rStyle w:val="da"/>
          <w:rFonts w:asciiTheme="minorEastAsia" w:eastAsiaTheme="minorEastAsia" w:hAnsiTheme="minorEastAsia"/>
          <w:color w:val="000000" w:themeColor="text1"/>
        </w:rPr>
        <w:t>）在向中国证监会报送的资料中弄虚作假；</w:t>
      </w:r>
      <w:bookmarkEnd w:id="17"/>
    </w:p>
    <w:p w:rsidR="00BA4B87"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w:t>
      </w:r>
      <w:r w:rsidRPr="001F61B7" w:rsidR="00A2578B">
        <w:rPr>
          <w:rStyle w:val="da"/>
          <w:rFonts w:asciiTheme="minorEastAsia" w:eastAsiaTheme="minorEastAsia" w:hAnsiTheme="minorEastAsia"/>
          <w:color w:val="000000" w:themeColor="text1"/>
        </w:rPr>
        <w:t>5</w:t>
      </w:r>
      <w:r w:rsidRPr="001F61B7">
        <w:rPr>
          <w:rStyle w:val="da"/>
          <w:rFonts w:asciiTheme="minorEastAsia" w:eastAsiaTheme="minorEastAsia" w:hAnsiTheme="minorEastAsia"/>
          <w:color w:val="000000" w:themeColor="text1"/>
        </w:rPr>
        <w:t>）拒绝、干扰、阻挠或严重影响中国证监会依法监管；</w:t>
      </w:r>
    </w:p>
    <w:p w:rsidR="00BA4B87"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bookmarkStart w:id="18" w:name="_Toc332373459"/>
      <w:r w:rsidRPr="001F61B7">
        <w:rPr>
          <w:rStyle w:val="da"/>
          <w:rFonts w:asciiTheme="minorEastAsia" w:eastAsiaTheme="minorEastAsia" w:hAnsiTheme="minorEastAsia"/>
          <w:color w:val="000000" w:themeColor="text1"/>
        </w:rPr>
        <w:t>（</w:t>
      </w:r>
      <w:r w:rsidRPr="001F61B7" w:rsidR="00A2578B">
        <w:rPr>
          <w:rStyle w:val="da"/>
          <w:rFonts w:asciiTheme="minorEastAsia" w:eastAsiaTheme="minorEastAsia" w:hAnsiTheme="minorEastAsia"/>
          <w:color w:val="000000" w:themeColor="text1"/>
        </w:rPr>
        <w:t>6</w:t>
      </w:r>
      <w:r w:rsidRPr="001F61B7">
        <w:rPr>
          <w:rStyle w:val="da"/>
          <w:rFonts w:asciiTheme="minorEastAsia" w:eastAsiaTheme="minorEastAsia" w:hAnsiTheme="minorEastAsia"/>
          <w:color w:val="000000" w:themeColor="text1"/>
        </w:rPr>
        <w:t>）玩忽职守、滥用职权；</w:t>
      </w:r>
      <w:bookmarkEnd w:id="18"/>
    </w:p>
    <w:p w:rsidR="00BA4B87"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w:t>
      </w:r>
      <w:r w:rsidRPr="001F61B7" w:rsidR="00A2578B">
        <w:rPr>
          <w:rStyle w:val="da"/>
          <w:rFonts w:asciiTheme="minorEastAsia" w:eastAsiaTheme="minorEastAsia" w:hAnsiTheme="minorEastAsia"/>
          <w:color w:val="000000" w:themeColor="text1"/>
        </w:rPr>
        <w:t>7</w:t>
      </w:r>
      <w:r w:rsidRPr="001F61B7">
        <w:rPr>
          <w:rStyle w:val="da"/>
          <w:rFonts w:asciiTheme="minorEastAsia" w:eastAsiaTheme="minorEastAsia" w:hAnsiTheme="minorEastAsia"/>
          <w:color w:val="000000" w:themeColor="text1"/>
        </w:rPr>
        <w:t>）违反现行有效的有关法律、法规、规章、基金合同和中国证监会的有关规定，泄漏在任职期间知悉的有关证券、基金的商业秘密，尚未依法公开的基金投资内容、基金投资计划等信息；</w:t>
      </w:r>
    </w:p>
    <w:p w:rsidR="00BA4B87"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w:t>
      </w:r>
      <w:r w:rsidRPr="001F61B7" w:rsidR="00A2578B">
        <w:rPr>
          <w:rStyle w:val="da"/>
          <w:rFonts w:asciiTheme="minorEastAsia" w:eastAsiaTheme="minorEastAsia" w:hAnsiTheme="minorEastAsia"/>
          <w:color w:val="000000" w:themeColor="text1"/>
        </w:rPr>
        <w:t>8</w:t>
      </w:r>
      <w:r w:rsidRPr="001F61B7">
        <w:rPr>
          <w:rStyle w:val="da"/>
          <w:rFonts w:asciiTheme="minorEastAsia" w:eastAsiaTheme="minorEastAsia" w:hAnsiTheme="minorEastAsia"/>
          <w:color w:val="000000" w:themeColor="text1"/>
        </w:rPr>
        <w:t>）违反证券交易场所业务规则，利用对敲、倒仓等手段操纵市场价格，扰乱市场秩序；</w:t>
      </w:r>
    </w:p>
    <w:p w:rsidR="00BA4B87"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w:t>
      </w:r>
      <w:r w:rsidRPr="001F61B7" w:rsidR="00A2578B">
        <w:rPr>
          <w:rStyle w:val="da"/>
          <w:rFonts w:asciiTheme="minorEastAsia" w:eastAsiaTheme="minorEastAsia" w:hAnsiTheme="minorEastAsia"/>
          <w:color w:val="000000" w:themeColor="text1"/>
        </w:rPr>
        <w:t>9</w:t>
      </w:r>
      <w:r w:rsidRPr="001F61B7">
        <w:rPr>
          <w:rStyle w:val="da"/>
          <w:rFonts w:asciiTheme="minorEastAsia" w:eastAsiaTheme="minorEastAsia" w:hAnsiTheme="minorEastAsia"/>
          <w:color w:val="000000" w:themeColor="text1"/>
        </w:rPr>
        <w:t>）贬损同行，以抬高自己；</w:t>
      </w:r>
    </w:p>
    <w:p w:rsidR="00BA4B87"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w:t>
      </w:r>
      <w:r w:rsidRPr="001F61B7" w:rsidR="00A2578B">
        <w:rPr>
          <w:rStyle w:val="da"/>
          <w:rFonts w:asciiTheme="minorEastAsia" w:eastAsiaTheme="minorEastAsia" w:hAnsiTheme="minorEastAsia"/>
          <w:color w:val="000000" w:themeColor="text1"/>
        </w:rPr>
        <w:t>10</w:t>
      </w:r>
      <w:r w:rsidRPr="001F61B7">
        <w:rPr>
          <w:rStyle w:val="da"/>
          <w:rFonts w:asciiTheme="minorEastAsia" w:eastAsiaTheme="minorEastAsia" w:hAnsiTheme="minorEastAsia"/>
          <w:color w:val="000000" w:themeColor="text1"/>
        </w:rPr>
        <w:t>）以不正当手段谋求业务发展；</w:t>
      </w:r>
    </w:p>
    <w:p w:rsidR="00BA4B87"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w:t>
      </w:r>
      <w:r w:rsidRPr="001F61B7" w:rsidR="00A2578B">
        <w:rPr>
          <w:rStyle w:val="da"/>
          <w:rFonts w:asciiTheme="minorEastAsia" w:eastAsiaTheme="minorEastAsia" w:hAnsiTheme="minorEastAsia"/>
          <w:color w:val="000000" w:themeColor="text1"/>
        </w:rPr>
        <w:t>11</w:t>
      </w:r>
      <w:r w:rsidRPr="001F61B7">
        <w:rPr>
          <w:rStyle w:val="da"/>
          <w:rFonts w:asciiTheme="minorEastAsia" w:eastAsiaTheme="minorEastAsia" w:hAnsiTheme="minorEastAsia"/>
          <w:color w:val="000000" w:themeColor="text1"/>
        </w:rPr>
        <w:t>）有悖社会公德，损害证券投资基金人员形象；</w:t>
      </w:r>
    </w:p>
    <w:p w:rsidR="00BA4B87"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w:t>
      </w:r>
      <w:r w:rsidRPr="001F61B7" w:rsidR="00A2578B">
        <w:rPr>
          <w:rStyle w:val="da"/>
          <w:rFonts w:asciiTheme="minorEastAsia" w:eastAsiaTheme="minorEastAsia" w:hAnsiTheme="minorEastAsia"/>
          <w:color w:val="000000" w:themeColor="text1"/>
        </w:rPr>
        <w:t>12</w:t>
      </w:r>
      <w:r w:rsidRPr="001F61B7">
        <w:rPr>
          <w:rStyle w:val="da"/>
          <w:rFonts w:asciiTheme="minorEastAsia" w:eastAsiaTheme="minorEastAsia" w:hAnsiTheme="minorEastAsia"/>
          <w:color w:val="000000" w:themeColor="text1"/>
        </w:rPr>
        <w:t>）在公开信息披露和广告中故意含有虚假、误导、欺诈成分；</w:t>
      </w:r>
    </w:p>
    <w:p w:rsidR="00BA4B87"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w:t>
      </w:r>
      <w:r w:rsidRPr="001F61B7" w:rsidR="00A2578B">
        <w:rPr>
          <w:rStyle w:val="da"/>
          <w:rFonts w:asciiTheme="minorEastAsia" w:eastAsiaTheme="minorEastAsia" w:hAnsiTheme="minorEastAsia"/>
          <w:color w:val="000000" w:themeColor="text1"/>
        </w:rPr>
        <w:t>13</w:t>
      </w:r>
      <w:r w:rsidRPr="001F61B7">
        <w:rPr>
          <w:rStyle w:val="da"/>
          <w:rFonts w:asciiTheme="minorEastAsia" w:eastAsiaTheme="minorEastAsia" w:hAnsiTheme="minorEastAsia"/>
          <w:color w:val="000000" w:themeColor="text1"/>
        </w:rPr>
        <w:t>）其他法律、行政法规以及中国证监会禁止的行为。</w:t>
      </w:r>
    </w:p>
    <w:p w:rsidR="00BA4B87"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bookmarkStart w:id="19" w:name="_Toc332373460"/>
      <w:r w:rsidRPr="001F61B7">
        <w:rPr>
          <w:rStyle w:val="da"/>
          <w:rFonts w:asciiTheme="minorEastAsia" w:eastAsiaTheme="minorEastAsia" w:hAnsiTheme="minorEastAsia"/>
          <w:color w:val="000000" w:themeColor="text1"/>
        </w:rPr>
        <w:t>4、基金经理承诺</w:t>
      </w:r>
      <w:bookmarkEnd w:id="19"/>
    </w:p>
    <w:p w:rsidR="00BA4B87"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（1）依照有关法律、法规和基金合同的规定，本着谨慎的原则为基金份额持有人谋取最大利益；</w:t>
      </w:r>
    </w:p>
    <w:p w:rsidR="00BA4B87"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bookmarkStart w:id="20" w:name="_Toc332373461"/>
      <w:r w:rsidRPr="001F61B7">
        <w:rPr>
          <w:rStyle w:val="da"/>
          <w:rFonts w:asciiTheme="minorEastAsia" w:eastAsiaTheme="minorEastAsia" w:hAnsiTheme="minorEastAsia"/>
          <w:color w:val="000000" w:themeColor="text1"/>
        </w:rPr>
        <w:t>（2）不利用职务之便为自己及其代理人、受雇人或任何第三人谋取利益；</w:t>
      </w:r>
      <w:bookmarkEnd w:id="20"/>
    </w:p>
    <w:p w:rsidR="00BA4B87"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（3）不违反现行有效的有关法律、法规、规章、基金合同和中国证监会的有关规定，泄漏在任职期间知悉的有关证券、基金的商业秘密、尚未依法公开的基金投资内容、基金投资计划等信息；</w:t>
      </w:r>
    </w:p>
    <w:p w:rsidR="00BA4B87"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（4）不从事损害基金财产和基金份额持有人利益的证券交易及其他活动。</w:t>
      </w:r>
    </w:p>
    <w:p w:rsidR="00BA4B87"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bookmarkStart w:id="21" w:name="_Toc332373462"/>
      <w:r w:rsidRPr="001F61B7">
        <w:rPr>
          <w:rStyle w:val="da"/>
          <w:rFonts w:asciiTheme="minorEastAsia" w:eastAsiaTheme="minorEastAsia" w:hAnsiTheme="minorEastAsia"/>
          <w:color w:val="000000" w:themeColor="text1"/>
        </w:rPr>
        <w:t>（五）基金管理人的内部控制制度</w:t>
      </w:r>
      <w:bookmarkEnd w:id="21"/>
    </w:p>
    <w:p w:rsidR="00BA4B87"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为保证公司规范化运作，有效地防范和化解经营风险，促进公司诚信、合法、有效经营，保障基金份额持有人利益，维护公司及公司股东的合法权益，本基金管理人建立了科学、严密、高效的内部控制体系。</w:t>
      </w:r>
    </w:p>
    <w:p w:rsidR="000D684F">
      <w:pPr>
        <w:spacing w:line="360" w:lineRule="auto"/>
        <w:ind w:firstLine="420"/>
      </w:pPr>
      <w:r>
        <w:t>1</w:t>
      </w:r>
      <w:r>
        <w:t>、公司内部控制的总体目标</w:t>
      </w:r>
    </w:p>
    <w:p w:rsidR="000D684F">
      <w:pPr>
        <w:spacing w:line="360" w:lineRule="auto"/>
        <w:ind w:firstLine="420"/>
      </w:pPr>
      <w:r>
        <w:t>（</w:t>
      </w:r>
      <w:r>
        <w:t>1</w:t>
      </w:r>
      <w:r>
        <w:t>）保证公司经营管理活动的合法合规性；</w:t>
      </w:r>
    </w:p>
    <w:p w:rsidR="000D684F">
      <w:pPr>
        <w:spacing w:line="360" w:lineRule="auto"/>
        <w:ind w:firstLine="420"/>
      </w:pPr>
      <w:r>
        <w:t>（</w:t>
      </w:r>
      <w:r>
        <w:t>2</w:t>
      </w:r>
      <w:r>
        <w:t>）保证各类基金份额持有人及委托人的合法权益不受侵犯；</w:t>
      </w:r>
    </w:p>
    <w:p w:rsidR="000D684F">
      <w:pPr>
        <w:spacing w:line="360" w:lineRule="auto"/>
        <w:ind w:firstLine="420"/>
      </w:pPr>
      <w:r>
        <w:t>（</w:t>
      </w:r>
      <w:r>
        <w:t>3</w:t>
      </w:r>
      <w:r>
        <w:t>）防范和化解经营风险，提高经营管理效率，确保业务稳健经营运行和受托资产安全完整，实现公司的持续、健康发展，促进公司实现发展战略；</w:t>
      </w:r>
    </w:p>
    <w:p w:rsidR="000D684F">
      <w:pPr>
        <w:spacing w:line="360" w:lineRule="auto"/>
        <w:ind w:firstLine="420"/>
      </w:pPr>
      <w:r>
        <w:t>（</w:t>
      </w:r>
      <w:r>
        <w:t>4</w:t>
      </w:r>
      <w:r>
        <w:t>）督促公司全体员工恪守职业操守，正直诚信，廉洁自律，勤勉尽责；</w:t>
      </w:r>
    </w:p>
    <w:p w:rsidR="000D684F">
      <w:pPr>
        <w:spacing w:line="360" w:lineRule="auto"/>
        <w:ind w:firstLine="420"/>
      </w:pPr>
      <w:r>
        <w:t>（</w:t>
      </w:r>
      <w:r>
        <w:t>5</w:t>
      </w:r>
      <w:r>
        <w:t>）维护公司的声誉，保持公司的良好形象。</w:t>
      </w:r>
    </w:p>
    <w:p w:rsidR="000D684F">
      <w:pPr>
        <w:spacing w:line="360" w:lineRule="auto"/>
        <w:ind w:firstLine="420"/>
      </w:pPr>
      <w:r>
        <w:t>2</w:t>
      </w:r>
      <w:r>
        <w:t>、公司内部控制遵循的原则</w:t>
      </w:r>
    </w:p>
    <w:p w:rsidR="000D684F">
      <w:pPr>
        <w:spacing w:line="360" w:lineRule="auto"/>
        <w:ind w:firstLine="420"/>
      </w:pPr>
      <w:r>
        <w:t>（</w:t>
      </w:r>
      <w:r>
        <w:t>1</w:t>
      </w:r>
      <w:r>
        <w:t>）健全性原则。内部控制应当包括公司的各项业务、各个部门或机构和各级人员</w:t>
      </w:r>
      <w:r>
        <w:t>,</w:t>
      </w:r>
      <w:r>
        <w:t>并涵盖到决策、执行、监督、反馈等各个环节。</w:t>
      </w:r>
    </w:p>
    <w:p w:rsidR="000D684F">
      <w:pPr>
        <w:spacing w:line="360" w:lineRule="auto"/>
        <w:ind w:firstLine="420"/>
      </w:pPr>
      <w:r>
        <w:t>（</w:t>
      </w:r>
      <w:r>
        <w:t>2</w:t>
      </w:r>
      <w:r>
        <w:t>）有效性原则。通过科学的内控手段和方法，建立合理的内控程序，维护内控制度的有效执行。</w:t>
      </w:r>
    </w:p>
    <w:p w:rsidR="000D684F">
      <w:pPr>
        <w:spacing w:line="360" w:lineRule="auto"/>
        <w:ind w:firstLine="420"/>
      </w:pPr>
      <w:r>
        <w:t>（</w:t>
      </w:r>
      <w:r>
        <w:t>3</w:t>
      </w:r>
      <w:r>
        <w:t>）独立性原则。公司机构、部门和岗位职责应当保持相对独立，除非法律法规另有规定，公司基金资产、自有资产、其他资产的运作应当分离。</w:t>
      </w:r>
    </w:p>
    <w:p w:rsidR="000D684F">
      <w:pPr>
        <w:spacing w:line="360" w:lineRule="auto"/>
        <w:ind w:firstLine="420"/>
      </w:pPr>
      <w:r>
        <w:t>（</w:t>
      </w:r>
      <w:r>
        <w:t>4</w:t>
      </w:r>
      <w:r>
        <w:t>）相互制约原则。公司内部部门和岗位的设置应当体现权责分明、相互制衡。</w:t>
      </w:r>
    </w:p>
    <w:p w:rsidR="000D684F">
      <w:pPr>
        <w:spacing w:line="360" w:lineRule="auto"/>
        <w:ind w:firstLine="420"/>
      </w:pPr>
      <w:r>
        <w:t>（</w:t>
      </w:r>
      <w:r>
        <w:t>5</w:t>
      </w:r>
      <w:r>
        <w:t>）成本效益原则。公司运用科学化的经营管理方法降低运作成本，提高经济效益，力争以合理的控制成本达到最佳的内部控制效果。</w:t>
      </w:r>
    </w:p>
    <w:p w:rsidR="000D684F">
      <w:pPr>
        <w:spacing w:line="360" w:lineRule="auto"/>
        <w:ind w:firstLine="420"/>
      </w:pPr>
      <w:r>
        <w:t>3</w:t>
      </w:r>
      <w:r>
        <w:t>、内部控制的制度体系</w:t>
      </w:r>
    </w:p>
    <w:p w:rsidR="000D684F">
      <w:pPr>
        <w:spacing w:line="360" w:lineRule="auto"/>
        <w:ind w:firstLine="420"/>
      </w:pPr>
      <w:r>
        <w:t>公司制定了合理、完备、有效并易于执行的制度体系。公司制度体系由不同层面的制度构成。按照其效力大小分为四个层面：第一个层面是公司章程；第二个层面是公司内部控制大纲，它是公司制定各项规章制度的基础和依据；第三个层面是公司基本管理制度；第四个层面是部门和业务管理制度。它们的制订、修改、实施、废止应该遵循相应的程序，每一层面的内容不得与其以上层面的内容相违背。公司重视对制度的持续检验，结合业务的发展、法规及监管环境的变化以及公司风险控制的要求，不断检讨和增强公司制度的完备性、有效性。</w:t>
      </w:r>
    </w:p>
    <w:p w:rsidR="000D684F">
      <w:pPr>
        <w:spacing w:line="360" w:lineRule="auto"/>
        <w:ind w:firstLine="420"/>
      </w:pPr>
      <w:r>
        <w:t>4</w:t>
      </w:r>
      <w:r>
        <w:t>、关于授权、研究、投资、交易等方面的控制点</w:t>
      </w:r>
    </w:p>
    <w:p w:rsidR="000D684F">
      <w:pPr>
        <w:spacing w:line="360" w:lineRule="auto"/>
        <w:ind w:firstLine="420"/>
      </w:pPr>
      <w:r>
        <w:t>（</w:t>
      </w:r>
      <w:r>
        <w:t>1</w:t>
      </w:r>
      <w:r>
        <w:t>）授权制度</w:t>
      </w:r>
    </w:p>
    <w:p w:rsidR="000D684F">
      <w:pPr>
        <w:spacing w:line="360" w:lineRule="auto"/>
        <w:ind w:firstLine="420"/>
      </w:pPr>
      <w:r>
        <w:t>公司的授权制度贯穿于整个公司活动。股东会、董事会、监事会和管理层必须充分履行各自的职权，健全公司逐级授权制度，确保公司各项规章制度的贯彻执行；各项经营业务和管理程序必须遵从管理层制定的操作规程，经办人员的每一项工作必须是在业务授权范围内</w:t>
      </w:r>
      <w:r>
        <w:t>进行。公司重大业务的授权必须采取书面形式，授权书应当明确授权内容。公司授权应适当，对已获授权的部门和人员应建立有效的评价和反馈机制，对已不适用的授权应及时修改或取消授权。</w:t>
      </w:r>
    </w:p>
    <w:p w:rsidR="000D684F">
      <w:pPr>
        <w:spacing w:line="360" w:lineRule="auto"/>
        <w:ind w:firstLine="420"/>
      </w:pPr>
      <w:r>
        <w:t>（</w:t>
      </w:r>
      <w:r>
        <w:t>2</w:t>
      </w:r>
      <w:r>
        <w:t>）公司研究业务</w:t>
      </w:r>
    </w:p>
    <w:p w:rsidR="000D684F">
      <w:pPr>
        <w:spacing w:line="360" w:lineRule="auto"/>
        <w:ind w:firstLine="420"/>
      </w:pPr>
      <w:r>
        <w:t>研究工作应保持独立、客观，不受任何部门及个人的不正当影响；建立严谨的研究工作业务流程，形成科学、有效的研究方法；建立投资产品备选库制度，研究部门根据投资产品的特征，在充分研究的基础上建立和维护备选库。建立研究与投资的业务交流制度，保持畅通的交流渠道；建立研究报告质量评价体系，不断提高研究水平。</w:t>
      </w:r>
    </w:p>
    <w:p w:rsidR="000D684F">
      <w:pPr>
        <w:spacing w:line="360" w:lineRule="auto"/>
        <w:ind w:firstLine="420"/>
      </w:pPr>
      <w:r>
        <w:t>（</w:t>
      </w:r>
      <w:r>
        <w:t>3</w:t>
      </w:r>
      <w:r>
        <w:t>）基金投资业务</w:t>
      </w:r>
    </w:p>
    <w:p w:rsidR="000D684F">
      <w:pPr>
        <w:spacing w:line="360" w:lineRule="auto"/>
        <w:ind w:firstLine="420"/>
      </w:pPr>
      <w:r>
        <w:t>基金投资应确立科学的投资理念，根据风险防范原则和效率性原则制定合理的决策程序；在进行投资时应有明确的投资授权制度，并应建立与所授权限相应的约束制度和考核制度。建立严格的投资禁止和投资限制制度，保证基金投资的合法合规性。建立投资风险评估与管理制度，将重点投资限制在规定的风险权限范围内；建立科学的投资业绩评价体系，及时回顾分析和评估投资结果。</w:t>
      </w:r>
    </w:p>
    <w:p w:rsidR="000D684F">
      <w:pPr>
        <w:spacing w:line="360" w:lineRule="auto"/>
        <w:ind w:firstLine="420"/>
      </w:pPr>
      <w:r>
        <w:t>（</w:t>
      </w:r>
      <w:r>
        <w:t>4</w:t>
      </w:r>
      <w:r>
        <w:t>）交易业务</w:t>
      </w:r>
    </w:p>
    <w:p w:rsidR="000D684F">
      <w:pPr>
        <w:spacing w:line="360" w:lineRule="auto"/>
        <w:ind w:firstLine="420"/>
      </w:pPr>
      <w:r>
        <w:t>建立集中交易部门和集中交易制度，投资指令通过集中交易部门完成；建立交易监测系统、预警系统和交易反馈系统，完善相关的安全设施；集中交易部门应对交易指令进行审核，建立公平的交易分配制度，确保公平对待不同基金；完善交易记录，并及时进行反馈、核对和存档保管；建立科学的投资交易绩效评价体系。</w:t>
      </w:r>
    </w:p>
    <w:p w:rsidR="000D684F">
      <w:pPr>
        <w:spacing w:line="360" w:lineRule="auto"/>
        <w:ind w:firstLine="420"/>
      </w:pPr>
      <w:r>
        <w:t>（</w:t>
      </w:r>
      <w:r>
        <w:t>5</w:t>
      </w:r>
      <w:r>
        <w:t>）基金会计核算</w:t>
      </w:r>
    </w:p>
    <w:p w:rsidR="000D684F">
      <w:pPr>
        <w:spacing w:line="360" w:lineRule="auto"/>
        <w:ind w:firstLine="420"/>
      </w:pPr>
      <w:r>
        <w:t>公司根据法律法规及业务的要求建立会计制度，并根据风险控制点建立健全规范的系统和流程，以基金为会计核算主体，独立建账、独立核算。通过合理的估值方法和估值程序等会计措施，真实、完整、及时地记载每一笔业务并正确进行会计核算和业务核算。同时建立会计档案保管制度，确保档案真实完整。</w:t>
      </w:r>
    </w:p>
    <w:p w:rsidR="000D684F">
      <w:pPr>
        <w:spacing w:line="360" w:lineRule="auto"/>
        <w:ind w:firstLine="420"/>
      </w:pPr>
      <w:r>
        <w:t>（</w:t>
      </w:r>
      <w:r>
        <w:t>6</w:t>
      </w:r>
      <w:r>
        <w:t>）信息披露</w:t>
      </w:r>
    </w:p>
    <w:p w:rsidR="000D684F">
      <w:pPr>
        <w:spacing w:line="360" w:lineRule="auto"/>
        <w:ind w:firstLine="420"/>
      </w:pPr>
      <w:r>
        <w:t>公司建立了完备的信息披露制度，指定了信息披露负责人，并建立了相应的制度流程规范相关信息的收集、组织、审核和发布，努力确保公开披露的信息真实、准确、完整、及时。</w:t>
      </w:r>
    </w:p>
    <w:p w:rsidR="000D684F">
      <w:pPr>
        <w:spacing w:line="360" w:lineRule="auto"/>
        <w:ind w:firstLine="420"/>
      </w:pPr>
      <w:r>
        <w:t>（</w:t>
      </w:r>
      <w:r>
        <w:t>7</w:t>
      </w:r>
      <w:r>
        <w:t>）监察与合规管理</w:t>
      </w:r>
    </w:p>
    <w:p w:rsidR="000D684F">
      <w:pPr>
        <w:spacing w:line="360" w:lineRule="auto"/>
        <w:ind w:firstLine="420"/>
      </w:pPr>
      <w:r>
        <w:t>公司设立督察长，由董事会聘任，向董事会负责。根据公司监察与合规管理工作的需要</w:t>
      </w:r>
      <w:r>
        <w:t>和董事会授权，督察长可以列席公司相关会议，调阅公司相关档案资料，就内部控制制度的执行情况独立地履行检查、评价、报告、建议职能。督察长定期和不定期向董事会报告公司内部控制执行情况，董事会对督察长的报告进行审议。</w:t>
      </w:r>
    </w:p>
    <w:p w:rsidR="000D684F">
      <w:pPr>
        <w:spacing w:line="360" w:lineRule="auto"/>
        <w:ind w:firstLine="420"/>
      </w:pPr>
      <w:r>
        <w:t>公司设立监察合规管理部门，并保障其独立性。监察合规管理部门按照公司规定和督察长的安排履行监察与合规管理职责。</w:t>
      </w:r>
    </w:p>
    <w:p w:rsidR="000D684F">
      <w:pPr>
        <w:spacing w:line="360" w:lineRule="auto"/>
        <w:ind w:firstLine="420"/>
      </w:pPr>
      <w:r>
        <w:t>监察合规管理部门通过定期或不定期检查内部控制制度的执行情况，督促公司和旗下基金的管理运作规范进行。</w:t>
      </w:r>
    </w:p>
    <w:p w:rsidR="000D684F">
      <w:pPr>
        <w:spacing w:line="360" w:lineRule="auto"/>
        <w:ind w:firstLine="420"/>
      </w:pPr>
      <w:r>
        <w:t>公司董事会和管理层充分重视和支持监察与合规管理工作，对违反法律、法规和公司内部控制制度的，追究有关部门和人员的责任。</w:t>
      </w:r>
    </w:p>
    <w:p w:rsidR="000D684F">
      <w:pPr>
        <w:spacing w:line="360" w:lineRule="auto"/>
        <w:ind w:firstLine="420"/>
      </w:pPr>
      <w:r>
        <w:t>5</w:t>
      </w:r>
      <w:r>
        <w:t>、基金管理人关于内部控制制度声明书</w:t>
      </w:r>
    </w:p>
    <w:p w:rsidR="000D684F">
      <w:pPr>
        <w:spacing w:line="360" w:lineRule="auto"/>
        <w:ind w:firstLine="420"/>
      </w:pPr>
      <w:r>
        <w:t>（</w:t>
      </w:r>
      <w:r>
        <w:t>1</w:t>
      </w:r>
      <w:r>
        <w:t>）本公司承诺以上关于内部控制制度的披露真实、准确；</w:t>
      </w:r>
    </w:p>
    <w:p w:rsidR="00BA4B87"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w:t>
      </w:r>
      <w:r w:rsidRPr="001F61B7" w:rsidR="00052C9F">
        <w:rPr>
          <w:rStyle w:val="da"/>
          <w:rFonts w:asciiTheme="minorEastAsia" w:eastAsiaTheme="minorEastAsia" w:hAnsiTheme="minorEastAsia"/>
          <w:color w:val="000000" w:themeColor="text1"/>
        </w:rPr>
        <w:t>2</w:t>
      </w:r>
      <w:r w:rsidRPr="001F61B7">
        <w:rPr>
          <w:rStyle w:val="da"/>
          <w:rFonts w:asciiTheme="minorEastAsia" w:eastAsiaTheme="minorEastAsia" w:hAnsiTheme="minorEastAsia"/>
          <w:color w:val="000000" w:themeColor="text1"/>
        </w:rPr>
        <w:t>）本公司承诺根据市场变化和公司业务发展不断完善内部控制制度。</w:t>
      </w:r>
    </w:p>
    <w:p w:rsidR="00BA4B87" w:rsidRPr="001F61B7" w:rsidP="00C42A18">
      <w:pPr>
        <w:pStyle w:val="Heading1"/>
        <w:tabs>
          <w:tab w:val="left" w:pos="3544"/>
        </w:tabs>
        <w:spacing w:before="317" w:after="317" w:line="360" w:lineRule="auto"/>
        <w:ind w:firstLine="640"/>
        <w:rPr>
          <w:rFonts w:asciiTheme="minorEastAsia" w:eastAsiaTheme="minorEastAsia" w:hAnsiTheme="minorEastAsia"/>
          <w:color w:val="000000" w:themeColor="text1"/>
        </w:rPr>
      </w:pPr>
      <w:r w:rsidRPr="001F61B7">
        <w:rPr>
          <w:rFonts w:asciiTheme="minorEastAsia" w:eastAsiaTheme="minorEastAsia" w:hAnsiTheme="minorEastAsia"/>
          <w:bCs/>
          <w:color w:val="000000" w:themeColor="text1"/>
        </w:rPr>
        <w:br w:type="column"/>
      </w:r>
      <w:bookmarkStart w:id="22" w:name="_Toc332373471"/>
      <w:bookmarkStart w:id="23" w:name="_Toc80796268"/>
      <w:r w:rsidRPr="001F61B7">
        <w:rPr>
          <w:rFonts w:asciiTheme="minorEastAsia" w:eastAsiaTheme="minorEastAsia" w:hAnsiTheme="minorEastAsia"/>
          <w:color w:val="000000" w:themeColor="text1"/>
        </w:rPr>
        <w:t>四、基金托管人</w:t>
      </w:r>
      <w:bookmarkEnd w:id="22"/>
      <w:bookmarkEnd w:id="23"/>
    </w:p>
    <w:p w:rsidR="00EF38A0" w:rsidRPr="008C6EE7" w:rsidP="00EF38A0">
      <w:pPr>
        <w:spacing w:line="360" w:lineRule="auto"/>
        <w:ind w:firstLine="420" w:firstLineChars="200"/>
        <w:rPr>
          <w:rStyle w:val="da"/>
        </w:rPr>
      </w:pPr>
      <w:r w:rsidRPr="008C6EE7">
        <w:rPr>
          <w:rStyle w:val="da"/>
          <w:rFonts w:hint="eastAsia"/>
        </w:rPr>
        <w:t>（一）基本情况</w:t>
      </w:r>
    </w:p>
    <w:p w:rsidR="00EF38A0" w:rsidRPr="008C6EE7" w:rsidP="00EF38A0">
      <w:pPr>
        <w:spacing w:line="360" w:lineRule="auto"/>
        <w:ind w:firstLine="420" w:firstLineChars="200"/>
        <w:rPr>
          <w:rStyle w:val="da"/>
        </w:rPr>
      </w:pPr>
      <w:r w:rsidRPr="008C6EE7">
        <w:rPr>
          <w:rStyle w:val="da"/>
          <w:rFonts w:hint="eastAsia"/>
        </w:rPr>
        <w:t>名称：中国银行股份有限公司（简称</w:t>
      </w:r>
      <w:r w:rsidRPr="008C6EE7">
        <w:rPr>
          <w:rStyle w:val="da"/>
        </w:rPr>
        <w:t>“</w:t>
      </w:r>
      <w:r w:rsidRPr="008C6EE7">
        <w:rPr>
          <w:rStyle w:val="da"/>
          <w:rFonts w:hint="eastAsia"/>
        </w:rPr>
        <w:t>中国银行</w:t>
      </w:r>
      <w:r w:rsidRPr="008C6EE7">
        <w:rPr>
          <w:rStyle w:val="da"/>
        </w:rPr>
        <w:t>”</w:t>
      </w:r>
      <w:r w:rsidRPr="008C6EE7">
        <w:rPr>
          <w:rStyle w:val="da"/>
          <w:rFonts w:hint="eastAsia"/>
        </w:rPr>
        <w:t>）</w:t>
      </w:r>
    </w:p>
    <w:p w:rsidR="00EF38A0" w:rsidRPr="008C6EE7" w:rsidP="00EF38A0">
      <w:pPr>
        <w:spacing w:line="360" w:lineRule="auto"/>
        <w:ind w:firstLine="420" w:firstLineChars="200"/>
        <w:rPr>
          <w:rStyle w:val="da"/>
        </w:rPr>
      </w:pPr>
      <w:r w:rsidRPr="008C6EE7">
        <w:rPr>
          <w:rStyle w:val="da"/>
          <w:rFonts w:hint="eastAsia"/>
        </w:rPr>
        <w:t>住所及办公地址：北京市西城区复兴门内大街</w:t>
      </w:r>
      <w:r w:rsidRPr="008C6EE7">
        <w:rPr>
          <w:rStyle w:val="da"/>
        </w:rPr>
        <w:t>1</w:t>
      </w:r>
      <w:r w:rsidRPr="008C6EE7">
        <w:rPr>
          <w:rStyle w:val="da"/>
          <w:rFonts w:hint="eastAsia"/>
        </w:rPr>
        <w:t>号</w:t>
      </w:r>
    </w:p>
    <w:p w:rsidR="00EF38A0" w:rsidRPr="008C6EE7" w:rsidP="00EF38A0">
      <w:pPr>
        <w:spacing w:line="360" w:lineRule="auto"/>
        <w:ind w:firstLine="420" w:firstLineChars="200"/>
        <w:rPr>
          <w:rStyle w:val="da"/>
        </w:rPr>
      </w:pPr>
      <w:r w:rsidRPr="008C6EE7">
        <w:rPr>
          <w:rStyle w:val="da"/>
          <w:rFonts w:hint="eastAsia"/>
        </w:rPr>
        <w:t>首次注册登记日期：</w:t>
      </w:r>
      <w:smartTag w:uri="urn:schemas-microsoft-com:office:smarttags" w:element="chsdate">
        <w:smartTagPr>
          <w:attr w:name="Day" w:val="31"/>
          <w:attr w:name="IsLunarDate" w:val="False"/>
          <w:attr w:name="IsROCDate" w:val="False"/>
          <w:attr w:name="Month" w:val="10"/>
          <w:attr w:name="Year" w:val="1983"/>
        </w:smartTagPr>
        <w:r w:rsidRPr="008C6EE7">
          <w:rPr>
            <w:rStyle w:val="da"/>
            <w:rFonts w:hint="eastAsia"/>
          </w:rPr>
          <w:t>1983</w:t>
        </w:r>
        <w:r w:rsidRPr="008C6EE7">
          <w:rPr>
            <w:rStyle w:val="da"/>
            <w:rFonts w:hint="eastAsia"/>
          </w:rPr>
          <w:t>年</w:t>
        </w:r>
        <w:r w:rsidRPr="008C6EE7">
          <w:rPr>
            <w:rStyle w:val="da"/>
            <w:rFonts w:hint="eastAsia"/>
          </w:rPr>
          <w:t>10</w:t>
        </w:r>
        <w:r w:rsidRPr="008C6EE7">
          <w:rPr>
            <w:rStyle w:val="da"/>
            <w:rFonts w:hint="eastAsia"/>
          </w:rPr>
          <w:t>月</w:t>
        </w:r>
        <w:r w:rsidRPr="008C6EE7">
          <w:rPr>
            <w:rStyle w:val="da"/>
            <w:rFonts w:hint="eastAsia"/>
          </w:rPr>
          <w:t>31</w:t>
        </w:r>
        <w:r w:rsidRPr="008C6EE7">
          <w:rPr>
            <w:rStyle w:val="da"/>
            <w:rFonts w:hint="eastAsia"/>
          </w:rPr>
          <w:t>日</w:t>
        </w:r>
      </w:smartTag>
    </w:p>
    <w:p w:rsidR="00EF38A0" w:rsidRPr="008C6EE7" w:rsidP="00EF38A0">
      <w:pPr>
        <w:spacing w:line="360" w:lineRule="auto"/>
        <w:ind w:firstLine="420" w:firstLineChars="200"/>
        <w:rPr>
          <w:rStyle w:val="da"/>
        </w:rPr>
      </w:pPr>
      <w:r w:rsidRPr="008C6EE7">
        <w:rPr>
          <w:rStyle w:val="da"/>
          <w:rFonts w:hint="eastAsia"/>
        </w:rPr>
        <w:t>注册资本：人民币贰仟玖佰肆拾叁亿捌仟柒佰柒拾玖万壹仟贰佰肆拾壹元整</w:t>
      </w:r>
    </w:p>
    <w:p w:rsidR="00EF38A0" w:rsidRPr="008C6EE7" w:rsidP="00EF38A0">
      <w:pPr>
        <w:spacing w:line="360" w:lineRule="auto"/>
        <w:ind w:firstLine="420" w:firstLineChars="200"/>
        <w:rPr>
          <w:rStyle w:val="da"/>
        </w:rPr>
      </w:pPr>
      <w:r w:rsidRPr="008C6EE7">
        <w:rPr>
          <w:rStyle w:val="da"/>
          <w:rFonts w:hint="eastAsia"/>
        </w:rPr>
        <w:t>法定代表人：刘连舸</w:t>
      </w:r>
    </w:p>
    <w:p w:rsidR="00EF38A0" w:rsidRPr="008C6EE7" w:rsidP="00EF38A0">
      <w:pPr>
        <w:spacing w:line="360" w:lineRule="auto"/>
        <w:ind w:firstLine="420" w:firstLineChars="200"/>
        <w:rPr>
          <w:rStyle w:val="da"/>
        </w:rPr>
      </w:pPr>
      <w:r w:rsidRPr="008C6EE7">
        <w:rPr>
          <w:rStyle w:val="da"/>
          <w:rFonts w:hint="eastAsia"/>
        </w:rPr>
        <w:t>基金托管业务批准文号：中国证监会证监基字【</w:t>
      </w:r>
      <w:r w:rsidRPr="008C6EE7">
        <w:rPr>
          <w:rStyle w:val="da"/>
        </w:rPr>
        <w:t>1998</w:t>
      </w:r>
      <w:r w:rsidRPr="008C6EE7">
        <w:rPr>
          <w:rStyle w:val="da"/>
          <w:rFonts w:hint="eastAsia"/>
        </w:rPr>
        <w:t>】</w:t>
      </w:r>
      <w:r w:rsidRPr="008C6EE7">
        <w:rPr>
          <w:rStyle w:val="da"/>
        </w:rPr>
        <w:t xml:space="preserve">24 </w:t>
      </w:r>
      <w:r w:rsidRPr="008C6EE7">
        <w:rPr>
          <w:rStyle w:val="da"/>
          <w:rFonts w:hint="eastAsia"/>
        </w:rPr>
        <w:t>号</w:t>
      </w:r>
    </w:p>
    <w:p w:rsidR="00EF38A0" w:rsidRPr="008C6EE7" w:rsidP="00EF38A0">
      <w:pPr>
        <w:spacing w:line="360" w:lineRule="auto"/>
        <w:ind w:firstLine="420" w:firstLineChars="200"/>
        <w:rPr>
          <w:rStyle w:val="da"/>
        </w:rPr>
      </w:pPr>
      <w:r w:rsidRPr="008C6EE7">
        <w:rPr>
          <w:rStyle w:val="da"/>
          <w:rFonts w:hint="eastAsia"/>
        </w:rPr>
        <w:t>托管部门信息披露联系人：</w:t>
      </w:r>
      <w:r>
        <w:rPr>
          <w:rFonts w:ascii="宋体" w:hAnsi="宋体" w:hint="eastAsia"/>
          <w:szCs w:val="21"/>
        </w:rPr>
        <w:t>许俊</w:t>
      </w:r>
    </w:p>
    <w:p w:rsidR="00EF38A0" w:rsidRPr="008C6EE7" w:rsidP="00EF38A0">
      <w:pPr>
        <w:spacing w:line="360" w:lineRule="auto"/>
        <w:ind w:firstLine="420" w:firstLineChars="200"/>
        <w:rPr>
          <w:rStyle w:val="da"/>
        </w:rPr>
      </w:pPr>
      <w:r w:rsidRPr="008C6EE7">
        <w:rPr>
          <w:rStyle w:val="da"/>
          <w:rFonts w:hint="eastAsia"/>
        </w:rPr>
        <w:t>传真：（</w:t>
      </w:r>
      <w:r w:rsidRPr="008C6EE7">
        <w:rPr>
          <w:rStyle w:val="da"/>
        </w:rPr>
        <w:t>010</w:t>
      </w:r>
      <w:r w:rsidRPr="008C6EE7">
        <w:rPr>
          <w:rStyle w:val="da"/>
          <w:rFonts w:hint="eastAsia"/>
        </w:rPr>
        <w:t>）</w:t>
      </w:r>
      <w:r w:rsidRPr="008C6EE7">
        <w:rPr>
          <w:rStyle w:val="da"/>
        </w:rPr>
        <w:t>66594942</w:t>
      </w:r>
    </w:p>
    <w:p w:rsidR="00EF38A0" w:rsidRPr="008C6EE7" w:rsidP="00EF38A0">
      <w:pPr>
        <w:spacing w:line="360" w:lineRule="auto"/>
        <w:ind w:firstLine="420" w:firstLineChars="200"/>
        <w:rPr>
          <w:rStyle w:val="da"/>
        </w:rPr>
      </w:pPr>
      <w:r w:rsidRPr="008C6EE7">
        <w:rPr>
          <w:rStyle w:val="da"/>
          <w:rFonts w:hint="eastAsia"/>
        </w:rPr>
        <w:t>中国银行客服电话：</w:t>
      </w:r>
      <w:r w:rsidRPr="008C6EE7">
        <w:rPr>
          <w:rStyle w:val="da"/>
          <w:rFonts w:hint="eastAsia"/>
        </w:rPr>
        <w:t>95566</w:t>
      </w:r>
    </w:p>
    <w:p w:rsidR="00EF38A0" w:rsidRPr="008C6EE7" w:rsidP="00EF38A0">
      <w:pPr>
        <w:spacing w:line="360" w:lineRule="auto"/>
        <w:ind w:firstLine="420" w:firstLineChars="200"/>
        <w:rPr>
          <w:rStyle w:val="da"/>
        </w:rPr>
      </w:pPr>
      <w:r w:rsidRPr="008C6EE7">
        <w:rPr>
          <w:rStyle w:val="da"/>
          <w:rFonts w:hint="eastAsia"/>
        </w:rPr>
        <w:t>（二）基金托管部门及主要人员情况</w:t>
      </w:r>
    </w:p>
    <w:p w:rsidR="00EF38A0" w:rsidRPr="008C6EE7" w:rsidP="00EF38A0">
      <w:pPr>
        <w:spacing w:line="360" w:lineRule="auto"/>
        <w:ind w:firstLine="420" w:firstLineChars="200"/>
        <w:rPr>
          <w:rStyle w:val="da"/>
        </w:rPr>
      </w:pPr>
      <w:r w:rsidRPr="008C6EE7">
        <w:rPr>
          <w:rStyle w:val="da"/>
          <w:rFonts w:hint="eastAsia"/>
        </w:rPr>
        <w:t>中国银行托管业务部设立于</w:t>
      </w:r>
      <w:r w:rsidRPr="008C6EE7">
        <w:rPr>
          <w:rStyle w:val="da"/>
        </w:rPr>
        <w:t>1998</w:t>
      </w:r>
      <w:r w:rsidRPr="008C6EE7">
        <w:rPr>
          <w:rStyle w:val="da"/>
          <w:rFonts w:hint="eastAsia"/>
        </w:rPr>
        <w:t>年，现有员工</w:t>
      </w:r>
      <w:r w:rsidRPr="008C6EE7">
        <w:rPr>
          <w:rStyle w:val="da"/>
          <w:rFonts w:hint="eastAsia"/>
        </w:rPr>
        <w:t>110</w:t>
      </w:r>
      <w:r w:rsidRPr="008C6EE7">
        <w:rPr>
          <w:rStyle w:val="da"/>
          <w:rFonts w:hint="eastAsia"/>
        </w:rPr>
        <w:t>余人，大部分员工具有丰富的银行、证券、基金、信托从业经验，且具有海外工作、学习或培训经历，</w:t>
      </w:r>
      <w:bookmarkStart w:id="24" w:name="OLE_LINK1"/>
      <w:r w:rsidRPr="008C6EE7">
        <w:rPr>
          <w:rStyle w:val="da"/>
          <w:rFonts w:hint="eastAsia"/>
        </w:rPr>
        <w:t>60</w:t>
      </w:r>
      <w:r w:rsidRPr="008C6EE7">
        <w:rPr>
          <w:rStyle w:val="da"/>
          <w:rFonts w:hint="eastAsia"/>
        </w:rPr>
        <w:t>％以上的员工具有硕士以上学位或高级职称</w:t>
      </w:r>
      <w:bookmarkEnd w:id="24"/>
      <w:r w:rsidRPr="008C6EE7">
        <w:rPr>
          <w:rStyle w:val="da"/>
          <w:rFonts w:hint="eastAsia"/>
        </w:rPr>
        <w:t>。为给客户提供专业化的托管服务，中国银行已在境内、外分行开展托管业务。</w:t>
      </w:r>
    </w:p>
    <w:p w:rsidR="00EF38A0" w:rsidRPr="008C6EE7" w:rsidP="00EF38A0">
      <w:pPr>
        <w:spacing w:line="360" w:lineRule="auto"/>
        <w:ind w:firstLine="420" w:firstLineChars="200"/>
        <w:rPr>
          <w:rStyle w:val="da"/>
        </w:rPr>
      </w:pPr>
      <w:r w:rsidRPr="008C6EE7">
        <w:rPr>
          <w:rStyle w:val="da"/>
          <w:rFonts w:hint="eastAsia"/>
        </w:rPr>
        <w:t>作为国内首批开展证券投资基金托管业务的商业银行，中国银行拥有证券投资基金、基金（一对多、一对一）、社保基金、保险资金、</w:t>
      </w:r>
      <w:r w:rsidRPr="008C6EE7">
        <w:rPr>
          <w:rStyle w:val="da"/>
        </w:rPr>
        <w:t>QFII</w:t>
      </w:r>
      <w:r w:rsidRPr="008C6EE7">
        <w:rPr>
          <w:rStyle w:val="da"/>
          <w:rFonts w:hint="eastAsia"/>
        </w:rPr>
        <w:t>、</w:t>
      </w:r>
      <w:r w:rsidRPr="008C6EE7">
        <w:rPr>
          <w:rStyle w:val="da"/>
          <w:rFonts w:hint="eastAsia"/>
        </w:rPr>
        <w:t>RQFII</w:t>
      </w:r>
      <w:r w:rsidRPr="008C6EE7">
        <w:rPr>
          <w:rStyle w:val="da"/>
          <w:rFonts w:hint="eastAsia"/>
        </w:rPr>
        <w:t>、</w:t>
      </w:r>
      <w:r w:rsidRPr="008C6EE7">
        <w:rPr>
          <w:rStyle w:val="da"/>
        </w:rPr>
        <w:t>QDII</w:t>
      </w:r>
      <w:r w:rsidRPr="008C6EE7">
        <w:rPr>
          <w:rStyle w:val="da"/>
          <w:rFonts w:hint="eastAsia"/>
        </w:rPr>
        <w:t>、境外三类机构、券商资产管理计划、信托计划、企业年金、银行理财产品、股权基金、私募基金、资金托管等</w:t>
      </w:r>
      <w:r w:rsidRPr="008C6EE7">
        <w:rPr>
          <w:rStyle w:val="da"/>
        </w:rPr>
        <w:t>门类齐全</w:t>
      </w:r>
      <w:r w:rsidRPr="008C6EE7">
        <w:rPr>
          <w:rStyle w:val="da"/>
          <w:rFonts w:hint="eastAsia"/>
        </w:rPr>
        <w:t>、产品丰富</w:t>
      </w:r>
      <w:r w:rsidRPr="008C6EE7">
        <w:rPr>
          <w:rStyle w:val="da"/>
        </w:rPr>
        <w:t>的托管</w:t>
      </w:r>
      <w:r w:rsidRPr="008C6EE7">
        <w:rPr>
          <w:rStyle w:val="da"/>
          <w:rFonts w:hint="eastAsia"/>
        </w:rPr>
        <w:t>业务</w:t>
      </w:r>
      <w:r w:rsidRPr="008C6EE7">
        <w:rPr>
          <w:rStyle w:val="da"/>
        </w:rPr>
        <w:t>体系</w:t>
      </w:r>
      <w:r w:rsidRPr="008C6EE7">
        <w:rPr>
          <w:rStyle w:val="da"/>
          <w:rFonts w:hint="eastAsia"/>
        </w:rPr>
        <w:t>。在国</w:t>
      </w:r>
      <w:r w:rsidRPr="008C6EE7">
        <w:rPr>
          <w:rStyle w:val="da"/>
        </w:rPr>
        <w:t>内</w:t>
      </w:r>
      <w:r w:rsidRPr="008C6EE7">
        <w:rPr>
          <w:rStyle w:val="da"/>
          <w:rFonts w:hint="eastAsia"/>
        </w:rPr>
        <w:t>，中国银行首家</w:t>
      </w:r>
      <w:r w:rsidRPr="008C6EE7">
        <w:rPr>
          <w:rStyle w:val="da"/>
        </w:rPr>
        <w:t>开展绩效评估、风险</w:t>
      </w:r>
      <w:r w:rsidRPr="008C6EE7">
        <w:rPr>
          <w:rStyle w:val="da"/>
          <w:rFonts w:hint="eastAsia"/>
        </w:rPr>
        <w:t>分析</w:t>
      </w:r>
      <w:r w:rsidRPr="008C6EE7">
        <w:rPr>
          <w:rStyle w:val="da"/>
        </w:rPr>
        <w:t>等增值服务，为各类客户提供个性化的托管</w:t>
      </w:r>
      <w:r w:rsidRPr="008C6EE7">
        <w:rPr>
          <w:rStyle w:val="da"/>
          <w:rFonts w:hint="eastAsia"/>
        </w:rPr>
        <w:t>增值</w:t>
      </w:r>
      <w:r w:rsidRPr="008C6EE7">
        <w:rPr>
          <w:rStyle w:val="da"/>
        </w:rPr>
        <w:t>服务</w:t>
      </w:r>
      <w:r w:rsidRPr="008C6EE7">
        <w:rPr>
          <w:rStyle w:val="da"/>
          <w:rFonts w:hint="eastAsia"/>
        </w:rPr>
        <w:t>，是国内领先的大型中资托管银行。</w:t>
      </w:r>
    </w:p>
    <w:p w:rsidR="00EF38A0" w:rsidRPr="008C6EE7" w:rsidP="00EF38A0">
      <w:pPr>
        <w:spacing w:line="360" w:lineRule="auto"/>
        <w:ind w:firstLine="420" w:firstLineChars="200"/>
        <w:rPr>
          <w:rStyle w:val="da"/>
        </w:rPr>
      </w:pPr>
      <w:r w:rsidRPr="008C6EE7">
        <w:rPr>
          <w:rStyle w:val="da"/>
          <w:rFonts w:hint="eastAsia"/>
        </w:rPr>
        <w:t>（三）证券投资基金托管情况</w:t>
      </w:r>
    </w:p>
    <w:p w:rsidR="00EF38A0" w:rsidRPr="00513E45" w:rsidP="00EF38A0">
      <w:pPr>
        <w:spacing w:line="360" w:lineRule="auto"/>
        <w:ind w:firstLine="420" w:firstLineChars="200"/>
        <w:rPr>
          <w:rStyle w:val="da"/>
        </w:rPr>
      </w:pPr>
      <w:r w:rsidRPr="004C4E54">
        <w:rPr>
          <w:rStyle w:val="da"/>
          <w:rFonts w:hint="eastAsia"/>
        </w:rPr>
        <w:t>截至</w:t>
      </w:r>
      <w:r w:rsidRPr="004C4E54">
        <w:rPr>
          <w:rStyle w:val="da"/>
          <w:rFonts w:hint="eastAsia"/>
        </w:rPr>
        <w:t>2021</w:t>
      </w:r>
      <w:r w:rsidRPr="004C4E54">
        <w:rPr>
          <w:rStyle w:val="da"/>
          <w:rFonts w:hint="eastAsia"/>
        </w:rPr>
        <w:t>年</w:t>
      </w:r>
      <w:r w:rsidRPr="004C4E54">
        <w:rPr>
          <w:rStyle w:val="da"/>
          <w:rFonts w:hint="eastAsia"/>
        </w:rPr>
        <w:t>9</w:t>
      </w:r>
      <w:r w:rsidRPr="004C4E54">
        <w:rPr>
          <w:rStyle w:val="da"/>
          <w:rFonts w:hint="eastAsia"/>
        </w:rPr>
        <w:t>月</w:t>
      </w:r>
      <w:r w:rsidRPr="004C4E54">
        <w:rPr>
          <w:rStyle w:val="da"/>
          <w:rFonts w:hint="eastAsia"/>
        </w:rPr>
        <w:t>30</w:t>
      </w:r>
      <w:r w:rsidRPr="004C4E54">
        <w:rPr>
          <w:rStyle w:val="da"/>
          <w:rFonts w:hint="eastAsia"/>
        </w:rPr>
        <w:t>日，中国银行已托管</w:t>
      </w:r>
      <w:r w:rsidRPr="004C4E54">
        <w:rPr>
          <w:rStyle w:val="da"/>
          <w:rFonts w:hint="eastAsia"/>
        </w:rPr>
        <w:t>968</w:t>
      </w:r>
      <w:r w:rsidRPr="004C4E54">
        <w:rPr>
          <w:rStyle w:val="da"/>
          <w:rFonts w:hint="eastAsia"/>
        </w:rPr>
        <w:t>只证券投资基金，其中境内基金</w:t>
      </w:r>
      <w:r w:rsidRPr="004C4E54">
        <w:rPr>
          <w:rStyle w:val="da"/>
          <w:rFonts w:hint="eastAsia"/>
        </w:rPr>
        <w:t>920</w:t>
      </w:r>
      <w:r w:rsidRPr="004C4E54">
        <w:rPr>
          <w:rStyle w:val="da"/>
          <w:rFonts w:hint="eastAsia"/>
        </w:rPr>
        <w:t>只，</w:t>
      </w:r>
      <w:r w:rsidRPr="004C4E54">
        <w:rPr>
          <w:rStyle w:val="da"/>
          <w:rFonts w:hint="eastAsia"/>
        </w:rPr>
        <w:t>QDII</w:t>
      </w:r>
      <w:r w:rsidRPr="004C4E54">
        <w:rPr>
          <w:rStyle w:val="da"/>
          <w:rFonts w:hint="eastAsia"/>
        </w:rPr>
        <w:t>基金</w:t>
      </w:r>
      <w:r w:rsidRPr="004C4E54">
        <w:rPr>
          <w:rStyle w:val="da"/>
          <w:rFonts w:hint="eastAsia"/>
        </w:rPr>
        <w:t>48</w:t>
      </w:r>
      <w:r w:rsidRPr="004C4E54">
        <w:rPr>
          <w:rStyle w:val="da"/>
          <w:rFonts w:hint="eastAsia"/>
        </w:rPr>
        <w:t>只，覆盖了股票型、债券型、混合型、货币型、指数型、</w:t>
      </w:r>
      <w:r w:rsidRPr="004C4E54">
        <w:rPr>
          <w:rStyle w:val="da"/>
          <w:rFonts w:hint="eastAsia"/>
        </w:rPr>
        <w:t>FOF</w:t>
      </w:r>
      <w:r w:rsidRPr="004C4E54">
        <w:rPr>
          <w:rStyle w:val="da"/>
          <w:rFonts w:hint="eastAsia"/>
        </w:rPr>
        <w:t>等多种类型的基金，满足了不同客户多元化的投资理财需求，基金托管规模位居同业前列</w:t>
      </w:r>
      <w:r w:rsidRPr="00513E45">
        <w:rPr>
          <w:rStyle w:val="da"/>
          <w:rFonts w:hint="eastAsia"/>
        </w:rPr>
        <w:t>。</w:t>
      </w:r>
    </w:p>
    <w:p w:rsidR="00EF38A0" w:rsidRPr="008C6EE7" w:rsidP="00EF38A0">
      <w:pPr>
        <w:spacing w:line="360" w:lineRule="auto"/>
        <w:ind w:firstLine="420" w:firstLineChars="200"/>
        <w:rPr>
          <w:rStyle w:val="da"/>
        </w:rPr>
      </w:pPr>
      <w:r w:rsidRPr="008C6EE7">
        <w:rPr>
          <w:rStyle w:val="da"/>
          <w:rFonts w:hint="eastAsia"/>
        </w:rPr>
        <w:t>（四）托管业务的内部控制制度</w:t>
      </w:r>
    </w:p>
    <w:p w:rsidR="00EF38A0" w:rsidRPr="00BD4C3C" w:rsidP="00EF38A0">
      <w:pPr>
        <w:spacing w:line="360" w:lineRule="auto"/>
        <w:ind w:firstLine="420" w:firstLineChars="200"/>
        <w:rPr>
          <w:rStyle w:val="da"/>
        </w:rPr>
      </w:pPr>
      <w:r w:rsidRPr="00BD4C3C">
        <w:rPr>
          <w:rStyle w:val="da"/>
          <w:rFonts w:hint="eastAsia"/>
        </w:rPr>
        <w:t>中国银行托管业务部风险管理与控制工作是中国银行全面风险控制工作的组成部分，秉</w:t>
      </w:r>
      <w:r w:rsidRPr="00BD4C3C">
        <w:rPr>
          <w:rStyle w:val="da"/>
          <w:rFonts w:hint="eastAsia"/>
        </w:rPr>
        <w:t>承中国银行风险控制理念，坚持“规范运作、稳健经营”的原则。中国银行托管业务部风险控制工作贯穿业务各环节，通过风险识别与评估、风险控制措施设定及制度建设、内外部检查及审计等措施强化托管业务全员、全面、全程的风险管控。</w:t>
      </w:r>
    </w:p>
    <w:p w:rsidR="00EF38A0" w:rsidRPr="008C6EE7" w:rsidP="00EF38A0">
      <w:pPr>
        <w:spacing w:line="360" w:lineRule="auto"/>
        <w:ind w:firstLine="420" w:firstLineChars="200"/>
        <w:rPr>
          <w:rStyle w:val="da"/>
        </w:rPr>
      </w:pPr>
      <w:r w:rsidRPr="00BD4C3C">
        <w:rPr>
          <w:rStyle w:val="da"/>
          <w:rFonts w:hint="eastAsia"/>
        </w:rPr>
        <w:t>2007</w:t>
      </w:r>
      <w:r w:rsidRPr="00BD4C3C">
        <w:rPr>
          <w:rStyle w:val="da"/>
          <w:rFonts w:hint="eastAsia"/>
        </w:rPr>
        <w:t>年起，中国银行连续聘请外部会计会计师事务所开展托管业务内部控制审阅工作。先后获得基于</w:t>
      </w:r>
      <w:r w:rsidRPr="00BD4C3C">
        <w:rPr>
          <w:rStyle w:val="da"/>
          <w:rFonts w:hint="eastAsia"/>
        </w:rPr>
        <w:t xml:space="preserve"> </w:t>
      </w:r>
      <w:r w:rsidRPr="00BD4C3C">
        <w:rPr>
          <w:rStyle w:val="da"/>
          <w:rFonts w:hint="eastAsia"/>
        </w:rPr>
        <w:t>“</w:t>
      </w:r>
      <w:r w:rsidRPr="00BD4C3C">
        <w:rPr>
          <w:rStyle w:val="da"/>
          <w:rFonts w:hint="eastAsia"/>
        </w:rPr>
        <w:t>SAS70</w:t>
      </w:r>
      <w:r w:rsidRPr="00BD4C3C">
        <w:rPr>
          <w:rStyle w:val="da"/>
          <w:rFonts w:hint="eastAsia"/>
        </w:rPr>
        <w:t>”、“</w:t>
      </w:r>
      <w:r w:rsidRPr="00BD4C3C">
        <w:rPr>
          <w:rStyle w:val="da"/>
          <w:rFonts w:hint="eastAsia"/>
        </w:rPr>
        <w:t>AAF01/06</w:t>
      </w:r>
      <w:r w:rsidRPr="00BD4C3C">
        <w:rPr>
          <w:rStyle w:val="da"/>
          <w:rFonts w:hint="eastAsia"/>
        </w:rPr>
        <w:t>”</w:t>
      </w:r>
      <w:r w:rsidR="004C4E54">
        <w:rPr>
          <w:rStyle w:val="da"/>
          <w:rFonts w:hint="eastAsia"/>
        </w:rPr>
        <w:t>、</w:t>
      </w:r>
      <w:r w:rsidRPr="00BD4C3C">
        <w:rPr>
          <w:rStyle w:val="da"/>
          <w:rFonts w:hint="eastAsia"/>
        </w:rPr>
        <w:t>“</w:t>
      </w:r>
      <w:r w:rsidRPr="00BD4C3C">
        <w:rPr>
          <w:rStyle w:val="da"/>
          <w:rFonts w:hint="eastAsia"/>
        </w:rPr>
        <w:t>ISAE3402</w:t>
      </w:r>
      <w:r w:rsidRPr="00BD4C3C">
        <w:rPr>
          <w:rStyle w:val="da"/>
          <w:rFonts w:hint="eastAsia"/>
        </w:rPr>
        <w:t>”和“</w:t>
      </w:r>
      <w:r w:rsidRPr="00BD4C3C">
        <w:rPr>
          <w:rStyle w:val="da"/>
          <w:rFonts w:hint="eastAsia"/>
        </w:rPr>
        <w:t>SSAE16</w:t>
      </w:r>
      <w:r w:rsidRPr="00BD4C3C">
        <w:rPr>
          <w:rStyle w:val="da"/>
          <w:rFonts w:hint="eastAsia"/>
        </w:rPr>
        <w:t>”等国际主流内控审阅准则的无保留意见的审阅报告。</w:t>
      </w:r>
      <w:r w:rsidRPr="00BD4C3C">
        <w:rPr>
          <w:rStyle w:val="da"/>
          <w:rFonts w:hint="eastAsia"/>
        </w:rPr>
        <w:t>2020</w:t>
      </w:r>
      <w:r w:rsidRPr="00BD4C3C">
        <w:rPr>
          <w:rStyle w:val="da"/>
          <w:rFonts w:hint="eastAsia"/>
        </w:rPr>
        <w:t>年，中国银行继续获得了基于“</w:t>
      </w:r>
      <w:r w:rsidRPr="00BD4C3C">
        <w:rPr>
          <w:rStyle w:val="da"/>
          <w:rFonts w:hint="eastAsia"/>
        </w:rPr>
        <w:t>ISAE3402</w:t>
      </w:r>
      <w:r w:rsidRPr="00BD4C3C">
        <w:rPr>
          <w:rStyle w:val="da"/>
          <w:rFonts w:hint="eastAsia"/>
        </w:rPr>
        <w:t>”和“</w:t>
      </w:r>
      <w:r w:rsidRPr="00BD4C3C">
        <w:rPr>
          <w:rStyle w:val="da"/>
          <w:rFonts w:hint="eastAsia"/>
        </w:rPr>
        <w:t>SSAE16</w:t>
      </w:r>
      <w:r w:rsidRPr="00BD4C3C">
        <w:rPr>
          <w:rStyle w:val="da"/>
          <w:rFonts w:hint="eastAsia"/>
        </w:rPr>
        <w:t>”双准则的内部控制审计报告。中国银行托管业务内控制度完善，内控措施严密，能够有效保证托管资产的安全。</w:t>
      </w:r>
    </w:p>
    <w:p w:rsidR="00EF38A0" w:rsidRPr="008C6EE7" w:rsidP="00EF38A0">
      <w:pPr>
        <w:spacing w:line="360" w:lineRule="auto"/>
        <w:ind w:firstLine="420" w:firstLineChars="200"/>
        <w:rPr>
          <w:rStyle w:val="da"/>
        </w:rPr>
      </w:pPr>
      <w:r w:rsidRPr="008C6EE7">
        <w:rPr>
          <w:rStyle w:val="da"/>
          <w:rFonts w:hint="eastAsia"/>
        </w:rPr>
        <w:t>（五）托管人对管理人运作基金进行监督的方法和程序</w:t>
      </w:r>
    </w:p>
    <w:p w:rsidR="00EF38A0" w:rsidRPr="008C6EE7" w:rsidP="00EF38A0">
      <w:pPr>
        <w:spacing w:line="360" w:lineRule="auto"/>
        <w:ind w:firstLine="420" w:firstLineChars="200"/>
        <w:rPr>
          <w:rStyle w:val="da"/>
        </w:rPr>
      </w:pPr>
      <w:r w:rsidRPr="008C6EE7">
        <w:rPr>
          <w:rStyle w:val="da"/>
          <w:rFonts w:hint="eastAsia"/>
        </w:rPr>
        <w:t>根据《中华人民共和国证券投资基金法》、《公开募集证券投资基金运作管理办法》的相关规定，基金托管人发现基金管理人的投资指令违反法律、行政法规和其他有关规定，或者违反基金合同约定的，应当拒绝执行，及时通知基金管理人，并及时向国务院证券监督管理机构报告。基金托管人如发现基金管理人依据交易程序已经生效的投资指令违反法律、行政法规和其他有关规定，或者违反基金合同约定的</w:t>
      </w:r>
      <w:r w:rsidRPr="008C6EE7">
        <w:rPr>
          <w:rStyle w:val="da"/>
        </w:rPr>
        <w:t>,</w:t>
      </w:r>
      <w:r w:rsidRPr="008C6EE7">
        <w:rPr>
          <w:rStyle w:val="da"/>
          <w:rFonts w:hint="eastAsia"/>
        </w:rPr>
        <w:t>应当及时通知基金管理人，并及时向国务院证券监督管理机构报告。</w:t>
      </w:r>
    </w:p>
    <w:p w:rsidR="00F507EA" w:rsidRPr="00EF38A0" w:rsidP="00EF38A0">
      <w:r>
        <w:t xml:space="preserve"> </w:t>
      </w:r>
      <w:r>
        <w:br w:type="page"/>
      </w:r>
    </w:p>
    <w:p w:rsidR="00BA4B87" w:rsidRPr="001F61B7" w:rsidP="00C42A18">
      <w:pPr>
        <w:pStyle w:val="111"/>
        <w:tabs>
          <w:tab w:val="left" w:pos="3544"/>
        </w:tabs>
        <w:spacing w:before="317" w:after="317" w:line="360" w:lineRule="auto"/>
        <w:ind w:firstLine="640"/>
        <w:rPr>
          <w:rFonts w:asciiTheme="minorEastAsia" w:eastAsiaTheme="minorEastAsia" w:hAnsiTheme="minorEastAsia"/>
          <w:color w:val="000000" w:themeColor="text1"/>
          <w:szCs w:val="32"/>
        </w:rPr>
      </w:pPr>
      <w:bookmarkStart w:id="25" w:name="_Toc80796269"/>
      <w:r w:rsidRPr="001F61B7">
        <w:rPr>
          <w:rFonts w:asciiTheme="minorEastAsia" w:eastAsiaTheme="minorEastAsia" w:hAnsiTheme="minorEastAsia"/>
          <w:color w:val="000000" w:themeColor="text1"/>
          <w:szCs w:val="21"/>
        </w:rPr>
        <w:t>五、相关服务机构</w:t>
      </w:r>
      <w:bookmarkEnd w:id="25"/>
    </w:p>
    <w:p w:rsidR="00406584"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bookmarkStart w:id="26" w:name="_Toc332373482"/>
      <w:r w:rsidRPr="001F61B7">
        <w:rPr>
          <w:rStyle w:val="da"/>
          <w:rFonts w:asciiTheme="minorEastAsia" w:eastAsiaTheme="minorEastAsia" w:hAnsiTheme="minorEastAsia"/>
          <w:color w:val="000000" w:themeColor="text1"/>
        </w:rPr>
        <w:t>（一）基金份额</w:t>
      </w:r>
      <w:r>
        <w:rPr>
          <w:rStyle w:val="da"/>
          <w:rFonts w:asciiTheme="minorEastAsia" w:eastAsiaTheme="minorEastAsia" w:hAnsiTheme="minorEastAsia"/>
          <w:color w:val="000000" w:themeColor="text1"/>
        </w:rPr>
        <w:t>销售</w:t>
      </w:r>
      <w:r w:rsidRPr="001F61B7">
        <w:rPr>
          <w:rStyle w:val="da"/>
          <w:rFonts w:asciiTheme="minorEastAsia" w:eastAsiaTheme="minorEastAsia" w:hAnsiTheme="minorEastAsia"/>
          <w:color w:val="000000" w:themeColor="text1"/>
        </w:rPr>
        <w:t>机构</w:t>
      </w:r>
    </w:p>
    <w:p w:rsidR="00406584"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1、</w:t>
      </w:r>
      <w:r>
        <w:rPr>
          <w:rStyle w:val="da"/>
          <w:rFonts w:asciiTheme="minorEastAsia" w:eastAsiaTheme="minorEastAsia" w:hAnsiTheme="minorEastAsia"/>
          <w:color w:val="000000" w:themeColor="text1"/>
        </w:rPr>
        <w:t>场内申购、赎回代办证券公司</w:t>
      </w:r>
    </w:p>
    <w:p w:rsidR="008E2DFD" w:rsidRPr="001F61B7" w:rsidP="008E2DFD">
      <w:pPr>
        <w:tabs>
          <w:tab w:val="left" w:pos="3544"/>
        </w:tabs>
        <w:spacing w:line="360" w:lineRule="auto"/>
        <w:ind w:firstLine="420" w:firstLineChars="200"/>
        <w:rPr>
          <w:rStyle w:val="da"/>
          <w:rFonts w:asciiTheme="minorEastAsia" w:eastAsiaTheme="minorEastAsia" w:hAnsiTheme="minorEastAsia"/>
          <w:color w:val="000000" w:themeColor="text1"/>
        </w:rPr>
      </w:pPr>
      <w:r w:rsidRPr="00C50AE9">
        <w:rPr>
          <w:rStyle w:val="da"/>
          <w:rFonts w:asciiTheme="minorEastAsia" w:eastAsiaTheme="minorEastAsia" w:hAnsiTheme="minorEastAsia" w:hint="eastAsia"/>
          <w:color w:val="000000" w:themeColor="text1"/>
        </w:rPr>
        <w:t>本基金场内申购、赎回代办证券公司信息详见基金管理人网站公示。</w:t>
      </w:r>
    </w:p>
    <w:p w:rsidR="00C50AE9"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Pr>
          <w:rStyle w:val="da"/>
          <w:rFonts w:asciiTheme="minorEastAsia" w:eastAsiaTheme="minorEastAsia" w:hAnsiTheme="minorEastAsia" w:hint="eastAsia"/>
          <w:color w:val="000000" w:themeColor="text1"/>
        </w:rPr>
        <w:t>2、二级市场交易代办证券公司</w:t>
      </w:r>
    </w:p>
    <w:p w:rsidR="008E2DFD"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Pr>
          <w:rStyle w:val="da"/>
          <w:rFonts w:asciiTheme="minorEastAsia" w:eastAsiaTheme="minorEastAsia" w:hAnsiTheme="minorEastAsia"/>
          <w:color w:val="000000" w:themeColor="text1"/>
        </w:rPr>
        <w:t>投资者在深圳证券交易所各会员单位证券营业部均可参与基金二级市场交易。</w:t>
      </w:r>
    </w:p>
    <w:p w:rsidR="00406584"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（二）登记结算机构</w:t>
      </w:r>
    </w:p>
    <w:p w:rsidR="00406584"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 xml:space="preserve">名称：中国证券登记结算有限责任公司 </w:t>
      </w:r>
    </w:p>
    <w:p w:rsidR="00406584"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 xml:space="preserve">住所：北京市西城区太平桥大街 17 号 </w:t>
      </w:r>
    </w:p>
    <w:p w:rsidR="00406584"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t>法定代表人：于文强</w:t>
      </w:r>
    </w:p>
    <w:p w:rsidR="000D4492"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联系人：严峰</w:t>
      </w:r>
    </w:p>
    <w:p w:rsidR="000D4492"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电话：（0755）25946013</w:t>
      </w:r>
    </w:p>
    <w:p w:rsidR="00406584"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传真：（0755）25987122</w:t>
      </w:r>
    </w:p>
    <w:p w:rsidR="00406584"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（三）出具法律意见书的律师事务所</w:t>
      </w:r>
    </w:p>
    <w:p w:rsidR="00406584"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律师事务所：广东金桥百信律师事务所</w:t>
      </w:r>
    </w:p>
    <w:p w:rsidR="00406584"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地址：广州市珠江新城珠江东路16号高德置地冬广场G座24楼</w:t>
      </w:r>
    </w:p>
    <w:p w:rsidR="00406584"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负责人：聂卫国</w:t>
      </w:r>
    </w:p>
    <w:p w:rsidR="00406584"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电话：020-83338668</w:t>
      </w:r>
    </w:p>
    <w:p w:rsidR="00406584"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传真：020-83338088</w:t>
      </w:r>
    </w:p>
    <w:p w:rsidR="00406584"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经办律师：</w:t>
      </w:r>
      <w:r w:rsidRPr="001F61B7" w:rsidR="00D006C8">
        <w:rPr>
          <w:rStyle w:val="da"/>
          <w:rFonts w:asciiTheme="minorEastAsia" w:eastAsiaTheme="minorEastAsia" w:hAnsiTheme="minorEastAsia" w:hint="eastAsia"/>
          <w:color w:val="000000" w:themeColor="text1"/>
        </w:rPr>
        <w:t>石向阳、莫哲</w:t>
      </w:r>
    </w:p>
    <w:p w:rsidR="00406584"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联系人：</w:t>
      </w:r>
      <w:r w:rsidRPr="001F61B7" w:rsidR="00D006C8">
        <w:rPr>
          <w:rStyle w:val="da"/>
          <w:rFonts w:asciiTheme="minorEastAsia" w:eastAsiaTheme="minorEastAsia" w:hAnsiTheme="minorEastAsia" w:hint="eastAsia"/>
          <w:color w:val="000000" w:themeColor="text1"/>
        </w:rPr>
        <w:t>石向阳</w:t>
      </w:r>
    </w:p>
    <w:p w:rsidR="00406584"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（四）会计师事务所和经办注册会计师</w:t>
      </w:r>
    </w:p>
    <w:p w:rsidR="00406584"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本基金的法定验资机构为安永华明会计师事务所（特殊普通合伙）</w:t>
      </w:r>
    </w:p>
    <w:p w:rsidR="00406584"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 xml:space="preserve">会计师事务所：安永华明会计师事务所（特殊普通合伙） </w:t>
      </w:r>
    </w:p>
    <w:p w:rsidR="00406584"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 xml:space="preserve">主要经营场所：北京市东城区东长安街1号东方广场安永大楼17层01-12室 </w:t>
      </w:r>
    </w:p>
    <w:p w:rsidR="00406584"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执行事务合伙人：Tony Mao 毛鞍宁</w:t>
      </w:r>
    </w:p>
    <w:p w:rsidR="00406584"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 xml:space="preserve">电话：010-58153000 </w:t>
      </w:r>
    </w:p>
    <w:p w:rsidR="00406584"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 xml:space="preserve">传真：010-85188298 </w:t>
      </w:r>
    </w:p>
    <w:p w:rsidR="00406584"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经办注册会计师：赵雅</w:t>
      </w:r>
      <w:r w:rsidRPr="001F61B7" w:rsidR="00B37ACA">
        <w:rPr>
          <w:rStyle w:val="da"/>
          <w:rFonts w:asciiTheme="minorEastAsia" w:eastAsiaTheme="minorEastAsia" w:hAnsiTheme="minorEastAsia"/>
          <w:color w:val="000000" w:themeColor="text1"/>
        </w:rPr>
        <w:t>、马婧</w:t>
      </w:r>
    </w:p>
    <w:p w:rsidR="00406584"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联系人：赵雅</w:t>
      </w:r>
    </w:p>
    <w:p w:rsidR="00406584"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本基金的年度财务报表及其他规定事项的审计机构为普华永道中天会计师事务所(特殊普通合伙)。</w:t>
      </w:r>
    </w:p>
    <w:p w:rsidR="00406584"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会计师事务所：普华永道中天会计师事务所（特殊普通合伙）</w:t>
      </w:r>
    </w:p>
    <w:p w:rsidR="00406584"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住所：上海市湖滨路202号普华永道中心11楼</w:t>
      </w:r>
    </w:p>
    <w:p w:rsidR="00406584"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办公地址：上海市湖滨路202号普华永道中心11楼</w:t>
      </w:r>
    </w:p>
    <w:p w:rsidR="00406584"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首席合伙人：李丹</w:t>
      </w:r>
    </w:p>
    <w:p w:rsidR="00406584"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电话：（021）23238888</w:t>
      </w:r>
    </w:p>
    <w:p w:rsidR="00406584"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传真：（021）23238800</w:t>
      </w:r>
    </w:p>
    <w:p w:rsidR="00406584"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经办注册会计师：</w:t>
      </w:r>
      <w:r w:rsidRPr="001F61B7" w:rsidR="00EB66FD">
        <w:rPr>
          <w:rFonts w:asciiTheme="minorEastAsia" w:eastAsiaTheme="minorEastAsia" w:hAnsiTheme="minorEastAsia"/>
          <w:color w:val="000000" w:themeColor="text1"/>
        </w:rPr>
        <w:t>陈熹</w:t>
      </w:r>
      <w:r w:rsidRPr="001F61B7" w:rsidR="00EB66FD">
        <w:rPr>
          <w:rFonts w:asciiTheme="minorEastAsia" w:eastAsiaTheme="minorEastAsia" w:hAnsiTheme="minorEastAsia"/>
          <w:color w:val="000000" w:themeColor="text1"/>
          <w:szCs w:val="21"/>
        </w:rPr>
        <w:t>、</w:t>
      </w:r>
      <w:r w:rsidRPr="001F61B7" w:rsidR="00C94D2B">
        <w:rPr>
          <w:rFonts w:asciiTheme="minorEastAsia" w:eastAsiaTheme="minorEastAsia" w:hAnsiTheme="minorEastAsia" w:hint="eastAsia"/>
          <w:color w:val="000000" w:themeColor="text1"/>
        </w:rPr>
        <w:t>陈轶杰</w:t>
      </w:r>
    </w:p>
    <w:p w:rsidR="00406584"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联系人：周祎</w:t>
      </w:r>
    </w:p>
    <w:p w:rsidR="00BA4B87" w:rsidRPr="001F61B7" w:rsidP="00C42A18">
      <w:pPr>
        <w:pStyle w:val="Heading1"/>
        <w:pageBreakBefore/>
        <w:tabs>
          <w:tab w:val="left" w:pos="3544"/>
        </w:tabs>
        <w:spacing w:before="317" w:after="317" w:line="360" w:lineRule="auto"/>
        <w:ind w:firstLine="640"/>
        <w:rPr>
          <w:rFonts w:asciiTheme="minorEastAsia" w:eastAsiaTheme="minorEastAsia" w:hAnsiTheme="minorEastAsia"/>
          <w:bCs/>
          <w:color w:val="000000" w:themeColor="text1"/>
        </w:rPr>
      </w:pPr>
      <w:bookmarkStart w:id="27" w:name="_Toc332373486"/>
      <w:bookmarkStart w:id="28" w:name="_Toc80796270"/>
      <w:bookmarkEnd w:id="26"/>
      <w:r w:rsidRPr="001F61B7">
        <w:rPr>
          <w:rFonts w:asciiTheme="minorEastAsia" w:eastAsiaTheme="minorEastAsia" w:hAnsiTheme="minorEastAsia"/>
          <w:bCs/>
          <w:color w:val="000000" w:themeColor="text1"/>
        </w:rPr>
        <w:t>六、基金的募集</w:t>
      </w:r>
      <w:bookmarkEnd w:id="27"/>
      <w:bookmarkEnd w:id="28"/>
    </w:p>
    <w:p w:rsidR="00EB66FD"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Fonts w:asciiTheme="minorEastAsia" w:eastAsiaTheme="minorEastAsia" w:hAnsiTheme="minorEastAsia"/>
          <w:color w:val="000000" w:themeColor="text1"/>
          <w:szCs w:val="21"/>
        </w:rPr>
        <w:t>本基金</w:t>
      </w:r>
      <w:r w:rsidRPr="001F61B7" w:rsidR="00CC3603">
        <w:rPr>
          <w:rFonts w:asciiTheme="minorEastAsia" w:eastAsiaTheme="minorEastAsia" w:hAnsiTheme="minorEastAsia"/>
          <w:color w:val="000000" w:themeColor="text1"/>
          <w:szCs w:val="21"/>
        </w:rPr>
        <w:t>的募集</w:t>
      </w:r>
      <w:r w:rsidRPr="001F61B7">
        <w:rPr>
          <w:rFonts w:asciiTheme="minorEastAsia" w:eastAsiaTheme="minorEastAsia" w:hAnsiTheme="minorEastAsia"/>
          <w:color w:val="000000" w:themeColor="text1"/>
          <w:szCs w:val="21"/>
        </w:rPr>
        <w:t>由基金管理人依照《基金法》、《运作办法》、《销售办法》</w:t>
      </w:r>
      <w:r w:rsidRPr="001F61B7" w:rsidR="00CC3603">
        <w:rPr>
          <w:rStyle w:val="da"/>
          <w:rFonts w:asciiTheme="minorEastAsia" w:eastAsiaTheme="minorEastAsia" w:hAnsiTheme="minorEastAsia"/>
          <w:color w:val="000000" w:themeColor="text1"/>
        </w:rPr>
        <w:t>、《信息披露办法》</w:t>
      </w:r>
      <w:r w:rsidRPr="001F61B7">
        <w:rPr>
          <w:rFonts w:asciiTheme="minorEastAsia" w:eastAsiaTheme="minorEastAsia" w:hAnsiTheme="minorEastAsia"/>
          <w:color w:val="000000" w:themeColor="text1"/>
          <w:szCs w:val="21"/>
        </w:rPr>
        <w:t>、基金合同</w:t>
      </w:r>
      <w:r w:rsidRPr="001F61B7" w:rsidR="00CC3603">
        <w:rPr>
          <w:rStyle w:val="da"/>
          <w:rFonts w:asciiTheme="minorEastAsia" w:eastAsiaTheme="minorEastAsia" w:hAnsiTheme="minorEastAsia"/>
          <w:color w:val="000000" w:themeColor="text1"/>
        </w:rPr>
        <w:t>及其他有关</w:t>
      </w:r>
      <w:r w:rsidRPr="001F61B7">
        <w:rPr>
          <w:rFonts w:asciiTheme="minorEastAsia" w:eastAsiaTheme="minorEastAsia" w:hAnsiTheme="minorEastAsia"/>
          <w:color w:val="000000" w:themeColor="text1"/>
          <w:szCs w:val="21"/>
        </w:rPr>
        <w:t>规定</w:t>
      </w:r>
      <w:r w:rsidRPr="001F61B7" w:rsidR="00CC3603">
        <w:rPr>
          <w:rFonts w:asciiTheme="minorEastAsia" w:eastAsiaTheme="minorEastAsia" w:hAnsiTheme="minorEastAsia"/>
          <w:color w:val="000000" w:themeColor="text1"/>
          <w:szCs w:val="21"/>
        </w:rPr>
        <w:t>募集。本基金已</w:t>
      </w:r>
      <w:r w:rsidRPr="001F61B7">
        <w:rPr>
          <w:rFonts w:asciiTheme="minorEastAsia" w:eastAsiaTheme="minorEastAsia" w:hAnsiTheme="minorEastAsia"/>
          <w:color w:val="000000" w:themeColor="text1"/>
          <w:szCs w:val="21"/>
        </w:rPr>
        <w:t>经中国证券监督管理委员会20</w:t>
      </w:r>
      <w:r w:rsidRPr="001F61B7" w:rsidR="004F7FE0">
        <w:rPr>
          <w:rFonts w:asciiTheme="minorEastAsia" w:eastAsiaTheme="minorEastAsia" w:hAnsiTheme="minorEastAsia"/>
          <w:color w:val="000000" w:themeColor="text1"/>
          <w:szCs w:val="21"/>
        </w:rPr>
        <w:t>20</w:t>
      </w:r>
      <w:r w:rsidRPr="001F61B7">
        <w:rPr>
          <w:rFonts w:asciiTheme="minorEastAsia" w:eastAsiaTheme="minorEastAsia" w:hAnsiTheme="minorEastAsia"/>
          <w:color w:val="000000" w:themeColor="text1"/>
          <w:szCs w:val="21"/>
        </w:rPr>
        <w:t>年</w:t>
      </w:r>
      <w:r w:rsidRPr="001F61B7" w:rsidR="00137E13">
        <w:rPr>
          <w:rFonts w:asciiTheme="minorEastAsia" w:eastAsiaTheme="minorEastAsia" w:hAnsiTheme="minorEastAsia"/>
          <w:color w:val="000000" w:themeColor="text1"/>
          <w:szCs w:val="21"/>
        </w:rPr>
        <w:t>2</w:t>
      </w:r>
      <w:r w:rsidRPr="001F61B7">
        <w:rPr>
          <w:rFonts w:asciiTheme="minorEastAsia" w:eastAsiaTheme="minorEastAsia" w:hAnsiTheme="minorEastAsia"/>
          <w:color w:val="000000" w:themeColor="text1"/>
          <w:szCs w:val="21"/>
        </w:rPr>
        <w:t>月</w:t>
      </w:r>
      <w:r w:rsidRPr="001F61B7" w:rsidR="00137E13">
        <w:rPr>
          <w:rFonts w:asciiTheme="minorEastAsia" w:eastAsiaTheme="minorEastAsia" w:hAnsiTheme="minorEastAsia"/>
          <w:color w:val="000000" w:themeColor="text1"/>
          <w:szCs w:val="21"/>
        </w:rPr>
        <w:t>10</w:t>
      </w:r>
      <w:r w:rsidRPr="001F61B7">
        <w:rPr>
          <w:rFonts w:asciiTheme="minorEastAsia" w:eastAsiaTheme="minorEastAsia" w:hAnsiTheme="minorEastAsia"/>
          <w:color w:val="000000" w:themeColor="text1"/>
          <w:szCs w:val="21"/>
        </w:rPr>
        <w:t>日《关于准予易方达</w:t>
      </w:r>
      <w:r w:rsidRPr="001F61B7" w:rsidR="00FD375F">
        <w:rPr>
          <w:rFonts w:asciiTheme="minorEastAsia" w:eastAsiaTheme="minorEastAsia" w:hAnsiTheme="minorEastAsia"/>
          <w:color w:val="000000" w:themeColor="text1"/>
          <w:szCs w:val="21"/>
        </w:rPr>
        <w:t>中证科技50</w:t>
      </w:r>
      <w:r w:rsidRPr="001F61B7">
        <w:rPr>
          <w:rFonts w:asciiTheme="minorEastAsia" w:eastAsiaTheme="minorEastAsia" w:hAnsiTheme="minorEastAsia"/>
          <w:color w:val="000000" w:themeColor="text1"/>
          <w:szCs w:val="21"/>
        </w:rPr>
        <w:t>交易型开放式指数证券投资基金注册的批复》（证监许可【20</w:t>
      </w:r>
      <w:r w:rsidRPr="001F61B7" w:rsidR="004F7FE0">
        <w:rPr>
          <w:rFonts w:asciiTheme="minorEastAsia" w:eastAsiaTheme="minorEastAsia" w:hAnsiTheme="minorEastAsia"/>
          <w:color w:val="000000" w:themeColor="text1"/>
          <w:szCs w:val="21"/>
        </w:rPr>
        <w:t>20</w:t>
      </w:r>
      <w:r w:rsidRPr="001F61B7">
        <w:rPr>
          <w:rFonts w:asciiTheme="minorEastAsia" w:eastAsiaTheme="minorEastAsia" w:hAnsiTheme="minorEastAsia"/>
          <w:color w:val="000000" w:themeColor="text1"/>
          <w:szCs w:val="21"/>
        </w:rPr>
        <w:t>】</w:t>
      </w:r>
      <w:r w:rsidRPr="001F61B7" w:rsidR="00137E13">
        <w:rPr>
          <w:rFonts w:asciiTheme="minorEastAsia" w:eastAsiaTheme="minorEastAsia" w:hAnsiTheme="minorEastAsia"/>
          <w:color w:val="000000" w:themeColor="text1"/>
          <w:szCs w:val="21"/>
        </w:rPr>
        <w:t>235</w:t>
      </w:r>
      <w:r w:rsidRPr="001F61B7">
        <w:rPr>
          <w:rFonts w:asciiTheme="minorEastAsia" w:eastAsiaTheme="minorEastAsia" w:hAnsiTheme="minorEastAsia"/>
          <w:color w:val="000000" w:themeColor="text1"/>
          <w:szCs w:val="21"/>
        </w:rPr>
        <w:t>号）注册。</w:t>
      </w:r>
    </w:p>
    <w:p w:rsidR="00FB5D5A"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本基金为交易型开放式股票基金、指数基金</w:t>
      </w:r>
      <w:r w:rsidRPr="001F61B7">
        <w:rPr>
          <w:rStyle w:val="da"/>
          <w:rFonts w:asciiTheme="minorEastAsia" w:eastAsiaTheme="minorEastAsia" w:hAnsiTheme="minorEastAsia" w:hint="eastAsia"/>
          <w:color w:val="000000" w:themeColor="text1"/>
        </w:rPr>
        <w:t>，</w:t>
      </w:r>
      <w:r w:rsidRPr="001F61B7">
        <w:rPr>
          <w:rStyle w:val="da"/>
          <w:rFonts w:asciiTheme="minorEastAsia" w:eastAsiaTheme="minorEastAsia" w:hAnsiTheme="minorEastAsia"/>
          <w:color w:val="000000" w:themeColor="text1"/>
        </w:rPr>
        <w:t>基金的存续期</w:t>
      </w:r>
      <w:r w:rsidRPr="001F61B7">
        <w:rPr>
          <w:rStyle w:val="da"/>
          <w:rFonts w:asciiTheme="minorEastAsia" w:eastAsiaTheme="minorEastAsia" w:hAnsiTheme="minorEastAsia" w:hint="eastAsia"/>
          <w:color w:val="000000" w:themeColor="text1"/>
        </w:rPr>
        <w:t>为不定期。</w:t>
      </w:r>
    </w:p>
    <w:p w:rsidR="00FB5D5A"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hint="eastAsia"/>
          <w:color w:val="000000" w:themeColor="text1"/>
        </w:rPr>
        <w:t>本基金募集期间每份基金份额初始面值为人民币1.00元。</w:t>
      </w:r>
    </w:p>
    <w:p w:rsidR="00FB5D5A"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hint="eastAsia"/>
          <w:color w:val="000000" w:themeColor="text1"/>
        </w:rPr>
        <w:t>本基金募集期</w:t>
      </w:r>
      <w:r w:rsidRPr="001F61B7" w:rsidR="00ED058A">
        <w:rPr>
          <w:rStyle w:val="da"/>
          <w:rFonts w:asciiTheme="minorEastAsia" w:eastAsiaTheme="minorEastAsia" w:hAnsiTheme="minorEastAsia" w:hint="eastAsia"/>
          <w:color w:val="000000" w:themeColor="text1"/>
        </w:rPr>
        <w:t>为</w:t>
      </w:r>
      <w:r w:rsidRPr="001F61B7" w:rsidR="00360228">
        <w:rPr>
          <w:rStyle w:val="da"/>
          <w:rFonts w:asciiTheme="minorEastAsia" w:eastAsiaTheme="minorEastAsia" w:hAnsiTheme="minorEastAsia" w:hint="eastAsia"/>
          <w:color w:val="000000" w:themeColor="text1"/>
        </w:rPr>
        <w:t>2020年3月9日</w:t>
      </w:r>
      <w:r w:rsidRPr="001F61B7">
        <w:rPr>
          <w:rStyle w:val="da"/>
          <w:rFonts w:asciiTheme="minorEastAsia" w:eastAsiaTheme="minorEastAsia" w:hAnsiTheme="minorEastAsia" w:hint="eastAsia"/>
          <w:color w:val="000000" w:themeColor="text1"/>
        </w:rPr>
        <w:t>。</w:t>
      </w:r>
    </w:p>
    <w:p w:rsidR="00CC3603"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募集对象</w:t>
      </w:r>
      <w:r w:rsidRPr="001F61B7" w:rsidR="00FB5D5A">
        <w:rPr>
          <w:rStyle w:val="da"/>
          <w:rFonts w:asciiTheme="minorEastAsia" w:eastAsiaTheme="minorEastAsia" w:hAnsiTheme="minorEastAsia"/>
          <w:color w:val="000000" w:themeColor="text1"/>
        </w:rPr>
        <w:t>为</w:t>
      </w:r>
      <w:r w:rsidRPr="001F61B7">
        <w:rPr>
          <w:rStyle w:val="da"/>
          <w:rFonts w:asciiTheme="minorEastAsia" w:eastAsiaTheme="minorEastAsia" w:hAnsiTheme="minorEastAsia"/>
          <w:color w:val="000000" w:themeColor="text1"/>
        </w:rPr>
        <w:t>符合法律法规规定的可投资于证券投资基金的个人投资者、机构投资者、合格境外机构投资者和人民币合格境外机构投资者以及法律法规或中国证监会允许购买证券投资基金的其他投资人。</w:t>
      </w:r>
    </w:p>
    <w:p w:rsidR="00BA4B87" w:rsidRPr="001F61B7" w:rsidP="00C42A18">
      <w:pPr>
        <w:pStyle w:val="Heading1"/>
        <w:pageBreakBefore/>
        <w:tabs>
          <w:tab w:val="left" w:pos="3544"/>
        </w:tabs>
        <w:spacing w:before="317" w:after="317" w:line="360" w:lineRule="auto"/>
        <w:ind w:firstLine="640"/>
        <w:rPr>
          <w:rFonts w:asciiTheme="minorEastAsia" w:eastAsiaTheme="minorEastAsia" w:hAnsiTheme="minorEastAsia"/>
          <w:color w:val="000000" w:themeColor="text1"/>
        </w:rPr>
      </w:pPr>
      <w:bookmarkStart w:id="29" w:name="_Toc332373495"/>
      <w:bookmarkStart w:id="30" w:name="_Toc80796271"/>
      <w:r w:rsidRPr="001F61B7">
        <w:rPr>
          <w:rFonts w:asciiTheme="minorEastAsia" w:eastAsiaTheme="minorEastAsia" w:hAnsiTheme="minorEastAsia"/>
          <w:bCs/>
          <w:color w:val="000000" w:themeColor="text1"/>
        </w:rPr>
        <w:t>七、基金合同的生效</w:t>
      </w:r>
      <w:bookmarkEnd w:id="29"/>
      <w:bookmarkEnd w:id="30"/>
    </w:p>
    <w:p w:rsidR="00360228"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hint="eastAsia"/>
          <w:color w:val="000000" w:themeColor="text1"/>
          <w:szCs w:val="21"/>
        </w:rPr>
        <w:t>（一）基金合同的生效</w:t>
      </w:r>
    </w:p>
    <w:p w:rsidR="00360228"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Fonts w:asciiTheme="minorEastAsia" w:eastAsiaTheme="minorEastAsia" w:hAnsiTheme="minorEastAsia" w:hint="eastAsia"/>
          <w:color w:val="000000" w:themeColor="text1"/>
          <w:szCs w:val="21"/>
        </w:rPr>
        <w:t>本基金基金合同于2020年3月16日正式生效。自基金合同生效日起，本基金管理人正式开始管理本基金。</w:t>
      </w:r>
    </w:p>
    <w:p w:rsidR="00406584"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Style w:val="da"/>
          <w:rFonts w:asciiTheme="minorEastAsia" w:eastAsiaTheme="minorEastAsia" w:hAnsiTheme="minorEastAsia" w:hint="eastAsia"/>
          <w:color w:val="000000" w:themeColor="text1"/>
          <w:szCs w:val="21"/>
        </w:rPr>
        <w:t>（二）</w:t>
      </w:r>
      <w:r w:rsidRPr="001F61B7">
        <w:rPr>
          <w:rFonts w:asciiTheme="minorEastAsia" w:eastAsiaTheme="minorEastAsia" w:hAnsiTheme="minorEastAsia"/>
          <w:color w:val="000000" w:themeColor="text1"/>
          <w:szCs w:val="21"/>
        </w:rPr>
        <w:t>基金存续期内的基金份额持有人数量和资产规模</w:t>
      </w:r>
    </w:p>
    <w:p w:rsidR="00CC3603"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基金合同》生效后，连续20个工作日出现基金份额持有人数量不满200人或者基金资产净值低于5000万元情形的，基金管理人应当在定期报告中予以披露；连续50个工作日出现前述情形的，本基金将根据基金合同的约定进行基金财产清算并终止，而无需召开基金份额持有人大会。</w:t>
      </w:r>
    </w:p>
    <w:p w:rsidR="006F2492"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color w:val="000000" w:themeColor="text1"/>
          <w:szCs w:val="21"/>
        </w:rPr>
        <w:t>若届时的法律法规或中国证监会规定发生变化，上述规定被取消、更改或补充时，则本基金可以参照届时有效的法律法规或中国证监会规定执行。基金合同另有规定时，从其规定。</w:t>
      </w:r>
    </w:p>
    <w:p w:rsidR="00BA4B87" w:rsidRPr="001F61B7" w:rsidP="00C42A18">
      <w:pPr>
        <w:pStyle w:val="Heading1"/>
        <w:tabs>
          <w:tab w:val="left" w:pos="3544"/>
        </w:tabs>
        <w:spacing w:before="317" w:after="317" w:line="360" w:lineRule="auto"/>
        <w:ind w:firstLine="480"/>
        <w:rPr>
          <w:rFonts w:asciiTheme="minorEastAsia" w:eastAsiaTheme="minorEastAsia" w:hAnsiTheme="minorEastAsia"/>
          <w:color w:val="000000" w:themeColor="text1"/>
        </w:rPr>
      </w:pPr>
      <w:r w:rsidRPr="001F61B7">
        <w:rPr>
          <w:rFonts w:asciiTheme="minorEastAsia" w:eastAsiaTheme="minorEastAsia" w:hAnsiTheme="minorEastAsia"/>
          <w:color w:val="000000" w:themeColor="text1"/>
          <w:sz w:val="24"/>
        </w:rPr>
        <w:br w:type="column"/>
      </w:r>
      <w:bookmarkStart w:id="31" w:name="_Toc332373499"/>
      <w:bookmarkStart w:id="32" w:name="_Toc80796272"/>
      <w:r w:rsidRPr="001F61B7">
        <w:rPr>
          <w:rFonts w:asciiTheme="minorEastAsia" w:eastAsiaTheme="minorEastAsia" w:hAnsiTheme="minorEastAsia"/>
          <w:color w:val="000000" w:themeColor="text1"/>
        </w:rPr>
        <w:t>八、</w:t>
      </w:r>
      <w:r w:rsidRPr="001F61B7" w:rsidR="00871BF2">
        <w:rPr>
          <w:rFonts w:asciiTheme="minorEastAsia" w:eastAsiaTheme="minorEastAsia" w:hAnsiTheme="minorEastAsia"/>
          <w:color w:val="000000" w:themeColor="text1"/>
        </w:rPr>
        <w:t>基金份额的上市交易</w:t>
      </w:r>
      <w:bookmarkEnd w:id="31"/>
      <w:bookmarkEnd w:id="32"/>
    </w:p>
    <w:p w:rsidR="00BB1B5B"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bookmarkStart w:id="33" w:name="_Toc332373500"/>
      <w:r w:rsidRPr="001F61B7">
        <w:rPr>
          <w:rStyle w:val="da"/>
          <w:rFonts w:asciiTheme="minorEastAsia" w:eastAsiaTheme="minorEastAsia" w:hAnsiTheme="minorEastAsia"/>
          <w:color w:val="000000" w:themeColor="text1"/>
          <w:szCs w:val="21"/>
        </w:rPr>
        <w:t>（一）基金份额上市</w:t>
      </w:r>
    </w:p>
    <w:p w:rsidR="00CC3603"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基金合同生效后，具备下列条件的，基金管理人可依据《深圳证券交易所证券投资基金上市规则》，向深圳证券交易所申请上市：</w:t>
      </w:r>
    </w:p>
    <w:p w:rsidR="00CC3603"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1、基金募集金额（含募集的股票市值）不低于2亿元；</w:t>
      </w:r>
    </w:p>
    <w:p w:rsidR="00CC3603"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2、基金份额持有人不少于1,000人；</w:t>
      </w:r>
    </w:p>
    <w:p w:rsidR="00CC3603"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3、《深圳证券交易所证券投资基金上市规则》规定的其他条件。</w:t>
      </w:r>
    </w:p>
    <w:p w:rsidR="002A2689" w:rsidRPr="001F61B7" w:rsidP="002A2689">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Fonts w:asciiTheme="minorEastAsia" w:eastAsiaTheme="minorEastAsia" w:hAnsiTheme="minorEastAsia" w:hint="eastAsia"/>
          <w:color w:val="000000" w:themeColor="text1"/>
        </w:rPr>
        <w:t>本基金已于</w:t>
      </w:r>
      <w:r w:rsidRPr="001F61B7">
        <w:rPr>
          <w:rFonts w:asciiTheme="minorEastAsia" w:eastAsiaTheme="minorEastAsia" w:hAnsiTheme="minorEastAsia"/>
          <w:color w:val="000000" w:themeColor="text1"/>
        </w:rPr>
        <w:t>2020</w:t>
      </w:r>
      <w:r w:rsidRPr="001F61B7">
        <w:rPr>
          <w:rFonts w:asciiTheme="minorEastAsia" w:eastAsiaTheme="minorEastAsia" w:hAnsiTheme="minorEastAsia" w:hint="eastAsia"/>
          <w:color w:val="000000" w:themeColor="text1"/>
        </w:rPr>
        <w:t>年</w:t>
      </w:r>
      <w:r w:rsidRPr="001F61B7">
        <w:rPr>
          <w:rFonts w:asciiTheme="minorEastAsia" w:eastAsiaTheme="minorEastAsia" w:hAnsiTheme="minorEastAsia"/>
          <w:color w:val="000000" w:themeColor="text1"/>
        </w:rPr>
        <w:t>3</w:t>
      </w:r>
      <w:r w:rsidRPr="001F61B7">
        <w:rPr>
          <w:rFonts w:asciiTheme="minorEastAsia" w:eastAsiaTheme="minorEastAsia" w:hAnsiTheme="minorEastAsia" w:hint="eastAsia"/>
          <w:color w:val="000000" w:themeColor="text1"/>
        </w:rPr>
        <w:t>月</w:t>
      </w:r>
      <w:r w:rsidRPr="001F61B7">
        <w:rPr>
          <w:rFonts w:asciiTheme="minorEastAsia" w:eastAsiaTheme="minorEastAsia" w:hAnsiTheme="minorEastAsia"/>
          <w:color w:val="000000" w:themeColor="text1"/>
        </w:rPr>
        <w:t>30</w:t>
      </w:r>
      <w:r w:rsidRPr="001F61B7">
        <w:rPr>
          <w:rFonts w:asciiTheme="minorEastAsia" w:eastAsiaTheme="minorEastAsia" w:hAnsiTheme="minorEastAsia" w:hint="eastAsia"/>
          <w:color w:val="000000" w:themeColor="text1"/>
        </w:rPr>
        <w:t>日通过深圳证券交易所上市交易（场内简称：</w:t>
      </w:r>
      <w:r w:rsidRPr="001F61B7" w:rsidR="00780135">
        <w:rPr>
          <w:rFonts w:asciiTheme="minorEastAsia" w:eastAsiaTheme="minorEastAsia" w:hAnsiTheme="minorEastAsia" w:hint="eastAsia"/>
          <w:color w:val="000000" w:themeColor="text1"/>
        </w:rPr>
        <w:t>科技E</w:t>
      </w:r>
      <w:r w:rsidRPr="001F61B7" w:rsidR="00780135">
        <w:rPr>
          <w:rFonts w:asciiTheme="minorEastAsia" w:eastAsiaTheme="minorEastAsia" w:hAnsiTheme="minorEastAsia"/>
          <w:color w:val="000000" w:themeColor="text1"/>
        </w:rPr>
        <w:t>TF，</w:t>
      </w:r>
      <w:r w:rsidRPr="001F61B7">
        <w:rPr>
          <w:rFonts w:asciiTheme="minorEastAsia" w:eastAsiaTheme="minorEastAsia" w:hAnsiTheme="minorEastAsia" w:hint="eastAsia"/>
          <w:color w:val="000000" w:themeColor="text1"/>
        </w:rPr>
        <w:t>基金代码：</w:t>
      </w:r>
      <w:r w:rsidRPr="001F61B7">
        <w:rPr>
          <w:rFonts w:asciiTheme="minorEastAsia" w:eastAsiaTheme="minorEastAsia" w:hAnsiTheme="minorEastAsia"/>
          <w:color w:val="000000" w:themeColor="text1"/>
        </w:rPr>
        <w:t>159807</w:t>
      </w:r>
      <w:r w:rsidRPr="001F61B7">
        <w:rPr>
          <w:rFonts w:asciiTheme="minorEastAsia" w:eastAsiaTheme="minorEastAsia" w:hAnsiTheme="minorEastAsia" w:hint="eastAsia"/>
          <w:color w:val="000000" w:themeColor="text1"/>
        </w:rPr>
        <w:t>）</w:t>
      </w:r>
      <w:r w:rsidRPr="001F61B7" w:rsidR="009E7BD8">
        <w:rPr>
          <w:rFonts w:asciiTheme="minorEastAsia" w:eastAsiaTheme="minorEastAsia" w:hAnsiTheme="minorEastAsia" w:hint="eastAsia"/>
          <w:color w:val="000000" w:themeColor="text1"/>
        </w:rPr>
        <w:t>。</w:t>
      </w:r>
    </w:p>
    <w:p w:rsidR="00BB1B5B"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（二）基金份额的上市交易</w:t>
      </w:r>
    </w:p>
    <w:p w:rsidR="00CC3603"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本基金在深圳证券交易所的上市交易需遵照《深圳证券交易所交易规则》、《深圳证券交易所证券投资基金上市规则》、《深圳证券交易所证券投资基金交易和申购赎回实施细则》等有关规定。</w:t>
      </w:r>
    </w:p>
    <w:p w:rsidR="00CC3603"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（三）本基金终止上市等事项按照法律法规、监管部门、深圳证券交易所和《基金合同》的相关规定执行。</w:t>
      </w:r>
    </w:p>
    <w:p w:rsidR="00A61361"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hint="eastAsia"/>
          <w:color w:val="000000" w:themeColor="text1"/>
          <w:szCs w:val="21"/>
        </w:rPr>
        <w:t>当本基金发生深圳证券交易所相关业务规则所规定的因不再具备上市条件而被终止上市的情形时，本基金可由交易型开放式基金变更为跟踪标的指数的非上市的开放式指数基金，而无需召开基金份额持有人大会审议。基金终止上市后，场内份额的处理规则由基金管理人提前制定并公告。</w:t>
      </w:r>
    </w:p>
    <w:p w:rsidR="00BB1B5B"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若届时本基金管理人已有以该指数作为标的指数的指数基金，则基金管理人将本着维护基金份额持有人合法权益的原则，履行适当的程序后与该指数基金合并或者选取其他合适的指数作为标的指数。具体情况见基金管理人届时公告。</w:t>
      </w:r>
    </w:p>
    <w:p w:rsidR="00BB1B5B"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（四）基金份额参考净值（IOPV）的计算与公告</w:t>
      </w:r>
    </w:p>
    <w:p w:rsidR="00CD5B15"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基金管理人在每一个交易日开市前向中证指数有限公司提供当日的申购赎回清单，中证指数有限公司在开市后根据申购赎回清单和组合证券内各只证券的实时成交数据计算</w:t>
      </w:r>
      <w:r w:rsidRPr="001F61B7" w:rsidR="003E328C">
        <w:rPr>
          <w:rStyle w:val="da"/>
          <w:rFonts w:asciiTheme="minorEastAsia" w:eastAsiaTheme="minorEastAsia" w:hAnsiTheme="minorEastAsia"/>
          <w:color w:val="000000" w:themeColor="text1"/>
          <w:szCs w:val="21"/>
        </w:rPr>
        <w:t>，</w:t>
      </w:r>
      <w:r w:rsidRPr="001F61B7">
        <w:rPr>
          <w:rStyle w:val="da"/>
          <w:rFonts w:asciiTheme="minorEastAsia" w:eastAsiaTheme="minorEastAsia" w:hAnsiTheme="minorEastAsia"/>
          <w:color w:val="000000" w:themeColor="text1"/>
          <w:szCs w:val="21"/>
        </w:rPr>
        <w:t>并通过</w:t>
      </w:r>
      <w:r w:rsidRPr="001F61B7" w:rsidR="00CC3603">
        <w:rPr>
          <w:rStyle w:val="da"/>
          <w:rFonts w:asciiTheme="minorEastAsia" w:eastAsiaTheme="minorEastAsia" w:hAnsiTheme="minorEastAsia"/>
          <w:color w:val="000000" w:themeColor="text1"/>
          <w:szCs w:val="21"/>
        </w:rPr>
        <w:t>深圳</w:t>
      </w:r>
      <w:r w:rsidRPr="001F61B7">
        <w:rPr>
          <w:rStyle w:val="da"/>
          <w:rFonts w:asciiTheme="minorEastAsia" w:eastAsiaTheme="minorEastAsia" w:hAnsiTheme="minorEastAsia"/>
          <w:color w:val="000000" w:themeColor="text1"/>
          <w:szCs w:val="21"/>
        </w:rPr>
        <w:t>证券交易所发布基金份额参考净值（IOPV），供投资者交易、申购、赎回时参考。</w:t>
      </w:r>
    </w:p>
    <w:p w:rsidR="00BB1B5B"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 xml:space="preserve">1、基金份额参考净值计算公式为： </w:t>
      </w:r>
    </w:p>
    <w:p w:rsidR="00BB1B5B"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基金份额参考净值＝（</w:t>
      </w:r>
      <w:r w:rsidRPr="001F61B7" w:rsidR="00CD5B15">
        <w:rPr>
          <w:rFonts w:asciiTheme="minorEastAsia" w:eastAsiaTheme="minorEastAsia" w:hAnsiTheme="minorEastAsia"/>
          <w:color w:val="000000" w:themeColor="text1"/>
          <w:szCs w:val="21"/>
        </w:rPr>
        <w:t>申购赎回清单中必须现金替代的替代金额＋申购赎回清单中可以现金替代成份证券的数量与最新成交价相乘之和＋申购赎回清单中禁止现金替代成份证券的数量与最新成交价相乘之和＋申购赎回清单中的预估现金部分</w:t>
      </w:r>
      <w:r w:rsidRPr="001F61B7">
        <w:rPr>
          <w:rStyle w:val="da"/>
          <w:rFonts w:asciiTheme="minorEastAsia" w:eastAsiaTheme="minorEastAsia" w:hAnsiTheme="minorEastAsia"/>
          <w:color w:val="000000" w:themeColor="text1"/>
          <w:szCs w:val="21"/>
        </w:rPr>
        <w:t xml:space="preserve">）/最小申购、赎回单位对应的基金份额。 </w:t>
      </w:r>
    </w:p>
    <w:p w:rsidR="00BB1B5B"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2、基金份额参考净值的计算以四舍五入的方法保留小数点后</w:t>
      </w:r>
      <w:r w:rsidR="00DE6DA2">
        <w:rPr>
          <w:rStyle w:val="da"/>
          <w:rFonts w:asciiTheme="minorEastAsia" w:eastAsiaTheme="minorEastAsia" w:hAnsiTheme="minorEastAsia"/>
          <w:color w:val="000000" w:themeColor="text1"/>
          <w:szCs w:val="21"/>
        </w:rPr>
        <w:t>4</w:t>
      </w:r>
      <w:r w:rsidRPr="001F61B7">
        <w:rPr>
          <w:rStyle w:val="da"/>
          <w:rFonts w:asciiTheme="minorEastAsia" w:eastAsiaTheme="minorEastAsia" w:hAnsiTheme="minorEastAsia"/>
          <w:color w:val="000000" w:themeColor="text1"/>
          <w:szCs w:val="21"/>
        </w:rPr>
        <w:t xml:space="preserve">位。 </w:t>
      </w:r>
    </w:p>
    <w:p w:rsidR="00BB1B5B"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3、基金管理人可以调整基金份额参考净值计算公式，并予以公告。</w:t>
      </w:r>
    </w:p>
    <w:p w:rsidR="00BB1B5B"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（五）其他</w:t>
      </w:r>
    </w:p>
    <w:p w:rsidR="00A61361"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1</w:t>
      </w:r>
      <w:r w:rsidRPr="001F61B7">
        <w:rPr>
          <w:rStyle w:val="da"/>
          <w:rFonts w:asciiTheme="minorEastAsia" w:eastAsiaTheme="minorEastAsia" w:hAnsiTheme="minorEastAsia" w:hint="eastAsia"/>
          <w:color w:val="000000" w:themeColor="text1"/>
          <w:szCs w:val="21"/>
        </w:rPr>
        <w:t>、在不违反法律法规及对基金份额持有人利益无实质不利影响的前提下，本基金可以申请在包括境外交易所在内的其他交易场所上市交易，而无需召开基金份额持有人大会审议。</w:t>
      </w:r>
    </w:p>
    <w:p w:rsidR="00A61361"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2</w:t>
      </w:r>
      <w:r w:rsidRPr="001F61B7">
        <w:rPr>
          <w:rStyle w:val="da"/>
          <w:rFonts w:asciiTheme="minorEastAsia" w:eastAsiaTheme="minorEastAsia" w:hAnsiTheme="minorEastAsia" w:hint="eastAsia"/>
          <w:color w:val="000000" w:themeColor="text1"/>
          <w:szCs w:val="21"/>
        </w:rPr>
        <w:t>、若相关法律法规、业务规则、中国证监会及深圳证券交易所对基金上市交易的相关规定进行调整的，基金合同相应予以修改，而无需召开基金份额持有人大会。</w:t>
      </w:r>
    </w:p>
    <w:p w:rsidR="00CC3603"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3</w:t>
      </w:r>
      <w:r w:rsidRPr="001F61B7">
        <w:rPr>
          <w:rStyle w:val="da"/>
          <w:rFonts w:asciiTheme="minorEastAsia" w:eastAsiaTheme="minorEastAsia" w:hAnsiTheme="minorEastAsia" w:hint="eastAsia"/>
          <w:color w:val="000000" w:themeColor="text1"/>
          <w:szCs w:val="21"/>
        </w:rPr>
        <w:t>、若深圳证券交易所、中国证券登记结算有限责任公司增加了基金上市交易的新功能，基金管理人可以在履行适当的程序后增加相应功能。</w:t>
      </w:r>
    </w:p>
    <w:bookmarkEnd w:id="33"/>
    <w:p w:rsidR="00BB1B5B" w:rsidRPr="001F61B7" w:rsidP="00C42A18">
      <w:pPr>
        <w:pStyle w:val="Heading1"/>
        <w:tabs>
          <w:tab w:val="left" w:pos="3544"/>
        </w:tabs>
        <w:spacing w:before="317" w:after="317" w:line="360" w:lineRule="auto"/>
        <w:ind w:firstLine="600"/>
        <w:rPr>
          <w:rFonts w:asciiTheme="minorEastAsia" w:eastAsiaTheme="minorEastAsia" w:hAnsiTheme="minorEastAsia"/>
          <w:color w:val="000000" w:themeColor="text1"/>
        </w:rPr>
      </w:pPr>
      <w:r w:rsidRPr="001F61B7">
        <w:rPr>
          <w:rFonts w:asciiTheme="minorEastAsia" w:eastAsiaTheme="minorEastAsia" w:hAnsiTheme="minorEastAsia"/>
          <w:color w:val="000000" w:themeColor="text1"/>
          <w:sz w:val="30"/>
        </w:rPr>
        <w:br w:type="column"/>
      </w:r>
      <w:bookmarkStart w:id="34" w:name="_Toc332373516"/>
      <w:bookmarkStart w:id="35" w:name="_Toc80796273"/>
      <w:r w:rsidRPr="001F61B7">
        <w:rPr>
          <w:rFonts w:asciiTheme="minorEastAsia" w:eastAsiaTheme="minorEastAsia" w:hAnsiTheme="minorEastAsia"/>
          <w:color w:val="000000" w:themeColor="text1"/>
          <w:sz w:val="30"/>
        </w:rPr>
        <w:t>九、</w:t>
      </w:r>
      <w:bookmarkEnd w:id="34"/>
      <w:r w:rsidRPr="001F61B7">
        <w:rPr>
          <w:rFonts w:asciiTheme="minorEastAsia" w:eastAsiaTheme="minorEastAsia" w:hAnsiTheme="minorEastAsia"/>
          <w:color w:val="000000" w:themeColor="text1"/>
        </w:rPr>
        <w:t>基金份额的申购与赎回</w:t>
      </w:r>
      <w:bookmarkEnd w:id="35"/>
    </w:p>
    <w:p w:rsidR="003C214C"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本基金</w:t>
      </w:r>
      <w:r w:rsidRPr="001F61B7" w:rsidR="0043546D">
        <w:rPr>
          <w:rFonts w:asciiTheme="minorEastAsia" w:eastAsiaTheme="minorEastAsia" w:hAnsiTheme="minorEastAsia"/>
          <w:color w:val="000000" w:themeColor="text1"/>
          <w:szCs w:val="21"/>
        </w:rPr>
        <w:t>目前仅</w:t>
      </w:r>
      <w:r w:rsidRPr="001F61B7">
        <w:rPr>
          <w:rFonts w:asciiTheme="minorEastAsia" w:eastAsiaTheme="minorEastAsia" w:hAnsiTheme="minorEastAsia"/>
          <w:color w:val="000000" w:themeColor="text1"/>
          <w:szCs w:val="21"/>
        </w:rPr>
        <w:t>采取深圳证券交易所</w:t>
      </w:r>
      <w:r w:rsidRPr="001F61B7" w:rsidR="0043546D">
        <w:rPr>
          <w:rFonts w:asciiTheme="minorEastAsia" w:eastAsiaTheme="minorEastAsia" w:hAnsiTheme="minorEastAsia"/>
          <w:color w:val="000000" w:themeColor="text1"/>
          <w:szCs w:val="21"/>
        </w:rPr>
        <w:t>跨市场股票ETF场内申赎模式，即“</w:t>
      </w:r>
      <w:r w:rsidRPr="001F61B7" w:rsidR="00852640">
        <w:rPr>
          <w:rFonts w:asciiTheme="minorEastAsia" w:eastAsiaTheme="minorEastAsia" w:hAnsiTheme="minorEastAsia"/>
          <w:color w:val="000000" w:themeColor="text1"/>
          <w:szCs w:val="21"/>
        </w:rPr>
        <w:t>深市股票实物申购、沪市股票现金替代</w:t>
      </w:r>
      <w:r w:rsidRPr="001F61B7" w:rsidR="0043546D">
        <w:rPr>
          <w:rFonts w:asciiTheme="minorEastAsia" w:eastAsiaTheme="minorEastAsia" w:hAnsiTheme="minorEastAsia"/>
          <w:color w:val="000000" w:themeColor="text1"/>
          <w:szCs w:val="21"/>
        </w:rPr>
        <w:t>”</w:t>
      </w:r>
      <w:r w:rsidRPr="001F61B7" w:rsidR="00852640">
        <w:rPr>
          <w:rFonts w:asciiTheme="minorEastAsia" w:eastAsiaTheme="minorEastAsia" w:hAnsiTheme="minorEastAsia"/>
          <w:color w:val="000000" w:themeColor="text1"/>
          <w:szCs w:val="21"/>
        </w:rPr>
        <w:t>申赎</w:t>
      </w:r>
      <w:r w:rsidRPr="001F61B7" w:rsidR="0043546D">
        <w:rPr>
          <w:rFonts w:asciiTheme="minorEastAsia" w:eastAsiaTheme="minorEastAsia" w:hAnsiTheme="minorEastAsia"/>
          <w:color w:val="000000" w:themeColor="text1"/>
          <w:szCs w:val="21"/>
        </w:rPr>
        <w:t>模式</w:t>
      </w:r>
      <w:r w:rsidRPr="001F61B7">
        <w:rPr>
          <w:rFonts w:asciiTheme="minorEastAsia" w:eastAsiaTheme="minorEastAsia" w:hAnsiTheme="minorEastAsia"/>
          <w:color w:val="000000" w:themeColor="text1"/>
          <w:szCs w:val="21"/>
        </w:rPr>
        <w:t>，</w:t>
      </w:r>
      <w:r w:rsidRPr="001F61B7" w:rsidR="0043546D">
        <w:rPr>
          <w:rFonts w:asciiTheme="minorEastAsia" w:eastAsiaTheme="minorEastAsia" w:hAnsiTheme="minorEastAsia"/>
          <w:color w:val="000000" w:themeColor="text1"/>
          <w:szCs w:val="21"/>
        </w:rPr>
        <w:t>未来基金管理人可根据基金发展需要，开通场外实物申赎模式</w:t>
      </w:r>
      <w:r w:rsidRPr="001F61B7" w:rsidR="00B44945">
        <w:rPr>
          <w:rFonts w:asciiTheme="minorEastAsia" w:eastAsiaTheme="minorEastAsia" w:hAnsiTheme="minorEastAsia"/>
          <w:color w:val="000000" w:themeColor="text1"/>
          <w:szCs w:val="21"/>
        </w:rPr>
        <w:t>（指通过中国证券登记结算有限责任公司基金业务系统以深、沪证券市场组合证券办理跨深、沪证券市场交易型基金的申购、赎回）</w:t>
      </w:r>
      <w:r w:rsidRPr="001F61B7" w:rsidR="0043546D">
        <w:rPr>
          <w:rFonts w:asciiTheme="minorEastAsia" w:eastAsiaTheme="minorEastAsia" w:hAnsiTheme="minorEastAsia"/>
          <w:color w:val="000000" w:themeColor="text1"/>
          <w:szCs w:val="21"/>
        </w:rPr>
        <w:t>，届时将发布公告予以披露并对本基金的招募说明书予以更新，无须召开基金份额持有人大会审议。</w:t>
      </w:r>
    </w:p>
    <w:p w:rsidR="00BB1B5B"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（一）申购和赎回场所</w:t>
      </w:r>
    </w:p>
    <w:p w:rsidR="00CC3603" w:rsidRPr="001F61B7" w:rsidP="00C42A18">
      <w:pPr>
        <w:tabs>
          <w:tab w:val="left" w:pos="3544"/>
          <w:tab w:val="left" w:pos="8789"/>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投资人应当在申购赎回代理券商办理基金申购、赎回业务的营业场所或按申购赎回代理券商提供的其他方式办理基金的申购和赎回。</w:t>
      </w:r>
      <w:r w:rsidRPr="001F61B7" w:rsidR="003C214C">
        <w:rPr>
          <w:rFonts w:asciiTheme="minorEastAsia" w:eastAsiaTheme="minorEastAsia" w:hAnsiTheme="minorEastAsia"/>
          <w:color w:val="000000" w:themeColor="text1"/>
          <w:szCs w:val="21"/>
        </w:rPr>
        <w:t>具体的申购赎回代理券商将由基金管理人在招募说明书或其他相关公告中列明，基金管理人可根据情况变更或增减申购赎回代理券商，并在基金管理人网站公示。</w:t>
      </w:r>
    </w:p>
    <w:p w:rsidR="00BB1B5B"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（二）申购和赎回的开放日及时间</w:t>
      </w:r>
    </w:p>
    <w:p w:rsidR="00BB1B5B"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（1）开放日及开放时间</w:t>
      </w:r>
    </w:p>
    <w:p w:rsidR="00CC3603"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投资人在开放日办理基金份额的申购和赎回，具体办理时间为上海证券交易所、深圳证券交易所的</w:t>
      </w:r>
      <w:r w:rsidRPr="001F61B7" w:rsidR="007950D0">
        <w:rPr>
          <w:rFonts w:asciiTheme="minorEastAsia" w:eastAsiaTheme="minorEastAsia" w:hAnsiTheme="minorEastAsia"/>
          <w:color w:val="000000" w:themeColor="text1"/>
          <w:szCs w:val="21"/>
        </w:rPr>
        <w:t>交易日的交易时间，但基金管理人根据法律法规、中国证监会的要求或</w:t>
      </w:r>
      <w:r w:rsidRPr="001F61B7">
        <w:rPr>
          <w:rFonts w:asciiTheme="minorEastAsia" w:eastAsiaTheme="minorEastAsia" w:hAnsiTheme="minorEastAsia"/>
          <w:color w:val="000000" w:themeColor="text1"/>
          <w:szCs w:val="21"/>
        </w:rPr>
        <w:t>基金合同的规定公告暂停申购、赎回时除外。</w:t>
      </w:r>
    </w:p>
    <w:p w:rsidR="00CC3603"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基金合同生效后，若出现新的证券交易市场、证券交易所交易时间变更、其他特殊情况或根据业务需要，基金管理人将视情况对前述开放日及开放时间进行相应的调整，但应在实施前依照《信息披露办法》的有关规定在指定媒介上公告。</w:t>
      </w:r>
    </w:p>
    <w:p w:rsidR="0038516F"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（2）申购、赎回开始日及业务办理时间</w:t>
      </w:r>
    </w:p>
    <w:p w:rsidR="00CC3603"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hint="eastAsia"/>
          <w:color w:val="000000" w:themeColor="text1"/>
          <w:szCs w:val="21"/>
        </w:rPr>
        <w:t>本基金已于</w:t>
      </w:r>
      <w:r w:rsidRPr="001F61B7">
        <w:rPr>
          <w:rFonts w:asciiTheme="minorEastAsia" w:eastAsiaTheme="minorEastAsia" w:hAnsiTheme="minorEastAsia"/>
          <w:color w:val="000000" w:themeColor="text1"/>
          <w:szCs w:val="21"/>
        </w:rPr>
        <w:t>2020</w:t>
      </w:r>
      <w:r w:rsidRPr="001F61B7">
        <w:rPr>
          <w:rFonts w:asciiTheme="minorEastAsia" w:eastAsiaTheme="minorEastAsia" w:hAnsiTheme="minorEastAsia" w:hint="eastAsia"/>
          <w:color w:val="000000" w:themeColor="text1"/>
          <w:szCs w:val="21"/>
        </w:rPr>
        <w:t>年</w:t>
      </w:r>
      <w:r w:rsidRPr="001F61B7">
        <w:rPr>
          <w:rFonts w:asciiTheme="minorEastAsia" w:eastAsiaTheme="minorEastAsia" w:hAnsiTheme="minorEastAsia"/>
          <w:color w:val="000000" w:themeColor="text1"/>
          <w:szCs w:val="21"/>
        </w:rPr>
        <w:t>3</w:t>
      </w:r>
      <w:r w:rsidRPr="001F61B7">
        <w:rPr>
          <w:rFonts w:asciiTheme="minorEastAsia" w:eastAsiaTheme="minorEastAsia" w:hAnsiTheme="minorEastAsia" w:hint="eastAsia"/>
          <w:color w:val="000000" w:themeColor="text1"/>
          <w:szCs w:val="21"/>
        </w:rPr>
        <w:t>月</w:t>
      </w:r>
      <w:r w:rsidRPr="001F61B7">
        <w:rPr>
          <w:rFonts w:asciiTheme="minorEastAsia" w:eastAsiaTheme="minorEastAsia" w:hAnsiTheme="minorEastAsia"/>
          <w:color w:val="000000" w:themeColor="text1"/>
          <w:szCs w:val="21"/>
        </w:rPr>
        <w:t>30</w:t>
      </w:r>
      <w:r w:rsidRPr="001F61B7">
        <w:rPr>
          <w:rFonts w:asciiTheme="minorEastAsia" w:eastAsiaTheme="minorEastAsia" w:hAnsiTheme="minorEastAsia" w:hint="eastAsia"/>
          <w:color w:val="000000" w:themeColor="text1"/>
          <w:szCs w:val="21"/>
        </w:rPr>
        <w:t>日开放办理日常申购、赎回业务。</w:t>
      </w:r>
    </w:p>
    <w:p w:rsidR="00ED22EE"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本基金在基金合同生效后、开放日常申购之前，可向本基金联接基金开通特殊申购，申购价格以特殊申购日的基金份额净值为基准计算，按金额申购，不收取与申购相关的费用和成本。</w:t>
      </w:r>
    </w:p>
    <w:p w:rsidR="00BB1B5B"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本基金联接基金特殊申购所得的申购份额计算如下：</w:t>
      </w:r>
    </w:p>
    <w:p w:rsidR="00BB1B5B"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申购份数＝申购金额／特殊申购日本基金基金份额净值</w:t>
      </w:r>
    </w:p>
    <w:p w:rsidR="00BB1B5B"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申购份额按照截位的方法保留到整数位，由此误差产生的损失由本基金联接基金财产承</w:t>
      </w:r>
      <w:r w:rsidRPr="001F61B7">
        <w:rPr>
          <w:rFonts w:asciiTheme="minorEastAsia" w:eastAsiaTheme="minorEastAsia" w:hAnsiTheme="minorEastAsia"/>
          <w:color w:val="000000" w:themeColor="text1"/>
          <w:szCs w:val="21"/>
        </w:rPr>
        <w:t>担。</w:t>
      </w:r>
    </w:p>
    <w:p w:rsidR="00BB1B5B"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（三）申购与赎回的原则</w:t>
      </w:r>
    </w:p>
    <w:p w:rsidR="00ED22EE"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1、本基金采用份额申购和份额赎回的方式，即申购和赎回均以份额申请；</w:t>
      </w:r>
    </w:p>
    <w:p w:rsidR="00ED22EE"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2、本基金的申购对价、赎回对价包括组合证券、现金替代、现金差额及其他对价；</w:t>
      </w:r>
    </w:p>
    <w:p w:rsidR="00ED22EE"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3、申购、赎回申请提交后不得撤销；</w:t>
      </w:r>
    </w:p>
    <w:p w:rsidR="00ED22EE"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4、申购、赎回应遵守深圳证券交易所和中国证券登记结算有限责任公司的相关业务规则和规定。</w:t>
      </w:r>
    </w:p>
    <w:p w:rsidR="00ED22EE"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5、办理申购、赎回业务时，应当遵循基金份额持有人利益优先原则，确保投资者的合法权益不受损害并得到公平对待。</w:t>
      </w:r>
    </w:p>
    <w:p w:rsidR="00ED22EE"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基金管理人可根据基金运作的实际情况，在对基金份额持有人利益无实质不利影响的前提下调整上述原则，或依据深圳证券交易所或登记结算机构相关规则及其变更调整上述规则</w:t>
      </w:r>
      <w:r w:rsidRPr="001F61B7" w:rsidR="003C214C">
        <w:rPr>
          <w:rFonts w:asciiTheme="minorEastAsia" w:eastAsiaTheme="minorEastAsia" w:hAnsiTheme="minorEastAsia"/>
          <w:color w:val="000000" w:themeColor="text1"/>
          <w:szCs w:val="21"/>
        </w:rPr>
        <w:t>。基金管理人必须在新规则开始实施前依照《信息披露办法》的有关规定在指定媒介上公告</w:t>
      </w:r>
      <w:r w:rsidRPr="001F61B7">
        <w:rPr>
          <w:rFonts w:asciiTheme="minorEastAsia" w:eastAsiaTheme="minorEastAsia" w:hAnsiTheme="minorEastAsia"/>
          <w:color w:val="000000" w:themeColor="text1"/>
          <w:szCs w:val="21"/>
        </w:rPr>
        <w:t>。</w:t>
      </w:r>
    </w:p>
    <w:p w:rsidR="00BB1B5B"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（四）申购与赎回的程序</w:t>
      </w:r>
    </w:p>
    <w:p w:rsidR="00ED22EE"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1、申购和赎回的申请方式</w:t>
      </w:r>
    </w:p>
    <w:p w:rsidR="00ED22EE"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投资人必须根据申购赎回代理券商规定的程序，在开放日的具体业务办理时间内提出申购或赎回的申请。</w:t>
      </w:r>
    </w:p>
    <w:p w:rsidR="00ED22EE"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投资人在提交申购申请时，须根据申购赎回清单备足相应数量的股票和现金；投资人在提交赎回申请时，必须有足够的基金份额余额和现金。投资人办理申购、赎回等业务时应提交的文件和办理手续、办理时间、处理规则等在遵守基金合同和招募说明书规定的前提下，以各销售机构的具体规定为准。</w:t>
      </w:r>
    </w:p>
    <w:p w:rsidR="00BB1B5B"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2、申购和赎回申请的确认</w:t>
      </w:r>
    </w:p>
    <w:p w:rsidR="00ED22EE"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正常情况下，投资人申购、赎回申请在受理当日进行确认。如投资人未能提供符合要求的申购对价，则申购申请失败。如投资人持有的符合要求的可用基金份额不足或未能根据要求准备足额的现金，或本基金投资组合内不具备足额的符合要求的赎回对价，则赎回申请失败。</w:t>
      </w:r>
    </w:p>
    <w:p w:rsidR="0038516F"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基金销售机构受理的申购、赎回申请并不代表该申购、赎回申请一定成功。申购、赎回的确认以登记结算机构的确认结果为准。投资人可通过其办理申购、赎回的申购赎回代理券商或以申购赎回代理券商规定的其他方式查询有关申请的确认情况。</w:t>
      </w:r>
    </w:p>
    <w:p w:rsidR="00BB1B5B"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3、申购和赎回的清算交收与登记</w:t>
      </w:r>
    </w:p>
    <w:p w:rsidR="0038516F"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本基金申购、赎回过程中涉及的基金份额、组合证券、现金替代、现金差额及其他对价的清算交收适用深圳证券交易所、中国证券登记结算有限责任公司和参与各方相关协议的有关规定，</w:t>
      </w:r>
      <w:r w:rsidRPr="001F61B7" w:rsidR="00211F2F">
        <w:rPr>
          <w:rFonts w:asciiTheme="minorEastAsia" w:eastAsiaTheme="minorEastAsia" w:hAnsiTheme="minorEastAsia"/>
          <w:color w:val="000000" w:themeColor="text1"/>
          <w:szCs w:val="21"/>
        </w:rPr>
        <w:t>其中</w:t>
      </w:r>
      <w:r w:rsidRPr="001F61B7" w:rsidR="007A05CD">
        <w:rPr>
          <w:rFonts w:asciiTheme="minorEastAsia" w:eastAsiaTheme="minorEastAsia" w:hAnsiTheme="minorEastAsia"/>
          <w:color w:val="000000" w:themeColor="text1"/>
          <w:szCs w:val="21"/>
        </w:rPr>
        <w:t>对于深市组合</w:t>
      </w:r>
      <w:r w:rsidRPr="001F61B7" w:rsidR="00482DB9">
        <w:rPr>
          <w:rFonts w:asciiTheme="minorEastAsia" w:eastAsiaTheme="minorEastAsia" w:hAnsiTheme="minorEastAsia"/>
          <w:color w:val="000000" w:themeColor="text1"/>
          <w:szCs w:val="21"/>
        </w:rPr>
        <w:t>证</w:t>
      </w:r>
      <w:r w:rsidRPr="001F61B7" w:rsidR="007A05CD">
        <w:rPr>
          <w:rFonts w:asciiTheme="minorEastAsia" w:eastAsiaTheme="minorEastAsia" w:hAnsiTheme="minorEastAsia"/>
          <w:color w:val="000000" w:themeColor="text1"/>
          <w:szCs w:val="21"/>
        </w:rPr>
        <w:t>券及深市现金替代部分，深市组合</w:t>
      </w:r>
      <w:r w:rsidRPr="001F61B7" w:rsidR="00852640">
        <w:rPr>
          <w:rFonts w:asciiTheme="minorEastAsia" w:eastAsiaTheme="minorEastAsia" w:hAnsiTheme="minorEastAsia"/>
          <w:color w:val="000000" w:themeColor="text1"/>
          <w:szCs w:val="21"/>
        </w:rPr>
        <w:t>证</w:t>
      </w:r>
      <w:r w:rsidRPr="001F61B7" w:rsidR="007A05CD">
        <w:rPr>
          <w:rFonts w:asciiTheme="minorEastAsia" w:eastAsiaTheme="minorEastAsia" w:hAnsiTheme="minorEastAsia"/>
          <w:color w:val="000000" w:themeColor="text1"/>
          <w:szCs w:val="21"/>
        </w:rPr>
        <w:t>券T日日终过户，深市现金替代部分采用净额担保交收；对于</w:t>
      </w:r>
      <w:r w:rsidRPr="001F61B7" w:rsidR="00852640">
        <w:rPr>
          <w:rFonts w:asciiTheme="minorEastAsia" w:eastAsiaTheme="minorEastAsia" w:hAnsiTheme="minorEastAsia"/>
          <w:color w:val="000000" w:themeColor="text1"/>
          <w:szCs w:val="21"/>
        </w:rPr>
        <w:t>沪</w:t>
      </w:r>
      <w:r w:rsidRPr="001F61B7" w:rsidR="007A05CD">
        <w:rPr>
          <w:rFonts w:asciiTheme="minorEastAsia" w:eastAsiaTheme="minorEastAsia" w:hAnsiTheme="minorEastAsia"/>
          <w:color w:val="000000" w:themeColor="text1"/>
          <w:szCs w:val="21"/>
        </w:rPr>
        <w:t>市组合</w:t>
      </w:r>
      <w:r w:rsidRPr="001F61B7" w:rsidR="00852640">
        <w:rPr>
          <w:rFonts w:asciiTheme="minorEastAsia" w:eastAsiaTheme="minorEastAsia" w:hAnsiTheme="minorEastAsia"/>
          <w:color w:val="000000" w:themeColor="text1"/>
          <w:szCs w:val="21"/>
        </w:rPr>
        <w:t>证</w:t>
      </w:r>
      <w:r w:rsidRPr="001F61B7" w:rsidR="007A05CD">
        <w:rPr>
          <w:rFonts w:asciiTheme="minorEastAsia" w:eastAsiaTheme="minorEastAsia" w:hAnsiTheme="minorEastAsia"/>
          <w:color w:val="000000" w:themeColor="text1"/>
          <w:szCs w:val="21"/>
        </w:rPr>
        <w:t>券所对应的现金替代部分采用净额担保交收；申赎份额于T日日终完成登记和注销；现金差额、现金替代退补款部分采用代收代付方式。</w:t>
      </w:r>
    </w:p>
    <w:p w:rsidR="0038516F"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投资者T日申购成功后，登记结算机构在T日收市后办理</w:t>
      </w:r>
      <w:r w:rsidRPr="001F61B7" w:rsidR="00852640">
        <w:rPr>
          <w:rFonts w:asciiTheme="minorEastAsia" w:eastAsiaTheme="minorEastAsia" w:hAnsiTheme="minorEastAsia"/>
          <w:color w:val="000000" w:themeColor="text1"/>
          <w:szCs w:val="21"/>
        </w:rPr>
        <w:t>基金份额与</w:t>
      </w:r>
      <w:r w:rsidRPr="001F61B7" w:rsidR="00482DB9">
        <w:rPr>
          <w:rFonts w:asciiTheme="minorEastAsia" w:eastAsiaTheme="minorEastAsia" w:hAnsiTheme="minorEastAsia"/>
          <w:color w:val="000000" w:themeColor="text1"/>
          <w:szCs w:val="21"/>
        </w:rPr>
        <w:t>深市组合证券</w:t>
      </w:r>
      <w:r w:rsidRPr="001F61B7">
        <w:rPr>
          <w:rFonts w:asciiTheme="minorEastAsia" w:eastAsiaTheme="minorEastAsia" w:hAnsiTheme="minorEastAsia"/>
          <w:color w:val="000000" w:themeColor="text1"/>
          <w:szCs w:val="21"/>
        </w:rPr>
        <w:t>交收以及现金替代的清算；在T+1日办理现金替代的交收以及现金差额的清算；在T+2日办理现金差额的交收，并将结果发送给申购赎回代理券商、基金管理人和基金托管人。</w:t>
      </w:r>
    </w:p>
    <w:p w:rsidR="0038516F"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投资者T日赎回成功后，登记结算机构在T日收市后办理</w:t>
      </w:r>
      <w:r w:rsidRPr="001F61B7" w:rsidR="00852640">
        <w:rPr>
          <w:rFonts w:asciiTheme="minorEastAsia" w:eastAsiaTheme="minorEastAsia" w:hAnsiTheme="minorEastAsia"/>
          <w:color w:val="000000" w:themeColor="text1"/>
          <w:szCs w:val="21"/>
        </w:rPr>
        <w:t>基金份额的注销与</w:t>
      </w:r>
      <w:r w:rsidRPr="001F61B7" w:rsidR="00482DB9">
        <w:rPr>
          <w:rFonts w:asciiTheme="minorEastAsia" w:eastAsiaTheme="minorEastAsia" w:hAnsiTheme="minorEastAsia"/>
          <w:color w:val="000000" w:themeColor="text1"/>
          <w:szCs w:val="21"/>
        </w:rPr>
        <w:t>深市组合证券</w:t>
      </w:r>
      <w:r w:rsidRPr="001F61B7">
        <w:rPr>
          <w:rFonts w:asciiTheme="minorEastAsia" w:eastAsiaTheme="minorEastAsia" w:hAnsiTheme="minorEastAsia"/>
          <w:color w:val="000000" w:themeColor="text1"/>
          <w:szCs w:val="21"/>
        </w:rPr>
        <w:t>交收以及现金替代的清算；在T+1日办理现金替代的交收以及现金差额的清算；在T+2日办理现金差额的交收，并将结果发送给申购赎回代理券商、基金管理人和基金托管人。</w:t>
      </w:r>
    </w:p>
    <w:p w:rsidR="00ED22EE"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如果登记结算机构和基金管理人在清算交收时发现不能正常履约的情形，则依据深圳证券交易所、中国证券登记结算有限责任公司和参与各方相关协议的有关规定进行处理。</w:t>
      </w:r>
    </w:p>
    <w:p w:rsidR="003E328C"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投资人应按照基金合同的约定和申购赎回代理券商的规定按时足额支付应付的现金差额和现金替代补款。因投资人原因导致现金差额或现金替代补款未能按时足额交收的，基金管理人有权为基金的利益向该投资人追偿，并要求其承担由此导致的其他基金份额持有人或基金资产的损失。</w:t>
      </w:r>
    </w:p>
    <w:p w:rsidR="0038516F"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登记结算机构和基金管理人可在法律法规允许的范围内，对申购与赎回的程序以及清算交收和登记的办理时间、方式、处理规则等进行调整。</w:t>
      </w:r>
    </w:p>
    <w:p w:rsidR="00BB1B5B"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（五）申购与赎回的数额限制</w:t>
      </w:r>
    </w:p>
    <w:p w:rsidR="00ED22EE"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1、投资者参与本基金的日常申购、赎回，需按最小申购、赎回单位的整数倍提交申请。本基金目前的最小申购、赎回单位为</w:t>
      </w:r>
      <w:r w:rsidRPr="001F61B7" w:rsidR="008122FB">
        <w:rPr>
          <w:rFonts w:asciiTheme="minorEastAsia" w:eastAsiaTheme="minorEastAsia" w:hAnsiTheme="minorEastAsia" w:hint="eastAsia"/>
          <w:color w:val="000000" w:themeColor="text1"/>
          <w:szCs w:val="21"/>
        </w:rPr>
        <w:t>10</w:t>
      </w:r>
      <w:r w:rsidRPr="001F61B7" w:rsidR="00C93C0D">
        <w:rPr>
          <w:rFonts w:asciiTheme="minorEastAsia" w:eastAsiaTheme="minorEastAsia" w:hAnsiTheme="minorEastAsia"/>
          <w:color w:val="000000" w:themeColor="text1"/>
          <w:szCs w:val="21"/>
        </w:rPr>
        <w:t>0</w:t>
      </w:r>
      <w:r w:rsidRPr="001F61B7">
        <w:rPr>
          <w:rFonts w:asciiTheme="minorEastAsia" w:eastAsiaTheme="minorEastAsia" w:hAnsiTheme="minorEastAsia"/>
          <w:color w:val="000000" w:themeColor="text1"/>
          <w:szCs w:val="21"/>
        </w:rPr>
        <w:t>万份基金份额</w:t>
      </w:r>
      <w:r w:rsidR="00DE6DA2">
        <w:rPr>
          <w:rFonts w:asciiTheme="minorEastAsia" w:eastAsiaTheme="minorEastAsia" w:hAnsiTheme="minorEastAsia" w:hint="eastAsia"/>
          <w:color w:val="000000" w:themeColor="text1"/>
          <w:szCs w:val="21"/>
        </w:rPr>
        <w:t>,</w:t>
      </w:r>
      <w:r w:rsidRPr="00AE28CC" w:rsidR="00DE6DA2">
        <w:rPr>
          <w:rFonts w:asciiTheme="minorEastAsia" w:eastAsiaTheme="minorEastAsia" w:hAnsiTheme="minorEastAsia" w:hint="eastAsia"/>
          <w:color w:val="000000" w:themeColor="text1"/>
          <w:szCs w:val="21"/>
        </w:rPr>
        <w:t>本基金管理人有权对其进行调整，并在调整前依照《信息披露办法》的有关规定在规定媒介上公告</w:t>
      </w:r>
      <w:r w:rsidRPr="001F61B7">
        <w:rPr>
          <w:rFonts w:asciiTheme="minorEastAsia" w:eastAsiaTheme="minorEastAsia" w:hAnsiTheme="minorEastAsia"/>
          <w:color w:val="000000" w:themeColor="text1"/>
          <w:szCs w:val="21"/>
        </w:rPr>
        <w:t>。</w:t>
      </w:r>
    </w:p>
    <w:p w:rsidR="00ED22EE"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2、当接受申购申请对存量基金份额持有人利益构成潜在重大不利影响时，基金管理人应当采取设定单一投资者申购份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rsidR="0038516F"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3、基金管理人可根据基金运作情况、市场情况和投资人需求，在法律法规允许的情况下，调整上述规定申购和赎回的数量限制，或者新增基金规模控制措施。</w:t>
      </w:r>
      <w:r w:rsidRPr="001F61B7" w:rsidR="007A05CD">
        <w:rPr>
          <w:rFonts w:asciiTheme="minorEastAsia" w:eastAsiaTheme="minorEastAsia" w:hAnsiTheme="minorEastAsia"/>
          <w:color w:val="000000" w:themeColor="text1"/>
          <w:szCs w:val="21"/>
        </w:rPr>
        <w:t>基金管理人必须在调整前依照《信息披露办法》的有关规定在指定媒介上公告。</w:t>
      </w:r>
    </w:p>
    <w:p w:rsidR="00BB1B5B"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（六）申购、赎回的对价及费用</w:t>
      </w:r>
    </w:p>
    <w:p w:rsidR="00ED22EE"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1、申购对价、赎回对价的数额根据申购赎回清单和投资人申购、赎回的基金份额数额确定。申购对价是指投资人申购时应交付的组合证券、现金替代、现金差额及其他对价。赎回对价是指投资人赎回时，基金管理人应交付的组合证券、现金替代、现金差额及其他对价。</w:t>
      </w:r>
    </w:p>
    <w:p w:rsidR="00ED22EE"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2、T日的基金份额净值在当天收市后计算，并在T+1日公告，计算公式为计算日基金资产净值除以计算日发售在外的基金份额总数。</w:t>
      </w:r>
      <w:r w:rsidRPr="001F61B7" w:rsidR="007A05CD">
        <w:rPr>
          <w:rFonts w:asciiTheme="minorEastAsia" w:eastAsiaTheme="minorEastAsia" w:hAnsiTheme="minorEastAsia"/>
          <w:color w:val="000000" w:themeColor="text1"/>
          <w:szCs w:val="21"/>
        </w:rPr>
        <w:t>遇特殊情况，经履行适当程序，可以适当延迟计算或公告。</w:t>
      </w:r>
    </w:p>
    <w:p w:rsidR="00ED22EE"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3、申购赎回清单由基金管理人编制。T日的申购赎回清单在当日深圳证券交易所开市前公告。申购赎回清单的内容与格式示例见本基金招募说明书。</w:t>
      </w:r>
    </w:p>
    <w:p w:rsidR="00ED22EE"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若市场情况发生变化，或相关业务规则发生变化，或实际情况需要，基金管理人可以在不违反相关法律法规的情况下对申购对价、赎回对价组成、基金份额净值、申购赎回清单计算和公告时间或频率进行调整并</w:t>
      </w:r>
      <w:r w:rsidRPr="001F61B7" w:rsidR="007A05CD">
        <w:rPr>
          <w:rFonts w:asciiTheme="minorEastAsia" w:eastAsiaTheme="minorEastAsia" w:hAnsiTheme="minorEastAsia"/>
          <w:color w:val="000000" w:themeColor="text1"/>
          <w:szCs w:val="21"/>
        </w:rPr>
        <w:t>根据相关法规规定进行信息披露</w:t>
      </w:r>
      <w:r w:rsidRPr="001F61B7">
        <w:rPr>
          <w:rFonts w:asciiTheme="minorEastAsia" w:eastAsiaTheme="minorEastAsia" w:hAnsiTheme="minorEastAsia"/>
          <w:color w:val="000000" w:themeColor="text1"/>
          <w:szCs w:val="21"/>
        </w:rPr>
        <w:t>。</w:t>
      </w:r>
    </w:p>
    <w:p w:rsidR="00BB1B5B"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4、投资人在申购或赎回时，</w:t>
      </w:r>
      <w:r w:rsidRPr="001F61B7" w:rsidR="007A05CD">
        <w:rPr>
          <w:rFonts w:asciiTheme="minorEastAsia" w:eastAsiaTheme="minorEastAsia" w:hAnsiTheme="minorEastAsia"/>
          <w:color w:val="000000" w:themeColor="text1"/>
          <w:szCs w:val="21"/>
        </w:rPr>
        <w:t>申购赎回代理券商可按照不超过</w:t>
      </w:r>
      <w:r w:rsidRPr="001F61B7">
        <w:rPr>
          <w:rFonts w:asciiTheme="minorEastAsia" w:eastAsiaTheme="minorEastAsia" w:hAnsiTheme="minorEastAsia"/>
          <w:color w:val="000000" w:themeColor="text1"/>
          <w:szCs w:val="21"/>
        </w:rPr>
        <w:t>0.5%的标准向投资人收取佣金，其中包含证券交易所、登记结算机构等收取的相关费用。</w:t>
      </w:r>
    </w:p>
    <w:p w:rsidR="00BB1B5B"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（七）申购赎回清单的内容与格式</w:t>
      </w:r>
    </w:p>
    <w:p w:rsidR="0038516F"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1、申购赎回清单的内容</w:t>
      </w:r>
    </w:p>
    <w:p w:rsidR="0038516F"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T日申购赎回清单公告内容包括最小申购、赎回单位所对应的</w:t>
      </w:r>
      <w:r w:rsidRPr="001F61B7" w:rsidR="00F05BB2">
        <w:rPr>
          <w:rFonts w:asciiTheme="minorEastAsia" w:eastAsiaTheme="minorEastAsia" w:hAnsiTheme="minorEastAsia"/>
          <w:color w:val="000000" w:themeColor="text1"/>
          <w:szCs w:val="21"/>
        </w:rPr>
        <w:t>申赎现金、</w:t>
      </w:r>
      <w:r w:rsidRPr="001F61B7">
        <w:rPr>
          <w:rFonts w:asciiTheme="minorEastAsia" w:eastAsiaTheme="minorEastAsia" w:hAnsiTheme="minorEastAsia"/>
          <w:color w:val="000000" w:themeColor="text1"/>
          <w:szCs w:val="21"/>
        </w:rPr>
        <w:t>组合证券内各成份证券数据、现金替代、T日预估现金部分、T-1日现金差额、基金份额净值及其他相关内容。</w:t>
      </w:r>
    </w:p>
    <w:p w:rsidR="00CE7774" w:rsidRPr="001F61B7" w:rsidP="00C42A18">
      <w:pPr>
        <w:tabs>
          <w:tab w:val="left" w:pos="3544"/>
        </w:tabs>
        <w:spacing w:line="360" w:lineRule="auto"/>
        <w:ind w:firstLine="420"/>
        <w:rPr>
          <w:rFonts w:asciiTheme="minorEastAsia" w:eastAsiaTheme="minorEastAsia" w:hAnsiTheme="minorEastAsia"/>
          <w:color w:val="000000" w:themeColor="text1"/>
        </w:rPr>
      </w:pPr>
      <w:r w:rsidRPr="001F61B7">
        <w:rPr>
          <w:rFonts w:asciiTheme="minorEastAsia" w:eastAsiaTheme="minorEastAsia" w:hAnsiTheme="minorEastAsia"/>
          <w:color w:val="000000" w:themeColor="text1"/>
        </w:rPr>
        <w:t>2、申赎现金</w:t>
      </w:r>
    </w:p>
    <w:p w:rsidR="00AC3431"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rPr>
      </w:pPr>
      <w:r w:rsidRPr="001F61B7">
        <w:rPr>
          <w:rFonts w:asciiTheme="minorEastAsia" w:eastAsiaTheme="minorEastAsia" w:hAnsiTheme="minorEastAsia"/>
          <w:color w:val="000000" w:themeColor="text1"/>
        </w:rPr>
        <w:t>“申赎现金”不属于组合成份证券，是为了便于登记结算机构的清算交收安排，在申购赎回清单中增加的虚拟证券。“申赎现金”的现金替代标志为“必须”，但含义与组合成份证券的必须现金替代不同，“申赎现金”的申购替代金额为最小申购单位所对应的现金替代标志为“必须”的沪市成份证券的必须现金替代与现金替代标志为“允许”的沪市成份证券的申购替代金额之和；赎回替代金额为最小赎回单位所对应的现金替代标志为“必须”的沪市成份证券的必须现金替代与现金替代标志为“允许”的沪市成份证券的赎回替代金额</w:t>
      </w:r>
      <w:r w:rsidRPr="001F61B7">
        <w:rPr>
          <w:rFonts w:asciiTheme="minorEastAsia" w:eastAsiaTheme="minorEastAsia" w:hAnsiTheme="minorEastAsia"/>
          <w:color w:val="000000" w:themeColor="text1"/>
        </w:rPr>
        <w:t>之和。</w:t>
      </w:r>
    </w:p>
    <w:p w:rsidR="0038516F"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3、组合证券相关内容</w:t>
      </w:r>
    </w:p>
    <w:p w:rsidR="0038516F"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组合证券是指本基金标的指数所包含的全部或部分证券。申购赎回清单将公告最小申购、赎回单位所对应的各成份证券名称、证券代码及数量。</w:t>
      </w:r>
    </w:p>
    <w:p w:rsidR="0038516F"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 xml:space="preserve">4、现金替代相关内容 </w:t>
      </w:r>
    </w:p>
    <w:p w:rsidR="00A00C1C"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现金替代是指申购、赎回过程中，投资者按基金合同和招募说明书的规定，用于替代组合证券中部分证券的一定数量的现金。</w:t>
      </w:r>
    </w:p>
    <w:p w:rsidR="00CF7F1D"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（1）现金替代分为</w:t>
      </w:r>
      <w:r w:rsidRPr="001F61B7" w:rsidR="00CE7774">
        <w:rPr>
          <w:rFonts w:asciiTheme="minorEastAsia" w:eastAsiaTheme="minorEastAsia" w:hAnsiTheme="minorEastAsia"/>
          <w:color w:val="000000" w:themeColor="text1"/>
          <w:szCs w:val="21"/>
        </w:rPr>
        <w:t>3</w:t>
      </w:r>
      <w:r w:rsidRPr="001F61B7">
        <w:rPr>
          <w:rFonts w:asciiTheme="minorEastAsia" w:eastAsiaTheme="minorEastAsia" w:hAnsiTheme="minorEastAsia"/>
          <w:color w:val="000000" w:themeColor="text1"/>
          <w:szCs w:val="21"/>
        </w:rPr>
        <w:t>种类型：禁止现金替代（标志为“禁止”）、可以现金替代（标志为“允许”）</w:t>
      </w:r>
      <w:r w:rsidRPr="001F61B7" w:rsidR="00CE7774">
        <w:rPr>
          <w:rFonts w:asciiTheme="minorEastAsia" w:eastAsiaTheme="minorEastAsia" w:hAnsiTheme="minorEastAsia"/>
          <w:color w:val="000000" w:themeColor="text1"/>
          <w:szCs w:val="21"/>
        </w:rPr>
        <w:t>和</w:t>
      </w:r>
      <w:r w:rsidRPr="001F61B7">
        <w:rPr>
          <w:rFonts w:asciiTheme="minorEastAsia" w:eastAsiaTheme="minorEastAsia" w:hAnsiTheme="minorEastAsia"/>
          <w:color w:val="000000" w:themeColor="text1"/>
          <w:szCs w:val="21"/>
        </w:rPr>
        <w:t>必须现金替代（标志为“必须”），其中对于深</w:t>
      </w:r>
      <w:r w:rsidRPr="001F61B7" w:rsidR="00482DB9">
        <w:rPr>
          <w:rFonts w:asciiTheme="minorEastAsia" w:eastAsiaTheme="minorEastAsia" w:hAnsiTheme="minorEastAsia"/>
          <w:color w:val="000000" w:themeColor="text1"/>
          <w:szCs w:val="21"/>
        </w:rPr>
        <w:t>市</w:t>
      </w:r>
      <w:r w:rsidRPr="001F61B7">
        <w:rPr>
          <w:rFonts w:asciiTheme="minorEastAsia" w:eastAsiaTheme="minorEastAsia" w:hAnsiTheme="minorEastAsia"/>
          <w:color w:val="000000" w:themeColor="text1"/>
          <w:szCs w:val="21"/>
        </w:rPr>
        <w:t>成份证券，现金替代的类型可以设为 “禁止”、“允许”和“必须”</w:t>
      </w:r>
      <w:r w:rsidRPr="001F61B7" w:rsidR="00482DB9">
        <w:rPr>
          <w:rFonts w:asciiTheme="minorEastAsia" w:eastAsiaTheme="minorEastAsia" w:hAnsiTheme="minorEastAsia"/>
          <w:color w:val="000000" w:themeColor="text1"/>
          <w:szCs w:val="21"/>
        </w:rPr>
        <w:t>；对于沪</w:t>
      </w:r>
      <w:r w:rsidRPr="001F61B7">
        <w:rPr>
          <w:rFonts w:asciiTheme="minorEastAsia" w:eastAsiaTheme="minorEastAsia" w:hAnsiTheme="minorEastAsia"/>
          <w:color w:val="000000" w:themeColor="text1"/>
          <w:szCs w:val="21"/>
        </w:rPr>
        <w:t>市成份证券，现金替代的类型可以设为 “允许”和“必须”。</w:t>
      </w:r>
    </w:p>
    <w:p w:rsidR="0038516F"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禁止现金替代适用于</w:t>
      </w:r>
      <w:r w:rsidRPr="001F61B7" w:rsidR="00482DB9">
        <w:rPr>
          <w:rFonts w:asciiTheme="minorEastAsia" w:eastAsiaTheme="minorEastAsia" w:hAnsiTheme="minorEastAsia"/>
          <w:color w:val="000000" w:themeColor="text1"/>
          <w:szCs w:val="21"/>
        </w:rPr>
        <w:t>深市成份证券</w:t>
      </w:r>
      <w:r w:rsidRPr="001F61B7">
        <w:rPr>
          <w:rFonts w:asciiTheme="minorEastAsia" w:eastAsiaTheme="minorEastAsia" w:hAnsiTheme="minorEastAsia"/>
          <w:color w:val="000000" w:themeColor="text1"/>
          <w:szCs w:val="21"/>
        </w:rPr>
        <w:t>，是指在申购、赎回基金份额时，该成份证券不允许使用现金作为替代。</w:t>
      </w:r>
    </w:p>
    <w:p w:rsidR="00F05BB2"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可以现金替代适用于所有成份证券</w:t>
      </w:r>
      <w:r w:rsidRPr="001F61B7" w:rsidR="00AC3431">
        <w:rPr>
          <w:rFonts w:asciiTheme="minorEastAsia" w:eastAsiaTheme="minorEastAsia" w:hAnsiTheme="minorEastAsia"/>
          <w:color w:val="000000" w:themeColor="text1"/>
          <w:szCs w:val="21"/>
        </w:rPr>
        <w:t>，</w:t>
      </w:r>
      <w:r w:rsidRPr="001F61B7">
        <w:rPr>
          <w:rFonts w:asciiTheme="minorEastAsia" w:eastAsiaTheme="minorEastAsia" w:hAnsiTheme="minorEastAsia"/>
          <w:color w:val="000000" w:themeColor="text1"/>
        </w:rPr>
        <w:t>对于</w:t>
      </w:r>
      <w:r w:rsidRPr="001F61B7" w:rsidR="00482DB9">
        <w:rPr>
          <w:rFonts w:asciiTheme="minorEastAsia" w:eastAsiaTheme="minorEastAsia" w:hAnsiTheme="minorEastAsia"/>
          <w:color w:val="000000" w:themeColor="text1"/>
          <w:szCs w:val="21"/>
        </w:rPr>
        <w:t>深市成份证券</w:t>
      </w:r>
      <w:r w:rsidRPr="001F61B7">
        <w:rPr>
          <w:rFonts w:asciiTheme="minorEastAsia" w:eastAsiaTheme="minorEastAsia" w:hAnsiTheme="minorEastAsia"/>
          <w:color w:val="000000" w:themeColor="text1"/>
          <w:szCs w:val="21"/>
        </w:rPr>
        <w:t>，可以现金替代是指在申购基金份额时，允许使用现金作为全部或部分该成份证券的替代，但在赎回基金份额时，该成份证券不允许使用现金作为替代</w:t>
      </w:r>
      <w:r w:rsidRPr="001F61B7" w:rsidR="00AC3431">
        <w:rPr>
          <w:rFonts w:asciiTheme="minorEastAsia" w:eastAsiaTheme="minorEastAsia" w:hAnsiTheme="minorEastAsia"/>
          <w:color w:val="000000" w:themeColor="text1"/>
          <w:szCs w:val="21"/>
        </w:rPr>
        <w:t>；</w:t>
      </w:r>
      <w:r w:rsidRPr="001F61B7">
        <w:rPr>
          <w:rFonts w:asciiTheme="minorEastAsia" w:eastAsiaTheme="minorEastAsia" w:hAnsiTheme="minorEastAsia"/>
          <w:color w:val="000000" w:themeColor="text1"/>
          <w:szCs w:val="21"/>
        </w:rPr>
        <w:t>对于</w:t>
      </w:r>
      <w:r w:rsidRPr="001F61B7" w:rsidR="00482DB9">
        <w:rPr>
          <w:rFonts w:asciiTheme="minorEastAsia" w:eastAsiaTheme="minorEastAsia" w:hAnsiTheme="minorEastAsia"/>
          <w:color w:val="000000" w:themeColor="text1"/>
          <w:szCs w:val="21"/>
        </w:rPr>
        <w:t>沪市成份证券</w:t>
      </w:r>
      <w:r w:rsidRPr="001F61B7">
        <w:rPr>
          <w:rFonts w:asciiTheme="minorEastAsia" w:eastAsiaTheme="minorEastAsia" w:hAnsiTheme="minorEastAsia"/>
          <w:color w:val="000000" w:themeColor="text1"/>
          <w:szCs w:val="21"/>
        </w:rPr>
        <w:t>，可以现金替代是指在申购赎回基金份额时，该成份证券必须使用现金作为替代，根据基金管理人买卖情况，与投资者进行退款或补款。</w:t>
      </w:r>
    </w:p>
    <w:p w:rsidR="0038516F"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必须现金替代适用于所有成份证券，是指在申购、赎回基金份额时，该成份证券必须使用固定现金作为替代。</w:t>
      </w:r>
    </w:p>
    <w:p w:rsidR="0038516F"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（2）可以现金替代</w:t>
      </w:r>
    </w:p>
    <w:p w:rsidR="00E803AC"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1）</w:t>
      </w:r>
      <w:r w:rsidRPr="001F61B7" w:rsidR="00482DB9">
        <w:rPr>
          <w:rFonts w:asciiTheme="minorEastAsia" w:eastAsiaTheme="minorEastAsia" w:hAnsiTheme="minorEastAsia"/>
          <w:color w:val="000000" w:themeColor="text1"/>
          <w:szCs w:val="21"/>
        </w:rPr>
        <w:t>对于深市</w:t>
      </w:r>
      <w:r w:rsidRPr="001F61B7">
        <w:rPr>
          <w:rFonts w:asciiTheme="minorEastAsia" w:eastAsiaTheme="minorEastAsia" w:hAnsiTheme="minorEastAsia"/>
          <w:color w:val="000000" w:themeColor="text1"/>
          <w:szCs w:val="21"/>
        </w:rPr>
        <w:t>成份证券</w:t>
      </w:r>
    </w:p>
    <w:p w:rsidR="0038516F"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Style w:val="da"/>
          <w:rFonts w:asciiTheme="minorEastAsia" w:eastAsiaTheme="minorEastAsia" w:hAnsiTheme="minorEastAsia" w:cs="宋体" w:hint="eastAsia"/>
          <w:color w:val="000000" w:themeColor="text1"/>
        </w:rPr>
        <w:t>①</w:t>
      </w:r>
      <w:r w:rsidRPr="001F61B7">
        <w:rPr>
          <w:rFonts w:asciiTheme="minorEastAsia" w:eastAsiaTheme="minorEastAsia" w:hAnsiTheme="minorEastAsia"/>
          <w:color w:val="000000" w:themeColor="text1"/>
          <w:szCs w:val="21"/>
        </w:rPr>
        <w:t>适用情形：</w:t>
      </w:r>
      <w:r w:rsidRPr="001F61B7" w:rsidR="00E803AC">
        <w:rPr>
          <w:rFonts w:asciiTheme="minorEastAsia" w:eastAsiaTheme="minorEastAsia" w:hAnsiTheme="minorEastAsia"/>
          <w:color w:val="000000" w:themeColor="text1"/>
          <w:szCs w:val="21"/>
        </w:rPr>
        <w:t>投资者申购时持仓不足的深市成份证券</w:t>
      </w:r>
      <w:r w:rsidRPr="001F61B7" w:rsidR="00BA6F6D">
        <w:rPr>
          <w:rFonts w:asciiTheme="minorEastAsia" w:eastAsiaTheme="minorEastAsia" w:hAnsiTheme="minorEastAsia"/>
          <w:color w:val="000000" w:themeColor="text1"/>
          <w:szCs w:val="21"/>
        </w:rPr>
        <w:t>。</w:t>
      </w:r>
      <w:r w:rsidRPr="001F61B7">
        <w:rPr>
          <w:rFonts w:asciiTheme="minorEastAsia" w:eastAsiaTheme="minorEastAsia" w:hAnsiTheme="minorEastAsia"/>
          <w:color w:val="000000" w:themeColor="text1"/>
          <w:szCs w:val="21"/>
        </w:rPr>
        <w:t>登记结算机构先使用</w:t>
      </w:r>
      <w:r w:rsidRPr="001F61B7" w:rsidR="00E803AC">
        <w:rPr>
          <w:rFonts w:asciiTheme="minorEastAsia" w:eastAsiaTheme="minorEastAsia" w:hAnsiTheme="minorEastAsia"/>
          <w:color w:val="000000" w:themeColor="text1"/>
          <w:szCs w:val="21"/>
        </w:rPr>
        <w:t>深市成份证券，不足时差额部分</w:t>
      </w:r>
      <w:r w:rsidRPr="001F61B7">
        <w:rPr>
          <w:rFonts w:asciiTheme="minorEastAsia" w:eastAsiaTheme="minorEastAsia" w:hAnsiTheme="minorEastAsia"/>
          <w:color w:val="000000" w:themeColor="text1"/>
          <w:szCs w:val="21"/>
        </w:rPr>
        <w:t>使</w:t>
      </w:r>
      <w:r w:rsidRPr="001F61B7" w:rsidR="00E803AC">
        <w:rPr>
          <w:rFonts w:asciiTheme="minorEastAsia" w:eastAsiaTheme="minorEastAsia" w:hAnsiTheme="minorEastAsia"/>
          <w:color w:val="000000" w:themeColor="text1"/>
          <w:szCs w:val="21"/>
        </w:rPr>
        <w:t>用现金替代。</w:t>
      </w:r>
    </w:p>
    <w:p w:rsidR="002373E9"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Style w:val="da"/>
          <w:rFonts w:asciiTheme="minorEastAsia" w:eastAsiaTheme="minorEastAsia" w:hAnsiTheme="minorEastAsia" w:cs="宋体" w:hint="eastAsia"/>
          <w:color w:val="000000" w:themeColor="text1"/>
        </w:rPr>
        <w:t>②</w:t>
      </w:r>
      <w:r w:rsidRPr="001F61B7">
        <w:rPr>
          <w:rFonts w:asciiTheme="minorEastAsia" w:eastAsiaTheme="minorEastAsia" w:hAnsiTheme="minorEastAsia"/>
          <w:color w:val="000000" w:themeColor="text1"/>
          <w:szCs w:val="21"/>
        </w:rPr>
        <w:t>替代金额：</w:t>
      </w:r>
      <w:r w:rsidRPr="001F61B7">
        <w:rPr>
          <w:rStyle w:val="da"/>
          <w:rFonts w:asciiTheme="minorEastAsia" w:eastAsiaTheme="minorEastAsia" w:hAnsiTheme="minorEastAsia"/>
          <w:color w:val="000000" w:themeColor="text1"/>
        </w:rPr>
        <w:t>对于现金替代的</w:t>
      </w:r>
      <w:r w:rsidRPr="001F61B7">
        <w:rPr>
          <w:rFonts w:asciiTheme="minorEastAsia" w:eastAsiaTheme="minorEastAsia" w:hAnsiTheme="minorEastAsia"/>
          <w:color w:val="000000" w:themeColor="text1"/>
          <w:szCs w:val="21"/>
        </w:rPr>
        <w:t>深市成份证券，</w:t>
      </w:r>
      <w:r w:rsidRPr="001F61B7" w:rsidR="0038516F">
        <w:rPr>
          <w:rFonts w:asciiTheme="minorEastAsia" w:eastAsiaTheme="minorEastAsia" w:hAnsiTheme="minorEastAsia"/>
          <w:color w:val="000000" w:themeColor="text1"/>
          <w:szCs w:val="21"/>
        </w:rPr>
        <w:t>替代金额的计算公式为：</w:t>
      </w:r>
    </w:p>
    <w:p w:rsidR="0038516F"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替代金额＝替代证券数量×该证券参考价格×（1＋现金替代溢价比例）</w:t>
      </w:r>
    </w:p>
    <w:p w:rsidR="00350C54"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其中，“参考价格”目前为该证券</w:t>
      </w:r>
      <w:r w:rsidRPr="001F61B7" w:rsidR="004F402A">
        <w:rPr>
          <w:rFonts w:asciiTheme="minorEastAsia" w:eastAsiaTheme="minorEastAsia" w:hAnsiTheme="minorEastAsia"/>
          <w:color w:val="000000" w:themeColor="text1"/>
          <w:szCs w:val="21"/>
        </w:rPr>
        <w:t>经除权</w:t>
      </w:r>
      <w:r w:rsidRPr="001F61B7" w:rsidR="00CE7603">
        <w:rPr>
          <w:rFonts w:asciiTheme="minorEastAsia" w:eastAsiaTheme="minorEastAsia" w:hAnsiTheme="minorEastAsia"/>
          <w:color w:val="000000" w:themeColor="text1"/>
          <w:szCs w:val="21"/>
        </w:rPr>
        <w:t>除息</w:t>
      </w:r>
      <w:r w:rsidRPr="001F61B7" w:rsidR="004F402A">
        <w:rPr>
          <w:rFonts w:asciiTheme="minorEastAsia" w:eastAsiaTheme="minorEastAsia" w:hAnsiTheme="minorEastAsia"/>
          <w:color w:val="000000" w:themeColor="text1"/>
          <w:szCs w:val="21"/>
        </w:rPr>
        <w:t>调整的T-1日收盘价</w:t>
      </w:r>
      <w:r w:rsidRPr="001F61B7">
        <w:rPr>
          <w:rFonts w:asciiTheme="minorEastAsia" w:eastAsiaTheme="minorEastAsia" w:hAnsiTheme="minorEastAsia"/>
          <w:color w:val="000000" w:themeColor="text1"/>
          <w:szCs w:val="21"/>
        </w:rPr>
        <w:t>。如果</w:t>
      </w:r>
      <w:r w:rsidRPr="001F61B7" w:rsidR="00247CA6">
        <w:rPr>
          <w:rFonts w:asciiTheme="minorEastAsia" w:eastAsiaTheme="minorEastAsia" w:hAnsiTheme="minorEastAsia"/>
          <w:color w:val="000000" w:themeColor="text1"/>
          <w:szCs w:val="21"/>
        </w:rPr>
        <w:t>深圳</w:t>
      </w:r>
      <w:r w:rsidRPr="001F61B7">
        <w:rPr>
          <w:rFonts w:asciiTheme="minorEastAsia" w:eastAsiaTheme="minorEastAsia" w:hAnsiTheme="minorEastAsia"/>
          <w:color w:val="000000" w:themeColor="text1"/>
          <w:szCs w:val="21"/>
        </w:rPr>
        <w:t>证券交易所参考价格确定原则发生变化，以</w:t>
      </w:r>
      <w:r w:rsidRPr="001F61B7" w:rsidR="00247CA6">
        <w:rPr>
          <w:rFonts w:asciiTheme="minorEastAsia" w:eastAsiaTheme="minorEastAsia" w:hAnsiTheme="minorEastAsia"/>
          <w:color w:val="000000" w:themeColor="text1"/>
          <w:szCs w:val="21"/>
        </w:rPr>
        <w:t>深圳</w:t>
      </w:r>
      <w:r w:rsidRPr="001F61B7">
        <w:rPr>
          <w:rFonts w:asciiTheme="minorEastAsia" w:eastAsiaTheme="minorEastAsia" w:hAnsiTheme="minorEastAsia"/>
          <w:color w:val="000000" w:themeColor="text1"/>
          <w:szCs w:val="21"/>
        </w:rPr>
        <w:t>证券交易所通知规定的参考价格为准。</w:t>
      </w:r>
    </w:p>
    <w:p w:rsidR="004F402A"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对于使用现金替代的深市</w:t>
      </w:r>
      <w:r w:rsidRPr="001F61B7" w:rsidR="002373E9">
        <w:rPr>
          <w:rFonts w:asciiTheme="minorEastAsia" w:eastAsiaTheme="minorEastAsia" w:hAnsiTheme="minorEastAsia"/>
          <w:color w:val="000000" w:themeColor="text1"/>
          <w:szCs w:val="21"/>
        </w:rPr>
        <w:t>成份</w:t>
      </w:r>
      <w:r w:rsidRPr="001F61B7">
        <w:rPr>
          <w:rFonts w:asciiTheme="minorEastAsia" w:eastAsiaTheme="minorEastAsia" w:hAnsiTheme="minorEastAsia"/>
          <w:color w:val="000000" w:themeColor="text1"/>
          <w:szCs w:val="21"/>
        </w:rPr>
        <w:t>证券，</w:t>
      </w:r>
      <w:r w:rsidRPr="001F61B7" w:rsidR="0038516F">
        <w:rPr>
          <w:rFonts w:asciiTheme="minorEastAsia" w:eastAsiaTheme="minorEastAsia" w:hAnsiTheme="minorEastAsia"/>
          <w:color w:val="000000" w:themeColor="text1"/>
          <w:szCs w:val="21"/>
        </w:rPr>
        <w:t>收取现金替代溢价的原因是，基金管理人需在证券</w:t>
      </w:r>
      <w:r w:rsidRPr="001F61B7">
        <w:rPr>
          <w:rFonts w:asciiTheme="minorEastAsia" w:eastAsiaTheme="minorEastAsia" w:hAnsiTheme="minorEastAsia"/>
          <w:color w:val="000000" w:themeColor="text1"/>
          <w:szCs w:val="21"/>
        </w:rPr>
        <w:t>正常</w:t>
      </w:r>
      <w:r w:rsidRPr="001F61B7" w:rsidR="0038516F">
        <w:rPr>
          <w:rFonts w:asciiTheme="minorEastAsia" w:eastAsiaTheme="minorEastAsia" w:hAnsiTheme="minorEastAsia"/>
          <w:color w:val="000000" w:themeColor="text1"/>
          <w:szCs w:val="21"/>
        </w:rPr>
        <w:t>交易后买入，而实际买入价格加上相关交易费用后与申购时的参考价格可能有所差异。</w:t>
      </w:r>
      <w:r w:rsidRPr="001F61B7" w:rsidR="0038516F">
        <w:rPr>
          <w:rFonts w:asciiTheme="minorEastAsia" w:eastAsiaTheme="minorEastAsia" w:hAnsiTheme="minorEastAsia"/>
          <w:color w:val="000000" w:themeColor="text1"/>
          <w:szCs w:val="21"/>
        </w:rPr>
        <w:t>为便于操作，基金管理人在申购赎回清单中预先确定现金替代溢价比例，并据此收取替代金额。如果预先收取的金额高于基金购入该部分证券的实际成本，则基金管理人将退还多收取的差额；如果预先收取的金额低于基金购入该部分证券的实际成本，则基金管理人将向投资者收取欠缺的差额。</w:t>
      </w:r>
    </w:p>
    <w:p w:rsidR="004F402A"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s="宋体" w:hint="eastAsia"/>
          <w:color w:val="000000" w:themeColor="text1"/>
          <w:szCs w:val="21"/>
        </w:rPr>
        <w:t>③</w:t>
      </w:r>
      <w:r w:rsidRPr="001F61B7">
        <w:rPr>
          <w:rFonts w:asciiTheme="minorEastAsia" w:eastAsiaTheme="minorEastAsia" w:hAnsiTheme="minorEastAsia"/>
          <w:color w:val="000000" w:themeColor="text1"/>
          <w:szCs w:val="21"/>
        </w:rPr>
        <w:t>替代金额的处理程序</w:t>
      </w:r>
    </w:p>
    <w:p w:rsidR="004F402A"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T日，基金管理人在申购赎回清单中公布现金替代溢价比例，并据此收取替代金额。</w:t>
      </w:r>
    </w:p>
    <w:p w:rsidR="004F402A"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在T日后被替代的成份证券有正常交易的2个交易日（简称为T+2日）内，基金管理人将以收到的替代金额买入被替代的部分证券。</w:t>
      </w:r>
    </w:p>
    <w:p w:rsidR="004F402A"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T＋2日日终，若已购入全部被替代的证券，则以替代金额与被替代证券的实际购入成本（包括买入价格与交易费用）的差额，确定基金应退还投资者或投资者应补交的款项；若未能购入全部被替代的证券，则以替代金额与所购入的部分被替代证券实际购入成本加上按照 T+2日收盘价计算的未购入的部分被替代证券价值的差额，确定基金应退还投资者或投资者应补交的款项。</w:t>
      </w:r>
    </w:p>
    <w:p w:rsidR="004F402A"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特例情况：若自T日起，深圳证券交易所正常交易日已达到20日而该证券正常交易日低于2日，则以替代金额与所购入的部分被替代证券实际购入成本加上按照最近一次收盘价计算的未购入的部分被替代证券价值的差额，确定基金应退还投资者或投资者应补交的款项。</w:t>
      </w:r>
    </w:p>
    <w:p w:rsidR="004F402A"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若现金替代日（T日）后至T+2日（若在特例情况下，则为 T 日起第20个交易日）期间发生除息、送股（转增）、配股等权益变动，则进行相应调整。</w:t>
      </w:r>
    </w:p>
    <w:p w:rsidR="002373E9"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T+2日后第1个工作日（若在特例情况下，则为T日起第21个交易日），基金管理人将应退款和补款的明细数据发送给登记结算机构，登记结算机构办理现金替代多退少补款的清算；T+2日后第二个工作日（若在特例情况下，则为T日起第22个交易日），登记结算机构办理现金替代多退少补资金的交收；如遇特殊情况，基金管理人有权延后发送数据并延迟交收相关款项。</w:t>
      </w:r>
    </w:p>
    <w:p w:rsidR="002373E9"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s="宋体" w:hint="eastAsia"/>
          <w:color w:val="000000" w:themeColor="text1"/>
          <w:szCs w:val="21"/>
        </w:rPr>
        <w:t>④</w:t>
      </w:r>
      <w:r w:rsidRPr="001F61B7">
        <w:rPr>
          <w:rFonts w:asciiTheme="minorEastAsia" w:eastAsiaTheme="minorEastAsia" w:hAnsiTheme="minorEastAsia"/>
          <w:color w:val="000000" w:themeColor="text1"/>
          <w:szCs w:val="21"/>
        </w:rPr>
        <w:t>替代限制：为有效控制基金的跟踪偏离度和跟踪误差，对于可以现金替代的深市成份证券，基金管理人可规定投资者使用可以现金替代的比例合计不得超过申购基金份额资产净值的一定比例。现金替代比例的计算公式为：</w:t>
      </w:r>
    </w:p>
    <w:p w:rsidR="002373E9"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noProof/>
          <w:color w:val="000000" w:themeColor="text1"/>
        </w:rPr>
        <w:drawing>
          <wp:inline distT="0" distB="0" distL="0" distR="0">
            <wp:extent cx="3343275" cy="52414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7" cstate="print"/>
                    <a:stretch>
                      <a:fillRect/>
                    </a:stretch>
                  </pic:blipFill>
                  <pic:spPr>
                    <a:xfrm>
                      <a:off x="0" y="0"/>
                      <a:ext cx="3359153" cy="526633"/>
                    </a:xfrm>
                    <a:prstGeom prst="rect">
                      <a:avLst/>
                    </a:prstGeom>
                  </pic:spPr>
                </pic:pic>
              </a:graphicData>
            </a:graphic>
          </wp:inline>
        </w:drawing>
      </w:r>
    </w:p>
    <w:p w:rsidR="002373E9"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其中，该证券参考价格目前为该证券前一交易日除权除息后的收盘价，如果深圳证券交易所参考价格确定原则发生变化，以深圳证券交易所通知规定的参考价格为准。参考基金份额净值目前为该ETF 前一交易日除权除息后的收盘价，如果深圳证券交易所参考基金份额净值计算方式发生变化，以深圳证券交易所通知规定的参考基金份额净值为准。</w:t>
      </w:r>
    </w:p>
    <w:p w:rsidR="002373E9"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2）对于</w:t>
      </w:r>
      <w:r w:rsidRPr="001F61B7" w:rsidR="00482DB9">
        <w:rPr>
          <w:rFonts w:asciiTheme="minorEastAsia" w:eastAsiaTheme="minorEastAsia" w:hAnsiTheme="minorEastAsia"/>
          <w:color w:val="000000" w:themeColor="text1"/>
          <w:szCs w:val="21"/>
        </w:rPr>
        <w:t>沪市</w:t>
      </w:r>
      <w:r w:rsidRPr="001F61B7">
        <w:rPr>
          <w:rFonts w:asciiTheme="minorEastAsia" w:eastAsiaTheme="minorEastAsia" w:hAnsiTheme="minorEastAsia"/>
          <w:color w:val="000000" w:themeColor="text1"/>
          <w:szCs w:val="21"/>
        </w:rPr>
        <w:t>成份证券</w:t>
      </w:r>
    </w:p>
    <w:p w:rsidR="002373E9"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Style w:val="da"/>
          <w:rFonts w:asciiTheme="minorEastAsia" w:eastAsiaTheme="minorEastAsia" w:hAnsiTheme="minorEastAsia" w:cs="宋体" w:hint="eastAsia"/>
          <w:color w:val="000000" w:themeColor="text1"/>
        </w:rPr>
        <w:t>①</w:t>
      </w:r>
      <w:r w:rsidRPr="001F61B7">
        <w:rPr>
          <w:rFonts w:asciiTheme="minorEastAsia" w:eastAsiaTheme="minorEastAsia" w:hAnsiTheme="minorEastAsia"/>
          <w:color w:val="000000" w:themeColor="text1"/>
          <w:szCs w:val="21"/>
        </w:rPr>
        <w:t>适用情形：投资者申购和赎回时的沪市成份证券</w:t>
      </w:r>
      <w:r w:rsidRPr="001F61B7" w:rsidR="00BA6F6D">
        <w:rPr>
          <w:rFonts w:asciiTheme="minorEastAsia" w:eastAsiaTheme="minorEastAsia" w:hAnsiTheme="minorEastAsia"/>
          <w:color w:val="000000" w:themeColor="text1"/>
          <w:szCs w:val="21"/>
        </w:rPr>
        <w:t>。</w:t>
      </w:r>
      <w:r w:rsidRPr="001F61B7">
        <w:rPr>
          <w:rFonts w:asciiTheme="minorEastAsia" w:eastAsiaTheme="minorEastAsia" w:hAnsiTheme="minorEastAsia"/>
          <w:color w:val="000000" w:themeColor="text1"/>
          <w:szCs w:val="21"/>
        </w:rPr>
        <w:t>登记结算机构对设置可以现金替代的沪市成份证券全部</w:t>
      </w:r>
      <w:r w:rsidRPr="001F61B7" w:rsidR="00BA6F6D">
        <w:rPr>
          <w:rFonts w:asciiTheme="minorEastAsia" w:eastAsiaTheme="minorEastAsia" w:hAnsiTheme="minorEastAsia"/>
          <w:color w:val="000000" w:themeColor="text1"/>
          <w:szCs w:val="21"/>
        </w:rPr>
        <w:t>使</w:t>
      </w:r>
      <w:r w:rsidRPr="001F61B7">
        <w:rPr>
          <w:rFonts w:asciiTheme="minorEastAsia" w:eastAsiaTheme="minorEastAsia" w:hAnsiTheme="minorEastAsia"/>
          <w:color w:val="000000" w:themeColor="text1"/>
          <w:szCs w:val="21"/>
        </w:rPr>
        <w:t>用现金替代。</w:t>
      </w:r>
    </w:p>
    <w:p w:rsidR="00350C54"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Style w:val="da"/>
          <w:rFonts w:asciiTheme="minorEastAsia" w:eastAsiaTheme="minorEastAsia" w:hAnsiTheme="minorEastAsia" w:cs="宋体" w:hint="eastAsia"/>
          <w:color w:val="000000" w:themeColor="text1"/>
        </w:rPr>
        <w:t>②</w:t>
      </w:r>
      <w:r w:rsidRPr="001F61B7">
        <w:rPr>
          <w:rFonts w:asciiTheme="minorEastAsia" w:eastAsiaTheme="minorEastAsia" w:hAnsiTheme="minorEastAsia"/>
          <w:color w:val="000000" w:themeColor="text1"/>
          <w:szCs w:val="21"/>
        </w:rPr>
        <w:t>替代金额：</w:t>
      </w:r>
      <w:r w:rsidRPr="001F61B7">
        <w:rPr>
          <w:rStyle w:val="da"/>
          <w:rFonts w:asciiTheme="minorEastAsia" w:eastAsiaTheme="minorEastAsia" w:hAnsiTheme="minorEastAsia"/>
          <w:color w:val="000000" w:themeColor="text1"/>
        </w:rPr>
        <w:t>对于现金替代的</w:t>
      </w:r>
      <w:r w:rsidRPr="001F61B7">
        <w:rPr>
          <w:rFonts w:asciiTheme="minorEastAsia" w:eastAsiaTheme="minorEastAsia" w:hAnsiTheme="minorEastAsia"/>
          <w:color w:val="000000" w:themeColor="text1"/>
          <w:szCs w:val="21"/>
        </w:rPr>
        <w:t>沪市成份证券，替代金额的计算公式为：</w:t>
      </w:r>
    </w:p>
    <w:p w:rsidR="00350C54"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申购的替代金额＝替代证券数量×该证券</w:t>
      </w:r>
      <w:r w:rsidRPr="001F61B7" w:rsidR="002373E9">
        <w:rPr>
          <w:rFonts w:asciiTheme="minorEastAsia" w:eastAsiaTheme="minorEastAsia" w:hAnsiTheme="minorEastAsia"/>
          <w:color w:val="000000" w:themeColor="text1"/>
          <w:szCs w:val="21"/>
        </w:rPr>
        <w:t>参考价格</w:t>
      </w:r>
      <w:r w:rsidRPr="001F61B7">
        <w:rPr>
          <w:rFonts w:asciiTheme="minorEastAsia" w:eastAsiaTheme="minorEastAsia" w:hAnsiTheme="minorEastAsia"/>
          <w:color w:val="000000" w:themeColor="text1"/>
          <w:szCs w:val="21"/>
        </w:rPr>
        <w:t>×（1+现金替代溢价比例）；</w:t>
      </w:r>
    </w:p>
    <w:p w:rsidR="00350C54"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赎回的替代金额＝替代证券数量×该证券</w:t>
      </w:r>
      <w:r w:rsidRPr="001F61B7" w:rsidR="002373E9">
        <w:rPr>
          <w:rFonts w:asciiTheme="minorEastAsia" w:eastAsiaTheme="minorEastAsia" w:hAnsiTheme="minorEastAsia"/>
          <w:color w:val="000000" w:themeColor="text1"/>
          <w:szCs w:val="21"/>
        </w:rPr>
        <w:t>参考价格</w:t>
      </w:r>
      <w:r w:rsidRPr="001F61B7">
        <w:rPr>
          <w:rFonts w:asciiTheme="minorEastAsia" w:eastAsiaTheme="minorEastAsia" w:hAnsiTheme="minorEastAsia"/>
          <w:color w:val="000000" w:themeColor="text1"/>
          <w:szCs w:val="21"/>
        </w:rPr>
        <w:t>×（1-现金替代</w:t>
      </w:r>
      <w:r w:rsidRPr="001F61B7" w:rsidR="00065BF6">
        <w:rPr>
          <w:rFonts w:asciiTheme="minorEastAsia" w:eastAsiaTheme="minorEastAsia" w:hAnsiTheme="minorEastAsia"/>
          <w:color w:val="000000" w:themeColor="text1"/>
          <w:szCs w:val="21"/>
        </w:rPr>
        <w:t>折价</w:t>
      </w:r>
      <w:r w:rsidRPr="001F61B7">
        <w:rPr>
          <w:rFonts w:asciiTheme="minorEastAsia" w:eastAsiaTheme="minorEastAsia" w:hAnsiTheme="minorEastAsia"/>
          <w:color w:val="000000" w:themeColor="text1"/>
          <w:szCs w:val="21"/>
        </w:rPr>
        <w:t>比例）。</w:t>
      </w:r>
    </w:p>
    <w:p w:rsidR="00C50CED"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其中，“参考价格”目前为该证券经除权</w:t>
      </w:r>
      <w:r w:rsidRPr="001F61B7" w:rsidR="00CE7603">
        <w:rPr>
          <w:rFonts w:asciiTheme="minorEastAsia" w:eastAsiaTheme="minorEastAsia" w:hAnsiTheme="minorEastAsia"/>
          <w:color w:val="000000" w:themeColor="text1"/>
          <w:szCs w:val="21"/>
        </w:rPr>
        <w:t>除息</w:t>
      </w:r>
      <w:r w:rsidRPr="001F61B7">
        <w:rPr>
          <w:rFonts w:asciiTheme="minorEastAsia" w:eastAsiaTheme="minorEastAsia" w:hAnsiTheme="minorEastAsia"/>
          <w:color w:val="000000" w:themeColor="text1"/>
          <w:szCs w:val="21"/>
        </w:rPr>
        <w:t>调整的T-1日收盘价。如果上海证券交易所参考价格确定原则发生变化，以上海证券交易所通知规定的参考价格为准。</w:t>
      </w:r>
    </w:p>
    <w:p w:rsidR="00350C54"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申购时收取现金替代溢价的原因是，</w:t>
      </w:r>
      <w:r w:rsidRPr="001F61B7" w:rsidR="00065BF6">
        <w:rPr>
          <w:rFonts w:asciiTheme="minorEastAsia" w:eastAsiaTheme="minorEastAsia" w:hAnsiTheme="minorEastAsia"/>
          <w:color w:val="000000" w:themeColor="text1"/>
          <w:szCs w:val="21"/>
        </w:rPr>
        <w:t>对于使用现金替代的</w:t>
      </w:r>
      <w:r w:rsidRPr="001F61B7" w:rsidR="00482DB9">
        <w:rPr>
          <w:rFonts w:asciiTheme="minorEastAsia" w:eastAsiaTheme="minorEastAsia" w:hAnsiTheme="minorEastAsia"/>
          <w:color w:val="000000" w:themeColor="text1"/>
          <w:szCs w:val="21"/>
        </w:rPr>
        <w:t>沪</w:t>
      </w:r>
      <w:r w:rsidRPr="001F61B7" w:rsidR="00065BF6">
        <w:rPr>
          <w:rFonts w:asciiTheme="minorEastAsia" w:eastAsiaTheme="minorEastAsia" w:hAnsiTheme="minorEastAsia"/>
          <w:color w:val="000000" w:themeColor="text1"/>
          <w:szCs w:val="21"/>
        </w:rPr>
        <w:t>市</w:t>
      </w:r>
      <w:r w:rsidRPr="001F61B7" w:rsidR="002373E9">
        <w:rPr>
          <w:rFonts w:asciiTheme="minorEastAsia" w:eastAsiaTheme="minorEastAsia" w:hAnsiTheme="minorEastAsia"/>
          <w:color w:val="000000" w:themeColor="text1"/>
          <w:szCs w:val="21"/>
        </w:rPr>
        <w:t>成份</w:t>
      </w:r>
      <w:r w:rsidRPr="001F61B7" w:rsidR="00065BF6">
        <w:rPr>
          <w:rFonts w:asciiTheme="minorEastAsia" w:eastAsiaTheme="minorEastAsia" w:hAnsiTheme="minorEastAsia"/>
          <w:color w:val="000000" w:themeColor="text1"/>
          <w:szCs w:val="21"/>
        </w:rPr>
        <w:t>证券</w:t>
      </w:r>
      <w:r w:rsidRPr="001F61B7">
        <w:rPr>
          <w:rFonts w:asciiTheme="minorEastAsia" w:eastAsiaTheme="minorEastAsia" w:hAnsiTheme="minorEastAsia"/>
          <w:color w:val="000000" w:themeColor="text1"/>
          <w:szCs w:val="21"/>
        </w:rPr>
        <w:t>，基金管理人将买入该证券，实际买入价格加上相关交易费用后与</w:t>
      </w:r>
      <w:r w:rsidRPr="001F61B7" w:rsidR="002373E9">
        <w:rPr>
          <w:rFonts w:asciiTheme="minorEastAsia" w:eastAsiaTheme="minorEastAsia" w:hAnsiTheme="minorEastAsia"/>
          <w:color w:val="000000" w:themeColor="text1"/>
          <w:szCs w:val="21"/>
        </w:rPr>
        <w:t>申购时的参考价格</w:t>
      </w:r>
      <w:r w:rsidRPr="001F61B7">
        <w:rPr>
          <w:rFonts w:asciiTheme="minorEastAsia" w:eastAsiaTheme="minorEastAsia" w:hAnsiTheme="minorEastAsia"/>
          <w:color w:val="000000" w:themeColor="text1"/>
          <w:szCs w:val="21"/>
        </w:rPr>
        <w:t>可能有所差异。为便于操作，基金管理人在申购赎回清单中预先确定现金替代溢价比例，并据此收取替代金额。如果预先收取的金额高于基金购入该部分证券的实际成本，则基金管理人将退还多收取的差额；如果预先收取的金额低于基金购入该部分证券的实际成本，则基金管理人将向投资者收取欠缺的差额。</w:t>
      </w:r>
    </w:p>
    <w:p w:rsidR="00350C54"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赎回时扣除</w:t>
      </w:r>
      <w:r w:rsidRPr="001F61B7" w:rsidR="00065BF6">
        <w:rPr>
          <w:rFonts w:asciiTheme="minorEastAsia" w:eastAsiaTheme="minorEastAsia" w:hAnsiTheme="minorEastAsia"/>
          <w:color w:val="000000" w:themeColor="text1"/>
          <w:szCs w:val="21"/>
        </w:rPr>
        <w:t>现金替代折价</w:t>
      </w:r>
      <w:r w:rsidRPr="001F61B7">
        <w:rPr>
          <w:rFonts w:asciiTheme="minorEastAsia" w:eastAsiaTheme="minorEastAsia" w:hAnsiTheme="minorEastAsia"/>
          <w:color w:val="000000" w:themeColor="text1"/>
          <w:szCs w:val="21"/>
        </w:rPr>
        <w:t>的原因是，</w:t>
      </w:r>
      <w:r w:rsidRPr="001F61B7" w:rsidR="00065BF6">
        <w:rPr>
          <w:rFonts w:asciiTheme="minorEastAsia" w:eastAsiaTheme="minorEastAsia" w:hAnsiTheme="minorEastAsia"/>
          <w:color w:val="000000" w:themeColor="text1"/>
          <w:szCs w:val="21"/>
        </w:rPr>
        <w:t>对于使用现金替代的</w:t>
      </w:r>
      <w:r w:rsidRPr="001F61B7" w:rsidR="00482DB9">
        <w:rPr>
          <w:rFonts w:asciiTheme="minorEastAsia" w:eastAsiaTheme="minorEastAsia" w:hAnsiTheme="minorEastAsia"/>
          <w:color w:val="000000" w:themeColor="text1"/>
          <w:szCs w:val="21"/>
        </w:rPr>
        <w:t>沪</w:t>
      </w:r>
      <w:r w:rsidRPr="001F61B7" w:rsidR="00065BF6">
        <w:rPr>
          <w:rFonts w:asciiTheme="minorEastAsia" w:eastAsiaTheme="minorEastAsia" w:hAnsiTheme="minorEastAsia"/>
          <w:color w:val="000000" w:themeColor="text1"/>
          <w:szCs w:val="21"/>
        </w:rPr>
        <w:t>市</w:t>
      </w:r>
      <w:r w:rsidRPr="001F61B7" w:rsidR="002373E9">
        <w:rPr>
          <w:rFonts w:asciiTheme="minorEastAsia" w:eastAsiaTheme="minorEastAsia" w:hAnsiTheme="minorEastAsia"/>
          <w:color w:val="000000" w:themeColor="text1"/>
          <w:szCs w:val="21"/>
        </w:rPr>
        <w:t>成份</w:t>
      </w:r>
      <w:r w:rsidRPr="001F61B7" w:rsidR="00065BF6">
        <w:rPr>
          <w:rFonts w:asciiTheme="minorEastAsia" w:eastAsiaTheme="minorEastAsia" w:hAnsiTheme="minorEastAsia"/>
          <w:color w:val="000000" w:themeColor="text1"/>
          <w:szCs w:val="21"/>
        </w:rPr>
        <w:t>证券</w:t>
      </w:r>
      <w:r w:rsidRPr="001F61B7">
        <w:rPr>
          <w:rFonts w:asciiTheme="minorEastAsia" w:eastAsiaTheme="minorEastAsia" w:hAnsiTheme="minorEastAsia"/>
          <w:color w:val="000000" w:themeColor="text1"/>
          <w:szCs w:val="21"/>
        </w:rPr>
        <w:t>，基金管理人将卖出该证券，实际卖出价格扣除相关交易费用后与</w:t>
      </w:r>
      <w:r w:rsidRPr="001F61B7" w:rsidR="002373E9">
        <w:rPr>
          <w:rFonts w:asciiTheme="minorEastAsia" w:eastAsiaTheme="minorEastAsia" w:hAnsiTheme="minorEastAsia"/>
          <w:color w:val="000000" w:themeColor="text1"/>
          <w:szCs w:val="21"/>
        </w:rPr>
        <w:t>赎回时的参考价格</w:t>
      </w:r>
      <w:r w:rsidRPr="001F61B7">
        <w:rPr>
          <w:rFonts w:asciiTheme="minorEastAsia" w:eastAsiaTheme="minorEastAsia" w:hAnsiTheme="minorEastAsia"/>
          <w:color w:val="000000" w:themeColor="text1"/>
          <w:szCs w:val="21"/>
        </w:rPr>
        <w:t>可能有所差异。为便于操作，基金管理人在申购赎回清单中预先确定</w:t>
      </w:r>
      <w:r w:rsidRPr="001F61B7" w:rsidR="00065BF6">
        <w:rPr>
          <w:rFonts w:asciiTheme="minorEastAsia" w:eastAsiaTheme="minorEastAsia" w:hAnsiTheme="minorEastAsia"/>
          <w:color w:val="000000" w:themeColor="text1"/>
          <w:szCs w:val="21"/>
        </w:rPr>
        <w:t>现金替代折价</w:t>
      </w:r>
      <w:r w:rsidRPr="001F61B7">
        <w:rPr>
          <w:rFonts w:asciiTheme="minorEastAsia" w:eastAsiaTheme="minorEastAsia" w:hAnsiTheme="minorEastAsia"/>
          <w:color w:val="000000" w:themeColor="text1"/>
          <w:szCs w:val="21"/>
        </w:rPr>
        <w:t>比例，并据此支付替代金额。如果预先支付的金额低于基金卖出该部分证券的实际收入，则基金管理人将退还少支付的差额；如果预先支付的金额高于基金卖出该部分证券的实际收入，则基金管理人将向投资者收取多支付的差额。</w:t>
      </w:r>
    </w:p>
    <w:p w:rsidR="00247CA6"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s="宋体" w:hint="eastAsia"/>
          <w:color w:val="000000" w:themeColor="text1"/>
          <w:szCs w:val="21"/>
        </w:rPr>
        <w:t>③</w:t>
      </w:r>
      <w:r w:rsidRPr="001F61B7">
        <w:rPr>
          <w:rFonts w:asciiTheme="minorEastAsia" w:eastAsiaTheme="minorEastAsia" w:hAnsiTheme="minorEastAsia"/>
          <w:color w:val="000000" w:themeColor="text1"/>
          <w:szCs w:val="21"/>
        </w:rPr>
        <w:t>替代金额的处理程序</w:t>
      </w:r>
    </w:p>
    <w:p w:rsidR="002373E9"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T日，基金管理人在申购赎回清单中公布现金替代溢价比例和现金替代折价比例，并据此收取申购替代金额和支付赎回替代金额。</w:t>
      </w:r>
    </w:p>
    <w:p w:rsidR="00247CA6"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基金管理人将自T日起在收到申购交易确认后按照“时间优先、实时申报”的原则依次买入申购被替代的部分证券，在收到赎回交易确认后按照“时间优先、实时申报”的原则依</w:t>
      </w:r>
      <w:r w:rsidRPr="001F61B7">
        <w:rPr>
          <w:rFonts w:asciiTheme="minorEastAsia" w:eastAsiaTheme="minorEastAsia" w:hAnsiTheme="minorEastAsia"/>
          <w:color w:val="000000" w:themeColor="text1"/>
          <w:szCs w:val="21"/>
        </w:rPr>
        <w:t>次卖出赎回被替代的部分证券。T日未完成的交易，基金管理人在T日后被替代的成份证券有正常交易的2个交易日（简称为T+2日）内完成上述交易。</w:t>
      </w:r>
    </w:p>
    <w:p w:rsidR="00247CA6"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时间优先的原则为：申购赎回方向相同的，先确认成交者优先于后确认成交者。先后顺序按照深圳证券交易所确认申购赎回的时间确定。</w:t>
      </w:r>
    </w:p>
    <w:p w:rsidR="00247CA6"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实时申报的原则为：基金管理人在上海证券交易所连续竞价期间，根据收到的深圳证券交易所申购赎回确认记录，在技术系统允许的情况下实时向上海证券交易所申报被替代证券的交易指令。</w:t>
      </w:r>
    </w:p>
    <w:p w:rsidR="00247CA6"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T日基金管理人按照“时间优先”的原则依次与申购投资者确定基金应退还投资者或投资者应补交的款项，即按照申购</w:t>
      </w:r>
      <w:r w:rsidRPr="001F61B7" w:rsidR="002373E9">
        <w:rPr>
          <w:rFonts w:asciiTheme="minorEastAsia" w:eastAsiaTheme="minorEastAsia" w:hAnsiTheme="minorEastAsia"/>
          <w:color w:val="000000" w:themeColor="text1"/>
          <w:szCs w:val="21"/>
        </w:rPr>
        <w:t>确认</w:t>
      </w:r>
      <w:r w:rsidRPr="001F61B7">
        <w:rPr>
          <w:rFonts w:asciiTheme="minorEastAsia" w:eastAsiaTheme="minorEastAsia" w:hAnsiTheme="minorEastAsia"/>
          <w:color w:val="000000" w:themeColor="text1"/>
          <w:szCs w:val="21"/>
        </w:rPr>
        <w:t>时间顺序，以替代金额与被替代证券的依次实际购入成本（包括买入价格与交易费用）的差额，确定基金应退还申购投资者或申购投资者应补交的款项；按照“时间优先”的原则依次与赎回投资者确定基金应退还投资者或投资者应补交的款项，即按照赎回</w:t>
      </w:r>
      <w:r w:rsidRPr="001F61B7" w:rsidR="002373E9">
        <w:rPr>
          <w:rFonts w:asciiTheme="minorEastAsia" w:eastAsiaTheme="minorEastAsia" w:hAnsiTheme="minorEastAsia"/>
          <w:color w:val="000000" w:themeColor="text1"/>
          <w:szCs w:val="21"/>
        </w:rPr>
        <w:t>确认</w:t>
      </w:r>
      <w:r w:rsidRPr="001F61B7">
        <w:rPr>
          <w:rFonts w:asciiTheme="minorEastAsia" w:eastAsiaTheme="minorEastAsia" w:hAnsiTheme="minorEastAsia"/>
          <w:color w:val="000000" w:themeColor="text1"/>
          <w:szCs w:val="21"/>
        </w:rPr>
        <w:t>时间顺序，以替代金额与被替代证券的依次实际卖出收入（卖出价格扣除交易费用）的差额，确定基金应退还赎回投资者或赎回投资者应补交的款项。</w:t>
      </w:r>
    </w:p>
    <w:p w:rsidR="00247CA6"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对于T日因停牌或流动性不足等原因未购入和未卖出的被替代的部分证券，T日后基金管理人可以继续进行被替代证券的买入和卖出，按照前述原则确定基金应退还投资者或投资者应补交的款项。</w:t>
      </w:r>
    </w:p>
    <w:p w:rsidR="00247CA6"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T+2日日终，若已购入全部被替代的证券，则以替代金额与被替代证券的实际购入成本（包括买入价格与交易费用）的差额，确定基金应退还申购投资者或申购投资者应补交的款项；若未能购入全部被替代的证券，则以替代金额与所购入的部分被替代证券实际购入成本（包括买入价格与交易费用）加上按照T+2日收盘价计算的未购入的部分被替代证券价值的差额，确定基金应退还申购投资者或申购投资者应补交的款项。</w:t>
      </w:r>
    </w:p>
    <w:p w:rsidR="00247CA6"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T+2日日终，若已卖出全部被替代的证券，则以替代金额与被替代证券的实际卖出收入（卖出价格扣除交易费用）的差额，确定基金应退还赎回投资者或赎回投资者应补交的款项；若未能卖出全部被替代的证券，以替代金额与所卖出的部分被替代证券实际卖出收入（卖出价格扣除交易费用）加上按照T+2日收盘价计算的未卖出的部分被替代证券价值的差额，确定基金应退还赎回投资者或赎回投资者应补交的款项。</w:t>
      </w:r>
    </w:p>
    <w:p w:rsidR="00247CA6"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特例情况：若自T日起，</w:t>
      </w:r>
      <w:r w:rsidRPr="001F61B7" w:rsidR="00A4504D">
        <w:rPr>
          <w:rFonts w:asciiTheme="minorEastAsia" w:eastAsiaTheme="minorEastAsia" w:hAnsiTheme="minorEastAsia"/>
          <w:color w:val="000000" w:themeColor="text1"/>
          <w:szCs w:val="21"/>
        </w:rPr>
        <w:t>上海</w:t>
      </w:r>
      <w:r w:rsidRPr="001F61B7">
        <w:rPr>
          <w:rFonts w:asciiTheme="minorEastAsia" w:eastAsiaTheme="minorEastAsia" w:hAnsiTheme="minorEastAsia"/>
          <w:color w:val="000000" w:themeColor="text1"/>
          <w:szCs w:val="21"/>
        </w:rPr>
        <w:t>证券交易所正常交易日已达到20日而该证券正常交易日低于2日，则以替代金额与所购入的部分被替代证券实际购入成本（包括买入价格与交易费用）加上按照最近一次收盘价计算的未购入的部分被替代证券价值的差额，确定基金应退还</w:t>
      </w:r>
      <w:r w:rsidRPr="001F61B7">
        <w:rPr>
          <w:rFonts w:asciiTheme="minorEastAsia" w:eastAsiaTheme="minorEastAsia" w:hAnsiTheme="minorEastAsia"/>
          <w:color w:val="000000" w:themeColor="text1"/>
          <w:szCs w:val="21"/>
        </w:rPr>
        <w:t>申购投资者或申购投资者应补交的款项，以替代金额与所卖出的部分被替代证券实际卖出收入（卖出价格扣除交易费用）加上按照最近一次收盘价计算的未卖出的部分被替代证券价值的差额，确定基金应退还赎回投资者或赎回投资者应补交的款项。</w:t>
      </w:r>
    </w:p>
    <w:p w:rsidR="00247CA6"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若现金替代日（T日）后至T+2日</w:t>
      </w:r>
      <w:r w:rsidRPr="001F61B7" w:rsidR="00AC79A3">
        <w:rPr>
          <w:rFonts w:asciiTheme="minorEastAsia" w:eastAsiaTheme="minorEastAsia" w:hAnsiTheme="minorEastAsia"/>
          <w:color w:val="000000" w:themeColor="text1"/>
          <w:szCs w:val="21"/>
        </w:rPr>
        <w:t>（若在特例情况下，则为T日起第20个交易日）</w:t>
      </w:r>
      <w:r w:rsidRPr="001F61B7">
        <w:rPr>
          <w:rFonts w:asciiTheme="minorEastAsia" w:eastAsiaTheme="minorEastAsia" w:hAnsiTheme="minorEastAsia"/>
          <w:color w:val="000000" w:themeColor="text1"/>
          <w:szCs w:val="21"/>
        </w:rPr>
        <w:t>期间发生除息、送股（转增）、配股等权益变动，则进行相应调整。</w:t>
      </w:r>
    </w:p>
    <w:p w:rsidR="002373E9"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T+2日后第1个工作日（若在特例情况下，则为T日起第21个交易日），基金管理人将应退款和补款的明细数据发送给登记结算机构，登记结算机构办理现金替代多退少补款的清算；T+2日后第二个工作日（若在特例情况下，则为T日起第22个交易日），登记结算机构办理现金替代多退少补资金的交收；如遇特殊情况，基金管理人有权延后发送数据并延迟交收相关款项。</w:t>
      </w:r>
    </w:p>
    <w:p w:rsidR="0038516F"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（3）必须现金替代</w:t>
      </w:r>
    </w:p>
    <w:p w:rsidR="0038516F"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1）适用情形：必须现金替代的证券一般是由于标的指数调整，即将被剔除的成份证券；或处于停牌的成份证券；或法律法规限制投资的成份证券；或基金管理人出于保护持有人利益原则等原因认为有必要实行必须现金替代的成份证券。</w:t>
      </w:r>
    </w:p>
    <w:p w:rsidR="0038516F"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2）替代金额：对于必须现金替代的证券，基金管理人将在申购赎回清单中公告替代的一定数量的现金，即“固定替代金额”。固定替代金额的计算方法为申购赎回清单中该证券的数量乘以其调整后 T 日开盘参考价。</w:t>
      </w:r>
    </w:p>
    <w:p w:rsidR="0038516F"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 xml:space="preserve">5、预估现金部分相关内容 </w:t>
      </w:r>
    </w:p>
    <w:p w:rsidR="0038516F"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预估现金部分是指为便于计算基金份额参考净值及申购赎回代理券商预先冻结申请申购、赎回的投资者的相应资金，由基金管理人计算的现金数额。T日申购赎回清单中公告T日预估现金部分。其计算公式为：</w:t>
      </w:r>
    </w:p>
    <w:p w:rsidR="0038516F"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T 日预估现金部分＝T-1日最小申购、赎回单位的基金资产净值－（申购赎回清单中必须现金替代的固定替代金额＋申购赎回清单中可以现金替代成份证券的数量与该证券调整后T日开盘参考价相乘之和+申购赎回清单中禁止现金替代成份证券的数量与该证券调整后 T日开盘参考价相乘之和）</w:t>
      </w:r>
    </w:p>
    <w:p w:rsidR="0038516F"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其中，该证券调整后T日开盘参考价主要根据中证指数公司提供的标的指数成份证券的调整后开盘参考价确定。另外，若T日为基金分红除息日，则计算公式中的“T-1日最小申购、赎回单位的基金资产净值”需扣减相应的收益分配数额。</w:t>
      </w:r>
      <w:r w:rsidRPr="001F61B7" w:rsidR="00D84862">
        <w:rPr>
          <w:rFonts w:asciiTheme="minorEastAsia" w:eastAsiaTheme="minorEastAsia" w:hAnsiTheme="minorEastAsia" w:hint="eastAsia"/>
          <w:color w:val="000000" w:themeColor="text1"/>
          <w:szCs w:val="21"/>
        </w:rPr>
        <w:t>若T日为最小申购、赎回单位调整生效日，则计算公式中的“T-1日最小申购、赎回单位的基金资产净值”需根据调整前</w:t>
      </w:r>
      <w:r w:rsidRPr="001F61B7" w:rsidR="00D84862">
        <w:rPr>
          <w:rFonts w:asciiTheme="minorEastAsia" w:eastAsiaTheme="minorEastAsia" w:hAnsiTheme="minorEastAsia" w:hint="eastAsia"/>
          <w:color w:val="000000" w:themeColor="text1"/>
          <w:szCs w:val="21"/>
        </w:rPr>
        <w:t>后最小申购、赎回单位按比例计算。</w:t>
      </w:r>
      <w:r w:rsidRPr="001F61B7">
        <w:rPr>
          <w:rFonts w:asciiTheme="minorEastAsia" w:eastAsiaTheme="minorEastAsia" w:hAnsiTheme="minorEastAsia"/>
          <w:color w:val="000000" w:themeColor="text1"/>
          <w:szCs w:val="21"/>
        </w:rPr>
        <w:t>预估现金部分的数值可能为正、为负或为零。</w:t>
      </w:r>
    </w:p>
    <w:p w:rsidR="0038516F"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6、现金差额相关内容</w:t>
      </w:r>
    </w:p>
    <w:p w:rsidR="0038516F"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T日现金差额在T+1日的申购赎回清单中公告，其计算公式为：</w:t>
      </w:r>
    </w:p>
    <w:p w:rsidR="0038516F"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T日现金差额＝T日最小申购、赎回单位的基金资产净值－（申购赎回清单中必须现金替代的固定替代金额＋申购赎回清单中可以现金替代成份证券的数量与</w:t>
      </w:r>
      <w:r w:rsidRPr="001F61B7" w:rsidR="002373E9">
        <w:rPr>
          <w:rFonts w:asciiTheme="minorEastAsia" w:eastAsiaTheme="minorEastAsia" w:hAnsiTheme="minorEastAsia"/>
          <w:color w:val="000000" w:themeColor="text1"/>
          <w:szCs w:val="21"/>
        </w:rPr>
        <w:t>该证券</w:t>
      </w:r>
      <w:r w:rsidRPr="001F61B7">
        <w:rPr>
          <w:rFonts w:asciiTheme="minorEastAsia" w:eastAsiaTheme="minorEastAsia" w:hAnsiTheme="minorEastAsia"/>
          <w:color w:val="000000" w:themeColor="text1"/>
          <w:szCs w:val="21"/>
        </w:rPr>
        <w:t>T日收盘价相乘之和+申购赎回清单中禁止现金替代成份证券的数量与</w:t>
      </w:r>
      <w:r w:rsidRPr="001F61B7" w:rsidR="002373E9">
        <w:rPr>
          <w:rFonts w:asciiTheme="minorEastAsia" w:eastAsiaTheme="minorEastAsia" w:hAnsiTheme="minorEastAsia"/>
          <w:color w:val="000000" w:themeColor="text1"/>
          <w:szCs w:val="21"/>
        </w:rPr>
        <w:t>该证券</w:t>
      </w:r>
      <w:r w:rsidRPr="001F61B7">
        <w:rPr>
          <w:rFonts w:asciiTheme="minorEastAsia" w:eastAsiaTheme="minorEastAsia" w:hAnsiTheme="minorEastAsia"/>
          <w:color w:val="000000" w:themeColor="text1"/>
          <w:szCs w:val="21"/>
        </w:rPr>
        <w:t>T日收盘价相乘之和）</w:t>
      </w:r>
    </w:p>
    <w:p w:rsidR="0038516F"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T日投资者申购、赎回基金份额时，需按T+1日公告的T日现金差额进行资金的清算交收。</w:t>
      </w:r>
    </w:p>
    <w:p w:rsidR="00BB1B5B"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现金差额的数值可能为正、为负或为零。在投资者申购时，如现金差额为正数，则投资者应根据其申购的基金份额支付相应的现金，如现金差额为负数，则投资者将根据其申购的基金份额获得相应的现金；在投资者赎回时，如现金差额为正数，则投资者将根据其赎回的基金份额获得相应的现金，如现金差额为负数，则投资者应根据其赎回的基金份额支付相应的现金。</w:t>
      </w:r>
    </w:p>
    <w:p w:rsidR="00947D74"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7、申购赎回清单的格式</w:t>
      </w:r>
    </w:p>
    <w:p w:rsidR="00947D74" w:rsidRPr="001F61B7" w:rsidP="00C42A18">
      <w:pPr>
        <w:tabs>
          <w:tab w:val="left" w:pos="3544"/>
        </w:tabs>
        <w:overflowPunct w:val="0"/>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申购赎回清单的格式举例如下：</w:t>
      </w:r>
    </w:p>
    <w:p w:rsidR="00DE6DA2" w:rsidRPr="001F61B7" w:rsidP="00DE6DA2">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基本信息</w:t>
      </w:r>
    </w:p>
    <w:tbl>
      <w:tblPr>
        <w:tblW w:w="5000" w:type="pct"/>
        <w:tblCellMar>
          <w:top w:w="15" w:type="dxa"/>
          <w:left w:w="15" w:type="dxa"/>
          <w:bottom w:w="15" w:type="dxa"/>
          <w:right w:w="15" w:type="dxa"/>
        </w:tblCellMar>
        <w:tblLook w:val="04A0"/>
      </w:tblPr>
      <w:tblGrid>
        <w:gridCol w:w="4515"/>
        <w:gridCol w:w="3971"/>
      </w:tblGrid>
      <w:tr w:rsidTr="00AE28CC">
        <w:tblPrEx>
          <w:tblW w:w="5000" w:type="pct"/>
          <w:tblCellMar>
            <w:top w:w="15" w:type="dxa"/>
            <w:left w:w="15" w:type="dxa"/>
            <w:bottom w:w="15" w:type="dxa"/>
            <w:right w:w="15" w:type="dxa"/>
          </w:tblCellMar>
          <w:tblLook w:val="04A0"/>
        </w:tblPrEx>
        <w:tc>
          <w:tcPr>
            <w:tcW w:w="2660" w:type="pct"/>
            <w:tcBorders>
              <w:top w:val="nil"/>
              <w:left w:val="nil"/>
              <w:bottom w:val="dotted" w:sz="2" w:space="0" w:color="DDDDDD"/>
              <w:right w:val="nil"/>
            </w:tcBorders>
            <w:shd w:val="clear" w:color="auto" w:fill="auto"/>
            <w:tcMar>
              <w:top w:w="60" w:type="dxa"/>
              <w:left w:w="120" w:type="dxa"/>
              <w:bottom w:w="60" w:type="dxa"/>
              <w:right w:w="60" w:type="dxa"/>
            </w:tcMar>
            <w:vAlign w:val="center"/>
            <w:hideMark/>
          </w:tcPr>
          <w:p w:rsidR="00DE6DA2" w:rsidRPr="00AE28CC" w:rsidP="00DE6DA2">
            <w:pPr>
              <w:widowControl/>
              <w:wordWrap w:val="0"/>
              <w:spacing w:line="330" w:lineRule="atLeast"/>
              <w:jc w:val="left"/>
              <w:rPr>
                <w:rFonts w:ascii="宋体" w:hAnsi="宋体" w:cs="宋体"/>
                <w:kern w:val="0"/>
                <w:szCs w:val="21"/>
              </w:rPr>
            </w:pPr>
            <w:r w:rsidRPr="00AE28CC">
              <w:rPr>
                <w:rFonts w:ascii="宋体" w:hAnsi="宋体" w:cs="宋体"/>
                <w:kern w:val="0"/>
                <w:szCs w:val="21"/>
              </w:rPr>
              <w:t>基金名称</w:t>
            </w:r>
          </w:p>
        </w:tc>
        <w:tc>
          <w:tcPr>
            <w:tcW w:w="2340" w:type="pct"/>
            <w:tcBorders>
              <w:top w:val="nil"/>
              <w:left w:val="nil"/>
              <w:bottom w:val="dotted" w:sz="2" w:space="0" w:color="DDDDDD"/>
              <w:right w:val="nil"/>
            </w:tcBorders>
            <w:shd w:val="clear" w:color="auto" w:fill="auto"/>
            <w:tcMar>
              <w:top w:w="60" w:type="dxa"/>
              <w:left w:w="120" w:type="dxa"/>
              <w:bottom w:w="60" w:type="dxa"/>
              <w:right w:w="60" w:type="dxa"/>
            </w:tcMar>
            <w:vAlign w:val="center"/>
            <w:hideMark/>
          </w:tcPr>
          <w:p w:rsidR="00DE6DA2" w:rsidRPr="00AE28CC" w:rsidP="00DE6DA2">
            <w:pPr>
              <w:widowControl/>
              <w:wordWrap w:val="0"/>
              <w:spacing w:line="330" w:lineRule="atLeast"/>
              <w:jc w:val="left"/>
              <w:rPr>
                <w:rFonts w:ascii="宋体" w:hAnsi="宋体" w:cs="宋体"/>
                <w:kern w:val="0"/>
                <w:szCs w:val="21"/>
              </w:rPr>
            </w:pPr>
            <w:r w:rsidRPr="00AE28CC">
              <w:rPr>
                <w:rFonts w:ascii="宋体" w:hAnsi="宋体" w:cs="宋体"/>
                <w:kern w:val="0"/>
                <w:szCs w:val="21"/>
              </w:rPr>
              <w:t>X</w:t>
            </w:r>
          </w:p>
        </w:tc>
      </w:tr>
      <w:tr w:rsidTr="00AE28CC">
        <w:tblPrEx>
          <w:tblW w:w="5000" w:type="pct"/>
          <w:tblCellMar>
            <w:top w:w="15" w:type="dxa"/>
            <w:left w:w="15" w:type="dxa"/>
            <w:bottom w:w="15" w:type="dxa"/>
            <w:right w:w="15" w:type="dxa"/>
          </w:tblCellMar>
          <w:tblLook w:val="04A0"/>
        </w:tblPrEx>
        <w:tc>
          <w:tcPr>
            <w:tcW w:w="2660" w:type="pct"/>
            <w:tcBorders>
              <w:top w:val="nil"/>
              <w:left w:val="nil"/>
              <w:bottom w:val="dotted" w:sz="6" w:space="0" w:color="DDDDDD"/>
              <w:right w:val="nil"/>
            </w:tcBorders>
            <w:shd w:val="clear" w:color="auto" w:fill="F4F4F4"/>
            <w:tcMar>
              <w:top w:w="60" w:type="dxa"/>
              <w:left w:w="120" w:type="dxa"/>
              <w:bottom w:w="60" w:type="dxa"/>
              <w:right w:w="60" w:type="dxa"/>
            </w:tcMar>
            <w:vAlign w:val="center"/>
            <w:hideMark/>
          </w:tcPr>
          <w:p w:rsidR="00DE6DA2" w:rsidRPr="00AE28CC" w:rsidP="00DE6DA2">
            <w:pPr>
              <w:widowControl/>
              <w:wordWrap w:val="0"/>
              <w:spacing w:line="330" w:lineRule="atLeast"/>
              <w:jc w:val="left"/>
              <w:rPr>
                <w:rFonts w:ascii="宋体" w:hAnsi="宋体" w:cs="宋体"/>
                <w:kern w:val="0"/>
                <w:szCs w:val="21"/>
              </w:rPr>
            </w:pPr>
            <w:r w:rsidRPr="00AE28CC">
              <w:rPr>
                <w:rFonts w:ascii="宋体" w:hAnsi="宋体" w:cs="宋体"/>
                <w:kern w:val="0"/>
                <w:szCs w:val="21"/>
              </w:rPr>
              <w:t>基金管理公司名称</w:t>
            </w:r>
          </w:p>
        </w:tc>
        <w:tc>
          <w:tcPr>
            <w:tcW w:w="2340" w:type="pct"/>
            <w:tcBorders>
              <w:top w:val="nil"/>
              <w:left w:val="nil"/>
              <w:bottom w:val="dotted" w:sz="6" w:space="0" w:color="DDDDDD"/>
              <w:right w:val="nil"/>
            </w:tcBorders>
            <w:shd w:val="clear" w:color="auto" w:fill="F4F4F4"/>
            <w:tcMar>
              <w:top w:w="60" w:type="dxa"/>
              <w:left w:w="120" w:type="dxa"/>
              <w:bottom w:w="60" w:type="dxa"/>
              <w:right w:w="60" w:type="dxa"/>
            </w:tcMar>
            <w:vAlign w:val="center"/>
            <w:hideMark/>
          </w:tcPr>
          <w:p w:rsidR="00DE6DA2" w:rsidRPr="00AE28CC" w:rsidP="00DE6DA2">
            <w:pPr>
              <w:widowControl/>
              <w:wordWrap w:val="0"/>
              <w:spacing w:line="330" w:lineRule="atLeast"/>
              <w:jc w:val="left"/>
              <w:rPr>
                <w:rFonts w:ascii="宋体" w:hAnsi="宋体" w:cs="宋体"/>
                <w:kern w:val="0"/>
                <w:szCs w:val="21"/>
              </w:rPr>
            </w:pPr>
            <w:r w:rsidRPr="00AE28CC">
              <w:rPr>
                <w:rFonts w:ascii="宋体" w:hAnsi="宋体" w:cs="宋体"/>
                <w:kern w:val="0"/>
                <w:szCs w:val="21"/>
              </w:rPr>
              <w:t>易方达基金管理有限公司</w:t>
            </w:r>
          </w:p>
        </w:tc>
      </w:tr>
      <w:tr w:rsidTr="00AE28CC">
        <w:tblPrEx>
          <w:tblW w:w="5000" w:type="pct"/>
          <w:tblCellMar>
            <w:top w:w="15" w:type="dxa"/>
            <w:left w:w="15" w:type="dxa"/>
            <w:bottom w:w="15" w:type="dxa"/>
            <w:right w:w="15" w:type="dxa"/>
          </w:tblCellMar>
          <w:tblLook w:val="04A0"/>
        </w:tblPrEx>
        <w:tc>
          <w:tcPr>
            <w:tcW w:w="2660" w:type="pct"/>
            <w:tcBorders>
              <w:top w:val="nil"/>
              <w:left w:val="nil"/>
              <w:bottom w:val="dotted" w:sz="2" w:space="0" w:color="DDDDDD"/>
              <w:right w:val="nil"/>
            </w:tcBorders>
            <w:shd w:val="clear" w:color="auto" w:fill="auto"/>
            <w:tcMar>
              <w:top w:w="60" w:type="dxa"/>
              <w:left w:w="120" w:type="dxa"/>
              <w:bottom w:w="60" w:type="dxa"/>
              <w:right w:w="60" w:type="dxa"/>
            </w:tcMar>
            <w:vAlign w:val="center"/>
            <w:hideMark/>
          </w:tcPr>
          <w:p w:rsidR="00DE6DA2" w:rsidRPr="00AE28CC" w:rsidP="00DE6DA2">
            <w:pPr>
              <w:widowControl/>
              <w:wordWrap w:val="0"/>
              <w:spacing w:line="330" w:lineRule="atLeast"/>
              <w:jc w:val="left"/>
              <w:rPr>
                <w:rFonts w:ascii="宋体" w:hAnsi="宋体" w:cs="宋体"/>
                <w:kern w:val="0"/>
                <w:szCs w:val="21"/>
              </w:rPr>
            </w:pPr>
            <w:r w:rsidRPr="00AE28CC">
              <w:rPr>
                <w:rFonts w:ascii="宋体" w:hAnsi="宋体" w:cs="宋体"/>
                <w:kern w:val="0"/>
                <w:szCs w:val="21"/>
              </w:rPr>
              <w:t>基金代码</w:t>
            </w:r>
          </w:p>
        </w:tc>
        <w:tc>
          <w:tcPr>
            <w:tcW w:w="2340" w:type="pct"/>
            <w:tcBorders>
              <w:top w:val="nil"/>
              <w:left w:val="nil"/>
              <w:bottom w:val="dotted" w:sz="2" w:space="0" w:color="DDDDDD"/>
              <w:right w:val="nil"/>
            </w:tcBorders>
            <w:shd w:val="clear" w:color="auto" w:fill="auto"/>
            <w:tcMar>
              <w:top w:w="60" w:type="dxa"/>
              <w:left w:w="120" w:type="dxa"/>
              <w:bottom w:w="60" w:type="dxa"/>
              <w:right w:w="60" w:type="dxa"/>
            </w:tcMar>
            <w:vAlign w:val="center"/>
            <w:hideMark/>
          </w:tcPr>
          <w:p w:rsidR="00DE6DA2" w:rsidRPr="00AE28CC" w:rsidP="00DE6DA2">
            <w:pPr>
              <w:widowControl/>
              <w:wordWrap w:val="0"/>
              <w:spacing w:line="330" w:lineRule="atLeast"/>
              <w:jc w:val="left"/>
              <w:rPr>
                <w:rFonts w:ascii="宋体" w:hAnsi="宋体" w:cs="宋体"/>
                <w:kern w:val="0"/>
                <w:szCs w:val="21"/>
              </w:rPr>
            </w:pPr>
            <w:r w:rsidRPr="00AE28CC">
              <w:rPr>
                <w:rFonts w:ascii="宋体" w:hAnsi="宋体" w:cs="宋体"/>
                <w:kern w:val="0"/>
                <w:szCs w:val="21"/>
              </w:rPr>
              <w:t>X</w:t>
            </w:r>
          </w:p>
        </w:tc>
      </w:tr>
      <w:tr w:rsidTr="00AE28CC">
        <w:tblPrEx>
          <w:tblW w:w="5000" w:type="pct"/>
          <w:tblCellMar>
            <w:top w:w="15" w:type="dxa"/>
            <w:left w:w="15" w:type="dxa"/>
            <w:bottom w:w="15" w:type="dxa"/>
            <w:right w:w="15" w:type="dxa"/>
          </w:tblCellMar>
          <w:tblLook w:val="04A0"/>
        </w:tblPrEx>
        <w:tc>
          <w:tcPr>
            <w:tcW w:w="2660" w:type="pct"/>
            <w:tcBorders>
              <w:top w:val="nil"/>
              <w:left w:val="nil"/>
              <w:bottom w:val="dotted" w:sz="6" w:space="0" w:color="DDDDDD"/>
              <w:right w:val="nil"/>
            </w:tcBorders>
            <w:shd w:val="clear" w:color="auto" w:fill="F4F4F4"/>
            <w:tcMar>
              <w:top w:w="60" w:type="dxa"/>
              <w:left w:w="120" w:type="dxa"/>
              <w:bottom w:w="60" w:type="dxa"/>
              <w:right w:w="60" w:type="dxa"/>
            </w:tcMar>
            <w:vAlign w:val="center"/>
            <w:hideMark/>
          </w:tcPr>
          <w:p w:rsidR="00DE6DA2" w:rsidRPr="00AE28CC" w:rsidP="00DE6DA2">
            <w:pPr>
              <w:widowControl/>
              <w:wordWrap w:val="0"/>
              <w:spacing w:line="330" w:lineRule="atLeast"/>
              <w:jc w:val="left"/>
              <w:rPr>
                <w:rFonts w:ascii="宋体" w:hAnsi="宋体" w:cs="宋体"/>
                <w:kern w:val="0"/>
                <w:szCs w:val="21"/>
              </w:rPr>
            </w:pPr>
            <w:r w:rsidRPr="00AE28CC">
              <w:rPr>
                <w:rFonts w:ascii="宋体" w:hAnsi="宋体" w:cs="宋体"/>
                <w:kern w:val="0"/>
                <w:szCs w:val="21"/>
              </w:rPr>
              <w:t>目标指数代码</w:t>
            </w:r>
          </w:p>
        </w:tc>
        <w:tc>
          <w:tcPr>
            <w:tcW w:w="2340" w:type="pct"/>
            <w:tcBorders>
              <w:top w:val="nil"/>
              <w:left w:val="nil"/>
              <w:bottom w:val="dotted" w:sz="6" w:space="0" w:color="DDDDDD"/>
              <w:right w:val="nil"/>
            </w:tcBorders>
            <w:shd w:val="clear" w:color="auto" w:fill="F4F4F4"/>
            <w:tcMar>
              <w:top w:w="60" w:type="dxa"/>
              <w:left w:w="120" w:type="dxa"/>
              <w:bottom w:w="60" w:type="dxa"/>
              <w:right w:w="60" w:type="dxa"/>
            </w:tcMar>
            <w:vAlign w:val="center"/>
            <w:hideMark/>
          </w:tcPr>
          <w:p w:rsidR="00DE6DA2" w:rsidRPr="00AE28CC" w:rsidP="00DE6DA2">
            <w:pPr>
              <w:widowControl/>
              <w:wordWrap w:val="0"/>
              <w:spacing w:line="330" w:lineRule="atLeast"/>
              <w:jc w:val="left"/>
              <w:rPr>
                <w:rFonts w:ascii="宋体" w:hAnsi="宋体" w:cs="宋体"/>
                <w:kern w:val="0"/>
                <w:szCs w:val="21"/>
              </w:rPr>
            </w:pPr>
            <w:r w:rsidRPr="00AE28CC">
              <w:rPr>
                <w:rFonts w:ascii="宋体" w:hAnsi="宋体" w:cs="宋体"/>
                <w:kern w:val="0"/>
                <w:szCs w:val="21"/>
              </w:rPr>
              <w:t>X</w:t>
            </w:r>
          </w:p>
        </w:tc>
      </w:tr>
      <w:tr w:rsidTr="00AE28CC">
        <w:tblPrEx>
          <w:tblW w:w="5000" w:type="pct"/>
          <w:tblCellMar>
            <w:top w:w="15" w:type="dxa"/>
            <w:left w:w="15" w:type="dxa"/>
            <w:bottom w:w="15" w:type="dxa"/>
            <w:right w:w="15" w:type="dxa"/>
          </w:tblCellMar>
          <w:tblLook w:val="04A0"/>
        </w:tblPrEx>
        <w:tc>
          <w:tcPr>
            <w:tcW w:w="2660" w:type="pct"/>
            <w:tcBorders>
              <w:top w:val="nil"/>
              <w:left w:val="nil"/>
              <w:bottom w:val="nil"/>
              <w:right w:val="nil"/>
            </w:tcBorders>
            <w:shd w:val="clear" w:color="auto" w:fill="auto"/>
            <w:tcMar>
              <w:top w:w="60" w:type="dxa"/>
              <w:left w:w="120" w:type="dxa"/>
              <w:bottom w:w="60" w:type="dxa"/>
              <w:right w:w="60" w:type="dxa"/>
            </w:tcMar>
            <w:vAlign w:val="center"/>
            <w:hideMark/>
          </w:tcPr>
          <w:p w:rsidR="00DE6DA2" w:rsidRPr="00AE28CC" w:rsidP="00DE6DA2">
            <w:pPr>
              <w:widowControl/>
              <w:wordWrap w:val="0"/>
              <w:spacing w:line="330" w:lineRule="atLeast"/>
              <w:jc w:val="left"/>
              <w:rPr>
                <w:rFonts w:ascii="宋体" w:hAnsi="宋体" w:cs="宋体"/>
                <w:kern w:val="0"/>
                <w:szCs w:val="21"/>
              </w:rPr>
            </w:pPr>
            <w:r w:rsidRPr="00AE28CC">
              <w:rPr>
                <w:rFonts w:ascii="宋体" w:hAnsi="宋体" w:cs="宋体"/>
                <w:kern w:val="0"/>
                <w:szCs w:val="21"/>
              </w:rPr>
              <w:t>基金类型</w:t>
            </w:r>
          </w:p>
        </w:tc>
        <w:tc>
          <w:tcPr>
            <w:tcW w:w="2340" w:type="pct"/>
            <w:tcBorders>
              <w:top w:val="nil"/>
              <w:left w:val="nil"/>
              <w:bottom w:val="nil"/>
              <w:right w:val="nil"/>
            </w:tcBorders>
            <w:shd w:val="clear" w:color="auto" w:fill="auto"/>
            <w:tcMar>
              <w:top w:w="60" w:type="dxa"/>
              <w:left w:w="120" w:type="dxa"/>
              <w:bottom w:w="60" w:type="dxa"/>
              <w:right w:w="60" w:type="dxa"/>
            </w:tcMar>
            <w:vAlign w:val="center"/>
            <w:hideMark/>
          </w:tcPr>
          <w:p w:rsidR="00DE6DA2" w:rsidRPr="00AE28CC" w:rsidP="00DE6DA2">
            <w:pPr>
              <w:widowControl/>
              <w:wordWrap w:val="0"/>
              <w:spacing w:line="330" w:lineRule="atLeast"/>
              <w:jc w:val="left"/>
              <w:rPr>
                <w:rFonts w:ascii="宋体" w:hAnsi="宋体" w:cs="宋体"/>
                <w:kern w:val="0"/>
                <w:szCs w:val="21"/>
              </w:rPr>
            </w:pPr>
            <w:r w:rsidRPr="00AE28CC">
              <w:rPr>
                <w:rFonts w:ascii="宋体" w:hAnsi="宋体" w:cs="宋体"/>
                <w:kern w:val="0"/>
                <w:szCs w:val="21"/>
              </w:rPr>
              <w:t>跨市场ETF</w:t>
            </w:r>
          </w:p>
        </w:tc>
      </w:tr>
    </w:tbl>
    <w:p w:rsidR="00DE6DA2" w:rsidRPr="00AE28CC" w:rsidP="00DE6DA2">
      <w:pPr>
        <w:widowControl/>
        <w:shd w:val="clear" w:color="auto" w:fill="FFFFFF"/>
        <w:spacing w:before="240" w:line="420" w:lineRule="atLeast"/>
        <w:jc w:val="left"/>
        <w:rPr>
          <w:rFonts w:ascii="微软雅黑" w:eastAsia="微软雅黑" w:hAnsi="微软雅黑" w:cs="宋体"/>
          <w:color w:val="333333"/>
          <w:kern w:val="0"/>
          <w:szCs w:val="21"/>
        </w:rPr>
      </w:pPr>
      <w:r w:rsidRPr="00AE28CC">
        <w:rPr>
          <w:rFonts w:ascii="微软雅黑" w:eastAsia="微软雅黑" w:hAnsi="微软雅黑" w:cs="宋体"/>
          <w:color w:val="333333"/>
          <w:kern w:val="0"/>
          <w:szCs w:val="21"/>
        </w:rPr>
        <w:t>T-1日信息内容</w:t>
      </w:r>
    </w:p>
    <w:tbl>
      <w:tblPr>
        <w:tblW w:w="5000" w:type="pct"/>
        <w:tblCellMar>
          <w:top w:w="15" w:type="dxa"/>
          <w:left w:w="15" w:type="dxa"/>
          <w:bottom w:w="15" w:type="dxa"/>
          <w:right w:w="15" w:type="dxa"/>
        </w:tblCellMar>
        <w:tblLook w:val="04A0"/>
      </w:tblPr>
      <w:tblGrid>
        <w:gridCol w:w="4550"/>
        <w:gridCol w:w="3936"/>
      </w:tblGrid>
      <w:tr w:rsidTr="00AE28CC">
        <w:tblPrEx>
          <w:tblW w:w="5000" w:type="pct"/>
          <w:tblCellMar>
            <w:top w:w="15" w:type="dxa"/>
            <w:left w:w="15" w:type="dxa"/>
            <w:bottom w:w="15" w:type="dxa"/>
            <w:right w:w="15" w:type="dxa"/>
          </w:tblCellMar>
          <w:tblLook w:val="04A0"/>
        </w:tblPrEx>
        <w:trPr>
          <w:tblHeader/>
        </w:trPr>
        <w:tc>
          <w:tcPr>
            <w:tcW w:w="2681" w:type="pct"/>
            <w:tcBorders>
              <w:top w:val="nil"/>
              <w:left w:val="nil"/>
              <w:bottom w:val="dotted" w:sz="2" w:space="0" w:color="DDDDDD"/>
              <w:right w:val="nil"/>
            </w:tcBorders>
            <w:shd w:val="clear" w:color="auto" w:fill="auto"/>
            <w:tcMar>
              <w:top w:w="60" w:type="dxa"/>
              <w:left w:w="120" w:type="dxa"/>
              <w:bottom w:w="60" w:type="dxa"/>
              <w:right w:w="60" w:type="dxa"/>
            </w:tcMar>
            <w:vAlign w:val="center"/>
            <w:hideMark/>
          </w:tcPr>
          <w:p w:rsidR="00DE6DA2" w:rsidRPr="00AE28CC" w:rsidP="00DE6DA2">
            <w:pPr>
              <w:widowControl/>
              <w:wordWrap w:val="0"/>
              <w:spacing w:line="330" w:lineRule="atLeast"/>
              <w:jc w:val="left"/>
              <w:rPr>
                <w:rFonts w:ascii="宋体" w:hAnsi="宋体" w:cs="宋体"/>
                <w:kern w:val="0"/>
                <w:szCs w:val="21"/>
              </w:rPr>
            </w:pPr>
            <w:r w:rsidRPr="00AE28CC">
              <w:rPr>
                <w:rFonts w:ascii="宋体" w:hAnsi="宋体" w:cs="宋体"/>
                <w:kern w:val="0"/>
                <w:szCs w:val="21"/>
              </w:rPr>
              <w:t>现金差额</w:t>
            </w:r>
          </w:p>
        </w:tc>
        <w:tc>
          <w:tcPr>
            <w:tcW w:w="2319" w:type="pct"/>
            <w:tcBorders>
              <w:top w:val="nil"/>
              <w:left w:val="nil"/>
              <w:bottom w:val="dotted" w:sz="2" w:space="0" w:color="DDDDDD"/>
              <w:right w:val="nil"/>
            </w:tcBorders>
            <w:shd w:val="clear" w:color="auto" w:fill="auto"/>
            <w:tcMar>
              <w:top w:w="60" w:type="dxa"/>
              <w:left w:w="120" w:type="dxa"/>
              <w:bottom w:w="60" w:type="dxa"/>
              <w:right w:w="60" w:type="dxa"/>
            </w:tcMar>
            <w:vAlign w:val="center"/>
            <w:hideMark/>
          </w:tcPr>
          <w:p w:rsidR="00DE6DA2" w:rsidRPr="00AE28CC" w:rsidP="00DE6DA2">
            <w:pPr>
              <w:widowControl/>
              <w:wordWrap w:val="0"/>
              <w:spacing w:line="330" w:lineRule="atLeast"/>
              <w:jc w:val="left"/>
              <w:rPr>
                <w:rFonts w:ascii="宋体" w:hAnsi="宋体" w:cs="宋体"/>
                <w:kern w:val="0"/>
                <w:szCs w:val="21"/>
              </w:rPr>
            </w:pPr>
            <w:r w:rsidRPr="00AE28CC">
              <w:rPr>
                <w:rFonts w:ascii="宋体" w:hAnsi="宋体" w:cs="宋体"/>
                <w:kern w:val="0"/>
                <w:szCs w:val="21"/>
              </w:rPr>
              <w:t>X元</w:t>
            </w:r>
          </w:p>
        </w:tc>
      </w:tr>
      <w:tr w:rsidTr="00AE28CC">
        <w:tblPrEx>
          <w:tblW w:w="5000" w:type="pct"/>
          <w:tblCellMar>
            <w:top w:w="15" w:type="dxa"/>
            <w:left w:w="15" w:type="dxa"/>
            <w:bottom w:w="15" w:type="dxa"/>
            <w:right w:w="15" w:type="dxa"/>
          </w:tblCellMar>
          <w:tblLook w:val="04A0"/>
        </w:tblPrEx>
        <w:tc>
          <w:tcPr>
            <w:tcW w:w="2681" w:type="pct"/>
            <w:tcBorders>
              <w:top w:val="nil"/>
              <w:left w:val="nil"/>
              <w:bottom w:val="dotted" w:sz="6" w:space="0" w:color="DDDDDD"/>
              <w:right w:val="nil"/>
            </w:tcBorders>
            <w:shd w:val="clear" w:color="auto" w:fill="F4F4F4"/>
            <w:tcMar>
              <w:top w:w="60" w:type="dxa"/>
              <w:left w:w="120" w:type="dxa"/>
              <w:bottom w:w="60" w:type="dxa"/>
              <w:right w:w="60" w:type="dxa"/>
            </w:tcMar>
            <w:vAlign w:val="center"/>
            <w:hideMark/>
          </w:tcPr>
          <w:p w:rsidR="00DE6DA2" w:rsidRPr="00AE28CC" w:rsidP="00DE6DA2">
            <w:pPr>
              <w:widowControl/>
              <w:wordWrap w:val="0"/>
              <w:spacing w:line="330" w:lineRule="atLeast"/>
              <w:jc w:val="left"/>
              <w:rPr>
                <w:rFonts w:ascii="宋体" w:hAnsi="宋体" w:cs="宋体"/>
                <w:kern w:val="0"/>
                <w:szCs w:val="21"/>
              </w:rPr>
            </w:pPr>
            <w:r w:rsidRPr="00AE28CC">
              <w:rPr>
                <w:rFonts w:ascii="宋体" w:hAnsi="宋体" w:cs="宋体"/>
                <w:kern w:val="0"/>
                <w:szCs w:val="21"/>
              </w:rPr>
              <w:t>最小申购、赎回单位资产净值</w:t>
            </w:r>
          </w:p>
        </w:tc>
        <w:tc>
          <w:tcPr>
            <w:tcW w:w="2319" w:type="pct"/>
            <w:tcBorders>
              <w:top w:val="nil"/>
              <w:left w:val="nil"/>
              <w:bottom w:val="dotted" w:sz="6" w:space="0" w:color="DDDDDD"/>
              <w:right w:val="nil"/>
            </w:tcBorders>
            <w:shd w:val="clear" w:color="auto" w:fill="F4F4F4"/>
            <w:tcMar>
              <w:top w:w="60" w:type="dxa"/>
              <w:left w:w="120" w:type="dxa"/>
              <w:bottom w:w="60" w:type="dxa"/>
              <w:right w:w="60" w:type="dxa"/>
            </w:tcMar>
            <w:vAlign w:val="center"/>
            <w:hideMark/>
          </w:tcPr>
          <w:p w:rsidR="00DE6DA2" w:rsidRPr="00AE28CC" w:rsidP="00DE6DA2">
            <w:pPr>
              <w:widowControl/>
              <w:wordWrap w:val="0"/>
              <w:spacing w:line="330" w:lineRule="atLeast"/>
              <w:jc w:val="left"/>
              <w:rPr>
                <w:rFonts w:ascii="宋体" w:hAnsi="宋体" w:cs="宋体"/>
                <w:kern w:val="0"/>
                <w:szCs w:val="21"/>
              </w:rPr>
            </w:pPr>
            <w:r w:rsidRPr="00AE28CC">
              <w:rPr>
                <w:rFonts w:ascii="宋体" w:hAnsi="宋体" w:cs="宋体"/>
                <w:kern w:val="0"/>
                <w:szCs w:val="21"/>
              </w:rPr>
              <w:t>X元</w:t>
            </w:r>
          </w:p>
        </w:tc>
      </w:tr>
      <w:tr w:rsidTr="00AE28CC">
        <w:tblPrEx>
          <w:tblW w:w="5000" w:type="pct"/>
          <w:tblCellMar>
            <w:top w:w="15" w:type="dxa"/>
            <w:left w:w="15" w:type="dxa"/>
            <w:bottom w:w="15" w:type="dxa"/>
            <w:right w:w="15" w:type="dxa"/>
          </w:tblCellMar>
          <w:tblLook w:val="04A0"/>
        </w:tblPrEx>
        <w:tc>
          <w:tcPr>
            <w:tcW w:w="2681" w:type="pct"/>
            <w:tcBorders>
              <w:top w:val="nil"/>
              <w:left w:val="nil"/>
              <w:bottom w:val="nil"/>
              <w:right w:val="nil"/>
            </w:tcBorders>
            <w:shd w:val="clear" w:color="auto" w:fill="auto"/>
            <w:tcMar>
              <w:top w:w="60" w:type="dxa"/>
              <w:left w:w="120" w:type="dxa"/>
              <w:bottom w:w="60" w:type="dxa"/>
              <w:right w:w="60" w:type="dxa"/>
            </w:tcMar>
            <w:vAlign w:val="center"/>
            <w:hideMark/>
          </w:tcPr>
          <w:p w:rsidR="00DE6DA2" w:rsidRPr="00AE28CC" w:rsidP="00DE6DA2">
            <w:pPr>
              <w:widowControl/>
              <w:wordWrap w:val="0"/>
              <w:spacing w:line="330" w:lineRule="atLeast"/>
              <w:jc w:val="left"/>
              <w:rPr>
                <w:rFonts w:ascii="宋体" w:hAnsi="宋体" w:cs="宋体"/>
                <w:kern w:val="0"/>
                <w:szCs w:val="21"/>
              </w:rPr>
            </w:pPr>
            <w:r w:rsidRPr="00AE28CC">
              <w:rPr>
                <w:rFonts w:ascii="宋体" w:hAnsi="宋体" w:cs="宋体"/>
                <w:kern w:val="0"/>
                <w:szCs w:val="21"/>
              </w:rPr>
              <w:t>基金份额净值</w:t>
            </w:r>
          </w:p>
        </w:tc>
        <w:tc>
          <w:tcPr>
            <w:tcW w:w="2319" w:type="pct"/>
            <w:tcBorders>
              <w:top w:val="nil"/>
              <w:left w:val="nil"/>
              <w:bottom w:val="nil"/>
              <w:right w:val="nil"/>
            </w:tcBorders>
            <w:shd w:val="clear" w:color="auto" w:fill="auto"/>
            <w:tcMar>
              <w:top w:w="60" w:type="dxa"/>
              <w:left w:w="120" w:type="dxa"/>
              <w:bottom w:w="60" w:type="dxa"/>
              <w:right w:w="60" w:type="dxa"/>
            </w:tcMar>
            <w:vAlign w:val="center"/>
            <w:hideMark/>
          </w:tcPr>
          <w:p w:rsidR="00DE6DA2" w:rsidRPr="00AE28CC" w:rsidP="00DE6DA2">
            <w:pPr>
              <w:widowControl/>
              <w:wordWrap w:val="0"/>
              <w:spacing w:line="330" w:lineRule="atLeast"/>
              <w:jc w:val="left"/>
              <w:rPr>
                <w:rFonts w:ascii="宋体" w:hAnsi="宋体" w:cs="宋体"/>
                <w:kern w:val="0"/>
                <w:szCs w:val="21"/>
              </w:rPr>
            </w:pPr>
            <w:r w:rsidRPr="00AE28CC">
              <w:rPr>
                <w:rFonts w:ascii="宋体" w:hAnsi="宋体" w:cs="宋体"/>
                <w:kern w:val="0"/>
                <w:szCs w:val="21"/>
              </w:rPr>
              <w:t>X元</w:t>
            </w:r>
          </w:p>
        </w:tc>
      </w:tr>
    </w:tbl>
    <w:p w:rsidR="00DE6DA2" w:rsidRPr="00AE28CC" w:rsidP="00DE6DA2">
      <w:pPr>
        <w:widowControl/>
        <w:shd w:val="clear" w:color="auto" w:fill="FFFFFF"/>
        <w:spacing w:before="240" w:line="420" w:lineRule="atLeast"/>
        <w:jc w:val="left"/>
        <w:rPr>
          <w:rFonts w:ascii="微软雅黑" w:eastAsia="微软雅黑" w:hAnsi="微软雅黑" w:cs="宋体"/>
          <w:color w:val="333333"/>
          <w:kern w:val="0"/>
          <w:szCs w:val="21"/>
        </w:rPr>
      </w:pPr>
      <w:r w:rsidRPr="00AE28CC">
        <w:rPr>
          <w:rFonts w:ascii="微软雅黑" w:eastAsia="微软雅黑" w:hAnsi="微软雅黑" w:cs="宋体"/>
          <w:color w:val="333333"/>
          <w:kern w:val="0"/>
          <w:szCs w:val="21"/>
        </w:rPr>
        <w:t>T日信息内容</w:t>
      </w:r>
    </w:p>
    <w:tbl>
      <w:tblPr>
        <w:tblW w:w="5000" w:type="pct"/>
        <w:tblCellMar>
          <w:top w:w="15" w:type="dxa"/>
          <w:left w:w="15" w:type="dxa"/>
          <w:bottom w:w="15" w:type="dxa"/>
          <w:right w:w="15" w:type="dxa"/>
        </w:tblCellMar>
        <w:tblLook w:val="04A0"/>
      </w:tblPr>
      <w:tblGrid>
        <w:gridCol w:w="4515"/>
        <w:gridCol w:w="3971"/>
      </w:tblGrid>
      <w:tr w:rsidTr="00AE28CC">
        <w:tblPrEx>
          <w:tblW w:w="5000" w:type="pct"/>
          <w:tblCellMar>
            <w:top w:w="15" w:type="dxa"/>
            <w:left w:w="15" w:type="dxa"/>
            <w:bottom w:w="15" w:type="dxa"/>
            <w:right w:w="15" w:type="dxa"/>
          </w:tblCellMar>
          <w:tblLook w:val="04A0"/>
        </w:tblPrEx>
        <w:trPr>
          <w:tblHeader/>
        </w:trPr>
        <w:tc>
          <w:tcPr>
            <w:tcW w:w="2660" w:type="pct"/>
            <w:tcBorders>
              <w:top w:val="nil"/>
              <w:left w:val="nil"/>
              <w:bottom w:val="dotted" w:sz="2" w:space="0" w:color="DDDDDD"/>
              <w:right w:val="nil"/>
            </w:tcBorders>
            <w:shd w:val="clear" w:color="auto" w:fill="auto"/>
            <w:tcMar>
              <w:top w:w="60" w:type="dxa"/>
              <w:left w:w="120" w:type="dxa"/>
              <w:bottom w:w="60" w:type="dxa"/>
              <w:right w:w="60" w:type="dxa"/>
            </w:tcMar>
            <w:vAlign w:val="center"/>
            <w:hideMark/>
          </w:tcPr>
          <w:p w:rsidR="00DE6DA2" w:rsidRPr="00AE28CC" w:rsidP="00DE6DA2">
            <w:pPr>
              <w:widowControl/>
              <w:wordWrap w:val="0"/>
              <w:spacing w:line="330" w:lineRule="atLeast"/>
              <w:jc w:val="left"/>
              <w:rPr>
                <w:rFonts w:ascii="宋体" w:hAnsi="宋体" w:cs="宋体"/>
                <w:kern w:val="0"/>
                <w:szCs w:val="21"/>
              </w:rPr>
            </w:pPr>
            <w:r w:rsidRPr="00AE28CC">
              <w:rPr>
                <w:rFonts w:ascii="宋体" w:hAnsi="宋体" w:cs="宋体"/>
                <w:kern w:val="0"/>
                <w:szCs w:val="21"/>
              </w:rPr>
              <w:t>预估现金差额</w:t>
            </w:r>
          </w:p>
        </w:tc>
        <w:tc>
          <w:tcPr>
            <w:tcW w:w="2340" w:type="pct"/>
            <w:tcBorders>
              <w:top w:val="nil"/>
              <w:left w:val="nil"/>
              <w:bottom w:val="dotted" w:sz="2" w:space="0" w:color="DDDDDD"/>
              <w:right w:val="nil"/>
            </w:tcBorders>
            <w:shd w:val="clear" w:color="auto" w:fill="auto"/>
            <w:tcMar>
              <w:top w:w="60" w:type="dxa"/>
              <w:left w:w="120" w:type="dxa"/>
              <w:bottom w:w="60" w:type="dxa"/>
              <w:right w:w="60" w:type="dxa"/>
            </w:tcMar>
            <w:vAlign w:val="center"/>
            <w:hideMark/>
          </w:tcPr>
          <w:p w:rsidR="00DE6DA2" w:rsidRPr="00AE28CC" w:rsidP="00DE6DA2">
            <w:pPr>
              <w:widowControl/>
              <w:wordWrap w:val="0"/>
              <w:spacing w:line="330" w:lineRule="atLeast"/>
              <w:jc w:val="left"/>
              <w:rPr>
                <w:rFonts w:ascii="宋体" w:hAnsi="宋体" w:cs="宋体"/>
                <w:kern w:val="0"/>
                <w:szCs w:val="21"/>
              </w:rPr>
            </w:pPr>
            <w:r w:rsidRPr="00AE28CC">
              <w:rPr>
                <w:rFonts w:ascii="宋体" w:hAnsi="宋体" w:cs="宋体"/>
                <w:kern w:val="0"/>
                <w:szCs w:val="21"/>
              </w:rPr>
              <w:t>X元</w:t>
            </w:r>
          </w:p>
        </w:tc>
      </w:tr>
      <w:tr w:rsidTr="00AE28CC">
        <w:tblPrEx>
          <w:tblW w:w="5000" w:type="pct"/>
          <w:tblCellMar>
            <w:top w:w="15" w:type="dxa"/>
            <w:left w:w="15" w:type="dxa"/>
            <w:bottom w:w="15" w:type="dxa"/>
            <w:right w:w="15" w:type="dxa"/>
          </w:tblCellMar>
          <w:tblLook w:val="04A0"/>
        </w:tblPrEx>
        <w:tc>
          <w:tcPr>
            <w:tcW w:w="2660" w:type="pct"/>
            <w:tcBorders>
              <w:top w:val="nil"/>
              <w:left w:val="nil"/>
              <w:bottom w:val="dotted" w:sz="6" w:space="0" w:color="DDDDDD"/>
              <w:right w:val="nil"/>
            </w:tcBorders>
            <w:shd w:val="clear" w:color="auto" w:fill="F4F4F4"/>
            <w:tcMar>
              <w:top w:w="60" w:type="dxa"/>
              <w:left w:w="120" w:type="dxa"/>
              <w:bottom w:w="60" w:type="dxa"/>
              <w:right w:w="60" w:type="dxa"/>
            </w:tcMar>
            <w:vAlign w:val="center"/>
            <w:hideMark/>
          </w:tcPr>
          <w:p w:rsidR="00DE6DA2" w:rsidRPr="00AE28CC" w:rsidP="00DE6DA2">
            <w:pPr>
              <w:widowControl/>
              <w:wordWrap w:val="0"/>
              <w:spacing w:line="330" w:lineRule="atLeast"/>
              <w:jc w:val="left"/>
              <w:rPr>
                <w:rFonts w:ascii="宋体" w:hAnsi="宋体" w:cs="宋体"/>
                <w:kern w:val="0"/>
                <w:szCs w:val="21"/>
              </w:rPr>
            </w:pPr>
            <w:r w:rsidRPr="00AE28CC">
              <w:rPr>
                <w:rFonts w:ascii="宋体" w:hAnsi="宋体" w:cs="宋体"/>
                <w:kern w:val="0"/>
                <w:szCs w:val="21"/>
              </w:rPr>
              <w:t>可以现金替代比例上限</w:t>
            </w:r>
          </w:p>
        </w:tc>
        <w:tc>
          <w:tcPr>
            <w:tcW w:w="2340" w:type="pct"/>
            <w:tcBorders>
              <w:top w:val="nil"/>
              <w:left w:val="nil"/>
              <w:bottom w:val="dotted" w:sz="6" w:space="0" w:color="DDDDDD"/>
              <w:right w:val="nil"/>
            </w:tcBorders>
            <w:shd w:val="clear" w:color="auto" w:fill="F4F4F4"/>
            <w:tcMar>
              <w:top w:w="60" w:type="dxa"/>
              <w:left w:w="120" w:type="dxa"/>
              <w:bottom w:w="60" w:type="dxa"/>
              <w:right w:w="60" w:type="dxa"/>
            </w:tcMar>
            <w:vAlign w:val="center"/>
            <w:hideMark/>
          </w:tcPr>
          <w:p w:rsidR="00DE6DA2" w:rsidRPr="00AE28CC" w:rsidP="00DE6DA2">
            <w:pPr>
              <w:widowControl/>
              <w:wordWrap w:val="0"/>
              <w:spacing w:line="330" w:lineRule="atLeast"/>
              <w:jc w:val="left"/>
              <w:rPr>
                <w:rFonts w:ascii="宋体" w:hAnsi="宋体" w:cs="宋体"/>
                <w:kern w:val="0"/>
                <w:szCs w:val="21"/>
              </w:rPr>
            </w:pPr>
            <w:r w:rsidRPr="00AE28CC">
              <w:rPr>
                <w:rFonts w:ascii="宋体" w:hAnsi="宋体" w:cs="宋体"/>
                <w:kern w:val="0"/>
                <w:szCs w:val="21"/>
              </w:rPr>
              <w:t>X%</w:t>
            </w:r>
          </w:p>
        </w:tc>
      </w:tr>
      <w:tr w:rsidTr="00AE28CC">
        <w:tblPrEx>
          <w:tblW w:w="5000" w:type="pct"/>
          <w:tblCellMar>
            <w:top w:w="15" w:type="dxa"/>
            <w:left w:w="15" w:type="dxa"/>
            <w:bottom w:w="15" w:type="dxa"/>
            <w:right w:w="15" w:type="dxa"/>
          </w:tblCellMar>
          <w:tblLook w:val="04A0"/>
        </w:tblPrEx>
        <w:tc>
          <w:tcPr>
            <w:tcW w:w="2660" w:type="pct"/>
            <w:tcBorders>
              <w:top w:val="nil"/>
              <w:left w:val="nil"/>
              <w:bottom w:val="dotted" w:sz="2" w:space="0" w:color="DDDDDD"/>
              <w:right w:val="nil"/>
            </w:tcBorders>
            <w:shd w:val="clear" w:color="auto" w:fill="auto"/>
            <w:tcMar>
              <w:top w:w="60" w:type="dxa"/>
              <w:left w:w="120" w:type="dxa"/>
              <w:bottom w:w="60" w:type="dxa"/>
              <w:right w:w="60" w:type="dxa"/>
            </w:tcMar>
            <w:vAlign w:val="center"/>
            <w:hideMark/>
          </w:tcPr>
          <w:p w:rsidR="00DE6DA2" w:rsidRPr="00AE28CC" w:rsidP="00DE6DA2">
            <w:pPr>
              <w:widowControl/>
              <w:wordWrap w:val="0"/>
              <w:spacing w:line="330" w:lineRule="atLeast"/>
              <w:jc w:val="left"/>
              <w:rPr>
                <w:rFonts w:ascii="宋体" w:hAnsi="宋体" w:cs="宋体"/>
                <w:kern w:val="0"/>
                <w:szCs w:val="21"/>
              </w:rPr>
            </w:pPr>
            <w:r w:rsidRPr="00AE28CC">
              <w:rPr>
                <w:rFonts w:ascii="宋体" w:hAnsi="宋体" w:cs="宋体"/>
                <w:kern w:val="0"/>
                <w:szCs w:val="21"/>
              </w:rPr>
              <w:t>是否需要公布IOPV</w:t>
            </w:r>
          </w:p>
        </w:tc>
        <w:tc>
          <w:tcPr>
            <w:tcW w:w="2340" w:type="pct"/>
            <w:tcBorders>
              <w:top w:val="nil"/>
              <w:left w:val="nil"/>
              <w:bottom w:val="dotted" w:sz="2" w:space="0" w:color="DDDDDD"/>
              <w:right w:val="nil"/>
            </w:tcBorders>
            <w:shd w:val="clear" w:color="auto" w:fill="auto"/>
            <w:tcMar>
              <w:top w:w="60" w:type="dxa"/>
              <w:left w:w="120" w:type="dxa"/>
              <w:bottom w:w="60" w:type="dxa"/>
              <w:right w:w="60" w:type="dxa"/>
            </w:tcMar>
            <w:vAlign w:val="center"/>
            <w:hideMark/>
          </w:tcPr>
          <w:p w:rsidR="00DE6DA2" w:rsidRPr="00AE28CC" w:rsidP="00DE6DA2">
            <w:pPr>
              <w:widowControl/>
              <w:wordWrap w:val="0"/>
              <w:spacing w:line="330" w:lineRule="atLeast"/>
              <w:jc w:val="left"/>
              <w:rPr>
                <w:rFonts w:ascii="宋体" w:hAnsi="宋体" w:cs="宋体"/>
                <w:kern w:val="0"/>
                <w:szCs w:val="21"/>
              </w:rPr>
            </w:pPr>
            <w:r w:rsidRPr="00AE28CC">
              <w:rPr>
                <w:rFonts w:ascii="宋体" w:hAnsi="宋体" w:cs="宋体"/>
                <w:kern w:val="0"/>
                <w:szCs w:val="21"/>
              </w:rPr>
              <w:t>是</w:t>
            </w:r>
          </w:p>
        </w:tc>
      </w:tr>
      <w:tr w:rsidTr="00AE28CC">
        <w:tblPrEx>
          <w:tblW w:w="5000" w:type="pct"/>
          <w:tblCellMar>
            <w:top w:w="15" w:type="dxa"/>
            <w:left w:w="15" w:type="dxa"/>
            <w:bottom w:w="15" w:type="dxa"/>
            <w:right w:w="15" w:type="dxa"/>
          </w:tblCellMar>
          <w:tblLook w:val="04A0"/>
        </w:tblPrEx>
        <w:tc>
          <w:tcPr>
            <w:tcW w:w="2660" w:type="pct"/>
            <w:tcBorders>
              <w:top w:val="nil"/>
              <w:left w:val="nil"/>
              <w:bottom w:val="dotted" w:sz="6" w:space="0" w:color="DDDDDD"/>
              <w:right w:val="nil"/>
            </w:tcBorders>
            <w:shd w:val="clear" w:color="auto" w:fill="F4F4F4"/>
            <w:tcMar>
              <w:top w:w="60" w:type="dxa"/>
              <w:left w:w="120" w:type="dxa"/>
              <w:bottom w:w="60" w:type="dxa"/>
              <w:right w:w="60" w:type="dxa"/>
            </w:tcMar>
            <w:vAlign w:val="center"/>
            <w:hideMark/>
          </w:tcPr>
          <w:p w:rsidR="00DE6DA2" w:rsidRPr="00AE28CC" w:rsidP="00DE6DA2">
            <w:pPr>
              <w:widowControl/>
              <w:wordWrap w:val="0"/>
              <w:spacing w:line="330" w:lineRule="atLeast"/>
              <w:jc w:val="left"/>
              <w:rPr>
                <w:rFonts w:ascii="宋体" w:hAnsi="宋体" w:cs="宋体"/>
                <w:kern w:val="0"/>
                <w:szCs w:val="21"/>
              </w:rPr>
            </w:pPr>
            <w:r w:rsidRPr="00AE28CC">
              <w:rPr>
                <w:rFonts w:ascii="宋体" w:hAnsi="宋体" w:cs="宋体"/>
                <w:kern w:val="0"/>
                <w:szCs w:val="21"/>
              </w:rPr>
              <w:t>最小申购、赎回单位</w:t>
            </w:r>
          </w:p>
        </w:tc>
        <w:tc>
          <w:tcPr>
            <w:tcW w:w="2340" w:type="pct"/>
            <w:tcBorders>
              <w:top w:val="nil"/>
              <w:left w:val="nil"/>
              <w:bottom w:val="dotted" w:sz="6" w:space="0" w:color="DDDDDD"/>
              <w:right w:val="nil"/>
            </w:tcBorders>
            <w:shd w:val="clear" w:color="auto" w:fill="F4F4F4"/>
            <w:tcMar>
              <w:top w:w="60" w:type="dxa"/>
              <w:left w:w="120" w:type="dxa"/>
              <w:bottom w:w="60" w:type="dxa"/>
              <w:right w:w="60" w:type="dxa"/>
            </w:tcMar>
            <w:vAlign w:val="center"/>
            <w:hideMark/>
          </w:tcPr>
          <w:p w:rsidR="00DE6DA2" w:rsidRPr="00AE28CC" w:rsidP="00DE6DA2">
            <w:pPr>
              <w:widowControl/>
              <w:wordWrap w:val="0"/>
              <w:spacing w:line="330" w:lineRule="atLeast"/>
              <w:jc w:val="left"/>
              <w:rPr>
                <w:rFonts w:ascii="宋体" w:hAnsi="宋体" w:cs="宋体"/>
                <w:kern w:val="0"/>
                <w:szCs w:val="21"/>
              </w:rPr>
            </w:pPr>
            <w:r w:rsidRPr="00AE28CC">
              <w:rPr>
                <w:rFonts w:ascii="宋体" w:hAnsi="宋体" w:cs="宋体"/>
                <w:kern w:val="0"/>
                <w:szCs w:val="21"/>
              </w:rPr>
              <w:t>X份</w:t>
            </w:r>
          </w:p>
        </w:tc>
      </w:tr>
      <w:tr w:rsidTr="00AE28CC">
        <w:tblPrEx>
          <w:tblW w:w="5000" w:type="pct"/>
          <w:tblCellMar>
            <w:top w:w="15" w:type="dxa"/>
            <w:left w:w="15" w:type="dxa"/>
            <w:bottom w:w="15" w:type="dxa"/>
            <w:right w:w="15" w:type="dxa"/>
          </w:tblCellMar>
          <w:tblLook w:val="04A0"/>
        </w:tblPrEx>
        <w:tc>
          <w:tcPr>
            <w:tcW w:w="2660" w:type="pct"/>
            <w:tcBorders>
              <w:top w:val="nil"/>
              <w:left w:val="nil"/>
              <w:bottom w:val="dotted" w:sz="2" w:space="0" w:color="DDDDDD"/>
              <w:right w:val="nil"/>
            </w:tcBorders>
            <w:shd w:val="clear" w:color="auto" w:fill="auto"/>
            <w:tcMar>
              <w:top w:w="60" w:type="dxa"/>
              <w:left w:w="120" w:type="dxa"/>
              <w:bottom w:w="60" w:type="dxa"/>
              <w:right w:w="60" w:type="dxa"/>
            </w:tcMar>
            <w:vAlign w:val="center"/>
            <w:hideMark/>
          </w:tcPr>
          <w:p w:rsidR="00DE6DA2" w:rsidRPr="00AE28CC" w:rsidP="00DE6DA2">
            <w:pPr>
              <w:widowControl/>
              <w:wordWrap w:val="0"/>
              <w:spacing w:line="330" w:lineRule="atLeast"/>
              <w:jc w:val="left"/>
              <w:rPr>
                <w:rFonts w:ascii="宋体" w:hAnsi="宋体" w:cs="宋体"/>
                <w:kern w:val="0"/>
                <w:szCs w:val="21"/>
              </w:rPr>
            </w:pPr>
            <w:r w:rsidRPr="00AE28CC">
              <w:rPr>
                <w:rFonts w:ascii="宋体" w:hAnsi="宋体" w:cs="宋体"/>
                <w:kern w:val="0"/>
                <w:szCs w:val="21"/>
              </w:rPr>
              <w:t>最小申购赎回单位现金红利</w:t>
            </w:r>
          </w:p>
        </w:tc>
        <w:tc>
          <w:tcPr>
            <w:tcW w:w="2340" w:type="pct"/>
            <w:tcBorders>
              <w:top w:val="nil"/>
              <w:left w:val="nil"/>
              <w:bottom w:val="dotted" w:sz="2" w:space="0" w:color="DDDDDD"/>
              <w:right w:val="nil"/>
            </w:tcBorders>
            <w:shd w:val="clear" w:color="auto" w:fill="auto"/>
            <w:tcMar>
              <w:top w:w="60" w:type="dxa"/>
              <w:left w:w="120" w:type="dxa"/>
              <w:bottom w:w="60" w:type="dxa"/>
              <w:right w:w="60" w:type="dxa"/>
            </w:tcMar>
            <w:vAlign w:val="center"/>
            <w:hideMark/>
          </w:tcPr>
          <w:p w:rsidR="00DE6DA2" w:rsidRPr="00AE28CC" w:rsidP="00DE6DA2">
            <w:pPr>
              <w:widowControl/>
              <w:wordWrap w:val="0"/>
              <w:spacing w:line="330" w:lineRule="atLeast"/>
              <w:jc w:val="left"/>
              <w:rPr>
                <w:rFonts w:ascii="宋体" w:hAnsi="宋体" w:cs="宋体"/>
                <w:kern w:val="0"/>
                <w:szCs w:val="21"/>
              </w:rPr>
            </w:pPr>
            <w:r w:rsidRPr="00AE28CC">
              <w:rPr>
                <w:rFonts w:ascii="宋体" w:hAnsi="宋体" w:cs="宋体"/>
                <w:kern w:val="0"/>
                <w:szCs w:val="21"/>
              </w:rPr>
              <w:t>X元</w:t>
            </w:r>
          </w:p>
        </w:tc>
      </w:tr>
      <w:tr w:rsidTr="00AE28CC">
        <w:tblPrEx>
          <w:tblW w:w="5000" w:type="pct"/>
          <w:tblCellMar>
            <w:top w:w="15" w:type="dxa"/>
            <w:left w:w="15" w:type="dxa"/>
            <w:bottom w:w="15" w:type="dxa"/>
            <w:right w:w="15" w:type="dxa"/>
          </w:tblCellMar>
          <w:tblLook w:val="04A0"/>
        </w:tblPrEx>
        <w:tc>
          <w:tcPr>
            <w:tcW w:w="2660" w:type="pct"/>
            <w:tcBorders>
              <w:top w:val="nil"/>
              <w:left w:val="nil"/>
              <w:bottom w:val="dotted" w:sz="6" w:space="0" w:color="DDDDDD"/>
              <w:right w:val="nil"/>
            </w:tcBorders>
            <w:shd w:val="clear" w:color="auto" w:fill="F4F4F4"/>
            <w:tcMar>
              <w:top w:w="60" w:type="dxa"/>
              <w:left w:w="120" w:type="dxa"/>
              <w:bottom w:w="60" w:type="dxa"/>
              <w:right w:w="60" w:type="dxa"/>
            </w:tcMar>
            <w:vAlign w:val="center"/>
            <w:hideMark/>
          </w:tcPr>
          <w:p w:rsidR="00DE6DA2" w:rsidRPr="00AE28CC" w:rsidP="00DE6DA2">
            <w:pPr>
              <w:widowControl/>
              <w:wordWrap w:val="0"/>
              <w:spacing w:line="330" w:lineRule="atLeast"/>
              <w:jc w:val="left"/>
              <w:rPr>
                <w:rFonts w:ascii="宋体" w:hAnsi="宋体" w:cs="宋体"/>
                <w:kern w:val="0"/>
                <w:szCs w:val="21"/>
              </w:rPr>
            </w:pPr>
            <w:r w:rsidRPr="00AE28CC">
              <w:rPr>
                <w:rFonts w:ascii="宋体" w:hAnsi="宋体" w:cs="宋体"/>
                <w:kern w:val="0"/>
                <w:szCs w:val="21"/>
              </w:rPr>
              <w:t>本市场申购赎回组合证券只数</w:t>
            </w:r>
          </w:p>
        </w:tc>
        <w:tc>
          <w:tcPr>
            <w:tcW w:w="2340" w:type="pct"/>
            <w:tcBorders>
              <w:top w:val="nil"/>
              <w:left w:val="nil"/>
              <w:bottom w:val="dotted" w:sz="6" w:space="0" w:color="DDDDDD"/>
              <w:right w:val="nil"/>
            </w:tcBorders>
            <w:shd w:val="clear" w:color="auto" w:fill="F4F4F4"/>
            <w:tcMar>
              <w:top w:w="60" w:type="dxa"/>
              <w:left w:w="120" w:type="dxa"/>
              <w:bottom w:w="60" w:type="dxa"/>
              <w:right w:w="60" w:type="dxa"/>
            </w:tcMar>
            <w:vAlign w:val="center"/>
            <w:hideMark/>
          </w:tcPr>
          <w:p w:rsidR="00DE6DA2" w:rsidRPr="00AE28CC" w:rsidP="00DE6DA2">
            <w:pPr>
              <w:widowControl/>
              <w:wordWrap w:val="0"/>
              <w:spacing w:line="330" w:lineRule="atLeast"/>
              <w:jc w:val="left"/>
              <w:rPr>
                <w:rFonts w:ascii="宋体" w:hAnsi="宋体" w:cs="宋体"/>
                <w:kern w:val="0"/>
                <w:szCs w:val="21"/>
              </w:rPr>
            </w:pPr>
            <w:r w:rsidRPr="00AE28CC">
              <w:rPr>
                <w:rFonts w:ascii="宋体" w:hAnsi="宋体" w:cs="宋体"/>
                <w:kern w:val="0"/>
                <w:szCs w:val="21"/>
              </w:rPr>
              <w:t>X只</w:t>
            </w:r>
          </w:p>
        </w:tc>
      </w:tr>
      <w:tr w:rsidTr="00AE28CC">
        <w:tblPrEx>
          <w:tblW w:w="5000" w:type="pct"/>
          <w:tblCellMar>
            <w:top w:w="15" w:type="dxa"/>
            <w:left w:w="15" w:type="dxa"/>
            <w:bottom w:w="15" w:type="dxa"/>
            <w:right w:w="15" w:type="dxa"/>
          </w:tblCellMar>
          <w:tblLook w:val="04A0"/>
        </w:tblPrEx>
        <w:tc>
          <w:tcPr>
            <w:tcW w:w="2660" w:type="pct"/>
            <w:tcBorders>
              <w:top w:val="nil"/>
              <w:left w:val="nil"/>
              <w:bottom w:val="dotted" w:sz="2" w:space="0" w:color="DDDDDD"/>
              <w:right w:val="nil"/>
            </w:tcBorders>
            <w:shd w:val="clear" w:color="auto" w:fill="auto"/>
            <w:tcMar>
              <w:top w:w="60" w:type="dxa"/>
              <w:left w:w="120" w:type="dxa"/>
              <w:bottom w:w="60" w:type="dxa"/>
              <w:right w:w="60" w:type="dxa"/>
            </w:tcMar>
            <w:vAlign w:val="center"/>
            <w:hideMark/>
          </w:tcPr>
          <w:p w:rsidR="00DE6DA2" w:rsidRPr="00AE28CC" w:rsidP="00DE6DA2">
            <w:pPr>
              <w:widowControl/>
              <w:wordWrap w:val="0"/>
              <w:spacing w:line="330" w:lineRule="atLeast"/>
              <w:jc w:val="left"/>
              <w:rPr>
                <w:rFonts w:ascii="宋体" w:hAnsi="宋体" w:cs="宋体"/>
                <w:kern w:val="0"/>
                <w:szCs w:val="21"/>
              </w:rPr>
            </w:pPr>
            <w:r w:rsidRPr="00AE28CC">
              <w:rPr>
                <w:rFonts w:ascii="宋体" w:hAnsi="宋体" w:cs="宋体"/>
                <w:kern w:val="0"/>
                <w:szCs w:val="21"/>
              </w:rPr>
              <w:t>全部申购赎回组合证券只数</w:t>
            </w:r>
          </w:p>
        </w:tc>
        <w:tc>
          <w:tcPr>
            <w:tcW w:w="2340" w:type="pct"/>
            <w:tcBorders>
              <w:top w:val="nil"/>
              <w:left w:val="nil"/>
              <w:bottom w:val="dotted" w:sz="2" w:space="0" w:color="DDDDDD"/>
              <w:right w:val="nil"/>
            </w:tcBorders>
            <w:shd w:val="clear" w:color="auto" w:fill="auto"/>
            <w:tcMar>
              <w:top w:w="60" w:type="dxa"/>
              <w:left w:w="120" w:type="dxa"/>
              <w:bottom w:w="60" w:type="dxa"/>
              <w:right w:w="60" w:type="dxa"/>
            </w:tcMar>
            <w:vAlign w:val="center"/>
            <w:hideMark/>
          </w:tcPr>
          <w:p w:rsidR="00DE6DA2" w:rsidRPr="00AE28CC" w:rsidP="00DE6DA2">
            <w:pPr>
              <w:widowControl/>
              <w:wordWrap w:val="0"/>
              <w:spacing w:line="330" w:lineRule="atLeast"/>
              <w:jc w:val="left"/>
              <w:rPr>
                <w:rFonts w:ascii="宋体" w:hAnsi="宋体" w:cs="宋体"/>
                <w:kern w:val="0"/>
                <w:szCs w:val="21"/>
              </w:rPr>
            </w:pPr>
            <w:r w:rsidRPr="00AE28CC">
              <w:rPr>
                <w:rFonts w:ascii="宋体" w:hAnsi="宋体" w:cs="宋体"/>
                <w:kern w:val="0"/>
                <w:szCs w:val="21"/>
              </w:rPr>
              <w:t>X只（含“159900”证券）</w:t>
            </w:r>
          </w:p>
        </w:tc>
      </w:tr>
      <w:tr w:rsidTr="00AE28CC">
        <w:tblPrEx>
          <w:tblW w:w="5000" w:type="pct"/>
          <w:tblCellMar>
            <w:top w:w="15" w:type="dxa"/>
            <w:left w:w="15" w:type="dxa"/>
            <w:bottom w:w="15" w:type="dxa"/>
            <w:right w:w="15" w:type="dxa"/>
          </w:tblCellMar>
          <w:tblLook w:val="04A0"/>
        </w:tblPrEx>
        <w:tc>
          <w:tcPr>
            <w:tcW w:w="2660" w:type="pct"/>
            <w:tcBorders>
              <w:top w:val="nil"/>
              <w:left w:val="nil"/>
              <w:bottom w:val="dotted" w:sz="6" w:space="0" w:color="DDDDDD"/>
              <w:right w:val="nil"/>
            </w:tcBorders>
            <w:shd w:val="clear" w:color="auto" w:fill="F4F4F4"/>
            <w:tcMar>
              <w:top w:w="60" w:type="dxa"/>
              <w:left w:w="120" w:type="dxa"/>
              <w:bottom w:w="60" w:type="dxa"/>
              <w:right w:w="60" w:type="dxa"/>
            </w:tcMar>
            <w:vAlign w:val="center"/>
            <w:hideMark/>
          </w:tcPr>
          <w:p w:rsidR="00DE6DA2" w:rsidRPr="00AE28CC" w:rsidP="00DE6DA2">
            <w:pPr>
              <w:widowControl/>
              <w:wordWrap w:val="0"/>
              <w:spacing w:line="330" w:lineRule="atLeast"/>
              <w:jc w:val="left"/>
              <w:rPr>
                <w:rFonts w:ascii="宋体" w:hAnsi="宋体" w:cs="宋体"/>
                <w:kern w:val="0"/>
                <w:szCs w:val="21"/>
              </w:rPr>
            </w:pPr>
            <w:r w:rsidRPr="00AE28CC">
              <w:rPr>
                <w:rFonts w:ascii="宋体" w:hAnsi="宋体" w:cs="宋体"/>
                <w:kern w:val="0"/>
                <w:szCs w:val="21"/>
              </w:rPr>
              <w:t>是否开放申购</w:t>
            </w:r>
          </w:p>
        </w:tc>
        <w:tc>
          <w:tcPr>
            <w:tcW w:w="2340" w:type="pct"/>
            <w:tcBorders>
              <w:top w:val="nil"/>
              <w:left w:val="nil"/>
              <w:bottom w:val="dotted" w:sz="6" w:space="0" w:color="DDDDDD"/>
              <w:right w:val="nil"/>
            </w:tcBorders>
            <w:shd w:val="clear" w:color="auto" w:fill="F4F4F4"/>
            <w:tcMar>
              <w:top w:w="60" w:type="dxa"/>
              <w:left w:w="120" w:type="dxa"/>
              <w:bottom w:w="60" w:type="dxa"/>
              <w:right w:w="60" w:type="dxa"/>
            </w:tcMar>
            <w:vAlign w:val="center"/>
            <w:hideMark/>
          </w:tcPr>
          <w:p w:rsidR="00DE6DA2" w:rsidRPr="00AE28CC" w:rsidP="00DE6DA2">
            <w:pPr>
              <w:widowControl/>
              <w:wordWrap w:val="0"/>
              <w:spacing w:line="330" w:lineRule="atLeast"/>
              <w:jc w:val="left"/>
              <w:rPr>
                <w:rFonts w:ascii="宋体" w:hAnsi="宋体" w:cs="宋体"/>
                <w:kern w:val="0"/>
                <w:szCs w:val="21"/>
              </w:rPr>
            </w:pPr>
            <w:r w:rsidRPr="00AE28CC">
              <w:rPr>
                <w:rFonts w:ascii="宋体" w:hAnsi="宋体" w:cs="宋体"/>
                <w:kern w:val="0"/>
                <w:szCs w:val="21"/>
              </w:rPr>
              <w:t>允许</w:t>
            </w:r>
          </w:p>
        </w:tc>
      </w:tr>
      <w:tr w:rsidTr="00AE28CC">
        <w:tblPrEx>
          <w:tblW w:w="5000" w:type="pct"/>
          <w:tblCellMar>
            <w:top w:w="15" w:type="dxa"/>
            <w:left w:w="15" w:type="dxa"/>
            <w:bottom w:w="15" w:type="dxa"/>
            <w:right w:w="15" w:type="dxa"/>
          </w:tblCellMar>
          <w:tblLook w:val="04A0"/>
        </w:tblPrEx>
        <w:tc>
          <w:tcPr>
            <w:tcW w:w="2660" w:type="pct"/>
            <w:tcBorders>
              <w:top w:val="nil"/>
              <w:left w:val="nil"/>
              <w:bottom w:val="dotted" w:sz="2" w:space="0" w:color="DDDDDD"/>
              <w:right w:val="nil"/>
            </w:tcBorders>
            <w:shd w:val="clear" w:color="auto" w:fill="auto"/>
            <w:tcMar>
              <w:top w:w="60" w:type="dxa"/>
              <w:left w:w="120" w:type="dxa"/>
              <w:bottom w:w="60" w:type="dxa"/>
              <w:right w:w="60" w:type="dxa"/>
            </w:tcMar>
            <w:vAlign w:val="center"/>
            <w:hideMark/>
          </w:tcPr>
          <w:p w:rsidR="00DE6DA2" w:rsidRPr="00AE28CC" w:rsidP="00DE6DA2">
            <w:pPr>
              <w:widowControl/>
              <w:wordWrap w:val="0"/>
              <w:spacing w:line="330" w:lineRule="atLeast"/>
              <w:jc w:val="left"/>
              <w:rPr>
                <w:rFonts w:ascii="宋体" w:hAnsi="宋体" w:cs="宋体"/>
                <w:kern w:val="0"/>
                <w:szCs w:val="21"/>
              </w:rPr>
            </w:pPr>
            <w:r w:rsidRPr="00AE28CC">
              <w:rPr>
                <w:rFonts w:ascii="宋体" w:hAnsi="宋体" w:cs="宋体"/>
                <w:kern w:val="0"/>
                <w:szCs w:val="21"/>
              </w:rPr>
              <w:t>是否开放赎回</w:t>
            </w:r>
          </w:p>
        </w:tc>
        <w:tc>
          <w:tcPr>
            <w:tcW w:w="2340" w:type="pct"/>
            <w:tcBorders>
              <w:top w:val="nil"/>
              <w:left w:val="nil"/>
              <w:bottom w:val="dotted" w:sz="2" w:space="0" w:color="DDDDDD"/>
              <w:right w:val="nil"/>
            </w:tcBorders>
            <w:shd w:val="clear" w:color="auto" w:fill="auto"/>
            <w:tcMar>
              <w:top w:w="60" w:type="dxa"/>
              <w:left w:w="120" w:type="dxa"/>
              <w:bottom w:w="60" w:type="dxa"/>
              <w:right w:w="60" w:type="dxa"/>
            </w:tcMar>
            <w:vAlign w:val="center"/>
            <w:hideMark/>
          </w:tcPr>
          <w:p w:rsidR="00DE6DA2" w:rsidRPr="00AE28CC" w:rsidP="00DE6DA2">
            <w:pPr>
              <w:widowControl/>
              <w:wordWrap w:val="0"/>
              <w:spacing w:line="330" w:lineRule="atLeast"/>
              <w:jc w:val="left"/>
              <w:rPr>
                <w:rFonts w:ascii="宋体" w:hAnsi="宋体" w:cs="宋体"/>
                <w:kern w:val="0"/>
                <w:szCs w:val="21"/>
              </w:rPr>
            </w:pPr>
            <w:r w:rsidRPr="00AE28CC">
              <w:rPr>
                <w:rFonts w:ascii="宋体" w:hAnsi="宋体" w:cs="宋体"/>
                <w:kern w:val="0"/>
                <w:szCs w:val="21"/>
              </w:rPr>
              <w:t>允许</w:t>
            </w:r>
          </w:p>
        </w:tc>
      </w:tr>
      <w:tr w:rsidTr="00AE28CC">
        <w:tblPrEx>
          <w:tblW w:w="5000" w:type="pct"/>
          <w:tblCellMar>
            <w:top w:w="15" w:type="dxa"/>
            <w:left w:w="15" w:type="dxa"/>
            <w:bottom w:w="15" w:type="dxa"/>
            <w:right w:w="15" w:type="dxa"/>
          </w:tblCellMar>
          <w:tblLook w:val="04A0"/>
        </w:tblPrEx>
        <w:tc>
          <w:tcPr>
            <w:tcW w:w="2660" w:type="pct"/>
            <w:tcBorders>
              <w:top w:val="nil"/>
              <w:left w:val="nil"/>
              <w:bottom w:val="dotted" w:sz="6" w:space="0" w:color="DDDDDD"/>
              <w:right w:val="nil"/>
            </w:tcBorders>
            <w:shd w:val="clear" w:color="auto" w:fill="F4F4F4"/>
            <w:tcMar>
              <w:top w:w="60" w:type="dxa"/>
              <w:left w:w="120" w:type="dxa"/>
              <w:bottom w:w="60" w:type="dxa"/>
              <w:right w:w="60" w:type="dxa"/>
            </w:tcMar>
            <w:vAlign w:val="center"/>
            <w:hideMark/>
          </w:tcPr>
          <w:p w:rsidR="00DE6DA2" w:rsidRPr="00AE28CC" w:rsidP="00DE6DA2">
            <w:pPr>
              <w:widowControl/>
              <w:wordWrap w:val="0"/>
              <w:spacing w:line="330" w:lineRule="atLeast"/>
              <w:jc w:val="left"/>
              <w:rPr>
                <w:rFonts w:ascii="宋体" w:hAnsi="宋体" w:cs="宋体"/>
                <w:kern w:val="0"/>
                <w:szCs w:val="21"/>
              </w:rPr>
            </w:pPr>
            <w:r w:rsidRPr="00AE28CC">
              <w:rPr>
                <w:rFonts w:ascii="宋体" w:hAnsi="宋体" w:cs="宋体"/>
                <w:kern w:val="0"/>
                <w:szCs w:val="21"/>
              </w:rPr>
              <w:t>当天净申购的基金份额上限</w:t>
            </w:r>
          </w:p>
        </w:tc>
        <w:tc>
          <w:tcPr>
            <w:tcW w:w="2340" w:type="pct"/>
            <w:tcBorders>
              <w:top w:val="nil"/>
              <w:left w:val="nil"/>
              <w:bottom w:val="dotted" w:sz="6" w:space="0" w:color="DDDDDD"/>
              <w:right w:val="nil"/>
            </w:tcBorders>
            <w:shd w:val="clear" w:color="auto" w:fill="F4F4F4"/>
            <w:tcMar>
              <w:top w:w="60" w:type="dxa"/>
              <w:left w:w="120" w:type="dxa"/>
              <w:bottom w:w="60" w:type="dxa"/>
              <w:right w:w="60" w:type="dxa"/>
            </w:tcMar>
            <w:vAlign w:val="center"/>
            <w:hideMark/>
          </w:tcPr>
          <w:p w:rsidR="00DE6DA2" w:rsidRPr="00AE28CC" w:rsidP="00DE6DA2">
            <w:pPr>
              <w:widowControl/>
              <w:wordWrap w:val="0"/>
              <w:spacing w:line="330" w:lineRule="atLeast"/>
              <w:jc w:val="left"/>
              <w:rPr>
                <w:rFonts w:ascii="宋体" w:hAnsi="宋体" w:cs="宋体"/>
                <w:kern w:val="0"/>
                <w:szCs w:val="21"/>
              </w:rPr>
            </w:pPr>
            <w:r w:rsidRPr="00AE28CC">
              <w:rPr>
                <w:rFonts w:ascii="宋体" w:hAnsi="宋体" w:cs="宋体"/>
                <w:kern w:val="0"/>
                <w:szCs w:val="21"/>
              </w:rPr>
              <w:t>不设上限</w:t>
            </w:r>
          </w:p>
        </w:tc>
      </w:tr>
      <w:tr w:rsidTr="00AE28CC">
        <w:tblPrEx>
          <w:tblW w:w="5000" w:type="pct"/>
          <w:tblCellMar>
            <w:top w:w="15" w:type="dxa"/>
            <w:left w:w="15" w:type="dxa"/>
            <w:bottom w:w="15" w:type="dxa"/>
            <w:right w:w="15" w:type="dxa"/>
          </w:tblCellMar>
          <w:tblLook w:val="04A0"/>
        </w:tblPrEx>
        <w:tc>
          <w:tcPr>
            <w:tcW w:w="2660" w:type="pct"/>
            <w:tcBorders>
              <w:top w:val="nil"/>
              <w:left w:val="nil"/>
              <w:bottom w:val="dotted" w:sz="2" w:space="0" w:color="DDDDDD"/>
              <w:right w:val="nil"/>
            </w:tcBorders>
            <w:shd w:val="clear" w:color="auto" w:fill="auto"/>
            <w:tcMar>
              <w:top w:w="60" w:type="dxa"/>
              <w:left w:w="120" w:type="dxa"/>
              <w:bottom w:w="60" w:type="dxa"/>
              <w:right w:w="60" w:type="dxa"/>
            </w:tcMar>
            <w:vAlign w:val="center"/>
            <w:hideMark/>
          </w:tcPr>
          <w:p w:rsidR="00DE6DA2" w:rsidRPr="00AE28CC" w:rsidP="00DE6DA2">
            <w:pPr>
              <w:widowControl/>
              <w:wordWrap w:val="0"/>
              <w:spacing w:line="330" w:lineRule="atLeast"/>
              <w:jc w:val="left"/>
              <w:rPr>
                <w:rFonts w:ascii="宋体" w:hAnsi="宋体" w:cs="宋体"/>
                <w:kern w:val="0"/>
                <w:szCs w:val="21"/>
              </w:rPr>
            </w:pPr>
            <w:r w:rsidRPr="00AE28CC">
              <w:rPr>
                <w:rFonts w:ascii="宋体" w:hAnsi="宋体" w:cs="宋体"/>
                <w:kern w:val="0"/>
                <w:szCs w:val="21"/>
              </w:rPr>
              <w:t>当天净赎回的基金份额上限</w:t>
            </w:r>
          </w:p>
        </w:tc>
        <w:tc>
          <w:tcPr>
            <w:tcW w:w="2340" w:type="pct"/>
            <w:tcBorders>
              <w:top w:val="nil"/>
              <w:left w:val="nil"/>
              <w:bottom w:val="dotted" w:sz="2" w:space="0" w:color="DDDDDD"/>
              <w:right w:val="nil"/>
            </w:tcBorders>
            <w:shd w:val="clear" w:color="auto" w:fill="auto"/>
            <w:tcMar>
              <w:top w:w="60" w:type="dxa"/>
              <w:left w:w="120" w:type="dxa"/>
              <w:bottom w:w="60" w:type="dxa"/>
              <w:right w:w="60" w:type="dxa"/>
            </w:tcMar>
            <w:vAlign w:val="center"/>
            <w:hideMark/>
          </w:tcPr>
          <w:p w:rsidR="00DE6DA2" w:rsidRPr="00AE28CC" w:rsidP="00DE6DA2">
            <w:pPr>
              <w:widowControl/>
              <w:wordWrap w:val="0"/>
              <w:spacing w:line="330" w:lineRule="atLeast"/>
              <w:jc w:val="left"/>
              <w:rPr>
                <w:rFonts w:ascii="宋体" w:hAnsi="宋体" w:cs="宋体"/>
                <w:kern w:val="0"/>
                <w:szCs w:val="21"/>
              </w:rPr>
            </w:pPr>
            <w:r w:rsidRPr="00AE28CC">
              <w:rPr>
                <w:rFonts w:ascii="宋体" w:hAnsi="宋体" w:cs="宋体"/>
                <w:kern w:val="0"/>
                <w:szCs w:val="21"/>
              </w:rPr>
              <w:t>不设上限</w:t>
            </w:r>
          </w:p>
        </w:tc>
      </w:tr>
      <w:tr w:rsidTr="00AE28CC">
        <w:tblPrEx>
          <w:tblW w:w="5000" w:type="pct"/>
          <w:tblCellMar>
            <w:top w:w="15" w:type="dxa"/>
            <w:left w:w="15" w:type="dxa"/>
            <w:bottom w:w="15" w:type="dxa"/>
            <w:right w:w="15" w:type="dxa"/>
          </w:tblCellMar>
          <w:tblLook w:val="04A0"/>
        </w:tblPrEx>
        <w:tc>
          <w:tcPr>
            <w:tcW w:w="2660" w:type="pct"/>
            <w:tcBorders>
              <w:top w:val="nil"/>
              <w:left w:val="nil"/>
              <w:bottom w:val="dotted" w:sz="6" w:space="0" w:color="DDDDDD"/>
              <w:right w:val="nil"/>
            </w:tcBorders>
            <w:shd w:val="clear" w:color="auto" w:fill="F4F4F4"/>
            <w:tcMar>
              <w:top w:w="60" w:type="dxa"/>
              <w:left w:w="120" w:type="dxa"/>
              <w:bottom w:w="60" w:type="dxa"/>
              <w:right w:w="60" w:type="dxa"/>
            </w:tcMar>
            <w:vAlign w:val="center"/>
            <w:hideMark/>
          </w:tcPr>
          <w:p w:rsidR="00DE6DA2" w:rsidRPr="00AE28CC" w:rsidP="00DE6DA2">
            <w:pPr>
              <w:widowControl/>
              <w:wordWrap w:val="0"/>
              <w:spacing w:line="330" w:lineRule="atLeast"/>
              <w:jc w:val="left"/>
              <w:rPr>
                <w:rFonts w:ascii="宋体" w:hAnsi="宋体" w:cs="宋体"/>
                <w:kern w:val="0"/>
                <w:szCs w:val="21"/>
              </w:rPr>
            </w:pPr>
            <w:r w:rsidRPr="00AE28CC">
              <w:rPr>
                <w:rFonts w:ascii="宋体" w:hAnsi="宋体" w:cs="宋体"/>
                <w:kern w:val="0"/>
                <w:szCs w:val="21"/>
              </w:rPr>
              <w:t>单个证券账户当天净申购的基金份额上限</w:t>
            </w:r>
          </w:p>
        </w:tc>
        <w:tc>
          <w:tcPr>
            <w:tcW w:w="2340" w:type="pct"/>
            <w:tcBorders>
              <w:top w:val="nil"/>
              <w:left w:val="nil"/>
              <w:bottom w:val="dotted" w:sz="6" w:space="0" w:color="DDDDDD"/>
              <w:right w:val="nil"/>
            </w:tcBorders>
            <w:shd w:val="clear" w:color="auto" w:fill="F4F4F4"/>
            <w:tcMar>
              <w:top w:w="60" w:type="dxa"/>
              <w:left w:w="120" w:type="dxa"/>
              <w:bottom w:w="60" w:type="dxa"/>
              <w:right w:w="60" w:type="dxa"/>
            </w:tcMar>
            <w:vAlign w:val="center"/>
            <w:hideMark/>
          </w:tcPr>
          <w:p w:rsidR="00DE6DA2" w:rsidRPr="00AE28CC" w:rsidP="00DE6DA2">
            <w:pPr>
              <w:widowControl/>
              <w:wordWrap w:val="0"/>
              <w:spacing w:line="330" w:lineRule="atLeast"/>
              <w:jc w:val="left"/>
              <w:rPr>
                <w:rFonts w:ascii="宋体" w:hAnsi="宋体" w:cs="宋体"/>
                <w:kern w:val="0"/>
                <w:szCs w:val="21"/>
              </w:rPr>
            </w:pPr>
            <w:r w:rsidRPr="00AE28CC">
              <w:rPr>
                <w:rFonts w:ascii="宋体" w:hAnsi="宋体" w:cs="宋体"/>
                <w:kern w:val="0"/>
                <w:szCs w:val="21"/>
              </w:rPr>
              <w:t>不设上限</w:t>
            </w:r>
          </w:p>
        </w:tc>
      </w:tr>
      <w:tr w:rsidTr="00AE28CC">
        <w:tblPrEx>
          <w:tblW w:w="5000" w:type="pct"/>
          <w:tblCellMar>
            <w:top w:w="15" w:type="dxa"/>
            <w:left w:w="15" w:type="dxa"/>
            <w:bottom w:w="15" w:type="dxa"/>
            <w:right w:w="15" w:type="dxa"/>
          </w:tblCellMar>
          <w:tblLook w:val="04A0"/>
        </w:tblPrEx>
        <w:tc>
          <w:tcPr>
            <w:tcW w:w="2660" w:type="pct"/>
            <w:tcBorders>
              <w:top w:val="nil"/>
              <w:left w:val="nil"/>
              <w:bottom w:val="dotted" w:sz="2" w:space="0" w:color="DDDDDD"/>
              <w:right w:val="nil"/>
            </w:tcBorders>
            <w:shd w:val="clear" w:color="auto" w:fill="auto"/>
            <w:tcMar>
              <w:top w:w="60" w:type="dxa"/>
              <w:left w:w="120" w:type="dxa"/>
              <w:bottom w:w="60" w:type="dxa"/>
              <w:right w:w="60" w:type="dxa"/>
            </w:tcMar>
            <w:vAlign w:val="center"/>
            <w:hideMark/>
          </w:tcPr>
          <w:p w:rsidR="00DE6DA2" w:rsidRPr="00AE28CC" w:rsidP="00DE6DA2">
            <w:pPr>
              <w:widowControl/>
              <w:wordWrap w:val="0"/>
              <w:spacing w:line="330" w:lineRule="atLeast"/>
              <w:jc w:val="left"/>
              <w:rPr>
                <w:rFonts w:ascii="宋体" w:hAnsi="宋体" w:cs="宋体"/>
                <w:kern w:val="0"/>
                <w:szCs w:val="21"/>
              </w:rPr>
            </w:pPr>
            <w:r w:rsidRPr="00AE28CC">
              <w:rPr>
                <w:rFonts w:ascii="宋体" w:hAnsi="宋体" w:cs="宋体"/>
                <w:kern w:val="0"/>
                <w:szCs w:val="21"/>
              </w:rPr>
              <w:t>单个证券账户当天净赎回的基金份额上限</w:t>
            </w:r>
          </w:p>
        </w:tc>
        <w:tc>
          <w:tcPr>
            <w:tcW w:w="2340" w:type="pct"/>
            <w:tcBorders>
              <w:top w:val="nil"/>
              <w:left w:val="nil"/>
              <w:bottom w:val="dotted" w:sz="2" w:space="0" w:color="DDDDDD"/>
              <w:right w:val="nil"/>
            </w:tcBorders>
            <w:shd w:val="clear" w:color="auto" w:fill="auto"/>
            <w:tcMar>
              <w:top w:w="60" w:type="dxa"/>
              <w:left w:w="120" w:type="dxa"/>
              <w:bottom w:w="60" w:type="dxa"/>
              <w:right w:w="60" w:type="dxa"/>
            </w:tcMar>
            <w:vAlign w:val="center"/>
            <w:hideMark/>
          </w:tcPr>
          <w:p w:rsidR="00DE6DA2" w:rsidRPr="00AE28CC" w:rsidP="00DE6DA2">
            <w:pPr>
              <w:widowControl/>
              <w:wordWrap w:val="0"/>
              <w:spacing w:line="330" w:lineRule="atLeast"/>
              <w:jc w:val="left"/>
              <w:rPr>
                <w:rFonts w:ascii="宋体" w:hAnsi="宋体" w:cs="宋体"/>
                <w:kern w:val="0"/>
                <w:szCs w:val="21"/>
              </w:rPr>
            </w:pPr>
            <w:r w:rsidRPr="00AE28CC">
              <w:rPr>
                <w:rFonts w:ascii="宋体" w:hAnsi="宋体" w:cs="宋体"/>
                <w:kern w:val="0"/>
                <w:szCs w:val="21"/>
              </w:rPr>
              <w:t>不设上限</w:t>
            </w:r>
          </w:p>
        </w:tc>
      </w:tr>
      <w:tr w:rsidTr="00AE28CC">
        <w:tblPrEx>
          <w:tblW w:w="5000" w:type="pct"/>
          <w:tblCellMar>
            <w:top w:w="15" w:type="dxa"/>
            <w:left w:w="15" w:type="dxa"/>
            <w:bottom w:w="15" w:type="dxa"/>
            <w:right w:w="15" w:type="dxa"/>
          </w:tblCellMar>
          <w:tblLook w:val="04A0"/>
        </w:tblPrEx>
        <w:tc>
          <w:tcPr>
            <w:tcW w:w="2660" w:type="pct"/>
            <w:tcBorders>
              <w:top w:val="nil"/>
              <w:left w:val="nil"/>
              <w:bottom w:val="dotted" w:sz="6" w:space="0" w:color="DDDDDD"/>
              <w:right w:val="nil"/>
            </w:tcBorders>
            <w:shd w:val="clear" w:color="auto" w:fill="F4F4F4"/>
            <w:tcMar>
              <w:top w:w="60" w:type="dxa"/>
              <w:left w:w="120" w:type="dxa"/>
              <w:bottom w:w="60" w:type="dxa"/>
              <w:right w:w="60" w:type="dxa"/>
            </w:tcMar>
            <w:vAlign w:val="center"/>
            <w:hideMark/>
          </w:tcPr>
          <w:p w:rsidR="00DE6DA2" w:rsidRPr="00AE28CC" w:rsidP="00DE6DA2">
            <w:pPr>
              <w:widowControl/>
              <w:wordWrap w:val="0"/>
              <w:spacing w:line="330" w:lineRule="atLeast"/>
              <w:jc w:val="left"/>
              <w:rPr>
                <w:rFonts w:ascii="宋体" w:hAnsi="宋体" w:cs="宋体"/>
                <w:kern w:val="0"/>
                <w:szCs w:val="21"/>
              </w:rPr>
            </w:pPr>
            <w:r w:rsidRPr="00AE28CC">
              <w:rPr>
                <w:rFonts w:ascii="宋体" w:hAnsi="宋体" w:cs="宋体"/>
                <w:kern w:val="0"/>
                <w:szCs w:val="21"/>
              </w:rPr>
              <w:t>当天累计可申购的基金份额上限</w:t>
            </w:r>
          </w:p>
        </w:tc>
        <w:tc>
          <w:tcPr>
            <w:tcW w:w="2340" w:type="pct"/>
            <w:tcBorders>
              <w:top w:val="nil"/>
              <w:left w:val="nil"/>
              <w:bottom w:val="dotted" w:sz="6" w:space="0" w:color="DDDDDD"/>
              <w:right w:val="nil"/>
            </w:tcBorders>
            <w:shd w:val="clear" w:color="auto" w:fill="F4F4F4"/>
            <w:tcMar>
              <w:top w:w="60" w:type="dxa"/>
              <w:left w:w="120" w:type="dxa"/>
              <w:bottom w:w="60" w:type="dxa"/>
              <w:right w:w="60" w:type="dxa"/>
            </w:tcMar>
            <w:vAlign w:val="center"/>
            <w:hideMark/>
          </w:tcPr>
          <w:p w:rsidR="00DE6DA2" w:rsidRPr="00AE28CC" w:rsidP="00DE6DA2">
            <w:pPr>
              <w:widowControl/>
              <w:wordWrap w:val="0"/>
              <w:spacing w:line="330" w:lineRule="atLeast"/>
              <w:jc w:val="left"/>
              <w:rPr>
                <w:rFonts w:ascii="宋体" w:hAnsi="宋体" w:cs="宋体"/>
                <w:kern w:val="0"/>
                <w:szCs w:val="21"/>
              </w:rPr>
            </w:pPr>
            <w:r w:rsidRPr="00AE28CC">
              <w:rPr>
                <w:rFonts w:ascii="宋体" w:hAnsi="宋体" w:cs="宋体"/>
                <w:kern w:val="0"/>
                <w:szCs w:val="21"/>
              </w:rPr>
              <w:t>不设上限</w:t>
            </w:r>
          </w:p>
        </w:tc>
      </w:tr>
      <w:tr w:rsidTr="00AE28CC">
        <w:tblPrEx>
          <w:tblW w:w="5000" w:type="pct"/>
          <w:tblCellMar>
            <w:top w:w="15" w:type="dxa"/>
            <w:left w:w="15" w:type="dxa"/>
            <w:bottom w:w="15" w:type="dxa"/>
            <w:right w:w="15" w:type="dxa"/>
          </w:tblCellMar>
          <w:tblLook w:val="04A0"/>
        </w:tblPrEx>
        <w:tc>
          <w:tcPr>
            <w:tcW w:w="2660" w:type="pct"/>
            <w:tcBorders>
              <w:top w:val="nil"/>
              <w:left w:val="nil"/>
              <w:bottom w:val="dotted" w:sz="2" w:space="0" w:color="DDDDDD"/>
              <w:right w:val="nil"/>
            </w:tcBorders>
            <w:shd w:val="clear" w:color="auto" w:fill="auto"/>
            <w:tcMar>
              <w:top w:w="60" w:type="dxa"/>
              <w:left w:w="120" w:type="dxa"/>
              <w:bottom w:w="60" w:type="dxa"/>
              <w:right w:w="60" w:type="dxa"/>
            </w:tcMar>
            <w:vAlign w:val="center"/>
            <w:hideMark/>
          </w:tcPr>
          <w:p w:rsidR="00DE6DA2" w:rsidRPr="00AE28CC" w:rsidP="00DE6DA2">
            <w:pPr>
              <w:widowControl/>
              <w:wordWrap w:val="0"/>
              <w:spacing w:line="330" w:lineRule="atLeast"/>
              <w:jc w:val="left"/>
              <w:rPr>
                <w:rFonts w:ascii="宋体" w:hAnsi="宋体" w:cs="宋体"/>
                <w:kern w:val="0"/>
                <w:szCs w:val="21"/>
              </w:rPr>
            </w:pPr>
            <w:r w:rsidRPr="00AE28CC">
              <w:rPr>
                <w:rFonts w:ascii="宋体" w:hAnsi="宋体" w:cs="宋体"/>
                <w:kern w:val="0"/>
                <w:szCs w:val="21"/>
              </w:rPr>
              <w:t>当天累计可赎回的基金份额上限</w:t>
            </w:r>
          </w:p>
        </w:tc>
        <w:tc>
          <w:tcPr>
            <w:tcW w:w="2340" w:type="pct"/>
            <w:tcBorders>
              <w:top w:val="nil"/>
              <w:left w:val="nil"/>
              <w:bottom w:val="dotted" w:sz="2" w:space="0" w:color="DDDDDD"/>
              <w:right w:val="nil"/>
            </w:tcBorders>
            <w:shd w:val="clear" w:color="auto" w:fill="auto"/>
            <w:tcMar>
              <w:top w:w="60" w:type="dxa"/>
              <w:left w:w="120" w:type="dxa"/>
              <w:bottom w:w="60" w:type="dxa"/>
              <w:right w:w="60" w:type="dxa"/>
            </w:tcMar>
            <w:vAlign w:val="center"/>
            <w:hideMark/>
          </w:tcPr>
          <w:p w:rsidR="00DE6DA2" w:rsidRPr="00AE28CC" w:rsidP="00DE6DA2">
            <w:pPr>
              <w:widowControl/>
              <w:wordWrap w:val="0"/>
              <w:spacing w:line="330" w:lineRule="atLeast"/>
              <w:jc w:val="left"/>
              <w:rPr>
                <w:rFonts w:ascii="宋体" w:hAnsi="宋体" w:cs="宋体"/>
                <w:kern w:val="0"/>
                <w:szCs w:val="21"/>
              </w:rPr>
            </w:pPr>
            <w:r w:rsidRPr="00AE28CC">
              <w:rPr>
                <w:rFonts w:ascii="宋体" w:hAnsi="宋体" w:cs="宋体"/>
                <w:kern w:val="0"/>
                <w:szCs w:val="21"/>
              </w:rPr>
              <w:t>不设上限</w:t>
            </w:r>
          </w:p>
        </w:tc>
      </w:tr>
      <w:tr w:rsidTr="00AE28CC">
        <w:tblPrEx>
          <w:tblW w:w="5000" w:type="pct"/>
          <w:tblCellMar>
            <w:top w:w="15" w:type="dxa"/>
            <w:left w:w="15" w:type="dxa"/>
            <w:bottom w:w="15" w:type="dxa"/>
            <w:right w:w="15" w:type="dxa"/>
          </w:tblCellMar>
          <w:tblLook w:val="04A0"/>
        </w:tblPrEx>
        <w:tc>
          <w:tcPr>
            <w:tcW w:w="2660" w:type="pct"/>
            <w:tcBorders>
              <w:top w:val="nil"/>
              <w:left w:val="nil"/>
              <w:bottom w:val="dotted" w:sz="6" w:space="0" w:color="DDDDDD"/>
              <w:right w:val="nil"/>
            </w:tcBorders>
            <w:shd w:val="clear" w:color="auto" w:fill="F4F4F4"/>
            <w:tcMar>
              <w:top w:w="60" w:type="dxa"/>
              <w:left w:w="120" w:type="dxa"/>
              <w:bottom w:w="60" w:type="dxa"/>
              <w:right w:w="60" w:type="dxa"/>
            </w:tcMar>
            <w:vAlign w:val="center"/>
            <w:hideMark/>
          </w:tcPr>
          <w:p w:rsidR="00DE6DA2" w:rsidRPr="00AE28CC" w:rsidP="00DE6DA2">
            <w:pPr>
              <w:widowControl/>
              <w:wordWrap w:val="0"/>
              <w:spacing w:line="330" w:lineRule="atLeast"/>
              <w:jc w:val="left"/>
              <w:rPr>
                <w:rFonts w:ascii="宋体" w:hAnsi="宋体" w:cs="宋体"/>
                <w:kern w:val="0"/>
                <w:szCs w:val="21"/>
              </w:rPr>
            </w:pPr>
            <w:r w:rsidRPr="00AE28CC">
              <w:rPr>
                <w:rFonts w:ascii="宋体" w:hAnsi="宋体" w:cs="宋体"/>
                <w:kern w:val="0"/>
                <w:szCs w:val="21"/>
              </w:rPr>
              <w:t>单个证券账户当天累计可申购的基金份额上限</w:t>
            </w:r>
          </w:p>
        </w:tc>
        <w:tc>
          <w:tcPr>
            <w:tcW w:w="2340" w:type="pct"/>
            <w:tcBorders>
              <w:top w:val="nil"/>
              <w:left w:val="nil"/>
              <w:bottom w:val="dotted" w:sz="6" w:space="0" w:color="DDDDDD"/>
              <w:right w:val="nil"/>
            </w:tcBorders>
            <w:shd w:val="clear" w:color="auto" w:fill="F4F4F4"/>
            <w:tcMar>
              <w:top w:w="60" w:type="dxa"/>
              <w:left w:w="120" w:type="dxa"/>
              <w:bottom w:w="60" w:type="dxa"/>
              <w:right w:w="60" w:type="dxa"/>
            </w:tcMar>
            <w:vAlign w:val="center"/>
            <w:hideMark/>
          </w:tcPr>
          <w:p w:rsidR="00DE6DA2" w:rsidRPr="00AE28CC" w:rsidP="00DE6DA2">
            <w:pPr>
              <w:widowControl/>
              <w:wordWrap w:val="0"/>
              <w:spacing w:line="330" w:lineRule="atLeast"/>
              <w:jc w:val="left"/>
              <w:rPr>
                <w:rFonts w:ascii="宋体" w:hAnsi="宋体" w:cs="宋体"/>
                <w:kern w:val="0"/>
                <w:szCs w:val="21"/>
              </w:rPr>
            </w:pPr>
            <w:r w:rsidRPr="00AE28CC">
              <w:rPr>
                <w:rFonts w:ascii="宋体" w:hAnsi="宋体" w:cs="宋体"/>
                <w:kern w:val="0"/>
                <w:szCs w:val="21"/>
              </w:rPr>
              <w:t>不设上限</w:t>
            </w:r>
          </w:p>
        </w:tc>
      </w:tr>
      <w:tr w:rsidTr="00AE28CC">
        <w:tblPrEx>
          <w:tblW w:w="5000" w:type="pct"/>
          <w:tblCellMar>
            <w:top w:w="15" w:type="dxa"/>
            <w:left w:w="15" w:type="dxa"/>
            <w:bottom w:w="15" w:type="dxa"/>
            <w:right w:w="15" w:type="dxa"/>
          </w:tblCellMar>
          <w:tblLook w:val="04A0"/>
        </w:tblPrEx>
        <w:tc>
          <w:tcPr>
            <w:tcW w:w="2660" w:type="pct"/>
            <w:tcBorders>
              <w:top w:val="nil"/>
              <w:left w:val="nil"/>
              <w:bottom w:val="nil"/>
              <w:right w:val="nil"/>
            </w:tcBorders>
            <w:shd w:val="clear" w:color="auto" w:fill="auto"/>
            <w:tcMar>
              <w:top w:w="60" w:type="dxa"/>
              <w:left w:w="120" w:type="dxa"/>
              <w:bottom w:w="60" w:type="dxa"/>
              <w:right w:w="60" w:type="dxa"/>
            </w:tcMar>
            <w:vAlign w:val="center"/>
            <w:hideMark/>
          </w:tcPr>
          <w:p w:rsidR="00DE6DA2" w:rsidRPr="00AE28CC" w:rsidP="00DE6DA2">
            <w:pPr>
              <w:widowControl/>
              <w:wordWrap w:val="0"/>
              <w:spacing w:line="330" w:lineRule="atLeast"/>
              <w:jc w:val="left"/>
              <w:rPr>
                <w:rFonts w:ascii="宋体" w:hAnsi="宋体" w:cs="宋体"/>
                <w:kern w:val="0"/>
                <w:szCs w:val="21"/>
              </w:rPr>
            </w:pPr>
            <w:r w:rsidRPr="00AE28CC">
              <w:rPr>
                <w:rFonts w:ascii="宋体" w:hAnsi="宋体" w:cs="宋体"/>
                <w:kern w:val="0"/>
                <w:szCs w:val="21"/>
              </w:rPr>
              <w:t>单个证券账户当天累计可赎回的基金份额上限</w:t>
            </w:r>
          </w:p>
        </w:tc>
        <w:tc>
          <w:tcPr>
            <w:tcW w:w="2340" w:type="pct"/>
            <w:tcBorders>
              <w:top w:val="nil"/>
              <w:left w:val="nil"/>
              <w:bottom w:val="nil"/>
              <w:right w:val="nil"/>
            </w:tcBorders>
            <w:shd w:val="clear" w:color="auto" w:fill="auto"/>
            <w:tcMar>
              <w:top w:w="60" w:type="dxa"/>
              <w:left w:w="120" w:type="dxa"/>
              <w:bottom w:w="60" w:type="dxa"/>
              <w:right w:w="60" w:type="dxa"/>
            </w:tcMar>
            <w:vAlign w:val="center"/>
            <w:hideMark/>
          </w:tcPr>
          <w:p w:rsidR="00DE6DA2" w:rsidRPr="00AE28CC" w:rsidP="00DE6DA2">
            <w:pPr>
              <w:widowControl/>
              <w:wordWrap w:val="0"/>
              <w:spacing w:line="330" w:lineRule="atLeast"/>
              <w:jc w:val="left"/>
              <w:rPr>
                <w:rFonts w:ascii="宋体" w:hAnsi="宋体" w:cs="宋体"/>
                <w:kern w:val="0"/>
                <w:szCs w:val="21"/>
              </w:rPr>
            </w:pPr>
            <w:r w:rsidRPr="00AE28CC">
              <w:rPr>
                <w:rFonts w:ascii="宋体" w:hAnsi="宋体" w:cs="宋体"/>
                <w:kern w:val="0"/>
                <w:szCs w:val="21"/>
              </w:rPr>
              <w:t>不设上限</w:t>
            </w:r>
          </w:p>
        </w:tc>
      </w:tr>
    </w:tbl>
    <w:p w:rsidR="00DE6DA2" w:rsidRPr="00AE28CC" w:rsidP="00DE6DA2">
      <w:pPr>
        <w:widowControl/>
        <w:shd w:val="clear" w:color="auto" w:fill="FFFFFF"/>
        <w:spacing w:before="240" w:line="420" w:lineRule="atLeast"/>
        <w:jc w:val="left"/>
        <w:rPr>
          <w:rFonts w:ascii="微软雅黑" w:eastAsia="微软雅黑" w:hAnsi="微软雅黑" w:cs="宋体"/>
          <w:color w:val="333333"/>
          <w:kern w:val="0"/>
          <w:szCs w:val="21"/>
        </w:rPr>
      </w:pPr>
      <w:r w:rsidRPr="00AE28CC">
        <w:rPr>
          <w:rFonts w:ascii="微软雅黑" w:eastAsia="微软雅黑" w:hAnsi="微软雅黑" w:cs="宋体" w:hint="eastAsia"/>
          <w:color w:val="333333"/>
          <w:kern w:val="0"/>
          <w:szCs w:val="21"/>
        </w:rPr>
        <w:t>组合信息内容</w:t>
      </w:r>
    </w:p>
    <w:tbl>
      <w:tblPr>
        <w:tblW w:w="5000" w:type="pct"/>
        <w:tblCellMar>
          <w:top w:w="15" w:type="dxa"/>
          <w:left w:w="15" w:type="dxa"/>
          <w:bottom w:w="15" w:type="dxa"/>
          <w:right w:w="15" w:type="dxa"/>
        </w:tblCellMar>
        <w:tblLook w:val="04A0"/>
      </w:tblPr>
      <w:tblGrid>
        <w:gridCol w:w="686"/>
        <w:gridCol w:w="686"/>
        <w:gridCol w:w="686"/>
        <w:gridCol w:w="1029"/>
        <w:gridCol w:w="1456"/>
        <w:gridCol w:w="1456"/>
        <w:gridCol w:w="1019"/>
        <w:gridCol w:w="1019"/>
        <w:gridCol w:w="509"/>
      </w:tblGrid>
      <w:tr w:rsidTr="00AE28CC">
        <w:tblPrEx>
          <w:tblW w:w="5000" w:type="pct"/>
          <w:tblCellMar>
            <w:top w:w="15" w:type="dxa"/>
            <w:left w:w="15" w:type="dxa"/>
            <w:bottom w:w="15" w:type="dxa"/>
            <w:right w:w="15" w:type="dxa"/>
          </w:tblCellMar>
          <w:tblLook w:val="04A0"/>
        </w:tblPrEx>
        <w:trPr>
          <w:tblHeader/>
        </w:trPr>
        <w:tc>
          <w:tcPr>
            <w:tcW w:w="401" w:type="pct"/>
            <w:shd w:val="clear" w:color="auto" w:fill="E8E8E9"/>
            <w:tcMar>
              <w:top w:w="45" w:type="dxa"/>
              <w:left w:w="120" w:type="dxa"/>
              <w:bottom w:w="45" w:type="dxa"/>
              <w:right w:w="120" w:type="dxa"/>
            </w:tcMar>
            <w:vAlign w:val="center"/>
            <w:hideMark/>
          </w:tcPr>
          <w:p w:rsidR="00DE6DA2" w:rsidRPr="00AE28CC" w:rsidP="00DE6DA2">
            <w:pPr>
              <w:widowControl/>
              <w:wordWrap w:val="0"/>
              <w:jc w:val="center"/>
              <w:rPr>
                <w:rFonts w:ascii="宋体" w:hAnsi="宋体" w:cs="宋体"/>
                <w:color w:val="333333"/>
                <w:kern w:val="0"/>
                <w:szCs w:val="21"/>
              </w:rPr>
            </w:pPr>
            <w:r w:rsidRPr="00AE28CC">
              <w:rPr>
                <w:rFonts w:ascii="宋体" w:hAnsi="宋体" w:cs="宋体"/>
                <w:color w:val="333333"/>
                <w:kern w:val="0"/>
                <w:szCs w:val="21"/>
              </w:rPr>
              <w:t>证券代码</w:t>
            </w:r>
          </w:p>
        </w:tc>
        <w:tc>
          <w:tcPr>
            <w:tcW w:w="401" w:type="pct"/>
            <w:shd w:val="clear" w:color="auto" w:fill="E8E8E9"/>
            <w:tcMar>
              <w:top w:w="45" w:type="dxa"/>
              <w:left w:w="120" w:type="dxa"/>
              <w:bottom w:w="45" w:type="dxa"/>
              <w:right w:w="120" w:type="dxa"/>
            </w:tcMar>
            <w:vAlign w:val="center"/>
            <w:hideMark/>
          </w:tcPr>
          <w:p w:rsidR="00DE6DA2" w:rsidRPr="00AE28CC" w:rsidP="00DE6DA2">
            <w:pPr>
              <w:widowControl/>
              <w:wordWrap w:val="0"/>
              <w:jc w:val="center"/>
              <w:rPr>
                <w:rFonts w:ascii="宋体" w:hAnsi="宋体" w:cs="宋体"/>
                <w:color w:val="333333"/>
                <w:kern w:val="0"/>
                <w:szCs w:val="21"/>
              </w:rPr>
            </w:pPr>
            <w:r w:rsidRPr="00AE28CC">
              <w:rPr>
                <w:rFonts w:ascii="宋体" w:hAnsi="宋体" w:cs="宋体"/>
                <w:color w:val="333333"/>
                <w:kern w:val="0"/>
                <w:szCs w:val="21"/>
              </w:rPr>
              <w:t>证券简称</w:t>
            </w:r>
          </w:p>
        </w:tc>
        <w:tc>
          <w:tcPr>
            <w:tcW w:w="401" w:type="pct"/>
            <w:shd w:val="clear" w:color="auto" w:fill="E8E8E9"/>
            <w:tcMar>
              <w:top w:w="45" w:type="dxa"/>
              <w:left w:w="120" w:type="dxa"/>
              <w:bottom w:w="45" w:type="dxa"/>
              <w:right w:w="120" w:type="dxa"/>
            </w:tcMar>
            <w:vAlign w:val="center"/>
            <w:hideMark/>
          </w:tcPr>
          <w:p w:rsidR="00DE6DA2" w:rsidRPr="00AE28CC" w:rsidP="00DE6DA2">
            <w:pPr>
              <w:widowControl/>
              <w:wordWrap w:val="0"/>
              <w:jc w:val="center"/>
              <w:rPr>
                <w:rFonts w:ascii="宋体" w:hAnsi="宋体" w:cs="宋体"/>
                <w:color w:val="333333"/>
                <w:kern w:val="0"/>
                <w:szCs w:val="21"/>
              </w:rPr>
            </w:pPr>
            <w:r w:rsidRPr="00AE28CC">
              <w:rPr>
                <w:rFonts w:ascii="宋体" w:hAnsi="宋体" w:cs="宋体"/>
                <w:color w:val="333333"/>
                <w:kern w:val="0"/>
                <w:szCs w:val="21"/>
              </w:rPr>
              <w:t>股份数量</w:t>
            </w:r>
          </w:p>
        </w:tc>
        <w:tc>
          <w:tcPr>
            <w:tcW w:w="602" w:type="pct"/>
            <w:shd w:val="clear" w:color="auto" w:fill="E8E8E9"/>
            <w:tcMar>
              <w:top w:w="45" w:type="dxa"/>
              <w:left w:w="120" w:type="dxa"/>
              <w:bottom w:w="45" w:type="dxa"/>
              <w:right w:w="120" w:type="dxa"/>
            </w:tcMar>
            <w:vAlign w:val="center"/>
            <w:hideMark/>
          </w:tcPr>
          <w:p w:rsidR="00DE6DA2" w:rsidRPr="00AE28CC" w:rsidP="00DE6DA2">
            <w:pPr>
              <w:widowControl/>
              <w:wordWrap w:val="0"/>
              <w:jc w:val="center"/>
              <w:rPr>
                <w:rFonts w:ascii="宋体" w:hAnsi="宋体" w:cs="宋体"/>
                <w:color w:val="333333"/>
                <w:kern w:val="0"/>
                <w:szCs w:val="21"/>
              </w:rPr>
            </w:pPr>
            <w:r w:rsidRPr="00AE28CC">
              <w:rPr>
                <w:rFonts w:ascii="宋体" w:hAnsi="宋体" w:cs="宋体"/>
                <w:color w:val="333333"/>
                <w:kern w:val="0"/>
                <w:szCs w:val="21"/>
              </w:rPr>
              <w:t>现金替代标志</w:t>
            </w:r>
          </w:p>
        </w:tc>
        <w:tc>
          <w:tcPr>
            <w:tcW w:w="852" w:type="pct"/>
            <w:shd w:val="clear" w:color="auto" w:fill="E8E8E9"/>
            <w:tcMar>
              <w:top w:w="45" w:type="dxa"/>
              <w:left w:w="120" w:type="dxa"/>
              <w:bottom w:w="45" w:type="dxa"/>
              <w:right w:w="120" w:type="dxa"/>
            </w:tcMar>
            <w:vAlign w:val="center"/>
            <w:hideMark/>
          </w:tcPr>
          <w:p w:rsidR="00DE6DA2" w:rsidRPr="00AE28CC" w:rsidP="00DE6DA2">
            <w:pPr>
              <w:widowControl/>
              <w:wordWrap w:val="0"/>
              <w:jc w:val="center"/>
              <w:rPr>
                <w:rFonts w:ascii="宋体" w:hAnsi="宋体" w:cs="宋体"/>
                <w:color w:val="333333"/>
                <w:kern w:val="0"/>
                <w:szCs w:val="21"/>
              </w:rPr>
            </w:pPr>
            <w:r w:rsidRPr="00AE28CC">
              <w:rPr>
                <w:rFonts w:ascii="宋体" w:hAnsi="宋体" w:cs="宋体"/>
                <w:color w:val="333333"/>
                <w:kern w:val="0"/>
                <w:szCs w:val="21"/>
              </w:rPr>
              <w:t>申购现金替代保证金率</w:t>
            </w:r>
          </w:p>
        </w:tc>
        <w:tc>
          <w:tcPr>
            <w:tcW w:w="852" w:type="pct"/>
            <w:shd w:val="clear" w:color="auto" w:fill="E8E8E9"/>
            <w:tcMar>
              <w:top w:w="45" w:type="dxa"/>
              <w:left w:w="120" w:type="dxa"/>
              <w:bottom w:w="45" w:type="dxa"/>
              <w:right w:w="120" w:type="dxa"/>
            </w:tcMar>
            <w:vAlign w:val="center"/>
            <w:hideMark/>
          </w:tcPr>
          <w:p w:rsidR="00DE6DA2" w:rsidRPr="00AE28CC" w:rsidP="00DE6DA2">
            <w:pPr>
              <w:widowControl/>
              <w:wordWrap w:val="0"/>
              <w:jc w:val="center"/>
              <w:rPr>
                <w:rFonts w:ascii="宋体" w:hAnsi="宋体" w:cs="宋体"/>
                <w:color w:val="333333"/>
                <w:kern w:val="0"/>
                <w:szCs w:val="21"/>
              </w:rPr>
            </w:pPr>
            <w:r w:rsidRPr="00AE28CC">
              <w:rPr>
                <w:rFonts w:ascii="宋体" w:hAnsi="宋体" w:cs="宋体"/>
                <w:color w:val="333333"/>
                <w:kern w:val="0"/>
                <w:szCs w:val="21"/>
              </w:rPr>
              <w:t>赎回现金替代保证金率</w:t>
            </w:r>
          </w:p>
        </w:tc>
        <w:tc>
          <w:tcPr>
            <w:tcW w:w="596" w:type="pct"/>
            <w:shd w:val="clear" w:color="auto" w:fill="E8E8E9"/>
            <w:tcMar>
              <w:top w:w="45" w:type="dxa"/>
              <w:left w:w="120" w:type="dxa"/>
              <w:bottom w:w="45" w:type="dxa"/>
              <w:right w:w="120" w:type="dxa"/>
            </w:tcMar>
            <w:vAlign w:val="center"/>
            <w:hideMark/>
          </w:tcPr>
          <w:p w:rsidR="00DE6DA2" w:rsidRPr="00AE28CC" w:rsidP="00DE6DA2">
            <w:pPr>
              <w:widowControl/>
              <w:wordWrap w:val="0"/>
              <w:jc w:val="center"/>
              <w:rPr>
                <w:rFonts w:ascii="宋体" w:hAnsi="宋体" w:cs="宋体"/>
                <w:color w:val="333333"/>
                <w:kern w:val="0"/>
                <w:szCs w:val="21"/>
              </w:rPr>
            </w:pPr>
            <w:r w:rsidRPr="00AE28CC">
              <w:rPr>
                <w:rFonts w:ascii="宋体" w:hAnsi="宋体" w:cs="宋体"/>
                <w:color w:val="333333"/>
                <w:kern w:val="0"/>
                <w:szCs w:val="21"/>
              </w:rPr>
              <w:t>申购替代金额</w:t>
            </w:r>
          </w:p>
        </w:tc>
        <w:tc>
          <w:tcPr>
            <w:tcW w:w="596" w:type="pct"/>
            <w:shd w:val="clear" w:color="auto" w:fill="E8E8E9"/>
            <w:tcMar>
              <w:top w:w="45" w:type="dxa"/>
              <w:left w:w="120" w:type="dxa"/>
              <w:bottom w:w="45" w:type="dxa"/>
              <w:right w:w="120" w:type="dxa"/>
            </w:tcMar>
            <w:vAlign w:val="center"/>
            <w:hideMark/>
          </w:tcPr>
          <w:p w:rsidR="00DE6DA2" w:rsidRPr="00AE28CC" w:rsidP="00DE6DA2">
            <w:pPr>
              <w:widowControl/>
              <w:wordWrap w:val="0"/>
              <w:jc w:val="center"/>
              <w:rPr>
                <w:rFonts w:ascii="宋体" w:hAnsi="宋体" w:cs="宋体"/>
                <w:color w:val="333333"/>
                <w:kern w:val="0"/>
                <w:szCs w:val="21"/>
              </w:rPr>
            </w:pPr>
            <w:r w:rsidRPr="00AE28CC">
              <w:rPr>
                <w:rFonts w:ascii="宋体" w:hAnsi="宋体" w:cs="宋体"/>
                <w:color w:val="333333"/>
                <w:kern w:val="0"/>
                <w:szCs w:val="21"/>
              </w:rPr>
              <w:t>赎回替代金额</w:t>
            </w:r>
          </w:p>
        </w:tc>
        <w:tc>
          <w:tcPr>
            <w:tcW w:w="298" w:type="pct"/>
            <w:shd w:val="clear" w:color="auto" w:fill="E8E8E9"/>
            <w:tcMar>
              <w:top w:w="45" w:type="dxa"/>
              <w:left w:w="120" w:type="dxa"/>
              <w:bottom w:w="45" w:type="dxa"/>
              <w:right w:w="120" w:type="dxa"/>
            </w:tcMar>
            <w:vAlign w:val="center"/>
            <w:hideMark/>
          </w:tcPr>
          <w:p w:rsidR="00DE6DA2" w:rsidRPr="00AE28CC" w:rsidP="00DE6DA2">
            <w:pPr>
              <w:widowControl/>
              <w:wordWrap w:val="0"/>
              <w:jc w:val="center"/>
              <w:rPr>
                <w:rFonts w:ascii="宋体" w:hAnsi="宋体" w:cs="宋体"/>
                <w:color w:val="333333"/>
                <w:kern w:val="0"/>
                <w:szCs w:val="21"/>
              </w:rPr>
            </w:pPr>
            <w:r w:rsidRPr="00AE28CC">
              <w:rPr>
                <w:rFonts w:ascii="宋体" w:hAnsi="宋体" w:cs="宋体"/>
                <w:color w:val="333333"/>
                <w:kern w:val="0"/>
                <w:szCs w:val="21"/>
              </w:rPr>
              <w:t>挂牌市场</w:t>
            </w:r>
          </w:p>
        </w:tc>
      </w:tr>
      <w:tr w:rsidTr="00AE28CC">
        <w:tblPrEx>
          <w:tblW w:w="5000" w:type="pct"/>
          <w:tblCellMar>
            <w:top w:w="15" w:type="dxa"/>
            <w:left w:w="15" w:type="dxa"/>
            <w:bottom w:w="15" w:type="dxa"/>
            <w:right w:w="15" w:type="dxa"/>
          </w:tblCellMar>
          <w:tblLook w:val="04A0"/>
        </w:tblPrEx>
        <w:tc>
          <w:tcPr>
            <w:tcW w:w="401" w:type="pct"/>
            <w:tcBorders>
              <w:top w:val="nil"/>
              <w:left w:val="nil"/>
              <w:bottom w:val="nil"/>
              <w:right w:val="nil"/>
            </w:tcBorders>
            <w:shd w:val="clear" w:color="auto" w:fill="auto"/>
            <w:tcMar>
              <w:top w:w="60" w:type="dxa"/>
              <w:left w:w="120" w:type="dxa"/>
              <w:bottom w:w="60" w:type="dxa"/>
              <w:right w:w="60" w:type="dxa"/>
            </w:tcMar>
            <w:vAlign w:val="center"/>
            <w:hideMark/>
          </w:tcPr>
          <w:p w:rsidR="00DE6DA2" w:rsidRPr="00AE28CC" w:rsidP="00DE6DA2">
            <w:pPr>
              <w:widowControl/>
              <w:wordWrap w:val="0"/>
              <w:spacing w:line="330" w:lineRule="atLeast"/>
              <w:jc w:val="left"/>
              <w:rPr>
                <w:rFonts w:ascii="宋体" w:hAnsi="宋体" w:cs="宋体"/>
                <w:kern w:val="0"/>
                <w:szCs w:val="21"/>
              </w:rPr>
            </w:pPr>
            <w:r w:rsidRPr="00AE28CC">
              <w:rPr>
                <w:rFonts w:ascii="宋体" w:hAnsi="宋体" w:cs="宋体"/>
                <w:kern w:val="0"/>
                <w:szCs w:val="21"/>
              </w:rPr>
              <w:t>X</w:t>
            </w:r>
          </w:p>
        </w:tc>
        <w:tc>
          <w:tcPr>
            <w:tcW w:w="401" w:type="pct"/>
            <w:tcBorders>
              <w:top w:val="nil"/>
              <w:left w:val="nil"/>
              <w:bottom w:val="nil"/>
              <w:right w:val="nil"/>
            </w:tcBorders>
            <w:shd w:val="clear" w:color="auto" w:fill="auto"/>
            <w:tcMar>
              <w:top w:w="60" w:type="dxa"/>
              <w:left w:w="120" w:type="dxa"/>
              <w:bottom w:w="60" w:type="dxa"/>
              <w:right w:w="60" w:type="dxa"/>
            </w:tcMar>
            <w:vAlign w:val="center"/>
            <w:hideMark/>
          </w:tcPr>
          <w:p w:rsidR="00DE6DA2" w:rsidRPr="00AE28CC" w:rsidP="00DE6DA2">
            <w:pPr>
              <w:widowControl/>
              <w:wordWrap w:val="0"/>
              <w:spacing w:line="330" w:lineRule="atLeast"/>
              <w:jc w:val="left"/>
              <w:rPr>
                <w:rFonts w:ascii="宋体" w:hAnsi="宋体" w:cs="宋体"/>
                <w:kern w:val="0"/>
                <w:szCs w:val="21"/>
              </w:rPr>
            </w:pPr>
            <w:r w:rsidRPr="00AE28CC">
              <w:rPr>
                <w:rFonts w:ascii="宋体" w:hAnsi="宋体" w:cs="宋体"/>
                <w:kern w:val="0"/>
                <w:szCs w:val="21"/>
              </w:rPr>
              <w:t>X</w:t>
            </w:r>
          </w:p>
        </w:tc>
        <w:tc>
          <w:tcPr>
            <w:tcW w:w="401" w:type="pct"/>
            <w:tcBorders>
              <w:top w:val="nil"/>
              <w:left w:val="nil"/>
              <w:bottom w:val="nil"/>
              <w:right w:val="nil"/>
            </w:tcBorders>
            <w:shd w:val="clear" w:color="auto" w:fill="auto"/>
            <w:tcMar>
              <w:top w:w="60" w:type="dxa"/>
              <w:left w:w="120" w:type="dxa"/>
              <w:bottom w:w="60" w:type="dxa"/>
              <w:right w:w="60" w:type="dxa"/>
            </w:tcMar>
            <w:vAlign w:val="center"/>
            <w:hideMark/>
          </w:tcPr>
          <w:p w:rsidR="00DE6DA2" w:rsidRPr="00AE28CC" w:rsidP="00DE6DA2">
            <w:pPr>
              <w:widowControl/>
              <w:wordWrap w:val="0"/>
              <w:spacing w:line="330" w:lineRule="atLeast"/>
              <w:jc w:val="left"/>
              <w:rPr>
                <w:rFonts w:ascii="宋体" w:hAnsi="宋体" w:cs="宋体"/>
                <w:kern w:val="0"/>
                <w:szCs w:val="21"/>
              </w:rPr>
            </w:pPr>
            <w:r w:rsidRPr="00AE28CC">
              <w:rPr>
                <w:rFonts w:ascii="宋体" w:hAnsi="宋体" w:cs="宋体"/>
                <w:kern w:val="0"/>
                <w:szCs w:val="21"/>
              </w:rPr>
              <w:t>X</w:t>
            </w:r>
          </w:p>
        </w:tc>
        <w:tc>
          <w:tcPr>
            <w:tcW w:w="602" w:type="pct"/>
            <w:tcBorders>
              <w:top w:val="nil"/>
              <w:left w:val="nil"/>
              <w:bottom w:val="nil"/>
              <w:right w:val="nil"/>
            </w:tcBorders>
            <w:shd w:val="clear" w:color="auto" w:fill="auto"/>
            <w:tcMar>
              <w:top w:w="60" w:type="dxa"/>
              <w:left w:w="120" w:type="dxa"/>
              <w:bottom w:w="60" w:type="dxa"/>
              <w:right w:w="60" w:type="dxa"/>
            </w:tcMar>
            <w:vAlign w:val="center"/>
            <w:hideMark/>
          </w:tcPr>
          <w:p w:rsidR="00DE6DA2" w:rsidRPr="00AE28CC" w:rsidP="00DE6DA2">
            <w:pPr>
              <w:widowControl/>
              <w:wordWrap w:val="0"/>
              <w:spacing w:line="330" w:lineRule="atLeast"/>
              <w:jc w:val="left"/>
              <w:rPr>
                <w:rFonts w:ascii="宋体" w:hAnsi="宋体" w:cs="宋体"/>
                <w:kern w:val="0"/>
                <w:szCs w:val="21"/>
              </w:rPr>
            </w:pPr>
            <w:r w:rsidRPr="00AE28CC">
              <w:rPr>
                <w:rFonts w:ascii="宋体" w:hAnsi="宋体" w:cs="宋体"/>
                <w:kern w:val="0"/>
                <w:szCs w:val="21"/>
              </w:rPr>
              <w:t>X</w:t>
            </w:r>
          </w:p>
        </w:tc>
        <w:tc>
          <w:tcPr>
            <w:tcW w:w="852" w:type="pct"/>
            <w:tcBorders>
              <w:top w:val="nil"/>
              <w:left w:val="nil"/>
              <w:bottom w:val="nil"/>
              <w:right w:val="nil"/>
            </w:tcBorders>
            <w:shd w:val="clear" w:color="auto" w:fill="auto"/>
            <w:tcMar>
              <w:top w:w="60" w:type="dxa"/>
              <w:left w:w="120" w:type="dxa"/>
              <w:bottom w:w="60" w:type="dxa"/>
              <w:right w:w="60" w:type="dxa"/>
            </w:tcMar>
            <w:vAlign w:val="center"/>
            <w:hideMark/>
          </w:tcPr>
          <w:p w:rsidR="00DE6DA2" w:rsidRPr="00AE28CC" w:rsidP="00DE6DA2">
            <w:pPr>
              <w:widowControl/>
              <w:wordWrap w:val="0"/>
              <w:spacing w:line="330" w:lineRule="atLeast"/>
              <w:jc w:val="left"/>
              <w:rPr>
                <w:rFonts w:ascii="宋体" w:hAnsi="宋体" w:cs="宋体"/>
                <w:kern w:val="0"/>
                <w:szCs w:val="21"/>
              </w:rPr>
            </w:pPr>
            <w:r w:rsidRPr="00AE28CC">
              <w:rPr>
                <w:rFonts w:ascii="宋体" w:hAnsi="宋体" w:cs="宋体"/>
                <w:kern w:val="0"/>
                <w:szCs w:val="21"/>
              </w:rPr>
              <w:t>X</w:t>
            </w:r>
          </w:p>
        </w:tc>
        <w:tc>
          <w:tcPr>
            <w:tcW w:w="852" w:type="pct"/>
            <w:tcBorders>
              <w:top w:val="nil"/>
              <w:left w:val="nil"/>
              <w:bottom w:val="nil"/>
              <w:right w:val="nil"/>
            </w:tcBorders>
            <w:shd w:val="clear" w:color="auto" w:fill="auto"/>
            <w:tcMar>
              <w:top w:w="60" w:type="dxa"/>
              <w:left w:w="120" w:type="dxa"/>
              <w:bottom w:w="60" w:type="dxa"/>
              <w:right w:w="60" w:type="dxa"/>
            </w:tcMar>
            <w:vAlign w:val="center"/>
            <w:hideMark/>
          </w:tcPr>
          <w:p w:rsidR="00DE6DA2" w:rsidRPr="00AE28CC" w:rsidP="00DE6DA2">
            <w:pPr>
              <w:widowControl/>
              <w:wordWrap w:val="0"/>
              <w:spacing w:line="330" w:lineRule="atLeast"/>
              <w:jc w:val="left"/>
              <w:rPr>
                <w:rFonts w:ascii="宋体" w:hAnsi="宋体" w:cs="宋体"/>
                <w:kern w:val="0"/>
                <w:szCs w:val="21"/>
              </w:rPr>
            </w:pPr>
            <w:r w:rsidRPr="00AE28CC">
              <w:rPr>
                <w:rFonts w:ascii="宋体" w:hAnsi="宋体" w:cs="宋体"/>
                <w:kern w:val="0"/>
                <w:szCs w:val="21"/>
              </w:rPr>
              <w:t>X</w:t>
            </w:r>
          </w:p>
        </w:tc>
        <w:tc>
          <w:tcPr>
            <w:tcW w:w="596" w:type="pct"/>
            <w:tcBorders>
              <w:top w:val="nil"/>
              <w:left w:val="nil"/>
              <w:bottom w:val="nil"/>
              <w:right w:val="nil"/>
            </w:tcBorders>
            <w:shd w:val="clear" w:color="auto" w:fill="auto"/>
            <w:tcMar>
              <w:top w:w="60" w:type="dxa"/>
              <w:left w:w="120" w:type="dxa"/>
              <w:bottom w:w="60" w:type="dxa"/>
              <w:right w:w="60" w:type="dxa"/>
            </w:tcMar>
            <w:vAlign w:val="center"/>
            <w:hideMark/>
          </w:tcPr>
          <w:p w:rsidR="00DE6DA2" w:rsidRPr="00AE28CC" w:rsidP="00DE6DA2">
            <w:pPr>
              <w:widowControl/>
              <w:wordWrap w:val="0"/>
              <w:spacing w:line="330" w:lineRule="atLeast"/>
              <w:jc w:val="left"/>
              <w:rPr>
                <w:rFonts w:ascii="宋体" w:hAnsi="宋体" w:cs="宋体"/>
                <w:kern w:val="0"/>
                <w:szCs w:val="21"/>
              </w:rPr>
            </w:pPr>
            <w:r w:rsidRPr="00AE28CC">
              <w:rPr>
                <w:rFonts w:ascii="宋体" w:hAnsi="宋体" w:cs="宋体"/>
                <w:kern w:val="0"/>
                <w:szCs w:val="21"/>
              </w:rPr>
              <w:t>X</w:t>
            </w:r>
          </w:p>
        </w:tc>
        <w:tc>
          <w:tcPr>
            <w:tcW w:w="596" w:type="pct"/>
            <w:tcBorders>
              <w:top w:val="nil"/>
              <w:left w:val="nil"/>
              <w:bottom w:val="nil"/>
              <w:right w:val="nil"/>
            </w:tcBorders>
            <w:shd w:val="clear" w:color="auto" w:fill="auto"/>
            <w:tcMar>
              <w:top w:w="60" w:type="dxa"/>
              <w:left w:w="120" w:type="dxa"/>
              <w:bottom w:w="60" w:type="dxa"/>
              <w:right w:w="60" w:type="dxa"/>
            </w:tcMar>
            <w:vAlign w:val="center"/>
            <w:hideMark/>
          </w:tcPr>
          <w:p w:rsidR="00DE6DA2" w:rsidRPr="00AE28CC" w:rsidP="00DE6DA2">
            <w:pPr>
              <w:widowControl/>
              <w:wordWrap w:val="0"/>
              <w:spacing w:line="330" w:lineRule="atLeast"/>
              <w:jc w:val="left"/>
              <w:rPr>
                <w:rFonts w:ascii="宋体" w:hAnsi="宋体" w:cs="宋体"/>
                <w:kern w:val="0"/>
                <w:szCs w:val="21"/>
              </w:rPr>
            </w:pPr>
            <w:r w:rsidRPr="00AE28CC">
              <w:rPr>
                <w:rFonts w:ascii="宋体" w:hAnsi="宋体" w:cs="宋体"/>
                <w:kern w:val="0"/>
                <w:szCs w:val="21"/>
              </w:rPr>
              <w:t>X</w:t>
            </w:r>
          </w:p>
        </w:tc>
        <w:tc>
          <w:tcPr>
            <w:tcW w:w="298" w:type="pct"/>
            <w:tcBorders>
              <w:top w:val="nil"/>
              <w:left w:val="nil"/>
              <w:bottom w:val="nil"/>
              <w:right w:val="nil"/>
            </w:tcBorders>
            <w:shd w:val="clear" w:color="auto" w:fill="auto"/>
            <w:tcMar>
              <w:top w:w="60" w:type="dxa"/>
              <w:left w:w="120" w:type="dxa"/>
              <w:bottom w:w="60" w:type="dxa"/>
              <w:right w:w="60" w:type="dxa"/>
            </w:tcMar>
            <w:vAlign w:val="center"/>
            <w:hideMark/>
          </w:tcPr>
          <w:p w:rsidR="00DE6DA2" w:rsidRPr="00AE28CC" w:rsidP="00DE6DA2">
            <w:pPr>
              <w:widowControl/>
              <w:wordWrap w:val="0"/>
              <w:spacing w:line="330" w:lineRule="atLeast"/>
              <w:jc w:val="left"/>
              <w:rPr>
                <w:rFonts w:ascii="宋体" w:hAnsi="宋体" w:cs="宋体"/>
                <w:kern w:val="0"/>
                <w:szCs w:val="21"/>
              </w:rPr>
            </w:pPr>
            <w:r w:rsidRPr="00AE28CC">
              <w:rPr>
                <w:rFonts w:ascii="宋体" w:hAnsi="宋体" w:cs="宋体"/>
                <w:kern w:val="0"/>
                <w:szCs w:val="21"/>
              </w:rPr>
              <w:t>X</w:t>
            </w:r>
          </w:p>
        </w:tc>
      </w:tr>
    </w:tbl>
    <w:p w:rsidR="00947D74"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hint="eastAsia"/>
          <w:color w:val="000000" w:themeColor="text1"/>
          <w:szCs w:val="21"/>
        </w:rPr>
        <w:t>以上申购赎回清单仅为示例，具体以实际公布的为准。</w:t>
      </w:r>
    </w:p>
    <w:p w:rsidR="001208EC"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p>
    <w:p w:rsidR="00E97052"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（八）拒绝或暂停申购的情形及处理方式</w:t>
      </w:r>
    </w:p>
    <w:p w:rsidR="00ED22EE"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发生下列情况时，基金管理人可拒绝或暂停接受投资人的申购申请：</w:t>
      </w:r>
    </w:p>
    <w:p w:rsidR="00ED22EE"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1、因不可抗力导致基金无法正常运作或无法接受申购。</w:t>
      </w:r>
    </w:p>
    <w:p w:rsidR="00ED22EE"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2、因特殊情况（包括但不限于相关证券交易所依法决定临时停市或交易时间非正常停市），基金管理人无法计算当日基金资产净值或无法进行证券交易。</w:t>
      </w:r>
    </w:p>
    <w:p w:rsidR="00ED22EE"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3、发生基金合同规定的暂停基金资产估值情况。</w:t>
      </w:r>
    </w:p>
    <w:p w:rsidR="00ED22EE"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4、因异常情况，申购赎回清单无法编制、编制错误或无法公布，或基金管理人在开市后发现基金份额参考净值计算错误。</w:t>
      </w:r>
    </w:p>
    <w:p w:rsidR="00ED22EE"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5、基金管理人无法按时公布基金份额净值。</w:t>
      </w:r>
    </w:p>
    <w:p w:rsidR="00ED22EE"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6、相关证券交易所、申购赎回代理券商、登记结算机构等因异常情况无法办理申购。本项所称异常情况指无法预见并不可控制的情形，包括但不限于系统故障、网络故障、通讯故障、电力故障、数据错误等。</w:t>
      </w:r>
    </w:p>
    <w:p w:rsidR="0038516F"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7、接受某笔或某些申购申请可能会影响或损害现有基金份额持有人利益时。</w:t>
      </w:r>
    </w:p>
    <w:p w:rsidR="00ED22EE"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8、基金管理人可根据市场情况在申购赎回清单中设置申购份额上限，如果一笔新的申购申请被确认成功，会使本基金当日申购份额超过申购赎回清单中规定的申购份额上限时，该笔申购申请将被拒绝。</w:t>
      </w:r>
    </w:p>
    <w:p w:rsidR="00ED22EE"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9、基金所投资的投资品种的估值出现重大转变时。</w:t>
      </w:r>
    </w:p>
    <w:p w:rsidR="00ED22EE"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10、当一笔新的申购申请被确认成功，使本基金总规模超过基金管理人规定的本基金总规模上限时；或使本基金单日申购份额或净申购比例超过基金管理人规定的当日申购份额或净申购比例上限时；或该投资人累计持有的份额超过单个投资人累计持有的份额上限时；或该投资人当日申购份额超过单个投资人单日或单笔申购份额上限时。</w:t>
      </w:r>
    </w:p>
    <w:p w:rsidR="00ED22EE"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11、当前一估值日基金资产净值50%以上的资产出现无可参考的活跃市场价格且采用估值技术仍导致公允价值存在重大不确定性时，经与基金托管人协商确认后，基金管理人应当暂停接受基金申购申请。</w:t>
      </w:r>
    </w:p>
    <w:p w:rsidR="00ED22EE"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12、其他损害现有基金份额持有人利益的情形。</w:t>
      </w:r>
    </w:p>
    <w:p w:rsidR="00ED22EE"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13、法律法规规定、中国证监会或深圳证券交易所认定的其他情形。</w:t>
      </w:r>
    </w:p>
    <w:p w:rsidR="007C464E"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发生除上述第7、8项以外的暂停申购情形且基金管理人决定暂停接受投资人申购申请时，基金管理人应当根据有关规定在指定媒介上刊登暂停申购公告。如果投资人的申购申请被拒绝，被拒绝的申购款项本金将退还给投资人。在暂停申购的情况消除时，基金管理人应及时恢复申购业务的办理。</w:t>
      </w:r>
    </w:p>
    <w:p w:rsidR="000D7661"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（九）暂停赎回或延缓支付赎回</w:t>
      </w:r>
      <w:r w:rsidRPr="001F61B7" w:rsidR="007C464E">
        <w:rPr>
          <w:rFonts w:asciiTheme="minorEastAsia" w:eastAsiaTheme="minorEastAsia" w:hAnsiTheme="minorEastAsia"/>
          <w:color w:val="000000" w:themeColor="text1"/>
          <w:szCs w:val="21"/>
        </w:rPr>
        <w:t>对价</w:t>
      </w:r>
      <w:r w:rsidRPr="001F61B7">
        <w:rPr>
          <w:rFonts w:asciiTheme="minorEastAsia" w:eastAsiaTheme="minorEastAsia" w:hAnsiTheme="minorEastAsia"/>
          <w:color w:val="000000" w:themeColor="text1"/>
          <w:szCs w:val="21"/>
        </w:rPr>
        <w:t>的情形</w:t>
      </w:r>
    </w:p>
    <w:p w:rsidR="007C464E"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发生下列情形时，基金管理人可暂停接受投资人的赎回申请或延缓支付赎回对价：</w:t>
      </w:r>
    </w:p>
    <w:p w:rsidR="007C464E"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1、因不可抗力导致基金无法正常运作或无法接受赎回。</w:t>
      </w:r>
    </w:p>
    <w:p w:rsidR="007C464E"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2、因特殊情况（包括但不限于相关证券交易所依法决定临时停市或交易时间非正常停市），基金管理人无法计算当日基金资产净值或无法进行证券交易。</w:t>
      </w:r>
    </w:p>
    <w:p w:rsidR="007C464E"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3、发生基金合同规定的暂停基金资产估值情况。</w:t>
      </w:r>
    </w:p>
    <w:p w:rsidR="007C464E"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4、因异常情况，申购赎回清单无法编制、编制错误或无法公布，或基金管理人在开市后发现基金份额参考净值计算错误。</w:t>
      </w:r>
    </w:p>
    <w:p w:rsidR="007C464E"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5、基金管理人无法按时公布基金份额净值。</w:t>
      </w:r>
    </w:p>
    <w:p w:rsidR="007C464E"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6、相关证券交易所、申购赎回代理券商、登记结算机构等因异常情况无法办理赎回。本项所称异常情况指无法预见并不可控制的情形，包括但不限于系统故障、网络故障、通讯故障、电力故障、数据错误等。</w:t>
      </w:r>
    </w:p>
    <w:p w:rsidR="007C464E"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7、基金管理人可根据市场情况在申购赎回清单中设置赎回份额上限，如果一笔新的赎回申请被确认成功，会使本基金当日赎回份额超过申购赎回清单中规定的赎回份额上限时，该笔赎回申请将被拒绝。</w:t>
      </w:r>
    </w:p>
    <w:p w:rsidR="007C464E"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8、基金所投资的投资品种的估值出现重大转变时。</w:t>
      </w:r>
    </w:p>
    <w:p w:rsidR="007C464E"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9、出现基金管理人认为属于紧急事故的情况（包括但不限于占基金相当比例的投资品种因停牌或其它客观情况无法变现），导致基金管理人不能出售或评估基金资产。</w:t>
      </w:r>
    </w:p>
    <w:p w:rsidR="007C464E"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10、发生继续赎回申请将损害现有基金份额持有人利益时，可暂停接受基金份额持有人的赎回申请。</w:t>
      </w:r>
    </w:p>
    <w:p w:rsidR="007C464E"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11、当前一估值日基金资产净值50%以上的资产出现无可参考的活跃市场价格且采用估值技术仍导致公允价值存在重大不确定性时，经与基金托管人协商确认后，基金管理人应当延缓支付赎回对价或暂停接受基金赎回申请。</w:t>
      </w:r>
    </w:p>
    <w:p w:rsidR="007C464E"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12、法律法规规定、中国证监会或深圳证券交易所认定的其他情形。</w:t>
      </w:r>
    </w:p>
    <w:p w:rsidR="007C464E"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发生除上述第7项以外的情形且基金管理人决定暂停赎回或延缓支付赎回对价时，基金管理人应报中国证监会备案。在暂停赎回的情况消除时，基金管理人应及时恢复赎回业务的办理。</w:t>
      </w:r>
    </w:p>
    <w:p w:rsidR="00A364EF"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（十）基金的非交易过户、冻结及解冻</w:t>
      </w:r>
    </w:p>
    <w:p w:rsidR="007C464E"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登记结算机构可依据其业务规则，受理基金份额的非交易过户、冻结与解冻等业务，并收取一定的手续费用。</w:t>
      </w:r>
    </w:p>
    <w:p w:rsidR="00A364EF"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（十一）基金的质押</w:t>
      </w:r>
    </w:p>
    <w:p w:rsidR="007C464E"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在条件许可的情况下，登记结算机构可依据相关法律法规及其业务规则，办理基金份额质押业务，并可收取一定的手续费。</w:t>
      </w:r>
    </w:p>
    <w:p w:rsidR="00A364EF"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（十二）集合申购和其他服务</w:t>
      </w:r>
    </w:p>
    <w:p w:rsidR="007C464E"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1、在条件允许时，基金管理人可开放集合申购，即允许多个投资人集合其持有的组合证券，共同构成最小申购、赎回单位或其整数倍，进行申购。在对基金份额持有人利益无实质不利影响的前提下，基金管理人有权制定集合申购业务的相关规则。</w:t>
      </w:r>
    </w:p>
    <w:p w:rsidR="007C464E"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2、在不违反法律法规及对基金份额持有人利益无实质不利影响的前提下，基金管理人也可采取其他合理的申购赎回方式，并于新的申购赎回方式开始执行前</w:t>
      </w:r>
      <w:r w:rsidRPr="001F61B7" w:rsidR="007A05CD">
        <w:rPr>
          <w:rFonts w:asciiTheme="minorEastAsia" w:eastAsiaTheme="minorEastAsia" w:hAnsiTheme="minorEastAsia"/>
          <w:color w:val="000000" w:themeColor="text1"/>
          <w:szCs w:val="21"/>
        </w:rPr>
        <w:t>根据相关法规规定进行信息披露</w:t>
      </w:r>
      <w:r w:rsidRPr="001F61B7">
        <w:rPr>
          <w:rFonts w:asciiTheme="minorEastAsia" w:eastAsiaTheme="minorEastAsia" w:hAnsiTheme="minorEastAsia"/>
          <w:color w:val="000000" w:themeColor="text1"/>
          <w:szCs w:val="21"/>
        </w:rPr>
        <w:t>。</w:t>
      </w:r>
    </w:p>
    <w:p w:rsidR="007C464E"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3、基金管理人可以根据具体情况开通本基金的场外申购赎回等业务，场外申购赎回的具体办理方式等相关事项届时将</w:t>
      </w:r>
      <w:r w:rsidRPr="001F61B7" w:rsidR="007A05CD">
        <w:rPr>
          <w:rFonts w:asciiTheme="minorEastAsia" w:eastAsiaTheme="minorEastAsia" w:hAnsiTheme="minorEastAsia"/>
          <w:color w:val="000000" w:themeColor="text1"/>
          <w:szCs w:val="21"/>
        </w:rPr>
        <w:t>根据相关法规规定进行信息披露</w:t>
      </w:r>
      <w:r w:rsidRPr="001F61B7">
        <w:rPr>
          <w:rFonts w:asciiTheme="minorEastAsia" w:eastAsiaTheme="minorEastAsia" w:hAnsiTheme="minorEastAsia"/>
          <w:color w:val="000000" w:themeColor="text1"/>
          <w:szCs w:val="21"/>
        </w:rPr>
        <w:t>。</w:t>
      </w:r>
    </w:p>
    <w:p w:rsidR="007C464E"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4、基金管理人可以在不违反法律法规规定且对基金份额持有人无实质性不利影响的前提下，调整基金申购赎回方式或申购赎回对价组成，并</w:t>
      </w:r>
      <w:r w:rsidRPr="001F61B7" w:rsidR="007A05CD">
        <w:rPr>
          <w:rFonts w:asciiTheme="minorEastAsia" w:eastAsiaTheme="minorEastAsia" w:hAnsiTheme="minorEastAsia"/>
          <w:color w:val="000000" w:themeColor="text1"/>
          <w:szCs w:val="21"/>
        </w:rPr>
        <w:t>根据相关法规规定进行信息披露</w:t>
      </w:r>
      <w:r w:rsidRPr="001F61B7">
        <w:rPr>
          <w:rFonts w:asciiTheme="minorEastAsia" w:eastAsiaTheme="minorEastAsia" w:hAnsiTheme="minorEastAsia"/>
          <w:color w:val="000000" w:themeColor="text1"/>
          <w:szCs w:val="21"/>
        </w:rPr>
        <w:t>。</w:t>
      </w:r>
    </w:p>
    <w:p w:rsidR="007C464E"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5、基金管理人指定的代理机构可依据基金合同开展其他服务，双方需签订书面委托代理协议。</w:t>
      </w:r>
    </w:p>
    <w:p w:rsidR="00BA4B87"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color w:val="000000" w:themeColor="text1"/>
          <w:szCs w:val="21"/>
        </w:rPr>
        <w:t>（十三）</w:t>
      </w:r>
      <w:r w:rsidRPr="001F61B7" w:rsidR="007C464E">
        <w:rPr>
          <w:rFonts w:asciiTheme="minorEastAsia" w:eastAsiaTheme="minorEastAsia" w:hAnsiTheme="minorEastAsia"/>
          <w:color w:val="000000" w:themeColor="text1"/>
          <w:szCs w:val="21"/>
        </w:rPr>
        <w:t>基金管理人可在法律法规允许的范围内，在对基金份额持有人无实质性不利影响的前提下，根据市场情况对上述申购与赎回的安排进行补充和调整并</w:t>
      </w:r>
      <w:r w:rsidRPr="001F61B7" w:rsidR="007A05CD">
        <w:rPr>
          <w:rFonts w:asciiTheme="minorEastAsia" w:eastAsiaTheme="minorEastAsia" w:hAnsiTheme="minorEastAsia"/>
          <w:color w:val="000000" w:themeColor="text1"/>
          <w:szCs w:val="21"/>
        </w:rPr>
        <w:t>根据相关法规规定进行信息披露</w:t>
      </w:r>
      <w:r w:rsidRPr="001F61B7" w:rsidR="007C464E">
        <w:rPr>
          <w:rFonts w:asciiTheme="minorEastAsia" w:eastAsiaTheme="minorEastAsia" w:hAnsiTheme="minorEastAsia"/>
          <w:color w:val="000000" w:themeColor="text1"/>
          <w:szCs w:val="21"/>
        </w:rPr>
        <w:t>。</w:t>
      </w:r>
    </w:p>
    <w:p w:rsidR="00BA4B87" w:rsidRPr="001F61B7" w:rsidP="00C42A18">
      <w:pPr>
        <w:pStyle w:val="Heading1"/>
        <w:tabs>
          <w:tab w:val="left" w:pos="3544"/>
        </w:tabs>
        <w:spacing w:before="317" w:after="317" w:line="320" w:lineRule="exact"/>
        <w:ind w:firstLine="600"/>
        <w:rPr>
          <w:rFonts w:asciiTheme="minorEastAsia" w:eastAsiaTheme="minorEastAsia" w:hAnsiTheme="minorEastAsia"/>
          <w:bCs/>
          <w:color w:val="000000" w:themeColor="text1"/>
          <w:kern w:val="44"/>
          <w:sz w:val="28"/>
          <w:szCs w:val="44"/>
        </w:rPr>
      </w:pPr>
      <w:r w:rsidRPr="001F61B7">
        <w:rPr>
          <w:rFonts w:asciiTheme="minorEastAsia" w:eastAsiaTheme="minorEastAsia" w:hAnsiTheme="minorEastAsia"/>
          <w:color w:val="000000" w:themeColor="text1"/>
          <w:sz w:val="30"/>
        </w:rPr>
        <w:br w:type="column"/>
      </w:r>
      <w:bookmarkStart w:id="36" w:name="_Toc332373519"/>
      <w:bookmarkStart w:id="37" w:name="_Toc80796274"/>
      <w:r w:rsidRPr="001F61B7">
        <w:rPr>
          <w:rFonts w:asciiTheme="minorEastAsia" w:eastAsiaTheme="minorEastAsia" w:hAnsiTheme="minorEastAsia"/>
          <w:color w:val="000000" w:themeColor="text1"/>
          <w:sz w:val="30"/>
        </w:rPr>
        <w:t>十、</w:t>
      </w:r>
      <w:r w:rsidRPr="001F61B7" w:rsidR="000D7661">
        <w:rPr>
          <w:rFonts w:asciiTheme="minorEastAsia" w:eastAsiaTheme="minorEastAsia" w:hAnsiTheme="minorEastAsia"/>
          <w:color w:val="000000" w:themeColor="text1"/>
          <w:sz w:val="30"/>
        </w:rPr>
        <w:t>基金份额的折算</w:t>
      </w:r>
      <w:bookmarkEnd w:id="36"/>
      <w:bookmarkEnd w:id="37"/>
    </w:p>
    <w:p w:rsidR="00263CED"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bookmarkStart w:id="38" w:name="_Toc332373520"/>
      <w:bookmarkStart w:id="39" w:name="_Toc79392621"/>
      <w:r w:rsidRPr="001F61B7">
        <w:rPr>
          <w:rStyle w:val="da"/>
          <w:rFonts w:asciiTheme="minorEastAsia" w:eastAsiaTheme="minorEastAsia" w:hAnsiTheme="minorEastAsia"/>
          <w:color w:val="000000" w:themeColor="text1"/>
        </w:rPr>
        <w:t>基金份额折算是指基金管理人根据基金运作的需要，在基金资产净值不变的前提下，按照一定比例调整基金份额总额及基金份额净值。基金份额折算由基金管理人向登记结算机构申请办理，并由登记结算机构进行基金份额的变更登记。</w:t>
      </w:r>
    </w:p>
    <w:p w:rsidR="00263CED"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本基金存续期间，基金管理人可根据实际需要对基金份额进行折算，并</w:t>
      </w:r>
      <w:r w:rsidRPr="001F61B7" w:rsidR="00FE0CE5">
        <w:rPr>
          <w:rStyle w:val="da"/>
          <w:rFonts w:asciiTheme="minorEastAsia" w:eastAsiaTheme="minorEastAsia" w:hAnsiTheme="minorEastAsia"/>
          <w:color w:val="000000" w:themeColor="text1"/>
        </w:rPr>
        <w:t>根据相关法规规定进行信息披露</w:t>
      </w:r>
      <w:r w:rsidRPr="001F61B7">
        <w:rPr>
          <w:rStyle w:val="da"/>
          <w:rFonts w:asciiTheme="minorEastAsia" w:eastAsiaTheme="minorEastAsia" w:hAnsiTheme="minorEastAsia"/>
          <w:color w:val="000000" w:themeColor="text1"/>
        </w:rPr>
        <w:t>。</w:t>
      </w:r>
    </w:p>
    <w:p w:rsidR="00263CED"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如未来本基金增加基金份额的类别，基金管理人在实施份额折算时，可对全部份额类别进行折算，也可根据需要只对其中部分类别的份额进行折算。</w:t>
      </w:r>
    </w:p>
    <w:p w:rsidR="00263CED"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基金份额折算后，本基金的基金份额总额与基金份额持有人持有的基金份额数额将发生调整，但调整后的基金份额持有人持有的基金份额占基金份额总额的比例不发生变化。基金份额折算对基金份额持有人的权益无实质性影响，无需召开基金份额持有人大会审议。</w:t>
      </w:r>
    </w:p>
    <w:p w:rsidR="00263CED"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如果基金份额折算过程中发生不可抗力，基金管理人可延迟办理基金份额折算。</w:t>
      </w:r>
    </w:p>
    <w:p w:rsidR="00263CED"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基金份额折算的具体方法在份额折算公告中列示。</w:t>
      </w:r>
    </w:p>
    <w:bookmarkEnd w:id="38"/>
    <w:bookmarkEnd w:id="39"/>
    <w:p w:rsidR="00BA4B87" w:rsidRPr="001F61B7" w:rsidP="00C42A18">
      <w:pPr>
        <w:pStyle w:val="Heading1"/>
        <w:tabs>
          <w:tab w:val="left" w:pos="3544"/>
        </w:tabs>
        <w:spacing w:before="317" w:after="317" w:line="320" w:lineRule="exact"/>
        <w:ind w:firstLine="64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rPr>
        <w:br w:type="column"/>
      </w:r>
      <w:bookmarkStart w:id="40" w:name="_Toc332373523"/>
      <w:bookmarkStart w:id="41" w:name="_Toc80796275"/>
      <w:r w:rsidRPr="001F61B7">
        <w:rPr>
          <w:rFonts w:asciiTheme="minorEastAsia" w:eastAsiaTheme="minorEastAsia" w:hAnsiTheme="minorEastAsia"/>
          <w:color w:val="000000" w:themeColor="text1"/>
          <w:sz w:val="30"/>
        </w:rPr>
        <w:t>十一、基金的投资</w:t>
      </w:r>
      <w:bookmarkEnd w:id="40"/>
      <w:bookmarkEnd w:id="41"/>
    </w:p>
    <w:p w:rsidR="00B9271A"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bookmarkStart w:id="42" w:name="_Toc332373524"/>
      <w:r w:rsidRPr="001F61B7">
        <w:rPr>
          <w:rStyle w:val="da"/>
          <w:rFonts w:asciiTheme="minorEastAsia" w:eastAsiaTheme="minorEastAsia" w:hAnsiTheme="minorEastAsia"/>
          <w:color w:val="000000" w:themeColor="text1"/>
        </w:rPr>
        <w:t>（一）投资目标</w:t>
      </w:r>
    </w:p>
    <w:p w:rsidR="00263CED"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紧密跟踪标的指数，追求跟踪偏离度和跟踪误差的最小化。</w:t>
      </w:r>
    </w:p>
    <w:p w:rsidR="00B9271A"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（二）投资范围</w:t>
      </w:r>
    </w:p>
    <w:p w:rsidR="00B71FBC"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hint="eastAsia"/>
          <w:color w:val="000000" w:themeColor="text1"/>
        </w:rPr>
        <w:t>本基金的投资范围包括标的指数成份股及备选成份股</w:t>
      </w:r>
      <w:r w:rsidRPr="001F61B7" w:rsidR="00A95567">
        <w:rPr>
          <w:rFonts w:asciiTheme="minorEastAsia" w:eastAsiaTheme="minorEastAsia" w:hAnsiTheme="minorEastAsia" w:hint="eastAsia"/>
          <w:bCs/>
          <w:color w:val="000000" w:themeColor="text1"/>
        </w:rPr>
        <w:t>（含存托凭证）</w:t>
      </w:r>
      <w:r w:rsidRPr="001F61B7">
        <w:rPr>
          <w:rStyle w:val="da"/>
          <w:rFonts w:asciiTheme="minorEastAsia" w:eastAsiaTheme="minorEastAsia" w:hAnsiTheme="minorEastAsia" w:hint="eastAsia"/>
          <w:color w:val="000000" w:themeColor="text1"/>
        </w:rPr>
        <w:t>、除标的指数成份股及备选成份股以外的其他股票（包括创业板、中小板以及其他依法发行、上市的股票</w:t>
      </w:r>
      <w:r w:rsidRPr="001F61B7" w:rsidR="00A95567">
        <w:rPr>
          <w:rFonts w:asciiTheme="minorEastAsia" w:eastAsiaTheme="minorEastAsia" w:hAnsiTheme="minorEastAsia" w:hint="eastAsia"/>
          <w:bCs/>
          <w:color w:val="000000" w:themeColor="text1"/>
        </w:rPr>
        <w:t>、存托凭证</w:t>
      </w:r>
      <w:r w:rsidRPr="001F61B7">
        <w:rPr>
          <w:rStyle w:val="da"/>
          <w:rFonts w:asciiTheme="minorEastAsia" w:eastAsiaTheme="minorEastAsia" w:hAnsiTheme="minorEastAsia" w:hint="eastAsia"/>
          <w:color w:val="000000" w:themeColor="text1"/>
        </w:rPr>
        <w:t>）、债券、债券回购、资产支持证券、银行存款、同业存单、货币市场工具、金融衍生工具（包括股指期货、期权等）以及法律法规或中国证监会允许基金投资的其他金融工具。</w:t>
      </w:r>
    </w:p>
    <w:p w:rsidR="00B71FBC"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hint="eastAsia"/>
          <w:color w:val="000000" w:themeColor="text1"/>
        </w:rPr>
        <w:t>如法律法规或监管机构以后允许基金投资其他品种，本基金管理人可以将其纳入投资范围，其投资原则及投资比例按法律法规或监管机构的相关规定执行。</w:t>
      </w:r>
    </w:p>
    <w:p w:rsidR="00B71FBC"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hint="eastAsia"/>
          <w:color w:val="000000" w:themeColor="text1"/>
        </w:rPr>
        <w:t>本基金将根据法律法规的规定参与转融通证券出借及融资业务。</w:t>
      </w:r>
    </w:p>
    <w:p w:rsidR="00B9271A"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hint="eastAsia"/>
          <w:color w:val="000000" w:themeColor="text1"/>
        </w:rPr>
        <w:t>本基金投资于标的指数成份股及备选成份股的资产不低于非现金资产的80%且不低于基金资产净值的90%，因法律法规的规定而受限制的情形除外。</w:t>
      </w:r>
    </w:p>
    <w:p w:rsidR="00B9271A"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（三）投资策略</w:t>
      </w:r>
    </w:p>
    <w:p w:rsidR="00B71FBC"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hint="eastAsia"/>
          <w:color w:val="000000" w:themeColor="text1"/>
        </w:rPr>
        <w:t>1、股票</w:t>
      </w:r>
      <w:r w:rsidRPr="001F61B7" w:rsidR="00A95567">
        <w:rPr>
          <w:rFonts w:asciiTheme="minorEastAsia" w:eastAsiaTheme="minorEastAsia" w:hAnsiTheme="minorEastAsia" w:hint="eastAsia"/>
          <w:bCs/>
          <w:color w:val="000000" w:themeColor="text1"/>
        </w:rPr>
        <w:t>（含存托凭证）</w:t>
      </w:r>
      <w:r w:rsidRPr="001F61B7">
        <w:rPr>
          <w:rStyle w:val="da"/>
          <w:rFonts w:asciiTheme="minorEastAsia" w:eastAsiaTheme="minorEastAsia" w:hAnsiTheme="minorEastAsia" w:hint="eastAsia"/>
          <w:color w:val="000000" w:themeColor="text1"/>
        </w:rPr>
        <w:t>投资策略</w:t>
      </w:r>
    </w:p>
    <w:p w:rsidR="00B71FBC"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hint="eastAsia"/>
          <w:color w:val="000000" w:themeColor="text1"/>
        </w:rPr>
        <w:t>本基金主要采取完全复制法，即完全按照标的指数的成份股组成及其权重构建基金股票投资组合，并根据标的指数成份股及其权重的变动进行相应调整。但在因特殊情形导致基金无法完全投资于标的指数成份股时，基金管理人可采取包括成份股替代策略在内的其他指数投资技术适当调整基金投资组合，以达到紧密跟踪标的指数的目的。特殊情形包括但不限于：（1）法律法规的限制；（2）标的指数成份股流动性严重不足；（3）标的指数的成份股票长期停牌；（4）标的指数成份股进行配股、增发或被吸收合并；（5）标的指数成份股派发现金股息；（6）指数成份股定期或临时调整；（7）标的指数编制方法发生变化；（8）其他基金管理人认定不适合投资的股票或可能严重限制本基金跟踪标的指数的合理原因等。</w:t>
      </w:r>
    </w:p>
    <w:p w:rsidR="00B71FBC"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hint="eastAsia"/>
          <w:color w:val="000000" w:themeColor="text1"/>
        </w:rPr>
        <w:t xml:space="preserve">本基金力争将日均跟踪偏离度的绝对值控制在0.2%以内，年化跟踪误差控制在2%以内。如因标的指数编制规则调整或其他因素导致跟踪误差超过上述范围，基金管理人应采取合理措施避免跟踪误差进一步扩大。 </w:t>
      </w:r>
    </w:p>
    <w:p w:rsidR="00B71FBC"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hint="eastAsia"/>
          <w:color w:val="000000" w:themeColor="text1"/>
        </w:rPr>
        <w:t>2、债券和货币市场工具投资策略</w:t>
      </w:r>
    </w:p>
    <w:p w:rsidR="00B71FBC"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hint="eastAsia"/>
          <w:color w:val="000000" w:themeColor="text1"/>
        </w:rPr>
        <w:t>本基金将以降低跟踪误差和流动性管理为目的，综合考虑流动性和收益性，适当参与债</w:t>
      </w:r>
      <w:r w:rsidRPr="001F61B7">
        <w:rPr>
          <w:rStyle w:val="da"/>
          <w:rFonts w:asciiTheme="minorEastAsia" w:eastAsiaTheme="minorEastAsia" w:hAnsiTheme="minorEastAsia" w:hint="eastAsia"/>
          <w:color w:val="000000" w:themeColor="text1"/>
        </w:rPr>
        <w:t>券和货币市场工具的投资。</w:t>
      </w:r>
    </w:p>
    <w:p w:rsidR="00B71FBC"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hint="eastAsia"/>
          <w:color w:val="000000" w:themeColor="text1"/>
        </w:rPr>
        <w:t>3、金融衍生品投资策略</w:t>
      </w:r>
    </w:p>
    <w:p w:rsidR="00B71FBC"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hint="eastAsia"/>
          <w:color w:val="000000" w:themeColor="text1"/>
        </w:rPr>
        <w:t>为更好地实现投资目标，本基金可投资股指期货、期权和其他经中国证监会允许的金融衍生产品，如与标的指数或标的指数成份股、备选成份股相关的衍生工具。本基金将根据风险管理的原则，主要选择流动性好、交易活跃的衍生品合约进行交易。</w:t>
      </w:r>
    </w:p>
    <w:p w:rsidR="00B71FBC"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hint="eastAsia"/>
          <w:color w:val="000000" w:themeColor="text1"/>
        </w:rPr>
        <w:t>4、参与转融通证券出借业务策略</w:t>
      </w:r>
    </w:p>
    <w:p w:rsidR="00B71FBC"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hint="eastAsia"/>
          <w:color w:val="000000" w:themeColor="text1"/>
        </w:rPr>
        <w:t>为更好地实现投资目标，在加强风险防范并遵守审慎原则的前提下，本基金可根据投资管理的需要参与转融通证券出借业务。本基金将在分析市场环境、投资者类型与结构、基金历史申赎情况、出借证券流动性情况等因素的基础上，合理确定出借证券的范围、期限和比例。</w:t>
      </w:r>
    </w:p>
    <w:p w:rsidR="00B71FBC"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hint="eastAsia"/>
          <w:color w:val="000000" w:themeColor="text1"/>
        </w:rPr>
        <w:t>5、融资业务策略</w:t>
      </w:r>
    </w:p>
    <w:p w:rsidR="00B71FBC"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hint="eastAsia"/>
          <w:color w:val="000000" w:themeColor="text1"/>
        </w:rPr>
        <w:t>在条件许可的情况下，基金管理人可在不改变本基金既有投资目标、策略和风险收益特征并在控制风险的前提下，根据相关法律法规，参与融资业务，以提高投资效率及进行风险管理。届时基金参与融资业务的风险控制原则、具体参与比例限制、费用收支、信息披露、估值方法及其他相关事项按照中国证监会的规定及其他相关法律法规的要求执行，无需召开基金份额持有人大会审议。</w:t>
      </w:r>
    </w:p>
    <w:p w:rsidR="00263CED"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hint="eastAsia"/>
          <w:color w:val="000000" w:themeColor="text1"/>
        </w:rPr>
        <w:t>6、未来，随着市场的发展和基金管理运作的需要，基金管理人可以在不改变投资目标的前提下，遵循法律法规的规定，相应调整或更新投资策略，并在招募说明书更新中公告。</w:t>
      </w:r>
    </w:p>
    <w:p w:rsidR="00B9271A"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（四）投资决策程序</w:t>
      </w:r>
    </w:p>
    <w:p w:rsidR="00B9271A"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1、投资决策依据</w:t>
      </w:r>
    </w:p>
    <w:p w:rsidR="00B9271A"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（1）法律、法规和《基金合同》的规定；</w:t>
      </w:r>
    </w:p>
    <w:p w:rsidR="00B9271A"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（2）标的指数的编制方法及调整公告等；</w:t>
      </w:r>
    </w:p>
    <w:p w:rsidR="00B9271A"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（3）对证券市场发展趋势的研究与判断。</w:t>
      </w:r>
    </w:p>
    <w:p w:rsidR="00B9271A"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2、投资决策流程</w:t>
      </w:r>
    </w:p>
    <w:p w:rsidR="00B9271A"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（1）基金经理依据标的指数成份股名单及权重，进行投资组合构建；</w:t>
      </w:r>
    </w:p>
    <w:p w:rsidR="00B9271A"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（2）当发生以下情况时，基金管理人将对投资组合进行调整，以降低跟踪误差，实现对标的指数的紧密跟踪。</w:t>
      </w:r>
    </w:p>
    <w:p w:rsidR="00B9271A"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1）指数编制方法发生变更。基金管理人将评估指数编制方法变更对指数成份股及权重的影响，适时进行投资组合调整。</w:t>
      </w:r>
    </w:p>
    <w:p w:rsidR="00B9271A"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2）指数成份股定期或临时调整。基金管理人将预测指数成份股调整方案，并判断指数成份股调整对投资组合的影响，在此基础上确定组合调整策略。</w:t>
      </w:r>
    </w:p>
    <w:p w:rsidR="00B9271A"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3）指数成份股出现股本变化、增发、配股、派发现金股息等情形。基金管理人将密切关注这些情形对指数的影响，并据此确定相应的投资组合调整策略。</w:t>
      </w:r>
    </w:p>
    <w:p w:rsidR="00B9271A"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4）当因法律法规限制本基金不能投资指数成份股时，基金管理人研究制定成份股替代策略，并适时进行组合调整。</w:t>
      </w:r>
    </w:p>
    <w:p w:rsidR="00B9271A"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5）基金参与新股申购、股票长期停牌、股票流动性不足等情形。基金管理人将分析这些情形对跟踪误差的影响，据此对投资组合进行相应调整。</w:t>
      </w:r>
    </w:p>
    <w:p w:rsidR="00626AC8" w:rsidRPr="001F61B7" w:rsidP="00626AC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（3）</w:t>
      </w:r>
      <w:r w:rsidRPr="001F61B7">
        <w:rPr>
          <w:rStyle w:val="da"/>
          <w:rFonts w:asciiTheme="minorEastAsia" w:eastAsiaTheme="minorEastAsia" w:hAnsiTheme="minorEastAsia" w:hint="eastAsia"/>
          <w:color w:val="000000" w:themeColor="text1"/>
        </w:rPr>
        <w:t>指数成份股发生明显负面事件面临退市风险，且指数编制机构暂未作出调整的，基金管理人将按照基金份额持有人利益优先的原则，综合考虑成份股的退市风险、其在指数中的权重以及对跟踪误差的影响，据此制定成份股替代策略，并对投资组合进行相应调整；</w:t>
      </w:r>
    </w:p>
    <w:p w:rsidR="00B9271A" w:rsidRPr="001F61B7" w:rsidP="00626AC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hint="eastAsia"/>
          <w:color w:val="000000" w:themeColor="text1"/>
        </w:rPr>
        <w:t>（4）</w:t>
      </w:r>
      <w:r w:rsidRPr="001F61B7" w:rsidR="00E97052">
        <w:rPr>
          <w:rStyle w:val="da"/>
          <w:rFonts w:asciiTheme="minorEastAsia" w:eastAsiaTheme="minorEastAsia" w:hAnsiTheme="minorEastAsia"/>
          <w:color w:val="000000" w:themeColor="text1"/>
        </w:rPr>
        <w:t>监察与合规管理总部对</w:t>
      </w:r>
      <w:r w:rsidRPr="001F61B7">
        <w:rPr>
          <w:rStyle w:val="da"/>
          <w:rFonts w:asciiTheme="minorEastAsia" w:eastAsiaTheme="minorEastAsia" w:hAnsiTheme="minorEastAsia"/>
          <w:color w:val="000000" w:themeColor="text1"/>
        </w:rPr>
        <w:t>基金的日常投资和交易是否遵守法律法规、基金合同进行独立监督检查；</w:t>
      </w:r>
    </w:p>
    <w:p w:rsidR="00B9271A"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w:t>
      </w:r>
      <w:r w:rsidRPr="001F61B7" w:rsidR="00626AC8">
        <w:rPr>
          <w:rStyle w:val="da"/>
          <w:rFonts w:asciiTheme="minorEastAsia" w:eastAsiaTheme="minorEastAsia" w:hAnsiTheme="minorEastAsia"/>
          <w:color w:val="000000" w:themeColor="text1"/>
        </w:rPr>
        <w:t>5</w:t>
      </w:r>
      <w:r w:rsidRPr="001F61B7">
        <w:rPr>
          <w:rStyle w:val="da"/>
          <w:rFonts w:asciiTheme="minorEastAsia" w:eastAsiaTheme="minorEastAsia" w:hAnsiTheme="minorEastAsia"/>
          <w:color w:val="000000" w:themeColor="text1"/>
        </w:rPr>
        <w:t>）投资风险管理部定期对投资组合的跟踪误差进行跟踪和评估，提供基金经理参考；</w:t>
      </w:r>
    </w:p>
    <w:p w:rsidR="00B9271A"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w:t>
      </w:r>
      <w:r w:rsidRPr="001F61B7" w:rsidR="00626AC8">
        <w:rPr>
          <w:rStyle w:val="da"/>
          <w:rFonts w:asciiTheme="minorEastAsia" w:eastAsiaTheme="minorEastAsia" w:hAnsiTheme="minorEastAsia"/>
          <w:color w:val="000000" w:themeColor="text1"/>
        </w:rPr>
        <w:t>6</w:t>
      </w:r>
      <w:r w:rsidRPr="001F61B7">
        <w:rPr>
          <w:rStyle w:val="da"/>
          <w:rFonts w:asciiTheme="minorEastAsia" w:eastAsiaTheme="minorEastAsia" w:hAnsiTheme="minorEastAsia"/>
          <w:color w:val="000000" w:themeColor="text1"/>
        </w:rPr>
        <w:t>）基金经理参考有关研究报告及投资风险管理部的报告，及时进行投资组合调整。</w:t>
      </w:r>
    </w:p>
    <w:p w:rsidR="00B9271A"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（五）业绩比较基准</w:t>
      </w:r>
    </w:p>
    <w:p w:rsidR="00263CED"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本基金的业绩比较基准为标的指数收益率，即</w:t>
      </w:r>
      <w:r w:rsidRPr="001F61B7" w:rsidR="00FD375F">
        <w:rPr>
          <w:rStyle w:val="da"/>
          <w:rFonts w:asciiTheme="minorEastAsia" w:eastAsiaTheme="minorEastAsia" w:hAnsiTheme="minorEastAsia"/>
          <w:color w:val="000000" w:themeColor="text1"/>
        </w:rPr>
        <w:t>中证科技50</w:t>
      </w:r>
      <w:r w:rsidRPr="001F61B7">
        <w:rPr>
          <w:rStyle w:val="da"/>
          <w:rFonts w:asciiTheme="minorEastAsia" w:eastAsiaTheme="minorEastAsia" w:hAnsiTheme="minorEastAsia"/>
          <w:color w:val="000000" w:themeColor="text1"/>
        </w:rPr>
        <w:t>指数收益率</w:t>
      </w:r>
      <w:r w:rsidRPr="001F61B7" w:rsidR="00D42BC7">
        <w:rPr>
          <w:rStyle w:val="da"/>
          <w:rFonts w:asciiTheme="minorEastAsia" w:eastAsiaTheme="minorEastAsia" w:hAnsiTheme="minorEastAsia"/>
          <w:color w:val="000000" w:themeColor="text1"/>
        </w:rPr>
        <w:t>。</w:t>
      </w:r>
    </w:p>
    <w:p w:rsidR="00263CED"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本基金以“紧密跟踪标的指数，追求跟踪偏离度和跟踪误差的最小化”作为投资目标，在投资中将不低于基金资产净值90%的资产投资于标的指数成份股及备选成份股，因此选取</w:t>
      </w:r>
      <w:r w:rsidRPr="001F61B7" w:rsidR="00FD375F">
        <w:rPr>
          <w:rStyle w:val="da"/>
          <w:rFonts w:asciiTheme="minorEastAsia" w:eastAsiaTheme="minorEastAsia" w:hAnsiTheme="minorEastAsia"/>
          <w:color w:val="000000" w:themeColor="text1"/>
        </w:rPr>
        <w:t>中证科技50</w:t>
      </w:r>
      <w:r w:rsidRPr="001F61B7">
        <w:rPr>
          <w:rStyle w:val="da"/>
          <w:rFonts w:asciiTheme="minorEastAsia" w:eastAsiaTheme="minorEastAsia" w:hAnsiTheme="minorEastAsia"/>
          <w:color w:val="000000" w:themeColor="text1"/>
        </w:rPr>
        <w:t>指数收益率作为业绩比较基准，能够比较真实、客观地反映本基金的风险收益特征。</w:t>
      </w:r>
    </w:p>
    <w:p w:rsidR="00626AC8" w:rsidRPr="001F61B7" w:rsidP="00626AC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hint="eastAsia"/>
          <w:color w:val="000000" w:themeColor="text1"/>
        </w:rPr>
        <w:t>未来若出现标的指数不符合法律法规及监管的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w:t>
      </w:r>
    </w:p>
    <w:p w:rsidR="00B9271A" w:rsidRPr="001F61B7" w:rsidP="00626AC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hint="eastAsia"/>
          <w:color w:val="000000" w:themeColor="text1"/>
        </w:rPr>
        <w:t>自指数编制机构停止标的指数的编制及发布至解决方案确定期间，基金管理人应按照指数编制机构提供的最近一个交易日的指数信息遵循基金份额持有人利益优先原则维持基金投资运作。</w:t>
      </w:r>
    </w:p>
    <w:p w:rsidR="00B9271A"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（六）风险收益特征</w:t>
      </w:r>
    </w:p>
    <w:p w:rsidR="00263CED"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本基金为股票型基金，预期风险与预期收益水平高于混合型基金、债券型基金与货币市场基金。本基金为指数型基金，主要采用完全复制法跟踪标的指数的表现，具有与标的指数相似的风险收益特征。</w:t>
      </w:r>
    </w:p>
    <w:p w:rsidR="00B9271A"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（七）投资限制</w:t>
      </w:r>
    </w:p>
    <w:p w:rsidR="00B71FBC"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hint="eastAsia"/>
          <w:color w:val="000000" w:themeColor="text1"/>
        </w:rPr>
        <w:t>1、组合限制</w:t>
      </w:r>
    </w:p>
    <w:p w:rsidR="00B71FBC"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hint="eastAsia"/>
          <w:color w:val="000000" w:themeColor="text1"/>
        </w:rPr>
        <w:t>基金的投资组合应遵循以下限制：</w:t>
      </w:r>
    </w:p>
    <w:p w:rsidR="00B71FBC"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hint="eastAsia"/>
          <w:color w:val="000000" w:themeColor="text1"/>
        </w:rPr>
        <w:t>（1）本基金投资于标的指数成份股及备选成份股的资产不低于非现金资产的80%且不低于基金资产净值的90%；</w:t>
      </w:r>
    </w:p>
    <w:p w:rsidR="00B71FBC"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hint="eastAsia"/>
          <w:color w:val="000000" w:themeColor="text1"/>
        </w:rPr>
        <w:t>（2）本基金投资于同一原始权益人的各类资产支持证券的比例，不得超过基金资产净值的10%；</w:t>
      </w:r>
    </w:p>
    <w:p w:rsidR="00B71FBC"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hint="eastAsia"/>
          <w:color w:val="000000" w:themeColor="text1"/>
        </w:rPr>
        <w:t>（3）本基金持有的全部资产支持证券，其市值不得超过基金资产净值的20%；</w:t>
      </w:r>
    </w:p>
    <w:p w:rsidR="00B71FBC"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hint="eastAsia"/>
          <w:color w:val="000000" w:themeColor="text1"/>
        </w:rPr>
        <w:t>（4）本基金持有的同一(指同一信用级别)资产支持证券的比例，不得超过该资产支持证券规模的10%；</w:t>
      </w:r>
    </w:p>
    <w:p w:rsidR="00B71FBC"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hint="eastAsia"/>
          <w:color w:val="000000" w:themeColor="text1"/>
        </w:rPr>
        <w:t>（5）本基金管理人管理的全部基金投资于同一原始权益人的各类资产支持证券，不得超过其各类资产支持证券合计规模的10%；</w:t>
      </w:r>
    </w:p>
    <w:p w:rsidR="00B71FBC"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hint="eastAsia"/>
          <w:color w:val="000000" w:themeColor="text1"/>
        </w:rPr>
        <w:t>（6）本基金应投资于信用级别评级为BBB以上(含BBB)的资产支持证券。基金持有资产支持证券期间，如果其信用等级下降、不再符合投资标准，应在评级报告发布之日起3个月内予以全部卖出；</w:t>
      </w:r>
    </w:p>
    <w:p w:rsidR="00B71FBC"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hint="eastAsia"/>
          <w:color w:val="000000" w:themeColor="text1"/>
        </w:rPr>
        <w:t>（7）基金财产参与股票发行申购，本基金所申报的金额不超过本基金的总资产，本基金所申报的股票数量不超过拟发行股票公司本次发行股票的总量；</w:t>
      </w:r>
    </w:p>
    <w:p w:rsidR="00B71FBC"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hint="eastAsia"/>
          <w:color w:val="000000" w:themeColor="text1"/>
        </w:rPr>
        <w:t>（8）本基金进入全国银行间同业市场进行债券回购的资金余额不得超过基金资产净值的40%，进入全国银行间同业市场进行债券回购的最长期限为1年，债券回购到期后不得展期；</w:t>
      </w:r>
    </w:p>
    <w:p w:rsidR="00B71FBC"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hint="eastAsia"/>
          <w:color w:val="000000" w:themeColor="text1"/>
        </w:rPr>
        <w:t>（9）本基金参与股指期货交易的，应当符合下列要求：在任何交易日日终，持有的买入股指期货合约价值，不得超过基金资产净值的10%；在任何交易日日终，持有的买入期货合约价值与有价证券市值之和，不得超过基金资产净值的100%，其中，有价证券指股票、债券（不含到期日在一年以内的政府债券）、资产支持证券、买入返售金融资产（不含质押式回购）等；在任何交易日日终，持有的卖出期货合约价值不得超过基金持有的股票总市值</w:t>
      </w:r>
      <w:r w:rsidRPr="001F61B7">
        <w:rPr>
          <w:rStyle w:val="da"/>
          <w:rFonts w:asciiTheme="minorEastAsia" w:eastAsiaTheme="minorEastAsia" w:hAnsiTheme="minorEastAsia" w:hint="eastAsia"/>
          <w:color w:val="000000" w:themeColor="text1"/>
        </w:rPr>
        <w:t>的20%；持有的股票市值和买入、卖出股指期货合约价值，合计（轧差计算）应当符合基金合同关于股票投资比例的有关约定；在任何交易日内交易（不包括平仓）的股指期货合约的成交金额不得超过上一交易日基金资产净值的20%；每个交易日日终在扣除股指期货合约需缴纳的交易保证金后，应当保持不低于交易保证金一倍的现金；</w:t>
      </w:r>
    </w:p>
    <w:p w:rsidR="00B71FBC"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hint="eastAsia"/>
          <w:color w:val="000000" w:themeColor="text1"/>
        </w:rPr>
        <w:t>（10）本基金参与股票期权交易的，应当符合下列要求：基金因未平仓的期权合约支付和收取的权利金总额不得超过基金资产净值的10%；开仓卖出认购期权的，应持有足额标的证券；开仓卖出认沽期权的，应持有合约行权所需的全额现金或交易所规则认可的可冲抵期权保证金的现金等价物；未平仓的期权合约面值不得超过基金资产净值的20%。其中，合约面值按照行权价乘以合约乘数计算；</w:t>
      </w:r>
    </w:p>
    <w:p w:rsidR="00B71FBC"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hint="eastAsia"/>
          <w:color w:val="000000" w:themeColor="text1"/>
        </w:rPr>
        <w:t>（11）本基金参与转融通证券出借业务的，应当符合下列要求：最近6个月内日均基金资产净值不得低于2亿元；参与转融通证券出借业务的资产不得超过基金资产净值的30%，其中出借期限在10个交易日以上的出借证券归为流动性受限资产；参与转融通证券出借业务的单只证券不得超过基金持有该证券总量的30%；证券出借的平均剩余期限不得超过30天，平均剩余期限按照市值加权平均计算；</w:t>
      </w:r>
    </w:p>
    <w:p w:rsidR="00B71FBC"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hint="eastAsia"/>
          <w:color w:val="000000" w:themeColor="text1"/>
        </w:rPr>
        <w:t>（12）基金参与融资业务后，在任何交易日日终，持有的融资买入股票与其他有价证券市值之和，不得超过基金资产净值的95%；</w:t>
      </w:r>
    </w:p>
    <w:p w:rsidR="00B71FBC"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hint="eastAsia"/>
          <w:color w:val="000000" w:themeColor="text1"/>
        </w:rPr>
        <w:t>（13）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法律法规另有规定的，从其规定；</w:t>
      </w:r>
    </w:p>
    <w:p w:rsidR="00B71FBC"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hint="eastAsia"/>
          <w:color w:val="000000" w:themeColor="text1"/>
        </w:rPr>
        <w:t>（14）本基金与私募类证券资管产品及中国证监会认定的其他主体为交易对手开展逆回购交易的，可接受质押品的资质要求应当与本基金合同约定的投资范围保持一致；</w:t>
      </w:r>
    </w:p>
    <w:p w:rsidR="00B71FBC"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hint="eastAsia"/>
          <w:color w:val="000000" w:themeColor="text1"/>
        </w:rPr>
        <w:t>（15）本基金资产总值不超过基金资产净值的140%；</w:t>
      </w:r>
    </w:p>
    <w:p w:rsidR="00A95567"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Fonts w:asciiTheme="minorEastAsia" w:eastAsiaTheme="minorEastAsia" w:hAnsiTheme="minorEastAsia"/>
          <w:bCs/>
          <w:color w:val="000000" w:themeColor="text1"/>
        </w:rPr>
        <w:t>（16）</w:t>
      </w:r>
      <w:r w:rsidRPr="001F61B7">
        <w:rPr>
          <w:rFonts w:asciiTheme="minorEastAsia" w:eastAsiaTheme="minorEastAsia" w:hAnsiTheme="minorEastAsia" w:hint="eastAsia"/>
          <w:bCs/>
          <w:color w:val="000000" w:themeColor="text1"/>
        </w:rPr>
        <w:t>本基金投资存托凭证的比例限制依照境内上市交易的股票执行，与境内上市交易的股票合并计算；</w:t>
      </w:r>
    </w:p>
    <w:p w:rsidR="00B71FBC"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hint="eastAsia"/>
          <w:color w:val="000000" w:themeColor="text1"/>
        </w:rPr>
        <w:t>（1</w:t>
      </w:r>
      <w:r w:rsidRPr="001F61B7" w:rsidR="00A95567">
        <w:rPr>
          <w:rStyle w:val="da"/>
          <w:rFonts w:asciiTheme="minorEastAsia" w:eastAsiaTheme="minorEastAsia" w:hAnsiTheme="minorEastAsia"/>
          <w:color w:val="000000" w:themeColor="text1"/>
        </w:rPr>
        <w:t>7</w:t>
      </w:r>
      <w:r w:rsidRPr="001F61B7">
        <w:rPr>
          <w:rStyle w:val="da"/>
          <w:rFonts w:asciiTheme="minorEastAsia" w:eastAsiaTheme="minorEastAsia" w:hAnsiTheme="minorEastAsia" w:hint="eastAsia"/>
          <w:color w:val="000000" w:themeColor="text1"/>
        </w:rPr>
        <w:t>）法律法规及中国证监会规定的和《基金合同》约定的其他投资限制。</w:t>
      </w:r>
    </w:p>
    <w:p w:rsidR="00B71FBC"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hint="eastAsia"/>
          <w:color w:val="000000" w:themeColor="text1"/>
        </w:rPr>
        <w:t>除上述（6）、（7）、（11）、（13）、（14）情形之外，因证券/期货市场波动、证券发行人合并、基金规模变动、标的指数成份股调整、流动性限制或成份股市场价格变化等基金管理人之外的因素致使基金投资比例不符合上述规定投资比例的，基金管理人应当在10个交易</w:t>
      </w:r>
      <w:r w:rsidRPr="001F61B7">
        <w:rPr>
          <w:rStyle w:val="da"/>
          <w:rFonts w:asciiTheme="minorEastAsia" w:eastAsiaTheme="minorEastAsia" w:hAnsiTheme="minorEastAsia" w:hint="eastAsia"/>
          <w:color w:val="000000" w:themeColor="text1"/>
        </w:rPr>
        <w:t>日内进行调整，但中国证监会规定的特殊情形除外。因证券市场波动、上市公司合并、基金规模变动等基金管理人之外的因素致使基金投资不符合第（11）项规定的，基金管理人不得新增出借业务。</w:t>
      </w:r>
    </w:p>
    <w:p w:rsidR="00B71FBC"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hint="eastAsia"/>
          <w:color w:val="000000" w:themeColor="text1"/>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B71FBC"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hint="eastAsia"/>
          <w:color w:val="000000" w:themeColor="text1"/>
        </w:rPr>
        <w:t>法律法规或监管部门取消或变更上述限制，如适用于本基金，则本基金投资不再受相关限制或按变更后的规定执行。</w:t>
      </w:r>
    </w:p>
    <w:p w:rsidR="00B71FBC"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hint="eastAsia"/>
          <w:color w:val="000000" w:themeColor="text1"/>
        </w:rPr>
        <w:t>2、禁止行为</w:t>
      </w:r>
    </w:p>
    <w:p w:rsidR="00B71FBC"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hint="eastAsia"/>
          <w:color w:val="000000" w:themeColor="text1"/>
        </w:rPr>
        <w:t>为维护基金份额持有人的合法权益，基金财产不得用于下列投资或者活动：</w:t>
      </w:r>
    </w:p>
    <w:p w:rsidR="00B71FBC"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hint="eastAsia"/>
          <w:color w:val="000000" w:themeColor="text1"/>
        </w:rPr>
        <w:t>（1）承销证券；</w:t>
      </w:r>
    </w:p>
    <w:p w:rsidR="00B71FBC"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hint="eastAsia"/>
          <w:color w:val="000000" w:themeColor="text1"/>
        </w:rPr>
        <w:t>（2）违反规定向他人贷款或者提供担保；</w:t>
      </w:r>
    </w:p>
    <w:p w:rsidR="00B71FBC"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hint="eastAsia"/>
          <w:color w:val="000000" w:themeColor="text1"/>
        </w:rPr>
        <w:t>（3）从事承担无限责任的投资；</w:t>
      </w:r>
    </w:p>
    <w:p w:rsidR="00B71FBC"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hint="eastAsia"/>
          <w:color w:val="000000" w:themeColor="text1"/>
        </w:rPr>
        <w:t>（4）向其基金管理人、基金托管人出资；</w:t>
      </w:r>
    </w:p>
    <w:p w:rsidR="00B71FBC"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hint="eastAsia"/>
          <w:color w:val="000000" w:themeColor="text1"/>
        </w:rPr>
        <w:t>（5）从事内幕交易、操纵证券交易价格及其他不正当的证券交易活动；</w:t>
      </w:r>
    </w:p>
    <w:p w:rsidR="00B71FBC"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hint="eastAsia"/>
          <w:color w:val="000000" w:themeColor="text1"/>
        </w:rPr>
        <w:t>（6）法律、行政法规和中国证监会规定禁止的其他活动。</w:t>
      </w:r>
    </w:p>
    <w:p w:rsidR="00B71FBC"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hint="eastAsia"/>
          <w:color w:val="000000" w:themeColor="text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B9271A"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hint="eastAsia"/>
          <w:color w:val="000000" w:themeColor="text1"/>
        </w:rPr>
        <w:t>3、法律法规或监管部门取消上述组合限制或禁止行为规定，如适用于本基金，则本基金可不受相关限制。法律法规或监管部门对上述组合限制或禁止行为规定进行变更的，本基金可以变更后的规定为准。经与基金托管人协商一致，基金管理人可依据法律法规或监管部门规定直接对基金合同进行变更，该变更无须召开基金份额持有人大会审议。</w:t>
      </w:r>
    </w:p>
    <w:p w:rsidR="00671107"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（八）基金管理人代表基金行使股东或债权人权利的处理原则及方法</w:t>
      </w:r>
    </w:p>
    <w:bookmarkEnd w:id="42"/>
    <w:p w:rsidR="00263CED"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1、基金管理人按照国家有关规定代表基金独立行使股东或债权人权利，保护基金份额</w:t>
      </w:r>
      <w:r w:rsidRPr="001F61B7">
        <w:rPr>
          <w:rFonts w:asciiTheme="minorEastAsia" w:eastAsiaTheme="minorEastAsia" w:hAnsiTheme="minorEastAsia"/>
          <w:color w:val="000000" w:themeColor="text1"/>
          <w:szCs w:val="21"/>
        </w:rPr>
        <w:t xml:space="preserve">持有人的利益； </w:t>
      </w:r>
    </w:p>
    <w:p w:rsidR="00263CED"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 xml:space="preserve">2、不谋求对上市公司的控股； </w:t>
      </w:r>
    </w:p>
    <w:p w:rsidR="00263CED"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 xml:space="preserve">3、有利于基金财产的安全与增值； </w:t>
      </w:r>
    </w:p>
    <w:p w:rsidR="00263CED"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4、不通过关联交易为自身、雇员、授权代理人或任何存在利害关系的第三人牟取任何不当利益。</w:t>
      </w:r>
    </w:p>
    <w:p w:rsidR="00074927" w:rsidRPr="001F61B7" w:rsidP="00C94D2B">
      <w:pPr>
        <w:tabs>
          <w:tab w:val="left" w:pos="3544"/>
        </w:tabs>
        <w:spacing w:line="360" w:lineRule="auto"/>
        <w:ind w:firstLine="420" w:firstLineChars="200"/>
        <w:rPr>
          <w:rFonts w:asciiTheme="minorEastAsia" w:eastAsiaTheme="minorEastAsia" w:hAnsiTheme="minorEastAsia"/>
          <w:color w:val="000000" w:themeColor="text1"/>
          <w:szCs w:val="21"/>
        </w:rPr>
      </w:pPr>
      <w:bookmarkStart w:id="43" w:name="_Toc53836973"/>
      <w:r w:rsidRPr="001F61B7">
        <w:rPr>
          <w:rFonts w:asciiTheme="minorEastAsia" w:eastAsiaTheme="minorEastAsia" w:hAnsiTheme="minorEastAsia" w:hint="eastAsia"/>
          <w:color w:val="000000" w:themeColor="text1"/>
          <w:szCs w:val="21"/>
        </w:rPr>
        <w:t>（九）基金投资组合报告(未经审计)</w:t>
      </w:r>
      <w:bookmarkEnd w:id="43"/>
    </w:p>
    <w:p w:rsidR="00074927" w:rsidRPr="001F61B7" w:rsidP="00C94D2B">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hint="eastAsia"/>
          <w:color w:val="000000" w:themeColor="text1"/>
          <w:szCs w:val="21"/>
        </w:rPr>
        <w:t>本基金管理人的董事会及董事保证本报告所载资料不存在虚假记载、误导性陈述或重大遗漏，并对其内容的真实性、准确性和完整性承担个别及连带责任。</w:t>
      </w:r>
    </w:p>
    <w:p w:rsidR="00074927" w:rsidRPr="001F61B7" w:rsidP="00C94D2B">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hint="eastAsia"/>
          <w:color w:val="000000" w:themeColor="text1"/>
          <w:szCs w:val="21"/>
        </w:rPr>
        <w:t>本基金的托管人中国银行股份有限公司根据本基金合同的规定，复核了本投资组合报告。</w:t>
      </w:r>
    </w:p>
    <w:p w:rsidR="00074927" w:rsidRPr="001F61B7" w:rsidP="00C94D2B">
      <w:pPr>
        <w:tabs>
          <w:tab w:val="left" w:pos="3544"/>
        </w:tabs>
        <w:spacing w:line="360" w:lineRule="auto"/>
        <w:ind w:firstLine="420" w:firstLineChars="200"/>
        <w:rPr>
          <w:rFonts w:asciiTheme="minorEastAsia" w:eastAsiaTheme="minorEastAsia" w:hAnsiTheme="minorEastAsia"/>
          <w:color w:val="000000" w:themeColor="text1"/>
          <w:szCs w:val="21"/>
        </w:rPr>
      </w:pPr>
      <w:r>
        <w:t>本投资组合报告有关数据的期间为</w:t>
      </w:r>
      <w:r>
        <w:t>2021</w:t>
      </w:r>
      <w:r>
        <w:t>年</w:t>
      </w:r>
      <w:r>
        <w:t>7</w:t>
      </w:r>
      <w:r>
        <w:t>月</w:t>
      </w:r>
      <w:r>
        <w:t>1</w:t>
      </w:r>
      <w:r>
        <w:t>日至</w:t>
      </w:r>
      <w:r>
        <w:t>2021</w:t>
      </w:r>
      <w:r>
        <w:t>年</w:t>
      </w:r>
      <w:r>
        <w:t>9</w:t>
      </w:r>
      <w:r>
        <w:t>月</w:t>
      </w:r>
      <w:r>
        <w:t>30</w:t>
      </w:r>
      <w:r>
        <w:t>日。</w:t>
      </w:r>
    </w:p>
    <w:p w:rsidR="000D684F">
      <w:pPr>
        <w:spacing w:line="360" w:lineRule="auto"/>
        <w:jc w:val="left"/>
      </w:pPr>
      <w:r>
        <w:t>1</w:t>
      </w:r>
      <w:r>
        <w:t>、</w:t>
      </w:r>
      <w:r>
        <w:t xml:space="preserve"> </w:t>
      </w:r>
      <w:r>
        <w:t>报告期末基金资产组合情况</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3357"/>
        <w:gridCol w:w="2977"/>
        <w:gridCol w:w="1843"/>
      </w:tblGrid>
      <w:tr>
        <w:tblPrEx>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0D684F">
            <w:pPr>
              <w:ind w:left="17"/>
              <w:jc w:val="center"/>
              <w:rPr>
                <w:color w:val="000000"/>
                <w:kern w:val="0"/>
                <w:sz w:val="24"/>
              </w:rPr>
            </w:pPr>
            <w:r>
              <w:rPr>
                <w:color w:val="000000"/>
                <w:kern w:val="0"/>
              </w:rPr>
              <w:t>序号</w:t>
            </w:r>
          </w:p>
        </w:tc>
        <w:tc>
          <w:tcPr>
            <w:tcW w:w="3357" w:type="dxa"/>
            <w:tcBorders>
              <w:top w:val="single" w:sz="0" w:space="0" w:color="000000"/>
              <w:left w:val="single" w:sz="0" w:space="0" w:color="000000"/>
              <w:bottom w:val="single" w:sz="0" w:space="0" w:color="000000"/>
              <w:right w:val="single" w:sz="0" w:space="0" w:color="000000"/>
            </w:tcBorders>
            <w:vAlign w:val="center"/>
          </w:tcPr>
          <w:p w:rsidR="000D684F">
            <w:pPr>
              <w:ind w:left="17"/>
              <w:jc w:val="center"/>
              <w:rPr>
                <w:color w:val="000000"/>
                <w:kern w:val="0"/>
                <w:sz w:val="24"/>
              </w:rPr>
            </w:pPr>
            <w:r>
              <w:rPr>
                <w:color w:val="000000"/>
                <w:kern w:val="0"/>
              </w:rPr>
              <w:t>项目</w:t>
            </w:r>
          </w:p>
        </w:tc>
        <w:tc>
          <w:tcPr>
            <w:tcW w:w="2977" w:type="dxa"/>
            <w:tcBorders>
              <w:top w:val="single" w:sz="0" w:space="0" w:color="000000"/>
              <w:left w:val="single" w:sz="0" w:space="0" w:color="000000"/>
              <w:bottom w:val="single" w:sz="0" w:space="0" w:color="000000"/>
              <w:right w:val="single" w:sz="0" w:space="0" w:color="000000"/>
            </w:tcBorders>
            <w:vAlign w:val="center"/>
          </w:tcPr>
          <w:p w:rsidR="000D684F">
            <w:pPr>
              <w:ind w:left="17"/>
              <w:jc w:val="center"/>
              <w:rPr>
                <w:color w:val="000000"/>
                <w:kern w:val="0"/>
                <w:sz w:val="24"/>
              </w:rPr>
            </w:pPr>
            <w:r>
              <w:rPr>
                <w:color w:val="000000"/>
                <w:kern w:val="0"/>
              </w:rPr>
              <w:t>金额（元）</w:t>
            </w:r>
          </w:p>
        </w:tc>
        <w:tc>
          <w:tcPr>
            <w:tcW w:w="1843" w:type="dxa"/>
            <w:tcBorders>
              <w:top w:val="single" w:sz="0" w:space="0" w:color="000000"/>
              <w:left w:val="single" w:sz="0" w:space="0" w:color="000000"/>
              <w:bottom w:val="single" w:sz="0" w:space="0" w:color="000000"/>
              <w:right w:val="single" w:sz="0" w:space="0" w:color="000000"/>
            </w:tcBorders>
            <w:vAlign w:val="center"/>
          </w:tcPr>
          <w:p w:rsidR="000D684F">
            <w:pPr>
              <w:ind w:left="17"/>
              <w:jc w:val="center"/>
              <w:rPr>
                <w:color w:val="000000"/>
                <w:kern w:val="0"/>
                <w:sz w:val="24"/>
              </w:rPr>
            </w:pPr>
            <w:r>
              <w:rPr>
                <w:color w:val="000000"/>
                <w:kern w:val="0"/>
              </w:rPr>
              <w:t>占基金总资产的比例（</w:t>
            </w:r>
            <w:r>
              <w:rPr>
                <w:color w:val="000000"/>
                <w:kern w:val="0"/>
              </w:rPr>
              <w:t>%</w:t>
            </w:r>
            <w:r>
              <w:rPr>
                <w:color w:val="000000"/>
                <w:kern w:val="0"/>
              </w:rPr>
              <w:t>）</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0D684F">
            <w:pPr>
              <w:ind w:left="17"/>
              <w:jc w:val="center"/>
              <w:rPr>
                <w:color w:val="000000"/>
                <w:kern w:val="0"/>
                <w:sz w:val="24"/>
              </w:rPr>
            </w:pPr>
            <w:r>
              <w:rPr>
                <w:color w:val="000000"/>
                <w:kern w:val="0"/>
              </w:rPr>
              <w:t>1</w:t>
            </w:r>
          </w:p>
        </w:tc>
        <w:tc>
          <w:tcPr>
            <w:tcW w:w="3357" w:type="dxa"/>
            <w:tcBorders>
              <w:top w:val="single" w:sz="0" w:space="0" w:color="000000"/>
              <w:left w:val="single" w:sz="0" w:space="0" w:color="000000"/>
              <w:bottom w:val="single" w:sz="0" w:space="0" w:color="000000"/>
              <w:right w:val="single" w:sz="0" w:space="0" w:color="000000"/>
            </w:tcBorders>
            <w:vAlign w:val="center"/>
          </w:tcPr>
          <w:p w:rsidR="000D684F">
            <w:pPr>
              <w:ind w:left="17"/>
              <w:jc w:val="left"/>
              <w:rPr>
                <w:kern w:val="0"/>
                <w:sz w:val="24"/>
              </w:rPr>
            </w:pPr>
            <w:r>
              <w:rPr>
                <w:color w:val="000000"/>
                <w:kern w:val="0"/>
              </w:rPr>
              <w:t>权益投资</w:t>
            </w:r>
          </w:p>
        </w:tc>
        <w:tc>
          <w:tcPr>
            <w:tcW w:w="2977" w:type="dxa"/>
            <w:tcBorders>
              <w:top w:val="single" w:sz="0" w:space="0" w:color="000000"/>
              <w:left w:val="single" w:sz="0" w:space="0" w:color="000000"/>
              <w:bottom w:val="single" w:sz="0" w:space="0" w:color="000000"/>
              <w:right w:val="single" w:sz="0" w:space="0" w:color="000000"/>
            </w:tcBorders>
            <w:vAlign w:val="center"/>
          </w:tcPr>
          <w:p w:rsidR="000D684F">
            <w:pPr>
              <w:ind w:left="17"/>
              <w:jc w:val="right"/>
              <w:rPr>
                <w:color w:val="000000"/>
                <w:kern w:val="0"/>
                <w:sz w:val="24"/>
              </w:rPr>
            </w:pPr>
            <w:r>
              <w:rPr>
                <w:color w:val="000000"/>
                <w:kern w:val="0"/>
              </w:rPr>
              <w:t>732,284,681.26</w:t>
            </w:r>
          </w:p>
        </w:tc>
        <w:tc>
          <w:tcPr>
            <w:tcW w:w="1843" w:type="dxa"/>
            <w:tcBorders>
              <w:top w:val="single" w:sz="0" w:space="0" w:color="000000"/>
              <w:left w:val="single" w:sz="0" w:space="0" w:color="000000"/>
              <w:bottom w:val="single" w:sz="0" w:space="0" w:color="000000"/>
              <w:right w:val="single" w:sz="0" w:space="0" w:color="000000"/>
            </w:tcBorders>
            <w:vAlign w:val="center"/>
          </w:tcPr>
          <w:p w:rsidR="000D684F">
            <w:pPr>
              <w:ind w:left="17"/>
              <w:jc w:val="right"/>
              <w:rPr>
                <w:color w:val="000000"/>
                <w:kern w:val="0"/>
                <w:sz w:val="24"/>
              </w:rPr>
            </w:pPr>
            <w:r>
              <w:rPr>
                <w:color w:val="000000"/>
                <w:kern w:val="0"/>
              </w:rPr>
              <w:t>98.51</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0D684F">
            <w:pPr>
              <w:ind w:left="17"/>
              <w:jc w:val="center"/>
              <w:rPr>
                <w:color w:val="000000"/>
                <w:kern w:val="0"/>
                <w:sz w:val="24"/>
              </w:rPr>
            </w:pPr>
          </w:p>
        </w:tc>
        <w:tc>
          <w:tcPr>
            <w:tcW w:w="3357" w:type="dxa"/>
            <w:tcBorders>
              <w:top w:val="single" w:sz="0" w:space="0" w:color="000000"/>
              <w:left w:val="single" w:sz="0" w:space="0" w:color="000000"/>
              <w:bottom w:val="single" w:sz="0" w:space="0" w:color="000000"/>
              <w:right w:val="single" w:sz="0" w:space="0" w:color="000000"/>
            </w:tcBorders>
            <w:vAlign w:val="center"/>
          </w:tcPr>
          <w:p w:rsidR="000D684F">
            <w:pPr>
              <w:ind w:left="17"/>
              <w:jc w:val="left"/>
              <w:rPr>
                <w:kern w:val="0"/>
                <w:sz w:val="24"/>
              </w:rPr>
            </w:pPr>
            <w:r>
              <w:rPr>
                <w:color w:val="000000"/>
                <w:kern w:val="0"/>
              </w:rPr>
              <w:t>其中：股票</w:t>
            </w:r>
          </w:p>
        </w:tc>
        <w:tc>
          <w:tcPr>
            <w:tcW w:w="2977" w:type="dxa"/>
            <w:tcBorders>
              <w:top w:val="single" w:sz="0" w:space="0" w:color="000000"/>
              <w:left w:val="single" w:sz="0" w:space="0" w:color="000000"/>
              <w:bottom w:val="single" w:sz="0" w:space="0" w:color="000000"/>
              <w:right w:val="single" w:sz="0" w:space="0" w:color="000000"/>
            </w:tcBorders>
            <w:vAlign w:val="center"/>
          </w:tcPr>
          <w:p w:rsidR="000D684F">
            <w:pPr>
              <w:ind w:left="17"/>
              <w:jc w:val="right"/>
              <w:rPr>
                <w:color w:val="000000"/>
                <w:kern w:val="0"/>
                <w:sz w:val="24"/>
              </w:rPr>
            </w:pPr>
            <w:r>
              <w:rPr>
                <w:color w:val="000000"/>
                <w:kern w:val="0"/>
              </w:rPr>
              <w:t>732,284,681.26</w:t>
            </w:r>
          </w:p>
        </w:tc>
        <w:tc>
          <w:tcPr>
            <w:tcW w:w="1843" w:type="dxa"/>
            <w:tcBorders>
              <w:top w:val="single" w:sz="0" w:space="0" w:color="000000"/>
              <w:left w:val="single" w:sz="0" w:space="0" w:color="000000"/>
              <w:bottom w:val="single" w:sz="0" w:space="0" w:color="000000"/>
              <w:right w:val="single" w:sz="0" w:space="0" w:color="000000"/>
            </w:tcBorders>
            <w:vAlign w:val="center"/>
          </w:tcPr>
          <w:p w:rsidR="000D684F">
            <w:pPr>
              <w:ind w:left="17"/>
              <w:jc w:val="right"/>
              <w:rPr>
                <w:color w:val="000000"/>
                <w:kern w:val="0"/>
                <w:sz w:val="24"/>
              </w:rPr>
            </w:pPr>
            <w:r>
              <w:rPr>
                <w:color w:val="000000"/>
                <w:kern w:val="0"/>
              </w:rPr>
              <w:t>98.51</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0D684F">
            <w:pPr>
              <w:ind w:left="17"/>
              <w:jc w:val="center"/>
              <w:rPr>
                <w:color w:val="000000"/>
                <w:kern w:val="0"/>
                <w:sz w:val="24"/>
              </w:rPr>
            </w:pPr>
            <w:r>
              <w:rPr>
                <w:color w:val="000000"/>
                <w:kern w:val="0"/>
              </w:rPr>
              <w:t>2</w:t>
            </w:r>
          </w:p>
        </w:tc>
        <w:tc>
          <w:tcPr>
            <w:tcW w:w="3357" w:type="dxa"/>
            <w:tcBorders>
              <w:top w:val="single" w:sz="0" w:space="0" w:color="000000"/>
              <w:left w:val="single" w:sz="0" w:space="0" w:color="000000"/>
              <w:bottom w:val="single" w:sz="0" w:space="0" w:color="000000"/>
              <w:right w:val="single" w:sz="0" w:space="0" w:color="000000"/>
            </w:tcBorders>
            <w:vAlign w:val="center"/>
          </w:tcPr>
          <w:p w:rsidR="000D684F">
            <w:pPr>
              <w:ind w:left="17"/>
              <w:jc w:val="left"/>
              <w:rPr>
                <w:kern w:val="0"/>
                <w:sz w:val="24"/>
              </w:rPr>
            </w:pPr>
            <w:r>
              <w:rPr>
                <w:color w:val="000000"/>
                <w:kern w:val="0"/>
              </w:rPr>
              <w:t>固定收益投资</w:t>
            </w:r>
          </w:p>
        </w:tc>
        <w:tc>
          <w:tcPr>
            <w:tcW w:w="2977" w:type="dxa"/>
            <w:tcBorders>
              <w:top w:val="single" w:sz="0" w:space="0" w:color="000000"/>
              <w:left w:val="single" w:sz="0" w:space="0" w:color="000000"/>
              <w:bottom w:val="single" w:sz="0" w:space="0" w:color="000000"/>
              <w:right w:val="single" w:sz="0" w:space="0" w:color="000000"/>
            </w:tcBorders>
            <w:vAlign w:val="center"/>
          </w:tcPr>
          <w:p w:rsidR="000D684F">
            <w:pPr>
              <w:ind w:left="17"/>
              <w:jc w:val="right"/>
              <w:rPr>
                <w:color w:val="000000"/>
                <w:kern w:val="0"/>
                <w:sz w:val="24"/>
              </w:rPr>
            </w:pPr>
            <w:r>
              <w:rPr>
                <w:color w:val="000000"/>
                <w:kern w:val="0"/>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0D684F">
            <w:pPr>
              <w:ind w:left="17"/>
              <w:jc w:val="right"/>
              <w:rPr>
                <w:color w:val="000000"/>
                <w:kern w:val="0"/>
                <w:sz w:val="24"/>
              </w:rPr>
            </w:pPr>
            <w:r>
              <w:rPr>
                <w:color w:val="000000"/>
                <w:kern w:val="0"/>
              </w:rPr>
              <w:t>-</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0D684F">
            <w:pPr>
              <w:ind w:left="17"/>
              <w:jc w:val="center"/>
              <w:rPr>
                <w:color w:val="000000"/>
                <w:kern w:val="0"/>
                <w:sz w:val="24"/>
              </w:rPr>
            </w:pPr>
          </w:p>
        </w:tc>
        <w:tc>
          <w:tcPr>
            <w:tcW w:w="3357" w:type="dxa"/>
            <w:tcBorders>
              <w:top w:val="single" w:sz="0" w:space="0" w:color="000000"/>
              <w:left w:val="single" w:sz="0" w:space="0" w:color="000000"/>
              <w:bottom w:val="single" w:sz="0" w:space="0" w:color="000000"/>
              <w:right w:val="single" w:sz="0" w:space="0" w:color="000000"/>
            </w:tcBorders>
            <w:vAlign w:val="center"/>
          </w:tcPr>
          <w:p w:rsidR="000D684F">
            <w:pPr>
              <w:ind w:left="17"/>
              <w:jc w:val="left"/>
              <w:rPr>
                <w:kern w:val="0"/>
                <w:sz w:val="24"/>
              </w:rPr>
            </w:pPr>
            <w:r>
              <w:rPr>
                <w:color w:val="000000"/>
                <w:kern w:val="0"/>
              </w:rPr>
              <w:t>其中：债券</w:t>
            </w:r>
          </w:p>
        </w:tc>
        <w:tc>
          <w:tcPr>
            <w:tcW w:w="2977" w:type="dxa"/>
            <w:tcBorders>
              <w:top w:val="single" w:sz="0" w:space="0" w:color="000000"/>
              <w:left w:val="single" w:sz="0" w:space="0" w:color="000000"/>
              <w:bottom w:val="single" w:sz="0" w:space="0" w:color="000000"/>
              <w:right w:val="single" w:sz="0" w:space="0" w:color="000000"/>
            </w:tcBorders>
            <w:vAlign w:val="center"/>
          </w:tcPr>
          <w:p w:rsidR="000D684F">
            <w:pPr>
              <w:ind w:left="17"/>
              <w:jc w:val="right"/>
              <w:rPr>
                <w:color w:val="000000"/>
                <w:kern w:val="0"/>
                <w:sz w:val="24"/>
              </w:rPr>
            </w:pPr>
            <w:r>
              <w:rPr>
                <w:color w:val="000000"/>
                <w:kern w:val="0"/>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0D684F">
            <w:pPr>
              <w:ind w:left="17"/>
              <w:jc w:val="right"/>
              <w:rPr>
                <w:color w:val="000000"/>
                <w:kern w:val="0"/>
                <w:sz w:val="24"/>
              </w:rPr>
            </w:pPr>
            <w:r>
              <w:rPr>
                <w:color w:val="000000"/>
                <w:kern w:val="0"/>
              </w:rPr>
              <w:t>-</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0D684F">
            <w:pPr>
              <w:ind w:left="17"/>
              <w:jc w:val="center"/>
              <w:rPr>
                <w:color w:val="000000"/>
                <w:kern w:val="0"/>
                <w:sz w:val="24"/>
              </w:rPr>
            </w:pPr>
          </w:p>
        </w:tc>
        <w:tc>
          <w:tcPr>
            <w:tcW w:w="3357" w:type="dxa"/>
            <w:tcBorders>
              <w:top w:val="single" w:sz="0" w:space="0" w:color="000000"/>
              <w:left w:val="single" w:sz="0" w:space="0" w:color="000000"/>
              <w:bottom w:val="single" w:sz="0" w:space="0" w:color="000000"/>
              <w:right w:val="single" w:sz="0" w:space="0" w:color="000000"/>
            </w:tcBorders>
            <w:vAlign w:val="center"/>
          </w:tcPr>
          <w:p w:rsidR="000D684F">
            <w:pPr>
              <w:autoSpaceDE w:val="0"/>
              <w:autoSpaceDN w:val="0"/>
              <w:adjustRightInd w:val="0"/>
              <w:ind w:left="17"/>
              <w:jc w:val="left"/>
              <w:rPr>
                <w:color w:val="000000"/>
                <w:kern w:val="0"/>
                <w:sz w:val="24"/>
              </w:rPr>
            </w:pPr>
            <w:r>
              <w:rPr>
                <w:color w:val="000000"/>
                <w:kern w:val="0"/>
              </w:rPr>
              <w:t>资产支持证券</w:t>
            </w:r>
          </w:p>
        </w:tc>
        <w:tc>
          <w:tcPr>
            <w:tcW w:w="2977" w:type="dxa"/>
            <w:tcBorders>
              <w:top w:val="single" w:sz="0" w:space="0" w:color="000000"/>
              <w:left w:val="single" w:sz="0" w:space="0" w:color="000000"/>
              <w:bottom w:val="single" w:sz="0" w:space="0" w:color="000000"/>
              <w:right w:val="single" w:sz="0" w:space="0" w:color="000000"/>
            </w:tcBorders>
            <w:vAlign w:val="center"/>
          </w:tcPr>
          <w:p w:rsidR="000D684F">
            <w:pPr>
              <w:ind w:left="17"/>
              <w:jc w:val="right"/>
              <w:rPr>
                <w:color w:val="000000"/>
                <w:kern w:val="0"/>
                <w:sz w:val="24"/>
              </w:rPr>
            </w:pPr>
            <w:r>
              <w:rPr>
                <w:color w:val="000000"/>
                <w:kern w:val="0"/>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0D684F">
            <w:pPr>
              <w:ind w:left="17"/>
              <w:jc w:val="right"/>
              <w:rPr>
                <w:color w:val="000000"/>
                <w:kern w:val="0"/>
                <w:sz w:val="24"/>
              </w:rPr>
            </w:pPr>
            <w:r>
              <w:rPr>
                <w:color w:val="000000"/>
                <w:kern w:val="0"/>
              </w:rPr>
              <w:t>-</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tcPr>
          <w:p w:rsidR="000D684F">
            <w:pPr>
              <w:ind w:left="17"/>
              <w:jc w:val="center"/>
              <w:rPr>
                <w:color w:val="000000"/>
                <w:kern w:val="0"/>
                <w:sz w:val="24"/>
              </w:rPr>
            </w:pPr>
            <w:r>
              <w:rPr>
                <w:color w:val="000000"/>
                <w:kern w:val="0"/>
              </w:rPr>
              <w:t>3</w:t>
            </w:r>
          </w:p>
        </w:tc>
        <w:tc>
          <w:tcPr>
            <w:tcW w:w="3357" w:type="dxa"/>
            <w:tcBorders>
              <w:top w:val="single" w:sz="0" w:space="0" w:color="000000"/>
              <w:left w:val="single" w:sz="0" w:space="0" w:color="000000"/>
              <w:bottom w:val="single" w:sz="0" w:space="0" w:color="000000"/>
              <w:right w:val="single" w:sz="0" w:space="0" w:color="000000"/>
            </w:tcBorders>
          </w:tcPr>
          <w:p w:rsidR="000D684F">
            <w:pPr>
              <w:ind w:left="105" w:leftChars="50"/>
              <w:rPr>
                <w:color w:val="000000"/>
                <w:kern w:val="0"/>
                <w:sz w:val="24"/>
              </w:rPr>
            </w:pPr>
            <w:r>
              <w:rPr>
                <w:color w:val="000000"/>
                <w:kern w:val="0"/>
              </w:rPr>
              <w:t>贵金属投资</w:t>
            </w:r>
          </w:p>
        </w:tc>
        <w:tc>
          <w:tcPr>
            <w:tcW w:w="2977" w:type="dxa"/>
            <w:tcBorders>
              <w:top w:val="single" w:sz="0" w:space="0" w:color="000000"/>
              <w:left w:val="single" w:sz="0" w:space="0" w:color="000000"/>
              <w:bottom w:val="single" w:sz="0" w:space="0" w:color="000000"/>
              <w:right w:val="single" w:sz="0" w:space="0" w:color="000000"/>
            </w:tcBorders>
            <w:vAlign w:val="center"/>
          </w:tcPr>
          <w:p w:rsidR="000D684F">
            <w:pPr>
              <w:ind w:left="17"/>
              <w:jc w:val="right"/>
              <w:rPr>
                <w:color w:val="000000"/>
                <w:kern w:val="0"/>
                <w:sz w:val="24"/>
              </w:rPr>
            </w:pPr>
            <w:r>
              <w:rPr>
                <w:color w:val="000000"/>
                <w:kern w:val="0"/>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0D684F">
            <w:pPr>
              <w:ind w:left="17"/>
              <w:jc w:val="right"/>
              <w:rPr>
                <w:color w:val="000000"/>
                <w:kern w:val="0"/>
                <w:sz w:val="24"/>
              </w:rPr>
            </w:pPr>
            <w:r>
              <w:rPr>
                <w:color w:val="000000"/>
                <w:kern w:val="0"/>
              </w:rPr>
              <w:t>-</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0D684F">
            <w:pPr>
              <w:ind w:left="17"/>
              <w:jc w:val="center"/>
              <w:rPr>
                <w:color w:val="000000"/>
                <w:kern w:val="0"/>
                <w:sz w:val="24"/>
              </w:rPr>
            </w:pPr>
            <w:r>
              <w:rPr>
                <w:color w:val="000000"/>
                <w:kern w:val="0"/>
              </w:rPr>
              <w:t>4</w:t>
            </w:r>
          </w:p>
        </w:tc>
        <w:tc>
          <w:tcPr>
            <w:tcW w:w="3357" w:type="dxa"/>
            <w:tcBorders>
              <w:top w:val="single" w:sz="0" w:space="0" w:color="000000"/>
              <w:left w:val="single" w:sz="0" w:space="0" w:color="000000"/>
              <w:bottom w:val="single" w:sz="0" w:space="0" w:color="000000"/>
              <w:right w:val="single" w:sz="0" w:space="0" w:color="000000"/>
            </w:tcBorders>
            <w:vAlign w:val="center"/>
          </w:tcPr>
          <w:p w:rsidR="000D684F">
            <w:pPr>
              <w:ind w:left="17"/>
              <w:jc w:val="left"/>
              <w:rPr>
                <w:color w:val="000000"/>
                <w:kern w:val="0"/>
                <w:sz w:val="24"/>
              </w:rPr>
            </w:pPr>
            <w:r>
              <w:rPr>
                <w:color w:val="000000"/>
                <w:kern w:val="0"/>
              </w:rPr>
              <w:t>金融衍生品投资</w:t>
            </w:r>
          </w:p>
        </w:tc>
        <w:tc>
          <w:tcPr>
            <w:tcW w:w="2977" w:type="dxa"/>
            <w:tcBorders>
              <w:top w:val="single" w:sz="0" w:space="0" w:color="000000"/>
              <w:left w:val="single" w:sz="0" w:space="0" w:color="000000"/>
              <w:bottom w:val="single" w:sz="0" w:space="0" w:color="000000"/>
              <w:right w:val="single" w:sz="0" w:space="0" w:color="000000"/>
            </w:tcBorders>
            <w:vAlign w:val="center"/>
          </w:tcPr>
          <w:p w:rsidR="000D684F">
            <w:pPr>
              <w:ind w:left="17"/>
              <w:jc w:val="right"/>
              <w:rPr>
                <w:color w:val="000000"/>
                <w:kern w:val="0"/>
                <w:sz w:val="24"/>
              </w:rPr>
            </w:pPr>
            <w:r>
              <w:rPr>
                <w:color w:val="000000"/>
                <w:kern w:val="0"/>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0D684F">
            <w:pPr>
              <w:ind w:left="17"/>
              <w:jc w:val="right"/>
              <w:rPr>
                <w:color w:val="000000"/>
                <w:kern w:val="0"/>
                <w:sz w:val="24"/>
              </w:rPr>
            </w:pPr>
            <w:r>
              <w:rPr>
                <w:color w:val="000000"/>
                <w:kern w:val="0"/>
              </w:rPr>
              <w:t>-</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0D684F">
            <w:pPr>
              <w:ind w:left="17"/>
              <w:jc w:val="center"/>
              <w:rPr>
                <w:color w:val="000000"/>
                <w:kern w:val="0"/>
                <w:sz w:val="24"/>
              </w:rPr>
            </w:pPr>
            <w:r>
              <w:rPr>
                <w:color w:val="000000"/>
                <w:kern w:val="0"/>
              </w:rPr>
              <w:t>5</w:t>
            </w:r>
          </w:p>
        </w:tc>
        <w:tc>
          <w:tcPr>
            <w:tcW w:w="3357" w:type="dxa"/>
            <w:tcBorders>
              <w:top w:val="single" w:sz="0" w:space="0" w:color="000000"/>
              <w:left w:val="single" w:sz="0" w:space="0" w:color="000000"/>
              <w:bottom w:val="single" w:sz="0" w:space="0" w:color="000000"/>
              <w:right w:val="single" w:sz="0" w:space="0" w:color="000000"/>
            </w:tcBorders>
            <w:vAlign w:val="center"/>
          </w:tcPr>
          <w:p w:rsidR="000D684F">
            <w:pPr>
              <w:ind w:left="17"/>
              <w:jc w:val="left"/>
              <w:rPr>
                <w:kern w:val="0"/>
                <w:sz w:val="24"/>
              </w:rPr>
            </w:pPr>
            <w:r>
              <w:rPr>
                <w:color w:val="000000"/>
                <w:kern w:val="0"/>
              </w:rPr>
              <w:t>买入返售金融资产</w:t>
            </w:r>
          </w:p>
        </w:tc>
        <w:tc>
          <w:tcPr>
            <w:tcW w:w="2977" w:type="dxa"/>
            <w:tcBorders>
              <w:top w:val="single" w:sz="0" w:space="0" w:color="000000"/>
              <w:left w:val="single" w:sz="0" w:space="0" w:color="000000"/>
              <w:bottom w:val="single" w:sz="0" w:space="0" w:color="000000"/>
              <w:right w:val="single" w:sz="0" w:space="0" w:color="000000"/>
            </w:tcBorders>
            <w:vAlign w:val="center"/>
          </w:tcPr>
          <w:p w:rsidR="000D684F">
            <w:pPr>
              <w:ind w:left="17"/>
              <w:jc w:val="right"/>
              <w:rPr>
                <w:color w:val="000000"/>
                <w:kern w:val="0"/>
                <w:sz w:val="24"/>
              </w:rPr>
            </w:pPr>
            <w:r>
              <w:rPr>
                <w:color w:val="000000"/>
                <w:kern w:val="0"/>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0D684F">
            <w:pPr>
              <w:ind w:left="17"/>
              <w:jc w:val="right"/>
              <w:rPr>
                <w:color w:val="000000"/>
                <w:kern w:val="0"/>
                <w:sz w:val="24"/>
              </w:rPr>
            </w:pPr>
            <w:r>
              <w:rPr>
                <w:color w:val="000000"/>
                <w:kern w:val="0"/>
              </w:rPr>
              <w:t>-</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0D684F">
            <w:pPr>
              <w:ind w:left="17"/>
              <w:jc w:val="center"/>
              <w:rPr>
                <w:color w:val="000000"/>
                <w:kern w:val="0"/>
                <w:sz w:val="24"/>
              </w:rPr>
            </w:pPr>
          </w:p>
        </w:tc>
        <w:tc>
          <w:tcPr>
            <w:tcW w:w="3357" w:type="dxa"/>
            <w:tcBorders>
              <w:top w:val="single" w:sz="0" w:space="0" w:color="000000"/>
              <w:left w:val="single" w:sz="0" w:space="0" w:color="000000"/>
              <w:bottom w:val="single" w:sz="0" w:space="0" w:color="000000"/>
              <w:right w:val="single" w:sz="0" w:space="0" w:color="000000"/>
            </w:tcBorders>
            <w:vAlign w:val="center"/>
          </w:tcPr>
          <w:p w:rsidR="000D684F">
            <w:pPr>
              <w:ind w:left="17"/>
              <w:jc w:val="left"/>
              <w:rPr>
                <w:kern w:val="0"/>
                <w:sz w:val="24"/>
              </w:rPr>
            </w:pPr>
            <w:r>
              <w:rPr>
                <w:color w:val="000000"/>
                <w:kern w:val="0"/>
              </w:rPr>
              <w:t>其中：买断式回购的买入返售金融资产</w:t>
            </w:r>
          </w:p>
        </w:tc>
        <w:tc>
          <w:tcPr>
            <w:tcW w:w="2977" w:type="dxa"/>
            <w:tcBorders>
              <w:top w:val="single" w:sz="0" w:space="0" w:color="000000"/>
              <w:left w:val="single" w:sz="0" w:space="0" w:color="000000"/>
              <w:bottom w:val="single" w:sz="0" w:space="0" w:color="000000"/>
              <w:right w:val="single" w:sz="0" w:space="0" w:color="000000"/>
            </w:tcBorders>
            <w:vAlign w:val="center"/>
          </w:tcPr>
          <w:p w:rsidR="000D684F">
            <w:pPr>
              <w:ind w:left="17"/>
              <w:jc w:val="right"/>
              <w:rPr>
                <w:color w:val="000000"/>
                <w:kern w:val="0"/>
                <w:sz w:val="24"/>
              </w:rPr>
            </w:pPr>
            <w:r>
              <w:rPr>
                <w:color w:val="000000"/>
                <w:kern w:val="0"/>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0D684F">
            <w:pPr>
              <w:ind w:left="17"/>
              <w:jc w:val="right"/>
              <w:rPr>
                <w:color w:val="000000"/>
                <w:kern w:val="0"/>
                <w:sz w:val="24"/>
              </w:rPr>
            </w:pPr>
            <w:r>
              <w:rPr>
                <w:color w:val="000000"/>
                <w:kern w:val="0"/>
              </w:rPr>
              <w:t>-</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0D684F">
            <w:pPr>
              <w:ind w:left="17"/>
              <w:jc w:val="center"/>
              <w:rPr>
                <w:color w:val="000000"/>
                <w:kern w:val="0"/>
                <w:sz w:val="24"/>
              </w:rPr>
            </w:pPr>
            <w:r>
              <w:rPr>
                <w:color w:val="000000"/>
                <w:kern w:val="0"/>
              </w:rPr>
              <w:t>6</w:t>
            </w:r>
          </w:p>
        </w:tc>
        <w:tc>
          <w:tcPr>
            <w:tcW w:w="3357" w:type="dxa"/>
            <w:tcBorders>
              <w:top w:val="single" w:sz="0" w:space="0" w:color="000000"/>
              <w:left w:val="single" w:sz="0" w:space="0" w:color="000000"/>
              <w:bottom w:val="single" w:sz="0" w:space="0" w:color="000000"/>
              <w:right w:val="single" w:sz="0" w:space="0" w:color="000000"/>
            </w:tcBorders>
            <w:vAlign w:val="center"/>
          </w:tcPr>
          <w:p w:rsidR="000D684F">
            <w:pPr>
              <w:ind w:left="17"/>
              <w:jc w:val="left"/>
              <w:rPr>
                <w:kern w:val="0"/>
                <w:sz w:val="24"/>
              </w:rPr>
            </w:pPr>
            <w:r>
              <w:rPr>
                <w:color w:val="000000"/>
                <w:kern w:val="0"/>
              </w:rPr>
              <w:t>银行存款和结算备付金合计</w:t>
            </w:r>
          </w:p>
        </w:tc>
        <w:tc>
          <w:tcPr>
            <w:tcW w:w="2977" w:type="dxa"/>
            <w:tcBorders>
              <w:top w:val="single" w:sz="0" w:space="0" w:color="000000"/>
              <w:left w:val="single" w:sz="0" w:space="0" w:color="000000"/>
              <w:bottom w:val="single" w:sz="0" w:space="0" w:color="000000"/>
              <w:right w:val="single" w:sz="0" w:space="0" w:color="000000"/>
            </w:tcBorders>
            <w:vAlign w:val="center"/>
          </w:tcPr>
          <w:p w:rsidR="000D684F">
            <w:pPr>
              <w:ind w:left="17"/>
              <w:jc w:val="right"/>
              <w:rPr>
                <w:color w:val="000000"/>
                <w:kern w:val="0"/>
                <w:sz w:val="24"/>
              </w:rPr>
            </w:pPr>
            <w:r>
              <w:rPr>
                <w:color w:val="000000"/>
                <w:kern w:val="0"/>
              </w:rPr>
              <w:t>10,702,166.59</w:t>
            </w:r>
          </w:p>
        </w:tc>
        <w:tc>
          <w:tcPr>
            <w:tcW w:w="1843" w:type="dxa"/>
            <w:tcBorders>
              <w:top w:val="single" w:sz="0" w:space="0" w:color="000000"/>
              <w:left w:val="single" w:sz="0" w:space="0" w:color="000000"/>
              <w:bottom w:val="single" w:sz="0" w:space="0" w:color="000000"/>
              <w:right w:val="single" w:sz="0" w:space="0" w:color="000000"/>
            </w:tcBorders>
            <w:vAlign w:val="center"/>
          </w:tcPr>
          <w:p w:rsidR="000D684F">
            <w:pPr>
              <w:ind w:left="17"/>
              <w:jc w:val="right"/>
              <w:rPr>
                <w:color w:val="000000"/>
                <w:kern w:val="0"/>
                <w:sz w:val="24"/>
              </w:rPr>
            </w:pPr>
            <w:r>
              <w:rPr>
                <w:color w:val="000000"/>
                <w:kern w:val="0"/>
              </w:rPr>
              <w:t>1.44</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0D684F">
            <w:pPr>
              <w:ind w:left="17"/>
              <w:jc w:val="center"/>
              <w:rPr>
                <w:color w:val="000000"/>
                <w:kern w:val="0"/>
                <w:sz w:val="24"/>
              </w:rPr>
            </w:pPr>
            <w:r>
              <w:rPr>
                <w:color w:val="000000"/>
                <w:kern w:val="0"/>
              </w:rPr>
              <w:t>7</w:t>
            </w:r>
          </w:p>
        </w:tc>
        <w:tc>
          <w:tcPr>
            <w:tcW w:w="3357" w:type="dxa"/>
            <w:tcBorders>
              <w:top w:val="single" w:sz="0" w:space="0" w:color="000000"/>
              <w:left w:val="single" w:sz="0" w:space="0" w:color="000000"/>
              <w:bottom w:val="single" w:sz="0" w:space="0" w:color="000000"/>
              <w:right w:val="single" w:sz="0" w:space="0" w:color="000000"/>
            </w:tcBorders>
            <w:vAlign w:val="center"/>
          </w:tcPr>
          <w:p w:rsidR="000D684F">
            <w:pPr>
              <w:jc w:val="left"/>
              <w:rPr>
                <w:kern w:val="0"/>
                <w:sz w:val="24"/>
              </w:rPr>
            </w:pPr>
            <w:r>
              <w:rPr>
                <w:color w:val="000000"/>
                <w:kern w:val="0"/>
              </w:rPr>
              <w:t>其他资产</w:t>
            </w:r>
          </w:p>
        </w:tc>
        <w:tc>
          <w:tcPr>
            <w:tcW w:w="2977" w:type="dxa"/>
            <w:tcBorders>
              <w:top w:val="single" w:sz="0" w:space="0" w:color="000000"/>
              <w:left w:val="single" w:sz="0" w:space="0" w:color="000000"/>
              <w:bottom w:val="single" w:sz="0" w:space="0" w:color="000000"/>
              <w:right w:val="single" w:sz="0" w:space="0" w:color="000000"/>
            </w:tcBorders>
            <w:vAlign w:val="center"/>
          </w:tcPr>
          <w:p w:rsidR="000D684F">
            <w:pPr>
              <w:jc w:val="right"/>
              <w:rPr>
                <w:color w:val="000000"/>
                <w:kern w:val="0"/>
                <w:sz w:val="24"/>
              </w:rPr>
            </w:pPr>
            <w:r>
              <w:rPr>
                <w:color w:val="000000"/>
                <w:kern w:val="0"/>
              </w:rPr>
              <w:t>397,132.99</w:t>
            </w:r>
          </w:p>
        </w:tc>
        <w:tc>
          <w:tcPr>
            <w:tcW w:w="1843" w:type="dxa"/>
            <w:tcBorders>
              <w:top w:val="single" w:sz="0" w:space="0" w:color="000000"/>
              <w:left w:val="single" w:sz="0" w:space="0" w:color="000000"/>
              <w:bottom w:val="single" w:sz="0" w:space="0" w:color="000000"/>
              <w:right w:val="single" w:sz="0" w:space="0" w:color="000000"/>
            </w:tcBorders>
            <w:vAlign w:val="center"/>
          </w:tcPr>
          <w:p w:rsidR="000D684F">
            <w:pPr>
              <w:jc w:val="right"/>
              <w:rPr>
                <w:color w:val="000000"/>
                <w:kern w:val="0"/>
                <w:sz w:val="24"/>
              </w:rPr>
            </w:pPr>
            <w:r>
              <w:rPr>
                <w:color w:val="000000"/>
                <w:kern w:val="0"/>
              </w:rPr>
              <w:t>0.05</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0D684F">
            <w:pPr>
              <w:ind w:left="17"/>
              <w:jc w:val="center"/>
              <w:rPr>
                <w:color w:val="000000"/>
                <w:kern w:val="0"/>
                <w:sz w:val="24"/>
              </w:rPr>
            </w:pPr>
            <w:r>
              <w:rPr>
                <w:color w:val="000000"/>
                <w:kern w:val="0"/>
              </w:rPr>
              <w:t>8</w:t>
            </w:r>
          </w:p>
        </w:tc>
        <w:tc>
          <w:tcPr>
            <w:tcW w:w="3357" w:type="dxa"/>
            <w:tcBorders>
              <w:top w:val="single" w:sz="0" w:space="0" w:color="000000"/>
              <w:left w:val="single" w:sz="0" w:space="0" w:color="000000"/>
              <w:bottom w:val="single" w:sz="0" w:space="0" w:color="000000"/>
              <w:right w:val="single" w:sz="0" w:space="0" w:color="000000"/>
            </w:tcBorders>
            <w:vAlign w:val="center"/>
          </w:tcPr>
          <w:p w:rsidR="000D684F">
            <w:pPr>
              <w:jc w:val="left"/>
              <w:rPr>
                <w:kern w:val="0"/>
                <w:sz w:val="24"/>
              </w:rPr>
            </w:pPr>
            <w:r>
              <w:rPr>
                <w:color w:val="000000"/>
                <w:kern w:val="0"/>
              </w:rPr>
              <w:t>合计</w:t>
            </w:r>
          </w:p>
        </w:tc>
        <w:tc>
          <w:tcPr>
            <w:tcW w:w="2977" w:type="dxa"/>
            <w:tcBorders>
              <w:top w:val="single" w:sz="0" w:space="0" w:color="000000"/>
              <w:left w:val="single" w:sz="0" w:space="0" w:color="000000"/>
              <w:bottom w:val="single" w:sz="0" w:space="0" w:color="000000"/>
              <w:right w:val="single" w:sz="0" w:space="0" w:color="000000"/>
            </w:tcBorders>
            <w:vAlign w:val="center"/>
          </w:tcPr>
          <w:p w:rsidR="000D684F">
            <w:pPr>
              <w:jc w:val="right"/>
              <w:rPr>
                <w:color w:val="000000"/>
                <w:kern w:val="0"/>
                <w:sz w:val="24"/>
              </w:rPr>
            </w:pPr>
            <w:r>
              <w:rPr>
                <w:color w:val="000000"/>
                <w:kern w:val="0"/>
              </w:rPr>
              <w:t>743,383,980.84</w:t>
            </w:r>
          </w:p>
        </w:tc>
        <w:tc>
          <w:tcPr>
            <w:tcW w:w="1843" w:type="dxa"/>
            <w:tcBorders>
              <w:top w:val="single" w:sz="0" w:space="0" w:color="000000"/>
              <w:left w:val="single" w:sz="0" w:space="0" w:color="000000"/>
              <w:bottom w:val="single" w:sz="0" w:space="0" w:color="000000"/>
              <w:right w:val="single" w:sz="0" w:space="0" w:color="000000"/>
            </w:tcBorders>
            <w:vAlign w:val="center"/>
          </w:tcPr>
          <w:p w:rsidR="000D684F">
            <w:pPr>
              <w:jc w:val="right"/>
              <w:rPr>
                <w:color w:val="000000"/>
                <w:kern w:val="0"/>
                <w:sz w:val="24"/>
              </w:rPr>
            </w:pPr>
            <w:r>
              <w:rPr>
                <w:color w:val="000000"/>
                <w:kern w:val="0"/>
              </w:rPr>
              <w:t>100.00</w:t>
            </w:r>
          </w:p>
        </w:tc>
      </w:tr>
    </w:tbl>
    <w:p w:rsidR="000D684F">
      <w:pPr>
        <w:spacing w:line="360" w:lineRule="auto"/>
        <w:ind w:firstLine="420"/>
        <w:jc w:val="left"/>
      </w:pPr>
      <w:r>
        <w:t>注：本基金本报告期末融出证券市值为</w:t>
      </w:r>
      <w:r>
        <w:t>76,282,050.00</w:t>
      </w:r>
      <w:r>
        <w:t>元，占净值比例</w:t>
      </w:r>
      <w:r>
        <w:t>10.28%</w:t>
      </w:r>
      <w:r>
        <w:t>。</w:t>
      </w:r>
    </w:p>
    <w:p w:rsidR="000D684F">
      <w:pPr>
        <w:spacing w:line="360" w:lineRule="auto"/>
        <w:jc w:val="left"/>
      </w:pPr>
      <w:r>
        <w:t>2</w:t>
      </w:r>
      <w:r>
        <w:t>、</w:t>
      </w:r>
      <w:r>
        <w:t xml:space="preserve"> </w:t>
      </w:r>
      <w:r>
        <w:t>报告期末按行业分类的股票投资组合</w:t>
      </w:r>
    </w:p>
    <w:p w:rsidR="000D684F">
      <w:pPr>
        <w:spacing w:line="360" w:lineRule="auto"/>
        <w:jc w:val="left"/>
      </w:pPr>
      <w:r>
        <w:t>（</w:t>
      </w:r>
      <w:r>
        <w:t>1</w:t>
      </w:r>
      <w:r>
        <w:t>）报告期末按行业分类的境内股票投资组合</w:t>
      </w:r>
    </w:p>
    <w:tbl>
      <w:tblPr>
        <w:tblW w:w="878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9"/>
        <w:gridCol w:w="3544"/>
        <w:gridCol w:w="2977"/>
        <w:gridCol w:w="1559"/>
      </w:tblGrid>
      <w:tr>
        <w:tblPrEx>
          <w:tblW w:w="878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val="390"/>
        </w:trPr>
        <w:tc>
          <w:tcPr>
            <w:tcW w:w="709" w:type="dxa"/>
            <w:tcBorders>
              <w:top w:val="single" w:sz="0" w:space="0" w:color="000000"/>
              <w:left w:val="single" w:sz="0" w:space="0" w:color="000000"/>
              <w:bottom w:val="single" w:sz="0" w:space="0" w:color="000000"/>
              <w:right w:val="single" w:sz="0" w:space="0" w:color="000000"/>
            </w:tcBorders>
            <w:vAlign w:val="center"/>
          </w:tcPr>
          <w:p w:rsidR="000D684F">
            <w:pPr>
              <w:adjustRightInd w:val="0"/>
              <w:snapToGrid w:val="0"/>
              <w:jc w:val="center"/>
              <w:rPr>
                <w:rFonts w:eastAsiaTheme="minorEastAsia"/>
                <w:color w:val="000000" w:themeColor="text1"/>
                <w:kern w:val="0"/>
                <w:sz w:val="24"/>
              </w:rPr>
            </w:pPr>
            <w:r>
              <w:rPr>
                <w:rFonts w:eastAsiaTheme="minorEastAsia"/>
                <w:color w:val="000000" w:themeColor="text1"/>
                <w:kern w:val="0"/>
              </w:rPr>
              <w:t>代码</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D684F">
            <w:pPr>
              <w:adjustRightInd w:val="0"/>
              <w:snapToGrid w:val="0"/>
              <w:jc w:val="center"/>
              <w:rPr>
                <w:rFonts w:eastAsiaTheme="minorEastAsia"/>
                <w:color w:val="000000" w:themeColor="text1"/>
                <w:kern w:val="0"/>
                <w:sz w:val="24"/>
              </w:rPr>
            </w:pPr>
            <w:r>
              <w:rPr>
                <w:rFonts w:eastAsiaTheme="minorEastAsia"/>
                <w:color w:val="000000" w:themeColor="text1"/>
                <w:kern w:val="0"/>
              </w:rPr>
              <w:t>行业类别</w:t>
            </w:r>
          </w:p>
        </w:tc>
        <w:tc>
          <w:tcPr>
            <w:tcW w:w="2977" w:type="dxa"/>
            <w:tcBorders>
              <w:top w:val="single" w:sz="0" w:space="0" w:color="000000"/>
              <w:left w:val="single" w:sz="0" w:space="0" w:color="000000"/>
              <w:bottom w:val="single" w:sz="0" w:space="0" w:color="000000"/>
              <w:right w:val="single" w:sz="0" w:space="0" w:color="000000"/>
            </w:tcBorders>
            <w:vAlign w:val="center"/>
          </w:tcPr>
          <w:p w:rsidR="000D684F">
            <w:pPr>
              <w:adjustRightInd w:val="0"/>
              <w:snapToGrid w:val="0"/>
              <w:jc w:val="center"/>
              <w:rPr>
                <w:rFonts w:eastAsiaTheme="minorEastAsia"/>
                <w:color w:val="000000" w:themeColor="text1"/>
                <w:kern w:val="0"/>
                <w:sz w:val="24"/>
              </w:rPr>
            </w:pPr>
            <w:r>
              <w:rPr>
                <w:rFonts w:eastAsiaTheme="minorEastAsia"/>
                <w:color w:val="000000" w:themeColor="text1"/>
                <w:kern w:val="0"/>
              </w:rPr>
              <w:t>公允价值（元）</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D684F">
            <w:pPr>
              <w:adjustRightInd w:val="0"/>
              <w:snapToGrid w:val="0"/>
              <w:jc w:val="center"/>
              <w:rPr>
                <w:rFonts w:eastAsiaTheme="minorEastAsia"/>
                <w:color w:val="000000" w:themeColor="text1"/>
                <w:kern w:val="0"/>
                <w:sz w:val="24"/>
              </w:rPr>
            </w:pPr>
            <w:r>
              <w:rPr>
                <w:rFonts w:eastAsiaTheme="minorEastAsia"/>
                <w:color w:val="000000" w:themeColor="text1"/>
                <w:kern w:val="0"/>
              </w:rPr>
              <w:t>占基金资产净值比例（％）</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D684F">
            <w:pPr>
              <w:adjustRightInd w:val="0"/>
              <w:snapToGrid w:val="0"/>
              <w:jc w:val="center"/>
              <w:rPr>
                <w:rFonts w:eastAsiaTheme="minorEastAsia"/>
                <w:color w:val="000000" w:themeColor="text1"/>
                <w:kern w:val="0"/>
                <w:sz w:val="24"/>
              </w:rPr>
            </w:pPr>
            <w:r>
              <w:rPr>
                <w:rFonts w:eastAsiaTheme="minorEastAsia"/>
                <w:color w:val="000000" w:themeColor="text1"/>
                <w:kern w:val="0"/>
              </w:rPr>
              <w:t>A</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D684F">
            <w:pPr>
              <w:adjustRightInd w:val="0"/>
              <w:snapToGrid w:val="0"/>
              <w:rPr>
                <w:rFonts w:eastAsiaTheme="minorEastAsia"/>
                <w:color w:val="000000" w:themeColor="text1"/>
                <w:kern w:val="0"/>
                <w:sz w:val="24"/>
              </w:rPr>
            </w:pPr>
            <w:r>
              <w:rPr>
                <w:rFonts w:eastAsiaTheme="minorEastAsia"/>
                <w:color w:val="000000" w:themeColor="text1"/>
                <w:kern w:val="0"/>
              </w:rPr>
              <w:t>农、林、牧、渔业</w:t>
            </w:r>
          </w:p>
        </w:tc>
        <w:tc>
          <w:tcPr>
            <w:tcW w:w="2977" w:type="dxa"/>
            <w:tcBorders>
              <w:top w:val="single" w:sz="0" w:space="0" w:color="000000"/>
              <w:left w:val="single" w:sz="0" w:space="0" w:color="000000"/>
              <w:bottom w:val="single" w:sz="0" w:space="0" w:color="000000"/>
              <w:right w:val="single" w:sz="0" w:space="0" w:color="000000"/>
            </w:tcBorders>
            <w:vAlign w:val="center"/>
          </w:tcPr>
          <w:p w:rsidR="000D684F">
            <w:pPr>
              <w:autoSpaceDE w:val="0"/>
              <w:autoSpaceDN w:val="0"/>
              <w:adjustRightInd w:val="0"/>
              <w:ind w:left="15"/>
              <w:jc w:val="right"/>
              <w:rPr>
                <w:rFonts w:eastAsiaTheme="minorEastAsia"/>
                <w:color w:val="000000" w:themeColor="text1"/>
                <w:kern w:val="0"/>
                <w:sz w:val="24"/>
              </w:rPr>
            </w:pPr>
            <w:r>
              <w:rPr>
                <w:rFonts w:eastAsiaTheme="minorEastAsia"/>
                <w:color w:val="000000" w:themeColor="text1"/>
                <w:kern w:val="0"/>
              </w:rPr>
              <w:t>5,766.30</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D684F">
            <w:pPr>
              <w:autoSpaceDE w:val="0"/>
              <w:autoSpaceDN w:val="0"/>
              <w:adjustRightInd w:val="0"/>
              <w:ind w:left="15"/>
              <w:jc w:val="right"/>
              <w:rPr>
                <w:rFonts w:eastAsiaTheme="minorEastAsia"/>
                <w:color w:val="000000" w:themeColor="text1"/>
                <w:kern w:val="0"/>
                <w:sz w:val="24"/>
              </w:rPr>
            </w:pPr>
            <w:r>
              <w:rPr>
                <w:rFonts w:eastAsiaTheme="minorEastAsia"/>
                <w:color w:val="000000" w:themeColor="text1"/>
                <w:kern w:val="0"/>
              </w:rPr>
              <w:t>0.00</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D684F">
            <w:pPr>
              <w:adjustRightInd w:val="0"/>
              <w:snapToGrid w:val="0"/>
              <w:jc w:val="center"/>
              <w:rPr>
                <w:rFonts w:eastAsiaTheme="minorEastAsia"/>
                <w:color w:val="000000" w:themeColor="text1"/>
                <w:kern w:val="0"/>
                <w:sz w:val="24"/>
              </w:rPr>
            </w:pPr>
            <w:r>
              <w:rPr>
                <w:rFonts w:eastAsiaTheme="minorEastAsia"/>
                <w:color w:val="000000" w:themeColor="text1"/>
                <w:kern w:val="0"/>
              </w:rPr>
              <w:t>B</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D684F">
            <w:pPr>
              <w:adjustRightInd w:val="0"/>
              <w:snapToGrid w:val="0"/>
              <w:rPr>
                <w:rFonts w:eastAsiaTheme="minorEastAsia"/>
                <w:color w:val="000000" w:themeColor="text1"/>
                <w:kern w:val="0"/>
                <w:sz w:val="24"/>
              </w:rPr>
            </w:pPr>
            <w:r>
              <w:rPr>
                <w:rFonts w:eastAsiaTheme="minorEastAsia"/>
                <w:color w:val="000000" w:themeColor="text1"/>
                <w:kern w:val="0"/>
              </w:rPr>
              <w:t>采矿业</w:t>
            </w:r>
          </w:p>
        </w:tc>
        <w:tc>
          <w:tcPr>
            <w:tcW w:w="2977" w:type="dxa"/>
            <w:tcBorders>
              <w:top w:val="single" w:sz="0" w:space="0" w:color="000000"/>
              <w:left w:val="single" w:sz="0" w:space="0" w:color="000000"/>
              <w:bottom w:val="single" w:sz="0" w:space="0" w:color="000000"/>
              <w:right w:val="single" w:sz="0" w:space="0" w:color="000000"/>
            </w:tcBorders>
            <w:vAlign w:val="center"/>
          </w:tcPr>
          <w:p w:rsidR="000D684F">
            <w:pPr>
              <w:jc w:val="right"/>
              <w:rPr>
                <w:rFonts w:eastAsiaTheme="minorEastAsia"/>
                <w:color w:val="000000" w:themeColor="text1"/>
                <w:kern w:val="0"/>
                <w:sz w:val="24"/>
              </w:rPr>
            </w:pPr>
            <w:r>
              <w:rPr>
                <w:rFonts w:eastAsiaTheme="minorEastAsia"/>
                <w:color w:val="000000" w:themeColor="text1"/>
                <w:kern w:val="0"/>
              </w:rPr>
              <w:t>-</w:t>
            </w:r>
          </w:p>
          <w:p w:rsidR="000D684F">
            <w:pPr>
              <w:jc w:val="right"/>
              <w:rPr>
                <w:rFonts w:eastAsiaTheme="minorEastAsia"/>
                <w:color w:val="000000" w:themeColor="text1"/>
                <w:kern w:val="0"/>
                <w:sz w:val="24"/>
              </w:rPr>
            </w:pP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D684F">
            <w:pPr>
              <w:jc w:val="right"/>
              <w:rPr>
                <w:rFonts w:eastAsiaTheme="minorEastAsia"/>
                <w:color w:val="000000" w:themeColor="text1"/>
                <w:kern w:val="0"/>
                <w:sz w:val="24"/>
              </w:rPr>
            </w:pPr>
            <w:r>
              <w:rPr>
                <w:rFonts w:eastAsiaTheme="minorEastAsia"/>
                <w:color w:val="000000" w:themeColor="text1"/>
                <w:kern w:val="0"/>
              </w:rPr>
              <w:t>-</w:t>
            </w:r>
          </w:p>
          <w:p w:rsidR="000D684F">
            <w:pPr>
              <w:jc w:val="right"/>
              <w:rPr>
                <w:rFonts w:eastAsiaTheme="minorEastAsia"/>
                <w:color w:val="000000" w:themeColor="text1"/>
                <w:kern w:val="0"/>
                <w:sz w:val="24"/>
              </w:rPr>
            </w:pP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D684F">
            <w:pPr>
              <w:adjustRightInd w:val="0"/>
              <w:snapToGrid w:val="0"/>
              <w:jc w:val="center"/>
              <w:rPr>
                <w:rFonts w:eastAsiaTheme="minorEastAsia"/>
                <w:color w:val="000000" w:themeColor="text1"/>
                <w:kern w:val="0"/>
                <w:sz w:val="24"/>
              </w:rPr>
            </w:pPr>
            <w:r>
              <w:rPr>
                <w:rFonts w:eastAsiaTheme="minorEastAsia"/>
                <w:color w:val="000000" w:themeColor="text1"/>
                <w:kern w:val="0"/>
              </w:rPr>
              <w:t>C</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D684F">
            <w:pPr>
              <w:adjustRightInd w:val="0"/>
              <w:snapToGrid w:val="0"/>
              <w:rPr>
                <w:rFonts w:eastAsiaTheme="minorEastAsia"/>
                <w:color w:val="000000" w:themeColor="text1"/>
                <w:kern w:val="0"/>
                <w:sz w:val="24"/>
              </w:rPr>
            </w:pPr>
            <w:r>
              <w:rPr>
                <w:rFonts w:eastAsiaTheme="minorEastAsia"/>
                <w:color w:val="000000" w:themeColor="text1"/>
                <w:kern w:val="0"/>
              </w:rPr>
              <w:t>制造业</w:t>
            </w:r>
          </w:p>
        </w:tc>
        <w:tc>
          <w:tcPr>
            <w:tcW w:w="2977" w:type="dxa"/>
            <w:tcBorders>
              <w:top w:val="single" w:sz="0" w:space="0" w:color="000000"/>
              <w:left w:val="single" w:sz="0" w:space="0" w:color="000000"/>
              <w:bottom w:val="single" w:sz="0" w:space="0" w:color="000000"/>
              <w:right w:val="single" w:sz="0" w:space="0" w:color="000000"/>
            </w:tcBorders>
            <w:vAlign w:val="center"/>
          </w:tcPr>
          <w:p w:rsidR="000D684F">
            <w:pPr>
              <w:jc w:val="right"/>
              <w:rPr>
                <w:rFonts w:eastAsiaTheme="minorEastAsia"/>
                <w:color w:val="000000" w:themeColor="text1"/>
                <w:kern w:val="0"/>
                <w:sz w:val="24"/>
              </w:rPr>
            </w:pPr>
            <w:r>
              <w:rPr>
                <w:rFonts w:eastAsiaTheme="minorEastAsia"/>
                <w:color w:val="000000" w:themeColor="text1"/>
                <w:kern w:val="0"/>
              </w:rPr>
              <w:t>624,695,672.80</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D684F">
            <w:pPr>
              <w:jc w:val="right"/>
              <w:rPr>
                <w:rFonts w:eastAsiaTheme="minorEastAsia"/>
                <w:color w:val="000000" w:themeColor="text1"/>
                <w:kern w:val="0"/>
                <w:sz w:val="24"/>
              </w:rPr>
            </w:pPr>
            <w:r>
              <w:rPr>
                <w:rFonts w:eastAsiaTheme="minorEastAsia"/>
                <w:color w:val="000000" w:themeColor="text1"/>
                <w:kern w:val="0"/>
              </w:rPr>
              <w:t>84.23</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D684F">
            <w:pPr>
              <w:adjustRightInd w:val="0"/>
              <w:snapToGrid w:val="0"/>
              <w:jc w:val="center"/>
              <w:rPr>
                <w:rFonts w:eastAsiaTheme="minorEastAsia"/>
                <w:color w:val="000000" w:themeColor="text1"/>
                <w:kern w:val="0"/>
                <w:sz w:val="24"/>
              </w:rPr>
            </w:pPr>
            <w:r>
              <w:rPr>
                <w:rFonts w:eastAsiaTheme="minorEastAsia"/>
                <w:color w:val="000000" w:themeColor="text1"/>
                <w:kern w:val="0"/>
              </w:rPr>
              <w:t>D</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D684F">
            <w:pPr>
              <w:adjustRightInd w:val="0"/>
              <w:snapToGrid w:val="0"/>
              <w:rPr>
                <w:rFonts w:eastAsiaTheme="minorEastAsia"/>
                <w:color w:val="000000" w:themeColor="text1"/>
                <w:kern w:val="0"/>
                <w:sz w:val="24"/>
              </w:rPr>
            </w:pPr>
            <w:r>
              <w:rPr>
                <w:rFonts w:eastAsiaTheme="minorEastAsia"/>
                <w:color w:val="000000" w:themeColor="text1"/>
                <w:kern w:val="0"/>
              </w:rPr>
              <w:t>电力、热力、燃气及水生产和供应业</w:t>
            </w:r>
          </w:p>
        </w:tc>
        <w:tc>
          <w:tcPr>
            <w:tcW w:w="2977" w:type="dxa"/>
            <w:tcBorders>
              <w:top w:val="single" w:sz="0" w:space="0" w:color="000000"/>
              <w:left w:val="single" w:sz="0" w:space="0" w:color="000000"/>
              <w:bottom w:val="single" w:sz="0" w:space="0" w:color="000000"/>
              <w:right w:val="single" w:sz="0" w:space="0" w:color="000000"/>
            </w:tcBorders>
            <w:vAlign w:val="center"/>
          </w:tcPr>
          <w:p w:rsidR="000D684F">
            <w:pPr>
              <w:jc w:val="right"/>
              <w:rPr>
                <w:rFonts w:eastAsiaTheme="minorEastAsia"/>
                <w:color w:val="000000" w:themeColor="text1"/>
                <w:kern w:val="0"/>
                <w:sz w:val="24"/>
              </w:rPr>
            </w:pPr>
            <w:r>
              <w:rPr>
                <w:rFonts w:eastAsiaTheme="minorEastAsia"/>
                <w:color w:val="000000" w:themeColor="text1"/>
                <w:kern w:val="0"/>
              </w:rPr>
              <w:t>-</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D684F">
            <w:pPr>
              <w:jc w:val="right"/>
              <w:rPr>
                <w:rFonts w:eastAsiaTheme="minorEastAsia"/>
                <w:color w:val="000000" w:themeColor="text1"/>
                <w:kern w:val="0"/>
                <w:sz w:val="24"/>
              </w:rPr>
            </w:pPr>
            <w:r>
              <w:rPr>
                <w:rFonts w:eastAsiaTheme="minorEastAsia"/>
                <w:color w:val="000000" w:themeColor="text1"/>
                <w:kern w:val="0"/>
              </w:rPr>
              <w:t>-</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D684F">
            <w:pPr>
              <w:adjustRightInd w:val="0"/>
              <w:snapToGrid w:val="0"/>
              <w:jc w:val="center"/>
              <w:rPr>
                <w:rFonts w:eastAsiaTheme="minorEastAsia"/>
                <w:color w:val="000000" w:themeColor="text1"/>
                <w:kern w:val="0"/>
                <w:sz w:val="24"/>
              </w:rPr>
            </w:pPr>
            <w:r>
              <w:rPr>
                <w:rFonts w:eastAsiaTheme="minorEastAsia"/>
                <w:color w:val="000000" w:themeColor="text1"/>
                <w:kern w:val="0"/>
              </w:rPr>
              <w:t>E</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D684F">
            <w:pPr>
              <w:adjustRightInd w:val="0"/>
              <w:snapToGrid w:val="0"/>
              <w:rPr>
                <w:rFonts w:eastAsiaTheme="minorEastAsia"/>
                <w:color w:val="000000" w:themeColor="text1"/>
                <w:kern w:val="0"/>
                <w:sz w:val="24"/>
              </w:rPr>
            </w:pPr>
            <w:r>
              <w:rPr>
                <w:rFonts w:eastAsiaTheme="minorEastAsia"/>
                <w:color w:val="000000" w:themeColor="text1"/>
                <w:kern w:val="0"/>
              </w:rPr>
              <w:t>建筑业</w:t>
            </w:r>
          </w:p>
        </w:tc>
        <w:tc>
          <w:tcPr>
            <w:tcW w:w="2977" w:type="dxa"/>
            <w:tcBorders>
              <w:top w:val="single" w:sz="0" w:space="0" w:color="000000"/>
              <w:left w:val="single" w:sz="0" w:space="0" w:color="000000"/>
              <w:bottom w:val="single" w:sz="0" w:space="0" w:color="000000"/>
              <w:right w:val="single" w:sz="0" w:space="0" w:color="000000"/>
            </w:tcBorders>
            <w:vAlign w:val="center"/>
          </w:tcPr>
          <w:p w:rsidR="000D684F">
            <w:pPr>
              <w:jc w:val="right"/>
              <w:rPr>
                <w:rFonts w:eastAsiaTheme="minorEastAsia"/>
                <w:color w:val="000000" w:themeColor="text1"/>
                <w:kern w:val="0"/>
                <w:sz w:val="24"/>
              </w:rPr>
            </w:pPr>
            <w:r>
              <w:rPr>
                <w:rFonts w:eastAsiaTheme="minorEastAsia"/>
                <w:color w:val="000000" w:themeColor="text1"/>
                <w:kern w:val="0"/>
              </w:rPr>
              <w:t>20,183.39</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D684F">
            <w:pPr>
              <w:jc w:val="right"/>
              <w:rPr>
                <w:rFonts w:eastAsiaTheme="minorEastAsia"/>
                <w:color w:val="000000" w:themeColor="text1"/>
                <w:kern w:val="0"/>
                <w:sz w:val="24"/>
              </w:rPr>
            </w:pPr>
            <w:r>
              <w:rPr>
                <w:rFonts w:eastAsiaTheme="minorEastAsia"/>
                <w:color w:val="000000" w:themeColor="text1"/>
                <w:kern w:val="0"/>
              </w:rPr>
              <w:t>0.00</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D684F">
            <w:pPr>
              <w:adjustRightInd w:val="0"/>
              <w:snapToGrid w:val="0"/>
              <w:jc w:val="center"/>
              <w:rPr>
                <w:rFonts w:eastAsiaTheme="minorEastAsia"/>
                <w:color w:val="000000" w:themeColor="text1"/>
                <w:kern w:val="0"/>
                <w:sz w:val="24"/>
              </w:rPr>
            </w:pPr>
            <w:r>
              <w:rPr>
                <w:rFonts w:eastAsiaTheme="minorEastAsia"/>
                <w:color w:val="000000" w:themeColor="text1"/>
                <w:kern w:val="0"/>
              </w:rPr>
              <w:t>F</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D684F">
            <w:pPr>
              <w:adjustRightInd w:val="0"/>
              <w:snapToGrid w:val="0"/>
              <w:rPr>
                <w:rFonts w:eastAsiaTheme="minorEastAsia"/>
                <w:color w:val="000000" w:themeColor="text1"/>
                <w:kern w:val="0"/>
                <w:sz w:val="24"/>
              </w:rPr>
            </w:pPr>
            <w:r>
              <w:rPr>
                <w:rFonts w:eastAsiaTheme="minorEastAsia"/>
                <w:color w:val="000000" w:themeColor="text1"/>
                <w:kern w:val="0"/>
              </w:rPr>
              <w:t>批发和零售业</w:t>
            </w:r>
          </w:p>
        </w:tc>
        <w:tc>
          <w:tcPr>
            <w:tcW w:w="2977" w:type="dxa"/>
            <w:tcBorders>
              <w:top w:val="single" w:sz="0" w:space="0" w:color="000000"/>
              <w:left w:val="single" w:sz="0" w:space="0" w:color="000000"/>
              <w:bottom w:val="single" w:sz="0" w:space="0" w:color="000000"/>
              <w:right w:val="single" w:sz="0" w:space="0" w:color="000000"/>
            </w:tcBorders>
            <w:vAlign w:val="center"/>
          </w:tcPr>
          <w:p w:rsidR="000D684F">
            <w:pPr>
              <w:jc w:val="right"/>
              <w:rPr>
                <w:rFonts w:eastAsiaTheme="minorEastAsia"/>
                <w:color w:val="000000" w:themeColor="text1"/>
                <w:kern w:val="0"/>
                <w:sz w:val="24"/>
              </w:rPr>
            </w:pPr>
            <w:r>
              <w:rPr>
                <w:rFonts w:eastAsiaTheme="minorEastAsia"/>
                <w:color w:val="000000" w:themeColor="text1"/>
                <w:kern w:val="0"/>
              </w:rPr>
              <w:t>77,729.83</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D684F">
            <w:pPr>
              <w:jc w:val="right"/>
              <w:rPr>
                <w:rFonts w:eastAsiaTheme="minorEastAsia"/>
                <w:color w:val="000000" w:themeColor="text1"/>
                <w:kern w:val="0"/>
                <w:sz w:val="24"/>
              </w:rPr>
            </w:pPr>
            <w:r>
              <w:rPr>
                <w:rFonts w:eastAsiaTheme="minorEastAsia"/>
                <w:color w:val="000000" w:themeColor="text1"/>
                <w:kern w:val="0"/>
              </w:rPr>
              <w:t>0.01</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D684F">
            <w:pPr>
              <w:adjustRightInd w:val="0"/>
              <w:snapToGrid w:val="0"/>
              <w:jc w:val="center"/>
              <w:rPr>
                <w:rFonts w:eastAsiaTheme="minorEastAsia"/>
                <w:color w:val="000000" w:themeColor="text1"/>
                <w:kern w:val="0"/>
                <w:sz w:val="24"/>
              </w:rPr>
            </w:pPr>
            <w:r>
              <w:rPr>
                <w:rFonts w:eastAsiaTheme="minorEastAsia"/>
                <w:color w:val="000000" w:themeColor="text1"/>
                <w:kern w:val="0"/>
              </w:rPr>
              <w:t>G</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D684F">
            <w:pPr>
              <w:adjustRightInd w:val="0"/>
              <w:snapToGrid w:val="0"/>
              <w:rPr>
                <w:rFonts w:eastAsiaTheme="minorEastAsia"/>
                <w:color w:val="000000" w:themeColor="text1"/>
                <w:kern w:val="0"/>
                <w:sz w:val="24"/>
              </w:rPr>
            </w:pPr>
            <w:r>
              <w:rPr>
                <w:rFonts w:eastAsiaTheme="minorEastAsia"/>
                <w:color w:val="000000" w:themeColor="text1"/>
                <w:kern w:val="0"/>
              </w:rPr>
              <w:t>交通运输、仓储和邮政业</w:t>
            </w:r>
          </w:p>
        </w:tc>
        <w:tc>
          <w:tcPr>
            <w:tcW w:w="2977" w:type="dxa"/>
            <w:tcBorders>
              <w:top w:val="single" w:sz="0" w:space="0" w:color="000000"/>
              <w:left w:val="single" w:sz="0" w:space="0" w:color="000000"/>
              <w:bottom w:val="single" w:sz="0" w:space="0" w:color="000000"/>
              <w:right w:val="single" w:sz="0" w:space="0" w:color="000000"/>
            </w:tcBorders>
            <w:vAlign w:val="center"/>
          </w:tcPr>
          <w:p w:rsidR="000D684F">
            <w:pPr>
              <w:jc w:val="right"/>
              <w:rPr>
                <w:rFonts w:eastAsiaTheme="minorEastAsia"/>
                <w:color w:val="000000" w:themeColor="text1"/>
                <w:kern w:val="0"/>
                <w:sz w:val="24"/>
              </w:rPr>
            </w:pPr>
            <w:r>
              <w:rPr>
                <w:rFonts w:eastAsiaTheme="minorEastAsia"/>
                <w:color w:val="000000" w:themeColor="text1"/>
                <w:kern w:val="0"/>
              </w:rPr>
              <w:t>-</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D684F">
            <w:pPr>
              <w:jc w:val="right"/>
              <w:rPr>
                <w:rFonts w:eastAsiaTheme="minorEastAsia"/>
                <w:color w:val="000000" w:themeColor="text1"/>
                <w:kern w:val="0"/>
                <w:sz w:val="24"/>
              </w:rPr>
            </w:pPr>
            <w:r>
              <w:rPr>
                <w:rFonts w:eastAsiaTheme="minorEastAsia"/>
                <w:color w:val="000000" w:themeColor="text1"/>
                <w:kern w:val="0"/>
              </w:rPr>
              <w:t>-</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D684F">
            <w:pPr>
              <w:adjustRightInd w:val="0"/>
              <w:snapToGrid w:val="0"/>
              <w:jc w:val="center"/>
              <w:rPr>
                <w:rFonts w:eastAsiaTheme="minorEastAsia"/>
                <w:color w:val="000000" w:themeColor="text1"/>
                <w:kern w:val="0"/>
                <w:sz w:val="24"/>
              </w:rPr>
            </w:pPr>
            <w:r>
              <w:rPr>
                <w:rFonts w:eastAsiaTheme="minorEastAsia"/>
                <w:color w:val="000000" w:themeColor="text1"/>
                <w:kern w:val="0"/>
              </w:rPr>
              <w:t>H</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D684F">
            <w:pPr>
              <w:adjustRightInd w:val="0"/>
              <w:snapToGrid w:val="0"/>
              <w:rPr>
                <w:rFonts w:eastAsiaTheme="minorEastAsia"/>
                <w:color w:val="000000" w:themeColor="text1"/>
                <w:kern w:val="0"/>
                <w:sz w:val="24"/>
              </w:rPr>
            </w:pPr>
            <w:r>
              <w:rPr>
                <w:rFonts w:eastAsiaTheme="minorEastAsia"/>
                <w:color w:val="000000" w:themeColor="text1"/>
                <w:kern w:val="0"/>
              </w:rPr>
              <w:t>住宿和餐饮业</w:t>
            </w:r>
          </w:p>
        </w:tc>
        <w:tc>
          <w:tcPr>
            <w:tcW w:w="2977" w:type="dxa"/>
            <w:tcBorders>
              <w:top w:val="single" w:sz="0" w:space="0" w:color="000000"/>
              <w:left w:val="single" w:sz="0" w:space="0" w:color="000000"/>
              <w:bottom w:val="single" w:sz="0" w:space="0" w:color="000000"/>
              <w:right w:val="single" w:sz="0" w:space="0" w:color="000000"/>
            </w:tcBorders>
            <w:vAlign w:val="center"/>
          </w:tcPr>
          <w:p w:rsidR="000D684F">
            <w:pPr>
              <w:jc w:val="right"/>
              <w:rPr>
                <w:rFonts w:eastAsiaTheme="minorEastAsia"/>
                <w:color w:val="000000" w:themeColor="text1"/>
                <w:kern w:val="0"/>
                <w:sz w:val="24"/>
              </w:rPr>
            </w:pPr>
            <w:r>
              <w:rPr>
                <w:rFonts w:eastAsiaTheme="minorEastAsia"/>
                <w:color w:val="000000" w:themeColor="text1"/>
                <w:kern w:val="0"/>
              </w:rPr>
              <w:t>3,345.12</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D684F">
            <w:pPr>
              <w:jc w:val="right"/>
              <w:rPr>
                <w:rFonts w:eastAsiaTheme="minorEastAsia"/>
                <w:color w:val="000000" w:themeColor="text1"/>
                <w:kern w:val="0"/>
                <w:sz w:val="24"/>
              </w:rPr>
            </w:pPr>
            <w:r>
              <w:rPr>
                <w:rFonts w:eastAsiaTheme="minorEastAsia"/>
                <w:color w:val="000000" w:themeColor="text1"/>
                <w:kern w:val="0"/>
              </w:rPr>
              <w:t>0.00</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D684F">
            <w:pPr>
              <w:adjustRightInd w:val="0"/>
              <w:snapToGrid w:val="0"/>
              <w:jc w:val="center"/>
              <w:rPr>
                <w:rFonts w:eastAsiaTheme="minorEastAsia"/>
                <w:color w:val="000000" w:themeColor="text1"/>
                <w:kern w:val="0"/>
                <w:sz w:val="24"/>
              </w:rPr>
            </w:pPr>
            <w:r>
              <w:rPr>
                <w:rFonts w:eastAsiaTheme="minorEastAsia"/>
                <w:color w:val="000000" w:themeColor="text1"/>
                <w:kern w:val="0"/>
              </w:rPr>
              <w:t>I</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D684F">
            <w:pPr>
              <w:adjustRightInd w:val="0"/>
              <w:snapToGrid w:val="0"/>
              <w:rPr>
                <w:rFonts w:eastAsiaTheme="minorEastAsia"/>
                <w:color w:val="000000" w:themeColor="text1"/>
                <w:kern w:val="0"/>
                <w:sz w:val="24"/>
              </w:rPr>
            </w:pPr>
            <w:r>
              <w:rPr>
                <w:rFonts w:eastAsiaTheme="minorEastAsia"/>
                <w:color w:val="000000" w:themeColor="text1"/>
                <w:kern w:val="0"/>
              </w:rPr>
              <w:t>信息传输、软件和信息技术服务业</w:t>
            </w:r>
          </w:p>
        </w:tc>
        <w:tc>
          <w:tcPr>
            <w:tcW w:w="2977" w:type="dxa"/>
            <w:tcBorders>
              <w:top w:val="single" w:sz="0" w:space="0" w:color="000000"/>
              <w:left w:val="single" w:sz="0" w:space="0" w:color="000000"/>
              <w:bottom w:val="single" w:sz="0" w:space="0" w:color="000000"/>
              <w:right w:val="single" w:sz="0" w:space="0" w:color="000000"/>
            </w:tcBorders>
            <w:vAlign w:val="center"/>
          </w:tcPr>
          <w:p w:rsidR="000D684F">
            <w:pPr>
              <w:jc w:val="right"/>
              <w:rPr>
                <w:rFonts w:eastAsiaTheme="minorEastAsia"/>
                <w:color w:val="000000" w:themeColor="text1"/>
                <w:kern w:val="0"/>
                <w:sz w:val="24"/>
              </w:rPr>
            </w:pPr>
            <w:r>
              <w:rPr>
                <w:rFonts w:eastAsiaTheme="minorEastAsia"/>
                <w:color w:val="000000" w:themeColor="text1"/>
                <w:kern w:val="0"/>
              </w:rPr>
              <w:t>107,411,194.27</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D684F">
            <w:pPr>
              <w:jc w:val="right"/>
              <w:rPr>
                <w:rFonts w:eastAsiaTheme="minorEastAsia"/>
                <w:color w:val="000000" w:themeColor="text1"/>
                <w:kern w:val="0"/>
                <w:sz w:val="24"/>
              </w:rPr>
            </w:pPr>
            <w:r>
              <w:rPr>
                <w:rFonts w:eastAsiaTheme="minorEastAsia"/>
                <w:color w:val="000000" w:themeColor="text1"/>
                <w:kern w:val="0"/>
              </w:rPr>
              <w:t>14.48</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D684F">
            <w:pPr>
              <w:adjustRightInd w:val="0"/>
              <w:snapToGrid w:val="0"/>
              <w:jc w:val="center"/>
              <w:rPr>
                <w:rFonts w:eastAsiaTheme="minorEastAsia"/>
                <w:color w:val="000000" w:themeColor="text1"/>
                <w:kern w:val="0"/>
                <w:sz w:val="24"/>
              </w:rPr>
            </w:pPr>
            <w:r>
              <w:rPr>
                <w:rFonts w:eastAsiaTheme="minorEastAsia"/>
                <w:color w:val="000000" w:themeColor="text1"/>
                <w:kern w:val="0"/>
              </w:rPr>
              <w:t>J</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D684F">
            <w:pPr>
              <w:adjustRightInd w:val="0"/>
              <w:snapToGrid w:val="0"/>
              <w:rPr>
                <w:rFonts w:eastAsiaTheme="minorEastAsia"/>
                <w:color w:val="000000" w:themeColor="text1"/>
                <w:kern w:val="0"/>
                <w:sz w:val="24"/>
              </w:rPr>
            </w:pPr>
            <w:r>
              <w:rPr>
                <w:rFonts w:eastAsiaTheme="minorEastAsia"/>
                <w:color w:val="000000" w:themeColor="text1"/>
                <w:kern w:val="0"/>
              </w:rPr>
              <w:t>金融业</w:t>
            </w:r>
          </w:p>
        </w:tc>
        <w:tc>
          <w:tcPr>
            <w:tcW w:w="2977" w:type="dxa"/>
            <w:tcBorders>
              <w:top w:val="single" w:sz="0" w:space="0" w:color="000000"/>
              <w:left w:val="single" w:sz="0" w:space="0" w:color="000000"/>
              <w:bottom w:val="single" w:sz="0" w:space="0" w:color="000000"/>
              <w:right w:val="single" w:sz="0" w:space="0" w:color="000000"/>
            </w:tcBorders>
            <w:vAlign w:val="center"/>
          </w:tcPr>
          <w:p w:rsidR="000D684F">
            <w:pPr>
              <w:jc w:val="right"/>
              <w:rPr>
                <w:rFonts w:eastAsiaTheme="minorEastAsia"/>
                <w:color w:val="000000" w:themeColor="text1"/>
                <w:kern w:val="0"/>
                <w:sz w:val="24"/>
              </w:rPr>
            </w:pPr>
            <w:r>
              <w:rPr>
                <w:rFonts w:eastAsiaTheme="minorEastAsia"/>
                <w:color w:val="000000" w:themeColor="text1"/>
                <w:kern w:val="0"/>
              </w:rPr>
              <w:t>-</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D684F">
            <w:pPr>
              <w:jc w:val="right"/>
              <w:rPr>
                <w:rFonts w:eastAsiaTheme="minorEastAsia"/>
                <w:color w:val="000000" w:themeColor="text1"/>
                <w:kern w:val="0"/>
                <w:sz w:val="24"/>
              </w:rPr>
            </w:pPr>
            <w:r>
              <w:rPr>
                <w:rFonts w:eastAsiaTheme="minorEastAsia"/>
                <w:color w:val="000000" w:themeColor="text1"/>
                <w:kern w:val="0"/>
              </w:rPr>
              <w:t>-</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D684F">
            <w:pPr>
              <w:adjustRightInd w:val="0"/>
              <w:snapToGrid w:val="0"/>
              <w:jc w:val="center"/>
              <w:rPr>
                <w:rFonts w:eastAsiaTheme="minorEastAsia"/>
                <w:color w:val="000000" w:themeColor="text1"/>
                <w:kern w:val="0"/>
                <w:sz w:val="24"/>
              </w:rPr>
            </w:pPr>
            <w:r>
              <w:rPr>
                <w:rFonts w:eastAsiaTheme="minorEastAsia"/>
                <w:color w:val="000000" w:themeColor="text1"/>
                <w:kern w:val="0"/>
              </w:rPr>
              <w:t>K</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D684F">
            <w:pPr>
              <w:adjustRightInd w:val="0"/>
              <w:snapToGrid w:val="0"/>
              <w:rPr>
                <w:rFonts w:eastAsiaTheme="minorEastAsia"/>
                <w:color w:val="000000" w:themeColor="text1"/>
                <w:kern w:val="0"/>
                <w:sz w:val="24"/>
              </w:rPr>
            </w:pPr>
            <w:r>
              <w:rPr>
                <w:rFonts w:eastAsiaTheme="minorEastAsia"/>
                <w:color w:val="000000" w:themeColor="text1"/>
                <w:kern w:val="0"/>
              </w:rPr>
              <w:t>房地产业</w:t>
            </w:r>
          </w:p>
        </w:tc>
        <w:tc>
          <w:tcPr>
            <w:tcW w:w="2977" w:type="dxa"/>
            <w:tcBorders>
              <w:top w:val="single" w:sz="0" w:space="0" w:color="000000"/>
              <w:left w:val="single" w:sz="0" w:space="0" w:color="000000"/>
              <w:bottom w:val="single" w:sz="0" w:space="0" w:color="000000"/>
              <w:right w:val="single" w:sz="0" w:space="0" w:color="000000"/>
            </w:tcBorders>
            <w:vAlign w:val="center"/>
          </w:tcPr>
          <w:p w:rsidR="000D684F">
            <w:pPr>
              <w:jc w:val="right"/>
              <w:rPr>
                <w:rFonts w:eastAsiaTheme="minorEastAsia"/>
                <w:color w:val="000000" w:themeColor="text1"/>
                <w:kern w:val="0"/>
                <w:sz w:val="24"/>
              </w:rPr>
            </w:pPr>
            <w:r>
              <w:rPr>
                <w:rFonts w:eastAsiaTheme="minorEastAsia"/>
                <w:color w:val="000000" w:themeColor="text1"/>
                <w:kern w:val="0"/>
              </w:rPr>
              <w:t>-</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D684F">
            <w:pPr>
              <w:jc w:val="right"/>
              <w:rPr>
                <w:rFonts w:eastAsiaTheme="minorEastAsia"/>
                <w:color w:val="000000" w:themeColor="text1"/>
                <w:kern w:val="0"/>
                <w:sz w:val="24"/>
              </w:rPr>
            </w:pPr>
            <w:r>
              <w:rPr>
                <w:rFonts w:eastAsiaTheme="minorEastAsia"/>
                <w:color w:val="000000" w:themeColor="text1"/>
                <w:kern w:val="0"/>
              </w:rPr>
              <w:t>-</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D684F">
            <w:pPr>
              <w:adjustRightInd w:val="0"/>
              <w:snapToGrid w:val="0"/>
              <w:jc w:val="center"/>
              <w:rPr>
                <w:rFonts w:eastAsiaTheme="minorEastAsia"/>
                <w:color w:val="000000" w:themeColor="text1"/>
                <w:kern w:val="0"/>
                <w:sz w:val="24"/>
              </w:rPr>
            </w:pPr>
            <w:r>
              <w:rPr>
                <w:rFonts w:eastAsiaTheme="minorEastAsia"/>
                <w:color w:val="000000" w:themeColor="text1"/>
                <w:kern w:val="0"/>
              </w:rPr>
              <w:t>L</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D684F">
            <w:pPr>
              <w:adjustRightInd w:val="0"/>
              <w:snapToGrid w:val="0"/>
              <w:rPr>
                <w:rFonts w:eastAsiaTheme="minorEastAsia"/>
                <w:color w:val="000000" w:themeColor="text1"/>
                <w:kern w:val="0"/>
                <w:sz w:val="24"/>
              </w:rPr>
            </w:pPr>
            <w:r>
              <w:rPr>
                <w:rFonts w:eastAsiaTheme="minorEastAsia"/>
                <w:color w:val="000000" w:themeColor="text1"/>
                <w:kern w:val="0"/>
              </w:rPr>
              <w:t>租赁和商务服务业</w:t>
            </w:r>
          </w:p>
        </w:tc>
        <w:tc>
          <w:tcPr>
            <w:tcW w:w="2977" w:type="dxa"/>
            <w:tcBorders>
              <w:top w:val="single" w:sz="0" w:space="0" w:color="000000"/>
              <w:left w:val="single" w:sz="0" w:space="0" w:color="000000"/>
              <w:bottom w:val="single" w:sz="0" w:space="0" w:color="000000"/>
              <w:right w:val="single" w:sz="0" w:space="0" w:color="000000"/>
            </w:tcBorders>
            <w:vAlign w:val="center"/>
          </w:tcPr>
          <w:p w:rsidR="000D684F">
            <w:pPr>
              <w:jc w:val="right"/>
              <w:rPr>
                <w:rFonts w:eastAsiaTheme="minorEastAsia"/>
                <w:color w:val="000000" w:themeColor="text1"/>
                <w:kern w:val="0"/>
                <w:sz w:val="24"/>
              </w:rPr>
            </w:pPr>
            <w:r>
              <w:rPr>
                <w:rFonts w:eastAsiaTheme="minorEastAsia"/>
                <w:color w:val="000000" w:themeColor="text1"/>
                <w:kern w:val="0"/>
              </w:rPr>
              <w:t>-</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D684F">
            <w:pPr>
              <w:jc w:val="right"/>
              <w:rPr>
                <w:rFonts w:eastAsiaTheme="minorEastAsia"/>
                <w:color w:val="000000" w:themeColor="text1"/>
                <w:kern w:val="0"/>
                <w:sz w:val="24"/>
              </w:rPr>
            </w:pPr>
            <w:r>
              <w:rPr>
                <w:rFonts w:eastAsiaTheme="minorEastAsia"/>
                <w:color w:val="000000" w:themeColor="text1"/>
                <w:kern w:val="0"/>
              </w:rPr>
              <w:t>-</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D684F">
            <w:pPr>
              <w:adjustRightInd w:val="0"/>
              <w:snapToGrid w:val="0"/>
              <w:jc w:val="center"/>
              <w:rPr>
                <w:rFonts w:eastAsiaTheme="minorEastAsia"/>
                <w:color w:val="000000" w:themeColor="text1"/>
                <w:kern w:val="0"/>
                <w:sz w:val="24"/>
              </w:rPr>
            </w:pPr>
            <w:r>
              <w:rPr>
                <w:rFonts w:eastAsiaTheme="minorEastAsia"/>
                <w:color w:val="000000" w:themeColor="text1"/>
                <w:kern w:val="0"/>
              </w:rPr>
              <w:t>M</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D684F">
            <w:pPr>
              <w:adjustRightInd w:val="0"/>
              <w:snapToGrid w:val="0"/>
              <w:rPr>
                <w:rFonts w:eastAsiaTheme="minorEastAsia"/>
                <w:color w:val="000000" w:themeColor="text1"/>
                <w:kern w:val="0"/>
                <w:sz w:val="24"/>
              </w:rPr>
            </w:pPr>
            <w:r>
              <w:rPr>
                <w:rFonts w:eastAsiaTheme="minorEastAsia"/>
                <w:color w:val="000000" w:themeColor="text1"/>
                <w:kern w:val="0"/>
              </w:rPr>
              <w:t>科学研究和技术服务业</w:t>
            </w:r>
          </w:p>
        </w:tc>
        <w:tc>
          <w:tcPr>
            <w:tcW w:w="2977" w:type="dxa"/>
            <w:tcBorders>
              <w:top w:val="single" w:sz="0" w:space="0" w:color="000000"/>
              <w:left w:val="single" w:sz="0" w:space="0" w:color="000000"/>
              <w:bottom w:val="single" w:sz="0" w:space="0" w:color="000000"/>
              <w:right w:val="single" w:sz="0" w:space="0" w:color="000000"/>
            </w:tcBorders>
            <w:vAlign w:val="center"/>
          </w:tcPr>
          <w:p w:rsidR="000D684F">
            <w:pPr>
              <w:jc w:val="right"/>
              <w:rPr>
                <w:rFonts w:eastAsiaTheme="minorEastAsia"/>
                <w:color w:val="000000" w:themeColor="text1"/>
                <w:kern w:val="0"/>
                <w:sz w:val="24"/>
              </w:rPr>
            </w:pPr>
            <w:r>
              <w:rPr>
                <w:rFonts w:eastAsiaTheme="minorEastAsia"/>
                <w:color w:val="000000" w:themeColor="text1"/>
                <w:kern w:val="0"/>
              </w:rPr>
              <w:t>32,194.84</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D684F">
            <w:pPr>
              <w:jc w:val="right"/>
              <w:rPr>
                <w:rFonts w:eastAsiaTheme="minorEastAsia"/>
                <w:color w:val="000000" w:themeColor="text1"/>
                <w:kern w:val="0"/>
                <w:sz w:val="24"/>
              </w:rPr>
            </w:pPr>
            <w:r>
              <w:rPr>
                <w:rFonts w:eastAsiaTheme="minorEastAsia"/>
                <w:color w:val="000000" w:themeColor="text1"/>
                <w:kern w:val="0"/>
              </w:rPr>
              <w:t>0.00</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D684F">
            <w:pPr>
              <w:adjustRightInd w:val="0"/>
              <w:snapToGrid w:val="0"/>
              <w:jc w:val="center"/>
              <w:rPr>
                <w:rFonts w:eastAsiaTheme="minorEastAsia"/>
                <w:color w:val="000000" w:themeColor="text1"/>
                <w:kern w:val="0"/>
                <w:sz w:val="24"/>
              </w:rPr>
            </w:pPr>
            <w:r>
              <w:rPr>
                <w:rFonts w:eastAsiaTheme="minorEastAsia"/>
                <w:color w:val="000000" w:themeColor="text1"/>
                <w:kern w:val="0"/>
              </w:rPr>
              <w:t>N</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D684F">
            <w:pPr>
              <w:adjustRightInd w:val="0"/>
              <w:snapToGrid w:val="0"/>
              <w:rPr>
                <w:rFonts w:eastAsiaTheme="minorEastAsia"/>
                <w:color w:val="000000" w:themeColor="text1"/>
                <w:kern w:val="0"/>
                <w:sz w:val="24"/>
              </w:rPr>
            </w:pPr>
            <w:r>
              <w:rPr>
                <w:rFonts w:eastAsiaTheme="minorEastAsia"/>
                <w:color w:val="000000" w:themeColor="text1"/>
                <w:kern w:val="0"/>
              </w:rPr>
              <w:t>水利、环境和公共设施管理业</w:t>
            </w:r>
          </w:p>
        </w:tc>
        <w:tc>
          <w:tcPr>
            <w:tcW w:w="2977" w:type="dxa"/>
            <w:tcBorders>
              <w:top w:val="single" w:sz="0" w:space="0" w:color="000000"/>
              <w:left w:val="single" w:sz="0" w:space="0" w:color="000000"/>
              <w:bottom w:val="single" w:sz="0" w:space="0" w:color="000000"/>
              <w:right w:val="single" w:sz="0" w:space="0" w:color="000000"/>
            </w:tcBorders>
            <w:vAlign w:val="center"/>
          </w:tcPr>
          <w:p w:rsidR="000D684F">
            <w:pPr>
              <w:jc w:val="right"/>
              <w:rPr>
                <w:rFonts w:eastAsiaTheme="minorEastAsia"/>
                <w:color w:val="000000" w:themeColor="text1"/>
                <w:kern w:val="0"/>
                <w:sz w:val="24"/>
              </w:rPr>
            </w:pPr>
            <w:r>
              <w:rPr>
                <w:rFonts w:eastAsiaTheme="minorEastAsia"/>
                <w:color w:val="000000" w:themeColor="text1"/>
                <w:kern w:val="0"/>
              </w:rPr>
              <w:t>34,669.49</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D684F">
            <w:pPr>
              <w:jc w:val="right"/>
              <w:rPr>
                <w:rFonts w:eastAsiaTheme="minorEastAsia"/>
                <w:color w:val="000000" w:themeColor="text1"/>
                <w:kern w:val="0"/>
                <w:sz w:val="24"/>
              </w:rPr>
            </w:pPr>
            <w:r>
              <w:rPr>
                <w:rFonts w:eastAsiaTheme="minorEastAsia"/>
                <w:color w:val="000000" w:themeColor="text1"/>
                <w:kern w:val="0"/>
              </w:rPr>
              <w:t>0.00</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D684F">
            <w:pPr>
              <w:adjustRightInd w:val="0"/>
              <w:snapToGrid w:val="0"/>
              <w:jc w:val="center"/>
              <w:rPr>
                <w:rFonts w:eastAsiaTheme="minorEastAsia"/>
                <w:color w:val="000000" w:themeColor="text1"/>
                <w:kern w:val="0"/>
                <w:sz w:val="24"/>
              </w:rPr>
            </w:pPr>
            <w:r>
              <w:rPr>
                <w:rFonts w:eastAsiaTheme="minorEastAsia"/>
                <w:color w:val="000000" w:themeColor="text1"/>
                <w:kern w:val="0"/>
              </w:rPr>
              <w:t>O</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D684F">
            <w:pPr>
              <w:adjustRightInd w:val="0"/>
              <w:snapToGrid w:val="0"/>
              <w:rPr>
                <w:rFonts w:eastAsiaTheme="minorEastAsia"/>
                <w:color w:val="000000" w:themeColor="text1"/>
                <w:kern w:val="0"/>
                <w:sz w:val="24"/>
              </w:rPr>
            </w:pPr>
            <w:r>
              <w:rPr>
                <w:rFonts w:eastAsiaTheme="minorEastAsia"/>
                <w:color w:val="000000" w:themeColor="text1"/>
                <w:kern w:val="0"/>
              </w:rPr>
              <w:t>居民服务、修理和其他服务业</w:t>
            </w:r>
          </w:p>
        </w:tc>
        <w:tc>
          <w:tcPr>
            <w:tcW w:w="2977" w:type="dxa"/>
            <w:tcBorders>
              <w:top w:val="single" w:sz="0" w:space="0" w:color="000000"/>
              <w:left w:val="single" w:sz="0" w:space="0" w:color="000000"/>
              <w:bottom w:val="single" w:sz="0" w:space="0" w:color="000000"/>
              <w:right w:val="single" w:sz="0" w:space="0" w:color="000000"/>
            </w:tcBorders>
            <w:vAlign w:val="center"/>
          </w:tcPr>
          <w:p w:rsidR="000D684F">
            <w:pPr>
              <w:jc w:val="right"/>
              <w:rPr>
                <w:rFonts w:eastAsiaTheme="minorEastAsia"/>
                <w:color w:val="000000" w:themeColor="text1"/>
                <w:kern w:val="0"/>
                <w:sz w:val="24"/>
              </w:rPr>
            </w:pPr>
            <w:r>
              <w:rPr>
                <w:rFonts w:eastAsiaTheme="minorEastAsia"/>
                <w:color w:val="000000" w:themeColor="text1"/>
                <w:kern w:val="0"/>
              </w:rPr>
              <w:t>-</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D684F">
            <w:pPr>
              <w:jc w:val="right"/>
              <w:rPr>
                <w:rFonts w:eastAsiaTheme="minorEastAsia"/>
                <w:color w:val="000000" w:themeColor="text1"/>
                <w:kern w:val="0"/>
                <w:sz w:val="24"/>
              </w:rPr>
            </w:pPr>
            <w:r>
              <w:rPr>
                <w:rFonts w:eastAsiaTheme="minorEastAsia"/>
                <w:color w:val="000000" w:themeColor="text1"/>
                <w:kern w:val="0"/>
              </w:rPr>
              <w:t>-</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D684F">
            <w:pPr>
              <w:adjustRightInd w:val="0"/>
              <w:snapToGrid w:val="0"/>
              <w:jc w:val="center"/>
              <w:rPr>
                <w:rFonts w:eastAsiaTheme="minorEastAsia"/>
                <w:color w:val="000000" w:themeColor="text1"/>
                <w:kern w:val="0"/>
                <w:sz w:val="24"/>
              </w:rPr>
            </w:pPr>
            <w:r>
              <w:rPr>
                <w:rFonts w:eastAsiaTheme="minorEastAsia"/>
                <w:color w:val="000000" w:themeColor="text1"/>
                <w:kern w:val="0"/>
              </w:rPr>
              <w:t>P</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D684F">
            <w:pPr>
              <w:adjustRightInd w:val="0"/>
              <w:snapToGrid w:val="0"/>
              <w:rPr>
                <w:rFonts w:eastAsiaTheme="minorEastAsia"/>
                <w:color w:val="000000" w:themeColor="text1"/>
                <w:kern w:val="0"/>
                <w:sz w:val="24"/>
              </w:rPr>
            </w:pPr>
            <w:r>
              <w:rPr>
                <w:rFonts w:eastAsiaTheme="minorEastAsia"/>
                <w:color w:val="000000" w:themeColor="text1"/>
                <w:kern w:val="0"/>
              </w:rPr>
              <w:t>教育</w:t>
            </w:r>
          </w:p>
        </w:tc>
        <w:tc>
          <w:tcPr>
            <w:tcW w:w="2977" w:type="dxa"/>
            <w:tcBorders>
              <w:top w:val="single" w:sz="0" w:space="0" w:color="000000"/>
              <w:left w:val="single" w:sz="0" w:space="0" w:color="000000"/>
              <w:bottom w:val="single" w:sz="0" w:space="0" w:color="000000"/>
              <w:right w:val="single" w:sz="0" w:space="0" w:color="000000"/>
            </w:tcBorders>
            <w:vAlign w:val="center"/>
          </w:tcPr>
          <w:p w:rsidR="000D684F">
            <w:pPr>
              <w:jc w:val="right"/>
              <w:rPr>
                <w:rFonts w:eastAsiaTheme="minorEastAsia"/>
                <w:color w:val="000000" w:themeColor="text1"/>
                <w:kern w:val="0"/>
                <w:sz w:val="24"/>
              </w:rPr>
            </w:pPr>
            <w:r>
              <w:rPr>
                <w:rFonts w:eastAsiaTheme="minorEastAsia"/>
                <w:color w:val="000000" w:themeColor="text1"/>
                <w:kern w:val="0"/>
              </w:rPr>
              <w:t>-</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D684F">
            <w:pPr>
              <w:jc w:val="right"/>
              <w:rPr>
                <w:rFonts w:eastAsiaTheme="minorEastAsia"/>
                <w:color w:val="000000" w:themeColor="text1"/>
                <w:kern w:val="0"/>
                <w:sz w:val="24"/>
              </w:rPr>
            </w:pPr>
            <w:r>
              <w:rPr>
                <w:rFonts w:eastAsiaTheme="minorEastAsia"/>
                <w:color w:val="000000" w:themeColor="text1"/>
                <w:kern w:val="0"/>
              </w:rPr>
              <w:t>-</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D684F">
            <w:pPr>
              <w:adjustRightInd w:val="0"/>
              <w:snapToGrid w:val="0"/>
              <w:jc w:val="center"/>
              <w:rPr>
                <w:rFonts w:eastAsiaTheme="minorEastAsia"/>
                <w:color w:val="000000" w:themeColor="text1"/>
                <w:kern w:val="0"/>
                <w:sz w:val="24"/>
              </w:rPr>
            </w:pPr>
            <w:r>
              <w:rPr>
                <w:rFonts w:eastAsiaTheme="minorEastAsia"/>
                <w:color w:val="000000" w:themeColor="text1"/>
                <w:kern w:val="0"/>
              </w:rPr>
              <w:t>Q</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D684F">
            <w:pPr>
              <w:adjustRightInd w:val="0"/>
              <w:snapToGrid w:val="0"/>
              <w:rPr>
                <w:rFonts w:eastAsiaTheme="minorEastAsia"/>
                <w:color w:val="000000" w:themeColor="text1"/>
                <w:kern w:val="0"/>
                <w:sz w:val="24"/>
              </w:rPr>
            </w:pPr>
            <w:r>
              <w:rPr>
                <w:rFonts w:eastAsiaTheme="minorEastAsia"/>
                <w:color w:val="000000" w:themeColor="text1"/>
                <w:kern w:val="0"/>
              </w:rPr>
              <w:t>卫生和社会工作</w:t>
            </w:r>
          </w:p>
        </w:tc>
        <w:tc>
          <w:tcPr>
            <w:tcW w:w="2977" w:type="dxa"/>
            <w:tcBorders>
              <w:top w:val="single" w:sz="0" w:space="0" w:color="000000"/>
              <w:left w:val="single" w:sz="0" w:space="0" w:color="000000"/>
              <w:bottom w:val="single" w:sz="0" w:space="0" w:color="000000"/>
              <w:right w:val="single" w:sz="0" w:space="0" w:color="000000"/>
            </w:tcBorders>
            <w:vAlign w:val="center"/>
          </w:tcPr>
          <w:p w:rsidR="000D684F">
            <w:pPr>
              <w:jc w:val="right"/>
              <w:rPr>
                <w:rFonts w:eastAsiaTheme="minorEastAsia"/>
                <w:color w:val="000000" w:themeColor="text1"/>
                <w:kern w:val="0"/>
                <w:sz w:val="24"/>
              </w:rPr>
            </w:pPr>
            <w:r>
              <w:rPr>
                <w:rFonts w:eastAsiaTheme="minorEastAsia"/>
                <w:color w:val="000000" w:themeColor="text1"/>
                <w:kern w:val="0"/>
              </w:rPr>
              <w:t>-</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D684F">
            <w:pPr>
              <w:jc w:val="right"/>
              <w:rPr>
                <w:rFonts w:eastAsiaTheme="minorEastAsia"/>
                <w:color w:val="000000" w:themeColor="text1"/>
                <w:kern w:val="0"/>
                <w:sz w:val="24"/>
              </w:rPr>
            </w:pPr>
            <w:r>
              <w:rPr>
                <w:rFonts w:eastAsiaTheme="minorEastAsia"/>
                <w:color w:val="000000" w:themeColor="text1"/>
                <w:kern w:val="0"/>
              </w:rPr>
              <w:t>-</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D684F">
            <w:pPr>
              <w:adjustRightInd w:val="0"/>
              <w:snapToGrid w:val="0"/>
              <w:jc w:val="center"/>
              <w:rPr>
                <w:rFonts w:eastAsiaTheme="minorEastAsia"/>
                <w:color w:val="000000" w:themeColor="text1"/>
                <w:kern w:val="0"/>
                <w:sz w:val="24"/>
              </w:rPr>
            </w:pPr>
            <w:r>
              <w:rPr>
                <w:rFonts w:eastAsiaTheme="minorEastAsia"/>
                <w:color w:val="000000" w:themeColor="text1"/>
                <w:kern w:val="0"/>
              </w:rPr>
              <w:t>R</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D684F">
            <w:pPr>
              <w:adjustRightInd w:val="0"/>
              <w:snapToGrid w:val="0"/>
              <w:rPr>
                <w:rFonts w:eastAsiaTheme="minorEastAsia"/>
                <w:color w:val="000000" w:themeColor="text1"/>
                <w:kern w:val="0"/>
                <w:sz w:val="24"/>
              </w:rPr>
            </w:pPr>
            <w:r>
              <w:rPr>
                <w:rFonts w:eastAsiaTheme="minorEastAsia"/>
                <w:color w:val="000000" w:themeColor="text1"/>
                <w:kern w:val="0"/>
              </w:rPr>
              <w:t>文化、体育和娱乐业</w:t>
            </w:r>
          </w:p>
        </w:tc>
        <w:tc>
          <w:tcPr>
            <w:tcW w:w="2977" w:type="dxa"/>
            <w:tcBorders>
              <w:top w:val="single" w:sz="0" w:space="0" w:color="000000"/>
              <w:left w:val="single" w:sz="0" w:space="0" w:color="000000"/>
              <w:bottom w:val="single" w:sz="0" w:space="0" w:color="000000"/>
              <w:right w:val="single" w:sz="0" w:space="0" w:color="000000"/>
            </w:tcBorders>
            <w:vAlign w:val="center"/>
          </w:tcPr>
          <w:p w:rsidR="000D684F">
            <w:pPr>
              <w:jc w:val="right"/>
              <w:rPr>
                <w:rFonts w:eastAsiaTheme="minorEastAsia"/>
                <w:color w:val="000000" w:themeColor="text1"/>
                <w:kern w:val="0"/>
                <w:sz w:val="24"/>
              </w:rPr>
            </w:pPr>
            <w:r>
              <w:rPr>
                <w:rFonts w:eastAsiaTheme="minorEastAsia"/>
                <w:color w:val="000000" w:themeColor="text1"/>
                <w:kern w:val="0"/>
              </w:rPr>
              <w:t>3,925.22</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D684F">
            <w:pPr>
              <w:jc w:val="right"/>
              <w:rPr>
                <w:rFonts w:eastAsiaTheme="minorEastAsia"/>
                <w:color w:val="000000" w:themeColor="text1"/>
                <w:kern w:val="0"/>
                <w:sz w:val="24"/>
              </w:rPr>
            </w:pPr>
            <w:r>
              <w:rPr>
                <w:rFonts w:eastAsiaTheme="minorEastAsia"/>
                <w:color w:val="000000" w:themeColor="text1"/>
                <w:kern w:val="0"/>
              </w:rPr>
              <w:t>0.00</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D684F">
            <w:pPr>
              <w:adjustRightInd w:val="0"/>
              <w:snapToGrid w:val="0"/>
              <w:jc w:val="center"/>
              <w:rPr>
                <w:rFonts w:eastAsiaTheme="minorEastAsia"/>
                <w:color w:val="000000" w:themeColor="text1"/>
                <w:kern w:val="0"/>
                <w:sz w:val="24"/>
              </w:rPr>
            </w:pPr>
            <w:r>
              <w:rPr>
                <w:rFonts w:eastAsiaTheme="minorEastAsia"/>
                <w:color w:val="000000" w:themeColor="text1"/>
                <w:kern w:val="0"/>
              </w:rPr>
              <w:t>S</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D684F">
            <w:pPr>
              <w:adjustRightInd w:val="0"/>
              <w:snapToGrid w:val="0"/>
              <w:rPr>
                <w:rFonts w:eastAsiaTheme="minorEastAsia"/>
                <w:color w:val="000000" w:themeColor="text1"/>
                <w:kern w:val="0"/>
                <w:sz w:val="24"/>
              </w:rPr>
            </w:pPr>
            <w:r>
              <w:rPr>
                <w:rFonts w:eastAsiaTheme="minorEastAsia"/>
                <w:color w:val="000000" w:themeColor="text1"/>
                <w:kern w:val="0"/>
              </w:rPr>
              <w:t>综合</w:t>
            </w:r>
          </w:p>
        </w:tc>
        <w:tc>
          <w:tcPr>
            <w:tcW w:w="2977" w:type="dxa"/>
            <w:tcBorders>
              <w:top w:val="single" w:sz="0" w:space="0" w:color="000000"/>
              <w:left w:val="single" w:sz="0" w:space="0" w:color="000000"/>
              <w:bottom w:val="single" w:sz="0" w:space="0" w:color="000000"/>
              <w:right w:val="single" w:sz="0" w:space="0" w:color="000000"/>
            </w:tcBorders>
            <w:vAlign w:val="center"/>
          </w:tcPr>
          <w:p w:rsidR="000D684F">
            <w:pPr>
              <w:jc w:val="right"/>
              <w:rPr>
                <w:rFonts w:eastAsiaTheme="minorEastAsia"/>
                <w:color w:val="000000" w:themeColor="text1"/>
                <w:kern w:val="0"/>
                <w:sz w:val="24"/>
              </w:rPr>
            </w:pPr>
            <w:r>
              <w:rPr>
                <w:rFonts w:eastAsiaTheme="minorEastAsia"/>
                <w:color w:val="000000" w:themeColor="text1"/>
                <w:kern w:val="0"/>
              </w:rPr>
              <w:t>-</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D684F">
            <w:pPr>
              <w:jc w:val="right"/>
              <w:rPr>
                <w:rFonts w:eastAsiaTheme="minorEastAsia"/>
                <w:color w:val="000000" w:themeColor="text1"/>
                <w:kern w:val="0"/>
                <w:sz w:val="24"/>
              </w:rPr>
            </w:pPr>
            <w:r>
              <w:rPr>
                <w:rFonts w:eastAsiaTheme="minorEastAsia"/>
                <w:color w:val="000000" w:themeColor="text1"/>
                <w:kern w:val="0"/>
              </w:rPr>
              <w:t>-</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D684F">
            <w:pPr>
              <w:adjustRightInd w:val="0"/>
              <w:snapToGrid w:val="0"/>
              <w:jc w:val="center"/>
              <w:rPr>
                <w:rFonts w:eastAsiaTheme="minorEastAsia"/>
                <w:color w:val="000000" w:themeColor="text1"/>
                <w:kern w:val="0"/>
                <w:sz w:val="24"/>
              </w:rPr>
            </w:pP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D684F">
            <w:pPr>
              <w:adjustRightInd w:val="0"/>
              <w:snapToGrid w:val="0"/>
              <w:rPr>
                <w:rFonts w:eastAsiaTheme="minorEastAsia"/>
                <w:color w:val="000000" w:themeColor="text1"/>
                <w:kern w:val="0"/>
                <w:sz w:val="24"/>
              </w:rPr>
            </w:pPr>
            <w:r>
              <w:rPr>
                <w:rFonts w:eastAsiaTheme="minorEastAsia"/>
                <w:color w:val="000000" w:themeColor="text1"/>
                <w:kern w:val="0"/>
              </w:rPr>
              <w:t>合计</w:t>
            </w:r>
          </w:p>
        </w:tc>
        <w:tc>
          <w:tcPr>
            <w:tcW w:w="2977" w:type="dxa"/>
            <w:tcBorders>
              <w:top w:val="single" w:sz="0" w:space="0" w:color="000000"/>
              <w:left w:val="single" w:sz="0" w:space="0" w:color="000000"/>
              <w:bottom w:val="single" w:sz="0" w:space="0" w:color="000000"/>
              <w:right w:val="single" w:sz="0" w:space="0" w:color="000000"/>
            </w:tcBorders>
            <w:vAlign w:val="center"/>
          </w:tcPr>
          <w:p w:rsidR="000D684F">
            <w:pPr>
              <w:jc w:val="right"/>
              <w:rPr>
                <w:rFonts w:eastAsiaTheme="minorEastAsia"/>
                <w:color w:val="000000" w:themeColor="text1"/>
                <w:kern w:val="0"/>
                <w:sz w:val="24"/>
              </w:rPr>
            </w:pPr>
            <w:r>
              <w:rPr>
                <w:rFonts w:eastAsiaTheme="minorEastAsia"/>
                <w:color w:val="000000" w:themeColor="text1"/>
                <w:kern w:val="0"/>
              </w:rPr>
              <w:t>732,284,681.26</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D684F">
            <w:pPr>
              <w:jc w:val="right"/>
              <w:rPr>
                <w:rFonts w:eastAsiaTheme="minorEastAsia"/>
                <w:color w:val="000000" w:themeColor="text1"/>
                <w:kern w:val="0"/>
                <w:sz w:val="24"/>
              </w:rPr>
            </w:pPr>
            <w:r>
              <w:rPr>
                <w:rFonts w:eastAsiaTheme="minorEastAsia"/>
                <w:color w:val="000000" w:themeColor="text1"/>
                <w:kern w:val="0"/>
              </w:rPr>
              <w:t>98.73</w:t>
            </w:r>
          </w:p>
        </w:tc>
      </w:tr>
    </w:tbl>
    <w:p w:rsidR="000D684F">
      <w:pPr>
        <w:spacing w:line="360" w:lineRule="auto"/>
        <w:jc w:val="left"/>
      </w:pPr>
      <w:r>
        <w:t>3</w:t>
      </w:r>
      <w:r>
        <w:t>、</w:t>
      </w:r>
      <w:r>
        <w:t xml:space="preserve"> </w:t>
      </w:r>
      <w:r>
        <w:t>期末按公允价值占基金资产净值比例大小排序的股票投资明细</w:t>
      </w:r>
    </w:p>
    <w:p w:rsidR="000D684F">
      <w:pPr>
        <w:spacing w:line="360" w:lineRule="auto"/>
        <w:jc w:val="left"/>
      </w:pPr>
      <w:r>
        <w:t>（</w:t>
      </w:r>
      <w:r>
        <w:t>1</w:t>
      </w:r>
      <w:r>
        <w:t>）</w:t>
      </w:r>
      <w:r>
        <w:t xml:space="preserve"> </w:t>
      </w:r>
      <w:r>
        <w:t>报告期末按公允价值占基金资产净值比例大小排序的前十名股票投资明细</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276"/>
        <w:gridCol w:w="1418"/>
        <w:gridCol w:w="1701"/>
        <w:gridCol w:w="1984"/>
        <w:gridCol w:w="1559"/>
      </w:tblGrid>
      <w:tr>
        <w:tblPrEx>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0D684F">
            <w:pPr>
              <w:ind w:left="17"/>
              <w:jc w:val="center"/>
              <w:rPr>
                <w:color w:val="000000"/>
                <w:kern w:val="0"/>
                <w:sz w:val="24"/>
              </w:rPr>
            </w:pPr>
            <w:r>
              <w:rPr>
                <w:color w:val="000000"/>
                <w:kern w:val="0"/>
              </w:rPr>
              <w:t>序号</w:t>
            </w:r>
          </w:p>
        </w:tc>
        <w:tc>
          <w:tcPr>
            <w:tcW w:w="1276" w:type="dxa"/>
            <w:tcBorders>
              <w:top w:val="single" w:sz="0" w:space="0" w:color="000000"/>
              <w:left w:val="single" w:sz="0" w:space="0" w:color="000000"/>
              <w:bottom w:val="single" w:sz="0" w:space="0" w:color="000000"/>
              <w:right w:val="single" w:sz="0" w:space="0" w:color="000000"/>
            </w:tcBorders>
            <w:vAlign w:val="center"/>
          </w:tcPr>
          <w:p w:rsidR="000D684F">
            <w:pPr>
              <w:ind w:left="17"/>
              <w:jc w:val="center"/>
              <w:rPr>
                <w:color w:val="000000"/>
                <w:kern w:val="0"/>
                <w:sz w:val="24"/>
              </w:rPr>
            </w:pPr>
            <w:r>
              <w:rPr>
                <w:color w:val="000000"/>
                <w:kern w:val="0"/>
              </w:rPr>
              <w:t>股票代码</w:t>
            </w:r>
          </w:p>
        </w:tc>
        <w:tc>
          <w:tcPr>
            <w:tcW w:w="1418" w:type="dxa"/>
            <w:tcBorders>
              <w:top w:val="single" w:sz="0" w:space="0" w:color="000000"/>
              <w:left w:val="single" w:sz="0" w:space="0" w:color="000000"/>
              <w:bottom w:val="single" w:sz="0" w:space="0" w:color="000000"/>
              <w:right w:val="single" w:sz="0" w:space="0" w:color="000000"/>
            </w:tcBorders>
            <w:vAlign w:val="center"/>
          </w:tcPr>
          <w:p w:rsidR="000D684F">
            <w:pPr>
              <w:ind w:left="17"/>
              <w:jc w:val="center"/>
              <w:rPr>
                <w:color w:val="000000"/>
                <w:kern w:val="0"/>
                <w:sz w:val="24"/>
              </w:rPr>
            </w:pPr>
            <w:r>
              <w:rPr>
                <w:color w:val="000000"/>
                <w:kern w:val="0"/>
              </w:rPr>
              <w:t>股票名称</w:t>
            </w:r>
          </w:p>
        </w:tc>
        <w:tc>
          <w:tcPr>
            <w:tcW w:w="1701" w:type="dxa"/>
            <w:tcBorders>
              <w:top w:val="single" w:sz="0" w:space="0" w:color="000000"/>
              <w:left w:val="single" w:sz="0" w:space="0" w:color="000000"/>
              <w:bottom w:val="single" w:sz="0" w:space="0" w:color="000000"/>
              <w:right w:val="single" w:sz="0" w:space="0" w:color="000000"/>
            </w:tcBorders>
            <w:vAlign w:val="center"/>
          </w:tcPr>
          <w:p w:rsidR="000D684F">
            <w:pPr>
              <w:ind w:left="17"/>
              <w:jc w:val="center"/>
              <w:rPr>
                <w:color w:val="000000"/>
                <w:kern w:val="0"/>
                <w:sz w:val="24"/>
              </w:rPr>
            </w:pPr>
            <w:r>
              <w:rPr>
                <w:color w:val="000000"/>
                <w:kern w:val="0"/>
              </w:rPr>
              <w:t>数量（股）</w:t>
            </w:r>
          </w:p>
        </w:tc>
        <w:tc>
          <w:tcPr>
            <w:tcW w:w="1984" w:type="dxa"/>
            <w:tcBorders>
              <w:top w:val="single" w:sz="0" w:space="0" w:color="000000"/>
              <w:left w:val="single" w:sz="0" w:space="0" w:color="000000"/>
              <w:bottom w:val="single" w:sz="0" w:space="0" w:color="000000"/>
              <w:right w:val="single" w:sz="0" w:space="0" w:color="000000"/>
            </w:tcBorders>
            <w:vAlign w:val="center"/>
          </w:tcPr>
          <w:p w:rsidR="000D684F">
            <w:pPr>
              <w:autoSpaceDE w:val="0"/>
              <w:autoSpaceDN w:val="0"/>
              <w:adjustRightInd w:val="0"/>
              <w:ind w:left="17"/>
              <w:jc w:val="center"/>
              <w:rPr>
                <w:color w:val="000000"/>
                <w:kern w:val="0"/>
                <w:sz w:val="24"/>
              </w:rPr>
            </w:pPr>
            <w:r>
              <w:rPr>
                <w:color w:val="000000"/>
                <w:kern w:val="0"/>
              </w:rPr>
              <w:t>公允价值（元）</w:t>
            </w:r>
          </w:p>
        </w:tc>
        <w:tc>
          <w:tcPr>
            <w:tcW w:w="1559" w:type="dxa"/>
            <w:tcBorders>
              <w:top w:val="single" w:sz="0" w:space="0" w:color="000000"/>
              <w:left w:val="single" w:sz="0" w:space="0" w:color="000000"/>
              <w:bottom w:val="single" w:sz="0" w:space="0" w:color="000000"/>
              <w:right w:val="single" w:sz="0" w:space="0" w:color="000000"/>
            </w:tcBorders>
            <w:vAlign w:val="center"/>
          </w:tcPr>
          <w:p w:rsidR="000D684F">
            <w:pPr>
              <w:ind w:left="17"/>
              <w:jc w:val="center"/>
              <w:rPr>
                <w:color w:val="000000"/>
                <w:kern w:val="0"/>
                <w:sz w:val="24"/>
              </w:rPr>
            </w:pPr>
            <w:r>
              <w:rPr>
                <w:color w:val="000000"/>
                <w:kern w:val="0"/>
              </w:rPr>
              <w:t>占基金资产净值比例（％）</w:t>
            </w:r>
          </w:p>
        </w:tc>
      </w:tr>
      <w:tr>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0D684F">
            <w:pPr>
              <w:jc w:val="center"/>
            </w:pPr>
            <w:r>
              <w:rPr>
                <w:color w:val="000000"/>
                <w:kern w:val="0"/>
              </w:rPr>
              <w:t>1</w:t>
            </w:r>
          </w:p>
        </w:tc>
        <w:tc>
          <w:tcPr>
            <w:tcW w:w="1276" w:type="dxa"/>
            <w:tcBorders>
              <w:top w:val="single" w:sz="0" w:space="0" w:color="000000"/>
              <w:left w:val="single" w:sz="0" w:space="0" w:color="000000"/>
              <w:bottom w:val="single" w:sz="0" w:space="0" w:color="000000"/>
              <w:right w:val="single" w:sz="0" w:space="0" w:color="000000"/>
            </w:tcBorders>
            <w:vAlign w:val="center"/>
          </w:tcPr>
          <w:p w:rsidR="000D684F">
            <w:pPr>
              <w:jc w:val="center"/>
            </w:pPr>
            <w:r>
              <w:rPr>
                <w:color w:val="000000"/>
                <w:kern w:val="0"/>
              </w:rPr>
              <w:t>300750</w:t>
            </w:r>
          </w:p>
        </w:tc>
        <w:tc>
          <w:tcPr>
            <w:tcW w:w="1418" w:type="dxa"/>
            <w:tcBorders>
              <w:top w:val="single" w:sz="0" w:space="0" w:color="000000"/>
              <w:left w:val="single" w:sz="0" w:space="0" w:color="000000"/>
              <w:bottom w:val="single" w:sz="0" w:space="0" w:color="000000"/>
              <w:right w:val="single" w:sz="0" w:space="0" w:color="000000"/>
            </w:tcBorders>
            <w:vAlign w:val="center"/>
          </w:tcPr>
          <w:p w:rsidR="000D684F">
            <w:pPr>
              <w:jc w:val="center"/>
            </w:pPr>
            <w:r>
              <w:rPr>
                <w:color w:val="000000"/>
                <w:kern w:val="0"/>
              </w:rPr>
              <w:t>宁德时代</w:t>
            </w:r>
          </w:p>
        </w:tc>
        <w:tc>
          <w:tcPr>
            <w:tcW w:w="1701" w:type="dxa"/>
            <w:tcBorders>
              <w:top w:val="single" w:sz="0" w:space="0" w:color="000000"/>
              <w:left w:val="single" w:sz="0" w:space="0" w:color="000000"/>
              <w:bottom w:val="single" w:sz="0" w:space="0" w:color="000000"/>
              <w:right w:val="single" w:sz="0" w:space="0" w:color="000000"/>
            </w:tcBorders>
            <w:vAlign w:val="center"/>
          </w:tcPr>
          <w:p w:rsidR="000D684F">
            <w:pPr>
              <w:jc w:val="right"/>
            </w:pPr>
            <w:r>
              <w:rPr>
                <w:color w:val="000000"/>
                <w:kern w:val="0"/>
              </w:rPr>
              <w:t>197,800</w:t>
            </w:r>
          </w:p>
        </w:tc>
        <w:tc>
          <w:tcPr>
            <w:tcW w:w="1984" w:type="dxa"/>
            <w:tcBorders>
              <w:top w:val="single" w:sz="0" w:space="0" w:color="000000"/>
              <w:left w:val="single" w:sz="0" w:space="0" w:color="000000"/>
              <w:bottom w:val="single" w:sz="0" w:space="0" w:color="000000"/>
              <w:right w:val="single" w:sz="0" w:space="0" w:color="000000"/>
            </w:tcBorders>
            <w:vAlign w:val="center"/>
          </w:tcPr>
          <w:p w:rsidR="000D684F">
            <w:pPr>
              <w:jc w:val="right"/>
            </w:pPr>
            <w:r>
              <w:rPr>
                <w:color w:val="000000"/>
                <w:kern w:val="0"/>
              </w:rPr>
              <w:t>103,989,394.00</w:t>
            </w:r>
          </w:p>
        </w:tc>
        <w:tc>
          <w:tcPr>
            <w:tcW w:w="1559" w:type="dxa"/>
            <w:tcBorders>
              <w:top w:val="single" w:sz="0" w:space="0" w:color="000000"/>
              <w:left w:val="single" w:sz="0" w:space="0" w:color="000000"/>
              <w:bottom w:val="single" w:sz="0" w:space="0" w:color="000000"/>
              <w:right w:val="single" w:sz="0" w:space="0" w:color="000000"/>
            </w:tcBorders>
            <w:vAlign w:val="center"/>
          </w:tcPr>
          <w:p w:rsidR="000D684F">
            <w:pPr>
              <w:jc w:val="right"/>
            </w:pPr>
            <w:r>
              <w:rPr>
                <w:color w:val="000000"/>
                <w:kern w:val="0"/>
              </w:rPr>
              <w:t>14.02</w:t>
            </w:r>
          </w:p>
        </w:tc>
      </w:tr>
      <w:tr>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0D684F">
            <w:pPr>
              <w:jc w:val="center"/>
            </w:pPr>
            <w:r>
              <w:rPr>
                <w:color w:val="000000"/>
                <w:kern w:val="0"/>
              </w:rPr>
              <w:t>2</w:t>
            </w:r>
          </w:p>
        </w:tc>
        <w:tc>
          <w:tcPr>
            <w:tcW w:w="1276" w:type="dxa"/>
            <w:tcBorders>
              <w:top w:val="single" w:sz="0" w:space="0" w:color="000000"/>
              <w:left w:val="single" w:sz="0" w:space="0" w:color="000000"/>
              <w:bottom w:val="single" w:sz="0" w:space="0" w:color="000000"/>
              <w:right w:val="single" w:sz="0" w:space="0" w:color="000000"/>
            </w:tcBorders>
            <w:vAlign w:val="center"/>
          </w:tcPr>
          <w:p w:rsidR="000D684F">
            <w:pPr>
              <w:jc w:val="center"/>
            </w:pPr>
            <w:r>
              <w:rPr>
                <w:color w:val="000000"/>
                <w:kern w:val="0"/>
              </w:rPr>
              <w:t>002415</w:t>
            </w:r>
          </w:p>
        </w:tc>
        <w:tc>
          <w:tcPr>
            <w:tcW w:w="1418" w:type="dxa"/>
            <w:tcBorders>
              <w:top w:val="single" w:sz="0" w:space="0" w:color="000000"/>
              <w:left w:val="single" w:sz="0" w:space="0" w:color="000000"/>
              <w:bottom w:val="single" w:sz="0" w:space="0" w:color="000000"/>
              <w:right w:val="single" w:sz="0" w:space="0" w:color="000000"/>
            </w:tcBorders>
            <w:vAlign w:val="center"/>
          </w:tcPr>
          <w:p w:rsidR="000D684F">
            <w:pPr>
              <w:jc w:val="center"/>
            </w:pPr>
            <w:r>
              <w:rPr>
                <w:color w:val="000000"/>
                <w:kern w:val="0"/>
              </w:rPr>
              <w:t>海康威视</w:t>
            </w:r>
          </w:p>
        </w:tc>
        <w:tc>
          <w:tcPr>
            <w:tcW w:w="1701" w:type="dxa"/>
            <w:tcBorders>
              <w:top w:val="single" w:sz="0" w:space="0" w:color="000000"/>
              <w:left w:val="single" w:sz="0" w:space="0" w:color="000000"/>
              <w:bottom w:val="single" w:sz="0" w:space="0" w:color="000000"/>
              <w:right w:val="single" w:sz="0" w:space="0" w:color="000000"/>
            </w:tcBorders>
            <w:vAlign w:val="center"/>
          </w:tcPr>
          <w:p w:rsidR="000D684F">
            <w:pPr>
              <w:jc w:val="right"/>
            </w:pPr>
            <w:r>
              <w:rPr>
                <w:color w:val="000000"/>
                <w:kern w:val="0"/>
              </w:rPr>
              <w:t>960,088</w:t>
            </w:r>
          </w:p>
        </w:tc>
        <w:tc>
          <w:tcPr>
            <w:tcW w:w="1984" w:type="dxa"/>
            <w:tcBorders>
              <w:top w:val="single" w:sz="0" w:space="0" w:color="000000"/>
              <w:left w:val="single" w:sz="0" w:space="0" w:color="000000"/>
              <w:bottom w:val="single" w:sz="0" w:space="0" w:color="000000"/>
              <w:right w:val="single" w:sz="0" w:space="0" w:color="000000"/>
            </w:tcBorders>
            <w:vAlign w:val="center"/>
          </w:tcPr>
          <w:p w:rsidR="000D684F">
            <w:pPr>
              <w:jc w:val="right"/>
            </w:pPr>
            <w:r>
              <w:rPr>
                <w:color w:val="000000"/>
                <w:kern w:val="0"/>
              </w:rPr>
              <w:t>52,804,840.00</w:t>
            </w:r>
          </w:p>
        </w:tc>
        <w:tc>
          <w:tcPr>
            <w:tcW w:w="1559" w:type="dxa"/>
            <w:tcBorders>
              <w:top w:val="single" w:sz="0" w:space="0" w:color="000000"/>
              <w:left w:val="single" w:sz="0" w:space="0" w:color="000000"/>
              <w:bottom w:val="single" w:sz="0" w:space="0" w:color="000000"/>
              <w:right w:val="single" w:sz="0" w:space="0" w:color="000000"/>
            </w:tcBorders>
            <w:vAlign w:val="center"/>
          </w:tcPr>
          <w:p w:rsidR="000D684F">
            <w:pPr>
              <w:jc w:val="right"/>
            </w:pPr>
            <w:r>
              <w:rPr>
                <w:color w:val="000000"/>
                <w:kern w:val="0"/>
              </w:rPr>
              <w:t>7.12</w:t>
            </w:r>
          </w:p>
        </w:tc>
      </w:tr>
      <w:tr>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0D684F">
            <w:pPr>
              <w:jc w:val="center"/>
            </w:pPr>
            <w:r>
              <w:rPr>
                <w:color w:val="000000"/>
                <w:kern w:val="0"/>
              </w:rPr>
              <w:t>3</w:t>
            </w:r>
          </w:p>
        </w:tc>
        <w:tc>
          <w:tcPr>
            <w:tcW w:w="1276" w:type="dxa"/>
            <w:tcBorders>
              <w:top w:val="single" w:sz="0" w:space="0" w:color="000000"/>
              <w:left w:val="single" w:sz="0" w:space="0" w:color="000000"/>
              <w:bottom w:val="single" w:sz="0" w:space="0" w:color="000000"/>
              <w:right w:val="single" w:sz="0" w:space="0" w:color="000000"/>
            </w:tcBorders>
            <w:vAlign w:val="center"/>
          </w:tcPr>
          <w:p w:rsidR="000D684F">
            <w:pPr>
              <w:jc w:val="center"/>
            </w:pPr>
            <w:r>
              <w:rPr>
                <w:color w:val="000000"/>
                <w:kern w:val="0"/>
              </w:rPr>
              <w:t>300760</w:t>
            </w:r>
          </w:p>
        </w:tc>
        <w:tc>
          <w:tcPr>
            <w:tcW w:w="1418" w:type="dxa"/>
            <w:tcBorders>
              <w:top w:val="single" w:sz="0" w:space="0" w:color="000000"/>
              <w:left w:val="single" w:sz="0" w:space="0" w:color="000000"/>
              <w:bottom w:val="single" w:sz="0" w:space="0" w:color="000000"/>
              <w:right w:val="single" w:sz="0" w:space="0" w:color="000000"/>
            </w:tcBorders>
            <w:vAlign w:val="center"/>
          </w:tcPr>
          <w:p w:rsidR="000D684F">
            <w:pPr>
              <w:jc w:val="center"/>
            </w:pPr>
            <w:r>
              <w:rPr>
                <w:color w:val="000000"/>
                <w:kern w:val="0"/>
              </w:rPr>
              <w:t>迈瑞医疗</w:t>
            </w:r>
          </w:p>
        </w:tc>
        <w:tc>
          <w:tcPr>
            <w:tcW w:w="1701" w:type="dxa"/>
            <w:tcBorders>
              <w:top w:val="single" w:sz="0" w:space="0" w:color="000000"/>
              <w:left w:val="single" w:sz="0" w:space="0" w:color="000000"/>
              <w:bottom w:val="single" w:sz="0" w:space="0" w:color="000000"/>
              <w:right w:val="single" w:sz="0" w:space="0" w:color="000000"/>
            </w:tcBorders>
            <w:vAlign w:val="center"/>
          </w:tcPr>
          <w:p w:rsidR="000D684F">
            <w:pPr>
              <w:jc w:val="right"/>
            </w:pPr>
            <w:r>
              <w:rPr>
                <w:color w:val="000000"/>
                <w:kern w:val="0"/>
              </w:rPr>
              <w:t>124,945</w:t>
            </w:r>
          </w:p>
        </w:tc>
        <w:tc>
          <w:tcPr>
            <w:tcW w:w="1984" w:type="dxa"/>
            <w:tcBorders>
              <w:top w:val="single" w:sz="0" w:space="0" w:color="000000"/>
              <w:left w:val="single" w:sz="0" w:space="0" w:color="000000"/>
              <w:bottom w:val="single" w:sz="0" w:space="0" w:color="000000"/>
              <w:right w:val="single" w:sz="0" w:space="0" w:color="000000"/>
            </w:tcBorders>
            <w:vAlign w:val="center"/>
          </w:tcPr>
          <w:p w:rsidR="000D684F">
            <w:pPr>
              <w:jc w:val="right"/>
            </w:pPr>
            <w:r>
              <w:rPr>
                <w:color w:val="000000"/>
                <w:kern w:val="0"/>
              </w:rPr>
              <w:t>48,156,301.90</w:t>
            </w:r>
          </w:p>
        </w:tc>
        <w:tc>
          <w:tcPr>
            <w:tcW w:w="1559" w:type="dxa"/>
            <w:tcBorders>
              <w:top w:val="single" w:sz="0" w:space="0" w:color="000000"/>
              <w:left w:val="single" w:sz="0" w:space="0" w:color="000000"/>
              <w:bottom w:val="single" w:sz="0" w:space="0" w:color="000000"/>
              <w:right w:val="single" w:sz="0" w:space="0" w:color="000000"/>
            </w:tcBorders>
            <w:vAlign w:val="center"/>
          </w:tcPr>
          <w:p w:rsidR="000D684F">
            <w:pPr>
              <w:jc w:val="right"/>
            </w:pPr>
            <w:r>
              <w:rPr>
                <w:color w:val="000000"/>
                <w:kern w:val="0"/>
              </w:rPr>
              <w:t>6.49</w:t>
            </w:r>
          </w:p>
        </w:tc>
      </w:tr>
      <w:tr>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0D684F">
            <w:pPr>
              <w:jc w:val="center"/>
            </w:pPr>
            <w:r>
              <w:rPr>
                <w:color w:val="000000"/>
                <w:kern w:val="0"/>
              </w:rPr>
              <w:t>4</w:t>
            </w:r>
          </w:p>
        </w:tc>
        <w:tc>
          <w:tcPr>
            <w:tcW w:w="1276" w:type="dxa"/>
            <w:tcBorders>
              <w:top w:val="single" w:sz="0" w:space="0" w:color="000000"/>
              <w:left w:val="single" w:sz="0" w:space="0" w:color="000000"/>
              <w:bottom w:val="single" w:sz="0" w:space="0" w:color="000000"/>
              <w:right w:val="single" w:sz="0" w:space="0" w:color="000000"/>
            </w:tcBorders>
            <w:vAlign w:val="center"/>
          </w:tcPr>
          <w:p w:rsidR="000D684F">
            <w:pPr>
              <w:jc w:val="center"/>
            </w:pPr>
            <w:r>
              <w:rPr>
                <w:color w:val="000000"/>
                <w:kern w:val="0"/>
              </w:rPr>
              <w:t>600276</w:t>
            </w:r>
          </w:p>
        </w:tc>
        <w:tc>
          <w:tcPr>
            <w:tcW w:w="1418" w:type="dxa"/>
            <w:tcBorders>
              <w:top w:val="single" w:sz="0" w:space="0" w:color="000000"/>
              <w:left w:val="single" w:sz="0" w:space="0" w:color="000000"/>
              <w:bottom w:val="single" w:sz="0" w:space="0" w:color="000000"/>
              <w:right w:val="single" w:sz="0" w:space="0" w:color="000000"/>
            </w:tcBorders>
            <w:vAlign w:val="center"/>
          </w:tcPr>
          <w:p w:rsidR="000D684F">
            <w:pPr>
              <w:jc w:val="center"/>
            </w:pPr>
            <w:r>
              <w:rPr>
                <w:color w:val="000000"/>
                <w:kern w:val="0"/>
              </w:rPr>
              <w:t>恒瑞医药</w:t>
            </w:r>
          </w:p>
        </w:tc>
        <w:tc>
          <w:tcPr>
            <w:tcW w:w="1701" w:type="dxa"/>
            <w:tcBorders>
              <w:top w:val="single" w:sz="0" w:space="0" w:color="000000"/>
              <w:left w:val="single" w:sz="0" w:space="0" w:color="000000"/>
              <w:bottom w:val="single" w:sz="0" w:space="0" w:color="000000"/>
              <w:right w:val="single" w:sz="0" w:space="0" w:color="000000"/>
            </w:tcBorders>
            <w:vAlign w:val="center"/>
          </w:tcPr>
          <w:p w:rsidR="000D684F">
            <w:pPr>
              <w:jc w:val="right"/>
            </w:pPr>
            <w:r>
              <w:rPr>
                <w:color w:val="000000"/>
                <w:kern w:val="0"/>
              </w:rPr>
              <w:t>920,906</w:t>
            </w:r>
          </w:p>
        </w:tc>
        <w:tc>
          <w:tcPr>
            <w:tcW w:w="1984" w:type="dxa"/>
            <w:tcBorders>
              <w:top w:val="single" w:sz="0" w:space="0" w:color="000000"/>
              <w:left w:val="single" w:sz="0" w:space="0" w:color="000000"/>
              <w:bottom w:val="single" w:sz="0" w:space="0" w:color="000000"/>
              <w:right w:val="single" w:sz="0" w:space="0" w:color="000000"/>
            </w:tcBorders>
            <w:vAlign w:val="center"/>
          </w:tcPr>
          <w:p w:rsidR="000D684F">
            <w:pPr>
              <w:jc w:val="right"/>
            </w:pPr>
            <w:r>
              <w:rPr>
                <w:color w:val="000000"/>
                <w:kern w:val="0"/>
              </w:rPr>
              <w:t>46,257,108.38</w:t>
            </w:r>
          </w:p>
        </w:tc>
        <w:tc>
          <w:tcPr>
            <w:tcW w:w="1559" w:type="dxa"/>
            <w:tcBorders>
              <w:top w:val="single" w:sz="0" w:space="0" w:color="000000"/>
              <w:left w:val="single" w:sz="0" w:space="0" w:color="000000"/>
              <w:bottom w:val="single" w:sz="0" w:space="0" w:color="000000"/>
              <w:right w:val="single" w:sz="0" w:space="0" w:color="000000"/>
            </w:tcBorders>
            <w:vAlign w:val="center"/>
          </w:tcPr>
          <w:p w:rsidR="000D684F">
            <w:pPr>
              <w:jc w:val="right"/>
            </w:pPr>
            <w:r>
              <w:rPr>
                <w:color w:val="000000"/>
                <w:kern w:val="0"/>
              </w:rPr>
              <w:t>6.24</w:t>
            </w:r>
          </w:p>
        </w:tc>
      </w:tr>
      <w:tr>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0D684F">
            <w:pPr>
              <w:jc w:val="center"/>
            </w:pPr>
            <w:r>
              <w:rPr>
                <w:color w:val="000000"/>
                <w:kern w:val="0"/>
              </w:rPr>
              <w:t>5</w:t>
            </w:r>
          </w:p>
        </w:tc>
        <w:tc>
          <w:tcPr>
            <w:tcW w:w="1276" w:type="dxa"/>
            <w:tcBorders>
              <w:top w:val="single" w:sz="0" w:space="0" w:color="000000"/>
              <w:left w:val="single" w:sz="0" w:space="0" w:color="000000"/>
              <w:bottom w:val="single" w:sz="0" w:space="0" w:color="000000"/>
              <w:right w:val="single" w:sz="0" w:space="0" w:color="000000"/>
            </w:tcBorders>
            <w:vAlign w:val="center"/>
          </w:tcPr>
          <w:p w:rsidR="000D684F">
            <w:pPr>
              <w:jc w:val="center"/>
            </w:pPr>
            <w:r>
              <w:rPr>
                <w:color w:val="000000"/>
                <w:kern w:val="0"/>
              </w:rPr>
              <w:t>002475</w:t>
            </w:r>
          </w:p>
        </w:tc>
        <w:tc>
          <w:tcPr>
            <w:tcW w:w="1418" w:type="dxa"/>
            <w:tcBorders>
              <w:top w:val="single" w:sz="0" w:space="0" w:color="000000"/>
              <w:left w:val="single" w:sz="0" w:space="0" w:color="000000"/>
              <w:bottom w:val="single" w:sz="0" w:space="0" w:color="000000"/>
              <w:right w:val="single" w:sz="0" w:space="0" w:color="000000"/>
            </w:tcBorders>
            <w:vAlign w:val="center"/>
          </w:tcPr>
          <w:p w:rsidR="000D684F">
            <w:pPr>
              <w:jc w:val="center"/>
            </w:pPr>
            <w:r>
              <w:rPr>
                <w:color w:val="000000"/>
                <w:kern w:val="0"/>
              </w:rPr>
              <w:t>立讯精密</w:t>
            </w:r>
          </w:p>
        </w:tc>
        <w:tc>
          <w:tcPr>
            <w:tcW w:w="1701" w:type="dxa"/>
            <w:tcBorders>
              <w:top w:val="single" w:sz="0" w:space="0" w:color="000000"/>
              <w:left w:val="single" w:sz="0" w:space="0" w:color="000000"/>
              <w:bottom w:val="single" w:sz="0" w:space="0" w:color="000000"/>
              <w:right w:val="single" w:sz="0" w:space="0" w:color="000000"/>
            </w:tcBorders>
            <w:vAlign w:val="center"/>
          </w:tcPr>
          <w:p w:rsidR="000D684F">
            <w:pPr>
              <w:jc w:val="right"/>
            </w:pPr>
            <w:r>
              <w:rPr>
                <w:color w:val="000000"/>
                <w:kern w:val="0"/>
              </w:rPr>
              <w:t>1,005,454</w:t>
            </w:r>
          </w:p>
        </w:tc>
        <w:tc>
          <w:tcPr>
            <w:tcW w:w="1984" w:type="dxa"/>
            <w:tcBorders>
              <w:top w:val="single" w:sz="0" w:space="0" w:color="000000"/>
              <w:left w:val="single" w:sz="0" w:space="0" w:color="000000"/>
              <w:bottom w:val="single" w:sz="0" w:space="0" w:color="000000"/>
              <w:right w:val="single" w:sz="0" w:space="0" w:color="000000"/>
            </w:tcBorders>
            <w:vAlign w:val="center"/>
          </w:tcPr>
          <w:p w:rsidR="000D684F">
            <w:pPr>
              <w:jc w:val="right"/>
            </w:pPr>
            <w:r>
              <w:rPr>
                <w:color w:val="000000"/>
                <w:kern w:val="0"/>
              </w:rPr>
              <w:t>35,904,762.34</w:t>
            </w:r>
          </w:p>
        </w:tc>
        <w:tc>
          <w:tcPr>
            <w:tcW w:w="1559" w:type="dxa"/>
            <w:tcBorders>
              <w:top w:val="single" w:sz="0" w:space="0" w:color="000000"/>
              <w:left w:val="single" w:sz="0" w:space="0" w:color="000000"/>
              <w:bottom w:val="single" w:sz="0" w:space="0" w:color="000000"/>
              <w:right w:val="single" w:sz="0" w:space="0" w:color="000000"/>
            </w:tcBorders>
            <w:vAlign w:val="center"/>
          </w:tcPr>
          <w:p w:rsidR="000D684F">
            <w:pPr>
              <w:jc w:val="right"/>
            </w:pPr>
            <w:r>
              <w:rPr>
                <w:color w:val="000000"/>
                <w:kern w:val="0"/>
              </w:rPr>
              <w:t>4.84</w:t>
            </w:r>
          </w:p>
        </w:tc>
      </w:tr>
      <w:tr>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0D684F">
            <w:pPr>
              <w:jc w:val="center"/>
            </w:pPr>
            <w:r>
              <w:rPr>
                <w:color w:val="000000"/>
                <w:kern w:val="0"/>
              </w:rPr>
              <w:t>6</w:t>
            </w:r>
          </w:p>
        </w:tc>
        <w:tc>
          <w:tcPr>
            <w:tcW w:w="1276" w:type="dxa"/>
            <w:tcBorders>
              <w:top w:val="single" w:sz="0" w:space="0" w:color="000000"/>
              <w:left w:val="single" w:sz="0" w:space="0" w:color="000000"/>
              <w:bottom w:val="single" w:sz="0" w:space="0" w:color="000000"/>
              <w:right w:val="single" w:sz="0" w:space="0" w:color="000000"/>
            </w:tcBorders>
            <w:vAlign w:val="center"/>
          </w:tcPr>
          <w:p w:rsidR="000D684F">
            <w:pPr>
              <w:jc w:val="center"/>
            </w:pPr>
            <w:r>
              <w:rPr>
                <w:color w:val="000000"/>
                <w:kern w:val="0"/>
              </w:rPr>
              <w:t>000725</w:t>
            </w:r>
          </w:p>
        </w:tc>
        <w:tc>
          <w:tcPr>
            <w:tcW w:w="1418" w:type="dxa"/>
            <w:tcBorders>
              <w:top w:val="single" w:sz="0" w:space="0" w:color="000000"/>
              <w:left w:val="single" w:sz="0" w:space="0" w:color="000000"/>
              <w:bottom w:val="single" w:sz="0" w:space="0" w:color="000000"/>
              <w:right w:val="single" w:sz="0" w:space="0" w:color="000000"/>
            </w:tcBorders>
            <w:vAlign w:val="center"/>
          </w:tcPr>
          <w:p w:rsidR="000D684F">
            <w:pPr>
              <w:jc w:val="center"/>
            </w:pPr>
            <w:r>
              <w:rPr>
                <w:color w:val="000000"/>
                <w:kern w:val="0"/>
              </w:rPr>
              <w:t>京东方</w:t>
            </w:r>
            <w:r>
              <w:rPr>
                <w:color w:val="000000"/>
                <w:kern w:val="0"/>
              </w:rPr>
              <w:t>A</w:t>
            </w:r>
          </w:p>
        </w:tc>
        <w:tc>
          <w:tcPr>
            <w:tcW w:w="1701" w:type="dxa"/>
            <w:tcBorders>
              <w:top w:val="single" w:sz="0" w:space="0" w:color="000000"/>
              <w:left w:val="single" w:sz="0" w:space="0" w:color="000000"/>
              <w:bottom w:val="single" w:sz="0" w:space="0" w:color="000000"/>
              <w:right w:val="single" w:sz="0" w:space="0" w:color="000000"/>
            </w:tcBorders>
            <w:vAlign w:val="center"/>
          </w:tcPr>
          <w:p w:rsidR="000D684F">
            <w:pPr>
              <w:jc w:val="right"/>
            </w:pPr>
            <w:r>
              <w:rPr>
                <w:color w:val="000000"/>
                <w:kern w:val="0"/>
              </w:rPr>
              <w:t>6,170,200</w:t>
            </w:r>
          </w:p>
        </w:tc>
        <w:tc>
          <w:tcPr>
            <w:tcW w:w="1984" w:type="dxa"/>
            <w:tcBorders>
              <w:top w:val="single" w:sz="0" w:space="0" w:color="000000"/>
              <w:left w:val="single" w:sz="0" w:space="0" w:color="000000"/>
              <w:bottom w:val="single" w:sz="0" w:space="0" w:color="000000"/>
              <w:right w:val="single" w:sz="0" w:space="0" w:color="000000"/>
            </w:tcBorders>
            <w:vAlign w:val="center"/>
          </w:tcPr>
          <w:p w:rsidR="000D684F">
            <w:pPr>
              <w:jc w:val="right"/>
            </w:pPr>
            <w:r>
              <w:rPr>
                <w:color w:val="000000"/>
                <w:kern w:val="0"/>
              </w:rPr>
              <w:t>31,159,510.00</w:t>
            </w:r>
          </w:p>
        </w:tc>
        <w:tc>
          <w:tcPr>
            <w:tcW w:w="1559" w:type="dxa"/>
            <w:tcBorders>
              <w:top w:val="single" w:sz="0" w:space="0" w:color="000000"/>
              <w:left w:val="single" w:sz="0" w:space="0" w:color="000000"/>
              <w:bottom w:val="single" w:sz="0" w:space="0" w:color="000000"/>
              <w:right w:val="single" w:sz="0" w:space="0" w:color="000000"/>
            </w:tcBorders>
            <w:vAlign w:val="center"/>
          </w:tcPr>
          <w:p w:rsidR="000D684F">
            <w:pPr>
              <w:jc w:val="right"/>
            </w:pPr>
            <w:r>
              <w:rPr>
                <w:color w:val="000000"/>
                <w:kern w:val="0"/>
              </w:rPr>
              <w:t>4.20</w:t>
            </w:r>
          </w:p>
        </w:tc>
      </w:tr>
      <w:tr>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0D684F">
            <w:pPr>
              <w:jc w:val="center"/>
            </w:pPr>
            <w:r>
              <w:rPr>
                <w:color w:val="000000"/>
                <w:kern w:val="0"/>
              </w:rPr>
              <w:t>7</w:t>
            </w:r>
          </w:p>
        </w:tc>
        <w:tc>
          <w:tcPr>
            <w:tcW w:w="1276" w:type="dxa"/>
            <w:tcBorders>
              <w:top w:val="single" w:sz="0" w:space="0" w:color="000000"/>
              <w:left w:val="single" w:sz="0" w:space="0" w:color="000000"/>
              <w:bottom w:val="single" w:sz="0" w:space="0" w:color="000000"/>
              <w:right w:val="single" w:sz="0" w:space="0" w:color="000000"/>
            </w:tcBorders>
            <w:vAlign w:val="center"/>
          </w:tcPr>
          <w:p w:rsidR="000D684F">
            <w:pPr>
              <w:jc w:val="center"/>
            </w:pPr>
            <w:r>
              <w:rPr>
                <w:color w:val="000000"/>
                <w:kern w:val="0"/>
              </w:rPr>
              <w:t>603501</w:t>
            </w:r>
          </w:p>
        </w:tc>
        <w:tc>
          <w:tcPr>
            <w:tcW w:w="1418" w:type="dxa"/>
            <w:tcBorders>
              <w:top w:val="single" w:sz="0" w:space="0" w:color="000000"/>
              <w:left w:val="single" w:sz="0" w:space="0" w:color="000000"/>
              <w:bottom w:val="single" w:sz="0" w:space="0" w:color="000000"/>
              <w:right w:val="single" w:sz="0" w:space="0" w:color="000000"/>
            </w:tcBorders>
            <w:vAlign w:val="center"/>
          </w:tcPr>
          <w:p w:rsidR="000D684F">
            <w:pPr>
              <w:jc w:val="center"/>
            </w:pPr>
            <w:r>
              <w:rPr>
                <w:color w:val="000000"/>
                <w:kern w:val="0"/>
              </w:rPr>
              <w:t>韦尔股份</w:t>
            </w:r>
          </w:p>
        </w:tc>
        <w:tc>
          <w:tcPr>
            <w:tcW w:w="1701" w:type="dxa"/>
            <w:tcBorders>
              <w:top w:val="single" w:sz="0" w:space="0" w:color="000000"/>
              <w:left w:val="single" w:sz="0" w:space="0" w:color="000000"/>
              <w:bottom w:val="single" w:sz="0" w:space="0" w:color="000000"/>
              <w:right w:val="single" w:sz="0" w:space="0" w:color="000000"/>
            </w:tcBorders>
            <w:vAlign w:val="center"/>
          </w:tcPr>
          <w:p w:rsidR="000D684F">
            <w:pPr>
              <w:jc w:val="right"/>
            </w:pPr>
            <w:r>
              <w:rPr>
                <w:color w:val="000000"/>
                <w:kern w:val="0"/>
              </w:rPr>
              <w:t>107,100</w:t>
            </w:r>
          </w:p>
        </w:tc>
        <w:tc>
          <w:tcPr>
            <w:tcW w:w="1984" w:type="dxa"/>
            <w:tcBorders>
              <w:top w:val="single" w:sz="0" w:space="0" w:color="000000"/>
              <w:left w:val="single" w:sz="0" w:space="0" w:color="000000"/>
              <w:bottom w:val="single" w:sz="0" w:space="0" w:color="000000"/>
              <w:right w:val="single" w:sz="0" w:space="0" w:color="000000"/>
            </w:tcBorders>
            <w:vAlign w:val="center"/>
          </w:tcPr>
          <w:p w:rsidR="000D684F">
            <w:pPr>
              <w:jc w:val="right"/>
            </w:pPr>
            <w:r>
              <w:rPr>
                <w:color w:val="000000"/>
                <w:kern w:val="0"/>
              </w:rPr>
              <w:t>25,983,531.00</w:t>
            </w:r>
          </w:p>
        </w:tc>
        <w:tc>
          <w:tcPr>
            <w:tcW w:w="1559" w:type="dxa"/>
            <w:tcBorders>
              <w:top w:val="single" w:sz="0" w:space="0" w:color="000000"/>
              <w:left w:val="single" w:sz="0" w:space="0" w:color="000000"/>
              <w:bottom w:val="single" w:sz="0" w:space="0" w:color="000000"/>
              <w:right w:val="single" w:sz="0" w:space="0" w:color="000000"/>
            </w:tcBorders>
            <w:vAlign w:val="center"/>
          </w:tcPr>
          <w:p w:rsidR="000D684F">
            <w:pPr>
              <w:jc w:val="right"/>
            </w:pPr>
            <w:r>
              <w:rPr>
                <w:color w:val="000000"/>
                <w:kern w:val="0"/>
              </w:rPr>
              <w:t>3.50</w:t>
            </w:r>
          </w:p>
        </w:tc>
      </w:tr>
      <w:tr>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0D684F">
            <w:pPr>
              <w:jc w:val="center"/>
            </w:pPr>
            <w:r>
              <w:rPr>
                <w:color w:val="000000"/>
                <w:kern w:val="0"/>
              </w:rPr>
              <w:t>8</w:t>
            </w:r>
          </w:p>
        </w:tc>
        <w:tc>
          <w:tcPr>
            <w:tcW w:w="1276" w:type="dxa"/>
            <w:tcBorders>
              <w:top w:val="single" w:sz="0" w:space="0" w:color="000000"/>
              <w:left w:val="single" w:sz="0" w:space="0" w:color="000000"/>
              <w:bottom w:val="single" w:sz="0" w:space="0" w:color="000000"/>
              <w:right w:val="single" w:sz="0" w:space="0" w:color="000000"/>
            </w:tcBorders>
            <w:vAlign w:val="center"/>
          </w:tcPr>
          <w:p w:rsidR="000D684F">
            <w:pPr>
              <w:jc w:val="center"/>
            </w:pPr>
            <w:r>
              <w:rPr>
                <w:color w:val="000000"/>
                <w:kern w:val="0"/>
              </w:rPr>
              <w:t>300014</w:t>
            </w:r>
          </w:p>
        </w:tc>
        <w:tc>
          <w:tcPr>
            <w:tcW w:w="1418" w:type="dxa"/>
            <w:tcBorders>
              <w:top w:val="single" w:sz="0" w:space="0" w:color="000000"/>
              <w:left w:val="single" w:sz="0" w:space="0" w:color="000000"/>
              <w:bottom w:val="single" w:sz="0" w:space="0" w:color="000000"/>
              <w:right w:val="single" w:sz="0" w:space="0" w:color="000000"/>
            </w:tcBorders>
            <w:vAlign w:val="center"/>
          </w:tcPr>
          <w:p w:rsidR="000D684F">
            <w:pPr>
              <w:jc w:val="center"/>
            </w:pPr>
            <w:r>
              <w:rPr>
                <w:color w:val="000000"/>
                <w:kern w:val="0"/>
              </w:rPr>
              <w:t>亿纬锂能</w:t>
            </w:r>
          </w:p>
        </w:tc>
        <w:tc>
          <w:tcPr>
            <w:tcW w:w="1701" w:type="dxa"/>
            <w:tcBorders>
              <w:top w:val="single" w:sz="0" w:space="0" w:color="000000"/>
              <w:left w:val="single" w:sz="0" w:space="0" w:color="000000"/>
              <w:bottom w:val="single" w:sz="0" w:space="0" w:color="000000"/>
              <w:right w:val="single" w:sz="0" w:space="0" w:color="000000"/>
            </w:tcBorders>
            <w:vAlign w:val="center"/>
          </w:tcPr>
          <w:p w:rsidR="000D684F">
            <w:pPr>
              <w:jc w:val="right"/>
            </w:pPr>
            <w:r>
              <w:rPr>
                <w:color w:val="000000"/>
                <w:kern w:val="0"/>
              </w:rPr>
              <w:t>233,374</w:t>
            </w:r>
          </w:p>
        </w:tc>
        <w:tc>
          <w:tcPr>
            <w:tcW w:w="1984" w:type="dxa"/>
            <w:tcBorders>
              <w:top w:val="single" w:sz="0" w:space="0" w:color="000000"/>
              <w:left w:val="single" w:sz="0" w:space="0" w:color="000000"/>
              <w:bottom w:val="single" w:sz="0" w:space="0" w:color="000000"/>
              <w:right w:val="single" w:sz="0" w:space="0" w:color="000000"/>
            </w:tcBorders>
            <w:vAlign w:val="center"/>
          </w:tcPr>
          <w:p w:rsidR="000D684F">
            <w:pPr>
              <w:jc w:val="right"/>
            </w:pPr>
            <w:r>
              <w:rPr>
                <w:color w:val="000000"/>
                <w:kern w:val="0"/>
              </w:rPr>
              <w:t>23,111,027.22</w:t>
            </w:r>
          </w:p>
        </w:tc>
        <w:tc>
          <w:tcPr>
            <w:tcW w:w="1559" w:type="dxa"/>
            <w:tcBorders>
              <w:top w:val="single" w:sz="0" w:space="0" w:color="000000"/>
              <w:left w:val="single" w:sz="0" w:space="0" w:color="000000"/>
              <w:bottom w:val="single" w:sz="0" w:space="0" w:color="000000"/>
              <w:right w:val="single" w:sz="0" w:space="0" w:color="000000"/>
            </w:tcBorders>
            <w:vAlign w:val="center"/>
          </w:tcPr>
          <w:p w:rsidR="000D684F">
            <w:pPr>
              <w:jc w:val="right"/>
            </w:pPr>
            <w:r>
              <w:rPr>
                <w:color w:val="000000"/>
                <w:kern w:val="0"/>
              </w:rPr>
              <w:t>3.12</w:t>
            </w:r>
          </w:p>
        </w:tc>
      </w:tr>
      <w:tr>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0D684F">
            <w:pPr>
              <w:jc w:val="center"/>
            </w:pPr>
            <w:r>
              <w:rPr>
                <w:color w:val="000000"/>
                <w:kern w:val="0"/>
              </w:rPr>
              <w:t>9</w:t>
            </w:r>
          </w:p>
        </w:tc>
        <w:tc>
          <w:tcPr>
            <w:tcW w:w="1276" w:type="dxa"/>
            <w:tcBorders>
              <w:top w:val="single" w:sz="0" w:space="0" w:color="000000"/>
              <w:left w:val="single" w:sz="0" w:space="0" w:color="000000"/>
              <w:bottom w:val="single" w:sz="0" w:space="0" w:color="000000"/>
              <w:right w:val="single" w:sz="0" w:space="0" w:color="000000"/>
            </w:tcBorders>
            <w:vAlign w:val="center"/>
          </w:tcPr>
          <w:p w:rsidR="000D684F">
            <w:pPr>
              <w:jc w:val="center"/>
            </w:pPr>
            <w:r>
              <w:rPr>
                <w:color w:val="000000"/>
                <w:kern w:val="0"/>
              </w:rPr>
              <w:t>002241</w:t>
            </w:r>
          </w:p>
        </w:tc>
        <w:tc>
          <w:tcPr>
            <w:tcW w:w="1418" w:type="dxa"/>
            <w:tcBorders>
              <w:top w:val="single" w:sz="0" w:space="0" w:color="000000"/>
              <w:left w:val="single" w:sz="0" w:space="0" w:color="000000"/>
              <w:bottom w:val="single" w:sz="0" w:space="0" w:color="000000"/>
              <w:right w:val="single" w:sz="0" w:space="0" w:color="000000"/>
            </w:tcBorders>
            <w:vAlign w:val="center"/>
          </w:tcPr>
          <w:p w:rsidR="000D684F">
            <w:pPr>
              <w:jc w:val="center"/>
            </w:pPr>
            <w:r>
              <w:rPr>
                <w:color w:val="000000"/>
                <w:kern w:val="0"/>
              </w:rPr>
              <w:t>歌尔股份</w:t>
            </w:r>
          </w:p>
        </w:tc>
        <w:tc>
          <w:tcPr>
            <w:tcW w:w="1701" w:type="dxa"/>
            <w:tcBorders>
              <w:top w:val="single" w:sz="0" w:space="0" w:color="000000"/>
              <w:left w:val="single" w:sz="0" w:space="0" w:color="000000"/>
              <w:bottom w:val="single" w:sz="0" w:space="0" w:color="000000"/>
              <w:right w:val="single" w:sz="0" w:space="0" w:color="000000"/>
            </w:tcBorders>
            <w:vAlign w:val="center"/>
          </w:tcPr>
          <w:p w:rsidR="000D684F">
            <w:pPr>
              <w:jc w:val="right"/>
            </w:pPr>
            <w:r>
              <w:rPr>
                <w:color w:val="000000"/>
                <w:kern w:val="0"/>
              </w:rPr>
              <w:t>491,300</w:t>
            </w:r>
          </w:p>
        </w:tc>
        <w:tc>
          <w:tcPr>
            <w:tcW w:w="1984" w:type="dxa"/>
            <w:tcBorders>
              <w:top w:val="single" w:sz="0" w:space="0" w:color="000000"/>
              <w:left w:val="single" w:sz="0" w:space="0" w:color="000000"/>
              <w:bottom w:val="single" w:sz="0" w:space="0" w:color="000000"/>
              <w:right w:val="single" w:sz="0" w:space="0" w:color="000000"/>
            </w:tcBorders>
            <w:vAlign w:val="center"/>
          </w:tcPr>
          <w:p w:rsidR="000D684F">
            <w:pPr>
              <w:jc w:val="right"/>
            </w:pPr>
            <w:r>
              <w:rPr>
                <w:color w:val="000000"/>
                <w:kern w:val="0"/>
              </w:rPr>
              <w:t>21,175,030.00</w:t>
            </w:r>
          </w:p>
        </w:tc>
        <w:tc>
          <w:tcPr>
            <w:tcW w:w="1559" w:type="dxa"/>
            <w:tcBorders>
              <w:top w:val="single" w:sz="0" w:space="0" w:color="000000"/>
              <w:left w:val="single" w:sz="0" w:space="0" w:color="000000"/>
              <w:bottom w:val="single" w:sz="0" w:space="0" w:color="000000"/>
              <w:right w:val="single" w:sz="0" w:space="0" w:color="000000"/>
            </w:tcBorders>
            <w:vAlign w:val="center"/>
          </w:tcPr>
          <w:p w:rsidR="000D684F">
            <w:pPr>
              <w:jc w:val="right"/>
            </w:pPr>
            <w:r>
              <w:rPr>
                <w:color w:val="000000"/>
                <w:kern w:val="0"/>
              </w:rPr>
              <w:t>2.85</w:t>
            </w:r>
          </w:p>
        </w:tc>
      </w:tr>
      <w:tr>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0D684F">
            <w:pPr>
              <w:jc w:val="center"/>
            </w:pPr>
            <w:r>
              <w:rPr>
                <w:color w:val="000000"/>
                <w:kern w:val="0"/>
              </w:rPr>
              <w:t>10</w:t>
            </w:r>
          </w:p>
        </w:tc>
        <w:tc>
          <w:tcPr>
            <w:tcW w:w="1276" w:type="dxa"/>
            <w:tcBorders>
              <w:top w:val="single" w:sz="0" w:space="0" w:color="000000"/>
              <w:left w:val="single" w:sz="0" w:space="0" w:color="000000"/>
              <w:bottom w:val="single" w:sz="0" w:space="0" w:color="000000"/>
              <w:right w:val="single" w:sz="0" w:space="0" w:color="000000"/>
            </w:tcBorders>
            <w:vAlign w:val="center"/>
          </w:tcPr>
          <w:p w:rsidR="000D684F">
            <w:pPr>
              <w:jc w:val="center"/>
            </w:pPr>
            <w:r>
              <w:rPr>
                <w:color w:val="000000"/>
                <w:kern w:val="0"/>
              </w:rPr>
              <w:t>000063</w:t>
            </w:r>
          </w:p>
        </w:tc>
        <w:tc>
          <w:tcPr>
            <w:tcW w:w="1418" w:type="dxa"/>
            <w:tcBorders>
              <w:top w:val="single" w:sz="0" w:space="0" w:color="000000"/>
              <w:left w:val="single" w:sz="0" w:space="0" w:color="000000"/>
              <w:bottom w:val="single" w:sz="0" w:space="0" w:color="000000"/>
              <w:right w:val="single" w:sz="0" w:space="0" w:color="000000"/>
            </w:tcBorders>
            <w:vAlign w:val="center"/>
          </w:tcPr>
          <w:p w:rsidR="000D684F">
            <w:pPr>
              <w:jc w:val="center"/>
            </w:pPr>
            <w:r>
              <w:rPr>
                <w:color w:val="000000"/>
                <w:kern w:val="0"/>
              </w:rPr>
              <w:t>中兴通讯</w:t>
            </w:r>
          </w:p>
        </w:tc>
        <w:tc>
          <w:tcPr>
            <w:tcW w:w="1701" w:type="dxa"/>
            <w:tcBorders>
              <w:top w:val="single" w:sz="0" w:space="0" w:color="000000"/>
              <w:left w:val="single" w:sz="0" w:space="0" w:color="000000"/>
              <w:bottom w:val="single" w:sz="0" w:space="0" w:color="000000"/>
              <w:right w:val="single" w:sz="0" w:space="0" w:color="000000"/>
            </w:tcBorders>
            <w:vAlign w:val="center"/>
          </w:tcPr>
          <w:p w:rsidR="000D684F">
            <w:pPr>
              <w:jc w:val="right"/>
            </w:pPr>
            <w:r>
              <w:rPr>
                <w:color w:val="000000"/>
                <w:kern w:val="0"/>
              </w:rPr>
              <w:t>634,836</w:t>
            </w:r>
          </w:p>
        </w:tc>
        <w:tc>
          <w:tcPr>
            <w:tcW w:w="1984" w:type="dxa"/>
            <w:tcBorders>
              <w:top w:val="single" w:sz="0" w:space="0" w:color="000000"/>
              <w:left w:val="single" w:sz="0" w:space="0" w:color="000000"/>
              <w:bottom w:val="single" w:sz="0" w:space="0" w:color="000000"/>
              <w:right w:val="single" w:sz="0" w:space="0" w:color="000000"/>
            </w:tcBorders>
            <w:vAlign w:val="center"/>
          </w:tcPr>
          <w:p w:rsidR="000D684F">
            <w:pPr>
              <w:jc w:val="right"/>
            </w:pPr>
            <w:r>
              <w:rPr>
                <w:color w:val="000000"/>
                <w:kern w:val="0"/>
              </w:rPr>
              <w:t>21,032,116.68</w:t>
            </w:r>
          </w:p>
        </w:tc>
        <w:tc>
          <w:tcPr>
            <w:tcW w:w="1559" w:type="dxa"/>
            <w:tcBorders>
              <w:top w:val="single" w:sz="0" w:space="0" w:color="000000"/>
              <w:left w:val="single" w:sz="0" w:space="0" w:color="000000"/>
              <w:bottom w:val="single" w:sz="0" w:space="0" w:color="000000"/>
              <w:right w:val="single" w:sz="0" w:space="0" w:color="000000"/>
            </w:tcBorders>
            <w:vAlign w:val="center"/>
          </w:tcPr>
          <w:p w:rsidR="000D684F">
            <w:pPr>
              <w:jc w:val="right"/>
            </w:pPr>
            <w:r>
              <w:rPr>
                <w:color w:val="000000"/>
                <w:kern w:val="0"/>
              </w:rPr>
              <w:t>2.84</w:t>
            </w:r>
          </w:p>
        </w:tc>
      </w:tr>
    </w:tbl>
    <w:p w:rsidR="000D684F">
      <w:pPr>
        <w:spacing w:line="360" w:lineRule="auto"/>
        <w:jc w:val="left"/>
      </w:pPr>
      <w:r>
        <w:t>4</w:t>
      </w:r>
      <w:r>
        <w:t>、</w:t>
      </w:r>
      <w:r>
        <w:t xml:space="preserve"> </w:t>
      </w:r>
      <w:r>
        <w:t>报告期末按债券品种分类的债券投资组合</w:t>
      </w:r>
    </w:p>
    <w:p w:rsidR="000D684F">
      <w:pPr>
        <w:spacing w:line="360" w:lineRule="auto"/>
        <w:ind w:firstLine="420"/>
        <w:jc w:val="left"/>
      </w:pPr>
      <w:r>
        <w:t>本基金本报告期末未持有债券。</w:t>
      </w:r>
    </w:p>
    <w:p w:rsidR="000D684F">
      <w:pPr>
        <w:spacing w:line="360" w:lineRule="auto"/>
        <w:jc w:val="left"/>
      </w:pPr>
      <w:r>
        <w:t>5</w:t>
      </w:r>
      <w:r>
        <w:t>、</w:t>
      </w:r>
      <w:r>
        <w:t xml:space="preserve"> </w:t>
      </w:r>
      <w:r>
        <w:t>报告期末按公允价值占基金资产净值比例大小排序的前五名债券投资明细</w:t>
      </w:r>
    </w:p>
    <w:p w:rsidR="000D684F">
      <w:pPr>
        <w:spacing w:line="360" w:lineRule="auto"/>
        <w:ind w:firstLine="420"/>
        <w:jc w:val="left"/>
      </w:pPr>
      <w:r>
        <w:t>本基金本报告期末未持有债券。</w:t>
      </w:r>
    </w:p>
    <w:p w:rsidR="000D684F">
      <w:pPr>
        <w:spacing w:line="360" w:lineRule="auto"/>
        <w:jc w:val="left"/>
      </w:pPr>
      <w:r>
        <w:t>6</w:t>
      </w:r>
      <w:r>
        <w:t>、</w:t>
      </w:r>
      <w:r>
        <w:t xml:space="preserve"> </w:t>
      </w:r>
      <w:r>
        <w:t>报告期末按公允价值占基金资产净值比例大小排序的前十名资产支持证券投资明细</w:t>
      </w:r>
    </w:p>
    <w:p w:rsidR="000D684F">
      <w:pPr>
        <w:spacing w:line="360" w:lineRule="auto"/>
        <w:ind w:firstLine="420"/>
        <w:jc w:val="left"/>
      </w:pPr>
      <w:r>
        <w:t>本基金本报告期末未持有资产支持证券。</w:t>
      </w:r>
    </w:p>
    <w:p w:rsidR="000D684F">
      <w:pPr>
        <w:spacing w:line="360" w:lineRule="auto"/>
        <w:jc w:val="left"/>
      </w:pPr>
      <w:r>
        <w:t>7</w:t>
      </w:r>
      <w:r>
        <w:t>、</w:t>
      </w:r>
      <w:r>
        <w:t xml:space="preserve"> </w:t>
      </w:r>
      <w:r>
        <w:t>报告期末按公允价值占基金资产净值比例大小排序的前五名贵金属投资明细</w:t>
      </w:r>
    </w:p>
    <w:p w:rsidR="000D684F">
      <w:pPr>
        <w:spacing w:line="360" w:lineRule="auto"/>
        <w:ind w:firstLine="420"/>
        <w:jc w:val="left"/>
      </w:pPr>
      <w:r>
        <w:t>本基金本报告期末未持有贵金属。</w:t>
      </w:r>
    </w:p>
    <w:p w:rsidR="000D684F">
      <w:pPr>
        <w:spacing w:line="360" w:lineRule="auto"/>
        <w:jc w:val="left"/>
      </w:pPr>
      <w:r>
        <w:t>8</w:t>
      </w:r>
      <w:r>
        <w:t>、</w:t>
      </w:r>
      <w:r>
        <w:t xml:space="preserve"> </w:t>
      </w:r>
      <w:r>
        <w:t>报告期末按公允价值占基金资产净值比例大小排序的前五名权证投资明细</w:t>
      </w:r>
    </w:p>
    <w:p w:rsidR="000D684F">
      <w:pPr>
        <w:spacing w:line="360" w:lineRule="auto"/>
        <w:ind w:firstLine="420"/>
        <w:jc w:val="left"/>
      </w:pPr>
      <w:r>
        <w:t>本基金本报告期末未持有权证。</w:t>
      </w:r>
    </w:p>
    <w:p w:rsidR="000D684F">
      <w:pPr>
        <w:spacing w:line="360" w:lineRule="auto"/>
        <w:jc w:val="left"/>
      </w:pPr>
      <w:r>
        <w:t>9</w:t>
      </w:r>
      <w:r>
        <w:t>、</w:t>
      </w:r>
      <w:r>
        <w:t xml:space="preserve"> </w:t>
      </w:r>
      <w:r>
        <w:t>报告期末本基金投资的股指期货交易情况说明</w:t>
      </w:r>
    </w:p>
    <w:p w:rsidR="000D684F">
      <w:pPr>
        <w:spacing w:line="360" w:lineRule="auto"/>
        <w:ind w:firstLine="420"/>
        <w:jc w:val="left"/>
      </w:pPr>
      <w:r>
        <w:t>本基金本报告期末未投资股指期货。</w:t>
      </w:r>
    </w:p>
    <w:p w:rsidR="000D684F">
      <w:pPr>
        <w:spacing w:line="360" w:lineRule="auto"/>
        <w:jc w:val="left"/>
      </w:pPr>
      <w:r>
        <w:t>10</w:t>
      </w:r>
      <w:r>
        <w:t>、</w:t>
      </w:r>
      <w:r>
        <w:t xml:space="preserve"> </w:t>
      </w:r>
      <w:r>
        <w:t>报告期末本基金投资的国债期货交易情况说明</w:t>
      </w:r>
    </w:p>
    <w:p w:rsidR="000D684F">
      <w:pPr>
        <w:spacing w:line="360" w:lineRule="auto"/>
        <w:ind w:firstLine="420"/>
        <w:jc w:val="left"/>
      </w:pPr>
      <w:r>
        <w:t>本基金本报告期末未投资国债期货。</w:t>
      </w:r>
    </w:p>
    <w:p w:rsidR="000D684F">
      <w:pPr>
        <w:spacing w:line="360" w:lineRule="auto"/>
        <w:jc w:val="left"/>
      </w:pPr>
      <w:r>
        <w:t>11</w:t>
      </w:r>
      <w:r>
        <w:t>、</w:t>
      </w:r>
      <w:r>
        <w:t xml:space="preserve"> </w:t>
      </w:r>
      <w:r>
        <w:t>投资组合报告附注</w:t>
      </w:r>
    </w:p>
    <w:p w:rsidR="000D684F">
      <w:pPr>
        <w:spacing w:line="360" w:lineRule="auto"/>
        <w:jc w:val="left"/>
      </w:pPr>
      <w:r>
        <w:t>（</w:t>
      </w:r>
      <w:r>
        <w:t>1</w:t>
      </w:r>
      <w:r>
        <w:t>）</w:t>
      </w:r>
      <w:r>
        <w:t xml:space="preserve"> </w:t>
      </w:r>
      <w:r>
        <w:t>本基金投资的前十名证券的发行主体中，江苏恒瑞医药股份有限公司在报告编制日前一年内曾受到中华人民共和国财政部的处罚。</w:t>
      </w:r>
    </w:p>
    <w:p w:rsidR="000D684F">
      <w:pPr>
        <w:spacing w:line="360" w:lineRule="auto"/>
        <w:ind w:firstLine="420"/>
        <w:jc w:val="left"/>
      </w:pPr>
      <w:r>
        <w:t>本基金投资的前十名证券中，上述主体所发行证券的投资决策程序符合公司投资制度的规定。除上述主体外，本基金投资的前十名证券的发行主体本期没有出现被监管部门立案调查，或在报告编制日前一年内受到公开谴责、处罚的情形。</w:t>
      </w:r>
    </w:p>
    <w:p w:rsidR="000D684F">
      <w:pPr>
        <w:spacing w:line="360" w:lineRule="auto"/>
        <w:jc w:val="left"/>
      </w:pPr>
      <w:r>
        <w:t>（</w:t>
      </w:r>
      <w:r>
        <w:t>2</w:t>
      </w:r>
      <w:r>
        <w:t>）</w:t>
      </w:r>
      <w:r>
        <w:t xml:space="preserve"> </w:t>
      </w:r>
      <w:r>
        <w:t>本基金投资的前十名股票没有超出基金合同规定的备选股票库。</w:t>
      </w:r>
    </w:p>
    <w:p w:rsidR="000D684F">
      <w:pPr>
        <w:spacing w:line="360" w:lineRule="auto"/>
        <w:jc w:val="left"/>
      </w:pPr>
      <w:r>
        <w:t>（</w:t>
      </w:r>
      <w:r>
        <w:t>3</w:t>
      </w:r>
      <w:r>
        <w:t>）</w:t>
      </w:r>
      <w:r>
        <w:t xml:space="preserve"> </w:t>
      </w:r>
      <w:r>
        <w:t>其他资产构成</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4"/>
        <w:gridCol w:w="2468"/>
        <w:gridCol w:w="4805"/>
      </w:tblGrid>
      <w:tr>
        <w:tblPrEx>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0D684F">
            <w:pPr>
              <w:autoSpaceDE w:val="0"/>
              <w:autoSpaceDN w:val="0"/>
              <w:adjustRightInd w:val="0"/>
              <w:ind w:left="17"/>
              <w:jc w:val="center"/>
              <w:rPr>
                <w:color w:val="000000"/>
                <w:kern w:val="0"/>
                <w:sz w:val="24"/>
              </w:rPr>
            </w:pPr>
            <w:r>
              <w:rPr>
                <w:color w:val="000000"/>
                <w:kern w:val="0"/>
              </w:rPr>
              <w:t>序号</w:t>
            </w:r>
          </w:p>
        </w:tc>
        <w:tc>
          <w:tcPr>
            <w:tcW w:w="2470" w:type="dxa"/>
            <w:tcBorders>
              <w:top w:val="single" w:sz="0" w:space="0" w:color="000000"/>
              <w:left w:val="single" w:sz="0" w:space="0" w:color="000000"/>
              <w:bottom w:val="single" w:sz="0" w:space="0" w:color="000000"/>
              <w:right w:val="single" w:sz="0" w:space="0" w:color="000000"/>
            </w:tcBorders>
            <w:vAlign w:val="center"/>
          </w:tcPr>
          <w:p w:rsidR="000D684F">
            <w:pPr>
              <w:autoSpaceDE w:val="0"/>
              <w:autoSpaceDN w:val="0"/>
              <w:adjustRightInd w:val="0"/>
              <w:ind w:left="17"/>
              <w:jc w:val="center"/>
              <w:rPr>
                <w:color w:val="000000"/>
                <w:kern w:val="0"/>
                <w:sz w:val="24"/>
              </w:rPr>
            </w:pPr>
            <w:r>
              <w:rPr>
                <w:color w:val="000000"/>
                <w:kern w:val="0"/>
              </w:rPr>
              <w:t>名称</w:t>
            </w:r>
          </w:p>
        </w:tc>
        <w:tc>
          <w:tcPr>
            <w:tcW w:w="4808" w:type="dxa"/>
            <w:tcBorders>
              <w:top w:val="single" w:sz="0" w:space="0" w:color="000000"/>
              <w:left w:val="single" w:sz="0" w:space="0" w:color="000000"/>
              <w:bottom w:val="single" w:sz="0" w:space="0" w:color="000000"/>
              <w:right w:val="single" w:sz="0" w:space="0" w:color="000000"/>
            </w:tcBorders>
            <w:vAlign w:val="center"/>
          </w:tcPr>
          <w:p w:rsidR="000D684F">
            <w:pPr>
              <w:autoSpaceDE w:val="0"/>
              <w:autoSpaceDN w:val="0"/>
              <w:adjustRightInd w:val="0"/>
              <w:ind w:left="17"/>
              <w:jc w:val="center"/>
              <w:rPr>
                <w:color w:val="000000"/>
                <w:kern w:val="0"/>
                <w:sz w:val="24"/>
              </w:rPr>
            </w:pPr>
            <w:r>
              <w:rPr>
                <w:color w:val="000000"/>
                <w:kern w:val="0"/>
              </w:rPr>
              <w:t>金额（元）</w:t>
            </w:r>
          </w:p>
        </w:tc>
      </w:tr>
      <w:tr>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0D684F">
            <w:pPr>
              <w:autoSpaceDE w:val="0"/>
              <w:autoSpaceDN w:val="0"/>
              <w:adjustRightInd w:val="0"/>
              <w:ind w:left="15"/>
              <w:jc w:val="center"/>
              <w:rPr>
                <w:color w:val="000000"/>
                <w:kern w:val="0"/>
                <w:sz w:val="24"/>
              </w:rPr>
            </w:pPr>
            <w:r>
              <w:rPr>
                <w:color w:val="000000"/>
                <w:kern w:val="0"/>
              </w:rPr>
              <w:t>1</w:t>
            </w:r>
          </w:p>
        </w:tc>
        <w:tc>
          <w:tcPr>
            <w:tcW w:w="2470" w:type="dxa"/>
            <w:tcBorders>
              <w:top w:val="single" w:sz="0" w:space="0" w:color="000000"/>
              <w:left w:val="single" w:sz="0" w:space="0" w:color="000000"/>
              <w:bottom w:val="single" w:sz="0" w:space="0" w:color="000000"/>
              <w:right w:val="single" w:sz="0" w:space="0" w:color="000000"/>
            </w:tcBorders>
            <w:vAlign w:val="center"/>
          </w:tcPr>
          <w:p w:rsidR="000D684F">
            <w:pPr>
              <w:autoSpaceDE w:val="0"/>
              <w:autoSpaceDN w:val="0"/>
              <w:adjustRightInd w:val="0"/>
              <w:ind w:left="15"/>
              <w:jc w:val="left"/>
              <w:rPr>
                <w:color w:val="000000"/>
                <w:kern w:val="0"/>
                <w:sz w:val="24"/>
              </w:rPr>
            </w:pPr>
            <w:r>
              <w:rPr>
                <w:color w:val="000000"/>
                <w:kern w:val="0"/>
              </w:rPr>
              <w:t>存出保证金</w:t>
            </w:r>
          </w:p>
        </w:tc>
        <w:tc>
          <w:tcPr>
            <w:tcW w:w="4808" w:type="dxa"/>
            <w:tcBorders>
              <w:top w:val="single" w:sz="0" w:space="0" w:color="000000"/>
              <w:left w:val="single" w:sz="0" w:space="0" w:color="000000"/>
              <w:bottom w:val="single" w:sz="0" w:space="0" w:color="000000"/>
              <w:right w:val="single" w:sz="0" w:space="0" w:color="000000"/>
            </w:tcBorders>
            <w:vAlign w:val="center"/>
          </w:tcPr>
          <w:p w:rsidR="000D684F">
            <w:pPr>
              <w:autoSpaceDE w:val="0"/>
              <w:autoSpaceDN w:val="0"/>
              <w:adjustRightInd w:val="0"/>
              <w:ind w:left="15"/>
              <w:jc w:val="right"/>
              <w:rPr>
                <w:color w:val="000000"/>
                <w:kern w:val="0"/>
                <w:sz w:val="24"/>
              </w:rPr>
            </w:pPr>
            <w:r>
              <w:rPr>
                <w:color w:val="000000"/>
                <w:kern w:val="0"/>
              </w:rPr>
              <w:t>144,205.62</w:t>
            </w:r>
          </w:p>
        </w:tc>
      </w:tr>
      <w:tr>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0D684F">
            <w:pPr>
              <w:autoSpaceDE w:val="0"/>
              <w:autoSpaceDN w:val="0"/>
              <w:adjustRightInd w:val="0"/>
              <w:ind w:left="15"/>
              <w:jc w:val="center"/>
              <w:rPr>
                <w:color w:val="000000"/>
                <w:kern w:val="0"/>
                <w:sz w:val="24"/>
              </w:rPr>
            </w:pPr>
            <w:r>
              <w:rPr>
                <w:color w:val="000000"/>
                <w:kern w:val="0"/>
              </w:rPr>
              <w:t>2</w:t>
            </w:r>
          </w:p>
        </w:tc>
        <w:tc>
          <w:tcPr>
            <w:tcW w:w="2470" w:type="dxa"/>
            <w:tcBorders>
              <w:top w:val="single" w:sz="0" w:space="0" w:color="000000"/>
              <w:left w:val="single" w:sz="0" w:space="0" w:color="000000"/>
              <w:bottom w:val="single" w:sz="0" w:space="0" w:color="000000"/>
              <w:right w:val="single" w:sz="0" w:space="0" w:color="000000"/>
            </w:tcBorders>
            <w:vAlign w:val="center"/>
          </w:tcPr>
          <w:p w:rsidR="000D684F">
            <w:pPr>
              <w:autoSpaceDE w:val="0"/>
              <w:autoSpaceDN w:val="0"/>
              <w:adjustRightInd w:val="0"/>
              <w:ind w:left="15"/>
              <w:jc w:val="left"/>
              <w:rPr>
                <w:color w:val="000000"/>
                <w:kern w:val="0"/>
                <w:sz w:val="24"/>
              </w:rPr>
            </w:pPr>
            <w:r>
              <w:rPr>
                <w:color w:val="000000"/>
                <w:kern w:val="0"/>
              </w:rPr>
              <w:t>应收证券清算款</w:t>
            </w:r>
          </w:p>
        </w:tc>
        <w:tc>
          <w:tcPr>
            <w:tcW w:w="4808" w:type="dxa"/>
            <w:tcBorders>
              <w:top w:val="single" w:sz="0" w:space="0" w:color="000000"/>
              <w:left w:val="single" w:sz="0" w:space="0" w:color="000000"/>
              <w:bottom w:val="single" w:sz="0" w:space="0" w:color="000000"/>
              <w:right w:val="single" w:sz="0" w:space="0" w:color="000000"/>
            </w:tcBorders>
            <w:vAlign w:val="center"/>
          </w:tcPr>
          <w:p w:rsidR="000D684F">
            <w:pPr>
              <w:autoSpaceDE w:val="0"/>
              <w:autoSpaceDN w:val="0"/>
              <w:adjustRightInd w:val="0"/>
              <w:ind w:left="15"/>
              <w:jc w:val="right"/>
              <w:rPr>
                <w:color w:val="000000"/>
                <w:kern w:val="0"/>
                <w:sz w:val="24"/>
              </w:rPr>
            </w:pPr>
            <w:r>
              <w:rPr>
                <w:color w:val="000000"/>
                <w:kern w:val="0"/>
              </w:rPr>
              <w:t>188,013.04</w:t>
            </w:r>
          </w:p>
        </w:tc>
      </w:tr>
      <w:tr>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0D684F">
            <w:pPr>
              <w:autoSpaceDE w:val="0"/>
              <w:autoSpaceDN w:val="0"/>
              <w:adjustRightInd w:val="0"/>
              <w:ind w:left="15"/>
              <w:jc w:val="center"/>
              <w:rPr>
                <w:color w:val="000000"/>
                <w:kern w:val="0"/>
                <w:sz w:val="24"/>
              </w:rPr>
            </w:pPr>
            <w:r>
              <w:rPr>
                <w:color w:val="000000"/>
                <w:kern w:val="0"/>
              </w:rPr>
              <w:t>3</w:t>
            </w:r>
          </w:p>
        </w:tc>
        <w:tc>
          <w:tcPr>
            <w:tcW w:w="2470" w:type="dxa"/>
            <w:tcBorders>
              <w:top w:val="single" w:sz="0" w:space="0" w:color="000000"/>
              <w:left w:val="single" w:sz="0" w:space="0" w:color="000000"/>
              <w:bottom w:val="single" w:sz="0" w:space="0" w:color="000000"/>
              <w:right w:val="single" w:sz="0" w:space="0" w:color="000000"/>
            </w:tcBorders>
            <w:vAlign w:val="center"/>
          </w:tcPr>
          <w:p w:rsidR="000D684F">
            <w:pPr>
              <w:autoSpaceDE w:val="0"/>
              <w:autoSpaceDN w:val="0"/>
              <w:adjustRightInd w:val="0"/>
              <w:ind w:left="15"/>
              <w:jc w:val="left"/>
              <w:rPr>
                <w:color w:val="000000"/>
                <w:kern w:val="0"/>
                <w:sz w:val="24"/>
              </w:rPr>
            </w:pPr>
            <w:r>
              <w:rPr>
                <w:color w:val="000000"/>
                <w:kern w:val="0"/>
              </w:rPr>
              <w:t>应收股利</w:t>
            </w:r>
          </w:p>
        </w:tc>
        <w:tc>
          <w:tcPr>
            <w:tcW w:w="4808" w:type="dxa"/>
            <w:tcBorders>
              <w:top w:val="single" w:sz="0" w:space="0" w:color="000000"/>
              <w:left w:val="single" w:sz="0" w:space="0" w:color="000000"/>
              <w:bottom w:val="single" w:sz="0" w:space="0" w:color="000000"/>
              <w:right w:val="single" w:sz="0" w:space="0" w:color="000000"/>
            </w:tcBorders>
            <w:vAlign w:val="center"/>
          </w:tcPr>
          <w:p w:rsidR="000D684F">
            <w:pPr>
              <w:autoSpaceDE w:val="0"/>
              <w:autoSpaceDN w:val="0"/>
              <w:adjustRightInd w:val="0"/>
              <w:ind w:left="15"/>
              <w:jc w:val="right"/>
              <w:rPr>
                <w:color w:val="000000"/>
                <w:kern w:val="0"/>
                <w:sz w:val="24"/>
              </w:rPr>
            </w:pPr>
            <w:r>
              <w:rPr>
                <w:color w:val="000000"/>
                <w:kern w:val="0"/>
              </w:rPr>
              <w:t>3,570.00</w:t>
            </w:r>
          </w:p>
        </w:tc>
      </w:tr>
      <w:tr>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0D684F">
            <w:pPr>
              <w:autoSpaceDE w:val="0"/>
              <w:autoSpaceDN w:val="0"/>
              <w:adjustRightInd w:val="0"/>
              <w:ind w:left="15"/>
              <w:jc w:val="center"/>
              <w:rPr>
                <w:color w:val="000000"/>
                <w:kern w:val="0"/>
                <w:sz w:val="24"/>
              </w:rPr>
            </w:pPr>
            <w:r>
              <w:rPr>
                <w:color w:val="000000"/>
                <w:kern w:val="0"/>
              </w:rPr>
              <w:t>4</w:t>
            </w:r>
          </w:p>
        </w:tc>
        <w:tc>
          <w:tcPr>
            <w:tcW w:w="2470" w:type="dxa"/>
            <w:tcBorders>
              <w:top w:val="single" w:sz="0" w:space="0" w:color="000000"/>
              <w:left w:val="single" w:sz="0" w:space="0" w:color="000000"/>
              <w:bottom w:val="single" w:sz="0" w:space="0" w:color="000000"/>
              <w:right w:val="single" w:sz="0" w:space="0" w:color="000000"/>
            </w:tcBorders>
            <w:vAlign w:val="center"/>
          </w:tcPr>
          <w:p w:rsidR="000D684F">
            <w:pPr>
              <w:autoSpaceDE w:val="0"/>
              <w:autoSpaceDN w:val="0"/>
              <w:adjustRightInd w:val="0"/>
              <w:ind w:left="15"/>
              <w:jc w:val="left"/>
              <w:rPr>
                <w:color w:val="000000"/>
                <w:kern w:val="0"/>
                <w:sz w:val="24"/>
              </w:rPr>
            </w:pPr>
            <w:r>
              <w:rPr>
                <w:color w:val="000000"/>
                <w:kern w:val="0"/>
              </w:rPr>
              <w:t>应收利息</w:t>
            </w:r>
          </w:p>
        </w:tc>
        <w:tc>
          <w:tcPr>
            <w:tcW w:w="4808" w:type="dxa"/>
            <w:tcBorders>
              <w:top w:val="single" w:sz="0" w:space="0" w:color="000000"/>
              <w:left w:val="single" w:sz="0" w:space="0" w:color="000000"/>
              <w:bottom w:val="single" w:sz="0" w:space="0" w:color="000000"/>
              <w:right w:val="single" w:sz="0" w:space="0" w:color="000000"/>
            </w:tcBorders>
            <w:vAlign w:val="center"/>
          </w:tcPr>
          <w:p w:rsidR="000D684F">
            <w:pPr>
              <w:autoSpaceDE w:val="0"/>
              <w:autoSpaceDN w:val="0"/>
              <w:adjustRightInd w:val="0"/>
              <w:ind w:left="15"/>
              <w:jc w:val="right"/>
              <w:rPr>
                <w:color w:val="000000"/>
                <w:kern w:val="0"/>
                <w:sz w:val="24"/>
              </w:rPr>
            </w:pPr>
            <w:r>
              <w:rPr>
                <w:color w:val="000000"/>
                <w:kern w:val="0"/>
              </w:rPr>
              <w:t>23,536.41</w:t>
            </w:r>
          </w:p>
        </w:tc>
      </w:tr>
      <w:tr>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0D684F">
            <w:pPr>
              <w:autoSpaceDE w:val="0"/>
              <w:autoSpaceDN w:val="0"/>
              <w:adjustRightInd w:val="0"/>
              <w:ind w:left="15"/>
              <w:jc w:val="center"/>
              <w:rPr>
                <w:color w:val="000000"/>
                <w:kern w:val="0"/>
                <w:sz w:val="24"/>
              </w:rPr>
            </w:pPr>
            <w:r>
              <w:rPr>
                <w:color w:val="000000"/>
                <w:kern w:val="0"/>
              </w:rPr>
              <w:t>5</w:t>
            </w:r>
          </w:p>
        </w:tc>
        <w:tc>
          <w:tcPr>
            <w:tcW w:w="2470" w:type="dxa"/>
            <w:tcBorders>
              <w:top w:val="single" w:sz="0" w:space="0" w:color="000000"/>
              <w:left w:val="single" w:sz="0" w:space="0" w:color="000000"/>
              <w:bottom w:val="single" w:sz="0" w:space="0" w:color="000000"/>
              <w:right w:val="single" w:sz="0" w:space="0" w:color="000000"/>
            </w:tcBorders>
            <w:vAlign w:val="center"/>
          </w:tcPr>
          <w:p w:rsidR="000D684F">
            <w:pPr>
              <w:autoSpaceDE w:val="0"/>
              <w:autoSpaceDN w:val="0"/>
              <w:adjustRightInd w:val="0"/>
              <w:ind w:left="15"/>
              <w:jc w:val="left"/>
              <w:rPr>
                <w:color w:val="000000"/>
                <w:kern w:val="0"/>
                <w:sz w:val="24"/>
              </w:rPr>
            </w:pPr>
            <w:r>
              <w:rPr>
                <w:color w:val="000000"/>
                <w:kern w:val="0"/>
              </w:rPr>
              <w:t>应收申购款</w:t>
            </w:r>
          </w:p>
        </w:tc>
        <w:tc>
          <w:tcPr>
            <w:tcW w:w="4808" w:type="dxa"/>
            <w:tcBorders>
              <w:top w:val="single" w:sz="0" w:space="0" w:color="000000"/>
              <w:left w:val="single" w:sz="0" w:space="0" w:color="000000"/>
              <w:bottom w:val="single" w:sz="0" w:space="0" w:color="000000"/>
              <w:right w:val="single" w:sz="0" w:space="0" w:color="000000"/>
            </w:tcBorders>
            <w:vAlign w:val="center"/>
          </w:tcPr>
          <w:p w:rsidR="000D684F">
            <w:pPr>
              <w:autoSpaceDE w:val="0"/>
              <w:autoSpaceDN w:val="0"/>
              <w:adjustRightInd w:val="0"/>
              <w:ind w:left="15"/>
              <w:jc w:val="right"/>
              <w:rPr>
                <w:color w:val="000000"/>
                <w:kern w:val="0"/>
                <w:sz w:val="24"/>
              </w:rPr>
            </w:pPr>
            <w:r>
              <w:rPr>
                <w:color w:val="000000"/>
                <w:kern w:val="0"/>
              </w:rPr>
              <w:t>-</w:t>
            </w:r>
          </w:p>
        </w:tc>
      </w:tr>
      <w:tr>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0D684F">
            <w:pPr>
              <w:autoSpaceDE w:val="0"/>
              <w:autoSpaceDN w:val="0"/>
              <w:adjustRightInd w:val="0"/>
              <w:ind w:left="15"/>
              <w:jc w:val="center"/>
              <w:rPr>
                <w:color w:val="000000"/>
                <w:kern w:val="0"/>
                <w:sz w:val="24"/>
              </w:rPr>
            </w:pPr>
            <w:r>
              <w:rPr>
                <w:color w:val="000000"/>
                <w:kern w:val="0"/>
              </w:rPr>
              <w:t>6</w:t>
            </w:r>
          </w:p>
        </w:tc>
        <w:tc>
          <w:tcPr>
            <w:tcW w:w="2470" w:type="dxa"/>
            <w:tcBorders>
              <w:top w:val="single" w:sz="0" w:space="0" w:color="000000"/>
              <w:left w:val="single" w:sz="0" w:space="0" w:color="000000"/>
              <w:bottom w:val="single" w:sz="0" w:space="0" w:color="000000"/>
              <w:right w:val="single" w:sz="0" w:space="0" w:color="000000"/>
            </w:tcBorders>
            <w:vAlign w:val="center"/>
          </w:tcPr>
          <w:p w:rsidR="000D684F">
            <w:pPr>
              <w:autoSpaceDE w:val="0"/>
              <w:autoSpaceDN w:val="0"/>
              <w:adjustRightInd w:val="0"/>
              <w:ind w:left="15"/>
              <w:jc w:val="left"/>
              <w:rPr>
                <w:color w:val="000000"/>
                <w:kern w:val="0"/>
                <w:sz w:val="24"/>
              </w:rPr>
            </w:pPr>
            <w:r>
              <w:rPr>
                <w:color w:val="000000"/>
                <w:kern w:val="0"/>
              </w:rPr>
              <w:t>其他应收款</w:t>
            </w:r>
          </w:p>
        </w:tc>
        <w:tc>
          <w:tcPr>
            <w:tcW w:w="4808" w:type="dxa"/>
            <w:tcBorders>
              <w:top w:val="single" w:sz="0" w:space="0" w:color="000000"/>
              <w:left w:val="single" w:sz="0" w:space="0" w:color="000000"/>
              <w:bottom w:val="single" w:sz="0" w:space="0" w:color="000000"/>
              <w:right w:val="single" w:sz="0" w:space="0" w:color="000000"/>
            </w:tcBorders>
            <w:vAlign w:val="center"/>
          </w:tcPr>
          <w:p w:rsidR="000D684F">
            <w:pPr>
              <w:autoSpaceDE w:val="0"/>
              <w:autoSpaceDN w:val="0"/>
              <w:adjustRightInd w:val="0"/>
              <w:ind w:left="15"/>
              <w:jc w:val="right"/>
              <w:rPr>
                <w:color w:val="000000"/>
                <w:kern w:val="0"/>
                <w:sz w:val="24"/>
              </w:rPr>
            </w:pPr>
            <w:r>
              <w:rPr>
                <w:color w:val="000000"/>
                <w:kern w:val="0"/>
              </w:rPr>
              <w:t>-</w:t>
            </w:r>
          </w:p>
        </w:tc>
      </w:tr>
      <w:tr>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0D684F">
            <w:pPr>
              <w:autoSpaceDE w:val="0"/>
              <w:autoSpaceDN w:val="0"/>
              <w:adjustRightInd w:val="0"/>
              <w:ind w:left="15"/>
              <w:jc w:val="center"/>
              <w:rPr>
                <w:color w:val="000000"/>
                <w:kern w:val="0"/>
                <w:sz w:val="24"/>
              </w:rPr>
            </w:pPr>
            <w:r>
              <w:rPr>
                <w:color w:val="000000"/>
                <w:kern w:val="0"/>
              </w:rPr>
              <w:t>7</w:t>
            </w:r>
          </w:p>
        </w:tc>
        <w:tc>
          <w:tcPr>
            <w:tcW w:w="2470" w:type="dxa"/>
            <w:tcBorders>
              <w:top w:val="single" w:sz="0" w:space="0" w:color="000000"/>
              <w:left w:val="single" w:sz="0" w:space="0" w:color="000000"/>
              <w:bottom w:val="single" w:sz="0" w:space="0" w:color="000000"/>
              <w:right w:val="single" w:sz="0" w:space="0" w:color="000000"/>
            </w:tcBorders>
            <w:vAlign w:val="center"/>
          </w:tcPr>
          <w:p w:rsidR="000D684F">
            <w:pPr>
              <w:autoSpaceDE w:val="0"/>
              <w:autoSpaceDN w:val="0"/>
              <w:adjustRightInd w:val="0"/>
              <w:ind w:left="15"/>
              <w:jc w:val="left"/>
              <w:rPr>
                <w:color w:val="000000"/>
                <w:kern w:val="0"/>
                <w:sz w:val="24"/>
              </w:rPr>
            </w:pPr>
            <w:r>
              <w:rPr>
                <w:color w:val="000000"/>
                <w:kern w:val="0"/>
              </w:rPr>
              <w:t>待摊费用</w:t>
            </w:r>
          </w:p>
        </w:tc>
        <w:tc>
          <w:tcPr>
            <w:tcW w:w="4808" w:type="dxa"/>
            <w:tcBorders>
              <w:top w:val="single" w:sz="0" w:space="0" w:color="000000"/>
              <w:left w:val="single" w:sz="0" w:space="0" w:color="000000"/>
              <w:bottom w:val="single" w:sz="0" w:space="0" w:color="000000"/>
              <w:right w:val="single" w:sz="0" w:space="0" w:color="000000"/>
            </w:tcBorders>
            <w:vAlign w:val="center"/>
          </w:tcPr>
          <w:p w:rsidR="000D684F">
            <w:pPr>
              <w:autoSpaceDE w:val="0"/>
              <w:autoSpaceDN w:val="0"/>
              <w:adjustRightInd w:val="0"/>
              <w:ind w:left="15"/>
              <w:jc w:val="right"/>
              <w:rPr>
                <w:color w:val="000000"/>
                <w:kern w:val="0"/>
                <w:sz w:val="24"/>
              </w:rPr>
            </w:pPr>
            <w:r>
              <w:rPr>
                <w:color w:val="000000"/>
                <w:kern w:val="0"/>
              </w:rPr>
              <w:t>37,807.92</w:t>
            </w:r>
          </w:p>
        </w:tc>
      </w:tr>
      <w:tr>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0D684F">
            <w:pPr>
              <w:autoSpaceDE w:val="0"/>
              <w:autoSpaceDN w:val="0"/>
              <w:adjustRightInd w:val="0"/>
              <w:ind w:left="15"/>
              <w:jc w:val="center"/>
              <w:rPr>
                <w:color w:val="000000"/>
                <w:kern w:val="0"/>
                <w:sz w:val="24"/>
              </w:rPr>
            </w:pPr>
            <w:r>
              <w:rPr>
                <w:color w:val="000000"/>
                <w:kern w:val="0"/>
              </w:rPr>
              <w:t>8</w:t>
            </w:r>
          </w:p>
        </w:tc>
        <w:tc>
          <w:tcPr>
            <w:tcW w:w="2470" w:type="dxa"/>
            <w:tcBorders>
              <w:top w:val="single" w:sz="0" w:space="0" w:color="000000"/>
              <w:left w:val="single" w:sz="0" w:space="0" w:color="000000"/>
              <w:bottom w:val="single" w:sz="0" w:space="0" w:color="000000"/>
              <w:right w:val="single" w:sz="0" w:space="0" w:color="000000"/>
            </w:tcBorders>
            <w:vAlign w:val="center"/>
          </w:tcPr>
          <w:p w:rsidR="000D684F">
            <w:pPr>
              <w:autoSpaceDE w:val="0"/>
              <w:autoSpaceDN w:val="0"/>
              <w:adjustRightInd w:val="0"/>
              <w:ind w:left="15"/>
              <w:jc w:val="left"/>
              <w:rPr>
                <w:color w:val="000000"/>
                <w:kern w:val="0"/>
                <w:sz w:val="24"/>
              </w:rPr>
            </w:pPr>
            <w:r>
              <w:rPr>
                <w:color w:val="000000"/>
                <w:kern w:val="0"/>
              </w:rPr>
              <w:t>其他</w:t>
            </w:r>
          </w:p>
        </w:tc>
        <w:tc>
          <w:tcPr>
            <w:tcW w:w="4808" w:type="dxa"/>
            <w:tcBorders>
              <w:top w:val="single" w:sz="0" w:space="0" w:color="000000"/>
              <w:left w:val="single" w:sz="0" w:space="0" w:color="000000"/>
              <w:bottom w:val="single" w:sz="0" w:space="0" w:color="000000"/>
              <w:right w:val="single" w:sz="0" w:space="0" w:color="000000"/>
            </w:tcBorders>
            <w:vAlign w:val="center"/>
          </w:tcPr>
          <w:p w:rsidR="000D684F">
            <w:pPr>
              <w:autoSpaceDE w:val="0"/>
              <w:autoSpaceDN w:val="0"/>
              <w:adjustRightInd w:val="0"/>
              <w:ind w:left="15"/>
              <w:jc w:val="right"/>
              <w:rPr>
                <w:color w:val="000000"/>
                <w:kern w:val="0"/>
                <w:sz w:val="24"/>
              </w:rPr>
            </w:pPr>
            <w:r>
              <w:rPr>
                <w:color w:val="000000"/>
                <w:kern w:val="0"/>
              </w:rPr>
              <w:t>-</w:t>
            </w:r>
          </w:p>
        </w:tc>
      </w:tr>
      <w:tr>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0D684F">
            <w:pPr>
              <w:autoSpaceDE w:val="0"/>
              <w:autoSpaceDN w:val="0"/>
              <w:adjustRightInd w:val="0"/>
              <w:ind w:left="15"/>
              <w:jc w:val="center"/>
              <w:rPr>
                <w:color w:val="000000"/>
                <w:kern w:val="0"/>
                <w:sz w:val="24"/>
              </w:rPr>
            </w:pPr>
            <w:r>
              <w:rPr>
                <w:color w:val="000000"/>
                <w:kern w:val="0"/>
              </w:rPr>
              <w:t>9</w:t>
            </w:r>
          </w:p>
        </w:tc>
        <w:tc>
          <w:tcPr>
            <w:tcW w:w="2470" w:type="dxa"/>
            <w:tcBorders>
              <w:top w:val="single" w:sz="0" w:space="0" w:color="000000"/>
              <w:left w:val="single" w:sz="0" w:space="0" w:color="000000"/>
              <w:bottom w:val="single" w:sz="0" w:space="0" w:color="000000"/>
              <w:right w:val="single" w:sz="0" w:space="0" w:color="000000"/>
            </w:tcBorders>
            <w:vAlign w:val="center"/>
          </w:tcPr>
          <w:p w:rsidR="000D684F">
            <w:pPr>
              <w:autoSpaceDE w:val="0"/>
              <w:autoSpaceDN w:val="0"/>
              <w:adjustRightInd w:val="0"/>
              <w:ind w:left="15"/>
              <w:jc w:val="left"/>
              <w:rPr>
                <w:color w:val="000000"/>
                <w:kern w:val="0"/>
                <w:sz w:val="24"/>
              </w:rPr>
            </w:pPr>
            <w:r>
              <w:rPr>
                <w:color w:val="000000"/>
                <w:kern w:val="0"/>
              </w:rPr>
              <w:t>合计</w:t>
            </w:r>
          </w:p>
        </w:tc>
        <w:tc>
          <w:tcPr>
            <w:tcW w:w="4808" w:type="dxa"/>
            <w:tcBorders>
              <w:top w:val="single" w:sz="0" w:space="0" w:color="000000"/>
              <w:left w:val="single" w:sz="0" w:space="0" w:color="000000"/>
              <w:bottom w:val="single" w:sz="0" w:space="0" w:color="000000"/>
              <w:right w:val="single" w:sz="0" w:space="0" w:color="000000"/>
            </w:tcBorders>
            <w:vAlign w:val="center"/>
          </w:tcPr>
          <w:p w:rsidR="000D684F">
            <w:pPr>
              <w:autoSpaceDE w:val="0"/>
              <w:autoSpaceDN w:val="0"/>
              <w:adjustRightInd w:val="0"/>
              <w:ind w:left="15"/>
              <w:jc w:val="right"/>
              <w:rPr>
                <w:color w:val="000000"/>
                <w:kern w:val="0"/>
                <w:sz w:val="24"/>
              </w:rPr>
            </w:pPr>
            <w:r>
              <w:rPr>
                <w:color w:val="000000"/>
                <w:kern w:val="0"/>
              </w:rPr>
              <w:t>397,132.99</w:t>
            </w:r>
          </w:p>
        </w:tc>
      </w:tr>
    </w:tbl>
    <w:p w:rsidR="000D684F">
      <w:pPr>
        <w:spacing w:line="360" w:lineRule="auto"/>
        <w:jc w:val="left"/>
      </w:pPr>
      <w:r>
        <w:t>（</w:t>
      </w:r>
      <w:r>
        <w:t>4</w:t>
      </w:r>
      <w:r>
        <w:t>）报告期末持有的处于转股期的可转换债券明细</w:t>
      </w:r>
    </w:p>
    <w:p w:rsidR="000D684F">
      <w:pPr>
        <w:spacing w:line="360" w:lineRule="auto"/>
        <w:ind w:firstLine="420"/>
        <w:jc w:val="left"/>
      </w:pPr>
      <w:r>
        <w:t>本基金本报告期末未持有处于转股期的可转换债券。</w:t>
      </w:r>
    </w:p>
    <w:p w:rsidR="000D684F">
      <w:pPr>
        <w:spacing w:line="360" w:lineRule="auto"/>
        <w:jc w:val="left"/>
      </w:pPr>
      <w:r>
        <w:t>（</w:t>
      </w:r>
      <w:r>
        <w:t>5</w:t>
      </w:r>
      <w:r>
        <w:t>）报告期末前十名股票中存在流通受限情况的说明</w:t>
      </w:r>
      <w:r>
        <w:br w:type="page"/>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3"/>
        <w:gridCol w:w="1302"/>
        <w:gridCol w:w="1301"/>
        <w:gridCol w:w="1805"/>
        <w:gridCol w:w="1655"/>
        <w:gridCol w:w="1367"/>
      </w:tblGrid>
      <w:tr>
        <w:tblPrEx>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083" w:type="dxa"/>
            <w:tcBorders>
              <w:top w:val="single" w:sz="0" w:space="0" w:color="000000"/>
              <w:left w:val="single" w:sz="0" w:space="0" w:color="000000"/>
              <w:bottom w:val="single" w:sz="0" w:space="0" w:color="000000"/>
              <w:right w:val="single" w:sz="0" w:space="0" w:color="000000"/>
            </w:tcBorders>
            <w:vAlign w:val="center"/>
          </w:tcPr>
          <w:p w:rsidR="000D684F">
            <w:pPr>
              <w:ind w:left="17"/>
              <w:jc w:val="center"/>
              <w:rPr>
                <w:color w:val="000000"/>
                <w:kern w:val="0"/>
                <w:sz w:val="24"/>
              </w:rPr>
            </w:pPr>
            <w:r>
              <w:rPr>
                <w:color w:val="000000"/>
                <w:kern w:val="0"/>
              </w:rPr>
              <w:t>序号</w:t>
            </w:r>
          </w:p>
        </w:tc>
        <w:tc>
          <w:tcPr>
            <w:tcW w:w="1302" w:type="dxa"/>
            <w:tcBorders>
              <w:top w:val="single" w:sz="0" w:space="0" w:color="000000"/>
              <w:left w:val="single" w:sz="0" w:space="0" w:color="000000"/>
              <w:bottom w:val="single" w:sz="0" w:space="0" w:color="000000"/>
              <w:right w:val="single" w:sz="0" w:space="0" w:color="000000"/>
            </w:tcBorders>
            <w:vAlign w:val="center"/>
          </w:tcPr>
          <w:p w:rsidR="000D684F">
            <w:pPr>
              <w:ind w:left="17"/>
              <w:jc w:val="center"/>
              <w:rPr>
                <w:color w:val="000000"/>
                <w:kern w:val="0"/>
                <w:sz w:val="24"/>
              </w:rPr>
            </w:pPr>
            <w:r>
              <w:rPr>
                <w:color w:val="000000"/>
                <w:kern w:val="0"/>
              </w:rPr>
              <w:t>股票代码</w:t>
            </w:r>
          </w:p>
        </w:tc>
        <w:tc>
          <w:tcPr>
            <w:tcW w:w="1301" w:type="dxa"/>
            <w:tcBorders>
              <w:top w:val="single" w:sz="0" w:space="0" w:color="000000"/>
              <w:left w:val="single" w:sz="0" w:space="0" w:color="000000"/>
              <w:bottom w:val="single" w:sz="0" w:space="0" w:color="000000"/>
              <w:right w:val="single" w:sz="0" w:space="0" w:color="000000"/>
            </w:tcBorders>
            <w:vAlign w:val="center"/>
          </w:tcPr>
          <w:p w:rsidR="000D684F">
            <w:pPr>
              <w:ind w:left="17"/>
              <w:jc w:val="center"/>
              <w:rPr>
                <w:color w:val="000000"/>
                <w:kern w:val="0"/>
                <w:sz w:val="24"/>
              </w:rPr>
            </w:pPr>
            <w:r>
              <w:rPr>
                <w:color w:val="000000"/>
                <w:kern w:val="0"/>
              </w:rPr>
              <w:t>股票名称</w:t>
            </w:r>
          </w:p>
        </w:tc>
        <w:tc>
          <w:tcPr>
            <w:tcW w:w="1805" w:type="dxa"/>
            <w:tcBorders>
              <w:top w:val="single" w:sz="0" w:space="0" w:color="000000"/>
              <w:left w:val="single" w:sz="0" w:space="0" w:color="000000"/>
              <w:bottom w:val="single" w:sz="0" w:space="0" w:color="000000"/>
              <w:right w:val="single" w:sz="0" w:space="0" w:color="000000"/>
            </w:tcBorders>
            <w:vAlign w:val="center"/>
          </w:tcPr>
          <w:p w:rsidR="000D684F">
            <w:pPr>
              <w:ind w:left="17"/>
              <w:jc w:val="center"/>
              <w:rPr>
                <w:color w:val="000000"/>
                <w:kern w:val="0"/>
                <w:sz w:val="24"/>
              </w:rPr>
            </w:pPr>
            <w:r>
              <w:rPr>
                <w:color w:val="000000"/>
                <w:kern w:val="0"/>
              </w:rPr>
              <w:t>流通受限部分的公允价值（元）</w:t>
            </w:r>
          </w:p>
        </w:tc>
        <w:tc>
          <w:tcPr>
            <w:tcW w:w="1655" w:type="dxa"/>
            <w:tcBorders>
              <w:top w:val="single" w:sz="0" w:space="0" w:color="000000"/>
              <w:left w:val="single" w:sz="0" w:space="0" w:color="000000"/>
              <w:bottom w:val="single" w:sz="0" w:space="0" w:color="000000"/>
              <w:right w:val="single" w:sz="0" w:space="0" w:color="000000"/>
            </w:tcBorders>
            <w:vAlign w:val="center"/>
          </w:tcPr>
          <w:p w:rsidR="000D684F">
            <w:pPr>
              <w:ind w:left="17"/>
              <w:jc w:val="center"/>
              <w:rPr>
                <w:color w:val="000000"/>
                <w:kern w:val="0"/>
                <w:sz w:val="24"/>
              </w:rPr>
            </w:pPr>
            <w:r>
              <w:rPr>
                <w:color w:val="000000"/>
                <w:kern w:val="0"/>
              </w:rPr>
              <w:t>占基金资产净值比例（</w:t>
            </w:r>
            <w:r>
              <w:rPr>
                <w:color w:val="000000"/>
                <w:kern w:val="0"/>
              </w:rPr>
              <w:t>%</w:t>
            </w:r>
            <w:r>
              <w:rPr>
                <w:color w:val="000000"/>
                <w:kern w:val="0"/>
              </w:rPr>
              <w:t>）</w:t>
            </w:r>
          </w:p>
        </w:tc>
        <w:tc>
          <w:tcPr>
            <w:tcW w:w="1367" w:type="dxa"/>
            <w:tcBorders>
              <w:top w:val="single" w:sz="0" w:space="0" w:color="000000"/>
              <w:left w:val="single" w:sz="0" w:space="0" w:color="000000"/>
              <w:bottom w:val="single" w:sz="0" w:space="0" w:color="000000"/>
              <w:right w:val="single" w:sz="0" w:space="0" w:color="000000"/>
            </w:tcBorders>
            <w:vAlign w:val="center"/>
          </w:tcPr>
          <w:p w:rsidR="000D684F">
            <w:pPr>
              <w:ind w:left="17"/>
              <w:jc w:val="center"/>
              <w:rPr>
                <w:color w:val="000000"/>
                <w:kern w:val="0"/>
                <w:sz w:val="24"/>
              </w:rPr>
            </w:pPr>
            <w:r>
              <w:rPr>
                <w:color w:val="000000"/>
                <w:kern w:val="0"/>
              </w:rPr>
              <w:t>流通受限情况说明</w:t>
            </w:r>
          </w:p>
        </w:tc>
      </w:tr>
      <w:tr>
        <w:tblPrEx>
          <w:tblW w:w="0" w:type="auto"/>
          <w:tblInd w:w="15" w:type="dxa"/>
          <w:tblLayout w:type="fixed"/>
          <w:tblLook w:val="04A0"/>
        </w:tblPrEx>
        <w:tc>
          <w:tcPr>
            <w:tcW w:w="1083" w:type="dxa"/>
            <w:tcBorders>
              <w:top w:val="single" w:sz="0" w:space="0" w:color="000000"/>
              <w:left w:val="single" w:sz="0" w:space="0" w:color="000000"/>
              <w:bottom w:val="single" w:sz="0" w:space="0" w:color="000000"/>
              <w:right w:val="single" w:sz="0" w:space="0" w:color="000000"/>
            </w:tcBorders>
            <w:vAlign w:val="center"/>
          </w:tcPr>
          <w:p w:rsidR="000D684F">
            <w:pPr>
              <w:jc w:val="center"/>
            </w:pPr>
            <w:r>
              <w:rPr>
                <w:color w:val="000000"/>
                <w:kern w:val="0"/>
              </w:rPr>
              <w:t>1</w:t>
            </w:r>
          </w:p>
        </w:tc>
        <w:tc>
          <w:tcPr>
            <w:tcW w:w="1302" w:type="dxa"/>
            <w:tcBorders>
              <w:top w:val="single" w:sz="0" w:space="0" w:color="000000"/>
              <w:left w:val="single" w:sz="0" w:space="0" w:color="000000"/>
              <w:bottom w:val="single" w:sz="0" w:space="0" w:color="000000"/>
              <w:right w:val="single" w:sz="0" w:space="0" w:color="000000"/>
            </w:tcBorders>
            <w:vAlign w:val="center"/>
          </w:tcPr>
          <w:p w:rsidR="000D684F">
            <w:pPr>
              <w:jc w:val="center"/>
            </w:pPr>
            <w:r>
              <w:rPr>
                <w:color w:val="000000"/>
                <w:kern w:val="0"/>
              </w:rPr>
              <w:t>300750</w:t>
            </w:r>
          </w:p>
        </w:tc>
        <w:tc>
          <w:tcPr>
            <w:tcW w:w="1301" w:type="dxa"/>
            <w:tcBorders>
              <w:top w:val="single" w:sz="0" w:space="0" w:color="000000"/>
              <w:left w:val="single" w:sz="0" w:space="0" w:color="000000"/>
              <w:bottom w:val="single" w:sz="0" w:space="0" w:color="000000"/>
              <w:right w:val="single" w:sz="0" w:space="0" w:color="000000"/>
            </w:tcBorders>
            <w:vAlign w:val="center"/>
          </w:tcPr>
          <w:p w:rsidR="000D684F">
            <w:pPr>
              <w:jc w:val="center"/>
            </w:pPr>
            <w:r>
              <w:rPr>
                <w:color w:val="000000"/>
                <w:kern w:val="0"/>
              </w:rPr>
              <w:t>宁德时代</w:t>
            </w:r>
          </w:p>
        </w:tc>
        <w:tc>
          <w:tcPr>
            <w:tcW w:w="1805" w:type="dxa"/>
            <w:tcBorders>
              <w:top w:val="single" w:sz="0" w:space="0" w:color="000000"/>
              <w:left w:val="single" w:sz="0" w:space="0" w:color="000000"/>
              <w:bottom w:val="single" w:sz="0" w:space="0" w:color="000000"/>
              <w:right w:val="single" w:sz="0" w:space="0" w:color="000000"/>
            </w:tcBorders>
            <w:vAlign w:val="center"/>
          </w:tcPr>
          <w:p w:rsidR="000D684F">
            <w:pPr>
              <w:jc w:val="right"/>
            </w:pPr>
            <w:r>
              <w:rPr>
                <w:color w:val="000000"/>
                <w:kern w:val="0"/>
              </w:rPr>
              <w:t>15,719,327.00</w:t>
            </w:r>
          </w:p>
        </w:tc>
        <w:tc>
          <w:tcPr>
            <w:tcW w:w="1655" w:type="dxa"/>
            <w:tcBorders>
              <w:top w:val="single" w:sz="0" w:space="0" w:color="000000"/>
              <w:left w:val="single" w:sz="0" w:space="0" w:color="000000"/>
              <w:bottom w:val="single" w:sz="0" w:space="0" w:color="000000"/>
              <w:right w:val="single" w:sz="0" w:space="0" w:color="000000"/>
            </w:tcBorders>
            <w:vAlign w:val="center"/>
          </w:tcPr>
          <w:p w:rsidR="000D684F">
            <w:pPr>
              <w:jc w:val="right"/>
            </w:pPr>
            <w:r>
              <w:rPr>
                <w:color w:val="000000"/>
                <w:kern w:val="0"/>
              </w:rPr>
              <w:t>2.12</w:t>
            </w:r>
          </w:p>
        </w:tc>
        <w:tc>
          <w:tcPr>
            <w:tcW w:w="1367" w:type="dxa"/>
            <w:tcBorders>
              <w:top w:val="single" w:sz="0" w:space="0" w:color="000000"/>
              <w:left w:val="single" w:sz="0" w:space="0" w:color="000000"/>
              <w:bottom w:val="single" w:sz="0" w:space="0" w:color="000000"/>
              <w:right w:val="single" w:sz="0" w:space="0" w:color="000000"/>
            </w:tcBorders>
            <w:vAlign w:val="center"/>
          </w:tcPr>
          <w:p w:rsidR="000D684F">
            <w:pPr>
              <w:jc w:val="right"/>
            </w:pPr>
            <w:r>
              <w:rPr>
                <w:color w:val="000000"/>
                <w:kern w:val="0"/>
              </w:rPr>
              <w:t>转融通流通受限</w:t>
            </w:r>
          </w:p>
        </w:tc>
      </w:tr>
      <w:tr>
        <w:tblPrEx>
          <w:tblW w:w="0" w:type="auto"/>
          <w:tblInd w:w="15" w:type="dxa"/>
          <w:tblLayout w:type="fixed"/>
          <w:tblLook w:val="04A0"/>
        </w:tblPrEx>
        <w:tc>
          <w:tcPr>
            <w:tcW w:w="1083" w:type="dxa"/>
            <w:tcBorders>
              <w:top w:val="single" w:sz="0" w:space="0" w:color="000000"/>
              <w:left w:val="single" w:sz="0" w:space="0" w:color="000000"/>
              <w:bottom w:val="single" w:sz="0" w:space="0" w:color="000000"/>
              <w:right w:val="single" w:sz="0" w:space="0" w:color="000000"/>
            </w:tcBorders>
            <w:vAlign w:val="center"/>
          </w:tcPr>
          <w:p w:rsidR="000D684F">
            <w:pPr>
              <w:jc w:val="center"/>
            </w:pPr>
            <w:r>
              <w:rPr>
                <w:color w:val="000000"/>
                <w:kern w:val="0"/>
              </w:rPr>
              <w:t>2</w:t>
            </w:r>
          </w:p>
        </w:tc>
        <w:tc>
          <w:tcPr>
            <w:tcW w:w="1302" w:type="dxa"/>
            <w:tcBorders>
              <w:top w:val="single" w:sz="0" w:space="0" w:color="000000"/>
              <w:left w:val="single" w:sz="0" w:space="0" w:color="000000"/>
              <w:bottom w:val="single" w:sz="0" w:space="0" w:color="000000"/>
              <w:right w:val="single" w:sz="0" w:space="0" w:color="000000"/>
            </w:tcBorders>
            <w:vAlign w:val="center"/>
          </w:tcPr>
          <w:p w:rsidR="000D684F">
            <w:pPr>
              <w:jc w:val="center"/>
            </w:pPr>
            <w:r>
              <w:rPr>
                <w:color w:val="000000"/>
                <w:kern w:val="0"/>
              </w:rPr>
              <w:t>002415</w:t>
            </w:r>
          </w:p>
        </w:tc>
        <w:tc>
          <w:tcPr>
            <w:tcW w:w="1301" w:type="dxa"/>
            <w:tcBorders>
              <w:top w:val="single" w:sz="0" w:space="0" w:color="000000"/>
              <w:left w:val="single" w:sz="0" w:space="0" w:color="000000"/>
              <w:bottom w:val="single" w:sz="0" w:space="0" w:color="000000"/>
              <w:right w:val="single" w:sz="0" w:space="0" w:color="000000"/>
            </w:tcBorders>
            <w:vAlign w:val="center"/>
          </w:tcPr>
          <w:p w:rsidR="000D684F">
            <w:pPr>
              <w:jc w:val="center"/>
            </w:pPr>
            <w:r>
              <w:rPr>
                <w:color w:val="000000"/>
                <w:kern w:val="0"/>
              </w:rPr>
              <w:t>海康威视</w:t>
            </w:r>
          </w:p>
        </w:tc>
        <w:tc>
          <w:tcPr>
            <w:tcW w:w="1805" w:type="dxa"/>
            <w:tcBorders>
              <w:top w:val="single" w:sz="0" w:space="0" w:color="000000"/>
              <w:left w:val="single" w:sz="0" w:space="0" w:color="000000"/>
              <w:bottom w:val="single" w:sz="0" w:space="0" w:color="000000"/>
              <w:right w:val="single" w:sz="0" w:space="0" w:color="000000"/>
            </w:tcBorders>
            <w:vAlign w:val="center"/>
          </w:tcPr>
          <w:p w:rsidR="000D684F">
            <w:pPr>
              <w:jc w:val="right"/>
            </w:pPr>
            <w:r>
              <w:rPr>
                <w:color w:val="000000"/>
                <w:kern w:val="0"/>
              </w:rPr>
              <w:t>7,738,500.00</w:t>
            </w:r>
          </w:p>
        </w:tc>
        <w:tc>
          <w:tcPr>
            <w:tcW w:w="1655" w:type="dxa"/>
            <w:tcBorders>
              <w:top w:val="single" w:sz="0" w:space="0" w:color="000000"/>
              <w:left w:val="single" w:sz="0" w:space="0" w:color="000000"/>
              <w:bottom w:val="single" w:sz="0" w:space="0" w:color="000000"/>
              <w:right w:val="single" w:sz="0" w:space="0" w:color="000000"/>
            </w:tcBorders>
            <w:vAlign w:val="center"/>
          </w:tcPr>
          <w:p w:rsidR="000D684F">
            <w:pPr>
              <w:jc w:val="right"/>
            </w:pPr>
            <w:r>
              <w:rPr>
                <w:color w:val="000000"/>
                <w:kern w:val="0"/>
              </w:rPr>
              <w:t>1.04</w:t>
            </w:r>
          </w:p>
        </w:tc>
        <w:tc>
          <w:tcPr>
            <w:tcW w:w="1367" w:type="dxa"/>
            <w:tcBorders>
              <w:top w:val="single" w:sz="0" w:space="0" w:color="000000"/>
              <w:left w:val="single" w:sz="0" w:space="0" w:color="000000"/>
              <w:bottom w:val="single" w:sz="0" w:space="0" w:color="000000"/>
              <w:right w:val="single" w:sz="0" w:space="0" w:color="000000"/>
            </w:tcBorders>
            <w:vAlign w:val="center"/>
          </w:tcPr>
          <w:p w:rsidR="000D684F">
            <w:pPr>
              <w:jc w:val="right"/>
            </w:pPr>
            <w:r>
              <w:rPr>
                <w:color w:val="000000"/>
                <w:kern w:val="0"/>
              </w:rPr>
              <w:t>转融通流通受限</w:t>
            </w:r>
          </w:p>
        </w:tc>
      </w:tr>
      <w:tr>
        <w:tblPrEx>
          <w:tblW w:w="0" w:type="auto"/>
          <w:tblInd w:w="15" w:type="dxa"/>
          <w:tblLayout w:type="fixed"/>
          <w:tblLook w:val="04A0"/>
        </w:tblPrEx>
        <w:tc>
          <w:tcPr>
            <w:tcW w:w="1083" w:type="dxa"/>
            <w:tcBorders>
              <w:top w:val="single" w:sz="0" w:space="0" w:color="000000"/>
              <w:left w:val="single" w:sz="0" w:space="0" w:color="000000"/>
              <w:bottom w:val="single" w:sz="0" w:space="0" w:color="000000"/>
              <w:right w:val="single" w:sz="0" w:space="0" w:color="000000"/>
            </w:tcBorders>
            <w:vAlign w:val="center"/>
          </w:tcPr>
          <w:p w:rsidR="000D684F">
            <w:pPr>
              <w:jc w:val="center"/>
            </w:pPr>
            <w:r>
              <w:rPr>
                <w:color w:val="000000"/>
                <w:kern w:val="0"/>
              </w:rPr>
              <w:t>3</w:t>
            </w:r>
          </w:p>
        </w:tc>
        <w:tc>
          <w:tcPr>
            <w:tcW w:w="1302" w:type="dxa"/>
            <w:tcBorders>
              <w:top w:val="single" w:sz="0" w:space="0" w:color="000000"/>
              <w:left w:val="single" w:sz="0" w:space="0" w:color="000000"/>
              <w:bottom w:val="single" w:sz="0" w:space="0" w:color="000000"/>
              <w:right w:val="single" w:sz="0" w:space="0" w:color="000000"/>
            </w:tcBorders>
            <w:vAlign w:val="center"/>
          </w:tcPr>
          <w:p w:rsidR="000D684F">
            <w:pPr>
              <w:jc w:val="center"/>
            </w:pPr>
            <w:r>
              <w:rPr>
                <w:color w:val="000000"/>
                <w:kern w:val="0"/>
              </w:rPr>
              <w:t>300760</w:t>
            </w:r>
          </w:p>
        </w:tc>
        <w:tc>
          <w:tcPr>
            <w:tcW w:w="1301" w:type="dxa"/>
            <w:tcBorders>
              <w:top w:val="single" w:sz="0" w:space="0" w:color="000000"/>
              <w:left w:val="single" w:sz="0" w:space="0" w:color="000000"/>
              <w:bottom w:val="single" w:sz="0" w:space="0" w:color="000000"/>
              <w:right w:val="single" w:sz="0" w:space="0" w:color="000000"/>
            </w:tcBorders>
            <w:vAlign w:val="center"/>
          </w:tcPr>
          <w:p w:rsidR="000D684F">
            <w:pPr>
              <w:jc w:val="center"/>
            </w:pPr>
            <w:r>
              <w:rPr>
                <w:color w:val="000000"/>
                <w:kern w:val="0"/>
              </w:rPr>
              <w:t>迈瑞医疗</w:t>
            </w:r>
          </w:p>
        </w:tc>
        <w:tc>
          <w:tcPr>
            <w:tcW w:w="1805" w:type="dxa"/>
            <w:tcBorders>
              <w:top w:val="single" w:sz="0" w:space="0" w:color="000000"/>
              <w:left w:val="single" w:sz="0" w:space="0" w:color="000000"/>
              <w:bottom w:val="single" w:sz="0" w:space="0" w:color="000000"/>
              <w:right w:val="single" w:sz="0" w:space="0" w:color="000000"/>
            </w:tcBorders>
            <w:vAlign w:val="center"/>
          </w:tcPr>
          <w:p w:rsidR="000D684F">
            <w:pPr>
              <w:jc w:val="right"/>
            </w:pPr>
            <w:r>
              <w:rPr>
                <w:color w:val="000000"/>
                <w:kern w:val="0"/>
              </w:rPr>
              <w:t>7,053,186.00</w:t>
            </w:r>
          </w:p>
        </w:tc>
        <w:tc>
          <w:tcPr>
            <w:tcW w:w="1655" w:type="dxa"/>
            <w:tcBorders>
              <w:top w:val="single" w:sz="0" w:space="0" w:color="000000"/>
              <w:left w:val="single" w:sz="0" w:space="0" w:color="000000"/>
              <w:bottom w:val="single" w:sz="0" w:space="0" w:color="000000"/>
              <w:right w:val="single" w:sz="0" w:space="0" w:color="000000"/>
            </w:tcBorders>
            <w:vAlign w:val="center"/>
          </w:tcPr>
          <w:p w:rsidR="000D684F">
            <w:pPr>
              <w:jc w:val="right"/>
            </w:pPr>
            <w:r>
              <w:rPr>
                <w:color w:val="000000"/>
                <w:kern w:val="0"/>
              </w:rPr>
              <w:t>0.95</w:t>
            </w:r>
          </w:p>
        </w:tc>
        <w:tc>
          <w:tcPr>
            <w:tcW w:w="1367" w:type="dxa"/>
            <w:tcBorders>
              <w:top w:val="single" w:sz="0" w:space="0" w:color="000000"/>
              <w:left w:val="single" w:sz="0" w:space="0" w:color="000000"/>
              <w:bottom w:val="single" w:sz="0" w:space="0" w:color="000000"/>
              <w:right w:val="single" w:sz="0" w:space="0" w:color="000000"/>
            </w:tcBorders>
            <w:vAlign w:val="center"/>
          </w:tcPr>
          <w:p w:rsidR="000D684F">
            <w:pPr>
              <w:jc w:val="right"/>
            </w:pPr>
            <w:r>
              <w:rPr>
                <w:color w:val="000000"/>
                <w:kern w:val="0"/>
              </w:rPr>
              <w:t>转融通流通受限</w:t>
            </w:r>
          </w:p>
        </w:tc>
      </w:tr>
      <w:tr>
        <w:tblPrEx>
          <w:tblW w:w="0" w:type="auto"/>
          <w:tblInd w:w="15" w:type="dxa"/>
          <w:tblLayout w:type="fixed"/>
          <w:tblLook w:val="04A0"/>
        </w:tblPrEx>
        <w:tc>
          <w:tcPr>
            <w:tcW w:w="1083" w:type="dxa"/>
            <w:tcBorders>
              <w:top w:val="single" w:sz="0" w:space="0" w:color="000000"/>
              <w:left w:val="single" w:sz="0" w:space="0" w:color="000000"/>
              <w:bottom w:val="single" w:sz="0" w:space="0" w:color="000000"/>
              <w:right w:val="single" w:sz="0" w:space="0" w:color="000000"/>
            </w:tcBorders>
            <w:vAlign w:val="center"/>
          </w:tcPr>
          <w:p w:rsidR="000D684F">
            <w:pPr>
              <w:jc w:val="center"/>
            </w:pPr>
            <w:r>
              <w:rPr>
                <w:color w:val="000000"/>
                <w:kern w:val="0"/>
              </w:rPr>
              <w:t>4</w:t>
            </w:r>
          </w:p>
        </w:tc>
        <w:tc>
          <w:tcPr>
            <w:tcW w:w="1302" w:type="dxa"/>
            <w:tcBorders>
              <w:top w:val="single" w:sz="0" w:space="0" w:color="000000"/>
              <w:left w:val="single" w:sz="0" w:space="0" w:color="000000"/>
              <w:bottom w:val="single" w:sz="0" w:space="0" w:color="000000"/>
              <w:right w:val="single" w:sz="0" w:space="0" w:color="000000"/>
            </w:tcBorders>
            <w:vAlign w:val="center"/>
          </w:tcPr>
          <w:p w:rsidR="000D684F">
            <w:pPr>
              <w:jc w:val="center"/>
            </w:pPr>
            <w:r>
              <w:rPr>
                <w:color w:val="000000"/>
                <w:kern w:val="0"/>
              </w:rPr>
              <w:t>002475</w:t>
            </w:r>
          </w:p>
        </w:tc>
        <w:tc>
          <w:tcPr>
            <w:tcW w:w="1301" w:type="dxa"/>
            <w:tcBorders>
              <w:top w:val="single" w:sz="0" w:space="0" w:color="000000"/>
              <w:left w:val="single" w:sz="0" w:space="0" w:color="000000"/>
              <w:bottom w:val="single" w:sz="0" w:space="0" w:color="000000"/>
              <w:right w:val="single" w:sz="0" w:space="0" w:color="000000"/>
            </w:tcBorders>
            <w:vAlign w:val="center"/>
          </w:tcPr>
          <w:p w:rsidR="000D684F">
            <w:pPr>
              <w:jc w:val="center"/>
            </w:pPr>
            <w:r>
              <w:rPr>
                <w:color w:val="000000"/>
                <w:kern w:val="0"/>
              </w:rPr>
              <w:t>立讯精密</w:t>
            </w:r>
          </w:p>
        </w:tc>
        <w:tc>
          <w:tcPr>
            <w:tcW w:w="1805" w:type="dxa"/>
            <w:tcBorders>
              <w:top w:val="single" w:sz="0" w:space="0" w:color="000000"/>
              <w:left w:val="single" w:sz="0" w:space="0" w:color="000000"/>
              <w:bottom w:val="single" w:sz="0" w:space="0" w:color="000000"/>
              <w:right w:val="single" w:sz="0" w:space="0" w:color="000000"/>
            </w:tcBorders>
            <w:vAlign w:val="center"/>
          </w:tcPr>
          <w:p w:rsidR="000D684F">
            <w:pPr>
              <w:jc w:val="right"/>
            </w:pPr>
            <w:r>
              <w:rPr>
                <w:color w:val="000000"/>
                <w:kern w:val="0"/>
              </w:rPr>
              <w:t>5,424,349.00</w:t>
            </w:r>
          </w:p>
        </w:tc>
        <w:tc>
          <w:tcPr>
            <w:tcW w:w="1655" w:type="dxa"/>
            <w:tcBorders>
              <w:top w:val="single" w:sz="0" w:space="0" w:color="000000"/>
              <w:left w:val="single" w:sz="0" w:space="0" w:color="000000"/>
              <w:bottom w:val="single" w:sz="0" w:space="0" w:color="000000"/>
              <w:right w:val="single" w:sz="0" w:space="0" w:color="000000"/>
            </w:tcBorders>
            <w:vAlign w:val="center"/>
          </w:tcPr>
          <w:p w:rsidR="000D684F">
            <w:pPr>
              <w:jc w:val="right"/>
            </w:pPr>
            <w:r>
              <w:rPr>
                <w:color w:val="000000"/>
                <w:kern w:val="0"/>
              </w:rPr>
              <w:t>0.73</w:t>
            </w:r>
          </w:p>
        </w:tc>
        <w:tc>
          <w:tcPr>
            <w:tcW w:w="1367" w:type="dxa"/>
            <w:tcBorders>
              <w:top w:val="single" w:sz="0" w:space="0" w:color="000000"/>
              <w:left w:val="single" w:sz="0" w:space="0" w:color="000000"/>
              <w:bottom w:val="single" w:sz="0" w:space="0" w:color="000000"/>
              <w:right w:val="single" w:sz="0" w:space="0" w:color="000000"/>
            </w:tcBorders>
            <w:vAlign w:val="center"/>
          </w:tcPr>
          <w:p w:rsidR="000D684F">
            <w:pPr>
              <w:jc w:val="right"/>
            </w:pPr>
            <w:r>
              <w:rPr>
                <w:color w:val="000000"/>
                <w:kern w:val="0"/>
              </w:rPr>
              <w:t>转融通流通受限</w:t>
            </w:r>
          </w:p>
        </w:tc>
      </w:tr>
      <w:tr>
        <w:tblPrEx>
          <w:tblW w:w="0" w:type="auto"/>
          <w:tblInd w:w="15" w:type="dxa"/>
          <w:tblLayout w:type="fixed"/>
          <w:tblLook w:val="04A0"/>
        </w:tblPrEx>
        <w:tc>
          <w:tcPr>
            <w:tcW w:w="1083" w:type="dxa"/>
            <w:tcBorders>
              <w:top w:val="single" w:sz="0" w:space="0" w:color="000000"/>
              <w:left w:val="single" w:sz="0" w:space="0" w:color="000000"/>
              <w:bottom w:val="single" w:sz="0" w:space="0" w:color="000000"/>
              <w:right w:val="single" w:sz="0" w:space="0" w:color="000000"/>
            </w:tcBorders>
            <w:vAlign w:val="center"/>
          </w:tcPr>
          <w:p w:rsidR="000D684F">
            <w:pPr>
              <w:jc w:val="center"/>
            </w:pPr>
            <w:r>
              <w:rPr>
                <w:color w:val="000000"/>
                <w:kern w:val="0"/>
              </w:rPr>
              <w:t>5</w:t>
            </w:r>
          </w:p>
        </w:tc>
        <w:tc>
          <w:tcPr>
            <w:tcW w:w="1302" w:type="dxa"/>
            <w:tcBorders>
              <w:top w:val="single" w:sz="0" w:space="0" w:color="000000"/>
              <w:left w:val="single" w:sz="0" w:space="0" w:color="000000"/>
              <w:bottom w:val="single" w:sz="0" w:space="0" w:color="000000"/>
              <w:right w:val="single" w:sz="0" w:space="0" w:color="000000"/>
            </w:tcBorders>
            <w:vAlign w:val="center"/>
          </w:tcPr>
          <w:p w:rsidR="000D684F">
            <w:pPr>
              <w:jc w:val="center"/>
            </w:pPr>
            <w:r>
              <w:rPr>
                <w:color w:val="000000"/>
                <w:kern w:val="0"/>
              </w:rPr>
              <w:t>002241</w:t>
            </w:r>
          </w:p>
        </w:tc>
        <w:tc>
          <w:tcPr>
            <w:tcW w:w="1301" w:type="dxa"/>
            <w:tcBorders>
              <w:top w:val="single" w:sz="0" w:space="0" w:color="000000"/>
              <w:left w:val="single" w:sz="0" w:space="0" w:color="000000"/>
              <w:bottom w:val="single" w:sz="0" w:space="0" w:color="000000"/>
              <w:right w:val="single" w:sz="0" w:space="0" w:color="000000"/>
            </w:tcBorders>
            <w:vAlign w:val="center"/>
          </w:tcPr>
          <w:p w:rsidR="000D684F">
            <w:pPr>
              <w:jc w:val="center"/>
            </w:pPr>
            <w:r>
              <w:rPr>
                <w:color w:val="000000"/>
                <w:kern w:val="0"/>
              </w:rPr>
              <w:t>歌尔股份</w:t>
            </w:r>
          </w:p>
        </w:tc>
        <w:tc>
          <w:tcPr>
            <w:tcW w:w="1805" w:type="dxa"/>
            <w:tcBorders>
              <w:top w:val="single" w:sz="0" w:space="0" w:color="000000"/>
              <w:left w:val="single" w:sz="0" w:space="0" w:color="000000"/>
              <w:bottom w:val="single" w:sz="0" w:space="0" w:color="000000"/>
              <w:right w:val="single" w:sz="0" w:space="0" w:color="000000"/>
            </w:tcBorders>
            <w:vAlign w:val="center"/>
          </w:tcPr>
          <w:p w:rsidR="000D684F">
            <w:pPr>
              <w:jc w:val="right"/>
            </w:pPr>
            <w:r>
              <w:rPr>
                <w:color w:val="000000"/>
                <w:kern w:val="0"/>
              </w:rPr>
              <w:t>3,426,450.00</w:t>
            </w:r>
          </w:p>
        </w:tc>
        <w:tc>
          <w:tcPr>
            <w:tcW w:w="1655" w:type="dxa"/>
            <w:tcBorders>
              <w:top w:val="single" w:sz="0" w:space="0" w:color="000000"/>
              <w:left w:val="single" w:sz="0" w:space="0" w:color="000000"/>
              <w:bottom w:val="single" w:sz="0" w:space="0" w:color="000000"/>
              <w:right w:val="single" w:sz="0" w:space="0" w:color="000000"/>
            </w:tcBorders>
            <w:vAlign w:val="center"/>
          </w:tcPr>
          <w:p w:rsidR="000D684F">
            <w:pPr>
              <w:jc w:val="right"/>
            </w:pPr>
            <w:r>
              <w:rPr>
                <w:color w:val="000000"/>
                <w:kern w:val="0"/>
              </w:rPr>
              <w:t>0.46</w:t>
            </w:r>
          </w:p>
        </w:tc>
        <w:tc>
          <w:tcPr>
            <w:tcW w:w="1367" w:type="dxa"/>
            <w:tcBorders>
              <w:top w:val="single" w:sz="0" w:space="0" w:color="000000"/>
              <w:left w:val="single" w:sz="0" w:space="0" w:color="000000"/>
              <w:bottom w:val="single" w:sz="0" w:space="0" w:color="000000"/>
              <w:right w:val="single" w:sz="0" w:space="0" w:color="000000"/>
            </w:tcBorders>
            <w:vAlign w:val="center"/>
          </w:tcPr>
          <w:p w:rsidR="000D684F">
            <w:pPr>
              <w:jc w:val="right"/>
            </w:pPr>
            <w:r>
              <w:rPr>
                <w:color w:val="000000"/>
                <w:kern w:val="0"/>
              </w:rPr>
              <w:t>转融通流通受限</w:t>
            </w:r>
          </w:p>
        </w:tc>
      </w:tr>
      <w:tr>
        <w:tblPrEx>
          <w:tblW w:w="0" w:type="auto"/>
          <w:tblInd w:w="15" w:type="dxa"/>
          <w:tblLayout w:type="fixed"/>
          <w:tblLook w:val="04A0"/>
        </w:tblPrEx>
        <w:tc>
          <w:tcPr>
            <w:tcW w:w="1083" w:type="dxa"/>
            <w:tcBorders>
              <w:top w:val="single" w:sz="0" w:space="0" w:color="000000"/>
              <w:left w:val="single" w:sz="0" w:space="0" w:color="000000"/>
              <w:bottom w:val="single" w:sz="0" w:space="0" w:color="000000"/>
              <w:right w:val="single" w:sz="0" w:space="0" w:color="000000"/>
            </w:tcBorders>
            <w:vAlign w:val="center"/>
          </w:tcPr>
          <w:p w:rsidR="000D684F">
            <w:pPr>
              <w:jc w:val="center"/>
            </w:pPr>
            <w:r>
              <w:rPr>
                <w:color w:val="000000"/>
                <w:kern w:val="0"/>
              </w:rPr>
              <w:t>6</w:t>
            </w:r>
          </w:p>
        </w:tc>
        <w:tc>
          <w:tcPr>
            <w:tcW w:w="1302" w:type="dxa"/>
            <w:tcBorders>
              <w:top w:val="single" w:sz="0" w:space="0" w:color="000000"/>
              <w:left w:val="single" w:sz="0" w:space="0" w:color="000000"/>
              <w:bottom w:val="single" w:sz="0" w:space="0" w:color="000000"/>
              <w:right w:val="single" w:sz="0" w:space="0" w:color="000000"/>
            </w:tcBorders>
            <w:vAlign w:val="center"/>
          </w:tcPr>
          <w:p w:rsidR="000D684F">
            <w:pPr>
              <w:jc w:val="center"/>
            </w:pPr>
            <w:r>
              <w:rPr>
                <w:color w:val="000000"/>
                <w:kern w:val="0"/>
              </w:rPr>
              <w:t>300014</w:t>
            </w:r>
          </w:p>
        </w:tc>
        <w:tc>
          <w:tcPr>
            <w:tcW w:w="1301" w:type="dxa"/>
            <w:tcBorders>
              <w:top w:val="single" w:sz="0" w:space="0" w:color="000000"/>
              <w:left w:val="single" w:sz="0" w:space="0" w:color="000000"/>
              <w:bottom w:val="single" w:sz="0" w:space="0" w:color="000000"/>
              <w:right w:val="single" w:sz="0" w:space="0" w:color="000000"/>
            </w:tcBorders>
            <w:vAlign w:val="center"/>
          </w:tcPr>
          <w:p w:rsidR="000D684F">
            <w:pPr>
              <w:jc w:val="center"/>
            </w:pPr>
            <w:r>
              <w:rPr>
                <w:color w:val="000000"/>
                <w:kern w:val="0"/>
              </w:rPr>
              <w:t>亿纬锂能</w:t>
            </w:r>
          </w:p>
        </w:tc>
        <w:tc>
          <w:tcPr>
            <w:tcW w:w="1805" w:type="dxa"/>
            <w:tcBorders>
              <w:top w:val="single" w:sz="0" w:space="0" w:color="000000"/>
              <w:left w:val="single" w:sz="0" w:space="0" w:color="000000"/>
              <w:bottom w:val="single" w:sz="0" w:space="0" w:color="000000"/>
              <w:right w:val="single" w:sz="0" w:space="0" w:color="000000"/>
            </w:tcBorders>
            <w:vAlign w:val="center"/>
          </w:tcPr>
          <w:p w:rsidR="000D684F">
            <w:pPr>
              <w:jc w:val="right"/>
            </w:pPr>
            <w:r>
              <w:rPr>
                <w:color w:val="000000"/>
                <w:kern w:val="0"/>
              </w:rPr>
              <w:t>1,950,891.00</w:t>
            </w:r>
          </w:p>
        </w:tc>
        <w:tc>
          <w:tcPr>
            <w:tcW w:w="1655" w:type="dxa"/>
            <w:tcBorders>
              <w:top w:val="single" w:sz="0" w:space="0" w:color="000000"/>
              <w:left w:val="single" w:sz="0" w:space="0" w:color="000000"/>
              <w:bottom w:val="single" w:sz="0" w:space="0" w:color="000000"/>
              <w:right w:val="single" w:sz="0" w:space="0" w:color="000000"/>
            </w:tcBorders>
            <w:vAlign w:val="center"/>
          </w:tcPr>
          <w:p w:rsidR="000D684F">
            <w:pPr>
              <w:jc w:val="right"/>
            </w:pPr>
            <w:r>
              <w:rPr>
                <w:color w:val="000000"/>
                <w:kern w:val="0"/>
              </w:rPr>
              <w:t>0.26</w:t>
            </w:r>
          </w:p>
        </w:tc>
        <w:tc>
          <w:tcPr>
            <w:tcW w:w="1367" w:type="dxa"/>
            <w:tcBorders>
              <w:top w:val="single" w:sz="0" w:space="0" w:color="000000"/>
              <w:left w:val="single" w:sz="0" w:space="0" w:color="000000"/>
              <w:bottom w:val="single" w:sz="0" w:space="0" w:color="000000"/>
              <w:right w:val="single" w:sz="0" w:space="0" w:color="000000"/>
            </w:tcBorders>
            <w:vAlign w:val="center"/>
          </w:tcPr>
          <w:p w:rsidR="000D684F">
            <w:pPr>
              <w:jc w:val="right"/>
            </w:pPr>
            <w:r>
              <w:rPr>
                <w:color w:val="000000"/>
                <w:kern w:val="0"/>
              </w:rPr>
              <w:t>转融通流通受限</w:t>
            </w:r>
          </w:p>
        </w:tc>
      </w:tr>
      <w:tr>
        <w:tblPrEx>
          <w:tblW w:w="0" w:type="auto"/>
          <w:tblInd w:w="15" w:type="dxa"/>
          <w:tblLayout w:type="fixed"/>
          <w:tblLook w:val="04A0"/>
        </w:tblPrEx>
        <w:tc>
          <w:tcPr>
            <w:tcW w:w="1083" w:type="dxa"/>
            <w:tcBorders>
              <w:top w:val="single" w:sz="0" w:space="0" w:color="000000"/>
              <w:left w:val="single" w:sz="0" w:space="0" w:color="000000"/>
              <w:bottom w:val="single" w:sz="0" w:space="0" w:color="000000"/>
              <w:right w:val="single" w:sz="0" w:space="0" w:color="000000"/>
            </w:tcBorders>
            <w:vAlign w:val="center"/>
          </w:tcPr>
          <w:p w:rsidR="000D684F">
            <w:pPr>
              <w:jc w:val="center"/>
            </w:pPr>
            <w:r>
              <w:rPr>
                <w:color w:val="000000"/>
                <w:kern w:val="0"/>
              </w:rPr>
              <w:t>7</w:t>
            </w:r>
          </w:p>
        </w:tc>
        <w:tc>
          <w:tcPr>
            <w:tcW w:w="1302" w:type="dxa"/>
            <w:tcBorders>
              <w:top w:val="single" w:sz="0" w:space="0" w:color="000000"/>
              <w:left w:val="single" w:sz="0" w:space="0" w:color="000000"/>
              <w:bottom w:val="single" w:sz="0" w:space="0" w:color="000000"/>
              <w:right w:val="single" w:sz="0" w:space="0" w:color="000000"/>
            </w:tcBorders>
            <w:vAlign w:val="center"/>
          </w:tcPr>
          <w:p w:rsidR="000D684F">
            <w:pPr>
              <w:jc w:val="center"/>
            </w:pPr>
            <w:r>
              <w:rPr>
                <w:color w:val="000000"/>
                <w:kern w:val="0"/>
              </w:rPr>
              <w:t>600276</w:t>
            </w:r>
          </w:p>
        </w:tc>
        <w:tc>
          <w:tcPr>
            <w:tcW w:w="1301" w:type="dxa"/>
            <w:tcBorders>
              <w:top w:val="single" w:sz="0" w:space="0" w:color="000000"/>
              <w:left w:val="single" w:sz="0" w:space="0" w:color="000000"/>
              <w:bottom w:val="single" w:sz="0" w:space="0" w:color="000000"/>
              <w:right w:val="single" w:sz="0" w:space="0" w:color="000000"/>
            </w:tcBorders>
            <w:vAlign w:val="center"/>
          </w:tcPr>
          <w:p w:rsidR="000D684F">
            <w:pPr>
              <w:jc w:val="center"/>
            </w:pPr>
            <w:r>
              <w:rPr>
                <w:color w:val="000000"/>
                <w:kern w:val="0"/>
              </w:rPr>
              <w:t>恒瑞医药</w:t>
            </w:r>
          </w:p>
        </w:tc>
        <w:tc>
          <w:tcPr>
            <w:tcW w:w="1805" w:type="dxa"/>
            <w:tcBorders>
              <w:top w:val="single" w:sz="0" w:space="0" w:color="000000"/>
              <w:left w:val="single" w:sz="0" w:space="0" w:color="000000"/>
              <w:bottom w:val="single" w:sz="0" w:space="0" w:color="000000"/>
              <w:right w:val="single" w:sz="0" w:space="0" w:color="000000"/>
            </w:tcBorders>
            <w:vAlign w:val="center"/>
          </w:tcPr>
          <w:p w:rsidR="000D684F">
            <w:pPr>
              <w:jc w:val="right"/>
            </w:pPr>
            <w:r>
              <w:rPr>
                <w:color w:val="000000"/>
                <w:kern w:val="0"/>
              </w:rPr>
              <w:t>627,875.00</w:t>
            </w:r>
          </w:p>
        </w:tc>
        <w:tc>
          <w:tcPr>
            <w:tcW w:w="1655" w:type="dxa"/>
            <w:tcBorders>
              <w:top w:val="single" w:sz="0" w:space="0" w:color="000000"/>
              <w:left w:val="single" w:sz="0" w:space="0" w:color="000000"/>
              <w:bottom w:val="single" w:sz="0" w:space="0" w:color="000000"/>
              <w:right w:val="single" w:sz="0" w:space="0" w:color="000000"/>
            </w:tcBorders>
            <w:vAlign w:val="center"/>
          </w:tcPr>
          <w:p w:rsidR="000D684F">
            <w:pPr>
              <w:jc w:val="right"/>
            </w:pPr>
            <w:r>
              <w:rPr>
                <w:color w:val="000000"/>
                <w:kern w:val="0"/>
              </w:rPr>
              <w:t>0.08</w:t>
            </w:r>
          </w:p>
        </w:tc>
        <w:tc>
          <w:tcPr>
            <w:tcW w:w="1367" w:type="dxa"/>
            <w:tcBorders>
              <w:top w:val="single" w:sz="0" w:space="0" w:color="000000"/>
              <w:left w:val="single" w:sz="0" w:space="0" w:color="000000"/>
              <w:bottom w:val="single" w:sz="0" w:space="0" w:color="000000"/>
              <w:right w:val="single" w:sz="0" w:space="0" w:color="000000"/>
            </w:tcBorders>
            <w:vAlign w:val="center"/>
          </w:tcPr>
          <w:p w:rsidR="000D684F">
            <w:pPr>
              <w:jc w:val="right"/>
            </w:pPr>
            <w:r>
              <w:rPr>
                <w:color w:val="000000"/>
                <w:kern w:val="0"/>
              </w:rPr>
              <w:t>转融通流通受限</w:t>
            </w:r>
          </w:p>
        </w:tc>
      </w:tr>
      <w:tr>
        <w:tblPrEx>
          <w:tblW w:w="0" w:type="auto"/>
          <w:tblInd w:w="15" w:type="dxa"/>
          <w:tblLayout w:type="fixed"/>
          <w:tblLook w:val="04A0"/>
        </w:tblPrEx>
        <w:tc>
          <w:tcPr>
            <w:tcW w:w="1083" w:type="dxa"/>
            <w:tcBorders>
              <w:top w:val="single" w:sz="0" w:space="0" w:color="000000"/>
              <w:left w:val="single" w:sz="0" w:space="0" w:color="000000"/>
              <w:bottom w:val="single" w:sz="0" w:space="0" w:color="000000"/>
              <w:right w:val="single" w:sz="0" w:space="0" w:color="000000"/>
            </w:tcBorders>
            <w:vAlign w:val="center"/>
          </w:tcPr>
          <w:p w:rsidR="000D684F">
            <w:pPr>
              <w:jc w:val="center"/>
            </w:pPr>
            <w:r>
              <w:rPr>
                <w:color w:val="000000"/>
                <w:kern w:val="0"/>
              </w:rPr>
              <w:t>8</w:t>
            </w:r>
          </w:p>
        </w:tc>
        <w:tc>
          <w:tcPr>
            <w:tcW w:w="1302" w:type="dxa"/>
            <w:tcBorders>
              <w:top w:val="single" w:sz="0" w:space="0" w:color="000000"/>
              <w:left w:val="single" w:sz="0" w:space="0" w:color="000000"/>
              <w:bottom w:val="single" w:sz="0" w:space="0" w:color="000000"/>
              <w:right w:val="single" w:sz="0" w:space="0" w:color="000000"/>
            </w:tcBorders>
            <w:vAlign w:val="center"/>
          </w:tcPr>
          <w:p w:rsidR="000D684F">
            <w:pPr>
              <w:jc w:val="center"/>
            </w:pPr>
            <w:r>
              <w:rPr>
                <w:color w:val="000000"/>
                <w:kern w:val="0"/>
              </w:rPr>
              <w:t>000063</w:t>
            </w:r>
          </w:p>
        </w:tc>
        <w:tc>
          <w:tcPr>
            <w:tcW w:w="1301" w:type="dxa"/>
            <w:tcBorders>
              <w:top w:val="single" w:sz="0" w:space="0" w:color="000000"/>
              <w:left w:val="single" w:sz="0" w:space="0" w:color="000000"/>
              <w:bottom w:val="single" w:sz="0" w:space="0" w:color="000000"/>
              <w:right w:val="single" w:sz="0" w:space="0" w:color="000000"/>
            </w:tcBorders>
            <w:vAlign w:val="center"/>
          </w:tcPr>
          <w:p w:rsidR="000D684F">
            <w:pPr>
              <w:jc w:val="center"/>
            </w:pPr>
            <w:r>
              <w:rPr>
                <w:color w:val="000000"/>
                <w:kern w:val="0"/>
              </w:rPr>
              <w:t>中兴通讯</w:t>
            </w:r>
          </w:p>
        </w:tc>
        <w:tc>
          <w:tcPr>
            <w:tcW w:w="1805" w:type="dxa"/>
            <w:tcBorders>
              <w:top w:val="single" w:sz="0" w:space="0" w:color="000000"/>
              <w:left w:val="single" w:sz="0" w:space="0" w:color="000000"/>
              <w:bottom w:val="single" w:sz="0" w:space="0" w:color="000000"/>
              <w:right w:val="single" w:sz="0" w:space="0" w:color="000000"/>
            </w:tcBorders>
            <w:vAlign w:val="center"/>
          </w:tcPr>
          <w:p w:rsidR="000D684F">
            <w:pPr>
              <w:jc w:val="right"/>
            </w:pPr>
            <w:r>
              <w:rPr>
                <w:color w:val="000000"/>
                <w:kern w:val="0"/>
              </w:rPr>
              <w:t>450,568.00</w:t>
            </w:r>
          </w:p>
        </w:tc>
        <w:tc>
          <w:tcPr>
            <w:tcW w:w="1655" w:type="dxa"/>
            <w:tcBorders>
              <w:top w:val="single" w:sz="0" w:space="0" w:color="000000"/>
              <w:left w:val="single" w:sz="0" w:space="0" w:color="000000"/>
              <w:bottom w:val="single" w:sz="0" w:space="0" w:color="000000"/>
              <w:right w:val="single" w:sz="0" w:space="0" w:color="000000"/>
            </w:tcBorders>
            <w:vAlign w:val="center"/>
          </w:tcPr>
          <w:p w:rsidR="000D684F">
            <w:pPr>
              <w:jc w:val="right"/>
            </w:pPr>
            <w:r>
              <w:rPr>
                <w:color w:val="000000"/>
                <w:kern w:val="0"/>
              </w:rPr>
              <w:t>0.06</w:t>
            </w:r>
          </w:p>
        </w:tc>
        <w:tc>
          <w:tcPr>
            <w:tcW w:w="1367" w:type="dxa"/>
            <w:tcBorders>
              <w:top w:val="single" w:sz="0" w:space="0" w:color="000000"/>
              <w:left w:val="single" w:sz="0" w:space="0" w:color="000000"/>
              <w:bottom w:val="single" w:sz="0" w:space="0" w:color="000000"/>
              <w:right w:val="single" w:sz="0" w:space="0" w:color="000000"/>
            </w:tcBorders>
            <w:vAlign w:val="center"/>
          </w:tcPr>
          <w:p w:rsidR="000D684F">
            <w:pPr>
              <w:jc w:val="right"/>
            </w:pPr>
            <w:r>
              <w:rPr>
                <w:color w:val="000000"/>
                <w:kern w:val="0"/>
              </w:rPr>
              <w:t>转融通流通受限</w:t>
            </w:r>
          </w:p>
        </w:tc>
      </w:tr>
    </w:tbl>
    <w:p w:rsidR="005A0C6D" w:rsidP="00C94D2B">
      <w:pPr>
        <w:pStyle w:val="Heading1"/>
        <w:tabs>
          <w:tab w:val="left" w:pos="3544"/>
        </w:tabs>
        <w:spacing w:before="317" w:after="317" w:line="320" w:lineRule="exact"/>
        <w:ind w:firstLine="600"/>
        <w:rPr>
          <w:rFonts w:asciiTheme="minorEastAsia" w:eastAsiaTheme="minorEastAsia" w:hAnsiTheme="minorEastAsia"/>
          <w:color w:val="000000" w:themeColor="text1"/>
          <w:sz w:val="30"/>
        </w:rPr>
      </w:pPr>
      <w:bookmarkStart w:id="44" w:name="_Toc519188803"/>
      <w:bookmarkStart w:id="45" w:name="_Toc62675526"/>
      <w:bookmarkStart w:id="46" w:name="_Toc62755633"/>
      <w:bookmarkStart w:id="47" w:name="_Toc80796276"/>
    </w:p>
    <w:p w:rsidR="005A0C6D">
      <w:pPr>
        <w:widowControl/>
        <w:jc w:val="left"/>
        <w:rPr>
          <w:rFonts w:asciiTheme="minorEastAsia" w:eastAsiaTheme="minorEastAsia" w:hAnsiTheme="minorEastAsia"/>
          <w:color w:val="000000" w:themeColor="text1"/>
          <w:sz w:val="30"/>
          <w:szCs w:val="32"/>
        </w:rPr>
      </w:pPr>
      <w:r>
        <w:rPr>
          <w:rFonts w:asciiTheme="minorEastAsia" w:eastAsiaTheme="minorEastAsia" w:hAnsiTheme="minorEastAsia"/>
          <w:color w:val="000000" w:themeColor="text1"/>
          <w:sz w:val="30"/>
        </w:rPr>
        <w:br w:type="page"/>
      </w:r>
    </w:p>
    <w:p w:rsidR="006936BF" w:rsidRPr="001F61B7" w:rsidP="00C94D2B">
      <w:pPr>
        <w:pStyle w:val="Heading1"/>
        <w:tabs>
          <w:tab w:val="left" w:pos="3544"/>
        </w:tabs>
        <w:spacing w:before="317" w:after="317" w:line="320" w:lineRule="exact"/>
        <w:ind w:firstLine="600"/>
        <w:rPr>
          <w:rFonts w:asciiTheme="minorEastAsia" w:eastAsiaTheme="minorEastAsia" w:hAnsiTheme="minorEastAsia"/>
          <w:color w:val="000000" w:themeColor="text1"/>
          <w:sz w:val="30"/>
        </w:rPr>
      </w:pPr>
      <w:r w:rsidRPr="001F61B7">
        <w:rPr>
          <w:rFonts w:asciiTheme="minorEastAsia" w:eastAsiaTheme="minorEastAsia" w:hAnsiTheme="minorEastAsia" w:hint="eastAsia"/>
          <w:color w:val="000000" w:themeColor="text1"/>
          <w:sz w:val="30"/>
        </w:rPr>
        <w:t>十二、基金的业绩</w:t>
      </w:r>
      <w:bookmarkEnd w:id="44"/>
      <w:bookmarkEnd w:id="45"/>
      <w:bookmarkEnd w:id="46"/>
      <w:bookmarkEnd w:id="47"/>
    </w:p>
    <w:p w:rsidR="006936BF" w:rsidRPr="001F61B7" w:rsidP="006936BF">
      <w:pPr>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hint="eastAsia"/>
          <w:color w:val="000000" w:themeColor="text1"/>
          <w:szCs w:val="21"/>
        </w:rPr>
        <w:t>基金管理人依照恪尽职守、诚实信用、谨慎勤勉的原则管理和运用基金财产，但不保证基金一定盈利，也不保证最低收益。基金的过往业绩并不代表其未来表现。投资有风险，投资者在作出投资决策前应仔细阅读本基金的招募说明书。</w:t>
      </w:r>
    </w:p>
    <w:p w:rsidR="006936BF" w:rsidRPr="001F61B7" w:rsidP="006936BF">
      <w:pPr>
        <w:spacing w:before="50" w:line="360" w:lineRule="auto"/>
        <w:ind w:firstLine="420" w:firstLineChars="200"/>
        <w:rPr>
          <w:rFonts w:asciiTheme="minorEastAsia" w:eastAsiaTheme="minorEastAsia" w:hAnsiTheme="minorEastAsia"/>
          <w:color w:val="000000" w:themeColor="text1"/>
          <w:szCs w:val="21"/>
        </w:rPr>
      </w:pPr>
      <w:r>
        <w:t>本基金合同生效日为</w:t>
      </w:r>
      <w:r>
        <w:t>2020</w:t>
      </w:r>
      <w:r>
        <w:t>年</w:t>
      </w:r>
      <w:r>
        <w:t>3</w:t>
      </w:r>
      <w:r>
        <w:t>月</w:t>
      </w:r>
      <w:r>
        <w:t>16</w:t>
      </w:r>
      <w:r>
        <w:t>日，基金合同生效以来（截至</w:t>
      </w:r>
      <w:r>
        <w:t>2020</w:t>
      </w:r>
      <w:r>
        <w:t>年</w:t>
      </w:r>
      <w:r>
        <w:t>12</w:t>
      </w:r>
      <w:r>
        <w:t>月</w:t>
      </w:r>
      <w:r>
        <w:t>31</w:t>
      </w:r>
      <w:r>
        <w:t>日）的投资业绩及与同期基准的比较如下表所示：</w:t>
      </w:r>
    </w:p>
    <w:tbl>
      <w:tblPr>
        <w:tblW w:w="95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9"/>
        <w:gridCol w:w="1332"/>
        <w:gridCol w:w="1440"/>
        <w:gridCol w:w="1260"/>
        <w:gridCol w:w="1260"/>
        <w:gridCol w:w="1260"/>
        <w:gridCol w:w="1080"/>
      </w:tblGrid>
      <w:tr w:rsidTr="007F3C78">
        <w:tblPrEx>
          <w:tblW w:w="95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1128"/>
        </w:trPr>
        <w:tc>
          <w:tcPr>
            <w:tcW w:w="1879" w:type="dxa"/>
            <w:tcBorders>
              <w:top w:val="single" w:sz="4" w:space="0" w:color="auto"/>
              <w:left w:val="single" w:sz="4" w:space="0" w:color="auto"/>
              <w:bottom w:val="single" w:sz="4" w:space="0" w:color="auto"/>
              <w:right w:val="single" w:sz="4" w:space="0" w:color="auto"/>
            </w:tcBorders>
            <w:vAlign w:val="center"/>
          </w:tcPr>
          <w:p w:rsidR="006936BF" w:rsidRPr="001F61B7" w:rsidP="007F3C78">
            <w:pPr>
              <w:jc w:val="center"/>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阶段</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6936BF" w:rsidRPr="001F61B7" w:rsidP="007F3C78">
            <w:pPr>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净值增长率（1）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936BF" w:rsidRPr="001F61B7" w:rsidP="007F3C78">
            <w:pPr>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净值增长率标准差（2）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936BF" w:rsidRPr="001F61B7" w:rsidP="007F3C78">
            <w:pPr>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业绩比较基准收益率（3）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936BF" w:rsidRPr="001F61B7" w:rsidP="007F3C78">
            <w:pPr>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业绩比较基准收益率标准差（4）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936BF" w:rsidRPr="001F61B7" w:rsidP="007F3C78">
            <w:pPr>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936BF" w:rsidRPr="001F61B7" w:rsidP="007F3C78">
            <w:pPr>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（2）-（4）</w:t>
            </w:r>
          </w:p>
        </w:tc>
      </w:tr>
      <w:tr w:rsidTr="00AE28CC">
        <w:tblPrEx>
          <w:tblW w:w="9511" w:type="dxa"/>
          <w:tblInd w:w="-318" w:type="dxa"/>
          <w:tblLayout w:type="fixed"/>
          <w:tblLook w:val="0000"/>
        </w:tblPrEx>
        <w:tc>
          <w:tcPr>
            <w:tcW w:w="1879" w:type="dxa"/>
            <w:vAlign w:val="center"/>
          </w:tcPr>
          <w:p w:rsidR="000D684F" w:rsidP="00AE28CC">
            <w:r>
              <w:t>自基金合同生效日至</w:t>
            </w:r>
            <w:r>
              <w:t>2020</w:t>
            </w:r>
            <w:r>
              <w:t>年</w:t>
            </w:r>
            <w:r>
              <w:t>12</w:t>
            </w:r>
            <w:r>
              <w:t>月</w:t>
            </w:r>
            <w:r>
              <w:t>31</w:t>
            </w:r>
            <w:r>
              <w:t>日</w:t>
            </w:r>
          </w:p>
        </w:tc>
        <w:tc>
          <w:tcPr>
            <w:tcW w:w="1332" w:type="dxa"/>
          </w:tcPr>
          <w:p w:rsidR="000D684F">
            <w:r>
              <w:t>62.14%</w:t>
            </w:r>
          </w:p>
        </w:tc>
        <w:tc>
          <w:tcPr>
            <w:tcW w:w="1440" w:type="dxa"/>
          </w:tcPr>
          <w:p w:rsidR="000D684F">
            <w:r>
              <w:t>1.59%</w:t>
            </w:r>
          </w:p>
        </w:tc>
        <w:tc>
          <w:tcPr>
            <w:tcW w:w="1260" w:type="dxa"/>
          </w:tcPr>
          <w:p w:rsidR="000D684F">
            <w:r>
              <w:t>45.91%</w:t>
            </w:r>
          </w:p>
        </w:tc>
        <w:tc>
          <w:tcPr>
            <w:tcW w:w="1260" w:type="dxa"/>
          </w:tcPr>
          <w:p w:rsidR="000D684F">
            <w:r>
              <w:t>1.76%</w:t>
            </w:r>
          </w:p>
        </w:tc>
        <w:tc>
          <w:tcPr>
            <w:tcW w:w="1260" w:type="dxa"/>
          </w:tcPr>
          <w:p w:rsidR="000D684F">
            <w:r>
              <w:t>16.23%</w:t>
            </w:r>
          </w:p>
        </w:tc>
        <w:tc>
          <w:tcPr>
            <w:tcW w:w="1080" w:type="dxa"/>
          </w:tcPr>
          <w:p w:rsidR="000D684F">
            <w:r>
              <w:t>-0.17%</w:t>
            </w:r>
          </w:p>
        </w:tc>
      </w:tr>
    </w:tbl>
    <w:p w:rsidR="006936BF"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p>
    <w:p w:rsidR="006936BF" w:rsidRPr="001F61B7">
      <w:pPr>
        <w:widowControl/>
        <w:jc w:val="left"/>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br w:type="page"/>
      </w:r>
    </w:p>
    <w:p w:rsidR="00BA4B87" w:rsidRPr="001F61B7" w:rsidP="00C94D2B">
      <w:pPr>
        <w:pStyle w:val="Heading1"/>
        <w:tabs>
          <w:tab w:val="left" w:pos="3544"/>
        </w:tabs>
        <w:spacing w:before="317" w:after="317" w:line="320" w:lineRule="exact"/>
        <w:ind w:firstLine="600"/>
        <w:rPr>
          <w:rFonts w:asciiTheme="minorEastAsia" w:eastAsiaTheme="minorEastAsia" w:hAnsiTheme="minorEastAsia"/>
          <w:color w:val="000000" w:themeColor="text1"/>
          <w:sz w:val="30"/>
        </w:rPr>
      </w:pPr>
      <w:bookmarkStart w:id="48" w:name="_Toc80796277"/>
      <w:r w:rsidRPr="001F61B7">
        <w:rPr>
          <w:rFonts w:asciiTheme="minorEastAsia" w:eastAsiaTheme="minorEastAsia" w:hAnsiTheme="minorEastAsia"/>
          <w:color w:val="000000" w:themeColor="text1"/>
          <w:sz w:val="30"/>
        </w:rPr>
        <w:t>十</w:t>
      </w:r>
      <w:bookmarkStart w:id="49" w:name="_Toc332373538"/>
      <w:r w:rsidRPr="001F61B7" w:rsidR="006174FD">
        <w:rPr>
          <w:rFonts w:asciiTheme="minorEastAsia" w:eastAsiaTheme="minorEastAsia" w:hAnsiTheme="minorEastAsia" w:hint="eastAsia"/>
          <w:color w:val="000000" w:themeColor="text1"/>
          <w:sz w:val="30"/>
        </w:rPr>
        <w:t>三</w:t>
      </w:r>
      <w:r w:rsidRPr="001F61B7">
        <w:rPr>
          <w:rFonts w:asciiTheme="minorEastAsia" w:eastAsiaTheme="minorEastAsia" w:hAnsiTheme="minorEastAsia"/>
          <w:color w:val="000000" w:themeColor="text1"/>
          <w:sz w:val="30"/>
        </w:rPr>
        <w:t>、基金的财产</w:t>
      </w:r>
      <w:bookmarkEnd w:id="48"/>
    </w:p>
    <w:bookmarkEnd w:id="49"/>
    <w:p w:rsidR="00BA135B"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bCs/>
          <w:color w:val="000000" w:themeColor="text1"/>
          <w:szCs w:val="21"/>
        </w:rPr>
        <w:t>（一）基金资产总值</w:t>
      </w:r>
    </w:p>
    <w:p w:rsidR="00263CED"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bCs/>
          <w:color w:val="000000" w:themeColor="text1"/>
          <w:szCs w:val="21"/>
        </w:rPr>
        <w:t>基金资产总值是指购买的各类证券及票据价值、银行存款本息和基金应收的申购基金款以及其他投资所形成的价值总和。</w:t>
      </w:r>
    </w:p>
    <w:p w:rsidR="00BA135B"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bCs/>
          <w:color w:val="000000" w:themeColor="text1"/>
          <w:szCs w:val="21"/>
        </w:rPr>
        <w:t>（二）基金资产净值</w:t>
      </w:r>
    </w:p>
    <w:p w:rsidR="00263CED"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bCs/>
          <w:color w:val="000000" w:themeColor="text1"/>
          <w:szCs w:val="21"/>
        </w:rPr>
        <w:t>基金资产净值是指基金资产总值减去基金负债后的价值。</w:t>
      </w:r>
    </w:p>
    <w:p w:rsidR="00BA135B"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bCs/>
          <w:color w:val="000000" w:themeColor="text1"/>
          <w:szCs w:val="21"/>
        </w:rPr>
        <w:t>（三）基金财产的账户</w:t>
      </w:r>
    </w:p>
    <w:p w:rsidR="00263CED"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bCs/>
          <w:color w:val="000000" w:themeColor="text1"/>
          <w:szCs w:val="21"/>
        </w:rPr>
        <w:t>基金托管人根据相关法律法规、规范性文件为本基金开立资金账户、证券账户以及投资所需的其他专用账户。开立的基金专用账户与基金管理人、基金托管人、基金销售机构和基金登记结算机构自有的财产账户以及其他基金财产账户相独立。</w:t>
      </w:r>
    </w:p>
    <w:p w:rsidR="00BA135B"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bCs/>
          <w:color w:val="000000" w:themeColor="text1"/>
          <w:szCs w:val="21"/>
        </w:rPr>
        <w:t>（四）基金财产的保管和处分</w:t>
      </w:r>
    </w:p>
    <w:p w:rsidR="00263CED"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bCs/>
          <w:color w:val="000000" w:themeColor="text1"/>
          <w:szCs w:val="21"/>
        </w:rPr>
        <w:t>本基金财产独立于基金管理人、基金托管人和基金销售机构的财产，并由基金托管人保管。基金管理人、基金托管人、基金登记结算机构和基金销售机构以其自有的财产承担其自身的法律责任，其债权人不得对本基金财产行使请求冻结、扣押或其他权利。除依法律法规和《基金合同》的规定处分外，基金财产不得被处分。</w:t>
      </w:r>
    </w:p>
    <w:p w:rsidR="00335663"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bCs/>
          <w:color w:val="000000" w:themeColor="text1"/>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BA4B87" w:rsidRPr="001F61B7" w:rsidP="00C42A18">
      <w:pPr>
        <w:pStyle w:val="Heading1"/>
        <w:tabs>
          <w:tab w:val="left" w:pos="3544"/>
        </w:tabs>
        <w:spacing w:before="317" w:after="317" w:line="320" w:lineRule="exact"/>
        <w:ind w:firstLine="600"/>
        <w:rPr>
          <w:rFonts w:asciiTheme="minorEastAsia" w:eastAsiaTheme="minorEastAsia" w:hAnsiTheme="minorEastAsia"/>
          <w:bCs/>
          <w:color w:val="000000" w:themeColor="text1"/>
        </w:rPr>
      </w:pPr>
      <w:r w:rsidRPr="001F61B7">
        <w:rPr>
          <w:rFonts w:asciiTheme="minorEastAsia" w:eastAsiaTheme="minorEastAsia" w:hAnsiTheme="minorEastAsia"/>
          <w:color w:val="000000" w:themeColor="text1"/>
          <w:sz w:val="30"/>
        </w:rPr>
        <w:br w:type="column"/>
      </w:r>
      <w:bookmarkStart w:id="50" w:name="_Toc80796278"/>
      <w:r w:rsidRPr="001F61B7">
        <w:rPr>
          <w:rFonts w:asciiTheme="minorEastAsia" w:eastAsiaTheme="minorEastAsia" w:hAnsiTheme="minorEastAsia"/>
          <w:color w:val="000000" w:themeColor="text1"/>
          <w:sz w:val="30"/>
        </w:rPr>
        <w:t>十</w:t>
      </w:r>
      <w:bookmarkStart w:id="51" w:name="_Toc332373543"/>
      <w:r w:rsidRPr="001F61B7" w:rsidR="006174FD">
        <w:rPr>
          <w:rFonts w:asciiTheme="minorEastAsia" w:eastAsiaTheme="minorEastAsia" w:hAnsiTheme="minorEastAsia"/>
          <w:color w:val="000000" w:themeColor="text1"/>
          <w:sz w:val="30"/>
        </w:rPr>
        <w:t>四</w:t>
      </w:r>
      <w:r w:rsidRPr="001F61B7">
        <w:rPr>
          <w:rFonts w:asciiTheme="minorEastAsia" w:eastAsiaTheme="minorEastAsia" w:hAnsiTheme="minorEastAsia"/>
          <w:color w:val="000000" w:themeColor="text1"/>
          <w:sz w:val="30"/>
        </w:rPr>
        <w:t>、基金资产的估值</w:t>
      </w:r>
      <w:bookmarkEnd w:id="50"/>
    </w:p>
    <w:bookmarkEnd w:id="51"/>
    <w:p w:rsidR="00BA135B"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（一）估值日</w:t>
      </w:r>
    </w:p>
    <w:p w:rsidR="00263CED"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本基金的估值日为本基金相关的证券交易场所的交易日以及国家法律法规规定需要对外披露基金净值的非交易日。</w:t>
      </w:r>
    </w:p>
    <w:p w:rsidR="00BA135B"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（二）估值对象</w:t>
      </w:r>
    </w:p>
    <w:p w:rsidR="00263CED"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基金所拥有的股票、债券、衍生工具和银行存款本息、应收款项、其它投资等资产及负债。</w:t>
      </w:r>
    </w:p>
    <w:p w:rsidR="00BA135B"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（三）估值方法</w:t>
      </w:r>
    </w:p>
    <w:p w:rsidR="00263CED"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1、证券交易所上市的有价证券的估值</w:t>
      </w:r>
    </w:p>
    <w:p w:rsidR="00263CED"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1）交易所上市的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263CED"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（2）交易所上市交易或挂牌转让的不含权和含权固定收益品种，选取第三方估值机构提供的相应品种当日的估值净价；</w:t>
      </w:r>
    </w:p>
    <w:p w:rsidR="00263CED"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（3）交易所上市交易的可转换债券，选取每日收盘价作为估值全价；</w:t>
      </w:r>
    </w:p>
    <w:p w:rsidR="00263CED"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（4）交易所市场挂牌转让的资产支持证券和私募债券，采用估值技术确定公允价值，在估值技术难以可靠计量公允价值的情况下，按成本估值。</w:t>
      </w:r>
    </w:p>
    <w:p w:rsidR="00263CED"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2、处于未上市期间的有价证券应区分如下情况处理：</w:t>
      </w:r>
    </w:p>
    <w:p w:rsidR="00263CED"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（1）送股、转增股、配股和公开增发的新股，按估值日在证券交易所挂牌的同一股票的估值方法估值；该日无交易的，以最近一日的市价（收盘价）估值；</w:t>
      </w:r>
    </w:p>
    <w:p w:rsidR="00263CED"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（2）首次公开发行未上市的股票、债券，采用估值技术确定公允价值，在估值技术难以可靠计量公允价值的情况下，按成本估值；</w:t>
      </w:r>
    </w:p>
    <w:p w:rsidR="00263CED"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（3）在发行时明确一定期限限售期的股票，包括但不限于非公开发行股票、首次公开发行股票时公司股东公开发售股份、通过大宗交易取得的带限售期的股票等，按监管机构或行业协会有关规定确定公允价值。</w:t>
      </w:r>
    </w:p>
    <w:p w:rsidR="00263CED"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3、银行间债券市场交易的固定收益品种，选取第三方估值机构提供的相应品种当日的</w:t>
      </w:r>
      <w:r w:rsidRPr="001F61B7">
        <w:rPr>
          <w:rStyle w:val="da"/>
          <w:rFonts w:asciiTheme="minorEastAsia" w:eastAsiaTheme="minorEastAsia" w:hAnsiTheme="minorEastAsia"/>
          <w:color w:val="000000" w:themeColor="text1"/>
          <w:szCs w:val="21"/>
        </w:rPr>
        <w:t>估值价格数据进行估值。</w:t>
      </w:r>
    </w:p>
    <w:p w:rsidR="00263CED"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4、同一债券同时在两个或两个以上市场交易的，按债券所处的市场分别估值。</w:t>
      </w:r>
    </w:p>
    <w:p w:rsidR="00263CED"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5、期货合约、期权合约以估值当日结算价进行估值，估值当日无结算价的，且最近交易日后经济环境未发生重大变化的，采用最近交易日结算价估值。</w:t>
      </w:r>
    </w:p>
    <w:p w:rsidR="00263CED"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6、本基金参与转融通证券出借业务的，按照相关法律法规和行业协会的相关规定进行估值。</w:t>
      </w:r>
    </w:p>
    <w:p w:rsidR="00263CED"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7、本基金参与融资等业务的，按照相关法律法规和监管部门的规定估值。</w:t>
      </w:r>
    </w:p>
    <w:p w:rsidR="00F35715"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Fonts w:asciiTheme="minorEastAsia" w:eastAsiaTheme="minorEastAsia" w:hAnsiTheme="minorEastAsia"/>
          <w:bCs/>
          <w:color w:val="000000" w:themeColor="text1"/>
          <w:szCs w:val="21"/>
        </w:rPr>
        <w:t>8、</w:t>
      </w:r>
      <w:r w:rsidRPr="001F61B7">
        <w:rPr>
          <w:rFonts w:asciiTheme="minorEastAsia" w:eastAsiaTheme="minorEastAsia" w:hAnsiTheme="minorEastAsia" w:hint="eastAsia"/>
          <w:bCs/>
          <w:color w:val="000000" w:themeColor="text1"/>
          <w:szCs w:val="21"/>
        </w:rPr>
        <w:t>本基金投资存托凭证的估值核算，依照境内上市交易的股票执行。</w:t>
      </w:r>
    </w:p>
    <w:p w:rsidR="00263CED"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9、如有充分理由表明按上述方法进行估值不能客观反映其公允价值的，基金管理人可根据具体情况与基金托管人商定后，按最能反映公允价值的价格估值。</w:t>
      </w:r>
    </w:p>
    <w:p w:rsidR="00263CED"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10、相关法律法规以及监管部门有强制规定的，从其规定。如有新增事项，按国家最新规定估值。</w:t>
      </w:r>
    </w:p>
    <w:p w:rsidR="00263CED"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BA135B"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BA135B"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（四）估值程序</w:t>
      </w:r>
    </w:p>
    <w:p w:rsidR="00263CED"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1、基金份额净值是按照每个工作日闭市后，基金资产净值除以当日基金份额的余额数量计算，精确到0.0001元，小数点后第5位四舍五入。国家另有规定的，从其规定。</w:t>
      </w:r>
    </w:p>
    <w:p w:rsidR="00263CED"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每个工作日计算基金资产净值及基金份额净值，并按规定公告。</w:t>
      </w:r>
    </w:p>
    <w:p w:rsidR="00263CED"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2、基</w:t>
      </w:r>
      <w:r w:rsidRPr="001F61B7" w:rsidR="007950D0">
        <w:rPr>
          <w:rStyle w:val="da"/>
          <w:rFonts w:asciiTheme="minorEastAsia" w:eastAsiaTheme="minorEastAsia" w:hAnsiTheme="minorEastAsia"/>
          <w:color w:val="000000" w:themeColor="text1"/>
          <w:szCs w:val="21"/>
        </w:rPr>
        <w:t>金管理人应每个工作日对基金资产估值。但基金管理人根据法律法规或</w:t>
      </w:r>
      <w:r w:rsidRPr="001F61B7">
        <w:rPr>
          <w:rStyle w:val="da"/>
          <w:rFonts w:asciiTheme="minorEastAsia" w:eastAsiaTheme="minorEastAsia" w:hAnsiTheme="minorEastAsia"/>
          <w:color w:val="000000" w:themeColor="text1"/>
          <w:szCs w:val="21"/>
        </w:rPr>
        <w:t>基金合同的规定暂停估值时除外。基金管理人每个工作日对基金资产估值后，将基金份额净值结果发送基金托管人，经基金托管人复核无误后，由基金管理人对外公布。</w:t>
      </w:r>
    </w:p>
    <w:p w:rsidR="00BA135B"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（五）估值错误的处理</w:t>
      </w:r>
    </w:p>
    <w:p w:rsidR="00263CED"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基金管理人和基金托管人将采取必要、适当、合理的措施确保基金资产估值的准确性、及时性。当基金份额净值小数点后4位以内(含第4位)发生差错时，视为估值错误。</w:t>
      </w:r>
    </w:p>
    <w:p w:rsidR="00263CED"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基金合同的当事人应按照以下约定处理：</w:t>
      </w:r>
    </w:p>
    <w:p w:rsidR="00263CED"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1、估值错误类型</w:t>
      </w:r>
    </w:p>
    <w:p w:rsidR="00263CED"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本基金运作过程中，如果由于基金管理人或基金托管人、或登记结算机构、或销售机构、或投资人自身的过错造成估值错误，导致其他当事人遭受损失的，过错的责任人应当对由于该估值错误遭受损失当事人(“受损方”)的直接损失按下述“估值错误处理原则”给予赔偿，承担赔偿责任。</w:t>
      </w:r>
    </w:p>
    <w:p w:rsidR="00263CED"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上述估值错误的主要类型包括但不限于：资料申报差错、数据传输差错、数据计算差错、系统故障差错、下达指令差错等。</w:t>
      </w:r>
    </w:p>
    <w:p w:rsidR="00263CED"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2、估值错误处理原则</w:t>
      </w:r>
    </w:p>
    <w:p w:rsidR="00263CED"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263CED"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（2）估值错误的责任方对有关当事人的直接损失负责，不对间接损失负责，并且仅对估值错误的有关直接当事人负责，不对第三方负责。</w:t>
      </w:r>
    </w:p>
    <w:p w:rsidR="00263CED"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263CED"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（4）估值错误调整采用尽量恢复至假设未发生估值错误的正确情形的方式。</w:t>
      </w:r>
    </w:p>
    <w:p w:rsidR="00263CED"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（5）按法律法规规定的其他原则处理估值错误。</w:t>
      </w:r>
    </w:p>
    <w:p w:rsidR="00263CED"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3、估值错误处理程序</w:t>
      </w:r>
    </w:p>
    <w:p w:rsidR="00263CED"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估值错误被发现后，有关的当事人应当及时进行处理，处理的程序如下：</w:t>
      </w:r>
    </w:p>
    <w:p w:rsidR="00263CED"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（1）查明估值错误发生的原因，列明所有的当事人，并根据估值错误发生的原因确定估值错误的责任方；</w:t>
      </w:r>
    </w:p>
    <w:p w:rsidR="00263CED"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（2）根据估值错误处理原则或当事人协商的方法对因估值错误造成的损失进行评估；</w:t>
      </w:r>
    </w:p>
    <w:p w:rsidR="00263CED"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（3）根据估值错误处理原则或当事人协商的方法由估值错误的责任方进行更正和赔偿损失；</w:t>
      </w:r>
    </w:p>
    <w:p w:rsidR="00263CED"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（4）根据估值错误处理的方法，需要修改基金登记结算机构交易数据的，由基金登记结算机构进行更正，并就估值错误的更正向有关当事人进行确认。</w:t>
      </w:r>
    </w:p>
    <w:p w:rsidR="00263CED"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4、基金份额净值估值错误处理的方法如下：</w:t>
      </w:r>
    </w:p>
    <w:p w:rsidR="00263CED"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（1）基金份额净值计算出现错误时，基金管理人应当立即予以纠正，通报基金托管人，并采取合理的措施防止损失进一步扩大。</w:t>
      </w:r>
    </w:p>
    <w:p w:rsidR="00263CED"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（2）错误偏差达到基金份额净值的0.25%时，基金管理人应当通报基金托管人；错误偏差达到基金份额净值的0.5%时，基金管理人应当公告，并报中国证监会备案。</w:t>
      </w:r>
    </w:p>
    <w:p w:rsidR="00263CED"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w:t>
      </w:r>
      <w:r w:rsidRPr="001F61B7" w:rsidR="00204ECA">
        <w:rPr>
          <w:rStyle w:val="da"/>
          <w:rFonts w:asciiTheme="minorEastAsia" w:eastAsiaTheme="minorEastAsia" w:hAnsiTheme="minorEastAsia" w:hint="eastAsia"/>
          <w:color w:val="000000" w:themeColor="text1"/>
          <w:szCs w:val="21"/>
        </w:rPr>
        <w:t>3</w:t>
      </w:r>
      <w:r w:rsidRPr="001F61B7">
        <w:rPr>
          <w:rStyle w:val="da"/>
          <w:rFonts w:asciiTheme="minorEastAsia" w:eastAsiaTheme="minorEastAsia" w:hAnsiTheme="minorEastAsia"/>
          <w:color w:val="000000" w:themeColor="text1"/>
          <w:szCs w:val="21"/>
        </w:rPr>
        <w:t>）前述内容如法律法规或监管机关另有规定的，从其规定处理。</w:t>
      </w:r>
    </w:p>
    <w:p w:rsidR="00BA135B"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（六）暂停估值的情形</w:t>
      </w:r>
    </w:p>
    <w:p w:rsidR="00263CED"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1、基金投资所涉及的证券交易市场遇法定节假日或因其他原因暂停营业时；</w:t>
      </w:r>
    </w:p>
    <w:p w:rsidR="00263CED"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2、因不可抗力或其他情形致使基金管理人、基金托管人无法准确评估基金资产价值时；</w:t>
      </w:r>
    </w:p>
    <w:p w:rsidR="00263CED"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3、当前一估值日基金资产净值 50%以上的资产出现无可参考的活跃市场价格且采用估值技术仍导致公允价值存在重大不确定性时，经与基金托管人协商确认后，基金管理人应当暂停估值；</w:t>
      </w:r>
    </w:p>
    <w:p w:rsidR="00BA135B"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4、法律法规规定、中国证监会和基金合同认定的其它情形。</w:t>
      </w:r>
    </w:p>
    <w:p w:rsidR="00BA135B"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（七）基金净值的确认</w:t>
      </w:r>
    </w:p>
    <w:p w:rsidR="00263CED"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BA135B"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（八）特殊情况的处理</w:t>
      </w:r>
    </w:p>
    <w:p w:rsidR="00263CED"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1、基金管理人或基金托管人按估值方法的第</w:t>
      </w:r>
      <w:r w:rsidRPr="001F61B7" w:rsidR="00B84C19">
        <w:rPr>
          <w:rStyle w:val="da"/>
          <w:rFonts w:asciiTheme="minorEastAsia" w:eastAsiaTheme="minorEastAsia" w:hAnsiTheme="minorEastAsia"/>
          <w:color w:val="000000" w:themeColor="text1"/>
          <w:szCs w:val="21"/>
        </w:rPr>
        <w:t>9</w:t>
      </w:r>
      <w:r w:rsidRPr="001F61B7">
        <w:rPr>
          <w:rStyle w:val="da"/>
          <w:rFonts w:asciiTheme="minorEastAsia" w:eastAsiaTheme="minorEastAsia" w:hAnsiTheme="minorEastAsia"/>
          <w:color w:val="000000" w:themeColor="text1"/>
          <w:szCs w:val="21"/>
        </w:rPr>
        <w:t>项进行估值时，所造成的误差不作为基金资产估值错误处理。</w:t>
      </w:r>
    </w:p>
    <w:p w:rsidR="00263CED"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2、由于证券交易场所、登记结算公司及存款银行等第三方机构发送的数据错误，或国家会计政策变更、市场规则变更等非基金管理人与基金托管人原因，或由于其他不可抗力原因，基金管理人和基金托管人虽然已经采取必要、适当、合理的措施进行检查，但是未能发</w:t>
      </w:r>
      <w:r w:rsidRPr="001F61B7">
        <w:rPr>
          <w:rStyle w:val="da"/>
          <w:rFonts w:asciiTheme="minorEastAsia" w:eastAsiaTheme="minorEastAsia" w:hAnsiTheme="minorEastAsia"/>
          <w:color w:val="000000" w:themeColor="text1"/>
          <w:szCs w:val="21"/>
        </w:rPr>
        <w:t>现该错误的，由此造成的基金资产估值错误，基金管理人和基金托管人可以免除赔偿责任。但基金管理人和基金托管人应当积极采取必要的措施消除或减轻由此造成的影响。</w:t>
      </w:r>
    </w:p>
    <w:p w:rsidR="00BA4B87" w:rsidRPr="001F61B7" w:rsidP="00C42A18">
      <w:pPr>
        <w:pStyle w:val="Heading1"/>
        <w:tabs>
          <w:tab w:val="left" w:pos="3544"/>
        </w:tabs>
        <w:spacing w:before="317" w:after="317" w:line="360" w:lineRule="auto"/>
        <w:ind w:firstLine="600"/>
        <w:rPr>
          <w:rFonts w:asciiTheme="minorEastAsia" w:eastAsiaTheme="minorEastAsia" w:hAnsiTheme="minorEastAsia"/>
          <w:bCs/>
          <w:color w:val="000000" w:themeColor="text1"/>
        </w:rPr>
      </w:pPr>
      <w:r w:rsidRPr="001F61B7">
        <w:rPr>
          <w:rFonts w:asciiTheme="minorEastAsia" w:eastAsiaTheme="minorEastAsia" w:hAnsiTheme="minorEastAsia"/>
          <w:color w:val="000000" w:themeColor="text1"/>
          <w:sz w:val="30"/>
        </w:rPr>
        <w:br w:type="column"/>
      </w:r>
      <w:bookmarkStart w:id="52" w:name="_Toc80796279"/>
      <w:r w:rsidRPr="001F61B7">
        <w:rPr>
          <w:rFonts w:asciiTheme="minorEastAsia" w:eastAsiaTheme="minorEastAsia" w:hAnsiTheme="minorEastAsia"/>
          <w:color w:val="000000" w:themeColor="text1"/>
          <w:sz w:val="30"/>
        </w:rPr>
        <w:t>十</w:t>
      </w:r>
      <w:bookmarkStart w:id="53" w:name="_Toc332373553"/>
      <w:r w:rsidRPr="001F61B7" w:rsidR="006174FD">
        <w:rPr>
          <w:rFonts w:asciiTheme="minorEastAsia" w:eastAsiaTheme="minorEastAsia" w:hAnsiTheme="minorEastAsia"/>
          <w:color w:val="000000" w:themeColor="text1"/>
          <w:sz w:val="30"/>
        </w:rPr>
        <w:t>五</w:t>
      </w:r>
      <w:r w:rsidRPr="001F61B7">
        <w:rPr>
          <w:rFonts w:asciiTheme="minorEastAsia" w:eastAsiaTheme="minorEastAsia" w:hAnsiTheme="minorEastAsia"/>
          <w:color w:val="000000" w:themeColor="text1"/>
          <w:sz w:val="30"/>
        </w:rPr>
        <w:t>、基金的收益分配</w:t>
      </w:r>
      <w:bookmarkEnd w:id="52"/>
    </w:p>
    <w:bookmarkEnd w:id="53"/>
    <w:p w:rsidR="00B9271A"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（一）基金收益分配原则</w:t>
      </w:r>
    </w:p>
    <w:p w:rsidR="00A94ACD"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1、本基金收益分配方式采用现金分红；</w:t>
      </w:r>
    </w:p>
    <w:p w:rsidR="00A94ACD"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2、每一基金份额享有同等分配权；</w:t>
      </w:r>
    </w:p>
    <w:p w:rsidR="00A94ACD"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 xml:space="preserve">3、基金收益评价日核定的基金累计报酬率超过标的指数同期累计报酬率达到1%以上，基金管理人可进行收益分配； </w:t>
      </w:r>
    </w:p>
    <w:p w:rsidR="00A94ACD"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4、本基金收益分配比例根据以下原则确定：使收益分配后基金累计报酬率尽可能贴近标的指数同期累计报酬率。基于本基金的性质和特点，本基金收益分配无需以弥补亏损为前提，收益分配后基金份额净值有可能低于面值；</w:t>
      </w:r>
    </w:p>
    <w:p w:rsidR="00A94ACD"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5、法律法规或监管机关另有规定的，从其规定。证券交易所或基金登记结算机构对收益分配另有规定的，从其规定。</w:t>
      </w:r>
    </w:p>
    <w:p w:rsidR="00B9271A"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基金管理人可在对基金份额持有人利益无实质不利影响的前提下，对上述原则进行修改或调整，而无需召开基金份额持有人大会审议。</w:t>
      </w:r>
    </w:p>
    <w:p w:rsidR="00B9271A"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（二）基金收益分配数额的确定原则</w:t>
      </w:r>
    </w:p>
    <w:p w:rsidR="00A94ACD"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 xml:space="preserve">1、在收益评价日，基金管理人计算基金累计报酬率、标的指数同期累计报酬率。 </w:t>
      </w:r>
    </w:p>
    <w:p w:rsidR="00A94ACD"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基金收益评价日本基金相对标的指数的超额收益率＝基金累计报酬率 - 标的指数同期累计报酬率</w:t>
      </w:r>
    </w:p>
    <w:p w:rsidR="00A94ACD"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基金累计报酬率=收益评价日基金份额净值（如上市后基金份额发生折算，则采用剔除上市后折算因素的基金份额净值）/基金上市前一深圳证券交易所交易日基金份额净值-100%</w:t>
      </w:r>
    </w:p>
    <w:p w:rsidR="005845F2"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剔除上市后折算因素的基金份额净值＝</w:t>
      </w:r>
    </w:p>
    <w:p w:rsidR="00B9271A"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Pr>
          <w:rFonts w:asciiTheme="minorEastAsia" w:eastAsiaTheme="minorEastAsia" w:hAnsiTheme="minorEastAsia"/>
          <w:color w:val="000000" w:themeColor="text1"/>
          <w:position w:val="-28"/>
          <w:szCs w:val="21"/>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30.75pt" o:oleicon="f" o:ole="">
            <v:imagedata r:id="rId18" o:title=""/>
          </v:shape>
          <o:OLEObject Type="Embed" ProgID="Equation.3" ShapeID="_x0000_i1025" DrawAspect="Content" ObjectID="_1702366127" r:id="rId19"/>
        </w:object>
      </w:r>
    </w:p>
    <w:p w:rsidR="005845F2"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注：</w:t>
      </w:r>
      <w:r>
        <w:rPr>
          <w:rFonts w:asciiTheme="minorEastAsia" w:eastAsiaTheme="minorEastAsia" w:hAnsiTheme="minorEastAsia"/>
          <w:bCs/>
          <w:color w:val="000000" w:themeColor="text1"/>
          <w:position w:val="-28"/>
          <w:sz w:val="24"/>
        </w:rPr>
        <w:object>
          <v:shape id="_x0000_i1026" type="#_x0000_t75" style="width:20.25pt;height:30.75pt" o:oleicon="f" o:ole="">
            <v:imagedata r:id="rId20" o:title=""/>
          </v:shape>
          <o:OLEObject Type="Embed" ProgID="Equation.DSMT4" ShapeID="_x0000_i1026" DrawAspect="Content" ObjectID="_1702366128" r:id="rId21"/>
        </w:object>
      </w:r>
      <w:r w:rsidRPr="001F61B7">
        <w:rPr>
          <w:rStyle w:val="da"/>
          <w:rFonts w:asciiTheme="minorEastAsia" w:eastAsiaTheme="minorEastAsia" w:hAnsiTheme="minorEastAsia"/>
          <w:color w:val="000000" w:themeColor="text1"/>
          <w:szCs w:val="21"/>
        </w:rPr>
        <w:t>为连乘符号。当基金份额折算比例为N时，表示每一份基金份额折算为N份。</w:t>
      </w:r>
    </w:p>
    <w:p w:rsidR="00A94ACD"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标的指数同期累计报酬率=收益评价日标的指数收盘值/基金上市前一深圳证券交易所交易日标的指数收盘值-100%</w:t>
      </w:r>
    </w:p>
    <w:p w:rsidR="00A94ACD"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当上述超额收益率超过1%时，基金管理人有权进行收益分配。</w:t>
      </w:r>
    </w:p>
    <w:p w:rsidR="00A94ACD"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2、根据前述收益分配原则计算截至基金收益评价日本基金的份额可分配收益，并确定收益分配比例。</w:t>
      </w:r>
    </w:p>
    <w:p w:rsidR="00B9271A"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3、每基金份额的应分配收益为份额可分配收益乘以收益分配比例，保留小数点后3位，第4位舍去。</w:t>
      </w:r>
    </w:p>
    <w:p w:rsidR="00B9271A"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（三）收益分配方案</w:t>
      </w:r>
    </w:p>
    <w:p w:rsidR="00B9271A"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基金收益分配方案中应载明基金收益分配对象、分配时间、分配数额及比例、分配方式等内容。</w:t>
      </w:r>
    </w:p>
    <w:p w:rsidR="00B9271A"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（四） 收益分配方案的确定、公告与实施</w:t>
      </w:r>
    </w:p>
    <w:p w:rsidR="00A94ACD"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本基金收益分配方案由基金管理人拟定，并由基金托管人复核，在2日内在指定媒介公告。</w:t>
      </w:r>
    </w:p>
    <w:p w:rsidR="005627CF"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szCs w:val="21"/>
        </w:rPr>
      </w:pPr>
      <w:r w:rsidRPr="001F61B7">
        <w:rPr>
          <w:rStyle w:val="da"/>
          <w:rFonts w:asciiTheme="minorEastAsia" w:eastAsiaTheme="minorEastAsia" w:hAnsiTheme="minorEastAsia"/>
          <w:color w:val="000000" w:themeColor="text1"/>
          <w:szCs w:val="21"/>
        </w:rPr>
        <w:t>法律法规或监管机关另有规定的，从其规定。</w:t>
      </w:r>
    </w:p>
    <w:p w:rsidR="00BA4B87" w:rsidRPr="001F61B7" w:rsidP="00C42A18">
      <w:pPr>
        <w:pStyle w:val="Heading1"/>
        <w:tabs>
          <w:tab w:val="left" w:pos="3544"/>
        </w:tabs>
        <w:spacing w:before="317" w:after="317" w:line="360" w:lineRule="auto"/>
        <w:ind w:firstLine="640"/>
        <w:rPr>
          <w:rFonts w:asciiTheme="minorEastAsia" w:eastAsiaTheme="minorEastAsia" w:hAnsiTheme="minorEastAsia"/>
          <w:bCs/>
          <w:color w:val="000000" w:themeColor="text1"/>
        </w:rPr>
      </w:pPr>
      <w:r w:rsidRPr="001F61B7">
        <w:rPr>
          <w:rFonts w:asciiTheme="minorEastAsia" w:eastAsiaTheme="minorEastAsia" w:hAnsiTheme="minorEastAsia"/>
          <w:color w:val="000000" w:themeColor="text1"/>
          <w:szCs w:val="21"/>
        </w:rPr>
        <w:br w:type="column"/>
      </w:r>
      <w:bookmarkStart w:id="54" w:name="_Toc80796280"/>
      <w:r w:rsidRPr="001F61B7">
        <w:rPr>
          <w:rFonts w:asciiTheme="minorEastAsia" w:eastAsiaTheme="minorEastAsia" w:hAnsiTheme="minorEastAsia"/>
          <w:color w:val="000000" w:themeColor="text1"/>
          <w:sz w:val="30"/>
        </w:rPr>
        <w:t>十</w:t>
      </w:r>
      <w:bookmarkStart w:id="55" w:name="_Toc332373560"/>
      <w:r w:rsidRPr="001F61B7" w:rsidR="006174FD">
        <w:rPr>
          <w:rFonts w:asciiTheme="minorEastAsia" w:eastAsiaTheme="minorEastAsia" w:hAnsiTheme="minorEastAsia"/>
          <w:color w:val="000000" w:themeColor="text1"/>
          <w:sz w:val="30"/>
        </w:rPr>
        <w:t>六</w:t>
      </w:r>
      <w:r w:rsidRPr="001F61B7">
        <w:rPr>
          <w:rFonts w:asciiTheme="minorEastAsia" w:eastAsiaTheme="minorEastAsia" w:hAnsiTheme="minorEastAsia"/>
          <w:color w:val="000000" w:themeColor="text1"/>
          <w:sz w:val="30"/>
        </w:rPr>
        <w:t>、基金的费用与税收</w:t>
      </w:r>
      <w:bookmarkEnd w:id="54"/>
    </w:p>
    <w:p w:rsidR="00B9271A"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bookmarkStart w:id="56" w:name="_Toc332373561"/>
      <w:bookmarkEnd w:id="55"/>
      <w:r w:rsidRPr="001F61B7">
        <w:rPr>
          <w:rStyle w:val="da"/>
          <w:rFonts w:asciiTheme="minorEastAsia" w:eastAsiaTheme="minorEastAsia" w:hAnsiTheme="minorEastAsia"/>
          <w:color w:val="000000" w:themeColor="text1"/>
        </w:rPr>
        <w:t>（一）基金费用的种类</w:t>
      </w:r>
    </w:p>
    <w:p w:rsidR="005612DA"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1、基金管理人的管理费；</w:t>
      </w:r>
    </w:p>
    <w:p w:rsidR="005612DA"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2、基金托管人的托管费；</w:t>
      </w:r>
    </w:p>
    <w:p w:rsidR="005612DA"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3、《基金合同》生效后的标的指数许可使用费；</w:t>
      </w:r>
    </w:p>
    <w:p w:rsidR="005612DA"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4、《基金合同》生效后与基金相关的信息披露费用；</w:t>
      </w:r>
    </w:p>
    <w:p w:rsidR="005612DA"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5、《基金合同》生效后与基金相关的会计师费、律师费、诉讼费和仲裁费；</w:t>
      </w:r>
    </w:p>
    <w:p w:rsidR="005612DA"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6、基金份额持有人大会费用；</w:t>
      </w:r>
    </w:p>
    <w:p w:rsidR="005612DA"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7、基金的证券交易费用；</w:t>
      </w:r>
    </w:p>
    <w:p w:rsidR="005612DA"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8、基金的银行汇划费用；</w:t>
      </w:r>
    </w:p>
    <w:p w:rsidR="005612DA"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9、基金相关账户开户费用、账户维护费用；</w:t>
      </w:r>
    </w:p>
    <w:p w:rsidR="005612DA"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10、基金上市初费及月费、登记结算费用、IOPV计算与发布费用；</w:t>
      </w:r>
    </w:p>
    <w:p w:rsidR="005612DA"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11、收益分配中发生的费用；</w:t>
      </w:r>
    </w:p>
    <w:p w:rsidR="00B9271A"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12、按照国家有关规定和《基金合同》约定，因基金运作而发生的，可以在基金财产中列支的其他费用。</w:t>
      </w:r>
    </w:p>
    <w:p w:rsidR="00B9271A"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（二）基金费用计提方法、计提标准和支付方式</w:t>
      </w:r>
    </w:p>
    <w:p w:rsidR="005612DA"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 xml:space="preserve">1、基金管理人的管理费 </w:t>
      </w:r>
    </w:p>
    <w:p w:rsidR="005612DA"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本基金的管理费按前一日基金资产净值的0.15%年费率计提。管理费的计算方法如下：</w:t>
      </w:r>
    </w:p>
    <w:p w:rsidR="005612DA"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H＝E×0.15%÷当年天数</w:t>
      </w:r>
    </w:p>
    <w:p w:rsidR="005612DA"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H为每日应计提的基金管理费</w:t>
      </w:r>
    </w:p>
    <w:p w:rsidR="005612DA"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E为前一日的基金资产净值</w:t>
      </w:r>
    </w:p>
    <w:p w:rsidR="005612DA"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hint="eastAsia"/>
          <w:color w:val="000000" w:themeColor="text1"/>
        </w:rPr>
        <w:t>基金管理费每日计算，按月支付。由基金管理人向基金托管人发送基金管理费划付指令，经基金托管人复核后于次月首日起3个工作日内从基金财产中一次性支付给基金管理人。若遇法定节假日、休息日或不可抗力致使无法按时支付的，顺延至法定节假日、休息日结束之日起3个工作日内或不可抗力情形消除之日起3个工作日内支付</w:t>
      </w:r>
      <w:r w:rsidRPr="001F61B7">
        <w:rPr>
          <w:rStyle w:val="da"/>
          <w:rFonts w:asciiTheme="minorEastAsia" w:eastAsiaTheme="minorEastAsia" w:hAnsiTheme="minorEastAsia"/>
          <w:color w:val="000000" w:themeColor="text1"/>
        </w:rPr>
        <w:t>。</w:t>
      </w:r>
    </w:p>
    <w:p w:rsidR="005612DA"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2、基金托管人的托管费</w:t>
      </w:r>
    </w:p>
    <w:p w:rsidR="005612DA"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本基金的托管费按前一日基金资产净值的0.05%的年费率计提。托管费的计算方法如下：</w:t>
      </w:r>
    </w:p>
    <w:p w:rsidR="005612DA"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H＝E×0.05%÷当年天数</w:t>
      </w:r>
    </w:p>
    <w:p w:rsidR="005612DA"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H为每日应计提的基金托管费</w:t>
      </w:r>
    </w:p>
    <w:p w:rsidR="005612DA"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E为前一日的基金资产净值</w:t>
      </w:r>
    </w:p>
    <w:p w:rsidR="002A3990"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hint="eastAsia"/>
          <w:color w:val="000000" w:themeColor="text1"/>
        </w:rPr>
        <w:t>基金托管费每日计算，按月支付。由基金管理人向基金托管人发送基金托管费划付指令，基金托管人复核后于次月首日起3个工作日内从基金财产中一次性支付给基金托管人。若遇法定节假日、休息日或不可抗力致使无法按时支付的，顺延至法定节假日、休息日结束之日起3个工作日内或不可抗力情形消除之日起3个工作日内支付</w:t>
      </w:r>
      <w:r w:rsidRPr="001F61B7" w:rsidR="005612DA">
        <w:rPr>
          <w:rStyle w:val="da"/>
          <w:rFonts w:asciiTheme="minorEastAsia" w:eastAsiaTheme="minorEastAsia" w:hAnsiTheme="minorEastAsia"/>
          <w:color w:val="000000" w:themeColor="text1"/>
        </w:rPr>
        <w:t>。</w:t>
      </w:r>
    </w:p>
    <w:p w:rsidR="002A3990"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3、标的指数许可使用费</w:t>
      </w:r>
    </w:p>
    <w:p w:rsidR="00BF3701"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基金合同生效后的标的指数许可使用费按照基金管理人与中证指数有限公司签署的指数使用许可协议的约定从基金财产中向中证指数有限公司支付。</w:t>
      </w:r>
      <w:r w:rsidRPr="001F61B7" w:rsidR="00C353B1">
        <w:rPr>
          <w:rStyle w:val="da"/>
          <w:rFonts w:asciiTheme="minorEastAsia" w:eastAsiaTheme="minorEastAsia" w:hAnsiTheme="minorEastAsia"/>
          <w:color w:val="000000" w:themeColor="text1"/>
        </w:rPr>
        <w:t>标的指数许可使用费按前一日的基金资产净值的0.03%的年费率计提，计算方法如下：</w:t>
      </w:r>
    </w:p>
    <w:p w:rsidR="00C353B1"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H = E×0.03% / 当年天数</w:t>
      </w:r>
    </w:p>
    <w:p w:rsidR="00C353B1"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H为每日应付的标的指数许可使用费</w:t>
      </w:r>
    </w:p>
    <w:p w:rsidR="00C353B1"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E为前一日的基金资产净值</w:t>
      </w:r>
    </w:p>
    <w:p w:rsidR="00BF3701"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Fonts w:asciiTheme="minorEastAsia" w:eastAsiaTheme="minorEastAsia" w:hAnsiTheme="minorEastAsia"/>
          <w:color w:val="000000" w:themeColor="text1"/>
          <w:szCs w:val="21"/>
        </w:rPr>
        <w:t>如当季度日均基金资产净值（日均基金资产净值=基金当季存续日的基金资产净值之和/基金当季存续天数，下同）大于人民币5000万元的，标的指数许可使用基点费的收取下限为每季度人民币3.5万元；如当季度日均基金资产净值小于或等于人民币5000万元的，标的指数许可使用基点费不设收取下限。计费期间不足一季度的，根据实际天数按比例计算。</w:t>
      </w:r>
      <w:r w:rsidRPr="001F61B7">
        <w:rPr>
          <w:rStyle w:val="da"/>
          <w:rFonts w:asciiTheme="minorEastAsia" w:eastAsiaTheme="minorEastAsia" w:hAnsiTheme="minorEastAsia"/>
          <w:color w:val="000000" w:themeColor="text1"/>
        </w:rPr>
        <w:t>标的指数许可使用费每日计提</w:t>
      </w:r>
      <w:r w:rsidRPr="001F61B7">
        <w:rPr>
          <w:rFonts w:asciiTheme="minorEastAsia" w:eastAsiaTheme="minorEastAsia" w:hAnsiTheme="minorEastAsia"/>
          <w:color w:val="000000" w:themeColor="text1"/>
          <w:szCs w:val="21"/>
        </w:rPr>
        <w:t>，</w:t>
      </w:r>
      <w:r w:rsidRPr="001F61B7">
        <w:rPr>
          <w:rStyle w:val="da"/>
          <w:rFonts w:asciiTheme="minorEastAsia" w:eastAsiaTheme="minorEastAsia" w:hAnsiTheme="minorEastAsia"/>
          <w:color w:val="000000" w:themeColor="text1"/>
        </w:rPr>
        <w:t>按季支付。</w:t>
      </w:r>
      <w:r w:rsidRPr="001F61B7">
        <w:rPr>
          <w:rFonts w:asciiTheme="minorEastAsia" w:eastAsiaTheme="minorEastAsia" w:hAnsiTheme="minorEastAsia"/>
          <w:color w:val="000000" w:themeColor="text1"/>
          <w:szCs w:val="21"/>
        </w:rPr>
        <w:t>由基金管理人向基金托管人发送指数使用费划款指令，</w:t>
      </w:r>
      <w:r w:rsidRPr="001F61B7">
        <w:rPr>
          <w:rStyle w:val="da"/>
          <w:rFonts w:asciiTheme="minorEastAsia" w:eastAsiaTheme="minorEastAsia" w:hAnsiTheme="minorEastAsia"/>
          <w:color w:val="000000" w:themeColor="text1"/>
        </w:rPr>
        <w:t>基金托管人复核后于次季前10个工作日内从基金财产中一次性支付给中证指数有限公司。</w:t>
      </w:r>
      <w:r w:rsidRPr="001F61B7" w:rsidR="005612DA">
        <w:rPr>
          <w:rStyle w:val="da"/>
          <w:rFonts w:asciiTheme="minorEastAsia" w:eastAsiaTheme="minorEastAsia" w:hAnsiTheme="minorEastAsia"/>
          <w:color w:val="000000" w:themeColor="text1"/>
        </w:rPr>
        <w:t>若遇法定节假日、休息日或不可抗力致使无法按时支付等，支付日期顺延。</w:t>
      </w:r>
    </w:p>
    <w:p w:rsidR="005612DA"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如果基金管理人和指数编制机构对指数许可使用费的计算方法、费率或支付方式等另有约定的，本基金从其最新约定。此项变更无需召开基金份额持有人大会审议，但基金管理人应及时在指定媒介予以公告。</w:t>
      </w:r>
    </w:p>
    <w:p w:rsidR="00B9271A"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上述“一、基金费用的种类”中第4－12项费用，根据有关法规及相应协议规定，按费用实际支出金额列入当期费用，由基金托管人从基金财产中支付。</w:t>
      </w:r>
    </w:p>
    <w:p w:rsidR="00B9271A"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（三）不列入基金费用的项目</w:t>
      </w:r>
    </w:p>
    <w:p w:rsidR="005612DA"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下列费用不列入基金费用：</w:t>
      </w:r>
    </w:p>
    <w:p w:rsidR="005612DA"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1、基金管理人和基金托管人因未履行或未完全履行义务导致的费用支出或基金财产的</w:t>
      </w:r>
      <w:r w:rsidRPr="001F61B7">
        <w:rPr>
          <w:rStyle w:val="da"/>
          <w:rFonts w:asciiTheme="minorEastAsia" w:eastAsiaTheme="minorEastAsia" w:hAnsiTheme="minorEastAsia"/>
          <w:color w:val="000000" w:themeColor="text1"/>
        </w:rPr>
        <w:t>损失；</w:t>
      </w:r>
    </w:p>
    <w:p w:rsidR="005612DA"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2、基金管理人和基金托管人处理与基金运作无关的事项发生的费用；</w:t>
      </w:r>
    </w:p>
    <w:p w:rsidR="005612DA"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3、《基金合同》生效前的相关费用；</w:t>
      </w:r>
    </w:p>
    <w:p w:rsidR="005612DA"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4、其他根据相关法律法规及中国证监会的有关规定不得列入基金费用的项目。</w:t>
      </w:r>
    </w:p>
    <w:p w:rsidR="00B9271A"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color w:val="000000" w:themeColor="text1"/>
        </w:rPr>
        <w:t>（四）基金税收</w:t>
      </w:r>
    </w:p>
    <w:p w:rsidR="005612DA" w:rsidRPr="001F61B7" w:rsidP="00C42A18">
      <w:pPr>
        <w:tabs>
          <w:tab w:val="left" w:pos="3544"/>
        </w:tabs>
        <w:spacing w:line="360" w:lineRule="auto"/>
        <w:ind w:firstLine="420" w:firstLineChars="200"/>
        <w:rPr>
          <w:rStyle w:val="da"/>
          <w:rFonts w:asciiTheme="minorEastAsia" w:eastAsiaTheme="minorEastAsia" w:hAnsiTheme="minorEastAsia"/>
          <w:color w:val="000000" w:themeColor="text1"/>
        </w:rPr>
      </w:pPr>
      <w:r w:rsidRPr="001F61B7">
        <w:rPr>
          <w:rStyle w:val="da"/>
          <w:rFonts w:asciiTheme="minorEastAsia" w:eastAsiaTheme="minorEastAsia" w:hAnsiTheme="minorEastAsia" w:hint="eastAsia"/>
          <w:color w:val="000000" w:themeColor="text1"/>
        </w:rPr>
        <w:t>本基金运作过程中涉及的各纳税主体，基金财产投资的相关税收，由基金份额持有人承担，基金管理人或者其他扣缴义务人按照国家有关税收征收的规定代扣代缴，本基金支付给管理人、托管人的各项费用均为含税价格，具体税率适用中国税务主管机关的规定。</w:t>
      </w:r>
    </w:p>
    <w:bookmarkEnd w:id="56"/>
    <w:p w:rsidR="00BA4B87" w:rsidRPr="001F61B7" w:rsidP="00C42A18">
      <w:pPr>
        <w:pStyle w:val="Heading1"/>
        <w:tabs>
          <w:tab w:val="left" w:pos="3544"/>
        </w:tabs>
        <w:spacing w:before="317" w:after="317" w:line="360" w:lineRule="auto"/>
        <w:ind w:firstLine="420"/>
        <w:rPr>
          <w:rFonts w:asciiTheme="minorEastAsia" w:eastAsiaTheme="minorEastAsia" w:hAnsiTheme="minorEastAsia"/>
          <w:bCs/>
          <w:color w:val="000000" w:themeColor="text1"/>
        </w:rPr>
      </w:pPr>
      <w:r w:rsidRPr="001F61B7">
        <w:rPr>
          <w:rFonts w:asciiTheme="minorEastAsia" w:eastAsiaTheme="minorEastAsia" w:hAnsiTheme="minorEastAsia"/>
          <w:color w:val="000000" w:themeColor="text1"/>
          <w:sz w:val="21"/>
          <w:szCs w:val="21"/>
        </w:rPr>
        <w:br w:type="page"/>
      </w:r>
      <w:bookmarkStart w:id="57" w:name="_Toc80796281"/>
      <w:r w:rsidRPr="001F61B7">
        <w:rPr>
          <w:rFonts w:asciiTheme="minorEastAsia" w:eastAsiaTheme="minorEastAsia" w:hAnsiTheme="minorEastAsia"/>
          <w:color w:val="000000" w:themeColor="text1"/>
          <w:sz w:val="30"/>
        </w:rPr>
        <w:t>十</w:t>
      </w:r>
      <w:bookmarkStart w:id="58" w:name="_Toc332373566"/>
      <w:r w:rsidRPr="001F61B7" w:rsidR="006174FD">
        <w:rPr>
          <w:rFonts w:asciiTheme="minorEastAsia" w:eastAsiaTheme="minorEastAsia" w:hAnsiTheme="minorEastAsia"/>
          <w:color w:val="000000" w:themeColor="text1"/>
          <w:sz w:val="30"/>
        </w:rPr>
        <w:t>七</w:t>
      </w:r>
      <w:r w:rsidRPr="001F61B7">
        <w:rPr>
          <w:rFonts w:asciiTheme="minorEastAsia" w:eastAsiaTheme="minorEastAsia" w:hAnsiTheme="minorEastAsia"/>
          <w:color w:val="000000" w:themeColor="text1"/>
          <w:sz w:val="30"/>
        </w:rPr>
        <w:t>、基金的会计与审计</w:t>
      </w:r>
      <w:bookmarkEnd w:id="57"/>
    </w:p>
    <w:bookmarkEnd w:id="58"/>
    <w:p w:rsidR="00EE7B85"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（一）基金会计政策</w:t>
      </w:r>
    </w:p>
    <w:p w:rsidR="00A94ACD"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1、基金管理人为本基金的基金会计责任方；</w:t>
      </w:r>
    </w:p>
    <w:p w:rsidR="00A94ACD"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2、基金的会计年度为公历年度的1月1日至12月31日；基金首次募集的会计年度按如下原则：如果《基金合同》生效少于2个月，可以并入下一个会计年度；</w:t>
      </w:r>
    </w:p>
    <w:p w:rsidR="00A94ACD"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3、基金核算以人民币为记账本位币，以人民币元为记账单位；</w:t>
      </w:r>
    </w:p>
    <w:p w:rsidR="00A94ACD"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4、会计制度执行国家有关会计制度；</w:t>
      </w:r>
    </w:p>
    <w:p w:rsidR="00A94ACD"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5、本基金独立建账、独立核算；</w:t>
      </w:r>
    </w:p>
    <w:p w:rsidR="00A94ACD"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6、基金管理人及基金托管人各自保留完整的会计账目、凭证并进行日常的会计核算，按照有关规定编制基金会计报表；</w:t>
      </w:r>
    </w:p>
    <w:p w:rsidR="00EE7B85"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7、基金托管人每月与基金管理人就基金的会计核算、报表编制等进行核对确认。</w:t>
      </w:r>
    </w:p>
    <w:p w:rsidR="00EE7B85"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（二）基金的年度审计</w:t>
      </w:r>
    </w:p>
    <w:p w:rsidR="00A94ACD"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1、基金管理人聘请与基金管理人、基金托管人相互独立的具有证券</w:t>
      </w:r>
      <w:r w:rsidRPr="001F61B7" w:rsidR="00157560">
        <w:rPr>
          <w:rFonts w:asciiTheme="minorEastAsia" w:eastAsiaTheme="minorEastAsia" w:hAnsiTheme="minorEastAsia"/>
          <w:color w:val="000000" w:themeColor="text1"/>
          <w:szCs w:val="21"/>
        </w:rPr>
        <w:t>、期货相关业务</w:t>
      </w:r>
      <w:r w:rsidRPr="001F61B7">
        <w:rPr>
          <w:rFonts w:asciiTheme="minorEastAsia" w:eastAsiaTheme="minorEastAsia" w:hAnsiTheme="minorEastAsia"/>
          <w:color w:val="000000" w:themeColor="text1"/>
          <w:szCs w:val="21"/>
        </w:rPr>
        <w:t>资格的会计师事务所及其注册会计师对本基金的年度财务报表进行审计。</w:t>
      </w:r>
    </w:p>
    <w:p w:rsidR="00A94ACD"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2、会计师事务所更换经办注册会计师，应事先征得基金管理人同意。</w:t>
      </w:r>
    </w:p>
    <w:p w:rsidR="00BA4B87" w:rsidRPr="001F61B7" w:rsidP="00C42A18">
      <w:pPr>
        <w:tabs>
          <w:tab w:val="left" w:pos="3544"/>
        </w:tabs>
        <w:spacing w:line="360" w:lineRule="auto"/>
        <w:ind w:firstLine="420" w:firstLineChars="200"/>
        <w:rPr>
          <w:rFonts w:asciiTheme="minorEastAsia" w:eastAsiaTheme="minorEastAsia" w:hAnsiTheme="minorEastAsia"/>
          <w:color w:val="000000" w:themeColor="text1"/>
        </w:rPr>
      </w:pPr>
      <w:r w:rsidRPr="001F61B7">
        <w:rPr>
          <w:rFonts w:asciiTheme="minorEastAsia" w:eastAsiaTheme="minorEastAsia" w:hAnsiTheme="minorEastAsia"/>
          <w:color w:val="000000" w:themeColor="text1"/>
          <w:szCs w:val="21"/>
        </w:rPr>
        <w:t>3、基金管理人认为有充足理由更换会计师事务所，须通报基金托管人。更换会计师事务所需在2日内在指定媒介公告。</w:t>
      </w:r>
    </w:p>
    <w:p w:rsidR="00BA4B87" w:rsidRPr="001F61B7" w:rsidP="00C42A18">
      <w:pPr>
        <w:pStyle w:val="Heading1"/>
        <w:tabs>
          <w:tab w:val="left" w:pos="3544"/>
        </w:tabs>
        <w:spacing w:before="317" w:after="317" w:line="360" w:lineRule="auto"/>
        <w:ind w:firstLine="600"/>
        <w:rPr>
          <w:rFonts w:asciiTheme="minorEastAsia" w:eastAsiaTheme="minorEastAsia" w:hAnsiTheme="minorEastAsia"/>
          <w:color w:val="000000" w:themeColor="text1"/>
        </w:rPr>
      </w:pPr>
      <w:r w:rsidRPr="001F61B7">
        <w:rPr>
          <w:rFonts w:asciiTheme="minorEastAsia" w:eastAsiaTheme="minorEastAsia" w:hAnsiTheme="minorEastAsia"/>
          <w:color w:val="000000" w:themeColor="text1"/>
          <w:sz w:val="30"/>
        </w:rPr>
        <w:br w:type="column"/>
      </w:r>
      <w:bookmarkStart w:id="59" w:name="_Toc80796282"/>
      <w:r w:rsidRPr="001F61B7">
        <w:rPr>
          <w:rFonts w:asciiTheme="minorEastAsia" w:eastAsiaTheme="minorEastAsia" w:hAnsiTheme="minorEastAsia"/>
          <w:color w:val="000000" w:themeColor="text1"/>
          <w:sz w:val="30"/>
        </w:rPr>
        <w:t>十</w:t>
      </w:r>
      <w:bookmarkStart w:id="60" w:name="_Toc332373569"/>
      <w:r w:rsidRPr="001F61B7" w:rsidR="006174FD">
        <w:rPr>
          <w:rFonts w:asciiTheme="minorEastAsia" w:eastAsiaTheme="minorEastAsia" w:hAnsiTheme="minorEastAsia"/>
          <w:color w:val="000000" w:themeColor="text1"/>
          <w:sz w:val="30"/>
        </w:rPr>
        <w:t>八</w:t>
      </w:r>
      <w:r w:rsidRPr="001F61B7">
        <w:rPr>
          <w:rFonts w:asciiTheme="minorEastAsia" w:eastAsiaTheme="minorEastAsia" w:hAnsiTheme="minorEastAsia"/>
          <w:color w:val="000000" w:themeColor="text1"/>
          <w:sz w:val="30"/>
        </w:rPr>
        <w:t>、基金的信息披露</w:t>
      </w:r>
      <w:bookmarkEnd w:id="59"/>
    </w:p>
    <w:bookmarkEnd w:id="60"/>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（一）</w:t>
      </w:r>
      <w:r w:rsidRPr="001F61B7" w:rsidR="00D42BC7">
        <w:rPr>
          <w:rFonts w:asciiTheme="minorEastAsia" w:eastAsiaTheme="minorEastAsia" w:hAnsiTheme="minorEastAsia"/>
          <w:color w:val="000000" w:themeColor="text1"/>
          <w:szCs w:val="21"/>
        </w:rPr>
        <w:t>本基金的信息披露应符合《基金法》、《运作办法》、《信息披露办法》、《流动性风险管理规定》、《基金合同》及其他有关规定。相关法律法规关于信息披露的披露方式、登载媒介、报备方式等规定发生变化时，本基金从其最新规定。</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（二）信息披露义务人</w:t>
      </w:r>
    </w:p>
    <w:p w:rsidR="00D42BC7"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本基金信息披露义务人包括基金管理人、基金托管人、召集基金份额持有人大会的基金份额持有人等法律、行政法规和中国证监会规定的自然人、法人和非法人组织。</w:t>
      </w:r>
    </w:p>
    <w:p w:rsidR="00D42BC7"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本基金信息披露义务人以保护基金份额持有人利益为根本出发点，按照法律法规和中国证监会的规定披露基金信息，并保证所披露信息的真实性、准确性、完整性、及时性、简明性和易得性。</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本基金信息披露义务人应当在中国证监会规定时间内，将应予披露的基金信息通过中国证监会指定的媒介披露，并保证基金投资者能够按照《基金合同》约定的时间和方式查阅或者复制公开披露的信息资料。</w:t>
      </w:r>
    </w:p>
    <w:p w:rsidR="009A741A"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（三）本基金信息披露义务人承诺公开披露的基金信息，不得有下列行为：</w:t>
      </w:r>
    </w:p>
    <w:p w:rsidR="00D42BC7"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1、虚假记载、误导性陈述或者重大遗漏；</w:t>
      </w:r>
    </w:p>
    <w:p w:rsidR="00D42BC7"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2、对证券投资业绩进行预测；</w:t>
      </w:r>
    </w:p>
    <w:p w:rsidR="00D42BC7"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3、违规承诺收益或者承担损失；</w:t>
      </w:r>
    </w:p>
    <w:p w:rsidR="00D42BC7"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4、诋毁其他基金管理人、基金托管人或者基金销售机构；</w:t>
      </w:r>
    </w:p>
    <w:p w:rsidR="00D42BC7"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5、登载任何自然人、法人和非法人组织的祝贺性、恭维性或推荐性的文字；</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6、法律法规、行政法规和中国证监会禁止的其他行为。</w:t>
      </w:r>
    </w:p>
    <w:p w:rsidR="00D42BC7"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（四）本基金公开披露的信息应采用中文文本。如同时采用外文文本的，基金信息披露义务人应保证不同文本的内容一致。不同文本之间发生歧义的，以中文文本为准。</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本基金公开披露的信息采用阿拉伯数字；除特别说明外，货币单位为人民币元。</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（五）公开披露的基金信息</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公开披露的基金信息包括：</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1、基金招募说明书、《基金合同》、基金托管协议</w:t>
      </w:r>
      <w:r w:rsidRPr="001F61B7" w:rsidR="00D42BC7">
        <w:rPr>
          <w:rFonts w:asciiTheme="minorEastAsia" w:eastAsiaTheme="minorEastAsia" w:hAnsiTheme="minorEastAsia"/>
          <w:color w:val="000000" w:themeColor="text1"/>
          <w:szCs w:val="21"/>
        </w:rPr>
        <w:t>、基金产品资料概要</w:t>
      </w:r>
    </w:p>
    <w:p w:rsidR="00D42BC7"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（1）《基金合同》是界定《基金合同》当事人的各项权利、义务关系，明确基金份额持</w:t>
      </w:r>
      <w:r w:rsidRPr="001F61B7">
        <w:rPr>
          <w:rFonts w:asciiTheme="minorEastAsia" w:eastAsiaTheme="minorEastAsia" w:hAnsiTheme="minorEastAsia"/>
          <w:color w:val="000000" w:themeColor="text1"/>
          <w:szCs w:val="21"/>
        </w:rPr>
        <w:t>有人大会召开的规则及具体程序，说明基金产品的特性等涉及基金投资者重大利益的事项的法律文件。</w:t>
      </w:r>
    </w:p>
    <w:p w:rsidR="00D42BC7"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D42BC7"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（3）基金托管协议是界定基金托管人和基金管理人在基金财产保管及基金运作监督等活动中的权利、义务关系的法律文件。</w:t>
      </w:r>
    </w:p>
    <w:p w:rsidR="00D42BC7"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基金募集申请经中国证监会注册后，基金管理人应当在基金份额发售的三日前，将基金份额发售公告、基金招募说明书提示性公告和基金合同提示性公告登载在指定报刊上，将基金份额发售公告、基金招募说明书、基金产品资料概要、《基金合同》和基金托管协议登载在指定网站上，并将基金产品资料概要登载在基金销售机构网站或营业网点；基金托管人应当同时将基金合同、基金托管协议登载在网站上。</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2、</w:t>
      </w:r>
      <w:r w:rsidRPr="001F61B7" w:rsidR="00EE7B85">
        <w:rPr>
          <w:rFonts w:asciiTheme="minorEastAsia" w:eastAsiaTheme="minorEastAsia" w:hAnsiTheme="minorEastAsia"/>
          <w:color w:val="000000" w:themeColor="text1"/>
          <w:szCs w:val="21"/>
        </w:rPr>
        <w:t>基金份额发售公告</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基金管理人应当就基金份额发售的具体事宜编制基金份额发售公告，并在披露招募说明书的当日登载于指定媒介上。</w:t>
      </w:r>
    </w:p>
    <w:p w:rsidR="00EE7B85"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3、《基金合同》生效公告</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基金管理人应当在收到中国证监会确认文件的次日在指定媒介上登载《基金合同》生效公告。</w:t>
      </w:r>
    </w:p>
    <w:p w:rsidR="00EE7B85"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4、基金份额折算日公告、基金份额折算结果公告</w:t>
      </w:r>
    </w:p>
    <w:p w:rsidR="00A94ACD"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基金管理人确定基金份额折算日，并提前将基金份额折算日公告登载于指定媒介上。</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基金份额进行折算并由登记结算机构完成基金份额的变更登记后，基金管理人将基金份</w:t>
      </w:r>
      <w:r w:rsidRPr="001F61B7">
        <w:rPr>
          <w:rFonts w:asciiTheme="minorEastAsia" w:eastAsiaTheme="minorEastAsia" w:hAnsiTheme="minorEastAsia"/>
          <w:color w:val="000000" w:themeColor="text1"/>
          <w:szCs w:val="21"/>
        </w:rPr>
        <w:t>额折算结果公告登载于指定媒介上。</w:t>
      </w:r>
    </w:p>
    <w:p w:rsidR="00EE7B85"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5、基金份额上市交易公告书</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基金份额获准在证券交易所上市交易的，基金管理人应当在基金份额上市交易的三个工作日前，将基金份额上市交易公告书登载在指定网站上，并将上市交易公告书提示性公告登载在指定报刊上</w:t>
      </w:r>
      <w:r w:rsidRPr="001F61B7" w:rsidR="00A94ACD">
        <w:rPr>
          <w:rFonts w:asciiTheme="minorEastAsia" w:eastAsiaTheme="minorEastAsia" w:hAnsiTheme="minorEastAsia"/>
          <w:color w:val="000000" w:themeColor="text1"/>
          <w:szCs w:val="21"/>
        </w:rPr>
        <w:t>。</w:t>
      </w:r>
    </w:p>
    <w:p w:rsidR="00D42BC7"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6、基金净值信息</w:t>
      </w:r>
    </w:p>
    <w:p w:rsidR="00D42BC7"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《基金合同》生效后，在开始办理基金份额申购或者赎回前，基金管理人应当至少每周在指定网站披露一次基金份额净值和基金份额累计净值。</w:t>
      </w:r>
    </w:p>
    <w:p w:rsidR="00D42BC7"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在开始办理基金份额申购或者赎回后，基金管理人应当在不晚于每个开放日的次日，通过指定网站、基金销售机构网站或者营业网点披露开放日的基金份额净值和基金份额累计净值。</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基金管理人应当在不晚于半年度和年度最后一日的次日，在指定网站披露半年度和年度最后一日的基金份额净值和基金份额累计净值。</w:t>
      </w:r>
    </w:p>
    <w:p w:rsidR="00EE7B85"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7、基金份额申购、赎回对价</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基金管理人应当在《基金合同》、招募说明书等信息披露文件上载明基金份额申购、赎回对价的计算方式及有关申购、赎回费率，并保证投资者能够在基金销售机构网站或营业网点查阅或者复制前述信息资料</w:t>
      </w:r>
      <w:r w:rsidRPr="001F61B7" w:rsidR="00A94ACD">
        <w:rPr>
          <w:rFonts w:asciiTheme="minorEastAsia" w:eastAsiaTheme="minorEastAsia" w:hAnsiTheme="minorEastAsia"/>
          <w:color w:val="000000" w:themeColor="text1"/>
          <w:szCs w:val="21"/>
        </w:rPr>
        <w:t>。</w:t>
      </w:r>
    </w:p>
    <w:p w:rsidR="00EE7B85"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8、基金份额申购赎回清单公告</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在开始办理基金申购或者赎回之后，基金管理人应当在每个开放日，通过基金公司网站公告当日的申购赎回清单。</w:t>
      </w:r>
    </w:p>
    <w:p w:rsidR="00D42BC7"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9、基金定期报告，包括基金年度报告、基金中期报告和基金季度报告</w:t>
      </w:r>
    </w:p>
    <w:p w:rsidR="00D42BC7"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D42BC7"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基金管理人应当在上半年结束之日起两个月内，编制完成基金中期报告，将中期报告登载在指定网站上，并将中期报告提示性公告登载在指定报刊上。</w:t>
      </w:r>
    </w:p>
    <w:p w:rsidR="00D42BC7"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基金管理人应当在季度结束之日起15个工作日内，编制完成基金季度报告，将季度报告登载在指定网站上，并将季度报告提示性公告登载在指定报刊上。</w:t>
      </w:r>
    </w:p>
    <w:p w:rsidR="00D42BC7"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《基金合同》生效不足2个月的，基金管理人可以不编制当期季度报告、中期报告或者</w:t>
      </w:r>
      <w:r w:rsidRPr="001F61B7">
        <w:rPr>
          <w:rFonts w:asciiTheme="minorEastAsia" w:eastAsiaTheme="minorEastAsia" w:hAnsiTheme="minorEastAsia"/>
          <w:color w:val="000000" w:themeColor="text1"/>
          <w:szCs w:val="21"/>
        </w:rPr>
        <w:t>年度报告。</w:t>
      </w:r>
    </w:p>
    <w:p w:rsidR="00D42BC7"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B71FBC"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基金管理人应当在基金年度报告和中期报告中披露基金组合资产情况及其流动性风险分析等。</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hint="eastAsia"/>
          <w:color w:val="000000" w:themeColor="text1"/>
          <w:szCs w:val="21"/>
        </w:rPr>
        <w:t>法律法规或中国证监会另有规定的，从其规定。</w:t>
      </w:r>
    </w:p>
    <w:p w:rsidR="00EE7B85"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10、临时报告</w:t>
      </w:r>
    </w:p>
    <w:p w:rsidR="00D42BC7"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本基金发生重大事件，有关信息披露义务人应当在2日内编制临时报告书，并登载在指定报刊和指定网站上。</w:t>
      </w:r>
    </w:p>
    <w:p w:rsidR="00D42BC7"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前款所称重大事件，是指可能对基金份额持有人权益或者基金份额的价格产生重大影响的下列事件：</w:t>
      </w:r>
    </w:p>
    <w:p w:rsidR="00D42BC7"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（1）基金份额持有人大会的召开及决定的事项；</w:t>
      </w:r>
    </w:p>
    <w:p w:rsidR="00D42BC7"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（2）基金合同终止、基金清算；</w:t>
      </w:r>
    </w:p>
    <w:p w:rsidR="00D42BC7"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（3）转换基金运作方式、基金合并；</w:t>
      </w:r>
    </w:p>
    <w:p w:rsidR="00D42BC7"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（4）更换基金管理人、基金托管人、基金份额登记机构，基金改聘会计师事务所；</w:t>
      </w:r>
    </w:p>
    <w:p w:rsidR="00D42BC7"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（5）基金管理人委托基金服务机构代为办理基金的份额登记、核算、估值等事项，基金托管人委托基金服务机构代为办理基金的核算、估值、复核等事项；</w:t>
      </w:r>
    </w:p>
    <w:p w:rsidR="00D42BC7"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（6）基金管理人、基金托管人的法定名称、住所发生变更；</w:t>
      </w:r>
    </w:p>
    <w:p w:rsidR="00D42BC7"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（7）基金管理公司变更持有百分之五以上股权的股东、基金管理人的实际控制人变更；</w:t>
      </w:r>
    </w:p>
    <w:p w:rsidR="00D42BC7"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（8）基金募集期延长或提前结束募集；</w:t>
      </w:r>
    </w:p>
    <w:p w:rsidR="00D42BC7"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（9）基金管理人的高级管理人员、基金经理和基金托管人专门基金托管部门负责人发生变动；</w:t>
      </w:r>
    </w:p>
    <w:p w:rsidR="00D42BC7"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（10）基金管理人的董事在最近12个月内变更超过百分之五十，基金管理人、基金托管人专门基金托管部门的主要业务人员在最近12个月内变动超过百分之三十；</w:t>
      </w:r>
    </w:p>
    <w:p w:rsidR="00D42BC7"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（11）涉及基金财产、基金管理业务、基金托管业务的诉讼或仲裁；</w:t>
      </w:r>
    </w:p>
    <w:p w:rsidR="00D42BC7"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（12）基金管理人或其高级管理人员、基金经理因基金管理业务相关行为受到重大行政处罚、刑事处罚，基金托管人或其专门基金托管部门负责人因基金托管业务相关行为受到重</w:t>
      </w:r>
      <w:r w:rsidRPr="001F61B7">
        <w:rPr>
          <w:rFonts w:asciiTheme="minorEastAsia" w:eastAsiaTheme="minorEastAsia" w:hAnsiTheme="minorEastAsia"/>
          <w:color w:val="000000" w:themeColor="text1"/>
          <w:szCs w:val="21"/>
        </w:rPr>
        <w:t>大行政处罚、刑事处罚；</w:t>
      </w:r>
    </w:p>
    <w:p w:rsidR="00D42BC7"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13）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D42BC7"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（14）基金收益分配事项；</w:t>
      </w:r>
    </w:p>
    <w:p w:rsidR="00D42BC7"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（15）管理费、托管费、申购费、赎回费等费用计提标准、计提方式和费率发生变更；</w:t>
      </w:r>
    </w:p>
    <w:p w:rsidR="00D42BC7"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（16）基金份额净值计价错误达基金份额净值百分之零点五；</w:t>
      </w:r>
    </w:p>
    <w:p w:rsidR="00D42BC7"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（17）本基金开始办理申购、赎回；</w:t>
      </w:r>
    </w:p>
    <w:p w:rsidR="00D42BC7"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（18）本基金暂停接受申购、赎回申请或重新接受申购、赎回申请；</w:t>
      </w:r>
    </w:p>
    <w:p w:rsidR="00D42BC7"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（19）基金变更标的指数；</w:t>
      </w:r>
    </w:p>
    <w:p w:rsidR="00D42BC7"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（20）基金份额停牌、复牌、暂停上市、恢复上市或终止上市交易；</w:t>
      </w:r>
    </w:p>
    <w:p w:rsidR="00D42BC7"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（21）调整最小申购赎回单位、申购赎回方式及申购对价、赎回对价组成；</w:t>
      </w:r>
    </w:p>
    <w:p w:rsidR="00D42BC7"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（22）调整基金份额类别的设置；</w:t>
      </w:r>
    </w:p>
    <w:p w:rsidR="00D42BC7"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（23）基金推出新业务或服务；</w:t>
      </w:r>
    </w:p>
    <w:p w:rsidR="00D42BC7"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（24）《基金合同》生效后，若连续30个工作日、40个工作日、45个工作日出现基金份额持有人数量不满200人或者基金资产净值低于5000万元情形的；</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（25）基金信息披露义务人认为可能对基金份额持有人权益或者基金份额的价格产生重大影响的其他事项或中国证监会规定的其他事项。</w:t>
      </w:r>
    </w:p>
    <w:p w:rsidR="00EE7B85"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11、澄清公告</w:t>
      </w:r>
    </w:p>
    <w:p w:rsidR="00D42BC7"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在基金合同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基金上市交易的证券交易所</w:t>
      </w:r>
      <w:r w:rsidRPr="001F61B7" w:rsidR="00A94ACD">
        <w:rPr>
          <w:rFonts w:asciiTheme="minorEastAsia" w:eastAsiaTheme="minorEastAsia" w:hAnsiTheme="minorEastAsia"/>
          <w:color w:val="000000" w:themeColor="text1"/>
          <w:szCs w:val="21"/>
        </w:rPr>
        <w:t>。</w:t>
      </w:r>
    </w:p>
    <w:p w:rsidR="00D42BC7"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12、清算报告</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基金合同终止的，基金管理人应当依法组织基金财产清算小组对基金财产进行清算并作出清算报告。基金财产清算小组应当将清算报告登载在指定网站上，并将清算报告提示性公告登载在指定报刊上。</w:t>
      </w:r>
    </w:p>
    <w:p w:rsidR="00EE7B85"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1</w:t>
      </w:r>
      <w:r w:rsidRPr="001F61B7" w:rsidR="00D42BC7">
        <w:rPr>
          <w:rFonts w:asciiTheme="minorEastAsia" w:eastAsiaTheme="minorEastAsia" w:hAnsiTheme="minorEastAsia"/>
          <w:color w:val="000000" w:themeColor="text1"/>
          <w:szCs w:val="21"/>
        </w:rPr>
        <w:t>3</w:t>
      </w:r>
      <w:r w:rsidRPr="001F61B7">
        <w:rPr>
          <w:rFonts w:asciiTheme="minorEastAsia" w:eastAsiaTheme="minorEastAsia" w:hAnsiTheme="minorEastAsia"/>
          <w:color w:val="000000" w:themeColor="text1"/>
          <w:szCs w:val="21"/>
        </w:rPr>
        <w:t>、基金份额持有人大会决议</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基金份额持有人大会决定的事项，应当依法报中国证监会备案，并予以公告。</w:t>
      </w:r>
    </w:p>
    <w:p w:rsidR="00EE7B85"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1</w:t>
      </w:r>
      <w:r w:rsidRPr="001F61B7" w:rsidR="00D42BC7">
        <w:rPr>
          <w:rFonts w:asciiTheme="minorEastAsia" w:eastAsiaTheme="minorEastAsia" w:hAnsiTheme="minorEastAsia"/>
          <w:color w:val="000000" w:themeColor="text1"/>
          <w:szCs w:val="21"/>
        </w:rPr>
        <w:t>4</w:t>
      </w:r>
      <w:r w:rsidRPr="001F61B7">
        <w:rPr>
          <w:rFonts w:asciiTheme="minorEastAsia" w:eastAsiaTheme="minorEastAsia" w:hAnsiTheme="minorEastAsia"/>
          <w:color w:val="000000" w:themeColor="text1"/>
          <w:szCs w:val="21"/>
        </w:rPr>
        <w:t>、中国证监会规定的其他信息</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若本基金投资股指期货、股票期权、资产支持证券、参与融资及转融通证券出借业务，基金管理人将按相关法律法规要求进行披露</w:t>
      </w:r>
      <w:r w:rsidRPr="001F61B7" w:rsidR="00A94ACD">
        <w:rPr>
          <w:rFonts w:asciiTheme="minorEastAsia" w:eastAsiaTheme="minorEastAsia" w:hAnsiTheme="minorEastAsia"/>
          <w:color w:val="000000" w:themeColor="text1"/>
          <w:szCs w:val="21"/>
        </w:rPr>
        <w:t>。</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（六）信息披露事务管理</w:t>
      </w:r>
    </w:p>
    <w:p w:rsidR="00D42BC7"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基金管理人、基金托管人应当建立健全信息披露管理制度，指定专门部门及高级管理人员负责管理信息披露事务。</w:t>
      </w:r>
    </w:p>
    <w:p w:rsidR="00D42BC7"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基金信息披露义务人公开披露基金信息，应当符合中国证监会相关基金信息披露内容与格式准则等法规的规定。</w:t>
      </w:r>
    </w:p>
    <w:p w:rsidR="00D42BC7"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基金托管人应当按照相关法律法规、中国证监会的规定和《基金合同》的约定，对基金管理人编制的基金资产净值、基金份额净值、</w:t>
      </w:r>
      <w:r w:rsidRPr="001F61B7" w:rsidR="00DE0D5E">
        <w:rPr>
          <w:rFonts w:asciiTheme="minorEastAsia" w:eastAsiaTheme="minorEastAsia" w:hAnsiTheme="minorEastAsia" w:hint="eastAsia"/>
          <w:color w:val="000000" w:themeColor="text1"/>
          <w:szCs w:val="21"/>
        </w:rPr>
        <w:t>基金份额申购赎回价格、</w:t>
      </w:r>
      <w:r w:rsidRPr="001F61B7">
        <w:rPr>
          <w:rFonts w:asciiTheme="minorEastAsia" w:eastAsiaTheme="minorEastAsia" w:hAnsiTheme="minorEastAsia"/>
          <w:color w:val="000000" w:themeColor="text1"/>
          <w:szCs w:val="21"/>
        </w:rPr>
        <w:t>基金定期报告、更新的招募说明书、基金产品资料概要、基金清算报告等公开披露的相关基金信息进行复核、审查，并向基金管理人进行书面或电子确认。</w:t>
      </w:r>
    </w:p>
    <w:p w:rsidR="00D42BC7"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基金管理人、基金托管人应当在指定报刊中选择一家报刊披露本基金信息。基金管理人、基金托管人应当向中国证监会基金电子披露网站报送拟披露的基金信息，并保证相关报送信息的真实、准确、完整、及时。</w:t>
      </w:r>
    </w:p>
    <w:p w:rsidR="00D42BC7"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rsidR="00DC2FC0"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hint="eastAsia"/>
          <w:color w:val="000000" w:themeColor="text1"/>
          <w:szCs w:val="21"/>
        </w:rPr>
        <w:t>为基金信息披露义务人公开披露的基金信息出具审计报告、法律意见书的专业机构，应当制作工作底稿，并将相关档案至少保存到基金合同终止后10年。</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（七）信息披露文件的存放与查阅</w:t>
      </w:r>
    </w:p>
    <w:p w:rsidR="0099591E"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依法必须披露的信息发布后，基金管理人、基金托管人应当按照相关法律法规规定将信息置备于公司办公场所、基金上市交易的证券交易所，供社会公众查阅、复制。</w:t>
      </w:r>
    </w:p>
    <w:p w:rsidR="00BA4B87" w:rsidRPr="001F61B7" w:rsidP="00C42A18">
      <w:pPr>
        <w:pStyle w:val="Heading1"/>
        <w:tabs>
          <w:tab w:val="left" w:pos="3544"/>
        </w:tabs>
        <w:spacing w:before="317" w:after="317" w:line="360" w:lineRule="auto"/>
        <w:ind w:firstLine="600"/>
        <w:rPr>
          <w:rFonts w:asciiTheme="minorEastAsia" w:eastAsiaTheme="minorEastAsia" w:hAnsiTheme="minorEastAsia"/>
          <w:color w:val="000000" w:themeColor="text1"/>
        </w:rPr>
      </w:pPr>
      <w:r w:rsidRPr="001F61B7">
        <w:rPr>
          <w:rFonts w:asciiTheme="minorEastAsia" w:eastAsiaTheme="minorEastAsia" w:hAnsiTheme="minorEastAsia"/>
          <w:color w:val="000000" w:themeColor="text1"/>
          <w:sz w:val="30"/>
        </w:rPr>
        <w:br w:type="column"/>
      </w:r>
      <w:bookmarkStart w:id="61" w:name="_Toc80796283"/>
      <w:r w:rsidRPr="001F61B7">
        <w:rPr>
          <w:rFonts w:asciiTheme="minorEastAsia" w:eastAsiaTheme="minorEastAsia" w:hAnsiTheme="minorEastAsia"/>
          <w:color w:val="000000" w:themeColor="text1"/>
          <w:sz w:val="30"/>
        </w:rPr>
        <w:t>十</w:t>
      </w:r>
      <w:bookmarkStart w:id="62" w:name="_Toc332373573"/>
      <w:r w:rsidRPr="001F61B7" w:rsidR="006174FD">
        <w:rPr>
          <w:rFonts w:asciiTheme="minorEastAsia" w:eastAsiaTheme="minorEastAsia" w:hAnsiTheme="minorEastAsia"/>
          <w:color w:val="000000" w:themeColor="text1"/>
          <w:sz w:val="30"/>
        </w:rPr>
        <w:t>九</w:t>
      </w:r>
      <w:r w:rsidRPr="001F61B7">
        <w:rPr>
          <w:rFonts w:asciiTheme="minorEastAsia" w:eastAsiaTheme="minorEastAsia" w:hAnsiTheme="minorEastAsia"/>
          <w:color w:val="000000" w:themeColor="text1"/>
          <w:sz w:val="30"/>
        </w:rPr>
        <w:t>、风险揭示</w:t>
      </w:r>
      <w:bookmarkEnd w:id="61"/>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spacing w:val="-2"/>
          <w:szCs w:val="21"/>
        </w:rPr>
      </w:pPr>
      <w:bookmarkStart w:id="63" w:name="_Toc332373574"/>
      <w:bookmarkEnd w:id="62"/>
      <w:r w:rsidRPr="001F61B7">
        <w:rPr>
          <w:rFonts w:asciiTheme="minorEastAsia" w:eastAsiaTheme="minorEastAsia" w:hAnsiTheme="minorEastAsia"/>
          <w:color w:val="000000" w:themeColor="text1"/>
          <w:spacing w:val="-2"/>
          <w:szCs w:val="21"/>
        </w:rPr>
        <w:t>（一）本基金特有风险</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spacing w:val="-2"/>
          <w:szCs w:val="21"/>
        </w:rPr>
      </w:pPr>
      <w:r w:rsidRPr="001F61B7">
        <w:rPr>
          <w:rFonts w:asciiTheme="minorEastAsia" w:eastAsiaTheme="minorEastAsia" w:hAnsiTheme="minorEastAsia"/>
          <w:color w:val="000000" w:themeColor="text1"/>
          <w:spacing w:val="-2"/>
          <w:szCs w:val="21"/>
        </w:rPr>
        <w:t>1、指数化投资的风险</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spacing w:val="-2"/>
          <w:szCs w:val="21"/>
        </w:rPr>
      </w:pPr>
      <w:r w:rsidRPr="001F61B7">
        <w:rPr>
          <w:rFonts w:asciiTheme="minorEastAsia" w:eastAsiaTheme="minorEastAsia" w:hAnsiTheme="minorEastAsia"/>
          <w:color w:val="000000" w:themeColor="text1"/>
          <w:spacing w:val="-2"/>
          <w:szCs w:val="21"/>
        </w:rPr>
        <w:t>本基金投资标的指数成份股及备选成份股的资产不低于基金资产净值的90%，业绩表现将会随着标的指数的波动而波动；同时本基金在多数情况下将维持较高的股票仓位，在股票市场下跌的过程中，可能面临基金净值与标的指数同步下跌的风险。</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spacing w:val="-2"/>
          <w:szCs w:val="21"/>
        </w:rPr>
      </w:pPr>
      <w:r w:rsidRPr="001F61B7">
        <w:rPr>
          <w:rFonts w:asciiTheme="minorEastAsia" w:eastAsiaTheme="minorEastAsia" w:hAnsiTheme="minorEastAsia"/>
          <w:color w:val="000000" w:themeColor="text1"/>
          <w:spacing w:val="-2"/>
          <w:szCs w:val="21"/>
        </w:rPr>
        <w:t>2、标的指数的风险</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spacing w:val="-2"/>
          <w:szCs w:val="21"/>
        </w:rPr>
      </w:pPr>
      <w:r w:rsidRPr="001F61B7">
        <w:rPr>
          <w:rFonts w:asciiTheme="minorEastAsia" w:eastAsiaTheme="minorEastAsia" w:hAnsiTheme="minorEastAsia"/>
          <w:color w:val="000000" w:themeColor="text1"/>
          <w:spacing w:val="-2"/>
          <w:szCs w:val="21"/>
        </w:rPr>
        <w:t>（</w:t>
      </w:r>
      <w:r w:rsidRPr="001F61B7" w:rsidR="00F34F29">
        <w:rPr>
          <w:rFonts w:asciiTheme="minorEastAsia" w:eastAsiaTheme="minorEastAsia" w:hAnsiTheme="minorEastAsia"/>
          <w:color w:val="000000" w:themeColor="text1"/>
          <w:spacing w:val="-2"/>
          <w:szCs w:val="21"/>
        </w:rPr>
        <w:t>1</w:t>
      </w:r>
      <w:r w:rsidRPr="001F61B7">
        <w:rPr>
          <w:rFonts w:asciiTheme="minorEastAsia" w:eastAsiaTheme="minorEastAsia" w:hAnsiTheme="minorEastAsia"/>
          <w:color w:val="000000" w:themeColor="text1"/>
          <w:spacing w:val="-2"/>
          <w:szCs w:val="21"/>
        </w:rPr>
        <w:t>）标的指数回报与股票市场平均回报偏离的风险</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spacing w:val="-2"/>
          <w:szCs w:val="21"/>
        </w:rPr>
      </w:pPr>
      <w:r w:rsidRPr="001F61B7">
        <w:rPr>
          <w:rFonts w:asciiTheme="minorEastAsia" w:eastAsiaTheme="minorEastAsia" w:hAnsiTheme="minorEastAsia"/>
          <w:color w:val="000000" w:themeColor="text1"/>
          <w:spacing w:val="-2"/>
          <w:szCs w:val="21"/>
        </w:rPr>
        <w:t>标的指数并不能代表整个股票市场。标的指数成份股的平均回报率与整个股票市场的平均回报率可能存在偏离。</w:t>
      </w:r>
    </w:p>
    <w:p w:rsidR="00F10EFC" w:rsidRPr="001F61B7" w:rsidP="00C42A18">
      <w:pPr>
        <w:tabs>
          <w:tab w:val="left" w:pos="3544"/>
        </w:tabs>
        <w:spacing w:line="360" w:lineRule="auto"/>
        <w:ind w:firstLine="420" w:firstLineChars="200"/>
        <w:rPr>
          <w:rFonts w:asciiTheme="minorEastAsia" w:eastAsiaTheme="minorEastAsia" w:hAnsiTheme="minorEastAsia"/>
          <w:color w:val="000000" w:themeColor="text1"/>
          <w:spacing w:val="-2"/>
          <w:szCs w:val="21"/>
        </w:rPr>
      </w:pPr>
      <w:r w:rsidRPr="001F61B7">
        <w:rPr>
          <w:rFonts w:asciiTheme="minorEastAsia" w:eastAsiaTheme="minorEastAsia" w:hAnsiTheme="minorEastAsia" w:hint="eastAsia"/>
          <w:color w:val="000000" w:themeColor="text1"/>
          <w:spacing w:val="-2"/>
          <w:szCs w:val="21"/>
        </w:rPr>
        <w:t>（2）标的指数成份股行业集中风险</w:t>
      </w:r>
    </w:p>
    <w:p w:rsidR="00F10EFC" w:rsidRPr="001F61B7" w:rsidP="00C42A18">
      <w:pPr>
        <w:tabs>
          <w:tab w:val="left" w:pos="3544"/>
        </w:tabs>
        <w:spacing w:line="360" w:lineRule="auto"/>
        <w:ind w:firstLine="420" w:firstLineChars="200"/>
        <w:rPr>
          <w:rFonts w:asciiTheme="minorEastAsia" w:eastAsiaTheme="minorEastAsia" w:hAnsiTheme="minorEastAsia"/>
          <w:color w:val="000000" w:themeColor="text1"/>
          <w:spacing w:val="-2"/>
          <w:szCs w:val="21"/>
        </w:rPr>
      </w:pPr>
      <w:r w:rsidRPr="001F61B7">
        <w:rPr>
          <w:rFonts w:asciiTheme="minorEastAsia" w:eastAsiaTheme="minorEastAsia" w:hAnsiTheme="minorEastAsia"/>
          <w:color w:val="000000" w:themeColor="text1"/>
          <w:spacing w:val="-2"/>
          <w:szCs w:val="21"/>
        </w:rPr>
        <w:t>本基金标的指数成份股主要集中于</w:t>
      </w:r>
      <w:r w:rsidRPr="001F61B7" w:rsidR="002C5ABF">
        <w:rPr>
          <w:rFonts w:asciiTheme="minorEastAsia" w:eastAsiaTheme="minorEastAsia" w:hAnsiTheme="minorEastAsia" w:hint="eastAsia"/>
          <w:color w:val="000000" w:themeColor="text1"/>
          <w:spacing w:val="-2"/>
          <w:szCs w:val="21"/>
        </w:rPr>
        <w:t>科技</w:t>
      </w:r>
      <w:r w:rsidRPr="001F61B7">
        <w:rPr>
          <w:rFonts w:asciiTheme="minorEastAsia" w:eastAsiaTheme="minorEastAsia" w:hAnsiTheme="minorEastAsia"/>
          <w:color w:val="000000" w:themeColor="text1"/>
          <w:spacing w:val="-2"/>
          <w:szCs w:val="21"/>
        </w:rPr>
        <w:t>行业，须承受因政府政策变化、行业景气度变化等影响行业的因素所带来的行业风险。</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spacing w:val="-2"/>
          <w:szCs w:val="21"/>
        </w:rPr>
      </w:pPr>
      <w:r w:rsidRPr="001F61B7">
        <w:rPr>
          <w:rFonts w:asciiTheme="minorEastAsia" w:eastAsiaTheme="minorEastAsia" w:hAnsiTheme="minorEastAsia"/>
          <w:color w:val="000000" w:themeColor="text1"/>
          <w:spacing w:val="-2"/>
          <w:szCs w:val="21"/>
        </w:rPr>
        <w:t>（</w:t>
      </w:r>
      <w:r w:rsidRPr="001F61B7" w:rsidR="00F10EFC">
        <w:rPr>
          <w:rFonts w:asciiTheme="minorEastAsia" w:eastAsiaTheme="minorEastAsia" w:hAnsiTheme="minorEastAsia" w:hint="eastAsia"/>
          <w:color w:val="000000" w:themeColor="text1"/>
          <w:spacing w:val="-2"/>
          <w:szCs w:val="21"/>
        </w:rPr>
        <w:t>3</w:t>
      </w:r>
      <w:r w:rsidRPr="001F61B7">
        <w:rPr>
          <w:rFonts w:asciiTheme="minorEastAsia" w:eastAsiaTheme="minorEastAsia" w:hAnsiTheme="minorEastAsia"/>
          <w:color w:val="000000" w:themeColor="text1"/>
          <w:spacing w:val="-2"/>
          <w:szCs w:val="21"/>
        </w:rPr>
        <w:t>）标的指数波动的风险</w:t>
      </w:r>
    </w:p>
    <w:p w:rsidR="00FC5BB3" w:rsidRPr="001F61B7" w:rsidP="00C42A18">
      <w:pPr>
        <w:tabs>
          <w:tab w:val="left" w:pos="3544"/>
        </w:tabs>
        <w:spacing w:line="360" w:lineRule="auto"/>
        <w:ind w:firstLine="420" w:firstLineChars="200"/>
        <w:rPr>
          <w:rFonts w:asciiTheme="minorEastAsia" w:eastAsiaTheme="minorEastAsia" w:hAnsiTheme="minorEastAsia"/>
          <w:color w:val="000000" w:themeColor="text1"/>
          <w:spacing w:val="-2"/>
          <w:szCs w:val="21"/>
        </w:rPr>
      </w:pPr>
      <w:r w:rsidRPr="001F61B7">
        <w:rPr>
          <w:rFonts w:asciiTheme="minorEastAsia" w:eastAsiaTheme="minorEastAsia" w:hAnsiTheme="minorEastAsia"/>
          <w:color w:val="000000" w:themeColor="text1"/>
          <w:spacing w:val="-2"/>
          <w:szCs w:val="21"/>
        </w:rPr>
        <w:t>标的指数成份股的价格可能受到政治因素、经济因素、上市公司经营状况、投资人心理和交易制度等各种因素的影响而波动，导致指数波动，从而使基金收益水平发生变化，产生风险。</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spacing w:val="-2"/>
          <w:szCs w:val="21"/>
        </w:rPr>
      </w:pPr>
      <w:r w:rsidRPr="001F61B7">
        <w:rPr>
          <w:rFonts w:asciiTheme="minorEastAsia" w:eastAsiaTheme="minorEastAsia" w:hAnsiTheme="minorEastAsia"/>
          <w:color w:val="000000" w:themeColor="text1"/>
          <w:spacing w:val="-2"/>
          <w:szCs w:val="21"/>
        </w:rPr>
        <w:t>（</w:t>
      </w:r>
      <w:r w:rsidRPr="001F61B7" w:rsidR="00F10EFC">
        <w:rPr>
          <w:rFonts w:asciiTheme="minorEastAsia" w:eastAsiaTheme="minorEastAsia" w:hAnsiTheme="minorEastAsia" w:hint="eastAsia"/>
          <w:color w:val="000000" w:themeColor="text1"/>
          <w:spacing w:val="-2"/>
          <w:szCs w:val="21"/>
        </w:rPr>
        <w:t>4</w:t>
      </w:r>
      <w:r w:rsidRPr="001F61B7">
        <w:rPr>
          <w:rFonts w:asciiTheme="minorEastAsia" w:eastAsiaTheme="minorEastAsia" w:hAnsiTheme="minorEastAsia"/>
          <w:color w:val="000000" w:themeColor="text1"/>
          <w:spacing w:val="-2"/>
          <w:szCs w:val="21"/>
        </w:rPr>
        <w:t>）标的指数值计算出错的风险</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spacing w:val="-2"/>
          <w:szCs w:val="21"/>
        </w:rPr>
      </w:pPr>
      <w:r w:rsidRPr="001F61B7">
        <w:rPr>
          <w:rFonts w:asciiTheme="minorEastAsia" w:eastAsiaTheme="minorEastAsia" w:hAnsiTheme="minorEastAsia"/>
          <w:color w:val="000000" w:themeColor="text1"/>
          <w:spacing w:val="-2"/>
          <w:szCs w:val="21"/>
        </w:rPr>
        <w:t>尽管</w:t>
      </w:r>
      <w:r w:rsidRPr="001F61B7" w:rsidR="00F34F29">
        <w:rPr>
          <w:rFonts w:asciiTheme="minorEastAsia" w:eastAsiaTheme="minorEastAsia" w:hAnsiTheme="minorEastAsia"/>
          <w:color w:val="000000" w:themeColor="text1"/>
          <w:spacing w:val="-2"/>
          <w:szCs w:val="21"/>
        </w:rPr>
        <w:t>中证指数有限公司</w:t>
      </w:r>
      <w:r w:rsidRPr="001F61B7">
        <w:rPr>
          <w:rFonts w:asciiTheme="minorEastAsia" w:eastAsiaTheme="minorEastAsia" w:hAnsiTheme="minorEastAsia"/>
          <w:color w:val="000000" w:themeColor="text1"/>
          <w:spacing w:val="-2"/>
          <w:szCs w:val="21"/>
        </w:rPr>
        <w:t>将采取一切必要措施以确保指数的准确性，但不对此作任何保证，亦不因指数的任何错误对任何人负责。因此，如果标的指数值出现错误，投资人参考指数值进行投资决策，则可能导致损失。</w:t>
      </w:r>
    </w:p>
    <w:p w:rsidR="00AD26C7" w:rsidRPr="001F61B7" w:rsidP="00C42A18">
      <w:pPr>
        <w:tabs>
          <w:tab w:val="left" w:pos="3544"/>
        </w:tabs>
        <w:spacing w:line="360" w:lineRule="auto"/>
        <w:ind w:firstLine="420" w:firstLineChars="200"/>
        <w:rPr>
          <w:rFonts w:asciiTheme="minorEastAsia" w:eastAsiaTheme="minorEastAsia" w:hAnsiTheme="minorEastAsia"/>
          <w:color w:val="000000" w:themeColor="text1"/>
          <w:spacing w:val="-2"/>
          <w:szCs w:val="21"/>
        </w:rPr>
      </w:pPr>
      <w:r w:rsidRPr="001F61B7">
        <w:rPr>
          <w:rFonts w:asciiTheme="minorEastAsia" w:eastAsiaTheme="minorEastAsia" w:hAnsiTheme="minorEastAsia"/>
          <w:color w:val="000000" w:themeColor="text1"/>
          <w:spacing w:val="-2"/>
          <w:szCs w:val="21"/>
        </w:rPr>
        <w:t>（</w:t>
      </w:r>
      <w:r w:rsidRPr="001F61B7" w:rsidR="00F10EFC">
        <w:rPr>
          <w:rFonts w:asciiTheme="minorEastAsia" w:eastAsiaTheme="minorEastAsia" w:hAnsiTheme="minorEastAsia" w:hint="eastAsia"/>
          <w:color w:val="000000" w:themeColor="text1"/>
          <w:spacing w:val="-2"/>
          <w:szCs w:val="21"/>
        </w:rPr>
        <w:t>5</w:t>
      </w:r>
      <w:r w:rsidRPr="001F61B7">
        <w:rPr>
          <w:rFonts w:asciiTheme="minorEastAsia" w:eastAsiaTheme="minorEastAsia" w:hAnsiTheme="minorEastAsia"/>
          <w:color w:val="000000" w:themeColor="text1"/>
          <w:spacing w:val="-2"/>
          <w:szCs w:val="21"/>
        </w:rPr>
        <w:t>）标的指数编制方案带来的风险</w:t>
      </w:r>
    </w:p>
    <w:p w:rsidR="00AD26C7" w:rsidRPr="001F61B7" w:rsidP="00C42A18">
      <w:pPr>
        <w:tabs>
          <w:tab w:val="left" w:pos="3544"/>
        </w:tabs>
        <w:spacing w:line="360" w:lineRule="auto"/>
        <w:ind w:firstLine="420" w:firstLineChars="200"/>
        <w:rPr>
          <w:rFonts w:asciiTheme="minorEastAsia" w:eastAsiaTheme="minorEastAsia" w:hAnsiTheme="minorEastAsia"/>
          <w:color w:val="000000" w:themeColor="text1"/>
          <w:spacing w:val="-2"/>
          <w:szCs w:val="21"/>
        </w:rPr>
      </w:pPr>
      <w:r w:rsidRPr="001F61B7">
        <w:rPr>
          <w:rFonts w:asciiTheme="minorEastAsia" w:eastAsiaTheme="minorEastAsia" w:hAnsiTheme="minorEastAsia"/>
          <w:color w:val="000000" w:themeColor="text1"/>
          <w:spacing w:val="-2"/>
          <w:szCs w:val="21"/>
        </w:rPr>
        <w:t>标的指数因为编制方案的缺陷有可能导致标的指数的表现与总体市场表现存在差异，因标的指数编制方案的不成熟也可能导致指数调整较大，增加基金投资成本，并有可能因此增加跟踪误差，影响投资收益。</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spacing w:val="-2"/>
          <w:szCs w:val="21"/>
        </w:rPr>
      </w:pPr>
      <w:r w:rsidRPr="001F61B7">
        <w:rPr>
          <w:rFonts w:asciiTheme="minorEastAsia" w:eastAsiaTheme="minorEastAsia" w:hAnsiTheme="minorEastAsia"/>
          <w:color w:val="000000" w:themeColor="text1"/>
          <w:spacing w:val="-2"/>
          <w:szCs w:val="21"/>
        </w:rPr>
        <w:t>（</w:t>
      </w:r>
      <w:r w:rsidRPr="001F61B7" w:rsidR="00F10EFC">
        <w:rPr>
          <w:rFonts w:asciiTheme="minorEastAsia" w:eastAsiaTheme="minorEastAsia" w:hAnsiTheme="minorEastAsia" w:hint="eastAsia"/>
          <w:color w:val="000000" w:themeColor="text1"/>
          <w:spacing w:val="-2"/>
          <w:szCs w:val="21"/>
        </w:rPr>
        <w:t>6</w:t>
      </w:r>
      <w:r w:rsidRPr="001F61B7">
        <w:rPr>
          <w:rFonts w:asciiTheme="minorEastAsia" w:eastAsiaTheme="minorEastAsia" w:hAnsiTheme="minorEastAsia"/>
          <w:color w:val="000000" w:themeColor="text1"/>
          <w:spacing w:val="-2"/>
          <w:szCs w:val="21"/>
        </w:rPr>
        <w:t>）标的指数变更的风险</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spacing w:val="-2"/>
          <w:szCs w:val="21"/>
        </w:rPr>
      </w:pPr>
      <w:r w:rsidRPr="001F61B7">
        <w:rPr>
          <w:rFonts w:asciiTheme="minorEastAsia" w:eastAsiaTheme="minorEastAsia" w:hAnsiTheme="minorEastAsia"/>
          <w:color w:val="000000" w:themeColor="text1"/>
          <w:spacing w:val="-2"/>
          <w:szCs w:val="21"/>
        </w:rPr>
        <w:t>根据基金合同规定，如发生导致标的指数变更的情形，基金管理人可以依据维护投资者</w:t>
      </w:r>
      <w:r w:rsidRPr="001F61B7">
        <w:rPr>
          <w:rFonts w:asciiTheme="minorEastAsia" w:eastAsiaTheme="minorEastAsia" w:hAnsiTheme="minorEastAsia"/>
          <w:color w:val="000000" w:themeColor="text1"/>
          <w:spacing w:val="-2"/>
          <w:szCs w:val="21"/>
        </w:rPr>
        <w:t>合法权益的原则，变更本基金的标的指数。若标的指数发生变更，本基金的投资组合将相应进行调整。届时本基金的风险收益特征可能发生变化，且投资组合调整可能产生交易成本和机会成本。投资者须承担因标的指数变更而产生的风险与成本。</w:t>
      </w:r>
    </w:p>
    <w:p w:rsidR="009F1532" w:rsidRPr="001F61B7" w:rsidP="00C42A18">
      <w:pPr>
        <w:tabs>
          <w:tab w:val="left" w:pos="3544"/>
        </w:tabs>
        <w:spacing w:line="360" w:lineRule="auto"/>
        <w:ind w:firstLine="420" w:firstLineChars="200"/>
        <w:rPr>
          <w:rFonts w:asciiTheme="minorEastAsia" w:eastAsiaTheme="minorEastAsia" w:hAnsiTheme="minorEastAsia"/>
          <w:color w:val="000000" w:themeColor="text1"/>
          <w:spacing w:val="-2"/>
          <w:szCs w:val="21"/>
        </w:rPr>
      </w:pPr>
      <w:r w:rsidRPr="001F61B7">
        <w:rPr>
          <w:rFonts w:asciiTheme="minorEastAsia" w:eastAsiaTheme="minorEastAsia" w:hAnsiTheme="minorEastAsia"/>
          <w:color w:val="000000" w:themeColor="text1"/>
          <w:spacing w:val="-2"/>
          <w:szCs w:val="21"/>
        </w:rPr>
        <w:t>3</w:t>
      </w:r>
      <w:r w:rsidRPr="001F61B7">
        <w:rPr>
          <w:rFonts w:asciiTheme="minorEastAsia" w:eastAsiaTheme="minorEastAsia" w:hAnsiTheme="minorEastAsia" w:hint="eastAsia"/>
          <w:color w:val="000000" w:themeColor="text1"/>
          <w:spacing w:val="-2"/>
          <w:szCs w:val="21"/>
        </w:rPr>
        <w:t>、可接受股票认购导致的风险</w:t>
      </w:r>
    </w:p>
    <w:p w:rsidR="009F1532" w:rsidRPr="001F61B7" w:rsidP="00C42A18">
      <w:pPr>
        <w:tabs>
          <w:tab w:val="left" w:pos="3544"/>
        </w:tabs>
        <w:spacing w:line="360" w:lineRule="auto"/>
        <w:ind w:firstLine="420" w:firstLineChars="200"/>
        <w:rPr>
          <w:rFonts w:asciiTheme="minorEastAsia" w:eastAsiaTheme="minorEastAsia" w:hAnsiTheme="minorEastAsia"/>
          <w:color w:val="000000" w:themeColor="text1"/>
          <w:spacing w:val="-2"/>
          <w:szCs w:val="21"/>
        </w:rPr>
      </w:pPr>
      <w:r w:rsidRPr="001F61B7">
        <w:rPr>
          <w:rFonts w:asciiTheme="minorEastAsia" w:eastAsiaTheme="minorEastAsia" w:hAnsiTheme="minorEastAsia" w:hint="eastAsia"/>
          <w:color w:val="000000" w:themeColor="text1"/>
          <w:spacing w:val="-2"/>
          <w:szCs w:val="21"/>
        </w:rPr>
        <w:t>本基金在募集期内允许投资者以单只或多只</w:t>
      </w:r>
      <w:r w:rsidRPr="001F61B7">
        <w:rPr>
          <w:rFonts w:asciiTheme="minorEastAsia" w:eastAsiaTheme="minorEastAsia" w:hAnsiTheme="minorEastAsia" w:hint="eastAsia"/>
          <w:color w:val="000000" w:themeColor="text1"/>
          <w:szCs w:val="21"/>
        </w:rPr>
        <w:t>标的指数成份股或备选成份股参与认购基金份额</w:t>
      </w:r>
      <w:r w:rsidRPr="001F61B7">
        <w:rPr>
          <w:rFonts w:asciiTheme="minorEastAsia" w:eastAsiaTheme="minorEastAsia" w:hAnsiTheme="minorEastAsia" w:hint="eastAsia"/>
          <w:color w:val="000000" w:themeColor="text1"/>
          <w:spacing w:val="-2"/>
          <w:szCs w:val="21"/>
        </w:rPr>
        <w:t>，存在可能因接受股票认购导致基金投资组合回报与标的指数回报不一致、基金净值出现较大波动甚至亏损的风险。</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spacing w:val="-2"/>
          <w:szCs w:val="21"/>
        </w:rPr>
      </w:pPr>
      <w:r w:rsidRPr="001F61B7">
        <w:rPr>
          <w:rFonts w:asciiTheme="minorEastAsia" w:eastAsiaTheme="minorEastAsia" w:hAnsiTheme="minorEastAsia" w:hint="eastAsia"/>
          <w:color w:val="000000" w:themeColor="text1"/>
          <w:spacing w:val="-2"/>
          <w:szCs w:val="21"/>
        </w:rPr>
        <w:t>4</w:t>
      </w:r>
      <w:r w:rsidRPr="001F61B7">
        <w:rPr>
          <w:rFonts w:asciiTheme="minorEastAsia" w:eastAsiaTheme="minorEastAsia" w:hAnsiTheme="minorEastAsia"/>
          <w:color w:val="000000" w:themeColor="text1"/>
          <w:spacing w:val="-2"/>
          <w:szCs w:val="21"/>
        </w:rPr>
        <w:t>、基金投资组合回报与标的指数回报偏离的风险</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spacing w:val="-2"/>
          <w:szCs w:val="21"/>
        </w:rPr>
      </w:pPr>
      <w:r w:rsidRPr="001F61B7">
        <w:rPr>
          <w:rFonts w:asciiTheme="minorEastAsia" w:eastAsiaTheme="minorEastAsia" w:hAnsiTheme="minorEastAsia"/>
          <w:color w:val="000000" w:themeColor="text1"/>
          <w:spacing w:val="-2"/>
          <w:szCs w:val="21"/>
        </w:rPr>
        <w:t>以下因素可能使基金投资组合的收益率与标的指数的收益率发生偏离：</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spacing w:val="-2"/>
          <w:szCs w:val="21"/>
        </w:rPr>
      </w:pPr>
      <w:r w:rsidRPr="001F61B7">
        <w:rPr>
          <w:rFonts w:asciiTheme="minorEastAsia" w:eastAsiaTheme="minorEastAsia" w:hAnsiTheme="minorEastAsia"/>
          <w:color w:val="000000" w:themeColor="text1"/>
          <w:spacing w:val="-2"/>
          <w:szCs w:val="21"/>
        </w:rPr>
        <w:t>（1）标的指数调整成份股或变更编制方法，使本基金在相应的组合调整中产生跟踪偏离度与跟踪误差。</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spacing w:val="-2"/>
          <w:szCs w:val="21"/>
        </w:rPr>
      </w:pPr>
      <w:r w:rsidRPr="001F61B7">
        <w:rPr>
          <w:rFonts w:asciiTheme="minorEastAsia" w:eastAsiaTheme="minorEastAsia" w:hAnsiTheme="minorEastAsia"/>
          <w:color w:val="000000" w:themeColor="text1"/>
          <w:spacing w:val="-2"/>
          <w:szCs w:val="21"/>
        </w:rPr>
        <w:t>（2）标的指数成份股发生配股、增发等行为导致成份股在标的指数中的权重发生变化，使本基金在相应的组合调整中产生跟踪偏离度和跟踪误差。</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spacing w:val="-2"/>
          <w:szCs w:val="21"/>
        </w:rPr>
      </w:pPr>
      <w:r w:rsidRPr="001F61B7">
        <w:rPr>
          <w:rFonts w:asciiTheme="minorEastAsia" w:eastAsiaTheme="minorEastAsia" w:hAnsiTheme="minorEastAsia"/>
          <w:color w:val="000000" w:themeColor="text1"/>
          <w:spacing w:val="-2"/>
          <w:szCs w:val="21"/>
        </w:rPr>
        <w:t>（3）成份股派发现金红利、送配等所获收益导致基金收益率偏离标的指数收益率，从而产生跟踪偏离度和跟踪误差。</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spacing w:val="-2"/>
          <w:szCs w:val="21"/>
        </w:rPr>
      </w:pPr>
      <w:r w:rsidRPr="001F61B7">
        <w:rPr>
          <w:rFonts w:asciiTheme="minorEastAsia" w:eastAsiaTheme="minorEastAsia" w:hAnsiTheme="minorEastAsia"/>
          <w:color w:val="000000" w:themeColor="text1"/>
          <w:spacing w:val="-2"/>
          <w:szCs w:val="21"/>
        </w:rPr>
        <w:t>（4）由于成份股摘牌或流动性差等因素，基金无法及时调整投资组合或承担冲击成本而产生跟踪偏离度和跟踪误差。</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spacing w:val="-2"/>
          <w:szCs w:val="21"/>
        </w:rPr>
      </w:pPr>
      <w:r w:rsidRPr="001F61B7">
        <w:rPr>
          <w:rFonts w:asciiTheme="minorEastAsia" w:eastAsiaTheme="minorEastAsia" w:hAnsiTheme="minorEastAsia"/>
          <w:color w:val="000000" w:themeColor="text1"/>
          <w:spacing w:val="-2"/>
          <w:szCs w:val="21"/>
        </w:rPr>
        <w:t>（5）基金投资过程中的证券交易成本，以及基金管理费和托管费等，可能导致本基金在跟踪指数时产生收益上的偏离。</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spacing w:val="-2"/>
          <w:szCs w:val="21"/>
        </w:rPr>
      </w:pPr>
      <w:r w:rsidRPr="001F61B7">
        <w:rPr>
          <w:rFonts w:asciiTheme="minorEastAsia" w:eastAsiaTheme="minorEastAsia" w:hAnsiTheme="minorEastAsia"/>
          <w:color w:val="000000" w:themeColor="text1"/>
          <w:spacing w:val="-2"/>
          <w:szCs w:val="21"/>
        </w:rPr>
        <w:t>（6）在本基金指数化投资过程中，基金管理人的管理能力，例如跟踪指数的水平、技术手段、买入卖出的时机选择等，都会对本基金的收益产生影响，从而影响本基金对标的指数的跟踪程度。</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spacing w:val="-2"/>
          <w:szCs w:val="21"/>
        </w:rPr>
      </w:pPr>
      <w:r w:rsidRPr="001F61B7">
        <w:rPr>
          <w:rFonts w:asciiTheme="minorEastAsia" w:eastAsiaTheme="minorEastAsia" w:hAnsiTheme="minorEastAsia"/>
          <w:color w:val="000000" w:themeColor="text1"/>
          <w:spacing w:val="-2"/>
          <w:szCs w:val="21"/>
        </w:rPr>
        <w:t>（7）基金现金资产的拖累会影响本基金对标的指数的跟踪程度。</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spacing w:val="-2"/>
          <w:szCs w:val="21"/>
        </w:rPr>
      </w:pPr>
      <w:r w:rsidRPr="001F61B7">
        <w:rPr>
          <w:rFonts w:asciiTheme="minorEastAsia" w:eastAsiaTheme="minorEastAsia" w:hAnsiTheme="minorEastAsia"/>
          <w:color w:val="000000" w:themeColor="text1"/>
          <w:spacing w:val="-2"/>
          <w:szCs w:val="21"/>
        </w:rPr>
        <w:t>（8）特殊情况下，如果本基金采取成份股替代策略，基金投资组合与标的指数构成的差异可能导致基金收益率与标的指数收益率产生偏离。</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spacing w:val="-2"/>
          <w:szCs w:val="21"/>
        </w:rPr>
      </w:pPr>
      <w:r w:rsidRPr="001F61B7">
        <w:rPr>
          <w:rFonts w:asciiTheme="minorEastAsia" w:eastAsiaTheme="minorEastAsia" w:hAnsiTheme="minorEastAsia"/>
          <w:color w:val="000000" w:themeColor="text1"/>
          <w:spacing w:val="-2"/>
          <w:szCs w:val="21"/>
        </w:rPr>
        <w:t>（9）其他因素产生的偏离。如因受到最低买入股数的限制，基金投资组合中个别股票的持有比例与标的指数中该股票的权重可能不完全相同；因缺乏卖空、对冲机制及其他工具造成的指数跟踪成本较大；因基金申购与赎回带来的现金变动；因指数发布机构指数编制错误等，由此产生跟踪偏离度与跟踪误差。</w:t>
      </w:r>
    </w:p>
    <w:p w:rsidR="007437C1" w:rsidRPr="001F61B7" w:rsidP="007437C1">
      <w:pPr>
        <w:spacing w:line="360" w:lineRule="auto"/>
        <w:ind w:firstLine="420" w:firstLineChars="200"/>
        <w:rPr>
          <w:rFonts w:asciiTheme="minorEastAsia" w:eastAsiaTheme="minorEastAsia" w:hAnsiTheme="minorEastAsia"/>
          <w:color w:val="000000" w:themeColor="text1"/>
        </w:rPr>
      </w:pPr>
      <w:r w:rsidRPr="001F61B7">
        <w:rPr>
          <w:rFonts w:asciiTheme="minorEastAsia" w:eastAsiaTheme="minorEastAsia" w:hAnsiTheme="minorEastAsia"/>
          <w:color w:val="000000" w:themeColor="text1"/>
        </w:rPr>
        <w:t>5、</w:t>
      </w:r>
      <w:r w:rsidRPr="001F61B7">
        <w:rPr>
          <w:rFonts w:asciiTheme="minorEastAsia" w:eastAsiaTheme="minorEastAsia" w:hAnsiTheme="minorEastAsia" w:hint="eastAsia"/>
          <w:color w:val="000000" w:themeColor="text1"/>
        </w:rPr>
        <w:t>跟踪误差控制未达约定目标的风险</w:t>
      </w:r>
    </w:p>
    <w:p w:rsidR="007437C1" w:rsidRPr="001F61B7" w:rsidP="007437C1">
      <w:pPr>
        <w:spacing w:line="360" w:lineRule="auto"/>
        <w:ind w:firstLine="420" w:firstLineChars="200"/>
        <w:rPr>
          <w:rFonts w:asciiTheme="minorEastAsia" w:eastAsiaTheme="minorEastAsia" w:hAnsiTheme="minorEastAsia"/>
          <w:color w:val="000000" w:themeColor="text1"/>
        </w:rPr>
      </w:pPr>
      <w:r w:rsidRPr="001F61B7">
        <w:rPr>
          <w:rStyle w:val="da"/>
          <w:rFonts w:asciiTheme="minorEastAsia" w:eastAsiaTheme="minorEastAsia" w:hAnsiTheme="minorEastAsia" w:hint="eastAsia"/>
          <w:color w:val="000000" w:themeColor="text1"/>
        </w:rPr>
        <w:t>本基金力争将日均跟踪偏离度的绝对值控制在0.2%以内，年化跟踪误差控制在2%以内</w:t>
      </w:r>
      <w:r w:rsidRPr="001F61B7">
        <w:rPr>
          <w:rFonts w:asciiTheme="minorEastAsia" w:eastAsiaTheme="minorEastAsia" w:hAnsiTheme="minorEastAsia" w:hint="eastAsia"/>
          <w:color w:val="000000" w:themeColor="text1"/>
        </w:rPr>
        <w:t>，但因标的指数编制规则调整或其他因素可能导致跟踪误差超过上述范围，本基金净值表现与指数价格走势可能发生较大偏离。</w:t>
      </w:r>
    </w:p>
    <w:p w:rsidR="007437C1" w:rsidRPr="001F61B7" w:rsidP="007437C1">
      <w:pPr>
        <w:spacing w:line="360" w:lineRule="auto"/>
        <w:ind w:firstLine="420" w:firstLineChars="200"/>
        <w:rPr>
          <w:rFonts w:asciiTheme="minorEastAsia" w:eastAsiaTheme="minorEastAsia" w:hAnsiTheme="minorEastAsia"/>
          <w:color w:val="000000" w:themeColor="text1"/>
        </w:rPr>
      </w:pPr>
      <w:r w:rsidRPr="001F61B7">
        <w:rPr>
          <w:rFonts w:asciiTheme="minorEastAsia" w:eastAsiaTheme="minorEastAsia" w:hAnsiTheme="minorEastAsia" w:hint="eastAsia"/>
          <w:color w:val="000000" w:themeColor="text1"/>
        </w:rPr>
        <w:t>6、指数编制机构停止服务的风险</w:t>
      </w:r>
    </w:p>
    <w:p w:rsidR="007437C1" w:rsidRPr="001F61B7" w:rsidP="007437C1">
      <w:pPr>
        <w:spacing w:line="360" w:lineRule="auto"/>
        <w:ind w:firstLine="420" w:firstLineChars="200"/>
        <w:rPr>
          <w:rFonts w:asciiTheme="minorEastAsia" w:eastAsiaTheme="minorEastAsia" w:hAnsiTheme="minorEastAsia"/>
          <w:color w:val="000000" w:themeColor="text1"/>
        </w:rPr>
      </w:pPr>
      <w:r w:rsidRPr="001F61B7">
        <w:rPr>
          <w:rFonts w:asciiTheme="minorEastAsia" w:eastAsiaTheme="minorEastAsia" w:hAnsiTheme="minorEastAsia" w:hint="eastAsia"/>
          <w:color w:val="000000" w:themeColor="text1"/>
        </w:rPr>
        <w:t>本基金的标的指数由指数编制机构发布并管理和维护，未来指数编制机构可能由于各种原因停止对指数的管理和维护，本基金将根据基金合同的约定自该情形发生之日起十个工作日向中国证监会报告并提出解决方案，如更换基金标的指数、转换运作方式、与其他基金合并、或者终止基金合同等，并在6个月内召集基金份额持有人大会进行表决。投资人将面临更换基金标的指数、转换运作方式、与其他基金合并、或者终止基金合同等风险。</w:t>
      </w:r>
    </w:p>
    <w:p w:rsidR="007437C1" w:rsidRPr="001F61B7" w:rsidP="007437C1">
      <w:pPr>
        <w:spacing w:line="360" w:lineRule="auto"/>
        <w:ind w:firstLine="420" w:firstLineChars="200"/>
        <w:rPr>
          <w:rFonts w:asciiTheme="minorEastAsia" w:eastAsiaTheme="minorEastAsia" w:hAnsiTheme="minorEastAsia"/>
          <w:color w:val="000000" w:themeColor="text1"/>
        </w:rPr>
      </w:pPr>
      <w:r w:rsidRPr="001F61B7">
        <w:rPr>
          <w:rFonts w:asciiTheme="minorEastAsia" w:eastAsiaTheme="minorEastAsia" w:hAnsiTheme="minorEastAsia" w:hint="eastAsia"/>
          <w:color w:val="000000" w:themeColor="text1"/>
        </w:rPr>
        <w:t>自指数编制机构停止标的指数的编制及发布至解决方案确定期间，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rsidR="007437C1" w:rsidRPr="001F61B7" w:rsidP="007437C1">
      <w:pPr>
        <w:spacing w:line="360" w:lineRule="auto"/>
        <w:ind w:firstLine="420" w:firstLineChars="200"/>
        <w:rPr>
          <w:rFonts w:asciiTheme="minorEastAsia" w:eastAsiaTheme="minorEastAsia" w:hAnsiTheme="minorEastAsia"/>
          <w:color w:val="000000" w:themeColor="text1"/>
        </w:rPr>
      </w:pPr>
      <w:r w:rsidRPr="001F61B7">
        <w:rPr>
          <w:rFonts w:asciiTheme="minorEastAsia" w:eastAsiaTheme="minorEastAsia" w:hAnsiTheme="minorEastAsia" w:hint="eastAsia"/>
          <w:color w:val="000000" w:themeColor="text1"/>
        </w:rPr>
        <w:t>7、成份股停牌的风险</w:t>
      </w:r>
    </w:p>
    <w:p w:rsidR="007437C1" w:rsidRPr="001F61B7" w:rsidP="007437C1">
      <w:pPr>
        <w:spacing w:line="360" w:lineRule="auto"/>
        <w:ind w:firstLine="420" w:firstLineChars="200"/>
        <w:rPr>
          <w:rFonts w:asciiTheme="minorEastAsia" w:eastAsiaTheme="minorEastAsia" w:hAnsiTheme="minorEastAsia"/>
          <w:color w:val="000000" w:themeColor="text1"/>
        </w:rPr>
      </w:pPr>
      <w:r w:rsidRPr="001F61B7">
        <w:rPr>
          <w:rFonts w:asciiTheme="minorEastAsia" w:eastAsiaTheme="minorEastAsia" w:hAnsiTheme="minorEastAsia" w:hint="eastAsia"/>
          <w:color w:val="000000" w:themeColor="text1"/>
        </w:rPr>
        <w:t>标的指数成份股可能因各种原因临时或长期停牌，发生成份股停牌时可能面临如下风险：</w:t>
      </w:r>
    </w:p>
    <w:p w:rsidR="00F434D4" w:rsidRPr="001F61B7" w:rsidP="00F434D4">
      <w:pPr>
        <w:snapToGrid w:val="0"/>
        <w:spacing w:line="360" w:lineRule="auto"/>
        <w:ind w:firstLine="420" w:firstLineChars="200"/>
        <w:rPr>
          <w:rFonts w:asciiTheme="minorEastAsia" w:eastAsiaTheme="minorEastAsia" w:hAnsiTheme="minorEastAsia" w:cs="宋体"/>
          <w:color w:val="000000" w:themeColor="text1"/>
          <w:kern w:val="0"/>
          <w:szCs w:val="21"/>
        </w:rPr>
      </w:pPr>
      <w:r w:rsidRPr="001F61B7">
        <w:rPr>
          <w:rFonts w:asciiTheme="minorEastAsia" w:eastAsiaTheme="minorEastAsia" w:hAnsiTheme="minorEastAsia" w:cs="宋体" w:hint="eastAsia"/>
          <w:color w:val="000000" w:themeColor="text1"/>
          <w:szCs w:val="21"/>
        </w:rPr>
        <w:t>（1）基金可能因无法及时调整投资组合而导致跟踪偏离度和跟踪误差扩大。</w:t>
      </w:r>
    </w:p>
    <w:p w:rsidR="00F434D4" w:rsidRPr="001F61B7" w:rsidP="00F434D4">
      <w:pPr>
        <w:snapToGrid w:val="0"/>
        <w:spacing w:line="360" w:lineRule="auto"/>
        <w:ind w:firstLine="420" w:firstLineChars="200"/>
        <w:rPr>
          <w:rFonts w:asciiTheme="minorEastAsia" w:eastAsiaTheme="minorEastAsia" w:hAnsiTheme="minorEastAsia" w:cs="宋体"/>
          <w:color w:val="000000" w:themeColor="text1"/>
          <w:szCs w:val="21"/>
        </w:rPr>
      </w:pPr>
      <w:r w:rsidRPr="001F61B7">
        <w:rPr>
          <w:rFonts w:asciiTheme="minorEastAsia" w:eastAsiaTheme="minorEastAsia" w:hAnsiTheme="minorEastAsia" w:cs="宋体" w:hint="eastAsia"/>
          <w:color w:val="000000" w:themeColor="text1"/>
          <w:szCs w:val="21"/>
        </w:rPr>
        <w:t>（2）停牌成份股可能因其权重占比、市场复牌预期、现金替代标识等因素影响本基金二级市场价格的折溢价水平。</w:t>
      </w:r>
    </w:p>
    <w:p w:rsidR="00F434D4" w:rsidRPr="001F61B7" w:rsidP="00F434D4">
      <w:pPr>
        <w:snapToGrid w:val="0"/>
        <w:spacing w:line="360" w:lineRule="auto"/>
        <w:ind w:firstLine="420" w:firstLineChars="200"/>
        <w:rPr>
          <w:rFonts w:asciiTheme="minorEastAsia" w:eastAsiaTheme="minorEastAsia" w:hAnsiTheme="minorEastAsia" w:cs="宋体"/>
          <w:color w:val="000000" w:themeColor="text1"/>
          <w:szCs w:val="21"/>
        </w:rPr>
      </w:pPr>
      <w:r w:rsidRPr="001F61B7">
        <w:rPr>
          <w:rFonts w:asciiTheme="minorEastAsia" w:eastAsiaTheme="minorEastAsia" w:hAnsiTheme="minorEastAsia" w:cs="宋体" w:hint="eastAsia"/>
          <w:color w:val="000000" w:themeColor="text1"/>
          <w:szCs w:val="21"/>
        </w:rPr>
        <w:t>（3）若成份股停牌时间较长，在约定时间内仍未能及时买入或卖出的，则该部分款项将按照约定方式进行结算（具体见招募说明书“基金份额的申购与赎回”部分之“</w:t>
      </w:r>
      <w:r w:rsidRPr="001F61B7">
        <w:rPr>
          <w:rFonts w:asciiTheme="minorEastAsia" w:eastAsiaTheme="minorEastAsia" w:hAnsiTheme="minorEastAsia" w:hint="eastAsia"/>
          <w:color w:val="000000" w:themeColor="text1"/>
          <w:szCs w:val="21"/>
        </w:rPr>
        <w:t>申购赎回清单的内容与格式</w:t>
      </w:r>
      <w:r w:rsidRPr="001F61B7">
        <w:rPr>
          <w:rFonts w:asciiTheme="minorEastAsia" w:eastAsiaTheme="minorEastAsia" w:hAnsiTheme="minorEastAsia" w:cs="宋体" w:hint="eastAsia"/>
          <w:color w:val="000000" w:themeColor="text1"/>
          <w:szCs w:val="21"/>
        </w:rPr>
        <w:t>”相关约定），由此可能影响投资者的投资损益并使基金产生跟踪偏离度和跟踪误差。</w:t>
      </w:r>
    </w:p>
    <w:p w:rsidR="007437C1" w:rsidRPr="001F61B7" w:rsidP="007437C1">
      <w:pPr>
        <w:tabs>
          <w:tab w:val="left" w:pos="3544"/>
        </w:tabs>
        <w:spacing w:line="360" w:lineRule="auto"/>
        <w:ind w:firstLine="420" w:firstLineChars="200"/>
        <w:rPr>
          <w:rFonts w:asciiTheme="minorEastAsia" w:eastAsiaTheme="minorEastAsia" w:hAnsiTheme="minorEastAsia"/>
          <w:color w:val="000000" w:themeColor="text1"/>
        </w:rPr>
      </w:pPr>
      <w:r w:rsidRPr="001F61B7">
        <w:rPr>
          <w:rFonts w:asciiTheme="minorEastAsia" w:eastAsiaTheme="minorEastAsia" w:hAnsiTheme="minorEastAsia" w:cs="宋体" w:hint="eastAsia"/>
          <w:color w:val="000000" w:themeColor="text1"/>
          <w:szCs w:val="21"/>
        </w:rPr>
        <w:t>（4）在极端情况下，标的指数成份股可能大面积停牌，基金可能无法及时卖出成份股以获取足额的符合要求的赎回对价，由此基金管理人可能在申购赎回清单中设置较低的赎回份额上限或者采取暂停赎回的措施，投资者将面临无法赎回全部或部分ETF份额的风险。</w:t>
      </w:r>
    </w:p>
    <w:p w:rsidR="000C755A" w:rsidRPr="001F61B7" w:rsidP="007437C1">
      <w:pPr>
        <w:tabs>
          <w:tab w:val="left" w:pos="3544"/>
        </w:tabs>
        <w:spacing w:line="360" w:lineRule="auto"/>
        <w:ind w:firstLine="420" w:firstLineChars="200"/>
        <w:rPr>
          <w:rFonts w:asciiTheme="minorEastAsia" w:eastAsiaTheme="minorEastAsia" w:hAnsiTheme="minorEastAsia"/>
          <w:color w:val="000000" w:themeColor="text1"/>
          <w:spacing w:val="-2"/>
          <w:szCs w:val="21"/>
        </w:rPr>
      </w:pPr>
      <w:r w:rsidRPr="001F61B7">
        <w:rPr>
          <w:rFonts w:asciiTheme="minorEastAsia" w:eastAsiaTheme="minorEastAsia" w:hAnsiTheme="minorEastAsia" w:hint="eastAsia"/>
          <w:color w:val="000000" w:themeColor="text1"/>
          <w:spacing w:val="-2"/>
          <w:szCs w:val="21"/>
        </w:rPr>
        <w:t>8</w:t>
      </w:r>
      <w:r w:rsidRPr="001F61B7">
        <w:rPr>
          <w:rFonts w:asciiTheme="minorEastAsia" w:eastAsiaTheme="minorEastAsia" w:hAnsiTheme="minorEastAsia"/>
          <w:color w:val="000000" w:themeColor="text1"/>
          <w:spacing w:val="-2"/>
          <w:szCs w:val="21"/>
        </w:rPr>
        <w:t>、基金交易价格与份额净值发生偏离的风险</w:t>
      </w:r>
    </w:p>
    <w:p w:rsidR="00762381" w:rsidRPr="001F61B7" w:rsidP="00C42A18">
      <w:pPr>
        <w:tabs>
          <w:tab w:val="left" w:pos="3544"/>
        </w:tabs>
        <w:spacing w:line="360" w:lineRule="auto"/>
        <w:ind w:firstLine="420" w:firstLineChars="200"/>
        <w:rPr>
          <w:rFonts w:asciiTheme="minorEastAsia" w:eastAsiaTheme="minorEastAsia" w:hAnsiTheme="minorEastAsia"/>
          <w:color w:val="000000" w:themeColor="text1"/>
          <w:spacing w:val="-2"/>
          <w:szCs w:val="21"/>
        </w:rPr>
      </w:pPr>
      <w:r w:rsidRPr="001F61B7">
        <w:rPr>
          <w:rFonts w:asciiTheme="minorEastAsia" w:eastAsiaTheme="minorEastAsia" w:hAnsiTheme="minorEastAsia"/>
          <w:color w:val="000000" w:themeColor="text1"/>
          <w:spacing w:val="-2"/>
          <w:szCs w:val="21"/>
        </w:rPr>
        <w:t>尽管本基金将通过有效的套利机制使基金份额二级市场交易价格的折溢价控制在一定范围内，但基金份额在证券交易所的交易价格受供求关系等诸多因素影响，存在不同于基金份额净值的情形，即存在价格折溢价的风险</w:t>
      </w:r>
      <w:r w:rsidRPr="001F61B7" w:rsidR="006266E4">
        <w:rPr>
          <w:rFonts w:asciiTheme="minorEastAsia" w:eastAsiaTheme="minorEastAsia" w:hAnsiTheme="minorEastAsia" w:hint="eastAsia"/>
          <w:color w:val="000000" w:themeColor="text1"/>
          <w:spacing w:val="-2"/>
          <w:szCs w:val="21"/>
        </w:rPr>
        <w:t>。</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spacing w:val="-2"/>
          <w:szCs w:val="21"/>
        </w:rPr>
      </w:pPr>
      <w:r w:rsidRPr="001F61B7">
        <w:rPr>
          <w:rFonts w:asciiTheme="minorEastAsia" w:eastAsiaTheme="minorEastAsia" w:hAnsiTheme="minorEastAsia" w:hint="eastAsia"/>
          <w:color w:val="000000" w:themeColor="text1"/>
          <w:spacing w:val="-2"/>
          <w:szCs w:val="21"/>
        </w:rPr>
        <w:t>9</w:t>
      </w:r>
      <w:r w:rsidRPr="001F61B7">
        <w:rPr>
          <w:rFonts w:asciiTheme="minorEastAsia" w:eastAsiaTheme="minorEastAsia" w:hAnsiTheme="minorEastAsia"/>
          <w:color w:val="000000" w:themeColor="text1"/>
          <w:spacing w:val="-2"/>
          <w:szCs w:val="21"/>
        </w:rPr>
        <w:t>、参考IOPV决策和IOPV计算错误的风险</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spacing w:val="-2"/>
          <w:szCs w:val="21"/>
        </w:rPr>
      </w:pPr>
      <w:r w:rsidRPr="001F61B7">
        <w:rPr>
          <w:rFonts w:asciiTheme="minorEastAsia" w:eastAsiaTheme="minorEastAsia" w:hAnsiTheme="minorEastAsia"/>
          <w:color w:val="000000" w:themeColor="text1"/>
          <w:spacing w:val="-2"/>
          <w:szCs w:val="21"/>
        </w:rPr>
        <w:t>中证指数公司在开市后根据申购赎回清单和组合证券内各只证券的实时成交数据，计算并发布基金份额参考净值（IOPV），供投资人交易、申购、赎回基金份额时参考。IOPV与实时的基金份额净值可能存在差异，IOPV计算也可能出现错误，投资人若参考IOPV进行投资决策可能导致损失，需由投资人自行承担。</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spacing w:val="-2"/>
          <w:szCs w:val="21"/>
        </w:rPr>
      </w:pPr>
      <w:r w:rsidRPr="001F61B7">
        <w:rPr>
          <w:rFonts w:asciiTheme="minorEastAsia" w:eastAsiaTheme="minorEastAsia" w:hAnsiTheme="minorEastAsia" w:hint="eastAsia"/>
          <w:color w:val="000000" w:themeColor="text1"/>
          <w:spacing w:val="-2"/>
          <w:szCs w:val="21"/>
        </w:rPr>
        <w:t>10</w:t>
      </w:r>
      <w:r w:rsidRPr="001F61B7">
        <w:rPr>
          <w:rFonts w:asciiTheme="minorEastAsia" w:eastAsiaTheme="minorEastAsia" w:hAnsiTheme="minorEastAsia"/>
          <w:color w:val="000000" w:themeColor="text1"/>
          <w:spacing w:val="-2"/>
          <w:szCs w:val="21"/>
        </w:rPr>
        <w:t>、投资人申购失败的风险</w:t>
      </w:r>
    </w:p>
    <w:p w:rsidR="00762381" w:rsidRPr="001F61B7" w:rsidP="00C42A18">
      <w:pPr>
        <w:tabs>
          <w:tab w:val="left" w:pos="3544"/>
        </w:tabs>
        <w:spacing w:line="360" w:lineRule="auto"/>
        <w:ind w:firstLine="420" w:firstLineChars="200"/>
        <w:rPr>
          <w:rFonts w:asciiTheme="minorEastAsia" w:eastAsiaTheme="minorEastAsia" w:hAnsiTheme="minorEastAsia"/>
          <w:color w:val="000000" w:themeColor="text1"/>
          <w:spacing w:val="-2"/>
          <w:szCs w:val="21"/>
        </w:rPr>
      </w:pPr>
      <w:r w:rsidRPr="001F61B7">
        <w:rPr>
          <w:rFonts w:asciiTheme="minorEastAsia" w:eastAsiaTheme="minorEastAsia" w:hAnsiTheme="minorEastAsia"/>
          <w:color w:val="000000" w:themeColor="text1"/>
          <w:spacing w:val="-2"/>
          <w:szCs w:val="21"/>
        </w:rPr>
        <w:t>如果投资者申购时未能提供符合要求的申购对价，或者基金管理人根据基金合同的规定拒绝投资者的申购申请，则投资者的申购申请失败。</w:t>
      </w:r>
    </w:p>
    <w:p w:rsidR="00B52B85" w:rsidRPr="001F61B7" w:rsidP="00C42A18">
      <w:pPr>
        <w:tabs>
          <w:tab w:val="left" w:pos="3544"/>
        </w:tabs>
        <w:spacing w:line="360" w:lineRule="auto"/>
        <w:ind w:firstLine="420" w:firstLineChars="200"/>
        <w:rPr>
          <w:rFonts w:asciiTheme="minorEastAsia" w:eastAsiaTheme="minorEastAsia" w:hAnsiTheme="minorEastAsia"/>
          <w:color w:val="000000" w:themeColor="text1"/>
          <w:spacing w:val="-2"/>
          <w:szCs w:val="21"/>
        </w:rPr>
      </w:pPr>
      <w:r w:rsidRPr="001F61B7">
        <w:rPr>
          <w:rFonts w:asciiTheme="minorEastAsia" w:eastAsiaTheme="minorEastAsia" w:hAnsiTheme="minorEastAsia" w:hint="eastAsia"/>
          <w:color w:val="000000" w:themeColor="text1"/>
          <w:spacing w:val="-2"/>
          <w:szCs w:val="21"/>
        </w:rPr>
        <w:t>基金管理人可根据市场情况在申购赎回清单中设置并调整申购份额上限，如果一笔新的申购申请被确认成功会使本基金当日申购份额超过申购赎回清单中规定的申购份额上限时，该笔申购申请将被拒绝。</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spacing w:val="-2"/>
          <w:szCs w:val="21"/>
        </w:rPr>
      </w:pPr>
      <w:r w:rsidRPr="001F61B7">
        <w:rPr>
          <w:rFonts w:asciiTheme="minorEastAsia" w:eastAsiaTheme="minorEastAsia" w:hAnsiTheme="minorEastAsia" w:hint="eastAsia"/>
          <w:color w:val="000000" w:themeColor="text1"/>
          <w:spacing w:val="-2"/>
          <w:szCs w:val="21"/>
        </w:rPr>
        <w:t>11</w:t>
      </w:r>
      <w:r w:rsidRPr="001F61B7">
        <w:rPr>
          <w:rFonts w:asciiTheme="minorEastAsia" w:eastAsiaTheme="minorEastAsia" w:hAnsiTheme="minorEastAsia"/>
          <w:color w:val="000000" w:themeColor="text1"/>
          <w:spacing w:val="-2"/>
          <w:szCs w:val="21"/>
        </w:rPr>
        <w:t>、投资人赎回失败的风险</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spacing w:val="-2"/>
          <w:szCs w:val="21"/>
        </w:rPr>
      </w:pPr>
      <w:r w:rsidRPr="001F61B7">
        <w:rPr>
          <w:rFonts w:asciiTheme="minorEastAsia" w:eastAsiaTheme="minorEastAsia" w:hAnsiTheme="minorEastAsia"/>
          <w:color w:val="000000" w:themeColor="text1"/>
          <w:spacing w:val="-2"/>
          <w:szCs w:val="21"/>
        </w:rPr>
        <w:t>如果投资人提出赎回申请时持有的符合要求的基金份额不足或未能根据要求准备足额的现金，或者基金投资组合中不具备足额的符合要求的赎回对价，或者基金管理人根据基金合同的规定拒绝投资者赎回申请，则投资者的赎回申请失败。基金管理人可能根据成份股市值规模变化等因素调整最小申购赎回单位，由此可能导致投资人按原最小申购赎回单位申购并持有的基金份额，可能无法按照新的最小申购赎回单位全部赎回，而只能在二级市场卖出全部或部分基金份额。</w:t>
      </w:r>
    </w:p>
    <w:p w:rsidR="00B52B85" w:rsidRPr="001F61B7" w:rsidP="00C42A18">
      <w:pPr>
        <w:tabs>
          <w:tab w:val="left" w:pos="3544"/>
        </w:tabs>
        <w:spacing w:line="360" w:lineRule="auto"/>
        <w:ind w:firstLine="420" w:firstLineChars="200"/>
        <w:rPr>
          <w:rFonts w:asciiTheme="minorEastAsia" w:eastAsiaTheme="minorEastAsia" w:hAnsiTheme="minorEastAsia"/>
          <w:color w:val="000000" w:themeColor="text1"/>
          <w:spacing w:val="-2"/>
          <w:szCs w:val="21"/>
        </w:rPr>
      </w:pPr>
      <w:r w:rsidRPr="001F61B7">
        <w:rPr>
          <w:rFonts w:asciiTheme="minorEastAsia" w:eastAsiaTheme="minorEastAsia" w:hAnsiTheme="minorEastAsia" w:hint="eastAsia"/>
          <w:color w:val="000000" w:themeColor="text1"/>
          <w:spacing w:val="-2"/>
          <w:szCs w:val="21"/>
        </w:rPr>
        <w:t>基金管理人可根据市场情况在申购赎回清单中设置并调整赎回份额上限，如果一笔新的赎回申请被确认成功会使本基金当日赎回份额超过申购赎回清单中规定的赎回份额上限时，该笔赎回申请将被拒绝。基金管理人可能在申购赎回清单中设置极低的赎回份额上限，投资人将面临无法赎回全部或部分份额的风险。</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spacing w:val="-2"/>
          <w:szCs w:val="21"/>
        </w:rPr>
      </w:pPr>
      <w:r w:rsidRPr="001F61B7">
        <w:rPr>
          <w:rFonts w:asciiTheme="minorEastAsia" w:eastAsiaTheme="minorEastAsia" w:hAnsiTheme="minorEastAsia" w:hint="eastAsia"/>
          <w:color w:val="000000" w:themeColor="text1"/>
          <w:spacing w:val="-2"/>
          <w:szCs w:val="21"/>
        </w:rPr>
        <w:t>12</w:t>
      </w:r>
      <w:r w:rsidRPr="001F61B7">
        <w:rPr>
          <w:rFonts w:asciiTheme="minorEastAsia" w:eastAsiaTheme="minorEastAsia" w:hAnsiTheme="minorEastAsia"/>
          <w:color w:val="000000" w:themeColor="text1"/>
          <w:spacing w:val="-2"/>
          <w:szCs w:val="21"/>
        </w:rPr>
        <w:t>、基金份额赎回对价的变现风险</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spacing w:val="-2"/>
          <w:szCs w:val="21"/>
        </w:rPr>
      </w:pPr>
      <w:r w:rsidRPr="001F61B7">
        <w:rPr>
          <w:rFonts w:asciiTheme="minorEastAsia" w:eastAsiaTheme="minorEastAsia" w:hAnsiTheme="minorEastAsia"/>
          <w:color w:val="000000" w:themeColor="text1"/>
          <w:spacing w:val="-2"/>
          <w:szCs w:val="21"/>
        </w:rPr>
        <w:t>本基金赎回对价包括组合证券、现金替代、现金差额等。</w:t>
      </w:r>
      <w:r w:rsidRPr="001F61B7" w:rsidR="00A61361">
        <w:rPr>
          <w:rFonts w:asciiTheme="minorEastAsia" w:eastAsiaTheme="minorEastAsia" w:hAnsiTheme="minorEastAsia" w:hint="eastAsia"/>
          <w:color w:val="000000" w:themeColor="text1"/>
          <w:spacing w:val="-2"/>
          <w:szCs w:val="21"/>
        </w:rPr>
        <w:t>投资人在对赎回所获得的组合证券变现过程中</w:t>
      </w:r>
      <w:r w:rsidRPr="001F61B7" w:rsidR="009F1532">
        <w:rPr>
          <w:rFonts w:asciiTheme="minorEastAsia" w:eastAsiaTheme="minorEastAsia" w:hAnsiTheme="minorEastAsia" w:hint="eastAsia"/>
          <w:color w:val="000000" w:themeColor="text1"/>
          <w:spacing w:val="-2"/>
          <w:szCs w:val="21"/>
        </w:rPr>
        <w:t>，由于市场变化、部分成份股流动性差等因素，组合证券变现后的价值与赎回时赎回对价的价值有差异，存在变现风险</w:t>
      </w:r>
      <w:r w:rsidRPr="001F61B7">
        <w:rPr>
          <w:rFonts w:asciiTheme="minorEastAsia" w:eastAsiaTheme="minorEastAsia" w:hAnsiTheme="minorEastAsia"/>
          <w:color w:val="000000" w:themeColor="text1"/>
          <w:spacing w:val="-2"/>
          <w:szCs w:val="21"/>
        </w:rPr>
        <w:t>。</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spacing w:val="-2"/>
          <w:szCs w:val="21"/>
        </w:rPr>
      </w:pPr>
      <w:r w:rsidRPr="001F61B7">
        <w:rPr>
          <w:rFonts w:asciiTheme="minorEastAsia" w:eastAsiaTheme="minorEastAsia" w:hAnsiTheme="minorEastAsia" w:hint="eastAsia"/>
          <w:color w:val="000000" w:themeColor="text1"/>
          <w:spacing w:val="-2"/>
          <w:szCs w:val="21"/>
        </w:rPr>
        <w:t>1</w:t>
      </w:r>
      <w:r w:rsidRPr="001F61B7" w:rsidR="007437C1">
        <w:rPr>
          <w:rFonts w:asciiTheme="minorEastAsia" w:eastAsiaTheme="minorEastAsia" w:hAnsiTheme="minorEastAsia" w:hint="eastAsia"/>
          <w:color w:val="000000" w:themeColor="text1"/>
          <w:spacing w:val="-2"/>
          <w:szCs w:val="21"/>
        </w:rPr>
        <w:t>3</w:t>
      </w:r>
      <w:r w:rsidRPr="001F61B7">
        <w:rPr>
          <w:rFonts w:asciiTheme="minorEastAsia" w:eastAsiaTheme="minorEastAsia" w:hAnsiTheme="minorEastAsia"/>
          <w:color w:val="000000" w:themeColor="text1"/>
          <w:spacing w:val="-2"/>
          <w:szCs w:val="21"/>
        </w:rPr>
        <w:t>、套利风险</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spacing w:val="-2"/>
          <w:szCs w:val="21"/>
        </w:rPr>
      </w:pPr>
      <w:r w:rsidRPr="001F61B7">
        <w:rPr>
          <w:rFonts w:asciiTheme="minorEastAsia" w:eastAsiaTheme="minorEastAsia" w:hAnsiTheme="minorEastAsia"/>
          <w:color w:val="000000" w:themeColor="text1"/>
          <w:spacing w:val="-2"/>
          <w:szCs w:val="21"/>
        </w:rPr>
        <w:t>鉴于证券市场的交易机制和技术约束，套利完成需要一定的时间，因此套利存在一定风险。同时，买卖一篮子股票和ETF存在冲击成本和交易成本，所以折溢价在一定范围之内也</w:t>
      </w:r>
      <w:r w:rsidRPr="001F61B7">
        <w:rPr>
          <w:rFonts w:asciiTheme="minorEastAsia" w:eastAsiaTheme="minorEastAsia" w:hAnsiTheme="minorEastAsia"/>
          <w:color w:val="000000" w:themeColor="text1"/>
          <w:spacing w:val="-2"/>
          <w:szCs w:val="21"/>
        </w:rPr>
        <w:t>不能形成套利。另外，当一篮子股票中存在涨停、跌停、临时停牌等情况时，溢价套利会因成份股无法买入而受影响，折价套利会因成份股无法卖出而受影响。</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spacing w:val="-2"/>
          <w:szCs w:val="21"/>
        </w:rPr>
      </w:pPr>
      <w:r w:rsidRPr="001F61B7">
        <w:rPr>
          <w:rFonts w:asciiTheme="minorEastAsia" w:eastAsiaTheme="minorEastAsia" w:hAnsiTheme="minorEastAsia"/>
          <w:color w:val="000000" w:themeColor="text1"/>
          <w:spacing w:val="-2"/>
          <w:szCs w:val="21"/>
        </w:rPr>
        <w:t>14、申购赎回清单差错风险</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spacing w:val="-2"/>
          <w:szCs w:val="21"/>
        </w:rPr>
      </w:pPr>
      <w:r w:rsidRPr="001F61B7">
        <w:rPr>
          <w:rFonts w:asciiTheme="minorEastAsia" w:eastAsiaTheme="minorEastAsia" w:hAnsiTheme="minorEastAsia"/>
          <w:color w:val="000000" w:themeColor="text1"/>
          <w:spacing w:val="-2"/>
          <w:szCs w:val="21"/>
        </w:rPr>
        <w:t>如果基金管理人提供的当日申购赎回清单内容出现差错，包括组合证券名单、数量、现金替代标志、现金替代比率、替代金额等出错，投资人利益将受损，申购赎回的正常进行将受影响。</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spacing w:val="-2"/>
          <w:szCs w:val="21"/>
        </w:rPr>
      </w:pPr>
      <w:r w:rsidRPr="001F61B7">
        <w:rPr>
          <w:rFonts w:asciiTheme="minorEastAsia" w:eastAsiaTheme="minorEastAsia" w:hAnsiTheme="minorEastAsia"/>
          <w:color w:val="000000" w:themeColor="text1"/>
          <w:spacing w:val="-2"/>
          <w:szCs w:val="21"/>
        </w:rPr>
        <w:t>1</w:t>
      </w:r>
      <w:r w:rsidRPr="001F61B7" w:rsidR="007437C1">
        <w:rPr>
          <w:rFonts w:asciiTheme="minorEastAsia" w:eastAsiaTheme="minorEastAsia" w:hAnsiTheme="minorEastAsia" w:hint="eastAsia"/>
          <w:color w:val="000000" w:themeColor="text1"/>
          <w:spacing w:val="-2"/>
          <w:szCs w:val="21"/>
        </w:rPr>
        <w:t>5</w:t>
      </w:r>
      <w:r w:rsidRPr="001F61B7">
        <w:rPr>
          <w:rFonts w:asciiTheme="minorEastAsia" w:eastAsiaTheme="minorEastAsia" w:hAnsiTheme="minorEastAsia"/>
          <w:color w:val="000000" w:themeColor="text1"/>
          <w:spacing w:val="-2"/>
          <w:szCs w:val="21"/>
        </w:rPr>
        <w:t>、退市风险</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spacing w:val="-2"/>
          <w:szCs w:val="21"/>
        </w:rPr>
      </w:pPr>
      <w:r w:rsidRPr="001F61B7">
        <w:rPr>
          <w:rFonts w:asciiTheme="minorEastAsia" w:eastAsiaTheme="minorEastAsia" w:hAnsiTheme="minorEastAsia"/>
          <w:color w:val="000000" w:themeColor="text1"/>
          <w:spacing w:val="-2"/>
          <w:szCs w:val="21"/>
        </w:rPr>
        <w:t>因本基金不再符合证券交易所上市条件被终止上市，或被基金份额持有人大会决议提前终止上市，基金份额不能继续进行二级市场交易。</w:t>
      </w:r>
    </w:p>
    <w:p w:rsidR="001E16E3" w:rsidRPr="001F61B7" w:rsidP="00C42A18">
      <w:pPr>
        <w:tabs>
          <w:tab w:val="left" w:pos="3544"/>
        </w:tabs>
        <w:spacing w:line="360" w:lineRule="auto"/>
        <w:ind w:firstLine="420" w:firstLineChars="200"/>
        <w:rPr>
          <w:rFonts w:asciiTheme="minorEastAsia" w:eastAsiaTheme="minorEastAsia" w:hAnsiTheme="minorEastAsia"/>
          <w:color w:val="000000" w:themeColor="text1"/>
          <w:spacing w:val="-2"/>
          <w:szCs w:val="21"/>
        </w:rPr>
      </w:pPr>
      <w:r w:rsidRPr="001F61B7">
        <w:rPr>
          <w:rFonts w:asciiTheme="minorEastAsia" w:eastAsiaTheme="minorEastAsia" w:hAnsiTheme="minorEastAsia"/>
          <w:color w:val="000000" w:themeColor="text1"/>
          <w:spacing w:val="-2"/>
          <w:szCs w:val="21"/>
        </w:rPr>
        <w:t>1</w:t>
      </w:r>
      <w:r w:rsidRPr="001F61B7" w:rsidR="007437C1">
        <w:rPr>
          <w:rFonts w:asciiTheme="minorEastAsia" w:eastAsiaTheme="minorEastAsia" w:hAnsiTheme="minorEastAsia" w:hint="eastAsia"/>
          <w:color w:val="000000" w:themeColor="text1"/>
          <w:spacing w:val="-2"/>
          <w:szCs w:val="21"/>
        </w:rPr>
        <w:t>6</w:t>
      </w:r>
      <w:r w:rsidRPr="001F61B7">
        <w:rPr>
          <w:rFonts w:asciiTheme="minorEastAsia" w:eastAsiaTheme="minorEastAsia" w:hAnsiTheme="minorEastAsia"/>
          <w:color w:val="000000" w:themeColor="text1"/>
          <w:spacing w:val="-2"/>
          <w:szCs w:val="21"/>
        </w:rPr>
        <w:t>、终止清盘风险</w:t>
      </w:r>
    </w:p>
    <w:p w:rsidR="001E16E3" w:rsidRPr="001F61B7" w:rsidP="00C42A18">
      <w:pPr>
        <w:tabs>
          <w:tab w:val="left" w:pos="3544"/>
        </w:tabs>
        <w:spacing w:line="360" w:lineRule="auto"/>
        <w:ind w:firstLine="420" w:firstLineChars="200"/>
        <w:rPr>
          <w:rFonts w:asciiTheme="minorEastAsia" w:eastAsiaTheme="minorEastAsia" w:hAnsiTheme="minorEastAsia"/>
          <w:color w:val="000000" w:themeColor="text1"/>
          <w:spacing w:val="-2"/>
          <w:szCs w:val="21"/>
        </w:rPr>
      </w:pPr>
      <w:r w:rsidRPr="001F61B7">
        <w:rPr>
          <w:rFonts w:asciiTheme="minorEastAsia" w:eastAsiaTheme="minorEastAsia" w:hAnsiTheme="minorEastAsia"/>
          <w:color w:val="000000" w:themeColor="text1"/>
          <w:spacing w:val="-2"/>
          <w:szCs w:val="21"/>
        </w:rPr>
        <w:t>《基金合同》生效后，若连续50个工作日基金资产净值低于5000万元，本基金将根据基金合同的约定进行基金财产清算并终止，投资人将面临基金终止清盘的风险。</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spacing w:val="-2"/>
          <w:szCs w:val="21"/>
        </w:rPr>
      </w:pPr>
      <w:r w:rsidRPr="001F61B7">
        <w:rPr>
          <w:rFonts w:asciiTheme="minorEastAsia" w:eastAsiaTheme="minorEastAsia" w:hAnsiTheme="minorEastAsia"/>
          <w:color w:val="000000" w:themeColor="text1"/>
          <w:spacing w:val="-2"/>
          <w:szCs w:val="21"/>
        </w:rPr>
        <w:t>1</w:t>
      </w:r>
      <w:r w:rsidRPr="001F61B7" w:rsidR="007437C1">
        <w:rPr>
          <w:rFonts w:asciiTheme="minorEastAsia" w:eastAsiaTheme="minorEastAsia" w:hAnsiTheme="minorEastAsia" w:hint="eastAsia"/>
          <w:color w:val="000000" w:themeColor="text1"/>
          <w:spacing w:val="-2"/>
          <w:szCs w:val="21"/>
        </w:rPr>
        <w:t>7</w:t>
      </w:r>
      <w:r w:rsidRPr="001F61B7">
        <w:rPr>
          <w:rFonts w:asciiTheme="minorEastAsia" w:eastAsiaTheme="minorEastAsia" w:hAnsiTheme="minorEastAsia"/>
          <w:color w:val="000000" w:themeColor="text1"/>
          <w:spacing w:val="-2"/>
          <w:szCs w:val="21"/>
        </w:rPr>
        <w:t>、第三方机构服务的风险</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spacing w:val="-2"/>
          <w:szCs w:val="21"/>
        </w:rPr>
      </w:pPr>
      <w:r w:rsidRPr="001F61B7">
        <w:rPr>
          <w:rFonts w:asciiTheme="minorEastAsia" w:eastAsiaTheme="minorEastAsia" w:hAnsiTheme="minorEastAsia"/>
          <w:color w:val="000000" w:themeColor="text1"/>
          <w:spacing w:val="-2"/>
          <w:szCs w:val="21"/>
        </w:rPr>
        <w:t>本基金的多项服务委托第三方机构办理，存在以下风险：</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spacing w:val="-2"/>
          <w:szCs w:val="21"/>
        </w:rPr>
      </w:pPr>
      <w:r w:rsidRPr="001F61B7">
        <w:rPr>
          <w:rFonts w:asciiTheme="minorEastAsia" w:eastAsiaTheme="minorEastAsia" w:hAnsiTheme="minorEastAsia"/>
          <w:color w:val="000000" w:themeColor="text1"/>
          <w:spacing w:val="-2"/>
          <w:szCs w:val="21"/>
        </w:rPr>
        <w:t>（1）申购赎回代理券商因多种原因，导致代理申购、赎回业务受到限制、暂停或终止，由此影响对投资人申购赎回服务的风险。</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spacing w:val="-2"/>
          <w:szCs w:val="21"/>
        </w:rPr>
      </w:pPr>
      <w:r w:rsidRPr="001F61B7">
        <w:rPr>
          <w:rFonts w:asciiTheme="minorEastAsia" w:eastAsiaTheme="minorEastAsia" w:hAnsiTheme="minorEastAsia"/>
          <w:color w:val="000000" w:themeColor="text1"/>
          <w:spacing w:val="-2"/>
          <w:szCs w:val="21"/>
        </w:rPr>
        <w:t>（2）登记结算机构可能调整结算制度，如实施货银对付制度，对投资人基金份额、组合证券及资金的结算方式发生变化，制度调整可能给投资人带来风险。同样的风险还可能来自于证券交易所及其他代理机构。</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spacing w:val="-2"/>
          <w:szCs w:val="21"/>
        </w:rPr>
      </w:pPr>
      <w:r w:rsidRPr="001F61B7">
        <w:rPr>
          <w:rFonts w:asciiTheme="minorEastAsia" w:eastAsiaTheme="minorEastAsia" w:hAnsiTheme="minorEastAsia"/>
          <w:color w:val="000000" w:themeColor="text1"/>
          <w:spacing w:val="-2"/>
          <w:szCs w:val="21"/>
        </w:rPr>
        <w:t>（3）证券交易所、登记结算机构、基金托管人及其他代理机构可能违约，导致基金或投资人利益受损的风险。</w:t>
      </w:r>
    </w:p>
    <w:p w:rsidR="009F1532" w:rsidRPr="001F61B7" w:rsidP="00C42A18">
      <w:pPr>
        <w:tabs>
          <w:tab w:val="left" w:pos="3544"/>
        </w:tabs>
        <w:spacing w:line="360" w:lineRule="auto"/>
        <w:ind w:firstLine="420" w:firstLineChars="200"/>
        <w:rPr>
          <w:rFonts w:asciiTheme="minorEastAsia" w:eastAsiaTheme="minorEastAsia" w:hAnsiTheme="minorEastAsia"/>
          <w:color w:val="000000" w:themeColor="text1"/>
          <w:spacing w:val="-2"/>
          <w:szCs w:val="21"/>
        </w:rPr>
      </w:pPr>
      <w:r w:rsidRPr="001F61B7">
        <w:rPr>
          <w:rFonts w:asciiTheme="minorEastAsia" w:eastAsiaTheme="minorEastAsia" w:hAnsiTheme="minorEastAsia"/>
          <w:color w:val="000000" w:themeColor="text1"/>
          <w:spacing w:val="-2"/>
          <w:szCs w:val="21"/>
        </w:rPr>
        <w:t>1</w:t>
      </w:r>
      <w:r w:rsidRPr="001F61B7" w:rsidR="007437C1">
        <w:rPr>
          <w:rFonts w:asciiTheme="minorEastAsia" w:eastAsiaTheme="minorEastAsia" w:hAnsiTheme="minorEastAsia"/>
          <w:color w:val="000000" w:themeColor="text1"/>
          <w:spacing w:val="-2"/>
          <w:szCs w:val="21"/>
        </w:rPr>
        <w:t>8</w:t>
      </w:r>
      <w:r w:rsidRPr="001F61B7">
        <w:rPr>
          <w:rFonts w:asciiTheme="minorEastAsia" w:eastAsiaTheme="minorEastAsia" w:hAnsiTheme="minorEastAsia" w:hint="eastAsia"/>
          <w:color w:val="000000" w:themeColor="text1"/>
          <w:spacing w:val="-2"/>
          <w:szCs w:val="21"/>
        </w:rPr>
        <w:t>、沪市成份证券申赎处理规则带来的风险</w:t>
      </w:r>
    </w:p>
    <w:p w:rsidR="009F1532" w:rsidRPr="001F61B7" w:rsidP="00C42A18">
      <w:pPr>
        <w:tabs>
          <w:tab w:val="left" w:pos="3544"/>
        </w:tabs>
        <w:spacing w:line="360" w:lineRule="auto"/>
        <w:ind w:firstLine="420" w:firstLineChars="200"/>
        <w:rPr>
          <w:rFonts w:asciiTheme="minorEastAsia" w:eastAsiaTheme="minorEastAsia" w:hAnsiTheme="minorEastAsia"/>
          <w:color w:val="000000" w:themeColor="text1"/>
          <w:spacing w:val="-2"/>
          <w:szCs w:val="21"/>
        </w:rPr>
      </w:pPr>
      <w:r w:rsidRPr="001F61B7">
        <w:rPr>
          <w:rFonts w:asciiTheme="minorEastAsia" w:eastAsiaTheme="minorEastAsia" w:hAnsiTheme="minorEastAsia" w:hint="eastAsia"/>
          <w:color w:val="000000" w:themeColor="text1"/>
          <w:szCs w:val="21"/>
        </w:rPr>
        <w:t>本基金申购赎回清单对于沪市</w:t>
      </w:r>
      <w:r w:rsidRPr="001F61B7">
        <w:rPr>
          <w:rFonts w:asciiTheme="minorEastAsia" w:eastAsiaTheme="minorEastAsia" w:hAnsiTheme="minorEastAsia" w:hint="eastAsia"/>
          <w:color w:val="000000" w:themeColor="text1"/>
          <w:spacing w:val="-2"/>
          <w:szCs w:val="21"/>
        </w:rPr>
        <w:t>成份</w:t>
      </w:r>
      <w:r w:rsidRPr="001F61B7">
        <w:rPr>
          <w:rFonts w:asciiTheme="minorEastAsia" w:eastAsiaTheme="minorEastAsia" w:hAnsiTheme="minorEastAsia" w:hint="eastAsia"/>
          <w:color w:val="000000" w:themeColor="text1"/>
          <w:szCs w:val="21"/>
        </w:rPr>
        <w:t>证券的现金替代标识为</w:t>
      </w:r>
      <w:r w:rsidRPr="001F61B7">
        <w:rPr>
          <w:rFonts w:asciiTheme="minorEastAsia" w:eastAsiaTheme="minorEastAsia" w:hAnsiTheme="minorEastAsia"/>
          <w:color w:val="000000" w:themeColor="text1"/>
          <w:szCs w:val="21"/>
        </w:rPr>
        <w:t>“</w:t>
      </w:r>
      <w:r w:rsidRPr="001F61B7">
        <w:rPr>
          <w:rFonts w:asciiTheme="minorEastAsia" w:eastAsiaTheme="minorEastAsia" w:hAnsiTheme="minorEastAsia" w:hint="eastAsia"/>
          <w:color w:val="000000" w:themeColor="text1"/>
          <w:szCs w:val="21"/>
        </w:rPr>
        <w:t>可以现金替代</w:t>
      </w:r>
      <w:r w:rsidRPr="001F61B7">
        <w:rPr>
          <w:rFonts w:asciiTheme="minorEastAsia" w:eastAsiaTheme="minorEastAsia" w:hAnsiTheme="minorEastAsia"/>
          <w:color w:val="000000" w:themeColor="text1"/>
          <w:szCs w:val="21"/>
        </w:rPr>
        <w:t>”</w:t>
      </w:r>
      <w:r w:rsidRPr="001F61B7">
        <w:rPr>
          <w:rFonts w:asciiTheme="minorEastAsia" w:eastAsiaTheme="minorEastAsia" w:hAnsiTheme="minorEastAsia" w:hint="eastAsia"/>
          <w:color w:val="000000" w:themeColor="text1"/>
          <w:szCs w:val="21"/>
        </w:rPr>
        <w:t>，</w:t>
      </w:r>
      <w:r w:rsidRPr="001F61B7">
        <w:rPr>
          <w:rFonts w:asciiTheme="minorEastAsia" w:eastAsiaTheme="minorEastAsia" w:hAnsiTheme="minorEastAsia" w:hint="eastAsia"/>
          <w:color w:val="000000" w:themeColor="text1"/>
          <w:spacing w:val="-2"/>
          <w:szCs w:val="21"/>
        </w:rPr>
        <w:t>在申购赎回环节中必须使用现金作为替代，并根据基金管理人实际买卖情况与投资者进行退补款，可能导致如下风险：</w:t>
      </w:r>
    </w:p>
    <w:p w:rsidR="009F1532" w:rsidRPr="001F61B7" w:rsidP="00C42A18">
      <w:pPr>
        <w:tabs>
          <w:tab w:val="left" w:pos="3544"/>
        </w:tabs>
        <w:spacing w:line="360" w:lineRule="auto"/>
        <w:ind w:firstLine="420" w:firstLineChars="200"/>
        <w:rPr>
          <w:rFonts w:asciiTheme="minorEastAsia" w:eastAsiaTheme="minorEastAsia" w:hAnsiTheme="minorEastAsia"/>
          <w:color w:val="000000" w:themeColor="text1"/>
          <w:spacing w:val="-2"/>
          <w:szCs w:val="21"/>
        </w:rPr>
      </w:pPr>
      <w:r w:rsidRPr="001F61B7">
        <w:rPr>
          <w:rFonts w:asciiTheme="minorEastAsia" w:eastAsiaTheme="minorEastAsia" w:hAnsiTheme="minorEastAsia" w:hint="eastAsia"/>
          <w:color w:val="000000" w:themeColor="text1"/>
          <w:spacing w:val="-2"/>
          <w:szCs w:val="21"/>
        </w:rPr>
        <w:t>（</w:t>
      </w:r>
      <w:r w:rsidRPr="001F61B7">
        <w:rPr>
          <w:rFonts w:asciiTheme="minorEastAsia" w:eastAsiaTheme="minorEastAsia" w:hAnsiTheme="minorEastAsia"/>
          <w:color w:val="000000" w:themeColor="text1"/>
          <w:spacing w:val="-2"/>
          <w:szCs w:val="21"/>
        </w:rPr>
        <w:t>1</w:t>
      </w:r>
      <w:r w:rsidRPr="001F61B7">
        <w:rPr>
          <w:rFonts w:asciiTheme="minorEastAsia" w:eastAsiaTheme="minorEastAsia" w:hAnsiTheme="minorEastAsia" w:hint="eastAsia"/>
          <w:color w:val="000000" w:themeColor="text1"/>
          <w:spacing w:val="-2"/>
          <w:szCs w:val="21"/>
        </w:rPr>
        <w:t>）由于沪市成份证券采取基金管理人代买代卖模式，可能给投资者申购和赎回带来价格的不确定性。这种价格的不确定性可能影响本基金二级市场价格的折溢价水平。</w:t>
      </w:r>
    </w:p>
    <w:p w:rsidR="00762381" w:rsidRPr="001F61B7" w:rsidP="00C42A18">
      <w:pPr>
        <w:tabs>
          <w:tab w:val="left" w:pos="3544"/>
        </w:tabs>
        <w:spacing w:line="360" w:lineRule="auto"/>
        <w:ind w:firstLine="420" w:firstLineChars="200"/>
        <w:rPr>
          <w:rFonts w:asciiTheme="minorEastAsia" w:eastAsiaTheme="minorEastAsia" w:hAnsiTheme="minorEastAsia"/>
          <w:color w:val="000000" w:themeColor="text1"/>
          <w:spacing w:val="-2"/>
          <w:szCs w:val="21"/>
        </w:rPr>
      </w:pPr>
      <w:r w:rsidRPr="001F61B7">
        <w:rPr>
          <w:rFonts w:asciiTheme="minorEastAsia" w:eastAsiaTheme="minorEastAsia" w:hAnsiTheme="minorEastAsia" w:hint="eastAsia"/>
          <w:color w:val="000000" w:themeColor="text1"/>
          <w:spacing w:val="-2"/>
          <w:szCs w:val="21"/>
        </w:rPr>
        <w:t>（</w:t>
      </w:r>
      <w:r w:rsidRPr="001F61B7">
        <w:rPr>
          <w:rFonts w:asciiTheme="minorEastAsia" w:eastAsiaTheme="minorEastAsia" w:hAnsiTheme="minorEastAsia"/>
          <w:color w:val="000000" w:themeColor="text1"/>
          <w:spacing w:val="-2"/>
          <w:szCs w:val="21"/>
        </w:rPr>
        <w:t>2</w:t>
      </w:r>
      <w:r w:rsidRPr="001F61B7">
        <w:rPr>
          <w:rFonts w:asciiTheme="minorEastAsia" w:eastAsiaTheme="minorEastAsia" w:hAnsiTheme="minorEastAsia" w:hint="eastAsia"/>
          <w:color w:val="000000" w:themeColor="text1"/>
          <w:spacing w:val="-2"/>
          <w:szCs w:val="21"/>
        </w:rPr>
        <w:t>）因技术系统、通讯联络或其他原因可能导致基金管理人无法严格遵循</w:t>
      </w:r>
      <w:r w:rsidRPr="001F61B7">
        <w:rPr>
          <w:rFonts w:asciiTheme="minorEastAsia" w:eastAsiaTheme="minorEastAsia" w:hAnsiTheme="minorEastAsia"/>
          <w:color w:val="000000" w:themeColor="text1"/>
          <w:spacing w:val="-2"/>
          <w:szCs w:val="21"/>
        </w:rPr>
        <w:t>“</w:t>
      </w:r>
      <w:r w:rsidRPr="001F61B7">
        <w:rPr>
          <w:rFonts w:asciiTheme="minorEastAsia" w:eastAsiaTheme="minorEastAsia" w:hAnsiTheme="minorEastAsia" w:hint="eastAsia"/>
          <w:color w:val="000000" w:themeColor="text1"/>
          <w:spacing w:val="-2"/>
          <w:szCs w:val="21"/>
        </w:rPr>
        <w:t>时间优先、实时申报</w:t>
      </w:r>
      <w:r w:rsidRPr="001F61B7">
        <w:rPr>
          <w:rFonts w:asciiTheme="minorEastAsia" w:eastAsiaTheme="minorEastAsia" w:hAnsiTheme="minorEastAsia"/>
          <w:color w:val="000000" w:themeColor="text1"/>
          <w:spacing w:val="-2"/>
          <w:szCs w:val="21"/>
        </w:rPr>
        <w:t>”</w:t>
      </w:r>
      <w:r w:rsidRPr="001F61B7">
        <w:rPr>
          <w:rFonts w:asciiTheme="minorEastAsia" w:eastAsiaTheme="minorEastAsia" w:hAnsiTheme="minorEastAsia" w:hint="eastAsia"/>
          <w:color w:val="000000" w:themeColor="text1"/>
          <w:spacing w:val="-2"/>
          <w:szCs w:val="21"/>
        </w:rPr>
        <w:t>原则对</w:t>
      </w:r>
      <w:r w:rsidRPr="001F61B7">
        <w:rPr>
          <w:rFonts w:asciiTheme="minorEastAsia" w:eastAsiaTheme="minorEastAsia" w:hAnsiTheme="minorEastAsia"/>
          <w:color w:val="000000" w:themeColor="text1"/>
          <w:spacing w:val="-2"/>
          <w:szCs w:val="21"/>
        </w:rPr>
        <w:t>“</w:t>
      </w:r>
      <w:r w:rsidRPr="001F61B7">
        <w:rPr>
          <w:rFonts w:asciiTheme="minorEastAsia" w:eastAsiaTheme="minorEastAsia" w:hAnsiTheme="minorEastAsia" w:hint="eastAsia"/>
          <w:color w:val="000000" w:themeColor="text1"/>
          <w:spacing w:val="-2"/>
          <w:szCs w:val="21"/>
        </w:rPr>
        <w:t>可以现金替代</w:t>
      </w:r>
      <w:r w:rsidRPr="001F61B7">
        <w:rPr>
          <w:rFonts w:asciiTheme="minorEastAsia" w:eastAsiaTheme="minorEastAsia" w:hAnsiTheme="minorEastAsia"/>
          <w:color w:val="000000" w:themeColor="text1"/>
          <w:spacing w:val="-2"/>
          <w:szCs w:val="21"/>
        </w:rPr>
        <w:t>”</w:t>
      </w:r>
      <w:r w:rsidRPr="001F61B7">
        <w:rPr>
          <w:rFonts w:asciiTheme="minorEastAsia" w:eastAsiaTheme="minorEastAsia" w:hAnsiTheme="minorEastAsia" w:hint="eastAsia"/>
          <w:color w:val="000000" w:themeColor="text1"/>
          <w:spacing w:val="-2"/>
          <w:szCs w:val="21"/>
        </w:rPr>
        <w:t>的沪市成份证券进行处理，基金管理人也不对</w:t>
      </w:r>
      <w:r w:rsidRPr="001F61B7">
        <w:rPr>
          <w:rFonts w:asciiTheme="minorEastAsia" w:eastAsiaTheme="minorEastAsia" w:hAnsiTheme="minorEastAsia"/>
          <w:color w:val="000000" w:themeColor="text1"/>
          <w:spacing w:val="-2"/>
          <w:szCs w:val="21"/>
        </w:rPr>
        <w:t>“</w:t>
      </w:r>
      <w:r w:rsidRPr="001F61B7">
        <w:rPr>
          <w:rFonts w:asciiTheme="minorEastAsia" w:eastAsiaTheme="minorEastAsia" w:hAnsiTheme="minorEastAsia" w:hint="eastAsia"/>
          <w:color w:val="000000" w:themeColor="text1"/>
          <w:spacing w:val="-2"/>
          <w:szCs w:val="21"/>
        </w:rPr>
        <w:t>时间优</w:t>
      </w:r>
      <w:r w:rsidRPr="001F61B7">
        <w:rPr>
          <w:rFonts w:asciiTheme="minorEastAsia" w:eastAsiaTheme="minorEastAsia" w:hAnsiTheme="minorEastAsia" w:hint="eastAsia"/>
          <w:color w:val="000000" w:themeColor="text1"/>
          <w:spacing w:val="-2"/>
          <w:szCs w:val="21"/>
        </w:rPr>
        <w:t>先、实时申报</w:t>
      </w:r>
      <w:r w:rsidRPr="001F61B7">
        <w:rPr>
          <w:rFonts w:asciiTheme="minorEastAsia" w:eastAsiaTheme="minorEastAsia" w:hAnsiTheme="minorEastAsia"/>
          <w:color w:val="000000" w:themeColor="text1"/>
          <w:spacing w:val="-2"/>
          <w:szCs w:val="21"/>
        </w:rPr>
        <w:t>”</w:t>
      </w:r>
      <w:r w:rsidRPr="001F61B7">
        <w:rPr>
          <w:rFonts w:asciiTheme="minorEastAsia" w:eastAsiaTheme="minorEastAsia" w:hAnsiTheme="minorEastAsia" w:hint="eastAsia"/>
          <w:color w:val="000000" w:themeColor="text1"/>
          <w:spacing w:val="-2"/>
          <w:szCs w:val="21"/>
        </w:rPr>
        <w:t>原则的执行效率和结果做出任何承诺和保证，现金替代退补款的计算以实际成交价格和基金招募说明书的约定为准，由此可能影响投资者的投资损益。</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spacing w:val="-2"/>
          <w:szCs w:val="21"/>
        </w:rPr>
      </w:pPr>
      <w:r w:rsidRPr="001F61B7">
        <w:rPr>
          <w:rFonts w:asciiTheme="minorEastAsia" w:eastAsiaTheme="minorEastAsia" w:hAnsiTheme="minorEastAsia"/>
          <w:color w:val="000000" w:themeColor="text1"/>
          <w:spacing w:val="-2"/>
          <w:szCs w:val="21"/>
        </w:rPr>
        <w:t>19、申购赎回清单标识设置风险</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spacing w:val="-2"/>
          <w:szCs w:val="21"/>
        </w:rPr>
      </w:pPr>
      <w:r w:rsidRPr="001F61B7">
        <w:rPr>
          <w:rFonts w:asciiTheme="minorEastAsia" w:eastAsiaTheme="minorEastAsia" w:hAnsiTheme="minorEastAsia"/>
          <w:color w:val="000000" w:themeColor="text1"/>
          <w:spacing w:val="-2"/>
          <w:szCs w:val="21"/>
        </w:rPr>
        <w:t>基金管理人在进行申购赎回清单的现金替代标识设置时，将充分考虑由此引发的市场套利等行为对基金持有人可能造成的利益损害。但基金管理人不能保证极端情况下申购赎回清单标识设置的完全合理性。</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spacing w:val="-2"/>
          <w:szCs w:val="21"/>
        </w:rPr>
      </w:pPr>
      <w:r w:rsidRPr="001F61B7">
        <w:rPr>
          <w:rFonts w:asciiTheme="minorEastAsia" w:eastAsiaTheme="minorEastAsia" w:hAnsiTheme="minorEastAsia"/>
          <w:color w:val="000000" w:themeColor="text1"/>
          <w:spacing w:val="-2"/>
          <w:szCs w:val="21"/>
        </w:rPr>
        <w:t>20、基金收益分配后基金份额净值低于面值的风险</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spacing w:val="-2"/>
          <w:szCs w:val="21"/>
        </w:rPr>
      </w:pPr>
      <w:r w:rsidRPr="001F61B7">
        <w:rPr>
          <w:rFonts w:asciiTheme="minorEastAsia" w:eastAsiaTheme="minorEastAsia" w:hAnsiTheme="minorEastAsia"/>
          <w:color w:val="000000" w:themeColor="text1"/>
          <w:spacing w:val="-2"/>
          <w:szCs w:val="21"/>
        </w:rPr>
        <w:t>本基金收益分配原则为使收益分配后基金累计报酬率尽可能贴近标的指数同期累计报酬率。基于本基金的性质和特点，本基金收益分配不以弥补亏损为前提，收益分配后可能存在基金份额净值低于面值的风险。</w:t>
      </w:r>
    </w:p>
    <w:p w:rsidR="001E16E3" w:rsidRPr="001F61B7" w:rsidP="00C42A18">
      <w:pPr>
        <w:tabs>
          <w:tab w:val="left" w:pos="3544"/>
        </w:tabs>
        <w:spacing w:line="360" w:lineRule="auto"/>
        <w:ind w:firstLine="420" w:firstLineChars="200"/>
        <w:rPr>
          <w:rFonts w:asciiTheme="minorEastAsia" w:eastAsiaTheme="minorEastAsia" w:hAnsiTheme="minorEastAsia"/>
          <w:color w:val="000000" w:themeColor="text1"/>
          <w:spacing w:val="-2"/>
          <w:szCs w:val="21"/>
        </w:rPr>
      </w:pPr>
      <w:r w:rsidRPr="001F61B7">
        <w:rPr>
          <w:rFonts w:asciiTheme="minorEastAsia" w:eastAsiaTheme="minorEastAsia" w:hAnsiTheme="minorEastAsia"/>
          <w:color w:val="000000" w:themeColor="text1"/>
          <w:spacing w:val="-2"/>
          <w:szCs w:val="21"/>
        </w:rPr>
        <w:t>21、本基金投资特定品种的特有风险</w:t>
      </w:r>
    </w:p>
    <w:p w:rsidR="001E16E3" w:rsidRPr="001F61B7" w:rsidP="00C42A18">
      <w:pPr>
        <w:tabs>
          <w:tab w:val="left" w:pos="3544"/>
        </w:tabs>
        <w:spacing w:line="360" w:lineRule="auto"/>
        <w:ind w:firstLine="420" w:firstLineChars="200"/>
        <w:rPr>
          <w:rFonts w:asciiTheme="minorEastAsia" w:eastAsiaTheme="minorEastAsia" w:hAnsiTheme="minorEastAsia"/>
          <w:color w:val="000000" w:themeColor="text1"/>
          <w:spacing w:val="-2"/>
          <w:szCs w:val="21"/>
        </w:rPr>
      </w:pPr>
      <w:r w:rsidRPr="001F61B7">
        <w:rPr>
          <w:rFonts w:asciiTheme="minorEastAsia" w:eastAsiaTheme="minorEastAsia" w:hAnsiTheme="minorEastAsia"/>
          <w:color w:val="000000" w:themeColor="text1"/>
          <w:spacing w:val="-2"/>
          <w:szCs w:val="21"/>
        </w:rPr>
        <w:t>（</w:t>
      </w:r>
      <w:r w:rsidRPr="001F61B7" w:rsidR="006C2F50">
        <w:rPr>
          <w:rFonts w:asciiTheme="minorEastAsia" w:eastAsiaTheme="minorEastAsia" w:hAnsiTheme="minorEastAsia"/>
          <w:color w:val="000000" w:themeColor="text1"/>
          <w:spacing w:val="-2"/>
          <w:szCs w:val="21"/>
        </w:rPr>
        <w:t>1</w:t>
      </w:r>
      <w:r w:rsidRPr="001F61B7">
        <w:rPr>
          <w:rFonts w:asciiTheme="minorEastAsia" w:eastAsiaTheme="minorEastAsia" w:hAnsiTheme="minorEastAsia"/>
          <w:color w:val="000000" w:themeColor="text1"/>
          <w:spacing w:val="-2"/>
          <w:szCs w:val="21"/>
        </w:rPr>
        <w:t>）本基金投资范围包括股指期货、期权等金融衍生品，股指期货、期权等金融衍生品投资可能给本基金带来额外风险，包括杠杆风险、期货或期权价格与基金投资品种价格的相关度降低带来的风险等，由此可能增加本基金净值的波动性。</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spacing w:val="-2"/>
          <w:szCs w:val="21"/>
        </w:rPr>
      </w:pPr>
      <w:r w:rsidRPr="001F61B7">
        <w:rPr>
          <w:rFonts w:asciiTheme="minorEastAsia" w:eastAsiaTheme="minorEastAsia" w:hAnsiTheme="minorEastAsia"/>
          <w:color w:val="000000" w:themeColor="text1"/>
          <w:spacing w:val="-2"/>
          <w:szCs w:val="21"/>
        </w:rPr>
        <w:t>（</w:t>
      </w:r>
      <w:r w:rsidRPr="001F61B7" w:rsidR="006C2F50">
        <w:rPr>
          <w:rFonts w:asciiTheme="minorEastAsia" w:eastAsiaTheme="minorEastAsia" w:hAnsiTheme="minorEastAsia"/>
          <w:color w:val="000000" w:themeColor="text1"/>
          <w:spacing w:val="-2"/>
          <w:szCs w:val="21"/>
        </w:rPr>
        <w:t>2</w:t>
      </w:r>
      <w:r w:rsidRPr="001F61B7">
        <w:rPr>
          <w:rFonts w:asciiTheme="minorEastAsia" w:eastAsiaTheme="minorEastAsia" w:hAnsiTheme="minorEastAsia"/>
          <w:color w:val="000000" w:themeColor="text1"/>
          <w:spacing w:val="-2"/>
          <w:szCs w:val="21"/>
        </w:rPr>
        <w:t>）本基金的投资范围包括资产支持证券，资产支持证券存在一定的信用风险、利率风险、流动性风险、提前偿付风险、操作风险和法律风险，由此可能给基金净值带来不利影响或损失。</w:t>
      </w:r>
    </w:p>
    <w:p w:rsidR="00B23054" w:rsidRPr="001F61B7" w:rsidP="00C42A18">
      <w:pPr>
        <w:tabs>
          <w:tab w:val="left" w:pos="3544"/>
        </w:tabs>
        <w:spacing w:line="360" w:lineRule="auto"/>
        <w:ind w:firstLine="420" w:firstLineChars="200"/>
        <w:rPr>
          <w:rFonts w:asciiTheme="minorEastAsia" w:eastAsiaTheme="minorEastAsia" w:hAnsiTheme="minorEastAsia"/>
          <w:color w:val="000000" w:themeColor="text1"/>
          <w:spacing w:val="-2"/>
          <w:szCs w:val="21"/>
        </w:rPr>
      </w:pPr>
      <w:r w:rsidRPr="001F61B7">
        <w:rPr>
          <w:rFonts w:asciiTheme="minorEastAsia" w:eastAsiaTheme="minorEastAsia" w:hAnsiTheme="minorEastAsia"/>
          <w:color w:val="000000" w:themeColor="text1"/>
          <w:spacing w:val="-2"/>
          <w:szCs w:val="21"/>
        </w:rPr>
        <w:t>（3）</w:t>
      </w:r>
      <w:r w:rsidRPr="001F61B7">
        <w:rPr>
          <w:rFonts w:asciiTheme="minorEastAsia" w:eastAsiaTheme="minorEastAsia" w:hAnsiTheme="minorEastAsia" w:hint="eastAsia"/>
          <w:color w:val="000000" w:themeColor="text1"/>
          <w:spacing w:val="-2"/>
          <w:szCs w:val="21"/>
        </w:rPr>
        <w:t>投资于存托凭证的风险</w:t>
      </w:r>
    </w:p>
    <w:p w:rsidR="00B23054" w:rsidRPr="001F61B7" w:rsidP="00C42A18">
      <w:pPr>
        <w:tabs>
          <w:tab w:val="left" w:pos="3544"/>
        </w:tabs>
        <w:spacing w:line="360" w:lineRule="auto"/>
        <w:ind w:firstLine="420" w:firstLineChars="200"/>
        <w:rPr>
          <w:rFonts w:asciiTheme="minorEastAsia" w:eastAsiaTheme="minorEastAsia" w:hAnsiTheme="minorEastAsia"/>
          <w:color w:val="000000" w:themeColor="text1"/>
          <w:spacing w:val="-2"/>
          <w:szCs w:val="21"/>
        </w:rPr>
      </w:pPr>
      <w:r w:rsidRPr="001F61B7">
        <w:rPr>
          <w:rFonts w:asciiTheme="minorEastAsia" w:eastAsiaTheme="minorEastAsia" w:hAnsiTheme="minorEastAsia" w:hint="eastAsia"/>
          <w:color w:val="000000" w:themeColor="text1"/>
          <w:spacing w:val="-2"/>
          <w:szCs w:val="21"/>
        </w:rPr>
        <w:t>本基金的投资范围包括存托凭证，除与其他仅投资于沪深市场股票的基金所面临的共同风险外，本基金还将面临存托凭证价格大幅波动甚至出现较大亏损的风险，以及与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BF4073" w:rsidRPr="001F61B7" w:rsidP="00C42A18">
      <w:pPr>
        <w:tabs>
          <w:tab w:val="left" w:pos="3544"/>
        </w:tabs>
        <w:spacing w:line="360" w:lineRule="auto"/>
        <w:ind w:firstLine="420" w:firstLineChars="200"/>
        <w:rPr>
          <w:rFonts w:asciiTheme="minorEastAsia" w:eastAsiaTheme="minorEastAsia" w:hAnsiTheme="minorEastAsia"/>
          <w:color w:val="000000" w:themeColor="text1"/>
        </w:rPr>
      </w:pPr>
      <w:r w:rsidRPr="001F61B7">
        <w:rPr>
          <w:rFonts w:asciiTheme="minorEastAsia" w:eastAsiaTheme="minorEastAsia" w:hAnsiTheme="minorEastAsia"/>
          <w:color w:val="000000" w:themeColor="text1"/>
        </w:rPr>
        <w:t>22、参与转融通证券出借业务的风险</w:t>
      </w:r>
    </w:p>
    <w:p w:rsidR="00BF4073" w:rsidRPr="001F61B7" w:rsidP="00C42A18">
      <w:pPr>
        <w:tabs>
          <w:tab w:val="left" w:pos="3544"/>
        </w:tabs>
        <w:spacing w:line="360" w:lineRule="auto"/>
        <w:ind w:firstLine="420" w:firstLineChars="200"/>
        <w:rPr>
          <w:rFonts w:asciiTheme="minorEastAsia" w:eastAsiaTheme="minorEastAsia" w:hAnsiTheme="minorEastAsia"/>
          <w:color w:val="000000" w:themeColor="text1"/>
          <w:spacing w:val="-2"/>
          <w:szCs w:val="21"/>
        </w:rPr>
      </w:pPr>
      <w:r w:rsidRPr="001F61B7">
        <w:rPr>
          <w:rFonts w:asciiTheme="minorEastAsia" w:eastAsiaTheme="minorEastAsia" w:hAnsiTheme="minorEastAsia"/>
          <w:color w:val="000000" w:themeColor="text1"/>
        </w:rPr>
        <w:t>本基金可参与转融通证券出借业务，面临的风险包括但不限于：</w:t>
      </w:r>
      <w:r w:rsidRPr="001F61B7" w:rsidR="007950D0">
        <w:rPr>
          <w:rFonts w:asciiTheme="minorEastAsia" w:eastAsiaTheme="minorEastAsia" w:hAnsiTheme="minorEastAsia"/>
          <w:color w:val="000000" w:themeColor="text1"/>
        </w:rPr>
        <w:t>（1）</w:t>
      </w:r>
      <w:r w:rsidRPr="001F61B7">
        <w:rPr>
          <w:rFonts w:asciiTheme="minorEastAsia" w:eastAsiaTheme="minorEastAsia" w:hAnsiTheme="minorEastAsia"/>
          <w:color w:val="000000" w:themeColor="text1"/>
        </w:rPr>
        <w:t>流动性风险，指面临大额赎回时，可能因证券出借原因发生无法及时变现支付赎回款项的风险；</w:t>
      </w:r>
      <w:r w:rsidRPr="001F61B7" w:rsidR="007950D0">
        <w:rPr>
          <w:rFonts w:asciiTheme="minorEastAsia" w:eastAsiaTheme="minorEastAsia" w:hAnsiTheme="minorEastAsia"/>
          <w:color w:val="000000" w:themeColor="text1"/>
        </w:rPr>
        <w:t>（2）</w:t>
      </w:r>
      <w:r w:rsidRPr="001F61B7">
        <w:rPr>
          <w:rFonts w:asciiTheme="minorEastAsia" w:eastAsiaTheme="minorEastAsia" w:hAnsiTheme="minorEastAsia"/>
          <w:color w:val="000000" w:themeColor="text1"/>
        </w:rPr>
        <w:t>信用风险，</w:t>
      </w:r>
      <w:r w:rsidRPr="001F61B7">
        <w:rPr>
          <w:rFonts w:asciiTheme="minorEastAsia" w:eastAsiaTheme="minorEastAsia" w:hAnsiTheme="minorEastAsia"/>
          <w:color w:val="000000" w:themeColor="text1"/>
        </w:rPr>
        <w:t>指证券出借对手方可能无法及时归还证券、无法支付相应权益补偿及借券费用的风险；</w:t>
      </w:r>
      <w:r w:rsidRPr="001F61B7" w:rsidR="007950D0">
        <w:rPr>
          <w:rFonts w:asciiTheme="minorEastAsia" w:eastAsiaTheme="minorEastAsia" w:hAnsiTheme="minorEastAsia"/>
          <w:color w:val="000000" w:themeColor="text1"/>
        </w:rPr>
        <w:t>（3）</w:t>
      </w:r>
      <w:r w:rsidRPr="001F61B7">
        <w:rPr>
          <w:rFonts w:asciiTheme="minorEastAsia" w:eastAsiaTheme="minorEastAsia" w:hAnsiTheme="minorEastAsia"/>
          <w:color w:val="000000" w:themeColor="text1"/>
        </w:rPr>
        <w:t>市场风险，指证券出借后可能面临出借期间无法及时处置证券的市场风险；</w:t>
      </w:r>
      <w:r w:rsidRPr="001F61B7" w:rsidR="007950D0">
        <w:rPr>
          <w:rFonts w:asciiTheme="minorEastAsia" w:eastAsiaTheme="minorEastAsia" w:hAnsiTheme="minorEastAsia"/>
          <w:color w:val="000000" w:themeColor="text1"/>
        </w:rPr>
        <w:t>（4）</w:t>
      </w:r>
      <w:r w:rsidRPr="001F61B7">
        <w:rPr>
          <w:rFonts w:asciiTheme="minorEastAsia" w:eastAsiaTheme="minorEastAsia" w:hAnsiTheme="minorEastAsia"/>
          <w:color w:val="000000" w:themeColor="text1"/>
        </w:rPr>
        <w:t>其他风险，如宏观政策变化、证券市场剧烈波动、个别证券出现重大事件、交易对手方违约、业务规则调整、信息技术不能正常运行等风险。</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spacing w:val="-2"/>
          <w:szCs w:val="21"/>
        </w:rPr>
      </w:pPr>
      <w:r w:rsidRPr="001F61B7">
        <w:rPr>
          <w:rFonts w:asciiTheme="minorEastAsia" w:eastAsiaTheme="minorEastAsia" w:hAnsiTheme="minorEastAsia"/>
          <w:color w:val="000000" w:themeColor="text1"/>
          <w:spacing w:val="-2"/>
          <w:szCs w:val="21"/>
        </w:rPr>
        <w:t>（二）市场风险</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spacing w:val="-2"/>
          <w:szCs w:val="21"/>
        </w:rPr>
      </w:pPr>
      <w:r w:rsidRPr="001F61B7">
        <w:rPr>
          <w:rFonts w:asciiTheme="minorEastAsia" w:eastAsiaTheme="minorEastAsia" w:hAnsiTheme="minorEastAsia"/>
          <w:color w:val="000000" w:themeColor="text1"/>
          <w:spacing w:val="-2"/>
          <w:szCs w:val="21"/>
        </w:rPr>
        <w:t>本基金主要投资于证券市场，而证券市场价格因受到经济因素、政治因素、投资者心理和交易制度等各种因素的影响而产生波动，导致基金收益水平变化，产生风险，主要包括：</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spacing w:val="-2"/>
          <w:szCs w:val="21"/>
        </w:rPr>
      </w:pPr>
      <w:r w:rsidRPr="001F61B7">
        <w:rPr>
          <w:rFonts w:asciiTheme="minorEastAsia" w:eastAsiaTheme="minorEastAsia" w:hAnsiTheme="minorEastAsia"/>
          <w:color w:val="000000" w:themeColor="text1"/>
          <w:spacing w:val="-2"/>
          <w:szCs w:val="21"/>
        </w:rPr>
        <w:t>1、政策风险。因国家宏观政策（如货币政策、财政政策、行业政策、地区发展政策等）发生变化，导致市场价格波动而产生风险。</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spacing w:val="-2"/>
          <w:szCs w:val="21"/>
        </w:rPr>
      </w:pPr>
      <w:r w:rsidRPr="001F61B7">
        <w:rPr>
          <w:rFonts w:asciiTheme="minorEastAsia" w:eastAsiaTheme="minorEastAsia" w:hAnsiTheme="minorEastAsia"/>
          <w:color w:val="000000" w:themeColor="text1"/>
          <w:spacing w:val="-2"/>
          <w:szCs w:val="21"/>
        </w:rPr>
        <w:t>2、经济周期风险。随经济运行的周期性变化，证券市场的收益水平也呈周期性变化。基金投资于上市公司的股票，收益水平也会随之变化，从而产生风险。</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spacing w:val="-2"/>
          <w:szCs w:val="21"/>
        </w:rPr>
      </w:pPr>
      <w:r w:rsidRPr="001F61B7">
        <w:rPr>
          <w:rFonts w:asciiTheme="minorEastAsia" w:eastAsiaTheme="minorEastAsia" w:hAnsiTheme="minorEastAsia"/>
          <w:color w:val="000000" w:themeColor="text1"/>
          <w:spacing w:val="-2"/>
          <w:szCs w:val="21"/>
        </w:rPr>
        <w:t>3、利率风险。金融市场利率的波动会导致证券市场价格和收益率的变动。利率也影响着企业的融资成本和利润。本基金投资于股票，其收益水平会受到利率变化的影响。</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spacing w:val="-2"/>
          <w:szCs w:val="21"/>
        </w:rPr>
      </w:pPr>
      <w:r w:rsidRPr="001F61B7">
        <w:rPr>
          <w:rFonts w:asciiTheme="minorEastAsia" w:eastAsiaTheme="minorEastAsia" w:hAnsiTheme="minorEastAsia"/>
          <w:color w:val="000000" w:themeColor="text1"/>
          <w:spacing w:val="-2"/>
          <w:szCs w:val="21"/>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spacing w:val="-2"/>
          <w:szCs w:val="21"/>
        </w:rPr>
      </w:pPr>
      <w:r w:rsidRPr="001F61B7">
        <w:rPr>
          <w:rFonts w:asciiTheme="minorEastAsia" w:eastAsiaTheme="minorEastAsia" w:hAnsiTheme="minorEastAsia"/>
          <w:color w:val="000000" w:themeColor="text1"/>
          <w:spacing w:val="-2"/>
          <w:szCs w:val="21"/>
        </w:rPr>
        <w:t>（三）管理风险</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spacing w:val="-2"/>
          <w:szCs w:val="21"/>
        </w:rPr>
      </w:pPr>
      <w:r w:rsidRPr="001F61B7">
        <w:rPr>
          <w:rFonts w:asciiTheme="minorEastAsia" w:eastAsiaTheme="minorEastAsia" w:hAnsiTheme="minorEastAsia"/>
          <w:color w:val="000000" w:themeColor="text1"/>
          <w:spacing w:val="-2"/>
          <w:szCs w:val="21"/>
        </w:rPr>
        <w:t>基金管理人、基金托管人等相关当事人的业务发展状况、人员配备、管理经验等因素可能影响基金收益水平。此外，相关当事人在业务各环节操作过程中，可能因操作失误或违反操作规程等人为因素造成操作风险，例如交易错误等。</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spacing w:val="-2"/>
          <w:szCs w:val="21"/>
        </w:rPr>
      </w:pPr>
      <w:r w:rsidRPr="001F61B7">
        <w:rPr>
          <w:rFonts w:asciiTheme="minorEastAsia" w:eastAsiaTheme="minorEastAsia" w:hAnsiTheme="minorEastAsia"/>
          <w:color w:val="000000" w:themeColor="text1"/>
          <w:spacing w:val="-2"/>
          <w:szCs w:val="21"/>
        </w:rPr>
        <w:t>（四）流动性风险</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spacing w:val="-2"/>
          <w:szCs w:val="21"/>
        </w:rPr>
      </w:pPr>
      <w:r w:rsidRPr="001F61B7">
        <w:rPr>
          <w:rFonts w:asciiTheme="minorEastAsia" w:eastAsiaTheme="minorEastAsia" w:hAnsiTheme="minorEastAsia"/>
          <w:color w:val="000000" w:themeColor="text1"/>
          <w:spacing w:val="-2"/>
          <w:szCs w:val="21"/>
        </w:rPr>
        <w:t>1、拟投资市场及资产的流动性风险评估</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spacing w:val="-2"/>
          <w:szCs w:val="21"/>
        </w:rPr>
      </w:pPr>
      <w:r w:rsidRPr="001F61B7">
        <w:rPr>
          <w:rFonts w:asciiTheme="minorEastAsia" w:eastAsiaTheme="minorEastAsia" w:hAnsiTheme="minorEastAsia"/>
          <w:color w:val="000000" w:themeColor="text1"/>
          <w:spacing w:val="-2"/>
          <w:szCs w:val="21"/>
        </w:rPr>
        <w:t>本基金为跟踪</w:t>
      </w:r>
      <w:r w:rsidRPr="001F61B7" w:rsidR="00FD375F">
        <w:rPr>
          <w:rFonts w:asciiTheme="minorEastAsia" w:eastAsiaTheme="minorEastAsia" w:hAnsiTheme="minorEastAsia"/>
          <w:color w:val="000000" w:themeColor="text1"/>
          <w:spacing w:val="-2"/>
          <w:szCs w:val="21"/>
        </w:rPr>
        <w:t>中证科技50</w:t>
      </w:r>
      <w:r w:rsidRPr="001F61B7">
        <w:rPr>
          <w:rFonts w:asciiTheme="minorEastAsia" w:eastAsiaTheme="minorEastAsia" w:hAnsiTheme="minorEastAsia"/>
          <w:color w:val="000000" w:themeColor="text1"/>
          <w:spacing w:val="-2"/>
          <w:szCs w:val="21"/>
        </w:rPr>
        <w:t>指数的ETF，主要投资于标的指数成份股、备选成份股，一般情况下，上述投资标的流动性较好，但不排除</w:t>
      </w:r>
      <w:r w:rsidRPr="001F61B7" w:rsidR="009B38E5">
        <w:rPr>
          <w:rFonts w:asciiTheme="minorEastAsia" w:eastAsiaTheme="minorEastAsia" w:hAnsiTheme="minorEastAsia"/>
          <w:color w:val="000000" w:themeColor="text1"/>
          <w:spacing w:val="-2"/>
          <w:szCs w:val="21"/>
        </w:rPr>
        <w:t>个别特定投资标的、或</w:t>
      </w:r>
      <w:r w:rsidRPr="001F61B7">
        <w:rPr>
          <w:rFonts w:asciiTheme="minorEastAsia" w:eastAsiaTheme="minorEastAsia" w:hAnsiTheme="minorEastAsia"/>
          <w:color w:val="000000" w:themeColor="text1"/>
          <w:spacing w:val="-2"/>
          <w:szCs w:val="21"/>
        </w:rPr>
        <w:t>在特定阶段</w:t>
      </w:r>
      <w:r w:rsidRPr="001F61B7" w:rsidR="009B38E5">
        <w:rPr>
          <w:rFonts w:asciiTheme="minorEastAsia" w:eastAsiaTheme="minorEastAsia" w:hAnsiTheme="minorEastAsia"/>
          <w:color w:val="000000" w:themeColor="text1"/>
          <w:spacing w:val="-2"/>
          <w:szCs w:val="21"/>
        </w:rPr>
        <w:t>/</w:t>
      </w:r>
      <w:r w:rsidRPr="001F61B7">
        <w:rPr>
          <w:rFonts w:asciiTheme="minorEastAsia" w:eastAsiaTheme="minorEastAsia" w:hAnsiTheme="minorEastAsia"/>
          <w:color w:val="000000" w:themeColor="text1"/>
          <w:spacing w:val="-2"/>
          <w:szCs w:val="21"/>
        </w:rPr>
        <w:t>市场环境下特定投资标的出现流动性较差的情况，如因成份股流动性严重不足等特殊情形导致基金无法完全投资于成份股时，基金管理人将根据市场情况，并结合经验判断，采取包括成份股替代策略等在内的其他指数投资技术适当调整基金投资组合，以期有效控制本基金的流动性风险。</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spacing w:val="-2"/>
          <w:szCs w:val="21"/>
        </w:rPr>
      </w:pPr>
      <w:r w:rsidRPr="001F61B7">
        <w:rPr>
          <w:rFonts w:asciiTheme="minorEastAsia" w:eastAsiaTheme="minorEastAsia" w:hAnsiTheme="minorEastAsia"/>
          <w:color w:val="000000" w:themeColor="text1"/>
          <w:spacing w:val="-2"/>
          <w:szCs w:val="21"/>
        </w:rPr>
        <w:t>2、实施备用的流动性风险管理工具的情形、程序及对投资者的潜在影响</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spacing w:val="-2"/>
          <w:szCs w:val="21"/>
        </w:rPr>
      </w:pPr>
      <w:r w:rsidRPr="001F61B7">
        <w:rPr>
          <w:rFonts w:asciiTheme="minorEastAsia" w:eastAsiaTheme="minorEastAsia" w:hAnsiTheme="minorEastAsia"/>
          <w:color w:val="000000" w:themeColor="text1"/>
          <w:spacing w:val="-2"/>
          <w:szCs w:val="21"/>
        </w:rPr>
        <w:t>本基金备用流动性风险管理工具包括但不限于暂停接受赎回申请、延缓支付赎回</w:t>
      </w:r>
      <w:r w:rsidRPr="001F61B7" w:rsidR="00A9297D">
        <w:rPr>
          <w:rFonts w:asciiTheme="minorEastAsia" w:eastAsiaTheme="minorEastAsia" w:hAnsiTheme="minorEastAsia"/>
          <w:color w:val="000000" w:themeColor="text1"/>
          <w:spacing w:val="-2"/>
          <w:szCs w:val="21"/>
        </w:rPr>
        <w:t>对价</w:t>
      </w:r>
      <w:r w:rsidRPr="001F61B7">
        <w:rPr>
          <w:rFonts w:asciiTheme="minorEastAsia" w:eastAsiaTheme="minorEastAsia" w:hAnsiTheme="minorEastAsia"/>
          <w:color w:val="000000" w:themeColor="text1"/>
          <w:spacing w:val="-2"/>
          <w:szCs w:val="21"/>
        </w:rPr>
        <w:t>、暂停基金估值以及证监会认定的其他措施。</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spacing w:val="-2"/>
          <w:szCs w:val="21"/>
        </w:rPr>
      </w:pPr>
      <w:r w:rsidRPr="001F61B7">
        <w:rPr>
          <w:rFonts w:asciiTheme="minorEastAsia" w:eastAsiaTheme="minorEastAsia" w:hAnsiTheme="minorEastAsia"/>
          <w:color w:val="000000" w:themeColor="text1"/>
          <w:spacing w:val="-2"/>
          <w:szCs w:val="21"/>
        </w:rPr>
        <w:t>暂停接受赎回申请、延缓支付赎回</w:t>
      </w:r>
      <w:r w:rsidRPr="001F61B7" w:rsidR="00A9297D">
        <w:rPr>
          <w:rFonts w:asciiTheme="minorEastAsia" w:eastAsiaTheme="minorEastAsia" w:hAnsiTheme="minorEastAsia"/>
          <w:color w:val="000000" w:themeColor="text1"/>
          <w:spacing w:val="-2"/>
          <w:szCs w:val="21"/>
        </w:rPr>
        <w:t>对价</w:t>
      </w:r>
      <w:r w:rsidRPr="001F61B7">
        <w:rPr>
          <w:rFonts w:asciiTheme="minorEastAsia" w:eastAsiaTheme="minorEastAsia" w:hAnsiTheme="minorEastAsia"/>
          <w:color w:val="000000" w:themeColor="text1"/>
          <w:spacing w:val="-2"/>
          <w:szCs w:val="21"/>
        </w:rPr>
        <w:t>等工具的情形、程序见招募说明书“九、基金份额的申购</w:t>
      </w:r>
      <w:r w:rsidRPr="001F61B7" w:rsidR="001E16E3">
        <w:rPr>
          <w:rFonts w:asciiTheme="minorEastAsia" w:eastAsiaTheme="minorEastAsia" w:hAnsiTheme="minorEastAsia"/>
          <w:color w:val="000000" w:themeColor="text1"/>
          <w:spacing w:val="-2"/>
          <w:szCs w:val="21"/>
        </w:rPr>
        <w:t>与</w:t>
      </w:r>
      <w:r w:rsidRPr="001F61B7">
        <w:rPr>
          <w:rFonts w:asciiTheme="minorEastAsia" w:eastAsiaTheme="minorEastAsia" w:hAnsiTheme="minorEastAsia"/>
          <w:color w:val="000000" w:themeColor="text1"/>
          <w:spacing w:val="-2"/>
          <w:szCs w:val="21"/>
        </w:rPr>
        <w:t>赎回”之“（</w:t>
      </w:r>
      <w:r w:rsidRPr="001F61B7" w:rsidR="009D625E">
        <w:rPr>
          <w:rFonts w:asciiTheme="minorEastAsia" w:eastAsiaTheme="minorEastAsia" w:hAnsiTheme="minorEastAsia"/>
          <w:color w:val="000000" w:themeColor="text1"/>
          <w:spacing w:val="-2"/>
          <w:szCs w:val="21"/>
        </w:rPr>
        <w:t>九</w:t>
      </w:r>
      <w:r w:rsidRPr="001F61B7">
        <w:rPr>
          <w:rFonts w:asciiTheme="minorEastAsia" w:eastAsiaTheme="minorEastAsia" w:hAnsiTheme="minorEastAsia"/>
          <w:color w:val="000000" w:themeColor="text1"/>
          <w:spacing w:val="-2"/>
          <w:szCs w:val="21"/>
        </w:rPr>
        <w:t>）暂停赎回或延缓支付赎回</w:t>
      </w:r>
      <w:r w:rsidRPr="001F61B7" w:rsidR="00A9297D">
        <w:rPr>
          <w:rFonts w:asciiTheme="minorEastAsia" w:eastAsiaTheme="minorEastAsia" w:hAnsiTheme="minorEastAsia"/>
          <w:color w:val="000000" w:themeColor="text1"/>
          <w:spacing w:val="-2"/>
          <w:szCs w:val="21"/>
        </w:rPr>
        <w:t>对价</w:t>
      </w:r>
      <w:r w:rsidRPr="001F61B7">
        <w:rPr>
          <w:rFonts w:asciiTheme="minorEastAsia" w:eastAsiaTheme="minorEastAsia" w:hAnsiTheme="minorEastAsia"/>
          <w:color w:val="000000" w:themeColor="text1"/>
          <w:spacing w:val="-2"/>
          <w:szCs w:val="21"/>
        </w:rPr>
        <w:t>的情形”的相关规定。若本基金暂停赎回申请，投资者在暂停赎回期间将无法赎回其持有的基金份额。若本基金延缓支付赎回</w:t>
      </w:r>
      <w:r w:rsidRPr="001F61B7" w:rsidR="00A9297D">
        <w:rPr>
          <w:rFonts w:asciiTheme="minorEastAsia" w:eastAsiaTheme="minorEastAsia" w:hAnsiTheme="minorEastAsia"/>
          <w:color w:val="000000" w:themeColor="text1"/>
          <w:spacing w:val="-2"/>
          <w:szCs w:val="21"/>
        </w:rPr>
        <w:t>对价</w:t>
      </w:r>
      <w:r w:rsidRPr="001F61B7">
        <w:rPr>
          <w:rFonts w:asciiTheme="minorEastAsia" w:eastAsiaTheme="minorEastAsia" w:hAnsiTheme="minorEastAsia"/>
          <w:color w:val="000000" w:themeColor="text1"/>
          <w:spacing w:val="-2"/>
          <w:szCs w:val="21"/>
        </w:rPr>
        <w:t>，赎回款支付时间将后延，可能对投资者的资金安排带来不利影响。</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spacing w:val="-2"/>
          <w:szCs w:val="21"/>
        </w:rPr>
      </w:pPr>
      <w:r w:rsidRPr="001F61B7">
        <w:rPr>
          <w:rFonts w:asciiTheme="minorEastAsia" w:eastAsiaTheme="minorEastAsia" w:hAnsiTheme="minorEastAsia"/>
          <w:color w:val="000000" w:themeColor="text1"/>
          <w:spacing w:val="-2"/>
          <w:szCs w:val="21"/>
        </w:rPr>
        <w:t>暂停基金估值的情形、程序见招募说明书“十三、基金资产的估值”之“（六）暂停估值的情形”的相关规定。若本基金暂停基金估值，一方面投资者将无法知晓本基金的基金份额净值，另一方面基金将暂停接受申购赎回申请或延缓支付赎回</w:t>
      </w:r>
      <w:r w:rsidRPr="001F61B7" w:rsidR="00A9297D">
        <w:rPr>
          <w:rFonts w:asciiTheme="minorEastAsia" w:eastAsiaTheme="minorEastAsia" w:hAnsiTheme="minorEastAsia"/>
          <w:color w:val="000000" w:themeColor="text1"/>
          <w:spacing w:val="-2"/>
          <w:szCs w:val="21"/>
        </w:rPr>
        <w:t>对价</w:t>
      </w:r>
      <w:r w:rsidRPr="001F61B7">
        <w:rPr>
          <w:rFonts w:asciiTheme="minorEastAsia" w:eastAsiaTheme="minorEastAsia" w:hAnsiTheme="minorEastAsia"/>
          <w:color w:val="000000" w:themeColor="text1"/>
          <w:spacing w:val="-2"/>
          <w:szCs w:val="21"/>
        </w:rPr>
        <w:t>，将导致投资者无法申购或赎回本基金，或赎回款支付时间将后延，可能对投资者的资金安排带来不利影响。</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spacing w:val="-2"/>
          <w:szCs w:val="21"/>
        </w:rPr>
      </w:pPr>
      <w:r w:rsidRPr="001F61B7">
        <w:rPr>
          <w:rFonts w:asciiTheme="minorEastAsia" w:eastAsiaTheme="minorEastAsia" w:hAnsiTheme="minorEastAsia"/>
          <w:color w:val="000000" w:themeColor="text1"/>
          <w:spacing w:val="-2"/>
          <w:szCs w:val="21"/>
        </w:rPr>
        <w:t>3、对ETF投资人而言，ETF可在二级市场进行买卖，因此也可能面临因市场交易量不足而造成的流动性问题，带来基金在二级市场的流动性风险</w:t>
      </w:r>
      <w:r w:rsidRPr="001F61B7" w:rsidR="000742DC">
        <w:rPr>
          <w:rFonts w:asciiTheme="minorEastAsia" w:eastAsiaTheme="minorEastAsia" w:hAnsiTheme="minorEastAsia" w:hint="eastAsia"/>
          <w:color w:val="000000" w:themeColor="text1"/>
          <w:spacing w:val="-2"/>
          <w:szCs w:val="21"/>
        </w:rPr>
        <w:t>，若基金管理人同时在申购赎回清单中设置较低的赎回份额上限，投资者将面临既无法在二级市场卖出ETF份额、又无法赎回全部或部分ETF份额的流动性风险</w:t>
      </w:r>
      <w:r w:rsidRPr="001F61B7">
        <w:rPr>
          <w:rFonts w:asciiTheme="minorEastAsia" w:eastAsiaTheme="minorEastAsia" w:hAnsiTheme="minorEastAsia"/>
          <w:color w:val="000000" w:themeColor="text1"/>
          <w:spacing w:val="-2"/>
          <w:szCs w:val="21"/>
        </w:rPr>
        <w:t>。</w:t>
      </w:r>
    </w:p>
    <w:p w:rsidR="00F155D2"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（五）本基金法律文件中涉及基金风险特征的表述与销售机构对基金的风险评级可能不一致的风险</w:t>
      </w:r>
    </w:p>
    <w:p w:rsidR="00F155D2" w:rsidRPr="001F61B7" w:rsidP="00C42A18">
      <w:pPr>
        <w:tabs>
          <w:tab w:val="left" w:pos="3544"/>
        </w:tabs>
        <w:spacing w:line="360" w:lineRule="auto"/>
        <w:ind w:firstLine="420" w:firstLineChars="200"/>
        <w:rPr>
          <w:rFonts w:asciiTheme="minorEastAsia" w:eastAsiaTheme="minorEastAsia" w:hAnsiTheme="minorEastAsia"/>
          <w:color w:val="000000" w:themeColor="text1"/>
          <w:szCs w:val="21"/>
        </w:rPr>
      </w:pPr>
      <w:r w:rsidRPr="001F61B7">
        <w:rPr>
          <w:rFonts w:asciiTheme="minorEastAsia" w:eastAsiaTheme="minorEastAsia" w:hAnsiTheme="minorEastAsia"/>
          <w:color w:val="000000" w:themeColor="text1"/>
          <w:szCs w:val="21"/>
        </w:rPr>
        <w:t>本基金基金合同、招募说明书等法律文件中涉及基金风险收益特征或风险状况的表述仅为主要基于基金投资方向与策略特点的概括性表述；而本基金各销售机构依据中国证券投资基金业协会发布的《基金募集机构投资者适当性管理实施指引（试行）》及内部评级标准，将基金产品按照风险由低到高顺序进行风险级别评定划分，其风险评级结果所依据的评价要素可能更多、范围更广，与本基金法律文件中的风险收益特征或风险状况表述并不必然一致或存在对应关系。同时，不同销售机构因其采取的具体评价标准和方法的差异，对同一产品风险级别的评定也可能各有不同；销售机构还可能根据监管要求、市场变化及基金实际运作情况等适时调整对本基金的风险评级。敬请投资人知悉，在购买本基金时按照销售机构的要求完成风险承受能力与产品风险之间的匹配检验，并须及时关注销售机构对于本基金风险评级的调整情况，谨慎作出投资决策。</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spacing w:val="-2"/>
          <w:szCs w:val="21"/>
        </w:rPr>
      </w:pPr>
      <w:r w:rsidRPr="001F61B7">
        <w:rPr>
          <w:rFonts w:asciiTheme="minorEastAsia" w:eastAsiaTheme="minorEastAsia" w:hAnsiTheme="minorEastAsia"/>
          <w:color w:val="000000" w:themeColor="text1"/>
          <w:spacing w:val="-2"/>
          <w:szCs w:val="21"/>
        </w:rPr>
        <w:t>（</w:t>
      </w:r>
      <w:r w:rsidRPr="001F61B7" w:rsidR="00F155D2">
        <w:rPr>
          <w:rFonts w:asciiTheme="minorEastAsia" w:eastAsiaTheme="minorEastAsia" w:hAnsiTheme="minorEastAsia"/>
          <w:color w:val="000000" w:themeColor="text1"/>
          <w:spacing w:val="-2"/>
          <w:szCs w:val="21"/>
        </w:rPr>
        <w:t>六</w:t>
      </w:r>
      <w:r w:rsidRPr="001F61B7">
        <w:rPr>
          <w:rFonts w:asciiTheme="minorEastAsia" w:eastAsiaTheme="minorEastAsia" w:hAnsiTheme="minorEastAsia"/>
          <w:color w:val="000000" w:themeColor="text1"/>
          <w:spacing w:val="-2"/>
          <w:szCs w:val="21"/>
        </w:rPr>
        <w:t>）其他风险</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spacing w:val="-2"/>
          <w:szCs w:val="21"/>
        </w:rPr>
      </w:pPr>
      <w:r w:rsidRPr="001F61B7">
        <w:rPr>
          <w:rFonts w:asciiTheme="minorEastAsia" w:eastAsiaTheme="minorEastAsia" w:hAnsiTheme="minorEastAsia"/>
          <w:color w:val="000000" w:themeColor="text1"/>
          <w:spacing w:val="-2"/>
          <w:szCs w:val="21"/>
        </w:rPr>
        <w:t>1、不可抗力</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spacing w:val="-2"/>
          <w:szCs w:val="21"/>
        </w:rPr>
      </w:pPr>
      <w:r w:rsidRPr="001F61B7">
        <w:rPr>
          <w:rFonts w:asciiTheme="minorEastAsia" w:eastAsiaTheme="minorEastAsia" w:hAnsiTheme="minorEastAsia"/>
          <w:color w:val="000000" w:themeColor="text1"/>
          <w:spacing w:val="-2"/>
          <w:szCs w:val="21"/>
        </w:rPr>
        <w:t>战争、自然灾害等不可抗力可能导致基金财产有遭受损失的风险。基金管理人、基金托</w:t>
      </w:r>
      <w:r w:rsidRPr="001F61B7">
        <w:rPr>
          <w:rFonts w:asciiTheme="minorEastAsia" w:eastAsiaTheme="minorEastAsia" w:hAnsiTheme="minorEastAsia"/>
          <w:color w:val="000000" w:themeColor="text1"/>
          <w:spacing w:val="-2"/>
          <w:szCs w:val="21"/>
        </w:rPr>
        <w:t>管人、证券交易所、登记结算机构和销售机构等可能因不可抗力无法正常工作，从而影响基金的各项业务按正常时限完成，使投资人和基金份额持有人无法及时查询权益、进行日常交易以致利益受损。</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spacing w:val="-2"/>
          <w:szCs w:val="21"/>
        </w:rPr>
      </w:pPr>
      <w:r w:rsidRPr="001F61B7">
        <w:rPr>
          <w:rFonts w:asciiTheme="minorEastAsia" w:eastAsiaTheme="minorEastAsia" w:hAnsiTheme="minorEastAsia"/>
          <w:color w:val="000000" w:themeColor="text1"/>
          <w:spacing w:val="-2"/>
          <w:szCs w:val="21"/>
        </w:rPr>
        <w:t>2、技术风险</w:t>
      </w:r>
    </w:p>
    <w:p w:rsidR="00FE53C7" w:rsidRPr="001F61B7" w:rsidP="00C42A18">
      <w:pPr>
        <w:tabs>
          <w:tab w:val="left" w:pos="3544"/>
        </w:tabs>
        <w:spacing w:line="360" w:lineRule="auto"/>
        <w:ind w:firstLine="420" w:firstLineChars="200"/>
        <w:rPr>
          <w:rFonts w:asciiTheme="minorEastAsia" w:eastAsiaTheme="minorEastAsia" w:hAnsiTheme="minorEastAsia"/>
          <w:color w:val="000000" w:themeColor="text1"/>
          <w:spacing w:val="-2"/>
          <w:szCs w:val="21"/>
        </w:rPr>
      </w:pPr>
      <w:r w:rsidRPr="001F61B7">
        <w:rPr>
          <w:rFonts w:asciiTheme="minorEastAsia" w:eastAsiaTheme="minorEastAsia" w:hAnsiTheme="minorEastAsia"/>
          <w:color w:val="000000" w:themeColor="text1"/>
          <w:spacing w:val="-2"/>
          <w:szCs w:val="21"/>
        </w:rPr>
        <w:t>在本基金的投资、交易、服务与后台运作等业务过程中，技术系统的故障或差错可能导致投资者的利益受到影响。这种技术风险可能来自基金管理人、基金托管人、证券交易所、登记结算机构及销售机构等</w:t>
      </w:r>
      <w:r w:rsidRPr="001F61B7" w:rsidR="00B45669">
        <w:rPr>
          <w:rFonts w:asciiTheme="minorEastAsia" w:eastAsiaTheme="minorEastAsia" w:hAnsiTheme="minorEastAsia"/>
          <w:color w:val="000000" w:themeColor="text1"/>
          <w:kern w:val="0"/>
          <w:szCs w:val="21"/>
        </w:rPr>
        <w:t>。</w:t>
      </w:r>
    </w:p>
    <w:bookmarkEnd w:id="63"/>
    <w:p w:rsidR="006174FD" w:rsidRPr="001F61B7" w:rsidP="00C42A18">
      <w:pPr>
        <w:pStyle w:val="Heading1"/>
        <w:tabs>
          <w:tab w:val="left" w:pos="3544"/>
        </w:tabs>
        <w:spacing w:before="317" w:after="317" w:line="360" w:lineRule="auto"/>
        <w:ind w:firstLine="600"/>
        <w:rPr>
          <w:rFonts w:asciiTheme="minorEastAsia" w:eastAsiaTheme="minorEastAsia" w:hAnsiTheme="minorEastAsia"/>
          <w:color w:val="000000" w:themeColor="text1"/>
        </w:rPr>
      </w:pPr>
      <w:r w:rsidRPr="001F61B7">
        <w:rPr>
          <w:rFonts w:asciiTheme="minorEastAsia" w:eastAsiaTheme="minorEastAsia" w:hAnsiTheme="minorEastAsia"/>
          <w:color w:val="000000" w:themeColor="text1"/>
          <w:sz w:val="30"/>
        </w:rPr>
        <w:br w:type="column"/>
      </w:r>
      <w:bookmarkStart w:id="64" w:name="_Toc80796284"/>
      <w:bookmarkStart w:id="65" w:name="_Toc332373579"/>
      <w:r w:rsidRPr="001F61B7">
        <w:rPr>
          <w:rFonts w:asciiTheme="minorEastAsia" w:eastAsiaTheme="minorEastAsia" w:hAnsiTheme="minorEastAsia"/>
          <w:color w:val="000000" w:themeColor="text1"/>
          <w:sz w:val="30"/>
        </w:rPr>
        <w:t>二十、基金合同的终止与清算</w:t>
      </w:r>
      <w:bookmarkEnd w:id="64"/>
    </w:p>
    <w:p w:rsidR="006174FD"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bookmarkStart w:id="66" w:name="_Toc79392639"/>
      <w:bookmarkEnd w:id="65"/>
      <w:r w:rsidRPr="001F61B7">
        <w:rPr>
          <w:rFonts w:asciiTheme="minorEastAsia" w:eastAsiaTheme="minorEastAsia" w:hAnsiTheme="minorEastAsia"/>
          <w:bCs/>
          <w:color w:val="000000" w:themeColor="text1"/>
          <w:szCs w:val="21"/>
        </w:rPr>
        <w:t>（一）《基金合同》的变更</w:t>
      </w:r>
    </w:p>
    <w:p w:rsidR="006174FD"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bCs/>
          <w:color w:val="000000" w:themeColor="text1"/>
          <w:szCs w:val="21"/>
        </w:rPr>
        <w:t>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6174FD"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bCs/>
          <w:color w:val="000000" w:themeColor="text1"/>
          <w:szCs w:val="21"/>
        </w:rPr>
        <w:t xml:space="preserve"> 2、关于《基金合同》变更的基金份额持有人大会决议自生效后方可执行，自决议生效后两日内在指定媒介公告。</w:t>
      </w:r>
    </w:p>
    <w:p w:rsidR="006174FD"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bCs/>
          <w:color w:val="000000" w:themeColor="text1"/>
          <w:szCs w:val="21"/>
        </w:rPr>
        <w:t>（二）《基金合同》的终止事由</w:t>
      </w:r>
    </w:p>
    <w:p w:rsidR="006174FD"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bCs/>
          <w:color w:val="000000" w:themeColor="text1"/>
          <w:szCs w:val="21"/>
        </w:rPr>
        <w:t>有下列情形之一的，经履行相关程序后，《基金合同》应当终止：</w:t>
      </w:r>
    </w:p>
    <w:p w:rsidR="006174FD"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bCs/>
          <w:color w:val="000000" w:themeColor="text1"/>
          <w:szCs w:val="21"/>
        </w:rPr>
        <w:t>1、基金份额持有人大会决定终止的；</w:t>
      </w:r>
    </w:p>
    <w:p w:rsidR="006174FD"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bCs/>
          <w:color w:val="000000" w:themeColor="text1"/>
          <w:szCs w:val="21"/>
        </w:rPr>
        <w:t>2、《基金合同》生效后，连续50个工作日出现基金份额持有人数量不满200人或者基金资产净值低于5000万元情形的；</w:t>
      </w:r>
    </w:p>
    <w:p w:rsidR="006174FD"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bCs/>
          <w:color w:val="000000" w:themeColor="text1"/>
          <w:szCs w:val="21"/>
        </w:rPr>
        <w:t>3、基金管理人、基金托管人职责终止，在6个月内没有新基金管理人、新基金托管人承接的；</w:t>
      </w:r>
    </w:p>
    <w:p w:rsidR="006174FD"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bCs/>
          <w:color w:val="000000" w:themeColor="text1"/>
          <w:szCs w:val="21"/>
        </w:rPr>
        <w:t>4、《基金合同》约定的其他情形；</w:t>
      </w:r>
    </w:p>
    <w:p w:rsidR="006174FD"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bCs/>
          <w:color w:val="000000" w:themeColor="text1"/>
          <w:szCs w:val="21"/>
        </w:rPr>
        <w:t>5、相关法律法规和中国证监会规定的其他情况。</w:t>
      </w:r>
    </w:p>
    <w:p w:rsidR="006174FD"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bCs/>
          <w:color w:val="000000" w:themeColor="text1"/>
          <w:szCs w:val="21"/>
        </w:rPr>
        <w:t>（三）基金财产的清算</w:t>
      </w:r>
    </w:p>
    <w:p w:rsidR="006174FD"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bCs/>
          <w:color w:val="000000" w:themeColor="text1"/>
          <w:szCs w:val="21"/>
        </w:rPr>
        <w:t>1、基金财产清算小组：自出现《基金合同》终止事由之日起30个工作日内成立清算小组，基金管理人组织基金财产清算小组并在中国证监会的监督下进行基金清算。</w:t>
      </w:r>
    </w:p>
    <w:p w:rsidR="006174FD"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bCs/>
          <w:color w:val="000000" w:themeColor="text1"/>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6174FD"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bCs/>
          <w:color w:val="000000" w:themeColor="text1"/>
          <w:szCs w:val="21"/>
        </w:rPr>
        <w:t>3、基金财产清算小组职责：基金财产清算小组负责基金财产的保管、清理、估价、变现和分配。基金财产清算小组可以依法进行必要的民事活动。</w:t>
      </w:r>
    </w:p>
    <w:p w:rsidR="006174FD"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bCs/>
          <w:color w:val="000000" w:themeColor="text1"/>
          <w:szCs w:val="21"/>
        </w:rPr>
        <w:t>4、基金财产清算程序：</w:t>
      </w:r>
    </w:p>
    <w:p w:rsidR="006174FD"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bCs/>
          <w:color w:val="000000" w:themeColor="text1"/>
          <w:szCs w:val="21"/>
        </w:rPr>
        <w:t>（1）《基金合同》终止情形出现时，由基金财产清算小组统一接管基金；</w:t>
      </w:r>
    </w:p>
    <w:p w:rsidR="006174FD"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bCs/>
          <w:color w:val="000000" w:themeColor="text1"/>
          <w:szCs w:val="21"/>
        </w:rPr>
        <w:t>（2）对基金财产和债权债务进行清理和确认；</w:t>
      </w:r>
    </w:p>
    <w:p w:rsidR="006174FD"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bCs/>
          <w:color w:val="000000" w:themeColor="text1"/>
          <w:szCs w:val="21"/>
        </w:rPr>
        <w:t>（3）对基金财产进行估值和变现；</w:t>
      </w:r>
    </w:p>
    <w:p w:rsidR="006174FD"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bCs/>
          <w:color w:val="000000" w:themeColor="text1"/>
          <w:szCs w:val="21"/>
        </w:rPr>
        <w:t>（4）制作清算报告；</w:t>
      </w:r>
    </w:p>
    <w:p w:rsidR="006174FD"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bCs/>
          <w:color w:val="000000" w:themeColor="text1"/>
          <w:szCs w:val="21"/>
        </w:rPr>
        <w:t>（5）聘请会计师事务所对清算报告进行外部审计，聘请律师事务所对清算报告出具法律意见书；</w:t>
      </w:r>
    </w:p>
    <w:p w:rsidR="006174FD"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bCs/>
          <w:color w:val="000000" w:themeColor="text1"/>
          <w:szCs w:val="21"/>
        </w:rPr>
        <w:t>（6）将清算报告报中国证监会备案并公告；</w:t>
      </w:r>
    </w:p>
    <w:p w:rsidR="006174FD"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bCs/>
          <w:color w:val="000000" w:themeColor="text1"/>
          <w:szCs w:val="21"/>
        </w:rPr>
        <w:t>（7）对基金剩余财产进行分配。</w:t>
      </w:r>
    </w:p>
    <w:p w:rsidR="006174FD"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bCs/>
          <w:color w:val="000000" w:themeColor="text1"/>
          <w:szCs w:val="21"/>
        </w:rPr>
        <w:t>5、基金财产清算的期限为6个月，但因本基金所持证券的流动性受到限制而不能及时变现的，清算期限相应顺延。</w:t>
      </w:r>
    </w:p>
    <w:p w:rsidR="006174FD"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bCs/>
          <w:color w:val="000000" w:themeColor="text1"/>
          <w:szCs w:val="21"/>
        </w:rPr>
        <w:t>（四）清算费用</w:t>
      </w:r>
    </w:p>
    <w:p w:rsidR="006174FD"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bCs/>
          <w:color w:val="000000" w:themeColor="text1"/>
          <w:szCs w:val="21"/>
        </w:rPr>
        <w:t>清算费用是指基金财产清算小组在进行基金清算过程中发生的所有合理费用，清算费用由基金财产清算小组优先从基金财产中支付。</w:t>
      </w:r>
    </w:p>
    <w:p w:rsidR="006174FD"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bCs/>
          <w:color w:val="000000" w:themeColor="text1"/>
          <w:szCs w:val="21"/>
        </w:rPr>
        <w:t>（五）基金财产清算剩余资产的分配</w:t>
      </w:r>
    </w:p>
    <w:p w:rsidR="006174FD"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bCs/>
          <w:color w:val="000000" w:themeColor="text1"/>
          <w:szCs w:val="21"/>
        </w:rPr>
        <w:t>依据基金财产清算的分配方案，将基金财产清算后的全部剩余资产扣除基金财产清算费用、交纳所欠税款并清偿基金债务后，按基金份额持有人持有的基金份额比例进行分配。</w:t>
      </w:r>
    </w:p>
    <w:p w:rsidR="006174FD"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bCs/>
          <w:color w:val="000000" w:themeColor="text1"/>
          <w:szCs w:val="21"/>
        </w:rPr>
        <w:t>（六）基金财产清算的公告</w:t>
      </w:r>
    </w:p>
    <w:p w:rsidR="006174FD"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bCs/>
          <w:color w:val="000000" w:themeColor="text1"/>
          <w:szCs w:val="21"/>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6174FD"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r w:rsidRPr="001F61B7">
        <w:rPr>
          <w:rFonts w:asciiTheme="minorEastAsia" w:eastAsiaTheme="minorEastAsia" w:hAnsiTheme="minorEastAsia"/>
          <w:bCs/>
          <w:color w:val="000000" w:themeColor="text1"/>
          <w:szCs w:val="21"/>
        </w:rPr>
        <w:t>（七）基金财产清算账册及文件的保存</w:t>
      </w:r>
    </w:p>
    <w:p w:rsidR="00BA4B87"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bCs/>
          <w:color w:val="000000" w:themeColor="text1"/>
          <w:szCs w:val="21"/>
        </w:rPr>
        <w:t>基金财产清算账册及有关文件由基金托管人保存15年以上。</w:t>
      </w:r>
      <w:bookmarkEnd w:id="66"/>
    </w:p>
    <w:p w:rsidR="00BA4B87" w:rsidRPr="001F61B7" w:rsidP="00C42A18">
      <w:pPr>
        <w:pStyle w:val="Heading1"/>
        <w:tabs>
          <w:tab w:val="left" w:pos="3544"/>
        </w:tabs>
        <w:spacing w:before="317" w:after="317" w:line="360" w:lineRule="auto"/>
        <w:ind w:firstLine="600"/>
        <w:rPr>
          <w:rFonts w:asciiTheme="minorEastAsia" w:eastAsiaTheme="minorEastAsia" w:hAnsiTheme="minorEastAsia"/>
          <w:color w:val="000000" w:themeColor="text1"/>
          <w:kern w:val="44"/>
          <w:sz w:val="28"/>
          <w:szCs w:val="44"/>
        </w:rPr>
      </w:pPr>
      <w:r w:rsidRPr="001F61B7">
        <w:rPr>
          <w:rFonts w:asciiTheme="minorEastAsia" w:eastAsiaTheme="minorEastAsia" w:hAnsiTheme="minorEastAsia"/>
          <w:color w:val="000000" w:themeColor="text1"/>
          <w:sz w:val="30"/>
        </w:rPr>
        <w:br w:type="column"/>
      </w:r>
      <w:bookmarkStart w:id="67" w:name="_Toc80796285"/>
      <w:r w:rsidRPr="001F61B7">
        <w:rPr>
          <w:rFonts w:asciiTheme="minorEastAsia" w:eastAsiaTheme="minorEastAsia" w:hAnsiTheme="minorEastAsia"/>
          <w:color w:val="000000" w:themeColor="text1"/>
          <w:sz w:val="30"/>
        </w:rPr>
        <w:t>二</w:t>
      </w:r>
      <w:bookmarkStart w:id="68" w:name="_Toc332373588"/>
      <w:r w:rsidRPr="001F61B7">
        <w:rPr>
          <w:rFonts w:asciiTheme="minorEastAsia" w:eastAsiaTheme="minorEastAsia" w:hAnsiTheme="minorEastAsia"/>
          <w:color w:val="000000" w:themeColor="text1"/>
          <w:sz w:val="30"/>
        </w:rPr>
        <w:t>十</w:t>
      </w:r>
      <w:r w:rsidRPr="001F61B7" w:rsidR="006174FD">
        <w:rPr>
          <w:rFonts w:asciiTheme="minorEastAsia" w:eastAsiaTheme="minorEastAsia" w:hAnsiTheme="minorEastAsia"/>
          <w:color w:val="000000" w:themeColor="text1"/>
          <w:sz w:val="30"/>
        </w:rPr>
        <w:t>一</w:t>
      </w:r>
      <w:r w:rsidRPr="001F61B7">
        <w:rPr>
          <w:rFonts w:asciiTheme="minorEastAsia" w:eastAsiaTheme="minorEastAsia" w:hAnsiTheme="minorEastAsia"/>
          <w:color w:val="000000" w:themeColor="text1"/>
          <w:sz w:val="30"/>
        </w:rPr>
        <w:t>、基金合同的内容摘要</w:t>
      </w:r>
      <w:bookmarkEnd w:id="67"/>
    </w:p>
    <w:bookmarkEnd w:id="68"/>
    <w:p w:rsidR="00DC2FC0" w:rsidRPr="001F61B7" w:rsidP="00C42A18">
      <w:pPr>
        <w:tabs>
          <w:tab w:val="left" w:pos="3544"/>
        </w:tabs>
        <w:spacing w:line="360" w:lineRule="auto"/>
        <w:ind w:firstLine="420" w:firstLineChars="200"/>
        <w:rPr>
          <w:rFonts w:asciiTheme="minorEastAsia" w:eastAsiaTheme="minorEastAsia" w:hAnsiTheme="minorEastAsia"/>
          <w:bCs/>
          <w:color w:val="000000" w:themeColor="text1"/>
          <w:szCs w:val="21"/>
        </w:rPr>
      </w:pP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一、基金份额持有人、基金管理人和基金托管人的权利、义务</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（一）基金份额持有人的权利、义务</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1、根据《基金法》、《运作办法》及其他有关规定，基金份额持有人的权利包括但不限于：</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（1）分享基金财产收益；</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（2）参与分配清算后的剩余基金财产；</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（3）依法</w:t>
      </w:r>
      <w:r w:rsidRPr="001F61B7">
        <w:rPr>
          <w:rFonts w:asciiTheme="minorEastAsia" w:eastAsiaTheme="minorEastAsia" w:hAnsiTheme="minorEastAsia" w:hint="eastAsia"/>
          <w:color w:val="000000" w:themeColor="text1"/>
          <w:kern w:val="0"/>
          <w:szCs w:val="21"/>
        </w:rPr>
        <w:t>转让或者</w:t>
      </w:r>
      <w:r w:rsidRPr="001F61B7">
        <w:rPr>
          <w:rFonts w:asciiTheme="minorEastAsia" w:eastAsiaTheme="minorEastAsia" w:hAnsiTheme="minorEastAsia"/>
          <w:color w:val="000000" w:themeColor="text1"/>
          <w:kern w:val="0"/>
          <w:szCs w:val="21"/>
        </w:rPr>
        <w:t>申请赎回其持有的基金份额；</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（4）按照规定要求召开基金份额持有人大会或者召集基金份额持有人大会；</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（5）出席或者委派代表出席基金份额持有人大会，对基金份额持有人大会审议事项行使表决权；</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（6）查阅或者复制公开披露的基金信息资料；</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（7）监督基金管理人的投资运作；</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（8）对基金管理人、基金托管人、基金</w:t>
      </w:r>
      <w:r w:rsidRPr="001F61B7">
        <w:rPr>
          <w:rFonts w:asciiTheme="minorEastAsia" w:eastAsiaTheme="minorEastAsia" w:hAnsiTheme="minorEastAsia" w:hint="eastAsia"/>
          <w:color w:val="000000" w:themeColor="text1"/>
          <w:kern w:val="0"/>
          <w:szCs w:val="21"/>
        </w:rPr>
        <w:t>服务</w:t>
      </w:r>
      <w:r w:rsidRPr="001F61B7">
        <w:rPr>
          <w:rFonts w:asciiTheme="minorEastAsia" w:eastAsiaTheme="minorEastAsia" w:hAnsiTheme="minorEastAsia"/>
          <w:color w:val="000000" w:themeColor="text1"/>
          <w:kern w:val="0"/>
          <w:szCs w:val="21"/>
        </w:rPr>
        <w:t>机构损害其合法权益的行为依法提起诉讼或仲裁；</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（9）</w:t>
      </w:r>
      <w:r w:rsidRPr="001F61B7">
        <w:rPr>
          <w:rFonts w:asciiTheme="minorEastAsia" w:eastAsiaTheme="minorEastAsia" w:hAnsiTheme="minorEastAsia" w:hint="eastAsia"/>
          <w:color w:val="000000" w:themeColor="text1"/>
          <w:kern w:val="0"/>
          <w:szCs w:val="21"/>
        </w:rPr>
        <w:t>法律法规及中国证监会规定的和《基金合同》约定的其他</w:t>
      </w:r>
      <w:r w:rsidRPr="001F61B7">
        <w:rPr>
          <w:rFonts w:asciiTheme="minorEastAsia" w:eastAsiaTheme="minorEastAsia" w:hAnsiTheme="minorEastAsia"/>
          <w:color w:val="000000" w:themeColor="text1"/>
          <w:kern w:val="0"/>
          <w:szCs w:val="21"/>
        </w:rPr>
        <w:t>权利。</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2、根据《基金法》、《运作办法》及其他有关规定，基金份额持有人的义务包括但不限于：</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（1）认真阅读并遵守《基金合同》</w:t>
      </w:r>
      <w:r w:rsidRPr="001F61B7">
        <w:rPr>
          <w:rFonts w:asciiTheme="minorEastAsia" w:eastAsiaTheme="minorEastAsia" w:hAnsiTheme="minorEastAsia" w:hint="eastAsia"/>
          <w:color w:val="000000" w:themeColor="text1"/>
          <w:kern w:val="0"/>
          <w:szCs w:val="21"/>
        </w:rPr>
        <w:t>、招募说明书等信息披露文件</w:t>
      </w:r>
      <w:r w:rsidRPr="001F61B7">
        <w:rPr>
          <w:rFonts w:asciiTheme="minorEastAsia" w:eastAsiaTheme="minorEastAsia" w:hAnsiTheme="minorEastAsia"/>
          <w:color w:val="000000" w:themeColor="text1"/>
          <w:kern w:val="0"/>
          <w:szCs w:val="21"/>
        </w:rPr>
        <w:t>；</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（2）了解所投资基金产品，了解自身风险承受能力，自主判断基金的投资价值，自主做出投资决策，自行承担投资风险；</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（3）关注基金信息披露，及时行使权利和履行义务；</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（4）</w:t>
      </w:r>
      <w:r w:rsidRPr="001F61B7">
        <w:rPr>
          <w:rFonts w:asciiTheme="minorEastAsia" w:eastAsiaTheme="minorEastAsia" w:hAnsiTheme="minorEastAsia" w:hint="eastAsia"/>
          <w:color w:val="000000" w:themeColor="text1"/>
          <w:kern w:val="0"/>
          <w:szCs w:val="21"/>
        </w:rPr>
        <w:t>交纳</w:t>
      </w:r>
      <w:r w:rsidRPr="001F61B7">
        <w:rPr>
          <w:rFonts w:asciiTheme="minorEastAsia" w:eastAsiaTheme="minorEastAsia" w:hAnsiTheme="minorEastAsia"/>
          <w:color w:val="000000" w:themeColor="text1"/>
          <w:kern w:val="0"/>
          <w:szCs w:val="21"/>
        </w:rPr>
        <w:t>基金认购款项</w:t>
      </w:r>
      <w:r w:rsidRPr="001F61B7">
        <w:rPr>
          <w:rFonts w:asciiTheme="minorEastAsia" w:eastAsiaTheme="minorEastAsia" w:hAnsiTheme="minorEastAsia" w:hint="eastAsia"/>
          <w:color w:val="000000" w:themeColor="text1"/>
          <w:kern w:val="0"/>
          <w:szCs w:val="21"/>
        </w:rPr>
        <w:t>或认购股票、应付申购对价、现金差额</w:t>
      </w:r>
      <w:r w:rsidRPr="001F61B7">
        <w:rPr>
          <w:rFonts w:asciiTheme="minorEastAsia" w:eastAsiaTheme="minorEastAsia" w:hAnsiTheme="minorEastAsia"/>
          <w:color w:val="000000" w:themeColor="text1"/>
          <w:kern w:val="0"/>
          <w:szCs w:val="21"/>
        </w:rPr>
        <w:t>及法律法规和《基金合同》所规定的费用；</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（5）在其持有的基金份额范围内，承担基金亏损或者《基金合同》终止的有限责任；</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（6）不从事任何有损基金及其他《基金合同》当事人合法权益的活动；</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（7）执行生效的基金份额持有人大会的决定；</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（8）返还在基金交易过程中因任何原因获得的不当得利；</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（9）法律法规及中国证监会规定的和《基金合同》约定的其他义务。</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（二）基金管理人的权利与义务</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1、根据《基金法》、《运作办法》及其他有关规定，基金管理人的权利包括但不限于：</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（1）依法募集</w:t>
      </w:r>
      <w:r w:rsidRPr="001F61B7">
        <w:rPr>
          <w:rFonts w:asciiTheme="minorEastAsia" w:eastAsiaTheme="minorEastAsia" w:hAnsiTheme="minorEastAsia" w:hint="eastAsia"/>
          <w:color w:val="000000" w:themeColor="text1"/>
          <w:kern w:val="0"/>
          <w:szCs w:val="21"/>
        </w:rPr>
        <w:t>资</w:t>
      </w:r>
      <w:r w:rsidRPr="001F61B7">
        <w:rPr>
          <w:rFonts w:asciiTheme="minorEastAsia" w:eastAsiaTheme="minorEastAsia" w:hAnsiTheme="minorEastAsia"/>
          <w:color w:val="000000" w:themeColor="text1"/>
          <w:kern w:val="0"/>
          <w:szCs w:val="21"/>
        </w:rPr>
        <w:t>金；</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（2）自《基金合同》生效之日起，根据法律法规和《基金合同》独立运用并管理基金财产；</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（3）依照《基金合同》收取基金管理费以及法律法规规定或中国证监会批准的其他费用；</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（4）销售基金份额；</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（5）</w:t>
      </w:r>
      <w:r w:rsidRPr="001F61B7">
        <w:rPr>
          <w:rFonts w:asciiTheme="minorEastAsia" w:eastAsiaTheme="minorEastAsia" w:hAnsiTheme="minorEastAsia" w:hint="eastAsia"/>
          <w:color w:val="000000" w:themeColor="text1"/>
          <w:kern w:val="0"/>
          <w:szCs w:val="21"/>
        </w:rPr>
        <w:t>按照规定</w:t>
      </w:r>
      <w:r w:rsidRPr="001F61B7">
        <w:rPr>
          <w:rFonts w:asciiTheme="minorEastAsia" w:eastAsiaTheme="minorEastAsia" w:hAnsiTheme="minorEastAsia"/>
          <w:color w:val="000000" w:themeColor="text1"/>
          <w:kern w:val="0"/>
          <w:szCs w:val="21"/>
        </w:rPr>
        <w:t>召集基金份额持有人大会；</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（6）依据《基金合同》及有关法律规定监督基金托管人，如认为基金托管人违反了《基金合同》及国家有关法律规定，应呈报中国证监会和其他监管部门，并采取必要措施保护基金投资者的利益；</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（7）在基金托管人更换时，提名新的基金托管人；</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 xml:space="preserve">（8）选择、更换基金销售机构，对基金销售机构的相关行为进行监督和处理； </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（9）担任或委托其他符合条件的机构担任基金登记</w:t>
      </w:r>
      <w:r w:rsidRPr="001F61B7">
        <w:rPr>
          <w:rFonts w:asciiTheme="minorEastAsia" w:eastAsiaTheme="minorEastAsia" w:hAnsiTheme="minorEastAsia" w:hint="eastAsia"/>
          <w:color w:val="000000" w:themeColor="text1"/>
          <w:kern w:val="0"/>
          <w:szCs w:val="21"/>
        </w:rPr>
        <w:t>结算</w:t>
      </w:r>
      <w:r w:rsidRPr="001F61B7">
        <w:rPr>
          <w:rFonts w:asciiTheme="minorEastAsia" w:eastAsiaTheme="minorEastAsia" w:hAnsiTheme="minorEastAsia"/>
          <w:color w:val="000000" w:themeColor="text1"/>
          <w:kern w:val="0"/>
          <w:szCs w:val="21"/>
        </w:rPr>
        <w:t>机构办理基金登记</w:t>
      </w:r>
      <w:r w:rsidRPr="001F61B7">
        <w:rPr>
          <w:rFonts w:asciiTheme="minorEastAsia" w:eastAsiaTheme="minorEastAsia" w:hAnsiTheme="minorEastAsia" w:hint="eastAsia"/>
          <w:color w:val="000000" w:themeColor="text1"/>
          <w:kern w:val="0"/>
          <w:szCs w:val="21"/>
        </w:rPr>
        <w:t>结算</w:t>
      </w:r>
      <w:r w:rsidRPr="001F61B7">
        <w:rPr>
          <w:rFonts w:asciiTheme="minorEastAsia" w:eastAsiaTheme="minorEastAsia" w:hAnsiTheme="minorEastAsia"/>
          <w:color w:val="000000" w:themeColor="text1"/>
          <w:kern w:val="0"/>
          <w:szCs w:val="21"/>
        </w:rPr>
        <w:t xml:space="preserve">业务并获得《基金合同》规定的费用； </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（10）依据《基金合同》及有关法律规定决定基金收益的分配方案；</w:t>
      </w:r>
      <w:r w:rsidRPr="001F61B7">
        <w:rPr>
          <w:rFonts w:asciiTheme="minorEastAsia" w:eastAsiaTheme="minorEastAsia" w:hAnsiTheme="minorEastAsia"/>
          <w:color w:val="000000" w:themeColor="text1"/>
          <w:kern w:val="0"/>
          <w:szCs w:val="21"/>
        </w:rPr>
        <w:tab/>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 xml:space="preserve">（11）在《基金合同》约定的范围内，拒绝或暂停受理申购与赎回申请； </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（12）依照法律法规为基金的利益对被投资公司行使股东权利，为基金的利益行使因基金财产投资于证券所产生的权利；</w:t>
      </w:r>
      <w:r w:rsidRPr="001F61B7">
        <w:rPr>
          <w:rFonts w:asciiTheme="minorEastAsia" w:eastAsiaTheme="minorEastAsia" w:hAnsiTheme="minorEastAsia"/>
          <w:color w:val="000000" w:themeColor="text1"/>
          <w:kern w:val="0"/>
          <w:szCs w:val="21"/>
        </w:rPr>
        <w:tab/>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 xml:space="preserve">（13）在法律法规允许的前提下，为基金的利益依法进行融资及转融通证券出借业务； </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（14）以基金管理人的名义，代表基金份额持有人的利益行使诉讼权利或者实施其他法律行为；</w:t>
      </w:r>
      <w:r w:rsidRPr="001F61B7">
        <w:rPr>
          <w:rFonts w:asciiTheme="minorEastAsia" w:eastAsiaTheme="minorEastAsia" w:hAnsiTheme="minorEastAsia"/>
          <w:color w:val="000000" w:themeColor="text1"/>
          <w:kern w:val="0"/>
          <w:szCs w:val="21"/>
        </w:rPr>
        <w:tab/>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（15）选择、更换律师事务所、会计师事务所、证券经纪商或其他为基金提供服务的外部机构；</w:t>
      </w:r>
      <w:r w:rsidRPr="001F61B7">
        <w:rPr>
          <w:rFonts w:asciiTheme="minorEastAsia" w:eastAsiaTheme="minorEastAsia" w:hAnsiTheme="minorEastAsia"/>
          <w:color w:val="000000" w:themeColor="text1"/>
          <w:kern w:val="0"/>
          <w:szCs w:val="21"/>
        </w:rPr>
        <w:tab/>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（16）在符合有关法律、法规的前提下，制订和调整有关基金认购、申购、赎回、转换</w:t>
      </w:r>
      <w:r w:rsidRPr="001F61B7">
        <w:rPr>
          <w:rFonts w:asciiTheme="minorEastAsia" w:eastAsiaTheme="minorEastAsia" w:hAnsiTheme="minorEastAsia" w:hint="eastAsia"/>
          <w:color w:val="000000" w:themeColor="text1"/>
          <w:kern w:val="0"/>
          <w:szCs w:val="21"/>
        </w:rPr>
        <w:t>、</w:t>
      </w:r>
      <w:r w:rsidRPr="001F61B7">
        <w:rPr>
          <w:rFonts w:asciiTheme="minorEastAsia" w:eastAsiaTheme="minorEastAsia" w:hAnsiTheme="minorEastAsia"/>
          <w:color w:val="000000" w:themeColor="text1"/>
          <w:kern w:val="0"/>
          <w:szCs w:val="21"/>
        </w:rPr>
        <w:t>非交易过户</w:t>
      </w:r>
      <w:r w:rsidRPr="001F61B7">
        <w:rPr>
          <w:rFonts w:asciiTheme="minorEastAsia" w:eastAsiaTheme="minorEastAsia" w:hAnsiTheme="minorEastAsia" w:hint="eastAsia"/>
          <w:color w:val="000000" w:themeColor="text1"/>
          <w:kern w:val="0"/>
          <w:szCs w:val="21"/>
        </w:rPr>
        <w:t>和收益分配等</w:t>
      </w:r>
      <w:r w:rsidRPr="001F61B7">
        <w:rPr>
          <w:rFonts w:asciiTheme="minorEastAsia" w:eastAsiaTheme="minorEastAsia" w:hAnsiTheme="minorEastAsia"/>
          <w:color w:val="000000" w:themeColor="text1"/>
          <w:kern w:val="0"/>
          <w:szCs w:val="21"/>
        </w:rPr>
        <w:t>业务规则；</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（17）法律法规及中国证监会规定的和《基金合同》约定的其他权利。</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2、根据《基金法》、《运作办法》及其他有关规定，基金管理人的义务包括但不限于：</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（1）依法募集</w:t>
      </w:r>
      <w:r w:rsidRPr="001F61B7">
        <w:rPr>
          <w:rFonts w:asciiTheme="minorEastAsia" w:eastAsiaTheme="minorEastAsia" w:hAnsiTheme="minorEastAsia" w:hint="eastAsia"/>
          <w:color w:val="000000" w:themeColor="text1"/>
          <w:kern w:val="0"/>
          <w:szCs w:val="21"/>
        </w:rPr>
        <w:t>资</w:t>
      </w:r>
      <w:r w:rsidRPr="001F61B7">
        <w:rPr>
          <w:rFonts w:asciiTheme="minorEastAsia" w:eastAsiaTheme="minorEastAsia" w:hAnsiTheme="minorEastAsia"/>
          <w:color w:val="000000" w:themeColor="text1"/>
          <w:kern w:val="0"/>
          <w:szCs w:val="21"/>
        </w:rPr>
        <w:t>金，办理或者委托经中国证监会认定的其他机构办理基金份额的发售、申购、赎回和登记</w:t>
      </w:r>
      <w:r w:rsidRPr="001F61B7">
        <w:rPr>
          <w:rFonts w:asciiTheme="minorEastAsia" w:eastAsiaTheme="minorEastAsia" w:hAnsiTheme="minorEastAsia" w:hint="eastAsia"/>
          <w:color w:val="000000" w:themeColor="text1"/>
          <w:kern w:val="0"/>
          <w:szCs w:val="21"/>
        </w:rPr>
        <w:t>结算</w:t>
      </w:r>
      <w:r w:rsidRPr="001F61B7">
        <w:rPr>
          <w:rFonts w:asciiTheme="minorEastAsia" w:eastAsiaTheme="minorEastAsia" w:hAnsiTheme="minorEastAsia"/>
          <w:color w:val="000000" w:themeColor="text1"/>
          <w:kern w:val="0"/>
          <w:szCs w:val="21"/>
        </w:rPr>
        <w:t>事宜；</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（2）办理基金备案手续；</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（3）自《基金合同》生效之日起</w:t>
      </w:r>
      <w:r w:rsidRPr="001F61B7">
        <w:rPr>
          <w:rFonts w:asciiTheme="minorEastAsia" w:eastAsiaTheme="minorEastAsia" w:hAnsiTheme="minorEastAsia" w:hint="eastAsia"/>
          <w:color w:val="000000" w:themeColor="text1"/>
          <w:kern w:val="0"/>
          <w:szCs w:val="21"/>
        </w:rPr>
        <w:t>，</w:t>
      </w:r>
      <w:r w:rsidRPr="001F61B7">
        <w:rPr>
          <w:rFonts w:asciiTheme="minorEastAsia" w:eastAsiaTheme="minorEastAsia" w:hAnsiTheme="minorEastAsia"/>
          <w:color w:val="000000" w:themeColor="text1"/>
          <w:kern w:val="0"/>
          <w:szCs w:val="21"/>
        </w:rPr>
        <w:t>以诚实信用、谨慎勤勉的原则管理和运用基金财产；</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（4）配备足够的具有专业资格的人员进行基金投资分析、决策，以专业化的经营方式管理和运作基金财产；</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（5）建立健全内部风险控制、监察与稽核、财务管理及人事管理等制度，保证所管理的基金财产和基金管理人的财产相互独立</w:t>
      </w:r>
      <w:r w:rsidRPr="001F61B7">
        <w:rPr>
          <w:rFonts w:asciiTheme="minorEastAsia" w:eastAsiaTheme="minorEastAsia" w:hAnsiTheme="minorEastAsia" w:hint="eastAsia"/>
          <w:color w:val="000000" w:themeColor="text1"/>
          <w:kern w:val="0"/>
          <w:szCs w:val="21"/>
        </w:rPr>
        <w:t>，</w:t>
      </w:r>
      <w:r w:rsidRPr="001F61B7">
        <w:rPr>
          <w:rFonts w:asciiTheme="minorEastAsia" w:eastAsiaTheme="minorEastAsia" w:hAnsiTheme="minorEastAsia"/>
          <w:color w:val="000000" w:themeColor="text1"/>
          <w:kern w:val="0"/>
          <w:szCs w:val="21"/>
        </w:rPr>
        <w:t>对所管理的不同基金分别管理，分别记账，进行证券投资；</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（6）除依据《基金法》、《基金合同》及其他有关规定外</w:t>
      </w:r>
      <w:r w:rsidRPr="001F61B7">
        <w:rPr>
          <w:rFonts w:asciiTheme="minorEastAsia" w:eastAsiaTheme="minorEastAsia" w:hAnsiTheme="minorEastAsia" w:hint="eastAsia"/>
          <w:color w:val="000000" w:themeColor="text1"/>
          <w:kern w:val="0"/>
          <w:szCs w:val="21"/>
        </w:rPr>
        <w:t>，</w:t>
      </w:r>
      <w:r w:rsidRPr="001F61B7">
        <w:rPr>
          <w:rFonts w:asciiTheme="minorEastAsia" w:eastAsiaTheme="minorEastAsia" w:hAnsiTheme="minorEastAsia"/>
          <w:color w:val="000000" w:themeColor="text1"/>
          <w:kern w:val="0"/>
          <w:szCs w:val="21"/>
        </w:rPr>
        <w:t>不得利用基金财产为自己及任何第三人谋取利益，不得委托第三人运作基金财产；</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（7）依法接受基金托管人的监督；</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（8）采取适当合理的措施使计算基金份额认购、申购、赎回和注销价格的方法符合《基金合同》等法律文件的规定，按有关规定计算并公告基金净值</w:t>
      </w:r>
      <w:r w:rsidRPr="001F61B7">
        <w:rPr>
          <w:rFonts w:asciiTheme="minorEastAsia" w:eastAsiaTheme="minorEastAsia" w:hAnsiTheme="minorEastAsia" w:hint="eastAsia"/>
          <w:color w:val="000000" w:themeColor="text1"/>
          <w:kern w:val="0"/>
          <w:szCs w:val="21"/>
        </w:rPr>
        <w:t>信息</w:t>
      </w:r>
      <w:r w:rsidRPr="001F61B7">
        <w:rPr>
          <w:rFonts w:asciiTheme="minorEastAsia" w:eastAsiaTheme="minorEastAsia" w:hAnsiTheme="minorEastAsia"/>
          <w:color w:val="000000" w:themeColor="text1"/>
          <w:kern w:val="0"/>
          <w:szCs w:val="21"/>
        </w:rPr>
        <w:t>，确定基金份额申购、赎回的</w:t>
      </w:r>
      <w:r w:rsidRPr="001F61B7">
        <w:rPr>
          <w:rFonts w:asciiTheme="minorEastAsia" w:eastAsiaTheme="minorEastAsia" w:hAnsiTheme="minorEastAsia" w:hint="eastAsia"/>
          <w:color w:val="000000" w:themeColor="text1"/>
          <w:kern w:val="0"/>
          <w:szCs w:val="21"/>
        </w:rPr>
        <w:t>对价，编制申购赎回清单</w:t>
      </w:r>
      <w:r w:rsidRPr="001F61B7">
        <w:rPr>
          <w:rFonts w:asciiTheme="minorEastAsia" w:eastAsiaTheme="minorEastAsia" w:hAnsiTheme="minorEastAsia"/>
          <w:color w:val="000000" w:themeColor="text1"/>
          <w:kern w:val="0"/>
          <w:szCs w:val="21"/>
        </w:rPr>
        <w:t>；</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（9）进行基金会计核算并编制基金财务会计报告；</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（10）编制季度</w:t>
      </w:r>
      <w:r w:rsidRPr="001F61B7">
        <w:rPr>
          <w:rFonts w:asciiTheme="minorEastAsia" w:eastAsiaTheme="minorEastAsia" w:hAnsiTheme="minorEastAsia" w:hint="eastAsia"/>
          <w:color w:val="000000" w:themeColor="text1"/>
          <w:kern w:val="0"/>
          <w:szCs w:val="21"/>
        </w:rPr>
        <w:t>报告</w:t>
      </w:r>
      <w:r w:rsidRPr="001F61B7">
        <w:rPr>
          <w:rFonts w:asciiTheme="minorEastAsia" w:eastAsiaTheme="minorEastAsia" w:hAnsiTheme="minorEastAsia"/>
          <w:color w:val="000000" w:themeColor="text1"/>
          <w:kern w:val="0"/>
          <w:szCs w:val="21"/>
        </w:rPr>
        <w:t>、</w:t>
      </w:r>
      <w:r w:rsidRPr="001F61B7">
        <w:rPr>
          <w:rFonts w:asciiTheme="minorEastAsia" w:eastAsiaTheme="minorEastAsia" w:hAnsiTheme="minorEastAsia" w:hint="eastAsia"/>
          <w:color w:val="000000" w:themeColor="text1"/>
          <w:kern w:val="0"/>
          <w:szCs w:val="21"/>
        </w:rPr>
        <w:t>中期报告</w:t>
      </w:r>
      <w:r w:rsidRPr="001F61B7">
        <w:rPr>
          <w:rFonts w:asciiTheme="minorEastAsia" w:eastAsiaTheme="minorEastAsia" w:hAnsiTheme="minorEastAsia"/>
          <w:color w:val="000000" w:themeColor="text1"/>
          <w:kern w:val="0"/>
          <w:szCs w:val="21"/>
        </w:rPr>
        <w:t>和年度报告；</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（11）严格按照《基金法》、《基金合同》及其他有关规定，履行信息披露及报告义务；</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（12）保守基金商业秘密，不泄露基金投资计划、投资意向等。除《基金法》、《基金合同》及其他有关规定另有规定外，在基金信息公开披露前应予保密，不向他人泄露；</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（13）按《基金合同》的约定确定基金收益分配方案，及时向基金份额持有人分配基金收益；</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（14）按规定受理申购与赎回申请，及时、足额支付赎回</w:t>
      </w:r>
      <w:r w:rsidRPr="001F61B7">
        <w:rPr>
          <w:rFonts w:asciiTheme="minorEastAsia" w:eastAsiaTheme="minorEastAsia" w:hAnsiTheme="minorEastAsia" w:hint="eastAsia"/>
          <w:color w:val="000000" w:themeColor="text1"/>
          <w:kern w:val="0"/>
          <w:szCs w:val="21"/>
        </w:rPr>
        <w:t>对价</w:t>
      </w:r>
      <w:r w:rsidRPr="001F61B7">
        <w:rPr>
          <w:rFonts w:asciiTheme="minorEastAsia" w:eastAsiaTheme="minorEastAsia" w:hAnsiTheme="minorEastAsia"/>
          <w:color w:val="000000" w:themeColor="text1"/>
          <w:kern w:val="0"/>
          <w:szCs w:val="21"/>
        </w:rPr>
        <w:t>；</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（15）依据《基金法》、《基金合同》及其他有关规定召集基金份额持有人大会或配合基金托管人、基金份额持有人依法召集基金份额持有人大会；</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（16）按规定保存基金财产管理业务活动的会计账册、报表、记录和其他相关资料</w:t>
      </w:r>
      <w:r w:rsidRPr="001F61B7">
        <w:rPr>
          <w:rFonts w:asciiTheme="minorEastAsia" w:eastAsiaTheme="minorEastAsia" w:hAnsiTheme="minorEastAsia" w:hint="eastAsia"/>
          <w:color w:val="000000" w:themeColor="text1"/>
          <w:kern w:val="0"/>
          <w:szCs w:val="21"/>
        </w:rPr>
        <w:t>15</w:t>
      </w:r>
      <w:r w:rsidRPr="001F61B7">
        <w:rPr>
          <w:rFonts w:asciiTheme="minorEastAsia" w:eastAsiaTheme="minorEastAsia" w:hAnsiTheme="minorEastAsia"/>
          <w:color w:val="000000" w:themeColor="text1"/>
          <w:kern w:val="0"/>
          <w:szCs w:val="21"/>
        </w:rPr>
        <w:t>年以上；</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（18）组织并参加基金财产清算小组</w:t>
      </w:r>
      <w:r w:rsidRPr="001F61B7">
        <w:rPr>
          <w:rFonts w:asciiTheme="minorEastAsia" w:eastAsiaTheme="minorEastAsia" w:hAnsiTheme="minorEastAsia" w:hint="eastAsia"/>
          <w:color w:val="000000" w:themeColor="text1"/>
          <w:kern w:val="0"/>
          <w:szCs w:val="21"/>
        </w:rPr>
        <w:t>，</w:t>
      </w:r>
      <w:r w:rsidRPr="001F61B7">
        <w:rPr>
          <w:rFonts w:asciiTheme="minorEastAsia" w:eastAsiaTheme="minorEastAsia" w:hAnsiTheme="minorEastAsia"/>
          <w:color w:val="000000" w:themeColor="text1"/>
          <w:kern w:val="0"/>
          <w:szCs w:val="21"/>
        </w:rPr>
        <w:t>参与基金财产的保管、清理、估价、变现和分配；</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（19）面临解散、依法被撤销或者被依法宣告破产时，及时报告中国证监会并通知基金托管人；</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（20）因违反《基金合同》导致基金财产的损失或损害基金份额持有人合法权益时，应当承担赔偿责任，其赔偿责任不因其退任而免除；</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（21）监督基金托管人按法律法规和《基金合同》规定履行自己的义务，基金托管人违反《基金合同》造成基金财产损失时，基金管理人应为基金份额持有人利益向基金托管人追偿；</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（22）当基金管理人将其义务委托第三方处理时，应当对第三方处理有关基金事务的行为承担责任；</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（23）以基金管理人名义，代表基金份额持有人利益行使诉讼权利或实施其他法律行为；</w:t>
      </w:r>
      <w:r w:rsidRPr="001F61B7">
        <w:rPr>
          <w:rFonts w:asciiTheme="minorEastAsia" w:eastAsiaTheme="minorEastAsia" w:hAnsiTheme="minorEastAsia"/>
          <w:color w:val="000000" w:themeColor="text1"/>
          <w:kern w:val="0"/>
          <w:szCs w:val="21"/>
        </w:rPr>
        <w:tab/>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（24）基金管理人在募集期间未能达到基金的备案条件，《基金合同》不能生效，基金管理人承担</w:t>
      </w:r>
      <w:r w:rsidRPr="001F61B7">
        <w:rPr>
          <w:rFonts w:asciiTheme="minorEastAsia" w:eastAsiaTheme="minorEastAsia" w:hAnsiTheme="minorEastAsia" w:hint="eastAsia"/>
          <w:color w:val="000000" w:themeColor="text1"/>
          <w:kern w:val="0"/>
          <w:szCs w:val="21"/>
        </w:rPr>
        <w:t>因募集行为而产生的债务和</w:t>
      </w:r>
      <w:r w:rsidRPr="001F61B7">
        <w:rPr>
          <w:rFonts w:asciiTheme="minorEastAsia" w:eastAsiaTheme="minorEastAsia" w:hAnsiTheme="minorEastAsia"/>
          <w:color w:val="000000" w:themeColor="text1"/>
          <w:kern w:val="0"/>
          <w:szCs w:val="21"/>
        </w:rPr>
        <w:t>全部募集费用，将已募集资金并加计银行同期</w:t>
      </w:r>
      <w:r w:rsidRPr="001F61B7">
        <w:rPr>
          <w:rFonts w:asciiTheme="minorEastAsia" w:eastAsiaTheme="minorEastAsia" w:hAnsiTheme="minorEastAsia" w:hint="eastAsia"/>
          <w:color w:val="000000" w:themeColor="text1"/>
          <w:kern w:val="0"/>
          <w:szCs w:val="21"/>
        </w:rPr>
        <w:t>活期</w:t>
      </w:r>
      <w:r w:rsidRPr="001F61B7">
        <w:rPr>
          <w:rFonts w:asciiTheme="minorEastAsia" w:eastAsiaTheme="minorEastAsia" w:hAnsiTheme="minorEastAsia"/>
          <w:color w:val="000000" w:themeColor="text1"/>
          <w:kern w:val="0"/>
          <w:szCs w:val="21"/>
        </w:rPr>
        <w:t>存款利息在基金募集期结束后</w:t>
      </w:r>
      <w:r w:rsidRPr="001F61B7">
        <w:rPr>
          <w:rFonts w:asciiTheme="minorEastAsia" w:eastAsiaTheme="minorEastAsia" w:hAnsiTheme="minorEastAsia" w:hint="eastAsia"/>
          <w:color w:val="000000" w:themeColor="text1"/>
          <w:kern w:val="0"/>
          <w:szCs w:val="21"/>
        </w:rPr>
        <w:t>30</w:t>
      </w:r>
      <w:r w:rsidRPr="001F61B7">
        <w:rPr>
          <w:rFonts w:asciiTheme="minorEastAsia" w:eastAsiaTheme="minorEastAsia" w:hAnsiTheme="minorEastAsia"/>
          <w:color w:val="000000" w:themeColor="text1"/>
          <w:kern w:val="0"/>
          <w:szCs w:val="21"/>
        </w:rPr>
        <w:t>日内退还基金认购人；</w:t>
      </w:r>
      <w:r w:rsidRPr="001F61B7">
        <w:rPr>
          <w:rFonts w:asciiTheme="minorEastAsia" w:eastAsiaTheme="minorEastAsia" w:hAnsiTheme="minorEastAsia" w:hint="eastAsia"/>
          <w:color w:val="000000" w:themeColor="text1"/>
          <w:kern w:val="0"/>
          <w:szCs w:val="21"/>
        </w:rPr>
        <w:t>募集期间网下股票认购所冻结的股票应予以解冻</w:t>
      </w:r>
      <w:r w:rsidRPr="001F61B7">
        <w:rPr>
          <w:rFonts w:asciiTheme="minorEastAsia" w:eastAsiaTheme="minorEastAsia" w:hAnsiTheme="minorEastAsia"/>
          <w:color w:val="000000" w:themeColor="text1"/>
          <w:kern w:val="0"/>
          <w:szCs w:val="21"/>
        </w:rPr>
        <w:t>；</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（25）执行生效的基金份额持有人大会的</w:t>
      </w:r>
      <w:r w:rsidRPr="001F61B7">
        <w:rPr>
          <w:rFonts w:asciiTheme="minorEastAsia" w:eastAsiaTheme="minorEastAsia" w:hAnsiTheme="minorEastAsia" w:hint="eastAsia"/>
          <w:color w:val="000000" w:themeColor="text1"/>
          <w:kern w:val="0"/>
          <w:szCs w:val="21"/>
        </w:rPr>
        <w:t>决议</w:t>
      </w:r>
      <w:r w:rsidRPr="001F61B7">
        <w:rPr>
          <w:rFonts w:asciiTheme="minorEastAsia" w:eastAsiaTheme="minorEastAsia" w:hAnsiTheme="minorEastAsia"/>
          <w:color w:val="000000" w:themeColor="text1"/>
          <w:kern w:val="0"/>
          <w:szCs w:val="21"/>
        </w:rPr>
        <w:t>；</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（26）建立并保存基金份额持有人名册；</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（27）法律法规及中国证监会规定的和《基金合同》约定的其他义务。</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（三）基金托管人的权利与义务</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1、根据《基金法》、《运作办法》及其他有关规定，基金托管人的权利包括但不限于：</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（1）自《基金合同》生效之日起，依法律法规和《基金合同》的规定安全保管基金财产；</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（2）依《基金合同》约定获得基金托管费以及法律法规规定或监管部门批准的其他费用；</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（4）根据相关市场规则，为基金开设证券</w:t>
      </w:r>
      <w:r w:rsidRPr="001F61B7">
        <w:rPr>
          <w:rFonts w:asciiTheme="minorEastAsia" w:eastAsiaTheme="minorEastAsia" w:hAnsiTheme="minorEastAsia" w:hint="eastAsia"/>
          <w:color w:val="000000" w:themeColor="text1"/>
          <w:kern w:val="0"/>
          <w:szCs w:val="21"/>
        </w:rPr>
        <w:t>账户等投资所需账户</w:t>
      </w:r>
      <w:r w:rsidRPr="001F61B7">
        <w:rPr>
          <w:rFonts w:asciiTheme="minorEastAsia" w:eastAsiaTheme="minorEastAsia" w:hAnsiTheme="minorEastAsia"/>
          <w:color w:val="000000" w:themeColor="text1"/>
          <w:kern w:val="0"/>
          <w:szCs w:val="21"/>
        </w:rPr>
        <w:t>、为基金办理证券交易资金清算</w:t>
      </w:r>
      <w:r w:rsidRPr="001F61B7">
        <w:rPr>
          <w:rFonts w:asciiTheme="minorEastAsia" w:eastAsiaTheme="minorEastAsia" w:hAnsiTheme="minorEastAsia" w:hint="eastAsia"/>
          <w:color w:val="000000" w:themeColor="text1"/>
          <w:kern w:val="0"/>
          <w:szCs w:val="21"/>
        </w:rPr>
        <w:t>；</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（5）提议召开或召集基金份额持有人大会；</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（6）在基金管理人更换时，提名新的基金管理人；</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（7）法律法规及中国证监会规定的和《基金合同》约定的其他权利。</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2、根据《基金法》、《运作办法》及其他有关规定，基金托管人的义务包括但不限于：</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（1）以诚实信用、勤勉尽责的原则持有并安全保管基金财产；</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（2）设立专门的基金托管部门，具有符合要求的营业场所，配备足够的、合格的熟悉基金托管业务的专职人员，负责基金财产托管事宜；</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（4）除依据《基金法》、《基金合同》及其他有关规定外，不得利用基金财产为自己及任何第三人谋取利益，不得委托第三人托管基金财产；</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（5）保管由基金管理人代表基金签订的与基金有关的重大合同及有关凭证；</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（6）按规定开设基金财产的资金账户和证券账户</w:t>
      </w:r>
      <w:r w:rsidRPr="001F61B7">
        <w:rPr>
          <w:rFonts w:asciiTheme="minorEastAsia" w:eastAsiaTheme="minorEastAsia" w:hAnsiTheme="minorEastAsia" w:hint="eastAsia"/>
          <w:color w:val="000000" w:themeColor="text1"/>
          <w:kern w:val="0"/>
          <w:szCs w:val="21"/>
        </w:rPr>
        <w:t>等投资所需账户，</w:t>
      </w:r>
      <w:r w:rsidRPr="001F61B7">
        <w:rPr>
          <w:rFonts w:asciiTheme="minorEastAsia" w:eastAsiaTheme="minorEastAsia" w:hAnsiTheme="minorEastAsia"/>
          <w:color w:val="000000" w:themeColor="text1"/>
          <w:kern w:val="0"/>
          <w:szCs w:val="21"/>
        </w:rPr>
        <w:t>按照《基金合同》的约定，根据基金管理人的投资指令，及时办理清算、交割事宜；</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（7）保守基金商业秘密，除《基金法》、《基金合同》及其他有关规定另有规定外，在基金信息公开披露前予以保密，不得向他人泄露</w:t>
      </w:r>
      <w:r w:rsidRPr="001F61B7">
        <w:rPr>
          <w:rFonts w:asciiTheme="minorEastAsia" w:eastAsiaTheme="minorEastAsia" w:hAnsiTheme="minorEastAsia" w:hint="eastAsia"/>
          <w:color w:val="000000" w:themeColor="text1"/>
          <w:kern w:val="0"/>
          <w:szCs w:val="21"/>
        </w:rPr>
        <w:t>，但向监管机构、司法机关等有权机关的要求，或因审计、法律等外部专业顾问提供服务需要提供的情况除外</w:t>
      </w:r>
      <w:r w:rsidRPr="001F61B7">
        <w:rPr>
          <w:rFonts w:asciiTheme="minorEastAsia" w:eastAsiaTheme="minorEastAsia" w:hAnsiTheme="minorEastAsia"/>
          <w:color w:val="000000" w:themeColor="text1"/>
          <w:kern w:val="0"/>
          <w:szCs w:val="21"/>
        </w:rPr>
        <w:t>；</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（8）复核、审查基金管理人计算的基金资产净值</w:t>
      </w:r>
      <w:r w:rsidRPr="001F61B7">
        <w:rPr>
          <w:rFonts w:asciiTheme="minorEastAsia" w:eastAsiaTheme="minorEastAsia" w:hAnsiTheme="minorEastAsia" w:hint="eastAsia"/>
          <w:color w:val="000000" w:themeColor="text1"/>
          <w:kern w:val="0"/>
          <w:szCs w:val="21"/>
        </w:rPr>
        <w:t>、基金份额净值</w:t>
      </w:r>
      <w:r w:rsidRPr="001F61B7">
        <w:rPr>
          <w:rFonts w:asciiTheme="minorEastAsia" w:eastAsiaTheme="minorEastAsia" w:hAnsiTheme="minorEastAsia"/>
          <w:color w:val="000000" w:themeColor="text1"/>
          <w:kern w:val="0"/>
          <w:szCs w:val="21"/>
        </w:rPr>
        <w:t>；</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（9）办理与基金托管业务活动有关的信息披露事项；</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（10）对基金财务会计报告、</w:t>
      </w:r>
      <w:r w:rsidRPr="001F61B7">
        <w:rPr>
          <w:rFonts w:asciiTheme="minorEastAsia" w:eastAsiaTheme="minorEastAsia" w:hAnsiTheme="minorEastAsia" w:hint="eastAsia"/>
          <w:color w:val="000000" w:themeColor="text1"/>
          <w:kern w:val="0"/>
          <w:szCs w:val="21"/>
        </w:rPr>
        <w:t>季度报告、中期报告</w:t>
      </w:r>
      <w:r w:rsidRPr="001F61B7">
        <w:rPr>
          <w:rFonts w:asciiTheme="minorEastAsia" w:eastAsiaTheme="minorEastAsia" w:hAnsiTheme="minorEastAsia"/>
          <w:color w:val="000000" w:themeColor="text1"/>
          <w:kern w:val="0"/>
          <w:szCs w:val="21"/>
        </w:rPr>
        <w:t>和年度报告出具意见，说明基金管理人在各重要方面的运作是否严格按照《基金合同》的规定进行；如果基金管理人有未执行《基金合同》规定的行为，还应当说明基金托管人是否采取了适当的措施；</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（11）保存基金托管业务活动的记录、账册、报表和其他相关资料</w:t>
      </w:r>
      <w:r w:rsidRPr="001F61B7">
        <w:rPr>
          <w:rFonts w:asciiTheme="minorEastAsia" w:eastAsiaTheme="minorEastAsia" w:hAnsiTheme="minorEastAsia" w:hint="eastAsia"/>
          <w:color w:val="000000" w:themeColor="text1"/>
          <w:kern w:val="0"/>
          <w:szCs w:val="21"/>
        </w:rPr>
        <w:t>15</w:t>
      </w:r>
      <w:r w:rsidRPr="001F61B7">
        <w:rPr>
          <w:rFonts w:asciiTheme="minorEastAsia" w:eastAsiaTheme="minorEastAsia" w:hAnsiTheme="minorEastAsia"/>
          <w:color w:val="000000" w:themeColor="text1"/>
          <w:kern w:val="0"/>
          <w:szCs w:val="21"/>
        </w:rPr>
        <w:t>年以上；</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（12）</w:t>
      </w:r>
      <w:r w:rsidRPr="001F61B7">
        <w:rPr>
          <w:rFonts w:asciiTheme="minorEastAsia" w:eastAsiaTheme="minorEastAsia" w:hAnsiTheme="minorEastAsia" w:hint="eastAsia"/>
          <w:color w:val="000000" w:themeColor="text1"/>
          <w:kern w:val="0"/>
          <w:szCs w:val="21"/>
        </w:rPr>
        <w:t>从基金管理人或其委托的登记机构处接收</w:t>
      </w:r>
      <w:r w:rsidRPr="001F61B7">
        <w:rPr>
          <w:rFonts w:asciiTheme="minorEastAsia" w:eastAsiaTheme="minorEastAsia" w:hAnsiTheme="minorEastAsia"/>
          <w:color w:val="000000" w:themeColor="text1"/>
          <w:kern w:val="0"/>
          <w:szCs w:val="21"/>
        </w:rPr>
        <w:t>基金份额持有人名册；</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（13）按规定制作相关账册并与基金管理人核对；</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（14）依据基金管理人的指令或有关规定向基金份额持有人支付基金收益和赎回</w:t>
      </w:r>
      <w:r w:rsidRPr="001F61B7">
        <w:rPr>
          <w:rFonts w:asciiTheme="minorEastAsia" w:eastAsiaTheme="minorEastAsia" w:hAnsiTheme="minorEastAsia" w:hint="eastAsia"/>
          <w:color w:val="000000" w:themeColor="text1"/>
          <w:kern w:val="0"/>
          <w:szCs w:val="21"/>
        </w:rPr>
        <w:t>对价</w:t>
      </w:r>
      <w:r w:rsidRPr="001F61B7">
        <w:rPr>
          <w:rFonts w:asciiTheme="minorEastAsia" w:eastAsiaTheme="minorEastAsia" w:hAnsiTheme="minorEastAsia"/>
          <w:color w:val="000000" w:themeColor="text1"/>
          <w:kern w:val="0"/>
          <w:szCs w:val="21"/>
        </w:rPr>
        <w:t>；</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（15）依据《基金法》、《基金合同》及其他有关规定，召集基金份额持有人大会或配合基金份额持有人依法召集基金份额持有人大会；</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（16）按照法律法规和《基金合同》的规定监督基金管理人的投资运作；</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（17）参加基金财产清算小组，参与基金财产的保管、清理、估价、变现和分配；</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（18）面临解散、依法被撤销或者被依法宣告破产时，及时报告中国证监会和银行监管机构，并通知基金管理人；</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（19）因违反《基金合同》导致基金财产损失时，应承担赔偿责任，其赔偿责任不因其退任而免除；</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（20）按规定监督基金管理人按法律法规和《基金合同》规定履行自己的义务，基金管理人因违反《基金合同》造成基金财产损失时，应为基金份额持有人利益向基金管理人追偿；</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（21）执行生效的基金份额持有人大会的决定；</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（22）法律法规及中国证监会规定的和《基金合同》约定的其他义务。</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二、基金份额持有人大会召集、议事及表决的程序和规则</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基金份额持有人大会由基金份额持有人组成，基金份额持有人的合法授权代表有权代表基金份额持有人出席会议并表决。基金份额持有人持有的每一基金份额拥有平等的投票权。</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本基金份额持有人大会暂不设日常机构。若将来法律法规对基金份额持有人大会另有规定的，以届时有效的法律法规为准。</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（一）召开事由</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1、当出现或需要决定下列事由之一的，应当召开基金份额持有人大会</w:t>
      </w:r>
      <w:r w:rsidRPr="001F61B7">
        <w:rPr>
          <w:rFonts w:asciiTheme="minorEastAsia" w:eastAsiaTheme="minorEastAsia" w:hAnsiTheme="minorEastAsia" w:hint="eastAsia"/>
          <w:color w:val="000000" w:themeColor="text1"/>
          <w:kern w:val="0"/>
          <w:szCs w:val="21"/>
        </w:rPr>
        <w:t>，但法律法规、中国证监会和基金合同另有规定的除外</w:t>
      </w:r>
      <w:r w:rsidRPr="001F61B7">
        <w:rPr>
          <w:rFonts w:asciiTheme="minorEastAsia" w:eastAsiaTheme="minorEastAsia" w:hAnsiTheme="minorEastAsia"/>
          <w:color w:val="000000" w:themeColor="text1"/>
          <w:kern w:val="0"/>
          <w:szCs w:val="21"/>
        </w:rPr>
        <w:t>：</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（1）终止《基金合同》；</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（2）更换基金管理人；</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（3）更换基金托管人；</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（4）转换基金运作方式；</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（5）</w:t>
      </w:r>
      <w:r w:rsidRPr="001F61B7">
        <w:rPr>
          <w:rFonts w:asciiTheme="minorEastAsia" w:eastAsiaTheme="minorEastAsia" w:hAnsiTheme="minorEastAsia" w:hint="eastAsia"/>
          <w:color w:val="000000" w:themeColor="text1"/>
          <w:kern w:val="0"/>
          <w:szCs w:val="21"/>
        </w:rPr>
        <w:t>调整</w:t>
      </w:r>
      <w:r w:rsidRPr="001F61B7">
        <w:rPr>
          <w:rFonts w:asciiTheme="minorEastAsia" w:eastAsiaTheme="minorEastAsia" w:hAnsiTheme="minorEastAsia"/>
          <w:color w:val="000000" w:themeColor="text1"/>
          <w:kern w:val="0"/>
          <w:szCs w:val="21"/>
        </w:rPr>
        <w:t>基金管理人、基金托管人的报酬标准；</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（6）变更基金类别；</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（7）本基金与其他基金的合并；</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（8）变更基金投资目标、范围或策略；</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（9）变更基金份额持有人大会程序；</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（10）基金管理人或基金托管人要求召开基金份额持有人大会；</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（11）单独或合计持有本基金总份额10%以上（含10%）基金份额的基金份额持有人（以基金管理人收到提议当日的基金份额计算，下同）就同一事项书面要求召开基金份额持有人大会；</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（12）对基金当事人权利和义务产生重大影响的其他事项；</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（13）法律法规、《基金合同》或中国证监会规定的其他应当召开基金份额持有人大会的事项。</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2、在法律法规</w:t>
      </w:r>
      <w:r w:rsidRPr="001F61B7">
        <w:rPr>
          <w:rFonts w:asciiTheme="minorEastAsia" w:eastAsiaTheme="minorEastAsia" w:hAnsiTheme="minorEastAsia" w:hint="eastAsia"/>
          <w:color w:val="000000" w:themeColor="text1"/>
          <w:kern w:val="0"/>
          <w:szCs w:val="21"/>
        </w:rPr>
        <w:t>规定</w:t>
      </w:r>
      <w:r w:rsidRPr="001F61B7">
        <w:rPr>
          <w:rFonts w:asciiTheme="minorEastAsia" w:eastAsiaTheme="minorEastAsia" w:hAnsiTheme="minorEastAsia"/>
          <w:color w:val="000000" w:themeColor="text1"/>
          <w:kern w:val="0"/>
          <w:szCs w:val="21"/>
        </w:rPr>
        <w:t>和《基金合同》</w:t>
      </w:r>
      <w:r w:rsidRPr="001F61B7">
        <w:rPr>
          <w:rFonts w:asciiTheme="minorEastAsia" w:eastAsiaTheme="minorEastAsia" w:hAnsiTheme="minorEastAsia" w:hint="eastAsia"/>
          <w:color w:val="000000" w:themeColor="text1"/>
          <w:kern w:val="0"/>
          <w:szCs w:val="21"/>
        </w:rPr>
        <w:t>约</w:t>
      </w:r>
      <w:r w:rsidRPr="001F61B7">
        <w:rPr>
          <w:rFonts w:asciiTheme="minorEastAsia" w:eastAsiaTheme="minorEastAsia" w:hAnsiTheme="minorEastAsia"/>
          <w:color w:val="000000" w:themeColor="text1"/>
          <w:kern w:val="0"/>
          <w:szCs w:val="21"/>
        </w:rPr>
        <w:t>定的范围内且对基金份额持有人利益无实质性不利影响的前提下</w:t>
      </w:r>
      <w:r w:rsidRPr="001F61B7">
        <w:rPr>
          <w:rFonts w:asciiTheme="minorEastAsia" w:eastAsiaTheme="minorEastAsia" w:hAnsiTheme="minorEastAsia" w:hint="eastAsia"/>
          <w:color w:val="000000" w:themeColor="text1"/>
          <w:kern w:val="0"/>
          <w:szCs w:val="21"/>
        </w:rPr>
        <w:t>，</w:t>
      </w:r>
      <w:r w:rsidRPr="001F61B7">
        <w:rPr>
          <w:rFonts w:asciiTheme="minorEastAsia" w:eastAsiaTheme="minorEastAsia" w:hAnsiTheme="minorEastAsia"/>
          <w:color w:val="000000" w:themeColor="text1"/>
          <w:kern w:val="0"/>
          <w:szCs w:val="21"/>
        </w:rPr>
        <w:t>以下情况可由基金管理人和基金托管人协商后修改，不需召开基金份额持有人大会：</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w:t>
      </w:r>
      <w:r w:rsidRPr="001F61B7">
        <w:rPr>
          <w:rFonts w:asciiTheme="minorEastAsia" w:eastAsiaTheme="minorEastAsia" w:hAnsiTheme="minorEastAsia" w:hint="eastAsia"/>
          <w:color w:val="000000" w:themeColor="text1"/>
          <w:kern w:val="0"/>
          <w:szCs w:val="21"/>
        </w:rPr>
        <w:t>1</w:t>
      </w:r>
      <w:r w:rsidRPr="001F61B7">
        <w:rPr>
          <w:rFonts w:asciiTheme="minorEastAsia" w:eastAsiaTheme="minorEastAsia" w:hAnsiTheme="minorEastAsia"/>
          <w:color w:val="000000" w:themeColor="text1"/>
          <w:kern w:val="0"/>
          <w:szCs w:val="21"/>
        </w:rPr>
        <w:t>）法律法规要求增加的基金费用的收取；</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w:t>
      </w:r>
      <w:r w:rsidRPr="001F61B7">
        <w:rPr>
          <w:rFonts w:asciiTheme="minorEastAsia" w:eastAsiaTheme="minorEastAsia" w:hAnsiTheme="minorEastAsia" w:hint="eastAsia"/>
          <w:color w:val="000000" w:themeColor="text1"/>
          <w:kern w:val="0"/>
          <w:szCs w:val="21"/>
        </w:rPr>
        <w:t>2</w:t>
      </w:r>
      <w:r w:rsidRPr="001F61B7">
        <w:rPr>
          <w:rFonts w:asciiTheme="minorEastAsia" w:eastAsiaTheme="minorEastAsia" w:hAnsiTheme="minorEastAsia"/>
          <w:color w:val="000000" w:themeColor="text1"/>
          <w:kern w:val="0"/>
          <w:szCs w:val="21"/>
        </w:rPr>
        <w:t>）在法律法规和《基金合同》规定的范围内调整本基金的申购费率、调低赎回费率</w:t>
      </w:r>
      <w:r w:rsidRPr="001F61B7">
        <w:rPr>
          <w:rFonts w:asciiTheme="minorEastAsia" w:eastAsiaTheme="minorEastAsia" w:hAnsiTheme="minorEastAsia" w:hint="eastAsia"/>
          <w:color w:val="000000" w:themeColor="text1"/>
          <w:kern w:val="0"/>
          <w:szCs w:val="21"/>
        </w:rPr>
        <w:t>或变更收费方式</w:t>
      </w:r>
      <w:r w:rsidRPr="001F61B7">
        <w:rPr>
          <w:rFonts w:asciiTheme="minorEastAsia" w:eastAsiaTheme="minorEastAsia" w:hAnsiTheme="minorEastAsia"/>
          <w:color w:val="000000" w:themeColor="text1"/>
          <w:kern w:val="0"/>
          <w:szCs w:val="21"/>
        </w:rPr>
        <w:t>；</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w:t>
      </w:r>
      <w:r w:rsidRPr="001F61B7">
        <w:rPr>
          <w:rFonts w:asciiTheme="minorEastAsia" w:eastAsiaTheme="minorEastAsia" w:hAnsiTheme="minorEastAsia" w:hint="eastAsia"/>
          <w:color w:val="000000" w:themeColor="text1"/>
          <w:kern w:val="0"/>
          <w:szCs w:val="21"/>
        </w:rPr>
        <w:t>3</w:t>
      </w:r>
      <w:r w:rsidRPr="001F61B7">
        <w:rPr>
          <w:rFonts w:asciiTheme="minorEastAsia" w:eastAsiaTheme="minorEastAsia" w:hAnsiTheme="minorEastAsia"/>
          <w:color w:val="000000" w:themeColor="text1"/>
          <w:kern w:val="0"/>
          <w:szCs w:val="21"/>
        </w:rPr>
        <w:t>）因相应的法律法规</w:t>
      </w:r>
      <w:r w:rsidRPr="001F61B7">
        <w:rPr>
          <w:rFonts w:asciiTheme="minorEastAsia" w:eastAsiaTheme="minorEastAsia" w:hAnsiTheme="minorEastAsia" w:hint="eastAsia"/>
          <w:color w:val="000000" w:themeColor="text1"/>
          <w:kern w:val="0"/>
          <w:szCs w:val="21"/>
        </w:rPr>
        <w:t>、深圳证券交易所或者登记结算机构的相关业务规则</w:t>
      </w:r>
      <w:r w:rsidRPr="001F61B7">
        <w:rPr>
          <w:rFonts w:asciiTheme="minorEastAsia" w:eastAsiaTheme="minorEastAsia" w:hAnsiTheme="minorEastAsia"/>
          <w:color w:val="000000" w:themeColor="text1"/>
          <w:kern w:val="0"/>
          <w:szCs w:val="21"/>
        </w:rPr>
        <w:t>发生变动而应当对《基金合同》进行修改；</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w:t>
      </w:r>
      <w:r w:rsidRPr="001F61B7">
        <w:rPr>
          <w:rFonts w:asciiTheme="minorEastAsia" w:eastAsiaTheme="minorEastAsia" w:hAnsiTheme="minorEastAsia" w:hint="eastAsia"/>
          <w:color w:val="000000" w:themeColor="text1"/>
          <w:kern w:val="0"/>
          <w:szCs w:val="21"/>
        </w:rPr>
        <w:t>4</w:t>
      </w:r>
      <w:r w:rsidRPr="001F61B7">
        <w:rPr>
          <w:rFonts w:asciiTheme="minorEastAsia" w:eastAsiaTheme="minorEastAsia" w:hAnsiTheme="minorEastAsia"/>
          <w:color w:val="000000" w:themeColor="text1"/>
          <w:kern w:val="0"/>
          <w:szCs w:val="21"/>
        </w:rPr>
        <w:t>）对《基金合同》的修改对基金份额持有人利益无实质性不利影响或修改不涉及《基金合同》当事人权利义务关系发生</w:t>
      </w:r>
      <w:r w:rsidRPr="001F61B7">
        <w:rPr>
          <w:rFonts w:asciiTheme="minorEastAsia" w:eastAsiaTheme="minorEastAsia" w:hAnsiTheme="minorEastAsia" w:hint="eastAsia"/>
          <w:color w:val="000000" w:themeColor="text1"/>
          <w:kern w:val="0"/>
          <w:szCs w:val="21"/>
        </w:rPr>
        <w:t>重大</w:t>
      </w:r>
      <w:r w:rsidRPr="001F61B7">
        <w:rPr>
          <w:rFonts w:asciiTheme="minorEastAsia" w:eastAsiaTheme="minorEastAsia" w:hAnsiTheme="minorEastAsia"/>
          <w:color w:val="000000" w:themeColor="text1"/>
          <w:kern w:val="0"/>
          <w:szCs w:val="21"/>
        </w:rPr>
        <w:t>变化；</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（5）调整有关认购、申购、赎回、交易、非交易过户、质押等业务规则（包括申购赎回清单的调整、开放时间的调整等），或证券交易所和登记结算机构调整上述业务规则；</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（6）调整基金的申购赎回方式；调整申购对价、赎回对价组成，调整申购赎回清单的内容，调整申购赎回清单计算和公告时间或频率；</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（7）推出新业务或服务；</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w:t>
      </w:r>
      <w:r w:rsidRPr="001F61B7">
        <w:rPr>
          <w:rFonts w:asciiTheme="minorEastAsia" w:eastAsiaTheme="minorEastAsia" w:hAnsiTheme="minorEastAsia" w:hint="eastAsia"/>
          <w:color w:val="000000" w:themeColor="text1"/>
          <w:kern w:val="0"/>
          <w:szCs w:val="21"/>
        </w:rPr>
        <w:t>8</w:t>
      </w:r>
      <w:r w:rsidRPr="001F61B7">
        <w:rPr>
          <w:rFonts w:asciiTheme="minorEastAsia" w:eastAsiaTheme="minorEastAsia" w:hAnsiTheme="minorEastAsia"/>
          <w:color w:val="000000" w:themeColor="text1"/>
          <w:kern w:val="0"/>
          <w:szCs w:val="21"/>
        </w:rPr>
        <w:t>）</w:t>
      </w:r>
      <w:r w:rsidRPr="001F61B7">
        <w:rPr>
          <w:rFonts w:asciiTheme="minorEastAsia" w:eastAsiaTheme="minorEastAsia" w:hAnsiTheme="minorEastAsia" w:hint="eastAsia"/>
          <w:color w:val="000000" w:themeColor="text1"/>
          <w:kern w:val="0"/>
          <w:szCs w:val="21"/>
        </w:rPr>
        <w:t>按照本基金合同的约定，</w:t>
      </w:r>
      <w:r w:rsidRPr="001F61B7">
        <w:rPr>
          <w:rFonts w:asciiTheme="minorEastAsia" w:eastAsiaTheme="minorEastAsia" w:hAnsiTheme="minorEastAsia"/>
          <w:color w:val="000000" w:themeColor="text1"/>
          <w:kern w:val="0"/>
          <w:szCs w:val="21"/>
        </w:rPr>
        <w:t>变更本基金的标的指数和基金名称、调整业绩比较基准</w:t>
      </w:r>
      <w:r w:rsidRPr="001F61B7">
        <w:rPr>
          <w:rFonts w:asciiTheme="minorEastAsia" w:eastAsiaTheme="minorEastAsia" w:hAnsiTheme="minorEastAsia" w:hint="eastAsia"/>
          <w:color w:val="000000" w:themeColor="text1"/>
          <w:kern w:val="0"/>
          <w:szCs w:val="21"/>
        </w:rPr>
        <w:t>；</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（9）募集并管理以本基金为目标ETF的一只或多只联接基金、增设新的基金份额类别、减少基金份额类别或者调整基金份额类别设置、在其他证券交易所上市、开通场外申购赎回、</w:t>
      </w:r>
      <w:r w:rsidRPr="001F61B7">
        <w:rPr>
          <w:rFonts w:asciiTheme="minorEastAsia" w:eastAsiaTheme="minorEastAsia" w:hAnsiTheme="minorEastAsia" w:hint="eastAsia"/>
          <w:color w:val="000000" w:themeColor="text1"/>
          <w:kern w:val="0"/>
          <w:szCs w:val="21"/>
        </w:rPr>
        <w:t>跨系统转托管等业务；</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（10）按照指数编制机构的要求，根据指数使用许可协议的约定，变更标的指数许可使用费费率、计算方法或支付方式等；</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（11）</w:t>
      </w:r>
      <w:r w:rsidRPr="001F61B7">
        <w:rPr>
          <w:rFonts w:asciiTheme="minorEastAsia" w:eastAsiaTheme="minorEastAsia" w:hAnsiTheme="minorEastAsia"/>
          <w:color w:val="000000" w:themeColor="text1"/>
          <w:kern w:val="0"/>
          <w:szCs w:val="21"/>
        </w:rPr>
        <w:t>本基金的联接基金采取</w:t>
      </w:r>
      <w:r w:rsidRPr="001F61B7">
        <w:rPr>
          <w:rFonts w:asciiTheme="minorEastAsia" w:eastAsiaTheme="minorEastAsia" w:hAnsiTheme="minorEastAsia" w:hint="eastAsia"/>
          <w:color w:val="000000" w:themeColor="text1"/>
          <w:kern w:val="0"/>
          <w:szCs w:val="21"/>
        </w:rPr>
        <w:t>特殊申购或</w:t>
      </w:r>
      <w:r w:rsidRPr="001F61B7">
        <w:rPr>
          <w:rFonts w:asciiTheme="minorEastAsia" w:eastAsiaTheme="minorEastAsia" w:hAnsiTheme="minorEastAsia"/>
          <w:color w:val="000000" w:themeColor="text1"/>
          <w:kern w:val="0"/>
          <w:szCs w:val="21"/>
        </w:rPr>
        <w:t>其他方式参与本基金的申购赎回；</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（12）调整基金收益分配原则；</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w:t>
      </w:r>
      <w:r w:rsidRPr="001F61B7">
        <w:rPr>
          <w:rFonts w:asciiTheme="minorEastAsia" w:eastAsiaTheme="minorEastAsia" w:hAnsiTheme="minorEastAsia" w:hint="eastAsia"/>
          <w:color w:val="000000" w:themeColor="text1"/>
          <w:kern w:val="0"/>
          <w:szCs w:val="21"/>
        </w:rPr>
        <w:t>13</w:t>
      </w:r>
      <w:r w:rsidRPr="001F61B7">
        <w:rPr>
          <w:rFonts w:asciiTheme="minorEastAsia" w:eastAsiaTheme="minorEastAsia" w:hAnsiTheme="minorEastAsia"/>
          <w:color w:val="000000" w:themeColor="text1"/>
          <w:kern w:val="0"/>
          <w:szCs w:val="21"/>
        </w:rPr>
        <w:t>）按照法律法规和《基金合同》规定不需召开基金份额持有人大会的其他情形。</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（二）会议召集人及召集方式</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1、除法律法规规定或《基金合同》另有约定外，基金份额持有人大会由基金管理人召集</w:t>
      </w:r>
      <w:r w:rsidRPr="001F61B7">
        <w:rPr>
          <w:rFonts w:asciiTheme="minorEastAsia" w:eastAsiaTheme="minorEastAsia" w:hAnsiTheme="minorEastAsia" w:hint="eastAsia"/>
          <w:color w:val="000000" w:themeColor="text1"/>
          <w:kern w:val="0"/>
          <w:szCs w:val="21"/>
        </w:rPr>
        <w:t>。</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2、基金管理人未按规定召集或不能召</w:t>
      </w:r>
      <w:r w:rsidRPr="001F61B7">
        <w:rPr>
          <w:rFonts w:asciiTheme="minorEastAsia" w:eastAsiaTheme="minorEastAsia" w:hAnsiTheme="minorEastAsia" w:hint="eastAsia"/>
          <w:color w:val="000000" w:themeColor="text1"/>
          <w:kern w:val="0"/>
          <w:szCs w:val="21"/>
        </w:rPr>
        <w:t>开</w:t>
      </w:r>
      <w:r w:rsidRPr="001F61B7">
        <w:rPr>
          <w:rFonts w:asciiTheme="minorEastAsia" w:eastAsiaTheme="minorEastAsia" w:hAnsiTheme="minorEastAsia"/>
          <w:color w:val="000000" w:themeColor="text1"/>
          <w:kern w:val="0"/>
          <w:szCs w:val="21"/>
        </w:rPr>
        <w:t>时，由基金托管人召集</w:t>
      </w:r>
      <w:r w:rsidRPr="001F61B7">
        <w:rPr>
          <w:rFonts w:asciiTheme="minorEastAsia" w:eastAsiaTheme="minorEastAsia" w:hAnsiTheme="minorEastAsia" w:hint="eastAsia"/>
          <w:color w:val="000000" w:themeColor="text1"/>
          <w:kern w:val="0"/>
          <w:szCs w:val="21"/>
        </w:rPr>
        <w:t>。</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 xml:space="preserve">3、基金托管人认为有必要召开基金份额持有人大会的，应当向基金管理人提出书面提议。基金管理人应当自收到书面提议之日起 </w:t>
      </w:r>
      <w:r w:rsidRPr="001F61B7">
        <w:rPr>
          <w:rFonts w:asciiTheme="minorEastAsia" w:eastAsiaTheme="minorEastAsia" w:hAnsiTheme="minorEastAsia" w:hint="eastAsia"/>
          <w:color w:val="000000" w:themeColor="text1"/>
          <w:kern w:val="0"/>
          <w:szCs w:val="21"/>
        </w:rPr>
        <w:t>10</w:t>
      </w:r>
      <w:r w:rsidRPr="001F61B7">
        <w:rPr>
          <w:rFonts w:asciiTheme="minorEastAsia" w:eastAsiaTheme="minorEastAsia" w:hAnsiTheme="minorEastAsia"/>
          <w:color w:val="000000" w:themeColor="text1"/>
          <w:kern w:val="0"/>
          <w:szCs w:val="21"/>
        </w:rPr>
        <w:t>日内决定是否召集，并书面告知基金托管人。基金管理人决定召集的，应当自出具书面决定之日起</w:t>
      </w:r>
      <w:r w:rsidRPr="001F61B7">
        <w:rPr>
          <w:rFonts w:asciiTheme="minorEastAsia" w:eastAsiaTheme="minorEastAsia" w:hAnsiTheme="minorEastAsia" w:hint="eastAsia"/>
          <w:color w:val="000000" w:themeColor="text1"/>
          <w:kern w:val="0"/>
          <w:szCs w:val="21"/>
        </w:rPr>
        <w:t>60</w:t>
      </w:r>
      <w:r w:rsidRPr="001F61B7">
        <w:rPr>
          <w:rFonts w:asciiTheme="minorEastAsia" w:eastAsiaTheme="minorEastAsia" w:hAnsiTheme="minorEastAsia"/>
          <w:color w:val="000000" w:themeColor="text1"/>
          <w:kern w:val="0"/>
          <w:szCs w:val="21"/>
        </w:rPr>
        <w:t>日内召开；基金管理人决定不召集，基金托管人仍认为有必要召开的，应当由基金托管人自行召集，并自出具书面决定之日起60日内召开并告知基金管理人，基金管理人应当配合。</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4、代表基金份额</w:t>
      </w:r>
      <w:r w:rsidRPr="001F61B7">
        <w:rPr>
          <w:rFonts w:asciiTheme="minorEastAsia" w:eastAsiaTheme="minorEastAsia" w:hAnsiTheme="minorEastAsia" w:hint="eastAsia"/>
          <w:color w:val="000000" w:themeColor="text1"/>
          <w:kern w:val="0"/>
          <w:szCs w:val="21"/>
        </w:rPr>
        <w:t>10%</w:t>
      </w:r>
      <w:r w:rsidRPr="001F61B7">
        <w:rPr>
          <w:rFonts w:asciiTheme="minorEastAsia" w:eastAsiaTheme="minorEastAsia" w:hAnsiTheme="minorEastAsia"/>
          <w:color w:val="000000" w:themeColor="text1"/>
          <w:kern w:val="0"/>
          <w:szCs w:val="21"/>
        </w:rPr>
        <w:t>以上（含</w:t>
      </w:r>
      <w:r w:rsidRPr="001F61B7">
        <w:rPr>
          <w:rFonts w:asciiTheme="minorEastAsia" w:eastAsiaTheme="minorEastAsia" w:hAnsiTheme="minorEastAsia" w:hint="eastAsia"/>
          <w:color w:val="000000" w:themeColor="text1"/>
          <w:kern w:val="0"/>
          <w:szCs w:val="21"/>
        </w:rPr>
        <w:t>10%</w:t>
      </w:r>
      <w:r w:rsidRPr="001F61B7">
        <w:rPr>
          <w:rFonts w:asciiTheme="minorEastAsia" w:eastAsiaTheme="minorEastAsia" w:hAnsiTheme="minorEastAsia"/>
          <w:color w:val="000000" w:themeColor="text1"/>
          <w:kern w:val="0"/>
          <w:szCs w:val="21"/>
        </w:rPr>
        <w:t>）的基金份额持有人就同一事项书面要求召开基金份额持有人大会，应当向基金管理人提出书面提议。基金管理人应当自收到书面提议之日起</w:t>
      </w:r>
      <w:r w:rsidRPr="001F61B7">
        <w:rPr>
          <w:rFonts w:asciiTheme="minorEastAsia" w:eastAsiaTheme="minorEastAsia" w:hAnsiTheme="minorEastAsia" w:hint="eastAsia"/>
          <w:color w:val="000000" w:themeColor="text1"/>
          <w:kern w:val="0"/>
          <w:szCs w:val="21"/>
        </w:rPr>
        <w:t>10</w:t>
      </w:r>
      <w:r w:rsidRPr="001F61B7">
        <w:rPr>
          <w:rFonts w:asciiTheme="minorEastAsia" w:eastAsiaTheme="minorEastAsia" w:hAnsiTheme="minorEastAsia"/>
          <w:color w:val="000000" w:themeColor="text1"/>
          <w:kern w:val="0"/>
          <w:szCs w:val="21"/>
        </w:rPr>
        <w:t>日内决定是否召集，并书面告知提出提议的基金份额持有人代表和基金托管人。基金管理人决定召集的，应当自出具书面决定之日起</w:t>
      </w:r>
      <w:r w:rsidRPr="001F61B7">
        <w:rPr>
          <w:rFonts w:asciiTheme="minorEastAsia" w:eastAsiaTheme="minorEastAsia" w:hAnsiTheme="minorEastAsia" w:hint="eastAsia"/>
          <w:color w:val="000000" w:themeColor="text1"/>
          <w:kern w:val="0"/>
          <w:szCs w:val="21"/>
        </w:rPr>
        <w:t>60</w:t>
      </w:r>
      <w:r w:rsidRPr="001F61B7">
        <w:rPr>
          <w:rFonts w:asciiTheme="minorEastAsia" w:eastAsiaTheme="minorEastAsia" w:hAnsiTheme="minorEastAsia"/>
          <w:color w:val="000000" w:themeColor="text1"/>
          <w:kern w:val="0"/>
          <w:szCs w:val="21"/>
        </w:rPr>
        <w:t>日内召开；基金管理人决定不召集，代表基金份额</w:t>
      </w:r>
      <w:r w:rsidRPr="001F61B7">
        <w:rPr>
          <w:rFonts w:asciiTheme="minorEastAsia" w:eastAsiaTheme="minorEastAsia" w:hAnsiTheme="minorEastAsia" w:hint="eastAsia"/>
          <w:color w:val="000000" w:themeColor="text1"/>
          <w:kern w:val="0"/>
          <w:szCs w:val="21"/>
        </w:rPr>
        <w:t>10%</w:t>
      </w:r>
      <w:r w:rsidRPr="001F61B7">
        <w:rPr>
          <w:rFonts w:asciiTheme="minorEastAsia" w:eastAsiaTheme="minorEastAsia" w:hAnsiTheme="minorEastAsia"/>
          <w:color w:val="000000" w:themeColor="text1"/>
          <w:kern w:val="0"/>
          <w:szCs w:val="21"/>
        </w:rPr>
        <w:t>以上（含</w:t>
      </w:r>
      <w:r w:rsidRPr="001F61B7">
        <w:rPr>
          <w:rFonts w:asciiTheme="minorEastAsia" w:eastAsiaTheme="minorEastAsia" w:hAnsiTheme="minorEastAsia" w:hint="eastAsia"/>
          <w:color w:val="000000" w:themeColor="text1"/>
          <w:kern w:val="0"/>
          <w:szCs w:val="21"/>
        </w:rPr>
        <w:t>10%</w:t>
      </w:r>
      <w:r w:rsidRPr="001F61B7">
        <w:rPr>
          <w:rFonts w:asciiTheme="minorEastAsia" w:eastAsiaTheme="minorEastAsia" w:hAnsiTheme="minorEastAsia"/>
          <w:color w:val="000000" w:themeColor="text1"/>
          <w:kern w:val="0"/>
          <w:szCs w:val="21"/>
        </w:rPr>
        <w:t>）的基金份额持有人仍认为有必要召开的，应当向基金托管人提出书面提议。基金托管人应当自收到书面提议之日起</w:t>
      </w:r>
      <w:r w:rsidRPr="001F61B7">
        <w:rPr>
          <w:rFonts w:asciiTheme="minorEastAsia" w:eastAsiaTheme="minorEastAsia" w:hAnsiTheme="minorEastAsia" w:hint="eastAsia"/>
          <w:color w:val="000000" w:themeColor="text1"/>
          <w:kern w:val="0"/>
          <w:szCs w:val="21"/>
        </w:rPr>
        <w:t>10</w:t>
      </w:r>
      <w:r w:rsidRPr="001F61B7">
        <w:rPr>
          <w:rFonts w:asciiTheme="minorEastAsia" w:eastAsiaTheme="minorEastAsia" w:hAnsiTheme="minorEastAsia"/>
          <w:color w:val="000000" w:themeColor="text1"/>
          <w:kern w:val="0"/>
          <w:szCs w:val="21"/>
        </w:rPr>
        <w:t>日内决定是否召集，并书面告知提出提议的基金份额持有人代表和基金管理人；基金托管人决定召集的，应当自出具书面决定之日起60日内召开并告知基金管理人，基金管理人应当配合。</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5、代表基金份额</w:t>
      </w:r>
      <w:r w:rsidRPr="001F61B7">
        <w:rPr>
          <w:rFonts w:asciiTheme="minorEastAsia" w:eastAsiaTheme="minorEastAsia" w:hAnsiTheme="minorEastAsia" w:hint="eastAsia"/>
          <w:color w:val="000000" w:themeColor="text1"/>
          <w:kern w:val="0"/>
          <w:szCs w:val="21"/>
        </w:rPr>
        <w:t>10%</w:t>
      </w:r>
      <w:r w:rsidRPr="001F61B7">
        <w:rPr>
          <w:rFonts w:asciiTheme="minorEastAsia" w:eastAsiaTheme="minorEastAsia" w:hAnsiTheme="minorEastAsia"/>
          <w:color w:val="000000" w:themeColor="text1"/>
          <w:kern w:val="0"/>
          <w:szCs w:val="21"/>
        </w:rPr>
        <w:t>以上（含</w:t>
      </w:r>
      <w:r w:rsidRPr="001F61B7">
        <w:rPr>
          <w:rFonts w:asciiTheme="minorEastAsia" w:eastAsiaTheme="minorEastAsia" w:hAnsiTheme="minorEastAsia" w:hint="eastAsia"/>
          <w:color w:val="000000" w:themeColor="text1"/>
          <w:kern w:val="0"/>
          <w:szCs w:val="21"/>
        </w:rPr>
        <w:t>10%</w:t>
      </w:r>
      <w:r w:rsidRPr="001F61B7">
        <w:rPr>
          <w:rFonts w:asciiTheme="minorEastAsia" w:eastAsiaTheme="minorEastAsia" w:hAnsiTheme="minorEastAsia"/>
          <w:color w:val="000000" w:themeColor="text1"/>
          <w:kern w:val="0"/>
          <w:szCs w:val="21"/>
        </w:rPr>
        <w:t>）的基金份额持有人就同一事项要求召开基金份额持有人大会，而基金管理人、基金托管人都不召集的，单独或合计代表基金份额</w:t>
      </w:r>
      <w:r w:rsidRPr="001F61B7">
        <w:rPr>
          <w:rFonts w:asciiTheme="minorEastAsia" w:eastAsiaTheme="minorEastAsia" w:hAnsiTheme="minorEastAsia" w:hint="eastAsia"/>
          <w:color w:val="000000" w:themeColor="text1"/>
          <w:kern w:val="0"/>
          <w:szCs w:val="21"/>
        </w:rPr>
        <w:t>10%</w:t>
      </w:r>
      <w:r w:rsidRPr="001F61B7">
        <w:rPr>
          <w:rFonts w:asciiTheme="minorEastAsia" w:eastAsiaTheme="minorEastAsia" w:hAnsiTheme="minorEastAsia"/>
          <w:color w:val="000000" w:themeColor="text1"/>
          <w:kern w:val="0"/>
          <w:szCs w:val="21"/>
        </w:rPr>
        <w:t>以上（含</w:t>
      </w:r>
      <w:r w:rsidRPr="001F61B7">
        <w:rPr>
          <w:rFonts w:asciiTheme="minorEastAsia" w:eastAsiaTheme="minorEastAsia" w:hAnsiTheme="minorEastAsia" w:hint="eastAsia"/>
          <w:color w:val="000000" w:themeColor="text1"/>
          <w:kern w:val="0"/>
          <w:szCs w:val="21"/>
        </w:rPr>
        <w:t>10%</w:t>
      </w:r>
      <w:r w:rsidRPr="001F61B7">
        <w:rPr>
          <w:rFonts w:asciiTheme="minorEastAsia" w:eastAsiaTheme="minorEastAsia" w:hAnsiTheme="minorEastAsia"/>
          <w:color w:val="000000" w:themeColor="text1"/>
          <w:kern w:val="0"/>
          <w:szCs w:val="21"/>
        </w:rPr>
        <w:t>）的基金份额持有人有权自行召集，并至少提前30日报中国证监会备案。基金份额持有人依法自行召集基金份额持有人大会的，基金管理人、基金托管人应当配合，不得阻碍、干扰。</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6、基金份额持有人会议的召集人负责选择确定开会时间、地点、方式和权益登记日。</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（三）召开基金份额持有人大会的通知时间、通知内容、通知方式</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1、召开基金份额持有人大会，召集人应于会议召开前</w:t>
      </w:r>
      <w:r w:rsidRPr="001F61B7">
        <w:rPr>
          <w:rFonts w:asciiTheme="minorEastAsia" w:eastAsiaTheme="minorEastAsia" w:hAnsiTheme="minorEastAsia" w:hint="eastAsia"/>
          <w:color w:val="000000" w:themeColor="text1"/>
          <w:kern w:val="0"/>
          <w:szCs w:val="21"/>
        </w:rPr>
        <w:t>30</w:t>
      </w:r>
      <w:r w:rsidRPr="001F61B7">
        <w:rPr>
          <w:rFonts w:asciiTheme="minorEastAsia" w:eastAsiaTheme="minorEastAsia" w:hAnsiTheme="minorEastAsia"/>
          <w:color w:val="000000" w:themeColor="text1"/>
          <w:kern w:val="0"/>
          <w:szCs w:val="21"/>
        </w:rPr>
        <w:t>日，在指定</w:t>
      </w:r>
      <w:r w:rsidRPr="001F61B7">
        <w:rPr>
          <w:rFonts w:asciiTheme="minorEastAsia" w:eastAsiaTheme="minorEastAsia" w:hAnsiTheme="minorEastAsia" w:hint="eastAsia"/>
          <w:color w:val="000000" w:themeColor="text1"/>
          <w:kern w:val="0"/>
          <w:szCs w:val="21"/>
        </w:rPr>
        <w:t>媒介</w:t>
      </w:r>
      <w:r w:rsidRPr="001F61B7">
        <w:rPr>
          <w:rFonts w:asciiTheme="minorEastAsia" w:eastAsiaTheme="minorEastAsia" w:hAnsiTheme="minorEastAsia"/>
          <w:color w:val="000000" w:themeColor="text1"/>
          <w:kern w:val="0"/>
          <w:szCs w:val="21"/>
        </w:rPr>
        <w:t>公告。基金份额持有人大会通知应至少载明以下内容：</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（1）会议召开的时间、地点和会议形式；</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（2）会议拟审议的事项、议事程序和表决方式；</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（3）有权出席基金份额持有人大会的基金份额持有人的权益登记日；</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（4）授权委托证明的内容要求（包括但不限于代理人身份，代理权限和代理有效期限等）、送达时间和地点</w:t>
      </w:r>
      <w:r w:rsidRPr="001F61B7">
        <w:rPr>
          <w:rFonts w:asciiTheme="minorEastAsia" w:eastAsiaTheme="minorEastAsia" w:hAnsiTheme="minorEastAsia" w:hint="eastAsia"/>
          <w:color w:val="000000" w:themeColor="text1"/>
          <w:kern w:val="0"/>
          <w:szCs w:val="21"/>
        </w:rPr>
        <w:t>；</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（5）会务常设联系人姓名及联系电话；</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（6）出席会议者必须准备的文件和必须履行的手续；</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（7）召集人需要通知的其他事项。</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2、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（四）基金份额持有人出席会议的方式</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基金份额持有人大会可通过现场开会方式</w:t>
      </w:r>
      <w:r w:rsidRPr="001F61B7">
        <w:rPr>
          <w:rFonts w:asciiTheme="minorEastAsia" w:eastAsiaTheme="minorEastAsia" w:hAnsiTheme="minorEastAsia" w:hint="eastAsia"/>
          <w:color w:val="000000" w:themeColor="text1"/>
          <w:kern w:val="0"/>
          <w:szCs w:val="21"/>
        </w:rPr>
        <w:t>、</w:t>
      </w:r>
      <w:r w:rsidRPr="001F61B7">
        <w:rPr>
          <w:rFonts w:asciiTheme="minorEastAsia" w:eastAsiaTheme="minorEastAsia" w:hAnsiTheme="minorEastAsia"/>
          <w:color w:val="000000" w:themeColor="text1"/>
          <w:kern w:val="0"/>
          <w:szCs w:val="21"/>
        </w:rPr>
        <w:t>通讯开会方式或法律法规、监管机构允许的其他方式召开，会议的召开方式由会议召集人确定。</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1、现场开会。由基金份额持有人本人出席或以代理投票授权委托证明委派代表出席，现场开会时基金管理人和基金托管人的授权代表应当列席基金份额持有人大会，基金管理人或</w:t>
      </w:r>
      <w:r w:rsidRPr="001F61B7">
        <w:rPr>
          <w:rFonts w:asciiTheme="minorEastAsia" w:eastAsiaTheme="minorEastAsia" w:hAnsiTheme="minorEastAsia" w:hint="eastAsia"/>
          <w:color w:val="000000" w:themeColor="text1"/>
          <w:kern w:val="0"/>
          <w:szCs w:val="21"/>
        </w:rPr>
        <w:t>基金</w:t>
      </w:r>
      <w:r w:rsidRPr="001F61B7">
        <w:rPr>
          <w:rFonts w:asciiTheme="minorEastAsia" w:eastAsiaTheme="minorEastAsia" w:hAnsiTheme="minorEastAsia"/>
          <w:color w:val="000000" w:themeColor="text1"/>
          <w:kern w:val="0"/>
          <w:szCs w:val="21"/>
        </w:rPr>
        <w:t>托管人不派代表列席的，不影响表决效力。现场开会同时符合以下条件时，可以进行基金份额持有人大会议程：</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（1）亲自出席会议者持有</w:t>
      </w:r>
      <w:r w:rsidRPr="001F61B7">
        <w:rPr>
          <w:rFonts w:asciiTheme="minorEastAsia" w:eastAsiaTheme="minorEastAsia" w:hAnsiTheme="minorEastAsia" w:hint="eastAsia"/>
          <w:color w:val="000000" w:themeColor="text1"/>
          <w:kern w:val="0"/>
          <w:szCs w:val="21"/>
        </w:rPr>
        <w:t>的有关证明文件</w:t>
      </w:r>
      <w:r w:rsidRPr="001F61B7">
        <w:rPr>
          <w:rFonts w:asciiTheme="minorEastAsia" w:eastAsiaTheme="minorEastAsia" w:hAnsiTheme="minorEastAsia"/>
          <w:color w:val="000000" w:themeColor="text1"/>
          <w:kern w:val="0"/>
          <w:szCs w:val="21"/>
        </w:rPr>
        <w:t>、受托出席会议者</w:t>
      </w:r>
      <w:r w:rsidRPr="001F61B7">
        <w:rPr>
          <w:rFonts w:asciiTheme="minorEastAsia" w:eastAsiaTheme="minorEastAsia" w:hAnsiTheme="minorEastAsia" w:hint="eastAsia"/>
          <w:color w:val="000000" w:themeColor="text1"/>
          <w:kern w:val="0"/>
          <w:szCs w:val="21"/>
        </w:rPr>
        <w:t>出示的</w:t>
      </w:r>
      <w:r w:rsidRPr="001F61B7">
        <w:rPr>
          <w:rFonts w:asciiTheme="minorEastAsia" w:eastAsiaTheme="minorEastAsia" w:hAnsiTheme="minorEastAsia"/>
          <w:color w:val="000000" w:themeColor="text1"/>
          <w:kern w:val="0"/>
          <w:szCs w:val="21"/>
        </w:rPr>
        <w:t>委托人的代理投票授权委托证明</w:t>
      </w:r>
      <w:r w:rsidRPr="001F61B7">
        <w:rPr>
          <w:rFonts w:asciiTheme="minorEastAsia" w:eastAsiaTheme="minorEastAsia" w:hAnsiTheme="minorEastAsia" w:hint="eastAsia"/>
          <w:color w:val="000000" w:themeColor="text1"/>
          <w:kern w:val="0"/>
          <w:szCs w:val="21"/>
        </w:rPr>
        <w:t>及有关证明文件</w:t>
      </w:r>
      <w:r w:rsidRPr="001F61B7">
        <w:rPr>
          <w:rFonts w:asciiTheme="minorEastAsia" w:eastAsiaTheme="minorEastAsia" w:hAnsiTheme="minorEastAsia"/>
          <w:color w:val="000000" w:themeColor="text1"/>
          <w:kern w:val="0"/>
          <w:szCs w:val="21"/>
        </w:rPr>
        <w:t>符合法律法规、《基金合同》和会议通知的规定；</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（2）经核对，到会者在权益登记日</w:t>
      </w:r>
      <w:r w:rsidRPr="001F61B7">
        <w:rPr>
          <w:rFonts w:asciiTheme="minorEastAsia" w:eastAsiaTheme="minorEastAsia" w:hAnsiTheme="minorEastAsia" w:hint="eastAsia"/>
          <w:color w:val="000000" w:themeColor="text1"/>
          <w:kern w:val="0"/>
          <w:szCs w:val="21"/>
        </w:rPr>
        <w:t>代表的</w:t>
      </w:r>
      <w:r w:rsidRPr="001F61B7">
        <w:rPr>
          <w:rFonts w:asciiTheme="minorEastAsia" w:eastAsiaTheme="minorEastAsia" w:hAnsiTheme="minorEastAsia"/>
          <w:color w:val="000000" w:themeColor="text1"/>
          <w:kern w:val="0"/>
          <w:szCs w:val="21"/>
        </w:rPr>
        <w:t>有效的基金份额不少于本基金在权益登记日</w:t>
      </w:r>
      <w:r w:rsidRPr="001F61B7">
        <w:rPr>
          <w:rFonts w:asciiTheme="minorEastAsia" w:eastAsiaTheme="minorEastAsia" w:hAnsiTheme="minorEastAsia"/>
          <w:color w:val="000000" w:themeColor="text1"/>
          <w:kern w:val="0"/>
          <w:szCs w:val="21"/>
        </w:rPr>
        <w:t>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2、通讯开会。通讯开会系指基金份额持有人将其对表决事项的投票以书面形式</w:t>
      </w:r>
      <w:r w:rsidRPr="001F61B7">
        <w:rPr>
          <w:rFonts w:asciiTheme="minorEastAsia" w:eastAsiaTheme="minorEastAsia" w:hAnsiTheme="minorEastAsia" w:hint="eastAsia"/>
          <w:color w:val="000000" w:themeColor="text1"/>
          <w:kern w:val="0"/>
          <w:szCs w:val="21"/>
        </w:rPr>
        <w:t>或基金合同约定的其他方式</w:t>
      </w:r>
      <w:r w:rsidRPr="001F61B7">
        <w:rPr>
          <w:rFonts w:asciiTheme="minorEastAsia" w:eastAsiaTheme="minorEastAsia" w:hAnsiTheme="minorEastAsia"/>
          <w:color w:val="000000" w:themeColor="text1"/>
          <w:kern w:val="0"/>
          <w:szCs w:val="21"/>
        </w:rPr>
        <w:t>在表决</w:t>
      </w:r>
      <w:r w:rsidRPr="001F61B7">
        <w:rPr>
          <w:rFonts w:asciiTheme="minorEastAsia" w:eastAsiaTheme="minorEastAsia" w:hAnsiTheme="minorEastAsia" w:hint="eastAsia"/>
          <w:color w:val="000000" w:themeColor="text1"/>
          <w:kern w:val="0"/>
          <w:szCs w:val="21"/>
        </w:rPr>
        <w:t>截止</w:t>
      </w:r>
      <w:r w:rsidRPr="001F61B7">
        <w:rPr>
          <w:rFonts w:asciiTheme="minorEastAsia" w:eastAsiaTheme="minorEastAsia" w:hAnsiTheme="minorEastAsia"/>
          <w:color w:val="000000" w:themeColor="text1"/>
          <w:kern w:val="0"/>
          <w:szCs w:val="21"/>
        </w:rPr>
        <w:t>日以前送达至召集人指定的地址。通讯开会应以书面方式</w:t>
      </w:r>
      <w:r w:rsidRPr="001F61B7">
        <w:rPr>
          <w:rFonts w:asciiTheme="minorEastAsia" w:eastAsiaTheme="minorEastAsia" w:hAnsiTheme="minorEastAsia" w:hint="eastAsia"/>
          <w:color w:val="000000" w:themeColor="text1"/>
          <w:kern w:val="0"/>
          <w:szCs w:val="21"/>
        </w:rPr>
        <w:t>或基金合同约定的其他方式</w:t>
      </w:r>
      <w:r w:rsidRPr="001F61B7">
        <w:rPr>
          <w:rFonts w:asciiTheme="minorEastAsia" w:eastAsiaTheme="minorEastAsia" w:hAnsiTheme="minorEastAsia"/>
          <w:color w:val="000000" w:themeColor="text1"/>
          <w:kern w:val="0"/>
          <w:szCs w:val="21"/>
        </w:rPr>
        <w:t>进行表决。</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在同时符合以下条件时，通讯开会的方式视为有效：</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（1）会议召集人按《基金合同》约定公布会议通知后，在</w:t>
      </w:r>
      <w:r w:rsidRPr="001F61B7">
        <w:rPr>
          <w:rFonts w:asciiTheme="minorEastAsia" w:eastAsiaTheme="minorEastAsia" w:hAnsiTheme="minorEastAsia" w:hint="eastAsia"/>
          <w:color w:val="000000" w:themeColor="text1"/>
          <w:kern w:val="0"/>
          <w:szCs w:val="21"/>
        </w:rPr>
        <w:t>2</w:t>
      </w:r>
      <w:r w:rsidRPr="001F61B7">
        <w:rPr>
          <w:rFonts w:asciiTheme="minorEastAsia" w:eastAsiaTheme="minorEastAsia" w:hAnsiTheme="minorEastAsia"/>
          <w:color w:val="000000" w:themeColor="text1"/>
          <w:kern w:val="0"/>
          <w:szCs w:val="21"/>
        </w:rPr>
        <w:t>个工作日内连续公布相关提示性公告；</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（2）召集人按基金合同</w:t>
      </w:r>
      <w:r w:rsidRPr="001F61B7">
        <w:rPr>
          <w:rFonts w:asciiTheme="minorEastAsia" w:eastAsiaTheme="minorEastAsia" w:hAnsiTheme="minorEastAsia" w:hint="eastAsia"/>
          <w:color w:val="000000" w:themeColor="text1"/>
          <w:kern w:val="0"/>
          <w:szCs w:val="21"/>
        </w:rPr>
        <w:t>约</w:t>
      </w:r>
      <w:r w:rsidRPr="001F61B7">
        <w:rPr>
          <w:rFonts w:asciiTheme="minorEastAsia" w:eastAsiaTheme="minorEastAsia" w:hAnsiTheme="minorEastAsia"/>
          <w:color w:val="000000" w:themeColor="text1"/>
          <w:kern w:val="0"/>
          <w:szCs w:val="21"/>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（3）本人直接出具书面意见或授权他人代表出具书面意见的，基金份额持有人所持有的基金份额不小于在权益登记日基金总份额的</w:t>
      </w:r>
      <w:r w:rsidRPr="001F61B7">
        <w:rPr>
          <w:rFonts w:asciiTheme="minorEastAsia" w:eastAsiaTheme="minorEastAsia" w:hAnsiTheme="minorEastAsia" w:hint="eastAsia"/>
          <w:color w:val="000000" w:themeColor="text1"/>
          <w:kern w:val="0"/>
          <w:szCs w:val="21"/>
        </w:rPr>
        <w:t>二分之一（含二分之一）；若本人直接出具书面意见或授权他人代表出具书面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书面意见或授权他人代表出具书面意见</w:t>
      </w:r>
      <w:r w:rsidRPr="001F61B7">
        <w:rPr>
          <w:rFonts w:asciiTheme="minorEastAsia" w:eastAsiaTheme="minorEastAsia" w:hAnsiTheme="minorEastAsia"/>
          <w:color w:val="000000" w:themeColor="text1"/>
          <w:kern w:val="0"/>
          <w:szCs w:val="21"/>
        </w:rPr>
        <w:t>；</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（4）上述第（3）项中直接出具书面意见的基金份额持有人或受托代表他人出具书面意见的代理人，同时提交的</w:t>
      </w:r>
      <w:r w:rsidRPr="001F61B7">
        <w:rPr>
          <w:rFonts w:asciiTheme="minorEastAsia" w:eastAsiaTheme="minorEastAsia" w:hAnsiTheme="minorEastAsia" w:hint="eastAsia"/>
          <w:color w:val="000000" w:themeColor="text1"/>
          <w:kern w:val="0"/>
          <w:szCs w:val="21"/>
        </w:rPr>
        <w:t>有关证明文件</w:t>
      </w:r>
      <w:r w:rsidRPr="001F61B7">
        <w:rPr>
          <w:rFonts w:asciiTheme="minorEastAsia" w:eastAsiaTheme="minorEastAsia" w:hAnsiTheme="minorEastAsia"/>
          <w:color w:val="000000" w:themeColor="text1"/>
          <w:kern w:val="0"/>
          <w:szCs w:val="21"/>
        </w:rPr>
        <w:t>、受托出具书面意见的代理人出具的委托人的代理投票授权委托证明</w:t>
      </w:r>
      <w:r w:rsidRPr="001F61B7">
        <w:rPr>
          <w:rFonts w:asciiTheme="minorEastAsia" w:eastAsiaTheme="minorEastAsia" w:hAnsiTheme="minorEastAsia" w:hint="eastAsia"/>
          <w:color w:val="000000" w:themeColor="text1"/>
          <w:kern w:val="0"/>
          <w:szCs w:val="21"/>
        </w:rPr>
        <w:t>及有关证明文件</w:t>
      </w:r>
      <w:r w:rsidRPr="001F61B7">
        <w:rPr>
          <w:rFonts w:asciiTheme="minorEastAsia" w:eastAsiaTheme="minorEastAsia" w:hAnsiTheme="minorEastAsia"/>
          <w:color w:val="000000" w:themeColor="text1"/>
          <w:kern w:val="0"/>
          <w:szCs w:val="21"/>
        </w:rPr>
        <w:t>符合法律法规、《基金合同》和会议通知的规定，并与基金登记</w:t>
      </w:r>
      <w:r w:rsidRPr="001F61B7">
        <w:rPr>
          <w:rFonts w:asciiTheme="minorEastAsia" w:eastAsiaTheme="minorEastAsia" w:hAnsiTheme="minorEastAsia" w:hint="eastAsia"/>
          <w:color w:val="000000" w:themeColor="text1"/>
          <w:kern w:val="0"/>
          <w:szCs w:val="21"/>
        </w:rPr>
        <w:t>结算</w:t>
      </w:r>
      <w:r w:rsidRPr="001F61B7">
        <w:rPr>
          <w:rFonts w:asciiTheme="minorEastAsia" w:eastAsiaTheme="minorEastAsia" w:hAnsiTheme="minorEastAsia"/>
          <w:color w:val="000000" w:themeColor="text1"/>
          <w:kern w:val="0"/>
          <w:szCs w:val="21"/>
        </w:rPr>
        <w:t>机构记录相符；</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3、在不与法律法规冲突的前提下，基金份额持有人大会可通过网络、电话或其他方式召开，基金份额持有人可以采用书面、网络、电话、短信或其他方式进行表决，具体方式由</w:t>
      </w:r>
      <w:r w:rsidRPr="001F61B7">
        <w:rPr>
          <w:rFonts w:asciiTheme="minorEastAsia" w:eastAsiaTheme="minorEastAsia" w:hAnsiTheme="minorEastAsia" w:hint="eastAsia"/>
          <w:color w:val="000000" w:themeColor="text1"/>
          <w:kern w:val="0"/>
          <w:szCs w:val="21"/>
        </w:rPr>
        <w:t>会议召集人确定并在会议通知中列明。</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4、基金份额持有人授权他人代为出席会议并表决的，授权方式可以采用书面、网络、电话、短信或其他方式，具体方式由会议召集人确定并在会议通知中列明。</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（五）议事内容与程序</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1、议事内容及提案权</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基金份额持有人大会的召集人发出召集会议的通知后，对原有提案的修改应当在基金份额持有人大会召开前及时公告。</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基金份额持有人大会不得对未事先公告的议事内容进行表决。</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2、议事程序</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（1）现场开会</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1F61B7">
        <w:rPr>
          <w:rFonts w:asciiTheme="minorEastAsia" w:eastAsiaTheme="minorEastAsia" w:hAnsiTheme="minorEastAsia" w:hint="eastAsia"/>
          <w:color w:val="000000" w:themeColor="text1"/>
          <w:kern w:val="0"/>
          <w:szCs w:val="21"/>
        </w:rPr>
        <w:t>50%</w:t>
      </w:r>
      <w:r w:rsidRPr="001F61B7">
        <w:rPr>
          <w:rFonts w:asciiTheme="minorEastAsia" w:eastAsiaTheme="minorEastAsia" w:hAnsiTheme="minorEastAsia"/>
          <w:color w:val="000000" w:themeColor="text1"/>
          <w:kern w:val="0"/>
          <w:szCs w:val="21"/>
        </w:rPr>
        <w:t>以上（含</w:t>
      </w:r>
      <w:r w:rsidRPr="001F61B7">
        <w:rPr>
          <w:rFonts w:asciiTheme="minorEastAsia" w:eastAsiaTheme="minorEastAsia" w:hAnsiTheme="minorEastAsia" w:hint="eastAsia"/>
          <w:color w:val="000000" w:themeColor="text1"/>
          <w:kern w:val="0"/>
          <w:szCs w:val="21"/>
        </w:rPr>
        <w:t>50%</w:t>
      </w:r>
      <w:r w:rsidRPr="001F61B7">
        <w:rPr>
          <w:rFonts w:asciiTheme="minorEastAsia" w:eastAsiaTheme="minorEastAsia" w:hAnsiTheme="minorEastAsia"/>
          <w:color w:val="000000" w:themeColor="text1"/>
          <w:kern w:val="0"/>
          <w:szCs w:val="21"/>
        </w:rPr>
        <w:t>）选举产生一名基金份额持有人作为该次基金份额持有人大会的主持人。基金管理人和基金托管人拒不出席或主持基金份额持有人大会，不影响基金份额持有人大会作出的决议的效力。</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会议召集人应当制作出席会议人员的签名册。签名册载明参加会议人员姓名（或单位名称）、身份证明文件号码、持有或代表有表决权的基金份额、委托人姓名（或单位名称）和联系方式等事项。</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（2）通讯开会</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在通讯开会的情况下，首先由召集人提前</w:t>
      </w:r>
      <w:r w:rsidRPr="001F61B7">
        <w:rPr>
          <w:rFonts w:asciiTheme="minorEastAsia" w:eastAsiaTheme="minorEastAsia" w:hAnsiTheme="minorEastAsia" w:hint="eastAsia"/>
          <w:color w:val="000000" w:themeColor="text1"/>
          <w:kern w:val="0"/>
          <w:szCs w:val="21"/>
        </w:rPr>
        <w:t>30</w:t>
      </w:r>
      <w:r w:rsidRPr="001F61B7">
        <w:rPr>
          <w:rFonts w:asciiTheme="minorEastAsia" w:eastAsiaTheme="minorEastAsia" w:hAnsiTheme="minorEastAsia"/>
          <w:color w:val="000000" w:themeColor="text1"/>
          <w:kern w:val="0"/>
          <w:szCs w:val="21"/>
        </w:rPr>
        <w:t>日公布提案，在所通知的表决截止日期后</w:t>
      </w:r>
      <w:r w:rsidRPr="001F61B7">
        <w:rPr>
          <w:rFonts w:asciiTheme="minorEastAsia" w:eastAsiaTheme="minorEastAsia" w:hAnsiTheme="minorEastAsia" w:hint="eastAsia"/>
          <w:color w:val="000000" w:themeColor="text1"/>
          <w:kern w:val="0"/>
          <w:szCs w:val="21"/>
        </w:rPr>
        <w:t>2</w:t>
      </w:r>
      <w:r w:rsidRPr="001F61B7">
        <w:rPr>
          <w:rFonts w:asciiTheme="minorEastAsia" w:eastAsiaTheme="minorEastAsia" w:hAnsiTheme="minorEastAsia"/>
          <w:color w:val="000000" w:themeColor="text1"/>
          <w:kern w:val="0"/>
          <w:szCs w:val="21"/>
        </w:rPr>
        <w:t>个工作日内在公证机关监督下由召集人统计全部有效表决，在公证机关监督下形成决议。</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（六）表决</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基金份额持有人所持每份基金份额有一票表决权。</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基金份额持有人大会决议分为一般决议和特别决议：</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2、特别决议，特别决议应当经参加大会的基金份额持有人或其代理人所持表决权的</w:t>
      </w:r>
      <w:r w:rsidRPr="001F61B7">
        <w:rPr>
          <w:rFonts w:asciiTheme="minorEastAsia" w:eastAsiaTheme="minorEastAsia" w:hAnsiTheme="minorEastAsia" w:hint="eastAsia"/>
          <w:color w:val="000000" w:themeColor="text1"/>
          <w:kern w:val="0"/>
          <w:szCs w:val="21"/>
        </w:rPr>
        <w:t>三分之二</w:t>
      </w:r>
      <w:r w:rsidRPr="001F61B7">
        <w:rPr>
          <w:rFonts w:asciiTheme="minorEastAsia" w:eastAsiaTheme="minorEastAsia" w:hAnsiTheme="minorEastAsia"/>
          <w:color w:val="000000" w:themeColor="text1"/>
          <w:kern w:val="0"/>
          <w:szCs w:val="21"/>
        </w:rPr>
        <w:t>以上（含</w:t>
      </w:r>
      <w:r w:rsidRPr="001F61B7">
        <w:rPr>
          <w:rFonts w:asciiTheme="minorEastAsia" w:eastAsiaTheme="minorEastAsia" w:hAnsiTheme="minorEastAsia" w:hint="eastAsia"/>
          <w:color w:val="000000" w:themeColor="text1"/>
          <w:kern w:val="0"/>
          <w:szCs w:val="21"/>
        </w:rPr>
        <w:t>三分之二</w:t>
      </w:r>
      <w:r w:rsidRPr="001F61B7">
        <w:rPr>
          <w:rFonts w:asciiTheme="minorEastAsia" w:eastAsiaTheme="minorEastAsia" w:hAnsiTheme="minorEastAsia"/>
          <w:color w:val="000000" w:themeColor="text1"/>
          <w:kern w:val="0"/>
          <w:szCs w:val="21"/>
        </w:rPr>
        <w:t>）通过方可做出。</w:t>
      </w:r>
      <w:r w:rsidRPr="001F61B7">
        <w:rPr>
          <w:rFonts w:asciiTheme="minorEastAsia" w:eastAsiaTheme="minorEastAsia" w:hAnsiTheme="minorEastAsia" w:hint="eastAsia"/>
          <w:color w:val="000000" w:themeColor="text1"/>
          <w:kern w:val="0"/>
          <w:szCs w:val="21"/>
        </w:rPr>
        <w:t>除《基金合同》另有约定外，</w:t>
      </w:r>
      <w:r w:rsidRPr="001F61B7">
        <w:rPr>
          <w:rFonts w:asciiTheme="minorEastAsia" w:eastAsiaTheme="minorEastAsia" w:hAnsiTheme="minorEastAsia"/>
          <w:color w:val="000000" w:themeColor="text1"/>
          <w:kern w:val="0"/>
          <w:szCs w:val="21"/>
        </w:rPr>
        <w:t>转换基金运作方式、更换基金管理人或者基金托管人、终止《基金合同》、本基金与其他基金合并以特别决议通过方为有效。</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基金份额持有人大会采取记名方式进行投票表决。</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基金份额持有人大会的各项提案或同一项提案内并列的各项议题应当分开审议、逐项表决。</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（七）计票</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1、现场开会</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（2）监票人应当在基金份额持有人表决后立即进行清点并由大会主持人当场公布计票结果。</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（4）计票过程应由公证机关予以公证</w:t>
      </w:r>
      <w:r w:rsidRPr="001F61B7">
        <w:rPr>
          <w:rFonts w:asciiTheme="minorEastAsia" w:eastAsiaTheme="minorEastAsia" w:hAnsiTheme="minorEastAsia" w:hint="eastAsia"/>
          <w:color w:val="000000" w:themeColor="text1"/>
          <w:kern w:val="0"/>
          <w:szCs w:val="21"/>
        </w:rPr>
        <w:t>，</w:t>
      </w:r>
      <w:r w:rsidRPr="001F61B7">
        <w:rPr>
          <w:rFonts w:asciiTheme="minorEastAsia" w:eastAsiaTheme="minorEastAsia" w:hAnsiTheme="minorEastAsia"/>
          <w:color w:val="000000" w:themeColor="text1"/>
          <w:kern w:val="0"/>
          <w:szCs w:val="21"/>
        </w:rPr>
        <w:t>基金管理人或基金托管人拒不出席大会的，不影响计票的效力。</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2、通讯开会</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（八）生效与公告</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基金份额持有人大会的决议，召集人应当自通过之日起</w:t>
      </w:r>
      <w:r w:rsidRPr="001F61B7">
        <w:rPr>
          <w:rFonts w:asciiTheme="minorEastAsia" w:eastAsiaTheme="minorEastAsia" w:hAnsiTheme="minorEastAsia" w:hint="eastAsia"/>
          <w:color w:val="000000" w:themeColor="text1"/>
          <w:kern w:val="0"/>
          <w:szCs w:val="21"/>
        </w:rPr>
        <w:t>5</w:t>
      </w:r>
      <w:r w:rsidRPr="001F61B7">
        <w:rPr>
          <w:rFonts w:asciiTheme="minorEastAsia" w:eastAsiaTheme="minorEastAsia" w:hAnsiTheme="minorEastAsia"/>
          <w:color w:val="000000" w:themeColor="text1"/>
          <w:kern w:val="0"/>
          <w:szCs w:val="21"/>
        </w:rPr>
        <w:t>日内报中国证监会备案。</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基金份额持有人大会的决议自表决通过之日起生效。</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基金份额持有人大会决议自生效之日起</w:t>
      </w:r>
      <w:r w:rsidRPr="001F61B7">
        <w:rPr>
          <w:rFonts w:asciiTheme="minorEastAsia" w:eastAsiaTheme="minorEastAsia" w:hAnsiTheme="minorEastAsia" w:hint="eastAsia"/>
          <w:color w:val="000000" w:themeColor="text1"/>
          <w:kern w:val="0"/>
          <w:szCs w:val="21"/>
        </w:rPr>
        <w:t>2</w:t>
      </w:r>
      <w:r w:rsidRPr="001F61B7">
        <w:rPr>
          <w:rFonts w:asciiTheme="minorEastAsia" w:eastAsiaTheme="minorEastAsia" w:hAnsiTheme="minorEastAsia"/>
          <w:color w:val="000000" w:themeColor="text1"/>
          <w:kern w:val="0"/>
          <w:szCs w:val="21"/>
        </w:rPr>
        <w:t>日内在</w:t>
      </w:r>
      <w:r w:rsidRPr="001F61B7">
        <w:rPr>
          <w:rFonts w:asciiTheme="minorEastAsia" w:eastAsiaTheme="minorEastAsia" w:hAnsiTheme="minorEastAsia" w:hint="eastAsia"/>
          <w:color w:val="000000" w:themeColor="text1"/>
          <w:kern w:val="0"/>
          <w:szCs w:val="21"/>
        </w:rPr>
        <w:t>指定媒介</w:t>
      </w:r>
      <w:r w:rsidRPr="001F61B7">
        <w:rPr>
          <w:rFonts w:asciiTheme="minorEastAsia" w:eastAsiaTheme="minorEastAsia" w:hAnsiTheme="minorEastAsia"/>
          <w:color w:val="000000" w:themeColor="text1"/>
          <w:kern w:val="0"/>
          <w:szCs w:val="21"/>
        </w:rPr>
        <w:t>上公告。</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基金管理人、基金托管人和基金份额持有人应当执行生效的基金份额持有人大会的决议。生效的基金份额持有人大会决议对全体基金份额持有人、基金管理人、基金托管人均有约束力。</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三、基金收益分配原则、执行方式</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（一）基金收益分配原则</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1</w:t>
      </w:r>
      <w:r w:rsidRPr="001F61B7">
        <w:rPr>
          <w:rFonts w:asciiTheme="minorEastAsia" w:eastAsiaTheme="minorEastAsia" w:hAnsiTheme="minorEastAsia"/>
          <w:color w:val="000000" w:themeColor="text1"/>
          <w:kern w:val="0"/>
          <w:szCs w:val="21"/>
        </w:rPr>
        <w:t>、本基金收益分配方式</w:t>
      </w:r>
      <w:r w:rsidRPr="001F61B7">
        <w:rPr>
          <w:rFonts w:asciiTheme="minorEastAsia" w:eastAsiaTheme="minorEastAsia" w:hAnsiTheme="minorEastAsia" w:hint="eastAsia"/>
          <w:color w:val="000000" w:themeColor="text1"/>
          <w:kern w:val="0"/>
          <w:szCs w:val="21"/>
        </w:rPr>
        <w:t>采用</w:t>
      </w:r>
      <w:r w:rsidRPr="001F61B7">
        <w:rPr>
          <w:rFonts w:asciiTheme="minorEastAsia" w:eastAsiaTheme="minorEastAsia" w:hAnsiTheme="minorEastAsia"/>
          <w:color w:val="000000" w:themeColor="text1"/>
          <w:kern w:val="0"/>
          <w:szCs w:val="21"/>
        </w:rPr>
        <w:t>现金分红；</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2</w:t>
      </w:r>
      <w:r w:rsidRPr="001F61B7">
        <w:rPr>
          <w:rFonts w:asciiTheme="minorEastAsia" w:eastAsiaTheme="minorEastAsia" w:hAnsiTheme="minorEastAsia"/>
          <w:color w:val="000000" w:themeColor="text1"/>
          <w:kern w:val="0"/>
          <w:szCs w:val="21"/>
        </w:rPr>
        <w:t>、每一基金份额享有同等分配权；</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 xml:space="preserve">3、基金收益评价日核定的基金累计报酬率超过标的指数同期累计报酬率达到1%以上，基金管理人可进行收益分配； </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4、本基金收益分配比例根据以下原则确定：使收益分配后基金累计报酬率尽可能贴近标的指数同期累计报酬率。基于本基金的性质和特点，本基金收益分配无需以弥补亏损为前提，收益分配后基金份额净值有可能低于面值；</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5</w:t>
      </w:r>
      <w:r w:rsidRPr="001F61B7">
        <w:rPr>
          <w:rFonts w:asciiTheme="minorEastAsia" w:eastAsiaTheme="minorEastAsia" w:hAnsiTheme="minorEastAsia"/>
          <w:color w:val="000000" w:themeColor="text1"/>
          <w:kern w:val="0"/>
          <w:szCs w:val="21"/>
        </w:rPr>
        <w:t>、法律法规或监管机关另有规定的，从其规定。</w:t>
      </w:r>
      <w:r w:rsidRPr="001F61B7">
        <w:rPr>
          <w:rFonts w:asciiTheme="minorEastAsia" w:eastAsiaTheme="minorEastAsia" w:hAnsiTheme="minorEastAsia" w:hint="eastAsia"/>
          <w:color w:val="000000" w:themeColor="text1"/>
          <w:kern w:val="0"/>
          <w:szCs w:val="21"/>
        </w:rPr>
        <w:t>证券交易所或基金登记结算机构对收益分配另有规定的，从其规定。</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基金管理人可在对基金份额持有人利益无实质不利影响的前提下，对上述原则进行修改或调整，而无需召开基金份额持有人大会审议。</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（二）基金收益分配数额的确定原则</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 xml:space="preserve">1、在收益评价日，基金管理人计算基金累计报酬率、标的指数同期累计报酬率。 </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基金收益评价日本基金相对标的指数的超额收益率＝基金累计报酬率 - 标的指数同期累计报酬率</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基金累计报酬率=收益评价日基金份额净值（如上市后基金份额发生折算，则采用剔除上市后折算因素的基金份额净值）/基金上市前一深圳证券交易所交易日基金份额净值-100%</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剔除上市后折算因素的基金份额净值＝</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object>
          <v:shape id="_x0000_i1027" type="#_x0000_t75" style="width:4in;height:30.75pt" o:oleicon="f" o:ole="">
            <v:imagedata r:id="rId18" o:title=""/>
          </v:shape>
          <o:OLEObject Type="Embed" ProgID="Equation.3" ShapeID="_x0000_i1027" DrawAspect="Content" ObjectID="_1702366129" r:id="rId22"/>
        </w:objec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注：</w:t>
      </w:r>
      <w:r>
        <w:rPr>
          <w:rFonts w:asciiTheme="minorEastAsia" w:eastAsiaTheme="minorEastAsia" w:hAnsiTheme="minorEastAsia" w:hint="eastAsia"/>
          <w:color w:val="000000" w:themeColor="text1"/>
          <w:kern w:val="0"/>
          <w:szCs w:val="21"/>
        </w:rPr>
        <w:object>
          <v:shape id="_x0000_i1028" type="#_x0000_t75" style="width:25.5pt;height:25.5pt" o:oleicon="f" o:ole="">
            <v:imagedata r:id="rId20" o:title=""/>
          </v:shape>
          <o:OLEObject Type="Embed" ProgID="Equation.DSMT4" ShapeID="_x0000_i1028" DrawAspect="Content" ObjectID="_1702366130" r:id="rId23"/>
        </w:object>
      </w:r>
      <w:r w:rsidRPr="001F61B7">
        <w:rPr>
          <w:rFonts w:asciiTheme="minorEastAsia" w:eastAsiaTheme="minorEastAsia" w:hAnsiTheme="minorEastAsia" w:hint="eastAsia"/>
          <w:color w:val="000000" w:themeColor="text1"/>
          <w:kern w:val="0"/>
          <w:szCs w:val="21"/>
        </w:rPr>
        <w:t>为连乘符号。当基金份额折算比例为N时，表示每一份基金份额折算为N份。</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标的指数同期累计报酬率=收益评价日标的指数收盘值/基金上市前一深圳证券交易所交易日标的指数收盘值-100%</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当上述超额收益率超过1%时，基金管理人有权进行收益分配。</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2、根据前述收益分配原则计算截至基金收益评价日本基金的份额可分配收益，并确定收益分配比例。</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3、每基金份额的应分配收益为</w:t>
      </w:r>
      <w:r w:rsidRPr="001F61B7">
        <w:rPr>
          <w:rFonts w:asciiTheme="minorEastAsia" w:eastAsiaTheme="minorEastAsia" w:hAnsiTheme="minorEastAsia"/>
          <w:color w:val="000000" w:themeColor="text1"/>
          <w:kern w:val="0"/>
          <w:szCs w:val="21"/>
        </w:rPr>
        <w:t>份额可分配收益乘</w:t>
      </w:r>
      <w:r w:rsidRPr="001F61B7">
        <w:rPr>
          <w:rFonts w:asciiTheme="minorEastAsia" w:eastAsiaTheme="minorEastAsia" w:hAnsiTheme="minorEastAsia" w:hint="eastAsia"/>
          <w:color w:val="000000" w:themeColor="text1"/>
          <w:kern w:val="0"/>
          <w:szCs w:val="21"/>
        </w:rPr>
        <w:t>以收益分配比例，保留小数点后3位，第4位舍去。</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（三）收益分配方案</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基金收益分配方案中应载明基金收益分配对象、分配时间、分配数额及比例、分配方式等内容。</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（四）收益分配方案的确定、公告与实施</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本基金收益分配方案由基金管理人拟定，并由基金托管人复核，</w:t>
      </w:r>
      <w:r w:rsidRPr="001F61B7">
        <w:rPr>
          <w:rFonts w:asciiTheme="minorEastAsia" w:eastAsiaTheme="minorEastAsia" w:hAnsiTheme="minorEastAsia" w:hint="eastAsia"/>
          <w:color w:val="000000" w:themeColor="text1"/>
          <w:kern w:val="0"/>
          <w:szCs w:val="21"/>
        </w:rPr>
        <w:t>在2日内</w:t>
      </w:r>
      <w:r w:rsidRPr="001F61B7">
        <w:rPr>
          <w:rFonts w:asciiTheme="minorEastAsia" w:eastAsiaTheme="minorEastAsia" w:hAnsiTheme="minorEastAsia"/>
          <w:color w:val="000000" w:themeColor="text1"/>
          <w:kern w:val="0"/>
          <w:szCs w:val="21"/>
        </w:rPr>
        <w:t>在指定</w:t>
      </w:r>
      <w:r w:rsidRPr="001F61B7">
        <w:rPr>
          <w:rFonts w:asciiTheme="minorEastAsia" w:eastAsiaTheme="minorEastAsia" w:hAnsiTheme="minorEastAsia" w:hint="eastAsia"/>
          <w:color w:val="000000" w:themeColor="text1"/>
          <w:kern w:val="0"/>
          <w:szCs w:val="21"/>
        </w:rPr>
        <w:t>媒介</w:t>
      </w:r>
      <w:r w:rsidRPr="001F61B7">
        <w:rPr>
          <w:rFonts w:asciiTheme="minorEastAsia" w:eastAsiaTheme="minorEastAsia" w:hAnsiTheme="minorEastAsia"/>
          <w:color w:val="000000" w:themeColor="text1"/>
          <w:kern w:val="0"/>
          <w:szCs w:val="21"/>
        </w:rPr>
        <w:t>公告。</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法律法规或监管机关另有规定的，从其规定。</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四、与基金财产管理、运用有关费用的提取、支付方式与比例</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（一）基金费用的种类</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1、基金管理人的管理费；</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2、基金托管人的托管费；</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3、《基金合同》生效后的标的指数许可使用费；</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4</w:t>
      </w:r>
      <w:r w:rsidRPr="001F61B7">
        <w:rPr>
          <w:rFonts w:asciiTheme="minorEastAsia" w:eastAsiaTheme="minorEastAsia" w:hAnsiTheme="minorEastAsia"/>
          <w:color w:val="000000" w:themeColor="text1"/>
          <w:kern w:val="0"/>
          <w:szCs w:val="21"/>
        </w:rPr>
        <w:t>、《基金合同》生效后与基金相关的信息披露费用；</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5</w:t>
      </w:r>
      <w:r w:rsidRPr="001F61B7">
        <w:rPr>
          <w:rFonts w:asciiTheme="minorEastAsia" w:eastAsiaTheme="minorEastAsia" w:hAnsiTheme="minorEastAsia"/>
          <w:color w:val="000000" w:themeColor="text1"/>
          <w:kern w:val="0"/>
          <w:szCs w:val="21"/>
        </w:rPr>
        <w:t>、《基金合同》生效后与基金相关的会计师费、律师费</w:t>
      </w:r>
      <w:r w:rsidRPr="001F61B7">
        <w:rPr>
          <w:rFonts w:asciiTheme="minorEastAsia" w:eastAsiaTheme="minorEastAsia" w:hAnsiTheme="minorEastAsia" w:hint="eastAsia"/>
          <w:color w:val="000000" w:themeColor="text1"/>
          <w:kern w:val="0"/>
          <w:szCs w:val="21"/>
        </w:rPr>
        <w:t>、</w:t>
      </w:r>
      <w:r w:rsidRPr="001F61B7">
        <w:rPr>
          <w:rFonts w:asciiTheme="minorEastAsia" w:eastAsiaTheme="minorEastAsia" w:hAnsiTheme="minorEastAsia"/>
          <w:color w:val="000000" w:themeColor="text1"/>
          <w:kern w:val="0"/>
          <w:szCs w:val="21"/>
        </w:rPr>
        <w:t>诉讼费</w:t>
      </w:r>
      <w:r w:rsidRPr="001F61B7">
        <w:rPr>
          <w:rFonts w:asciiTheme="minorEastAsia" w:eastAsiaTheme="minorEastAsia" w:hAnsiTheme="minorEastAsia" w:hint="eastAsia"/>
          <w:color w:val="000000" w:themeColor="text1"/>
          <w:kern w:val="0"/>
          <w:szCs w:val="21"/>
        </w:rPr>
        <w:t>和仲裁费</w:t>
      </w:r>
      <w:r w:rsidRPr="001F61B7">
        <w:rPr>
          <w:rFonts w:asciiTheme="minorEastAsia" w:eastAsiaTheme="minorEastAsia" w:hAnsiTheme="minorEastAsia"/>
          <w:color w:val="000000" w:themeColor="text1"/>
          <w:kern w:val="0"/>
          <w:szCs w:val="21"/>
        </w:rPr>
        <w:t>；</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6</w:t>
      </w:r>
      <w:r w:rsidRPr="001F61B7">
        <w:rPr>
          <w:rFonts w:asciiTheme="minorEastAsia" w:eastAsiaTheme="minorEastAsia" w:hAnsiTheme="minorEastAsia"/>
          <w:color w:val="000000" w:themeColor="text1"/>
          <w:kern w:val="0"/>
          <w:szCs w:val="21"/>
        </w:rPr>
        <w:t>、基金份额持有人大会费用；</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7</w:t>
      </w:r>
      <w:r w:rsidRPr="001F61B7">
        <w:rPr>
          <w:rFonts w:asciiTheme="minorEastAsia" w:eastAsiaTheme="minorEastAsia" w:hAnsiTheme="minorEastAsia"/>
          <w:color w:val="000000" w:themeColor="text1"/>
          <w:kern w:val="0"/>
          <w:szCs w:val="21"/>
        </w:rPr>
        <w:t>、基金的证券交易费用；</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8</w:t>
      </w:r>
      <w:r w:rsidRPr="001F61B7">
        <w:rPr>
          <w:rFonts w:asciiTheme="minorEastAsia" w:eastAsiaTheme="minorEastAsia" w:hAnsiTheme="minorEastAsia"/>
          <w:color w:val="000000" w:themeColor="text1"/>
          <w:kern w:val="0"/>
          <w:szCs w:val="21"/>
        </w:rPr>
        <w:t>、基金的银行汇划费用；</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9</w:t>
      </w:r>
      <w:r w:rsidRPr="001F61B7">
        <w:rPr>
          <w:rFonts w:asciiTheme="minorEastAsia" w:eastAsiaTheme="minorEastAsia" w:hAnsiTheme="minorEastAsia"/>
          <w:color w:val="000000" w:themeColor="text1"/>
          <w:kern w:val="0"/>
          <w:szCs w:val="21"/>
        </w:rPr>
        <w:t>、</w:t>
      </w:r>
      <w:r w:rsidRPr="001F61B7">
        <w:rPr>
          <w:rFonts w:asciiTheme="minorEastAsia" w:eastAsiaTheme="minorEastAsia" w:hAnsiTheme="minorEastAsia" w:hint="eastAsia"/>
          <w:color w:val="000000" w:themeColor="text1"/>
          <w:kern w:val="0"/>
          <w:szCs w:val="21"/>
        </w:rPr>
        <w:t>基金相关账户开户费用、账户维护费用；</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10、基金上市初费及月费、登记结算费用、IOPV计算与发布费用；</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11、收益分配中发生的费用；</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12</w:t>
      </w:r>
      <w:r w:rsidRPr="001F61B7">
        <w:rPr>
          <w:rFonts w:asciiTheme="minorEastAsia" w:eastAsiaTheme="minorEastAsia" w:hAnsiTheme="minorEastAsia"/>
          <w:color w:val="000000" w:themeColor="text1"/>
          <w:kern w:val="0"/>
          <w:szCs w:val="21"/>
        </w:rPr>
        <w:t>、按照国家有关规定和《基金合同》约定，</w:t>
      </w:r>
      <w:r w:rsidRPr="001F61B7">
        <w:rPr>
          <w:rFonts w:asciiTheme="minorEastAsia" w:eastAsiaTheme="minorEastAsia" w:hAnsiTheme="minorEastAsia" w:hint="eastAsia"/>
          <w:color w:val="000000" w:themeColor="text1"/>
          <w:kern w:val="0"/>
          <w:szCs w:val="21"/>
        </w:rPr>
        <w:t>因基金运作而发生的，</w:t>
      </w:r>
      <w:r w:rsidRPr="001F61B7">
        <w:rPr>
          <w:rFonts w:asciiTheme="minorEastAsia" w:eastAsiaTheme="minorEastAsia" w:hAnsiTheme="minorEastAsia"/>
          <w:color w:val="000000" w:themeColor="text1"/>
          <w:kern w:val="0"/>
          <w:szCs w:val="21"/>
        </w:rPr>
        <w:t>可以在基金财产中列支的其他费用。</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（二）基金费用计提方法、计提标准和支付方式</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 xml:space="preserve">1、基金管理人的管理费 </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本基金的管理费按前一日基金资产净值的</w:t>
      </w:r>
      <w:r w:rsidRPr="001F61B7">
        <w:rPr>
          <w:rFonts w:asciiTheme="minorEastAsia" w:eastAsiaTheme="minorEastAsia" w:hAnsiTheme="minorEastAsia" w:hint="eastAsia"/>
          <w:color w:val="000000" w:themeColor="text1"/>
          <w:kern w:val="0"/>
          <w:szCs w:val="21"/>
        </w:rPr>
        <w:t>0.15</w:t>
      </w:r>
      <w:r w:rsidRPr="001F61B7">
        <w:rPr>
          <w:rFonts w:asciiTheme="minorEastAsia" w:eastAsiaTheme="minorEastAsia" w:hAnsiTheme="minorEastAsia"/>
          <w:color w:val="000000" w:themeColor="text1"/>
          <w:kern w:val="0"/>
          <w:szCs w:val="21"/>
        </w:rPr>
        <w:t>%年费率计提。管理费的计算方法如下：</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H＝E×</w:t>
      </w:r>
      <w:r w:rsidRPr="001F61B7">
        <w:rPr>
          <w:rFonts w:asciiTheme="minorEastAsia" w:eastAsiaTheme="minorEastAsia" w:hAnsiTheme="minorEastAsia" w:hint="eastAsia"/>
          <w:color w:val="000000" w:themeColor="text1"/>
          <w:kern w:val="0"/>
          <w:szCs w:val="21"/>
        </w:rPr>
        <w:t>0.15</w:t>
      </w:r>
      <w:r w:rsidRPr="001F61B7">
        <w:rPr>
          <w:rFonts w:asciiTheme="minorEastAsia" w:eastAsiaTheme="minorEastAsia" w:hAnsiTheme="minorEastAsia"/>
          <w:color w:val="000000" w:themeColor="text1"/>
          <w:kern w:val="0"/>
          <w:szCs w:val="21"/>
        </w:rPr>
        <w:t>%÷当年天数</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H为每日应计提的基金管理费</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E为前一日的基金资产净值</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基金管理费每日计算，按月支付</w:t>
      </w:r>
      <w:r w:rsidRPr="001F61B7">
        <w:rPr>
          <w:rFonts w:asciiTheme="minorEastAsia" w:eastAsiaTheme="minorEastAsia" w:hAnsiTheme="minorEastAsia" w:hint="eastAsia"/>
          <w:color w:val="000000" w:themeColor="text1"/>
          <w:kern w:val="0"/>
          <w:szCs w:val="21"/>
        </w:rPr>
        <w:t>。</w:t>
      </w:r>
      <w:r w:rsidRPr="001F61B7">
        <w:rPr>
          <w:rFonts w:asciiTheme="minorEastAsia" w:eastAsiaTheme="minorEastAsia" w:hAnsiTheme="minorEastAsia"/>
          <w:color w:val="000000" w:themeColor="text1"/>
          <w:kern w:val="0"/>
          <w:szCs w:val="21"/>
        </w:rPr>
        <w:t>由基金管理人</w:t>
      </w:r>
      <w:r w:rsidRPr="001F61B7">
        <w:rPr>
          <w:rFonts w:asciiTheme="minorEastAsia" w:eastAsiaTheme="minorEastAsia" w:hAnsiTheme="minorEastAsia" w:hint="eastAsia"/>
          <w:color w:val="000000" w:themeColor="text1"/>
          <w:kern w:val="0"/>
          <w:szCs w:val="21"/>
        </w:rPr>
        <w:t>向</w:t>
      </w:r>
      <w:r w:rsidRPr="001F61B7">
        <w:rPr>
          <w:rFonts w:asciiTheme="minorEastAsia" w:eastAsiaTheme="minorEastAsia" w:hAnsiTheme="minorEastAsia"/>
          <w:color w:val="000000" w:themeColor="text1"/>
          <w:kern w:val="0"/>
          <w:szCs w:val="21"/>
        </w:rPr>
        <w:t>基金托管人</w:t>
      </w:r>
      <w:r w:rsidRPr="001F61B7">
        <w:rPr>
          <w:rFonts w:asciiTheme="minorEastAsia" w:eastAsiaTheme="minorEastAsia" w:hAnsiTheme="minorEastAsia" w:hint="eastAsia"/>
          <w:color w:val="000000" w:themeColor="text1"/>
          <w:kern w:val="0"/>
          <w:szCs w:val="21"/>
        </w:rPr>
        <w:t>发送基金管理费划付指令，经</w:t>
      </w:r>
      <w:r w:rsidRPr="001F61B7">
        <w:rPr>
          <w:rFonts w:asciiTheme="minorEastAsia" w:eastAsiaTheme="minorEastAsia" w:hAnsiTheme="minorEastAsia"/>
          <w:color w:val="000000" w:themeColor="text1"/>
          <w:kern w:val="0"/>
          <w:szCs w:val="21"/>
        </w:rPr>
        <w:t>基金托管人复核后于次月</w:t>
      </w:r>
      <w:r w:rsidRPr="001F61B7">
        <w:rPr>
          <w:rFonts w:asciiTheme="minorEastAsia" w:eastAsiaTheme="minorEastAsia" w:hAnsiTheme="minorEastAsia" w:hint="eastAsia"/>
          <w:color w:val="000000" w:themeColor="text1"/>
          <w:kern w:val="0"/>
          <w:szCs w:val="21"/>
        </w:rPr>
        <w:t>首日起3</w:t>
      </w:r>
      <w:r w:rsidRPr="001F61B7">
        <w:rPr>
          <w:rFonts w:asciiTheme="minorEastAsia" w:eastAsiaTheme="minorEastAsia" w:hAnsiTheme="minorEastAsia"/>
          <w:color w:val="000000" w:themeColor="text1"/>
          <w:kern w:val="0"/>
          <w:szCs w:val="21"/>
        </w:rPr>
        <w:t>个工作日内从基金财产中一次性支付给基金管理人。若遇法定节假日、</w:t>
      </w:r>
      <w:r w:rsidRPr="001F61B7">
        <w:rPr>
          <w:rFonts w:asciiTheme="minorEastAsia" w:eastAsiaTheme="minorEastAsia" w:hAnsiTheme="minorEastAsia" w:hint="eastAsia"/>
          <w:color w:val="000000" w:themeColor="text1"/>
          <w:kern w:val="0"/>
          <w:szCs w:val="21"/>
        </w:rPr>
        <w:t>休息日或不可抗力致使无法按时支付的，顺延至法定节假日、休息日结束之日起3个工作日内或不可抗力情形消除之日起3个工作日内支付</w:t>
      </w:r>
      <w:r w:rsidRPr="001F61B7">
        <w:rPr>
          <w:rFonts w:asciiTheme="minorEastAsia" w:eastAsiaTheme="minorEastAsia" w:hAnsiTheme="minorEastAsia"/>
          <w:color w:val="000000" w:themeColor="text1"/>
          <w:kern w:val="0"/>
          <w:szCs w:val="21"/>
        </w:rPr>
        <w:t>。</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2、基金托管人的托管费</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本基金的托管费按前一日基金资产净值的</w:t>
      </w:r>
      <w:r w:rsidRPr="001F61B7">
        <w:rPr>
          <w:rFonts w:asciiTheme="minorEastAsia" w:eastAsiaTheme="minorEastAsia" w:hAnsiTheme="minorEastAsia" w:hint="eastAsia"/>
          <w:color w:val="000000" w:themeColor="text1"/>
          <w:kern w:val="0"/>
          <w:szCs w:val="21"/>
        </w:rPr>
        <w:t>0.05</w:t>
      </w:r>
      <w:r w:rsidRPr="001F61B7">
        <w:rPr>
          <w:rFonts w:asciiTheme="minorEastAsia" w:eastAsiaTheme="minorEastAsia" w:hAnsiTheme="minorEastAsia"/>
          <w:color w:val="000000" w:themeColor="text1"/>
          <w:kern w:val="0"/>
          <w:szCs w:val="21"/>
        </w:rPr>
        <w:t>%的年费率计提。托管费的计算方法如下：</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H＝E×</w:t>
      </w:r>
      <w:r w:rsidRPr="001F61B7">
        <w:rPr>
          <w:rFonts w:asciiTheme="minorEastAsia" w:eastAsiaTheme="minorEastAsia" w:hAnsiTheme="minorEastAsia" w:hint="eastAsia"/>
          <w:color w:val="000000" w:themeColor="text1"/>
          <w:kern w:val="0"/>
          <w:szCs w:val="21"/>
        </w:rPr>
        <w:t>0.05</w:t>
      </w:r>
      <w:r w:rsidRPr="001F61B7">
        <w:rPr>
          <w:rFonts w:asciiTheme="minorEastAsia" w:eastAsiaTheme="minorEastAsia" w:hAnsiTheme="minorEastAsia"/>
          <w:color w:val="000000" w:themeColor="text1"/>
          <w:kern w:val="0"/>
          <w:szCs w:val="21"/>
        </w:rPr>
        <w:t>%÷当年天数</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H为每日应计提的基金托管费</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E为前一日的基金资产净值</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基金托管费每日</w:t>
      </w:r>
      <w:r w:rsidRPr="001F61B7">
        <w:rPr>
          <w:rFonts w:asciiTheme="minorEastAsia" w:eastAsiaTheme="minorEastAsia" w:hAnsiTheme="minorEastAsia" w:hint="eastAsia"/>
          <w:color w:val="000000" w:themeColor="text1"/>
          <w:kern w:val="0"/>
          <w:szCs w:val="21"/>
        </w:rPr>
        <w:t>计算</w:t>
      </w:r>
      <w:r w:rsidRPr="001F61B7">
        <w:rPr>
          <w:rFonts w:asciiTheme="minorEastAsia" w:eastAsiaTheme="minorEastAsia" w:hAnsiTheme="minorEastAsia"/>
          <w:color w:val="000000" w:themeColor="text1"/>
          <w:kern w:val="0"/>
          <w:szCs w:val="21"/>
        </w:rPr>
        <w:t>，按月支付</w:t>
      </w:r>
      <w:r w:rsidRPr="001F61B7">
        <w:rPr>
          <w:rFonts w:asciiTheme="minorEastAsia" w:eastAsiaTheme="minorEastAsia" w:hAnsiTheme="minorEastAsia" w:hint="eastAsia"/>
          <w:color w:val="000000" w:themeColor="text1"/>
          <w:kern w:val="0"/>
          <w:szCs w:val="21"/>
        </w:rPr>
        <w:t>。由</w:t>
      </w:r>
      <w:r w:rsidRPr="001F61B7">
        <w:rPr>
          <w:rFonts w:asciiTheme="minorEastAsia" w:eastAsiaTheme="minorEastAsia" w:hAnsiTheme="minorEastAsia"/>
          <w:color w:val="000000" w:themeColor="text1"/>
          <w:kern w:val="0"/>
          <w:szCs w:val="21"/>
        </w:rPr>
        <w:t>基金管理人</w:t>
      </w:r>
      <w:r w:rsidRPr="001F61B7">
        <w:rPr>
          <w:rFonts w:asciiTheme="minorEastAsia" w:eastAsiaTheme="minorEastAsia" w:hAnsiTheme="minorEastAsia" w:hint="eastAsia"/>
          <w:color w:val="000000" w:themeColor="text1"/>
          <w:kern w:val="0"/>
          <w:szCs w:val="21"/>
        </w:rPr>
        <w:t>向</w:t>
      </w:r>
      <w:r w:rsidRPr="001F61B7">
        <w:rPr>
          <w:rFonts w:asciiTheme="minorEastAsia" w:eastAsiaTheme="minorEastAsia" w:hAnsiTheme="minorEastAsia"/>
          <w:color w:val="000000" w:themeColor="text1"/>
          <w:kern w:val="0"/>
          <w:szCs w:val="21"/>
        </w:rPr>
        <w:t>基金托管人发送基金托管费划</w:t>
      </w:r>
      <w:r w:rsidRPr="001F61B7">
        <w:rPr>
          <w:rFonts w:asciiTheme="minorEastAsia" w:eastAsiaTheme="minorEastAsia" w:hAnsiTheme="minorEastAsia" w:hint="eastAsia"/>
          <w:color w:val="000000" w:themeColor="text1"/>
          <w:kern w:val="0"/>
          <w:szCs w:val="21"/>
        </w:rPr>
        <w:t>付</w:t>
      </w:r>
      <w:r w:rsidRPr="001F61B7">
        <w:rPr>
          <w:rFonts w:asciiTheme="minorEastAsia" w:eastAsiaTheme="minorEastAsia" w:hAnsiTheme="minorEastAsia"/>
          <w:color w:val="000000" w:themeColor="text1"/>
          <w:kern w:val="0"/>
          <w:szCs w:val="21"/>
        </w:rPr>
        <w:t>指令，基金托管人复核后于次月</w:t>
      </w:r>
      <w:r w:rsidRPr="001F61B7">
        <w:rPr>
          <w:rFonts w:asciiTheme="minorEastAsia" w:eastAsiaTheme="minorEastAsia" w:hAnsiTheme="minorEastAsia" w:hint="eastAsia"/>
          <w:color w:val="000000" w:themeColor="text1"/>
          <w:kern w:val="0"/>
          <w:szCs w:val="21"/>
        </w:rPr>
        <w:t>首日起3</w:t>
      </w:r>
      <w:r w:rsidRPr="001F61B7">
        <w:rPr>
          <w:rFonts w:asciiTheme="minorEastAsia" w:eastAsiaTheme="minorEastAsia" w:hAnsiTheme="minorEastAsia"/>
          <w:color w:val="000000" w:themeColor="text1"/>
          <w:kern w:val="0"/>
          <w:szCs w:val="21"/>
        </w:rPr>
        <w:t>个工作日内从基金财产中一次性</w:t>
      </w:r>
      <w:r w:rsidRPr="001F61B7">
        <w:rPr>
          <w:rFonts w:asciiTheme="minorEastAsia" w:eastAsiaTheme="minorEastAsia" w:hAnsiTheme="minorEastAsia" w:hint="eastAsia"/>
          <w:color w:val="000000" w:themeColor="text1"/>
          <w:kern w:val="0"/>
          <w:szCs w:val="21"/>
        </w:rPr>
        <w:t>支付给基金托管人</w:t>
      </w:r>
      <w:r w:rsidRPr="001F61B7">
        <w:rPr>
          <w:rFonts w:asciiTheme="minorEastAsia" w:eastAsiaTheme="minorEastAsia" w:hAnsiTheme="minorEastAsia"/>
          <w:color w:val="000000" w:themeColor="text1"/>
          <w:kern w:val="0"/>
          <w:szCs w:val="21"/>
        </w:rPr>
        <w:t>。若遇法定节假日</w:t>
      </w:r>
      <w:r w:rsidRPr="001F61B7">
        <w:rPr>
          <w:rFonts w:asciiTheme="minorEastAsia" w:eastAsiaTheme="minorEastAsia" w:hAnsiTheme="minorEastAsia" w:hint="eastAsia"/>
          <w:color w:val="000000" w:themeColor="text1"/>
          <w:kern w:val="0"/>
          <w:szCs w:val="21"/>
        </w:rPr>
        <w:t>、休息日或不可抗力致使无法按时支付的，顺延至法定节假日、休息日结束之日起3个工作日内或不可抗力情形消除之日起3个工作日内支付</w:t>
      </w:r>
      <w:r w:rsidRPr="001F61B7">
        <w:rPr>
          <w:rFonts w:asciiTheme="minorEastAsia" w:eastAsiaTheme="minorEastAsia" w:hAnsiTheme="minorEastAsia"/>
          <w:color w:val="000000" w:themeColor="text1"/>
          <w:kern w:val="0"/>
          <w:szCs w:val="21"/>
        </w:rPr>
        <w:t>。</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3、标的指数许可使用费</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基金合同生效后的标的指数许可使用费按照基金管理人与指数编制机构签署的指数使用许可协议的约定从基金财产中向指数编制机构支付</w:t>
      </w:r>
      <w:r w:rsidRPr="001F61B7">
        <w:rPr>
          <w:rFonts w:asciiTheme="minorEastAsia" w:eastAsiaTheme="minorEastAsia" w:hAnsiTheme="minorEastAsia"/>
          <w:color w:val="000000" w:themeColor="text1"/>
          <w:kern w:val="0"/>
          <w:szCs w:val="21"/>
        </w:rPr>
        <w:t>。指数许可使用费的费率、具体计算方法及支付方式</w:t>
      </w:r>
      <w:r w:rsidRPr="001F61B7">
        <w:rPr>
          <w:rFonts w:asciiTheme="minorEastAsia" w:eastAsiaTheme="minorEastAsia" w:hAnsiTheme="minorEastAsia" w:hint="eastAsia"/>
          <w:color w:val="000000" w:themeColor="text1"/>
          <w:kern w:val="0"/>
          <w:szCs w:val="21"/>
        </w:rPr>
        <w:t>等</w:t>
      </w:r>
      <w:r w:rsidRPr="001F61B7">
        <w:rPr>
          <w:rFonts w:asciiTheme="minorEastAsia" w:eastAsiaTheme="minorEastAsia" w:hAnsiTheme="minorEastAsia"/>
          <w:color w:val="000000" w:themeColor="text1"/>
          <w:kern w:val="0"/>
          <w:szCs w:val="21"/>
        </w:rPr>
        <w:t>见招募说明书。</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如果</w:t>
      </w:r>
      <w:r w:rsidRPr="001F61B7">
        <w:rPr>
          <w:rFonts w:asciiTheme="minorEastAsia" w:eastAsiaTheme="minorEastAsia" w:hAnsiTheme="minorEastAsia" w:hint="eastAsia"/>
          <w:color w:val="000000" w:themeColor="text1"/>
          <w:kern w:val="0"/>
          <w:szCs w:val="21"/>
        </w:rPr>
        <w:t>基金管理人和指数编制机构对</w:t>
      </w:r>
      <w:r w:rsidRPr="001F61B7">
        <w:rPr>
          <w:rFonts w:asciiTheme="minorEastAsia" w:eastAsiaTheme="minorEastAsia" w:hAnsiTheme="minorEastAsia"/>
          <w:color w:val="000000" w:themeColor="text1"/>
          <w:kern w:val="0"/>
          <w:szCs w:val="21"/>
        </w:rPr>
        <w:t>指数许可使用费的计算方法、费率</w:t>
      </w:r>
      <w:r w:rsidRPr="001F61B7">
        <w:rPr>
          <w:rFonts w:asciiTheme="minorEastAsia" w:eastAsiaTheme="minorEastAsia" w:hAnsiTheme="minorEastAsia" w:hint="eastAsia"/>
          <w:color w:val="000000" w:themeColor="text1"/>
          <w:kern w:val="0"/>
          <w:szCs w:val="21"/>
        </w:rPr>
        <w:t>或</w:t>
      </w:r>
      <w:r w:rsidRPr="001F61B7">
        <w:rPr>
          <w:rFonts w:asciiTheme="minorEastAsia" w:eastAsiaTheme="minorEastAsia" w:hAnsiTheme="minorEastAsia"/>
          <w:color w:val="000000" w:themeColor="text1"/>
          <w:kern w:val="0"/>
          <w:szCs w:val="21"/>
        </w:rPr>
        <w:t>支付方式</w:t>
      </w:r>
      <w:r w:rsidRPr="001F61B7">
        <w:rPr>
          <w:rFonts w:asciiTheme="minorEastAsia" w:eastAsiaTheme="minorEastAsia" w:hAnsiTheme="minorEastAsia" w:hint="eastAsia"/>
          <w:color w:val="000000" w:themeColor="text1"/>
          <w:kern w:val="0"/>
          <w:szCs w:val="21"/>
        </w:rPr>
        <w:t>等另有约定的</w:t>
      </w:r>
      <w:r w:rsidRPr="001F61B7">
        <w:rPr>
          <w:rFonts w:asciiTheme="minorEastAsia" w:eastAsiaTheme="minorEastAsia" w:hAnsiTheme="minorEastAsia"/>
          <w:color w:val="000000" w:themeColor="text1"/>
          <w:kern w:val="0"/>
          <w:szCs w:val="21"/>
        </w:rPr>
        <w:t>，本基金</w:t>
      </w:r>
      <w:r w:rsidRPr="001F61B7">
        <w:rPr>
          <w:rFonts w:asciiTheme="minorEastAsia" w:eastAsiaTheme="minorEastAsia" w:hAnsiTheme="minorEastAsia" w:hint="eastAsia"/>
          <w:color w:val="000000" w:themeColor="text1"/>
          <w:kern w:val="0"/>
          <w:szCs w:val="21"/>
        </w:rPr>
        <w:t>从其最新约定</w:t>
      </w:r>
      <w:r w:rsidRPr="001F61B7">
        <w:rPr>
          <w:rFonts w:asciiTheme="minorEastAsia" w:eastAsiaTheme="minorEastAsia" w:hAnsiTheme="minorEastAsia"/>
          <w:color w:val="000000" w:themeColor="text1"/>
          <w:kern w:val="0"/>
          <w:szCs w:val="21"/>
        </w:rPr>
        <w:t>。</w:t>
      </w:r>
      <w:r w:rsidRPr="001F61B7">
        <w:rPr>
          <w:rFonts w:asciiTheme="minorEastAsia" w:eastAsiaTheme="minorEastAsia" w:hAnsiTheme="minorEastAsia" w:hint="eastAsia"/>
          <w:color w:val="000000" w:themeColor="text1"/>
          <w:kern w:val="0"/>
          <w:szCs w:val="21"/>
        </w:rPr>
        <w:t>此项变更无需召开基金份额持有人大会审议，但基金管理人应及时在指定媒介予以公告。</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上述“（一）基金费用的种类</w:t>
      </w:r>
      <w:r w:rsidRPr="001F61B7">
        <w:rPr>
          <w:rFonts w:asciiTheme="minorEastAsia" w:eastAsiaTheme="minorEastAsia" w:hAnsiTheme="minorEastAsia" w:hint="eastAsia"/>
          <w:color w:val="000000" w:themeColor="text1"/>
          <w:kern w:val="0"/>
          <w:szCs w:val="21"/>
        </w:rPr>
        <w:t>”</w:t>
      </w:r>
      <w:r w:rsidRPr="001F61B7">
        <w:rPr>
          <w:rFonts w:asciiTheme="minorEastAsia" w:eastAsiaTheme="minorEastAsia" w:hAnsiTheme="minorEastAsia"/>
          <w:color w:val="000000" w:themeColor="text1"/>
          <w:kern w:val="0"/>
          <w:szCs w:val="21"/>
        </w:rPr>
        <w:t>中第</w:t>
      </w:r>
      <w:r w:rsidRPr="001F61B7">
        <w:rPr>
          <w:rFonts w:asciiTheme="minorEastAsia" w:eastAsiaTheme="minorEastAsia" w:hAnsiTheme="minorEastAsia" w:hint="eastAsia"/>
          <w:color w:val="000000" w:themeColor="text1"/>
          <w:kern w:val="0"/>
          <w:szCs w:val="21"/>
        </w:rPr>
        <w:t>4</w:t>
      </w:r>
      <w:r w:rsidRPr="001F61B7">
        <w:rPr>
          <w:rFonts w:asciiTheme="minorEastAsia" w:eastAsiaTheme="minorEastAsia" w:hAnsiTheme="minorEastAsia"/>
          <w:color w:val="000000" w:themeColor="text1"/>
          <w:kern w:val="0"/>
          <w:szCs w:val="21"/>
        </w:rPr>
        <w:t>－</w:t>
      </w:r>
      <w:r w:rsidRPr="001F61B7">
        <w:rPr>
          <w:rFonts w:asciiTheme="minorEastAsia" w:eastAsiaTheme="minorEastAsia" w:hAnsiTheme="minorEastAsia" w:hint="eastAsia"/>
          <w:color w:val="000000" w:themeColor="text1"/>
          <w:kern w:val="0"/>
          <w:szCs w:val="21"/>
        </w:rPr>
        <w:t>12</w:t>
      </w:r>
      <w:r w:rsidRPr="001F61B7">
        <w:rPr>
          <w:rFonts w:asciiTheme="minorEastAsia" w:eastAsiaTheme="minorEastAsia" w:hAnsiTheme="minorEastAsia"/>
          <w:color w:val="000000" w:themeColor="text1"/>
          <w:kern w:val="0"/>
          <w:szCs w:val="21"/>
        </w:rPr>
        <w:t>项费用，根据有关法规及相应协议规定，按费用实际支出金额列入当期费用，由基金托管人从基金财产中支付。</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（三）不列入基金费用的项目</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下列费用不列入基金费用：</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1、基金管理人和基金托管人因未履行或未完全履行义务导致的费用支出或基金财产的损失；</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2、基金管理人和基金托管人处理与基金运作无关的事项发生的费用；</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3、《基金合同》生效前的相关费用；</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4、其他根据相关法律法规及中国证监会的有关规定不得列入基金费用的项目。</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（四）基金税收</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本基金运作过程中涉及的各纳税主体，基金财产投资的相关税收，由基金份额持有人承担，基金管理人或者其他扣缴义务人按照国家有关税收征收的规定代扣代缴，本基金支付给管理人、托管人的各项费用均为含税价格，具体税率适用中国税务主管机关的规定。</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五、基金财产的投资方向和投资限制</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（一）投资范围</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本基金的投资范围包括标的指数成份股及备选成份股</w:t>
      </w:r>
      <w:r w:rsidRPr="001F61B7" w:rsidR="008673C7">
        <w:rPr>
          <w:rFonts w:asciiTheme="minorEastAsia" w:eastAsiaTheme="minorEastAsia" w:hAnsiTheme="minorEastAsia" w:hint="eastAsia"/>
          <w:bCs/>
          <w:color w:val="000000" w:themeColor="text1"/>
          <w:kern w:val="0"/>
          <w:szCs w:val="21"/>
        </w:rPr>
        <w:t>（含存托凭证）</w:t>
      </w:r>
      <w:r w:rsidRPr="001F61B7">
        <w:rPr>
          <w:rFonts w:asciiTheme="minorEastAsia" w:eastAsiaTheme="minorEastAsia" w:hAnsiTheme="minorEastAsia" w:hint="eastAsia"/>
          <w:color w:val="000000" w:themeColor="text1"/>
          <w:kern w:val="0"/>
          <w:szCs w:val="21"/>
        </w:rPr>
        <w:t>、除标的指数成份股及备选成份股以外的其他股票（包括创业板、中小板以及其他依法发行、上市的股票</w:t>
      </w:r>
      <w:r w:rsidRPr="001F61B7" w:rsidR="008673C7">
        <w:rPr>
          <w:rFonts w:asciiTheme="minorEastAsia" w:eastAsiaTheme="minorEastAsia" w:hAnsiTheme="minorEastAsia" w:hint="eastAsia"/>
          <w:bCs/>
          <w:color w:val="000000" w:themeColor="text1"/>
          <w:kern w:val="0"/>
          <w:szCs w:val="21"/>
        </w:rPr>
        <w:t>、存托凭证</w:t>
      </w:r>
      <w:r w:rsidRPr="001F61B7">
        <w:rPr>
          <w:rFonts w:asciiTheme="minorEastAsia" w:eastAsiaTheme="minorEastAsia" w:hAnsiTheme="minorEastAsia" w:hint="eastAsia"/>
          <w:color w:val="000000" w:themeColor="text1"/>
          <w:kern w:val="0"/>
          <w:szCs w:val="21"/>
        </w:rPr>
        <w:t>）、债券、债券回购、资产支持证券、银行存款、同业存单、货币市场工具、金融衍生工具（包括股指期货、期权等）以及法律法规或中国证监会允许基金投资的其他金融工具。</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如法律法规或监管机构以后允许基金投资其他品种，本基金管理人可以将其纳入投资范围，其投资原则及投资比例按法律法规或监管机构的相关规定执行。</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本基金将根据法律法规的规定参与转融通证券出借及融资业务。</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本基金投资于标的指数成份股及备选成份股的资产不低于非现金资产的80%且不低于基金资产净值的90%，因法律法规的规定而受限制的情形除外。</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（二）投资限制</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1、组合限制</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基金的投资组合应遵循以下限制：</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（1）</w:t>
      </w:r>
      <w:r w:rsidRPr="001F61B7">
        <w:rPr>
          <w:rFonts w:asciiTheme="minorEastAsia" w:eastAsiaTheme="minorEastAsia" w:hAnsiTheme="minorEastAsia" w:hint="eastAsia"/>
          <w:color w:val="000000" w:themeColor="text1"/>
          <w:kern w:val="0"/>
          <w:szCs w:val="21"/>
        </w:rPr>
        <w:t>本基金投资于标的指数成份股及备选成份股的资产不低于非现金资产的80%且不低于基金资产净值的90%</w:t>
      </w:r>
      <w:r w:rsidRPr="001F61B7">
        <w:rPr>
          <w:rFonts w:asciiTheme="minorEastAsia" w:eastAsiaTheme="minorEastAsia" w:hAnsiTheme="minorEastAsia"/>
          <w:color w:val="000000" w:themeColor="text1"/>
          <w:kern w:val="0"/>
          <w:szCs w:val="21"/>
        </w:rPr>
        <w:t>；</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w:t>
      </w:r>
      <w:r w:rsidRPr="001F61B7">
        <w:rPr>
          <w:rFonts w:asciiTheme="minorEastAsia" w:eastAsiaTheme="minorEastAsia" w:hAnsiTheme="minorEastAsia" w:hint="eastAsia"/>
          <w:color w:val="000000" w:themeColor="text1"/>
          <w:kern w:val="0"/>
          <w:szCs w:val="21"/>
        </w:rPr>
        <w:t>2</w:t>
      </w:r>
      <w:r w:rsidRPr="001F61B7">
        <w:rPr>
          <w:rFonts w:asciiTheme="minorEastAsia" w:eastAsiaTheme="minorEastAsia" w:hAnsiTheme="minorEastAsia"/>
          <w:color w:val="000000" w:themeColor="text1"/>
          <w:kern w:val="0"/>
          <w:szCs w:val="21"/>
        </w:rPr>
        <w:t>）本基金投资于同一原始权益人的各类资产支持证券的比例，不得超过基金资产净值的10%；</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w:t>
      </w:r>
      <w:r w:rsidRPr="001F61B7">
        <w:rPr>
          <w:rFonts w:asciiTheme="minorEastAsia" w:eastAsiaTheme="minorEastAsia" w:hAnsiTheme="minorEastAsia" w:hint="eastAsia"/>
          <w:color w:val="000000" w:themeColor="text1"/>
          <w:kern w:val="0"/>
          <w:szCs w:val="21"/>
        </w:rPr>
        <w:t>3</w:t>
      </w:r>
      <w:r w:rsidRPr="001F61B7">
        <w:rPr>
          <w:rFonts w:asciiTheme="minorEastAsia" w:eastAsiaTheme="minorEastAsia" w:hAnsiTheme="minorEastAsia"/>
          <w:color w:val="000000" w:themeColor="text1"/>
          <w:kern w:val="0"/>
          <w:szCs w:val="21"/>
        </w:rPr>
        <w:t>）本基金持有的全部资产支持证券，其市值不得超过基金资产净值的20%；</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w:t>
      </w:r>
      <w:r w:rsidRPr="001F61B7">
        <w:rPr>
          <w:rFonts w:asciiTheme="minorEastAsia" w:eastAsiaTheme="minorEastAsia" w:hAnsiTheme="minorEastAsia" w:hint="eastAsia"/>
          <w:color w:val="000000" w:themeColor="text1"/>
          <w:kern w:val="0"/>
          <w:szCs w:val="21"/>
        </w:rPr>
        <w:t>4</w:t>
      </w:r>
      <w:r w:rsidRPr="001F61B7">
        <w:rPr>
          <w:rFonts w:asciiTheme="minorEastAsia" w:eastAsiaTheme="minorEastAsia" w:hAnsiTheme="minorEastAsia"/>
          <w:color w:val="000000" w:themeColor="text1"/>
          <w:kern w:val="0"/>
          <w:szCs w:val="21"/>
        </w:rPr>
        <w:t>）本基金持有的同一(指同一信用级别)资产支持证券的比例，不得超过该资产支持证券规模的10%；</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w:t>
      </w:r>
      <w:r w:rsidRPr="001F61B7">
        <w:rPr>
          <w:rFonts w:asciiTheme="minorEastAsia" w:eastAsiaTheme="minorEastAsia" w:hAnsiTheme="minorEastAsia" w:hint="eastAsia"/>
          <w:color w:val="000000" w:themeColor="text1"/>
          <w:kern w:val="0"/>
          <w:szCs w:val="21"/>
        </w:rPr>
        <w:t>5</w:t>
      </w:r>
      <w:r w:rsidRPr="001F61B7">
        <w:rPr>
          <w:rFonts w:asciiTheme="minorEastAsia" w:eastAsiaTheme="minorEastAsia" w:hAnsiTheme="minorEastAsia"/>
          <w:color w:val="000000" w:themeColor="text1"/>
          <w:kern w:val="0"/>
          <w:szCs w:val="21"/>
        </w:rPr>
        <w:t>）本基金管理人管理的全部基金投资于同一原始权益人的各类资产支持证券，不得超过其各类资产支持证券合计规模的10%；</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w:t>
      </w:r>
      <w:r w:rsidRPr="001F61B7">
        <w:rPr>
          <w:rFonts w:asciiTheme="minorEastAsia" w:eastAsiaTheme="minorEastAsia" w:hAnsiTheme="minorEastAsia" w:hint="eastAsia"/>
          <w:color w:val="000000" w:themeColor="text1"/>
          <w:kern w:val="0"/>
          <w:szCs w:val="21"/>
        </w:rPr>
        <w:t>6</w:t>
      </w:r>
      <w:r w:rsidRPr="001F61B7">
        <w:rPr>
          <w:rFonts w:asciiTheme="minorEastAsia" w:eastAsiaTheme="minorEastAsia" w:hAnsiTheme="minorEastAsia"/>
          <w:color w:val="000000" w:themeColor="text1"/>
          <w:kern w:val="0"/>
          <w:szCs w:val="21"/>
        </w:rPr>
        <w:t>）本基金应投资于信用级别评级为BBB以上(含BBB)的资产支持证券。基金持有资产支持证券期间，如果其信用等级下降、不再符合投资标准，应在评级报告发布之日起3个月内予以全部卖出；</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w:t>
      </w:r>
      <w:r w:rsidRPr="001F61B7">
        <w:rPr>
          <w:rFonts w:asciiTheme="minorEastAsia" w:eastAsiaTheme="minorEastAsia" w:hAnsiTheme="minorEastAsia" w:hint="eastAsia"/>
          <w:color w:val="000000" w:themeColor="text1"/>
          <w:kern w:val="0"/>
          <w:szCs w:val="21"/>
        </w:rPr>
        <w:t>7</w:t>
      </w:r>
      <w:r w:rsidRPr="001F61B7">
        <w:rPr>
          <w:rFonts w:asciiTheme="minorEastAsia" w:eastAsiaTheme="minorEastAsia" w:hAnsiTheme="minorEastAsia"/>
          <w:color w:val="000000" w:themeColor="text1"/>
          <w:kern w:val="0"/>
          <w:szCs w:val="21"/>
        </w:rPr>
        <w:t>）基金财产参与股票发行申购，本基金所申报的金额不超过本基金的总资产，本基金所申报的股票数量不超过拟发行股票公司本次发行股票的总量；</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w:t>
      </w:r>
      <w:r w:rsidRPr="001F61B7">
        <w:rPr>
          <w:rFonts w:asciiTheme="minorEastAsia" w:eastAsiaTheme="minorEastAsia" w:hAnsiTheme="minorEastAsia" w:hint="eastAsia"/>
          <w:color w:val="000000" w:themeColor="text1"/>
          <w:kern w:val="0"/>
          <w:szCs w:val="21"/>
        </w:rPr>
        <w:t>8</w:t>
      </w:r>
      <w:r w:rsidRPr="001F61B7">
        <w:rPr>
          <w:rFonts w:asciiTheme="minorEastAsia" w:eastAsiaTheme="minorEastAsia" w:hAnsiTheme="minorEastAsia"/>
          <w:color w:val="000000" w:themeColor="text1"/>
          <w:kern w:val="0"/>
          <w:szCs w:val="21"/>
        </w:rPr>
        <w:t>）本基金进入全国银行间同业市场进行债券回购的资金余额不得超过基金资产净值的40%</w:t>
      </w:r>
      <w:r w:rsidRPr="001F61B7">
        <w:rPr>
          <w:rFonts w:asciiTheme="minorEastAsia" w:eastAsiaTheme="minorEastAsia" w:hAnsiTheme="minorEastAsia" w:hint="eastAsia"/>
          <w:color w:val="000000" w:themeColor="text1"/>
          <w:kern w:val="0"/>
          <w:szCs w:val="21"/>
        </w:rPr>
        <w:t>，进入全国银行间同业市场进行债券回购的最长期限为1年，债券回购到期后不得展期</w:t>
      </w:r>
      <w:r w:rsidRPr="001F61B7">
        <w:rPr>
          <w:rFonts w:asciiTheme="minorEastAsia" w:eastAsiaTheme="minorEastAsia" w:hAnsiTheme="minorEastAsia"/>
          <w:color w:val="000000" w:themeColor="text1"/>
          <w:kern w:val="0"/>
          <w:szCs w:val="21"/>
        </w:rPr>
        <w:t>；</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9）本基金参与股指期货交易的，应当符合下列要求：在任何交易日日终，持有的买入股指期货合约价值，不得超过基金资产净值的10%；在任何交易日日终，持有的买入期货合约价值与有价证券市值之和，不得超过基金资产净值的100%，其中，有价证券指股票、债券（不含到期日在一年以内的政府债券）、资产支持证券、买入返售金融资产（不含质押式回购）等；在任何交易日日终，持有的卖出期货合约价值不得超过基金持有的股票总市值的20%；持有的股票市值和买入、卖出股指期货合约价值，合计（轧差计算）应当符合基金合同关于股票投资比例的有关约定；在任何交易日内交易（不包括平仓）的股指期货合约的</w:t>
      </w:r>
      <w:r w:rsidRPr="001F61B7">
        <w:rPr>
          <w:rFonts w:asciiTheme="minorEastAsia" w:eastAsiaTheme="minorEastAsia" w:hAnsiTheme="minorEastAsia" w:hint="eastAsia"/>
          <w:color w:val="000000" w:themeColor="text1"/>
          <w:kern w:val="0"/>
          <w:szCs w:val="21"/>
        </w:rPr>
        <w:t>成交金额不得超过上一交易日基金资产净值的20%；每个交易日日终在扣除股指期货合约需缴纳的交易保证金后，应当保持不低于交易保证金一倍的现金；</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10）本基金参与股票期权交易的，应当符合下列要求：基金因未平仓的期权合约支付和收取的权利金总额不得超过基金资产净值的10%；开仓卖出认购期权的，应持有足额标的证券；开仓卖出认沽期权的，应持有合约行权所需的全额现金或交易所规则认可的可冲抵期权保证金的现金等价物；未平仓的期权合约面值不得超过基金资产净值的20%。其中，合约面值按照行权价乘以合约乘数计算；</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（11）</w:t>
      </w:r>
      <w:r w:rsidRPr="001F61B7">
        <w:rPr>
          <w:rFonts w:asciiTheme="minorEastAsia" w:eastAsiaTheme="minorEastAsia" w:hAnsiTheme="minorEastAsia"/>
          <w:color w:val="000000" w:themeColor="text1"/>
          <w:kern w:val="0"/>
          <w:szCs w:val="21"/>
        </w:rPr>
        <w:t>本基金参与转融通证券出借业务的，应当符合下列要求：最近6个月内日均基金资产净值不得低于2亿元；参与转融通证券出借业务的资产不得超过基金资产净值的30%，其中出借期限在10个交易日以上的出借证券归为流动性受限资产；参与转融通证券出借业务的单只证券不得超过基金持有该证券总量的30%；证券出借的平均剩余期限不得超过30天，平均剩余期限按照市值加权平均计算；</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（12）基金参与融资业务后，在任何交易日日终，持有的融资买入股票与其他有价证券市值之和，不得超过基金资产净值的95%；</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w:t>
      </w:r>
      <w:r w:rsidRPr="001F61B7">
        <w:rPr>
          <w:rFonts w:asciiTheme="minorEastAsia" w:eastAsiaTheme="minorEastAsia" w:hAnsiTheme="minorEastAsia" w:hint="eastAsia"/>
          <w:color w:val="000000" w:themeColor="text1"/>
          <w:kern w:val="0"/>
          <w:szCs w:val="21"/>
        </w:rPr>
        <w:t>13</w:t>
      </w:r>
      <w:r w:rsidRPr="001F61B7">
        <w:rPr>
          <w:rFonts w:asciiTheme="minorEastAsia" w:eastAsiaTheme="minorEastAsia" w:hAnsiTheme="minorEastAsia"/>
          <w:color w:val="000000" w:themeColor="text1"/>
          <w:kern w:val="0"/>
          <w:szCs w:val="21"/>
        </w:rPr>
        <w:t>）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r w:rsidRPr="001F61B7">
        <w:rPr>
          <w:rFonts w:asciiTheme="minorEastAsia" w:eastAsiaTheme="minorEastAsia" w:hAnsiTheme="minorEastAsia" w:hint="eastAsia"/>
          <w:color w:val="000000" w:themeColor="text1"/>
          <w:kern w:val="0"/>
          <w:szCs w:val="21"/>
        </w:rPr>
        <w:t>，法律法规另有规定的，从其规定</w:t>
      </w:r>
      <w:r w:rsidRPr="001F61B7">
        <w:rPr>
          <w:rFonts w:asciiTheme="minorEastAsia" w:eastAsiaTheme="minorEastAsia" w:hAnsiTheme="minorEastAsia"/>
          <w:color w:val="000000" w:themeColor="text1"/>
          <w:kern w:val="0"/>
          <w:szCs w:val="21"/>
        </w:rPr>
        <w:t>；</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w:t>
      </w:r>
      <w:r w:rsidRPr="001F61B7">
        <w:rPr>
          <w:rFonts w:asciiTheme="minorEastAsia" w:eastAsiaTheme="minorEastAsia" w:hAnsiTheme="minorEastAsia" w:hint="eastAsia"/>
          <w:color w:val="000000" w:themeColor="text1"/>
          <w:kern w:val="0"/>
          <w:szCs w:val="21"/>
        </w:rPr>
        <w:t>14</w:t>
      </w:r>
      <w:r w:rsidRPr="001F61B7">
        <w:rPr>
          <w:rFonts w:asciiTheme="minorEastAsia" w:eastAsiaTheme="minorEastAsia" w:hAnsiTheme="minorEastAsia"/>
          <w:color w:val="000000" w:themeColor="text1"/>
          <w:kern w:val="0"/>
          <w:szCs w:val="21"/>
        </w:rPr>
        <w:t>）本基金与私募类证券资管产品及中国证监会认定的其他主体为交易对手开展逆回购交易的，可接受质押品的资质要求应当与本基金合同约定的投资范围保持一致；</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w:t>
      </w:r>
      <w:r w:rsidRPr="001F61B7">
        <w:rPr>
          <w:rFonts w:asciiTheme="minorEastAsia" w:eastAsiaTheme="minorEastAsia" w:hAnsiTheme="minorEastAsia" w:hint="eastAsia"/>
          <w:color w:val="000000" w:themeColor="text1"/>
          <w:kern w:val="0"/>
          <w:szCs w:val="21"/>
        </w:rPr>
        <w:t>15</w:t>
      </w:r>
      <w:r w:rsidRPr="001F61B7">
        <w:rPr>
          <w:rFonts w:asciiTheme="minorEastAsia" w:eastAsiaTheme="minorEastAsia" w:hAnsiTheme="minorEastAsia"/>
          <w:color w:val="000000" w:themeColor="text1"/>
          <w:kern w:val="0"/>
          <w:szCs w:val="21"/>
        </w:rPr>
        <w:t>）本基金资产总值不超过基金资产净值的140%；</w:t>
      </w:r>
    </w:p>
    <w:p w:rsidR="008673C7"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bCs/>
          <w:color w:val="000000" w:themeColor="text1"/>
          <w:kern w:val="0"/>
          <w:szCs w:val="21"/>
        </w:rPr>
        <w:t>（16）</w:t>
      </w:r>
      <w:r w:rsidRPr="001F61B7">
        <w:rPr>
          <w:rFonts w:asciiTheme="minorEastAsia" w:eastAsiaTheme="minorEastAsia" w:hAnsiTheme="minorEastAsia" w:hint="eastAsia"/>
          <w:bCs/>
          <w:color w:val="000000" w:themeColor="text1"/>
          <w:kern w:val="0"/>
          <w:szCs w:val="21"/>
        </w:rPr>
        <w:t>本基金投资存托凭证的比例限制依照境内上市交易的股票执行，与境内上市交易的股票合并计算；</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w:t>
      </w:r>
      <w:r w:rsidRPr="001F61B7">
        <w:rPr>
          <w:rFonts w:asciiTheme="minorEastAsia" w:eastAsiaTheme="minorEastAsia" w:hAnsiTheme="minorEastAsia" w:hint="eastAsia"/>
          <w:color w:val="000000" w:themeColor="text1"/>
          <w:kern w:val="0"/>
          <w:szCs w:val="21"/>
        </w:rPr>
        <w:t>1</w:t>
      </w:r>
      <w:r w:rsidRPr="001F61B7" w:rsidR="008673C7">
        <w:rPr>
          <w:rFonts w:asciiTheme="minorEastAsia" w:eastAsiaTheme="minorEastAsia" w:hAnsiTheme="minorEastAsia" w:hint="eastAsia"/>
          <w:color w:val="000000" w:themeColor="text1"/>
          <w:kern w:val="0"/>
          <w:szCs w:val="21"/>
        </w:rPr>
        <w:t>7</w:t>
      </w:r>
      <w:r w:rsidRPr="001F61B7">
        <w:rPr>
          <w:rFonts w:asciiTheme="minorEastAsia" w:eastAsiaTheme="minorEastAsia" w:hAnsiTheme="minorEastAsia"/>
          <w:color w:val="000000" w:themeColor="text1"/>
          <w:kern w:val="0"/>
          <w:szCs w:val="21"/>
        </w:rPr>
        <w:t>）</w:t>
      </w:r>
      <w:r w:rsidRPr="001F61B7">
        <w:rPr>
          <w:rFonts w:asciiTheme="minorEastAsia" w:eastAsiaTheme="minorEastAsia" w:hAnsiTheme="minorEastAsia" w:hint="eastAsia"/>
          <w:color w:val="000000" w:themeColor="text1"/>
          <w:kern w:val="0"/>
          <w:szCs w:val="21"/>
        </w:rPr>
        <w:t>法律法规及中国证监会规定的和《基金合同》约定的其他投资限制。</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除上述（</w:t>
      </w:r>
      <w:r w:rsidRPr="001F61B7">
        <w:rPr>
          <w:rFonts w:asciiTheme="minorEastAsia" w:eastAsiaTheme="minorEastAsia" w:hAnsiTheme="minorEastAsia" w:hint="eastAsia"/>
          <w:color w:val="000000" w:themeColor="text1"/>
          <w:kern w:val="0"/>
          <w:szCs w:val="21"/>
        </w:rPr>
        <w:t>6</w:t>
      </w:r>
      <w:r w:rsidRPr="001F61B7">
        <w:rPr>
          <w:rFonts w:asciiTheme="minorEastAsia" w:eastAsiaTheme="minorEastAsia" w:hAnsiTheme="minorEastAsia"/>
          <w:color w:val="000000" w:themeColor="text1"/>
          <w:kern w:val="0"/>
          <w:szCs w:val="21"/>
        </w:rPr>
        <w:t>）、（</w:t>
      </w:r>
      <w:r w:rsidRPr="001F61B7">
        <w:rPr>
          <w:rFonts w:asciiTheme="minorEastAsia" w:eastAsiaTheme="minorEastAsia" w:hAnsiTheme="minorEastAsia" w:hint="eastAsia"/>
          <w:color w:val="000000" w:themeColor="text1"/>
          <w:kern w:val="0"/>
          <w:szCs w:val="21"/>
        </w:rPr>
        <w:t>7</w:t>
      </w:r>
      <w:r w:rsidRPr="001F61B7">
        <w:rPr>
          <w:rFonts w:asciiTheme="minorEastAsia" w:eastAsiaTheme="minorEastAsia" w:hAnsiTheme="minorEastAsia"/>
          <w:color w:val="000000" w:themeColor="text1"/>
          <w:kern w:val="0"/>
          <w:szCs w:val="21"/>
        </w:rPr>
        <w:t>）、（11）</w:t>
      </w:r>
      <w:r w:rsidRPr="001F61B7">
        <w:rPr>
          <w:rFonts w:asciiTheme="minorEastAsia" w:eastAsiaTheme="minorEastAsia" w:hAnsiTheme="minorEastAsia" w:hint="eastAsia"/>
          <w:color w:val="000000" w:themeColor="text1"/>
          <w:kern w:val="0"/>
          <w:szCs w:val="21"/>
        </w:rPr>
        <w:t>、</w:t>
      </w:r>
      <w:r w:rsidRPr="001F61B7">
        <w:rPr>
          <w:rFonts w:asciiTheme="minorEastAsia" w:eastAsiaTheme="minorEastAsia" w:hAnsiTheme="minorEastAsia"/>
          <w:color w:val="000000" w:themeColor="text1"/>
          <w:kern w:val="0"/>
          <w:szCs w:val="21"/>
        </w:rPr>
        <w:t>（</w:t>
      </w:r>
      <w:r w:rsidRPr="001F61B7">
        <w:rPr>
          <w:rFonts w:asciiTheme="minorEastAsia" w:eastAsiaTheme="minorEastAsia" w:hAnsiTheme="minorEastAsia" w:hint="eastAsia"/>
          <w:color w:val="000000" w:themeColor="text1"/>
          <w:kern w:val="0"/>
          <w:szCs w:val="21"/>
        </w:rPr>
        <w:t>13</w:t>
      </w:r>
      <w:r w:rsidRPr="001F61B7">
        <w:rPr>
          <w:rFonts w:asciiTheme="minorEastAsia" w:eastAsiaTheme="minorEastAsia" w:hAnsiTheme="minorEastAsia"/>
          <w:color w:val="000000" w:themeColor="text1"/>
          <w:kern w:val="0"/>
          <w:szCs w:val="21"/>
        </w:rPr>
        <w:t>）、（</w:t>
      </w:r>
      <w:r w:rsidRPr="001F61B7">
        <w:rPr>
          <w:rFonts w:asciiTheme="minorEastAsia" w:eastAsiaTheme="minorEastAsia" w:hAnsiTheme="minorEastAsia" w:hint="eastAsia"/>
          <w:color w:val="000000" w:themeColor="text1"/>
          <w:kern w:val="0"/>
          <w:szCs w:val="21"/>
        </w:rPr>
        <w:t>14</w:t>
      </w:r>
      <w:r w:rsidRPr="001F61B7">
        <w:rPr>
          <w:rFonts w:asciiTheme="minorEastAsia" w:eastAsiaTheme="minorEastAsia" w:hAnsiTheme="minorEastAsia"/>
          <w:color w:val="000000" w:themeColor="text1"/>
          <w:kern w:val="0"/>
          <w:szCs w:val="21"/>
        </w:rPr>
        <w:t>）情形之外，因证券</w:t>
      </w:r>
      <w:r w:rsidRPr="001F61B7">
        <w:rPr>
          <w:rFonts w:asciiTheme="minorEastAsia" w:eastAsiaTheme="minorEastAsia" w:hAnsiTheme="minorEastAsia" w:hint="eastAsia"/>
          <w:color w:val="000000" w:themeColor="text1"/>
          <w:kern w:val="0"/>
          <w:szCs w:val="21"/>
        </w:rPr>
        <w:t>/期货</w:t>
      </w:r>
      <w:r w:rsidRPr="001F61B7">
        <w:rPr>
          <w:rFonts w:asciiTheme="minorEastAsia" w:eastAsiaTheme="minorEastAsia" w:hAnsiTheme="minorEastAsia"/>
          <w:color w:val="000000" w:themeColor="text1"/>
          <w:kern w:val="0"/>
          <w:szCs w:val="21"/>
        </w:rPr>
        <w:t>市场波动、</w:t>
      </w:r>
      <w:r w:rsidRPr="001F61B7">
        <w:rPr>
          <w:rFonts w:asciiTheme="minorEastAsia" w:eastAsiaTheme="minorEastAsia" w:hAnsiTheme="minorEastAsia" w:hint="eastAsia"/>
          <w:color w:val="000000" w:themeColor="text1"/>
          <w:kern w:val="0"/>
          <w:szCs w:val="21"/>
        </w:rPr>
        <w:t>证券发行人</w:t>
      </w:r>
      <w:r w:rsidRPr="001F61B7">
        <w:rPr>
          <w:rFonts w:asciiTheme="minorEastAsia" w:eastAsiaTheme="minorEastAsia" w:hAnsiTheme="minorEastAsia"/>
          <w:color w:val="000000" w:themeColor="text1"/>
          <w:kern w:val="0"/>
          <w:szCs w:val="21"/>
        </w:rPr>
        <w:t>合并、基金规模变动</w:t>
      </w:r>
      <w:r w:rsidRPr="001F61B7">
        <w:rPr>
          <w:rFonts w:asciiTheme="minorEastAsia" w:eastAsiaTheme="minorEastAsia" w:hAnsiTheme="minorEastAsia" w:hint="eastAsia"/>
          <w:color w:val="000000" w:themeColor="text1"/>
          <w:kern w:val="0"/>
          <w:szCs w:val="21"/>
        </w:rPr>
        <w:t>、标的指数成份股调整、流动性限制或成份股市场价格变化</w:t>
      </w:r>
      <w:r w:rsidRPr="001F61B7">
        <w:rPr>
          <w:rFonts w:asciiTheme="minorEastAsia" w:eastAsiaTheme="minorEastAsia" w:hAnsiTheme="minorEastAsia"/>
          <w:color w:val="000000" w:themeColor="text1"/>
          <w:kern w:val="0"/>
          <w:szCs w:val="21"/>
        </w:rPr>
        <w:t>等基金管理人之外的因素致使基金投资比例不符合上述规定投资比例的，基金管理人应当在10个交易日内进行调整</w:t>
      </w:r>
      <w:r w:rsidRPr="001F61B7">
        <w:rPr>
          <w:rFonts w:asciiTheme="minorEastAsia" w:eastAsiaTheme="minorEastAsia" w:hAnsiTheme="minorEastAsia" w:hint="eastAsia"/>
          <w:color w:val="000000" w:themeColor="text1"/>
          <w:kern w:val="0"/>
          <w:szCs w:val="21"/>
        </w:rPr>
        <w:t>，</w:t>
      </w:r>
      <w:r w:rsidRPr="001F61B7">
        <w:rPr>
          <w:rFonts w:asciiTheme="minorEastAsia" w:eastAsiaTheme="minorEastAsia" w:hAnsiTheme="minorEastAsia"/>
          <w:color w:val="000000" w:themeColor="text1"/>
          <w:kern w:val="0"/>
          <w:szCs w:val="21"/>
        </w:rPr>
        <w:t>但中国证监会规定的特殊情形除外。因证券市场波动、上市公司合并、基金规模变动等基金管理人之外的因素致使基金投资不符合第（11）项规定的，基金</w:t>
      </w:r>
      <w:r w:rsidRPr="001F61B7">
        <w:rPr>
          <w:rFonts w:asciiTheme="minorEastAsia" w:eastAsiaTheme="minorEastAsia" w:hAnsiTheme="minorEastAsia"/>
          <w:color w:val="000000" w:themeColor="text1"/>
          <w:kern w:val="0"/>
          <w:szCs w:val="21"/>
        </w:rPr>
        <w:t>管理人不得新增出借业务。</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基金管理人应当自基金合同生效之日起</w:t>
      </w:r>
      <w:r w:rsidRPr="001F61B7">
        <w:rPr>
          <w:rFonts w:asciiTheme="minorEastAsia" w:eastAsiaTheme="minorEastAsia" w:hAnsiTheme="minorEastAsia" w:hint="eastAsia"/>
          <w:color w:val="000000" w:themeColor="text1"/>
          <w:kern w:val="0"/>
          <w:szCs w:val="21"/>
        </w:rPr>
        <w:t>6</w:t>
      </w:r>
      <w:r w:rsidRPr="001F61B7">
        <w:rPr>
          <w:rFonts w:asciiTheme="minorEastAsia" w:eastAsiaTheme="minorEastAsia" w:hAnsiTheme="minorEastAsia"/>
          <w:color w:val="000000" w:themeColor="text1"/>
          <w:kern w:val="0"/>
          <w:szCs w:val="21"/>
        </w:rPr>
        <w:t>个月内使基金的投资组合比例符合基金合同的有关约定。在上述期间内，本基金的投资范围、投资策略应当符合基金合同的约定。基金托管人对基金的投资的监督与检查自本基金合同生效之日起开始。</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法律法规或监管部门取消</w:t>
      </w:r>
      <w:r w:rsidRPr="001F61B7">
        <w:rPr>
          <w:rFonts w:asciiTheme="minorEastAsia" w:eastAsiaTheme="minorEastAsia" w:hAnsiTheme="minorEastAsia" w:hint="eastAsia"/>
          <w:color w:val="000000" w:themeColor="text1"/>
          <w:kern w:val="0"/>
          <w:szCs w:val="21"/>
        </w:rPr>
        <w:t>或变更</w:t>
      </w:r>
      <w:r w:rsidRPr="001F61B7">
        <w:rPr>
          <w:rFonts w:asciiTheme="minorEastAsia" w:eastAsiaTheme="minorEastAsia" w:hAnsiTheme="minorEastAsia"/>
          <w:color w:val="000000" w:themeColor="text1"/>
          <w:kern w:val="0"/>
          <w:szCs w:val="21"/>
        </w:rPr>
        <w:t>上述限制，如适用于本基金，则本基金投资不再受相关限制</w:t>
      </w:r>
      <w:r w:rsidRPr="001F61B7">
        <w:rPr>
          <w:rFonts w:asciiTheme="minorEastAsia" w:eastAsiaTheme="minorEastAsia" w:hAnsiTheme="minorEastAsia" w:hint="eastAsia"/>
          <w:color w:val="000000" w:themeColor="text1"/>
          <w:kern w:val="0"/>
          <w:szCs w:val="21"/>
        </w:rPr>
        <w:t>或按变更后的规定执行</w:t>
      </w:r>
      <w:r w:rsidRPr="001F61B7">
        <w:rPr>
          <w:rFonts w:asciiTheme="minorEastAsia" w:eastAsiaTheme="minorEastAsia" w:hAnsiTheme="minorEastAsia"/>
          <w:color w:val="000000" w:themeColor="text1"/>
          <w:kern w:val="0"/>
          <w:szCs w:val="21"/>
        </w:rPr>
        <w:t>。</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2</w:t>
      </w:r>
      <w:r w:rsidRPr="001F61B7">
        <w:rPr>
          <w:rFonts w:asciiTheme="minorEastAsia" w:eastAsiaTheme="minorEastAsia" w:hAnsiTheme="minorEastAsia" w:hint="eastAsia"/>
          <w:color w:val="000000" w:themeColor="text1"/>
          <w:kern w:val="0"/>
          <w:szCs w:val="21"/>
        </w:rPr>
        <w:t>、</w:t>
      </w:r>
      <w:r w:rsidRPr="001F61B7">
        <w:rPr>
          <w:rFonts w:asciiTheme="minorEastAsia" w:eastAsiaTheme="minorEastAsia" w:hAnsiTheme="minorEastAsia"/>
          <w:color w:val="000000" w:themeColor="text1"/>
          <w:kern w:val="0"/>
          <w:szCs w:val="21"/>
        </w:rPr>
        <w:t>禁止行为</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为维护基金份额持有人的合法权益，基金财产不得用于下列投资或者活动：</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（1）承销证券；</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w:t>
      </w:r>
      <w:r w:rsidRPr="001F61B7">
        <w:rPr>
          <w:rFonts w:asciiTheme="minorEastAsia" w:eastAsiaTheme="minorEastAsia" w:hAnsiTheme="minorEastAsia" w:hint="eastAsia"/>
          <w:color w:val="000000" w:themeColor="text1"/>
          <w:kern w:val="0"/>
          <w:szCs w:val="21"/>
        </w:rPr>
        <w:t>2</w:t>
      </w:r>
      <w:r w:rsidRPr="001F61B7">
        <w:rPr>
          <w:rFonts w:asciiTheme="minorEastAsia" w:eastAsiaTheme="minorEastAsia" w:hAnsiTheme="minorEastAsia"/>
          <w:color w:val="000000" w:themeColor="text1"/>
          <w:kern w:val="0"/>
          <w:szCs w:val="21"/>
        </w:rPr>
        <w:t>）</w:t>
      </w:r>
      <w:r w:rsidRPr="001F61B7">
        <w:rPr>
          <w:rFonts w:asciiTheme="minorEastAsia" w:eastAsiaTheme="minorEastAsia" w:hAnsiTheme="minorEastAsia" w:hint="eastAsia"/>
          <w:color w:val="000000" w:themeColor="text1"/>
          <w:kern w:val="0"/>
          <w:szCs w:val="21"/>
        </w:rPr>
        <w:t>违反规定</w:t>
      </w:r>
      <w:r w:rsidRPr="001F61B7">
        <w:rPr>
          <w:rFonts w:asciiTheme="minorEastAsia" w:eastAsiaTheme="minorEastAsia" w:hAnsiTheme="minorEastAsia"/>
          <w:color w:val="000000" w:themeColor="text1"/>
          <w:kern w:val="0"/>
          <w:szCs w:val="21"/>
        </w:rPr>
        <w:t>向他人贷款或者提供担保；</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w:t>
      </w:r>
      <w:r w:rsidRPr="001F61B7">
        <w:rPr>
          <w:rFonts w:asciiTheme="minorEastAsia" w:eastAsiaTheme="minorEastAsia" w:hAnsiTheme="minorEastAsia" w:hint="eastAsia"/>
          <w:color w:val="000000" w:themeColor="text1"/>
          <w:kern w:val="0"/>
          <w:szCs w:val="21"/>
        </w:rPr>
        <w:t>3</w:t>
      </w:r>
      <w:r w:rsidRPr="001F61B7">
        <w:rPr>
          <w:rFonts w:asciiTheme="minorEastAsia" w:eastAsiaTheme="minorEastAsia" w:hAnsiTheme="minorEastAsia"/>
          <w:color w:val="000000" w:themeColor="text1"/>
          <w:kern w:val="0"/>
          <w:szCs w:val="21"/>
        </w:rPr>
        <w:t>）从事承担无限责任的投资；</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w:t>
      </w:r>
      <w:r w:rsidRPr="001F61B7">
        <w:rPr>
          <w:rFonts w:asciiTheme="minorEastAsia" w:eastAsiaTheme="minorEastAsia" w:hAnsiTheme="minorEastAsia" w:hint="eastAsia"/>
          <w:color w:val="000000" w:themeColor="text1"/>
          <w:kern w:val="0"/>
          <w:szCs w:val="21"/>
        </w:rPr>
        <w:t>4</w:t>
      </w:r>
      <w:r w:rsidRPr="001F61B7">
        <w:rPr>
          <w:rFonts w:asciiTheme="minorEastAsia" w:eastAsiaTheme="minorEastAsia" w:hAnsiTheme="minorEastAsia"/>
          <w:color w:val="000000" w:themeColor="text1"/>
          <w:kern w:val="0"/>
          <w:szCs w:val="21"/>
        </w:rPr>
        <w:t>）向其基金管理人、基金托管人出资；</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w:t>
      </w:r>
      <w:r w:rsidRPr="001F61B7">
        <w:rPr>
          <w:rFonts w:asciiTheme="minorEastAsia" w:eastAsiaTheme="minorEastAsia" w:hAnsiTheme="minorEastAsia" w:hint="eastAsia"/>
          <w:color w:val="000000" w:themeColor="text1"/>
          <w:kern w:val="0"/>
          <w:szCs w:val="21"/>
        </w:rPr>
        <w:t>5</w:t>
      </w:r>
      <w:r w:rsidRPr="001F61B7">
        <w:rPr>
          <w:rFonts w:asciiTheme="minorEastAsia" w:eastAsiaTheme="minorEastAsia" w:hAnsiTheme="minorEastAsia"/>
          <w:color w:val="000000" w:themeColor="text1"/>
          <w:kern w:val="0"/>
          <w:szCs w:val="21"/>
        </w:rPr>
        <w:t>）从事内幕交易、操纵证券交易价格及其他不正当的证券交易活动；</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w:t>
      </w:r>
      <w:r w:rsidRPr="001F61B7">
        <w:rPr>
          <w:rFonts w:asciiTheme="minorEastAsia" w:eastAsiaTheme="minorEastAsia" w:hAnsiTheme="minorEastAsia" w:hint="eastAsia"/>
          <w:color w:val="000000" w:themeColor="text1"/>
          <w:kern w:val="0"/>
          <w:szCs w:val="21"/>
        </w:rPr>
        <w:t>6</w:t>
      </w:r>
      <w:r w:rsidRPr="001F61B7">
        <w:rPr>
          <w:rFonts w:asciiTheme="minorEastAsia" w:eastAsiaTheme="minorEastAsia" w:hAnsiTheme="minorEastAsia"/>
          <w:color w:val="000000" w:themeColor="text1"/>
          <w:kern w:val="0"/>
          <w:szCs w:val="21"/>
        </w:rPr>
        <w:t>）法律</w:t>
      </w:r>
      <w:r w:rsidRPr="001F61B7">
        <w:rPr>
          <w:rFonts w:asciiTheme="minorEastAsia" w:eastAsiaTheme="minorEastAsia" w:hAnsiTheme="minorEastAsia" w:hint="eastAsia"/>
          <w:color w:val="000000" w:themeColor="text1"/>
          <w:kern w:val="0"/>
          <w:szCs w:val="21"/>
        </w:rPr>
        <w:t>、行政</w:t>
      </w:r>
      <w:r w:rsidRPr="001F61B7">
        <w:rPr>
          <w:rFonts w:asciiTheme="minorEastAsia" w:eastAsiaTheme="minorEastAsia" w:hAnsiTheme="minorEastAsia"/>
          <w:color w:val="000000" w:themeColor="text1"/>
          <w:kern w:val="0"/>
          <w:szCs w:val="21"/>
        </w:rPr>
        <w:t>法规</w:t>
      </w:r>
      <w:r w:rsidRPr="001F61B7">
        <w:rPr>
          <w:rFonts w:asciiTheme="minorEastAsia" w:eastAsiaTheme="minorEastAsia" w:hAnsiTheme="minorEastAsia" w:hint="eastAsia"/>
          <w:color w:val="000000" w:themeColor="text1"/>
          <w:kern w:val="0"/>
          <w:szCs w:val="21"/>
        </w:rPr>
        <w:t>和</w:t>
      </w:r>
      <w:r w:rsidRPr="001F61B7">
        <w:rPr>
          <w:rFonts w:asciiTheme="minorEastAsia" w:eastAsiaTheme="minorEastAsia" w:hAnsiTheme="minorEastAsia"/>
          <w:color w:val="000000" w:themeColor="text1"/>
          <w:kern w:val="0"/>
          <w:szCs w:val="21"/>
        </w:rPr>
        <w:t>中国证监会规定禁止的其他活动</w:t>
      </w:r>
      <w:r w:rsidRPr="001F61B7">
        <w:rPr>
          <w:rFonts w:asciiTheme="minorEastAsia" w:eastAsiaTheme="minorEastAsia" w:hAnsiTheme="minorEastAsia" w:hint="eastAsia"/>
          <w:color w:val="000000" w:themeColor="text1"/>
          <w:kern w:val="0"/>
          <w:szCs w:val="21"/>
        </w:rPr>
        <w:t>。</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3、</w:t>
      </w:r>
      <w:r w:rsidRPr="001F61B7">
        <w:rPr>
          <w:rFonts w:asciiTheme="minorEastAsia" w:eastAsiaTheme="minorEastAsia" w:hAnsiTheme="minorEastAsia"/>
          <w:color w:val="000000" w:themeColor="text1"/>
          <w:kern w:val="0"/>
          <w:szCs w:val="21"/>
        </w:rPr>
        <w:t>法律法规或监管部门取消上述组合限制或禁止行为规定，如适用于本基金，则本基金可不受相关限制。法律法规或监管部门对上述组合限制或禁止行为规定进行变更的，本基金可以变更后的规定为准。经与基金托管人协商一致，基金管理人可依据法律法规或监管部门规定直接对基金合同进行变更，该变更无须召开基金份额持有人大会审议。</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六、基金资产净值的计算方法和公告方式</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（一）基金资产总值</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基金资产总值是指购买的各类证券及票据价值、银行存款本息和基金应收的申购基金款以及其他投资所形成的价值总和。</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（二）基金资产净值</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基金资产净值是指基金资产总值减去基金负债后的价值。</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（三）基金净值信息</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《基金合同》生效后，在开始办理基金份额申购或者赎回前，基金管理人应当至少每周</w:t>
      </w:r>
      <w:r w:rsidRPr="001F61B7">
        <w:rPr>
          <w:rFonts w:asciiTheme="minorEastAsia" w:eastAsiaTheme="minorEastAsia" w:hAnsiTheme="minorEastAsia" w:hint="eastAsia"/>
          <w:color w:val="000000" w:themeColor="text1"/>
          <w:kern w:val="0"/>
          <w:szCs w:val="21"/>
        </w:rPr>
        <w:t>在指定网站披露</w:t>
      </w:r>
      <w:r w:rsidRPr="001F61B7">
        <w:rPr>
          <w:rFonts w:asciiTheme="minorEastAsia" w:eastAsiaTheme="minorEastAsia" w:hAnsiTheme="minorEastAsia"/>
          <w:color w:val="000000" w:themeColor="text1"/>
          <w:kern w:val="0"/>
          <w:szCs w:val="21"/>
        </w:rPr>
        <w:t>一次基金份额净值</w:t>
      </w:r>
      <w:r w:rsidRPr="001F61B7">
        <w:rPr>
          <w:rFonts w:asciiTheme="minorEastAsia" w:eastAsiaTheme="minorEastAsia" w:hAnsiTheme="minorEastAsia" w:hint="eastAsia"/>
          <w:color w:val="000000" w:themeColor="text1"/>
          <w:kern w:val="0"/>
          <w:szCs w:val="21"/>
        </w:rPr>
        <w:t>和基金份额累计净值</w:t>
      </w:r>
      <w:r w:rsidRPr="001F61B7">
        <w:rPr>
          <w:rFonts w:asciiTheme="minorEastAsia" w:eastAsiaTheme="minorEastAsia" w:hAnsiTheme="minorEastAsia"/>
          <w:color w:val="000000" w:themeColor="text1"/>
          <w:kern w:val="0"/>
          <w:szCs w:val="21"/>
        </w:rPr>
        <w:t>。</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在开始办理基金份额申购或者赎回后，基金管理人应当在</w:t>
      </w:r>
      <w:r w:rsidRPr="001F61B7">
        <w:rPr>
          <w:rFonts w:asciiTheme="minorEastAsia" w:eastAsiaTheme="minorEastAsia" w:hAnsiTheme="minorEastAsia" w:hint="eastAsia"/>
          <w:color w:val="000000" w:themeColor="text1"/>
          <w:kern w:val="0"/>
          <w:szCs w:val="21"/>
        </w:rPr>
        <w:t>不晚于</w:t>
      </w:r>
      <w:r w:rsidRPr="001F61B7">
        <w:rPr>
          <w:rFonts w:asciiTheme="minorEastAsia" w:eastAsiaTheme="minorEastAsia" w:hAnsiTheme="minorEastAsia"/>
          <w:color w:val="000000" w:themeColor="text1"/>
          <w:kern w:val="0"/>
          <w:szCs w:val="21"/>
        </w:rPr>
        <w:t>每个开放日的次日，通过</w:t>
      </w:r>
      <w:r w:rsidRPr="001F61B7">
        <w:rPr>
          <w:rFonts w:asciiTheme="minorEastAsia" w:eastAsiaTheme="minorEastAsia" w:hAnsiTheme="minorEastAsia" w:hint="eastAsia"/>
          <w:color w:val="000000" w:themeColor="text1"/>
          <w:kern w:val="0"/>
          <w:szCs w:val="21"/>
        </w:rPr>
        <w:t>指定</w:t>
      </w:r>
      <w:r w:rsidRPr="001F61B7">
        <w:rPr>
          <w:rFonts w:asciiTheme="minorEastAsia" w:eastAsiaTheme="minorEastAsia" w:hAnsiTheme="minorEastAsia"/>
          <w:color w:val="000000" w:themeColor="text1"/>
          <w:kern w:val="0"/>
          <w:szCs w:val="21"/>
        </w:rPr>
        <w:t>网站、基金</w:t>
      </w:r>
      <w:r w:rsidRPr="001F61B7">
        <w:rPr>
          <w:rFonts w:asciiTheme="minorEastAsia" w:eastAsiaTheme="minorEastAsia" w:hAnsiTheme="minorEastAsia" w:hint="eastAsia"/>
          <w:color w:val="000000" w:themeColor="text1"/>
          <w:kern w:val="0"/>
          <w:szCs w:val="21"/>
        </w:rPr>
        <w:t>销售机构网站或者营业</w:t>
      </w:r>
      <w:r w:rsidRPr="001F61B7">
        <w:rPr>
          <w:rFonts w:asciiTheme="minorEastAsia" w:eastAsiaTheme="minorEastAsia" w:hAnsiTheme="minorEastAsia"/>
          <w:color w:val="000000" w:themeColor="text1"/>
          <w:kern w:val="0"/>
          <w:szCs w:val="21"/>
        </w:rPr>
        <w:t>网点</w:t>
      </w:r>
      <w:r w:rsidRPr="001F61B7">
        <w:rPr>
          <w:rFonts w:asciiTheme="minorEastAsia" w:eastAsiaTheme="minorEastAsia" w:hAnsiTheme="minorEastAsia" w:hint="eastAsia"/>
          <w:color w:val="000000" w:themeColor="text1"/>
          <w:kern w:val="0"/>
          <w:szCs w:val="21"/>
        </w:rPr>
        <w:t>，</w:t>
      </w:r>
      <w:r w:rsidRPr="001F61B7">
        <w:rPr>
          <w:rFonts w:asciiTheme="minorEastAsia" w:eastAsiaTheme="minorEastAsia" w:hAnsiTheme="minorEastAsia"/>
          <w:color w:val="000000" w:themeColor="text1"/>
          <w:kern w:val="0"/>
          <w:szCs w:val="21"/>
        </w:rPr>
        <w:t>披露开放日的基金份额净值和基金份额累计净值。</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基金管理人应当</w:t>
      </w:r>
      <w:r w:rsidRPr="001F61B7">
        <w:rPr>
          <w:rFonts w:asciiTheme="minorEastAsia" w:eastAsiaTheme="minorEastAsia" w:hAnsiTheme="minorEastAsia" w:hint="eastAsia"/>
          <w:color w:val="000000" w:themeColor="text1"/>
          <w:kern w:val="0"/>
          <w:szCs w:val="21"/>
        </w:rPr>
        <w:t>在不晚于</w:t>
      </w:r>
      <w:r w:rsidRPr="001F61B7">
        <w:rPr>
          <w:rFonts w:asciiTheme="minorEastAsia" w:eastAsiaTheme="minorEastAsia" w:hAnsiTheme="minorEastAsia"/>
          <w:color w:val="000000" w:themeColor="text1"/>
          <w:kern w:val="0"/>
          <w:szCs w:val="21"/>
        </w:rPr>
        <w:t>半年度和年度最后一日的次日，</w:t>
      </w:r>
      <w:r w:rsidRPr="001F61B7">
        <w:rPr>
          <w:rFonts w:asciiTheme="minorEastAsia" w:eastAsiaTheme="minorEastAsia" w:hAnsiTheme="minorEastAsia" w:hint="eastAsia"/>
          <w:color w:val="000000" w:themeColor="text1"/>
          <w:kern w:val="0"/>
          <w:szCs w:val="21"/>
        </w:rPr>
        <w:t>在指定网站披露半年度和年度最后一日的</w:t>
      </w:r>
      <w:r w:rsidRPr="001F61B7">
        <w:rPr>
          <w:rFonts w:asciiTheme="minorEastAsia" w:eastAsiaTheme="minorEastAsia" w:hAnsiTheme="minorEastAsia"/>
          <w:color w:val="000000" w:themeColor="text1"/>
          <w:kern w:val="0"/>
          <w:szCs w:val="21"/>
        </w:rPr>
        <w:t>基金份额净值和基金份额累计净值。</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七、基金合同解除和终止的事由、程序以及基金财产清算方式</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（一）</w:t>
      </w:r>
      <w:r w:rsidRPr="001F61B7">
        <w:rPr>
          <w:rFonts w:asciiTheme="minorEastAsia" w:eastAsiaTheme="minorEastAsia" w:hAnsiTheme="minorEastAsia"/>
          <w:color w:val="000000" w:themeColor="text1"/>
          <w:kern w:val="0"/>
          <w:szCs w:val="21"/>
        </w:rPr>
        <w:t>有下列情形之一的，</w:t>
      </w:r>
      <w:r w:rsidRPr="001F61B7">
        <w:rPr>
          <w:rFonts w:asciiTheme="minorEastAsia" w:eastAsiaTheme="minorEastAsia" w:hAnsiTheme="minorEastAsia" w:hint="eastAsia"/>
          <w:color w:val="000000" w:themeColor="text1"/>
          <w:kern w:val="0"/>
          <w:szCs w:val="21"/>
        </w:rPr>
        <w:t>经履行相关程序后，</w:t>
      </w:r>
      <w:r w:rsidRPr="001F61B7">
        <w:rPr>
          <w:rFonts w:asciiTheme="minorEastAsia" w:eastAsiaTheme="minorEastAsia" w:hAnsiTheme="minorEastAsia"/>
          <w:color w:val="000000" w:themeColor="text1"/>
          <w:kern w:val="0"/>
          <w:szCs w:val="21"/>
        </w:rPr>
        <w:t>《基金合同》应当终止：</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1、基金份额持有人大会决定终止的；</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2、《基金合同》生效后，连续50个工作日出现基金份额持有人数量不满200人或者基金资产净值低于5000万元情形的；</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3</w:t>
      </w:r>
      <w:r w:rsidRPr="001F61B7">
        <w:rPr>
          <w:rFonts w:asciiTheme="minorEastAsia" w:eastAsiaTheme="minorEastAsia" w:hAnsiTheme="minorEastAsia"/>
          <w:color w:val="000000" w:themeColor="text1"/>
          <w:kern w:val="0"/>
          <w:szCs w:val="21"/>
        </w:rPr>
        <w:t>、基金管理人、基金托管人职责终止，在6个月内没有新基金管理人、新基金托管人承接的；</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4</w:t>
      </w:r>
      <w:r w:rsidRPr="001F61B7">
        <w:rPr>
          <w:rFonts w:asciiTheme="minorEastAsia" w:eastAsiaTheme="minorEastAsia" w:hAnsiTheme="minorEastAsia"/>
          <w:color w:val="000000" w:themeColor="text1"/>
          <w:kern w:val="0"/>
          <w:szCs w:val="21"/>
        </w:rPr>
        <w:t>、《基金合同》约定的其他情形；</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5</w:t>
      </w:r>
      <w:r w:rsidRPr="001F61B7">
        <w:rPr>
          <w:rFonts w:asciiTheme="minorEastAsia" w:eastAsiaTheme="minorEastAsia" w:hAnsiTheme="minorEastAsia"/>
          <w:color w:val="000000" w:themeColor="text1"/>
          <w:kern w:val="0"/>
          <w:szCs w:val="21"/>
        </w:rPr>
        <w:t>、相关法律法规和中国证监会规定的其他情况。</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（二）基金财产的清算</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1、基金财产清算小组：自出现《基金合同》终止事由之日起30个工作日内成立清算小组，基金管理人组织基金财产清算小组并在中国证监会的监督下进行基金清算。</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3、基金财产清算小组职责：基金财产清算小组负责基金财产的保管、清理、估价、变现和分配。基金财产清算小组可以依法进行必要的民事活动。</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4、基金财产清算程序：</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（1）《基金合同》终止情形出现时，由基金财产清算小组统一接管基金；</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（2）对基金财产和债权债务进行清理和确认；</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（3）对基金财产进行估值和变现；</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（4）制作清算报告；</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（5）聘请会计师事务所对清算报告进行外部审计，聘请律师事务所对清算报告出具法律意见书；</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（6）将清算报告报中国证监会备案并公告</w:t>
      </w:r>
      <w:r w:rsidRPr="001F61B7">
        <w:rPr>
          <w:rFonts w:asciiTheme="minorEastAsia" w:eastAsiaTheme="minorEastAsia" w:hAnsiTheme="minorEastAsia" w:hint="eastAsia"/>
          <w:color w:val="000000" w:themeColor="text1"/>
          <w:kern w:val="0"/>
          <w:szCs w:val="21"/>
        </w:rPr>
        <w:t>；</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（7）对基金</w:t>
      </w:r>
      <w:r w:rsidRPr="001F61B7">
        <w:rPr>
          <w:rFonts w:asciiTheme="minorEastAsia" w:eastAsiaTheme="minorEastAsia" w:hAnsiTheme="minorEastAsia" w:hint="eastAsia"/>
          <w:color w:val="000000" w:themeColor="text1"/>
          <w:kern w:val="0"/>
          <w:szCs w:val="21"/>
        </w:rPr>
        <w:t>剩余</w:t>
      </w:r>
      <w:r w:rsidRPr="001F61B7">
        <w:rPr>
          <w:rFonts w:asciiTheme="minorEastAsia" w:eastAsiaTheme="minorEastAsia" w:hAnsiTheme="minorEastAsia"/>
          <w:color w:val="000000" w:themeColor="text1"/>
          <w:kern w:val="0"/>
          <w:szCs w:val="21"/>
        </w:rPr>
        <w:t>财产进行分配</w:t>
      </w:r>
      <w:r w:rsidRPr="001F61B7">
        <w:rPr>
          <w:rFonts w:asciiTheme="minorEastAsia" w:eastAsiaTheme="minorEastAsia" w:hAnsiTheme="minorEastAsia" w:hint="eastAsia"/>
          <w:color w:val="000000" w:themeColor="text1"/>
          <w:kern w:val="0"/>
          <w:szCs w:val="21"/>
        </w:rPr>
        <w:t>。</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5、基金财产清算的期限为</w:t>
      </w:r>
      <w:r w:rsidRPr="001F61B7">
        <w:rPr>
          <w:rFonts w:asciiTheme="minorEastAsia" w:eastAsiaTheme="minorEastAsia" w:hAnsiTheme="minorEastAsia" w:hint="eastAsia"/>
          <w:color w:val="000000" w:themeColor="text1"/>
          <w:kern w:val="0"/>
          <w:szCs w:val="21"/>
        </w:rPr>
        <w:t>6</w:t>
      </w:r>
      <w:r w:rsidRPr="001F61B7">
        <w:rPr>
          <w:rFonts w:asciiTheme="minorEastAsia" w:eastAsiaTheme="minorEastAsia" w:hAnsiTheme="minorEastAsia"/>
          <w:color w:val="000000" w:themeColor="text1"/>
          <w:kern w:val="0"/>
          <w:szCs w:val="21"/>
        </w:rPr>
        <w:t>个月，但因本基金所持证券的流动性受到限制而不能及时变现的，清算期限相应顺延。</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（三）清算费用</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清算费用是指基金财产清算小组在进行基金清算过程中发生的所有合理费用，清算费用由基金财产清算小组优先从基金财产中支付。</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（四）基金财产清算剩余资产的分配</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依据基金财产清算的分配方案，将基金财产清算后的全部剩余资产扣除基金财产清算费用、交纳所欠税款并清偿基金债务后，按基金份额持有人持有的基金份额比例进行分配。</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（五）基金财产清算的公告</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1F61B7">
        <w:rPr>
          <w:rFonts w:asciiTheme="minorEastAsia" w:eastAsiaTheme="minorEastAsia" w:hAnsiTheme="minorEastAsia"/>
          <w:color w:val="000000" w:themeColor="text1"/>
          <w:kern w:val="0"/>
          <w:szCs w:val="21"/>
        </w:rPr>
        <w:t>5</w:t>
      </w:r>
      <w:r w:rsidRPr="001F61B7">
        <w:rPr>
          <w:rFonts w:asciiTheme="minorEastAsia" w:eastAsiaTheme="minorEastAsia" w:hAnsiTheme="minorEastAsia" w:hint="eastAsia"/>
          <w:color w:val="000000" w:themeColor="text1"/>
          <w:kern w:val="0"/>
          <w:szCs w:val="21"/>
        </w:rPr>
        <w:t>个工作日内由基金财产清算小组进行公告。</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（六）基金财产清算账册及文件的保存</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基金财产清算账册及有关文件由基金托管人保存</w:t>
      </w:r>
      <w:r w:rsidRPr="001F61B7">
        <w:rPr>
          <w:rFonts w:asciiTheme="minorEastAsia" w:eastAsiaTheme="minorEastAsia" w:hAnsiTheme="minorEastAsia"/>
          <w:color w:val="000000" w:themeColor="text1"/>
          <w:kern w:val="0"/>
          <w:szCs w:val="21"/>
        </w:rPr>
        <w:t>15</w:t>
      </w:r>
      <w:r w:rsidRPr="001F61B7">
        <w:rPr>
          <w:rFonts w:asciiTheme="minorEastAsia" w:eastAsiaTheme="minorEastAsia" w:hAnsiTheme="minorEastAsia" w:hint="eastAsia"/>
          <w:color w:val="000000" w:themeColor="text1"/>
          <w:kern w:val="0"/>
          <w:szCs w:val="21"/>
        </w:rPr>
        <w:t>年以上。</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八、争议解决方式</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对于因基金合同的订立、内容、履行和解释或与基金合同有关的争议，基金合同当事人应尽量通过协商、调解途径解决。</w:t>
      </w:r>
      <w:r w:rsidRPr="001F61B7">
        <w:rPr>
          <w:rFonts w:asciiTheme="minorEastAsia" w:eastAsiaTheme="minorEastAsia" w:hAnsiTheme="minorEastAsia"/>
          <w:color w:val="000000" w:themeColor="text1"/>
          <w:kern w:val="0"/>
          <w:szCs w:val="21"/>
        </w:rPr>
        <w:t>如经友好协商未能解决的</w:t>
      </w:r>
      <w:r w:rsidRPr="001F61B7">
        <w:rPr>
          <w:rFonts w:asciiTheme="minorEastAsia" w:eastAsiaTheme="minorEastAsia" w:hAnsiTheme="minorEastAsia" w:hint="eastAsia"/>
          <w:color w:val="000000" w:themeColor="text1"/>
          <w:kern w:val="0"/>
          <w:szCs w:val="21"/>
        </w:rPr>
        <w:t>，任何一方均有权将争议提交中国国际经济贸易仲裁委员会，按照其届时有效的仲裁规则进行仲裁。仲裁地点为北京市。仲裁裁决是终局的，对各方当事人均有约束力，仲裁费用由败诉方承担，除非仲裁裁决另有决定。</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争议处理期间，各方当事人应恪守各自的职责，继续忠实、勤勉、尽责地履行基金合同规定的义务，维护基金份额持有人的合法权益。</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《基金合同》受中国法律</w:t>
      </w:r>
      <w:r w:rsidRPr="001F61B7">
        <w:rPr>
          <w:rFonts w:asciiTheme="minorEastAsia" w:eastAsiaTheme="minorEastAsia" w:hAnsiTheme="minorEastAsia" w:hint="eastAsia"/>
          <w:color w:val="000000" w:themeColor="text1"/>
          <w:kern w:val="0"/>
          <w:szCs w:val="21"/>
        </w:rPr>
        <w:t>（为本协议之目的，不包括香港特别行政区、澳门特别行政区和台湾地区法律）</w:t>
      </w:r>
      <w:r w:rsidRPr="001F61B7">
        <w:rPr>
          <w:rFonts w:asciiTheme="minorEastAsia" w:eastAsiaTheme="minorEastAsia" w:hAnsiTheme="minorEastAsia"/>
          <w:color w:val="000000" w:themeColor="text1"/>
          <w:kern w:val="0"/>
          <w:szCs w:val="21"/>
        </w:rPr>
        <w:t>管辖。</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九、基金合同存放地和投资者取得基金合同的方式</w:t>
      </w:r>
    </w:p>
    <w:p w:rsidR="00DC2FC0"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《基金合同》可印制成册，供投资者在基金管理人、基金托管人、销售机构的办公场所和营业场所查阅。</w:t>
      </w:r>
    </w:p>
    <w:p w:rsidR="00BA4B87" w:rsidRPr="001F61B7" w:rsidP="00C42A18">
      <w:pPr>
        <w:pStyle w:val="Heading1"/>
        <w:tabs>
          <w:tab w:val="left" w:pos="3544"/>
        </w:tabs>
        <w:spacing w:before="317" w:after="317" w:line="360" w:lineRule="auto"/>
        <w:ind w:firstLine="420"/>
        <w:rPr>
          <w:rFonts w:asciiTheme="minorEastAsia" w:eastAsiaTheme="minorEastAsia" w:hAnsiTheme="minorEastAsia"/>
          <w:color w:val="000000" w:themeColor="text1"/>
          <w:sz w:val="30"/>
        </w:rPr>
      </w:pPr>
      <w:bookmarkStart w:id="69" w:name="_Hlt88825574"/>
      <w:bookmarkStart w:id="70" w:name="_Hlt88897298"/>
      <w:bookmarkStart w:id="71" w:name="_Hlt88820702"/>
      <w:bookmarkStart w:id="72" w:name="_Toc332373589"/>
      <w:bookmarkEnd w:id="69"/>
      <w:bookmarkEnd w:id="70"/>
      <w:bookmarkEnd w:id="71"/>
      <w:r w:rsidRPr="001F61B7">
        <w:rPr>
          <w:rFonts w:asciiTheme="minorEastAsia" w:eastAsiaTheme="minorEastAsia" w:hAnsiTheme="minorEastAsia"/>
          <w:bCs/>
          <w:color w:val="000000" w:themeColor="text1"/>
          <w:sz w:val="21"/>
          <w:szCs w:val="21"/>
        </w:rPr>
        <w:br w:type="page"/>
      </w:r>
      <w:bookmarkStart w:id="73" w:name="_Toc80796286"/>
      <w:bookmarkEnd w:id="72"/>
      <w:r w:rsidRPr="001F61B7">
        <w:rPr>
          <w:rFonts w:asciiTheme="minorEastAsia" w:eastAsiaTheme="minorEastAsia" w:hAnsiTheme="minorEastAsia"/>
          <w:color w:val="000000" w:themeColor="text1"/>
          <w:sz w:val="30"/>
        </w:rPr>
        <w:t>二</w:t>
      </w:r>
      <w:bookmarkStart w:id="74" w:name="_Toc332373590"/>
      <w:bookmarkStart w:id="75" w:name="_Toc332374170"/>
      <w:r w:rsidRPr="001F61B7">
        <w:rPr>
          <w:rFonts w:asciiTheme="minorEastAsia" w:eastAsiaTheme="minorEastAsia" w:hAnsiTheme="minorEastAsia"/>
          <w:color w:val="000000" w:themeColor="text1"/>
          <w:sz w:val="30"/>
        </w:rPr>
        <w:t>十</w:t>
      </w:r>
      <w:r w:rsidRPr="001F61B7" w:rsidR="006174FD">
        <w:rPr>
          <w:rFonts w:asciiTheme="minorEastAsia" w:eastAsiaTheme="minorEastAsia" w:hAnsiTheme="minorEastAsia"/>
          <w:color w:val="000000" w:themeColor="text1"/>
          <w:sz w:val="30"/>
        </w:rPr>
        <w:t>二</w:t>
      </w:r>
      <w:r w:rsidRPr="001F61B7">
        <w:rPr>
          <w:rFonts w:asciiTheme="minorEastAsia" w:eastAsiaTheme="minorEastAsia" w:hAnsiTheme="minorEastAsia"/>
          <w:color w:val="000000" w:themeColor="text1"/>
          <w:sz w:val="30"/>
        </w:rPr>
        <w:t>、基金托管协议的内容摘要</w:t>
      </w:r>
      <w:bookmarkEnd w:id="73"/>
    </w:p>
    <w:bookmarkEnd w:id="74"/>
    <w:bookmarkEnd w:id="75"/>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一、</w:t>
      </w:r>
      <w:r w:rsidRPr="001F61B7" w:rsidR="001F31CE">
        <w:rPr>
          <w:rFonts w:asciiTheme="minorEastAsia" w:eastAsiaTheme="minorEastAsia" w:hAnsiTheme="minorEastAsia"/>
          <w:color w:val="000000" w:themeColor="text1"/>
          <w:kern w:val="0"/>
          <w:szCs w:val="21"/>
        </w:rPr>
        <w:t>基金</w:t>
      </w:r>
      <w:r w:rsidRPr="001F61B7">
        <w:rPr>
          <w:rFonts w:asciiTheme="minorEastAsia" w:eastAsiaTheme="minorEastAsia" w:hAnsiTheme="minorEastAsia"/>
          <w:color w:val="000000" w:themeColor="text1"/>
          <w:kern w:val="0"/>
          <w:szCs w:val="21"/>
        </w:rPr>
        <w:t>托管协议当事人</w:t>
      </w:r>
    </w:p>
    <w:p w:rsidR="00DC2FC0"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（一）基金管理人（或简称“管理人”）</w:t>
      </w:r>
    </w:p>
    <w:p w:rsidR="00DC2FC0"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名称：易方达基金管理有限公司</w:t>
      </w:r>
    </w:p>
    <w:p w:rsidR="00DC2FC0"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住所：广东省珠海市横琴新区宝华路6号105室-42891（集中办公区）</w:t>
      </w:r>
    </w:p>
    <w:p w:rsidR="00DC2FC0"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法定代表人：刘晓艳</w:t>
      </w:r>
    </w:p>
    <w:p w:rsidR="00DC2FC0"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成立时间：2001年4月17日</w:t>
      </w:r>
    </w:p>
    <w:p w:rsidR="00DC2FC0"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批准设立机关：中国证券监督管理委员会</w:t>
      </w:r>
    </w:p>
    <w:p w:rsidR="00DC2FC0"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批准设立文号：证监基金字[2001]4号</w:t>
      </w:r>
    </w:p>
    <w:p w:rsidR="00DC2FC0"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组织形式：有限责任公司</w:t>
      </w:r>
    </w:p>
    <w:p w:rsidR="00DC2FC0"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注册资本：1</w:t>
      </w:r>
      <w:r w:rsidRPr="001F61B7" w:rsidR="00B10BF4">
        <w:rPr>
          <w:rFonts w:asciiTheme="minorEastAsia" w:eastAsiaTheme="minorEastAsia" w:hAnsiTheme="minorEastAsia" w:hint="eastAsia"/>
          <w:color w:val="000000" w:themeColor="text1"/>
          <w:kern w:val="0"/>
          <w:szCs w:val="21"/>
        </w:rPr>
        <w:t>3</w:t>
      </w:r>
      <w:r w:rsidRPr="001F61B7">
        <w:rPr>
          <w:rFonts w:asciiTheme="minorEastAsia" w:eastAsiaTheme="minorEastAsia" w:hAnsiTheme="minorEastAsia" w:hint="eastAsia"/>
          <w:color w:val="000000" w:themeColor="text1"/>
          <w:kern w:val="0"/>
          <w:szCs w:val="21"/>
        </w:rPr>
        <w:t>,</w:t>
      </w:r>
      <w:r w:rsidRPr="001F61B7" w:rsidR="00B10BF4">
        <w:rPr>
          <w:rFonts w:asciiTheme="minorEastAsia" w:eastAsiaTheme="minorEastAsia" w:hAnsiTheme="minorEastAsia" w:hint="eastAsia"/>
          <w:color w:val="000000" w:themeColor="text1"/>
          <w:kern w:val="0"/>
          <w:szCs w:val="21"/>
        </w:rPr>
        <w:t>244.2</w:t>
      </w:r>
      <w:r w:rsidRPr="001F61B7">
        <w:rPr>
          <w:rFonts w:asciiTheme="minorEastAsia" w:eastAsiaTheme="minorEastAsia" w:hAnsiTheme="minorEastAsia" w:hint="eastAsia"/>
          <w:color w:val="000000" w:themeColor="text1"/>
          <w:kern w:val="0"/>
          <w:szCs w:val="21"/>
        </w:rPr>
        <w:t>万元人民币</w:t>
      </w:r>
    </w:p>
    <w:p w:rsidR="00DC2FC0"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经营范围：公开募集证券投资基金管理、基金销售、特定客户资产管理</w:t>
      </w:r>
    </w:p>
    <w:p w:rsidR="00DC2FC0"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存续期间：持续经营</w:t>
      </w:r>
    </w:p>
    <w:p w:rsidR="00DC2FC0"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（二）基金托管人（或简称“托管人”）</w:t>
      </w:r>
    </w:p>
    <w:p w:rsidR="00DC2FC0"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名称：中国银行股份有限公司</w:t>
      </w:r>
    </w:p>
    <w:p w:rsidR="00DC2FC0"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住所：北京市西城区复兴门内大街1号</w:t>
      </w:r>
    </w:p>
    <w:p w:rsidR="00DC2FC0"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法定代表人：刘连舸</w:t>
      </w:r>
    </w:p>
    <w:p w:rsidR="00DC2FC0"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成立时间：1983年10月31日</w:t>
      </w:r>
    </w:p>
    <w:p w:rsidR="00DC2FC0"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基金托管业务批准文号：中国证监会证监基字【1998】24号</w:t>
      </w:r>
    </w:p>
    <w:p w:rsidR="00DC2FC0"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组织形式：股份有限公司</w:t>
      </w:r>
    </w:p>
    <w:p w:rsidR="00DC2FC0"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注册资本：人民币贰仟玖佰肆拾叁亿捌仟柒佰柒拾玖万壹仟贰佰肆拾壹元整</w:t>
      </w:r>
    </w:p>
    <w:p w:rsidR="00DC2FC0"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经营范围：吸收人民币存款；发放短期、中期和长期贷款；办理结算；办理票据贴现；发行金融债券；代理发行、代理兑付、承销政府债券；买卖政府债券；从事同业拆借；提供信用证服务及担保；代理收付款项及代理保险业务；提供保险箱服务；外汇存款；外汇贷款；外汇汇款；外汇兑换；国际结算；同业外汇拆借；外汇票据的承兑和贴现；外汇借款；外汇担保；结汇、售汇；发行和代理发行股票以外的外币有价证券；买卖和代理买卖股票以外的外币有价证券；自营外汇买卖；代客外汇买卖；外汇信用卡的发行和代理国外信用卡的发行</w:t>
      </w:r>
      <w:r w:rsidRPr="001F61B7">
        <w:rPr>
          <w:rFonts w:asciiTheme="minorEastAsia" w:eastAsiaTheme="minorEastAsia" w:hAnsiTheme="minorEastAsia" w:hint="eastAsia"/>
          <w:color w:val="000000" w:themeColor="text1"/>
          <w:kern w:val="0"/>
          <w:szCs w:val="21"/>
        </w:rPr>
        <w:t>及付款；资信调查、咨询、见证业务；组织或参加银团贷款；国际贵金属买卖；海外分支机构经营与当地法律许可的一切银行业务；在港澳地区的分行依据当地法令可发行或参与代理发行当地货币；经中国人民银行批准的其他业务。</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存续期间：持续经营</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二、基金托管人对基金管理人的业务监督和核查</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（一）基金托管人根据有关法律法规的规定对基金管理人的下列投资运作进行监督：</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1、对基金的投资范围、投资对象进行监督。</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本基金的投资范围包括标的指数成份股及备选成份股</w:t>
      </w:r>
      <w:r w:rsidRPr="001F61B7" w:rsidR="00A031B7">
        <w:rPr>
          <w:rFonts w:asciiTheme="minorEastAsia" w:eastAsiaTheme="minorEastAsia" w:hAnsiTheme="minorEastAsia" w:cs="方正仿宋简体" w:hint="eastAsia"/>
          <w:color w:val="000000" w:themeColor="text1"/>
          <w:szCs w:val="21"/>
        </w:rPr>
        <w:t>（含存托凭证）</w:t>
      </w:r>
      <w:r w:rsidRPr="001F61B7">
        <w:rPr>
          <w:rFonts w:asciiTheme="minorEastAsia" w:eastAsiaTheme="minorEastAsia" w:hAnsiTheme="minorEastAsia" w:hint="eastAsia"/>
          <w:color w:val="000000" w:themeColor="text1"/>
          <w:kern w:val="0"/>
          <w:szCs w:val="21"/>
        </w:rPr>
        <w:t>、除标的指数成份股及备选成份股以外的其他股票（包括创业板、中小板以及其他依法发行、上市的股票</w:t>
      </w:r>
      <w:r w:rsidRPr="001F61B7" w:rsidR="00A031B7">
        <w:rPr>
          <w:rFonts w:asciiTheme="minorEastAsia" w:eastAsiaTheme="minorEastAsia" w:hAnsiTheme="minorEastAsia" w:cs="方正仿宋简体" w:hint="eastAsia"/>
          <w:color w:val="000000" w:themeColor="text1"/>
          <w:szCs w:val="21"/>
        </w:rPr>
        <w:t>、存托凭证</w:t>
      </w:r>
      <w:r w:rsidRPr="001F61B7">
        <w:rPr>
          <w:rFonts w:asciiTheme="minorEastAsia" w:eastAsiaTheme="minorEastAsia" w:hAnsiTheme="minorEastAsia" w:hint="eastAsia"/>
          <w:color w:val="000000" w:themeColor="text1"/>
          <w:kern w:val="0"/>
          <w:szCs w:val="21"/>
        </w:rPr>
        <w:t>）、债券、债券回购、资产支持证券、银行存款、同业存单、货币市场工具、金融衍生工具（包括股指期货、期权等）以及法律法规或中国证监会允许基金投资的其他金融工具。</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如法律法规或监管机构以后允许基金投资其他品种，本基金管理人可以将其纳入投资范围，其投资原则及投资比例按法律法规或监管机构的相关规定执行。</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本基金将根据法律法规的规定参与转融通证券出借及融资业务。</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本基金投资于标的指数成份股及备选成份股的资产不低于非现金资产的80%且不低于基金资产净值的90%，因法律法规的规定而受限制的情形除外。</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基金管理人应将拟投资的股票库、债券库等各投资品种的具体范围及时提供给基金托管人。基金管理人可以根据实际情况的变化，对各投资品种的具体范围予以更新和调整，并及时通知基金托管人。基金托管人根据上述投资范围对基金的投资进行监督。</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2、对基金投融资比例进行监督；</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（1）本基金投资于标的指数成份股及备选成份股的资产不低于非现金资产的80%且不低于基金资产净值的90%；</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（2）本基金投资于同一原始权益人的各类资产支持证券的比例，不得超过基金资产净值的10%；</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（3）本基金持有的全部资产支持证券，其市值不得超过基金资产净值的20%；</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（4）本基金持有的同一(指同一信用级别)资产支持证券的比例，不得超过该资产支持证券规模的10%；</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（5）本基金管理人管理且由本托管人托管的全部基金投资于同一原始权益人的各类资</w:t>
      </w:r>
      <w:r w:rsidRPr="001F61B7">
        <w:rPr>
          <w:rFonts w:asciiTheme="minorEastAsia" w:eastAsiaTheme="minorEastAsia" w:hAnsiTheme="minorEastAsia" w:hint="eastAsia"/>
          <w:color w:val="000000" w:themeColor="text1"/>
          <w:kern w:val="0"/>
          <w:szCs w:val="21"/>
        </w:rPr>
        <w:t>产支持证券，不得超过其各类资产支持证券合计规模的10%；</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（6）本基金应投资于信用级别评级为BBB以上(含BBB)的资产支持证券。基金持有资产支持证券期间，如果其信用等级下降、不再符合投资标准，应在评级报告发布之日起3个月内予以全部卖出；</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（7）基金财产参与股票发行申购，本基金所申报的金额不超过本基金的总资产，本基金所申报的股票数量不超过拟发行股票公司本次发行股票的总量；</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（8）本基金进入全国银行间同业市场进行债券回购的资金余额不得超过基金资产净值的40%，进入全国银行间同业市场进行债券回购的最长期限为1年，债券回购到期后不得展期；</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9）本基金参与股指期货交易的，应当符合下列要求：在任何交易日日终，持有的买入股指期货合约价值，不得超过基金资产净值的10%；在任何交易日日终，持有的买入期货合约价值与有价证券市值之和，不得超过基金资产净值的100%，其中，有价证券指股票、债券（不含到期日在一年以内的政府债券）、资产支持证券、买入返售金融资产（不含质押式回购）等；在任何交易日日终，持有的卖出期货合约价值不得超过基金持有的股票总市值的20%；持有的股票市值和买入、卖出股指期货合约价值，合计（轧差计算）应当符合基金合同关于股票投资比例的有关约定，即不低于基金资产净值的90%；在任何交易日内交易（不包括平仓）的股指期货合约的成交金额不得超过上一交易日基金资产净值的20%；每个交易日日终在扣除股指期货合约需缴纳的交易保证金后，应当保持不低于交易保证金一倍的现金；</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10）本基金参与转融通证券出借业务的，应当符合下列要求：最近6个月内日均基金资产净值不得低于2亿元；参与转融通证券出借业务的资产不得超过基金资产净值的30%，其中出借期限在10个交易日以上的出借证券归为流动性受限资产；参与转融通证券出借业务的单只证券不得超过基金持有该证券总量的30%；证券出借的平均剩余期限不得超过30天，平均剩余期限按照市值加权平均计算；</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（11）基金参与融资业务后，在任何交易日日终，持有的融资买入股票与其他有价证券市值之和，不得超过基金资产净值的95%；</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12）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法律法规另有规定的，从其规定；</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13）本基金与私募类证券资管产品及中国证监会认定的其他主体为交易对手开展逆回购交易的，可接受质押品的资质要求应当与基金合同约定的投资范围保持一致；本基金管理人承诺本基金与私募类证券资管产品及中国证监会认定的其他主体为交易对手开展逆回购交易的，可接受质押品的资质要求应当与基金合同约定的投资范围保持一致，并承担由于不一致所导致的风险和损失；</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（14）本基金资产总值不超过基金资产净值的140%；</w:t>
      </w:r>
    </w:p>
    <w:p w:rsidR="00A031B7"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bCs/>
          <w:color w:val="000000" w:themeColor="text1"/>
          <w:kern w:val="0"/>
          <w:szCs w:val="21"/>
        </w:rPr>
        <w:t>（15）</w:t>
      </w:r>
      <w:r w:rsidRPr="001F61B7">
        <w:rPr>
          <w:rFonts w:asciiTheme="minorEastAsia" w:eastAsiaTheme="minorEastAsia" w:hAnsiTheme="minorEastAsia" w:hint="eastAsia"/>
          <w:bCs/>
          <w:color w:val="000000" w:themeColor="text1"/>
          <w:kern w:val="0"/>
          <w:szCs w:val="21"/>
        </w:rPr>
        <w:t>本基金投资存托凭证的比例限制依照境内上市交易的股票执行，与境内上市交易的股票合并计算；</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（1</w:t>
      </w:r>
      <w:r w:rsidRPr="001F61B7" w:rsidR="00A031B7">
        <w:rPr>
          <w:rFonts w:asciiTheme="minorEastAsia" w:eastAsiaTheme="minorEastAsia" w:hAnsiTheme="minorEastAsia" w:hint="eastAsia"/>
          <w:color w:val="000000" w:themeColor="text1"/>
          <w:kern w:val="0"/>
          <w:szCs w:val="21"/>
        </w:rPr>
        <w:t>6</w:t>
      </w:r>
      <w:r w:rsidRPr="001F61B7">
        <w:rPr>
          <w:rFonts w:asciiTheme="minorEastAsia" w:eastAsiaTheme="minorEastAsia" w:hAnsiTheme="minorEastAsia" w:hint="eastAsia"/>
          <w:color w:val="000000" w:themeColor="text1"/>
          <w:kern w:val="0"/>
          <w:szCs w:val="21"/>
        </w:rPr>
        <w:t>）法律法规及中国证监会规定的其他投资比例限制。</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除上述（6）、（7）、（10）、（12）、（13）情形之外，因证券/期货市场波动、证券发行人合并、基金规模变动、标的指数成份股调整、流动性限制或成份股市场价格变化等基金管理人之外的因素致使基金投资比例不符合上述规定投资比例的，基金管理人应当在10个交易日内进行调整，但中国证监会规定的特殊情形除外。因证券市场波动、上市公司合并、基金规模变动等基金管理人之外的因素致使基金投资不符合第（10）项规定的，基金管理人不得新增出借业务。</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法律法规或监管部门取消或变更上述限制，如适用于本基金，则本基金投资不再受相关限制或按变更后的规定执行。</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3、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（二）基金托管人应根据有关法律法规的规定及《基金合同》的约定，对基金资产净值计算、基金份额净值计算、应收资金到账、基金费用开支及收入确定、基金收益分配、相关</w:t>
      </w:r>
      <w:r w:rsidRPr="001F61B7">
        <w:rPr>
          <w:rFonts w:asciiTheme="minorEastAsia" w:eastAsiaTheme="minorEastAsia" w:hAnsiTheme="minorEastAsia" w:hint="eastAsia"/>
          <w:color w:val="000000" w:themeColor="text1"/>
          <w:kern w:val="0"/>
          <w:szCs w:val="21"/>
        </w:rPr>
        <w:t>信息披露中登载基金业绩表现数据等进行复核。</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三）基金托管人在上述第（一）、（二）款的监督和核查中发现基金管理人违反上述约定，应及时提示基金管理人，基金管理人收到提示后应及时核对确认并以书面形式对基金托管人发出回函并改正。在限期内，基金托管人有权随时对提示事项进行复查。基金管理人对基金托管人提示的违规事项未能在限期内纠正的，基金托管人应及时向中国证监会报告。</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四）基金托管人发现基金管理人的投资指令违反法律法规、本协议的规定，应当拒绝执行，及时提示基金管理人，并依照法律法规的规定及时向中国证监会报告。基金托管人发现基金管理人依据交易程序已经生效的指令违反法律法规、本协议规定的，应当及时提示基金管理人，并依照法律法规的规定及时向中国证监会报告。</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（五）基金管理人应积极配合和协助基金托管人的监督和核查，包括但不限于：在规定时间内答复基金托管人并改正，就基金托管人的疑义进行解释或举证，提供相关数据资料和制度等。</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三、基金管理人对基金托管人的业务核查</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1、在本协议的有效期内，在不违反公平、合理原则以及不妨碍基金托管人遵守相关法律法规及其行业监管要求的基础上，基金管理人有权对基金托管人履行本协议的情况进行必要的核查，核查事项包括但不限于基金托管人安全保管基金财产、开设基金财产的资金账户、证券账户等投资所需账户、复核基金管理人计算的基金资产净值和基金份额净值、根据基金管理人指令办理清算交收、相关信息披露和监督基金投资运作等行为。</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2、基金管理人发现基金托管人擅自挪用基金财产、未对基金财产实行分账管理、无正当理由未执行或延迟执行基金管理人资金划拨指令、泄露基金投资信息等违反法律法规、《基金合同》及本协议有关规定时，应及时以书面形式通知基金托管人限期纠正，基金托管人收到通知后应及时核对并以书面形式对基金管理人发出回函。在限期内，基金管理人有权随时对通知事项进行复查，督促基金托管人改正。基金托管人对基金管理人通知的违规事项未能在限期内纠正的，基金管理人应依照法律法规的规定报告中国证监会。</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3、基金托管人应积极配合基金管理人的核查行为，包括但不限于：提交相关资料以供基金管理人核查托管财产的完整性和真实性，在规定时间内答复基金管理人并改正。</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四、基金财产</w:t>
      </w:r>
      <w:r w:rsidRPr="001F61B7" w:rsidR="001F31CE">
        <w:rPr>
          <w:rFonts w:asciiTheme="minorEastAsia" w:eastAsiaTheme="minorEastAsia" w:hAnsiTheme="minorEastAsia"/>
          <w:color w:val="000000" w:themeColor="text1"/>
          <w:kern w:val="0"/>
          <w:szCs w:val="21"/>
        </w:rPr>
        <w:t>的</w:t>
      </w:r>
      <w:r w:rsidRPr="001F61B7">
        <w:rPr>
          <w:rFonts w:asciiTheme="minorEastAsia" w:eastAsiaTheme="minorEastAsia" w:hAnsiTheme="minorEastAsia"/>
          <w:color w:val="000000" w:themeColor="text1"/>
          <w:kern w:val="0"/>
          <w:szCs w:val="21"/>
        </w:rPr>
        <w:t>保管</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（一）基金财产保管的原则</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1、基金财产应独立于基金管理人、基金托管人的固有财产。</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2、基金托管人应安全保管基金财产，未经基金管理人的合法合规指令或法律法规、《基金合同》及本协议另有规定，不得自行运用、处分、分配基金的任何财产。</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3、基金托管人按照规定开设基金财产的资金账户、证券账户等投资所需账户。</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4、基金托管人对所托管的不同基金财产分别设置账户，确保基金财产的完整与独立。</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5、除依据《基金法》、《运作办法》、《基金合同》及其他有关法律法规规定外，基金托管人不得委托第三人托管基金财产。</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（二）基金合同生效前募集资金的验资和入账</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1、基金募集期满或基金管理人宣布停止募集时，募集的基金份额总额、基金募集金额（含募集的股票市值）、基金份额持有人人数符合《基金法》、《运作办法》等有关规定的，由基金管理人在法定期限内聘请具有从事相关业务资格的会计师事务所对基金进行验资，并出具验资报告，出具的验资报告应由参加验资的2名以上（含2名）中国注册会计师签字方为有效。</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2、基金管理人应将募集到的全部资金划入在基金托管人处为本基金开立的基金托管专户中，基金募集的股票存放在以本基金和基金托管人联名名义开立的证券账户下，基金托管人在收到资金和股票当日出具基金资产接收报告。</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（三）基金的银行账户的开设和管理</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1、基金托管人应负责本基金的银行账户的开设和管理。</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2、基金托管人以本基金的名义开设本基金的银行账户。本基金的银行预留印鉴由基金托管人保管和使用。本基金的一切货币收支活动，包括但不限于投资、支付赎回金额、支付基金收益、收取申购款，均需通过本基金的银行账户进行。</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3、本基金银行账户的开立和使用，限于满足开展本基金业务的需要。基金托管人和基金管理人不得假借本基金的名义开立其他任何银行账户；亦不得使用本基金的银行账户进行本基金业务以外的活动。</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4、基金银行账户的管理应符合法律法规的有关规定。</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（四）基金进行定期存款投资的账户开设和管理</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基金管理人以基金名义在基金托管人认可的存款银行的指定营业网点开立存款账户，基金托管人负责该账户银行预留印鉴的保管和使用。在上述账户开立和账户相关信息变更过程中，基金管理人应提前向基金托管人提供开户或账户变更所需的相关资料。</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（五）基金证券账户、结算备付金账户及其他投资账户的开设和管理</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1、基金托管人应当代表本基金，以基金托管人和本基金联名的方式在中国证券登记结算有限责任公司开设证券账户。</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2、本基金证券账户的开立和使用，限于满足开展本基金业务的需要。基金托管人和基金管理人不得出借或转让本基金的证券账户，亦不得使用本基金的证券账户进行本基金业务以外的活动。</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3、基金托管人以自身法人名义在中国证券登记结算有限责任公司开立结算备付金账户，用于办理基金托管人所托管的包括本基金在内的全部基金在证券交易所进行证券投资所涉及的资金结算业务。结算备付金的收取按照中国证券登记结算有限责任公司的规定执行。</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4、在本托管协议生效日之后，本基金被允许从事其他投资品种的投资业务的，涉及相关账户的开设、使用的，若无相关规定，则基金托管人应当比照并遵守上述关于账户开设、使用的规定。</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（六）债券托管专户的开设和管理</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基金合同生效后，基金管理人负责向中国人民银行报备，以基金的名义申请并取得进入全国银行间同业拆借市场的交易资格，并代表基金进行交易；由基金管理人负责向中国人民银行报备，在上述手续办理完毕之后，基金托管人负责以基金的名义在中央国债登记结算有限责任公司和银行间市场清算所股份有限公司开设银行间债券市场债券托管账户，并代表基金进行银行间债券市场债券和资金的清算。</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（七）基金财产投资的有关有价凭证的保管</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基金财产投资的实物证券、银行定期存款存单等有价凭证由基金托管人负责妥善保管。基金托管人对其以外机构实际有效控制的有价凭证不承担责任。</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（八）与基金财产有关的重大合同及有关凭证的保管</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基金托管人按照法律法规保管由基金管理人代表基金签署的与基金有关的重大合同及有关凭证。基金管理人代表基金签署有关重大合同后应在收到合同正本后30日内将一份正本的原件提交给基金托管人。除本协议另有规定外，基金管理人在代表基金签署与基金有关的重大合同时应保证基金一方持有两份以上的正本，以便基金管理人和基金托管人至少各持有一份正本的原件。重大合同由基金管理人与基金托管人按规定各自保管至少15年。</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五、</w:t>
      </w:r>
      <w:r w:rsidRPr="001F61B7" w:rsidR="001F31CE">
        <w:rPr>
          <w:rFonts w:asciiTheme="minorEastAsia" w:eastAsiaTheme="minorEastAsia" w:hAnsiTheme="minorEastAsia"/>
          <w:color w:val="000000" w:themeColor="text1"/>
          <w:kern w:val="0"/>
          <w:szCs w:val="21"/>
        </w:rPr>
        <w:t>基金资产净值计算、估值和会计核算</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（一）基金资产净值的计算和复核</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1、基金资产净值是指基金资产总值减去基金负债后的价值。基金份额净值是指计算日</w:t>
      </w:r>
      <w:r w:rsidRPr="001F61B7">
        <w:rPr>
          <w:rFonts w:asciiTheme="minorEastAsia" w:eastAsiaTheme="minorEastAsia" w:hAnsiTheme="minorEastAsia" w:hint="eastAsia"/>
          <w:color w:val="000000" w:themeColor="text1"/>
          <w:kern w:val="0"/>
          <w:szCs w:val="21"/>
        </w:rPr>
        <w:t>基金资产净值除以计算日该基金份额总数后的价值。</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2、基金管理人应每个估值日对基金财产估值，但基金管理人根据法律法规或《基金合同》的规定暂停估值时除外。估值原则应符合《基金合同》、《证券投资基金会计核算业务指引》及其他法律法规的规定。用于基金信息披露的基金净值信息由基金管理人负责计算，基金托管人复核。基金管理人应于每个估值日结束后计算得出当日的该基金份额净值，并在盖章后以双方约定的方式发送给基金托管人。基金托管人应对净值计算结果进行复核，并以双方约定的方式将复核结果传送给基金管理人，由基金管理人对外公布。月末、年中和年末估值复核与基金会计账目的核对同时进行。</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3、当相关法律法规或《基金合同》规定的估值方法不能客观反映基金财产公允价值时，基金管理人可根据具体情况，并与基金托管人商定后，按最能反映公允价值的价格估值。</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4、基金管理人、基金托管人发现基金估值违反《基金合同》订明的估值方法、程序以及相关法律法规的规定或者未能充分维护基金份额持有人利益时，双方应及时进行协商和纠正。</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5、当基金资产的估值导致基金份额净值小数点后四位以内（含第四位）发生差错时，视为估值错误。当基金份额净值出现错误时，基金管理人应当立即予以纠正，并采取合理的措施防止损失进一步扩大；当计价错误达到基金份额净值的0.25%时，基金管理人应通报基金托管人；当计价错误达到基金份额净值的0.5%时，基金管理人应当在报中国证监会备案的同时并及时进行公告。如法律法规或监管机关对前述内容另有规定的，按其规定处理。</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6、由于基金管理人对外公布的任何基金净值数据错误，导致该基金财产或基金份额持有人的实际损失，基金管理人应对此承担责任。若基金托管人计算的净值数据正确，则基金托管人对该损失不承担责任；若基金托管人计算的净值数据也不正确，则基金托管人也应承担未正确履行复核义务的责任。如果上述错误造成了基金财产或基金份额持有人的不当得利，且基金管理人及基金托管人已各自承担了赔偿责任，则基金管理人应负责向不当得利之主体主张返还不当得利。如果返还金额不足以弥补基金管理人和基金托管人已承担的赔偿金额，则双方按照各自赔偿金额的比例对返还金额进行分配。</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7、 由于证券/期货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免除赔偿责任。但基金管理人和基金托管人应当积极采取必要的措施消除或减轻由此造成的影响。</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8、如果基金托管人的复核结果与基金管理人的计算结果存在差异，且双方经协商未能达成一致，基金管理人可以按照其对基金份额净值的计算结果对外予以公布，基金托管人可以将相关情况报中国证监会备案。</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（二）基金会计核算</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1、基金账册的建立</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基金管理人和基金托管人在《基金合同》生效后，应按照双方约定的同一记账方法和会计处理原则，分别独立地设置、登记和保管基金的全套账册，对双方各自的账册定期进行核对，互相监督，以保证基金财产的安全。若双方对会计处理方法存在分歧，应以基金管理人的处理方法为准。</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2、会计数据和财务指标的核对</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基金管理人和基金托管人应定期就会计数据和财务指标进行核对。如发现存在不符，双方应及时查明原因并纠正。</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3、基金财务报表和定期报告的编制和复核</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基金财务报表由基金管理人和基金托管人每月分别独立编制。月度报表的编制，应于每月终了后5个工作日内完成；基金合同生效后，基金招募说明书的信息发生重大变更的，基金管理人应当在三个工作日内，更新基金招募说明书并登载在指定网站上；基金招募说明书其他信息发生变更的，基金管理人至少每年更新一次；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招募说明书。季度报告应在每个季度结束之日起10个工作日内编制完毕并于每个季度结束之日起15个工作日内予以公告；中期报告在会计年度半年终了后40日内编制完毕并于会计年度半年终了后两个月内予以公告；年度报告在会计年度结束后60日内编制完毕并于会计年度终了后三个月内予以公告。基金合同生效不足两个月的，基金管理人可以不编制当期季度报告、中期报告或者年度报告。</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门公章或者出具加盖托管业务部门公章的复核意见书或进行电子确认，双方各自留存一份。如果基金管理人与基金托管人不能于应当发布公告之日之前就相关报表达成一致，基金管理</w:t>
      </w:r>
      <w:r w:rsidRPr="001F61B7">
        <w:rPr>
          <w:rFonts w:asciiTheme="minorEastAsia" w:eastAsiaTheme="minorEastAsia" w:hAnsiTheme="minorEastAsia" w:hint="eastAsia"/>
          <w:color w:val="000000" w:themeColor="text1"/>
          <w:kern w:val="0"/>
          <w:szCs w:val="21"/>
        </w:rPr>
        <w:t>人有权按照其编制的报表对外发布公告，基金托管人有权就相关情况报证监会备案。</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六、基金份额持有人名册的保管</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基金份额持有人名册至少应包括基金份额持有人的名称和持有的基金份额。基金份额持有人名册由基金登记结算机构根据基金管理人的指令编制和保管，基金管理人和基金托管人应分别保管基金份额持有人名册，基金登记结算机构保存期不少于20年，法律法规另有规定或有权机关另有要求的除外。如不能妥善保管，则按相关法规承担责任。</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在基金托管人要求或编制中期报告和年度报告前，基金管理人应将有关资料送交基金托管人，不得无故拒绝或延误提供，并保证其的真实性、准确性和完整性。基金托管人不得将所保管的基金份额持有人名册用于基金托管业务以外的其他用途，并应遵守保密义务。</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七、争议解决方式</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（一）本协议适用中华人民共和国法律（为本协议之目的，不包括香港特别行政区、澳门特别行政区和台湾地区法律）并从其解释。</w:t>
      </w:r>
    </w:p>
    <w:p w:rsidR="009851E5"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二）基金管理人与基金托管人之间因本协议产生的或与本协议有关的争议可通过友好协商解决。但若自一方书面提出协商解决争议之日起60日内争议未能以协商方式解决的，则任何一方有权将争议提交位于北京的中国国际经济贸易仲裁委员会，并按其时有效的仲裁规则进行仲裁。仲裁裁决是终局的，对仲裁各方当事人均具有约束力。除非仲裁裁决另有规定，仲裁费用由败诉方承担。</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（三）除争议所涉的内容之外，本协议的当事人仍应履行本协议的其他规定。</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color w:val="000000" w:themeColor="text1"/>
          <w:kern w:val="0"/>
          <w:szCs w:val="21"/>
        </w:rPr>
        <w:t>八、</w:t>
      </w:r>
      <w:r w:rsidRPr="001F61B7" w:rsidR="001F31CE">
        <w:rPr>
          <w:rFonts w:asciiTheme="minorEastAsia" w:eastAsiaTheme="minorEastAsia" w:hAnsiTheme="minorEastAsia"/>
          <w:color w:val="000000" w:themeColor="text1"/>
          <w:kern w:val="0"/>
          <w:szCs w:val="21"/>
        </w:rPr>
        <w:t>基金托管协议的变更、终止与基金财产的清算</w:t>
      </w:r>
    </w:p>
    <w:p w:rsidR="00DC2FC0"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（一）托管协议的变更</w:t>
      </w:r>
    </w:p>
    <w:p w:rsidR="00DC2FC0"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本协议双方当事人经协商一致，可以对协议进行变更。变更后的新协议，其内容不得与《基金合同》的规定有任何冲突。变更后的新协议应当报中国证监会备案。</w:t>
      </w:r>
    </w:p>
    <w:p w:rsidR="00DC2FC0"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（二）托管协议的终止</w:t>
      </w:r>
    </w:p>
    <w:p w:rsidR="00DC2FC0"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发生以下情况，本托管协议应当终止：</w:t>
      </w:r>
    </w:p>
    <w:p w:rsidR="00DC2FC0"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1、《基金合同》终止；</w:t>
      </w:r>
    </w:p>
    <w:p w:rsidR="00DC2FC0"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2、本基金更换基金托管人；</w:t>
      </w:r>
    </w:p>
    <w:p w:rsidR="00DC2FC0"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3、本基金更换基金管理人；</w:t>
      </w:r>
    </w:p>
    <w:p w:rsidR="00DC2FC0"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4、发生《基金法》、《运作办法》或其他法律法规和中国证监会规定的终止事项。</w:t>
      </w:r>
    </w:p>
    <w:p w:rsidR="00DC2FC0"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（三）基金财产的清算</w:t>
      </w:r>
    </w:p>
    <w:p w:rsidR="00A24B6D" w:rsidRPr="001F61B7" w:rsidP="00C42A18">
      <w:pPr>
        <w:tabs>
          <w:tab w:val="left" w:pos="3544"/>
        </w:tabs>
        <w:spacing w:line="360" w:lineRule="auto"/>
        <w:ind w:firstLine="420" w:firstLineChars="200"/>
        <w:rPr>
          <w:rFonts w:asciiTheme="minorEastAsia" w:eastAsiaTheme="minorEastAsia" w:hAnsiTheme="minorEastAsia"/>
          <w:color w:val="000000" w:themeColor="text1"/>
          <w:kern w:val="0"/>
          <w:szCs w:val="21"/>
        </w:rPr>
      </w:pPr>
      <w:r w:rsidRPr="001F61B7">
        <w:rPr>
          <w:rFonts w:asciiTheme="minorEastAsia" w:eastAsiaTheme="minorEastAsia" w:hAnsiTheme="minorEastAsia" w:hint="eastAsia"/>
          <w:color w:val="000000" w:themeColor="text1"/>
          <w:kern w:val="0"/>
          <w:szCs w:val="21"/>
        </w:rPr>
        <w:t>基金管理人和基金托管人应按照《基金合同》及有关法律法规的规定对本基金的财产进行清算。</w:t>
      </w:r>
    </w:p>
    <w:p w:rsidR="00BA4B87" w:rsidRPr="001F61B7" w:rsidP="00C42A18">
      <w:pPr>
        <w:pStyle w:val="Heading1"/>
        <w:pageBreakBefore/>
        <w:tabs>
          <w:tab w:val="left" w:pos="3544"/>
        </w:tabs>
        <w:spacing w:before="317" w:after="317" w:line="360" w:lineRule="auto"/>
        <w:ind w:firstLine="600"/>
        <w:rPr>
          <w:rFonts w:asciiTheme="minorEastAsia" w:eastAsiaTheme="minorEastAsia" w:hAnsiTheme="minorEastAsia"/>
          <w:bCs/>
          <w:color w:val="000000" w:themeColor="text1"/>
        </w:rPr>
      </w:pPr>
      <w:bookmarkStart w:id="76" w:name="_Toc80796287"/>
      <w:r w:rsidRPr="001F61B7">
        <w:rPr>
          <w:rFonts w:asciiTheme="minorEastAsia" w:eastAsiaTheme="minorEastAsia" w:hAnsiTheme="minorEastAsia"/>
          <w:color w:val="000000" w:themeColor="text1"/>
          <w:sz w:val="30"/>
        </w:rPr>
        <w:t>二</w:t>
      </w:r>
      <w:bookmarkStart w:id="77" w:name="_Toc332373591"/>
      <w:r w:rsidRPr="001F61B7">
        <w:rPr>
          <w:rFonts w:asciiTheme="minorEastAsia" w:eastAsiaTheme="minorEastAsia" w:hAnsiTheme="minorEastAsia"/>
          <w:color w:val="000000" w:themeColor="text1"/>
          <w:sz w:val="30"/>
        </w:rPr>
        <w:t>十</w:t>
      </w:r>
      <w:r w:rsidRPr="001F61B7" w:rsidR="006174FD">
        <w:rPr>
          <w:rFonts w:asciiTheme="minorEastAsia" w:eastAsiaTheme="minorEastAsia" w:hAnsiTheme="minorEastAsia"/>
          <w:color w:val="000000" w:themeColor="text1"/>
          <w:sz w:val="30"/>
        </w:rPr>
        <w:t>三</w:t>
      </w:r>
      <w:r w:rsidRPr="001F61B7">
        <w:rPr>
          <w:rFonts w:asciiTheme="minorEastAsia" w:eastAsiaTheme="minorEastAsia" w:hAnsiTheme="minorEastAsia"/>
          <w:color w:val="000000" w:themeColor="text1"/>
          <w:sz w:val="30"/>
        </w:rPr>
        <w:t>、对基金份额持有人的服务</w:t>
      </w:r>
      <w:bookmarkEnd w:id="76"/>
    </w:p>
    <w:bookmarkEnd w:id="77"/>
    <w:p w:rsidR="000C755A" w:rsidRPr="001F61B7" w:rsidP="00C42A18">
      <w:pPr>
        <w:pStyle w:val="BodyTextFirstIndent"/>
        <w:tabs>
          <w:tab w:val="left" w:pos="3544"/>
        </w:tabs>
        <w:autoSpaceDE w:val="0"/>
        <w:autoSpaceDN w:val="0"/>
        <w:spacing w:after="0" w:line="360" w:lineRule="auto"/>
        <w:ind w:firstLine="420" w:firstLineChars="200"/>
        <w:rPr>
          <w:rFonts w:asciiTheme="minorEastAsia" w:eastAsiaTheme="minorEastAsia" w:hAnsiTheme="minorEastAsia"/>
          <w:color w:val="000000" w:themeColor="text1"/>
        </w:rPr>
      </w:pPr>
      <w:r w:rsidRPr="001F61B7">
        <w:rPr>
          <w:rFonts w:asciiTheme="minorEastAsia" w:eastAsiaTheme="minorEastAsia" w:hAnsiTheme="minorEastAsia"/>
          <w:color w:val="000000" w:themeColor="text1"/>
        </w:rPr>
        <w:t>对本基金份额持有人的服务主要由基金管理人、代办证券公司提供。投资者可通过以下方式了解基金产品与服务，进行各类业务咨询，或反馈投资过程中需要投诉与建议的情况。投资者如果认为自己不能准确理解本基金《招募说明书》、《基金合同》的具体内容，也可拨打以下电话详询。</w:t>
      </w:r>
    </w:p>
    <w:p w:rsidR="000C755A" w:rsidRPr="001F61B7" w:rsidP="00C42A18">
      <w:pPr>
        <w:pStyle w:val="BodyTextFirstIndent"/>
        <w:tabs>
          <w:tab w:val="left" w:pos="3544"/>
        </w:tabs>
        <w:autoSpaceDE w:val="0"/>
        <w:autoSpaceDN w:val="0"/>
        <w:spacing w:after="0" w:line="360" w:lineRule="auto"/>
        <w:ind w:firstLine="420" w:firstLineChars="200"/>
        <w:rPr>
          <w:rFonts w:asciiTheme="minorEastAsia" w:eastAsiaTheme="minorEastAsia" w:hAnsiTheme="minorEastAsia"/>
          <w:color w:val="000000" w:themeColor="text1"/>
        </w:rPr>
      </w:pPr>
      <w:r w:rsidRPr="001F61B7">
        <w:rPr>
          <w:rFonts w:asciiTheme="minorEastAsia" w:eastAsiaTheme="minorEastAsia" w:hAnsiTheme="minorEastAsia"/>
          <w:color w:val="000000" w:themeColor="text1"/>
        </w:rPr>
        <w:t>客服热线：4008818088</w:t>
      </w:r>
    </w:p>
    <w:p w:rsidR="000C755A" w:rsidRPr="001F61B7" w:rsidP="00C42A18">
      <w:pPr>
        <w:pStyle w:val="BodyTextFirstIndent"/>
        <w:tabs>
          <w:tab w:val="left" w:pos="3544"/>
        </w:tabs>
        <w:autoSpaceDE w:val="0"/>
        <w:autoSpaceDN w:val="0"/>
        <w:spacing w:after="0" w:line="360" w:lineRule="auto"/>
        <w:ind w:firstLine="420" w:firstLineChars="200"/>
        <w:rPr>
          <w:rFonts w:asciiTheme="minorEastAsia" w:eastAsiaTheme="minorEastAsia" w:hAnsiTheme="minorEastAsia"/>
          <w:color w:val="000000" w:themeColor="text1"/>
        </w:rPr>
      </w:pPr>
      <w:r w:rsidRPr="001F61B7">
        <w:rPr>
          <w:rFonts w:asciiTheme="minorEastAsia" w:eastAsiaTheme="minorEastAsia" w:hAnsiTheme="minorEastAsia"/>
          <w:color w:val="000000" w:themeColor="text1"/>
        </w:rPr>
        <w:t>网址：http://www.efunds.com.cn</w:t>
      </w:r>
    </w:p>
    <w:p w:rsidR="00AE2909" w:rsidRPr="001F61B7" w:rsidP="00C42A18">
      <w:pPr>
        <w:pStyle w:val="BodyTextFirstIndent"/>
        <w:tabs>
          <w:tab w:val="left" w:pos="3544"/>
        </w:tabs>
        <w:autoSpaceDE w:val="0"/>
        <w:autoSpaceDN w:val="0"/>
        <w:spacing w:after="0" w:line="360" w:lineRule="auto"/>
        <w:ind w:firstLine="420" w:firstLineChars="200"/>
        <w:rPr>
          <w:rFonts w:asciiTheme="minorEastAsia" w:eastAsiaTheme="minorEastAsia" w:hAnsiTheme="minorEastAsia"/>
          <w:color w:val="000000" w:themeColor="text1"/>
        </w:rPr>
      </w:pPr>
      <w:r w:rsidRPr="001F61B7">
        <w:rPr>
          <w:rFonts w:asciiTheme="minorEastAsia" w:eastAsiaTheme="minorEastAsia" w:hAnsiTheme="minorEastAsia"/>
          <w:color w:val="000000" w:themeColor="text1"/>
        </w:rPr>
        <w:t xml:space="preserve">电子信箱：service@efunds.com.cn </w:t>
      </w:r>
    </w:p>
    <w:p w:rsidR="00BA4B87" w:rsidRPr="001F61B7" w:rsidP="00C42A18">
      <w:pPr>
        <w:pStyle w:val="Heading1"/>
        <w:pageBreakBefore/>
        <w:tabs>
          <w:tab w:val="left" w:pos="3544"/>
        </w:tabs>
        <w:spacing w:before="317" w:after="317" w:line="360" w:lineRule="auto"/>
        <w:ind w:firstLine="2550" w:firstLineChars="850"/>
        <w:jc w:val="both"/>
        <w:rPr>
          <w:rFonts w:asciiTheme="minorEastAsia" w:eastAsiaTheme="minorEastAsia" w:hAnsiTheme="minorEastAsia"/>
          <w:color w:val="000000" w:themeColor="text1"/>
        </w:rPr>
      </w:pPr>
      <w:bookmarkStart w:id="78" w:name="_Toc80796288"/>
      <w:r w:rsidRPr="001F61B7">
        <w:rPr>
          <w:rFonts w:asciiTheme="minorEastAsia" w:eastAsiaTheme="minorEastAsia" w:hAnsiTheme="minorEastAsia"/>
          <w:color w:val="000000" w:themeColor="text1"/>
          <w:sz w:val="30"/>
        </w:rPr>
        <w:t>二</w:t>
      </w:r>
      <w:bookmarkStart w:id="79" w:name="_Toc332373592"/>
      <w:r w:rsidRPr="001F61B7">
        <w:rPr>
          <w:rFonts w:asciiTheme="minorEastAsia" w:eastAsiaTheme="minorEastAsia" w:hAnsiTheme="minorEastAsia"/>
          <w:color w:val="000000" w:themeColor="text1"/>
          <w:sz w:val="30"/>
        </w:rPr>
        <w:t>十</w:t>
      </w:r>
      <w:r w:rsidRPr="001F61B7" w:rsidR="006174FD">
        <w:rPr>
          <w:rFonts w:asciiTheme="minorEastAsia" w:eastAsiaTheme="minorEastAsia" w:hAnsiTheme="minorEastAsia"/>
          <w:color w:val="000000" w:themeColor="text1"/>
          <w:sz w:val="30"/>
        </w:rPr>
        <w:t>四</w:t>
      </w:r>
      <w:r w:rsidRPr="001F61B7">
        <w:rPr>
          <w:rFonts w:asciiTheme="minorEastAsia" w:eastAsiaTheme="minorEastAsia" w:hAnsiTheme="minorEastAsia"/>
          <w:color w:val="000000" w:themeColor="text1"/>
          <w:sz w:val="30"/>
        </w:rPr>
        <w:t>、其他应披露事项</w:t>
      </w:r>
      <w:bookmarkEnd w:id="78"/>
    </w:p>
    <w:tbl>
      <w:tblPr>
        <w:tblW w:w="891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1"/>
        <w:gridCol w:w="1956"/>
      </w:tblGrid>
      <w:tr w:rsidTr="00C94D2B">
        <w:tblPrEx>
          <w:tblW w:w="891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44"/>
        </w:trPr>
        <w:tc>
          <w:tcPr>
            <w:tcW w:w="6961" w:type="dxa"/>
            <w:tcBorders>
              <w:top w:val="single" w:sz="4" w:space="0" w:color="auto"/>
              <w:left w:val="single" w:sz="4" w:space="0" w:color="auto"/>
              <w:bottom w:val="single" w:sz="4" w:space="0" w:color="auto"/>
              <w:right w:val="single" w:sz="4" w:space="0" w:color="auto"/>
            </w:tcBorders>
            <w:vAlign w:val="center"/>
            <w:hideMark/>
          </w:tcPr>
          <w:bookmarkEnd w:id="79"/>
          <w:p w:rsidR="0094789B" w:rsidRPr="001F61B7" w:rsidP="007F3C78">
            <w:pPr>
              <w:spacing w:line="360" w:lineRule="auto"/>
              <w:jc w:val="center"/>
              <w:rPr>
                <w:rFonts w:asciiTheme="minorEastAsia" w:eastAsiaTheme="minorEastAsia" w:hAnsiTheme="minorEastAsia"/>
                <w:color w:val="000000" w:themeColor="text1"/>
                <w:szCs w:val="21"/>
              </w:rPr>
            </w:pPr>
            <w:r w:rsidRPr="001F61B7">
              <w:rPr>
                <w:rFonts w:asciiTheme="minorEastAsia" w:eastAsiaTheme="minorEastAsia" w:hAnsiTheme="minorEastAsia" w:hint="eastAsia"/>
                <w:color w:val="000000" w:themeColor="text1"/>
                <w:szCs w:val="21"/>
              </w:rPr>
              <w:t>公告事项</w:t>
            </w:r>
          </w:p>
        </w:tc>
        <w:tc>
          <w:tcPr>
            <w:tcW w:w="1956" w:type="dxa"/>
            <w:tcBorders>
              <w:top w:val="single" w:sz="4" w:space="0" w:color="auto"/>
              <w:left w:val="single" w:sz="4" w:space="0" w:color="auto"/>
              <w:bottom w:val="single" w:sz="4" w:space="0" w:color="auto"/>
              <w:right w:val="single" w:sz="4" w:space="0" w:color="auto"/>
            </w:tcBorders>
            <w:vAlign w:val="center"/>
            <w:hideMark/>
          </w:tcPr>
          <w:p w:rsidR="0094789B" w:rsidRPr="001F61B7" w:rsidP="007F3C78">
            <w:pPr>
              <w:spacing w:line="360" w:lineRule="auto"/>
              <w:ind w:left="0" w:hanging="69" w:leftChars="-33" w:hangingChars="33"/>
              <w:jc w:val="center"/>
              <w:rPr>
                <w:rFonts w:asciiTheme="minorEastAsia" w:eastAsiaTheme="minorEastAsia" w:hAnsiTheme="minorEastAsia"/>
                <w:color w:val="000000" w:themeColor="text1"/>
                <w:szCs w:val="21"/>
              </w:rPr>
            </w:pPr>
            <w:r w:rsidRPr="001F61B7">
              <w:rPr>
                <w:rFonts w:asciiTheme="minorEastAsia" w:eastAsiaTheme="minorEastAsia" w:hAnsiTheme="minorEastAsia" w:hint="eastAsia"/>
                <w:color w:val="000000" w:themeColor="text1"/>
                <w:szCs w:val="21"/>
              </w:rPr>
              <w:t>披露日期</w:t>
            </w:r>
          </w:p>
        </w:tc>
      </w:tr>
      <w:tr w:rsidTr="00AE28CC">
        <w:tblPrEx>
          <w:tblW w:w="8917" w:type="dxa"/>
          <w:tblInd w:w="93" w:type="dxa"/>
          <w:tblLook w:val="04A0"/>
        </w:tblPrEx>
        <w:tc>
          <w:tcPr>
            <w:tcW w:w="6961" w:type="dxa"/>
          </w:tcPr>
          <w:p w:rsidR="000D684F">
            <w:pPr>
              <w:jc w:val="left"/>
            </w:pPr>
            <w:r>
              <w:t>易方达中证科技</w:t>
            </w:r>
            <w:r>
              <w:t>50</w:t>
            </w:r>
            <w:r>
              <w:t>交易型开放式指数证券投资基金增加中泰证券为申购赎回代办证券公司的公告</w:t>
            </w:r>
          </w:p>
        </w:tc>
        <w:tc>
          <w:tcPr>
            <w:tcW w:w="1956" w:type="dxa"/>
            <w:vAlign w:val="center"/>
          </w:tcPr>
          <w:p w:rsidR="000D684F" w:rsidP="00AE28CC">
            <w:pPr>
              <w:jc w:val="center"/>
            </w:pPr>
            <w:r>
              <w:t>2020-12-21</w:t>
            </w:r>
          </w:p>
        </w:tc>
      </w:tr>
      <w:tr w:rsidTr="00AE28CC">
        <w:tblPrEx>
          <w:tblW w:w="8917" w:type="dxa"/>
          <w:tblInd w:w="93" w:type="dxa"/>
          <w:tblLook w:val="04A0"/>
        </w:tblPrEx>
        <w:tc>
          <w:tcPr>
            <w:tcW w:w="6961" w:type="dxa"/>
          </w:tcPr>
          <w:p w:rsidR="000D684F">
            <w:pPr>
              <w:jc w:val="left"/>
            </w:pPr>
            <w:r>
              <w:t>易方达中证科技</w:t>
            </w:r>
            <w:r>
              <w:t>50</w:t>
            </w:r>
            <w:r>
              <w:t>交易型开放式指数证券投资基金变更场内简称的公告</w:t>
            </w:r>
          </w:p>
        </w:tc>
        <w:tc>
          <w:tcPr>
            <w:tcW w:w="1956" w:type="dxa"/>
            <w:vAlign w:val="center"/>
          </w:tcPr>
          <w:p w:rsidR="000D684F" w:rsidP="00AE28CC">
            <w:pPr>
              <w:jc w:val="center"/>
            </w:pPr>
            <w:r>
              <w:t>2021-01-14</w:t>
            </w:r>
          </w:p>
        </w:tc>
      </w:tr>
      <w:tr w:rsidTr="00AE28CC">
        <w:tblPrEx>
          <w:tblW w:w="8917" w:type="dxa"/>
          <w:tblInd w:w="93" w:type="dxa"/>
          <w:tblLook w:val="04A0"/>
        </w:tblPrEx>
        <w:tc>
          <w:tcPr>
            <w:tcW w:w="6961" w:type="dxa"/>
          </w:tcPr>
          <w:p w:rsidR="000D684F">
            <w:pPr>
              <w:jc w:val="left"/>
            </w:pPr>
            <w:r>
              <w:t>易方达基金管理有限公司旗下基金</w:t>
            </w:r>
            <w:r>
              <w:t>2020</w:t>
            </w:r>
            <w:r>
              <w:t>年第</w:t>
            </w:r>
            <w:r>
              <w:t>4</w:t>
            </w:r>
            <w:r>
              <w:t>季度报告提示性公告</w:t>
            </w:r>
          </w:p>
        </w:tc>
        <w:tc>
          <w:tcPr>
            <w:tcW w:w="1956" w:type="dxa"/>
            <w:vAlign w:val="center"/>
          </w:tcPr>
          <w:p w:rsidR="000D684F" w:rsidP="00AE28CC">
            <w:pPr>
              <w:jc w:val="center"/>
            </w:pPr>
            <w:r>
              <w:t>2021-01-21</w:t>
            </w:r>
          </w:p>
        </w:tc>
      </w:tr>
      <w:tr w:rsidTr="00AE28CC">
        <w:tblPrEx>
          <w:tblW w:w="8917" w:type="dxa"/>
          <w:tblInd w:w="93" w:type="dxa"/>
          <w:tblLook w:val="04A0"/>
        </w:tblPrEx>
        <w:tc>
          <w:tcPr>
            <w:tcW w:w="6961" w:type="dxa"/>
          </w:tcPr>
          <w:p w:rsidR="000D684F">
            <w:pPr>
              <w:jc w:val="left"/>
            </w:pPr>
            <w:r>
              <w:t>易方达基金管理有限公司高级管理人员变更公告</w:t>
            </w:r>
          </w:p>
        </w:tc>
        <w:tc>
          <w:tcPr>
            <w:tcW w:w="1956" w:type="dxa"/>
            <w:vAlign w:val="center"/>
          </w:tcPr>
          <w:p w:rsidR="000D684F" w:rsidP="00AE28CC">
            <w:pPr>
              <w:jc w:val="center"/>
            </w:pPr>
            <w:r>
              <w:t>2021-01-23</w:t>
            </w:r>
          </w:p>
        </w:tc>
      </w:tr>
      <w:tr w:rsidTr="00AE28CC">
        <w:tblPrEx>
          <w:tblW w:w="8917" w:type="dxa"/>
          <w:tblInd w:w="93" w:type="dxa"/>
          <w:tblLook w:val="04A0"/>
        </w:tblPrEx>
        <w:tc>
          <w:tcPr>
            <w:tcW w:w="6961" w:type="dxa"/>
          </w:tcPr>
          <w:p w:rsidR="000D684F">
            <w:pPr>
              <w:jc w:val="left"/>
            </w:pPr>
            <w:r>
              <w:t>易方达基金管理有限公司旗下部分</w:t>
            </w:r>
            <w:r>
              <w:t>ETF</w:t>
            </w:r>
            <w:r>
              <w:t>增加东方证券为申购赎回代办证券公司的公告</w:t>
            </w:r>
          </w:p>
        </w:tc>
        <w:tc>
          <w:tcPr>
            <w:tcW w:w="1956" w:type="dxa"/>
            <w:vAlign w:val="center"/>
          </w:tcPr>
          <w:p w:rsidR="000D684F" w:rsidP="00AE28CC">
            <w:pPr>
              <w:jc w:val="center"/>
            </w:pPr>
            <w:r>
              <w:t>2021-03-03</w:t>
            </w:r>
          </w:p>
        </w:tc>
      </w:tr>
      <w:tr w:rsidTr="00AE28CC">
        <w:tblPrEx>
          <w:tblW w:w="8917" w:type="dxa"/>
          <w:tblInd w:w="93" w:type="dxa"/>
          <w:tblLook w:val="04A0"/>
        </w:tblPrEx>
        <w:tc>
          <w:tcPr>
            <w:tcW w:w="6961" w:type="dxa"/>
          </w:tcPr>
          <w:p w:rsidR="000D684F">
            <w:pPr>
              <w:jc w:val="left"/>
            </w:pPr>
            <w:r>
              <w:t>易方达基金管理有限公司旗下部分</w:t>
            </w:r>
            <w:r>
              <w:t>ETF</w:t>
            </w:r>
            <w:r>
              <w:t>增加第一创业证券为申购赎回代办证券公司的公告</w:t>
            </w:r>
          </w:p>
        </w:tc>
        <w:tc>
          <w:tcPr>
            <w:tcW w:w="1956" w:type="dxa"/>
            <w:vAlign w:val="center"/>
          </w:tcPr>
          <w:p w:rsidR="000D684F" w:rsidP="00AE28CC">
            <w:pPr>
              <w:jc w:val="center"/>
            </w:pPr>
            <w:r>
              <w:t>2021-03-29</w:t>
            </w:r>
          </w:p>
        </w:tc>
      </w:tr>
      <w:tr w:rsidTr="00AE28CC">
        <w:tblPrEx>
          <w:tblW w:w="8917" w:type="dxa"/>
          <w:tblInd w:w="93" w:type="dxa"/>
          <w:tblLook w:val="04A0"/>
        </w:tblPrEx>
        <w:tc>
          <w:tcPr>
            <w:tcW w:w="6961" w:type="dxa"/>
          </w:tcPr>
          <w:p w:rsidR="000D684F">
            <w:pPr>
              <w:jc w:val="left"/>
            </w:pPr>
            <w:r>
              <w:t>易方达基金管理有限公司关于旗下部分基金根据《公开募集证券投资基金运作指引第</w:t>
            </w:r>
            <w:r>
              <w:t>3</w:t>
            </w:r>
            <w:r>
              <w:t>号</w:t>
            </w:r>
            <w:r>
              <w:t>——</w:t>
            </w:r>
            <w:r>
              <w:t>指数基金指引》修改基金合同部分条款的公告</w:t>
            </w:r>
          </w:p>
        </w:tc>
        <w:tc>
          <w:tcPr>
            <w:tcW w:w="1956" w:type="dxa"/>
            <w:vAlign w:val="center"/>
          </w:tcPr>
          <w:p w:rsidR="000D684F" w:rsidP="00AE28CC">
            <w:pPr>
              <w:jc w:val="center"/>
            </w:pPr>
            <w:r>
              <w:t>2021-03-30</w:t>
            </w:r>
          </w:p>
        </w:tc>
      </w:tr>
      <w:tr w:rsidTr="00AE28CC">
        <w:tblPrEx>
          <w:tblW w:w="8917" w:type="dxa"/>
          <w:tblInd w:w="93" w:type="dxa"/>
          <w:tblLook w:val="04A0"/>
        </w:tblPrEx>
        <w:tc>
          <w:tcPr>
            <w:tcW w:w="6961" w:type="dxa"/>
          </w:tcPr>
          <w:p w:rsidR="000D684F">
            <w:pPr>
              <w:jc w:val="left"/>
            </w:pPr>
            <w:r>
              <w:t>易方达基金管理有限公司旗下基金</w:t>
            </w:r>
            <w:r>
              <w:t>2020</w:t>
            </w:r>
            <w:r>
              <w:t>年年度报告提示性公告</w:t>
            </w:r>
          </w:p>
        </w:tc>
        <w:tc>
          <w:tcPr>
            <w:tcW w:w="1956" w:type="dxa"/>
            <w:vAlign w:val="center"/>
          </w:tcPr>
          <w:p w:rsidR="000D684F" w:rsidP="00AE28CC">
            <w:pPr>
              <w:jc w:val="center"/>
            </w:pPr>
            <w:r>
              <w:t>2021-03-30</w:t>
            </w:r>
          </w:p>
        </w:tc>
      </w:tr>
      <w:tr w:rsidTr="00AE28CC">
        <w:tblPrEx>
          <w:tblW w:w="8917" w:type="dxa"/>
          <w:tblInd w:w="93" w:type="dxa"/>
          <w:tblLook w:val="04A0"/>
        </w:tblPrEx>
        <w:tc>
          <w:tcPr>
            <w:tcW w:w="6961" w:type="dxa"/>
          </w:tcPr>
          <w:p w:rsidR="000D684F">
            <w:pPr>
              <w:jc w:val="left"/>
            </w:pPr>
            <w:r>
              <w:t>易方达基金管理有限公司关于提醒投资者及时提供或更新身份信息资料的公告</w:t>
            </w:r>
          </w:p>
        </w:tc>
        <w:tc>
          <w:tcPr>
            <w:tcW w:w="1956" w:type="dxa"/>
            <w:vAlign w:val="center"/>
          </w:tcPr>
          <w:p w:rsidR="000D684F" w:rsidP="00AE28CC">
            <w:pPr>
              <w:jc w:val="center"/>
            </w:pPr>
            <w:r>
              <w:t>2021-04-02</w:t>
            </w:r>
          </w:p>
        </w:tc>
      </w:tr>
      <w:tr w:rsidTr="00AE28CC">
        <w:tblPrEx>
          <w:tblW w:w="8917" w:type="dxa"/>
          <w:tblInd w:w="93" w:type="dxa"/>
          <w:tblLook w:val="04A0"/>
        </w:tblPrEx>
        <w:tc>
          <w:tcPr>
            <w:tcW w:w="6961" w:type="dxa"/>
          </w:tcPr>
          <w:p w:rsidR="000D684F">
            <w:pPr>
              <w:jc w:val="left"/>
            </w:pPr>
            <w:r>
              <w:t>易方达基金管理有限公司旗下部分</w:t>
            </w:r>
            <w:r>
              <w:t>ETF</w:t>
            </w:r>
            <w:r>
              <w:t>增加南京证券为申购赎回代办证券公司的公告</w:t>
            </w:r>
          </w:p>
        </w:tc>
        <w:tc>
          <w:tcPr>
            <w:tcW w:w="1956" w:type="dxa"/>
            <w:vAlign w:val="center"/>
          </w:tcPr>
          <w:p w:rsidR="000D684F" w:rsidP="00AE28CC">
            <w:pPr>
              <w:jc w:val="center"/>
            </w:pPr>
            <w:r>
              <w:t>2021-04-06</w:t>
            </w:r>
          </w:p>
        </w:tc>
      </w:tr>
      <w:tr w:rsidTr="00AE28CC">
        <w:tblPrEx>
          <w:tblW w:w="8917" w:type="dxa"/>
          <w:tblInd w:w="93" w:type="dxa"/>
          <w:tblLook w:val="04A0"/>
        </w:tblPrEx>
        <w:tc>
          <w:tcPr>
            <w:tcW w:w="6961" w:type="dxa"/>
          </w:tcPr>
          <w:p w:rsidR="000D684F">
            <w:pPr>
              <w:jc w:val="left"/>
            </w:pPr>
            <w:r>
              <w:t>易方达基金管理有限公司关于易方达中证科技</w:t>
            </w:r>
            <w:r>
              <w:t>50</w:t>
            </w:r>
            <w:r>
              <w:t>交易型开放式指数证券投资基金流动性服务商的公告</w:t>
            </w:r>
          </w:p>
        </w:tc>
        <w:tc>
          <w:tcPr>
            <w:tcW w:w="1956" w:type="dxa"/>
            <w:vAlign w:val="center"/>
          </w:tcPr>
          <w:p w:rsidR="000D684F" w:rsidP="00AE28CC">
            <w:pPr>
              <w:jc w:val="center"/>
            </w:pPr>
            <w:r>
              <w:t>2021-04-14</w:t>
            </w:r>
          </w:p>
        </w:tc>
      </w:tr>
      <w:tr w:rsidTr="00AE28CC">
        <w:tblPrEx>
          <w:tblW w:w="8917" w:type="dxa"/>
          <w:tblInd w:w="93" w:type="dxa"/>
          <w:tblLook w:val="04A0"/>
        </w:tblPrEx>
        <w:tc>
          <w:tcPr>
            <w:tcW w:w="6961" w:type="dxa"/>
          </w:tcPr>
          <w:p w:rsidR="000D684F">
            <w:pPr>
              <w:jc w:val="left"/>
            </w:pPr>
            <w:r>
              <w:t>易方达基金管理有限公司旗下基金</w:t>
            </w:r>
            <w:r>
              <w:t>2021</w:t>
            </w:r>
            <w:r>
              <w:t>年第</w:t>
            </w:r>
            <w:r>
              <w:t>1</w:t>
            </w:r>
            <w:r>
              <w:t>季度报告提示性公告</w:t>
            </w:r>
          </w:p>
        </w:tc>
        <w:tc>
          <w:tcPr>
            <w:tcW w:w="1956" w:type="dxa"/>
            <w:vAlign w:val="center"/>
          </w:tcPr>
          <w:p w:rsidR="000D684F" w:rsidP="00AE28CC">
            <w:pPr>
              <w:jc w:val="center"/>
            </w:pPr>
            <w:r>
              <w:t>2021-04-19</w:t>
            </w:r>
          </w:p>
        </w:tc>
      </w:tr>
      <w:tr w:rsidTr="00AE28CC">
        <w:tblPrEx>
          <w:tblW w:w="8917" w:type="dxa"/>
          <w:tblInd w:w="93" w:type="dxa"/>
          <w:tblLook w:val="04A0"/>
        </w:tblPrEx>
        <w:tc>
          <w:tcPr>
            <w:tcW w:w="6961" w:type="dxa"/>
          </w:tcPr>
          <w:p w:rsidR="000D684F">
            <w:pPr>
              <w:jc w:val="left"/>
            </w:pPr>
            <w:r>
              <w:t>易方达中证科技</w:t>
            </w:r>
            <w:r>
              <w:t>50</w:t>
            </w:r>
            <w:r>
              <w:t>交易型开放式指数证券投资基金增加东吴证券为申购赎回代办证券公司的公告</w:t>
            </w:r>
          </w:p>
        </w:tc>
        <w:tc>
          <w:tcPr>
            <w:tcW w:w="1956" w:type="dxa"/>
            <w:vAlign w:val="center"/>
          </w:tcPr>
          <w:p w:rsidR="000D684F" w:rsidP="00AE28CC">
            <w:pPr>
              <w:jc w:val="center"/>
            </w:pPr>
            <w:r>
              <w:t>2021-05-17</w:t>
            </w:r>
          </w:p>
        </w:tc>
      </w:tr>
      <w:tr w:rsidTr="00AE28CC">
        <w:tblPrEx>
          <w:tblW w:w="8917" w:type="dxa"/>
          <w:tblInd w:w="93" w:type="dxa"/>
          <w:tblLook w:val="04A0"/>
        </w:tblPrEx>
        <w:tc>
          <w:tcPr>
            <w:tcW w:w="6961" w:type="dxa"/>
          </w:tcPr>
          <w:p w:rsidR="000D684F">
            <w:pPr>
              <w:jc w:val="left"/>
            </w:pPr>
            <w:r>
              <w:t>易方达基金管理有限公司关于易方达中证科技</w:t>
            </w:r>
            <w:r>
              <w:t>50</w:t>
            </w:r>
            <w:r>
              <w:t>交易型开放式指数证券投资基金实施基金份额拆分业务的公告</w:t>
            </w:r>
          </w:p>
        </w:tc>
        <w:tc>
          <w:tcPr>
            <w:tcW w:w="1956" w:type="dxa"/>
            <w:vAlign w:val="center"/>
          </w:tcPr>
          <w:p w:rsidR="000D684F" w:rsidP="00AE28CC">
            <w:pPr>
              <w:jc w:val="center"/>
            </w:pPr>
            <w:r>
              <w:t>2021-06-15</w:t>
            </w:r>
          </w:p>
        </w:tc>
      </w:tr>
      <w:tr w:rsidTr="00AE28CC">
        <w:tblPrEx>
          <w:tblW w:w="8917" w:type="dxa"/>
          <w:tblInd w:w="93" w:type="dxa"/>
          <w:tblLook w:val="04A0"/>
        </w:tblPrEx>
        <w:tc>
          <w:tcPr>
            <w:tcW w:w="6961" w:type="dxa"/>
          </w:tcPr>
          <w:p w:rsidR="000D684F">
            <w:pPr>
              <w:jc w:val="left"/>
            </w:pPr>
            <w:r>
              <w:t>易方达基金管理有限公司关于易方达中证科技</w:t>
            </w:r>
            <w:r>
              <w:t>50</w:t>
            </w:r>
            <w:r>
              <w:t>交易型开放式指数证券投资基金基金份额拆分结果的公告</w:t>
            </w:r>
          </w:p>
        </w:tc>
        <w:tc>
          <w:tcPr>
            <w:tcW w:w="1956" w:type="dxa"/>
            <w:vAlign w:val="center"/>
          </w:tcPr>
          <w:p w:rsidR="000D684F" w:rsidP="00AE28CC">
            <w:pPr>
              <w:jc w:val="center"/>
            </w:pPr>
            <w:r>
              <w:t>2021-06-21</w:t>
            </w:r>
          </w:p>
        </w:tc>
      </w:tr>
      <w:tr w:rsidTr="00AE28CC">
        <w:tblPrEx>
          <w:tblW w:w="8917" w:type="dxa"/>
          <w:tblInd w:w="93" w:type="dxa"/>
          <w:tblLook w:val="04A0"/>
        </w:tblPrEx>
        <w:tc>
          <w:tcPr>
            <w:tcW w:w="6961" w:type="dxa"/>
          </w:tcPr>
          <w:p w:rsidR="000D684F">
            <w:pPr>
              <w:jc w:val="left"/>
            </w:pPr>
            <w:r>
              <w:t>易方达基金管理有限公司旗下部分</w:t>
            </w:r>
            <w:r>
              <w:t>ETF</w:t>
            </w:r>
            <w:r>
              <w:t>增加中金财富为申购赎回代办证券公司的公告</w:t>
            </w:r>
          </w:p>
        </w:tc>
        <w:tc>
          <w:tcPr>
            <w:tcW w:w="1956" w:type="dxa"/>
            <w:vAlign w:val="center"/>
          </w:tcPr>
          <w:p w:rsidR="000D684F" w:rsidP="00AE28CC">
            <w:pPr>
              <w:jc w:val="center"/>
            </w:pPr>
            <w:r>
              <w:t>2021-07-08</w:t>
            </w:r>
          </w:p>
        </w:tc>
      </w:tr>
      <w:tr w:rsidTr="00AE28CC">
        <w:tblPrEx>
          <w:tblW w:w="8917" w:type="dxa"/>
          <w:tblInd w:w="93" w:type="dxa"/>
          <w:tblLook w:val="04A0"/>
        </w:tblPrEx>
        <w:tc>
          <w:tcPr>
            <w:tcW w:w="6961" w:type="dxa"/>
          </w:tcPr>
          <w:p w:rsidR="000D684F">
            <w:pPr>
              <w:jc w:val="left"/>
            </w:pPr>
            <w:r>
              <w:t>易方达基金管理有限公司高级管理人员变更公告</w:t>
            </w:r>
          </w:p>
        </w:tc>
        <w:tc>
          <w:tcPr>
            <w:tcW w:w="1956" w:type="dxa"/>
            <w:vAlign w:val="center"/>
          </w:tcPr>
          <w:p w:rsidR="000D684F" w:rsidP="00AE28CC">
            <w:pPr>
              <w:jc w:val="center"/>
            </w:pPr>
            <w:r>
              <w:t>2021-07-17</w:t>
            </w:r>
          </w:p>
        </w:tc>
      </w:tr>
      <w:tr w:rsidTr="00AE28CC">
        <w:tblPrEx>
          <w:tblW w:w="8917" w:type="dxa"/>
          <w:tblInd w:w="93" w:type="dxa"/>
          <w:tblLook w:val="04A0"/>
        </w:tblPrEx>
        <w:tc>
          <w:tcPr>
            <w:tcW w:w="6961" w:type="dxa"/>
          </w:tcPr>
          <w:p w:rsidR="000D684F">
            <w:pPr>
              <w:jc w:val="left"/>
            </w:pPr>
            <w:r>
              <w:t>易方达基金管理有限公司旗下基金</w:t>
            </w:r>
            <w:r>
              <w:t>2021</w:t>
            </w:r>
            <w:r>
              <w:t>年第</w:t>
            </w:r>
            <w:r>
              <w:t>2</w:t>
            </w:r>
            <w:r>
              <w:t>季度报告提示性公告</w:t>
            </w:r>
          </w:p>
        </w:tc>
        <w:tc>
          <w:tcPr>
            <w:tcW w:w="1956" w:type="dxa"/>
            <w:vAlign w:val="center"/>
          </w:tcPr>
          <w:p w:rsidR="000D684F" w:rsidP="00AE28CC">
            <w:pPr>
              <w:jc w:val="center"/>
            </w:pPr>
            <w:r>
              <w:t>2021-07-20</w:t>
            </w:r>
          </w:p>
        </w:tc>
      </w:tr>
      <w:tr w:rsidTr="00AE28CC">
        <w:tblPrEx>
          <w:tblW w:w="8917" w:type="dxa"/>
          <w:tblInd w:w="93" w:type="dxa"/>
          <w:tblLook w:val="04A0"/>
        </w:tblPrEx>
        <w:tc>
          <w:tcPr>
            <w:tcW w:w="6961" w:type="dxa"/>
          </w:tcPr>
          <w:p w:rsidR="000D684F">
            <w:pPr>
              <w:jc w:val="left"/>
            </w:pPr>
            <w:r>
              <w:t>易方达基金管理有限公司高级管理人员变更公告</w:t>
            </w:r>
          </w:p>
        </w:tc>
        <w:tc>
          <w:tcPr>
            <w:tcW w:w="1956" w:type="dxa"/>
            <w:vAlign w:val="center"/>
          </w:tcPr>
          <w:p w:rsidR="000D684F" w:rsidP="00AE28CC">
            <w:pPr>
              <w:jc w:val="center"/>
            </w:pPr>
            <w:r>
              <w:t>2021-07-24</w:t>
            </w:r>
          </w:p>
        </w:tc>
      </w:tr>
      <w:tr w:rsidTr="00AE28CC">
        <w:tblPrEx>
          <w:tblW w:w="8917" w:type="dxa"/>
          <w:tblInd w:w="93" w:type="dxa"/>
          <w:tblLook w:val="04A0"/>
        </w:tblPrEx>
        <w:tc>
          <w:tcPr>
            <w:tcW w:w="6961" w:type="dxa"/>
          </w:tcPr>
          <w:p w:rsidR="000D684F">
            <w:pPr>
              <w:jc w:val="left"/>
            </w:pPr>
            <w:r>
              <w:t>易方达基金管理有限公司高级管理人员变更公告</w:t>
            </w:r>
          </w:p>
        </w:tc>
        <w:tc>
          <w:tcPr>
            <w:tcW w:w="1956" w:type="dxa"/>
            <w:vAlign w:val="center"/>
          </w:tcPr>
          <w:p w:rsidR="000D684F" w:rsidP="00AE28CC">
            <w:pPr>
              <w:jc w:val="center"/>
            </w:pPr>
            <w:r>
              <w:t>2021-07-24</w:t>
            </w:r>
          </w:p>
        </w:tc>
      </w:tr>
      <w:tr w:rsidTr="00AE28CC">
        <w:tblPrEx>
          <w:tblW w:w="8917" w:type="dxa"/>
          <w:tblInd w:w="93" w:type="dxa"/>
          <w:tblLook w:val="04A0"/>
        </w:tblPrEx>
        <w:tc>
          <w:tcPr>
            <w:tcW w:w="6961" w:type="dxa"/>
          </w:tcPr>
          <w:p w:rsidR="000D684F">
            <w:pPr>
              <w:jc w:val="left"/>
            </w:pPr>
            <w:r>
              <w:t>易方达基金管理有限公司关于旗下基金申购正元地理信息集团股份有限公司首次公开发行股票的公告</w:t>
            </w:r>
          </w:p>
        </w:tc>
        <w:tc>
          <w:tcPr>
            <w:tcW w:w="1956" w:type="dxa"/>
            <w:vAlign w:val="center"/>
          </w:tcPr>
          <w:p w:rsidR="000D684F" w:rsidP="00AE28CC">
            <w:pPr>
              <w:jc w:val="center"/>
            </w:pPr>
            <w:r>
              <w:t>2021-07-28</w:t>
            </w:r>
          </w:p>
        </w:tc>
      </w:tr>
      <w:tr w:rsidTr="00AE28CC">
        <w:tblPrEx>
          <w:tblW w:w="8917" w:type="dxa"/>
          <w:tblInd w:w="93" w:type="dxa"/>
          <w:tblLook w:val="04A0"/>
        </w:tblPrEx>
        <w:tc>
          <w:tcPr>
            <w:tcW w:w="6961" w:type="dxa"/>
          </w:tcPr>
          <w:p w:rsidR="000D684F">
            <w:pPr>
              <w:jc w:val="left"/>
            </w:pPr>
            <w:r>
              <w:t>易方达基金管理有限公司关于南京分公司营业场所变更的公告</w:t>
            </w:r>
          </w:p>
        </w:tc>
        <w:tc>
          <w:tcPr>
            <w:tcW w:w="1956" w:type="dxa"/>
            <w:vAlign w:val="center"/>
          </w:tcPr>
          <w:p w:rsidR="000D684F" w:rsidP="00AE28CC">
            <w:pPr>
              <w:jc w:val="center"/>
            </w:pPr>
            <w:r>
              <w:t>2021-07-28</w:t>
            </w:r>
          </w:p>
        </w:tc>
      </w:tr>
      <w:tr w:rsidTr="00AE28CC">
        <w:tblPrEx>
          <w:tblW w:w="8917" w:type="dxa"/>
          <w:tblInd w:w="93" w:type="dxa"/>
          <w:tblLook w:val="04A0"/>
        </w:tblPrEx>
        <w:tc>
          <w:tcPr>
            <w:tcW w:w="6961" w:type="dxa"/>
          </w:tcPr>
          <w:p w:rsidR="000D684F">
            <w:pPr>
              <w:jc w:val="left"/>
            </w:pPr>
            <w:r>
              <w:t>易方达基金管理有限公司高级管理人员变更公告</w:t>
            </w:r>
          </w:p>
        </w:tc>
        <w:tc>
          <w:tcPr>
            <w:tcW w:w="1956" w:type="dxa"/>
            <w:vAlign w:val="center"/>
          </w:tcPr>
          <w:p w:rsidR="000D684F" w:rsidP="00AE28CC">
            <w:pPr>
              <w:jc w:val="center"/>
            </w:pPr>
            <w:r>
              <w:t>2021-07-30</w:t>
            </w:r>
          </w:p>
        </w:tc>
      </w:tr>
      <w:tr w:rsidTr="00AE28CC">
        <w:tblPrEx>
          <w:tblW w:w="8917" w:type="dxa"/>
          <w:tblInd w:w="93" w:type="dxa"/>
          <w:tblLook w:val="04A0"/>
        </w:tblPrEx>
        <w:tc>
          <w:tcPr>
            <w:tcW w:w="6961" w:type="dxa"/>
          </w:tcPr>
          <w:p w:rsidR="000D684F">
            <w:pPr>
              <w:jc w:val="left"/>
            </w:pPr>
            <w:r>
              <w:t>易方达基金管理有限公司关于旗下深交所基金新增扩位简称的公告</w:t>
            </w:r>
          </w:p>
        </w:tc>
        <w:tc>
          <w:tcPr>
            <w:tcW w:w="1956" w:type="dxa"/>
            <w:vAlign w:val="center"/>
          </w:tcPr>
          <w:p w:rsidR="000D684F" w:rsidP="00AE28CC">
            <w:pPr>
              <w:jc w:val="center"/>
            </w:pPr>
            <w:r>
              <w:t>2021-08-21</w:t>
            </w:r>
          </w:p>
        </w:tc>
      </w:tr>
      <w:tr w:rsidTr="00AE28CC">
        <w:tblPrEx>
          <w:tblW w:w="8917" w:type="dxa"/>
          <w:tblInd w:w="93" w:type="dxa"/>
          <w:tblLook w:val="04A0"/>
        </w:tblPrEx>
        <w:tc>
          <w:tcPr>
            <w:tcW w:w="6961" w:type="dxa"/>
          </w:tcPr>
          <w:p w:rsidR="000D684F">
            <w:pPr>
              <w:jc w:val="left"/>
            </w:pPr>
            <w:r>
              <w:t>易方达基金管理有限公司旗下基金</w:t>
            </w:r>
            <w:r>
              <w:t>2021</w:t>
            </w:r>
            <w:r>
              <w:t>年中期报告提示性公告</w:t>
            </w:r>
          </w:p>
        </w:tc>
        <w:tc>
          <w:tcPr>
            <w:tcW w:w="1956" w:type="dxa"/>
            <w:vAlign w:val="center"/>
          </w:tcPr>
          <w:p w:rsidR="000D684F" w:rsidP="00AE28CC">
            <w:pPr>
              <w:jc w:val="center"/>
            </w:pPr>
            <w:r>
              <w:t>2021-08-28</w:t>
            </w:r>
          </w:p>
        </w:tc>
      </w:tr>
      <w:tr w:rsidTr="00AE28CC">
        <w:tblPrEx>
          <w:tblW w:w="8917" w:type="dxa"/>
          <w:tblInd w:w="93" w:type="dxa"/>
          <w:tblLook w:val="04A0"/>
        </w:tblPrEx>
        <w:tc>
          <w:tcPr>
            <w:tcW w:w="6961" w:type="dxa"/>
          </w:tcPr>
          <w:p w:rsidR="000D684F">
            <w:pPr>
              <w:jc w:val="left"/>
            </w:pPr>
            <w:r>
              <w:t>易方达基金管理有限公司旗下部分</w:t>
            </w:r>
            <w:r>
              <w:t>ETF</w:t>
            </w:r>
            <w:r>
              <w:t>增加东方财富证券为申购赎回代办证券公司的公告</w:t>
            </w:r>
          </w:p>
        </w:tc>
        <w:tc>
          <w:tcPr>
            <w:tcW w:w="1956" w:type="dxa"/>
            <w:vAlign w:val="center"/>
          </w:tcPr>
          <w:p w:rsidR="000D684F" w:rsidP="00AE28CC">
            <w:pPr>
              <w:jc w:val="center"/>
            </w:pPr>
            <w:r>
              <w:t>2021-09-17</w:t>
            </w:r>
          </w:p>
        </w:tc>
      </w:tr>
      <w:tr w:rsidTr="00AE28CC">
        <w:tblPrEx>
          <w:tblW w:w="8917" w:type="dxa"/>
          <w:tblInd w:w="93" w:type="dxa"/>
          <w:tblLook w:val="04A0"/>
        </w:tblPrEx>
        <w:tc>
          <w:tcPr>
            <w:tcW w:w="6961" w:type="dxa"/>
          </w:tcPr>
          <w:p w:rsidR="000D684F">
            <w:pPr>
              <w:jc w:val="left"/>
            </w:pPr>
            <w:r>
              <w:t>易方达基金管理有限公司关于易方达中证科技</w:t>
            </w:r>
            <w:r>
              <w:t>50</w:t>
            </w:r>
            <w:r>
              <w:t>交易型开放式指数证券投资基金流动性服务商的公告</w:t>
            </w:r>
          </w:p>
        </w:tc>
        <w:tc>
          <w:tcPr>
            <w:tcW w:w="1956" w:type="dxa"/>
            <w:vAlign w:val="center"/>
          </w:tcPr>
          <w:p w:rsidR="000D684F" w:rsidP="00AE28CC">
            <w:pPr>
              <w:jc w:val="center"/>
            </w:pPr>
            <w:r>
              <w:t>2021-10-20</w:t>
            </w:r>
          </w:p>
        </w:tc>
      </w:tr>
      <w:tr w:rsidTr="00AE28CC">
        <w:tblPrEx>
          <w:tblW w:w="8917" w:type="dxa"/>
          <w:tblInd w:w="93" w:type="dxa"/>
          <w:tblLook w:val="04A0"/>
        </w:tblPrEx>
        <w:tc>
          <w:tcPr>
            <w:tcW w:w="6961" w:type="dxa"/>
          </w:tcPr>
          <w:p w:rsidR="000D684F">
            <w:pPr>
              <w:jc w:val="left"/>
            </w:pPr>
            <w:r>
              <w:t>易方达基金管理有限公司关于旗下部分公开募集证券投资基金可投资于北京证券交易所股票的公告</w:t>
            </w:r>
          </w:p>
        </w:tc>
        <w:tc>
          <w:tcPr>
            <w:tcW w:w="1956" w:type="dxa"/>
            <w:vAlign w:val="center"/>
          </w:tcPr>
          <w:p w:rsidR="000D684F" w:rsidP="00AE28CC">
            <w:pPr>
              <w:jc w:val="center"/>
            </w:pPr>
            <w:r>
              <w:t>2021-11-15</w:t>
            </w:r>
          </w:p>
        </w:tc>
      </w:tr>
    </w:tbl>
    <w:p w:rsidR="0094789B" w:rsidRPr="001F61B7" w:rsidP="00C94D2B">
      <w:pPr>
        <w:pStyle w:val="BodyTextFirstIndent"/>
        <w:tabs>
          <w:tab w:val="left" w:pos="3544"/>
        </w:tabs>
        <w:autoSpaceDE w:val="0"/>
        <w:autoSpaceDN w:val="0"/>
        <w:spacing w:after="0" w:line="360" w:lineRule="auto"/>
        <w:ind w:firstLine="420" w:firstLineChars="200"/>
        <w:rPr>
          <w:rFonts w:asciiTheme="minorEastAsia" w:eastAsiaTheme="minorEastAsia" w:hAnsiTheme="minorEastAsia"/>
          <w:color w:val="000000" w:themeColor="text1"/>
        </w:rPr>
      </w:pPr>
      <w:r w:rsidRPr="001F61B7">
        <w:rPr>
          <w:rFonts w:asciiTheme="minorEastAsia" w:eastAsiaTheme="minorEastAsia" w:hAnsiTheme="minorEastAsia" w:hint="eastAsia"/>
          <w:color w:val="000000" w:themeColor="text1"/>
        </w:rPr>
        <w:t>注：以上公告事项披露在</w:t>
      </w:r>
      <w:r w:rsidRPr="001F61B7" w:rsidR="00C94D2B">
        <w:rPr>
          <w:rFonts w:asciiTheme="minorEastAsia" w:eastAsiaTheme="minorEastAsia" w:hAnsiTheme="minorEastAsia" w:hint="eastAsia"/>
          <w:color w:val="000000" w:themeColor="text1"/>
        </w:rPr>
        <w:t>规</w:t>
      </w:r>
      <w:r w:rsidRPr="001F61B7">
        <w:rPr>
          <w:rFonts w:asciiTheme="minorEastAsia" w:eastAsiaTheme="minorEastAsia" w:hAnsiTheme="minorEastAsia" w:hint="eastAsia"/>
          <w:color w:val="000000" w:themeColor="text1"/>
        </w:rPr>
        <w:t>定媒介及基金管理人网站上。</w:t>
      </w:r>
    </w:p>
    <w:p w:rsidR="0094789B" w:rsidRPr="001F61B7" w:rsidP="00C42A18">
      <w:pPr>
        <w:tabs>
          <w:tab w:val="left" w:pos="3544"/>
        </w:tabs>
        <w:spacing w:line="400" w:lineRule="exact"/>
        <w:ind w:firstLine="420"/>
        <w:rPr>
          <w:rFonts w:asciiTheme="minorEastAsia" w:eastAsiaTheme="minorEastAsia" w:hAnsiTheme="minorEastAsia"/>
          <w:color w:val="000000" w:themeColor="text1"/>
        </w:rPr>
      </w:pPr>
    </w:p>
    <w:p w:rsidR="0094789B" w:rsidRPr="001F61B7" w:rsidP="00C42A18">
      <w:pPr>
        <w:tabs>
          <w:tab w:val="left" w:pos="3544"/>
        </w:tabs>
        <w:spacing w:line="400" w:lineRule="exact"/>
        <w:ind w:firstLine="420"/>
        <w:rPr>
          <w:rFonts w:asciiTheme="minorEastAsia" w:eastAsiaTheme="minorEastAsia" w:hAnsiTheme="minorEastAsia"/>
          <w:color w:val="000000" w:themeColor="text1"/>
        </w:rPr>
      </w:pPr>
    </w:p>
    <w:p w:rsidR="0094789B" w:rsidRPr="001F61B7" w:rsidP="00C42A18">
      <w:pPr>
        <w:tabs>
          <w:tab w:val="left" w:pos="3544"/>
        </w:tabs>
        <w:spacing w:line="400" w:lineRule="exact"/>
        <w:ind w:firstLine="420"/>
        <w:rPr>
          <w:rFonts w:asciiTheme="minorEastAsia" w:eastAsiaTheme="minorEastAsia" w:hAnsiTheme="minorEastAsia"/>
          <w:color w:val="000000" w:themeColor="text1"/>
        </w:rPr>
        <w:sectPr w:rsidSect="00C94D2B">
          <w:pgSz w:w="11906" w:h="16838" w:code="9"/>
          <w:pgMar w:top="1440" w:right="1800" w:bottom="1440" w:left="1800" w:header="851" w:footer="992" w:gutter="0"/>
          <w:cols w:space="720"/>
          <w:docGrid w:type="lines" w:linePitch="317"/>
        </w:sectPr>
      </w:pPr>
    </w:p>
    <w:p w:rsidR="00BA4B87" w:rsidRPr="001F61B7" w:rsidP="00AE28CC">
      <w:pPr>
        <w:pStyle w:val="Heading1"/>
        <w:tabs>
          <w:tab w:val="left" w:pos="2340"/>
          <w:tab w:val="center" w:pos="4150"/>
        </w:tabs>
        <w:spacing w:before="317" w:after="317" w:line="360" w:lineRule="auto"/>
        <w:ind w:firstLine="0" w:firstLineChars="0"/>
        <w:rPr>
          <w:rFonts w:asciiTheme="minorEastAsia" w:eastAsiaTheme="minorEastAsia" w:hAnsiTheme="minorEastAsia"/>
          <w:bCs/>
          <w:color w:val="000000" w:themeColor="text1"/>
          <w:szCs w:val="20"/>
        </w:rPr>
      </w:pPr>
      <w:bookmarkStart w:id="80" w:name="_Toc80796289"/>
      <w:r w:rsidRPr="001F61B7">
        <w:rPr>
          <w:rFonts w:asciiTheme="minorEastAsia" w:eastAsiaTheme="minorEastAsia" w:hAnsiTheme="minorEastAsia"/>
          <w:color w:val="000000" w:themeColor="text1"/>
          <w:sz w:val="30"/>
        </w:rPr>
        <w:t>二</w:t>
      </w:r>
      <w:bookmarkStart w:id="81" w:name="_Toc332373593"/>
      <w:r w:rsidRPr="001F61B7">
        <w:rPr>
          <w:rFonts w:asciiTheme="minorEastAsia" w:eastAsiaTheme="minorEastAsia" w:hAnsiTheme="minorEastAsia"/>
          <w:color w:val="000000" w:themeColor="text1"/>
          <w:sz w:val="30"/>
        </w:rPr>
        <w:t>十</w:t>
      </w:r>
      <w:r w:rsidRPr="001F61B7" w:rsidR="006174FD">
        <w:rPr>
          <w:rFonts w:asciiTheme="minorEastAsia" w:eastAsiaTheme="minorEastAsia" w:hAnsiTheme="minorEastAsia"/>
          <w:color w:val="000000" w:themeColor="text1"/>
          <w:sz w:val="30"/>
        </w:rPr>
        <w:t>五</w:t>
      </w:r>
      <w:r w:rsidRPr="001F61B7">
        <w:rPr>
          <w:rFonts w:asciiTheme="minorEastAsia" w:eastAsiaTheme="minorEastAsia" w:hAnsiTheme="minorEastAsia"/>
          <w:color w:val="000000" w:themeColor="text1"/>
          <w:sz w:val="30"/>
        </w:rPr>
        <w:t>、招募说明书的存放及查阅方式</w:t>
      </w:r>
      <w:bookmarkEnd w:id="80"/>
    </w:p>
    <w:bookmarkEnd w:id="81"/>
    <w:p w:rsidR="007C0644" w:rsidRPr="001F61B7" w:rsidP="00C42A18">
      <w:pPr>
        <w:tabs>
          <w:tab w:val="left" w:pos="3544"/>
        </w:tabs>
        <w:spacing w:line="360" w:lineRule="auto"/>
        <w:ind w:firstLine="420" w:firstLineChars="200"/>
        <w:rPr>
          <w:rFonts w:asciiTheme="minorEastAsia" w:eastAsiaTheme="minorEastAsia" w:hAnsiTheme="minorEastAsia"/>
          <w:color w:val="000000" w:themeColor="text1"/>
        </w:rPr>
      </w:pPr>
      <w:r w:rsidRPr="001F61B7">
        <w:rPr>
          <w:rFonts w:asciiTheme="minorEastAsia" w:eastAsiaTheme="minorEastAsia" w:hAnsiTheme="minorEastAsia"/>
          <w:color w:val="000000" w:themeColor="text1"/>
        </w:rPr>
        <w:t>本招募说明书存放在基金管理人、基金托管人及其他基金销售机构处。投资者可在营业时间免费查阅，也可按工本费购买复印件。基金管理人和基金托管人保证文本的内容与公告的内容完全一致</w:t>
      </w:r>
      <w:r w:rsidRPr="001F61B7" w:rsidR="00BA4B87">
        <w:rPr>
          <w:rFonts w:asciiTheme="minorEastAsia" w:eastAsiaTheme="minorEastAsia" w:hAnsiTheme="minorEastAsia"/>
          <w:color w:val="000000" w:themeColor="text1"/>
        </w:rPr>
        <w:t>。</w:t>
      </w:r>
    </w:p>
    <w:p w:rsidR="00BA4B87" w:rsidRPr="001F61B7" w:rsidP="00C42A18">
      <w:pPr>
        <w:pStyle w:val="Heading1"/>
        <w:tabs>
          <w:tab w:val="left" w:pos="3544"/>
        </w:tabs>
        <w:spacing w:before="317" w:after="317" w:line="360" w:lineRule="auto"/>
        <w:ind w:firstLine="640"/>
        <w:rPr>
          <w:rFonts w:asciiTheme="minorEastAsia" w:eastAsiaTheme="minorEastAsia" w:hAnsiTheme="minorEastAsia"/>
          <w:bCs/>
          <w:color w:val="000000" w:themeColor="text1"/>
          <w:szCs w:val="20"/>
        </w:rPr>
      </w:pPr>
      <w:r w:rsidRPr="001F61B7">
        <w:rPr>
          <w:rFonts w:asciiTheme="minorEastAsia" w:eastAsiaTheme="minorEastAsia" w:hAnsiTheme="minorEastAsia"/>
          <w:color w:val="000000" w:themeColor="text1"/>
        </w:rPr>
        <w:br w:type="column"/>
      </w:r>
      <w:bookmarkStart w:id="82" w:name="_Toc80796290"/>
      <w:r w:rsidRPr="001F61B7">
        <w:rPr>
          <w:rFonts w:asciiTheme="minorEastAsia" w:eastAsiaTheme="minorEastAsia" w:hAnsiTheme="minorEastAsia"/>
          <w:color w:val="000000" w:themeColor="text1"/>
          <w:sz w:val="30"/>
        </w:rPr>
        <w:t>二</w:t>
      </w:r>
      <w:bookmarkStart w:id="83" w:name="_Toc332373594"/>
      <w:r w:rsidRPr="001F61B7">
        <w:rPr>
          <w:rFonts w:asciiTheme="minorEastAsia" w:eastAsiaTheme="minorEastAsia" w:hAnsiTheme="minorEastAsia"/>
          <w:color w:val="000000" w:themeColor="text1"/>
          <w:sz w:val="30"/>
        </w:rPr>
        <w:t>十</w:t>
      </w:r>
      <w:r w:rsidRPr="001F61B7" w:rsidR="006174FD">
        <w:rPr>
          <w:rFonts w:asciiTheme="minorEastAsia" w:eastAsiaTheme="minorEastAsia" w:hAnsiTheme="minorEastAsia"/>
          <w:color w:val="000000" w:themeColor="text1"/>
          <w:sz w:val="30"/>
        </w:rPr>
        <w:t>六</w:t>
      </w:r>
      <w:r w:rsidRPr="001F61B7">
        <w:rPr>
          <w:rFonts w:asciiTheme="minorEastAsia" w:eastAsiaTheme="minorEastAsia" w:hAnsiTheme="minorEastAsia"/>
          <w:color w:val="000000" w:themeColor="text1"/>
          <w:sz w:val="30"/>
        </w:rPr>
        <w:t>、备查文件</w:t>
      </w:r>
      <w:bookmarkEnd w:id="82"/>
    </w:p>
    <w:bookmarkEnd w:id="83"/>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rPr>
      </w:pPr>
      <w:r w:rsidRPr="001F61B7">
        <w:rPr>
          <w:rFonts w:asciiTheme="minorEastAsia" w:eastAsiaTheme="minorEastAsia" w:hAnsiTheme="minorEastAsia"/>
          <w:color w:val="000000" w:themeColor="text1"/>
        </w:rPr>
        <w:t>1、中国证监会准予易方达</w:t>
      </w:r>
      <w:r w:rsidRPr="001F61B7" w:rsidR="00FD375F">
        <w:rPr>
          <w:rFonts w:asciiTheme="minorEastAsia" w:eastAsiaTheme="minorEastAsia" w:hAnsiTheme="minorEastAsia"/>
          <w:color w:val="000000" w:themeColor="text1"/>
        </w:rPr>
        <w:t>中证科技50</w:t>
      </w:r>
      <w:r w:rsidRPr="001F61B7">
        <w:rPr>
          <w:rFonts w:asciiTheme="minorEastAsia" w:eastAsiaTheme="minorEastAsia" w:hAnsiTheme="minorEastAsia"/>
          <w:color w:val="000000" w:themeColor="text1"/>
        </w:rPr>
        <w:t>交易型开放式指数证券投资基金注册的文件；</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rPr>
      </w:pPr>
      <w:r w:rsidRPr="001F61B7">
        <w:rPr>
          <w:rFonts w:asciiTheme="minorEastAsia" w:eastAsiaTheme="minorEastAsia" w:hAnsiTheme="minorEastAsia"/>
          <w:color w:val="000000" w:themeColor="text1"/>
        </w:rPr>
        <w:t>2、《易方达</w:t>
      </w:r>
      <w:r w:rsidRPr="001F61B7" w:rsidR="00FD375F">
        <w:rPr>
          <w:rFonts w:asciiTheme="minorEastAsia" w:eastAsiaTheme="minorEastAsia" w:hAnsiTheme="minorEastAsia"/>
          <w:color w:val="000000" w:themeColor="text1"/>
        </w:rPr>
        <w:t>中证科技50</w:t>
      </w:r>
      <w:r w:rsidRPr="001F61B7">
        <w:rPr>
          <w:rFonts w:asciiTheme="minorEastAsia" w:eastAsiaTheme="minorEastAsia" w:hAnsiTheme="minorEastAsia"/>
          <w:color w:val="000000" w:themeColor="text1"/>
        </w:rPr>
        <w:t>交易型开放式指数证券投资基金基金合同》；</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rPr>
      </w:pPr>
      <w:r w:rsidRPr="001F61B7">
        <w:rPr>
          <w:rFonts w:asciiTheme="minorEastAsia" w:eastAsiaTheme="minorEastAsia" w:hAnsiTheme="minorEastAsia"/>
          <w:color w:val="000000" w:themeColor="text1"/>
        </w:rPr>
        <w:t>3、《易方达</w:t>
      </w:r>
      <w:r w:rsidRPr="001F61B7" w:rsidR="00FD375F">
        <w:rPr>
          <w:rFonts w:asciiTheme="minorEastAsia" w:eastAsiaTheme="minorEastAsia" w:hAnsiTheme="minorEastAsia"/>
          <w:color w:val="000000" w:themeColor="text1"/>
        </w:rPr>
        <w:t>中证科技50</w:t>
      </w:r>
      <w:r w:rsidRPr="001F61B7">
        <w:rPr>
          <w:rFonts w:asciiTheme="minorEastAsia" w:eastAsiaTheme="minorEastAsia" w:hAnsiTheme="minorEastAsia"/>
          <w:color w:val="000000" w:themeColor="text1"/>
        </w:rPr>
        <w:t>交易型开放式指数证券投资基金托管协议》；</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rPr>
      </w:pPr>
      <w:r w:rsidRPr="001F61B7">
        <w:rPr>
          <w:rFonts w:asciiTheme="minorEastAsia" w:eastAsiaTheme="minorEastAsia" w:hAnsiTheme="minorEastAsia"/>
          <w:color w:val="000000" w:themeColor="text1"/>
        </w:rPr>
        <w:t>4、法律意见书；</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rPr>
      </w:pPr>
      <w:r w:rsidRPr="001F61B7">
        <w:rPr>
          <w:rFonts w:asciiTheme="minorEastAsia" w:eastAsiaTheme="minorEastAsia" w:hAnsiTheme="minorEastAsia"/>
          <w:color w:val="000000" w:themeColor="text1"/>
        </w:rPr>
        <w:t>5、基金管理人业务资格批件和营业执照；</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rPr>
      </w:pPr>
      <w:r w:rsidRPr="001F61B7">
        <w:rPr>
          <w:rFonts w:asciiTheme="minorEastAsia" w:eastAsiaTheme="minorEastAsia" w:hAnsiTheme="minorEastAsia"/>
          <w:color w:val="000000" w:themeColor="text1"/>
        </w:rPr>
        <w:t>6、基金托管人业务资格批件和营业执照；</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rPr>
      </w:pPr>
      <w:r w:rsidRPr="001F61B7">
        <w:rPr>
          <w:rFonts w:asciiTheme="minorEastAsia" w:eastAsiaTheme="minorEastAsia" w:hAnsiTheme="minorEastAsia"/>
          <w:color w:val="000000" w:themeColor="text1"/>
        </w:rPr>
        <w:t>存放地点：基金管理人、基金托管人处</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rPr>
      </w:pPr>
      <w:r w:rsidRPr="001F61B7">
        <w:rPr>
          <w:rFonts w:asciiTheme="minorEastAsia" w:eastAsiaTheme="minorEastAsia" w:hAnsiTheme="minorEastAsia"/>
          <w:color w:val="000000" w:themeColor="text1"/>
        </w:rPr>
        <w:t>查阅方式：投资者可在营业时间免费查阅，也可按工本费购买复印件。</w:t>
      </w:r>
    </w:p>
    <w:p w:rsidR="000C755A" w:rsidRPr="001F61B7" w:rsidP="00C42A18">
      <w:pPr>
        <w:tabs>
          <w:tab w:val="left" w:pos="3544"/>
        </w:tabs>
        <w:spacing w:line="360" w:lineRule="auto"/>
        <w:ind w:firstLine="420" w:firstLineChars="200"/>
        <w:rPr>
          <w:rFonts w:asciiTheme="minorEastAsia" w:eastAsiaTheme="minorEastAsia" w:hAnsiTheme="minorEastAsia"/>
          <w:color w:val="000000" w:themeColor="text1"/>
        </w:rPr>
      </w:pPr>
    </w:p>
    <w:p w:rsidR="00275B6C" w:rsidRPr="001F61B7" w:rsidP="00C42A18">
      <w:pPr>
        <w:tabs>
          <w:tab w:val="left" w:pos="3544"/>
        </w:tabs>
        <w:spacing w:line="360" w:lineRule="auto"/>
        <w:ind w:firstLine="420" w:firstLineChars="200"/>
        <w:jc w:val="right"/>
        <w:rPr>
          <w:rFonts w:asciiTheme="minorEastAsia" w:eastAsiaTheme="minorEastAsia" w:hAnsiTheme="minorEastAsia"/>
          <w:color w:val="000000" w:themeColor="text1"/>
        </w:rPr>
      </w:pPr>
      <w:bookmarkStart w:id="84" w:name="_Toc38438350"/>
      <w:bookmarkStart w:id="85" w:name="_Toc38438687"/>
      <w:bookmarkStart w:id="86" w:name="_Toc38439024"/>
      <w:bookmarkStart w:id="87" w:name="_Toc38439361"/>
      <w:bookmarkStart w:id="88" w:name="_Toc38439698"/>
      <w:bookmarkStart w:id="89" w:name="_Toc38440035"/>
      <w:bookmarkStart w:id="90" w:name="_Toc38440372"/>
      <w:bookmarkStart w:id="91" w:name="_Toc38440904"/>
      <w:bookmarkStart w:id="92" w:name="_Toc38441236"/>
      <w:bookmarkStart w:id="93" w:name="_Toc38441568"/>
      <w:bookmarkStart w:id="94" w:name="_Toc38441896"/>
      <w:bookmarkStart w:id="95" w:name="_Toc38442228"/>
      <w:bookmarkStart w:id="96" w:name="_Toc38442560"/>
      <w:bookmarkStart w:id="97" w:name="_Toc38442891"/>
      <w:bookmarkStart w:id="98" w:name="_Toc38443222"/>
      <w:bookmarkStart w:id="99" w:name="_Toc38443553"/>
      <w:bookmarkStart w:id="100" w:name="_Toc38443883"/>
      <w:bookmarkStart w:id="101" w:name="_Toc38438351"/>
      <w:bookmarkStart w:id="102" w:name="_Toc38438688"/>
      <w:bookmarkStart w:id="103" w:name="_Toc38439025"/>
      <w:bookmarkStart w:id="104" w:name="_Toc38439362"/>
      <w:bookmarkStart w:id="105" w:name="_Toc38439699"/>
      <w:bookmarkStart w:id="106" w:name="_Toc38440036"/>
      <w:bookmarkStart w:id="107" w:name="_Toc38440373"/>
      <w:bookmarkStart w:id="108" w:name="_Toc38440905"/>
      <w:bookmarkStart w:id="109" w:name="_Toc38441237"/>
      <w:bookmarkStart w:id="110" w:name="_Toc38441569"/>
      <w:bookmarkStart w:id="111" w:name="_Toc38441897"/>
      <w:bookmarkStart w:id="112" w:name="_Toc38442229"/>
      <w:bookmarkStart w:id="113" w:name="_Toc38442561"/>
      <w:bookmarkStart w:id="114" w:name="_Toc38442892"/>
      <w:bookmarkStart w:id="115" w:name="_Toc38443223"/>
      <w:bookmarkStart w:id="116" w:name="_Toc38443554"/>
      <w:bookmarkStart w:id="117" w:name="_Toc38443884"/>
      <w:bookmarkStart w:id="118" w:name="_Toc38438352"/>
      <w:bookmarkStart w:id="119" w:name="_Toc38438689"/>
      <w:bookmarkStart w:id="120" w:name="_Toc38439026"/>
      <w:bookmarkStart w:id="121" w:name="_Toc38439363"/>
      <w:bookmarkStart w:id="122" w:name="_Toc38439700"/>
      <w:bookmarkStart w:id="123" w:name="_Toc38440037"/>
      <w:bookmarkStart w:id="124" w:name="_Toc38440374"/>
      <w:bookmarkStart w:id="125" w:name="_Toc38440906"/>
      <w:bookmarkStart w:id="126" w:name="_Toc38441238"/>
      <w:bookmarkStart w:id="127" w:name="_Toc38441570"/>
      <w:bookmarkStart w:id="128" w:name="_Toc38441898"/>
      <w:bookmarkStart w:id="129" w:name="_Toc38442230"/>
      <w:bookmarkStart w:id="130" w:name="_Toc38442562"/>
      <w:bookmarkStart w:id="131" w:name="_Toc38442893"/>
      <w:bookmarkStart w:id="132" w:name="_Toc38443224"/>
      <w:bookmarkStart w:id="133" w:name="_Toc38443555"/>
      <w:bookmarkStart w:id="134" w:name="_Toc38443885"/>
      <w:bookmarkStart w:id="135" w:name="_Toc38438353"/>
      <w:bookmarkStart w:id="136" w:name="_Toc38438690"/>
      <w:bookmarkStart w:id="137" w:name="_Toc38439027"/>
      <w:bookmarkStart w:id="138" w:name="_Toc38439364"/>
      <w:bookmarkStart w:id="139" w:name="_Toc38439701"/>
      <w:bookmarkStart w:id="140" w:name="_Toc38440038"/>
      <w:bookmarkStart w:id="141" w:name="_Toc38440375"/>
      <w:bookmarkStart w:id="142" w:name="_Toc38440907"/>
      <w:bookmarkStart w:id="143" w:name="_Toc38441239"/>
      <w:bookmarkStart w:id="144" w:name="_Toc38441571"/>
      <w:bookmarkStart w:id="145" w:name="_Toc38441899"/>
      <w:bookmarkStart w:id="146" w:name="_Toc38442231"/>
      <w:bookmarkStart w:id="147" w:name="_Toc38442563"/>
      <w:bookmarkStart w:id="148" w:name="_Toc38442894"/>
      <w:bookmarkStart w:id="149" w:name="_Toc38443225"/>
      <w:bookmarkStart w:id="150" w:name="_Toc38443556"/>
      <w:bookmarkStart w:id="151" w:name="_Toc38443886"/>
      <w:bookmarkStart w:id="152" w:name="_Toc38438354"/>
      <w:bookmarkStart w:id="153" w:name="_Toc38438691"/>
      <w:bookmarkStart w:id="154" w:name="_Toc38439028"/>
      <w:bookmarkStart w:id="155" w:name="_Toc38439365"/>
      <w:bookmarkStart w:id="156" w:name="_Toc38439702"/>
      <w:bookmarkStart w:id="157" w:name="_Toc38440039"/>
      <w:bookmarkStart w:id="158" w:name="_Toc38440376"/>
      <w:bookmarkStart w:id="159" w:name="_Toc38440908"/>
      <w:bookmarkStart w:id="160" w:name="_Toc38441240"/>
      <w:bookmarkStart w:id="161" w:name="_Toc38441572"/>
      <w:bookmarkStart w:id="162" w:name="_Toc38441900"/>
      <w:bookmarkStart w:id="163" w:name="_Toc38442232"/>
      <w:bookmarkStart w:id="164" w:name="_Toc38442564"/>
      <w:bookmarkStart w:id="165" w:name="_Toc38442895"/>
      <w:bookmarkStart w:id="166" w:name="_Toc38443226"/>
      <w:bookmarkStart w:id="167" w:name="_Toc38443557"/>
      <w:bookmarkStart w:id="168" w:name="_Toc38443887"/>
      <w:bookmarkStart w:id="169" w:name="_Toc38438355"/>
      <w:bookmarkStart w:id="170" w:name="_Toc38438692"/>
      <w:bookmarkStart w:id="171" w:name="_Toc38439029"/>
      <w:bookmarkStart w:id="172" w:name="_Toc38439366"/>
      <w:bookmarkStart w:id="173" w:name="_Toc38439703"/>
      <w:bookmarkStart w:id="174" w:name="_Toc38440040"/>
      <w:bookmarkStart w:id="175" w:name="_Toc38440377"/>
      <w:bookmarkStart w:id="176" w:name="_Toc38440909"/>
      <w:bookmarkStart w:id="177" w:name="_Toc38441241"/>
      <w:bookmarkStart w:id="178" w:name="_Toc38441573"/>
      <w:bookmarkStart w:id="179" w:name="_Toc38441901"/>
      <w:bookmarkStart w:id="180" w:name="_Toc38442233"/>
      <w:bookmarkStart w:id="181" w:name="_Toc38442565"/>
      <w:bookmarkStart w:id="182" w:name="_Toc38442896"/>
      <w:bookmarkStart w:id="183" w:name="_Toc38443227"/>
      <w:bookmarkStart w:id="184" w:name="_Toc38443558"/>
      <w:bookmarkStart w:id="185" w:name="_Toc38443888"/>
      <w:bookmarkStart w:id="186" w:name="_Toc38438356"/>
      <w:bookmarkStart w:id="187" w:name="_Toc38438693"/>
      <w:bookmarkStart w:id="188" w:name="_Toc38439030"/>
      <w:bookmarkStart w:id="189" w:name="_Toc38439367"/>
      <w:bookmarkStart w:id="190" w:name="_Toc38439704"/>
      <w:bookmarkStart w:id="191" w:name="_Toc38440041"/>
      <w:bookmarkStart w:id="192" w:name="_Toc38440378"/>
      <w:bookmarkStart w:id="193" w:name="_Toc38440910"/>
      <w:bookmarkStart w:id="194" w:name="_Toc38441242"/>
      <w:bookmarkStart w:id="195" w:name="_Toc38441574"/>
      <w:bookmarkStart w:id="196" w:name="_Toc38441902"/>
      <w:bookmarkStart w:id="197" w:name="_Toc38442234"/>
      <w:bookmarkStart w:id="198" w:name="_Toc38442566"/>
      <w:bookmarkStart w:id="199" w:name="_Toc38442897"/>
      <w:bookmarkStart w:id="200" w:name="_Toc38443228"/>
      <w:bookmarkStart w:id="201" w:name="_Toc38443559"/>
      <w:bookmarkStart w:id="202" w:name="_Toc38443889"/>
      <w:bookmarkStart w:id="203" w:name="_Toc38438357"/>
      <w:bookmarkStart w:id="204" w:name="_Toc38438694"/>
      <w:bookmarkStart w:id="205" w:name="_Toc38439031"/>
      <w:bookmarkStart w:id="206" w:name="_Toc38439368"/>
      <w:bookmarkStart w:id="207" w:name="_Toc38439705"/>
      <w:bookmarkStart w:id="208" w:name="_Toc38440042"/>
      <w:bookmarkStart w:id="209" w:name="_Toc38440379"/>
      <w:bookmarkStart w:id="210" w:name="_Toc38440911"/>
      <w:bookmarkStart w:id="211" w:name="_Toc38441243"/>
      <w:bookmarkStart w:id="212" w:name="_Toc38441575"/>
      <w:bookmarkStart w:id="213" w:name="_Toc38441903"/>
      <w:bookmarkStart w:id="214" w:name="_Toc38442235"/>
      <w:bookmarkStart w:id="215" w:name="_Toc38442567"/>
      <w:bookmarkStart w:id="216" w:name="_Toc38442898"/>
      <w:bookmarkStart w:id="217" w:name="_Toc38443229"/>
      <w:bookmarkStart w:id="218" w:name="_Toc38443560"/>
      <w:bookmarkStart w:id="219" w:name="_Toc38443890"/>
      <w:bookmarkStart w:id="220" w:name="_Toc38438358"/>
      <w:bookmarkStart w:id="221" w:name="_Toc38438695"/>
      <w:bookmarkStart w:id="222" w:name="_Toc38439032"/>
      <w:bookmarkStart w:id="223" w:name="_Toc38439369"/>
      <w:bookmarkStart w:id="224" w:name="_Toc38439706"/>
      <w:bookmarkStart w:id="225" w:name="_Toc38440043"/>
      <w:bookmarkStart w:id="226" w:name="_Toc38440380"/>
      <w:bookmarkStart w:id="227" w:name="_Toc38440912"/>
      <w:bookmarkStart w:id="228" w:name="_Toc38441244"/>
      <w:bookmarkStart w:id="229" w:name="_Toc38441576"/>
      <w:bookmarkStart w:id="230" w:name="_Toc38441904"/>
      <w:bookmarkStart w:id="231" w:name="_Toc38442236"/>
      <w:bookmarkStart w:id="232" w:name="_Toc38442568"/>
      <w:bookmarkStart w:id="233" w:name="_Toc38442899"/>
      <w:bookmarkStart w:id="234" w:name="_Toc38443230"/>
      <w:bookmarkStart w:id="235" w:name="_Toc38443561"/>
      <w:bookmarkStart w:id="236" w:name="_Toc38443891"/>
      <w:bookmarkStart w:id="237" w:name="_Toc38438359"/>
      <w:bookmarkStart w:id="238" w:name="_Toc38438696"/>
      <w:bookmarkStart w:id="239" w:name="_Toc38439033"/>
      <w:bookmarkStart w:id="240" w:name="_Toc38439370"/>
      <w:bookmarkStart w:id="241" w:name="_Toc38439707"/>
      <w:bookmarkStart w:id="242" w:name="_Toc38440044"/>
      <w:bookmarkStart w:id="243" w:name="_Toc38440381"/>
      <w:bookmarkStart w:id="244" w:name="_Toc38440913"/>
      <w:bookmarkStart w:id="245" w:name="_Toc38441245"/>
      <w:bookmarkStart w:id="246" w:name="_Toc38441577"/>
      <w:bookmarkStart w:id="247" w:name="_Toc38441905"/>
      <w:bookmarkStart w:id="248" w:name="_Toc38442237"/>
      <w:bookmarkStart w:id="249" w:name="_Toc38442569"/>
      <w:bookmarkStart w:id="250" w:name="_Toc38442900"/>
      <w:bookmarkStart w:id="251" w:name="_Toc38443231"/>
      <w:bookmarkStart w:id="252" w:name="_Toc38443562"/>
      <w:bookmarkStart w:id="253" w:name="_Toc38443892"/>
      <w:bookmarkStart w:id="254" w:name="_Toc38438360"/>
      <w:bookmarkStart w:id="255" w:name="_Toc38438697"/>
      <w:bookmarkStart w:id="256" w:name="_Toc38439034"/>
      <w:bookmarkStart w:id="257" w:name="_Toc38439371"/>
      <w:bookmarkStart w:id="258" w:name="_Toc38439708"/>
      <w:bookmarkStart w:id="259" w:name="_Toc38440045"/>
      <w:bookmarkStart w:id="260" w:name="_Toc38440382"/>
      <w:bookmarkStart w:id="261" w:name="_Toc38440914"/>
      <w:bookmarkStart w:id="262" w:name="_Toc38441246"/>
      <w:bookmarkStart w:id="263" w:name="_Toc38441578"/>
      <w:bookmarkStart w:id="264" w:name="_Toc38441906"/>
      <w:bookmarkStart w:id="265" w:name="_Toc38442238"/>
      <w:bookmarkStart w:id="266" w:name="_Toc38442570"/>
      <w:bookmarkStart w:id="267" w:name="_Toc38442901"/>
      <w:bookmarkStart w:id="268" w:name="_Toc38443232"/>
      <w:bookmarkStart w:id="269" w:name="_Toc38443563"/>
      <w:bookmarkStart w:id="270" w:name="_Toc38443893"/>
      <w:bookmarkStart w:id="271" w:name="_Toc38438361"/>
      <w:bookmarkStart w:id="272" w:name="_Toc38438698"/>
      <w:bookmarkStart w:id="273" w:name="_Toc38439035"/>
      <w:bookmarkStart w:id="274" w:name="_Toc38439372"/>
      <w:bookmarkStart w:id="275" w:name="_Toc38439709"/>
      <w:bookmarkStart w:id="276" w:name="_Toc38440046"/>
      <w:bookmarkStart w:id="277" w:name="_Toc38440383"/>
      <w:bookmarkStart w:id="278" w:name="_Toc38440915"/>
      <w:bookmarkStart w:id="279" w:name="_Toc38441247"/>
      <w:bookmarkStart w:id="280" w:name="_Toc38441579"/>
      <w:bookmarkStart w:id="281" w:name="_Toc38441907"/>
      <w:bookmarkStart w:id="282" w:name="_Toc38442239"/>
      <w:bookmarkStart w:id="283" w:name="_Toc38442571"/>
      <w:bookmarkStart w:id="284" w:name="_Toc38442902"/>
      <w:bookmarkStart w:id="285" w:name="_Toc38443233"/>
      <w:bookmarkStart w:id="286" w:name="_Toc38443564"/>
      <w:bookmarkStart w:id="287" w:name="_Toc38443894"/>
      <w:bookmarkStart w:id="288" w:name="_Toc38438362"/>
      <w:bookmarkStart w:id="289" w:name="_Toc38438699"/>
      <w:bookmarkStart w:id="290" w:name="_Toc38439036"/>
      <w:bookmarkStart w:id="291" w:name="_Toc38439373"/>
      <w:bookmarkStart w:id="292" w:name="_Toc38439710"/>
      <w:bookmarkStart w:id="293" w:name="_Toc38440047"/>
      <w:bookmarkStart w:id="294" w:name="_Toc38440384"/>
      <w:bookmarkStart w:id="295" w:name="_Toc38440916"/>
      <w:bookmarkStart w:id="296" w:name="_Toc38441248"/>
      <w:bookmarkStart w:id="297" w:name="_Toc38441580"/>
      <w:bookmarkStart w:id="298" w:name="_Toc38441908"/>
      <w:bookmarkStart w:id="299" w:name="_Toc38442240"/>
      <w:bookmarkStart w:id="300" w:name="_Toc38442572"/>
      <w:bookmarkStart w:id="301" w:name="_Toc38442903"/>
      <w:bookmarkStart w:id="302" w:name="_Toc38443234"/>
      <w:bookmarkStart w:id="303" w:name="_Toc38443565"/>
      <w:bookmarkStart w:id="304" w:name="_Toc38443895"/>
      <w:bookmarkStart w:id="305" w:name="_Toc38438363"/>
      <w:bookmarkStart w:id="306" w:name="_Toc38438700"/>
      <w:bookmarkStart w:id="307" w:name="_Toc38439037"/>
      <w:bookmarkStart w:id="308" w:name="_Toc38439374"/>
      <w:bookmarkStart w:id="309" w:name="_Toc38439711"/>
      <w:bookmarkStart w:id="310" w:name="_Toc38440048"/>
      <w:bookmarkStart w:id="311" w:name="_Toc38440385"/>
      <w:bookmarkStart w:id="312" w:name="_Toc38440917"/>
      <w:bookmarkStart w:id="313" w:name="_Toc38441249"/>
      <w:bookmarkStart w:id="314" w:name="_Toc38441581"/>
      <w:bookmarkStart w:id="315" w:name="_Toc38441909"/>
      <w:bookmarkStart w:id="316" w:name="_Toc38442241"/>
      <w:bookmarkStart w:id="317" w:name="_Toc38442573"/>
      <w:bookmarkStart w:id="318" w:name="_Toc38442904"/>
      <w:bookmarkStart w:id="319" w:name="_Toc38443235"/>
      <w:bookmarkStart w:id="320" w:name="_Toc38443566"/>
      <w:bookmarkStart w:id="321" w:name="_Toc38443896"/>
      <w:bookmarkStart w:id="322" w:name="_Toc38438364"/>
      <w:bookmarkStart w:id="323" w:name="_Toc38438701"/>
      <w:bookmarkStart w:id="324" w:name="_Toc38439038"/>
      <w:bookmarkStart w:id="325" w:name="_Toc38439375"/>
      <w:bookmarkStart w:id="326" w:name="_Toc38439712"/>
      <w:bookmarkStart w:id="327" w:name="_Toc38440049"/>
      <w:bookmarkStart w:id="328" w:name="_Toc38440386"/>
      <w:bookmarkStart w:id="329" w:name="_Toc38440918"/>
      <w:bookmarkStart w:id="330" w:name="_Toc38441250"/>
      <w:bookmarkStart w:id="331" w:name="_Toc38441582"/>
      <w:bookmarkStart w:id="332" w:name="_Toc38441910"/>
      <w:bookmarkStart w:id="333" w:name="_Toc38442242"/>
      <w:bookmarkStart w:id="334" w:name="_Toc38442574"/>
      <w:bookmarkStart w:id="335" w:name="_Toc38442905"/>
      <w:bookmarkStart w:id="336" w:name="_Toc38443236"/>
      <w:bookmarkStart w:id="337" w:name="_Toc38443567"/>
      <w:bookmarkStart w:id="338" w:name="_Toc38443897"/>
      <w:bookmarkStart w:id="339" w:name="_Toc38438365"/>
      <w:bookmarkStart w:id="340" w:name="_Toc38438702"/>
      <w:bookmarkStart w:id="341" w:name="_Toc38439039"/>
      <w:bookmarkStart w:id="342" w:name="_Toc38439376"/>
      <w:bookmarkStart w:id="343" w:name="_Toc38439713"/>
      <w:bookmarkStart w:id="344" w:name="_Toc38440050"/>
      <w:bookmarkStart w:id="345" w:name="_Toc38440387"/>
      <w:bookmarkStart w:id="346" w:name="_Toc38440919"/>
      <w:bookmarkStart w:id="347" w:name="_Toc38441251"/>
      <w:bookmarkStart w:id="348" w:name="_Toc38441583"/>
      <w:bookmarkStart w:id="349" w:name="_Toc38441911"/>
      <w:bookmarkStart w:id="350" w:name="_Toc38442243"/>
      <w:bookmarkStart w:id="351" w:name="_Toc38442575"/>
      <w:bookmarkStart w:id="352" w:name="_Toc38442906"/>
      <w:bookmarkStart w:id="353" w:name="_Toc38443237"/>
      <w:bookmarkStart w:id="354" w:name="_Toc38443568"/>
      <w:bookmarkStart w:id="355" w:name="_Toc38443898"/>
      <w:bookmarkStart w:id="356" w:name="_Toc38438366"/>
      <w:bookmarkStart w:id="357" w:name="_Toc38438703"/>
      <w:bookmarkStart w:id="358" w:name="_Toc38439040"/>
      <w:bookmarkStart w:id="359" w:name="_Toc38439377"/>
      <w:bookmarkStart w:id="360" w:name="_Toc38439714"/>
      <w:bookmarkStart w:id="361" w:name="_Toc38440051"/>
      <w:bookmarkStart w:id="362" w:name="_Toc38440388"/>
      <w:bookmarkStart w:id="363" w:name="_Toc38440920"/>
      <w:bookmarkStart w:id="364" w:name="_Toc38441252"/>
      <w:bookmarkStart w:id="365" w:name="_Toc38441584"/>
      <w:bookmarkStart w:id="366" w:name="_Toc38441912"/>
      <w:bookmarkStart w:id="367" w:name="_Toc38442244"/>
      <w:bookmarkStart w:id="368" w:name="_Toc38442576"/>
      <w:bookmarkStart w:id="369" w:name="_Toc38442907"/>
      <w:bookmarkStart w:id="370" w:name="_Toc38443238"/>
      <w:bookmarkStart w:id="371" w:name="_Toc38443569"/>
      <w:bookmarkStart w:id="372" w:name="_Toc38443899"/>
      <w:bookmarkStart w:id="373" w:name="_Toc38438367"/>
      <w:bookmarkStart w:id="374" w:name="_Toc38438704"/>
      <w:bookmarkStart w:id="375" w:name="_Toc38439041"/>
      <w:bookmarkStart w:id="376" w:name="_Toc38439378"/>
      <w:bookmarkStart w:id="377" w:name="_Toc38439715"/>
      <w:bookmarkStart w:id="378" w:name="_Toc38440052"/>
      <w:bookmarkStart w:id="379" w:name="_Toc38440389"/>
      <w:bookmarkStart w:id="380" w:name="_Toc38440921"/>
      <w:bookmarkStart w:id="381" w:name="_Toc38441253"/>
      <w:bookmarkStart w:id="382" w:name="_Toc38441585"/>
      <w:bookmarkStart w:id="383" w:name="_Toc38441913"/>
      <w:bookmarkStart w:id="384" w:name="_Toc38442245"/>
      <w:bookmarkStart w:id="385" w:name="_Toc38442577"/>
      <w:bookmarkStart w:id="386" w:name="_Toc38442908"/>
      <w:bookmarkStart w:id="387" w:name="_Toc38443239"/>
      <w:bookmarkStart w:id="388" w:name="_Toc38443570"/>
      <w:bookmarkStart w:id="389" w:name="_Toc38443900"/>
      <w:bookmarkStart w:id="390" w:name="_Toc38438368"/>
      <w:bookmarkStart w:id="391" w:name="_Toc38438705"/>
      <w:bookmarkStart w:id="392" w:name="_Toc38439042"/>
      <w:bookmarkStart w:id="393" w:name="_Toc38439379"/>
      <w:bookmarkStart w:id="394" w:name="_Toc38439716"/>
      <w:bookmarkStart w:id="395" w:name="_Toc38440053"/>
      <w:bookmarkStart w:id="396" w:name="_Toc38440390"/>
      <w:bookmarkStart w:id="397" w:name="_Toc38440922"/>
      <w:bookmarkStart w:id="398" w:name="_Toc38441254"/>
      <w:bookmarkStart w:id="399" w:name="_Toc38441586"/>
      <w:bookmarkStart w:id="400" w:name="_Toc38441914"/>
      <w:bookmarkStart w:id="401" w:name="_Toc38442246"/>
      <w:bookmarkStart w:id="402" w:name="_Toc38442578"/>
      <w:bookmarkStart w:id="403" w:name="_Toc38442909"/>
      <w:bookmarkStart w:id="404" w:name="_Toc38443240"/>
      <w:bookmarkStart w:id="405" w:name="_Toc38443571"/>
      <w:bookmarkStart w:id="406" w:name="_Toc38443901"/>
      <w:bookmarkStart w:id="407" w:name="_Toc38438369"/>
      <w:bookmarkStart w:id="408" w:name="_Toc38438706"/>
      <w:bookmarkStart w:id="409" w:name="_Toc38439043"/>
      <w:bookmarkStart w:id="410" w:name="_Toc38439380"/>
      <w:bookmarkStart w:id="411" w:name="_Toc38439717"/>
      <w:bookmarkStart w:id="412" w:name="_Toc38440054"/>
      <w:bookmarkStart w:id="413" w:name="_Toc38440391"/>
      <w:bookmarkStart w:id="414" w:name="_Toc38440923"/>
      <w:bookmarkStart w:id="415" w:name="_Toc38441255"/>
      <w:bookmarkStart w:id="416" w:name="_Toc38441587"/>
      <w:bookmarkStart w:id="417" w:name="_Toc38441915"/>
      <w:bookmarkStart w:id="418" w:name="_Toc38442247"/>
      <w:bookmarkStart w:id="419" w:name="_Toc38442579"/>
      <w:bookmarkStart w:id="420" w:name="_Toc38442910"/>
      <w:bookmarkStart w:id="421" w:name="_Toc38443241"/>
      <w:bookmarkStart w:id="422" w:name="_Toc38443572"/>
      <w:bookmarkStart w:id="423" w:name="_Toc38443902"/>
      <w:bookmarkStart w:id="424" w:name="_Toc38438371"/>
      <w:bookmarkStart w:id="425" w:name="_Toc38438708"/>
      <w:bookmarkStart w:id="426" w:name="_Toc38439045"/>
      <w:bookmarkStart w:id="427" w:name="_Toc38439382"/>
      <w:bookmarkStart w:id="428" w:name="_Toc38439719"/>
      <w:bookmarkStart w:id="429" w:name="_Toc38440056"/>
      <w:bookmarkStart w:id="430" w:name="_Toc38440393"/>
      <w:bookmarkStart w:id="431" w:name="_Toc38440925"/>
      <w:bookmarkStart w:id="432" w:name="_Toc38441257"/>
      <w:bookmarkStart w:id="433" w:name="_Toc38441589"/>
      <w:bookmarkStart w:id="434" w:name="_Toc38441917"/>
      <w:bookmarkStart w:id="435" w:name="_Toc38442249"/>
      <w:bookmarkStart w:id="436" w:name="_Toc38442581"/>
      <w:bookmarkStart w:id="437" w:name="_Toc38442912"/>
      <w:bookmarkStart w:id="438" w:name="_Toc38443243"/>
      <w:bookmarkStart w:id="439" w:name="_Toc38443574"/>
      <w:bookmarkStart w:id="440" w:name="_Toc38443904"/>
      <w:bookmarkStart w:id="441" w:name="_Toc38438372"/>
      <w:bookmarkStart w:id="442" w:name="_Toc38438709"/>
      <w:bookmarkStart w:id="443" w:name="_Toc38439046"/>
      <w:bookmarkStart w:id="444" w:name="_Toc38439383"/>
      <w:bookmarkStart w:id="445" w:name="_Toc38439720"/>
      <w:bookmarkStart w:id="446" w:name="_Toc38440057"/>
      <w:bookmarkStart w:id="447" w:name="_Toc38440394"/>
      <w:bookmarkStart w:id="448" w:name="_Toc38440926"/>
      <w:bookmarkStart w:id="449" w:name="_Toc38441258"/>
      <w:bookmarkStart w:id="450" w:name="_Toc38441590"/>
      <w:bookmarkStart w:id="451" w:name="_Toc38441918"/>
      <w:bookmarkStart w:id="452" w:name="_Toc38442250"/>
      <w:bookmarkStart w:id="453" w:name="_Toc38442582"/>
      <w:bookmarkStart w:id="454" w:name="_Toc38442913"/>
      <w:bookmarkStart w:id="455" w:name="_Toc38443244"/>
      <w:bookmarkStart w:id="456" w:name="_Toc38443575"/>
      <w:bookmarkStart w:id="457" w:name="_Toc38443905"/>
      <w:bookmarkStart w:id="458" w:name="_Toc38438373"/>
      <w:bookmarkStart w:id="459" w:name="_Toc38438710"/>
      <w:bookmarkStart w:id="460" w:name="_Toc38439047"/>
      <w:bookmarkStart w:id="461" w:name="_Toc38439384"/>
      <w:bookmarkStart w:id="462" w:name="_Toc38439721"/>
      <w:bookmarkStart w:id="463" w:name="_Toc38440058"/>
      <w:bookmarkStart w:id="464" w:name="_Toc38440395"/>
      <w:bookmarkStart w:id="465" w:name="_Toc38440927"/>
      <w:bookmarkStart w:id="466" w:name="_Toc38441259"/>
      <w:bookmarkStart w:id="467" w:name="_Toc38441591"/>
      <w:bookmarkStart w:id="468" w:name="_Toc38441919"/>
      <w:bookmarkStart w:id="469" w:name="_Toc38442251"/>
      <w:bookmarkStart w:id="470" w:name="_Toc38442583"/>
      <w:bookmarkStart w:id="471" w:name="_Toc38442914"/>
      <w:bookmarkStart w:id="472" w:name="_Toc38443245"/>
      <w:bookmarkStart w:id="473" w:name="_Toc38443576"/>
      <w:bookmarkStart w:id="474" w:name="_Toc38443906"/>
      <w:bookmarkStart w:id="475" w:name="_Toc38438374"/>
      <w:bookmarkStart w:id="476" w:name="_Toc38438711"/>
      <w:bookmarkStart w:id="477" w:name="_Toc38439048"/>
      <w:bookmarkStart w:id="478" w:name="_Toc38439385"/>
      <w:bookmarkStart w:id="479" w:name="_Toc38439722"/>
      <w:bookmarkStart w:id="480" w:name="_Toc38440059"/>
      <w:bookmarkStart w:id="481" w:name="_Toc38440396"/>
      <w:bookmarkStart w:id="482" w:name="_Toc38440928"/>
      <w:bookmarkStart w:id="483" w:name="_Toc38441260"/>
      <w:bookmarkStart w:id="484" w:name="_Toc38441592"/>
      <w:bookmarkStart w:id="485" w:name="_Toc38441920"/>
      <w:bookmarkStart w:id="486" w:name="_Toc38442252"/>
      <w:bookmarkStart w:id="487" w:name="_Toc38442584"/>
      <w:bookmarkStart w:id="488" w:name="_Toc38442915"/>
      <w:bookmarkStart w:id="489" w:name="_Toc38443246"/>
      <w:bookmarkStart w:id="490" w:name="_Toc38443577"/>
      <w:bookmarkStart w:id="491" w:name="_Toc38443907"/>
      <w:bookmarkStart w:id="492" w:name="_Toc38438375"/>
      <w:bookmarkStart w:id="493" w:name="_Toc38438712"/>
      <w:bookmarkStart w:id="494" w:name="_Toc38439049"/>
      <w:bookmarkStart w:id="495" w:name="_Toc38439386"/>
      <w:bookmarkStart w:id="496" w:name="_Toc38439723"/>
      <w:bookmarkStart w:id="497" w:name="_Toc38440060"/>
      <w:bookmarkStart w:id="498" w:name="_Toc38440397"/>
      <w:bookmarkStart w:id="499" w:name="_Toc38440929"/>
      <w:bookmarkStart w:id="500" w:name="_Toc38441261"/>
      <w:bookmarkStart w:id="501" w:name="_Toc38441593"/>
      <w:bookmarkStart w:id="502" w:name="_Toc38441921"/>
      <w:bookmarkStart w:id="503" w:name="_Toc38442253"/>
      <w:bookmarkStart w:id="504" w:name="_Toc38442585"/>
      <w:bookmarkStart w:id="505" w:name="_Toc38442916"/>
      <w:bookmarkStart w:id="506" w:name="_Toc38443247"/>
      <w:bookmarkStart w:id="507" w:name="_Toc38443578"/>
      <w:bookmarkStart w:id="508" w:name="_Toc38443908"/>
      <w:bookmarkStart w:id="509" w:name="_Toc38438376"/>
      <w:bookmarkStart w:id="510" w:name="_Toc38438713"/>
      <w:bookmarkStart w:id="511" w:name="_Toc38439050"/>
      <w:bookmarkStart w:id="512" w:name="_Toc38439387"/>
      <w:bookmarkStart w:id="513" w:name="_Toc38439724"/>
      <w:bookmarkStart w:id="514" w:name="_Toc38440061"/>
      <w:bookmarkStart w:id="515" w:name="_Toc38440398"/>
      <w:bookmarkStart w:id="516" w:name="_Toc38440930"/>
      <w:bookmarkStart w:id="517" w:name="_Toc38441262"/>
      <w:bookmarkStart w:id="518" w:name="_Toc38441594"/>
      <w:bookmarkStart w:id="519" w:name="_Toc38441922"/>
      <w:bookmarkStart w:id="520" w:name="_Toc38442254"/>
      <w:bookmarkStart w:id="521" w:name="_Toc38442586"/>
      <w:bookmarkStart w:id="522" w:name="_Toc38442917"/>
      <w:bookmarkStart w:id="523" w:name="_Toc38443248"/>
      <w:bookmarkStart w:id="524" w:name="_Toc38443579"/>
      <w:bookmarkStart w:id="525" w:name="_Toc38443909"/>
      <w:bookmarkStart w:id="526" w:name="_Toc38438377"/>
      <w:bookmarkStart w:id="527" w:name="_Toc38438714"/>
      <w:bookmarkStart w:id="528" w:name="_Toc38439051"/>
      <w:bookmarkStart w:id="529" w:name="_Toc38439388"/>
      <w:bookmarkStart w:id="530" w:name="_Toc38439725"/>
      <w:bookmarkStart w:id="531" w:name="_Toc38440062"/>
      <w:bookmarkStart w:id="532" w:name="_Toc38440399"/>
      <w:bookmarkStart w:id="533" w:name="_Toc38440931"/>
      <w:bookmarkStart w:id="534" w:name="_Toc38441263"/>
      <w:bookmarkStart w:id="535" w:name="_Toc38441595"/>
      <w:bookmarkStart w:id="536" w:name="_Toc38441923"/>
      <w:bookmarkStart w:id="537" w:name="_Toc38442255"/>
      <w:bookmarkStart w:id="538" w:name="_Toc38442587"/>
      <w:bookmarkStart w:id="539" w:name="_Toc38442918"/>
      <w:bookmarkStart w:id="540" w:name="_Toc38443249"/>
      <w:bookmarkStart w:id="541" w:name="_Toc38443580"/>
      <w:bookmarkStart w:id="542" w:name="_Toc38443910"/>
      <w:bookmarkStart w:id="543" w:name="_Toc38438378"/>
      <w:bookmarkStart w:id="544" w:name="_Toc38438715"/>
      <w:bookmarkStart w:id="545" w:name="_Toc38439052"/>
      <w:bookmarkStart w:id="546" w:name="_Toc38439389"/>
      <w:bookmarkStart w:id="547" w:name="_Toc38439726"/>
      <w:bookmarkStart w:id="548" w:name="_Toc38440063"/>
      <w:bookmarkStart w:id="549" w:name="_Toc38440400"/>
      <w:bookmarkStart w:id="550" w:name="_Toc38440932"/>
      <w:bookmarkStart w:id="551" w:name="_Toc38441264"/>
      <w:bookmarkStart w:id="552" w:name="_Toc38441596"/>
      <w:bookmarkStart w:id="553" w:name="_Toc38441924"/>
      <w:bookmarkStart w:id="554" w:name="_Toc38442256"/>
      <w:bookmarkStart w:id="555" w:name="_Toc38442588"/>
      <w:bookmarkStart w:id="556" w:name="_Toc38442919"/>
      <w:bookmarkStart w:id="557" w:name="_Toc38443250"/>
      <w:bookmarkStart w:id="558" w:name="_Toc38443581"/>
      <w:bookmarkStart w:id="559" w:name="_Toc38443911"/>
      <w:bookmarkStart w:id="560" w:name="_Toc38438379"/>
      <w:bookmarkStart w:id="561" w:name="_Toc38438716"/>
      <w:bookmarkStart w:id="562" w:name="_Toc38439053"/>
      <w:bookmarkStart w:id="563" w:name="_Toc38439390"/>
      <w:bookmarkStart w:id="564" w:name="_Toc38439727"/>
      <w:bookmarkStart w:id="565" w:name="_Toc38440064"/>
      <w:bookmarkStart w:id="566" w:name="_Toc38440401"/>
      <w:bookmarkStart w:id="567" w:name="_Toc38440933"/>
      <w:bookmarkStart w:id="568" w:name="_Toc38441265"/>
      <w:bookmarkStart w:id="569" w:name="_Toc38441597"/>
      <w:bookmarkStart w:id="570" w:name="_Toc38441925"/>
      <w:bookmarkStart w:id="571" w:name="_Toc38442257"/>
      <w:bookmarkStart w:id="572" w:name="_Toc38442589"/>
      <w:bookmarkStart w:id="573" w:name="_Toc38442920"/>
      <w:bookmarkStart w:id="574" w:name="_Toc38443251"/>
      <w:bookmarkStart w:id="575" w:name="_Toc38443582"/>
      <w:bookmarkStart w:id="576" w:name="_Toc38443912"/>
      <w:bookmarkStart w:id="577" w:name="_Toc38438380"/>
      <w:bookmarkStart w:id="578" w:name="_Toc38438717"/>
      <w:bookmarkStart w:id="579" w:name="_Toc38439054"/>
      <w:bookmarkStart w:id="580" w:name="_Toc38439391"/>
      <w:bookmarkStart w:id="581" w:name="_Toc38439728"/>
      <w:bookmarkStart w:id="582" w:name="_Toc38440065"/>
      <w:bookmarkStart w:id="583" w:name="_Toc38440402"/>
      <w:bookmarkStart w:id="584" w:name="_Toc38440934"/>
      <w:bookmarkStart w:id="585" w:name="_Toc38441266"/>
      <w:bookmarkStart w:id="586" w:name="_Toc38441598"/>
      <w:bookmarkStart w:id="587" w:name="_Toc38441926"/>
      <w:bookmarkStart w:id="588" w:name="_Toc38442258"/>
      <w:bookmarkStart w:id="589" w:name="_Toc38442590"/>
      <w:bookmarkStart w:id="590" w:name="_Toc38442921"/>
      <w:bookmarkStart w:id="591" w:name="_Toc38443252"/>
      <w:bookmarkStart w:id="592" w:name="_Toc38443583"/>
      <w:bookmarkStart w:id="593" w:name="_Toc38443913"/>
      <w:bookmarkStart w:id="594" w:name="_Toc38438381"/>
      <w:bookmarkStart w:id="595" w:name="_Toc38438718"/>
      <w:bookmarkStart w:id="596" w:name="_Toc38439055"/>
      <w:bookmarkStart w:id="597" w:name="_Toc38439392"/>
      <w:bookmarkStart w:id="598" w:name="_Toc38439729"/>
      <w:bookmarkStart w:id="599" w:name="_Toc38440066"/>
      <w:bookmarkStart w:id="600" w:name="_Toc38440403"/>
      <w:bookmarkStart w:id="601" w:name="_Toc38440935"/>
      <w:bookmarkStart w:id="602" w:name="_Toc38441267"/>
      <w:bookmarkStart w:id="603" w:name="_Toc38441599"/>
      <w:bookmarkStart w:id="604" w:name="_Toc38441927"/>
      <w:bookmarkStart w:id="605" w:name="_Toc38442259"/>
      <w:bookmarkStart w:id="606" w:name="_Toc38442591"/>
      <w:bookmarkStart w:id="607" w:name="_Toc38442922"/>
      <w:bookmarkStart w:id="608" w:name="_Toc38443253"/>
      <w:bookmarkStart w:id="609" w:name="_Toc38443584"/>
      <w:bookmarkStart w:id="610" w:name="_Toc38443914"/>
      <w:bookmarkStart w:id="611" w:name="_Toc38438382"/>
      <w:bookmarkStart w:id="612" w:name="_Toc38438719"/>
      <w:bookmarkStart w:id="613" w:name="_Toc38439056"/>
      <w:bookmarkStart w:id="614" w:name="_Toc38439393"/>
      <w:bookmarkStart w:id="615" w:name="_Toc38439730"/>
      <w:bookmarkStart w:id="616" w:name="_Toc38440067"/>
      <w:bookmarkStart w:id="617" w:name="_Toc38440404"/>
      <w:bookmarkStart w:id="618" w:name="_Toc38440936"/>
      <w:bookmarkStart w:id="619" w:name="_Toc38441268"/>
      <w:bookmarkStart w:id="620" w:name="_Toc38441600"/>
      <w:bookmarkStart w:id="621" w:name="_Toc38441928"/>
      <w:bookmarkStart w:id="622" w:name="_Toc38442260"/>
      <w:bookmarkStart w:id="623" w:name="_Toc38442592"/>
      <w:bookmarkStart w:id="624" w:name="_Toc38442923"/>
      <w:bookmarkStart w:id="625" w:name="_Toc38443254"/>
      <w:bookmarkStart w:id="626" w:name="_Toc38443585"/>
      <w:bookmarkStart w:id="627" w:name="_Toc38443915"/>
      <w:bookmarkStart w:id="628" w:name="_Toc38438383"/>
      <w:bookmarkStart w:id="629" w:name="_Toc38438720"/>
      <w:bookmarkStart w:id="630" w:name="_Toc38439057"/>
      <w:bookmarkStart w:id="631" w:name="_Toc38439394"/>
      <w:bookmarkStart w:id="632" w:name="_Toc38439731"/>
      <w:bookmarkStart w:id="633" w:name="_Toc38440068"/>
      <w:bookmarkStart w:id="634" w:name="_Toc38440405"/>
      <w:bookmarkStart w:id="635" w:name="_Toc38440937"/>
      <w:bookmarkStart w:id="636" w:name="_Toc38441269"/>
      <w:bookmarkStart w:id="637" w:name="_Toc38441601"/>
      <w:bookmarkStart w:id="638" w:name="_Toc38441929"/>
      <w:bookmarkStart w:id="639" w:name="_Toc38442261"/>
      <w:bookmarkStart w:id="640" w:name="_Toc38442593"/>
      <w:bookmarkStart w:id="641" w:name="_Toc38442924"/>
      <w:bookmarkStart w:id="642" w:name="_Toc38443255"/>
      <w:bookmarkStart w:id="643" w:name="_Toc38443586"/>
      <w:bookmarkStart w:id="644" w:name="_Toc38443916"/>
      <w:bookmarkStart w:id="645" w:name="_Toc38438384"/>
      <w:bookmarkStart w:id="646" w:name="_Toc38438721"/>
      <w:bookmarkStart w:id="647" w:name="_Toc38439058"/>
      <w:bookmarkStart w:id="648" w:name="_Toc38439395"/>
      <w:bookmarkStart w:id="649" w:name="_Toc38439732"/>
      <w:bookmarkStart w:id="650" w:name="_Toc38440069"/>
      <w:bookmarkStart w:id="651" w:name="_Toc38440406"/>
      <w:bookmarkStart w:id="652" w:name="_Toc38440938"/>
      <w:bookmarkStart w:id="653" w:name="_Toc38441270"/>
      <w:bookmarkStart w:id="654" w:name="_Toc38441602"/>
      <w:bookmarkStart w:id="655" w:name="_Toc38441930"/>
      <w:bookmarkStart w:id="656" w:name="_Toc38442262"/>
      <w:bookmarkStart w:id="657" w:name="_Toc38442594"/>
      <w:bookmarkStart w:id="658" w:name="_Toc38442925"/>
      <w:bookmarkStart w:id="659" w:name="_Toc38443256"/>
      <w:bookmarkStart w:id="660" w:name="_Toc38443587"/>
      <w:bookmarkStart w:id="661" w:name="_Toc38443917"/>
      <w:bookmarkStart w:id="662" w:name="_Toc38438385"/>
      <w:bookmarkStart w:id="663" w:name="_Toc38438722"/>
      <w:bookmarkStart w:id="664" w:name="_Toc38439059"/>
      <w:bookmarkStart w:id="665" w:name="_Toc38439396"/>
      <w:bookmarkStart w:id="666" w:name="_Toc38439733"/>
      <w:bookmarkStart w:id="667" w:name="_Toc38440070"/>
      <w:bookmarkStart w:id="668" w:name="_Toc38440407"/>
      <w:bookmarkStart w:id="669" w:name="_Toc38440939"/>
      <w:bookmarkStart w:id="670" w:name="_Toc38441271"/>
      <w:bookmarkStart w:id="671" w:name="_Toc38441603"/>
      <w:bookmarkStart w:id="672" w:name="_Toc38441931"/>
      <w:bookmarkStart w:id="673" w:name="_Toc38442263"/>
      <w:bookmarkStart w:id="674" w:name="_Toc38442595"/>
      <w:bookmarkStart w:id="675" w:name="_Toc38442926"/>
      <w:bookmarkStart w:id="676" w:name="_Toc38443257"/>
      <w:bookmarkStart w:id="677" w:name="_Toc38443588"/>
      <w:bookmarkStart w:id="678" w:name="_Toc38443918"/>
      <w:bookmarkStart w:id="679" w:name="_Toc38438386"/>
      <w:bookmarkStart w:id="680" w:name="_Toc38438723"/>
      <w:bookmarkStart w:id="681" w:name="_Toc38439060"/>
      <w:bookmarkStart w:id="682" w:name="_Toc38439397"/>
      <w:bookmarkStart w:id="683" w:name="_Toc38439734"/>
      <w:bookmarkStart w:id="684" w:name="_Toc38440071"/>
      <w:bookmarkStart w:id="685" w:name="_Toc38440408"/>
      <w:bookmarkStart w:id="686" w:name="_Toc38440940"/>
      <w:bookmarkStart w:id="687" w:name="_Toc38441272"/>
      <w:bookmarkStart w:id="688" w:name="_Toc38441604"/>
      <w:bookmarkStart w:id="689" w:name="_Toc38441932"/>
      <w:bookmarkStart w:id="690" w:name="_Toc38442264"/>
      <w:bookmarkStart w:id="691" w:name="_Toc38442596"/>
      <w:bookmarkStart w:id="692" w:name="_Toc38442927"/>
      <w:bookmarkStart w:id="693" w:name="_Toc38443258"/>
      <w:bookmarkStart w:id="694" w:name="_Toc38443589"/>
      <w:bookmarkStart w:id="695" w:name="_Toc38443919"/>
      <w:bookmarkStart w:id="696" w:name="_Toc38438387"/>
      <w:bookmarkStart w:id="697" w:name="_Toc38438724"/>
      <w:bookmarkStart w:id="698" w:name="_Toc38439061"/>
      <w:bookmarkStart w:id="699" w:name="_Toc38439398"/>
      <w:bookmarkStart w:id="700" w:name="_Toc38439735"/>
      <w:bookmarkStart w:id="701" w:name="_Toc38440072"/>
      <w:bookmarkStart w:id="702" w:name="_Toc38440409"/>
      <w:bookmarkStart w:id="703" w:name="_Toc38440941"/>
      <w:bookmarkStart w:id="704" w:name="_Toc38441273"/>
      <w:bookmarkStart w:id="705" w:name="_Toc38441605"/>
      <w:bookmarkStart w:id="706" w:name="_Toc38441933"/>
      <w:bookmarkStart w:id="707" w:name="_Toc38442265"/>
      <w:bookmarkStart w:id="708" w:name="_Toc38442597"/>
      <w:bookmarkStart w:id="709" w:name="_Toc38442928"/>
      <w:bookmarkStart w:id="710" w:name="_Toc38443259"/>
      <w:bookmarkStart w:id="711" w:name="_Toc38443590"/>
      <w:bookmarkStart w:id="712" w:name="_Toc38443920"/>
      <w:bookmarkStart w:id="713" w:name="_Toc38438388"/>
      <w:bookmarkStart w:id="714" w:name="_Toc38438725"/>
      <w:bookmarkStart w:id="715" w:name="_Toc38439062"/>
      <w:bookmarkStart w:id="716" w:name="_Toc38439399"/>
      <w:bookmarkStart w:id="717" w:name="_Toc38439736"/>
      <w:bookmarkStart w:id="718" w:name="_Toc38440073"/>
      <w:bookmarkStart w:id="719" w:name="_Toc38440410"/>
      <w:bookmarkStart w:id="720" w:name="_Toc38440942"/>
      <w:bookmarkStart w:id="721" w:name="_Toc38441274"/>
      <w:bookmarkStart w:id="722" w:name="_Toc38441606"/>
      <w:bookmarkStart w:id="723" w:name="_Toc38441934"/>
      <w:bookmarkStart w:id="724" w:name="_Toc38442266"/>
      <w:bookmarkStart w:id="725" w:name="_Toc38442598"/>
      <w:bookmarkStart w:id="726" w:name="_Toc38442929"/>
      <w:bookmarkStart w:id="727" w:name="_Toc38443260"/>
      <w:bookmarkStart w:id="728" w:name="_Toc38443591"/>
      <w:bookmarkStart w:id="729" w:name="_Toc38443921"/>
      <w:bookmarkStart w:id="730" w:name="_Toc38438389"/>
      <w:bookmarkStart w:id="731" w:name="_Toc38438726"/>
      <w:bookmarkStart w:id="732" w:name="_Toc38439063"/>
      <w:bookmarkStart w:id="733" w:name="_Toc38439400"/>
      <w:bookmarkStart w:id="734" w:name="_Toc38439737"/>
      <w:bookmarkStart w:id="735" w:name="_Toc38440074"/>
      <w:bookmarkStart w:id="736" w:name="_Toc38440411"/>
      <w:bookmarkStart w:id="737" w:name="_Toc38440943"/>
      <w:bookmarkStart w:id="738" w:name="_Toc38441275"/>
      <w:bookmarkStart w:id="739" w:name="_Toc38441607"/>
      <w:bookmarkStart w:id="740" w:name="_Toc38441935"/>
      <w:bookmarkStart w:id="741" w:name="_Toc38442267"/>
      <w:bookmarkStart w:id="742" w:name="_Toc38442599"/>
      <w:bookmarkStart w:id="743" w:name="_Toc38442930"/>
      <w:bookmarkStart w:id="744" w:name="_Toc38443261"/>
      <w:bookmarkStart w:id="745" w:name="_Toc38443592"/>
      <w:bookmarkStart w:id="746" w:name="_Toc38443922"/>
      <w:bookmarkStart w:id="747" w:name="_Toc38438390"/>
      <w:bookmarkStart w:id="748" w:name="_Toc38438727"/>
      <w:bookmarkStart w:id="749" w:name="_Toc38439064"/>
      <w:bookmarkStart w:id="750" w:name="_Toc38439401"/>
      <w:bookmarkStart w:id="751" w:name="_Toc38439738"/>
      <w:bookmarkStart w:id="752" w:name="_Toc38440075"/>
      <w:bookmarkStart w:id="753" w:name="_Toc38440412"/>
      <w:bookmarkStart w:id="754" w:name="_Toc38440944"/>
      <w:bookmarkStart w:id="755" w:name="_Toc38441276"/>
      <w:bookmarkStart w:id="756" w:name="_Toc38441608"/>
      <w:bookmarkStart w:id="757" w:name="_Toc38441936"/>
      <w:bookmarkStart w:id="758" w:name="_Toc38442268"/>
      <w:bookmarkStart w:id="759" w:name="_Toc38442600"/>
      <w:bookmarkStart w:id="760" w:name="_Toc38442931"/>
      <w:bookmarkStart w:id="761" w:name="_Toc38443262"/>
      <w:bookmarkStart w:id="762" w:name="_Toc38443593"/>
      <w:bookmarkStart w:id="763" w:name="_Toc38443923"/>
      <w:bookmarkStart w:id="764" w:name="_Toc38438391"/>
      <w:bookmarkStart w:id="765" w:name="_Toc38438728"/>
      <w:bookmarkStart w:id="766" w:name="_Toc38439065"/>
      <w:bookmarkStart w:id="767" w:name="_Toc38439402"/>
      <w:bookmarkStart w:id="768" w:name="_Toc38439739"/>
      <w:bookmarkStart w:id="769" w:name="_Toc38440076"/>
      <w:bookmarkStart w:id="770" w:name="_Toc38440413"/>
      <w:bookmarkStart w:id="771" w:name="_Toc38440945"/>
      <w:bookmarkStart w:id="772" w:name="_Toc38441277"/>
      <w:bookmarkStart w:id="773" w:name="_Toc38441609"/>
      <w:bookmarkStart w:id="774" w:name="_Toc38441937"/>
      <w:bookmarkStart w:id="775" w:name="_Toc38442269"/>
      <w:bookmarkStart w:id="776" w:name="_Toc38442601"/>
      <w:bookmarkStart w:id="777" w:name="_Toc38442932"/>
      <w:bookmarkStart w:id="778" w:name="_Toc38443263"/>
      <w:bookmarkStart w:id="779" w:name="_Toc38443594"/>
      <w:bookmarkStart w:id="780" w:name="_Toc38443924"/>
      <w:bookmarkStart w:id="781" w:name="_Toc38438392"/>
      <w:bookmarkStart w:id="782" w:name="_Toc38438729"/>
      <w:bookmarkStart w:id="783" w:name="_Toc38439066"/>
      <w:bookmarkStart w:id="784" w:name="_Toc38439403"/>
      <w:bookmarkStart w:id="785" w:name="_Toc38439740"/>
      <w:bookmarkStart w:id="786" w:name="_Toc38440077"/>
      <w:bookmarkStart w:id="787" w:name="_Toc38440414"/>
      <w:bookmarkStart w:id="788" w:name="_Toc38440946"/>
      <w:bookmarkStart w:id="789" w:name="_Toc38441278"/>
      <w:bookmarkStart w:id="790" w:name="_Toc38441610"/>
      <w:bookmarkStart w:id="791" w:name="_Toc38441938"/>
      <w:bookmarkStart w:id="792" w:name="_Toc38442270"/>
      <w:bookmarkStart w:id="793" w:name="_Toc38442602"/>
      <w:bookmarkStart w:id="794" w:name="_Toc38442933"/>
      <w:bookmarkStart w:id="795" w:name="_Toc38443264"/>
      <w:bookmarkStart w:id="796" w:name="_Toc38443595"/>
      <w:bookmarkStart w:id="797" w:name="_Toc38443925"/>
      <w:bookmarkStart w:id="798" w:name="_Toc38438393"/>
      <w:bookmarkStart w:id="799" w:name="_Toc38438730"/>
      <w:bookmarkStart w:id="800" w:name="_Toc38439067"/>
      <w:bookmarkStart w:id="801" w:name="_Toc38439404"/>
      <w:bookmarkStart w:id="802" w:name="_Toc38439741"/>
      <w:bookmarkStart w:id="803" w:name="_Toc38440078"/>
      <w:bookmarkStart w:id="804" w:name="_Toc38440415"/>
      <w:bookmarkStart w:id="805" w:name="_Toc38440947"/>
      <w:bookmarkStart w:id="806" w:name="_Toc38441279"/>
      <w:bookmarkStart w:id="807" w:name="_Toc38441611"/>
      <w:bookmarkStart w:id="808" w:name="_Toc38441939"/>
      <w:bookmarkStart w:id="809" w:name="_Toc38442271"/>
      <w:bookmarkStart w:id="810" w:name="_Toc38442603"/>
      <w:bookmarkStart w:id="811" w:name="_Toc38442934"/>
      <w:bookmarkStart w:id="812" w:name="_Toc38443265"/>
      <w:bookmarkStart w:id="813" w:name="_Toc38443596"/>
      <w:bookmarkStart w:id="814" w:name="_Toc38443926"/>
      <w:bookmarkStart w:id="815" w:name="_Toc38438394"/>
      <w:bookmarkStart w:id="816" w:name="_Toc38438731"/>
      <w:bookmarkStart w:id="817" w:name="_Toc38439068"/>
      <w:bookmarkStart w:id="818" w:name="_Toc38439405"/>
      <w:bookmarkStart w:id="819" w:name="_Toc38439742"/>
      <w:bookmarkStart w:id="820" w:name="_Toc38440079"/>
      <w:bookmarkStart w:id="821" w:name="_Toc38440416"/>
      <w:bookmarkStart w:id="822" w:name="_Toc38440948"/>
      <w:bookmarkStart w:id="823" w:name="_Toc38441280"/>
      <w:bookmarkStart w:id="824" w:name="_Toc38441612"/>
      <w:bookmarkStart w:id="825" w:name="_Toc38441940"/>
      <w:bookmarkStart w:id="826" w:name="_Toc38442272"/>
      <w:bookmarkStart w:id="827" w:name="_Toc38442604"/>
      <w:bookmarkStart w:id="828" w:name="_Toc38442935"/>
      <w:bookmarkStart w:id="829" w:name="_Toc38443266"/>
      <w:bookmarkStart w:id="830" w:name="_Toc38443597"/>
      <w:bookmarkStart w:id="831" w:name="_Toc38443927"/>
      <w:bookmarkStart w:id="832" w:name="_Toc38438395"/>
      <w:bookmarkStart w:id="833" w:name="_Toc38438732"/>
      <w:bookmarkStart w:id="834" w:name="_Toc38439069"/>
      <w:bookmarkStart w:id="835" w:name="_Toc38439406"/>
      <w:bookmarkStart w:id="836" w:name="_Toc38439743"/>
      <w:bookmarkStart w:id="837" w:name="_Toc38440080"/>
      <w:bookmarkStart w:id="838" w:name="_Toc38440417"/>
      <w:bookmarkStart w:id="839" w:name="_Toc38440949"/>
      <w:bookmarkStart w:id="840" w:name="_Toc38441281"/>
      <w:bookmarkStart w:id="841" w:name="_Toc38441613"/>
      <w:bookmarkStart w:id="842" w:name="_Toc38441941"/>
      <w:bookmarkStart w:id="843" w:name="_Toc38442273"/>
      <w:bookmarkStart w:id="844" w:name="_Toc38442605"/>
      <w:bookmarkStart w:id="845" w:name="_Toc38442936"/>
      <w:bookmarkStart w:id="846" w:name="_Toc38443267"/>
      <w:bookmarkStart w:id="847" w:name="_Toc38443598"/>
      <w:bookmarkStart w:id="848" w:name="_Toc38443928"/>
      <w:bookmarkStart w:id="849" w:name="_Toc38438396"/>
      <w:bookmarkStart w:id="850" w:name="_Toc38438733"/>
      <w:bookmarkStart w:id="851" w:name="_Toc38439070"/>
      <w:bookmarkStart w:id="852" w:name="_Toc38439407"/>
      <w:bookmarkStart w:id="853" w:name="_Toc38439744"/>
      <w:bookmarkStart w:id="854" w:name="_Toc38440081"/>
      <w:bookmarkStart w:id="855" w:name="_Toc38440418"/>
      <w:bookmarkStart w:id="856" w:name="_Toc38440950"/>
      <w:bookmarkStart w:id="857" w:name="_Toc38441282"/>
      <w:bookmarkStart w:id="858" w:name="_Toc38441614"/>
      <w:bookmarkStart w:id="859" w:name="_Toc38441942"/>
      <w:bookmarkStart w:id="860" w:name="_Toc38442274"/>
      <w:bookmarkStart w:id="861" w:name="_Toc38442606"/>
      <w:bookmarkStart w:id="862" w:name="_Toc38442937"/>
      <w:bookmarkStart w:id="863" w:name="_Toc38443268"/>
      <w:bookmarkStart w:id="864" w:name="_Toc38443599"/>
      <w:bookmarkStart w:id="865" w:name="_Toc38443929"/>
      <w:bookmarkStart w:id="866" w:name="_Toc38438397"/>
      <w:bookmarkStart w:id="867" w:name="_Toc38438734"/>
      <w:bookmarkStart w:id="868" w:name="_Toc38439071"/>
      <w:bookmarkStart w:id="869" w:name="_Toc38439408"/>
      <w:bookmarkStart w:id="870" w:name="_Toc38439745"/>
      <w:bookmarkStart w:id="871" w:name="_Toc38440082"/>
      <w:bookmarkStart w:id="872" w:name="_Toc38440419"/>
      <w:bookmarkStart w:id="873" w:name="_Toc38440951"/>
      <w:bookmarkStart w:id="874" w:name="_Toc38441283"/>
      <w:bookmarkStart w:id="875" w:name="_Toc38441615"/>
      <w:bookmarkStart w:id="876" w:name="_Toc38441943"/>
      <w:bookmarkStart w:id="877" w:name="_Toc38442275"/>
      <w:bookmarkStart w:id="878" w:name="_Toc38442607"/>
      <w:bookmarkStart w:id="879" w:name="_Toc38442938"/>
      <w:bookmarkStart w:id="880" w:name="_Toc38443269"/>
      <w:bookmarkStart w:id="881" w:name="_Toc38443600"/>
      <w:bookmarkStart w:id="882" w:name="_Toc38443930"/>
      <w:bookmarkStart w:id="883" w:name="_Toc38438398"/>
      <w:bookmarkStart w:id="884" w:name="_Toc38438735"/>
      <w:bookmarkStart w:id="885" w:name="_Toc38439072"/>
      <w:bookmarkStart w:id="886" w:name="_Toc38439409"/>
      <w:bookmarkStart w:id="887" w:name="_Toc38439746"/>
      <w:bookmarkStart w:id="888" w:name="_Toc38440083"/>
      <w:bookmarkStart w:id="889" w:name="_Toc38440420"/>
      <w:bookmarkStart w:id="890" w:name="_Toc38440952"/>
      <w:bookmarkStart w:id="891" w:name="_Toc38441284"/>
      <w:bookmarkStart w:id="892" w:name="_Toc38441616"/>
      <w:bookmarkStart w:id="893" w:name="_Toc38441944"/>
      <w:bookmarkStart w:id="894" w:name="_Toc38442276"/>
      <w:bookmarkStart w:id="895" w:name="_Toc38442608"/>
      <w:bookmarkStart w:id="896" w:name="_Toc38442939"/>
      <w:bookmarkStart w:id="897" w:name="_Toc38443270"/>
      <w:bookmarkStart w:id="898" w:name="_Toc38443601"/>
      <w:bookmarkStart w:id="899" w:name="_Toc38443931"/>
      <w:bookmarkStart w:id="900" w:name="_Toc38438400"/>
      <w:bookmarkStart w:id="901" w:name="_Toc38438737"/>
      <w:bookmarkStart w:id="902" w:name="_Toc38439074"/>
      <w:bookmarkStart w:id="903" w:name="_Toc38439411"/>
      <w:bookmarkStart w:id="904" w:name="_Toc38439748"/>
      <w:bookmarkStart w:id="905" w:name="_Toc38440085"/>
      <w:bookmarkStart w:id="906" w:name="_Toc38440422"/>
      <w:bookmarkStart w:id="907" w:name="_Toc38440954"/>
      <w:bookmarkStart w:id="908" w:name="_Toc38441286"/>
      <w:bookmarkStart w:id="909" w:name="_Toc38441618"/>
      <w:bookmarkStart w:id="910" w:name="_Toc38441946"/>
      <w:bookmarkStart w:id="911" w:name="_Toc38442278"/>
      <w:bookmarkStart w:id="912" w:name="_Toc38442610"/>
      <w:bookmarkStart w:id="913" w:name="_Toc38442941"/>
      <w:bookmarkStart w:id="914" w:name="_Toc38443272"/>
      <w:bookmarkStart w:id="915" w:name="_Toc38443603"/>
      <w:bookmarkStart w:id="916" w:name="_Toc38443933"/>
      <w:bookmarkStart w:id="917" w:name="_Toc38438401"/>
      <w:bookmarkStart w:id="918" w:name="_Toc38438738"/>
      <w:bookmarkStart w:id="919" w:name="_Toc38439075"/>
      <w:bookmarkStart w:id="920" w:name="_Toc38439412"/>
      <w:bookmarkStart w:id="921" w:name="_Toc38439749"/>
      <w:bookmarkStart w:id="922" w:name="_Toc38440086"/>
      <w:bookmarkStart w:id="923" w:name="_Toc38440423"/>
      <w:bookmarkStart w:id="924" w:name="_Toc38440955"/>
      <w:bookmarkStart w:id="925" w:name="_Toc38441287"/>
      <w:bookmarkStart w:id="926" w:name="_Toc38441619"/>
      <w:bookmarkStart w:id="927" w:name="_Toc38441947"/>
      <w:bookmarkStart w:id="928" w:name="_Toc38442279"/>
      <w:bookmarkStart w:id="929" w:name="_Toc38442611"/>
      <w:bookmarkStart w:id="930" w:name="_Toc38442942"/>
      <w:bookmarkStart w:id="931" w:name="_Toc38443273"/>
      <w:bookmarkStart w:id="932" w:name="_Toc38443604"/>
      <w:bookmarkStart w:id="933" w:name="_Toc38443934"/>
      <w:bookmarkStart w:id="934" w:name="_Toc38438402"/>
      <w:bookmarkStart w:id="935" w:name="_Toc38438739"/>
      <w:bookmarkStart w:id="936" w:name="_Toc38439076"/>
      <w:bookmarkStart w:id="937" w:name="_Toc38439413"/>
      <w:bookmarkStart w:id="938" w:name="_Toc38439750"/>
      <w:bookmarkStart w:id="939" w:name="_Toc38440087"/>
      <w:bookmarkStart w:id="940" w:name="_Toc38440424"/>
      <w:bookmarkStart w:id="941" w:name="_Toc38440956"/>
      <w:bookmarkStart w:id="942" w:name="_Toc38441288"/>
      <w:bookmarkStart w:id="943" w:name="_Toc38441620"/>
      <w:bookmarkStart w:id="944" w:name="_Toc38441948"/>
      <w:bookmarkStart w:id="945" w:name="_Toc38442280"/>
      <w:bookmarkStart w:id="946" w:name="_Toc38442612"/>
      <w:bookmarkStart w:id="947" w:name="_Toc38442943"/>
      <w:bookmarkStart w:id="948" w:name="_Toc38443274"/>
      <w:bookmarkStart w:id="949" w:name="_Toc38443605"/>
      <w:bookmarkStart w:id="950" w:name="_Toc38443935"/>
      <w:bookmarkStart w:id="951" w:name="_Toc38438404"/>
      <w:bookmarkStart w:id="952" w:name="_Toc38438741"/>
      <w:bookmarkStart w:id="953" w:name="_Toc38439078"/>
      <w:bookmarkStart w:id="954" w:name="_Toc38439415"/>
      <w:bookmarkStart w:id="955" w:name="_Toc38439752"/>
      <w:bookmarkStart w:id="956" w:name="_Toc38440089"/>
      <w:bookmarkStart w:id="957" w:name="_Toc38440426"/>
      <w:bookmarkStart w:id="958" w:name="_Toc38440958"/>
      <w:bookmarkStart w:id="959" w:name="_Toc38441290"/>
      <w:bookmarkStart w:id="960" w:name="_Toc38441622"/>
      <w:bookmarkStart w:id="961" w:name="_Toc38441950"/>
      <w:bookmarkStart w:id="962" w:name="_Toc38442282"/>
      <w:bookmarkStart w:id="963" w:name="_Toc38442614"/>
      <w:bookmarkStart w:id="964" w:name="_Toc38442945"/>
      <w:bookmarkStart w:id="965" w:name="_Toc38443276"/>
      <w:bookmarkStart w:id="966" w:name="_Toc38443607"/>
      <w:bookmarkStart w:id="967" w:name="_Toc38443937"/>
      <w:bookmarkStart w:id="968" w:name="_Toc38438405"/>
      <w:bookmarkStart w:id="969" w:name="_Toc38438742"/>
      <w:bookmarkStart w:id="970" w:name="_Toc38439079"/>
      <w:bookmarkStart w:id="971" w:name="_Toc38439416"/>
      <w:bookmarkStart w:id="972" w:name="_Toc38439753"/>
      <w:bookmarkStart w:id="973" w:name="_Toc38440090"/>
      <w:bookmarkStart w:id="974" w:name="_Toc38440427"/>
      <w:bookmarkStart w:id="975" w:name="_Toc38440959"/>
      <w:bookmarkStart w:id="976" w:name="_Toc38441291"/>
      <w:bookmarkStart w:id="977" w:name="_Toc38441623"/>
      <w:bookmarkStart w:id="978" w:name="_Toc38441951"/>
      <w:bookmarkStart w:id="979" w:name="_Toc38442283"/>
      <w:bookmarkStart w:id="980" w:name="_Toc38442615"/>
      <w:bookmarkStart w:id="981" w:name="_Toc38442946"/>
      <w:bookmarkStart w:id="982" w:name="_Toc38443277"/>
      <w:bookmarkStart w:id="983" w:name="_Toc38443608"/>
      <w:bookmarkStart w:id="984" w:name="_Toc38443938"/>
      <w:bookmarkStart w:id="985" w:name="_Toc38438406"/>
      <w:bookmarkStart w:id="986" w:name="_Toc38438743"/>
      <w:bookmarkStart w:id="987" w:name="_Toc38439080"/>
      <w:bookmarkStart w:id="988" w:name="_Toc38439417"/>
      <w:bookmarkStart w:id="989" w:name="_Toc38439754"/>
      <w:bookmarkStart w:id="990" w:name="_Toc38440091"/>
      <w:bookmarkStart w:id="991" w:name="_Toc38440428"/>
      <w:bookmarkStart w:id="992" w:name="_Toc38440960"/>
      <w:bookmarkStart w:id="993" w:name="_Toc38441292"/>
      <w:bookmarkStart w:id="994" w:name="_Toc38441624"/>
      <w:bookmarkStart w:id="995" w:name="_Toc38441952"/>
      <w:bookmarkStart w:id="996" w:name="_Toc38442284"/>
      <w:bookmarkStart w:id="997" w:name="_Toc38442616"/>
      <w:bookmarkStart w:id="998" w:name="_Toc38442947"/>
      <w:bookmarkStart w:id="999" w:name="_Toc38443278"/>
      <w:bookmarkStart w:id="1000" w:name="_Toc38443609"/>
      <w:bookmarkStart w:id="1001" w:name="_Toc38443939"/>
      <w:bookmarkStart w:id="1002" w:name="_Toc38438407"/>
      <w:bookmarkStart w:id="1003" w:name="_Toc38438744"/>
      <w:bookmarkStart w:id="1004" w:name="_Toc38439081"/>
      <w:bookmarkStart w:id="1005" w:name="_Toc38439418"/>
      <w:bookmarkStart w:id="1006" w:name="_Toc38439755"/>
      <w:bookmarkStart w:id="1007" w:name="_Toc38440092"/>
      <w:bookmarkStart w:id="1008" w:name="_Toc38440429"/>
      <w:bookmarkStart w:id="1009" w:name="_Toc38440961"/>
      <w:bookmarkStart w:id="1010" w:name="_Toc38441293"/>
      <w:bookmarkStart w:id="1011" w:name="_Toc38441625"/>
      <w:bookmarkStart w:id="1012" w:name="_Toc38441953"/>
      <w:bookmarkStart w:id="1013" w:name="_Toc38442285"/>
      <w:bookmarkStart w:id="1014" w:name="_Toc38442617"/>
      <w:bookmarkStart w:id="1015" w:name="_Toc38442948"/>
      <w:bookmarkStart w:id="1016" w:name="_Toc38443279"/>
      <w:bookmarkStart w:id="1017" w:name="_Toc38443610"/>
      <w:bookmarkStart w:id="1018" w:name="_Toc38443940"/>
      <w:bookmarkStart w:id="1019" w:name="_Toc38438408"/>
      <w:bookmarkStart w:id="1020" w:name="_Toc38438745"/>
      <w:bookmarkStart w:id="1021" w:name="_Toc38439082"/>
      <w:bookmarkStart w:id="1022" w:name="_Toc38439419"/>
      <w:bookmarkStart w:id="1023" w:name="_Toc38439756"/>
      <w:bookmarkStart w:id="1024" w:name="_Toc38440093"/>
      <w:bookmarkStart w:id="1025" w:name="_Toc38440430"/>
      <w:bookmarkStart w:id="1026" w:name="_Toc38440962"/>
      <w:bookmarkStart w:id="1027" w:name="_Toc38441294"/>
      <w:bookmarkStart w:id="1028" w:name="_Toc38441626"/>
      <w:bookmarkStart w:id="1029" w:name="_Toc38441954"/>
      <w:bookmarkStart w:id="1030" w:name="_Toc38442286"/>
      <w:bookmarkStart w:id="1031" w:name="_Toc38442618"/>
      <w:bookmarkStart w:id="1032" w:name="_Toc38442949"/>
      <w:bookmarkStart w:id="1033" w:name="_Toc38443280"/>
      <w:bookmarkStart w:id="1034" w:name="_Toc38443611"/>
      <w:bookmarkStart w:id="1035" w:name="_Toc38443941"/>
      <w:bookmarkStart w:id="1036" w:name="_Toc38438409"/>
      <w:bookmarkStart w:id="1037" w:name="_Toc38438746"/>
      <w:bookmarkStart w:id="1038" w:name="_Toc38439083"/>
      <w:bookmarkStart w:id="1039" w:name="_Toc38439420"/>
      <w:bookmarkStart w:id="1040" w:name="_Toc38439757"/>
      <w:bookmarkStart w:id="1041" w:name="_Toc38440094"/>
      <w:bookmarkStart w:id="1042" w:name="_Toc38440431"/>
      <w:bookmarkStart w:id="1043" w:name="_Toc38440963"/>
      <w:bookmarkStart w:id="1044" w:name="_Toc38441295"/>
      <w:bookmarkStart w:id="1045" w:name="_Toc38441627"/>
      <w:bookmarkStart w:id="1046" w:name="_Toc38441955"/>
      <w:bookmarkStart w:id="1047" w:name="_Toc38442287"/>
      <w:bookmarkStart w:id="1048" w:name="_Toc38442619"/>
      <w:bookmarkStart w:id="1049" w:name="_Toc38442950"/>
      <w:bookmarkStart w:id="1050" w:name="_Toc38443281"/>
      <w:bookmarkStart w:id="1051" w:name="_Toc38443612"/>
      <w:bookmarkStart w:id="1052" w:name="_Toc38443942"/>
      <w:bookmarkStart w:id="1053" w:name="_Toc38438410"/>
      <w:bookmarkStart w:id="1054" w:name="_Toc38438747"/>
      <w:bookmarkStart w:id="1055" w:name="_Toc38439084"/>
      <w:bookmarkStart w:id="1056" w:name="_Toc38439421"/>
      <w:bookmarkStart w:id="1057" w:name="_Toc38439758"/>
      <w:bookmarkStart w:id="1058" w:name="_Toc38440095"/>
      <w:bookmarkStart w:id="1059" w:name="_Toc38440432"/>
      <w:bookmarkStart w:id="1060" w:name="_Toc38440964"/>
      <w:bookmarkStart w:id="1061" w:name="_Toc38441296"/>
      <w:bookmarkStart w:id="1062" w:name="_Toc38441628"/>
      <w:bookmarkStart w:id="1063" w:name="_Toc38441956"/>
      <w:bookmarkStart w:id="1064" w:name="_Toc38442288"/>
      <w:bookmarkStart w:id="1065" w:name="_Toc38442620"/>
      <w:bookmarkStart w:id="1066" w:name="_Toc38442951"/>
      <w:bookmarkStart w:id="1067" w:name="_Toc38443282"/>
      <w:bookmarkStart w:id="1068" w:name="_Toc38443613"/>
      <w:bookmarkStart w:id="1069" w:name="_Toc38443943"/>
      <w:bookmarkStart w:id="1070" w:name="_Toc38438411"/>
      <w:bookmarkStart w:id="1071" w:name="_Toc38438748"/>
      <w:bookmarkStart w:id="1072" w:name="_Toc38439085"/>
      <w:bookmarkStart w:id="1073" w:name="_Toc38439422"/>
      <w:bookmarkStart w:id="1074" w:name="_Toc38439759"/>
      <w:bookmarkStart w:id="1075" w:name="_Toc38440096"/>
      <w:bookmarkStart w:id="1076" w:name="_Toc38440433"/>
      <w:bookmarkStart w:id="1077" w:name="_Toc38440965"/>
      <w:bookmarkStart w:id="1078" w:name="_Toc38441297"/>
      <w:bookmarkStart w:id="1079" w:name="_Toc38441629"/>
      <w:bookmarkStart w:id="1080" w:name="_Toc38441957"/>
      <w:bookmarkStart w:id="1081" w:name="_Toc38442289"/>
      <w:bookmarkStart w:id="1082" w:name="_Toc38442621"/>
      <w:bookmarkStart w:id="1083" w:name="_Toc38442952"/>
      <w:bookmarkStart w:id="1084" w:name="_Toc38443283"/>
      <w:bookmarkStart w:id="1085" w:name="_Toc38443614"/>
      <w:bookmarkStart w:id="1086" w:name="_Toc38443944"/>
      <w:bookmarkStart w:id="1087" w:name="_Toc38438412"/>
      <w:bookmarkStart w:id="1088" w:name="_Toc38438749"/>
      <w:bookmarkStart w:id="1089" w:name="_Toc38439086"/>
      <w:bookmarkStart w:id="1090" w:name="_Toc38439423"/>
      <w:bookmarkStart w:id="1091" w:name="_Toc38439760"/>
      <w:bookmarkStart w:id="1092" w:name="_Toc38440097"/>
      <w:bookmarkStart w:id="1093" w:name="_Toc38440434"/>
      <w:bookmarkStart w:id="1094" w:name="_Toc38440966"/>
      <w:bookmarkStart w:id="1095" w:name="_Toc38441298"/>
      <w:bookmarkStart w:id="1096" w:name="_Toc38441630"/>
      <w:bookmarkStart w:id="1097" w:name="_Toc38441958"/>
      <w:bookmarkStart w:id="1098" w:name="_Toc38442290"/>
      <w:bookmarkStart w:id="1099" w:name="_Toc38442622"/>
      <w:bookmarkStart w:id="1100" w:name="_Toc38442953"/>
      <w:bookmarkStart w:id="1101" w:name="_Toc38443284"/>
      <w:bookmarkStart w:id="1102" w:name="_Toc38443615"/>
      <w:bookmarkStart w:id="1103" w:name="_Toc38443945"/>
      <w:bookmarkStart w:id="1104" w:name="_Toc38438413"/>
      <w:bookmarkStart w:id="1105" w:name="_Toc38438750"/>
      <w:bookmarkStart w:id="1106" w:name="_Toc38439087"/>
      <w:bookmarkStart w:id="1107" w:name="_Toc38439424"/>
      <w:bookmarkStart w:id="1108" w:name="_Toc38439761"/>
      <w:bookmarkStart w:id="1109" w:name="_Toc38440098"/>
      <w:bookmarkStart w:id="1110" w:name="_Toc38440435"/>
      <w:bookmarkStart w:id="1111" w:name="_Toc38440967"/>
      <w:bookmarkStart w:id="1112" w:name="_Toc38441299"/>
      <w:bookmarkStart w:id="1113" w:name="_Toc38441631"/>
      <w:bookmarkStart w:id="1114" w:name="_Toc38441959"/>
      <w:bookmarkStart w:id="1115" w:name="_Toc38442291"/>
      <w:bookmarkStart w:id="1116" w:name="_Toc38442623"/>
      <w:bookmarkStart w:id="1117" w:name="_Toc38442954"/>
      <w:bookmarkStart w:id="1118" w:name="_Toc38443285"/>
      <w:bookmarkStart w:id="1119" w:name="_Toc38443616"/>
      <w:bookmarkStart w:id="1120" w:name="_Toc38443946"/>
      <w:bookmarkStart w:id="1121" w:name="_Toc38438414"/>
      <w:bookmarkStart w:id="1122" w:name="_Toc38438751"/>
      <w:bookmarkStart w:id="1123" w:name="_Toc38439088"/>
      <w:bookmarkStart w:id="1124" w:name="_Toc38439425"/>
      <w:bookmarkStart w:id="1125" w:name="_Toc38439762"/>
      <w:bookmarkStart w:id="1126" w:name="_Toc38440099"/>
      <w:bookmarkStart w:id="1127" w:name="_Toc38440436"/>
      <w:bookmarkStart w:id="1128" w:name="_Toc38440968"/>
      <w:bookmarkStart w:id="1129" w:name="_Toc38441300"/>
      <w:bookmarkStart w:id="1130" w:name="_Toc38441632"/>
      <w:bookmarkStart w:id="1131" w:name="_Toc38441960"/>
      <w:bookmarkStart w:id="1132" w:name="_Toc38442292"/>
      <w:bookmarkStart w:id="1133" w:name="_Toc38442624"/>
      <w:bookmarkStart w:id="1134" w:name="_Toc38442955"/>
      <w:bookmarkStart w:id="1135" w:name="_Toc38443286"/>
      <w:bookmarkStart w:id="1136" w:name="_Toc38443617"/>
      <w:bookmarkStart w:id="1137" w:name="_Toc38443947"/>
      <w:bookmarkStart w:id="1138" w:name="_Toc38438415"/>
      <w:bookmarkStart w:id="1139" w:name="_Toc38438752"/>
      <w:bookmarkStart w:id="1140" w:name="_Toc38439089"/>
      <w:bookmarkStart w:id="1141" w:name="_Toc38439426"/>
      <w:bookmarkStart w:id="1142" w:name="_Toc38439763"/>
      <w:bookmarkStart w:id="1143" w:name="_Toc38440100"/>
      <w:bookmarkStart w:id="1144" w:name="_Toc38440437"/>
      <w:bookmarkStart w:id="1145" w:name="_Toc38440969"/>
      <w:bookmarkStart w:id="1146" w:name="_Toc38441301"/>
      <w:bookmarkStart w:id="1147" w:name="_Toc38441633"/>
      <w:bookmarkStart w:id="1148" w:name="_Toc38441961"/>
      <w:bookmarkStart w:id="1149" w:name="_Toc38442293"/>
      <w:bookmarkStart w:id="1150" w:name="_Toc38442625"/>
      <w:bookmarkStart w:id="1151" w:name="_Toc38442956"/>
      <w:bookmarkStart w:id="1152" w:name="_Toc38443287"/>
      <w:bookmarkStart w:id="1153" w:name="_Toc38443618"/>
      <w:bookmarkStart w:id="1154" w:name="_Toc38443948"/>
      <w:bookmarkStart w:id="1155" w:name="_Toc38438416"/>
      <w:bookmarkStart w:id="1156" w:name="_Toc38438753"/>
      <w:bookmarkStart w:id="1157" w:name="_Toc38439090"/>
      <w:bookmarkStart w:id="1158" w:name="_Toc38439427"/>
      <w:bookmarkStart w:id="1159" w:name="_Toc38439764"/>
      <w:bookmarkStart w:id="1160" w:name="_Toc38440101"/>
      <w:bookmarkStart w:id="1161" w:name="_Toc38440438"/>
      <w:bookmarkStart w:id="1162" w:name="_Toc38440970"/>
      <w:bookmarkStart w:id="1163" w:name="_Toc38441302"/>
      <w:bookmarkStart w:id="1164" w:name="_Toc38441634"/>
      <w:bookmarkStart w:id="1165" w:name="_Toc38441962"/>
      <w:bookmarkStart w:id="1166" w:name="_Toc38442294"/>
      <w:bookmarkStart w:id="1167" w:name="_Toc38442626"/>
      <w:bookmarkStart w:id="1168" w:name="_Toc38442957"/>
      <w:bookmarkStart w:id="1169" w:name="_Toc38443288"/>
      <w:bookmarkStart w:id="1170" w:name="_Toc38443619"/>
      <w:bookmarkStart w:id="1171" w:name="_Toc38443949"/>
      <w:bookmarkStart w:id="1172" w:name="_Toc38438417"/>
      <w:bookmarkStart w:id="1173" w:name="_Toc38438754"/>
      <w:bookmarkStart w:id="1174" w:name="_Toc38439091"/>
      <w:bookmarkStart w:id="1175" w:name="_Toc38439428"/>
      <w:bookmarkStart w:id="1176" w:name="_Toc38439765"/>
      <w:bookmarkStart w:id="1177" w:name="_Toc38440102"/>
      <w:bookmarkStart w:id="1178" w:name="_Toc38440439"/>
      <w:bookmarkStart w:id="1179" w:name="_Toc38440971"/>
      <w:bookmarkStart w:id="1180" w:name="_Toc38441303"/>
      <w:bookmarkStart w:id="1181" w:name="_Toc38441635"/>
      <w:bookmarkStart w:id="1182" w:name="_Toc38441963"/>
      <w:bookmarkStart w:id="1183" w:name="_Toc38442295"/>
      <w:bookmarkStart w:id="1184" w:name="_Toc38442627"/>
      <w:bookmarkStart w:id="1185" w:name="_Toc38442958"/>
      <w:bookmarkStart w:id="1186" w:name="_Toc38443289"/>
      <w:bookmarkStart w:id="1187" w:name="_Toc38443620"/>
      <w:bookmarkStart w:id="1188" w:name="_Toc38443950"/>
      <w:bookmarkStart w:id="1189" w:name="_Toc38438418"/>
      <w:bookmarkStart w:id="1190" w:name="_Toc38438755"/>
      <w:bookmarkStart w:id="1191" w:name="_Toc38439092"/>
      <w:bookmarkStart w:id="1192" w:name="_Toc38439429"/>
      <w:bookmarkStart w:id="1193" w:name="_Toc38439766"/>
      <w:bookmarkStart w:id="1194" w:name="_Toc38440103"/>
      <w:bookmarkStart w:id="1195" w:name="_Toc38440440"/>
      <w:bookmarkStart w:id="1196" w:name="_Toc38440972"/>
      <w:bookmarkStart w:id="1197" w:name="_Toc38441304"/>
      <w:bookmarkStart w:id="1198" w:name="_Toc38441636"/>
      <w:bookmarkStart w:id="1199" w:name="_Toc38441964"/>
      <w:bookmarkStart w:id="1200" w:name="_Toc38442296"/>
      <w:bookmarkStart w:id="1201" w:name="_Toc38442628"/>
      <w:bookmarkStart w:id="1202" w:name="_Toc38442959"/>
      <w:bookmarkStart w:id="1203" w:name="_Toc38443290"/>
      <w:bookmarkStart w:id="1204" w:name="_Toc38443621"/>
      <w:bookmarkStart w:id="1205" w:name="_Toc38443951"/>
      <w:bookmarkStart w:id="1206" w:name="_Toc38438419"/>
      <w:bookmarkStart w:id="1207" w:name="_Toc38438756"/>
      <w:bookmarkStart w:id="1208" w:name="_Toc38439093"/>
      <w:bookmarkStart w:id="1209" w:name="_Toc38439430"/>
      <w:bookmarkStart w:id="1210" w:name="_Toc38439767"/>
      <w:bookmarkStart w:id="1211" w:name="_Toc38440104"/>
      <w:bookmarkStart w:id="1212" w:name="_Toc38440441"/>
      <w:bookmarkStart w:id="1213" w:name="_Toc38440973"/>
      <w:bookmarkStart w:id="1214" w:name="_Toc38441305"/>
      <w:bookmarkStart w:id="1215" w:name="_Toc38441637"/>
      <w:bookmarkStart w:id="1216" w:name="_Toc38441965"/>
      <w:bookmarkStart w:id="1217" w:name="_Toc38442297"/>
      <w:bookmarkStart w:id="1218" w:name="_Toc38442629"/>
      <w:bookmarkStart w:id="1219" w:name="_Toc38442960"/>
      <w:bookmarkStart w:id="1220" w:name="_Toc38443291"/>
      <w:bookmarkStart w:id="1221" w:name="_Toc38443622"/>
      <w:bookmarkStart w:id="1222" w:name="_Toc38443952"/>
      <w:bookmarkStart w:id="1223" w:name="_Toc38438420"/>
      <w:bookmarkStart w:id="1224" w:name="_Toc38438757"/>
      <w:bookmarkStart w:id="1225" w:name="_Toc38439094"/>
      <w:bookmarkStart w:id="1226" w:name="_Toc38439431"/>
      <w:bookmarkStart w:id="1227" w:name="_Toc38439768"/>
      <w:bookmarkStart w:id="1228" w:name="_Toc38440105"/>
      <w:bookmarkStart w:id="1229" w:name="_Toc38440442"/>
      <w:bookmarkStart w:id="1230" w:name="_Toc38440974"/>
      <w:bookmarkStart w:id="1231" w:name="_Toc38441306"/>
      <w:bookmarkStart w:id="1232" w:name="_Toc38441638"/>
      <w:bookmarkStart w:id="1233" w:name="_Toc38441966"/>
      <w:bookmarkStart w:id="1234" w:name="_Toc38442298"/>
      <w:bookmarkStart w:id="1235" w:name="_Toc38442630"/>
      <w:bookmarkStart w:id="1236" w:name="_Toc38442961"/>
      <w:bookmarkStart w:id="1237" w:name="_Toc38443292"/>
      <w:bookmarkStart w:id="1238" w:name="_Toc38443623"/>
      <w:bookmarkStart w:id="1239" w:name="_Toc38443953"/>
      <w:bookmarkStart w:id="1240" w:name="_Toc38438421"/>
      <w:bookmarkStart w:id="1241" w:name="_Toc38438758"/>
      <w:bookmarkStart w:id="1242" w:name="_Toc38439095"/>
      <w:bookmarkStart w:id="1243" w:name="_Toc38439432"/>
      <w:bookmarkStart w:id="1244" w:name="_Toc38439769"/>
      <w:bookmarkStart w:id="1245" w:name="_Toc38440106"/>
      <w:bookmarkStart w:id="1246" w:name="_Toc38440443"/>
      <w:bookmarkStart w:id="1247" w:name="_Toc38440975"/>
      <w:bookmarkStart w:id="1248" w:name="_Toc38441307"/>
      <w:bookmarkStart w:id="1249" w:name="_Toc38441639"/>
      <w:bookmarkStart w:id="1250" w:name="_Toc38441967"/>
      <w:bookmarkStart w:id="1251" w:name="_Toc38442299"/>
      <w:bookmarkStart w:id="1252" w:name="_Toc38442631"/>
      <w:bookmarkStart w:id="1253" w:name="_Toc38442962"/>
      <w:bookmarkStart w:id="1254" w:name="_Toc38443293"/>
      <w:bookmarkStart w:id="1255" w:name="_Toc38443624"/>
      <w:bookmarkStart w:id="1256" w:name="_Toc38443954"/>
      <w:bookmarkStart w:id="1257" w:name="_Toc38438422"/>
      <w:bookmarkStart w:id="1258" w:name="_Toc38438759"/>
      <w:bookmarkStart w:id="1259" w:name="_Toc38439096"/>
      <w:bookmarkStart w:id="1260" w:name="_Toc38439433"/>
      <w:bookmarkStart w:id="1261" w:name="_Toc38439770"/>
      <w:bookmarkStart w:id="1262" w:name="_Toc38440107"/>
      <w:bookmarkStart w:id="1263" w:name="_Toc38440444"/>
      <w:bookmarkStart w:id="1264" w:name="_Toc38440976"/>
      <w:bookmarkStart w:id="1265" w:name="_Toc38441308"/>
      <w:bookmarkStart w:id="1266" w:name="_Toc38441640"/>
      <w:bookmarkStart w:id="1267" w:name="_Toc38441968"/>
      <w:bookmarkStart w:id="1268" w:name="_Toc38442300"/>
      <w:bookmarkStart w:id="1269" w:name="_Toc38442632"/>
      <w:bookmarkStart w:id="1270" w:name="_Toc38442963"/>
      <w:bookmarkStart w:id="1271" w:name="_Toc38443294"/>
      <w:bookmarkStart w:id="1272" w:name="_Toc38443625"/>
      <w:bookmarkStart w:id="1273" w:name="_Toc38443955"/>
      <w:bookmarkStart w:id="1274" w:name="_Toc38438423"/>
      <w:bookmarkStart w:id="1275" w:name="_Toc38438760"/>
      <w:bookmarkStart w:id="1276" w:name="_Toc38439097"/>
      <w:bookmarkStart w:id="1277" w:name="_Toc38439434"/>
      <w:bookmarkStart w:id="1278" w:name="_Toc38439771"/>
      <w:bookmarkStart w:id="1279" w:name="_Toc38440108"/>
      <w:bookmarkStart w:id="1280" w:name="_Toc38440445"/>
      <w:bookmarkStart w:id="1281" w:name="_Toc38440977"/>
      <w:bookmarkStart w:id="1282" w:name="_Toc38441309"/>
      <w:bookmarkStart w:id="1283" w:name="_Toc38441641"/>
      <w:bookmarkStart w:id="1284" w:name="_Toc38441969"/>
      <w:bookmarkStart w:id="1285" w:name="_Toc38442301"/>
      <w:bookmarkStart w:id="1286" w:name="_Toc38442633"/>
      <w:bookmarkStart w:id="1287" w:name="_Toc38442964"/>
      <w:bookmarkStart w:id="1288" w:name="_Toc38443295"/>
      <w:bookmarkStart w:id="1289" w:name="_Toc38443626"/>
      <w:bookmarkStart w:id="1290" w:name="_Toc38443956"/>
      <w:bookmarkStart w:id="1291" w:name="_Toc38438424"/>
      <w:bookmarkStart w:id="1292" w:name="_Toc38438761"/>
      <w:bookmarkStart w:id="1293" w:name="_Toc38439098"/>
      <w:bookmarkStart w:id="1294" w:name="_Toc38439435"/>
      <w:bookmarkStart w:id="1295" w:name="_Toc38439772"/>
      <w:bookmarkStart w:id="1296" w:name="_Toc38440109"/>
      <w:bookmarkStart w:id="1297" w:name="_Toc38440446"/>
      <w:bookmarkStart w:id="1298" w:name="_Toc38440978"/>
      <w:bookmarkStart w:id="1299" w:name="_Toc38441310"/>
      <w:bookmarkStart w:id="1300" w:name="_Toc38441642"/>
      <w:bookmarkStart w:id="1301" w:name="_Toc38441970"/>
      <w:bookmarkStart w:id="1302" w:name="_Toc38442302"/>
      <w:bookmarkStart w:id="1303" w:name="_Toc38442634"/>
      <w:bookmarkStart w:id="1304" w:name="_Toc38442965"/>
      <w:bookmarkStart w:id="1305" w:name="_Toc38443296"/>
      <w:bookmarkStart w:id="1306" w:name="_Toc38443627"/>
      <w:bookmarkStart w:id="1307" w:name="_Toc38443957"/>
      <w:bookmarkStart w:id="1308" w:name="_Toc38438425"/>
      <w:bookmarkStart w:id="1309" w:name="_Toc38438762"/>
      <w:bookmarkStart w:id="1310" w:name="_Toc38439099"/>
      <w:bookmarkStart w:id="1311" w:name="_Toc38439436"/>
      <w:bookmarkStart w:id="1312" w:name="_Toc38439773"/>
      <w:bookmarkStart w:id="1313" w:name="_Toc38440110"/>
      <w:bookmarkStart w:id="1314" w:name="_Toc38440447"/>
      <w:bookmarkStart w:id="1315" w:name="_Toc38440979"/>
      <w:bookmarkStart w:id="1316" w:name="_Toc38441311"/>
      <w:bookmarkStart w:id="1317" w:name="_Toc38441643"/>
      <w:bookmarkStart w:id="1318" w:name="_Toc38441971"/>
      <w:bookmarkStart w:id="1319" w:name="_Toc38442303"/>
      <w:bookmarkStart w:id="1320" w:name="_Toc38442635"/>
      <w:bookmarkStart w:id="1321" w:name="_Toc38442966"/>
      <w:bookmarkStart w:id="1322" w:name="_Toc38443297"/>
      <w:bookmarkStart w:id="1323" w:name="_Toc38443628"/>
      <w:bookmarkStart w:id="1324" w:name="_Toc38443958"/>
      <w:bookmarkStart w:id="1325" w:name="_Toc38438426"/>
      <w:bookmarkStart w:id="1326" w:name="_Toc38438763"/>
      <w:bookmarkStart w:id="1327" w:name="_Toc38439100"/>
      <w:bookmarkStart w:id="1328" w:name="_Toc38439437"/>
      <w:bookmarkStart w:id="1329" w:name="_Toc38439774"/>
      <w:bookmarkStart w:id="1330" w:name="_Toc38440111"/>
      <w:bookmarkStart w:id="1331" w:name="_Toc38440448"/>
      <w:bookmarkStart w:id="1332" w:name="_Toc38440980"/>
      <w:bookmarkStart w:id="1333" w:name="_Toc38441312"/>
      <w:bookmarkStart w:id="1334" w:name="_Toc38441644"/>
      <w:bookmarkStart w:id="1335" w:name="_Toc38441972"/>
      <w:bookmarkStart w:id="1336" w:name="_Toc38442304"/>
      <w:bookmarkStart w:id="1337" w:name="_Toc38442636"/>
      <w:bookmarkStart w:id="1338" w:name="_Toc38442967"/>
      <w:bookmarkStart w:id="1339" w:name="_Toc38443298"/>
      <w:bookmarkStart w:id="1340" w:name="_Toc38443629"/>
      <w:bookmarkStart w:id="1341" w:name="_Toc38443959"/>
      <w:bookmarkStart w:id="1342" w:name="_Toc38438427"/>
      <w:bookmarkStart w:id="1343" w:name="_Toc38438764"/>
      <w:bookmarkStart w:id="1344" w:name="_Toc38439101"/>
      <w:bookmarkStart w:id="1345" w:name="_Toc38439438"/>
      <w:bookmarkStart w:id="1346" w:name="_Toc38439775"/>
      <w:bookmarkStart w:id="1347" w:name="_Toc38440112"/>
      <w:bookmarkStart w:id="1348" w:name="_Toc38440449"/>
      <w:bookmarkStart w:id="1349" w:name="_Toc38440981"/>
      <w:bookmarkStart w:id="1350" w:name="_Toc38441313"/>
      <w:bookmarkStart w:id="1351" w:name="_Toc38441645"/>
      <w:bookmarkStart w:id="1352" w:name="_Toc38441973"/>
      <w:bookmarkStart w:id="1353" w:name="_Toc38442305"/>
      <w:bookmarkStart w:id="1354" w:name="_Toc38442637"/>
      <w:bookmarkStart w:id="1355" w:name="_Toc38442968"/>
      <w:bookmarkStart w:id="1356" w:name="_Toc38443299"/>
      <w:bookmarkStart w:id="1357" w:name="_Toc38443630"/>
      <w:bookmarkStart w:id="1358" w:name="_Toc38443960"/>
      <w:bookmarkStart w:id="1359" w:name="_Toc38438428"/>
      <w:bookmarkStart w:id="1360" w:name="_Toc38438765"/>
      <w:bookmarkStart w:id="1361" w:name="_Toc38439102"/>
      <w:bookmarkStart w:id="1362" w:name="_Toc38439439"/>
      <w:bookmarkStart w:id="1363" w:name="_Toc38439776"/>
      <w:bookmarkStart w:id="1364" w:name="_Toc38440113"/>
      <w:bookmarkStart w:id="1365" w:name="_Toc38440450"/>
      <w:bookmarkStart w:id="1366" w:name="_Toc38440982"/>
      <w:bookmarkStart w:id="1367" w:name="_Toc38441314"/>
      <w:bookmarkStart w:id="1368" w:name="_Toc38441646"/>
      <w:bookmarkStart w:id="1369" w:name="_Toc38441974"/>
      <w:bookmarkStart w:id="1370" w:name="_Toc38442306"/>
      <w:bookmarkStart w:id="1371" w:name="_Toc38442638"/>
      <w:bookmarkStart w:id="1372" w:name="_Toc38442969"/>
      <w:bookmarkStart w:id="1373" w:name="_Toc38443300"/>
      <w:bookmarkStart w:id="1374" w:name="_Toc38443631"/>
      <w:bookmarkStart w:id="1375" w:name="_Toc38443961"/>
      <w:bookmarkStart w:id="1376" w:name="_Toc38438429"/>
      <w:bookmarkStart w:id="1377" w:name="_Toc38438766"/>
      <w:bookmarkStart w:id="1378" w:name="_Toc38439103"/>
      <w:bookmarkStart w:id="1379" w:name="_Toc38439440"/>
      <w:bookmarkStart w:id="1380" w:name="_Toc38439777"/>
      <w:bookmarkStart w:id="1381" w:name="_Toc38440114"/>
      <w:bookmarkStart w:id="1382" w:name="_Toc38440451"/>
      <w:bookmarkStart w:id="1383" w:name="_Toc38440983"/>
      <w:bookmarkStart w:id="1384" w:name="_Toc38441315"/>
      <w:bookmarkStart w:id="1385" w:name="_Toc38441647"/>
      <w:bookmarkStart w:id="1386" w:name="_Toc38441975"/>
      <w:bookmarkStart w:id="1387" w:name="_Toc38442307"/>
      <w:bookmarkStart w:id="1388" w:name="_Toc38442639"/>
      <w:bookmarkStart w:id="1389" w:name="_Toc38442970"/>
      <w:bookmarkStart w:id="1390" w:name="_Toc38443301"/>
      <w:bookmarkStart w:id="1391" w:name="_Toc38443632"/>
      <w:bookmarkStart w:id="1392" w:name="_Toc38443962"/>
      <w:bookmarkStart w:id="1393" w:name="_Toc38438430"/>
      <w:bookmarkStart w:id="1394" w:name="_Toc38438767"/>
      <w:bookmarkStart w:id="1395" w:name="_Toc38439104"/>
      <w:bookmarkStart w:id="1396" w:name="_Toc38439441"/>
      <w:bookmarkStart w:id="1397" w:name="_Toc38439778"/>
      <w:bookmarkStart w:id="1398" w:name="_Toc38440115"/>
      <w:bookmarkStart w:id="1399" w:name="_Toc38440452"/>
      <w:bookmarkStart w:id="1400" w:name="_Toc38440984"/>
      <w:bookmarkStart w:id="1401" w:name="_Toc38441316"/>
      <w:bookmarkStart w:id="1402" w:name="_Toc38441648"/>
      <w:bookmarkStart w:id="1403" w:name="_Toc38441976"/>
      <w:bookmarkStart w:id="1404" w:name="_Toc38442308"/>
      <w:bookmarkStart w:id="1405" w:name="_Toc38442640"/>
      <w:bookmarkStart w:id="1406" w:name="_Toc38442971"/>
      <w:bookmarkStart w:id="1407" w:name="_Toc38443302"/>
      <w:bookmarkStart w:id="1408" w:name="_Toc38443633"/>
      <w:bookmarkStart w:id="1409" w:name="_Toc38443963"/>
      <w:bookmarkStart w:id="1410" w:name="_Toc38438431"/>
      <w:bookmarkStart w:id="1411" w:name="_Toc38438768"/>
      <w:bookmarkStart w:id="1412" w:name="_Toc38439105"/>
      <w:bookmarkStart w:id="1413" w:name="_Toc38439442"/>
      <w:bookmarkStart w:id="1414" w:name="_Toc38439779"/>
      <w:bookmarkStart w:id="1415" w:name="_Toc38440116"/>
      <w:bookmarkStart w:id="1416" w:name="_Toc38440453"/>
      <w:bookmarkStart w:id="1417" w:name="_Toc38440985"/>
      <w:bookmarkStart w:id="1418" w:name="_Toc38441317"/>
      <w:bookmarkStart w:id="1419" w:name="_Toc38441649"/>
      <w:bookmarkStart w:id="1420" w:name="_Toc38441977"/>
      <w:bookmarkStart w:id="1421" w:name="_Toc38442309"/>
      <w:bookmarkStart w:id="1422" w:name="_Toc38442641"/>
      <w:bookmarkStart w:id="1423" w:name="_Toc38442972"/>
      <w:bookmarkStart w:id="1424" w:name="_Toc38443303"/>
      <w:bookmarkStart w:id="1425" w:name="_Toc38443634"/>
      <w:bookmarkStart w:id="1426" w:name="_Toc38443964"/>
      <w:bookmarkStart w:id="1427" w:name="_Toc38438432"/>
      <w:bookmarkStart w:id="1428" w:name="_Toc38438769"/>
      <w:bookmarkStart w:id="1429" w:name="_Toc38439106"/>
      <w:bookmarkStart w:id="1430" w:name="_Toc38439443"/>
      <w:bookmarkStart w:id="1431" w:name="_Toc38439780"/>
      <w:bookmarkStart w:id="1432" w:name="_Toc38440117"/>
      <w:bookmarkStart w:id="1433" w:name="_Toc38440454"/>
      <w:bookmarkStart w:id="1434" w:name="_Toc38440986"/>
      <w:bookmarkStart w:id="1435" w:name="_Toc38441318"/>
      <w:bookmarkStart w:id="1436" w:name="_Toc38441650"/>
      <w:bookmarkStart w:id="1437" w:name="_Toc38441978"/>
      <w:bookmarkStart w:id="1438" w:name="_Toc38442310"/>
      <w:bookmarkStart w:id="1439" w:name="_Toc38442642"/>
      <w:bookmarkStart w:id="1440" w:name="_Toc38442973"/>
      <w:bookmarkStart w:id="1441" w:name="_Toc38443304"/>
      <w:bookmarkStart w:id="1442" w:name="_Toc38443635"/>
      <w:bookmarkStart w:id="1443" w:name="_Toc38443965"/>
      <w:bookmarkStart w:id="1444" w:name="_Toc38438433"/>
      <w:bookmarkStart w:id="1445" w:name="_Toc38438770"/>
      <w:bookmarkStart w:id="1446" w:name="_Toc38439107"/>
      <w:bookmarkStart w:id="1447" w:name="_Toc38439444"/>
      <w:bookmarkStart w:id="1448" w:name="_Toc38439781"/>
      <w:bookmarkStart w:id="1449" w:name="_Toc38440118"/>
      <w:bookmarkStart w:id="1450" w:name="_Toc38440455"/>
      <w:bookmarkStart w:id="1451" w:name="_Toc38440987"/>
      <w:bookmarkStart w:id="1452" w:name="_Toc38441319"/>
      <w:bookmarkStart w:id="1453" w:name="_Toc38441651"/>
      <w:bookmarkStart w:id="1454" w:name="_Toc38441979"/>
      <w:bookmarkStart w:id="1455" w:name="_Toc38442311"/>
      <w:bookmarkStart w:id="1456" w:name="_Toc38442643"/>
      <w:bookmarkStart w:id="1457" w:name="_Toc38442974"/>
      <w:bookmarkStart w:id="1458" w:name="_Toc38443305"/>
      <w:bookmarkStart w:id="1459" w:name="_Toc38443636"/>
      <w:bookmarkStart w:id="1460" w:name="_Toc38443966"/>
      <w:bookmarkStart w:id="1461" w:name="_Toc38438434"/>
      <w:bookmarkStart w:id="1462" w:name="_Toc38438771"/>
      <w:bookmarkStart w:id="1463" w:name="_Toc38439108"/>
      <w:bookmarkStart w:id="1464" w:name="_Toc38439445"/>
      <w:bookmarkStart w:id="1465" w:name="_Toc38439782"/>
      <w:bookmarkStart w:id="1466" w:name="_Toc38440119"/>
      <w:bookmarkStart w:id="1467" w:name="_Toc38440456"/>
      <w:bookmarkStart w:id="1468" w:name="_Toc38440988"/>
      <w:bookmarkStart w:id="1469" w:name="_Toc38441320"/>
      <w:bookmarkStart w:id="1470" w:name="_Toc38441652"/>
      <w:bookmarkStart w:id="1471" w:name="_Toc38441980"/>
      <w:bookmarkStart w:id="1472" w:name="_Toc38442312"/>
      <w:bookmarkStart w:id="1473" w:name="_Toc38442644"/>
      <w:bookmarkStart w:id="1474" w:name="_Toc38442975"/>
      <w:bookmarkStart w:id="1475" w:name="_Toc38443306"/>
      <w:bookmarkStart w:id="1476" w:name="_Toc38443637"/>
      <w:bookmarkStart w:id="1477" w:name="_Toc38443967"/>
      <w:bookmarkStart w:id="1478" w:name="_Toc38438435"/>
      <w:bookmarkStart w:id="1479" w:name="_Toc38438772"/>
      <w:bookmarkStart w:id="1480" w:name="_Toc38439109"/>
      <w:bookmarkStart w:id="1481" w:name="_Toc38439446"/>
      <w:bookmarkStart w:id="1482" w:name="_Toc38439783"/>
      <w:bookmarkStart w:id="1483" w:name="_Toc38440120"/>
      <w:bookmarkStart w:id="1484" w:name="_Toc38440457"/>
      <w:bookmarkStart w:id="1485" w:name="_Toc38440989"/>
      <w:bookmarkStart w:id="1486" w:name="_Toc38441321"/>
      <w:bookmarkStart w:id="1487" w:name="_Toc38441653"/>
      <w:bookmarkStart w:id="1488" w:name="_Toc38441981"/>
      <w:bookmarkStart w:id="1489" w:name="_Toc38442313"/>
      <w:bookmarkStart w:id="1490" w:name="_Toc38442645"/>
      <w:bookmarkStart w:id="1491" w:name="_Toc38442976"/>
      <w:bookmarkStart w:id="1492" w:name="_Toc38443307"/>
      <w:bookmarkStart w:id="1493" w:name="_Toc38443638"/>
      <w:bookmarkStart w:id="1494" w:name="_Toc38443968"/>
      <w:bookmarkStart w:id="1495" w:name="_Toc38438436"/>
      <w:bookmarkStart w:id="1496" w:name="_Toc38438773"/>
      <w:bookmarkStart w:id="1497" w:name="_Toc38439110"/>
      <w:bookmarkStart w:id="1498" w:name="_Toc38439447"/>
      <w:bookmarkStart w:id="1499" w:name="_Toc38439784"/>
      <w:bookmarkStart w:id="1500" w:name="_Toc38440121"/>
      <w:bookmarkStart w:id="1501" w:name="_Toc38440458"/>
      <w:bookmarkStart w:id="1502" w:name="_Toc38440990"/>
      <w:bookmarkStart w:id="1503" w:name="_Toc38441322"/>
      <w:bookmarkStart w:id="1504" w:name="_Toc38441654"/>
      <w:bookmarkStart w:id="1505" w:name="_Toc38441982"/>
      <w:bookmarkStart w:id="1506" w:name="_Toc38442314"/>
      <w:bookmarkStart w:id="1507" w:name="_Toc38442646"/>
      <w:bookmarkStart w:id="1508" w:name="_Toc38442977"/>
      <w:bookmarkStart w:id="1509" w:name="_Toc38443308"/>
      <w:bookmarkStart w:id="1510" w:name="_Toc38443639"/>
      <w:bookmarkStart w:id="1511" w:name="_Toc38443969"/>
      <w:bookmarkStart w:id="1512" w:name="_Toc38438437"/>
      <w:bookmarkStart w:id="1513" w:name="_Toc38438774"/>
      <w:bookmarkStart w:id="1514" w:name="_Toc38439111"/>
      <w:bookmarkStart w:id="1515" w:name="_Toc38439448"/>
      <w:bookmarkStart w:id="1516" w:name="_Toc38439785"/>
      <w:bookmarkStart w:id="1517" w:name="_Toc38440122"/>
      <w:bookmarkStart w:id="1518" w:name="_Toc38440459"/>
      <w:bookmarkStart w:id="1519" w:name="_Toc38440991"/>
      <w:bookmarkStart w:id="1520" w:name="_Toc38441323"/>
      <w:bookmarkStart w:id="1521" w:name="_Toc38441655"/>
      <w:bookmarkStart w:id="1522" w:name="_Toc38441983"/>
      <w:bookmarkStart w:id="1523" w:name="_Toc38442315"/>
      <w:bookmarkStart w:id="1524" w:name="_Toc38442647"/>
      <w:bookmarkStart w:id="1525" w:name="_Toc38442978"/>
      <w:bookmarkStart w:id="1526" w:name="_Toc38443309"/>
      <w:bookmarkStart w:id="1527" w:name="_Toc38443640"/>
      <w:bookmarkStart w:id="1528" w:name="_Toc38443970"/>
      <w:bookmarkStart w:id="1529" w:name="_Toc38438438"/>
      <w:bookmarkStart w:id="1530" w:name="_Toc38438775"/>
      <w:bookmarkStart w:id="1531" w:name="_Toc38439112"/>
      <w:bookmarkStart w:id="1532" w:name="_Toc38439449"/>
      <w:bookmarkStart w:id="1533" w:name="_Toc38439786"/>
      <w:bookmarkStart w:id="1534" w:name="_Toc38440123"/>
      <w:bookmarkStart w:id="1535" w:name="_Toc38440460"/>
      <w:bookmarkStart w:id="1536" w:name="_Toc38440992"/>
      <w:bookmarkStart w:id="1537" w:name="_Toc38441324"/>
      <w:bookmarkStart w:id="1538" w:name="_Toc38441656"/>
      <w:bookmarkStart w:id="1539" w:name="_Toc38441984"/>
      <w:bookmarkStart w:id="1540" w:name="_Toc38442316"/>
      <w:bookmarkStart w:id="1541" w:name="_Toc38442648"/>
      <w:bookmarkStart w:id="1542" w:name="_Toc38442979"/>
      <w:bookmarkStart w:id="1543" w:name="_Toc38443310"/>
      <w:bookmarkStart w:id="1544" w:name="_Toc38443641"/>
      <w:bookmarkStart w:id="1545" w:name="_Toc38443971"/>
      <w:bookmarkStart w:id="1546" w:name="_Toc38438439"/>
      <w:bookmarkStart w:id="1547" w:name="_Toc38438776"/>
      <w:bookmarkStart w:id="1548" w:name="_Toc38439113"/>
      <w:bookmarkStart w:id="1549" w:name="_Toc38439450"/>
      <w:bookmarkStart w:id="1550" w:name="_Toc38439787"/>
      <w:bookmarkStart w:id="1551" w:name="_Toc38440124"/>
      <w:bookmarkStart w:id="1552" w:name="_Toc38440461"/>
      <w:bookmarkStart w:id="1553" w:name="_Toc38440993"/>
      <w:bookmarkStart w:id="1554" w:name="_Toc38441325"/>
      <w:bookmarkStart w:id="1555" w:name="_Toc38441657"/>
      <w:bookmarkStart w:id="1556" w:name="_Toc38441985"/>
      <w:bookmarkStart w:id="1557" w:name="_Toc38442317"/>
      <w:bookmarkStart w:id="1558" w:name="_Toc38442649"/>
      <w:bookmarkStart w:id="1559" w:name="_Toc38442980"/>
      <w:bookmarkStart w:id="1560" w:name="_Toc38443311"/>
      <w:bookmarkStart w:id="1561" w:name="_Toc38443642"/>
      <w:bookmarkStart w:id="1562" w:name="_Toc38443972"/>
      <w:bookmarkStart w:id="1563" w:name="_Toc38438440"/>
      <w:bookmarkStart w:id="1564" w:name="_Toc38438777"/>
      <w:bookmarkStart w:id="1565" w:name="_Toc38439114"/>
      <w:bookmarkStart w:id="1566" w:name="_Toc38439451"/>
      <w:bookmarkStart w:id="1567" w:name="_Toc38439788"/>
      <w:bookmarkStart w:id="1568" w:name="_Toc38440125"/>
      <w:bookmarkStart w:id="1569" w:name="_Toc38440462"/>
      <w:bookmarkStart w:id="1570" w:name="_Toc38440994"/>
      <w:bookmarkStart w:id="1571" w:name="_Toc38441326"/>
      <w:bookmarkStart w:id="1572" w:name="_Toc38441658"/>
      <w:bookmarkStart w:id="1573" w:name="_Toc38441986"/>
      <w:bookmarkStart w:id="1574" w:name="_Toc38442318"/>
      <w:bookmarkStart w:id="1575" w:name="_Toc38442650"/>
      <w:bookmarkStart w:id="1576" w:name="_Toc38442981"/>
      <w:bookmarkStart w:id="1577" w:name="_Toc38443312"/>
      <w:bookmarkStart w:id="1578" w:name="_Toc38443643"/>
      <w:bookmarkStart w:id="1579" w:name="_Toc38443973"/>
      <w:bookmarkStart w:id="1580" w:name="_Toc38438441"/>
      <w:bookmarkStart w:id="1581" w:name="_Toc38438778"/>
      <w:bookmarkStart w:id="1582" w:name="_Toc38439115"/>
      <w:bookmarkStart w:id="1583" w:name="_Toc38439452"/>
      <w:bookmarkStart w:id="1584" w:name="_Toc38439789"/>
      <w:bookmarkStart w:id="1585" w:name="_Toc38440126"/>
      <w:bookmarkStart w:id="1586" w:name="_Toc38440463"/>
      <w:bookmarkStart w:id="1587" w:name="_Toc38440995"/>
      <w:bookmarkStart w:id="1588" w:name="_Toc38441327"/>
      <w:bookmarkStart w:id="1589" w:name="_Toc38441659"/>
      <w:bookmarkStart w:id="1590" w:name="_Toc38441987"/>
      <w:bookmarkStart w:id="1591" w:name="_Toc38442319"/>
      <w:bookmarkStart w:id="1592" w:name="_Toc38442651"/>
      <w:bookmarkStart w:id="1593" w:name="_Toc38442982"/>
      <w:bookmarkStart w:id="1594" w:name="_Toc38443313"/>
      <w:bookmarkStart w:id="1595" w:name="_Toc38443644"/>
      <w:bookmarkStart w:id="1596" w:name="_Toc38443974"/>
      <w:bookmarkStart w:id="1597" w:name="_Toc38438442"/>
      <w:bookmarkStart w:id="1598" w:name="_Toc38438779"/>
      <w:bookmarkStart w:id="1599" w:name="_Toc38439116"/>
      <w:bookmarkStart w:id="1600" w:name="_Toc38439453"/>
      <w:bookmarkStart w:id="1601" w:name="_Toc38439790"/>
      <w:bookmarkStart w:id="1602" w:name="_Toc38440127"/>
      <w:bookmarkStart w:id="1603" w:name="_Toc38440464"/>
      <w:bookmarkStart w:id="1604" w:name="_Toc38440996"/>
      <w:bookmarkStart w:id="1605" w:name="_Toc38441328"/>
      <w:bookmarkStart w:id="1606" w:name="_Toc38441660"/>
      <w:bookmarkStart w:id="1607" w:name="_Toc38441988"/>
      <w:bookmarkStart w:id="1608" w:name="_Toc38442320"/>
      <w:bookmarkStart w:id="1609" w:name="_Toc38442652"/>
      <w:bookmarkStart w:id="1610" w:name="_Toc38442983"/>
      <w:bookmarkStart w:id="1611" w:name="_Toc38443314"/>
      <w:bookmarkStart w:id="1612" w:name="_Toc38443645"/>
      <w:bookmarkStart w:id="1613" w:name="_Toc38443975"/>
      <w:bookmarkStart w:id="1614" w:name="_Toc38438443"/>
      <w:bookmarkStart w:id="1615" w:name="_Toc38438780"/>
      <w:bookmarkStart w:id="1616" w:name="_Toc38439117"/>
      <w:bookmarkStart w:id="1617" w:name="_Toc38439454"/>
      <w:bookmarkStart w:id="1618" w:name="_Toc38439791"/>
      <w:bookmarkStart w:id="1619" w:name="_Toc38440128"/>
      <w:bookmarkStart w:id="1620" w:name="_Toc38440465"/>
      <w:bookmarkStart w:id="1621" w:name="_Toc38440997"/>
      <w:bookmarkStart w:id="1622" w:name="_Toc38441329"/>
      <w:bookmarkStart w:id="1623" w:name="_Toc38441661"/>
      <w:bookmarkStart w:id="1624" w:name="_Toc38441989"/>
      <w:bookmarkStart w:id="1625" w:name="_Toc38442321"/>
      <w:bookmarkStart w:id="1626" w:name="_Toc38442653"/>
      <w:bookmarkStart w:id="1627" w:name="_Toc38442984"/>
      <w:bookmarkStart w:id="1628" w:name="_Toc38443315"/>
      <w:bookmarkStart w:id="1629" w:name="_Toc38443646"/>
      <w:bookmarkStart w:id="1630" w:name="_Toc38443976"/>
      <w:bookmarkStart w:id="1631" w:name="_Toc38438444"/>
      <w:bookmarkStart w:id="1632" w:name="_Toc38438781"/>
      <w:bookmarkStart w:id="1633" w:name="_Toc38439118"/>
      <w:bookmarkStart w:id="1634" w:name="_Toc38439455"/>
      <w:bookmarkStart w:id="1635" w:name="_Toc38439792"/>
      <w:bookmarkStart w:id="1636" w:name="_Toc38440129"/>
      <w:bookmarkStart w:id="1637" w:name="_Toc38440466"/>
      <w:bookmarkStart w:id="1638" w:name="_Toc38440998"/>
      <w:bookmarkStart w:id="1639" w:name="_Toc38441330"/>
      <w:bookmarkStart w:id="1640" w:name="_Toc38441662"/>
      <w:bookmarkStart w:id="1641" w:name="_Toc38441990"/>
      <w:bookmarkStart w:id="1642" w:name="_Toc38442322"/>
      <w:bookmarkStart w:id="1643" w:name="_Toc38442654"/>
      <w:bookmarkStart w:id="1644" w:name="_Toc38442985"/>
      <w:bookmarkStart w:id="1645" w:name="_Toc38443316"/>
      <w:bookmarkStart w:id="1646" w:name="_Toc38443647"/>
      <w:bookmarkStart w:id="1647" w:name="_Toc38443977"/>
      <w:bookmarkStart w:id="1648" w:name="_Toc38438445"/>
      <w:bookmarkStart w:id="1649" w:name="_Toc38438782"/>
      <w:bookmarkStart w:id="1650" w:name="_Toc38439119"/>
      <w:bookmarkStart w:id="1651" w:name="_Toc38439456"/>
      <w:bookmarkStart w:id="1652" w:name="_Toc38439793"/>
      <w:bookmarkStart w:id="1653" w:name="_Toc38440130"/>
      <w:bookmarkStart w:id="1654" w:name="_Toc38440467"/>
      <w:bookmarkStart w:id="1655" w:name="_Toc38440999"/>
      <w:bookmarkStart w:id="1656" w:name="_Toc38441331"/>
      <w:bookmarkStart w:id="1657" w:name="_Toc38441663"/>
      <w:bookmarkStart w:id="1658" w:name="_Toc38441991"/>
      <w:bookmarkStart w:id="1659" w:name="_Toc38442323"/>
      <w:bookmarkStart w:id="1660" w:name="_Toc38442655"/>
      <w:bookmarkStart w:id="1661" w:name="_Toc38442986"/>
      <w:bookmarkStart w:id="1662" w:name="_Toc38443317"/>
      <w:bookmarkStart w:id="1663" w:name="_Toc38443648"/>
      <w:bookmarkStart w:id="1664" w:name="_Toc38443978"/>
      <w:bookmarkStart w:id="1665" w:name="_Toc38438446"/>
      <w:bookmarkStart w:id="1666" w:name="_Toc38438783"/>
      <w:bookmarkStart w:id="1667" w:name="_Toc38439120"/>
      <w:bookmarkStart w:id="1668" w:name="_Toc38439457"/>
      <w:bookmarkStart w:id="1669" w:name="_Toc38439794"/>
      <w:bookmarkStart w:id="1670" w:name="_Toc38440131"/>
      <w:bookmarkStart w:id="1671" w:name="_Toc38440468"/>
      <w:bookmarkStart w:id="1672" w:name="_Toc38441000"/>
      <w:bookmarkStart w:id="1673" w:name="_Toc38441332"/>
      <w:bookmarkStart w:id="1674" w:name="_Toc38441664"/>
      <w:bookmarkStart w:id="1675" w:name="_Toc38441992"/>
      <w:bookmarkStart w:id="1676" w:name="_Toc38442324"/>
      <w:bookmarkStart w:id="1677" w:name="_Toc38442656"/>
      <w:bookmarkStart w:id="1678" w:name="_Toc38442987"/>
      <w:bookmarkStart w:id="1679" w:name="_Toc38443318"/>
      <w:bookmarkStart w:id="1680" w:name="_Toc38443649"/>
      <w:bookmarkStart w:id="1681" w:name="_Toc38443979"/>
      <w:bookmarkStart w:id="1682" w:name="_Toc38438447"/>
      <w:bookmarkStart w:id="1683" w:name="_Toc38438784"/>
      <w:bookmarkStart w:id="1684" w:name="_Toc38439121"/>
      <w:bookmarkStart w:id="1685" w:name="_Toc38439458"/>
      <w:bookmarkStart w:id="1686" w:name="_Toc38439795"/>
      <w:bookmarkStart w:id="1687" w:name="_Toc38440132"/>
      <w:bookmarkStart w:id="1688" w:name="_Toc38440469"/>
      <w:bookmarkStart w:id="1689" w:name="_Toc38441001"/>
      <w:bookmarkStart w:id="1690" w:name="_Toc38441333"/>
      <w:bookmarkStart w:id="1691" w:name="_Toc38441665"/>
      <w:bookmarkStart w:id="1692" w:name="_Toc38441993"/>
      <w:bookmarkStart w:id="1693" w:name="_Toc38442325"/>
      <w:bookmarkStart w:id="1694" w:name="_Toc38442657"/>
      <w:bookmarkStart w:id="1695" w:name="_Toc38442988"/>
      <w:bookmarkStart w:id="1696" w:name="_Toc38443319"/>
      <w:bookmarkStart w:id="1697" w:name="_Toc38443650"/>
      <w:bookmarkStart w:id="1698" w:name="_Toc38443980"/>
      <w:bookmarkStart w:id="1699" w:name="_Toc38438448"/>
      <w:bookmarkStart w:id="1700" w:name="_Toc38438785"/>
      <w:bookmarkStart w:id="1701" w:name="_Toc38439122"/>
      <w:bookmarkStart w:id="1702" w:name="_Toc38439459"/>
      <w:bookmarkStart w:id="1703" w:name="_Toc38439796"/>
      <w:bookmarkStart w:id="1704" w:name="_Toc38440133"/>
      <w:bookmarkStart w:id="1705" w:name="_Toc38440470"/>
      <w:bookmarkStart w:id="1706" w:name="_Toc38441002"/>
      <w:bookmarkStart w:id="1707" w:name="_Toc38441334"/>
      <w:bookmarkStart w:id="1708" w:name="_Toc38441666"/>
      <w:bookmarkStart w:id="1709" w:name="_Toc38441994"/>
      <w:bookmarkStart w:id="1710" w:name="_Toc38442326"/>
      <w:bookmarkStart w:id="1711" w:name="_Toc38442658"/>
      <w:bookmarkStart w:id="1712" w:name="_Toc38442989"/>
      <w:bookmarkStart w:id="1713" w:name="_Toc38443320"/>
      <w:bookmarkStart w:id="1714" w:name="_Toc38443651"/>
      <w:bookmarkStart w:id="1715" w:name="_Toc38443981"/>
      <w:bookmarkStart w:id="1716" w:name="_Toc38438449"/>
      <w:bookmarkStart w:id="1717" w:name="_Toc38438786"/>
      <w:bookmarkStart w:id="1718" w:name="_Toc38439123"/>
      <w:bookmarkStart w:id="1719" w:name="_Toc38439460"/>
      <w:bookmarkStart w:id="1720" w:name="_Toc38439797"/>
      <w:bookmarkStart w:id="1721" w:name="_Toc38440134"/>
      <w:bookmarkStart w:id="1722" w:name="_Toc38440471"/>
      <w:bookmarkStart w:id="1723" w:name="_Toc38441003"/>
      <w:bookmarkStart w:id="1724" w:name="_Toc38441335"/>
      <w:bookmarkStart w:id="1725" w:name="_Toc38441667"/>
      <w:bookmarkStart w:id="1726" w:name="_Toc38441995"/>
      <w:bookmarkStart w:id="1727" w:name="_Toc38442327"/>
      <w:bookmarkStart w:id="1728" w:name="_Toc38442659"/>
      <w:bookmarkStart w:id="1729" w:name="_Toc38442990"/>
      <w:bookmarkStart w:id="1730" w:name="_Toc38443321"/>
      <w:bookmarkStart w:id="1731" w:name="_Toc38443652"/>
      <w:bookmarkStart w:id="1732" w:name="_Toc38443982"/>
      <w:bookmarkStart w:id="1733" w:name="_Toc38438450"/>
      <w:bookmarkStart w:id="1734" w:name="_Toc38438787"/>
      <w:bookmarkStart w:id="1735" w:name="_Toc38439124"/>
      <w:bookmarkStart w:id="1736" w:name="_Toc38439461"/>
      <w:bookmarkStart w:id="1737" w:name="_Toc38439798"/>
      <w:bookmarkStart w:id="1738" w:name="_Toc38440135"/>
      <w:bookmarkStart w:id="1739" w:name="_Toc38440472"/>
      <w:bookmarkStart w:id="1740" w:name="_Toc38441004"/>
      <w:bookmarkStart w:id="1741" w:name="_Toc38441336"/>
      <w:bookmarkStart w:id="1742" w:name="_Toc38441668"/>
      <w:bookmarkStart w:id="1743" w:name="_Toc38441996"/>
      <w:bookmarkStart w:id="1744" w:name="_Toc38442328"/>
      <w:bookmarkStart w:id="1745" w:name="_Toc38442660"/>
      <w:bookmarkStart w:id="1746" w:name="_Toc38442991"/>
      <w:bookmarkStart w:id="1747" w:name="_Toc38443322"/>
      <w:bookmarkStart w:id="1748" w:name="_Toc38443653"/>
      <w:bookmarkStart w:id="1749" w:name="_Toc38443983"/>
      <w:bookmarkStart w:id="1750" w:name="_Toc38438451"/>
      <w:bookmarkStart w:id="1751" w:name="_Toc38438788"/>
      <w:bookmarkStart w:id="1752" w:name="_Toc38439125"/>
      <w:bookmarkStart w:id="1753" w:name="_Toc38439462"/>
      <w:bookmarkStart w:id="1754" w:name="_Toc38439799"/>
      <w:bookmarkStart w:id="1755" w:name="_Toc38440136"/>
      <w:bookmarkStart w:id="1756" w:name="_Toc38440473"/>
      <w:bookmarkStart w:id="1757" w:name="_Toc38441005"/>
      <w:bookmarkStart w:id="1758" w:name="_Toc38441337"/>
      <w:bookmarkStart w:id="1759" w:name="_Toc38441669"/>
      <w:bookmarkStart w:id="1760" w:name="_Toc38441997"/>
      <w:bookmarkStart w:id="1761" w:name="_Toc38442329"/>
      <w:bookmarkStart w:id="1762" w:name="_Toc38442661"/>
      <w:bookmarkStart w:id="1763" w:name="_Toc38442992"/>
      <w:bookmarkStart w:id="1764" w:name="_Toc38443323"/>
      <w:bookmarkStart w:id="1765" w:name="_Toc38443654"/>
      <w:bookmarkStart w:id="1766" w:name="_Toc38443984"/>
      <w:bookmarkStart w:id="1767" w:name="_Toc38438452"/>
      <w:bookmarkStart w:id="1768" w:name="_Toc38438789"/>
      <w:bookmarkStart w:id="1769" w:name="_Toc38439126"/>
      <w:bookmarkStart w:id="1770" w:name="_Toc38439463"/>
      <w:bookmarkStart w:id="1771" w:name="_Toc38439800"/>
      <w:bookmarkStart w:id="1772" w:name="_Toc38440137"/>
      <w:bookmarkStart w:id="1773" w:name="_Toc38440474"/>
      <w:bookmarkStart w:id="1774" w:name="_Toc38441006"/>
      <w:bookmarkStart w:id="1775" w:name="_Toc38441338"/>
      <w:bookmarkStart w:id="1776" w:name="_Toc38441670"/>
      <w:bookmarkStart w:id="1777" w:name="_Toc38441998"/>
      <w:bookmarkStart w:id="1778" w:name="_Toc38442330"/>
      <w:bookmarkStart w:id="1779" w:name="_Toc38442662"/>
      <w:bookmarkStart w:id="1780" w:name="_Toc38442993"/>
      <w:bookmarkStart w:id="1781" w:name="_Toc38443324"/>
      <w:bookmarkStart w:id="1782" w:name="_Toc38443655"/>
      <w:bookmarkStart w:id="1783" w:name="_Toc38443985"/>
      <w:bookmarkStart w:id="1784" w:name="_Toc38438453"/>
      <w:bookmarkStart w:id="1785" w:name="_Toc38438790"/>
      <w:bookmarkStart w:id="1786" w:name="_Toc38439127"/>
      <w:bookmarkStart w:id="1787" w:name="_Toc38439464"/>
      <w:bookmarkStart w:id="1788" w:name="_Toc38439801"/>
      <w:bookmarkStart w:id="1789" w:name="_Toc38440138"/>
      <w:bookmarkStart w:id="1790" w:name="_Toc38440475"/>
      <w:bookmarkStart w:id="1791" w:name="_Toc38441007"/>
      <w:bookmarkStart w:id="1792" w:name="_Toc38441339"/>
      <w:bookmarkStart w:id="1793" w:name="_Toc38441671"/>
      <w:bookmarkStart w:id="1794" w:name="_Toc38441999"/>
      <w:bookmarkStart w:id="1795" w:name="_Toc38442331"/>
      <w:bookmarkStart w:id="1796" w:name="_Toc38442663"/>
      <w:bookmarkStart w:id="1797" w:name="_Toc38442994"/>
      <w:bookmarkStart w:id="1798" w:name="_Toc38443325"/>
      <w:bookmarkStart w:id="1799" w:name="_Toc38443656"/>
      <w:bookmarkStart w:id="1800" w:name="_Toc38443986"/>
      <w:bookmarkStart w:id="1801" w:name="_Toc38438454"/>
      <w:bookmarkStart w:id="1802" w:name="_Toc38438791"/>
      <w:bookmarkStart w:id="1803" w:name="_Toc38439128"/>
      <w:bookmarkStart w:id="1804" w:name="_Toc38439465"/>
      <w:bookmarkStart w:id="1805" w:name="_Toc38439802"/>
      <w:bookmarkStart w:id="1806" w:name="_Toc38440139"/>
      <w:bookmarkStart w:id="1807" w:name="_Toc38440476"/>
      <w:bookmarkStart w:id="1808" w:name="_Toc38441008"/>
      <w:bookmarkStart w:id="1809" w:name="_Toc38441340"/>
      <w:bookmarkStart w:id="1810" w:name="_Toc38441672"/>
      <w:bookmarkStart w:id="1811" w:name="_Toc38442000"/>
      <w:bookmarkStart w:id="1812" w:name="_Toc38442332"/>
      <w:bookmarkStart w:id="1813" w:name="_Toc38442664"/>
      <w:bookmarkStart w:id="1814" w:name="_Toc38442995"/>
      <w:bookmarkStart w:id="1815" w:name="_Toc38443326"/>
      <w:bookmarkStart w:id="1816" w:name="_Toc38443657"/>
      <w:bookmarkStart w:id="1817" w:name="_Toc38443987"/>
      <w:bookmarkStart w:id="1818" w:name="_Toc38438455"/>
      <w:bookmarkStart w:id="1819" w:name="_Toc38438792"/>
      <w:bookmarkStart w:id="1820" w:name="_Toc38439129"/>
      <w:bookmarkStart w:id="1821" w:name="_Toc38439466"/>
      <w:bookmarkStart w:id="1822" w:name="_Toc38439803"/>
      <w:bookmarkStart w:id="1823" w:name="_Toc38440140"/>
      <w:bookmarkStart w:id="1824" w:name="_Toc38440477"/>
      <w:bookmarkStart w:id="1825" w:name="_Toc38441009"/>
      <w:bookmarkStart w:id="1826" w:name="_Toc38441341"/>
      <w:bookmarkStart w:id="1827" w:name="_Toc38441673"/>
      <w:bookmarkStart w:id="1828" w:name="_Toc38442001"/>
      <w:bookmarkStart w:id="1829" w:name="_Toc38442333"/>
      <w:bookmarkStart w:id="1830" w:name="_Toc38442665"/>
      <w:bookmarkStart w:id="1831" w:name="_Toc38442996"/>
      <w:bookmarkStart w:id="1832" w:name="_Toc38443327"/>
      <w:bookmarkStart w:id="1833" w:name="_Toc38443658"/>
      <w:bookmarkStart w:id="1834" w:name="_Toc38443988"/>
      <w:bookmarkStart w:id="1835" w:name="_Toc38438456"/>
      <w:bookmarkStart w:id="1836" w:name="_Toc38438793"/>
      <w:bookmarkStart w:id="1837" w:name="_Toc38439130"/>
      <w:bookmarkStart w:id="1838" w:name="_Toc38439467"/>
      <w:bookmarkStart w:id="1839" w:name="_Toc38439804"/>
      <w:bookmarkStart w:id="1840" w:name="_Toc38440141"/>
      <w:bookmarkStart w:id="1841" w:name="_Toc38440478"/>
      <w:bookmarkStart w:id="1842" w:name="_Toc38441010"/>
      <w:bookmarkStart w:id="1843" w:name="_Toc38441342"/>
      <w:bookmarkStart w:id="1844" w:name="_Toc38441674"/>
      <w:bookmarkStart w:id="1845" w:name="_Toc38442002"/>
      <w:bookmarkStart w:id="1846" w:name="_Toc38442334"/>
      <w:bookmarkStart w:id="1847" w:name="_Toc38442666"/>
      <w:bookmarkStart w:id="1848" w:name="_Toc38442997"/>
      <w:bookmarkStart w:id="1849" w:name="_Toc38443328"/>
      <w:bookmarkStart w:id="1850" w:name="_Toc38443659"/>
      <w:bookmarkStart w:id="1851" w:name="_Toc38443989"/>
      <w:bookmarkStart w:id="1852" w:name="_Toc38438457"/>
      <w:bookmarkStart w:id="1853" w:name="_Toc38438794"/>
      <w:bookmarkStart w:id="1854" w:name="_Toc38439131"/>
      <w:bookmarkStart w:id="1855" w:name="_Toc38439468"/>
      <w:bookmarkStart w:id="1856" w:name="_Toc38439805"/>
      <w:bookmarkStart w:id="1857" w:name="_Toc38440142"/>
      <w:bookmarkStart w:id="1858" w:name="_Toc38440479"/>
      <w:bookmarkStart w:id="1859" w:name="_Toc38441011"/>
      <w:bookmarkStart w:id="1860" w:name="_Toc38441343"/>
      <w:bookmarkStart w:id="1861" w:name="_Toc38441675"/>
      <w:bookmarkStart w:id="1862" w:name="_Toc38442003"/>
      <w:bookmarkStart w:id="1863" w:name="_Toc38442335"/>
      <w:bookmarkStart w:id="1864" w:name="_Toc38442667"/>
      <w:bookmarkStart w:id="1865" w:name="_Toc38442998"/>
      <w:bookmarkStart w:id="1866" w:name="_Toc38443329"/>
      <w:bookmarkStart w:id="1867" w:name="_Toc38443660"/>
      <w:bookmarkStart w:id="1868" w:name="_Toc38443990"/>
      <w:bookmarkStart w:id="1869" w:name="_Toc38438458"/>
      <w:bookmarkStart w:id="1870" w:name="_Toc38438795"/>
      <w:bookmarkStart w:id="1871" w:name="_Toc38439132"/>
      <w:bookmarkStart w:id="1872" w:name="_Toc38439469"/>
      <w:bookmarkStart w:id="1873" w:name="_Toc38439806"/>
      <w:bookmarkStart w:id="1874" w:name="_Toc38440143"/>
      <w:bookmarkStart w:id="1875" w:name="_Toc38440480"/>
      <w:bookmarkStart w:id="1876" w:name="_Toc38441012"/>
      <w:bookmarkStart w:id="1877" w:name="_Toc38441344"/>
      <w:bookmarkStart w:id="1878" w:name="_Toc38441676"/>
      <w:bookmarkStart w:id="1879" w:name="_Toc38442004"/>
      <w:bookmarkStart w:id="1880" w:name="_Toc38442336"/>
      <w:bookmarkStart w:id="1881" w:name="_Toc38442668"/>
      <w:bookmarkStart w:id="1882" w:name="_Toc38442999"/>
      <w:bookmarkStart w:id="1883" w:name="_Toc38443330"/>
      <w:bookmarkStart w:id="1884" w:name="_Toc38443661"/>
      <w:bookmarkStart w:id="1885" w:name="_Toc38443991"/>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r w:rsidRPr="001F61B7">
        <w:rPr>
          <w:rFonts w:asciiTheme="minorEastAsia" w:eastAsiaTheme="minorEastAsia" w:hAnsiTheme="minorEastAsia"/>
          <w:color w:val="000000" w:themeColor="text1"/>
        </w:rPr>
        <w:t>易方达基金管理有限公司</w:t>
      </w:r>
    </w:p>
    <w:p w:rsidR="00BA4B87" w:rsidRPr="001F61B7" w:rsidP="00C42A18">
      <w:pPr>
        <w:tabs>
          <w:tab w:val="left" w:pos="3544"/>
        </w:tabs>
        <w:spacing w:line="360" w:lineRule="auto"/>
        <w:ind w:firstLine="420" w:firstLineChars="200"/>
        <w:jc w:val="right"/>
        <w:rPr>
          <w:rFonts w:asciiTheme="minorEastAsia" w:eastAsiaTheme="minorEastAsia" w:hAnsiTheme="minorEastAsia"/>
          <w:color w:val="000000" w:themeColor="text1"/>
        </w:rPr>
      </w:pPr>
      <w:r>
        <w:t>2021</w:t>
      </w:r>
      <w:r>
        <w:t>年</w:t>
      </w:r>
      <w:r>
        <w:t>12</w:t>
      </w:r>
      <w:r>
        <w:t>月</w:t>
      </w:r>
      <w:r>
        <w:t>31</w:t>
      </w:r>
      <w:r>
        <w:t>日</w:t>
      </w:r>
    </w:p>
    <w:sectPr w:rsidSect="00C94D2B">
      <w:footerReference w:type="default" r:id="rId24"/>
      <w:pgSz w:w="11906" w:h="16838" w:code="9"/>
      <w:pgMar w:top="1440" w:right="1800" w:bottom="1440" w:left="1800" w:header="851" w:footer="992" w:gutter="0"/>
      <w:cols w:space="720"/>
      <w:docGrid w:type="lines" w:linePitch="3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仿宋简体">
    <w:altName w:val="宋体"/>
    <w:charset w:val="86"/>
    <w:family w:val="auto"/>
    <w:pitch w:val="default"/>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6D3C">
    <w:pPr>
      <w:pStyle w:val="Footer"/>
      <w:framePr w:wrap="around" w:vAnchor="text" w:hAnchor="margin" w:xAlign="center" w:y="1"/>
      <w:ind w:firstLine="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4F6D3C">
    <w:pPr>
      <w:pStyle w:val="Footer"/>
      <w:ind w:right="360" w:firstLine="360"/>
    </w:pPr>
  </w:p>
  <w:p w:rsidR="004F6D3C">
    <w:pPr>
      <w:ind w:firstLine="4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6D3C">
    <w:pPr>
      <w:ind w:firstLine="4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6D3C">
    <w:pPr>
      <w:ind w:firstLine="48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6D3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3601">
    <w:pPr>
      <w:pStyle w:val="Footer"/>
      <w:ind w:firstLine="360"/>
      <w:jc w:val="center"/>
    </w:pPr>
  </w:p>
  <w:p w:rsidR="00DE3601" w:rsidRPr="00DE3601" w:rsidP="00DE3601">
    <w:pPr>
      <w:pStyle w:val="Footer"/>
      <w:ind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20683021"/>
      <w:docPartObj>
        <w:docPartGallery w:val="Page Numbers (Bottom of Page)"/>
        <w:docPartUnique/>
      </w:docPartObj>
    </w:sdtPr>
    <w:sdtContent>
      <w:p w:rsidR="00DE3601">
        <w:pPr>
          <w:pStyle w:val="Footer"/>
          <w:ind w:firstLine="360"/>
          <w:jc w:val="center"/>
        </w:pPr>
        <w:r>
          <w:fldChar w:fldCharType="begin"/>
        </w:r>
        <w:r>
          <w:instrText>PAGE   \* MERGEFORMAT</w:instrText>
        </w:r>
        <w:r>
          <w:fldChar w:fldCharType="separate"/>
        </w:r>
        <w:r w:rsidRPr="00DE3601">
          <w:rPr>
            <w:noProof/>
            <w:lang w:val="zh-CN"/>
          </w:rPr>
          <w:t>I</w:t>
        </w:r>
        <w:r>
          <w:fldChar w:fldCharType="end"/>
        </w:r>
      </w:p>
    </w:sdtContent>
  </w:sdt>
  <w:p w:rsidR="00DE3601" w:rsidRPr="00DE3601" w:rsidP="00DE3601">
    <w:pPr>
      <w:pStyle w:val="Footer"/>
      <w:ind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6D3C" w:rsidP="00AE70B8">
    <w:pPr>
      <w:pStyle w:val="Footer"/>
      <w:ind w:firstLine="360"/>
      <w:jc w:val="center"/>
    </w:pPr>
    <w:r>
      <w:fldChar w:fldCharType="begin"/>
    </w:r>
    <w:r>
      <w:instrText xml:space="preserve"> PAGE   \* MERGEFORMAT </w:instrText>
    </w:r>
    <w:r>
      <w:fldChar w:fldCharType="separate"/>
    </w:r>
    <w:r w:rsidRPr="00DE3601" w:rsidR="00DE3601">
      <w:rPr>
        <w:noProof/>
        <w:lang w:val="zh-CN"/>
      </w:rPr>
      <w:t>117</w:t>
    </w:r>
    <w:r>
      <w:rPr>
        <w:noProof/>
        <w:lang w:val="zh-CN"/>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6D3C" w:rsidP="00AE70B8">
    <w:pPr>
      <w:pStyle w:val="Footer"/>
      <w:ind w:firstLine="360"/>
      <w:jc w:val="center"/>
    </w:pPr>
    <w:r>
      <w:fldChar w:fldCharType="begin"/>
    </w:r>
    <w:r>
      <w:instrText xml:space="preserve"> PAGE   \* MERGEFORMAT </w:instrText>
    </w:r>
    <w:r>
      <w:fldChar w:fldCharType="separate"/>
    </w:r>
    <w:r w:rsidRPr="00DE3601" w:rsidR="00DE3601">
      <w:rPr>
        <w:noProof/>
        <w:lang w:val="zh-CN"/>
      </w:rPr>
      <w:t>119</w:t>
    </w:r>
    <w:r>
      <w:rPr>
        <w:noProof/>
        <w:lang w:val="zh-CN"/>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6D3C">
    <w:pPr>
      <w:ind w:firstLine="4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6D3C">
    <w:pPr>
      <w:ind w:firstLine="4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6D3C">
    <w:pPr>
      <w:ind w:firstLine="48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6D3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6D3C" w:rsidRPr="002F067A" w:rsidP="005608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39E2F0F"/>
    <w:multiLevelType w:val="multilevel"/>
    <w:tmpl w:val="97B69774"/>
    <w:lvl w:ilvl="0">
      <w:start w:val="1"/>
      <w:numFmt w:val="chineseCountingThousand"/>
      <w:suff w:val="space"/>
      <w:lvlText w:val="%1、"/>
      <w:lvlJc w:val="left"/>
      <w:pPr>
        <w:ind w:left="0" w:firstLine="0"/>
      </w:pPr>
      <w:rPr>
        <w:rFonts w:hint="eastAsia"/>
      </w:rPr>
    </w:lvl>
    <w:lvl w:ilvl="1">
      <w:start w:val="1"/>
      <w:numFmt w:val="chineseCountingThousand"/>
      <w:suff w:val="nothing"/>
      <w:lvlText w:val="%2、"/>
      <w:lvlJc w:val="left"/>
      <w:pPr>
        <w:ind w:left="0" w:firstLine="0"/>
      </w:pPr>
      <w:rPr>
        <w:rFonts w:hint="eastAsia"/>
      </w:rPr>
    </w:lvl>
    <w:lvl w:ilvl="2">
      <w:start w:val="1"/>
      <w:numFmt w:val="decimal"/>
      <w:suff w:val="space"/>
      <w:lvlText w:val="%3."/>
      <w:lvlJc w:val="left"/>
      <w:pPr>
        <w:ind w:left="0" w:firstLine="0"/>
      </w:pPr>
      <w:rPr>
        <w:rFonts w:hint="eastAsia"/>
      </w:rPr>
    </w:lvl>
    <w:lvl w:ilvl="3">
      <w:start w:val="1"/>
      <w:numFmt w:val="none"/>
      <w:pStyle w:val="Heading4"/>
      <w:suff w:val="nothing"/>
      <w:lvlJc w:val="left"/>
      <w:pPr>
        <w:ind w:left="851" w:firstLine="0"/>
      </w:pPr>
      <w:rPr>
        <w:rFonts w:hint="eastAsia"/>
      </w:rPr>
    </w:lvl>
    <w:lvl w:ilvl="4">
      <w:start w:val="1"/>
      <w:numFmt w:val="none"/>
      <w:pStyle w:val="Heading5"/>
      <w:suff w:val="nothing"/>
      <w:lvlJc w:val="left"/>
      <w:pPr>
        <w:ind w:left="851" w:firstLine="0"/>
      </w:pPr>
      <w:rPr>
        <w:rFonts w:hint="eastAsia"/>
      </w:rPr>
    </w:lvl>
    <w:lvl w:ilvl="5">
      <w:start w:val="1"/>
      <w:numFmt w:val="none"/>
      <w:pStyle w:val="Heading6"/>
      <w:suff w:val="nothing"/>
      <w:lvlJc w:val="left"/>
      <w:pPr>
        <w:ind w:left="851" w:firstLine="0"/>
      </w:pPr>
      <w:rPr>
        <w:rFonts w:hint="eastAsia"/>
      </w:rPr>
    </w:lvl>
    <w:lvl w:ilvl="6">
      <w:start w:val="1"/>
      <w:numFmt w:val="none"/>
      <w:pStyle w:val="Heading7"/>
      <w:suff w:val="nothing"/>
      <w:lvlJc w:val="left"/>
      <w:pPr>
        <w:ind w:left="851" w:firstLine="0"/>
      </w:pPr>
      <w:rPr>
        <w:rFonts w:hint="eastAsia"/>
      </w:rPr>
    </w:lvl>
    <w:lvl w:ilvl="7">
      <w:start w:val="1"/>
      <w:numFmt w:val="none"/>
      <w:pStyle w:val="Heading8"/>
      <w:suff w:val="nothing"/>
      <w:lvlJc w:val="left"/>
      <w:pPr>
        <w:ind w:left="851" w:firstLine="0"/>
      </w:pPr>
      <w:rPr>
        <w:rFonts w:hint="eastAsia"/>
      </w:rPr>
    </w:lvl>
    <w:lvl w:ilvl="8">
      <w:start w:val="1"/>
      <w:numFmt w:val="none"/>
      <w:pStyle w:val="Heading9"/>
      <w:suff w:val="nothing"/>
      <w:lvlJc w:val="left"/>
      <w:pPr>
        <w:ind w:left="851" w:firstLine="0"/>
      </w:pPr>
      <w:rPr>
        <w:rFonts w:hint="eastAsia"/>
      </w:rPr>
    </w:lvl>
  </w:abstractNum>
  <w:abstractNum w:abstractNumId="1">
    <w:nsid w:val="4B385D0F"/>
    <w:multiLevelType w:val="hybridMultilevel"/>
    <w:tmpl w:val="36E8BDCC"/>
    <w:lvl w:ilvl="0">
      <w:start w:val="1"/>
      <w:numFmt w:val="japaneseCounting"/>
      <w:lvlText w:val="（%1）"/>
      <w:lvlJc w:val="left"/>
      <w:pPr>
        <w:tabs>
          <w:tab w:val="num" w:pos="720"/>
        </w:tabs>
        <w:ind w:left="720" w:hanging="720"/>
      </w:pPr>
      <w:rPr>
        <w:rFonts w:hint="eastAsia"/>
      </w:rPr>
    </w:lvl>
    <w:lvl w:ilvl="1">
      <w:start w:val="1"/>
      <w:numFmt w:val="decimal"/>
      <w:pStyle w:val="BodyText"/>
      <w:lvlText w:val="%2、"/>
      <w:lvlJc w:val="left"/>
      <w:pPr>
        <w:tabs>
          <w:tab w:val="num" w:pos="780"/>
        </w:tabs>
        <w:ind w:left="780" w:hanging="360"/>
      </w:pPr>
      <w:rPr>
        <w:rFonts w:hint="eastAsia"/>
      </w:r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
    <w:nsid w:val="66732404"/>
    <w:multiLevelType w:val="multilevel"/>
    <w:tmpl w:val="CDC0E6D0"/>
    <w:lvl w:ilvl="0">
      <w:start w:val="1"/>
      <w:numFmt w:val="japaneseCounting"/>
      <w:lvlText w:val="（%1）"/>
      <w:lvlJc w:val="left"/>
      <w:pPr>
        <w:tabs>
          <w:tab w:val="num" w:pos="990"/>
        </w:tabs>
        <w:ind w:left="990" w:hanging="840"/>
      </w:pPr>
      <w:rPr>
        <w:rFonts w:hint="eastAsia"/>
      </w:rPr>
    </w:lvl>
    <w:lvl w:ilvl="1">
      <w:start w:val="1"/>
      <w:numFmt w:val="decimal"/>
      <w:lvlText w:val="（%2）"/>
      <w:lvlJc w:val="left"/>
      <w:pPr>
        <w:tabs>
          <w:tab w:val="num" w:pos="1290"/>
        </w:tabs>
        <w:ind w:left="1290" w:hanging="720"/>
      </w:pPr>
      <w:rPr>
        <w:rFonts w:hint="eastAsia"/>
      </w:rPr>
    </w:lvl>
    <w:lvl w:ilvl="2">
      <w:start w:val="4"/>
      <w:numFmt w:val="japaneseCounting"/>
      <w:pStyle w:val="Heading3"/>
      <w:lvlText w:val="%3、"/>
      <w:lvlJc w:val="left"/>
      <w:pPr>
        <w:tabs>
          <w:tab w:val="num" w:pos="1710"/>
        </w:tabs>
        <w:ind w:left="1710" w:hanging="720"/>
      </w:pPr>
      <w:rPr>
        <w:rFonts w:eastAsia="宋体" w:hint="eastAsia"/>
        <w:b/>
        <w:color w:val="auto"/>
      </w:rPr>
    </w:lvl>
    <w:lvl w:ilvl="3">
      <w:start w:val="1"/>
      <w:numFmt w:val="decimal"/>
      <w:lvlText w:val="%4."/>
      <w:lvlJc w:val="left"/>
      <w:pPr>
        <w:tabs>
          <w:tab w:val="num" w:pos="1830"/>
        </w:tabs>
        <w:ind w:left="1830" w:hanging="420"/>
      </w:pPr>
    </w:lvl>
    <w:lvl w:ilvl="4">
      <w:start w:val="1"/>
      <w:numFmt w:val="lowerLetter"/>
      <w:lvlText w:val="%5)"/>
      <w:lvlJc w:val="left"/>
      <w:pPr>
        <w:tabs>
          <w:tab w:val="num" w:pos="2250"/>
        </w:tabs>
        <w:ind w:left="2250" w:hanging="420"/>
      </w:pPr>
    </w:lvl>
    <w:lvl w:ilvl="5">
      <w:start w:val="1"/>
      <w:numFmt w:val="lowerRoman"/>
      <w:lvlText w:val="%6."/>
      <w:lvlJc w:val="right"/>
      <w:pPr>
        <w:tabs>
          <w:tab w:val="num" w:pos="2670"/>
        </w:tabs>
        <w:ind w:left="2670" w:hanging="420"/>
      </w:pPr>
    </w:lvl>
    <w:lvl w:ilvl="6">
      <w:start w:val="1"/>
      <w:numFmt w:val="decimal"/>
      <w:lvlText w:val="%7."/>
      <w:lvlJc w:val="left"/>
      <w:pPr>
        <w:tabs>
          <w:tab w:val="num" w:pos="3090"/>
        </w:tabs>
        <w:ind w:left="3090" w:hanging="420"/>
      </w:pPr>
    </w:lvl>
    <w:lvl w:ilvl="7">
      <w:start w:val="1"/>
      <w:numFmt w:val="lowerLetter"/>
      <w:lvlText w:val="%8)"/>
      <w:lvlJc w:val="left"/>
      <w:pPr>
        <w:tabs>
          <w:tab w:val="num" w:pos="3510"/>
        </w:tabs>
        <w:ind w:left="3510" w:hanging="420"/>
      </w:pPr>
    </w:lvl>
    <w:lvl w:ilvl="8">
      <w:start w:val="1"/>
      <w:numFmt w:val="lowerRoman"/>
      <w:lvlText w:val="%9."/>
      <w:lvlJc w:val="right"/>
      <w:pPr>
        <w:tabs>
          <w:tab w:val="num" w:pos="3930"/>
        </w:tabs>
        <w:ind w:left="393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20"/>
  <w:embedSystemFonts/>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420"/>
  <w:drawingGridHorizontalSpacing w:val="105"/>
  <w:drawingGridVerticalSpacing w:val="31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overrideTableStyleFontSizeAndJustification" w:uri="http://schemas.microsoft.com/office/word" w:val="0"/>
  </w:compat>
  <w:rsids>
    <w:rsidRoot w:val="00BA4B87"/>
    <w:rsid w:val="00000503"/>
    <w:rsid w:val="00000684"/>
    <w:rsid w:val="00000829"/>
    <w:rsid w:val="000008BD"/>
    <w:rsid w:val="000009F5"/>
    <w:rsid w:val="00000C38"/>
    <w:rsid w:val="00002696"/>
    <w:rsid w:val="00002865"/>
    <w:rsid w:val="000033E3"/>
    <w:rsid w:val="00003403"/>
    <w:rsid w:val="000034D7"/>
    <w:rsid w:val="00003C24"/>
    <w:rsid w:val="000047EB"/>
    <w:rsid w:val="00004967"/>
    <w:rsid w:val="00005763"/>
    <w:rsid w:val="000059BE"/>
    <w:rsid w:val="000064C6"/>
    <w:rsid w:val="00006694"/>
    <w:rsid w:val="00006C96"/>
    <w:rsid w:val="00010950"/>
    <w:rsid w:val="00010BE3"/>
    <w:rsid w:val="000111D5"/>
    <w:rsid w:val="00011A89"/>
    <w:rsid w:val="00011B57"/>
    <w:rsid w:val="000123D9"/>
    <w:rsid w:val="0001419E"/>
    <w:rsid w:val="000147AA"/>
    <w:rsid w:val="0001716B"/>
    <w:rsid w:val="000174AA"/>
    <w:rsid w:val="00020907"/>
    <w:rsid w:val="0002136C"/>
    <w:rsid w:val="00021D40"/>
    <w:rsid w:val="00022523"/>
    <w:rsid w:val="00023038"/>
    <w:rsid w:val="0002404E"/>
    <w:rsid w:val="00025C20"/>
    <w:rsid w:val="00025D8B"/>
    <w:rsid w:val="00026705"/>
    <w:rsid w:val="00027992"/>
    <w:rsid w:val="00027D3C"/>
    <w:rsid w:val="0003000A"/>
    <w:rsid w:val="00030AA1"/>
    <w:rsid w:val="00030EFE"/>
    <w:rsid w:val="00031D27"/>
    <w:rsid w:val="00032A43"/>
    <w:rsid w:val="000335F6"/>
    <w:rsid w:val="0003567C"/>
    <w:rsid w:val="00036C46"/>
    <w:rsid w:val="000375DA"/>
    <w:rsid w:val="00037A8D"/>
    <w:rsid w:val="00037AC4"/>
    <w:rsid w:val="0004068C"/>
    <w:rsid w:val="00040946"/>
    <w:rsid w:val="000423DC"/>
    <w:rsid w:val="00042C9F"/>
    <w:rsid w:val="000432F2"/>
    <w:rsid w:val="00043C5D"/>
    <w:rsid w:val="0004480D"/>
    <w:rsid w:val="0004494F"/>
    <w:rsid w:val="000467C2"/>
    <w:rsid w:val="00046A2F"/>
    <w:rsid w:val="00046AE8"/>
    <w:rsid w:val="00046D6E"/>
    <w:rsid w:val="00046F70"/>
    <w:rsid w:val="00047342"/>
    <w:rsid w:val="00047CE2"/>
    <w:rsid w:val="000512C9"/>
    <w:rsid w:val="00052320"/>
    <w:rsid w:val="0005276D"/>
    <w:rsid w:val="0005293E"/>
    <w:rsid w:val="00052C9F"/>
    <w:rsid w:val="00053030"/>
    <w:rsid w:val="00053407"/>
    <w:rsid w:val="00053DBD"/>
    <w:rsid w:val="00053E4C"/>
    <w:rsid w:val="0005478E"/>
    <w:rsid w:val="00055032"/>
    <w:rsid w:val="000553C5"/>
    <w:rsid w:val="0005646C"/>
    <w:rsid w:val="000579E2"/>
    <w:rsid w:val="000602D3"/>
    <w:rsid w:val="000603E7"/>
    <w:rsid w:val="00060771"/>
    <w:rsid w:val="00061434"/>
    <w:rsid w:val="00061A4B"/>
    <w:rsid w:val="00062004"/>
    <w:rsid w:val="00062562"/>
    <w:rsid w:val="000625D8"/>
    <w:rsid w:val="0006260C"/>
    <w:rsid w:val="00062629"/>
    <w:rsid w:val="0006533D"/>
    <w:rsid w:val="000658E9"/>
    <w:rsid w:val="00065BF6"/>
    <w:rsid w:val="00065E33"/>
    <w:rsid w:val="0006600C"/>
    <w:rsid w:val="00066606"/>
    <w:rsid w:val="00066D91"/>
    <w:rsid w:val="00067E66"/>
    <w:rsid w:val="00070309"/>
    <w:rsid w:val="0007194B"/>
    <w:rsid w:val="00072AEF"/>
    <w:rsid w:val="000742DC"/>
    <w:rsid w:val="000743BB"/>
    <w:rsid w:val="0007451B"/>
    <w:rsid w:val="00074927"/>
    <w:rsid w:val="00074F0F"/>
    <w:rsid w:val="000751D7"/>
    <w:rsid w:val="000754B6"/>
    <w:rsid w:val="00076E39"/>
    <w:rsid w:val="00077BD0"/>
    <w:rsid w:val="00080A4A"/>
    <w:rsid w:val="00081BB2"/>
    <w:rsid w:val="00081C3E"/>
    <w:rsid w:val="00082177"/>
    <w:rsid w:val="00082479"/>
    <w:rsid w:val="00082D38"/>
    <w:rsid w:val="000838D2"/>
    <w:rsid w:val="000838DB"/>
    <w:rsid w:val="0008426E"/>
    <w:rsid w:val="00084A0F"/>
    <w:rsid w:val="00085404"/>
    <w:rsid w:val="00085634"/>
    <w:rsid w:val="00086418"/>
    <w:rsid w:val="000878D9"/>
    <w:rsid w:val="00087926"/>
    <w:rsid w:val="00087C08"/>
    <w:rsid w:val="000900B4"/>
    <w:rsid w:val="00090469"/>
    <w:rsid w:val="00090A33"/>
    <w:rsid w:val="00090BF0"/>
    <w:rsid w:val="00090F6F"/>
    <w:rsid w:val="00091129"/>
    <w:rsid w:val="00092C59"/>
    <w:rsid w:val="000931AA"/>
    <w:rsid w:val="00093518"/>
    <w:rsid w:val="0009363C"/>
    <w:rsid w:val="0009401B"/>
    <w:rsid w:val="00095641"/>
    <w:rsid w:val="000963E6"/>
    <w:rsid w:val="0009673C"/>
    <w:rsid w:val="00096801"/>
    <w:rsid w:val="000A04C3"/>
    <w:rsid w:val="000A1447"/>
    <w:rsid w:val="000A1967"/>
    <w:rsid w:val="000A20AD"/>
    <w:rsid w:val="000A237E"/>
    <w:rsid w:val="000A23D7"/>
    <w:rsid w:val="000A26DC"/>
    <w:rsid w:val="000A34E2"/>
    <w:rsid w:val="000A394A"/>
    <w:rsid w:val="000A4424"/>
    <w:rsid w:val="000A4780"/>
    <w:rsid w:val="000A4D57"/>
    <w:rsid w:val="000A52B7"/>
    <w:rsid w:val="000A53A4"/>
    <w:rsid w:val="000A55CC"/>
    <w:rsid w:val="000A579A"/>
    <w:rsid w:val="000A58CD"/>
    <w:rsid w:val="000A63A1"/>
    <w:rsid w:val="000A6C47"/>
    <w:rsid w:val="000A6C68"/>
    <w:rsid w:val="000A73D6"/>
    <w:rsid w:val="000A7C2A"/>
    <w:rsid w:val="000B0B17"/>
    <w:rsid w:val="000B1241"/>
    <w:rsid w:val="000B1599"/>
    <w:rsid w:val="000B2DD6"/>
    <w:rsid w:val="000B4277"/>
    <w:rsid w:val="000B46DC"/>
    <w:rsid w:val="000B5344"/>
    <w:rsid w:val="000B7017"/>
    <w:rsid w:val="000B703B"/>
    <w:rsid w:val="000B7E11"/>
    <w:rsid w:val="000C2D98"/>
    <w:rsid w:val="000C31D1"/>
    <w:rsid w:val="000C32FA"/>
    <w:rsid w:val="000C3945"/>
    <w:rsid w:val="000C5050"/>
    <w:rsid w:val="000C669A"/>
    <w:rsid w:val="000C70B0"/>
    <w:rsid w:val="000C755A"/>
    <w:rsid w:val="000C762C"/>
    <w:rsid w:val="000D1442"/>
    <w:rsid w:val="000D1888"/>
    <w:rsid w:val="000D1C68"/>
    <w:rsid w:val="000D3ABD"/>
    <w:rsid w:val="000D3ADE"/>
    <w:rsid w:val="000D3DAB"/>
    <w:rsid w:val="000D4492"/>
    <w:rsid w:val="000D4DF8"/>
    <w:rsid w:val="000D5036"/>
    <w:rsid w:val="000D5C0C"/>
    <w:rsid w:val="000D6139"/>
    <w:rsid w:val="000D684F"/>
    <w:rsid w:val="000D72D0"/>
    <w:rsid w:val="000D743D"/>
    <w:rsid w:val="000D7661"/>
    <w:rsid w:val="000D7E77"/>
    <w:rsid w:val="000E06C8"/>
    <w:rsid w:val="000E1148"/>
    <w:rsid w:val="000E1275"/>
    <w:rsid w:val="000E1757"/>
    <w:rsid w:val="000E181F"/>
    <w:rsid w:val="000E197D"/>
    <w:rsid w:val="000E2BA4"/>
    <w:rsid w:val="000E2F9E"/>
    <w:rsid w:val="000E39F0"/>
    <w:rsid w:val="000E453B"/>
    <w:rsid w:val="000E45DB"/>
    <w:rsid w:val="000E4694"/>
    <w:rsid w:val="000E46D7"/>
    <w:rsid w:val="000E52BD"/>
    <w:rsid w:val="000E66FD"/>
    <w:rsid w:val="000E6D1C"/>
    <w:rsid w:val="000E7413"/>
    <w:rsid w:val="000E7642"/>
    <w:rsid w:val="000E77BB"/>
    <w:rsid w:val="000E7F0B"/>
    <w:rsid w:val="000F0624"/>
    <w:rsid w:val="000F08CD"/>
    <w:rsid w:val="000F1803"/>
    <w:rsid w:val="000F217C"/>
    <w:rsid w:val="000F2807"/>
    <w:rsid w:val="000F3819"/>
    <w:rsid w:val="000F3BA6"/>
    <w:rsid w:val="000F3DCD"/>
    <w:rsid w:val="000F40A1"/>
    <w:rsid w:val="000F53FC"/>
    <w:rsid w:val="000F5558"/>
    <w:rsid w:val="000F595F"/>
    <w:rsid w:val="000F6E21"/>
    <w:rsid w:val="000F71D6"/>
    <w:rsid w:val="000F74E9"/>
    <w:rsid w:val="000F79C6"/>
    <w:rsid w:val="00101ABE"/>
    <w:rsid w:val="00101DF0"/>
    <w:rsid w:val="001023AF"/>
    <w:rsid w:val="001029BF"/>
    <w:rsid w:val="00103010"/>
    <w:rsid w:val="00103118"/>
    <w:rsid w:val="00103317"/>
    <w:rsid w:val="00103C99"/>
    <w:rsid w:val="00104072"/>
    <w:rsid w:val="00104621"/>
    <w:rsid w:val="00105592"/>
    <w:rsid w:val="00105DA3"/>
    <w:rsid w:val="0010655B"/>
    <w:rsid w:val="0010689F"/>
    <w:rsid w:val="001073C0"/>
    <w:rsid w:val="00107E28"/>
    <w:rsid w:val="0011043B"/>
    <w:rsid w:val="0011071E"/>
    <w:rsid w:val="0011115D"/>
    <w:rsid w:val="001111DA"/>
    <w:rsid w:val="0011137D"/>
    <w:rsid w:val="00111483"/>
    <w:rsid w:val="00111550"/>
    <w:rsid w:val="00111AAD"/>
    <w:rsid w:val="00111F0F"/>
    <w:rsid w:val="001131AA"/>
    <w:rsid w:val="001132BC"/>
    <w:rsid w:val="001138AD"/>
    <w:rsid w:val="00114CB9"/>
    <w:rsid w:val="00116773"/>
    <w:rsid w:val="00116FFA"/>
    <w:rsid w:val="00117056"/>
    <w:rsid w:val="001175C0"/>
    <w:rsid w:val="001176B4"/>
    <w:rsid w:val="001176C5"/>
    <w:rsid w:val="00117AF6"/>
    <w:rsid w:val="0012005A"/>
    <w:rsid w:val="00120226"/>
    <w:rsid w:val="001208EC"/>
    <w:rsid w:val="00121540"/>
    <w:rsid w:val="00121AB8"/>
    <w:rsid w:val="00123330"/>
    <w:rsid w:val="00123683"/>
    <w:rsid w:val="0012446F"/>
    <w:rsid w:val="001244F2"/>
    <w:rsid w:val="00124AA0"/>
    <w:rsid w:val="001260F5"/>
    <w:rsid w:val="001262EF"/>
    <w:rsid w:val="00126743"/>
    <w:rsid w:val="00127F96"/>
    <w:rsid w:val="001308D7"/>
    <w:rsid w:val="00130A00"/>
    <w:rsid w:val="00130E9A"/>
    <w:rsid w:val="001318DA"/>
    <w:rsid w:val="00131CAF"/>
    <w:rsid w:val="0013223F"/>
    <w:rsid w:val="00132C86"/>
    <w:rsid w:val="00132E13"/>
    <w:rsid w:val="00133009"/>
    <w:rsid w:val="00133687"/>
    <w:rsid w:val="0013422A"/>
    <w:rsid w:val="001347A6"/>
    <w:rsid w:val="00135048"/>
    <w:rsid w:val="00135CB2"/>
    <w:rsid w:val="00135DAA"/>
    <w:rsid w:val="00135E76"/>
    <w:rsid w:val="00135EF2"/>
    <w:rsid w:val="00135F3C"/>
    <w:rsid w:val="001369FA"/>
    <w:rsid w:val="00137C27"/>
    <w:rsid w:val="00137DAD"/>
    <w:rsid w:val="00137E13"/>
    <w:rsid w:val="00140387"/>
    <w:rsid w:val="001404C8"/>
    <w:rsid w:val="0014103F"/>
    <w:rsid w:val="00141DBD"/>
    <w:rsid w:val="00142DCB"/>
    <w:rsid w:val="00143612"/>
    <w:rsid w:val="00143730"/>
    <w:rsid w:val="00143BFF"/>
    <w:rsid w:val="00144101"/>
    <w:rsid w:val="001449E6"/>
    <w:rsid w:val="00145C2D"/>
    <w:rsid w:val="001461B1"/>
    <w:rsid w:val="00146C0A"/>
    <w:rsid w:val="001474BD"/>
    <w:rsid w:val="00147A68"/>
    <w:rsid w:val="0015047D"/>
    <w:rsid w:val="00150B88"/>
    <w:rsid w:val="0015192A"/>
    <w:rsid w:val="00151B14"/>
    <w:rsid w:val="00153203"/>
    <w:rsid w:val="00153F11"/>
    <w:rsid w:val="00154A01"/>
    <w:rsid w:val="00157560"/>
    <w:rsid w:val="00157F9D"/>
    <w:rsid w:val="001611BB"/>
    <w:rsid w:val="001611D1"/>
    <w:rsid w:val="001613AB"/>
    <w:rsid w:val="001617AE"/>
    <w:rsid w:val="00161887"/>
    <w:rsid w:val="001618F9"/>
    <w:rsid w:val="00161A1F"/>
    <w:rsid w:val="00161CFC"/>
    <w:rsid w:val="0016274E"/>
    <w:rsid w:val="00162EEB"/>
    <w:rsid w:val="00163296"/>
    <w:rsid w:val="001634D6"/>
    <w:rsid w:val="00163592"/>
    <w:rsid w:val="0016381A"/>
    <w:rsid w:val="00163C31"/>
    <w:rsid w:val="00164C1E"/>
    <w:rsid w:val="00164DEB"/>
    <w:rsid w:val="00164EE8"/>
    <w:rsid w:val="001678FB"/>
    <w:rsid w:val="0017025E"/>
    <w:rsid w:val="001711A1"/>
    <w:rsid w:val="0017196F"/>
    <w:rsid w:val="00172343"/>
    <w:rsid w:val="001735E3"/>
    <w:rsid w:val="00174299"/>
    <w:rsid w:val="00175112"/>
    <w:rsid w:val="00175C14"/>
    <w:rsid w:val="001769C4"/>
    <w:rsid w:val="00177EF8"/>
    <w:rsid w:val="001810DD"/>
    <w:rsid w:val="00181D5A"/>
    <w:rsid w:val="0018360C"/>
    <w:rsid w:val="001836EF"/>
    <w:rsid w:val="0018387D"/>
    <w:rsid w:val="00184282"/>
    <w:rsid w:val="00184F77"/>
    <w:rsid w:val="001856A1"/>
    <w:rsid w:val="00187035"/>
    <w:rsid w:val="00187C2E"/>
    <w:rsid w:val="00190691"/>
    <w:rsid w:val="00192127"/>
    <w:rsid w:val="00192A21"/>
    <w:rsid w:val="00192FAC"/>
    <w:rsid w:val="001930AD"/>
    <w:rsid w:val="00193187"/>
    <w:rsid w:val="0019364D"/>
    <w:rsid w:val="00194301"/>
    <w:rsid w:val="00194665"/>
    <w:rsid w:val="00194727"/>
    <w:rsid w:val="001947A3"/>
    <w:rsid w:val="0019491D"/>
    <w:rsid w:val="00194A61"/>
    <w:rsid w:val="00194C12"/>
    <w:rsid w:val="001953F1"/>
    <w:rsid w:val="0019543C"/>
    <w:rsid w:val="00195C25"/>
    <w:rsid w:val="001977D2"/>
    <w:rsid w:val="0019799A"/>
    <w:rsid w:val="001A0FA6"/>
    <w:rsid w:val="001A1688"/>
    <w:rsid w:val="001A1A19"/>
    <w:rsid w:val="001A35DB"/>
    <w:rsid w:val="001A3BCE"/>
    <w:rsid w:val="001A5741"/>
    <w:rsid w:val="001A5992"/>
    <w:rsid w:val="001A599B"/>
    <w:rsid w:val="001A59D1"/>
    <w:rsid w:val="001A6348"/>
    <w:rsid w:val="001A6568"/>
    <w:rsid w:val="001A6C00"/>
    <w:rsid w:val="001A7C28"/>
    <w:rsid w:val="001B18F3"/>
    <w:rsid w:val="001B1C0C"/>
    <w:rsid w:val="001B30E4"/>
    <w:rsid w:val="001B39DD"/>
    <w:rsid w:val="001B3F66"/>
    <w:rsid w:val="001B3FDA"/>
    <w:rsid w:val="001B439C"/>
    <w:rsid w:val="001B52A6"/>
    <w:rsid w:val="001B58B1"/>
    <w:rsid w:val="001B5D97"/>
    <w:rsid w:val="001B62B0"/>
    <w:rsid w:val="001B71AC"/>
    <w:rsid w:val="001B739D"/>
    <w:rsid w:val="001B7A7F"/>
    <w:rsid w:val="001C049E"/>
    <w:rsid w:val="001C1088"/>
    <w:rsid w:val="001C175C"/>
    <w:rsid w:val="001C29D5"/>
    <w:rsid w:val="001C40F8"/>
    <w:rsid w:val="001C4C87"/>
    <w:rsid w:val="001C4FC0"/>
    <w:rsid w:val="001C54CA"/>
    <w:rsid w:val="001C555F"/>
    <w:rsid w:val="001C56D2"/>
    <w:rsid w:val="001C5A87"/>
    <w:rsid w:val="001C5F3E"/>
    <w:rsid w:val="001C61A4"/>
    <w:rsid w:val="001C626A"/>
    <w:rsid w:val="001C66E9"/>
    <w:rsid w:val="001C73D0"/>
    <w:rsid w:val="001D03BD"/>
    <w:rsid w:val="001D047F"/>
    <w:rsid w:val="001D0947"/>
    <w:rsid w:val="001D10FC"/>
    <w:rsid w:val="001D2766"/>
    <w:rsid w:val="001D2A4F"/>
    <w:rsid w:val="001D2AE6"/>
    <w:rsid w:val="001D3528"/>
    <w:rsid w:val="001D35CF"/>
    <w:rsid w:val="001D3BDE"/>
    <w:rsid w:val="001D3FC1"/>
    <w:rsid w:val="001D4386"/>
    <w:rsid w:val="001D4770"/>
    <w:rsid w:val="001D4B9C"/>
    <w:rsid w:val="001D5928"/>
    <w:rsid w:val="001D6734"/>
    <w:rsid w:val="001D6852"/>
    <w:rsid w:val="001D71FB"/>
    <w:rsid w:val="001D7542"/>
    <w:rsid w:val="001E16E3"/>
    <w:rsid w:val="001E2C67"/>
    <w:rsid w:val="001E3849"/>
    <w:rsid w:val="001E49F5"/>
    <w:rsid w:val="001E4C2E"/>
    <w:rsid w:val="001E5840"/>
    <w:rsid w:val="001E5FFC"/>
    <w:rsid w:val="001E6198"/>
    <w:rsid w:val="001E6AB4"/>
    <w:rsid w:val="001E6E60"/>
    <w:rsid w:val="001E7E40"/>
    <w:rsid w:val="001F0592"/>
    <w:rsid w:val="001F12B2"/>
    <w:rsid w:val="001F1B3D"/>
    <w:rsid w:val="001F2295"/>
    <w:rsid w:val="001F24E5"/>
    <w:rsid w:val="001F274E"/>
    <w:rsid w:val="001F2B56"/>
    <w:rsid w:val="001F31CE"/>
    <w:rsid w:val="001F35D5"/>
    <w:rsid w:val="001F3C78"/>
    <w:rsid w:val="001F3CB0"/>
    <w:rsid w:val="001F3F96"/>
    <w:rsid w:val="001F480A"/>
    <w:rsid w:val="001F5085"/>
    <w:rsid w:val="001F51BD"/>
    <w:rsid w:val="001F59B1"/>
    <w:rsid w:val="001F61B7"/>
    <w:rsid w:val="001F71C4"/>
    <w:rsid w:val="002002F3"/>
    <w:rsid w:val="002004ED"/>
    <w:rsid w:val="002010A5"/>
    <w:rsid w:val="002022BE"/>
    <w:rsid w:val="00202CA0"/>
    <w:rsid w:val="002030F5"/>
    <w:rsid w:val="002034E4"/>
    <w:rsid w:val="0020350B"/>
    <w:rsid w:val="002039C9"/>
    <w:rsid w:val="0020401C"/>
    <w:rsid w:val="002042F4"/>
    <w:rsid w:val="00204B93"/>
    <w:rsid w:val="00204E42"/>
    <w:rsid w:val="00204ECA"/>
    <w:rsid w:val="0020519C"/>
    <w:rsid w:val="00205733"/>
    <w:rsid w:val="0020579A"/>
    <w:rsid w:val="002057BD"/>
    <w:rsid w:val="00205B4E"/>
    <w:rsid w:val="00205D7C"/>
    <w:rsid w:val="00206F26"/>
    <w:rsid w:val="00210543"/>
    <w:rsid w:val="00210FC4"/>
    <w:rsid w:val="0021169C"/>
    <w:rsid w:val="0021171D"/>
    <w:rsid w:val="0021184E"/>
    <w:rsid w:val="00211F2F"/>
    <w:rsid w:val="00212B1E"/>
    <w:rsid w:val="00212B9C"/>
    <w:rsid w:val="0021302E"/>
    <w:rsid w:val="00213D5B"/>
    <w:rsid w:val="00214437"/>
    <w:rsid w:val="0021491A"/>
    <w:rsid w:val="00214A68"/>
    <w:rsid w:val="00215990"/>
    <w:rsid w:val="002164F6"/>
    <w:rsid w:val="002165EF"/>
    <w:rsid w:val="00216C41"/>
    <w:rsid w:val="002175C2"/>
    <w:rsid w:val="00220813"/>
    <w:rsid w:val="00220D0C"/>
    <w:rsid w:val="00220FA0"/>
    <w:rsid w:val="002213EA"/>
    <w:rsid w:val="002214F8"/>
    <w:rsid w:val="00221930"/>
    <w:rsid w:val="00221E4F"/>
    <w:rsid w:val="002221EE"/>
    <w:rsid w:val="00222A41"/>
    <w:rsid w:val="002233ED"/>
    <w:rsid w:val="00223D9B"/>
    <w:rsid w:val="00223F7C"/>
    <w:rsid w:val="00224477"/>
    <w:rsid w:val="0022459F"/>
    <w:rsid w:val="00224F1B"/>
    <w:rsid w:val="00225355"/>
    <w:rsid w:val="0022545D"/>
    <w:rsid w:val="00225B09"/>
    <w:rsid w:val="00225C17"/>
    <w:rsid w:val="00225DC8"/>
    <w:rsid w:val="00226D90"/>
    <w:rsid w:val="00231F89"/>
    <w:rsid w:val="00232498"/>
    <w:rsid w:val="00232814"/>
    <w:rsid w:val="00232BE8"/>
    <w:rsid w:val="00233810"/>
    <w:rsid w:val="00236C12"/>
    <w:rsid w:val="002373E9"/>
    <w:rsid w:val="00241591"/>
    <w:rsid w:val="00241963"/>
    <w:rsid w:val="00241D58"/>
    <w:rsid w:val="002429D0"/>
    <w:rsid w:val="00243202"/>
    <w:rsid w:val="002434D6"/>
    <w:rsid w:val="0024354F"/>
    <w:rsid w:val="00243C49"/>
    <w:rsid w:val="00244BC7"/>
    <w:rsid w:val="00244FEE"/>
    <w:rsid w:val="002450BC"/>
    <w:rsid w:val="00245A10"/>
    <w:rsid w:val="00246735"/>
    <w:rsid w:val="0024782F"/>
    <w:rsid w:val="00247CA6"/>
    <w:rsid w:val="00251CD9"/>
    <w:rsid w:val="002522C1"/>
    <w:rsid w:val="00252E8D"/>
    <w:rsid w:val="00253434"/>
    <w:rsid w:val="002535AB"/>
    <w:rsid w:val="002536D4"/>
    <w:rsid w:val="0025451A"/>
    <w:rsid w:val="00254F5B"/>
    <w:rsid w:val="002551F0"/>
    <w:rsid w:val="00255427"/>
    <w:rsid w:val="00255BCE"/>
    <w:rsid w:val="00256676"/>
    <w:rsid w:val="002567AE"/>
    <w:rsid w:val="00257225"/>
    <w:rsid w:val="00260462"/>
    <w:rsid w:val="00260637"/>
    <w:rsid w:val="0026173F"/>
    <w:rsid w:val="002619E5"/>
    <w:rsid w:val="00262C7B"/>
    <w:rsid w:val="00262C89"/>
    <w:rsid w:val="0026340B"/>
    <w:rsid w:val="00263415"/>
    <w:rsid w:val="00263C50"/>
    <w:rsid w:val="00263CED"/>
    <w:rsid w:val="00264A0B"/>
    <w:rsid w:val="00264ECA"/>
    <w:rsid w:val="0026526E"/>
    <w:rsid w:val="00265506"/>
    <w:rsid w:val="00266197"/>
    <w:rsid w:val="00266CCA"/>
    <w:rsid w:val="00266EA9"/>
    <w:rsid w:val="002702D6"/>
    <w:rsid w:val="002707DB"/>
    <w:rsid w:val="00271129"/>
    <w:rsid w:val="00271D34"/>
    <w:rsid w:val="00272A9C"/>
    <w:rsid w:val="00273DB7"/>
    <w:rsid w:val="00273F73"/>
    <w:rsid w:val="00274169"/>
    <w:rsid w:val="00275B6C"/>
    <w:rsid w:val="00276939"/>
    <w:rsid w:val="002771FE"/>
    <w:rsid w:val="0027774D"/>
    <w:rsid w:val="00280A66"/>
    <w:rsid w:val="00280F7A"/>
    <w:rsid w:val="0028174F"/>
    <w:rsid w:val="00281C7A"/>
    <w:rsid w:val="002839AA"/>
    <w:rsid w:val="00283D42"/>
    <w:rsid w:val="002848C1"/>
    <w:rsid w:val="002849C5"/>
    <w:rsid w:val="00284A6F"/>
    <w:rsid w:val="00284C03"/>
    <w:rsid w:val="0028530B"/>
    <w:rsid w:val="00285C23"/>
    <w:rsid w:val="00285CCC"/>
    <w:rsid w:val="00286732"/>
    <w:rsid w:val="00287884"/>
    <w:rsid w:val="0029195F"/>
    <w:rsid w:val="0029380F"/>
    <w:rsid w:val="00294408"/>
    <w:rsid w:val="00294457"/>
    <w:rsid w:val="00294DE8"/>
    <w:rsid w:val="0029504E"/>
    <w:rsid w:val="002951A9"/>
    <w:rsid w:val="002957A2"/>
    <w:rsid w:val="00295BF8"/>
    <w:rsid w:val="00295BFB"/>
    <w:rsid w:val="00295EFB"/>
    <w:rsid w:val="00296231"/>
    <w:rsid w:val="00296316"/>
    <w:rsid w:val="00296349"/>
    <w:rsid w:val="0029658E"/>
    <w:rsid w:val="002967FD"/>
    <w:rsid w:val="00296949"/>
    <w:rsid w:val="00296AB8"/>
    <w:rsid w:val="00296B7B"/>
    <w:rsid w:val="00296BBB"/>
    <w:rsid w:val="00297FCF"/>
    <w:rsid w:val="002A002C"/>
    <w:rsid w:val="002A0164"/>
    <w:rsid w:val="002A01E3"/>
    <w:rsid w:val="002A1A17"/>
    <w:rsid w:val="002A1D23"/>
    <w:rsid w:val="002A2689"/>
    <w:rsid w:val="002A2D0D"/>
    <w:rsid w:val="002A31EB"/>
    <w:rsid w:val="002A3990"/>
    <w:rsid w:val="002A3B6F"/>
    <w:rsid w:val="002A42BE"/>
    <w:rsid w:val="002A4882"/>
    <w:rsid w:val="002A4C61"/>
    <w:rsid w:val="002A4D62"/>
    <w:rsid w:val="002A6A89"/>
    <w:rsid w:val="002A6C6A"/>
    <w:rsid w:val="002A7144"/>
    <w:rsid w:val="002A77E0"/>
    <w:rsid w:val="002A7B22"/>
    <w:rsid w:val="002B115A"/>
    <w:rsid w:val="002B19B1"/>
    <w:rsid w:val="002B1B97"/>
    <w:rsid w:val="002B1F49"/>
    <w:rsid w:val="002B3068"/>
    <w:rsid w:val="002B3A6F"/>
    <w:rsid w:val="002B4F56"/>
    <w:rsid w:val="002B59D7"/>
    <w:rsid w:val="002B6381"/>
    <w:rsid w:val="002B6490"/>
    <w:rsid w:val="002B6649"/>
    <w:rsid w:val="002B6825"/>
    <w:rsid w:val="002B7567"/>
    <w:rsid w:val="002C03F5"/>
    <w:rsid w:val="002C09AE"/>
    <w:rsid w:val="002C1966"/>
    <w:rsid w:val="002C1B2A"/>
    <w:rsid w:val="002C2A96"/>
    <w:rsid w:val="002C2BBD"/>
    <w:rsid w:val="002C406A"/>
    <w:rsid w:val="002C5707"/>
    <w:rsid w:val="002C5753"/>
    <w:rsid w:val="002C5ABF"/>
    <w:rsid w:val="002C6AE9"/>
    <w:rsid w:val="002C736E"/>
    <w:rsid w:val="002D0A82"/>
    <w:rsid w:val="002D0C0F"/>
    <w:rsid w:val="002D0D3F"/>
    <w:rsid w:val="002D1964"/>
    <w:rsid w:val="002D3E6B"/>
    <w:rsid w:val="002D497A"/>
    <w:rsid w:val="002D4D63"/>
    <w:rsid w:val="002D4D6B"/>
    <w:rsid w:val="002D760F"/>
    <w:rsid w:val="002D77A2"/>
    <w:rsid w:val="002D7B92"/>
    <w:rsid w:val="002E0541"/>
    <w:rsid w:val="002E057B"/>
    <w:rsid w:val="002E0A6A"/>
    <w:rsid w:val="002E0E3F"/>
    <w:rsid w:val="002E125F"/>
    <w:rsid w:val="002E1BC6"/>
    <w:rsid w:val="002E1C38"/>
    <w:rsid w:val="002E1C7A"/>
    <w:rsid w:val="002E1D5C"/>
    <w:rsid w:val="002E2804"/>
    <w:rsid w:val="002E2EEC"/>
    <w:rsid w:val="002E2FE5"/>
    <w:rsid w:val="002E37B0"/>
    <w:rsid w:val="002E4490"/>
    <w:rsid w:val="002E44B0"/>
    <w:rsid w:val="002E483A"/>
    <w:rsid w:val="002E4B64"/>
    <w:rsid w:val="002E4E12"/>
    <w:rsid w:val="002E4E2C"/>
    <w:rsid w:val="002E55B7"/>
    <w:rsid w:val="002E6775"/>
    <w:rsid w:val="002E681B"/>
    <w:rsid w:val="002F04F1"/>
    <w:rsid w:val="002F067A"/>
    <w:rsid w:val="002F2C91"/>
    <w:rsid w:val="002F3D94"/>
    <w:rsid w:val="002F3E13"/>
    <w:rsid w:val="002F4153"/>
    <w:rsid w:val="002F4363"/>
    <w:rsid w:val="002F4CC8"/>
    <w:rsid w:val="002F4D82"/>
    <w:rsid w:val="002F54D4"/>
    <w:rsid w:val="002F620D"/>
    <w:rsid w:val="002F62DA"/>
    <w:rsid w:val="002F6500"/>
    <w:rsid w:val="002F6A17"/>
    <w:rsid w:val="002F6B43"/>
    <w:rsid w:val="002F7481"/>
    <w:rsid w:val="002F76A6"/>
    <w:rsid w:val="003004BB"/>
    <w:rsid w:val="003008BB"/>
    <w:rsid w:val="00300A25"/>
    <w:rsid w:val="003015CC"/>
    <w:rsid w:val="00301930"/>
    <w:rsid w:val="003028F5"/>
    <w:rsid w:val="00303B62"/>
    <w:rsid w:val="0030404A"/>
    <w:rsid w:val="00305674"/>
    <w:rsid w:val="003059D7"/>
    <w:rsid w:val="00306891"/>
    <w:rsid w:val="00310E26"/>
    <w:rsid w:val="003112AE"/>
    <w:rsid w:val="00311E99"/>
    <w:rsid w:val="003126CF"/>
    <w:rsid w:val="003133AE"/>
    <w:rsid w:val="003134A5"/>
    <w:rsid w:val="0031498B"/>
    <w:rsid w:val="0031556A"/>
    <w:rsid w:val="003160B2"/>
    <w:rsid w:val="00316967"/>
    <w:rsid w:val="003173D1"/>
    <w:rsid w:val="003173FC"/>
    <w:rsid w:val="00317FD7"/>
    <w:rsid w:val="0032155C"/>
    <w:rsid w:val="00321FDC"/>
    <w:rsid w:val="00323E8D"/>
    <w:rsid w:val="0032452F"/>
    <w:rsid w:val="00324612"/>
    <w:rsid w:val="0032513B"/>
    <w:rsid w:val="003255C7"/>
    <w:rsid w:val="00325D29"/>
    <w:rsid w:val="00325E94"/>
    <w:rsid w:val="003261CF"/>
    <w:rsid w:val="00326CD2"/>
    <w:rsid w:val="003273AD"/>
    <w:rsid w:val="00327806"/>
    <w:rsid w:val="00327B53"/>
    <w:rsid w:val="00330CCD"/>
    <w:rsid w:val="00331853"/>
    <w:rsid w:val="00332445"/>
    <w:rsid w:val="00333B02"/>
    <w:rsid w:val="00333C2E"/>
    <w:rsid w:val="00335018"/>
    <w:rsid w:val="00335663"/>
    <w:rsid w:val="00335929"/>
    <w:rsid w:val="00336449"/>
    <w:rsid w:val="00336FF7"/>
    <w:rsid w:val="00337CDE"/>
    <w:rsid w:val="003404F4"/>
    <w:rsid w:val="00340785"/>
    <w:rsid w:val="003409B6"/>
    <w:rsid w:val="00341586"/>
    <w:rsid w:val="003416A9"/>
    <w:rsid w:val="00341D4B"/>
    <w:rsid w:val="00341D50"/>
    <w:rsid w:val="00341F1D"/>
    <w:rsid w:val="00342848"/>
    <w:rsid w:val="003438A8"/>
    <w:rsid w:val="003439F2"/>
    <w:rsid w:val="00343CDA"/>
    <w:rsid w:val="00344308"/>
    <w:rsid w:val="00346008"/>
    <w:rsid w:val="003478B3"/>
    <w:rsid w:val="003478F1"/>
    <w:rsid w:val="00350065"/>
    <w:rsid w:val="00350C54"/>
    <w:rsid w:val="00351022"/>
    <w:rsid w:val="003513E8"/>
    <w:rsid w:val="00351D82"/>
    <w:rsid w:val="0035210E"/>
    <w:rsid w:val="00353734"/>
    <w:rsid w:val="0035419A"/>
    <w:rsid w:val="003541F9"/>
    <w:rsid w:val="00354270"/>
    <w:rsid w:val="003542DE"/>
    <w:rsid w:val="0035483B"/>
    <w:rsid w:val="0035575C"/>
    <w:rsid w:val="003558F1"/>
    <w:rsid w:val="00356DC1"/>
    <w:rsid w:val="00357E23"/>
    <w:rsid w:val="00360228"/>
    <w:rsid w:val="00360608"/>
    <w:rsid w:val="00360A83"/>
    <w:rsid w:val="003615CA"/>
    <w:rsid w:val="00361ABE"/>
    <w:rsid w:val="00362194"/>
    <w:rsid w:val="00362EB6"/>
    <w:rsid w:val="003634B2"/>
    <w:rsid w:val="00363F02"/>
    <w:rsid w:val="003641B1"/>
    <w:rsid w:val="00364B7A"/>
    <w:rsid w:val="00364C92"/>
    <w:rsid w:val="003656D0"/>
    <w:rsid w:val="003657E9"/>
    <w:rsid w:val="003659D6"/>
    <w:rsid w:val="00366154"/>
    <w:rsid w:val="0036656D"/>
    <w:rsid w:val="00366ACD"/>
    <w:rsid w:val="00366CF1"/>
    <w:rsid w:val="0036720D"/>
    <w:rsid w:val="003673DB"/>
    <w:rsid w:val="003678E1"/>
    <w:rsid w:val="00367E73"/>
    <w:rsid w:val="003713F0"/>
    <w:rsid w:val="00371919"/>
    <w:rsid w:val="00371D08"/>
    <w:rsid w:val="00372583"/>
    <w:rsid w:val="00373CD1"/>
    <w:rsid w:val="00373EDF"/>
    <w:rsid w:val="0037563B"/>
    <w:rsid w:val="003758D9"/>
    <w:rsid w:val="00375B3E"/>
    <w:rsid w:val="00376436"/>
    <w:rsid w:val="00377306"/>
    <w:rsid w:val="003778E9"/>
    <w:rsid w:val="00377E71"/>
    <w:rsid w:val="0038042C"/>
    <w:rsid w:val="00381428"/>
    <w:rsid w:val="00381D1E"/>
    <w:rsid w:val="00381E28"/>
    <w:rsid w:val="003829BD"/>
    <w:rsid w:val="00382E9B"/>
    <w:rsid w:val="00382FFE"/>
    <w:rsid w:val="0038333C"/>
    <w:rsid w:val="003839CC"/>
    <w:rsid w:val="00384BF7"/>
    <w:rsid w:val="0038516F"/>
    <w:rsid w:val="00385461"/>
    <w:rsid w:val="003856F5"/>
    <w:rsid w:val="00385961"/>
    <w:rsid w:val="00385D84"/>
    <w:rsid w:val="00386CBF"/>
    <w:rsid w:val="003871B9"/>
    <w:rsid w:val="0038787C"/>
    <w:rsid w:val="003911A1"/>
    <w:rsid w:val="00391B65"/>
    <w:rsid w:val="00391B71"/>
    <w:rsid w:val="0039284A"/>
    <w:rsid w:val="0039465D"/>
    <w:rsid w:val="0039579C"/>
    <w:rsid w:val="003957A6"/>
    <w:rsid w:val="00395D5E"/>
    <w:rsid w:val="0039638C"/>
    <w:rsid w:val="00396939"/>
    <w:rsid w:val="00397B39"/>
    <w:rsid w:val="003A0590"/>
    <w:rsid w:val="003A1315"/>
    <w:rsid w:val="003A1B13"/>
    <w:rsid w:val="003A28A8"/>
    <w:rsid w:val="003A33BB"/>
    <w:rsid w:val="003A38EE"/>
    <w:rsid w:val="003A3E5C"/>
    <w:rsid w:val="003A4C16"/>
    <w:rsid w:val="003A4D89"/>
    <w:rsid w:val="003A5BD2"/>
    <w:rsid w:val="003A5F2C"/>
    <w:rsid w:val="003A65B7"/>
    <w:rsid w:val="003A6899"/>
    <w:rsid w:val="003A6DCC"/>
    <w:rsid w:val="003A6E49"/>
    <w:rsid w:val="003A6E7E"/>
    <w:rsid w:val="003A6F78"/>
    <w:rsid w:val="003A71FE"/>
    <w:rsid w:val="003A729D"/>
    <w:rsid w:val="003A7670"/>
    <w:rsid w:val="003B1F0E"/>
    <w:rsid w:val="003B2479"/>
    <w:rsid w:val="003B2565"/>
    <w:rsid w:val="003B25BA"/>
    <w:rsid w:val="003B2737"/>
    <w:rsid w:val="003B2791"/>
    <w:rsid w:val="003B2BFC"/>
    <w:rsid w:val="003B2DF1"/>
    <w:rsid w:val="003B31D8"/>
    <w:rsid w:val="003B477C"/>
    <w:rsid w:val="003B48EE"/>
    <w:rsid w:val="003B4F01"/>
    <w:rsid w:val="003B529B"/>
    <w:rsid w:val="003B592E"/>
    <w:rsid w:val="003B63BF"/>
    <w:rsid w:val="003B6713"/>
    <w:rsid w:val="003B72C2"/>
    <w:rsid w:val="003B7ACA"/>
    <w:rsid w:val="003B7D5C"/>
    <w:rsid w:val="003B7DEA"/>
    <w:rsid w:val="003C05C4"/>
    <w:rsid w:val="003C0B06"/>
    <w:rsid w:val="003C0B79"/>
    <w:rsid w:val="003C0B87"/>
    <w:rsid w:val="003C0E10"/>
    <w:rsid w:val="003C0FDA"/>
    <w:rsid w:val="003C1F97"/>
    <w:rsid w:val="003C209E"/>
    <w:rsid w:val="003C214C"/>
    <w:rsid w:val="003C2593"/>
    <w:rsid w:val="003C3278"/>
    <w:rsid w:val="003C474F"/>
    <w:rsid w:val="003C4BB9"/>
    <w:rsid w:val="003C4F08"/>
    <w:rsid w:val="003C66E2"/>
    <w:rsid w:val="003C6EFE"/>
    <w:rsid w:val="003C760E"/>
    <w:rsid w:val="003C78DB"/>
    <w:rsid w:val="003C7EEC"/>
    <w:rsid w:val="003D0D0C"/>
    <w:rsid w:val="003D2B8D"/>
    <w:rsid w:val="003D2EE8"/>
    <w:rsid w:val="003D35FC"/>
    <w:rsid w:val="003D3BF3"/>
    <w:rsid w:val="003D3D30"/>
    <w:rsid w:val="003D3FB5"/>
    <w:rsid w:val="003D40C1"/>
    <w:rsid w:val="003D45B2"/>
    <w:rsid w:val="003D5AC5"/>
    <w:rsid w:val="003D5C14"/>
    <w:rsid w:val="003D710C"/>
    <w:rsid w:val="003E0E9A"/>
    <w:rsid w:val="003E1279"/>
    <w:rsid w:val="003E1604"/>
    <w:rsid w:val="003E2231"/>
    <w:rsid w:val="003E328C"/>
    <w:rsid w:val="003E3301"/>
    <w:rsid w:val="003E3717"/>
    <w:rsid w:val="003E4BD9"/>
    <w:rsid w:val="003E60BB"/>
    <w:rsid w:val="003E61C6"/>
    <w:rsid w:val="003E682C"/>
    <w:rsid w:val="003E6FE4"/>
    <w:rsid w:val="003E727E"/>
    <w:rsid w:val="003F0011"/>
    <w:rsid w:val="003F0109"/>
    <w:rsid w:val="003F082D"/>
    <w:rsid w:val="003F08A3"/>
    <w:rsid w:val="003F0C97"/>
    <w:rsid w:val="003F1E3F"/>
    <w:rsid w:val="003F6B42"/>
    <w:rsid w:val="003F7116"/>
    <w:rsid w:val="003F79F3"/>
    <w:rsid w:val="003F7E41"/>
    <w:rsid w:val="004005F2"/>
    <w:rsid w:val="004007A5"/>
    <w:rsid w:val="004008A3"/>
    <w:rsid w:val="00400E65"/>
    <w:rsid w:val="00401BBA"/>
    <w:rsid w:val="00401F67"/>
    <w:rsid w:val="00404A52"/>
    <w:rsid w:val="00404DC4"/>
    <w:rsid w:val="004055A7"/>
    <w:rsid w:val="0040645F"/>
    <w:rsid w:val="00406584"/>
    <w:rsid w:val="00406C29"/>
    <w:rsid w:val="0040770E"/>
    <w:rsid w:val="004077D5"/>
    <w:rsid w:val="004078D8"/>
    <w:rsid w:val="00407B32"/>
    <w:rsid w:val="00411812"/>
    <w:rsid w:val="00412F64"/>
    <w:rsid w:val="004136DC"/>
    <w:rsid w:val="004136DF"/>
    <w:rsid w:val="00415AAB"/>
    <w:rsid w:val="004164CA"/>
    <w:rsid w:val="004168C6"/>
    <w:rsid w:val="00416C90"/>
    <w:rsid w:val="004175EE"/>
    <w:rsid w:val="00417959"/>
    <w:rsid w:val="00420FAE"/>
    <w:rsid w:val="00421571"/>
    <w:rsid w:val="00421AA6"/>
    <w:rsid w:val="0042228B"/>
    <w:rsid w:val="004229EF"/>
    <w:rsid w:val="00422F3A"/>
    <w:rsid w:val="004242AF"/>
    <w:rsid w:val="00424860"/>
    <w:rsid w:val="00424CA9"/>
    <w:rsid w:val="00425AFE"/>
    <w:rsid w:val="00425DE7"/>
    <w:rsid w:val="00425FAC"/>
    <w:rsid w:val="00426A18"/>
    <w:rsid w:val="00430CB3"/>
    <w:rsid w:val="004314F0"/>
    <w:rsid w:val="004327CF"/>
    <w:rsid w:val="00432D6D"/>
    <w:rsid w:val="004338FD"/>
    <w:rsid w:val="00434A49"/>
    <w:rsid w:val="00434E81"/>
    <w:rsid w:val="0043546D"/>
    <w:rsid w:val="00435D03"/>
    <w:rsid w:val="004362AE"/>
    <w:rsid w:val="00436516"/>
    <w:rsid w:val="00437204"/>
    <w:rsid w:val="004376BF"/>
    <w:rsid w:val="00437782"/>
    <w:rsid w:val="00437972"/>
    <w:rsid w:val="00437B7D"/>
    <w:rsid w:val="0044087D"/>
    <w:rsid w:val="00440CFF"/>
    <w:rsid w:val="004411E7"/>
    <w:rsid w:val="0044140A"/>
    <w:rsid w:val="00441AD4"/>
    <w:rsid w:val="0044276E"/>
    <w:rsid w:val="004428C2"/>
    <w:rsid w:val="00442D62"/>
    <w:rsid w:val="00442D8A"/>
    <w:rsid w:val="00443B26"/>
    <w:rsid w:val="00443B88"/>
    <w:rsid w:val="004447C9"/>
    <w:rsid w:val="00445477"/>
    <w:rsid w:val="00445AE5"/>
    <w:rsid w:val="00446374"/>
    <w:rsid w:val="00447F7C"/>
    <w:rsid w:val="00450463"/>
    <w:rsid w:val="004504E9"/>
    <w:rsid w:val="00450507"/>
    <w:rsid w:val="00451C03"/>
    <w:rsid w:val="00452341"/>
    <w:rsid w:val="004528A0"/>
    <w:rsid w:val="00453476"/>
    <w:rsid w:val="0045501C"/>
    <w:rsid w:val="00455148"/>
    <w:rsid w:val="0045585E"/>
    <w:rsid w:val="00456595"/>
    <w:rsid w:val="00456845"/>
    <w:rsid w:val="00456B6B"/>
    <w:rsid w:val="00457737"/>
    <w:rsid w:val="00457F31"/>
    <w:rsid w:val="00460056"/>
    <w:rsid w:val="00460D6A"/>
    <w:rsid w:val="00460FC3"/>
    <w:rsid w:val="00460FE2"/>
    <w:rsid w:val="004610E5"/>
    <w:rsid w:val="00461A51"/>
    <w:rsid w:val="00461ADF"/>
    <w:rsid w:val="00462388"/>
    <w:rsid w:val="0046244F"/>
    <w:rsid w:val="00462E32"/>
    <w:rsid w:val="00462FB4"/>
    <w:rsid w:val="004648B1"/>
    <w:rsid w:val="00465843"/>
    <w:rsid w:val="004658A8"/>
    <w:rsid w:val="00465EEE"/>
    <w:rsid w:val="0046617D"/>
    <w:rsid w:val="004662A8"/>
    <w:rsid w:val="0047012B"/>
    <w:rsid w:val="0047093B"/>
    <w:rsid w:val="00471D46"/>
    <w:rsid w:val="00471D4C"/>
    <w:rsid w:val="0047261D"/>
    <w:rsid w:val="00473832"/>
    <w:rsid w:val="00473E1C"/>
    <w:rsid w:val="00473EC0"/>
    <w:rsid w:val="00476562"/>
    <w:rsid w:val="00476CC0"/>
    <w:rsid w:val="004806F0"/>
    <w:rsid w:val="004810C7"/>
    <w:rsid w:val="00481324"/>
    <w:rsid w:val="00481511"/>
    <w:rsid w:val="00481976"/>
    <w:rsid w:val="0048242D"/>
    <w:rsid w:val="00482DB9"/>
    <w:rsid w:val="00483B72"/>
    <w:rsid w:val="004845BE"/>
    <w:rsid w:val="004860FB"/>
    <w:rsid w:val="00486586"/>
    <w:rsid w:val="00486679"/>
    <w:rsid w:val="0048712B"/>
    <w:rsid w:val="004872AA"/>
    <w:rsid w:val="004874B2"/>
    <w:rsid w:val="00487844"/>
    <w:rsid w:val="00487A14"/>
    <w:rsid w:val="00487CCF"/>
    <w:rsid w:val="0049014C"/>
    <w:rsid w:val="0049060B"/>
    <w:rsid w:val="004918F3"/>
    <w:rsid w:val="00491B5D"/>
    <w:rsid w:val="00494C14"/>
    <w:rsid w:val="00494F1A"/>
    <w:rsid w:val="00495D77"/>
    <w:rsid w:val="004961CE"/>
    <w:rsid w:val="0049627A"/>
    <w:rsid w:val="0049633F"/>
    <w:rsid w:val="00496673"/>
    <w:rsid w:val="00496D04"/>
    <w:rsid w:val="0049757F"/>
    <w:rsid w:val="004A08B7"/>
    <w:rsid w:val="004A0964"/>
    <w:rsid w:val="004A0EC4"/>
    <w:rsid w:val="004A1234"/>
    <w:rsid w:val="004A1381"/>
    <w:rsid w:val="004A167B"/>
    <w:rsid w:val="004A1C99"/>
    <w:rsid w:val="004A2159"/>
    <w:rsid w:val="004A2685"/>
    <w:rsid w:val="004A2B98"/>
    <w:rsid w:val="004A355E"/>
    <w:rsid w:val="004A36EA"/>
    <w:rsid w:val="004A37C6"/>
    <w:rsid w:val="004A3E71"/>
    <w:rsid w:val="004A647C"/>
    <w:rsid w:val="004B00C4"/>
    <w:rsid w:val="004B19C6"/>
    <w:rsid w:val="004B2078"/>
    <w:rsid w:val="004B2824"/>
    <w:rsid w:val="004B2F33"/>
    <w:rsid w:val="004B3B54"/>
    <w:rsid w:val="004B3BF3"/>
    <w:rsid w:val="004B3D9B"/>
    <w:rsid w:val="004B3F2B"/>
    <w:rsid w:val="004B4C25"/>
    <w:rsid w:val="004B4DB5"/>
    <w:rsid w:val="004B5A70"/>
    <w:rsid w:val="004B5AC2"/>
    <w:rsid w:val="004B618C"/>
    <w:rsid w:val="004B64AC"/>
    <w:rsid w:val="004B6FDB"/>
    <w:rsid w:val="004B79E5"/>
    <w:rsid w:val="004B7BF0"/>
    <w:rsid w:val="004B7FD7"/>
    <w:rsid w:val="004C0F6D"/>
    <w:rsid w:val="004C1EE7"/>
    <w:rsid w:val="004C2117"/>
    <w:rsid w:val="004C2AFF"/>
    <w:rsid w:val="004C2EDE"/>
    <w:rsid w:val="004C392E"/>
    <w:rsid w:val="004C3BA4"/>
    <w:rsid w:val="004C3F19"/>
    <w:rsid w:val="004C4D19"/>
    <w:rsid w:val="004C4E54"/>
    <w:rsid w:val="004C5AA8"/>
    <w:rsid w:val="004C5E64"/>
    <w:rsid w:val="004C5ED1"/>
    <w:rsid w:val="004C5FDF"/>
    <w:rsid w:val="004C6B7E"/>
    <w:rsid w:val="004D0BD7"/>
    <w:rsid w:val="004D1CDE"/>
    <w:rsid w:val="004D1D4A"/>
    <w:rsid w:val="004D2EBF"/>
    <w:rsid w:val="004D37E3"/>
    <w:rsid w:val="004D4BC3"/>
    <w:rsid w:val="004D4C3B"/>
    <w:rsid w:val="004D4E4B"/>
    <w:rsid w:val="004D55B5"/>
    <w:rsid w:val="004D5608"/>
    <w:rsid w:val="004D5638"/>
    <w:rsid w:val="004D566A"/>
    <w:rsid w:val="004D61B3"/>
    <w:rsid w:val="004D6D69"/>
    <w:rsid w:val="004D7FB2"/>
    <w:rsid w:val="004E01A1"/>
    <w:rsid w:val="004E0625"/>
    <w:rsid w:val="004E1201"/>
    <w:rsid w:val="004E1CF6"/>
    <w:rsid w:val="004E1FC1"/>
    <w:rsid w:val="004E1FD5"/>
    <w:rsid w:val="004E2AD4"/>
    <w:rsid w:val="004E2C0B"/>
    <w:rsid w:val="004E3883"/>
    <w:rsid w:val="004E3CA7"/>
    <w:rsid w:val="004E5108"/>
    <w:rsid w:val="004E5DA9"/>
    <w:rsid w:val="004E6620"/>
    <w:rsid w:val="004E67B3"/>
    <w:rsid w:val="004F103B"/>
    <w:rsid w:val="004F10EA"/>
    <w:rsid w:val="004F1233"/>
    <w:rsid w:val="004F273E"/>
    <w:rsid w:val="004F2A90"/>
    <w:rsid w:val="004F2B62"/>
    <w:rsid w:val="004F2F91"/>
    <w:rsid w:val="004F3202"/>
    <w:rsid w:val="004F36EF"/>
    <w:rsid w:val="004F3C03"/>
    <w:rsid w:val="004F402A"/>
    <w:rsid w:val="004F571A"/>
    <w:rsid w:val="004F5D53"/>
    <w:rsid w:val="004F61A8"/>
    <w:rsid w:val="004F6336"/>
    <w:rsid w:val="004F683F"/>
    <w:rsid w:val="004F6D3C"/>
    <w:rsid w:val="004F6E13"/>
    <w:rsid w:val="004F7BB1"/>
    <w:rsid w:val="004F7FE0"/>
    <w:rsid w:val="00500795"/>
    <w:rsid w:val="00500A0A"/>
    <w:rsid w:val="00501BC7"/>
    <w:rsid w:val="00503499"/>
    <w:rsid w:val="0050397E"/>
    <w:rsid w:val="00503D6E"/>
    <w:rsid w:val="0050455E"/>
    <w:rsid w:val="005047AC"/>
    <w:rsid w:val="00505139"/>
    <w:rsid w:val="005060A4"/>
    <w:rsid w:val="00506BCB"/>
    <w:rsid w:val="00507273"/>
    <w:rsid w:val="00510390"/>
    <w:rsid w:val="005124FF"/>
    <w:rsid w:val="005125A2"/>
    <w:rsid w:val="00512F9F"/>
    <w:rsid w:val="00513E45"/>
    <w:rsid w:val="005143AF"/>
    <w:rsid w:val="005144EA"/>
    <w:rsid w:val="00514534"/>
    <w:rsid w:val="00514F78"/>
    <w:rsid w:val="00515405"/>
    <w:rsid w:val="00516472"/>
    <w:rsid w:val="00517A35"/>
    <w:rsid w:val="00517D5E"/>
    <w:rsid w:val="005206B8"/>
    <w:rsid w:val="00521972"/>
    <w:rsid w:val="00524616"/>
    <w:rsid w:val="00524AA8"/>
    <w:rsid w:val="00524EB0"/>
    <w:rsid w:val="00525015"/>
    <w:rsid w:val="0052518E"/>
    <w:rsid w:val="00525219"/>
    <w:rsid w:val="00525E32"/>
    <w:rsid w:val="0052623A"/>
    <w:rsid w:val="005263F9"/>
    <w:rsid w:val="0052677C"/>
    <w:rsid w:val="00526AAE"/>
    <w:rsid w:val="005300AC"/>
    <w:rsid w:val="00531253"/>
    <w:rsid w:val="00531302"/>
    <w:rsid w:val="00531316"/>
    <w:rsid w:val="00532AB6"/>
    <w:rsid w:val="00532E43"/>
    <w:rsid w:val="00532F60"/>
    <w:rsid w:val="00533272"/>
    <w:rsid w:val="00533D5A"/>
    <w:rsid w:val="00534845"/>
    <w:rsid w:val="00534A8E"/>
    <w:rsid w:val="00534E7C"/>
    <w:rsid w:val="005363F6"/>
    <w:rsid w:val="0053644E"/>
    <w:rsid w:val="0053676A"/>
    <w:rsid w:val="00537805"/>
    <w:rsid w:val="00540980"/>
    <w:rsid w:val="00540D9F"/>
    <w:rsid w:val="00541082"/>
    <w:rsid w:val="005411F2"/>
    <w:rsid w:val="005415A9"/>
    <w:rsid w:val="00541D63"/>
    <w:rsid w:val="005427E2"/>
    <w:rsid w:val="005437CF"/>
    <w:rsid w:val="00543B7D"/>
    <w:rsid w:val="00545CAE"/>
    <w:rsid w:val="0054622C"/>
    <w:rsid w:val="0054628C"/>
    <w:rsid w:val="0054695C"/>
    <w:rsid w:val="00546B7B"/>
    <w:rsid w:val="00547620"/>
    <w:rsid w:val="00547CB9"/>
    <w:rsid w:val="00550BD1"/>
    <w:rsid w:val="0055183F"/>
    <w:rsid w:val="005522A3"/>
    <w:rsid w:val="00552BF2"/>
    <w:rsid w:val="0055340E"/>
    <w:rsid w:val="0055344C"/>
    <w:rsid w:val="005535E2"/>
    <w:rsid w:val="00554E26"/>
    <w:rsid w:val="00555603"/>
    <w:rsid w:val="00555A07"/>
    <w:rsid w:val="00555A94"/>
    <w:rsid w:val="00556B9A"/>
    <w:rsid w:val="005570CB"/>
    <w:rsid w:val="005571A6"/>
    <w:rsid w:val="005579B7"/>
    <w:rsid w:val="005608BF"/>
    <w:rsid w:val="00560B2D"/>
    <w:rsid w:val="00560EC7"/>
    <w:rsid w:val="005612DA"/>
    <w:rsid w:val="00561881"/>
    <w:rsid w:val="005626EC"/>
    <w:rsid w:val="005627CF"/>
    <w:rsid w:val="00562EF3"/>
    <w:rsid w:val="00563756"/>
    <w:rsid w:val="0056380D"/>
    <w:rsid w:val="00563C17"/>
    <w:rsid w:val="0056427E"/>
    <w:rsid w:val="0056433C"/>
    <w:rsid w:val="00564A8E"/>
    <w:rsid w:val="00564CC1"/>
    <w:rsid w:val="00565195"/>
    <w:rsid w:val="005652ED"/>
    <w:rsid w:val="00565841"/>
    <w:rsid w:val="00565EBD"/>
    <w:rsid w:val="00566830"/>
    <w:rsid w:val="00566AB1"/>
    <w:rsid w:val="0056736B"/>
    <w:rsid w:val="0057051C"/>
    <w:rsid w:val="005706C9"/>
    <w:rsid w:val="005708C1"/>
    <w:rsid w:val="00571371"/>
    <w:rsid w:val="00571968"/>
    <w:rsid w:val="005729F0"/>
    <w:rsid w:val="00572E89"/>
    <w:rsid w:val="00574744"/>
    <w:rsid w:val="005755E0"/>
    <w:rsid w:val="00575AA8"/>
    <w:rsid w:val="00575EDB"/>
    <w:rsid w:val="005761A4"/>
    <w:rsid w:val="0057656F"/>
    <w:rsid w:val="005768FB"/>
    <w:rsid w:val="00576A72"/>
    <w:rsid w:val="00577AF4"/>
    <w:rsid w:val="00577D12"/>
    <w:rsid w:val="005806A9"/>
    <w:rsid w:val="005811D7"/>
    <w:rsid w:val="005845F2"/>
    <w:rsid w:val="00585D1E"/>
    <w:rsid w:val="005867B3"/>
    <w:rsid w:val="00586E1B"/>
    <w:rsid w:val="0058749B"/>
    <w:rsid w:val="00587D7B"/>
    <w:rsid w:val="005916CE"/>
    <w:rsid w:val="0059174B"/>
    <w:rsid w:val="005918E3"/>
    <w:rsid w:val="005920A8"/>
    <w:rsid w:val="005921F6"/>
    <w:rsid w:val="005933AA"/>
    <w:rsid w:val="00593664"/>
    <w:rsid w:val="00594068"/>
    <w:rsid w:val="005940DF"/>
    <w:rsid w:val="0059529A"/>
    <w:rsid w:val="00596041"/>
    <w:rsid w:val="005961C6"/>
    <w:rsid w:val="00596BEE"/>
    <w:rsid w:val="0059751B"/>
    <w:rsid w:val="00597FA7"/>
    <w:rsid w:val="005A0B40"/>
    <w:rsid w:val="005A0C6D"/>
    <w:rsid w:val="005A129F"/>
    <w:rsid w:val="005A1373"/>
    <w:rsid w:val="005A1D55"/>
    <w:rsid w:val="005A309F"/>
    <w:rsid w:val="005A4356"/>
    <w:rsid w:val="005A4E18"/>
    <w:rsid w:val="005A5111"/>
    <w:rsid w:val="005A566C"/>
    <w:rsid w:val="005A58F3"/>
    <w:rsid w:val="005A7E4F"/>
    <w:rsid w:val="005B1292"/>
    <w:rsid w:val="005B20F2"/>
    <w:rsid w:val="005B28DD"/>
    <w:rsid w:val="005B42EA"/>
    <w:rsid w:val="005B5CBD"/>
    <w:rsid w:val="005B5CEB"/>
    <w:rsid w:val="005B623F"/>
    <w:rsid w:val="005B71B7"/>
    <w:rsid w:val="005B77E1"/>
    <w:rsid w:val="005B7C72"/>
    <w:rsid w:val="005C015B"/>
    <w:rsid w:val="005C06C9"/>
    <w:rsid w:val="005C23A3"/>
    <w:rsid w:val="005C2DBE"/>
    <w:rsid w:val="005C2EAD"/>
    <w:rsid w:val="005C2EBA"/>
    <w:rsid w:val="005C39FD"/>
    <w:rsid w:val="005C3ABD"/>
    <w:rsid w:val="005C3D26"/>
    <w:rsid w:val="005C407C"/>
    <w:rsid w:val="005C52C8"/>
    <w:rsid w:val="005C666E"/>
    <w:rsid w:val="005C7508"/>
    <w:rsid w:val="005C75ED"/>
    <w:rsid w:val="005C7A00"/>
    <w:rsid w:val="005C7A83"/>
    <w:rsid w:val="005C7FED"/>
    <w:rsid w:val="005D0083"/>
    <w:rsid w:val="005D01C8"/>
    <w:rsid w:val="005D028A"/>
    <w:rsid w:val="005D1722"/>
    <w:rsid w:val="005D1A6B"/>
    <w:rsid w:val="005D286E"/>
    <w:rsid w:val="005D34CA"/>
    <w:rsid w:val="005D3E64"/>
    <w:rsid w:val="005D4205"/>
    <w:rsid w:val="005D444A"/>
    <w:rsid w:val="005D493E"/>
    <w:rsid w:val="005D5358"/>
    <w:rsid w:val="005D539E"/>
    <w:rsid w:val="005D53FE"/>
    <w:rsid w:val="005D5AB3"/>
    <w:rsid w:val="005D6361"/>
    <w:rsid w:val="005D65CC"/>
    <w:rsid w:val="005D6691"/>
    <w:rsid w:val="005D66CE"/>
    <w:rsid w:val="005D78BF"/>
    <w:rsid w:val="005D7F94"/>
    <w:rsid w:val="005E00F2"/>
    <w:rsid w:val="005E0D81"/>
    <w:rsid w:val="005E1158"/>
    <w:rsid w:val="005E1363"/>
    <w:rsid w:val="005E1880"/>
    <w:rsid w:val="005E2DE2"/>
    <w:rsid w:val="005E3769"/>
    <w:rsid w:val="005E4AA2"/>
    <w:rsid w:val="005E5445"/>
    <w:rsid w:val="005E6884"/>
    <w:rsid w:val="005E6E92"/>
    <w:rsid w:val="005E6F6B"/>
    <w:rsid w:val="005E72C9"/>
    <w:rsid w:val="005E7A25"/>
    <w:rsid w:val="005E7B6C"/>
    <w:rsid w:val="005E7F59"/>
    <w:rsid w:val="005F030C"/>
    <w:rsid w:val="005F0866"/>
    <w:rsid w:val="005F08FF"/>
    <w:rsid w:val="005F1331"/>
    <w:rsid w:val="005F1645"/>
    <w:rsid w:val="005F1B1A"/>
    <w:rsid w:val="005F2545"/>
    <w:rsid w:val="005F254F"/>
    <w:rsid w:val="005F265D"/>
    <w:rsid w:val="005F2D63"/>
    <w:rsid w:val="005F33C0"/>
    <w:rsid w:val="005F4344"/>
    <w:rsid w:val="005F4CF9"/>
    <w:rsid w:val="005F4D13"/>
    <w:rsid w:val="005F5DE4"/>
    <w:rsid w:val="005F5F83"/>
    <w:rsid w:val="005F6F0D"/>
    <w:rsid w:val="005F7008"/>
    <w:rsid w:val="005F77B9"/>
    <w:rsid w:val="005F781A"/>
    <w:rsid w:val="0060014E"/>
    <w:rsid w:val="00603F47"/>
    <w:rsid w:val="00605D0A"/>
    <w:rsid w:val="006106E6"/>
    <w:rsid w:val="00610EEC"/>
    <w:rsid w:val="006113FB"/>
    <w:rsid w:val="00611FE2"/>
    <w:rsid w:val="006129FB"/>
    <w:rsid w:val="00612A6F"/>
    <w:rsid w:val="00612CF4"/>
    <w:rsid w:val="00612D5E"/>
    <w:rsid w:val="006137DB"/>
    <w:rsid w:val="00613A29"/>
    <w:rsid w:val="00615C6C"/>
    <w:rsid w:val="00616497"/>
    <w:rsid w:val="006174FD"/>
    <w:rsid w:val="0061772F"/>
    <w:rsid w:val="00617E69"/>
    <w:rsid w:val="006206AD"/>
    <w:rsid w:val="00620A2C"/>
    <w:rsid w:val="00620D52"/>
    <w:rsid w:val="00622BFE"/>
    <w:rsid w:val="006233D0"/>
    <w:rsid w:val="00623CDD"/>
    <w:rsid w:val="00626061"/>
    <w:rsid w:val="006266E4"/>
    <w:rsid w:val="0062696C"/>
    <w:rsid w:val="00626A0B"/>
    <w:rsid w:val="00626AC8"/>
    <w:rsid w:val="00626D44"/>
    <w:rsid w:val="0062746E"/>
    <w:rsid w:val="00627602"/>
    <w:rsid w:val="006277B4"/>
    <w:rsid w:val="00627981"/>
    <w:rsid w:val="00627AC6"/>
    <w:rsid w:val="00630D82"/>
    <w:rsid w:val="00631220"/>
    <w:rsid w:val="00631684"/>
    <w:rsid w:val="006319B4"/>
    <w:rsid w:val="006329B6"/>
    <w:rsid w:val="006335C7"/>
    <w:rsid w:val="00635DC9"/>
    <w:rsid w:val="0063658B"/>
    <w:rsid w:val="006368EA"/>
    <w:rsid w:val="00640B64"/>
    <w:rsid w:val="006429F5"/>
    <w:rsid w:val="00642A0B"/>
    <w:rsid w:val="006444A0"/>
    <w:rsid w:val="00644F84"/>
    <w:rsid w:val="00645183"/>
    <w:rsid w:val="006452F8"/>
    <w:rsid w:val="00645637"/>
    <w:rsid w:val="006456CC"/>
    <w:rsid w:val="00645E34"/>
    <w:rsid w:val="006466C0"/>
    <w:rsid w:val="00646FDD"/>
    <w:rsid w:val="00647BC7"/>
    <w:rsid w:val="006513B0"/>
    <w:rsid w:val="00651B97"/>
    <w:rsid w:val="0065230B"/>
    <w:rsid w:val="00653292"/>
    <w:rsid w:val="006536CB"/>
    <w:rsid w:val="00654FE1"/>
    <w:rsid w:val="00655244"/>
    <w:rsid w:val="006553BF"/>
    <w:rsid w:val="006562C3"/>
    <w:rsid w:val="0066115D"/>
    <w:rsid w:val="00661E43"/>
    <w:rsid w:val="006624A3"/>
    <w:rsid w:val="00662878"/>
    <w:rsid w:val="00662882"/>
    <w:rsid w:val="00663D33"/>
    <w:rsid w:val="0066406B"/>
    <w:rsid w:val="0066418F"/>
    <w:rsid w:val="0066471C"/>
    <w:rsid w:val="00664BD6"/>
    <w:rsid w:val="006650C9"/>
    <w:rsid w:val="00666363"/>
    <w:rsid w:val="006708E2"/>
    <w:rsid w:val="00671107"/>
    <w:rsid w:val="006724D7"/>
    <w:rsid w:val="006734EE"/>
    <w:rsid w:val="00674565"/>
    <w:rsid w:val="00674A1C"/>
    <w:rsid w:val="00674B78"/>
    <w:rsid w:val="00674C09"/>
    <w:rsid w:val="006759B6"/>
    <w:rsid w:val="00675AC4"/>
    <w:rsid w:val="00676032"/>
    <w:rsid w:val="0067613D"/>
    <w:rsid w:val="006761B6"/>
    <w:rsid w:val="00677072"/>
    <w:rsid w:val="006806D0"/>
    <w:rsid w:val="00680B39"/>
    <w:rsid w:val="00681B57"/>
    <w:rsid w:val="00681DCE"/>
    <w:rsid w:val="006820BC"/>
    <w:rsid w:val="00682F0A"/>
    <w:rsid w:val="00683327"/>
    <w:rsid w:val="00683802"/>
    <w:rsid w:val="0068471B"/>
    <w:rsid w:val="00684910"/>
    <w:rsid w:val="00684B44"/>
    <w:rsid w:val="00684E5C"/>
    <w:rsid w:val="00685B75"/>
    <w:rsid w:val="00685D02"/>
    <w:rsid w:val="00686682"/>
    <w:rsid w:val="00686A4D"/>
    <w:rsid w:val="006872D3"/>
    <w:rsid w:val="0068731F"/>
    <w:rsid w:val="00687331"/>
    <w:rsid w:val="00687BAB"/>
    <w:rsid w:val="00687C5B"/>
    <w:rsid w:val="006919E3"/>
    <w:rsid w:val="0069280D"/>
    <w:rsid w:val="006934B0"/>
    <w:rsid w:val="006936BF"/>
    <w:rsid w:val="00693D9A"/>
    <w:rsid w:val="006941E2"/>
    <w:rsid w:val="0069527F"/>
    <w:rsid w:val="00695781"/>
    <w:rsid w:val="0069783F"/>
    <w:rsid w:val="00697F7E"/>
    <w:rsid w:val="006A0A57"/>
    <w:rsid w:val="006A1488"/>
    <w:rsid w:val="006A1A16"/>
    <w:rsid w:val="006A35D0"/>
    <w:rsid w:val="006A3A72"/>
    <w:rsid w:val="006A3F63"/>
    <w:rsid w:val="006A43F5"/>
    <w:rsid w:val="006A4A3E"/>
    <w:rsid w:val="006A5510"/>
    <w:rsid w:val="006A665D"/>
    <w:rsid w:val="006A6D35"/>
    <w:rsid w:val="006A746D"/>
    <w:rsid w:val="006B03BC"/>
    <w:rsid w:val="006B0442"/>
    <w:rsid w:val="006B0B79"/>
    <w:rsid w:val="006B0BDA"/>
    <w:rsid w:val="006B1EFF"/>
    <w:rsid w:val="006B1F46"/>
    <w:rsid w:val="006B3205"/>
    <w:rsid w:val="006B3241"/>
    <w:rsid w:val="006B5663"/>
    <w:rsid w:val="006B5890"/>
    <w:rsid w:val="006B6014"/>
    <w:rsid w:val="006B6B56"/>
    <w:rsid w:val="006C0B38"/>
    <w:rsid w:val="006C135D"/>
    <w:rsid w:val="006C254D"/>
    <w:rsid w:val="006C2D6D"/>
    <w:rsid w:val="006C2F50"/>
    <w:rsid w:val="006C325B"/>
    <w:rsid w:val="006C3A40"/>
    <w:rsid w:val="006C40E4"/>
    <w:rsid w:val="006C52A9"/>
    <w:rsid w:val="006C5F36"/>
    <w:rsid w:val="006C7A67"/>
    <w:rsid w:val="006D070E"/>
    <w:rsid w:val="006D0AD7"/>
    <w:rsid w:val="006D1AEF"/>
    <w:rsid w:val="006D1EBC"/>
    <w:rsid w:val="006D1F18"/>
    <w:rsid w:val="006D3DCF"/>
    <w:rsid w:val="006D4355"/>
    <w:rsid w:val="006D4526"/>
    <w:rsid w:val="006D4773"/>
    <w:rsid w:val="006D478D"/>
    <w:rsid w:val="006D4FBF"/>
    <w:rsid w:val="006D5375"/>
    <w:rsid w:val="006D65A2"/>
    <w:rsid w:val="006D67B3"/>
    <w:rsid w:val="006D6FEB"/>
    <w:rsid w:val="006D70C3"/>
    <w:rsid w:val="006E0005"/>
    <w:rsid w:val="006E0171"/>
    <w:rsid w:val="006E02FF"/>
    <w:rsid w:val="006E0B45"/>
    <w:rsid w:val="006E0D8B"/>
    <w:rsid w:val="006E0F39"/>
    <w:rsid w:val="006E16B3"/>
    <w:rsid w:val="006E1B0A"/>
    <w:rsid w:val="006E2188"/>
    <w:rsid w:val="006E21A4"/>
    <w:rsid w:val="006E2585"/>
    <w:rsid w:val="006E2898"/>
    <w:rsid w:val="006E2954"/>
    <w:rsid w:val="006E2E46"/>
    <w:rsid w:val="006E37DF"/>
    <w:rsid w:val="006E39BC"/>
    <w:rsid w:val="006E3B53"/>
    <w:rsid w:val="006E3FDD"/>
    <w:rsid w:val="006E5E5F"/>
    <w:rsid w:val="006E6975"/>
    <w:rsid w:val="006E698A"/>
    <w:rsid w:val="006E6E06"/>
    <w:rsid w:val="006E7038"/>
    <w:rsid w:val="006E7B3A"/>
    <w:rsid w:val="006E7BAA"/>
    <w:rsid w:val="006F1246"/>
    <w:rsid w:val="006F2492"/>
    <w:rsid w:val="006F2DCE"/>
    <w:rsid w:val="006F335D"/>
    <w:rsid w:val="006F3CED"/>
    <w:rsid w:val="006F3D9F"/>
    <w:rsid w:val="006F4702"/>
    <w:rsid w:val="006F5A2F"/>
    <w:rsid w:val="006F5B57"/>
    <w:rsid w:val="006F7634"/>
    <w:rsid w:val="006F7979"/>
    <w:rsid w:val="006F7DE4"/>
    <w:rsid w:val="00700200"/>
    <w:rsid w:val="0070095A"/>
    <w:rsid w:val="007013FE"/>
    <w:rsid w:val="00701811"/>
    <w:rsid w:val="00701F94"/>
    <w:rsid w:val="007023A2"/>
    <w:rsid w:val="007036A5"/>
    <w:rsid w:val="00703B5F"/>
    <w:rsid w:val="00704EB8"/>
    <w:rsid w:val="00705012"/>
    <w:rsid w:val="00705415"/>
    <w:rsid w:val="00705C1E"/>
    <w:rsid w:val="007067C7"/>
    <w:rsid w:val="00707345"/>
    <w:rsid w:val="00707B48"/>
    <w:rsid w:val="00707EC7"/>
    <w:rsid w:val="00710551"/>
    <w:rsid w:val="0071056B"/>
    <w:rsid w:val="00710E21"/>
    <w:rsid w:val="007112EA"/>
    <w:rsid w:val="007115F6"/>
    <w:rsid w:val="007117A0"/>
    <w:rsid w:val="0071199C"/>
    <w:rsid w:val="00712A27"/>
    <w:rsid w:val="00712F2A"/>
    <w:rsid w:val="0071332F"/>
    <w:rsid w:val="00714307"/>
    <w:rsid w:val="007154D1"/>
    <w:rsid w:val="00715842"/>
    <w:rsid w:val="00717B3B"/>
    <w:rsid w:val="00720363"/>
    <w:rsid w:val="007203D0"/>
    <w:rsid w:val="00721260"/>
    <w:rsid w:val="00721A72"/>
    <w:rsid w:val="00722E28"/>
    <w:rsid w:val="00722FC3"/>
    <w:rsid w:val="007256EE"/>
    <w:rsid w:val="00726179"/>
    <w:rsid w:val="0072641B"/>
    <w:rsid w:val="00727C93"/>
    <w:rsid w:val="00730AB8"/>
    <w:rsid w:val="007319C0"/>
    <w:rsid w:val="00731D01"/>
    <w:rsid w:val="00731D4B"/>
    <w:rsid w:val="007327BE"/>
    <w:rsid w:val="00732B94"/>
    <w:rsid w:val="0073390E"/>
    <w:rsid w:val="00733912"/>
    <w:rsid w:val="00733C3E"/>
    <w:rsid w:val="00733DB8"/>
    <w:rsid w:val="0073407F"/>
    <w:rsid w:val="00734095"/>
    <w:rsid w:val="007344DF"/>
    <w:rsid w:val="00734DC3"/>
    <w:rsid w:val="00736476"/>
    <w:rsid w:val="007409E1"/>
    <w:rsid w:val="00740AA6"/>
    <w:rsid w:val="007418F3"/>
    <w:rsid w:val="00742768"/>
    <w:rsid w:val="007437C1"/>
    <w:rsid w:val="007445A2"/>
    <w:rsid w:val="00745A7C"/>
    <w:rsid w:val="0074651D"/>
    <w:rsid w:val="007468C0"/>
    <w:rsid w:val="00746A7E"/>
    <w:rsid w:val="00747586"/>
    <w:rsid w:val="00747B4C"/>
    <w:rsid w:val="0075061D"/>
    <w:rsid w:val="0075134B"/>
    <w:rsid w:val="0075174F"/>
    <w:rsid w:val="007518BA"/>
    <w:rsid w:val="00751B61"/>
    <w:rsid w:val="00751EF9"/>
    <w:rsid w:val="007520A0"/>
    <w:rsid w:val="0075257C"/>
    <w:rsid w:val="00752945"/>
    <w:rsid w:val="007531AF"/>
    <w:rsid w:val="007536C6"/>
    <w:rsid w:val="007537E6"/>
    <w:rsid w:val="00753A5D"/>
    <w:rsid w:val="00754C38"/>
    <w:rsid w:val="00754CCD"/>
    <w:rsid w:val="00755A83"/>
    <w:rsid w:val="007564FA"/>
    <w:rsid w:val="00756686"/>
    <w:rsid w:val="00756938"/>
    <w:rsid w:val="00756953"/>
    <w:rsid w:val="00757252"/>
    <w:rsid w:val="007574BB"/>
    <w:rsid w:val="00757764"/>
    <w:rsid w:val="007577A1"/>
    <w:rsid w:val="007601A2"/>
    <w:rsid w:val="0076074D"/>
    <w:rsid w:val="0076119F"/>
    <w:rsid w:val="0076145C"/>
    <w:rsid w:val="00761C65"/>
    <w:rsid w:val="00762381"/>
    <w:rsid w:val="007627D9"/>
    <w:rsid w:val="00762961"/>
    <w:rsid w:val="00762CA9"/>
    <w:rsid w:val="00762E69"/>
    <w:rsid w:val="00762E8D"/>
    <w:rsid w:val="00762F0C"/>
    <w:rsid w:val="0076351E"/>
    <w:rsid w:val="00763755"/>
    <w:rsid w:val="00763E6E"/>
    <w:rsid w:val="00764385"/>
    <w:rsid w:val="007644D6"/>
    <w:rsid w:val="00764B6D"/>
    <w:rsid w:val="00765978"/>
    <w:rsid w:val="00766320"/>
    <w:rsid w:val="0076648E"/>
    <w:rsid w:val="00766C1B"/>
    <w:rsid w:val="007673C4"/>
    <w:rsid w:val="00770225"/>
    <w:rsid w:val="00770DB9"/>
    <w:rsid w:val="00771213"/>
    <w:rsid w:val="00771883"/>
    <w:rsid w:val="007731F2"/>
    <w:rsid w:val="00773CBB"/>
    <w:rsid w:val="0077426F"/>
    <w:rsid w:val="0077443A"/>
    <w:rsid w:val="007761FF"/>
    <w:rsid w:val="007764EC"/>
    <w:rsid w:val="00780135"/>
    <w:rsid w:val="00780802"/>
    <w:rsid w:val="00780E51"/>
    <w:rsid w:val="00780FB5"/>
    <w:rsid w:val="007813E6"/>
    <w:rsid w:val="007817C5"/>
    <w:rsid w:val="007822C3"/>
    <w:rsid w:val="007825F1"/>
    <w:rsid w:val="00782C87"/>
    <w:rsid w:val="0078359B"/>
    <w:rsid w:val="00785065"/>
    <w:rsid w:val="00785DF9"/>
    <w:rsid w:val="007870E5"/>
    <w:rsid w:val="007875FD"/>
    <w:rsid w:val="007876AF"/>
    <w:rsid w:val="00787F21"/>
    <w:rsid w:val="00787F58"/>
    <w:rsid w:val="007905BD"/>
    <w:rsid w:val="007912DE"/>
    <w:rsid w:val="0079214B"/>
    <w:rsid w:val="00792C39"/>
    <w:rsid w:val="00792DB7"/>
    <w:rsid w:val="007931CF"/>
    <w:rsid w:val="007944ED"/>
    <w:rsid w:val="00794601"/>
    <w:rsid w:val="007950D0"/>
    <w:rsid w:val="00795422"/>
    <w:rsid w:val="007958E1"/>
    <w:rsid w:val="00795965"/>
    <w:rsid w:val="007959A0"/>
    <w:rsid w:val="0079797C"/>
    <w:rsid w:val="00797F62"/>
    <w:rsid w:val="00797FB6"/>
    <w:rsid w:val="007A03C7"/>
    <w:rsid w:val="007A03F6"/>
    <w:rsid w:val="007A05CD"/>
    <w:rsid w:val="007A1AD2"/>
    <w:rsid w:val="007A1B55"/>
    <w:rsid w:val="007A1D5B"/>
    <w:rsid w:val="007A44F1"/>
    <w:rsid w:val="007A48BA"/>
    <w:rsid w:val="007A4AA0"/>
    <w:rsid w:val="007A573E"/>
    <w:rsid w:val="007A62F3"/>
    <w:rsid w:val="007A770C"/>
    <w:rsid w:val="007A7975"/>
    <w:rsid w:val="007B1537"/>
    <w:rsid w:val="007B1746"/>
    <w:rsid w:val="007B1CC7"/>
    <w:rsid w:val="007B3539"/>
    <w:rsid w:val="007B3643"/>
    <w:rsid w:val="007B3707"/>
    <w:rsid w:val="007B3AB2"/>
    <w:rsid w:val="007B4770"/>
    <w:rsid w:val="007B51F2"/>
    <w:rsid w:val="007B5688"/>
    <w:rsid w:val="007B66B5"/>
    <w:rsid w:val="007B7E25"/>
    <w:rsid w:val="007C0644"/>
    <w:rsid w:val="007C15DB"/>
    <w:rsid w:val="007C2F0B"/>
    <w:rsid w:val="007C3D60"/>
    <w:rsid w:val="007C464E"/>
    <w:rsid w:val="007C6E23"/>
    <w:rsid w:val="007C70BF"/>
    <w:rsid w:val="007D0A97"/>
    <w:rsid w:val="007D0E22"/>
    <w:rsid w:val="007D0E49"/>
    <w:rsid w:val="007D1044"/>
    <w:rsid w:val="007D1EC0"/>
    <w:rsid w:val="007D2B40"/>
    <w:rsid w:val="007D3A86"/>
    <w:rsid w:val="007D42C1"/>
    <w:rsid w:val="007D486B"/>
    <w:rsid w:val="007D56D4"/>
    <w:rsid w:val="007D6164"/>
    <w:rsid w:val="007D71D3"/>
    <w:rsid w:val="007E01D0"/>
    <w:rsid w:val="007E03AA"/>
    <w:rsid w:val="007E1ACF"/>
    <w:rsid w:val="007E219B"/>
    <w:rsid w:val="007E2ED2"/>
    <w:rsid w:val="007E33C2"/>
    <w:rsid w:val="007E3BF8"/>
    <w:rsid w:val="007E415E"/>
    <w:rsid w:val="007E48E4"/>
    <w:rsid w:val="007E4B2B"/>
    <w:rsid w:val="007E5809"/>
    <w:rsid w:val="007E60E1"/>
    <w:rsid w:val="007E72DE"/>
    <w:rsid w:val="007F06A5"/>
    <w:rsid w:val="007F0B0E"/>
    <w:rsid w:val="007F0B7A"/>
    <w:rsid w:val="007F14BF"/>
    <w:rsid w:val="007F1B44"/>
    <w:rsid w:val="007F1BF9"/>
    <w:rsid w:val="007F2278"/>
    <w:rsid w:val="007F22C6"/>
    <w:rsid w:val="007F2F74"/>
    <w:rsid w:val="007F3C78"/>
    <w:rsid w:val="007F449F"/>
    <w:rsid w:val="007F44AB"/>
    <w:rsid w:val="007F4A6A"/>
    <w:rsid w:val="007F5262"/>
    <w:rsid w:val="007F5996"/>
    <w:rsid w:val="007F63A3"/>
    <w:rsid w:val="007F7063"/>
    <w:rsid w:val="007F7DF5"/>
    <w:rsid w:val="00800BB3"/>
    <w:rsid w:val="00802FD0"/>
    <w:rsid w:val="00803CC2"/>
    <w:rsid w:val="008045EF"/>
    <w:rsid w:val="008047AA"/>
    <w:rsid w:val="0080512D"/>
    <w:rsid w:val="00805CBA"/>
    <w:rsid w:val="00807173"/>
    <w:rsid w:val="0080765B"/>
    <w:rsid w:val="008078F4"/>
    <w:rsid w:val="00811564"/>
    <w:rsid w:val="00811B4B"/>
    <w:rsid w:val="00811C8A"/>
    <w:rsid w:val="008122FB"/>
    <w:rsid w:val="00812C9A"/>
    <w:rsid w:val="00813920"/>
    <w:rsid w:val="0081410F"/>
    <w:rsid w:val="0081455A"/>
    <w:rsid w:val="00815D11"/>
    <w:rsid w:val="00815F6A"/>
    <w:rsid w:val="00816B44"/>
    <w:rsid w:val="00817430"/>
    <w:rsid w:val="0082263F"/>
    <w:rsid w:val="0082303E"/>
    <w:rsid w:val="008235D6"/>
    <w:rsid w:val="008236FB"/>
    <w:rsid w:val="008250BA"/>
    <w:rsid w:val="00825460"/>
    <w:rsid w:val="00825D78"/>
    <w:rsid w:val="0082656C"/>
    <w:rsid w:val="00826B3B"/>
    <w:rsid w:val="00827F37"/>
    <w:rsid w:val="0083014D"/>
    <w:rsid w:val="00830396"/>
    <w:rsid w:val="00831826"/>
    <w:rsid w:val="00831D26"/>
    <w:rsid w:val="00832015"/>
    <w:rsid w:val="00832038"/>
    <w:rsid w:val="0083309A"/>
    <w:rsid w:val="00833C0A"/>
    <w:rsid w:val="008349D1"/>
    <w:rsid w:val="00834F11"/>
    <w:rsid w:val="00835BD8"/>
    <w:rsid w:val="00835C5C"/>
    <w:rsid w:val="008365D3"/>
    <w:rsid w:val="008367DE"/>
    <w:rsid w:val="008367FE"/>
    <w:rsid w:val="00836D29"/>
    <w:rsid w:val="008374BF"/>
    <w:rsid w:val="008375E9"/>
    <w:rsid w:val="00840267"/>
    <w:rsid w:val="00840875"/>
    <w:rsid w:val="008411BF"/>
    <w:rsid w:val="0084162F"/>
    <w:rsid w:val="0084199C"/>
    <w:rsid w:val="008419AE"/>
    <w:rsid w:val="008430FA"/>
    <w:rsid w:val="008432A1"/>
    <w:rsid w:val="00843601"/>
    <w:rsid w:val="00843959"/>
    <w:rsid w:val="00843FC8"/>
    <w:rsid w:val="00845EB3"/>
    <w:rsid w:val="0084654C"/>
    <w:rsid w:val="00846C5D"/>
    <w:rsid w:val="00847D9E"/>
    <w:rsid w:val="008501B1"/>
    <w:rsid w:val="00850D1D"/>
    <w:rsid w:val="00850DE9"/>
    <w:rsid w:val="00851558"/>
    <w:rsid w:val="00852640"/>
    <w:rsid w:val="008534EA"/>
    <w:rsid w:val="008546B9"/>
    <w:rsid w:val="00855255"/>
    <w:rsid w:val="00856C27"/>
    <w:rsid w:val="00857751"/>
    <w:rsid w:val="00857C6D"/>
    <w:rsid w:val="008600D9"/>
    <w:rsid w:val="008613C7"/>
    <w:rsid w:val="0086190D"/>
    <w:rsid w:val="00861FB6"/>
    <w:rsid w:val="00862436"/>
    <w:rsid w:val="008626D4"/>
    <w:rsid w:val="00862BBA"/>
    <w:rsid w:val="008636CB"/>
    <w:rsid w:val="00863858"/>
    <w:rsid w:val="008655B1"/>
    <w:rsid w:val="00865C27"/>
    <w:rsid w:val="00866A0C"/>
    <w:rsid w:val="00866B8F"/>
    <w:rsid w:val="008673C7"/>
    <w:rsid w:val="00871BF2"/>
    <w:rsid w:val="008727F1"/>
    <w:rsid w:val="008748AC"/>
    <w:rsid w:val="00874D5F"/>
    <w:rsid w:val="0087511C"/>
    <w:rsid w:val="0087512B"/>
    <w:rsid w:val="00875470"/>
    <w:rsid w:val="00876304"/>
    <w:rsid w:val="008777E7"/>
    <w:rsid w:val="00880A01"/>
    <w:rsid w:val="00880F98"/>
    <w:rsid w:val="0088156B"/>
    <w:rsid w:val="008828E4"/>
    <w:rsid w:val="008835C5"/>
    <w:rsid w:val="00884171"/>
    <w:rsid w:val="00884427"/>
    <w:rsid w:val="008848D0"/>
    <w:rsid w:val="00884C64"/>
    <w:rsid w:val="00886B3B"/>
    <w:rsid w:val="00886D9A"/>
    <w:rsid w:val="00886EE5"/>
    <w:rsid w:val="00890A8B"/>
    <w:rsid w:val="0089107E"/>
    <w:rsid w:val="00891805"/>
    <w:rsid w:val="00891E93"/>
    <w:rsid w:val="008931AE"/>
    <w:rsid w:val="008936D4"/>
    <w:rsid w:val="00893AA4"/>
    <w:rsid w:val="00895814"/>
    <w:rsid w:val="008958E8"/>
    <w:rsid w:val="0089595F"/>
    <w:rsid w:val="00895EAE"/>
    <w:rsid w:val="008962C3"/>
    <w:rsid w:val="00896814"/>
    <w:rsid w:val="00896CF3"/>
    <w:rsid w:val="00897003"/>
    <w:rsid w:val="00897B2D"/>
    <w:rsid w:val="008A0006"/>
    <w:rsid w:val="008A0A8E"/>
    <w:rsid w:val="008A0D7B"/>
    <w:rsid w:val="008A1372"/>
    <w:rsid w:val="008A14B4"/>
    <w:rsid w:val="008A168E"/>
    <w:rsid w:val="008A295B"/>
    <w:rsid w:val="008A2B1D"/>
    <w:rsid w:val="008A34E7"/>
    <w:rsid w:val="008A3633"/>
    <w:rsid w:val="008A4020"/>
    <w:rsid w:val="008A4258"/>
    <w:rsid w:val="008A4E68"/>
    <w:rsid w:val="008A526E"/>
    <w:rsid w:val="008A5715"/>
    <w:rsid w:val="008A585A"/>
    <w:rsid w:val="008A59D4"/>
    <w:rsid w:val="008A5AF1"/>
    <w:rsid w:val="008A5C04"/>
    <w:rsid w:val="008A5CFB"/>
    <w:rsid w:val="008A7AC4"/>
    <w:rsid w:val="008A7B58"/>
    <w:rsid w:val="008B01E5"/>
    <w:rsid w:val="008B0D74"/>
    <w:rsid w:val="008B1EE1"/>
    <w:rsid w:val="008B2219"/>
    <w:rsid w:val="008B25F1"/>
    <w:rsid w:val="008B3D25"/>
    <w:rsid w:val="008B4EF8"/>
    <w:rsid w:val="008B5311"/>
    <w:rsid w:val="008B654C"/>
    <w:rsid w:val="008B79BA"/>
    <w:rsid w:val="008B79CA"/>
    <w:rsid w:val="008B7D43"/>
    <w:rsid w:val="008B7F78"/>
    <w:rsid w:val="008C0269"/>
    <w:rsid w:val="008C1942"/>
    <w:rsid w:val="008C2297"/>
    <w:rsid w:val="008C440B"/>
    <w:rsid w:val="008C47B9"/>
    <w:rsid w:val="008C47D8"/>
    <w:rsid w:val="008C5360"/>
    <w:rsid w:val="008C567D"/>
    <w:rsid w:val="008C5D59"/>
    <w:rsid w:val="008C6EE7"/>
    <w:rsid w:val="008C7114"/>
    <w:rsid w:val="008C787B"/>
    <w:rsid w:val="008D03E0"/>
    <w:rsid w:val="008D0C83"/>
    <w:rsid w:val="008D0FF3"/>
    <w:rsid w:val="008D2987"/>
    <w:rsid w:val="008D29A6"/>
    <w:rsid w:val="008D4032"/>
    <w:rsid w:val="008D4109"/>
    <w:rsid w:val="008D4238"/>
    <w:rsid w:val="008D494D"/>
    <w:rsid w:val="008D4BAE"/>
    <w:rsid w:val="008D4D03"/>
    <w:rsid w:val="008D4DB5"/>
    <w:rsid w:val="008D515A"/>
    <w:rsid w:val="008D5E8C"/>
    <w:rsid w:val="008D6529"/>
    <w:rsid w:val="008D69F2"/>
    <w:rsid w:val="008D6D53"/>
    <w:rsid w:val="008D6F75"/>
    <w:rsid w:val="008E0A50"/>
    <w:rsid w:val="008E0DB9"/>
    <w:rsid w:val="008E17C6"/>
    <w:rsid w:val="008E1C58"/>
    <w:rsid w:val="008E1D78"/>
    <w:rsid w:val="008E1DE9"/>
    <w:rsid w:val="008E2AF3"/>
    <w:rsid w:val="008E2DFD"/>
    <w:rsid w:val="008E311A"/>
    <w:rsid w:val="008E3B17"/>
    <w:rsid w:val="008E4564"/>
    <w:rsid w:val="008E4A08"/>
    <w:rsid w:val="008E4F5A"/>
    <w:rsid w:val="008E5DF4"/>
    <w:rsid w:val="008E625B"/>
    <w:rsid w:val="008E6484"/>
    <w:rsid w:val="008E76E9"/>
    <w:rsid w:val="008F05B4"/>
    <w:rsid w:val="008F0CB8"/>
    <w:rsid w:val="008F1B43"/>
    <w:rsid w:val="008F1C6C"/>
    <w:rsid w:val="008F2572"/>
    <w:rsid w:val="008F289D"/>
    <w:rsid w:val="008F2942"/>
    <w:rsid w:val="008F34DA"/>
    <w:rsid w:val="008F36D0"/>
    <w:rsid w:val="008F44D5"/>
    <w:rsid w:val="008F54F0"/>
    <w:rsid w:val="008F5BB7"/>
    <w:rsid w:val="008F5C47"/>
    <w:rsid w:val="008F5EB4"/>
    <w:rsid w:val="008F62D0"/>
    <w:rsid w:val="008F717F"/>
    <w:rsid w:val="009009C3"/>
    <w:rsid w:val="00900C00"/>
    <w:rsid w:val="00900FAB"/>
    <w:rsid w:val="009012CD"/>
    <w:rsid w:val="0090139E"/>
    <w:rsid w:val="00901B1D"/>
    <w:rsid w:val="009022A3"/>
    <w:rsid w:val="009024E8"/>
    <w:rsid w:val="00902BB7"/>
    <w:rsid w:val="00902C3A"/>
    <w:rsid w:val="00903133"/>
    <w:rsid w:val="00903553"/>
    <w:rsid w:val="00903C6A"/>
    <w:rsid w:val="00904F8C"/>
    <w:rsid w:val="00905A9E"/>
    <w:rsid w:val="009077DB"/>
    <w:rsid w:val="00907F5F"/>
    <w:rsid w:val="0091126E"/>
    <w:rsid w:val="00911D61"/>
    <w:rsid w:val="0091210F"/>
    <w:rsid w:val="00912177"/>
    <w:rsid w:val="009126F8"/>
    <w:rsid w:val="009127A9"/>
    <w:rsid w:val="009133F7"/>
    <w:rsid w:val="009138C8"/>
    <w:rsid w:val="009141A0"/>
    <w:rsid w:val="009148C8"/>
    <w:rsid w:val="00914B5B"/>
    <w:rsid w:val="00914CB6"/>
    <w:rsid w:val="00915526"/>
    <w:rsid w:val="00915F49"/>
    <w:rsid w:val="00917AAA"/>
    <w:rsid w:val="00917F70"/>
    <w:rsid w:val="0092087D"/>
    <w:rsid w:val="009208C6"/>
    <w:rsid w:val="00921211"/>
    <w:rsid w:val="009221E7"/>
    <w:rsid w:val="00922A88"/>
    <w:rsid w:val="00922A96"/>
    <w:rsid w:val="00922D03"/>
    <w:rsid w:val="00923F42"/>
    <w:rsid w:val="009240C4"/>
    <w:rsid w:val="009242B7"/>
    <w:rsid w:val="009245A6"/>
    <w:rsid w:val="009255BD"/>
    <w:rsid w:val="009256A5"/>
    <w:rsid w:val="009275AF"/>
    <w:rsid w:val="009278A1"/>
    <w:rsid w:val="00930B80"/>
    <w:rsid w:val="009317FF"/>
    <w:rsid w:val="00931EA9"/>
    <w:rsid w:val="0093374D"/>
    <w:rsid w:val="00933C93"/>
    <w:rsid w:val="00933CDC"/>
    <w:rsid w:val="00933D73"/>
    <w:rsid w:val="00933DD4"/>
    <w:rsid w:val="00933FF7"/>
    <w:rsid w:val="009347D0"/>
    <w:rsid w:val="00935489"/>
    <w:rsid w:val="0093574A"/>
    <w:rsid w:val="00935CE5"/>
    <w:rsid w:val="0093626E"/>
    <w:rsid w:val="0093740E"/>
    <w:rsid w:val="00937F47"/>
    <w:rsid w:val="0094028F"/>
    <w:rsid w:val="00940887"/>
    <w:rsid w:val="00940CA8"/>
    <w:rsid w:val="00940D34"/>
    <w:rsid w:val="00940F5C"/>
    <w:rsid w:val="009417BA"/>
    <w:rsid w:val="009418F2"/>
    <w:rsid w:val="00941D58"/>
    <w:rsid w:val="00941EFA"/>
    <w:rsid w:val="00941FB5"/>
    <w:rsid w:val="00942367"/>
    <w:rsid w:val="00943DD5"/>
    <w:rsid w:val="00943EBB"/>
    <w:rsid w:val="0094789B"/>
    <w:rsid w:val="00947BA3"/>
    <w:rsid w:val="00947D74"/>
    <w:rsid w:val="00950C2E"/>
    <w:rsid w:val="00950C95"/>
    <w:rsid w:val="00952198"/>
    <w:rsid w:val="00952DB5"/>
    <w:rsid w:val="00953811"/>
    <w:rsid w:val="00957E4B"/>
    <w:rsid w:val="009603AC"/>
    <w:rsid w:val="0096094F"/>
    <w:rsid w:val="00960BC9"/>
    <w:rsid w:val="00961271"/>
    <w:rsid w:val="009622BB"/>
    <w:rsid w:val="00963339"/>
    <w:rsid w:val="009648D4"/>
    <w:rsid w:val="00965086"/>
    <w:rsid w:val="00966D63"/>
    <w:rsid w:val="00966DDD"/>
    <w:rsid w:val="00970C72"/>
    <w:rsid w:val="00970D86"/>
    <w:rsid w:val="00970FDC"/>
    <w:rsid w:val="0097106B"/>
    <w:rsid w:val="00971B97"/>
    <w:rsid w:val="00971ED8"/>
    <w:rsid w:val="00972780"/>
    <w:rsid w:val="00972EF2"/>
    <w:rsid w:val="00973C76"/>
    <w:rsid w:val="0097450E"/>
    <w:rsid w:val="00974B7F"/>
    <w:rsid w:val="00975478"/>
    <w:rsid w:val="00975711"/>
    <w:rsid w:val="00975C95"/>
    <w:rsid w:val="00976340"/>
    <w:rsid w:val="00976821"/>
    <w:rsid w:val="00976959"/>
    <w:rsid w:val="00976EE7"/>
    <w:rsid w:val="0097710D"/>
    <w:rsid w:val="0097719C"/>
    <w:rsid w:val="009774CD"/>
    <w:rsid w:val="00980130"/>
    <w:rsid w:val="009814A8"/>
    <w:rsid w:val="0098318A"/>
    <w:rsid w:val="0098338A"/>
    <w:rsid w:val="00984250"/>
    <w:rsid w:val="009851E5"/>
    <w:rsid w:val="009862EE"/>
    <w:rsid w:val="00986F01"/>
    <w:rsid w:val="009900DB"/>
    <w:rsid w:val="009902C2"/>
    <w:rsid w:val="00990636"/>
    <w:rsid w:val="00990A48"/>
    <w:rsid w:val="00990B2F"/>
    <w:rsid w:val="00991385"/>
    <w:rsid w:val="0099181D"/>
    <w:rsid w:val="00992035"/>
    <w:rsid w:val="00992FE4"/>
    <w:rsid w:val="00993180"/>
    <w:rsid w:val="00993D0F"/>
    <w:rsid w:val="0099558C"/>
    <w:rsid w:val="009956E2"/>
    <w:rsid w:val="0099591E"/>
    <w:rsid w:val="00996839"/>
    <w:rsid w:val="00996880"/>
    <w:rsid w:val="00996950"/>
    <w:rsid w:val="00997D83"/>
    <w:rsid w:val="009A168D"/>
    <w:rsid w:val="009A207E"/>
    <w:rsid w:val="009A2218"/>
    <w:rsid w:val="009A2E5C"/>
    <w:rsid w:val="009A418C"/>
    <w:rsid w:val="009A46CB"/>
    <w:rsid w:val="009A5A64"/>
    <w:rsid w:val="009A5D43"/>
    <w:rsid w:val="009A6424"/>
    <w:rsid w:val="009A69C8"/>
    <w:rsid w:val="009A741A"/>
    <w:rsid w:val="009B05BA"/>
    <w:rsid w:val="009B0F9A"/>
    <w:rsid w:val="009B2B84"/>
    <w:rsid w:val="009B2E01"/>
    <w:rsid w:val="009B38E5"/>
    <w:rsid w:val="009B46AD"/>
    <w:rsid w:val="009B4BE3"/>
    <w:rsid w:val="009B50CA"/>
    <w:rsid w:val="009B66A7"/>
    <w:rsid w:val="009B6C7E"/>
    <w:rsid w:val="009B7278"/>
    <w:rsid w:val="009B72E3"/>
    <w:rsid w:val="009C0BDD"/>
    <w:rsid w:val="009C0D4F"/>
    <w:rsid w:val="009C16DA"/>
    <w:rsid w:val="009C1F90"/>
    <w:rsid w:val="009C2710"/>
    <w:rsid w:val="009C28F0"/>
    <w:rsid w:val="009C2B63"/>
    <w:rsid w:val="009C2CEC"/>
    <w:rsid w:val="009C396E"/>
    <w:rsid w:val="009C56F4"/>
    <w:rsid w:val="009C58F0"/>
    <w:rsid w:val="009C6BF0"/>
    <w:rsid w:val="009D08D6"/>
    <w:rsid w:val="009D0F71"/>
    <w:rsid w:val="009D1B00"/>
    <w:rsid w:val="009D1B54"/>
    <w:rsid w:val="009D1FBD"/>
    <w:rsid w:val="009D2143"/>
    <w:rsid w:val="009D38E0"/>
    <w:rsid w:val="009D52F1"/>
    <w:rsid w:val="009D5E4B"/>
    <w:rsid w:val="009D625E"/>
    <w:rsid w:val="009E04F7"/>
    <w:rsid w:val="009E0725"/>
    <w:rsid w:val="009E1216"/>
    <w:rsid w:val="009E13FC"/>
    <w:rsid w:val="009E1D3D"/>
    <w:rsid w:val="009E22C8"/>
    <w:rsid w:val="009E2804"/>
    <w:rsid w:val="009E2EE5"/>
    <w:rsid w:val="009E322F"/>
    <w:rsid w:val="009E3C36"/>
    <w:rsid w:val="009E3C65"/>
    <w:rsid w:val="009E4704"/>
    <w:rsid w:val="009E6141"/>
    <w:rsid w:val="009E6888"/>
    <w:rsid w:val="009E6BEF"/>
    <w:rsid w:val="009E7116"/>
    <w:rsid w:val="009E7166"/>
    <w:rsid w:val="009E7813"/>
    <w:rsid w:val="009E7B3F"/>
    <w:rsid w:val="009E7BD8"/>
    <w:rsid w:val="009F0C71"/>
    <w:rsid w:val="009F115F"/>
    <w:rsid w:val="009F14A0"/>
    <w:rsid w:val="009F1532"/>
    <w:rsid w:val="009F1A42"/>
    <w:rsid w:val="009F1A47"/>
    <w:rsid w:val="009F1DB8"/>
    <w:rsid w:val="009F24D2"/>
    <w:rsid w:val="009F288C"/>
    <w:rsid w:val="009F2B15"/>
    <w:rsid w:val="009F32D7"/>
    <w:rsid w:val="009F39D7"/>
    <w:rsid w:val="009F3F2C"/>
    <w:rsid w:val="009F4AED"/>
    <w:rsid w:val="009F4E6D"/>
    <w:rsid w:val="009F626E"/>
    <w:rsid w:val="009F66A5"/>
    <w:rsid w:val="009F6A37"/>
    <w:rsid w:val="009F705C"/>
    <w:rsid w:val="009F71EF"/>
    <w:rsid w:val="009F763A"/>
    <w:rsid w:val="009F7B20"/>
    <w:rsid w:val="009F7C68"/>
    <w:rsid w:val="009F7E57"/>
    <w:rsid w:val="00A00C1C"/>
    <w:rsid w:val="00A01641"/>
    <w:rsid w:val="00A01C11"/>
    <w:rsid w:val="00A0246E"/>
    <w:rsid w:val="00A031B7"/>
    <w:rsid w:val="00A0343C"/>
    <w:rsid w:val="00A04136"/>
    <w:rsid w:val="00A05195"/>
    <w:rsid w:val="00A05E07"/>
    <w:rsid w:val="00A0750D"/>
    <w:rsid w:val="00A11F04"/>
    <w:rsid w:val="00A1224C"/>
    <w:rsid w:val="00A122CB"/>
    <w:rsid w:val="00A1239B"/>
    <w:rsid w:val="00A123B2"/>
    <w:rsid w:val="00A12B7E"/>
    <w:rsid w:val="00A13477"/>
    <w:rsid w:val="00A143EE"/>
    <w:rsid w:val="00A150CF"/>
    <w:rsid w:val="00A15D9D"/>
    <w:rsid w:val="00A1635B"/>
    <w:rsid w:val="00A1690D"/>
    <w:rsid w:val="00A16CE7"/>
    <w:rsid w:val="00A173D2"/>
    <w:rsid w:val="00A203E7"/>
    <w:rsid w:val="00A205D7"/>
    <w:rsid w:val="00A20909"/>
    <w:rsid w:val="00A21D42"/>
    <w:rsid w:val="00A224F0"/>
    <w:rsid w:val="00A22D7A"/>
    <w:rsid w:val="00A2330E"/>
    <w:rsid w:val="00A23CF2"/>
    <w:rsid w:val="00A24A87"/>
    <w:rsid w:val="00A24B6D"/>
    <w:rsid w:val="00A24C4E"/>
    <w:rsid w:val="00A254BB"/>
    <w:rsid w:val="00A2578B"/>
    <w:rsid w:val="00A25CD3"/>
    <w:rsid w:val="00A25F49"/>
    <w:rsid w:val="00A26107"/>
    <w:rsid w:val="00A26AFA"/>
    <w:rsid w:val="00A27594"/>
    <w:rsid w:val="00A277EA"/>
    <w:rsid w:val="00A27C89"/>
    <w:rsid w:val="00A3053B"/>
    <w:rsid w:val="00A30592"/>
    <w:rsid w:val="00A30D51"/>
    <w:rsid w:val="00A30FD1"/>
    <w:rsid w:val="00A31061"/>
    <w:rsid w:val="00A328E8"/>
    <w:rsid w:val="00A33E8E"/>
    <w:rsid w:val="00A346A1"/>
    <w:rsid w:val="00A34F71"/>
    <w:rsid w:val="00A35672"/>
    <w:rsid w:val="00A35EDE"/>
    <w:rsid w:val="00A364EF"/>
    <w:rsid w:val="00A37151"/>
    <w:rsid w:val="00A3721A"/>
    <w:rsid w:val="00A37A19"/>
    <w:rsid w:val="00A37EF0"/>
    <w:rsid w:val="00A40843"/>
    <w:rsid w:val="00A42EE1"/>
    <w:rsid w:val="00A43146"/>
    <w:rsid w:val="00A431CF"/>
    <w:rsid w:val="00A44EFB"/>
    <w:rsid w:val="00A4504D"/>
    <w:rsid w:val="00A454C0"/>
    <w:rsid w:val="00A457D4"/>
    <w:rsid w:val="00A45EF6"/>
    <w:rsid w:val="00A46181"/>
    <w:rsid w:val="00A465AB"/>
    <w:rsid w:val="00A47579"/>
    <w:rsid w:val="00A47CE7"/>
    <w:rsid w:val="00A505E0"/>
    <w:rsid w:val="00A509AA"/>
    <w:rsid w:val="00A517C4"/>
    <w:rsid w:val="00A519AC"/>
    <w:rsid w:val="00A533C9"/>
    <w:rsid w:val="00A53AAA"/>
    <w:rsid w:val="00A53D67"/>
    <w:rsid w:val="00A53E84"/>
    <w:rsid w:val="00A54CA5"/>
    <w:rsid w:val="00A56C2E"/>
    <w:rsid w:val="00A574B0"/>
    <w:rsid w:val="00A57745"/>
    <w:rsid w:val="00A61361"/>
    <w:rsid w:val="00A61E61"/>
    <w:rsid w:val="00A6297B"/>
    <w:rsid w:val="00A632FB"/>
    <w:rsid w:val="00A63638"/>
    <w:rsid w:val="00A63B97"/>
    <w:rsid w:val="00A64477"/>
    <w:rsid w:val="00A64673"/>
    <w:rsid w:val="00A646FD"/>
    <w:rsid w:val="00A64800"/>
    <w:rsid w:val="00A65C02"/>
    <w:rsid w:val="00A65CB8"/>
    <w:rsid w:val="00A66585"/>
    <w:rsid w:val="00A66C64"/>
    <w:rsid w:val="00A67128"/>
    <w:rsid w:val="00A67953"/>
    <w:rsid w:val="00A67E93"/>
    <w:rsid w:val="00A7046D"/>
    <w:rsid w:val="00A70BE1"/>
    <w:rsid w:val="00A70EB7"/>
    <w:rsid w:val="00A70F37"/>
    <w:rsid w:val="00A71B9B"/>
    <w:rsid w:val="00A7297E"/>
    <w:rsid w:val="00A730F9"/>
    <w:rsid w:val="00A736B3"/>
    <w:rsid w:val="00A739FD"/>
    <w:rsid w:val="00A73F32"/>
    <w:rsid w:val="00A74943"/>
    <w:rsid w:val="00A753F2"/>
    <w:rsid w:val="00A76236"/>
    <w:rsid w:val="00A76269"/>
    <w:rsid w:val="00A763A1"/>
    <w:rsid w:val="00A77243"/>
    <w:rsid w:val="00A8295C"/>
    <w:rsid w:val="00A832B1"/>
    <w:rsid w:val="00A83904"/>
    <w:rsid w:val="00A83CCE"/>
    <w:rsid w:val="00A84445"/>
    <w:rsid w:val="00A84CCF"/>
    <w:rsid w:val="00A84E2C"/>
    <w:rsid w:val="00A85194"/>
    <w:rsid w:val="00A85271"/>
    <w:rsid w:val="00A85D47"/>
    <w:rsid w:val="00A85DF2"/>
    <w:rsid w:val="00A86F8E"/>
    <w:rsid w:val="00A91D0D"/>
    <w:rsid w:val="00A91D97"/>
    <w:rsid w:val="00A9291A"/>
    <w:rsid w:val="00A9297D"/>
    <w:rsid w:val="00A92A48"/>
    <w:rsid w:val="00A93A43"/>
    <w:rsid w:val="00A9406E"/>
    <w:rsid w:val="00A94ACD"/>
    <w:rsid w:val="00A951DC"/>
    <w:rsid w:val="00A95567"/>
    <w:rsid w:val="00A95572"/>
    <w:rsid w:val="00A957F4"/>
    <w:rsid w:val="00A95AC4"/>
    <w:rsid w:val="00A95E4A"/>
    <w:rsid w:val="00A962A3"/>
    <w:rsid w:val="00A96833"/>
    <w:rsid w:val="00A96D83"/>
    <w:rsid w:val="00A97748"/>
    <w:rsid w:val="00AA2EB6"/>
    <w:rsid w:val="00AA31B5"/>
    <w:rsid w:val="00AA40F0"/>
    <w:rsid w:val="00AA5411"/>
    <w:rsid w:val="00AA64D6"/>
    <w:rsid w:val="00AA650C"/>
    <w:rsid w:val="00AA6FAC"/>
    <w:rsid w:val="00AA7543"/>
    <w:rsid w:val="00AB012C"/>
    <w:rsid w:val="00AB21F7"/>
    <w:rsid w:val="00AB279C"/>
    <w:rsid w:val="00AB287A"/>
    <w:rsid w:val="00AB2971"/>
    <w:rsid w:val="00AB29D6"/>
    <w:rsid w:val="00AB357F"/>
    <w:rsid w:val="00AB478E"/>
    <w:rsid w:val="00AB4C62"/>
    <w:rsid w:val="00AB4F08"/>
    <w:rsid w:val="00AB5A03"/>
    <w:rsid w:val="00AB5B52"/>
    <w:rsid w:val="00AB6B8F"/>
    <w:rsid w:val="00AB6F50"/>
    <w:rsid w:val="00AB70EA"/>
    <w:rsid w:val="00AC0636"/>
    <w:rsid w:val="00AC0A07"/>
    <w:rsid w:val="00AC122C"/>
    <w:rsid w:val="00AC1A64"/>
    <w:rsid w:val="00AC3431"/>
    <w:rsid w:val="00AC4621"/>
    <w:rsid w:val="00AC4C13"/>
    <w:rsid w:val="00AC5024"/>
    <w:rsid w:val="00AC546B"/>
    <w:rsid w:val="00AC6736"/>
    <w:rsid w:val="00AC79A3"/>
    <w:rsid w:val="00AC7E71"/>
    <w:rsid w:val="00AD22DC"/>
    <w:rsid w:val="00AD26C7"/>
    <w:rsid w:val="00AD2DFD"/>
    <w:rsid w:val="00AD31AE"/>
    <w:rsid w:val="00AD32D9"/>
    <w:rsid w:val="00AD4CF8"/>
    <w:rsid w:val="00AD5735"/>
    <w:rsid w:val="00AD71EF"/>
    <w:rsid w:val="00AD74A9"/>
    <w:rsid w:val="00AD7A88"/>
    <w:rsid w:val="00AD7BB9"/>
    <w:rsid w:val="00AD7D0B"/>
    <w:rsid w:val="00AD7E8A"/>
    <w:rsid w:val="00AE155B"/>
    <w:rsid w:val="00AE19C9"/>
    <w:rsid w:val="00AE229C"/>
    <w:rsid w:val="00AE2772"/>
    <w:rsid w:val="00AE28CC"/>
    <w:rsid w:val="00AE2909"/>
    <w:rsid w:val="00AE3058"/>
    <w:rsid w:val="00AE3617"/>
    <w:rsid w:val="00AE4387"/>
    <w:rsid w:val="00AE490A"/>
    <w:rsid w:val="00AE4923"/>
    <w:rsid w:val="00AE4EC2"/>
    <w:rsid w:val="00AE536E"/>
    <w:rsid w:val="00AE56F4"/>
    <w:rsid w:val="00AE60DC"/>
    <w:rsid w:val="00AE6407"/>
    <w:rsid w:val="00AE6872"/>
    <w:rsid w:val="00AE70B8"/>
    <w:rsid w:val="00AF042A"/>
    <w:rsid w:val="00AF0EE6"/>
    <w:rsid w:val="00AF1062"/>
    <w:rsid w:val="00AF1D2C"/>
    <w:rsid w:val="00AF1D70"/>
    <w:rsid w:val="00AF2751"/>
    <w:rsid w:val="00AF3199"/>
    <w:rsid w:val="00AF3585"/>
    <w:rsid w:val="00AF3E3F"/>
    <w:rsid w:val="00AF4220"/>
    <w:rsid w:val="00AF47E6"/>
    <w:rsid w:val="00AF578F"/>
    <w:rsid w:val="00AF6615"/>
    <w:rsid w:val="00AF7B3D"/>
    <w:rsid w:val="00B002D3"/>
    <w:rsid w:val="00B00D23"/>
    <w:rsid w:val="00B02A2E"/>
    <w:rsid w:val="00B02B1E"/>
    <w:rsid w:val="00B0312A"/>
    <w:rsid w:val="00B037E9"/>
    <w:rsid w:val="00B042B1"/>
    <w:rsid w:val="00B04FF5"/>
    <w:rsid w:val="00B060DF"/>
    <w:rsid w:val="00B06E93"/>
    <w:rsid w:val="00B076E7"/>
    <w:rsid w:val="00B1039B"/>
    <w:rsid w:val="00B10928"/>
    <w:rsid w:val="00B10BF4"/>
    <w:rsid w:val="00B11F78"/>
    <w:rsid w:val="00B120A1"/>
    <w:rsid w:val="00B12243"/>
    <w:rsid w:val="00B12400"/>
    <w:rsid w:val="00B1279E"/>
    <w:rsid w:val="00B13146"/>
    <w:rsid w:val="00B13A36"/>
    <w:rsid w:val="00B13A7A"/>
    <w:rsid w:val="00B13ADC"/>
    <w:rsid w:val="00B145E7"/>
    <w:rsid w:val="00B1570B"/>
    <w:rsid w:val="00B17503"/>
    <w:rsid w:val="00B20423"/>
    <w:rsid w:val="00B20935"/>
    <w:rsid w:val="00B21AE8"/>
    <w:rsid w:val="00B221B4"/>
    <w:rsid w:val="00B2266C"/>
    <w:rsid w:val="00B23054"/>
    <w:rsid w:val="00B2398D"/>
    <w:rsid w:val="00B23B6C"/>
    <w:rsid w:val="00B23F59"/>
    <w:rsid w:val="00B2446B"/>
    <w:rsid w:val="00B248C4"/>
    <w:rsid w:val="00B259B1"/>
    <w:rsid w:val="00B2624E"/>
    <w:rsid w:val="00B26963"/>
    <w:rsid w:val="00B27FCF"/>
    <w:rsid w:val="00B31DDB"/>
    <w:rsid w:val="00B32835"/>
    <w:rsid w:val="00B33AAB"/>
    <w:rsid w:val="00B344B3"/>
    <w:rsid w:val="00B34632"/>
    <w:rsid w:val="00B3491B"/>
    <w:rsid w:val="00B34AC5"/>
    <w:rsid w:val="00B35D93"/>
    <w:rsid w:val="00B361B2"/>
    <w:rsid w:val="00B366F7"/>
    <w:rsid w:val="00B367AD"/>
    <w:rsid w:val="00B36FDE"/>
    <w:rsid w:val="00B370D4"/>
    <w:rsid w:val="00B377FC"/>
    <w:rsid w:val="00B37803"/>
    <w:rsid w:val="00B37ACA"/>
    <w:rsid w:val="00B37B27"/>
    <w:rsid w:val="00B37CAD"/>
    <w:rsid w:val="00B37DF2"/>
    <w:rsid w:val="00B40303"/>
    <w:rsid w:val="00B409CB"/>
    <w:rsid w:val="00B42E55"/>
    <w:rsid w:val="00B43DA4"/>
    <w:rsid w:val="00B44338"/>
    <w:rsid w:val="00B44527"/>
    <w:rsid w:val="00B4460C"/>
    <w:rsid w:val="00B44918"/>
    <w:rsid w:val="00B44945"/>
    <w:rsid w:val="00B44E05"/>
    <w:rsid w:val="00B45669"/>
    <w:rsid w:val="00B460AA"/>
    <w:rsid w:val="00B46C51"/>
    <w:rsid w:val="00B5028E"/>
    <w:rsid w:val="00B52B69"/>
    <w:rsid w:val="00B52B85"/>
    <w:rsid w:val="00B5324A"/>
    <w:rsid w:val="00B536D4"/>
    <w:rsid w:val="00B5421E"/>
    <w:rsid w:val="00B54B96"/>
    <w:rsid w:val="00B54E31"/>
    <w:rsid w:val="00B5508E"/>
    <w:rsid w:val="00B55474"/>
    <w:rsid w:val="00B556CA"/>
    <w:rsid w:val="00B559FF"/>
    <w:rsid w:val="00B56291"/>
    <w:rsid w:val="00B56D10"/>
    <w:rsid w:val="00B56E50"/>
    <w:rsid w:val="00B56F2D"/>
    <w:rsid w:val="00B57119"/>
    <w:rsid w:val="00B57307"/>
    <w:rsid w:val="00B57968"/>
    <w:rsid w:val="00B57999"/>
    <w:rsid w:val="00B57E2F"/>
    <w:rsid w:val="00B600B6"/>
    <w:rsid w:val="00B62238"/>
    <w:rsid w:val="00B62413"/>
    <w:rsid w:val="00B62D7D"/>
    <w:rsid w:val="00B63626"/>
    <w:rsid w:val="00B63FF2"/>
    <w:rsid w:val="00B641E1"/>
    <w:rsid w:val="00B64274"/>
    <w:rsid w:val="00B64E89"/>
    <w:rsid w:val="00B64F23"/>
    <w:rsid w:val="00B65393"/>
    <w:rsid w:val="00B655C4"/>
    <w:rsid w:val="00B65C8E"/>
    <w:rsid w:val="00B6671C"/>
    <w:rsid w:val="00B670EB"/>
    <w:rsid w:val="00B70B95"/>
    <w:rsid w:val="00B71282"/>
    <w:rsid w:val="00B71FBC"/>
    <w:rsid w:val="00B723BA"/>
    <w:rsid w:val="00B725D6"/>
    <w:rsid w:val="00B72744"/>
    <w:rsid w:val="00B733FC"/>
    <w:rsid w:val="00B73AB0"/>
    <w:rsid w:val="00B742D4"/>
    <w:rsid w:val="00B745B1"/>
    <w:rsid w:val="00B74B30"/>
    <w:rsid w:val="00B74F93"/>
    <w:rsid w:val="00B7511E"/>
    <w:rsid w:val="00B754E1"/>
    <w:rsid w:val="00B75BC9"/>
    <w:rsid w:val="00B7628F"/>
    <w:rsid w:val="00B76877"/>
    <w:rsid w:val="00B76CF9"/>
    <w:rsid w:val="00B774E0"/>
    <w:rsid w:val="00B80496"/>
    <w:rsid w:val="00B80601"/>
    <w:rsid w:val="00B81BAF"/>
    <w:rsid w:val="00B81C2E"/>
    <w:rsid w:val="00B81D74"/>
    <w:rsid w:val="00B822A7"/>
    <w:rsid w:val="00B828E6"/>
    <w:rsid w:val="00B83F4B"/>
    <w:rsid w:val="00B841C7"/>
    <w:rsid w:val="00B847A7"/>
    <w:rsid w:val="00B84C19"/>
    <w:rsid w:val="00B85168"/>
    <w:rsid w:val="00B858EF"/>
    <w:rsid w:val="00B864D0"/>
    <w:rsid w:val="00B868FF"/>
    <w:rsid w:val="00B86A1E"/>
    <w:rsid w:val="00B86E9F"/>
    <w:rsid w:val="00B874C3"/>
    <w:rsid w:val="00B875A6"/>
    <w:rsid w:val="00B87656"/>
    <w:rsid w:val="00B879C9"/>
    <w:rsid w:val="00B90158"/>
    <w:rsid w:val="00B902A1"/>
    <w:rsid w:val="00B918DA"/>
    <w:rsid w:val="00B91A8F"/>
    <w:rsid w:val="00B91B8D"/>
    <w:rsid w:val="00B91F68"/>
    <w:rsid w:val="00B922C3"/>
    <w:rsid w:val="00B9271A"/>
    <w:rsid w:val="00B933DC"/>
    <w:rsid w:val="00B93880"/>
    <w:rsid w:val="00B94751"/>
    <w:rsid w:val="00B94931"/>
    <w:rsid w:val="00B95706"/>
    <w:rsid w:val="00B96087"/>
    <w:rsid w:val="00B97075"/>
    <w:rsid w:val="00BA135B"/>
    <w:rsid w:val="00BA1E48"/>
    <w:rsid w:val="00BA1E8F"/>
    <w:rsid w:val="00BA235D"/>
    <w:rsid w:val="00BA3330"/>
    <w:rsid w:val="00BA4142"/>
    <w:rsid w:val="00BA42C9"/>
    <w:rsid w:val="00BA430C"/>
    <w:rsid w:val="00BA4726"/>
    <w:rsid w:val="00BA4B00"/>
    <w:rsid w:val="00BA4B87"/>
    <w:rsid w:val="00BA50C2"/>
    <w:rsid w:val="00BA62D7"/>
    <w:rsid w:val="00BA6B74"/>
    <w:rsid w:val="00BA6F6D"/>
    <w:rsid w:val="00BA7D18"/>
    <w:rsid w:val="00BB1B5B"/>
    <w:rsid w:val="00BB3DC7"/>
    <w:rsid w:val="00BB44E7"/>
    <w:rsid w:val="00BB4871"/>
    <w:rsid w:val="00BB4A41"/>
    <w:rsid w:val="00BB4CF5"/>
    <w:rsid w:val="00BB5254"/>
    <w:rsid w:val="00BB6930"/>
    <w:rsid w:val="00BB73E8"/>
    <w:rsid w:val="00BC021E"/>
    <w:rsid w:val="00BC0856"/>
    <w:rsid w:val="00BC0CD4"/>
    <w:rsid w:val="00BC1B52"/>
    <w:rsid w:val="00BC1BD4"/>
    <w:rsid w:val="00BC2183"/>
    <w:rsid w:val="00BC31EF"/>
    <w:rsid w:val="00BC33F6"/>
    <w:rsid w:val="00BC64C6"/>
    <w:rsid w:val="00BC6590"/>
    <w:rsid w:val="00BC67D5"/>
    <w:rsid w:val="00BC6DF5"/>
    <w:rsid w:val="00BC7C79"/>
    <w:rsid w:val="00BD0BDC"/>
    <w:rsid w:val="00BD12B3"/>
    <w:rsid w:val="00BD1ABD"/>
    <w:rsid w:val="00BD3066"/>
    <w:rsid w:val="00BD321C"/>
    <w:rsid w:val="00BD4957"/>
    <w:rsid w:val="00BD4C3C"/>
    <w:rsid w:val="00BD4DD3"/>
    <w:rsid w:val="00BD5188"/>
    <w:rsid w:val="00BD53A3"/>
    <w:rsid w:val="00BD5ACD"/>
    <w:rsid w:val="00BD5D03"/>
    <w:rsid w:val="00BD6090"/>
    <w:rsid w:val="00BD6496"/>
    <w:rsid w:val="00BD6AB5"/>
    <w:rsid w:val="00BD6C72"/>
    <w:rsid w:val="00BD737A"/>
    <w:rsid w:val="00BD7809"/>
    <w:rsid w:val="00BE048A"/>
    <w:rsid w:val="00BE0C61"/>
    <w:rsid w:val="00BE141C"/>
    <w:rsid w:val="00BE1972"/>
    <w:rsid w:val="00BE31B8"/>
    <w:rsid w:val="00BF0A17"/>
    <w:rsid w:val="00BF0A22"/>
    <w:rsid w:val="00BF0AFC"/>
    <w:rsid w:val="00BF14FF"/>
    <w:rsid w:val="00BF1567"/>
    <w:rsid w:val="00BF16AE"/>
    <w:rsid w:val="00BF1710"/>
    <w:rsid w:val="00BF1F01"/>
    <w:rsid w:val="00BF1FD8"/>
    <w:rsid w:val="00BF330E"/>
    <w:rsid w:val="00BF3701"/>
    <w:rsid w:val="00BF3A49"/>
    <w:rsid w:val="00BF4073"/>
    <w:rsid w:val="00BF427B"/>
    <w:rsid w:val="00BF4A86"/>
    <w:rsid w:val="00BF50A2"/>
    <w:rsid w:val="00BF7581"/>
    <w:rsid w:val="00C0063A"/>
    <w:rsid w:val="00C00C4C"/>
    <w:rsid w:val="00C00D4F"/>
    <w:rsid w:val="00C014AA"/>
    <w:rsid w:val="00C01F3D"/>
    <w:rsid w:val="00C034A4"/>
    <w:rsid w:val="00C04491"/>
    <w:rsid w:val="00C04C6B"/>
    <w:rsid w:val="00C0504E"/>
    <w:rsid w:val="00C0536B"/>
    <w:rsid w:val="00C05517"/>
    <w:rsid w:val="00C05D9D"/>
    <w:rsid w:val="00C06045"/>
    <w:rsid w:val="00C065D3"/>
    <w:rsid w:val="00C10274"/>
    <w:rsid w:val="00C1098E"/>
    <w:rsid w:val="00C112C9"/>
    <w:rsid w:val="00C121CE"/>
    <w:rsid w:val="00C12A9A"/>
    <w:rsid w:val="00C12AEE"/>
    <w:rsid w:val="00C13548"/>
    <w:rsid w:val="00C13D0C"/>
    <w:rsid w:val="00C13FE5"/>
    <w:rsid w:val="00C14B2A"/>
    <w:rsid w:val="00C15153"/>
    <w:rsid w:val="00C17547"/>
    <w:rsid w:val="00C2039A"/>
    <w:rsid w:val="00C21398"/>
    <w:rsid w:val="00C21E12"/>
    <w:rsid w:val="00C2218E"/>
    <w:rsid w:val="00C2294C"/>
    <w:rsid w:val="00C23A9F"/>
    <w:rsid w:val="00C24661"/>
    <w:rsid w:val="00C25D92"/>
    <w:rsid w:val="00C25E24"/>
    <w:rsid w:val="00C26743"/>
    <w:rsid w:val="00C26B9D"/>
    <w:rsid w:val="00C272C7"/>
    <w:rsid w:val="00C27431"/>
    <w:rsid w:val="00C27F92"/>
    <w:rsid w:val="00C302D2"/>
    <w:rsid w:val="00C31A90"/>
    <w:rsid w:val="00C31BB8"/>
    <w:rsid w:val="00C31F07"/>
    <w:rsid w:val="00C33340"/>
    <w:rsid w:val="00C3500A"/>
    <w:rsid w:val="00C35176"/>
    <w:rsid w:val="00C353B1"/>
    <w:rsid w:val="00C355C1"/>
    <w:rsid w:val="00C3622F"/>
    <w:rsid w:val="00C36378"/>
    <w:rsid w:val="00C367C8"/>
    <w:rsid w:val="00C378C5"/>
    <w:rsid w:val="00C37BE8"/>
    <w:rsid w:val="00C37C8D"/>
    <w:rsid w:val="00C40B16"/>
    <w:rsid w:val="00C41102"/>
    <w:rsid w:val="00C414FE"/>
    <w:rsid w:val="00C4169C"/>
    <w:rsid w:val="00C41FD3"/>
    <w:rsid w:val="00C42A18"/>
    <w:rsid w:val="00C42DB7"/>
    <w:rsid w:val="00C43DF9"/>
    <w:rsid w:val="00C4421B"/>
    <w:rsid w:val="00C46639"/>
    <w:rsid w:val="00C4672B"/>
    <w:rsid w:val="00C468D4"/>
    <w:rsid w:val="00C46AFD"/>
    <w:rsid w:val="00C47820"/>
    <w:rsid w:val="00C50AE9"/>
    <w:rsid w:val="00C50BE9"/>
    <w:rsid w:val="00C50CED"/>
    <w:rsid w:val="00C514D3"/>
    <w:rsid w:val="00C516A0"/>
    <w:rsid w:val="00C527E4"/>
    <w:rsid w:val="00C548AE"/>
    <w:rsid w:val="00C55C78"/>
    <w:rsid w:val="00C55D92"/>
    <w:rsid w:val="00C56CB9"/>
    <w:rsid w:val="00C575D4"/>
    <w:rsid w:val="00C57BD0"/>
    <w:rsid w:val="00C63D71"/>
    <w:rsid w:val="00C6408A"/>
    <w:rsid w:val="00C6558D"/>
    <w:rsid w:val="00C657AF"/>
    <w:rsid w:val="00C6582D"/>
    <w:rsid w:val="00C65D47"/>
    <w:rsid w:val="00C6692F"/>
    <w:rsid w:val="00C707BF"/>
    <w:rsid w:val="00C70B47"/>
    <w:rsid w:val="00C70BE0"/>
    <w:rsid w:val="00C7157E"/>
    <w:rsid w:val="00C71EA8"/>
    <w:rsid w:val="00C72A72"/>
    <w:rsid w:val="00C72C88"/>
    <w:rsid w:val="00C72D54"/>
    <w:rsid w:val="00C73649"/>
    <w:rsid w:val="00C74F9C"/>
    <w:rsid w:val="00C75215"/>
    <w:rsid w:val="00C75523"/>
    <w:rsid w:val="00C75765"/>
    <w:rsid w:val="00C758A6"/>
    <w:rsid w:val="00C76556"/>
    <w:rsid w:val="00C7691B"/>
    <w:rsid w:val="00C77096"/>
    <w:rsid w:val="00C7752D"/>
    <w:rsid w:val="00C775F5"/>
    <w:rsid w:val="00C80022"/>
    <w:rsid w:val="00C80ECB"/>
    <w:rsid w:val="00C81B0A"/>
    <w:rsid w:val="00C81B33"/>
    <w:rsid w:val="00C82DF0"/>
    <w:rsid w:val="00C841FC"/>
    <w:rsid w:val="00C8455F"/>
    <w:rsid w:val="00C84F37"/>
    <w:rsid w:val="00C8515F"/>
    <w:rsid w:val="00C8680A"/>
    <w:rsid w:val="00C86CE4"/>
    <w:rsid w:val="00C90FE0"/>
    <w:rsid w:val="00C91925"/>
    <w:rsid w:val="00C93159"/>
    <w:rsid w:val="00C9385B"/>
    <w:rsid w:val="00C93C0D"/>
    <w:rsid w:val="00C9420F"/>
    <w:rsid w:val="00C94765"/>
    <w:rsid w:val="00C94AA3"/>
    <w:rsid w:val="00C94D2B"/>
    <w:rsid w:val="00C9576F"/>
    <w:rsid w:val="00C95B3A"/>
    <w:rsid w:val="00C961FC"/>
    <w:rsid w:val="00C9636E"/>
    <w:rsid w:val="00C970FA"/>
    <w:rsid w:val="00C97913"/>
    <w:rsid w:val="00C97A32"/>
    <w:rsid w:val="00CA069E"/>
    <w:rsid w:val="00CA1818"/>
    <w:rsid w:val="00CA1B41"/>
    <w:rsid w:val="00CA28BD"/>
    <w:rsid w:val="00CA30A2"/>
    <w:rsid w:val="00CA3B2C"/>
    <w:rsid w:val="00CA3E98"/>
    <w:rsid w:val="00CA5304"/>
    <w:rsid w:val="00CA57BD"/>
    <w:rsid w:val="00CA5FC5"/>
    <w:rsid w:val="00CA6069"/>
    <w:rsid w:val="00CA6DC5"/>
    <w:rsid w:val="00CA6EF3"/>
    <w:rsid w:val="00CA798B"/>
    <w:rsid w:val="00CB013C"/>
    <w:rsid w:val="00CB08FF"/>
    <w:rsid w:val="00CB09E3"/>
    <w:rsid w:val="00CB158E"/>
    <w:rsid w:val="00CB1C47"/>
    <w:rsid w:val="00CB260A"/>
    <w:rsid w:val="00CB2696"/>
    <w:rsid w:val="00CB50D7"/>
    <w:rsid w:val="00CB5A82"/>
    <w:rsid w:val="00CB5FF1"/>
    <w:rsid w:val="00CB6439"/>
    <w:rsid w:val="00CB7892"/>
    <w:rsid w:val="00CC032E"/>
    <w:rsid w:val="00CC089F"/>
    <w:rsid w:val="00CC1021"/>
    <w:rsid w:val="00CC2506"/>
    <w:rsid w:val="00CC3603"/>
    <w:rsid w:val="00CC52E3"/>
    <w:rsid w:val="00CC5330"/>
    <w:rsid w:val="00CC6187"/>
    <w:rsid w:val="00CC675C"/>
    <w:rsid w:val="00CC6EDB"/>
    <w:rsid w:val="00CC6F54"/>
    <w:rsid w:val="00CC71FF"/>
    <w:rsid w:val="00CD08F6"/>
    <w:rsid w:val="00CD16F4"/>
    <w:rsid w:val="00CD1AE0"/>
    <w:rsid w:val="00CD2E5F"/>
    <w:rsid w:val="00CD333F"/>
    <w:rsid w:val="00CD39EC"/>
    <w:rsid w:val="00CD3CBF"/>
    <w:rsid w:val="00CD483C"/>
    <w:rsid w:val="00CD4A0E"/>
    <w:rsid w:val="00CD4FE9"/>
    <w:rsid w:val="00CD5098"/>
    <w:rsid w:val="00CD5B15"/>
    <w:rsid w:val="00CD6285"/>
    <w:rsid w:val="00CD6409"/>
    <w:rsid w:val="00CD64D0"/>
    <w:rsid w:val="00CD6A7D"/>
    <w:rsid w:val="00CD7448"/>
    <w:rsid w:val="00CD7876"/>
    <w:rsid w:val="00CD795D"/>
    <w:rsid w:val="00CE00E7"/>
    <w:rsid w:val="00CE0374"/>
    <w:rsid w:val="00CE0909"/>
    <w:rsid w:val="00CE0E5C"/>
    <w:rsid w:val="00CE13A2"/>
    <w:rsid w:val="00CE17F7"/>
    <w:rsid w:val="00CE1A8B"/>
    <w:rsid w:val="00CE23EB"/>
    <w:rsid w:val="00CE240E"/>
    <w:rsid w:val="00CE4084"/>
    <w:rsid w:val="00CE51D2"/>
    <w:rsid w:val="00CE612A"/>
    <w:rsid w:val="00CE6A06"/>
    <w:rsid w:val="00CE7603"/>
    <w:rsid w:val="00CE7774"/>
    <w:rsid w:val="00CF0114"/>
    <w:rsid w:val="00CF055C"/>
    <w:rsid w:val="00CF06F7"/>
    <w:rsid w:val="00CF2865"/>
    <w:rsid w:val="00CF2E74"/>
    <w:rsid w:val="00CF3FA7"/>
    <w:rsid w:val="00CF41AB"/>
    <w:rsid w:val="00CF4857"/>
    <w:rsid w:val="00CF4FC1"/>
    <w:rsid w:val="00CF535A"/>
    <w:rsid w:val="00CF58B5"/>
    <w:rsid w:val="00CF61DF"/>
    <w:rsid w:val="00CF6A46"/>
    <w:rsid w:val="00CF751B"/>
    <w:rsid w:val="00CF75E1"/>
    <w:rsid w:val="00CF76BF"/>
    <w:rsid w:val="00CF7E2C"/>
    <w:rsid w:val="00CF7F1D"/>
    <w:rsid w:val="00D00300"/>
    <w:rsid w:val="00D006C8"/>
    <w:rsid w:val="00D007A5"/>
    <w:rsid w:val="00D00EC9"/>
    <w:rsid w:val="00D01132"/>
    <w:rsid w:val="00D0185E"/>
    <w:rsid w:val="00D019DA"/>
    <w:rsid w:val="00D02814"/>
    <w:rsid w:val="00D0329E"/>
    <w:rsid w:val="00D03623"/>
    <w:rsid w:val="00D03FB7"/>
    <w:rsid w:val="00D04025"/>
    <w:rsid w:val="00D05706"/>
    <w:rsid w:val="00D06106"/>
    <w:rsid w:val="00D10907"/>
    <w:rsid w:val="00D10EA8"/>
    <w:rsid w:val="00D117BE"/>
    <w:rsid w:val="00D11BEA"/>
    <w:rsid w:val="00D11C8F"/>
    <w:rsid w:val="00D11D0C"/>
    <w:rsid w:val="00D127C2"/>
    <w:rsid w:val="00D136C3"/>
    <w:rsid w:val="00D1382D"/>
    <w:rsid w:val="00D14269"/>
    <w:rsid w:val="00D14A79"/>
    <w:rsid w:val="00D14F48"/>
    <w:rsid w:val="00D15841"/>
    <w:rsid w:val="00D1676E"/>
    <w:rsid w:val="00D178E0"/>
    <w:rsid w:val="00D21D64"/>
    <w:rsid w:val="00D22384"/>
    <w:rsid w:val="00D22DBE"/>
    <w:rsid w:val="00D231C6"/>
    <w:rsid w:val="00D2717F"/>
    <w:rsid w:val="00D27BC3"/>
    <w:rsid w:val="00D27DDF"/>
    <w:rsid w:val="00D31EF9"/>
    <w:rsid w:val="00D32C59"/>
    <w:rsid w:val="00D33C36"/>
    <w:rsid w:val="00D3445A"/>
    <w:rsid w:val="00D347A8"/>
    <w:rsid w:val="00D350A6"/>
    <w:rsid w:val="00D3560F"/>
    <w:rsid w:val="00D356F2"/>
    <w:rsid w:val="00D358B7"/>
    <w:rsid w:val="00D36C97"/>
    <w:rsid w:val="00D37364"/>
    <w:rsid w:val="00D4036A"/>
    <w:rsid w:val="00D41CB7"/>
    <w:rsid w:val="00D41F22"/>
    <w:rsid w:val="00D42BC7"/>
    <w:rsid w:val="00D42DD2"/>
    <w:rsid w:val="00D42E17"/>
    <w:rsid w:val="00D43820"/>
    <w:rsid w:val="00D448FD"/>
    <w:rsid w:val="00D452DB"/>
    <w:rsid w:val="00D458BC"/>
    <w:rsid w:val="00D45A96"/>
    <w:rsid w:val="00D46A50"/>
    <w:rsid w:val="00D47221"/>
    <w:rsid w:val="00D47580"/>
    <w:rsid w:val="00D50332"/>
    <w:rsid w:val="00D50419"/>
    <w:rsid w:val="00D50B45"/>
    <w:rsid w:val="00D51034"/>
    <w:rsid w:val="00D52153"/>
    <w:rsid w:val="00D52837"/>
    <w:rsid w:val="00D53DEA"/>
    <w:rsid w:val="00D53F70"/>
    <w:rsid w:val="00D5578C"/>
    <w:rsid w:val="00D55E50"/>
    <w:rsid w:val="00D55EAE"/>
    <w:rsid w:val="00D56833"/>
    <w:rsid w:val="00D57165"/>
    <w:rsid w:val="00D57A0B"/>
    <w:rsid w:val="00D57FF1"/>
    <w:rsid w:val="00D61C9D"/>
    <w:rsid w:val="00D62443"/>
    <w:rsid w:val="00D626AB"/>
    <w:rsid w:val="00D6471F"/>
    <w:rsid w:val="00D65743"/>
    <w:rsid w:val="00D657E7"/>
    <w:rsid w:val="00D660C9"/>
    <w:rsid w:val="00D6728F"/>
    <w:rsid w:val="00D6764A"/>
    <w:rsid w:val="00D6797F"/>
    <w:rsid w:val="00D67DDB"/>
    <w:rsid w:val="00D67EF8"/>
    <w:rsid w:val="00D72FBD"/>
    <w:rsid w:val="00D73009"/>
    <w:rsid w:val="00D737D6"/>
    <w:rsid w:val="00D74258"/>
    <w:rsid w:val="00D74C67"/>
    <w:rsid w:val="00D757B2"/>
    <w:rsid w:val="00D75AC1"/>
    <w:rsid w:val="00D75FB9"/>
    <w:rsid w:val="00D76196"/>
    <w:rsid w:val="00D768E5"/>
    <w:rsid w:val="00D76CE2"/>
    <w:rsid w:val="00D776E6"/>
    <w:rsid w:val="00D80B32"/>
    <w:rsid w:val="00D80B8D"/>
    <w:rsid w:val="00D81322"/>
    <w:rsid w:val="00D81D12"/>
    <w:rsid w:val="00D8397B"/>
    <w:rsid w:val="00D839A6"/>
    <w:rsid w:val="00D844CF"/>
    <w:rsid w:val="00D845D7"/>
    <w:rsid w:val="00D84862"/>
    <w:rsid w:val="00D85131"/>
    <w:rsid w:val="00D864C3"/>
    <w:rsid w:val="00D866B4"/>
    <w:rsid w:val="00D869D0"/>
    <w:rsid w:val="00D872F0"/>
    <w:rsid w:val="00D87477"/>
    <w:rsid w:val="00D87D1A"/>
    <w:rsid w:val="00D90354"/>
    <w:rsid w:val="00D912F5"/>
    <w:rsid w:val="00D92789"/>
    <w:rsid w:val="00D93497"/>
    <w:rsid w:val="00D93F20"/>
    <w:rsid w:val="00D94556"/>
    <w:rsid w:val="00D95189"/>
    <w:rsid w:val="00D955F6"/>
    <w:rsid w:val="00D9578D"/>
    <w:rsid w:val="00D95EE1"/>
    <w:rsid w:val="00D96025"/>
    <w:rsid w:val="00D96FF1"/>
    <w:rsid w:val="00D97103"/>
    <w:rsid w:val="00D97EB9"/>
    <w:rsid w:val="00DA1F41"/>
    <w:rsid w:val="00DA2087"/>
    <w:rsid w:val="00DA25B2"/>
    <w:rsid w:val="00DA270D"/>
    <w:rsid w:val="00DA2FD2"/>
    <w:rsid w:val="00DA560F"/>
    <w:rsid w:val="00DA6F6F"/>
    <w:rsid w:val="00DB0316"/>
    <w:rsid w:val="00DB05D6"/>
    <w:rsid w:val="00DB2998"/>
    <w:rsid w:val="00DB34A7"/>
    <w:rsid w:val="00DB34CF"/>
    <w:rsid w:val="00DB3E32"/>
    <w:rsid w:val="00DB4390"/>
    <w:rsid w:val="00DB553A"/>
    <w:rsid w:val="00DB62DA"/>
    <w:rsid w:val="00DB68BB"/>
    <w:rsid w:val="00DB6D30"/>
    <w:rsid w:val="00DB7403"/>
    <w:rsid w:val="00DB7515"/>
    <w:rsid w:val="00DC001E"/>
    <w:rsid w:val="00DC0B3B"/>
    <w:rsid w:val="00DC1526"/>
    <w:rsid w:val="00DC1D1F"/>
    <w:rsid w:val="00DC2FC0"/>
    <w:rsid w:val="00DC3A75"/>
    <w:rsid w:val="00DC4075"/>
    <w:rsid w:val="00DC4340"/>
    <w:rsid w:val="00DC4812"/>
    <w:rsid w:val="00DC6B08"/>
    <w:rsid w:val="00DD0646"/>
    <w:rsid w:val="00DD0764"/>
    <w:rsid w:val="00DD0EE7"/>
    <w:rsid w:val="00DD0FEC"/>
    <w:rsid w:val="00DD1091"/>
    <w:rsid w:val="00DD1BC8"/>
    <w:rsid w:val="00DD3130"/>
    <w:rsid w:val="00DD34D1"/>
    <w:rsid w:val="00DD3CB7"/>
    <w:rsid w:val="00DD3DFA"/>
    <w:rsid w:val="00DD4076"/>
    <w:rsid w:val="00DD4317"/>
    <w:rsid w:val="00DD48AB"/>
    <w:rsid w:val="00DD51F1"/>
    <w:rsid w:val="00DD581B"/>
    <w:rsid w:val="00DD5874"/>
    <w:rsid w:val="00DD6813"/>
    <w:rsid w:val="00DE064F"/>
    <w:rsid w:val="00DE0D5E"/>
    <w:rsid w:val="00DE12A5"/>
    <w:rsid w:val="00DE1367"/>
    <w:rsid w:val="00DE198E"/>
    <w:rsid w:val="00DE1B1C"/>
    <w:rsid w:val="00DE1D45"/>
    <w:rsid w:val="00DE298F"/>
    <w:rsid w:val="00DE2CFC"/>
    <w:rsid w:val="00DE3601"/>
    <w:rsid w:val="00DE4F6E"/>
    <w:rsid w:val="00DE4FD3"/>
    <w:rsid w:val="00DE52BC"/>
    <w:rsid w:val="00DE6DA2"/>
    <w:rsid w:val="00DE6E70"/>
    <w:rsid w:val="00DE6E81"/>
    <w:rsid w:val="00DE6FA0"/>
    <w:rsid w:val="00DF0353"/>
    <w:rsid w:val="00DF2061"/>
    <w:rsid w:val="00DF26B6"/>
    <w:rsid w:val="00DF277C"/>
    <w:rsid w:val="00DF3C34"/>
    <w:rsid w:val="00DF3D4F"/>
    <w:rsid w:val="00DF4021"/>
    <w:rsid w:val="00DF5850"/>
    <w:rsid w:val="00DF5D10"/>
    <w:rsid w:val="00DF695F"/>
    <w:rsid w:val="00DF74DF"/>
    <w:rsid w:val="00E00085"/>
    <w:rsid w:val="00E00713"/>
    <w:rsid w:val="00E00815"/>
    <w:rsid w:val="00E00EDA"/>
    <w:rsid w:val="00E0229F"/>
    <w:rsid w:val="00E04477"/>
    <w:rsid w:val="00E05B6E"/>
    <w:rsid w:val="00E071D9"/>
    <w:rsid w:val="00E075EF"/>
    <w:rsid w:val="00E07697"/>
    <w:rsid w:val="00E0770D"/>
    <w:rsid w:val="00E1014C"/>
    <w:rsid w:val="00E102A0"/>
    <w:rsid w:val="00E12C22"/>
    <w:rsid w:val="00E132EC"/>
    <w:rsid w:val="00E13494"/>
    <w:rsid w:val="00E137DE"/>
    <w:rsid w:val="00E13F7E"/>
    <w:rsid w:val="00E145B0"/>
    <w:rsid w:val="00E1528F"/>
    <w:rsid w:val="00E15314"/>
    <w:rsid w:val="00E15800"/>
    <w:rsid w:val="00E1659A"/>
    <w:rsid w:val="00E166E5"/>
    <w:rsid w:val="00E1702B"/>
    <w:rsid w:val="00E174E9"/>
    <w:rsid w:val="00E175FB"/>
    <w:rsid w:val="00E208D9"/>
    <w:rsid w:val="00E21057"/>
    <w:rsid w:val="00E21401"/>
    <w:rsid w:val="00E21518"/>
    <w:rsid w:val="00E21768"/>
    <w:rsid w:val="00E2196A"/>
    <w:rsid w:val="00E22335"/>
    <w:rsid w:val="00E23FAD"/>
    <w:rsid w:val="00E24EF9"/>
    <w:rsid w:val="00E24F19"/>
    <w:rsid w:val="00E25B8C"/>
    <w:rsid w:val="00E25D51"/>
    <w:rsid w:val="00E26025"/>
    <w:rsid w:val="00E260B9"/>
    <w:rsid w:val="00E2614A"/>
    <w:rsid w:val="00E2675F"/>
    <w:rsid w:val="00E26A5A"/>
    <w:rsid w:val="00E271F6"/>
    <w:rsid w:val="00E27F26"/>
    <w:rsid w:val="00E30552"/>
    <w:rsid w:val="00E32921"/>
    <w:rsid w:val="00E3322F"/>
    <w:rsid w:val="00E33701"/>
    <w:rsid w:val="00E35641"/>
    <w:rsid w:val="00E36453"/>
    <w:rsid w:val="00E36A9D"/>
    <w:rsid w:val="00E37273"/>
    <w:rsid w:val="00E37822"/>
    <w:rsid w:val="00E37B73"/>
    <w:rsid w:val="00E37D54"/>
    <w:rsid w:val="00E37E60"/>
    <w:rsid w:val="00E40637"/>
    <w:rsid w:val="00E41603"/>
    <w:rsid w:val="00E41611"/>
    <w:rsid w:val="00E418C5"/>
    <w:rsid w:val="00E41AE6"/>
    <w:rsid w:val="00E426BC"/>
    <w:rsid w:val="00E4344C"/>
    <w:rsid w:val="00E4382D"/>
    <w:rsid w:val="00E438A9"/>
    <w:rsid w:val="00E43C46"/>
    <w:rsid w:val="00E448A3"/>
    <w:rsid w:val="00E44E35"/>
    <w:rsid w:val="00E45A35"/>
    <w:rsid w:val="00E46171"/>
    <w:rsid w:val="00E46989"/>
    <w:rsid w:val="00E473E7"/>
    <w:rsid w:val="00E512B1"/>
    <w:rsid w:val="00E5170D"/>
    <w:rsid w:val="00E51843"/>
    <w:rsid w:val="00E51D51"/>
    <w:rsid w:val="00E53A3B"/>
    <w:rsid w:val="00E54001"/>
    <w:rsid w:val="00E547DE"/>
    <w:rsid w:val="00E603B4"/>
    <w:rsid w:val="00E6148C"/>
    <w:rsid w:val="00E615AB"/>
    <w:rsid w:val="00E61762"/>
    <w:rsid w:val="00E63669"/>
    <w:rsid w:val="00E6376B"/>
    <w:rsid w:val="00E66C1A"/>
    <w:rsid w:val="00E67247"/>
    <w:rsid w:val="00E67D55"/>
    <w:rsid w:val="00E700C5"/>
    <w:rsid w:val="00E70212"/>
    <w:rsid w:val="00E70227"/>
    <w:rsid w:val="00E70E0F"/>
    <w:rsid w:val="00E71573"/>
    <w:rsid w:val="00E717CD"/>
    <w:rsid w:val="00E73991"/>
    <w:rsid w:val="00E74D56"/>
    <w:rsid w:val="00E75F45"/>
    <w:rsid w:val="00E76D64"/>
    <w:rsid w:val="00E76E99"/>
    <w:rsid w:val="00E77221"/>
    <w:rsid w:val="00E7734E"/>
    <w:rsid w:val="00E77F0E"/>
    <w:rsid w:val="00E803AC"/>
    <w:rsid w:val="00E804E2"/>
    <w:rsid w:val="00E81151"/>
    <w:rsid w:val="00E81627"/>
    <w:rsid w:val="00E81C49"/>
    <w:rsid w:val="00E81E97"/>
    <w:rsid w:val="00E83617"/>
    <w:rsid w:val="00E84701"/>
    <w:rsid w:val="00E85196"/>
    <w:rsid w:val="00E857F2"/>
    <w:rsid w:val="00E865B8"/>
    <w:rsid w:val="00E86A4A"/>
    <w:rsid w:val="00E87612"/>
    <w:rsid w:val="00E90F20"/>
    <w:rsid w:val="00E914B5"/>
    <w:rsid w:val="00E91BB4"/>
    <w:rsid w:val="00E91D6A"/>
    <w:rsid w:val="00E91E2F"/>
    <w:rsid w:val="00E928DD"/>
    <w:rsid w:val="00E92D49"/>
    <w:rsid w:val="00E92F0A"/>
    <w:rsid w:val="00E93231"/>
    <w:rsid w:val="00E93863"/>
    <w:rsid w:val="00E95125"/>
    <w:rsid w:val="00E95514"/>
    <w:rsid w:val="00E95B25"/>
    <w:rsid w:val="00E96895"/>
    <w:rsid w:val="00E96BD6"/>
    <w:rsid w:val="00E96DFD"/>
    <w:rsid w:val="00E97052"/>
    <w:rsid w:val="00E973D6"/>
    <w:rsid w:val="00E97742"/>
    <w:rsid w:val="00E97A76"/>
    <w:rsid w:val="00EA00AA"/>
    <w:rsid w:val="00EA0CF8"/>
    <w:rsid w:val="00EA17C4"/>
    <w:rsid w:val="00EA1B46"/>
    <w:rsid w:val="00EA23BF"/>
    <w:rsid w:val="00EA23F2"/>
    <w:rsid w:val="00EA2F8A"/>
    <w:rsid w:val="00EA34F6"/>
    <w:rsid w:val="00EA3FD8"/>
    <w:rsid w:val="00EA48BF"/>
    <w:rsid w:val="00EA4D41"/>
    <w:rsid w:val="00EA7349"/>
    <w:rsid w:val="00EB04EE"/>
    <w:rsid w:val="00EB07BB"/>
    <w:rsid w:val="00EB0CA4"/>
    <w:rsid w:val="00EB1B58"/>
    <w:rsid w:val="00EB1F29"/>
    <w:rsid w:val="00EB2023"/>
    <w:rsid w:val="00EB2DC7"/>
    <w:rsid w:val="00EB2DEA"/>
    <w:rsid w:val="00EB30CD"/>
    <w:rsid w:val="00EB3137"/>
    <w:rsid w:val="00EB325B"/>
    <w:rsid w:val="00EB35C0"/>
    <w:rsid w:val="00EB45C3"/>
    <w:rsid w:val="00EB5DB8"/>
    <w:rsid w:val="00EB66FD"/>
    <w:rsid w:val="00EB6A26"/>
    <w:rsid w:val="00EB6EFA"/>
    <w:rsid w:val="00EB73F4"/>
    <w:rsid w:val="00EB77B1"/>
    <w:rsid w:val="00EB7EDB"/>
    <w:rsid w:val="00EC028F"/>
    <w:rsid w:val="00EC02D0"/>
    <w:rsid w:val="00EC03A8"/>
    <w:rsid w:val="00EC047B"/>
    <w:rsid w:val="00EC12D3"/>
    <w:rsid w:val="00EC159E"/>
    <w:rsid w:val="00EC1FDA"/>
    <w:rsid w:val="00EC2E13"/>
    <w:rsid w:val="00EC3964"/>
    <w:rsid w:val="00EC44DC"/>
    <w:rsid w:val="00EC4A39"/>
    <w:rsid w:val="00EC4D14"/>
    <w:rsid w:val="00EC51BC"/>
    <w:rsid w:val="00EC5B35"/>
    <w:rsid w:val="00EC5D23"/>
    <w:rsid w:val="00EC6CC6"/>
    <w:rsid w:val="00EC6E67"/>
    <w:rsid w:val="00EC7147"/>
    <w:rsid w:val="00EC721E"/>
    <w:rsid w:val="00EC7888"/>
    <w:rsid w:val="00EC78EA"/>
    <w:rsid w:val="00EC7A7E"/>
    <w:rsid w:val="00ED0377"/>
    <w:rsid w:val="00ED058A"/>
    <w:rsid w:val="00ED10FC"/>
    <w:rsid w:val="00ED1858"/>
    <w:rsid w:val="00ED22EE"/>
    <w:rsid w:val="00ED248C"/>
    <w:rsid w:val="00ED24F7"/>
    <w:rsid w:val="00ED2815"/>
    <w:rsid w:val="00ED2846"/>
    <w:rsid w:val="00ED3374"/>
    <w:rsid w:val="00ED36B7"/>
    <w:rsid w:val="00ED3F8F"/>
    <w:rsid w:val="00ED4B6E"/>
    <w:rsid w:val="00ED5B81"/>
    <w:rsid w:val="00ED5CA6"/>
    <w:rsid w:val="00ED5D46"/>
    <w:rsid w:val="00ED703F"/>
    <w:rsid w:val="00ED70CC"/>
    <w:rsid w:val="00ED7FFB"/>
    <w:rsid w:val="00EE0BDD"/>
    <w:rsid w:val="00EE17B8"/>
    <w:rsid w:val="00EE1D26"/>
    <w:rsid w:val="00EE1EE6"/>
    <w:rsid w:val="00EE20B8"/>
    <w:rsid w:val="00EE2426"/>
    <w:rsid w:val="00EE2464"/>
    <w:rsid w:val="00EE38C1"/>
    <w:rsid w:val="00EE57FA"/>
    <w:rsid w:val="00EE5F14"/>
    <w:rsid w:val="00EE7B85"/>
    <w:rsid w:val="00EE7E50"/>
    <w:rsid w:val="00EF04C8"/>
    <w:rsid w:val="00EF0799"/>
    <w:rsid w:val="00EF0BCE"/>
    <w:rsid w:val="00EF1182"/>
    <w:rsid w:val="00EF13DB"/>
    <w:rsid w:val="00EF1CD4"/>
    <w:rsid w:val="00EF335B"/>
    <w:rsid w:val="00EF3492"/>
    <w:rsid w:val="00EF3495"/>
    <w:rsid w:val="00EF38A0"/>
    <w:rsid w:val="00EF3C55"/>
    <w:rsid w:val="00EF3D4E"/>
    <w:rsid w:val="00EF4120"/>
    <w:rsid w:val="00EF4B1B"/>
    <w:rsid w:val="00EF5049"/>
    <w:rsid w:val="00EF58D9"/>
    <w:rsid w:val="00EF5BA2"/>
    <w:rsid w:val="00EF6695"/>
    <w:rsid w:val="00EF73D5"/>
    <w:rsid w:val="00EF747E"/>
    <w:rsid w:val="00EF756D"/>
    <w:rsid w:val="00EF7584"/>
    <w:rsid w:val="00F0107C"/>
    <w:rsid w:val="00F0148A"/>
    <w:rsid w:val="00F018FC"/>
    <w:rsid w:val="00F01C51"/>
    <w:rsid w:val="00F01E94"/>
    <w:rsid w:val="00F0365C"/>
    <w:rsid w:val="00F0437A"/>
    <w:rsid w:val="00F04573"/>
    <w:rsid w:val="00F04655"/>
    <w:rsid w:val="00F0509F"/>
    <w:rsid w:val="00F053C3"/>
    <w:rsid w:val="00F057C9"/>
    <w:rsid w:val="00F05BB2"/>
    <w:rsid w:val="00F05F45"/>
    <w:rsid w:val="00F06AC9"/>
    <w:rsid w:val="00F06CF7"/>
    <w:rsid w:val="00F108D0"/>
    <w:rsid w:val="00F10EFC"/>
    <w:rsid w:val="00F11102"/>
    <w:rsid w:val="00F11678"/>
    <w:rsid w:val="00F1187B"/>
    <w:rsid w:val="00F11EDF"/>
    <w:rsid w:val="00F12A6E"/>
    <w:rsid w:val="00F12BFD"/>
    <w:rsid w:val="00F12F2B"/>
    <w:rsid w:val="00F13880"/>
    <w:rsid w:val="00F14066"/>
    <w:rsid w:val="00F140FC"/>
    <w:rsid w:val="00F141A5"/>
    <w:rsid w:val="00F144BB"/>
    <w:rsid w:val="00F155D2"/>
    <w:rsid w:val="00F16B78"/>
    <w:rsid w:val="00F17377"/>
    <w:rsid w:val="00F177B2"/>
    <w:rsid w:val="00F20059"/>
    <w:rsid w:val="00F20EBB"/>
    <w:rsid w:val="00F21532"/>
    <w:rsid w:val="00F24836"/>
    <w:rsid w:val="00F24F85"/>
    <w:rsid w:val="00F25294"/>
    <w:rsid w:val="00F257CB"/>
    <w:rsid w:val="00F25E02"/>
    <w:rsid w:val="00F262AF"/>
    <w:rsid w:val="00F26335"/>
    <w:rsid w:val="00F26381"/>
    <w:rsid w:val="00F2711A"/>
    <w:rsid w:val="00F272F1"/>
    <w:rsid w:val="00F2736C"/>
    <w:rsid w:val="00F301E7"/>
    <w:rsid w:val="00F3081B"/>
    <w:rsid w:val="00F31AB0"/>
    <w:rsid w:val="00F31FA4"/>
    <w:rsid w:val="00F32A84"/>
    <w:rsid w:val="00F332AB"/>
    <w:rsid w:val="00F334F8"/>
    <w:rsid w:val="00F3351D"/>
    <w:rsid w:val="00F33779"/>
    <w:rsid w:val="00F34F29"/>
    <w:rsid w:val="00F3517A"/>
    <w:rsid w:val="00F35715"/>
    <w:rsid w:val="00F35829"/>
    <w:rsid w:val="00F35984"/>
    <w:rsid w:val="00F36469"/>
    <w:rsid w:val="00F36F75"/>
    <w:rsid w:val="00F37493"/>
    <w:rsid w:val="00F37B1F"/>
    <w:rsid w:val="00F405CA"/>
    <w:rsid w:val="00F4145F"/>
    <w:rsid w:val="00F41A90"/>
    <w:rsid w:val="00F41E85"/>
    <w:rsid w:val="00F42B7B"/>
    <w:rsid w:val="00F42D6E"/>
    <w:rsid w:val="00F430E2"/>
    <w:rsid w:val="00F434D4"/>
    <w:rsid w:val="00F43707"/>
    <w:rsid w:val="00F44E11"/>
    <w:rsid w:val="00F45AB7"/>
    <w:rsid w:val="00F46AAC"/>
    <w:rsid w:val="00F474A6"/>
    <w:rsid w:val="00F477A7"/>
    <w:rsid w:val="00F477B3"/>
    <w:rsid w:val="00F506BE"/>
    <w:rsid w:val="00F507EA"/>
    <w:rsid w:val="00F50B07"/>
    <w:rsid w:val="00F50BFE"/>
    <w:rsid w:val="00F50C35"/>
    <w:rsid w:val="00F52163"/>
    <w:rsid w:val="00F526EF"/>
    <w:rsid w:val="00F52AA9"/>
    <w:rsid w:val="00F53F3C"/>
    <w:rsid w:val="00F54D91"/>
    <w:rsid w:val="00F55DE3"/>
    <w:rsid w:val="00F55EBC"/>
    <w:rsid w:val="00F60900"/>
    <w:rsid w:val="00F62F00"/>
    <w:rsid w:val="00F63CAF"/>
    <w:rsid w:val="00F63D9D"/>
    <w:rsid w:val="00F63F1E"/>
    <w:rsid w:val="00F63FE2"/>
    <w:rsid w:val="00F64134"/>
    <w:rsid w:val="00F66230"/>
    <w:rsid w:val="00F67D70"/>
    <w:rsid w:val="00F70B23"/>
    <w:rsid w:val="00F70F1B"/>
    <w:rsid w:val="00F71A49"/>
    <w:rsid w:val="00F71BAA"/>
    <w:rsid w:val="00F71FE3"/>
    <w:rsid w:val="00F72CAB"/>
    <w:rsid w:val="00F7342A"/>
    <w:rsid w:val="00F73CA7"/>
    <w:rsid w:val="00F75A45"/>
    <w:rsid w:val="00F7721B"/>
    <w:rsid w:val="00F802EE"/>
    <w:rsid w:val="00F80760"/>
    <w:rsid w:val="00F810CF"/>
    <w:rsid w:val="00F81A78"/>
    <w:rsid w:val="00F828F2"/>
    <w:rsid w:val="00F84FB1"/>
    <w:rsid w:val="00F86DBE"/>
    <w:rsid w:val="00F87D31"/>
    <w:rsid w:val="00F90618"/>
    <w:rsid w:val="00F907DB"/>
    <w:rsid w:val="00F9083C"/>
    <w:rsid w:val="00F91484"/>
    <w:rsid w:val="00F91567"/>
    <w:rsid w:val="00F924D4"/>
    <w:rsid w:val="00F92961"/>
    <w:rsid w:val="00F92D25"/>
    <w:rsid w:val="00F96A5D"/>
    <w:rsid w:val="00F96F59"/>
    <w:rsid w:val="00F97A89"/>
    <w:rsid w:val="00FA02A3"/>
    <w:rsid w:val="00FA0770"/>
    <w:rsid w:val="00FA11D5"/>
    <w:rsid w:val="00FA13F1"/>
    <w:rsid w:val="00FA18CA"/>
    <w:rsid w:val="00FA2875"/>
    <w:rsid w:val="00FA351F"/>
    <w:rsid w:val="00FA3A28"/>
    <w:rsid w:val="00FA3BFE"/>
    <w:rsid w:val="00FA3D78"/>
    <w:rsid w:val="00FA42A0"/>
    <w:rsid w:val="00FA4325"/>
    <w:rsid w:val="00FA4482"/>
    <w:rsid w:val="00FA5DFE"/>
    <w:rsid w:val="00FA66A0"/>
    <w:rsid w:val="00FA6D82"/>
    <w:rsid w:val="00FA7ABF"/>
    <w:rsid w:val="00FA7DAC"/>
    <w:rsid w:val="00FB03A0"/>
    <w:rsid w:val="00FB1DD1"/>
    <w:rsid w:val="00FB216B"/>
    <w:rsid w:val="00FB253F"/>
    <w:rsid w:val="00FB2E0C"/>
    <w:rsid w:val="00FB3014"/>
    <w:rsid w:val="00FB3F9C"/>
    <w:rsid w:val="00FB4154"/>
    <w:rsid w:val="00FB46FE"/>
    <w:rsid w:val="00FB5450"/>
    <w:rsid w:val="00FB56C8"/>
    <w:rsid w:val="00FB5D5A"/>
    <w:rsid w:val="00FB653E"/>
    <w:rsid w:val="00FB7459"/>
    <w:rsid w:val="00FB7B5D"/>
    <w:rsid w:val="00FC0129"/>
    <w:rsid w:val="00FC2143"/>
    <w:rsid w:val="00FC2CD6"/>
    <w:rsid w:val="00FC3045"/>
    <w:rsid w:val="00FC54A6"/>
    <w:rsid w:val="00FC5540"/>
    <w:rsid w:val="00FC5BB3"/>
    <w:rsid w:val="00FC6366"/>
    <w:rsid w:val="00FC65FE"/>
    <w:rsid w:val="00FC6A08"/>
    <w:rsid w:val="00FC6DCD"/>
    <w:rsid w:val="00FC782E"/>
    <w:rsid w:val="00FC78B2"/>
    <w:rsid w:val="00FD27D0"/>
    <w:rsid w:val="00FD2B4A"/>
    <w:rsid w:val="00FD32CC"/>
    <w:rsid w:val="00FD375F"/>
    <w:rsid w:val="00FD3B2B"/>
    <w:rsid w:val="00FD4B16"/>
    <w:rsid w:val="00FD4EA2"/>
    <w:rsid w:val="00FD5A2E"/>
    <w:rsid w:val="00FD678A"/>
    <w:rsid w:val="00FE0CE5"/>
    <w:rsid w:val="00FE1510"/>
    <w:rsid w:val="00FE1790"/>
    <w:rsid w:val="00FE2345"/>
    <w:rsid w:val="00FE35A2"/>
    <w:rsid w:val="00FE386C"/>
    <w:rsid w:val="00FE506E"/>
    <w:rsid w:val="00FE53C7"/>
    <w:rsid w:val="00FE57D2"/>
    <w:rsid w:val="00FE5C66"/>
    <w:rsid w:val="00FE5F94"/>
    <w:rsid w:val="00FE6123"/>
    <w:rsid w:val="00FE63A8"/>
    <w:rsid w:val="00FE6444"/>
    <w:rsid w:val="00FE67B0"/>
    <w:rsid w:val="00FF0091"/>
    <w:rsid w:val="00FF0903"/>
    <w:rsid w:val="00FF0A78"/>
    <w:rsid w:val="00FF160E"/>
    <w:rsid w:val="00FF20F5"/>
    <w:rsid w:val="00FF24C3"/>
    <w:rsid w:val="00FF3005"/>
    <w:rsid w:val="00FF3466"/>
    <w:rsid w:val="00FF3C6E"/>
    <w:rsid w:val="00FF3FA9"/>
    <w:rsid w:val="00FF5719"/>
    <w:rsid w:val="00FF5DDA"/>
    <w:rsid w:val="00FF5E39"/>
    <w:rsid w:val="00FF5FED"/>
    <w:rsid w:val="00FF6C1E"/>
    <w:rsid w:val="00FF74C6"/>
  </w:rsids>
  <w:docVars>
    <w:docVar w:name="KGWebUrl" w:val="http://idp.efunds.com.cn/api/v1/backend/docSyncController/downloadAnnFile.json?force=true&amp;fileName=61520211231159807%E6%98%93%E6%96%B9%E8%BE%BE%E4%B8%AD%E8%AF%81%E7%A7%91%E6%8A%8050%E4%BA%A4%E6%98%93%E5%9E%8B%E5%BC%80%E6%94%BE%E5%BC%8F%E6%8C%87%E6%95%B0%E8%AF%81%E5%88%B8%E6%8A%95%E8%B5%84%E5%9F%BA%E9%87%91%E6%9B%B4%E6%96%B0%E7%9A%84%E6%8B%9B%E5%8B%9F%E8%AF%B4%E6%98%8E%E4%B9%A6.docx&amp;fileId=ANN_DOC_10627&amp;t=1640345941729"/>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docId w15:val="{56A0347F-5F14-4130-92F0-B2F71679C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142"/>
    <w:pPr>
      <w:widowControl w:val="0"/>
      <w:jc w:val="both"/>
    </w:pPr>
    <w:rPr>
      <w:kern w:val="2"/>
      <w:sz w:val="21"/>
      <w:szCs w:val="24"/>
    </w:rPr>
  </w:style>
  <w:style w:type="paragraph" w:styleId="Heading1">
    <w:name w:val="heading 1"/>
    <w:aliases w:val="123321,H1,Heading 0,Heading 11,Level 1 Head,Level 1 Topic Heading,PIM 1,h1,level 1"/>
    <w:basedOn w:val="Normal"/>
    <w:next w:val="Normal"/>
    <w:qFormat/>
    <w:rsid w:val="00BA4B87"/>
    <w:pPr>
      <w:keepNext/>
      <w:spacing w:beforeLines="100" w:afterLines="100"/>
      <w:ind w:firstLine="200" w:firstLineChars="200"/>
      <w:jc w:val="center"/>
      <w:outlineLvl w:val="0"/>
    </w:pPr>
    <w:rPr>
      <w:rFonts w:ascii="黑体" w:eastAsia="黑体"/>
      <w:sz w:val="32"/>
      <w:szCs w:val="32"/>
    </w:rPr>
  </w:style>
  <w:style w:type="paragraph" w:styleId="Heading2">
    <w:name w:val="heading 2"/>
    <w:aliases w:val="2,2nd level,H2,Header 2,Heading 2 CCBS,Heading 2 Hidden,Level 2 Head,PIM2,h2,l2,proj2,proj21,proj210,proj211,proj212,proj22,proj221,proj23,proj231,proj24,proj241,proj25,proj251,proj26,proj261,proj27,proj271,proj28,proj281,proj29,标题 2 Char Char"/>
    <w:basedOn w:val="Normal"/>
    <w:next w:val="Normal"/>
    <w:qFormat/>
    <w:rsid w:val="00BA4B87"/>
    <w:pPr>
      <w:keepNext/>
      <w:keepLines/>
      <w:spacing w:beforeLines="100" w:afterLines="100"/>
      <w:ind w:firstLine="200" w:firstLineChars="200"/>
      <w:outlineLvl w:val="1"/>
    </w:pPr>
    <w:rPr>
      <w:rFonts w:ascii="Arial" w:hAnsi="Arial"/>
      <w:b/>
      <w:sz w:val="28"/>
      <w:szCs w:val="28"/>
    </w:rPr>
  </w:style>
  <w:style w:type="paragraph" w:styleId="Heading3">
    <w:name w:val="heading 3"/>
    <w:basedOn w:val="Normal"/>
    <w:next w:val="Normal"/>
    <w:qFormat/>
    <w:rsid w:val="00BA4B87"/>
    <w:pPr>
      <w:numPr>
        <w:ilvl w:val="2"/>
        <w:numId w:val="2"/>
      </w:numPr>
      <w:spacing w:before="260" w:after="260" w:line="416" w:lineRule="auto"/>
      <w:outlineLvl w:val="2"/>
    </w:pPr>
    <w:rPr>
      <w:rFonts w:ascii="仿宋_GB2312" w:eastAsia="仿宋_GB2312"/>
      <w:sz w:val="24"/>
      <w:szCs w:val="20"/>
    </w:rPr>
  </w:style>
  <w:style w:type="paragraph" w:styleId="Heading4">
    <w:name w:val="heading 4"/>
    <w:basedOn w:val="Normal"/>
    <w:next w:val="Normal"/>
    <w:qFormat/>
    <w:rsid w:val="00BA4B87"/>
    <w:pPr>
      <w:keepNext/>
      <w:keepLines/>
      <w:numPr>
        <w:ilvl w:val="3"/>
        <w:numId w:val="1"/>
      </w:numPr>
      <w:spacing w:before="280" w:after="290" w:line="376" w:lineRule="auto"/>
      <w:outlineLvl w:val="3"/>
    </w:pPr>
    <w:rPr>
      <w:rFonts w:ascii="Arial" w:eastAsia="黑体" w:hAnsi="Arial"/>
      <w:b/>
      <w:bCs/>
      <w:sz w:val="28"/>
      <w:szCs w:val="28"/>
    </w:rPr>
  </w:style>
  <w:style w:type="paragraph" w:styleId="Heading5">
    <w:name w:val="heading 5"/>
    <w:basedOn w:val="Normal"/>
    <w:next w:val="Normal"/>
    <w:qFormat/>
    <w:rsid w:val="00BA4B87"/>
    <w:pPr>
      <w:keepNext/>
      <w:keepLines/>
      <w:numPr>
        <w:ilvl w:val="4"/>
        <w:numId w:val="1"/>
      </w:numPr>
      <w:spacing w:before="280" w:after="290" w:line="376" w:lineRule="auto"/>
      <w:ind w:firstLine="200" w:firstLineChars="200"/>
      <w:outlineLvl w:val="4"/>
    </w:pPr>
    <w:rPr>
      <w:b/>
      <w:bCs/>
      <w:sz w:val="28"/>
      <w:szCs w:val="28"/>
    </w:rPr>
  </w:style>
  <w:style w:type="paragraph" w:styleId="Heading6">
    <w:name w:val="heading 6"/>
    <w:basedOn w:val="Normal"/>
    <w:next w:val="Normal"/>
    <w:qFormat/>
    <w:rsid w:val="00BA4B87"/>
    <w:pPr>
      <w:keepNext/>
      <w:keepLines/>
      <w:numPr>
        <w:ilvl w:val="5"/>
        <w:numId w:val="1"/>
      </w:numPr>
      <w:spacing w:before="240" w:after="64" w:line="320" w:lineRule="auto"/>
      <w:ind w:firstLine="200" w:firstLineChars="200"/>
      <w:outlineLvl w:val="5"/>
    </w:pPr>
    <w:rPr>
      <w:rFonts w:ascii="Arial" w:eastAsia="黑体" w:hAnsi="Arial"/>
      <w:b/>
      <w:bCs/>
      <w:sz w:val="24"/>
    </w:rPr>
  </w:style>
  <w:style w:type="paragraph" w:styleId="Heading7">
    <w:name w:val="heading 7"/>
    <w:basedOn w:val="Normal"/>
    <w:next w:val="Normal"/>
    <w:qFormat/>
    <w:rsid w:val="00BA4B87"/>
    <w:pPr>
      <w:keepNext/>
      <w:keepLines/>
      <w:numPr>
        <w:ilvl w:val="6"/>
        <w:numId w:val="1"/>
      </w:numPr>
      <w:spacing w:before="240" w:after="64" w:line="320" w:lineRule="auto"/>
      <w:ind w:firstLine="200" w:firstLineChars="200"/>
      <w:outlineLvl w:val="6"/>
    </w:pPr>
    <w:rPr>
      <w:b/>
      <w:bCs/>
      <w:sz w:val="24"/>
    </w:rPr>
  </w:style>
  <w:style w:type="paragraph" w:styleId="Heading8">
    <w:name w:val="heading 8"/>
    <w:basedOn w:val="Normal"/>
    <w:next w:val="Normal"/>
    <w:qFormat/>
    <w:rsid w:val="00BA4B87"/>
    <w:pPr>
      <w:keepNext/>
      <w:keepLines/>
      <w:numPr>
        <w:ilvl w:val="7"/>
        <w:numId w:val="1"/>
      </w:numPr>
      <w:spacing w:before="240" w:after="64" w:line="320" w:lineRule="auto"/>
      <w:ind w:firstLine="200" w:firstLineChars="200"/>
      <w:outlineLvl w:val="7"/>
    </w:pPr>
    <w:rPr>
      <w:rFonts w:ascii="Arial" w:eastAsia="黑体" w:hAnsi="Arial"/>
      <w:sz w:val="24"/>
    </w:rPr>
  </w:style>
  <w:style w:type="paragraph" w:styleId="Heading9">
    <w:name w:val="heading 9"/>
    <w:basedOn w:val="Normal"/>
    <w:next w:val="Normal"/>
    <w:qFormat/>
    <w:rsid w:val="00BA4B87"/>
    <w:pPr>
      <w:keepNext/>
      <w:keepLines/>
      <w:numPr>
        <w:ilvl w:val="8"/>
        <w:numId w:val="1"/>
      </w:numPr>
      <w:spacing w:before="240" w:after="64" w:line="320" w:lineRule="auto"/>
      <w:ind w:firstLine="200" w:firstLineChars="200"/>
      <w:outlineLvl w:val="8"/>
    </w:pPr>
    <w:rPr>
      <w:rFonts w:ascii="Arial" w:eastAsia="黑体" w:hAnsi="Arial"/>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A4B87"/>
    <w:pPr>
      <w:numPr>
        <w:ilvl w:val="1"/>
        <w:numId w:val="3"/>
      </w:numPr>
      <w:tabs>
        <w:tab w:val="num" w:pos="0"/>
      </w:tabs>
      <w:autoSpaceDE w:val="0"/>
      <w:autoSpaceDN w:val="0"/>
      <w:adjustRightInd w:val="0"/>
      <w:ind w:left="0" w:firstLine="540"/>
      <w:jc w:val="left"/>
    </w:pPr>
    <w:rPr>
      <w:rFonts w:ascii="宋体"/>
      <w:kern w:val="0"/>
      <w:sz w:val="24"/>
    </w:rPr>
  </w:style>
  <w:style w:type="paragraph" w:styleId="NormalIndent">
    <w:name w:val="Normal Indent"/>
    <w:basedOn w:val="Normal"/>
    <w:rsid w:val="00BA4B87"/>
    <w:pPr>
      <w:ind w:firstLine="420"/>
    </w:pPr>
    <w:rPr>
      <w:szCs w:val="20"/>
    </w:rPr>
  </w:style>
  <w:style w:type="character" w:styleId="Hyperlink">
    <w:name w:val="Hyperlink"/>
    <w:uiPriority w:val="99"/>
    <w:rsid w:val="00BA4B87"/>
    <w:rPr>
      <w:color w:val="0000FF"/>
      <w:u w:val="single"/>
    </w:rPr>
  </w:style>
  <w:style w:type="paragraph" w:styleId="TOC1">
    <w:name w:val="toc 1"/>
    <w:basedOn w:val="Normal"/>
    <w:next w:val="Normal"/>
    <w:autoRedefine/>
    <w:uiPriority w:val="39"/>
    <w:rsid w:val="00B52B85"/>
    <w:pPr>
      <w:tabs>
        <w:tab w:val="right" w:leader="dot" w:pos="8296"/>
      </w:tabs>
      <w:spacing w:line="360" w:lineRule="auto"/>
      <w:jc w:val="left"/>
    </w:pPr>
    <w:rPr>
      <w:rFonts w:ascii="宋体" w:eastAsia="黑体" w:hAnsi="宋体"/>
      <w:caps/>
      <w:noProof/>
      <w:color w:val="000000"/>
      <w:sz w:val="24"/>
      <w:szCs w:val="28"/>
    </w:rPr>
  </w:style>
  <w:style w:type="paragraph" w:styleId="TOC2">
    <w:name w:val="toc 2"/>
    <w:basedOn w:val="Normal"/>
    <w:next w:val="Normal"/>
    <w:autoRedefine/>
    <w:uiPriority w:val="39"/>
    <w:rsid w:val="00BA4B87"/>
    <w:pPr>
      <w:ind w:left="320" w:firstLine="200" w:firstLineChars="200"/>
      <w:jc w:val="left"/>
    </w:pPr>
    <w:rPr>
      <w:rFonts w:eastAsia="仿宋_GB2312"/>
      <w:smallCaps/>
      <w:szCs w:val="20"/>
    </w:rPr>
  </w:style>
  <w:style w:type="paragraph" w:customStyle="1" w:styleId="1">
    <w:name w:val="样式 标题 1 + 黑体 非加粗"/>
    <w:basedOn w:val="Heading1"/>
    <w:rsid w:val="00BA4B87"/>
    <w:pPr>
      <w:pageBreakBefore/>
    </w:pPr>
    <w:rPr>
      <w:rFonts w:hAnsi="黑体"/>
      <w:b/>
    </w:rPr>
  </w:style>
  <w:style w:type="paragraph" w:customStyle="1" w:styleId="111">
    <w:name w:val="样式 标题 1 + 段前: 1 行 段后: 1 行"/>
    <w:basedOn w:val="Heading1"/>
    <w:rsid w:val="00BA4B87"/>
    <w:pPr>
      <w:pageBreakBefore/>
    </w:pPr>
    <w:rPr>
      <w:szCs w:val="20"/>
    </w:rPr>
  </w:style>
  <w:style w:type="paragraph" w:styleId="PlainText">
    <w:name w:val="Plain Text"/>
    <w:basedOn w:val="Normal"/>
    <w:link w:val="Char3"/>
    <w:rsid w:val="00BA4B87"/>
    <w:pPr>
      <w:ind w:firstLine="200" w:firstLineChars="200"/>
    </w:pPr>
    <w:rPr>
      <w:rFonts w:ascii="宋体" w:hAnsi="Courier New"/>
      <w:sz w:val="24"/>
      <w:szCs w:val="21"/>
    </w:rPr>
  </w:style>
  <w:style w:type="paragraph" w:styleId="Header">
    <w:name w:val="header"/>
    <w:basedOn w:val="Normal"/>
    <w:link w:val="Char1"/>
    <w:uiPriority w:val="99"/>
    <w:rsid w:val="00BA4B87"/>
    <w:pPr>
      <w:pBdr>
        <w:bottom w:val="single" w:sz="6" w:space="1" w:color="auto"/>
      </w:pBdr>
      <w:tabs>
        <w:tab w:val="center" w:pos="4153"/>
        <w:tab w:val="right" w:pos="8306"/>
      </w:tabs>
      <w:snapToGrid w:val="0"/>
      <w:ind w:firstLine="200" w:firstLineChars="200"/>
      <w:jc w:val="center"/>
    </w:pPr>
    <w:rPr>
      <w:rFonts w:eastAsia="仿宋_GB2312"/>
      <w:sz w:val="18"/>
      <w:szCs w:val="20"/>
    </w:rPr>
  </w:style>
  <w:style w:type="character" w:styleId="PageNumber">
    <w:name w:val="page number"/>
    <w:basedOn w:val="DefaultParagraphFont"/>
    <w:rsid w:val="00BA4B87"/>
  </w:style>
  <w:style w:type="paragraph" w:styleId="Footer">
    <w:name w:val="footer"/>
    <w:basedOn w:val="Normal"/>
    <w:link w:val="Char2"/>
    <w:uiPriority w:val="99"/>
    <w:rsid w:val="00BA4B87"/>
    <w:pPr>
      <w:tabs>
        <w:tab w:val="center" w:pos="4153"/>
        <w:tab w:val="right" w:pos="8306"/>
      </w:tabs>
      <w:snapToGrid w:val="0"/>
      <w:ind w:firstLine="200" w:firstLineChars="200"/>
      <w:jc w:val="left"/>
    </w:pPr>
    <w:rPr>
      <w:rFonts w:eastAsia="仿宋_GB2312"/>
      <w:sz w:val="18"/>
      <w:szCs w:val="20"/>
    </w:rPr>
  </w:style>
  <w:style w:type="character" w:customStyle="1" w:styleId="da">
    <w:name w:val="da"/>
    <w:basedOn w:val="DefaultParagraphFont"/>
    <w:rsid w:val="00BA4B87"/>
  </w:style>
  <w:style w:type="paragraph" w:styleId="BalloonText">
    <w:name w:val="Balloon Text"/>
    <w:basedOn w:val="Normal"/>
    <w:semiHidden/>
    <w:rsid w:val="00BA4B87"/>
    <w:pPr>
      <w:ind w:firstLine="200" w:firstLineChars="200"/>
    </w:pPr>
    <w:rPr>
      <w:sz w:val="18"/>
      <w:szCs w:val="18"/>
    </w:rPr>
  </w:style>
  <w:style w:type="paragraph" w:styleId="BodyTextFirstIndent">
    <w:name w:val="Body Text First Indent"/>
    <w:basedOn w:val="BodyText"/>
    <w:link w:val="Char4"/>
    <w:rsid w:val="00BA4B87"/>
    <w:pPr>
      <w:numPr>
        <w:ilvl w:val="0"/>
        <w:numId w:val="0"/>
      </w:numPr>
      <w:tabs>
        <w:tab w:val="clear" w:pos="780"/>
      </w:tabs>
      <w:autoSpaceDE/>
      <w:autoSpaceDN/>
      <w:adjustRightInd/>
      <w:spacing w:after="120"/>
      <w:ind w:firstLine="420" w:firstLineChars="100"/>
      <w:jc w:val="both"/>
    </w:pPr>
    <w:rPr>
      <w:rFonts w:ascii="Times New Roman"/>
      <w:kern w:val="2"/>
      <w:sz w:val="21"/>
    </w:rPr>
  </w:style>
  <w:style w:type="character" w:styleId="CommentReference">
    <w:name w:val="annotation reference"/>
    <w:rsid w:val="00BA4B87"/>
    <w:rPr>
      <w:sz w:val="21"/>
      <w:szCs w:val="21"/>
    </w:rPr>
  </w:style>
  <w:style w:type="paragraph" w:styleId="CommentText">
    <w:name w:val="annotation text"/>
    <w:basedOn w:val="Normal"/>
    <w:link w:val="Char"/>
    <w:rsid w:val="00BA4B87"/>
    <w:pPr>
      <w:jc w:val="left"/>
    </w:pPr>
  </w:style>
  <w:style w:type="character" w:customStyle="1" w:styleId="Char">
    <w:name w:val="批注文字 Char"/>
    <w:link w:val="CommentText"/>
    <w:semiHidden/>
    <w:rsid w:val="00BA4B87"/>
    <w:rPr>
      <w:rFonts w:eastAsia="宋体"/>
      <w:kern w:val="2"/>
      <w:sz w:val="21"/>
      <w:szCs w:val="24"/>
      <w:lang w:val="en-US" w:eastAsia="zh-CN" w:bidi="ar-SA"/>
    </w:rPr>
  </w:style>
  <w:style w:type="character" w:styleId="Strong">
    <w:name w:val="Strong"/>
    <w:qFormat/>
    <w:rsid w:val="00BA4B87"/>
    <w:rPr>
      <w:b/>
      <w:bCs/>
    </w:rPr>
  </w:style>
  <w:style w:type="paragraph" w:styleId="CommentSubject">
    <w:name w:val="annotation subject"/>
    <w:basedOn w:val="CommentText"/>
    <w:next w:val="CommentText"/>
    <w:semiHidden/>
    <w:rsid w:val="009009C3"/>
    <w:rPr>
      <w:b/>
      <w:bCs/>
    </w:rPr>
  </w:style>
  <w:style w:type="paragraph" w:styleId="TOC3">
    <w:name w:val="toc 3"/>
    <w:basedOn w:val="Normal"/>
    <w:next w:val="Normal"/>
    <w:autoRedefine/>
    <w:uiPriority w:val="39"/>
    <w:rsid w:val="00972780"/>
    <w:pPr>
      <w:ind w:left="840" w:leftChars="400"/>
    </w:pPr>
  </w:style>
  <w:style w:type="paragraph" w:styleId="DocumentMap">
    <w:name w:val="Document Map"/>
    <w:basedOn w:val="Normal"/>
    <w:link w:val="Char0"/>
    <w:rsid w:val="00685D02"/>
    <w:rPr>
      <w:rFonts w:ascii="宋体"/>
      <w:sz w:val="18"/>
      <w:szCs w:val="18"/>
    </w:rPr>
  </w:style>
  <w:style w:type="character" w:customStyle="1" w:styleId="Char0">
    <w:name w:val="文档结构图 Char"/>
    <w:link w:val="DocumentMap"/>
    <w:rsid w:val="00685D02"/>
    <w:rPr>
      <w:rFonts w:ascii="宋体"/>
      <w:kern w:val="2"/>
      <w:sz w:val="18"/>
      <w:szCs w:val="18"/>
    </w:rPr>
  </w:style>
  <w:style w:type="paragraph" w:styleId="Revision">
    <w:name w:val="Revision"/>
    <w:hidden/>
    <w:uiPriority w:val="99"/>
    <w:semiHidden/>
    <w:rsid w:val="00E95125"/>
    <w:rPr>
      <w:kern w:val="2"/>
      <w:sz w:val="21"/>
      <w:szCs w:val="24"/>
    </w:rPr>
  </w:style>
  <w:style w:type="character" w:customStyle="1" w:styleId="Char1">
    <w:name w:val="页眉 Char"/>
    <w:link w:val="Header"/>
    <w:uiPriority w:val="99"/>
    <w:rsid w:val="00AE70B8"/>
    <w:rPr>
      <w:rFonts w:eastAsia="仿宋_GB2312"/>
      <w:kern w:val="2"/>
      <w:sz w:val="18"/>
    </w:rPr>
  </w:style>
  <w:style w:type="character" w:customStyle="1" w:styleId="Char2">
    <w:name w:val="页脚 Char"/>
    <w:link w:val="Footer"/>
    <w:uiPriority w:val="99"/>
    <w:rsid w:val="00AE70B8"/>
    <w:rPr>
      <w:rFonts w:eastAsia="仿宋_GB2312"/>
      <w:kern w:val="2"/>
      <w:sz w:val="18"/>
    </w:rPr>
  </w:style>
  <w:style w:type="character" w:styleId="FootnoteReference">
    <w:name w:val="footnote reference"/>
    <w:rsid w:val="00441AD4"/>
    <w:rPr>
      <w:vertAlign w:val="superscript"/>
    </w:rPr>
  </w:style>
  <w:style w:type="character" w:customStyle="1" w:styleId="Char3">
    <w:name w:val="纯文本 Char"/>
    <w:link w:val="PlainText"/>
    <w:locked/>
    <w:rsid w:val="00310E26"/>
    <w:rPr>
      <w:rFonts w:ascii="宋体" w:hAnsi="Courier New"/>
      <w:kern w:val="2"/>
      <w:sz w:val="24"/>
      <w:szCs w:val="21"/>
    </w:rPr>
  </w:style>
  <w:style w:type="character" w:customStyle="1" w:styleId="Char4">
    <w:name w:val="正文首行缩进 Char"/>
    <w:link w:val="BodyTextFirstIndent"/>
    <w:rsid w:val="00AE2909"/>
    <w:rPr>
      <w:kern w:val="2"/>
      <w:sz w:val="21"/>
      <w:szCs w:val="24"/>
    </w:rPr>
  </w:style>
  <w:style w:type="paragraph" w:styleId="BodyTextIndent">
    <w:name w:val="Body Text Indent"/>
    <w:basedOn w:val="Normal"/>
    <w:link w:val="Char5"/>
    <w:rsid w:val="00A85DF2"/>
    <w:pPr>
      <w:spacing w:after="120"/>
      <w:ind w:left="420" w:leftChars="200"/>
    </w:pPr>
  </w:style>
  <w:style w:type="character" w:customStyle="1" w:styleId="Char5">
    <w:name w:val="正文文本缩进 Char"/>
    <w:basedOn w:val="DefaultParagraphFont"/>
    <w:link w:val="BodyTextIndent"/>
    <w:rsid w:val="00A85DF2"/>
    <w:rPr>
      <w:kern w:val="2"/>
      <w:sz w:val="21"/>
      <w:szCs w:val="24"/>
    </w:rPr>
  </w:style>
  <w:style w:type="paragraph" w:styleId="BodyTextIndent3">
    <w:name w:val="Body Text Indent 3"/>
    <w:basedOn w:val="Normal"/>
    <w:link w:val="3Char"/>
    <w:rsid w:val="00A85DF2"/>
    <w:pPr>
      <w:spacing w:after="120"/>
      <w:ind w:left="420" w:leftChars="200"/>
    </w:pPr>
    <w:rPr>
      <w:sz w:val="16"/>
      <w:szCs w:val="16"/>
    </w:rPr>
  </w:style>
  <w:style w:type="character" w:customStyle="1" w:styleId="3Char">
    <w:name w:val="正文文本缩进 3 Char"/>
    <w:basedOn w:val="DefaultParagraphFont"/>
    <w:link w:val="BodyTextIndent3"/>
    <w:rsid w:val="00A85DF2"/>
    <w:rPr>
      <w:kern w:val="2"/>
      <w:sz w:val="16"/>
      <w:szCs w:val="16"/>
    </w:rPr>
  </w:style>
  <w:style w:type="paragraph" w:styleId="HTMLPreformatted">
    <w:name w:val="HTML Preformatted"/>
    <w:basedOn w:val="Normal"/>
    <w:link w:val="HTMLChar"/>
    <w:uiPriority w:val="99"/>
    <w:unhideWhenUsed/>
    <w:rsid w:val="00273F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basedOn w:val="DefaultParagraphFont"/>
    <w:link w:val="HTMLPreformatted"/>
    <w:uiPriority w:val="99"/>
    <w:rsid w:val="00273F73"/>
    <w:rPr>
      <w:rFonts w:ascii="宋体" w:hAnsi="宋体"/>
      <w:sz w:val="24"/>
      <w:szCs w:val="24"/>
    </w:rPr>
  </w:style>
  <w:style w:type="character" w:styleId="FollowedHyperlink">
    <w:name w:val="FollowedHyperlink"/>
    <w:basedOn w:val="DefaultParagraphFont"/>
    <w:semiHidden/>
    <w:unhideWhenUsed/>
    <w:rsid w:val="003A4C16"/>
    <w:rPr>
      <w:color w:val="800080" w:themeColor="followedHyperlink"/>
      <w:u w:val="single"/>
    </w:rPr>
  </w:style>
  <w:style w:type="table" w:styleId="TableGrid">
    <w:name w:val="Table Grid"/>
    <w:basedOn w:val="TableNormal"/>
    <w:qFormat/>
    <w:rsid w:val="00731D01"/>
    <w:pPr>
      <w:widowControl w:val="0"/>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7492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footer" Target="footer6.xml" /><Relationship Id="rId16" Type="http://schemas.openxmlformats.org/officeDocument/2006/relationships/footer" Target="footer7.xml" /><Relationship Id="rId17" Type="http://schemas.openxmlformats.org/officeDocument/2006/relationships/image" Target="media/image1.png" /><Relationship Id="rId18" Type="http://schemas.openxmlformats.org/officeDocument/2006/relationships/image" Target="media/image2.wmf" /><Relationship Id="rId19" Type="http://schemas.openxmlformats.org/officeDocument/2006/relationships/oleObject" Target="embeddings/oleObject1.bin" /><Relationship Id="rId2" Type="http://schemas.openxmlformats.org/officeDocument/2006/relationships/webSettings" Target="webSettings.xml" /><Relationship Id="rId20" Type="http://schemas.openxmlformats.org/officeDocument/2006/relationships/image" Target="media/image3.wmf" /><Relationship Id="rId21" Type="http://schemas.openxmlformats.org/officeDocument/2006/relationships/oleObject" Target="embeddings/oleObject2.bin" /><Relationship Id="rId22" Type="http://schemas.openxmlformats.org/officeDocument/2006/relationships/oleObject" Target="embeddings/oleObject3.bin" /><Relationship Id="rId23" Type="http://schemas.openxmlformats.org/officeDocument/2006/relationships/oleObject" Target="embeddings/oleObject4.bin" /><Relationship Id="rId24" Type="http://schemas.openxmlformats.org/officeDocument/2006/relationships/footer" Target="footer8.xml" /><Relationship Id="rId25" Type="http://schemas.openxmlformats.org/officeDocument/2006/relationships/theme" Target="theme/theme1.xml" /><Relationship Id="rId26" Type="http://schemas.openxmlformats.org/officeDocument/2006/relationships/numbering" Target="numbering.xml" /><Relationship Id="rId27"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BCC8AD-EA87-4981-BBFC-EA1394624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124</Pages>
  <Words>13848</Words>
  <Characters>78936</Characters>
  <Application>Microsoft Office Word</Application>
  <DocSecurity>0</DocSecurity>
  <Lines>657</Lines>
  <Paragraphs>185</Paragraphs>
  <ScaleCrop>false</ScaleCrop>
  <Company>E FUND</Company>
  <LinksUpToDate>false</LinksUpToDate>
  <CharactersWithSpaces>92599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黄燚</dc:creator>
  <cp:lastModifiedBy>张艺耀</cp:lastModifiedBy>
  <cp:revision>3</cp:revision>
  <cp:lastPrinted>2020-02-05T04:42:00Z</cp:lastPrinted>
  <dcterms:created xsi:type="dcterms:W3CDTF">2021-12-24T11:40:00Z</dcterms:created>
  <dcterms:modified xsi:type="dcterms:W3CDTF">2021-12-30T02:40:00Z</dcterms:modified>
</cp:coreProperties>
</file>