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易方达富华纯债债券型证券投资基金分红公告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7</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易方达富华纯债债券型证券投资基金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易方达富华纯债债券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000833</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28</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兴业银行股份有限公司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《公开募集证券投资基金信息披露管理办法》、《易方达富华纯债债券型证券投资基金基金合同》、《易方达富华纯债债券型证券投资基金更新的招募说明书》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3</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易方达富华纯债债券</w:t>
            </w:r>
            <w:r w:rsidRPr="0068321B">
              <w:rPr>
                <w:rFonts w:eastAsiaTheme="minorEastAsia"/>
                <w:sz w:val="24"/>
                <w:szCs w:val="24"/>
              </w:rPr>
              <w:t>C</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易方达富华纯债债券</w:t>
            </w:r>
            <w:r w:rsidRPr="0068321B">
              <w:rPr>
                <w:rFonts w:eastAsiaTheme="minorEastAsia"/>
                <w:sz w:val="24"/>
                <w:szCs w:val="24"/>
              </w:rPr>
              <w:t>A</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000833</w:t>
            </w:r>
          </w:p>
        </w:tc>
        <w:tc>
          <w:tcPr>
            <w:tcW w:w="2706" w:type="dxa"/>
          </w:tcPr>
          <w:p w:rsidR="00266A99" w:rsidRPr="0068321B" w:rsidP="0007182D">
            <w:pPr>
              <w:rPr>
                <w:rFonts w:eastAsiaTheme="minorEastAsia"/>
                <w:sz w:val="24"/>
                <w:szCs w:val="24"/>
              </w:rPr>
            </w:pPr>
            <w:r w:rsidRPr="0068321B">
              <w:rPr>
                <w:rFonts w:eastAsiaTheme="minorEastAsia"/>
                <w:sz w:val="24"/>
                <w:szCs w:val="24"/>
              </w:rPr>
              <w:t>005099</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1.0169</w:t>
            </w:r>
          </w:p>
        </w:tc>
        <w:tc>
          <w:tcPr>
            <w:tcW w:w="2706" w:type="dxa"/>
          </w:tcPr>
          <w:p w:rsidR="000C169A" w:rsidRPr="0068321B" w:rsidP="0007182D">
            <w:pPr>
              <w:rPr>
                <w:rFonts w:eastAsiaTheme="minorEastAsia"/>
                <w:sz w:val="24"/>
                <w:szCs w:val="24"/>
              </w:rPr>
            </w:pPr>
            <w:r w:rsidRPr="0068321B">
              <w:rPr>
                <w:rFonts w:eastAsiaTheme="minorEastAsia"/>
                <w:sz w:val="24"/>
                <w:szCs w:val="24"/>
              </w:rPr>
              <w:t>1.0179</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2,119,906.37</w:t>
            </w:r>
          </w:p>
        </w:tc>
        <w:tc>
          <w:tcPr>
            <w:tcW w:w="2706" w:type="dxa"/>
          </w:tcPr>
          <w:p w:rsidR="000C169A" w:rsidRPr="0068321B" w:rsidP="0007182D">
            <w:pPr>
              <w:rPr>
                <w:rFonts w:eastAsiaTheme="minorEastAsia"/>
                <w:sz w:val="24"/>
                <w:szCs w:val="24"/>
              </w:rPr>
            </w:pPr>
            <w:r w:rsidRPr="0068321B">
              <w:rPr>
                <w:rFonts w:eastAsiaTheme="minorEastAsia"/>
                <w:sz w:val="24"/>
                <w:szCs w:val="24"/>
              </w:rPr>
              <w:t>771,365.81</w:t>
            </w:r>
          </w:p>
        </w:tc>
      </w:tr>
      <w:tr>
        <w:tblPrEx>
          <w:tblW w:w="9606" w:type="dxa"/>
          <w:jc w:val="center"/>
          <w:tblLayout w:type="fixed"/>
          <w:tblLook w:val="0000"/>
        </w:tblPrEx>
        <w:trPr>
          <w:jc w:val="center"/>
        </w:trPr>
        <w:tc>
          <w:tcPr>
            <w:tcW w:w="1980" w:type="dxa"/>
            <w:vMerge/>
          </w:tcPr>
          <w:p w:rsidR="00181CB5"/>
        </w:tc>
        <w:tc>
          <w:tcPr>
            <w:tcW w:w="2214" w:type="dxa"/>
            <w:vAlign w:val="center"/>
          </w:tcPr>
          <w:p w:rsidR="00181CB5">
            <w:pPr>
              <w:jc w:val="center"/>
            </w:pPr>
            <w:r>
              <w:rPr>
                <w:rFonts w:eastAsiaTheme="minorEastAsia"/>
                <w:sz w:val="24"/>
                <w:szCs w:val="24"/>
              </w:rPr>
              <w:t>截止基准日按照基金合同约定的分红比例计算的应分配金额（单位：元）</w:t>
            </w:r>
          </w:p>
        </w:tc>
        <w:tc>
          <w:tcPr>
            <w:tcW w:w="2706" w:type="dxa"/>
            <w:vAlign w:val="center"/>
          </w:tcPr>
          <w:p w:rsidR="00181CB5">
            <w:pPr>
              <w:jc w:val="left"/>
            </w:pPr>
            <w:r>
              <w:rPr>
                <w:rFonts w:eastAsiaTheme="minorEastAsia"/>
                <w:sz w:val="24"/>
                <w:szCs w:val="24"/>
              </w:rPr>
              <w:t>1,907,915.74</w:t>
            </w:r>
          </w:p>
        </w:tc>
        <w:tc>
          <w:tcPr>
            <w:tcW w:w="2706" w:type="dxa"/>
            <w:vAlign w:val="center"/>
          </w:tcPr>
          <w:p w:rsidR="00181CB5">
            <w:pPr>
              <w:jc w:val="left"/>
            </w:pPr>
            <w:r>
              <w:rPr>
                <w:rFonts w:eastAsiaTheme="minorEastAsia"/>
                <w:sz w:val="24"/>
                <w:szCs w:val="24"/>
              </w:rPr>
              <w:t>694,229.23</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0.10</w:t>
            </w:r>
          </w:p>
        </w:tc>
        <w:tc>
          <w:tcPr>
            <w:tcW w:w="2706" w:type="dxa"/>
          </w:tcPr>
          <w:p w:rsidR="00266A99" w:rsidRPr="0068321B" w:rsidP="0007182D">
            <w:pPr>
              <w:rPr>
                <w:rFonts w:eastAsiaTheme="minorEastAsia"/>
                <w:sz w:val="24"/>
                <w:szCs w:val="24"/>
              </w:rPr>
            </w:pPr>
            <w:r w:rsidRPr="0068321B">
              <w:rPr>
                <w:rFonts w:eastAsiaTheme="minorEastAsia"/>
                <w:sz w:val="24"/>
                <w:szCs w:val="24"/>
              </w:rPr>
              <w:t>0.10</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注：根据《易方达富华纯债债券型证券投资基金基金合同》规定，在符合有关基金分红条件的前提下，基金合同生效满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个月后，若基金在每季度最后一个工作日收盘后每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w:t>
            </w:r>
          </w:p>
        </w:tc>
      </w:tr>
      <w:tr w:rsidTr="00084E80">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07182D">
            <w:pPr>
              <w:rPr>
                <w:rFonts w:eastAsiaTheme="minorEastAsia" w:hint="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00084E80">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10</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181CB5">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181CB5">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181CB5">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181CB5">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了解相关情况。投资者也可以前往本基金有关销售机构进行咨询。本基金的销售机构详见本基金更新的招募说明书或相关公告。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7</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4E80"/>
    <w:rsid w:val="00085F5C"/>
    <w:rsid w:val="0009778C"/>
    <w:rsid w:val="000A19B2"/>
    <w:rsid w:val="000C169A"/>
    <w:rsid w:val="000C39F6"/>
    <w:rsid w:val="000D6418"/>
    <w:rsid w:val="00111BD0"/>
    <w:rsid w:val="00135CA1"/>
    <w:rsid w:val="0016074B"/>
    <w:rsid w:val="00160D71"/>
    <w:rsid w:val="00172E10"/>
    <w:rsid w:val="00181CB5"/>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40CC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236</Words>
  <Characters>1346</Characters>
  <Application>Microsoft Office Word</Application>
  <DocSecurity>0</DocSecurity>
  <Lines>11</Lines>
  <Paragraphs>3</Paragraphs>
  <ScaleCrop>false</ScaleCrop>
  <Company>微软中国</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陈黄庆</cp:lastModifiedBy>
  <cp:revision>40</cp:revision>
  <dcterms:created xsi:type="dcterms:W3CDTF">2013-07-29T02:29:00Z</dcterms:created>
  <dcterms:modified xsi:type="dcterms:W3CDTF">2022-01-05T01:56:00Z</dcterms:modified>
</cp:coreProperties>
</file>