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博时平衡配置混合型证券投资基金分红公告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2022年1月8日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博时平衡配置混合型证券投资基金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博时平衡配置混合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2006年5月31日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《中华人民共和国证券投资基金法》、《公开募集证券投资基金运作管理办法》、《博时平衡配置混合型证券投资基金基金合同》、《博时平衡配置混合型证券投资基金招募说明书》等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2021年度的第1次分红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宋体" w:hAnsi="宋体" w:eastAsia="宋体"/>
              </w:rPr>
            </w:pPr>
            <w:r>
              <w:rPr>
                <w:rFonts w:hint="eastAsia" w:ascii="宋体" w:hAnsi="宋体" w:eastAsia="宋体"/>
              </w:rPr>
              <w:t>截止收益分配基准日的相关指标</w:t>
            </w:r>
          </w:p>
        </w:tc>
        <w:tc>
          <w:tcPr>
            <w:tcW w:w="2841" w:type="dxa"/>
            <w:vAlign w:val="center"/>
          </w:tcPr>
          <w:p>
            <w:pPr>
              <w:rPr>
                <w:rFonts w:ascii="宋体" w:hAnsi="宋体" w:eastAsia="宋体"/>
              </w:rPr>
            </w:pPr>
            <w:r>
              <w:rPr>
                <w:rFonts w:hint="eastAsia" w:ascii="宋体" w:hAnsi="宋体" w:eastAsia="宋体"/>
              </w:rPr>
              <w:t>基准日基金份额净值（单位：元）</w:t>
            </w:r>
          </w:p>
        </w:tc>
        <w:tc>
          <w:tcPr>
            <w:tcW w:w="2841" w:type="dxa"/>
            <w:vAlign w:val="center"/>
          </w:tcPr>
          <w:p>
            <w:pPr>
              <w:rPr>
                <w:rFonts w:ascii="宋体" w:hAnsi="宋体" w:eastAsia="宋体"/>
              </w:rPr>
            </w:pPr>
            <w:r>
              <w:rPr>
                <w:rFonts w:ascii="宋体" w:hAnsi="宋体" w:eastAsia="宋体"/>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tc>
        <w:tc>
          <w:tcPr>
            <w:tcW w:w="2841" w:type="dxa"/>
            <w:vAlign w:val="center"/>
          </w:tcPr>
          <w:p>
            <w:pPr>
              <w:rPr>
                <w:rFonts w:ascii="宋体" w:hAnsi="宋体" w:eastAsia="宋体"/>
              </w:rPr>
            </w:pPr>
            <w:r>
              <w:rPr>
                <w:rFonts w:hint="eastAsia" w:ascii="宋体" w:hAnsi="宋体" w:eastAsia="宋体"/>
              </w:rPr>
              <w:t>基准日基金可供分配利润（单位：元）</w:t>
            </w:r>
          </w:p>
        </w:tc>
        <w:tc>
          <w:tcPr>
            <w:tcW w:w="2841" w:type="dxa"/>
            <w:vAlign w:val="center"/>
          </w:tcPr>
          <w:p>
            <w:pPr>
              <w:rPr>
                <w:rFonts w:ascii="宋体" w:hAnsi="宋体" w:eastAsia="宋体"/>
              </w:rPr>
            </w:pPr>
            <w:r>
              <w:rPr>
                <w:rFonts w:ascii="宋体" w:hAnsi="宋体" w:eastAsia="宋体"/>
              </w:rPr>
              <w:t>74,410,130.57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tc>
        <w:tc>
          <w:tcPr>
            <w:tcW w:w="2841"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ascii="宋体" w:hAnsi="宋体" w:eastAsia="宋体"/>
              </w:rPr>
            </w:pPr>
            <w:r>
              <w:rPr>
                <w:rFonts w:ascii="宋体" w:hAnsi="宋体" w:eastAsia="宋体"/>
              </w:rPr>
              <w:t>44,646,078.35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本次分红方案（单位：元</w:t>
            </w:r>
            <w:r>
              <w:rPr>
                <w:rFonts w:ascii="宋体" w:hAnsi="宋体" w:eastAsia="宋体"/>
              </w:rPr>
              <w:t>/10份基金份额）</w:t>
            </w:r>
          </w:p>
        </w:tc>
        <w:tc>
          <w:tcPr>
            <w:tcW w:w="5682" w:type="dxa"/>
            <w:gridSpan w:val="2"/>
            <w:vAlign w:val="center"/>
          </w:tcPr>
          <w:p>
            <w:pPr>
              <w:rPr>
                <w:rFonts w:ascii="宋体" w:hAnsi="宋体" w:eastAsia="宋体"/>
              </w:rPr>
            </w:pPr>
            <w:r>
              <w:rPr>
                <w:rFonts w:ascii="宋体" w:hAnsi="宋体" w:eastAsia="宋体"/>
              </w:rPr>
              <w:t>1.230</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 本基金每10份基金份额发放红利1.230元人民币 。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权益登记日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除息日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现金红利发放日</w:t>
            </w:r>
          </w:p>
        </w:tc>
        <w:tc>
          <w:tcPr>
            <w:tcW w:w="5682" w:type="dxa"/>
            <w:vAlign w:val="center"/>
          </w:tcPr>
          <w:p>
            <w:pPr>
              <w:rPr>
                <w:rFonts w:ascii="宋体" w:hAnsi="宋体" w:eastAsia="宋体"/>
              </w:rPr>
            </w:pPr>
            <w:r>
              <w:rPr>
                <w:rFonts w:ascii="宋体" w:hAnsi="宋体" w:eastAsia="宋体"/>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分红对象</w:t>
            </w:r>
          </w:p>
        </w:tc>
        <w:tc>
          <w:tcPr>
            <w:tcW w:w="5682" w:type="dxa"/>
            <w:vAlign w:val="center"/>
          </w:tcPr>
          <w:p>
            <w:pPr>
              <w:rPr>
                <w:rFonts w:ascii="宋体" w:hAnsi="宋体" w:eastAsia="宋体"/>
              </w:rPr>
            </w:pPr>
            <w:r>
              <w:rPr>
                <w:rFonts w:hint="eastAsia" w:ascii="宋体" w:hAnsi="宋体" w:eastAsia="宋体"/>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红利再投资相关事项的说明</w:t>
            </w:r>
          </w:p>
        </w:tc>
        <w:tc>
          <w:tcPr>
            <w:tcW w:w="5682" w:type="dxa"/>
            <w:vAlign w:val="center"/>
          </w:tcPr>
          <w:p>
            <w:pPr>
              <w:rPr>
                <w:rFonts w:ascii="宋体" w:hAnsi="宋体" w:eastAsia="宋体"/>
              </w:rPr>
            </w:pPr>
            <w:r>
              <w:rPr>
                <w:rFonts w:hint="eastAsia" w:ascii="宋体" w:hAnsi="宋体" w:eastAsia="宋体"/>
              </w:rPr>
              <w:t>选择红利再投资方式的投资者所转换的基金份额将以</w:t>
            </w:r>
            <w:r>
              <w:rPr>
                <w:rFonts w:ascii="宋体" w:hAnsi="宋体" w:eastAsia="宋体"/>
              </w:rPr>
              <w:t>2022年1月11日的基金份额净值为计算基准确定再投资份额，红利再投资所转换的基金份额于2022年1月12日直接划入其基金账户，2022年1月13日起投资者可以查询、赎回。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税收相关事项的说明</w:t>
            </w:r>
          </w:p>
        </w:tc>
        <w:tc>
          <w:tcPr>
            <w:tcW w:w="5682" w:type="dxa"/>
            <w:vAlign w:val="center"/>
          </w:tcPr>
          <w:p>
            <w:pPr>
              <w:rPr>
                <w:rFonts w:ascii="宋体" w:hAnsi="宋体" w:eastAsia="宋体"/>
              </w:rPr>
            </w:pPr>
            <w:r>
              <w:rPr>
                <w:rFonts w:hint="eastAsia" w:ascii="宋体" w:hAnsi="宋体" w:eastAsia="宋体"/>
              </w:rPr>
              <w:t>根据财政部、国家税务总局的财税</w:t>
            </w:r>
            <w:r>
              <w:rPr>
                <w:rFonts w:ascii="宋体" w:hAnsi="宋体" w:eastAsia="宋体"/>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费用相关事项的说明</w:t>
            </w:r>
          </w:p>
        </w:tc>
        <w:tc>
          <w:tcPr>
            <w:tcW w:w="5682" w:type="dxa"/>
            <w:vAlign w:val="center"/>
          </w:tcPr>
          <w:p>
            <w:pPr>
              <w:rPr>
                <w:rFonts w:ascii="宋体" w:hAnsi="宋体" w:eastAsia="宋体"/>
              </w:rPr>
            </w:pPr>
            <w:r>
              <w:rPr>
                <w:rFonts w:hint="eastAsia" w:ascii="宋体" w:hAnsi="宋体" w:eastAsia="宋体"/>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1月11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（4）若投资者选择红利再投资方式并在2022年1月11日申请赎回基金份额的，其账户余额（包括红利再投资份额）低于10份时，本基金将自动计算其分红收益，并与赎回款一起以现金形式支付。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3F"/>
    <w:rsid w:val="00437085"/>
    <w:rsid w:val="005B2A3F"/>
    <w:rsid w:val="0E231364"/>
    <w:rsid w:val="18915B58"/>
    <w:rsid w:val="4F9D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231</Words>
  <Characters>1321</Characters>
  <Lines>11</Lines>
  <Paragraphs>3</Paragraphs>
  <TotalTime>14</TotalTime>
  <ScaleCrop>false</ScaleCrop>
  <LinksUpToDate>false</LinksUpToDate>
  <CharactersWithSpaces>1549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2022-01-07T00:56:00Z</dcterms:created>
  <dc:creator>BSKMadminDev</dc:creator>
  <cp:lastModifiedBy>fuxj</cp:lastModifiedBy>
  <dcterms:modified xsi:type="dcterms:W3CDTF">2022-01-07T01:36:45Z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92D5701EEBA94C2988F22333A414D398</vt:lpwstr>
  </property>
</Properties>
</file>