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gbicc="http://www.gbicc.net" mc:Ignorable="w14 wp14">
  <w:body>
    <w:p w14:paraId="19A12D86" w14:textId="77777777" w:rsidR="000612DA" w:rsidRDefault="00EE0C11">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国泰价值优选灵活配置混合型证券投资基金（LOF）基金产品资料概要更新</w:t>
      </w:r>
    </w:p>
    <w:p w14:paraId="575C3B9B" w14:textId="77777777" w:rsidR="000612DA" w:rsidRDefault="00EE0C11">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Pr>
          <w:rFonts w:ascii="方正仿宋简体" w:eastAsia="方正仿宋简体" w:hAnsi="方正仿宋简体" w:cs="方正仿宋简体" w:hint="eastAsia"/>
          <w:iCs/>
          <w:sz w:val="24"/>
          <w:szCs w:val="24"/>
        </w:rPr>
        <w:t>2022年1月7日</w:t>
      </w:r>
    </w:p>
    <w:p w14:paraId="08677F8E" w14:textId="77777777" w:rsidR="000612DA" w:rsidRDefault="00EE0C11">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Pr>
          <w:rFonts w:ascii="方正仿宋简体" w:eastAsia="方正仿宋简体" w:hAnsi="方正仿宋简体" w:cs="方正仿宋简体" w:hint="eastAsia"/>
          <w:iCs/>
          <w:sz w:val="24"/>
          <w:szCs w:val="24"/>
        </w:rPr>
        <w:t>2022年1月10日</w:t>
      </w:r>
    </w:p>
    <w:p w14:paraId="059520B0" w14:textId="77777777" w:rsidR="000612DA" w:rsidRDefault="00EE0C11">
      <w:pPr>
        <w:autoSpaceDE w:val="0"/>
        <w:autoSpaceDN w:val="0"/>
        <w:adjustRightInd w:val="0"/>
        <w:spacing w:line="380" w:lineRule="exact"/>
        <w:jc w:val="left"/>
        <w:rPr>
          <w:rFonts w:ascii="方正黑体简体" w:eastAsia="方正黑体简体" w:cs="黑体"/>
          <w:kern w:val="0"/>
          <w:sz w:val="32"/>
          <w:szCs w:val="32"/>
        </w:rPr>
      </w:pPr>
      <w:r>
        <w:rPr>
          <w:rFonts w:ascii="方正黑体简体" w:eastAsia="方正黑体简体" w:cs="黑体" w:hint="eastAsia"/>
          <w:kern w:val="0"/>
          <w:sz w:val="32"/>
          <w:szCs w:val="32"/>
        </w:rPr>
        <w:t>本概要提供本基金的重要信息，是招募说明书的一部分。</w:t>
      </w:r>
    </w:p>
    <w:p w14:paraId="4513B8F5" w14:textId="77777777" w:rsidR="000612DA" w:rsidRDefault="00EE0C11">
      <w:pPr>
        <w:autoSpaceDE w:val="0"/>
        <w:autoSpaceDN w:val="0"/>
        <w:adjustRightInd w:val="0"/>
        <w:spacing w:line="380" w:lineRule="exact"/>
        <w:jc w:val="left"/>
        <w:rPr>
          <w:rFonts w:ascii="方正黑体简体" w:eastAsia="方正黑体简体" w:cs="黑体"/>
          <w:kern w:val="0"/>
          <w:sz w:val="32"/>
          <w:szCs w:val="32"/>
        </w:rPr>
      </w:pPr>
      <w:proofErr w:type="gramStart"/>
      <w:r>
        <w:rPr>
          <w:rFonts w:ascii="方正黑体简体" w:eastAsia="方正黑体简体" w:cs="黑体" w:hint="eastAsia"/>
          <w:kern w:val="0"/>
          <w:sz w:val="32"/>
          <w:szCs w:val="32"/>
        </w:rPr>
        <w:t>作出</w:t>
      </w:r>
      <w:proofErr w:type="gramEnd"/>
      <w:r>
        <w:rPr>
          <w:rFonts w:ascii="方正黑体简体" w:eastAsia="方正黑体简体" w:cs="黑体" w:hint="eastAsia"/>
          <w:kern w:val="0"/>
          <w:sz w:val="32"/>
          <w:szCs w:val="32"/>
        </w:rPr>
        <w:t>投资决定前，请阅读完整的招募说明书等销售文件。</w:t>
      </w:r>
    </w:p>
    <w:p w14:paraId="20AB719D" w14:textId="77777777" w:rsidR="000612DA" w:rsidRDefault="00EE0C11">
      <w:pPr gbicc:listString="一、" gbicc:numText="%1、" gbicc:numFmt="C" gbicc:numVal="1"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init-cell-address="true">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1952"/>
        <w:gridCol w:w="2408"/>
        <w:gridCol w:w="1703"/>
        <w:gridCol w:w="2459"/>
      </w:tblGrid>
      <w:tr w:rsidR="000612DA" w14:paraId="0B240CF6" w14:textId="77777777" w:rsidTr="00584DC5">
        <w:trPr>
          <w:trHeight w:val="454"/>
        </w:trPr>
        <w:tc>
          <w:tcPr>
            <w:tcW w:w="1145" w:type="pct"/>
            <w:vMerge w:val="restart"/>
            <w:vAlign w:val="center"/>
          </w:tcPr>
          <w:p w14:paraId="6C324902" w14:textId="77777777" w:rsidR="000612DA" w:rsidRDefault="00EE0C11" w:rsidP="00584DC5">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6027BBAC" w14:textId="77777777" w:rsidR="000612DA" w:rsidRDefault="00EE0C11" w:rsidP="00584DC5">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国泰价值优选灵活配置混合（LOF）</w:t>
            </w:r>
          </w:p>
        </w:tc>
        <w:tc>
          <w:tcPr>
            <w:tcW w:w="999" w:type="pct"/>
            <w:vMerge w:val="restart"/>
            <w:vAlign w:val="center"/>
          </w:tcPr>
          <w:p w14:paraId="6F57AFB1"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1FBFCF5" w14:textId="77777777" w:rsidR="000612DA" w:rsidRDefault="00131C81">
            <w:pPr>
              <w:spacing w:line="280" w:lineRule="exact"/>
              <w:rPr>
                <w:rFonts w:ascii="方正仿宋简体" w:eastAsia="方正仿宋简体" w:hAnsiTheme="minorEastAsia" w:cs="方正仿宋简体"/>
                <w:iCs/>
              </w:rPr>
            </w:pPr>
            <w:r w:rsidR="00EE0C11">
              <w:rPr>
                <w:rFonts w:ascii="方正仿宋简体" w:eastAsia="方正仿宋简体" w:hAnsiTheme="minorEastAsia" w:cs="方正仿宋简体" w:hint="eastAsia"/>
                <w:iCs/>
              </w:rPr>
              <w:t>501064</w:t>
            </w:r>
          </w:p>
        </w:tc>
      </w:tr>
      <w:tr w:rsidR="000612DA" w14:paraId="3B2CA307" w14:textId="77777777" w:rsidTr="005F360D">
        <w:trPr>
          <w:trHeight w:val="454"/>
        </w:trPr>
        <w:tc>
          <w:tcPr>
            <w:tcW w:w="1145" w:type="pct"/>
            <w:vAlign w:val="center"/>
          </w:tcPr>
          <w:p w14:paraId="4F6EC251"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67218A25"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国泰基金管理有限公司</w:t>
            </w:r>
          </w:p>
        </w:tc>
        <w:tc>
          <w:tcPr>
            <w:tcW w:w="999" w:type="pct"/>
            <w:vAlign w:val="center"/>
          </w:tcPr>
          <w:p w14:paraId="0CBD9CCA"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134A1B6" w14:textId="77777777" w:rsidR="000612DA" w:rsidRDefault="00131C81">
            <w:pPr>
              <w:spacing w:line="280" w:lineRule="exact"/>
              <w:rPr>
                <w:rFonts w:ascii="方正仿宋简体" w:eastAsia="方正仿宋简体" w:hAnsiTheme="minorEastAsia" w:cs="方正仿宋简体"/>
                <w:iCs/>
              </w:rPr>
            </w:pPr>
            <w:r w:rsidR="00EE0C11">
              <w:rPr>
                <w:rFonts w:ascii="方正仿宋简体" w:eastAsia="方正仿宋简体" w:hAnsiTheme="minorEastAsia" w:cs="方正仿宋简体" w:hint="eastAsia"/>
                <w:iCs/>
              </w:rPr>
              <w:t>招商银行股份有限公司</w:t>
            </w:r>
            <w:r w:rsidR="00EE0C11">
              <w:rPr>
                <w:rFonts w:ascii="方正仿宋简体" w:eastAsia="方正仿宋简体" w:hAnsiTheme="minorEastAsia" w:cs="方正仿宋简体" w:hint="eastAsia"/>
                <w:iCs/>
              </w:rPr>
              <w:t xml:space="preserve"> </w:t>
            </w:r>
          </w:p>
        </w:tc>
      </w:tr>
      <w:tr w:rsidR="000612DA" w14:paraId="7E8A0EDD" w14:textId="77777777" w:rsidTr="005F360D">
        <w:trPr>
          <w:trHeight w:val="454"/>
        </w:trPr>
        <w:tc>
          <w:tcPr>
            <w:tcW w:w="1145" w:type="pct"/>
            <w:vMerge w:val="restart"/>
            <w:vAlign w:val="center"/>
          </w:tcPr>
          <w:p w14:paraId="3B19E835"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6BEE02C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2019-01-10</w:t>
            </w:r>
          </w:p>
        </w:tc>
        <w:tc>
          <w:tcPr>
            <w:tcW w:w="999" w:type="pct"/>
            <w:vMerge w:val="restart"/>
            <w:vAlign w:val="center"/>
          </w:tcPr>
          <w:p w14:paraId="24ECAD9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上市交易所及上市日期</w:t>
            </w:r>
          </w:p>
        </w:tc>
        <w:tc>
          <w:tcPr>
            <w:tcW w:w="1443" w:type="pct"/>
            <w:tcBorders>
              <w:top w:val="dashSmallGap" w:sz="4" w:space="0" w:color="A6A6A6" w:themeColor="background1" w:themeShade="A6"/>
              <w:bottom w:val="nil"/>
            </w:tcBorders>
            <w:vAlign w:val="center"/>
          </w:tcPr>
          <w:p w14:paraId="26CC168E" w14:textId="77777777" w:rsidR="000612DA" w:rsidRDefault="00131C81" w:rsidP="00666EDA">
            <w:pPr>
              <w:spacing w:line="280" w:lineRule="exact"/>
              <w:jc w:val="left"/>
              <w:rPr>
                <w:rFonts w:ascii="方正仿宋简体" w:eastAsia="方正仿宋简体" w:hAnsiTheme="minorEastAsia" w:cs="方正仿宋简体"/>
                <w:iCs/>
              </w:rPr>
            </w:pPr>
            <w:r w:rsidR="00EE0C11">
              <w:rPr>
                <w:rFonts w:ascii="方正仿宋简体" w:eastAsia="方正仿宋简体" w:hAnsiTheme="minorEastAsia" w:cs="方正仿宋简体" w:hint="eastAsia"/>
                <w:iCs/>
              </w:rPr>
              <w:t>上海证券交易所</w:t>
            </w:r>
            <w:r w:rsidR="00EE0C11">
              <w:rPr>
                <w:rFonts w:ascii="方正仿宋简体" w:eastAsia="方正仿宋简体" w:hAnsiTheme="minorEastAsia" w:cs="方正仿宋简体" w:hint="eastAsia"/>
                <w:iCs/>
              </w:rPr>
              <w:t xml:space="preserve"> </w:t>
            </w:r>
            <w:r w:rsidR="00EE0C11">
              <w:rPr>
                <w:rFonts w:ascii="方正仿宋简体" w:eastAsia="方正仿宋简体" w:hAnsiTheme="minorEastAsia" w:cs="方正仿宋简体" w:hint="eastAsia"/>
                <w:iCs/>
              </w:rPr>
              <w:t>2019-05-16</w:t>
            </w:r>
          </w:p>
        </w:tc>
      </w:tr>
      <w:tr w:rsidR="000612DA" w14:paraId="252877E3" w14:textId="77777777" w:rsidTr="005F360D">
        <w:trPr>
          <w:trHeight w:val="454"/>
        </w:trPr>
        <w:tc>
          <w:tcPr>
            <w:tcW w:w="1145" w:type="pct"/>
            <w:vAlign w:val="center"/>
          </w:tcPr>
          <w:p w14:paraId="42CCBFD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43E858B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439F8A58"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5A8B181A" w14:textId="77777777" w:rsidR="000612DA" w:rsidRDefault="00131C81">
            <w:pPr>
              <w:spacing w:line="280" w:lineRule="exact"/>
              <w:rPr>
                <w:rFonts w:ascii="方正仿宋简体" w:eastAsia="方正仿宋简体" w:hAnsiTheme="minorEastAsia" w:cs="方正仿宋简体"/>
                <w:iCs/>
              </w:rPr>
            </w:pPr>
            <w:r w:rsidR="00EE0C11">
              <w:rPr>
                <w:rFonts w:ascii="方正仿宋简体" w:eastAsia="方正仿宋简体" w:hAnsiTheme="minorEastAsia" w:cs="方正仿宋简体" w:hint="eastAsia"/>
                <w:iCs/>
              </w:rPr>
              <w:t>人民币</w:t>
            </w:r>
            <w:r w:rsidR="00EE0C11">
              <w:rPr>
                <w:rFonts w:hint="eastAsia"/>
                <w:color w:val="333399"/>
              </w:rPr>
              <w:t/>
            </w:r>
            <w:r w:rsidR="00EE0C11">
              <w:rPr>
                <w:rFonts w:hint="eastAsia"/>
                <w:color w:val="333399"/>
              </w:rPr>
              <w:t/>
            </w:r>
            <w:r w:rsidR="00EE0C11">
              <w:rPr>
                <w:rFonts w:hint="eastAsia"/>
                <w:color w:val="333399"/>
              </w:rPr>
              <w:t/>
            </w:r>
            <w:r w:rsidR="00EE0C11">
              <w:rPr>
                <w:rFonts w:hint="eastAsia"/>
                <w:color w:val="333399"/>
              </w:rPr>
              <w:t/>
            </w:r>
          </w:p>
        </w:tc>
      </w:tr>
      <w:tr w:rsidR="000612DA" w14:paraId="5B3C16D6" w14:textId="77777777" w:rsidTr="005F360D">
        <w:trPr>
          <w:trHeight w:val="454"/>
        </w:trPr>
        <w:tc>
          <w:tcPr>
            <w:tcW w:w="1145" w:type="pct"/>
            <w:vAlign w:val="center"/>
          </w:tcPr>
          <w:p w14:paraId="1C8BFC29"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41556951"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04B619A7"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5902CB3F"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w:t>
            </w:r>
          </w:p>
        </w:tc>
      </w:tr>
      <w:tr w:rsidR="000612DA" w14:paraId="3F694AD4" w14:textId="77777777" w:rsidTr="005F360D">
        <w:trPr>
          <w:trHeight w:val="454"/>
        </w:trPr>
        <w:tc>
          <w:tcPr>
            <w:tcW w:w="1145" w:type="pct"/>
            <w:vMerge w:val="restart"/>
            <w:vAlign w:val="center"/>
          </w:tcPr>
          <w:p w14:paraId="2B44FF9D"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110EE4C8"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郑有为</w:t>
            </w:r>
          </w:p>
        </w:tc>
        <w:tc>
          <w:tcPr>
            <w:tcW w:w="999" w:type="pct"/>
            <w:vAlign w:val="center"/>
          </w:tcPr>
          <w:p w14:paraId="036B8FB9"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50754F1F"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2020-07-24</w:t>
            </w:r>
          </w:p>
        </w:tc>
      </w:tr>
      <w:tr w:rsidR="000612DA" w14:paraId="4E08AE33" w14:textId="77777777" w:rsidTr="005F360D">
        <w:trPr>
          <w:trHeight w:val="454"/>
        </w:trPr>
        <w:tc>
          <w:tcPr>
            <w:tcW w:w="1145" w:type="pct"/>
            <w:vMerge/>
            <w:vAlign w:val="center"/>
          </w:tcPr>
          <w:p w14:paraId="45687671" w14:textId="77777777" w:rsidR="000612DA" w:rsidRDefault="000612DA">
            <w:pPr>
              <w:spacing w:line="280" w:lineRule="exact"/>
              <w:rPr>
                <w:rFonts w:ascii="方正仿宋简体" w:eastAsia="方正仿宋简体" w:hAnsiTheme="minorEastAsia" w:cs="方正仿宋简体"/>
                <w:b/>
                <w:iCs/>
              </w:rPr>
            </w:pPr>
          </w:p>
        </w:tc>
        <w:tc>
          <w:tcPr>
            <w:tcW w:w="1413" w:type="pct"/>
            <w:vMerge/>
            <w:vAlign w:val="center"/>
          </w:tcPr>
          <w:p w14:paraId="53949535" w14:textId="77777777" w:rsidR="000612DA" w:rsidRDefault="000612DA">
            <w:pPr>
              <w:spacing w:line="280" w:lineRule="exact"/>
              <w:rPr>
                <w:rFonts w:ascii="方正仿宋简体" w:eastAsia="方正仿宋简体" w:hAnsiTheme="minorEastAsia" w:cs="方正仿宋简体"/>
                <w:b/>
                <w:iCs/>
              </w:rPr>
            </w:pPr>
          </w:p>
        </w:tc>
        <w:tc>
          <w:tcPr>
            <w:tcW w:w="999" w:type="pct"/>
            <w:vAlign w:val="center"/>
          </w:tcPr>
          <w:p w14:paraId="062CE90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03F44BB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2011-02-01</w:t>
            </w:r>
          </w:p>
        </w:tc>
      </w:tr>
      <w:tr w:rsidR="000612DA" w14:paraId="0A437010" w14:textId="77777777" w:rsidTr="005F360D">
        <w:trPr>
          <w:trHeight w:val="454"/>
        </w:trPr>
        <w:tc>
          <w:tcPr>
            <w:tcW w:w="1145" w:type="pct"/>
            <w:vAlign w:val="center"/>
          </w:tcPr>
          <w:p w14:paraId="3E0FBFC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场内简称</w:t>
            </w:r>
          </w:p>
        </w:tc>
        <w:tc>
          <w:tcPr>
            <w:tcW w:w="3855" w:type="pct"/>
            <w:gridSpan w:val="3"/>
            <w:vAlign w:val="center"/>
          </w:tcPr>
          <w:p w14:paraId="7D3C3829"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国泰价值</w:t>
            </w:r>
          </w:p>
        </w:tc>
      </w:tr>
      <w:tr w:rsidR="000612DA" w14:paraId="0A437010" w14:textId="77777777" w:rsidTr="005F360D">
        <w:trPr>
          <w:trHeight w:val="454"/>
        </w:trPr>
        <w:tc>
          <w:tcPr>
            <w:tcW w:w="1145" w:type="pct"/>
            <w:vAlign w:val="center"/>
          </w:tcPr>
          <w:p w14:paraId="3E0FBFC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扩位简称</w:t>
            </w:r>
          </w:p>
        </w:tc>
        <w:tc>
          <w:tcPr>
            <w:tcW w:w="3855" w:type="pct"/>
            <w:gridSpan w:val="3"/>
            <w:vAlign w:val="center"/>
          </w:tcPr>
          <w:p w14:paraId="7D3C3829"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国泰价值LOF</w:t>
            </w:r>
          </w:p>
        </w:tc>
      </w:tr>
      <w:tr w:rsidR="000612DA" w14:paraId="0A437010" w14:textId="77777777" w:rsidTr="005F360D">
        <w:trPr>
          <w:trHeight w:val="454"/>
        </w:trPr>
        <w:tc>
          <w:tcPr>
            <w:tcW w:w="1145" w:type="pct"/>
            <w:vAlign w:val="center"/>
          </w:tcPr>
          <w:p w14:paraId="3E0FBFC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其他</w:t>
            </w:r>
          </w:p>
        </w:tc>
        <w:tc>
          <w:tcPr>
            <w:tcW w:w="3855" w:type="pct"/>
            <w:gridSpan w:val="3"/>
            <w:vAlign w:val="center"/>
          </w:tcPr>
          <w:p w14:paraId="7D3C3829"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1、本基金在封闭期内，场内份额与场外份额均不开放申购、赎回业务，但场内份额可在本基金符合法律法规和上海证券交易所规定的上市条件的情况下上市交易。</w:t>
            </w:r>
          </w:p>
          <w:p w14:paraId="7D3C3829"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本基金合同生效后第三个年度对日起，本基金转为上市开放式基金（LOF），并更名为“国泰价值优选灵活配置混合型证券投资基金（LOF）”；但若本基金在封闭期内出现上海证券交易所相关业务规则规定的因不再具备上市条件而应当终止上市的情形，则本基金封闭期届满后将转为非上市的开放式基金，基金名称保持不变。</w:t>
            </w:r>
          </w:p>
          <w:p w14:paraId="7D3C3829"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2、《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tc>
      </w:tr>
    </w:tbl>
    <w:p w14:paraId="16FB2167" w14:textId="77777777" w:rsidR="000612DA" w:rsidRDefault="000612DA">
      <w:pPr>
        <w:spacing w:line="280" w:lineRule="exact"/>
        <w:rPr>
          <w:rFonts w:ascii="方正仿宋简体" w:eastAsia="方正仿宋简体" w:hAnsiTheme="minorEastAsia" w:cs="仿宋_GB2312"/>
          <w:b/>
          <w:kern w:val="0"/>
          <w:szCs w:val="24"/>
        </w:rPr>
      </w:pPr>
    </w:p>
    <w:p w14:paraId="3B3D1BB3" w14:textId="77777777" w:rsidR="000612DA" w:rsidRDefault="00EE0C11" gbicc:emptyAbove="1">
      <w:pPr gbicc:listString="二、" gbicc:numText="%1、" gbicc:numFmt="C" gbicc:numVal="2"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325C6D1B" w14:textId="77777777" w:rsidR="000612DA" w:rsidRDefault="00EE0C11">
      <w:pPr gbicc:listString="(一)" gbicc:numText="(%1)" gbicc:numFmt="C" gbicc:numVal="1" gbicc:numId="15">
        <w:pStyle w:val="a8"/>
        <w:numPr>
          <w:ilvl w:val="0"/>
          <w:numId w:val="15"/>
        </w:numPr>
        <w:spacing w:line="28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1ED27ECD" w14:textId="77777777" w:rsidR="000612DA" w:rsidRDefault="00131C81">
      <w:pPr>
        <w:spacing w:line="280" w:lineRule="exact"/>
        <w:rPr>
          <w:rFonts w:ascii="方正仿宋简体" w:eastAsia="方正仿宋简体" w:hAnsiTheme="minorEastAsia" w:cs="方正仿宋简体"/>
          <w:bCs/>
          <w:iCs/>
        </w:rPr>
      </w:pPr>
      <w:r w:rsidR="00EE0C11">
        <w:rPr>
          <w:rFonts w:ascii="方正仿宋简体" w:eastAsia="方正仿宋简体" w:hAnsiTheme="minorEastAsia" w:cs="方正仿宋简体" w:hint="eastAsia"/>
          <w:bCs/>
          <w:iCs/>
        </w:rPr>
        <w:t>详见本基金招募说明书（更新）“第十部分 基金的投资”。</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093"/>
        <w:gridCol w:w="6429"/>
      </w:tblGrid>
      <w:tr w:rsidR="000612DA" w14:paraId="14A60540" w14:textId="77777777" w:rsidTr="0074096A">
        <w:trPr>
          <w:trHeight w:val="454"/>
        </w:trPr>
        <w:tc>
          <w:tcPr>
            <w:tcW w:w="1228" w:type="pct"/>
            <w:vAlign w:val="center"/>
          </w:tcPr>
          <w:p w14:paraId="0C5737B9"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09015EF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本基金主要依据价值投资经典指标，投资于具有良好盈利能力和价值被低估的股票，在严格控制风险的前提下，谋求基金资产的长期稳定增值。</w:t>
            </w:r>
          </w:p>
        </w:tc>
      </w:tr>
      <w:tr w:rsidR="000612DA" w14:paraId="3FAFC6C4" w14:textId="77777777" w:rsidTr="0074096A">
        <w:trPr>
          <w:trHeight w:val="454"/>
        </w:trPr>
        <w:tc>
          <w:tcPr>
            <w:tcW w:w="1228" w:type="pct"/>
            <w:vAlign w:val="center"/>
          </w:tcPr>
          <w:p w14:paraId="40242CF6"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46DDA27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的投资范围为具有良好流动性的金融工具，包括国内依法发行上市的股票（包含中小板、创业板及其他经中国证监会核准上市的股票、存托凭证）、债券（包括国债、央行票据、金融债、企业债、公司债、公开发行的次级债、中小企业私募债、地方政府债券、政府支持机构债券、中期票据、可转换债券（含分离交易可转债的纯债部分）、可交换债券、短期融资券、超短期融资券等）、债券回购、资产支持证券、银行存款、同业存单、货币市场工具、股指期货、国债期货、权证以及法律法规或中国证监会允许基金投资的其他金融工具（但须符合中国证监会相关规定）。</w:t>
            </w:r>
          </w:p>
          <w:p w14:paraId="46DDA27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基金的投资组合比例为：封闭期内，本基金股票资产占基金资产的0%-100%；每个交易日日终在扣除股指期货合约和国债期货合约需缴纳的交易保证金后，应当保持不低于交易保证金一倍的现金。封闭期届满转为开放式基金后，本基金股票资产占基金资产的0%-95%；每个交易日日终在扣除股指期货合约和国债期货合约需缴纳的保证金以后，持有的现金或到期日在一年以内的政府债券不低于基金资产净值的5%。其中，现金不包括结算备付金、存出保证金和应收申购款等。</w:t>
            </w:r>
          </w:p>
          <w:p w14:paraId="46DDA27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如法律法规或监管机构在基金合同生效以后允许基金投资其他品种或变更投资比例限制，基金管理人在履行适当程序后，可以相应调整本基金的投资范围、投资比例规定。                                                                                                                                                                                                                                                                                                                                                                                                                                                                                                                                                  </w:t>
            </w:r>
          </w:p>
        </w:tc>
      </w:tr>
      <w:tr w:rsidR="000612DA" w14:paraId="617254AE" w14:textId="77777777" w:rsidTr="0074096A">
        <w:trPr>
          <w:trHeight w:val="454"/>
        </w:trPr>
        <w:tc>
          <w:tcPr>
            <w:tcW w:w="1228" w:type="pct"/>
            <w:vAlign w:val="center"/>
          </w:tcPr>
          <w:p w14:paraId="556924DE"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3DB8466B"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1、资产配置策略； 2、股票投资策略； 3、存托凭证投资策略；4、债券投资策略； 5、资产支持证券投资策略； 6、中小企业私募债投资策略； 7、权证投资策略； 8、股指期货投资策略； 9、国债期货投资策略。                                                                                       </w:t>
            </w:r>
          </w:p>
        </w:tc>
      </w:tr>
      <w:tr w:rsidR="000612DA" w14:paraId="49459A0D" w14:textId="77777777" w:rsidTr="0074096A">
        <w:trPr>
          <w:trHeight w:val="454"/>
        </w:trPr>
        <w:tc>
          <w:tcPr>
            <w:tcW w:w="1228" w:type="pct"/>
            <w:vAlign w:val="center"/>
          </w:tcPr>
          <w:p w14:paraId="7A2780EE"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588A35FA"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沪深300指数收益率×60%+中债综合指数收益率×40%</w:t>
            </w:r>
          </w:p>
        </w:tc>
      </w:tr>
      <w:tr w:rsidR="000612DA" w14:paraId="0A03329D" w14:textId="77777777" w:rsidTr="0074096A">
        <w:trPr>
          <w:trHeight w:val="454"/>
        </w:trPr>
        <w:tc>
          <w:tcPr>
            <w:tcW w:w="1228" w:type="pct"/>
            <w:vAlign w:val="center"/>
          </w:tcPr>
          <w:p w14:paraId="0E33C396"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72E30351"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本基金为混合型基金，其预期风险和预期收益低于股票型基金，高于债券型基金和货币市场基金。</w:t>
            </w:r>
          </w:p>
        </w:tc>
      </w:tr>
    </w:tbl>
    <w:p w14:paraId="60572FFB" w14:textId="77777777" w:rsidR="000612DA" w:rsidRDefault="00131C81">
      <w:pPr>
        <w:spacing w:line="280" w:lineRule="exact"/>
        <w:rPr>
          <w:rFonts w:ascii="方正仿宋简体" w:eastAsia="方正仿宋简体" w:hAnsiTheme="minorEastAsia" w:cs="仿宋_GB2312"/>
          <w:kern w:val="0"/>
          <w:szCs w:val="24"/>
        </w:rPr>
      </w:pPr>
    </w:p>
    <w:p w14:paraId="0BD8A30D" w14:textId="77777777" w:rsidR="000612DA" w:rsidRDefault="00EE0C11" gbicc:emptyAbove="1">
      <w:pPr gbicc:listString="(二)" gbicc:numText="(%1)" gbicc:numFmt="C" gbicc:numVal="2" gbicc:numId="15">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10F3EEA9" w14:textId="77777777" w:rsidR="000612DA" w:rsidRDefault="00EE0C11">
      <w:pPr>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79178110" w14:textId="77777777" w:rsidR="00265B51" w:rsidRDefault="00265B51" w:rsidP="00265B51">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sz w:val="24"/>
          <w:szCs w:val="24"/>
        </w:rPr>
        <w:drawing>
          <wp:inline distT="0" distB="0" distL="0" distR="0" wp14:anchorId="71D8B83A" wp14:editId="22206E9A">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10000_501064_FA010080_20220001_1jpg">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223A216A" w14:textId="77777777" w:rsidR="000612DA" w:rsidRDefault="00EE0C11">
      <w:pPr gbicc:listString="(三)" gbicc:numText="(%1)" gbicc:numFmt="C" gbicc:numVal="3" gbicc:numId="15">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14:paraId="242A733E" w14:textId="77777777" w:rsidR="000612DA" w:rsidRDefault="00EE0C11">
      <w:pPr>
        <w:jc w:val="center"/>
        <w:rPr>
          <w:rFonts w:ascii="方正仿宋简体" w:eastAsia="方正仿宋简体" w:hAnsiTheme="minorEastAsia"/>
          <w:sz w:val="24"/>
        </w:rPr>
      </w:pPr>
      <w:r>
        <w:rPr>
          <w:rFonts w:ascii="方正仿宋简体" w:eastAsia="方正仿宋简体" w:hAnsiTheme="minorEastAsia" w:hint="eastAsia"/>
          <w:sz w:val="24"/>
        </w:rPr>
        <w:drawing>
          <wp:inline distT="0" distB="0" distL="0" distR="0" wp14:anchorId="234051AE" wp14:editId="758A4657">
            <wp:extent cx="3960000" cy="231570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10000_501064_FA010080_20220001_3jpg">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42EA5547" w14:textId="77777777" w:rsidR="000612DA" w:rsidRDefault="00131C81" gbicc:emptyAbove="2">
      <w:pPr>
        <w:autoSpaceDE w:val="0"/>
        <w:autoSpaceDN w:val="0"/>
        <w:adjustRightInd w:val="0"/>
        <w:spacing w:line="280" w:lineRule="exact"/>
        <w:jc w:val="left"/>
        <w:rPr>
          <w:rFonts w:ascii="方正仿宋简体" w:eastAsia="方正仿宋简体" w:hAnsiTheme="minorEastAsia"/>
          <w:color w:val="000000" w:themeColor="text1"/>
        </w:rPr>
      </w:pPr>
      <w:r w:rsidR="00EE0C11">
        <w:rPr>
          <w:rFonts w:ascii="方正仿宋简体" w:eastAsia="方正仿宋简体" w:hAnsiTheme="minorEastAsia" w:hint="eastAsia"/>
          <w:color w:val="000000" w:themeColor="text1"/>
        </w:rPr>
        <w:t xml:space="preserve">注：1、本基金合同生效当年不满完整自然年度，按当年实际运作期限计算净值增长率，不按整个自然年度进行折算。</w:t>
      </w:r>
    </w:p>
    <w:p w14:paraId="42EA5547" w14:textId="77777777" w:rsidR="000612DA" w:rsidRDefault="00131C81" gbicc:emptyAbove="2">
      <w:pPr>
        <w:autoSpaceDE w:val="0"/>
        <w:autoSpaceDN w:val="0"/>
        <w:adjustRightInd w:val="0"/>
        <w:spacing w:line="280" w:lineRule="exact"/>
        <w:jc w:val="left"/>
        <w:rPr>
          <w:rFonts w:ascii="方正仿宋简体" w:eastAsia="方正仿宋简体" w:hAnsiTheme="minorEastAsia"/>
          <w:color w:val="000000" w:themeColor="text1"/>
        </w:rPr>
      </w:pPr>
      <w:r w:rsidR="00EE0C11">
        <w:rPr>
          <w:rFonts w:ascii="方正仿宋简体" w:eastAsia="方正仿宋简体" w:hAnsiTheme="minorEastAsia" w:hint="eastAsia"/>
          <w:color w:val="000000" w:themeColor="text1"/>
        </w:rPr>
        <w:t xml:space="preserve">2、基金的过往业绩不代表未来表现。</w:t>
      </w:r>
    </w:p>
    <w:p w14:paraId="3623F881" w14:textId="77777777" w:rsidR="000612DA" w:rsidRDefault="000612DA">
      <w:pPr>
        <w:spacing w:line="280" w:lineRule="exact"/>
        <w:ind w:firstLine="420"/>
        <w:rPr>
          <w:rFonts w:ascii="方正仿宋简体" w:eastAsia="方正仿宋简体" w:hAnsi="方正仿宋简体" w:cs="方正仿宋简体"/>
          <w:iCs/>
        </w:rPr>
      </w:pPr>
    </w:p>
    <w:p w14:paraId="1D014AE7" w14:textId="77777777" w:rsidR="000612DA" w:rsidRDefault="00EE0C11" gbicc:emptyAbove="1">
      <w:pPr gbicc:listString="三、" gbicc:numText="%1、" gbicc:numFmt="C" gbicc:numVal="3"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5A331D2" w14:textId="77777777" w:rsidR="000612DA" w:rsidRDefault="00EE0C11">
      <w:pPr gbicc:listString="（一）" gbicc:numText="（%1）" gbicc:numFmt="J" gbicc:numVal="1" gbicc:numId="25">
        <w:pStyle w:val="a8"/>
        <w:numPr>
          <w:ilvl w:val="0"/>
          <w:numId w:val="25"/>
        </w:numPr>
        <w:spacing w:line="34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70BB1E14" w14:textId="77777777" w:rsidR="000612DA" w:rsidRDefault="00EE0C11">
      <w:p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337"/>
        <w:gridCol w:w="3344"/>
        <w:gridCol w:w="1984"/>
        <w:gridCol w:w="857"/>
      </w:tblGrid>
      <w:tr w:rsidR="000612DA" w14:paraId="7466604E" w14:textId="77777777" w:rsidTr="0074096A">
        <w:trPr>
          <w:trHeight w:val="454"/>
        </w:trPr>
        <w:tc>
          <w:tcPr>
            <w:tcW w:w="1371" w:type="pct"/>
            <w:vAlign w:val="center"/>
          </w:tcPr>
          <w:p w14:paraId="557DC878"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14:paraId="55809050"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402D3C68"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14:paraId="2273387A"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14:paraId="394A59DE"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0612DA" w14:paraId="2B8B1C2C" w14:textId="77777777" w:rsidTr="0074096A">
        <w:trPr>
          <w:trHeight w:val="454"/>
        </w:trPr>
        <w:tc>
          <w:tcPr>
            <w:tcW w:w="1371" w:type="pct"/>
            <w:vAlign w:val="center"/>
            <w:vMerge w:val="restart"/>
          </w:tcPr>
          <w:p w14:paraId="7D99694C"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1697CAD"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int="eastAsia"/>
                <w:color w:val="333399"/>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M</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500万元</w:t>
            </w:r>
          </w:p>
        </w:tc>
        <w:tc>
          <w:tcPr>
            <w:tcW w:w="1164" w:type="pct"/>
            <w:vAlign w:val="center"/>
          </w:tcPr>
          <w:p w14:paraId="46E0BA43"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1.50%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p>
        </w:tc>
        <w:tc>
          <w:tcPr>
            <w:tcW w:w="503" w:type="pct"/>
            <w:vAlign w:val="center"/>
          </w:tcPr>
          <w:p w14:paraId="365665C6"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w:r>
          </w:p>
        </w:tc>
      </w:tr>
      <w:tr w:rsidR="000612DA" w14:paraId="2B8B1C2C" w14:textId="77777777" w:rsidTr="0074096A">
        <w:trPr>
          <w:trHeight w:val="454"/>
        </w:trPr>
        <w:tc>
          <w:tcPr>
            <w:tcW w:w="1371" w:type="pct"/>
            <w:vAlign w:val="center"/>
            <w:vMerge/>
          </w:tcPr>
          <w:p w14:paraId="7D99694C"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1697CAD"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M</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500万元</w:t>
            </w:r>
          </w:p>
        </w:tc>
        <w:tc>
          <w:tcPr>
            <w:tcW w:w="1164" w:type="pct"/>
            <w:vAlign w:val="center"/>
          </w:tcPr>
          <w:p w14:paraId="46E0BA43"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Ansi="宋体" w:hint="eastAsia"/>
                <w:color w:val="000000" w:themeColor="text1"/>
                <w:kern w:val="0"/>
              </w:rPr>
              <w:t xml:space="preserve">1000元 / 笔</w:t>
            </w:r>
          </w:p>
        </w:tc>
        <w:tc>
          <w:tcPr>
            <w:tcW w:w="503" w:type="pct"/>
            <w:vAlign w:val="center"/>
          </w:tcPr>
          <w:p w14:paraId="365665C6"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0612DA" w14:paraId="736C28CD" w14:textId="77777777" w:rsidTr="0074096A">
        <w:trPr>
          <w:trHeight w:val="454"/>
        </w:trPr>
        <w:tc>
          <w:tcPr>
            <w:tcW w:w="1371" w:type="pct"/>
            <w:vAlign w:val="center"/>
            <w:vMerge w:val="restart"/>
          </w:tcPr>
          <w:p w14:paraId="37F78932"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E5706E7"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int="eastAsia"/>
                <w:color w:val="333399"/>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N</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7天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w:r>
          </w:p>
        </w:tc>
        <w:tc>
          <w:tcPr>
            <w:tcW w:w="1164" w:type="pct"/>
            <w:vAlign w:val="center"/>
          </w:tcPr>
          <w:p w14:paraId="5BB0872F"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1.50%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p>
        </w:tc>
        <w:tc>
          <w:tcPr>
            <w:tcW w:w="503" w:type="pct"/>
            <w:vAlign w:val="center"/>
          </w:tcPr>
          <w:p w14:paraId="1E3F09EA"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w:r>
          </w:p>
        </w:tc>
      </w:tr>
      <w:tr w:rsidR="000612DA" w14:paraId="736C28CD" w14:textId="77777777" w:rsidTr="0074096A">
        <w:trPr>
          <w:trHeight w:val="454"/>
        </w:trPr>
        <w:tc>
          <w:tcPr>
            <w:tcW w:w="1371" w:type="pct"/>
            <w:vAlign w:val="center"/>
            <w:vMerge/>
          </w:tcPr>
          <w:p w14:paraId="37F78932"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E5706E7"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7天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N</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30天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r>
          </w:p>
        </w:tc>
        <w:tc>
          <w:tcPr>
            <w:tcW w:w="1164" w:type="pct"/>
            <w:vAlign w:val="center"/>
          </w:tcPr>
          <w:p w14:paraId="5BB0872F"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0.75%</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p>
        </w:tc>
        <w:tc>
          <w:tcPr>
            <w:tcW w:w="503" w:type="pct"/>
            <w:vAlign w:val="center"/>
          </w:tcPr>
          <w:p w14:paraId="1E3F09EA"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0612DA" w14:paraId="736C28CD" w14:textId="77777777" w:rsidTr="0074096A">
        <w:trPr>
          <w:trHeight w:val="454"/>
        </w:trPr>
        <w:tc>
          <w:tcPr>
            <w:tcW w:w="1371" w:type="pct"/>
            <w:vAlign w:val="center"/>
            <w:vMerge/>
          </w:tcPr>
          <w:p w14:paraId="37F78932"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E5706E7"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30天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N</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365天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r>
          </w:p>
        </w:tc>
        <w:tc>
          <w:tcPr>
            <w:tcW w:w="1164" w:type="pct"/>
            <w:vAlign w:val="center"/>
          </w:tcPr>
          <w:p w14:paraId="5BB0872F"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0.50%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p>
        </w:tc>
        <w:tc>
          <w:tcPr>
            <w:tcW w:w="503" w:type="pct"/>
            <w:vAlign w:val="center"/>
          </w:tcPr>
          <w:p w14:paraId="1E3F09EA"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0612DA" w14:paraId="736C28CD" w14:textId="77777777" w:rsidTr="0074096A">
        <w:trPr>
          <w:trHeight w:val="454"/>
        </w:trPr>
        <w:tc>
          <w:tcPr>
            <w:tcW w:w="1371" w:type="pct"/>
            <w:vAlign w:val="center"/>
            <w:vMerge/>
          </w:tcPr>
          <w:p w14:paraId="37F78932"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E5706E7"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365天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N</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730天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r>
          </w:p>
        </w:tc>
        <w:tc>
          <w:tcPr>
            <w:tcW w:w="1164" w:type="pct"/>
            <w:vAlign w:val="center"/>
          </w:tcPr>
          <w:p w14:paraId="5BB0872F"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0.25%</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p>
        </w:tc>
        <w:tc>
          <w:tcPr>
            <w:tcW w:w="503" w:type="pct"/>
            <w:vAlign w:val="center"/>
          </w:tcPr>
          <w:p w14:paraId="1E3F09EA"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0612DA" w14:paraId="736C28CD" w14:textId="77777777" w:rsidTr="0074096A">
        <w:trPr>
          <w:trHeight w:val="454"/>
        </w:trPr>
        <w:tc>
          <w:tcPr>
            <w:tcW w:w="1371" w:type="pct"/>
            <w:vAlign w:val="center"/>
            <w:vMerge/>
          </w:tcPr>
          <w:p w14:paraId="37F78932"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E5706E7"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N</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730天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r>
          </w:p>
        </w:tc>
        <w:tc>
          <w:tcPr>
            <w:tcW w:w="1164" w:type="pct"/>
            <w:vAlign w:val="center"/>
          </w:tcPr>
          <w:p w14:paraId="5BB0872F"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0.00%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p>
        </w:tc>
        <w:tc>
          <w:tcPr>
            <w:tcW w:w="503" w:type="pct"/>
            <w:vAlign w:val="center"/>
          </w:tcPr>
          <w:p w14:paraId="1E3F09EA"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bl>
    <w:p w14:paraId="176635AA" w14:textId="77777777" w:rsidR="000612DA" w:rsidRDefault="00131C81">
      <w:pPr>
        <w:autoSpaceDE w:val="0"/>
        <w:autoSpaceDN w:val="0"/>
        <w:adjustRightInd w:val="0"/>
        <w:spacing w:line="280" w:lineRule="exact"/>
        <w:jc w:val="left"/>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注：</w:t>
      </w:r>
      <w:r w:rsidR="00EE0C11">
        <w:rPr>
          <w:rFonts w:ascii="方正仿宋简体" w:eastAsia="方正仿宋简体" w:hAnsi="方正仿宋简体" w:cs="方正仿宋简体" w:hint="eastAsia"/>
          <w:iCs/>
        </w:rPr>
        <w:t>场内交易费用以证券公司实际收取为准。</w:t>
      </w:r>
    </w:p>
    <w:p w14:paraId="580E7B6B" w14:textId="77777777" w:rsidR="000612DA" w:rsidRDefault="000612DA">
      <w:pPr>
        <w:spacing w:line="280" w:lineRule="exact"/>
        <w:rPr>
          <w:rFonts w:ascii="方正仿宋简体" w:eastAsia="方正仿宋简体" w:hAnsiTheme="minorEastAsia" w:cs="方正仿宋简体"/>
          <w:b/>
          <w:iCs/>
          <w:sz w:val="24"/>
          <w:szCs w:val="24"/>
        </w:rPr>
      </w:pPr>
    </w:p>
    <w:p w14:paraId="3EA199E1" w14:textId="77777777" w:rsidR="000612DA" w:rsidRDefault="00EE0C11" gbicc:emptyAbove="1">
      <w:pPr>
        <w:spacing w:line="28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589916B1" w14:textId="77777777" w:rsidR="000612DA" w:rsidRDefault="00EE0C11">
      <w:pPr>
        <w:autoSpaceDE w:val="0"/>
        <w:autoSpaceDN w:val="0"/>
        <w:adjustRightInd w:val="0"/>
        <w:spacing w:line="28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517"/>
        <w:gridCol w:w="6005"/>
      </w:tblGrid>
      <w:tr w:rsidR="000612DA" w14:paraId="38183181" w14:textId="77777777" w:rsidTr="00A1474F">
        <w:trPr>
          <w:trHeight w:val="454"/>
        </w:trPr>
        <w:tc>
          <w:tcPr>
            <w:tcW w:w="1477" w:type="pct"/>
            <w:vAlign w:val="center"/>
          </w:tcPr>
          <w:p w14:paraId="040868DC" w14:textId="77777777" w:rsidR="000612DA" w:rsidRDefault="00EE0C11">
            <w:pPr>
              <w:spacing w:line="28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51AB6A41"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0612DA" w14:paraId="4FD4EBF4" w14:textId="77777777" w:rsidTr="00A1474F">
        <w:trPr>
          <w:trHeight w:val="454"/>
        </w:trPr>
        <w:tc>
          <w:tcPr>
            <w:tcW w:w="1477" w:type="pct"/>
            <w:vAlign w:val="center"/>
          </w:tcPr>
          <w:p w14:paraId="132FFF4D" w14:textId="77777777" w:rsidR="000612DA" w:rsidRDefault="00EE0C11">
            <w:pPr>
              <w:spacing w:line="28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3361F3DB" w14:textId="77777777" w:rsidR="000612DA" w:rsidRDefault="00131C81">
            <w:pPr>
              <w:spacing w:line="280" w:lineRule="exact"/>
              <w:jc w:val="center"/>
              <w:rPr>
                <w:rFonts w:ascii="方正仿宋简体" w:eastAsia="方正仿宋简体" w:hAnsi="方正仿宋简体" w:cs="方正仿宋简体"/>
                <w:bCs/>
                <w:iCs/>
              </w:rPr>
            </w:pPr>
            <w:r w:rsidR="00EE0C11">
              <w:rPr>
                <w:rFonts w:ascii="方正仿宋简体" w:eastAsia="方正仿宋简体" w:hint="eastAsia"/>
                <w:color w:val="333399"/>
              </w:rPr>
              <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1.50%</w:t>
            </w:r>
          </w:p>
        </w:tc>
      </w:tr>
      <w:tr w:rsidR="000612DA" w14:paraId="5A9706EC" w14:textId="77777777" w:rsidTr="00A1474F">
        <w:trPr>
          <w:trHeight w:val="454"/>
        </w:trPr>
        <w:tc>
          <w:tcPr>
            <w:tcW w:w="1477" w:type="pct"/>
            <w:vAlign w:val="center"/>
          </w:tcPr>
          <w:p w14:paraId="506CE43D" w14:textId="77777777" w:rsidR="000612DA" w:rsidRDefault="00EE0C11">
            <w:pPr>
              <w:spacing w:line="28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7C7CCB7A" w14:textId="77777777" w:rsidR="000612DA" w:rsidRDefault="00131C81">
            <w:pPr>
              <w:spacing w:line="280" w:lineRule="exact"/>
              <w:jc w:val="center"/>
              <w:rPr>
                <w:rFonts w:ascii="方正仿宋简体" w:eastAsia="方正仿宋简体" w:hAnsiTheme="minorEastAsia" w:cs="方正仿宋简体"/>
                <w:bCs/>
                <w:iCs/>
              </w:rPr>
            </w:pPr>
            <w:r w:rsidR="00EE0C11">
              <w:rPr>
                <w:rFonts w:ascii="方正仿宋简体" w:eastAsia="方正仿宋简体" w:hint="eastAsia"/>
                <w:color w:val="333399"/>
              </w:rPr>
              <w:t/>
            </w:r>
            <w:r w:rsidR="00EE0C11">
              <w:rPr>
                <w:rFonts w:ascii="方正仿宋简体" w:eastAsia="方正仿宋简体" w:hAnsiTheme="minorEastAsia" w:cs="方正仿宋简体" w:hint="eastAsia"/>
                <w:bCs/>
                <w:iCs/>
              </w:rPr>
              <w:t xml:space="preserve"> </w:t>
            </w:r>
            <w:r w:rsidR="00EE0C11">
              <w:rPr>
                <w:rFonts w:ascii="方正仿宋简体" w:eastAsia="方正仿宋简体" w:hAnsiTheme="minorEastAsia" w:cs="方正仿宋简体" w:hint="eastAsia"/>
                <w:bCs/>
                <w:iCs/>
              </w:rPr>
              <w:t>0.25%</w:t>
            </w:r>
          </w:p>
        </w:tc>
      </w:tr>
      <w:tr w:rsidR="000612DA" w14:paraId="1E609DF3" w14:textId="77777777" w:rsidTr="00A1474F">
        <w:trPr>
          <w:trHeight w:val="454"/>
        </w:trPr>
        <w:tc>
          <w:tcPr>
            <w:tcW w:w="1477" w:type="pct"/>
            <w:vAlign w:val="center"/>
          </w:tcPr>
          <w:p w14:paraId="20357D4E" w14:textId="77777777" w:rsidR="000612DA" w:rsidRDefault="00EE0C11">
            <w:p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3F14DC9F" w14:textId="77777777" w:rsidR="000612DA" w:rsidRDefault="00131C81" w:rsidP="007F7C29">
            <w:pPr>
              <w:spacing w:line="280" w:lineRule="exact"/>
              <w:jc w:val="left"/>
              <w:rPr>
                <w:rFonts w:ascii="方正仿宋简体" w:eastAsia="方正仿宋简体" w:hAnsiTheme="minorEastAsia" w:cs="方正仿宋简体"/>
                <w:bCs/>
                <w:iCs/>
              </w:rPr>
            </w:pPr>
            <w:r w:rsidR="00EE0C11">
              <w:rPr>
                <w:rFonts w:ascii="方正仿宋简体" w:eastAsia="方正仿宋简体" w:hAnsiTheme="minorEastAsia" w:cs="方正仿宋简体" w:hint="eastAsia"/>
                <w:bCs/>
                <w:iCs/>
              </w:rPr>
              <w:t>基金上市费用和年费；《基金合同》生效后与基金相关的信息披露费用；《基金合同》生效后与基金相关的会计师费、律师费、诉讼费和仲裁费；基金份额持有人大会费用；基金的证券/期货交易费用；基金的银行汇划费用；基金的开户费用、账户维护费用；按照国家有关规定和《基金合同》约定，可以在基金财产中列支的其他费用。</w:t>
            </w:r>
            <w:r w:rsidR="00EE0C11">
              <w:rPr>
                <w:rFonts w:ascii="方正仿宋简体" w:eastAsia="方正仿宋简体" w:hAnsiTheme="minorEastAsia" w:cs="方正仿宋简体" w:hint="eastAsia"/>
                <w:bCs/>
                <w:iCs/>
              </w:rPr>
              <w:t xml:space="preserve"> </w:t>
            </w:r>
            <w:r w:rsidR="00EE0C11">
              <w:rPr>
                <w:rFonts w:ascii="方正仿宋简体" w:eastAsia="方正仿宋简体" w:hint="eastAsia"/>
                <w:color w:val="333399"/>
              </w:rPr>
              <w:t/>
            </w:r>
          </w:p>
        </w:tc>
      </w:tr>
    </w:tbl>
    <w:p w14:paraId="7B98331D" w14:textId="77777777" w:rsidR="000612DA" w:rsidRDefault="00131C81">
      <w:pPr>
        <w:autoSpaceDE w:val="0"/>
        <w:autoSpaceDN w:val="0"/>
        <w:adjustRightInd w:val="0"/>
        <w:spacing w:line="280" w:lineRule="exact"/>
        <w:jc w:val="left"/>
        <w:rPr>
          <w:rFonts w:ascii="方正仿宋简体" w:eastAsia="方正仿宋简体" w:hAnsi="方正仿宋简体" w:cs="方正仿宋简体"/>
          <w:bCs/>
          <w:iCs/>
        </w:rPr>
      </w:pPr>
      <w:r w:rsidR="00EE0C11">
        <w:rPr>
          <w:rFonts w:ascii="方正仿宋简体" w:eastAsia="方正仿宋简体" w:hAnsi="方正仿宋简体" w:cs="方正仿宋简体" w:hint="eastAsia"/>
          <w:bCs/>
          <w:iCs/>
        </w:rPr>
        <w:t>注：</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本基金交易证券、基金等产生的费用和税负，按实际发生额从基金资产扣除。</w:t>
      </w:r>
    </w:p>
    <w:p w14:paraId="18EDD673" w14:textId="77777777" w:rsidR="000612DA" w:rsidRDefault="000612DA">
      <w:pPr>
        <w:autoSpaceDE w:val="0"/>
        <w:autoSpaceDN w:val="0"/>
        <w:adjustRightInd w:val="0"/>
        <w:spacing w:line="280" w:lineRule="exact"/>
        <w:jc w:val="left"/>
        <w:rPr>
          <w:rFonts w:ascii="方正仿宋简体" w:eastAsia="方正仿宋简体" w:hAnsiTheme="minorEastAsia" w:cs="仿宋_GB2312"/>
          <w:kern w:val="0"/>
          <w:szCs w:val="24"/>
        </w:rPr>
      </w:pPr>
    </w:p>
    <w:p w14:paraId="7748B771" w14:textId="77777777" w:rsidR="000612DA" w:rsidRDefault="00EE0C11" gbicc:emptyAbove="1">
      <w:pPr gbicc:listString="四、" gbicc:numText="%1、" gbicc:numFmt="C" gbicc:numVal="4"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3BB256B3" w14:textId="77777777" w:rsidR="000612DA" w:rsidRDefault="00EE0C11">
      <w:pPr>
        <w:spacing w:line="280" w:lineRule="exact"/>
        <w:outlineLvl w:val="1"/>
        <w:rPr>
          <w:rFonts w:ascii="方正仿宋简体" w:eastAsia="方正仿宋简体" w:hAnsi="宋体"/>
          <w:color w:val="0000FF"/>
          <w:kern w:val="0"/>
          <w:sz w:val="18"/>
        </w:rPr>
      </w:pPr>
      <w:r>
        <w:rPr>
          <w:rFonts w:ascii="方正仿宋简体" w:eastAsia="方正仿宋简体" w:hAnsi="方正仿宋简体" w:cs="方正仿宋简体" w:hint="eastAsia"/>
          <w:b/>
          <w:bCs/>
          <w:iCs/>
          <w:sz w:val="24"/>
          <w:szCs w:val="24"/>
        </w:rPr>
        <w:t>（一）风险揭示</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本基金不提供任何保证。投资者可能损失投资本金。</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投资有风险，投资者购买基金时应认真阅读本基金的招募说明书（更新）等销售文件。</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本基金面临的主要风险有系统性风险、非系统性风险、流动性风险、运作管理风险、法律文件风险收益特征表述与销售机构基金风险评级可能不一致的风险、本基金特定风险及其他风险等。</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本基金特定风险：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本基金是混合型基金，封闭期内，本基金股票资产占基金资产的0%-100%，封闭期届满转为开放式基金后，本基金股票资产占基金资产的0%-95%，其余资产投资于债券等金融工具。因此本基金投资组合持仓权重的变化、股市/债市的变化等将影响到本基金的业绩表现。本基金管理人将发挥专业研究优势，持续优化组合配置以控制特定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2、科创板股票投资风险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本基金可投资国内上市的科创板股票，会面临因投资标的、市场制度以及交易规则等差异带来的特有风险，包括不限于如下特殊风险： </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（1）退市风险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设暂停上市、恢复上市和重新上市制度，科创板上市公司股票退市风险更大。</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（2）市场风险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科创板股票集中来自新一代信息技术、高端装备、新材料、新能源、节能环保及生物医药等高新技术和战略新兴产业领域。大多数公司为初创型公司，公司未来盈利、现金流、估值均存在不确定性，与传统二级市场投资存在差异，整体投资难度加大，科创板股票市场风险加大。</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科创板股票竞价交易设置较宽的价格涨跌幅限制，首次公开发行上市的股票，上市后前5个交易日不设价格涨跌幅限制，其后涨跌幅比例为20%，可能产生股票价格大幅波动的风险。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（3）流动性风险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科创板整体投资门槛较高，科创板的投资者可能以机构投资者为主，科创板股票流动性可能弱于其他市场板块，基金组合存在无法及时变现及其他相关流动性风险。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（4）集中度风险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科创板为新设板块，初期可投标的较少，投资者容易集中投资于少量股票，市场可能存在高集中度状况，整体存在集中度风险。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（5）系统性风险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科创板上市公司均为市场认可度较高的科技创新公司，在公司经营及盈利模式上存在趋同，所以科创板股票相关性较高，市场表现不佳时，系统性风险将更为显著。</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（6）政策风险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国家对高新技术产业扶持力度及重视程度的变化会对科创板上市公司带来较大影响，国际经济形势变化对战略新兴产业及科创板企业也会带来政策影响。</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3、本基金可投资中小企业私募债，中小企业私募债由于发行人自身特点，存在一定的违约风险。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4、投资资产支持证券的风险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可投资资产支持证券，主要存在以下风险：1）特定原始权益人破产风险、现金流预测风险等与基础资产相关的风险；2）资产支持证券信用增级措施相关风险、资产支持证券的利率风险、评级风险等与资产支持证券相关的风险；3）管理人违约违规风险、托管人违约违规风险、专项计划账户管理风险、资产服务机构违规风险等与专项计划管理相关的风险；4）政策风险、税收风险、发生不可抗力事件的风险、技术风险和操作风险等其他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5、投资股指期货的风险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可投资股指期货，需承受投资股指期货带来的市场风险、信用风险、操作风险和法律风险等。由于股指期货通常具有杠杆效应，价格波动比标的工具更为剧烈。并且由于股指期货定价复杂，不适当的估值可能使基金资产面临损失风险。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人带来损失。</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6、投资国债期货的风险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本基金可投资于国债期货，国债期货作为一种金融衍生品，具备一些特有的风险点。投资国债期货所面临的主要风险是市场风险、基差风险、保证金风险、信用风险和操作风险。具体为：</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（1）市场风险是指由于国债期货价格变动而给投资人带来的风险。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（2）基差风险是指国债期货合约价格和标的指数价格之间价格差的波动所造成的风险，以及不同国债期货合约价格之间价格差的波动所造成的期限价差风险。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（3）保证金风险是指由于无法及时筹措资金满足建立或维持国债期货合约头寸所要求的保证金而带来的风险。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（4）信用风险是指期货经纪公司违约而产生损失的风险。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（5）操作风险是指由于内部流程的不完善，业务人员出现差错或者疏漏，或者系统出现故障等原因造成损失的风险。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7、存托凭证投资风险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8、作为上市基金存在的风险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（1）上市交易风险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在基金合同生效后，本基金基金份额可在上海证券交易所上市交易。由于上市期间可能因信息披露导致基金停牌，投资人在停牌期间不能买卖本基金的上市份额，产生风险；同时，可能因上市后交易对手不足导致本基金的上市份额产生流动性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（2）折/溢价交易风险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本基金基金份额上市交易后，由于受到市场供求关系的影响，基金份额的交易价格与基金份额净值可能出现偏离并出现折/溢价风险。                                                                                                                                                                                                                                                                                                                                                                                                                                                                                                                                                                                                                                                                                                                                                                                                                                                                                                                                                                                                                                                                                                                                                                                                                                                                                                                                                                                                                                                                                                                                                                                                                                                                                                                                                                                                                                                                                                                                                                                                                                                                                                                                                                                                                            </w:t>
      </w:r>
    </w:p>
    <w:p w14:paraId="0B16C131" w14:textId="77777777" w:rsidR="000612DA" w:rsidRDefault="00EE0C11">
      <w:pPr>
        <w:spacing w:line="28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中国证监会对本基金募集的注册，并不表明其对本基金的价值和收益作出实质性判断或保证，也不表明投资于本基金没有风险。</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基金管理人依照恪尽职守、诚实信用、谨慎勤勉的原则管理和运用基金财产，但不保证基金一定盈利，也不保证最低收益。</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基金投资者自依基金合同取得基金份额，即成为基金份额持有人和基金合同的当事人。</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因《基金合同》而产生的或与《基金合同》有关的一切争议，应经友好协商解决，如经友好协商未能解决的，则任何一方有权按《基金合同》的约定提交仲裁，仲裁机构见《基金合同》。</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6AFA41DC" w14:textId="77777777" w:rsidR="000612DA" w:rsidRDefault="000612DA">
      <w:pPr>
        <w:autoSpaceDE w:val="0"/>
        <w:autoSpaceDN w:val="0"/>
        <w:adjustRightInd w:val="0"/>
        <w:spacing w:line="280" w:lineRule="exact"/>
        <w:jc w:val="left"/>
        <w:rPr>
          <w:rFonts w:ascii="方正仿宋简体" w:eastAsia="方正仿宋简体"/>
        </w:rPr>
      </w:pPr>
    </w:p>
    <w:p w14:paraId="1DBD8758" w14:textId="77777777" w:rsidR="000612DA" w:rsidRDefault="00EE0C11" gbicc:emptyAbove="1">
      <w:pPr gbicc:listString="五、" gbicc:numText="%1、" gbicc:numFmt="C" gbicc:numVal="5"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以下资料详见基金管理人网站www.gtfund.com或咨询客服电话：400-888-8688</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1、基金合同、托管协议、招募说明书及更新</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2、定期报告，包括基金季度报告、中期报告和年度报告</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3、基金份额净值</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4、基金销售机构及联系方式</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5、其他重要资料</w:t>
      </w:r>
    </w:p>
    <w:p w14:paraId="4A7D9F6A" w14:textId="77777777" w:rsidR="000612DA" w:rsidRDefault="000612DA">
      <w:pPr>
        <w:autoSpaceDE w:val="0"/>
        <w:autoSpaceDN w:val="0"/>
        <w:adjustRightInd w:val="0"/>
        <w:spacing w:line="280" w:lineRule="exact"/>
        <w:jc w:val="left"/>
        <w:rPr>
          <w:rFonts w:ascii="方正仿宋简体" w:eastAsia="方正仿宋简体"/>
        </w:rPr>
      </w:pPr>
    </w:p>
    <w:sectPr w:rsidR="000612DA">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01A00" w14:textId="77777777" w:rsidR="00131C81" w:rsidRDefault="00131C81" w:rsidP="0092395F">
      <w:r>
        <w:separator/>
      </w:r>
    </w:p>
  </w:endnote>
  <w:endnote w:type="continuationSeparator" w:id="0">
    <w:p w14:paraId="5A96AC45" w14:textId="77777777" w:rsidR="00131C81" w:rsidRDefault="00131C81"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581EBAD3" w14:textId="77777777" w:rsidR="00666EDA" w:rsidRDefault="00666EDA"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F7CBF">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F7CBF">
              <w:rPr>
                <w:b/>
                <w:bCs/>
                <w:noProof/>
              </w:rPr>
              <w:t>17</w:t>
            </w:r>
            <w:r>
              <w:rPr>
                <w:b/>
                <w:bCs/>
                <w:sz w:val="24"/>
                <w:szCs w:val="24"/>
              </w:rPr>
              <w:fldChar w:fldCharType="end"/>
            </w:r>
          </w:p>
        </w:sdtContent>
      </w:sdt>
    </w:sdtContent>
  </w:sdt>
  <w:p w14:paraId="2DF21D3A" w14:textId="77777777" w:rsidR="00666EDA" w:rsidRDefault="00666E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C4CCB" w14:textId="77777777" w:rsidR="00131C81" w:rsidRDefault="00131C81" w:rsidP="0092395F">
      <w:r>
        <w:separator/>
      </w:r>
    </w:p>
  </w:footnote>
  <w:footnote w:type="continuationSeparator" w:id="0">
    <w:p w14:paraId="1145EF3F" w14:textId="77777777" w:rsidR="00131C81" w:rsidRDefault="00131C81"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3">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C21FE0E"/>
    <w:multiLevelType w:val="singleLevel"/>
    <w:tmpl w:val="5C21FE0E"/>
    <w:lvl w:ilvl="0">
      <w:start w:val="2"/>
      <w:numFmt w:val="chineseCounting"/>
      <w:suff w:val="nothing"/>
      <w:lvlText w:val="（%1）"/>
      <w:lvlJc w:val="left"/>
    </w:lvl>
  </w:abstractNum>
  <w:abstractNum w:abstractNumId="15">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17"/>
  </w:num>
  <w:num w:numId="7">
    <w:abstractNumId w:val="7"/>
  </w:num>
  <w:num w:numId="8">
    <w:abstractNumId w:val="13"/>
  </w:num>
  <w:num w:numId="9">
    <w:abstractNumId w:val="19"/>
  </w:num>
  <w:num w:numId="10">
    <w:abstractNumId w:val="12"/>
  </w:num>
  <w:num w:numId="11">
    <w:abstractNumId w:val="14"/>
  </w:num>
  <w:num w:numId="12">
    <w:abstractNumId w:val="0"/>
  </w:num>
  <w:num w:numId="13">
    <w:abstractNumId w:val="3"/>
  </w:num>
  <w:num w:numId="14">
    <w:abstractNumId w:val="4"/>
  </w:num>
  <w:num w:numId="15">
    <w:abstractNumId w:val="20"/>
  </w:num>
  <w:num w:numId="16">
    <w:abstractNumId w:val="6"/>
  </w:num>
  <w:num w:numId="17">
    <w:abstractNumId w:val="15"/>
  </w:num>
  <w:num w:numId="18">
    <w:abstractNumId w:val="8"/>
  </w:num>
  <w:num w:numId="19">
    <w:abstractNumId w:val="11"/>
  </w:num>
  <w:num w:numId="20">
    <w:abstractNumId w:val="1"/>
  </w:num>
  <w:num w:numId="21">
    <w:abstractNumId w:val="5"/>
  </w:num>
  <w:num w:numId="22">
    <w:abstractNumId w:val="10"/>
  </w:num>
  <w:num w:numId="23">
    <w:abstractNumId w:val="16"/>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2A66"/>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1C81"/>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1A4C"/>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04C"/>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6EDA"/>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7F7C29"/>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9F7CBF"/>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676DB"/>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380B"/>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5F7"/>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B7DDE"/>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8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no"?>
<Relationships xmlns="http://schemas.openxmlformats.org/package/2006/relationships">
<Relationship Id="rIDCN_50010000_501064_FA010080_20220001_1jpg" Target="media/CN_50010000_501064_FA010080_20220001_1.jpg" Type="http://schemas.openxmlformats.org/officeDocument/2006/relationships/image"/>
<Relationship Id="rIDCN_50010000_501064_FA010080_20220001_3jpg" Target="media/CN_50010000_501064_FA010080_20220001_3.jpg" Type="http://schemas.openxmlformats.org/officeDocument/2006/relationships/image"/>
<Relationship Id="rId10" Target="endnotes.xml" Type="http://schemas.openxmlformats.org/officeDocument/2006/relationships/endnotes"/>
<Relationship Id="rId11" Target="media/image1.png" Type="http://schemas.openxmlformats.org/officeDocument/2006/relationships/image"/>
<Relationship Id="rId12" Target="charts/chart1.xml" Type="http://schemas.openxmlformats.org/officeDocument/2006/relationships/chart"/>
<Relationship Id="rId13" Target="charts/chart2.xml" Type="http://schemas.openxmlformats.org/officeDocument/2006/relationships/chart"/>
<Relationship Id="rId14" Target="charts/chart3.xml" Type="http://schemas.openxmlformats.org/officeDocument/2006/relationships/chart"/>
<Relationship Id="rId15" Target="charts/chart4.xml" Type="http://schemas.openxmlformats.org/officeDocument/2006/relationships/chart"/>
<Relationship Id="rId16" Target="charts/chart5.xml" Type="http://schemas.openxmlformats.org/officeDocument/2006/relationships/chart"/>
<Relationship Id="rId17" Target="charts/chart6.xml" Type="http://schemas.openxmlformats.org/officeDocument/2006/relationships/chart"/>
<Relationship Id="rId18" Target="charts/chart7.xml" Type="http://schemas.openxmlformats.org/officeDocument/2006/relationships/chart"/>
<Relationship Id="rId19" Target="charts/chart8.xml" Type="http://schemas.openxmlformats.org/officeDocument/2006/relationships/chart"/>
<Relationship Id="rId20" Target="charts/chart9.xml" Type="http://schemas.openxmlformats.org/officeDocument/2006/relationships/chart"/>
<Relationship Id="rId21" Target="charts/chart10.xml" Type="http://schemas.openxmlformats.org/officeDocument/2006/relationships/chart"/>
<Relationship Id="rId22" Target="charts/chart11.xml" Type="http://schemas.openxmlformats.org/officeDocument/2006/relationships/chart"/>
<Relationship Id="rId23" Target="charts/chart12.xml" Type="http://schemas.openxmlformats.org/officeDocument/2006/relationships/chart"/>
<Relationship Id="rId24" Target="footer1.xml" Type="http://schemas.openxmlformats.org/officeDocument/2006/relationships/footer"/>
<Relationship Id="rId25" Target="fontTable.xml" Type="http://schemas.openxmlformats.org/officeDocument/2006/relationships/fontTable"/>
<Relationship Id="rId26" Target="glossary/document.xml" Type="http://schemas.openxmlformats.org/officeDocument/2006/relationships/glossaryDocument"/>
<Relationship Id="rId27" Target="theme/theme1.xml" Type="http://schemas.openxmlformats.org/officeDocument/2006/relationships/theme"/>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tylesWithEffects.xml" Type="http://schemas.microsoft.com/office/2007/relationships/stylesWithEffect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settings.xml.rels><?xml version="1.0" encoding="UTF-8" standalone="no"?>
<Relationships xmlns="http://schemas.openxmlformats.org/package/2006/relationships">
<Relationship Id="rId1" Target="file:///C:/Users/Administrator/AppData/Roaming/Microsoft/Templates/Normal.dotm" TargetMode="External" Type="http://schemas.openxmlformats.org/officeDocument/2006/relationships/attachedTemplate"/>
</Relationships>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文本框 1"/>
        <cdr:cNvSpPr txBox="1"/>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33333333333333333333333333333"/>
        <w:category>
          <w:name w:val="常规"/>
          <w:gallery w:val="placeholder"/>
        </w:category>
        <w:types>
          <w:type w:val="bbPlcHdr"/>
        </w:types>
        <w:behaviors>
          <w:behavior w:val="content"/>
        </w:behaviors>
        <w:guid w:val="{334BEF10-E26F-4DFA-AA01-87668B57AD08}"/>
      </w:docPartPr>
      <w:docPartBody>
        <w:p w:rsidR="00D6090D" w:rsidRDefault="00331623">
          <w:r w:rsidRPr="003F6076">
            <w:rPr>
              <w:rStyle w:val="a3"/>
              <w:rFonts w:hint="eastAsia"/>
            </w:rPr>
            <w:t>（空）</w:t>
          </w:r>
        </w:p>
      </w:docPartBody>
    </w:docPart>
    <w:docPart>
      <w:docPartPr>
        <w:name w:val="DefaultPlaceholder_1082065158"/>
        <w:category>
          <w:name w:val="常规"/>
          <w:gallery w:val="placeholder"/>
        </w:category>
        <w:types>
          <w:type w:val="bbPlcHdr"/>
        </w:types>
        <w:behaviors>
          <w:behavior w:val="content"/>
        </w:behaviors>
        <w:guid w:val="{57CD086F-2F5C-4E66-8256-BB6100FD033D}"/>
      </w:docPartPr>
      <w:docPartBody>
        <w:p w:rsidR="00801DA5" w:rsidRDefault="009A3157">
          <w:r w:rsidRPr="00DA5A48">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0464"/>
    <w:rsid w:val="00586633"/>
    <w:rsid w:val="0058720C"/>
    <w:rsid w:val="005902FE"/>
    <w:rsid w:val="005915B9"/>
    <w:rsid w:val="00593FAA"/>
    <w:rsid w:val="005A1461"/>
    <w:rsid w:val="005A519D"/>
    <w:rsid w:val="005B4288"/>
    <w:rsid w:val="005C25A7"/>
    <w:rsid w:val="005C325D"/>
    <w:rsid w:val="005C4D29"/>
    <w:rsid w:val="005C5059"/>
    <w:rsid w:val="005E12E5"/>
    <w:rsid w:val="005E2BAA"/>
    <w:rsid w:val="005E4AC4"/>
    <w:rsid w:val="005E78D6"/>
    <w:rsid w:val="00610EBD"/>
    <w:rsid w:val="006340F8"/>
    <w:rsid w:val="00637E49"/>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27868"/>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1797"/>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A43ADF4A-9B80-425B-BC2F-A92EEBD1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619</Words>
  <Characters>3530</Characters>
  <Application>Microsoft Office Word</Application>
  <DocSecurity>0</DocSecurity>
  <Lines>29</Lines>
  <Paragraphs>8</Paragraphs>
  <ScaleCrop>false</ScaleCrop>
  <Company>shenduxitong</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2020-08-25T08:03:00Z</dcterms:created>
  <dc:creator>Donghm</dc:creator>
  <cp:lastModifiedBy>Administrator</cp:lastModifiedBy>
  <dcterms:modified xsi:type="dcterms:W3CDTF">2020-08-25T08:03:00Z</dcterms:modified>
  <cp:revision>2</cp:revision>
</cp:coreProperties>
</file>