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68321B" w:rsidP="00812228">
      <w:pPr>
        <w:widowControl/>
        <w:jc w:val="center"/>
        <w:rPr>
          <w:rFonts w:eastAsiaTheme="minorEastAsia"/>
          <w:b/>
          <w:kern w:val="0"/>
          <w:sz w:val="30"/>
          <w:szCs w:val="30"/>
        </w:rPr>
      </w:pPr>
      <w:r w:rsidRPr="0068321B">
        <w:rPr>
          <w:rFonts w:eastAsiaTheme="minorEastAsia"/>
          <w:b/>
          <w:kern w:val="0"/>
          <w:sz w:val="30"/>
          <w:szCs w:val="30"/>
        </w:rPr>
        <w:t>易方达年年恒秋纯债一年定期开放债券型发起式证券投资基金分红公告</w:t>
      </w:r>
    </w:p>
    <w:p w:rsidR="00893436" w:rsidRPr="0068321B"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1</w:t>
      </w:r>
      <w:r w:rsidRPr="0068321B">
        <w:rPr>
          <w:rFonts w:eastAsiaTheme="minorEastAsia"/>
          <w:b/>
          <w:color w:val="000000"/>
          <w:sz w:val="24"/>
          <w:szCs w:val="24"/>
        </w:rPr>
        <w:t>月</w:t>
      </w:r>
      <w:r w:rsidRPr="0068321B">
        <w:rPr>
          <w:rFonts w:eastAsiaTheme="minorEastAsia"/>
          <w:b/>
          <w:color w:val="000000"/>
          <w:sz w:val="24"/>
          <w:szCs w:val="24"/>
        </w:rPr>
        <w:t>8</w:t>
      </w:r>
      <w:r w:rsidRPr="0068321B">
        <w:rPr>
          <w:rFonts w:eastAsiaTheme="minorEastAsia"/>
          <w:b/>
          <w:color w:val="000000"/>
          <w:sz w:val="24"/>
          <w:szCs w:val="24"/>
        </w:rPr>
        <w:t>日</w:t>
      </w:r>
    </w:p>
    <w:p w:rsidR="00893436" w:rsidRPr="0068321B" w:rsidP="00B14D73">
      <w:pPr>
        <w:spacing w:line="360" w:lineRule="auto"/>
        <w:jc w:val="center"/>
        <w:rPr>
          <w:rFonts w:eastAsiaTheme="minorEastAsia"/>
          <w:color w:val="000000"/>
          <w:sz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Tr="00820E1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易方达年年恒秋纯债一年定期开放债券型发起式证券投资基金</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易方达年年恒秋纯债一年定开债券发起式</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007997</w:t>
            </w:r>
          </w:p>
        </w:tc>
      </w:tr>
      <w:tr w:rsidTr="00820E11">
        <w:tblPrEx>
          <w:tblW w:w="9606" w:type="dxa"/>
          <w:jc w:val="center"/>
          <w:tblLayout w:type="fixed"/>
          <w:tblLook w:val="0000"/>
        </w:tblPrEx>
        <w:trPr>
          <w:jc w:val="center"/>
        </w:trPr>
        <w:tc>
          <w:tcPr>
            <w:tcW w:w="4194" w:type="dxa"/>
            <w:gridSpan w:val="2"/>
            <w:vAlign w:val="center"/>
          </w:tcPr>
          <w:p w:rsidR="00D82E8A" w:rsidRPr="0068321B"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2019</w:t>
            </w:r>
            <w:r w:rsidRPr="0068321B">
              <w:rPr>
                <w:rFonts w:eastAsiaTheme="minorEastAsia"/>
                <w:sz w:val="24"/>
                <w:szCs w:val="24"/>
              </w:rPr>
              <w:t>年</w:t>
            </w:r>
            <w:r w:rsidRPr="0068321B">
              <w:rPr>
                <w:rFonts w:eastAsiaTheme="minorEastAsia"/>
                <w:sz w:val="24"/>
                <w:szCs w:val="24"/>
              </w:rPr>
              <w:t>10</w:t>
            </w:r>
            <w:r w:rsidRPr="0068321B">
              <w:rPr>
                <w:rFonts w:eastAsiaTheme="minorEastAsia"/>
                <w:sz w:val="24"/>
                <w:szCs w:val="24"/>
              </w:rPr>
              <w:t>月</w:t>
            </w:r>
            <w:r w:rsidRPr="0068321B">
              <w:rPr>
                <w:rFonts w:eastAsiaTheme="minorEastAsia"/>
                <w:sz w:val="24"/>
                <w:szCs w:val="24"/>
              </w:rPr>
              <w:t>31</w:t>
            </w:r>
            <w:r w:rsidRPr="0068321B">
              <w:rPr>
                <w:rFonts w:eastAsiaTheme="minorEastAsia"/>
                <w:sz w:val="24"/>
                <w:szCs w:val="24"/>
              </w:rPr>
              <w:t>日</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易方达基金管理有限公司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招商银行股份有限公司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《公开募集证券投资基金信息披露管理办法》、《易方达年年恒秋纯债一年定期开放债券型发起式证券投资基金基金合同》、《易方达年年恒秋纯债一年定期开放债券型发起式证券投资基金更新的招募说明书》</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P="00820E11">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31</w:t>
            </w:r>
            <w:r w:rsidRPr="0068321B">
              <w:rPr>
                <w:rFonts w:eastAsiaTheme="minorEastAsia"/>
                <w:sz w:val="24"/>
                <w:szCs w:val="24"/>
              </w:rPr>
              <w:t>日</w:t>
            </w:r>
          </w:p>
        </w:tc>
      </w:tr>
      <w:tr w:rsidTr="00B14D73">
        <w:tblPrEx>
          <w:tblW w:w="9606" w:type="dxa"/>
          <w:jc w:val="center"/>
          <w:tblLayout w:type="fixed"/>
          <w:tblLook w:val="0000"/>
        </w:tblPrEx>
        <w:trPr>
          <w:jc w:val="center"/>
        </w:trPr>
        <w:tc>
          <w:tcPr>
            <w:tcW w:w="4194" w:type="dxa"/>
            <w:gridSpan w:val="2"/>
            <w:vAlign w:val="center"/>
          </w:tcPr>
          <w:p w:rsidR="00893436" w:rsidRPr="0068321B"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2021</w:t>
            </w:r>
            <w:r w:rsidRPr="0068321B">
              <w:rPr>
                <w:rFonts w:eastAsiaTheme="minorEastAsia"/>
                <w:sz w:val="24"/>
                <w:szCs w:val="24"/>
              </w:rPr>
              <w:t>年度的第</w:t>
            </w:r>
            <w:r w:rsidRPr="0068321B">
              <w:rPr>
                <w:rFonts w:eastAsiaTheme="minorEastAsia"/>
                <w:sz w:val="24"/>
                <w:szCs w:val="24"/>
              </w:rPr>
              <w:t>4</w:t>
            </w:r>
            <w:r w:rsidRPr="0068321B">
              <w:rPr>
                <w:rFonts w:eastAsiaTheme="minorEastAsia"/>
                <w:sz w:val="24"/>
                <w:szCs w:val="24"/>
              </w:rPr>
              <w:t>次分红</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易方达年年恒秋纯债一年定开债券发起式</w:t>
            </w:r>
            <w:r w:rsidRPr="0068321B">
              <w:rPr>
                <w:rFonts w:eastAsiaTheme="minorEastAsia"/>
                <w:sz w:val="24"/>
                <w:szCs w:val="24"/>
              </w:rPr>
              <w:t>A</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易方达年年恒秋纯债一年定开债券发起式</w:t>
            </w:r>
            <w:r w:rsidRPr="0068321B">
              <w:rPr>
                <w:rFonts w:eastAsiaTheme="minorEastAsia"/>
                <w:sz w:val="24"/>
                <w:szCs w:val="24"/>
              </w:rPr>
              <w:t>C</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P="0007182D">
            <w:pPr>
              <w:rPr>
                <w:rFonts w:eastAsiaTheme="minorEastAsia"/>
                <w:sz w:val="24"/>
                <w:szCs w:val="24"/>
              </w:rPr>
            </w:pPr>
            <w:r w:rsidRPr="0068321B">
              <w:rPr>
                <w:rFonts w:eastAsiaTheme="minorEastAsia"/>
                <w:sz w:val="24"/>
                <w:szCs w:val="24"/>
              </w:rPr>
              <w:t>007997</w:t>
            </w:r>
          </w:p>
        </w:tc>
        <w:tc>
          <w:tcPr>
            <w:tcW w:w="2706" w:type="dxa"/>
          </w:tcPr>
          <w:p w:rsidR="00266A99" w:rsidRPr="0068321B" w:rsidP="0007182D">
            <w:pPr>
              <w:rPr>
                <w:rFonts w:eastAsiaTheme="minorEastAsia"/>
                <w:sz w:val="24"/>
                <w:szCs w:val="24"/>
              </w:rPr>
            </w:pPr>
            <w:r w:rsidRPr="0068321B">
              <w:rPr>
                <w:rFonts w:eastAsiaTheme="minorEastAsia"/>
                <w:sz w:val="24"/>
                <w:szCs w:val="24"/>
              </w:rPr>
              <w:t>007998</w:t>
            </w:r>
          </w:p>
        </w:tc>
      </w:tr>
      <w:tr w:rsidTr="00B14D73">
        <w:tblPrEx>
          <w:tblW w:w="9606" w:type="dxa"/>
          <w:jc w:val="center"/>
          <w:tblLayout w:type="fixed"/>
          <w:tblLook w:val="0000"/>
        </w:tblPrEx>
        <w:trPr>
          <w:jc w:val="center"/>
        </w:trPr>
        <w:tc>
          <w:tcPr>
            <w:tcW w:w="1980" w:type="dxa"/>
            <w:vMerge w:val="restart"/>
            <w:vAlign w:val="center"/>
          </w:tcPr>
          <w:p w:rsidR="000C169A" w:rsidRPr="0068321B"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1.0136</w:t>
            </w:r>
          </w:p>
        </w:tc>
        <w:tc>
          <w:tcPr>
            <w:tcW w:w="2706" w:type="dxa"/>
          </w:tcPr>
          <w:p w:rsidR="000C169A" w:rsidRPr="0068321B" w:rsidP="0007182D">
            <w:pPr>
              <w:rPr>
                <w:rFonts w:eastAsiaTheme="minorEastAsia"/>
                <w:sz w:val="24"/>
                <w:szCs w:val="24"/>
              </w:rPr>
            </w:pPr>
            <w:r w:rsidRPr="0068321B">
              <w:rPr>
                <w:rFonts w:eastAsiaTheme="minorEastAsia"/>
                <w:sz w:val="24"/>
                <w:szCs w:val="24"/>
              </w:rPr>
              <w:t>1.0122</w:t>
            </w:r>
          </w:p>
        </w:tc>
      </w:tr>
      <w:tr w:rsidTr="00B14D73">
        <w:tblPrEx>
          <w:tblW w:w="9606" w:type="dxa"/>
          <w:jc w:val="center"/>
          <w:tblLayout w:type="fixed"/>
          <w:tblLook w:val="0000"/>
        </w:tblPrEx>
        <w:trPr>
          <w:trHeight w:val="405"/>
          <w:jc w:val="center"/>
        </w:trPr>
        <w:tc>
          <w:tcPr>
            <w:tcW w:w="1980" w:type="dxa"/>
            <w:vMerge/>
          </w:tcPr>
          <w:p w:rsidR="000C169A" w:rsidRPr="0068321B" w:rsidP="0007182D">
            <w:pPr>
              <w:rPr>
                <w:rFonts w:eastAsiaTheme="minorEastAsia"/>
                <w:sz w:val="24"/>
                <w:szCs w:val="24"/>
              </w:rPr>
            </w:pPr>
          </w:p>
        </w:tc>
        <w:tc>
          <w:tcPr>
            <w:tcW w:w="2214" w:type="dxa"/>
            <w:vAlign w:val="center"/>
          </w:tcPr>
          <w:p w:rsidR="000C169A" w:rsidRPr="0068321B"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15,943,872.35</w:t>
            </w:r>
          </w:p>
        </w:tc>
        <w:tc>
          <w:tcPr>
            <w:tcW w:w="2706" w:type="dxa"/>
          </w:tcPr>
          <w:p w:rsidR="000C169A" w:rsidRPr="0068321B" w:rsidP="0007182D">
            <w:pPr>
              <w:rPr>
                <w:rFonts w:eastAsiaTheme="minorEastAsia"/>
                <w:sz w:val="24"/>
                <w:szCs w:val="24"/>
              </w:rPr>
            </w:pPr>
            <w:r w:rsidRPr="0068321B">
              <w:rPr>
                <w:rFonts w:eastAsiaTheme="minorEastAsia"/>
                <w:sz w:val="24"/>
                <w:szCs w:val="24"/>
              </w:rPr>
              <w:t>256,031.10</w:t>
            </w:r>
          </w:p>
        </w:tc>
      </w:tr>
      <w:tr>
        <w:tblPrEx>
          <w:tblW w:w="9606" w:type="dxa"/>
          <w:jc w:val="center"/>
          <w:tblLayout w:type="fixed"/>
          <w:tblLook w:val="0000"/>
        </w:tblPrEx>
        <w:trPr>
          <w:jc w:val="center"/>
        </w:trPr>
        <w:tc>
          <w:tcPr>
            <w:tcW w:w="1980" w:type="dxa"/>
            <w:vMerge/>
          </w:tcPr>
          <w:p w:rsidR="00C4576C"/>
        </w:tc>
        <w:tc>
          <w:tcPr>
            <w:tcW w:w="2214" w:type="dxa"/>
            <w:vAlign w:val="center"/>
          </w:tcPr>
          <w:p w:rsidR="00C4576C">
            <w:pPr>
              <w:jc w:val="center"/>
            </w:pPr>
            <w:r>
              <w:rPr>
                <w:rFonts w:eastAsiaTheme="minorEastAsia"/>
                <w:sz w:val="24"/>
                <w:szCs w:val="24"/>
              </w:rPr>
              <w:t>截止基准日按照基金合同约定的分红比例计算的应分配金额（单位：元）</w:t>
            </w:r>
          </w:p>
        </w:tc>
        <w:tc>
          <w:tcPr>
            <w:tcW w:w="2706" w:type="dxa"/>
            <w:vAlign w:val="center"/>
          </w:tcPr>
          <w:p w:rsidR="00C4576C">
            <w:pPr>
              <w:jc w:val="left"/>
            </w:pPr>
            <w:r>
              <w:rPr>
                <w:rFonts w:eastAsiaTheme="minorEastAsia"/>
                <w:sz w:val="24"/>
                <w:szCs w:val="24"/>
              </w:rPr>
              <w:t>14,349,485.12</w:t>
            </w:r>
          </w:p>
        </w:tc>
        <w:tc>
          <w:tcPr>
            <w:tcW w:w="2706" w:type="dxa"/>
            <w:vAlign w:val="center"/>
          </w:tcPr>
          <w:p w:rsidR="00C4576C">
            <w:pPr>
              <w:jc w:val="left"/>
            </w:pPr>
            <w:r>
              <w:rPr>
                <w:rFonts w:eastAsiaTheme="minorEastAsia"/>
                <w:sz w:val="24"/>
                <w:szCs w:val="24"/>
              </w:rPr>
              <w:t>230,427.99</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P="0007182D">
            <w:pPr>
              <w:rPr>
                <w:rFonts w:eastAsiaTheme="minorEastAsia"/>
                <w:sz w:val="24"/>
                <w:szCs w:val="24"/>
              </w:rPr>
            </w:pPr>
            <w:r w:rsidRPr="0068321B">
              <w:rPr>
                <w:rFonts w:eastAsiaTheme="minorEastAsia"/>
                <w:sz w:val="24"/>
                <w:szCs w:val="24"/>
              </w:rPr>
              <w:t>0.065</w:t>
            </w:r>
          </w:p>
        </w:tc>
        <w:tc>
          <w:tcPr>
            <w:tcW w:w="2706" w:type="dxa"/>
          </w:tcPr>
          <w:p w:rsidR="00266A99" w:rsidRPr="0068321B" w:rsidP="0007182D">
            <w:pPr>
              <w:rPr>
                <w:rFonts w:eastAsiaTheme="minorEastAsia"/>
                <w:sz w:val="24"/>
                <w:szCs w:val="24"/>
              </w:rPr>
            </w:pPr>
            <w:r w:rsidRPr="0068321B">
              <w:rPr>
                <w:rFonts w:eastAsiaTheme="minorEastAsia"/>
                <w:sz w:val="24"/>
                <w:szCs w:val="24"/>
              </w:rPr>
              <w:t>0.055</w:t>
            </w:r>
          </w:p>
        </w:tc>
      </w:tr>
    </w:tbl>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注：根据《易方达年年恒秋纯债一年定期开放债券型发起式证券投资基金基金合同》规定，在符合有关基金分红条件的前提下，基金合同生效满</w:t>
      </w:r>
      <w:r w:rsidRPr="0068321B">
        <w:rPr>
          <w:rFonts w:eastAsiaTheme="minorEastAsia"/>
          <w:color w:val="000000"/>
          <w:sz w:val="24"/>
          <w:szCs w:val="24"/>
        </w:rPr>
        <w:t>3</w:t>
      </w:r>
      <w:r w:rsidRPr="0068321B">
        <w:rPr>
          <w:rFonts w:eastAsiaTheme="minorEastAsia"/>
          <w:color w:val="000000"/>
          <w:sz w:val="24"/>
          <w:szCs w:val="24"/>
        </w:rPr>
        <w:t>个月后，若基金在每季度最后一个交易日收盘后每</w:t>
      </w:r>
      <w:r w:rsidRPr="0068321B">
        <w:rPr>
          <w:rFonts w:eastAsiaTheme="minorEastAsia"/>
          <w:color w:val="000000"/>
          <w:sz w:val="24"/>
          <w:szCs w:val="24"/>
        </w:rPr>
        <w:t>10</w:t>
      </w:r>
      <w:r w:rsidRPr="0068321B">
        <w:rPr>
          <w:rFonts w:eastAsiaTheme="minorEastAsia"/>
          <w:color w:val="000000"/>
          <w:sz w:val="24"/>
          <w:szCs w:val="24"/>
        </w:rPr>
        <w:t>份基金份额可分配利润金额高于</w:t>
      </w:r>
      <w:r w:rsidRPr="0068321B">
        <w:rPr>
          <w:rFonts w:eastAsiaTheme="minorEastAsia"/>
          <w:color w:val="000000"/>
          <w:sz w:val="24"/>
          <w:szCs w:val="24"/>
        </w:rPr>
        <w:t>0.05</w:t>
      </w:r>
      <w:r w:rsidRPr="0068321B">
        <w:rPr>
          <w:rFonts w:eastAsiaTheme="minorEastAsia"/>
          <w:color w:val="000000"/>
          <w:sz w:val="24"/>
          <w:szCs w:val="24"/>
        </w:rPr>
        <w:t>元（含），则基金须进行收益分配，每份基金份额每次分配比例不得低于收</w:t>
      </w:r>
      <w:r w:rsidRPr="0068321B">
        <w:rPr>
          <w:rFonts w:eastAsiaTheme="minorEastAsia"/>
          <w:color w:val="000000"/>
          <w:sz w:val="24"/>
          <w:szCs w:val="24"/>
        </w:rPr>
        <w:t>益分配基准日每份基金份额可供分配利润的</w:t>
      </w:r>
      <w:r w:rsidRPr="0068321B">
        <w:rPr>
          <w:rFonts w:eastAsiaTheme="minorEastAsia"/>
          <w:color w:val="000000"/>
          <w:sz w:val="24"/>
          <w:szCs w:val="24"/>
        </w:rPr>
        <w:t>90%</w:t>
      </w:r>
      <w:r w:rsidRPr="0068321B">
        <w:rPr>
          <w:rFonts w:eastAsiaTheme="minorEastAsia"/>
          <w:color w:val="000000"/>
          <w:sz w:val="24"/>
          <w:szCs w:val="24"/>
        </w:rPr>
        <w:t>。</w:t>
      </w:r>
    </w:p>
    <w:p w:rsidR="00812228" w:rsidRPr="0068321B" w:rsidP="00B14D73">
      <w:pPr>
        <w:spacing w:line="360" w:lineRule="auto"/>
        <w:rPr>
          <w:rFonts w:eastAsiaTheme="minorEastAsia"/>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Tr="00B14D73">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11</w:t>
            </w:r>
            <w:r w:rsidRPr="0068321B">
              <w:rPr>
                <w:rFonts w:eastAsiaTheme="minorEastAsia"/>
                <w:sz w:val="24"/>
                <w:szCs w:val="24"/>
              </w:rPr>
              <w:t>日</w:t>
            </w:r>
          </w:p>
        </w:tc>
      </w:tr>
      <w:tr w:rsidTr="00175AC9">
        <w:tblPrEx>
          <w:tblW w:w="9320" w:type="dxa"/>
          <w:jc w:val="center"/>
          <w:tblLayout w:type="fixed"/>
          <w:tblLook w:val="01E0"/>
        </w:tblPrEx>
        <w:trPr>
          <w:jc w:val="center"/>
        </w:trPr>
        <w:tc>
          <w:tcPr>
            <w:tcW w:w="3342" w:type="dxa"/>
          </w:tcPr>
          <w:p w:rsidR="0099338F" w:rsidRPr="0068321B"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P="00175AC9">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11</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Tr="00B14D73">
        <w:tblPrEx>
          <w:tblW w:w="9320" w:type="dxa"/>
          <w:jc w:val="center"/>
          <w:tblLayout w:type="fixed"/>
          <w:tblLook w:val="01E0"/>
        </w:tblPrEx>
        <w:trPr>
          <w:jc w:val="center"/>
        </w:trPr>
        <w:tc>
          <w:tcPr>
            <w:tcW w:w="3342" w:type="dxa"/>
            <w:shd w:val="clear" w:color="auto" w:fill="auto"/>
            <w:vAlign w:val="center"/>
          </w:tcPr>
          <w:p w:rsidR="00893436" w:rsidRPr="0068321B"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11</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bookmarkStart w:id="2" w:name="_GoBack"/>
            <w:bookmarkEnd w:id="2"/>
            <w:r w:rsidRPr="0068321B">
              <w:rPr>
                <w:rFonts w:eastAsiaTheme="minorEastAsia"/>
                <w:sz w:val="24"/>
                <w:szCs w:val="24"/>
              </w:rPr>
              <w:t>。</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C4576C">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日自基金托管账户划出。</w:t>
      </w:r>
    </w:p>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P="00B14D73">
      <w:pPr>
        <w:spacing w:line="360" w:lineRule="auto"/>
        <w:rPr>
          <w:rFonts w:eastAsiaTheme="minorEastAsia"/>
          <w:color w:val="000000"/>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Pr="0068321B" w:rsidR="00812228">
        <w:rPr>
          <w:rFonts w:eastAsiaTheme="minorEastAsia"/>
          <w:bCs w:val="0"/>
          <w:sz w:val="24"/>
          <w:szCs w:val="24"/>
        </w:rPr>
        <w:t>.</w:t>
      </w:r>
      <w:r w:rsidRPr="0068321B">
        <w:rPr>
          <w:rFonts w:eastAsiaTheme="minorEastAsia"/>
          <w:bCs w:val="0"/>
          <w:sz w:val="24"/>
          <w:szCs w:val="24"/>
        </w:rPr>
        <w:t>其他需要提示的事项</w:t>
      </w:r>
      <w:bookmarkEnd w:id="3"/>
    </w:p>
    <w:p w:rsidR="00C4576C">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C4576C">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http://www.efunds.com.cn</w:t>
      </w:r>
      <w:r>
        <w:rPr>
          <w:rFonts w:eastAsiaTheme="minorEastAsia"/>
          <w:color w:val="000000"/>
          <w:sz w:val="24"/>
          <w:szCs w:val="24"/>
        </w:rPr>
        <w:t>了解相关情况。投资者也可以前往本基金有关销售机构进行咨询。本基金的销售机构详见本基金更新</w:t>
      </w:r>
      <w:r>
        <w:rPr>
          <w:rFonts w:eastAsiaTheme="minorEastAsia"/>
          <w:color w:val="000000"/>
          <w:sz w:val="24"/>
          <w:szCs w:val="24"/>
        </w:rPr>
        <w:t>的招募</w:t>
      </w:r>
      <w:r>
        <w:rPr>
          <w:rFonts w:eastAsiaTheme="minorEastAsia"/>
          <w:color w:val="000000"/>
          <w:sz w:val="24"/>
          <w:szCs w:val="24"/>
        </w:rPr>
        <w:t>说明书或相关公告。</w:t>
      </w:r>
    </w:p>
    <w:p w:rsidR="00364C2A"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特此公告。</w:t>
      </w: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1</w:t>
      </w:r>
      <w:r w:rsidRPr="0068321B">
        <w:rPr>
          <w:rFonts w:eastAsiaTheme="minorEastAsia"/>
          <w:color w:val="000000"/>
          <w:sz w:val="24"/>
          <w:szCs w:val="24"/>
        </w:rPr>
        <w:t>月</w:t>
      </w:r>
      <w:r w:rsidRPr="0068321B">
        <w:rPr>
          <w:rFonts w:eastAsiaTheme="minorEastAsia"/>
          <w:color w:val="000000"/>
          <w:sz w:val="24"/>
          <w:szCs w:val="24"/>
        </w:rPr>
        <w:t>8</w:t>
      </w:r>
      <w:r w:rsidRPr="0068321B">
        <w:rPr>
          <w:rFonts w:eastAsia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75AC9"/>
    <w:rsid w:val="001A61DE"/>
    <w:rsid w:val="001D7FD5"/>
    <w:rsid w:val="00226206"/>
    <w:rsid w:val="00242E4D"/>
    <w:rsid w:val="00266A99"/>
    <w:rsid w:val="00284B1B"/>
    <w:rsid w:val="002A63B7"/>
    <w:rsid w:val="002D73E6"/>
    <w:rsid w:val="003160F8"/>
    <w:rsid w:val="0032061C"/>
    <w:rsid w:val="00362297"/>
    <w:rsid w:val="00364C2A"/>
    <w:rsid w:val="0039192C"/>
    <w:rsid w:val="003C10C0"/>
    <w:rsid w:val="003C26AF"/>
    <w:rsid w:val="003E51F2"/>
    <w:rsid w:val="00410642"/>
    <w:rsid w:val="00413675"/>
    <w:rsid w:val="00486934"/>
    <w:rsid w:val="004966BA"/>
    <w:rsid w:val="004E68DA"/>
    <w:rsid w:val="0050279B"/>
    <w:rsid w:val="00506E3A"/>
    <w:rsid w:val="005715B6"/>
    <w:rsid w:val="00582D89"/>
    <w:rsid w:val="005C74A7"/>
    <w:rsid w:val="005F4F34"/>
    <w:rsid w:val="00602C3F"/>
    <w:rsid w:val="00606D8B"/>
    <w:rsid w:val="0068321B"/>
    <w:rsid w:val="00687863"/>
    <w:rsid w:val="006A2E06"/>
    <w:rsid w:val="00721B55"/>
    <w:rsid w:val="007457E4"/>
    <w:rsid w:val="007C7B20"/>
    <w:rsid w:val="00812228"/>
    <w:rsid w:val="00820E11"/>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4576C"/>
    <w:rsid w:val="00CB3D18"/>
    <w:rsid w:val="00CC333F"/>
    <w:rsid w:val="00CC53FB"/>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12228"/>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241</Words>
  <Characters>1380</Characters>
  <Application>Microsoft Office Word</Application>
  <DocSecurity>0</DocSecurity>
  <Lines>11</Lines>
  <Paragraphs>3</Paragraphs>
  <ScaleCrop>false</ScaleCrop>
  <Company>微软中国</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史建伟</cp:lastModifiedBy>
  <cp:revision>39</cp:revision>
  <dcterms:created xsi:type="dcterms:W3CDTF">2013-07-29T02:29:00Z</dcterms:created>
  <dcterms:modified xsi:type="dcterms:W3CDTF">2022-01-06T01:41:00Z</dcterms:modified>
</cp:coreProperties>
</file>