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3E" w:rsidRPr="00594A3E" w:rsidRDefault="00594A3E" w:rsidP="00594A3E">
      <w:pPr>
        <w:jc w:val="center"/>
        <w:rPr>
          <w:b/>
          <w:sz w:val="28"/>
          <w:szCs w:val="24"/>
        </w:rPr>
      </w:pPr>
      <w:r w:rsidRPr="00594A3E">
        <w:rPr>
          <w:rFonts w:hint="eastAsia"/>
          <w:b/>
          <w:sz w:val="28"/>
          <w:szCs w:val="24"/>
        </w:rPr>
        <w:t>景顺长城中证</w:t>
      </w:r>
      <w:r w:rsidRPr="00594A3E">
        <w:rPr>
          <w:rFonts w:hint="eastAsia"/>
          <w:b/>
          <w:sz w:val="28"/>
          <w:szCs w:val="24"/>
        </w:rPr>
        <w:t>500</w:t>
      </w:r>
      <w:r w:rsidRPr="00594A3E">
        <w:rPr>
          <w:rFonts w:hint="eastAsia"/>
          <w:b/>
          <w:sz w:val="28"/>
          <w:szCs w:val="24"/>
        </w:rPr>
        <w:t>增强策略交易型开放式指数证券投资基金上市交易提示性公告</w:t>
      </w:r>
    </w:p>
    <w:p w:rsidR="00594A3E" w:rsidRPr="00594A3E" w:rsidRDefault="00594A3E" w:rsidP="00594A3E">
      <w:pPr>
        <w:rPr>
          <w:b/>
          <w:sz w:val="28"/>
          <w:szCs w:val="24"/>
        </w:rPr>
      </w:pPr>
    </w:p>
    <w:p w:rsidR="00594A3E" w:rsidRPr="00594A3E" w:rsidRDefault="00594A3E" w:rsidP="00594A3E">
      <w:pPr>
        <w:spacing w:line="360" w:lineRule="auto"/>
        <w:ind w:firstLine="420"/>
        <w:rPr>
          <w:sz w:val="24"/>
          <w:szCs w:val="24"/>
        </w:rPr>
      </w:pPr>
      <w:r w:rsidRPr="00594A3E">
        <w:rPr>
          <w:rFonts w:hint="eastAsia"/>
          <w:sz w:val="24"/>
          <w:szCs w:val="24"/>
        </w:rPr>
        <w:t>景顺长城</w:t>
      </w:r>
      <w:r>
        <w:rPr>
          <w:rFonts w:hint="eastAsia"/>
          <w:sz w:val="24"/>
          <w:szCs w:val="24"/>
        </w:rPr>
        <w:t>中证</w:t>
      </w:r>
      <w:r>
        <w:rPr>
          <w:rFonts w:hint="eastAsia"/>
          <w:sz w:val="24"/>
          <w:szCs w:val="24"/>
        </w:rPr>
        <w:t>500</w:t>
      </w:r>
      <w:r>
        <w:rPr>
          <w:rFonts w:hint="eastAsia"/>
          <w:sz w:val="24"/>
          <w:szCs w:val="24"/>
        </w:rPr>
        <w:t>增强策略</w:t>
      </w:r>
      <w:r w:rsidRPr="00594A3E">
        <w:rPr>
          <w:rFonts w:hint="eastAsia"/>
          <w:sz w:val="24"/>
          <w:szCs w:val="24"/>
        </w:rPr>
        <w:t>交易型开放式指数证券投资基金</w:t>
      </w:r>
      <w:r w:rsidRPr="00594A3E">
        <w:rPr>
          <w:rFonts w:hint="eastAsia"/>
          <w:sz w:val="24"/>
          <w:szCs w:val="24"/>
        </w:rPr>
        <w:t xml:space="preserve"> 202</w:t>
      </w:r>
      <w:r>
        <w:rPr>
          <w:rFonts w:hint="eastAsia"/>
          <w:sz w:val="24"/>
          <w:szCs w:val="24"/>
        </w:rPr>
        <w:t>2</w:t>
      </w:r>
      <w:r w:rsidRPr="00594A3E">
        <w:rPr>
          <w:rFonts w:hint="eastAsia"/>
          <w:sz w:val="24"/>
          <w:szCs w:val="24"/>
        </w:rPr>
        <w:t xml:space="preserve"> </w:t>
      </w:r>
      <w:r w:rsidRPr="00594A3E">
        <w:rPr>
          <w:rFonts w:hint="eastAsia"/>
          <w:sz w:val="24"/>
          <w:szCs w:val="24"/>
        </w:rPr>
        <w:t>年</w:t>
      </w:r>
      <w:r w:rsidRPr="00594A3E">
        <w:rPr>
          <w:rFonts w:hint="eastAsia"/>
          <w:sz w:val="24"/>
          <w:szCs w:val="24"/>
        </w:rPr>
        <w:t xml:space="preserve"> </w:t>
      </w:r>
      <w:r>
        <w:rPr>
          <w:rFonts w:hint="eastAsia"/>
          <w:sz w:val="24"/>
          <w:szCs w:val="24"/>
        </w:rPr>
        <w:t>1</w:t>
      </w:r>
      <w:r w:rsidRPr="00594A3E">
        <w:rPr>
          <w:rFonts w:hint="eastAsia"/>
          <w:sz w:val="24"/>
          <w:szCs w:val="24"/>
        </w:rPr>
        <w:t>月</w:t>
      </w:r>
      <w:r w:rsidRPr="00594A3E">
        <w:rPr>
          <w:rFonts w:hint="eastAsia"/>
          <w:sz w:val="24"/>
          <w:szCs w:val="24"/>
        </w:rPr>
        <w:t xml:space="preserve"> </w:t>
      </w:r>
      <w:r>
        <w:rPr>
          <w:rFonts w:hint="eastAsia"/>
          <w:sz w:val="24"/>
          <w:szCs w:val="24"/>
        </w:rPr>
        <w:t>10</w:t>
      </w:r>
      <w:r w:rsidRPr="00594A3E">
        <w:rPr>
          <w:rFonts w:hint="eastAsia"/>
          <w:sz w:val="24"/>
          <w:szCs w:val="24"/>
        </w:rPr>
        <w:t>日开始在深圳证券交易所上市交易，场内简称：</w:t>
      </w:r>
      <w:r>
        <w:rPr>
          <w:rFonts w:hint="eastAsia"/>
          <w:sz w:val="24"/>
          <w:szCs w:val="24"/>
        </w:rPr>
        <w:t>500ETF</w:t>
      </w:r>
      <w:r>
        <w:rPr>
          <w:rFonts w:hint="eastAsia"/>
          <w:sz w:val="24"/>
          <w:szCs w:val="24"/>
        </w:rPr>
        <w:t>增强，</w:t>
      </w:r>
      <w:r w:rsidRPr="00594A3E">
        <w:rPr>
          <w:rFonts w:hint="eastAsia"/>
          <w:sz w:val="24"/>
          <w:szCs w:val="24"/>
        </w:rPr>
        <w:t>基金代码：</w:t>
      </w:r>
      <w:r w:rsidRPr="00594A3E">
        <w:rPr>
          <w:rFonts w:hint="eastAsia"/>
          <w:sz w:val="24"/>
          <w:szCs w:val="24"/>
        </w:rPr>
        <w:t>159</w:t>
      </w:r>
      <w:r>
        <w:rPr>
          <w:rFonts w:hint="eastAsia"/>
          <w:sz w:val="24"/>
          <w:szCs w:val="24"/>
        </w:rPr>
        <w:t>610</w:t>
      </w:r>
      <w:r w:rsidRPr="00594A3E">
        <w:rPr>
          <w:rFonts w:hint="eastAsia"/>
          <w:sz w:val="24"/>
          <w:szCs w:val="24"/>
        </w:rPr>
        <w:t>。经基金托管人</w:t>
      </w:r>
      <w:r>
        <w:rPr>
          <w:rFonts w:hint="eastAsia"/>
          <w:sz w:val="24"/>
          <w:szCs w:val="24"/>
        </w:rPr>
        <w:t>中国工商银行</w:t>
      </w:r>
      <w:r w:rsidRPr="00594A3E">
        <w:rPr>
          <w:rFonts w:hint="eastAsia"/>
          <w:sz w:val="24"/>
          <w:szCs w:val="24"/>
        </w:rPr>
        <w:t>股份有限公司复核，景顺长城</w:t>
      </w:r>
      <w:r>
        <w:rPr>
          <w:rFonts w:hint="eastAsia"/>
          <w:sz w:val="24"/>
          <w:szCs w:val="24"/>
        </w:rPr>
        <w:t>中证</w:t>
      </w:r>
      <w:r>
        <w:rPr>
          <w:rFonts w:hint="eastAsia"/>
          <w:sz w:val="24"/>
          <w:szCs w:val="24"/>
        </w:rPr>
        <w:t>500</w:t>
      </w:r>
      <w:r>
        <w:rPr>
          <w:rFonts w:hint="eastAsia"/>
          <w:sz w:val="24"/>
          <w:szCs w:val="24"/>
        </w:rPr>
        <w:t>增强策略</w:t>
      </w:r>
      <w:r w:rsidRPr="00594A3E">
        <w:rPr>
          <w:rFonts w:hint="eastAsia"/>
          <w:sz w:val="24"/>
          <w:szCs w:val="24"/>
        </w:rPr>
        <w:t>交易型开放式指数证券投资基金</w:t>
      </w:r>
      <w:r w:rsidRPr="00594A3E">
        <w:rPr>
          <w:rFonts w:hint="eastAsia"/>
          <w:sz w:val="24"/>
          <w:szCs w:val="24"/>
        </w:rPr>
        <w:t xml:space="preserve"> 202</w:t>
      </w:r>
      <w:r>
        <w:rPr>
          <w:rFonts w:hint="eastAsia"/>
          <w:sz w:val="24"/>
          <w:szCs w:val="24"/>
        </w:rPr>
        <w:t>2</w:t>
      </w:r>
      <w:r w:rsidRPr="00594A3E">
        <w:rPr>
          <w:rFonts w:hint="eastAsia"/>
          <w:sz w:val="24"/>
          <w:szCs w:val="24"/>
        </w:rPr>
        <w:t>年</w:t>
      </w:r>
      <w:r w:rsidRPr="00594A3E">
        <w:rPr>
          <w:rFonts w:hint="eastAsia"/>
          <w:sz w:val="24"/>
          <w:szCs w:val="24"/>
        </w:rPr>
        <w:t xml:space="preserve"> </w:t>
      </w:r>
      <w:r>
        <w:rPr>
          <w:rFonts w:hint="eastAsia"/>
          <w:sz w:val="24"/>
          <w:szCs w:val="24"/>
        </w:rPr>
        <w:t>1</w:t>
      </w:r>
      <w:r w:rsidRPr="00594A3E">
        <w:rPr>
          <w:rFonts w:hint="eastAsia"/>
          <w:sz w:val="24"/>
          <w:szCs w:val="24"/>
        </w:rPr>
        <w:t xml:space="preserve"> </w:t>
      </w:r>
      <w:r w:rsidRPr="00594A3E">
        <w:rPr>
          <w:rFonts w:hint="eastAsia"/>
          <w:sz w:val="24"/>
          <w:szCs w:val="24"/>
        </w:rPr>
        <w:t>月</w:t>
      </w:r>
      <w:r w:rsidRPr="00594A3E">
        <w:rPr>
          <w:rFonts w:hint="eastAsia"/>
          <w:sz w:val="24"/>
          <w:szCs w:val="24"/>
        </w:rPr>
        <w:t xml:space="preserve"> </w:t>
      </w:r>
      <w:r>
        <w:rPr>
          <w:rFonts w:hint="eastAsia"/>
          <w:sz w:val="24"/>
          <w:szCs w:val="24"/>
        </w:rPr>
        <w:t>7</w:t>
      </w:r>
      <w:r w:rsidRPr="00594A3E">
        <w:rPr>
          <w:rFonts w:hint="eastAsia"/>
          <w:sz w:val="24"/>
          <w:szCs w:val="24"/>
        </w:rPr>
        <w:t>日的基金份额净值为</w:t>
      </w:r>
      <w:r w:rsidR="00540C65">
        <w:rPr>
          <w:sz w:val="24"/>
          <w:szCs w:val="24"/>
        </w:rPr>
        <w:t>0.9794</w:t>
      </w:r>
      <w:r w:rsidR="00540C65" w:rsidRPr="00594A3E">
        <w:rPr>
          <w:rFonts w:hint="eastAsia"/>
          <w:sz w:val="24"/>
          <w:szCs w:val="24"/>
        </w:rPr>
        <w:t>元</w:t>
      </w:r>
      <w:r w:rsidRPr="00594A3E">
        <w:rPr>
          <w:rFonts w:hint="eastAsia"/>
          <w:sz w:val="24"/>
          <w:szCs w:val="24"/>
        </w:rPr>
        <w:t>，上市首日以该基金份额净值</w:t>
      </w:r>
      <w:r w:rsidR="00540C65">
        <w:rPr>
          <w:sz w:val="24"/>
          <w:szCs w:val="24"/>
        </w:rPr>
        <w:t>0.979</w:t>
      </w:r>
      <w:r w:rsidR="00540C65" w:rsidRPr="00594A3E">
        <w:rPr>
          <w:rFonts w:hint="eastAsia"/>
          <w:sz w:val="24"/>
          <w:szCs w:val="24"/>
        </w:rPr>
        <w:t>元</w:t>
      </w:r>
      <w:r w:rsidRPr="00594A3E">
        <w:rPr>
          <w:rFonts w:hint="eastAsia"/>
          <w:sz w:val="24"/>
          <w:szCs w:val="24"/>
        </w:rPr>
        <w:t>（四舍五入至</w:t>
      </w:r>
      <w:r w:rsidRPr="00594A3E">
        <w:rPr>
          <w:rFonts w:hint="eastAsia"/>
          <w:sz w:val="24"/>
          <w:szCs w:val="24"/>
        </w:rPr>
        <w:t xml:space="preserve"> 0.001 </w:t>
      </w:r>
      <w:r w:rsidRPr="00594A3E">
        <w:rPr>
          <w:rFonts w:hint="eastAsia"/>
          <w:sz w:val="24"/>
          <w:szCs w:val="24"/>
        </w:rPr>
        <w:t>元）为开盘参考价，并以此为基准设置涨跌幅限制，幅度为</w:t>
      </w:r>
      <w:r w:rsidRPr="00594A3E">
        <w:rPr>
          <w:rFonts w:hint="eastAsia"/>
          <w:sz w:val="24"/>
          <w:szCs w:val="24"/>
        </w:rPr>
        <w:t xml:space="preserve"> 10% </w:t>
      </w:r>
      <w:r w:rsidRPr="00594A3E">
        <w:rPr>
          <w:rFonts w:hint="eastAsia"/>
          <w:sz w:val="24"/>
          <w:szCs w:val="24"/>
        </w:rPr>
        <w:t>。</w:t>
      </w:r>
    </w:p>
    <w:p w:rsidR="00594A3E" w:rsidRPr="00594A3E" w:rsidRDefault="00594A3E" w:rsidP="00594A3E">
      <w:pPr>
        <w:spacing w:line="360" w:lineRule="auto"/>
        <w:ind w:firstLine="420"/>
        <w:rPr>
          <w:sz w:val="24"/>
          <w:szCs w:val="24"/>
        </w:rPr>
      </w:pPr>
      <w:r w:rsidRPr="00594A3E">
        <w:rPr>
          <w:rFonts w:hint="eastAsia"/>
          <w:sz w:val="24"/>
          <w:szCs w:val="24"/>
        </w:rPr>
        <w:t>截至</w:t>
      </w:r>
      <w:r w:rsidRPr="00594A3E">
        <w:rPr>
          <w:rFonts w:hint="eastAsia"/>
          <w:sz w:val="24"/>
          <w:szCs w:val="24"/>
        </w:rPr>
        <w:t xml:space="preserve"> 202</w:t>
      </w:r>
      <w:r>
        <w:rPr>
          <w:rFonts w:hint="eastAsia"/>
          <w:sz w:val="24"/>
          <w:szCs w:val="24"/>
        </w:rPr>
        <w:t>2</w:t>
      </w:r>
      <w:r w:rsidRPr="00594A3E">
        <w:rPr>
          <w:rFonts w:hint="eastAsia"/>
          <w:sz w:val="24"/>
          <w:szCs w:val="24"/>
        </w:rPr>
        <w:t xml:space="preserve"> </w:t>
      </w:r>
      <w:r w:rsidRPr="00594A3E">
        <w:rPr>
          <w:rFonts w:hint="eastAsia"/>
          <w:sz w:val="24"/>
          <w:szCs w:val="24"/>
        </w:rPr>
        <w:t>年</w:t>
      </w:r>
      <w:r>
        <w:rPr>
          <w:rFonts w:hint="eastAsia"/>
          <w:sz w:val="24"/>
          <w:szCs w:val="24"/>
        </w:rPr>
        <w:t>1</w:t>
      </w:r>
      <w:r w:rsidRPr="00594A3E">
        <w:rPr>
          <w:rFonts w:hint="eastAsia"/>
          <w:sz w:val="24"/>
          <w:szCs w:val="24"/>
        </w:rPr>
        <w:t xml:space="preserve"> </w:t>
      </w:r>
      <w:r w:rsidRPr="00594A3E">
        <w:rPr>
          <w:rFonts w:hint="eastAsia"/>
          <w:sz w:val="24"/>
          <w:szCs w:val="24"/>
        </w:rPr>
        <w:t>月</w:t>
      </w:r>
      <w:r w:rsidRPr="00594A3E">
        <w:rPr>
          <w:rFonts w:hint="eastAsia"/>
          <w:sz w:val="24"/>
          <w:szCs w:val="24"/>
        </w:rPr>
        <w:t xml:space="preserve"> </w:t>
      </w:r>
      <w:r w:rsidR="00981271">
        <w:rPr>
          <w:rFonts w:hint="eastAsia"/>
          <w:sz w:val="24"/>
          <w:szCs w:val="24"/>
        </w:rPr>
        <w:t>7</w:t>
      </w:r>
      <w:r w:rsidRPr="00594A3E">
        <w:rPr>
          <w:rFonts w:hint="eastAsia"/>
          <w:sz w:val="24"/>
          <w:szCs w:val="24"/>
        </w:rPr>
        <w:t>日，本基金投资于标的指数成份股和备选成份股的资产比例为基金资产净值的</w:t>
      </w:r>
      <w:r w:rsidR="00981271" w:rsidRPr="00981271">
        <w:rPr>
          <w:rFonts w:hint="eastAsia"/>
          <w:sz w:val="24"/>
          <w:szCs w:val="24"/>
        </w:rPr>
        <w:t>89.03%</w:t>
      </w:r>
      <w:r w:rsidRPr="00594A3E">
        <w:rPr>
          <w:rFonts w:hint="eastAsia"/>
          <w:sz w:val="24"/>
          <w:szCs w:val="24"/>
        </w:rPr>
        <w:t>，投资组合比例符合有关法律法规、部门规章、规范性文件的规定和基金合同的有关约定。</w:t>
      </w:r>
    </w:p>
    <w:p w:rsidR="00594A3E" w:rsidRPr="00594A3E" w:rsidRDefault="00594A3E" w:rsidP="00594A3E">
      <w:pPr>
        <w:spacing w:line="360" w:lineRule="auto"/>
        <w:rPr>
          <w:sz w:val="24"/>
          <w:szCs w:val="24"/>
        </w:rPr>
      </w:pPr>
    </w:p>
    <w:p w:rsidR="00594A3E" w:rsidRPr="00594A3E" w:rsidRDefault="00594A3E" w:rsidP="00594A3E">
      <w:pPr>
        <w:spacing w:line="360" w:lineRule="auto"/>
        <w:jc w:val="right"/>
        <w:rPr>
          <w:sz w:val="24"/>
          <w:szCs w:val="24"/>
        </w:rPr>
      </w:pPr>
      <w:r w:rsidRPr="00594A3E">
        <w:rPr>
          <w:rFonts w:hint="eastAsia"/>
          <w:sz w:val="24"/>
          <w:szCs w:val="24"/>
        </w:rPr>
        <w:t>景顺长城基金管理有限公司</w:t>
      </w:r>
    </w:p>
    <w:p w:rsidR="005267F2" w:rsidRPr="00594A3E" w:rsidRDefault="00540C65" w:rsidP="00594A3E">
      <w:pPr>
        <w:spacing w:line="360" w:lineRule="auto"/>
        <w:jc w:val="right"/>
        <w:rPr>
          <w:sz w:val="24"/>
          <w:szCs w:val="24"/>
        </w:rPr>
      </w:pPr>
      <w:r>
        <w:rPr>
          <w:rFonts w:hint="eastAsia"/>
          <w:sz w:val="24"/>
          <w:szCs w:val="24"/>
        </w:rPr>
        <w:t>二零二二</w:t>
      </w:r>
      <w:r w:rsidR="00594A3E" w:rsidRPr="00594A3E">
        <w:rPr>
          <w:rFonts w:hint="eastAsia"/>
          <w:sz w:val="24"/>
          <w:szCs w:val="24"/>
        </w:rPr>
        <w:t>年</w:t>
      </w:r>
      <w:r>
        <w:rPr>
          <w:rFonts w:hint="eastAsia"/>
          <w:sz w:val="24"/>
          <w:szCs w:val="24"/>
        </w:rPr>
        <w:t>一</w:t>
      </w:r>
      <w:r w:rsidR="00594A3E" w:rsidRPr="00594A3E">
        <w:rPr>
          <w:rFonts w:hint="eastAsia"/>
          <w:sz w:val="24"/>
          <w:szCs w:val="24"/>
        </w:rPr>
        <w:t>月</w:t>
      </w:r>
      <w:r>
        <w:rPr>
          <w:rFonts w:hint="eastAsia"/>
          <w:sz w:val="24"/>
          <w:szCs w:val="24"/>
        </w:rPr>
        <w:t>十</w:t>
      </w:r>
      <w:bookmarkStart w:id="0" w:name="_GoBack"/>
      <w:bookmarkEnd w:id="0"/>
      <w:r w:rsidR="00594A3E" w:rsidRPr="00594A3E">
        <w:rPr>
          <w:rFonts w:hint="eastAsia"/>
          <w:sz w:val="24"/>
          <w:szCs w:val="24"/>
        </w:rPr>
        <w:t>日</w:t>
      </w:r>
    </w:p>
    <w:sectPr w:rsidR="005267F2" w:rsidRPr="00594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6C" w:rsidRDefault="0095636C" w:rsidP="00981271">
      <w:r>
        <w:separator/>
      </w:r>
    </w:p>
  </w:endnote>
  <w:endnote w:type="continuationSeparator" w:id="0">
    <w:p w:rsidR="0095636C" w:rsidRDefault="0095636C" w:rsidP="009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6C" w:rsidRDefault="0095636C" w:rsidP="00981271">
      <w:r>
        <w:separator/>
      </w:r>
    </w:p>
  </w:footnote>
  <w:footnote w:type="continuationSeparator" w:id="0">
    <w:p w:rsidR="0095636C" w:rsidRDefault="0095636C" w:rsidP="0098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3E"/>
    <w:rsid w:val="00016B7A"/>
    <w:rsid w:val="0016158C"/>
    <w:rsid w:val="004C2AD4"/>
    <w:rsid w:val="00540C65"/>
    <w:rsid w:val="00594A3E"/>
    <w:rsid w:val="008C5F0F"/>
    <w:rsid w:val="009164D7"/>
    <w:rsid w:val="0095636C"/>
    <w:rsid w:val="00981271"/>
    <w:rsid w:val="00D90EEB"/>
    <w:rsid w:val="00EF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271"/>
    <w:rPr>
      <w:sz w:val="18"/>
      <w:szCs w:val="18"/>
    </w:rPr>
  </w:style>
  <w:style w:type="paragraph" w:styleId="a4">
    <w:name w:val="footer"/>
    <w:basedOn w:val="a"/>
    <w:link w:val="Char0"/>
    <w:uiPriority w:val="99"/>
    <w:unhideWhenUsed/>
    <w:rsid w:val="00981271"/>
    <w:pPr>
      <w:tabs>
        <w:tab w:val="center" w:pos="4153"/>
        <w:tab w:val="right" w:pos="8306"/>
      </w:tabs>
      <w:snapToGrid w:val="0"/>
      <w:jc w:val="left"/>
    </w:pPr>
    <w:rPr>
      <w:sz w:val="18"/>
      <w:szCs w:val="18"/>
    </w:rPr>
  </w:style>
  <w:style w:type="character" w:customStyle="1" w:styleId="Char0">
    <w:name w:val="页脚 Char"/>
    <w:basedOn w:val="a0"/>
    <w:link w:val="a4"/>
    <w:uiPriority w:val="99"/>
    <w:rsid w:val="009812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1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1271"/>
    <w:rPr>
      <w:sz w:val="18"/>
      <w:szCs w:val="18"/>
    </w:rPr>
  </w:style>
  <w:style w:type="paragraph" w:styleId="a4">
    <w:name w:val="footer"/>
    <w:basedOn w:val="a"/>
    <w:link w:val="Char0"/>
    <w:uiPriority w:val="99"/>
    <w:unhideWhenUsed/>
    <w:rsid w:val="00981271"/>
    <w:pPr>
      <w:tabs>
        <w:tab w:val="center" w:pos="4153"/>
        <w:tab w:val="right" w:pos="8306"/>
      </w:tabs>
      <w:snapToGrid w:val="0"/>
      <w:jc w:val="left"/>
    </w:pPr>
    <w:rPr>
      <w:sz w:val="18"/>
      <w:szCs w:val="18"/>
    </w:rPr>
  </w:style>
  <w:style w:type="character" w:customStyle="1" w:styleId="Char0">
    <w:name w:val="页脚 Char"/>
    <w:basedOn w:val="a0"/>
    <w:link w:val="a4"/>
    <w:uiPriority w:val="99"/>
    <w:rsid w:val="00981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324</Characters>
  <Application>Microsoft Office Word</Application>
  <DocSecurity>0</DocSecurity>
  <Lines>2</Lines>
  <Paragraphs>1</Paragraphs>
  <ScaleCrop>false</ScaleCrop>
  <Company>Microsoft</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刘翠碧2</dc:creator>
  <cp:lastModifiedBy>刘翠碧2</cp:lastModifiedBy>
  <cp:revision>3</cp:revision>
  <dcterms:created xsi:type="dcterms:W3CDTF">2022-01-06T01:44:00Z</dcterms:created>
  <dcterms:modified xsi:type="dcterms:W3CDTF">2022-01-07T08:32:00Z</dcterms:modified>
</cp:coreProperties>
</file>