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28" w:rsidRPr="00FC2A28" w:rsidRDefault="00FC2A28" w:rsidP="00FC2A28">
      <w:pPr>
        <w:keepNext/>
        <w:keepLines/>
        <w:widowControl/>
        <w:spacing w:before="120" w:after="120" w:line="360" w:lineRule="auto"/>
        <w:jc w:val="center"/>
        <w:outlineLvl w:val="2"/>
        <w:rPr>
          <w:rFonts w:ascii="Times New Roman" w:eastAsia="楷体_GB2312" w:hAnsi="Times New Roman" w:cs="Times New Roman"/>
          <w:b/>
          <w:bCs/>
          <w:kern w:val="0"/>
          <w:sz w:val="30"/>
          <w:szCs w:val="32"/>
        </w:rPr>
      </w:pPr>
      <w:bookmarkStart w:id="0" w:name="_GoBack"/>
      <w:bookmarkEnd w:id="0"/>
      <w:r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关</w:t>
      </w:r>
      <w:r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于</w:t>
      </w:r>
      <w:r w:rsidR="00FC417A" w:rsidRPr="00FC417A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景顺长城</w:t>
      </w:r>
      <w:r w:rsidR="00C1668B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中证</w:t>
      </w:r>
      <w:r w:rsidR="00C1668B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500</w:t>
      </w:r>
      <w:r w:rsidR="00C1668B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增强策略</w:t>
      </w:r>
      <w:r w:rsidR="00FC417A" w:rsidRPr="00FC417A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交易型开放式指数证券投资基金</w:t>
      </w:r>
      <w:r w:rsidR="00792A96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新增</w:t>
      </w:r>
      <w:r w:rsidRPr="00FC2A28">
        <w:rPr>
          <w:rFonts w:ascii="Times New Roman" w:eastAsia="楷体_GB2312" w:hAnsi="Times New Roman" w:cs="Times New Roman" w:hint="eastAsia"/>
          <w:b/>
          <w:bCs/>
          <w:kern w:val="0"/>
          <w:sz w:val="30"/>
          <w:szCs w:val="32"/>
        </w:rPr>
        <w:t>流动性服务商的公告</w:t>
      </w:r>
    </w:p>
    <w:p w:rsidR="00FC2A28" w:rsidRPr="00FC2A28" w:rsidRDefault="00FC2A28" w:rsidP="00BB7074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BB7074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为促进</w:t>
      </w:r>
      <w:r w:rsidR="00FC417A" w:rsidRPr="00FC417A">
        <w:rPr>
          <w:rFonts w:ascii="Times New Roman" w:eastAsia="宋体" w:hAnsi="Times New Roman" w:cs="Times New Roman" w:hint="eastAsia"/>
          <w:szCs w:val="20"/>
        </w:rPr>
        <w:t>景顺长城</w:t>
      </w:r>
      <w:r w:rsidR="00C1668B">
        <w:rPr>
          <w:rFonts w:ascii="Times New Roman" w:eastAsia="宋体" w:hAnsi="Times New Roman" w:cs="Times New Roman" w:hint="eastAsia"/>
          <w:szCs w:val="20"/>
        </w:rPr>
        <w:t>中证</w:t>
      </w:r>
      <w:r w:rsidR="00C1668B">
        <w:rPr>
          <w:rFonts w:ascii="Times New Roman" w:eastAsia="宋体" w:hAnsi="Times New Roman" w:cs="Times New Roman" w:hint="eastAsia"/>
          <w:szCs w:val="20"/>
        </w:rPr>
        <w:t>500</w:t>
      </w:r>
      <w:r w:rsidR="00C1668B">
        <w:rPr>
          <w:rFonts w:ascii="Times New Roman" w:eastAsia="宋体" w:hAnsi="Times New Roman" w:cs="Times New Roman" w:hint="eastAsia"/>
          <w:szCs w:val="20"/>
        </w:rPr>
        <w:t>增强策略</w:t>
      </w:r>
      <w:r w:rsidR="00FC417A" w:rsidRPr="00FC417A">
        <w:rPr>
          <w:rFonts w:ascii="Times New Roman" w:eastAsia="宋体" w:hAnsi="Times New Roman" w:cs="Times New Roman" w:hint="eastAsia"/>
          <w:szCs w:val="20"/>
        </w:rPr>
        <w:t>交易型开放式指数证券投资基金</w:t>
      </w:r>
      <w:r w:rsidRPr="00FC2A28">
        <w:rPr>
          <w:rFonts w:ascii="Times New Roman" w:eastAsia="宋体" w:hAnsi="Times New Roman" w:cs="Times New Roman" w:hint="eastAsia"/>
          <w:szCs w:val="20"/>
        </w:rPr>
        <w:t>（</w:t>
      </w:r>
      <w:r w:rsidR="0059672A">
        <w:rPr>
          <w:rFonts w:ascii="Times New Roman" w:eastAsia="宋体" w:hAnsi="Times New Roman" w:cs="Times New Roman" w:hint="eastAsia"/>
          <w:szCs w:val="20"/>
        </w:rPr>
        <w:t>基金代码：</w:t>
      </w:r>
      <w:r w:rsidR="0059672A">
        <w:rPr>
          <w:rFonts w:ascii="Times New Roman" w:eastAsia="宋体" w:hAnsi="Times New Roman" w:cs="Times New Roman" w:hint="eastAsia"/>
          <w:szCs w:val="20"/>
        </w:rPr>
        <w:t>159</w:t>
      </w:r>
      <w:r w:rsidR="00C1668B">
        <w:rPr>
          <w:rFonts w:ascii="Times New Roman" w:eastAsia="宋体" w:hAnsi="Times New Roman" w:cs="Times New Roman" w:hint="eastAsia"/>
          <w:szCs w:val="20"/>
        </w:rPr>
        <w:t>610</w:t>
      </w:r>
      <w:r w:rsidR="0059672A">
        <w:rPr>
          <w:rFonts w:ascii="Times New Roman" w:eastAsia="宋体" w:hAnsi="Times New Roman" w:cs="Times New Roman" w:hint="eastAsia"/>
          <w:szCs w:val="20"/>
        </w:rPr>
        <w:t>，场内简称：</w:t>
      </w:r>
      <w:r w:rsidR="00C1668B">
        <w:rPr>
          <w:rFonts w:ascii="Times New Roman" w:eastAsia="宋体" w:hAnsi="Times New Roman" w:cs="Times New Roman" w:hint="eastAsia"/>
          <w:szCs w:val="20"/>
        </w:rPr>
        <w:t>500ETF</w:t>
      </w:r>
      <w:r w:rsidR="00C1668B">
        <w:rPr>
          <w:rFonts w:ascii="Times New Roman" w:eastAsia="宋体" w:hAnsi="Times New Roman" w:cs="Times New Roman" w:hint="eastAsia"/>
          <w:szCs w:val="20"/>
        </w:rPr>
        <w:t>增强</w:t>
      </w:r>
      <w:r w:rsidRPr="00FC2A28">
        <w:rPr>
          <w:rFonts w:ascii="Times New Roman" w:eastAsia="宋体" w:hAnsi="Times New Roman" w:cs="Times New Roman" w:hint="eastAsia"/>
          <w:szCs w:val="20"/>
        </w:rPr>
        <w:t>）的市场流动性和平稳运行，根据《</w:t>
      </w:r>
      <w:r w:rsidR="00092C75" w:rsidRPr="00092C75">
        <w:rPr>
          <w:rFonts w:ascii="Times New Roman" w:eastAsia="宋体" w:hAnsi="Times New Roman" w:cs="Times New Roman" w:hint="eastAsia"/>
          <w:szCs w:val="20"/>
        </w:rPr>
        <w:t>深圳证券交易所证券投资基金业务指引第</w:t>
      </w:r>
      <w:r w:rsidR="00092C75" w:rsidRPr="00092C75">
        <w:rPr>
          <w:rFonts w:ascii="Times New Roman" w:eastAsia="宋体" w:hAnsi="Times New Roman" w:cs="Times New Roman"/>
          <w:szCs w:val="20"/>
        </w:rPr>
        <w:t>2</w:t>
      </w:r>
      <w:r w:rsidR="00092C75" w:rsidRPr="00092C75">
        <w:rPr>
          <w:rFonts w:ascii="Times New Roman" w:eastAsia="宋体" w:hAnsi="Times New Roman" w:cs="Times New Roman"/>
          <w:szCs w:val="20"/>
        </w:rPr>
        <w:t>号</w:t>
      </w:r>
      <w:r w:rsidR="00092C75" w:rsidRPr="00092C75">
        <w:rPr>
          <w:rFonts w:ascii="Times New Roman" w:eastAsia="宋体" w:hAnsi="Times New Roman" w:cs="Times New Roman"/>
          <w:szCs w:val="20"/>
        </w:rPr>
        <w:t>——</w:t>
      </w:r>
      <w:r w:rsidR="00092C75" w:rsidRPr="00092C75">
        <w:rPr>
          <w:rFonts w:ascii="Times New Roman" w:eastAsia="宋体" w:hAnsi="Times New Roman" w:cs="Times New Roman"/>
          <w:szCs w:val="20"/>
        </w:rPr>
        <w:t>流动性服务</w:t>
      </w:r>
      <w:r w:rsidRPr="00FC2A28">
        <w:rPr>
          <w:rFonts w:ascii="Times New Roman" w:eastAsia="宋体" w:hAnsi="Times New Roman" w:cs="Times New Roman" w:hint="eastAsia"/>
          <w:szCs w:val="20"/>
        </w:rPr>
        <w:t>》</w:t>
      </w:r>
      <w:r w:rsidR="00F8460C">
        <w:rPr>
          <w:rFonts w:ascii="Times New Roman" w:eastAsia="宋体" w:hAnsi="Times New Roman" w:cs="Times New Roman" w:hint="eastAsia"/>
          <w:szCs w:val="20"/>
        </w:rPr>
        <w:t>等</w:t>
      </w:r>
      <w:r w:rsidRPr="00FC2A28">
        <w:rPr>
          <w:rFonts w:ascii="Times New Roman" w:eastAsia="宋体" w:hAnsi="Times New Roman" w:cs="Times New Roman" w:hint="eastAsia"/>
          <w:szCs w:val="20"/>
        </w:rPr>
        <w:t>有关规定，自</w:t>
      </w:r>
      <w:r w:rsidR="00CA6739">
        <w:rPr>
          <w:rFonts w:ascii="Times New Roman" w:eastAsia="宋体" w:hAnsi="Times New Roman" w:cs="Times New Roman"/>
          <w:szCs w:val="20"/>
        </w:rPr>
        <w:t>202</w:t>
      </w:r>
      <w:r w:rsidR="00C1668B">
        <w:rPr>
          <w:rFonts w:ascii="Times New Roman" w:eastAsia="宋体" w:hAnsi="Times New Roman" w:cs="Times New Roman" w:hint="eastAsia"/>
          <w:szCs w:val="20"/>
        </w:rPr>
        <w:t>2</w:t>
      </w:r>
      <w:r w:rsidRPr="00FC2A28">
        <w:rPr>
          <w:rFonts w:ascii="Times New Roman" w:eastAsia="宋体" w:hAnsi="Times New Roman" w:cs="Times New Roman" w:hint="eastAsia"/>
          <w:szCs w:val="20"/>
        </w:rPr>
        <w:t>年</w:t>
      </w:r>
      <w:r w:rsidR="00C1668B">
        <w:rPr>
          <w:rFonts w:ascii="Times New Roman" w:eastAsia="宋体" w:hAnsi="Times New Roman" w:cs="Times New Roman" w:hint="eastAsia"/>
          <w:szCs w:val="20"/>
        </w:rPr>
        <w:t>1</w:t>
      </w:r>
      <w:r w:rsidRPr="00FC2A28">
        <w:rPr>
          <w:rFonts w:ascii="Times New Roman" w:eastAsia="宋体" w:hAnsi="Times New Roman" w:cs="Times New Roman" w:hint="eastAsia"/>
          <w:szCs w:val="20"/>
        </w:rPr>
        <w:t>月</w:t>
      </w:r>
      <w:r w:rsidR="00C1668B">
        <w:rPr>
          <w:rFonts w:ascii="Times New Roman" w:eastAsia="宋体" w:hAnsi="Times New Roman" w:cs="Times New Roman" w:hint="eastAsia"/>
          <w:szCs w:val="20"/>
        </w:rPr>
        <w:t>10</w:t>
      </w:r>
      <w:r w:rsidRPr="00FC2A28">
        <w:rPr>
          <w:rFonts w:ascii="Times New Roman" w:eastAsia="宋体" w:hAnsi="Times New Roman" w:cs="Times New Roman" w:hint="eastAsia"/>
          <w:szCs w:val="20"/>
        </w:rPr>
        <w:t>日起，</w:t>
      </w:r>
      <w:r w:rsidR="00F8460C">
        <w:rPr>
          <w:rFonts w:ascii="Times New Roman" w:eastAsia="宋体" w:hAnsi="Times New Roman" w:cs="Times New Roman" w:hint="eastAsia"/>
          <w:szCs w:val="20"/>
        </w:rPr>
        <w:t>本公司新增</w:t>
      </w:r>
      <w:r w:rsidR="00C1668B" w:rsidRPr="00C1668B">
        <w:rPr>
          <w:rFonts w:ascii="Times New Roman" w:eastAsia="宋体" w:hAnsi="Times New Roman" w:cs="Times New Roman" w:hint="eastAsia"/>
          <w:szCs w:val="20"/>
        </w:rPr>
        <w:t>方正证券股份有限公司、招商证券股份有限公司、中信证券股份有限公司和中</w:t>
      </w:r>
      <w:proofErr w:type="gramStart"/>
      <w:r w:rsidR="00C1668B" w:rsidRPr="00C1668B">
        <w:rPr>
          <w:rFonts w:ascii="Times New Roman" w:eastAsia="宋体" w:hAnsi="Times New Roman" w:cs="Times New Roman" w:hint="eastAsia"/>
          <w:szCs w:val="20"/>
        </w:rPr>
        <w:t>信建投证券</w:t>
      </w:r>
      <w:proofErr w:type="gramEnd"/>
      <w:r w:rsidR="00C1668B" w:rsidRPr="00C1668B">
        <w:rPr>
          <w:rFonts w:ascii="Times New Roman" w:eastAsia="宋体" w:hAnsi="Times New Roman" w:cs="Times New Roman" w:hint="eastAsia"/>
          <w:szCs w:val="20"/>
        </w:rPr>
        <w:t>股份有限公司</w:t>
      </w:r>
      <w:r w:rsidRPr="00FC2A28">
        <w:rPr>
          <w:rFonts w:ascii="Times New Roman" w:eastAsia="宋体" w:hAnsi="Times New Roman" w:cs="Times New Roman" w:hint="eastAsia"/>
          <w:szCs w:val="20"/>
        </w:rPr>
        <w:t>为</w:t>
      </w:r>
      <w:r w:rsidR="00C1668B">
        <w:rPr>
          <w:rFonts w:ascii="Times New Roman" w:eastAsia="宋体" w:hAnsi="Times New Roman" w:cs="Times New Roman" w:hint="eastAsia"/>
          <w:szCs w:val="20"/>
        </w:rPr>
        <w:t>500ETF</w:t>
      </w:r>
      <w:r w:rsidR="00C1668B">
        <w:rPr>
          <w:rFonts w:ascii="Times New Roman" w:eastAsia="宋体" w:hAnsi="Times New Roman" w:cs="Times New Roman" w:hint="eastAsia"/>
          <w:szCs w:val="20"/>
        </w:rPr>
        <w:t>增强</w:t>
      </w:r>
      <w:r w:rsidR="00792A96">
        <w:rPr>
          <w:rFonts w:ascii="Times New Roman" w:eastAsia="宋体" w:hAnsi="Times New Roman" w:cs="Times New Roman" w:hint="eastAsia"/>
          <w:szCs w:val="20"/>
        </w:rPr>
        <w:t>的</w:t>
      </w:r>
      <w:r w:rsidRPr="00FC2A28">
        <w:rPr>
          <w:rFonts w:ascii="Times New Roman" w:eastAsia="宋体" w:hAnsi="Times New Roman" w:cs="Times New Roman" w:hint="eastAsia"/>
          <w:szCs w:val="20"/>
        </w:rPr>
        <w:t>流动性服务商。</w:t>
      </w:r>
    </w:p>
    <w:p w:rsidR="00FC2A28" w:rsidRPr="00FC2A28" w:rsidRDefault="00FC2A28" w:rsidP="00BB7074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FC2A28" w:rsidP="00FC2A28">
      <w:pPr>
        <w:jc w:val="lef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 w:hint="eastAsia"/>
          <w:szCs w:val="20"/>
        </w:rPr>
        <w:t xml:space="preserve">　　特此公告。</w:t>
      </w:r>
    </w:p>
    <w:p w:rsidR="00FC2A28" w:rsidRPr="00FC2A28" w:rsidRDefault="00FC2A28" w:rsidP="00FC2A28">
      <w:pPr>
        <w:jc w:val="right"/>
        <w:rPr>
          <w:rFonts w:ascii="Times New Roman" w:eastAsia="宋体" w:hAnsi="Times New Roman" w:cs="Times New Roman"/>
          <w:szCs w:val="20"/>
        </w:rPr>
      </w:pPr>
      <w:r w:rsidRPr="00FC2A28">
        <w:rPr>
          <w:rFonts w:ascii="Times New Roman" w:eastAsia="宋体" w:hAnsi="Times New Roman" w:cs="Times New Roman"/>
          <w:szCs w:val="20"/>
        </w:rPr>
        <w:t xml:space="preserve"> </w:t>
      </w:r>
    </w:p>
    <w:p w:rsidR="00FC2A28" w:rsidRPr="00FC2A28" w:rsidRDefault="00CA6739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景顺长城基金管理有限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公司</w:t>
      </w:r>
    </w:p>
    <w:p w:rsidR="00FC2A28" w:rsidRPr="00FC2A28" w:rsidRDefault="005F5A47" w:rsidP="00FC2A28">
      <w:pPr>
        <w:ind w:firstLine="420"/>
        <w:jc w:val="right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/>
          <w:szCs w:val="20"/>
        </w:rPr>
        <w:t>202</w:t>
      </w:r>
      <w:r w:rsidR="00C1668B">
        <w:rPr>
          <w:rFonts w:ascii="Times New Roman" w:eastAsia="宋体" w:hAnsi="Times New Roman" w:cs="Times New Roman" w:hint="eastAsia"/>
          <w:szCs w:val="20"/>
        </w:rPr>
        <w:t>2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年</w:t>
      </w:r>
      <w:r w:rsidR="00C1668B">
        <w:rPr>
          <w:rFonts w:ascii="Times New Roman" w:eastAsia="宋体" w:hAnsi="Times New Roman" w:cs="Times New Roman" w:hint="eastAsia"/>
          <w:szCs w:val="20"/>
        </w:rPr>
        <w:t>1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月</w:t>
      </w:r>
      <w:r w:rsidR="00C1668B">
        <w:rPr>
          <w:rFonts w:ascii="Times New Roman" w:eastAsia="宋体" w:hAnsi="Times New Roman" w:cs="Times New Roman" w:hint="eastAsia"/>
          <w:szCs w:val="20"/>
        </w:rPr>
        <w:t>10</w:t>
      </w:r>
      <w:r w:rsidR="00FC2A28" w:rsidRPr="00FC2A28">
        <w:rPr>
          <w:rFonts w:ascii="Times New Roman" w:eastAsia="宋体" w:hAnsi="Times New Roman" w:cs="Times New Roman" w:hint="eastAsia"/>
          <w:szCs w:val="20"/>
        </w:rPr>
        <w:t>日</w:t>
      </w:r>
    </w:p>
    <w:sectPr w:rsidR="00FC2A28" w:rsidRPr="00FC2A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CB" w:rsidRDefault="001E14CB" w:rsidP="00092C75">
      <w:r>
        <w:separator/>
      </w:r>
    </w:p>
  </w:endnote>
  <w:endnote w:type="continuationSeparator" w:id="0">
    <w:p w:rsidR="001E14CB" w:rsidRDefault="001E14CB" w:rsidP="0009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CB" w:rsidRDefault="001E14CB" w:rsidP="00092C75">
      <w:r>
        <w:separator/>
      </w:r>
    </w:p>
  </w:footnote>
  <w:footnote w:type="continuationSeparator" w:id="0">
    <w:p w:rsidR="001E14CB" w:rsidRDefault="001E14CB" w:rsidP="00092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261"/>
    <w:rsid w:val="000259BC"/>
    <w:rsid w:val="00061180"/>
    <w:rsid w:val="00092C75"/>
    <w:rsid w:val="000F23D6"/>
    <w:rsid w:val="000F5486"/>
    <w:rsid w:val="00147A87"/>
    <w:rsid w:val="00166BDA"/>
    <w:rsid w:val="0017709B"/>
    <w:rsid w:val="0018477E"/>
    <w:rsid w:val="00186B81"/>
    <w:rsid w:val="001A66AC"/>
    <w:rsid w:val="001E14CB"/>
    <w:rsid w:val="00206FC8"/>
    <w:rsid w:val="00216CC4"/>
    <w:rsid w:val="00316549"/>
    <w:rsid w:val="004746CB"/>
    <w:rsid w:val="0059672A"/>
    <w:rsid w:val="005C6C5C"/>
    <w:rsid w:val="005F5A47"/>
    <w:rsid w:val="00711D36"/>
    <w:rsid w:val="00792A96"/>
    <w:rsid w:val="007B2188"/>
    <w:rsid w:val="00817E9B"/>
    <w:rsid w:val="008D0F9B"/>
    <w:rsid w:val="009D1DE7"/>
    <w:rsid w:val="00B276A8"/>
    <w:rsid w:val="00B50B2B"/>
    <w:rsid w:val="00BB7074"/>
    <w:rsid w:val="00C1668B"/>
    <w:rsid w:val="00CA6739"/>
    <w:rsid w:val="00E13483"/>
    <w:rsid w:val="00EA6475"/>
    <w:rsid w:val="00F8460C"/>
    <w:rsid w:val="00FB06A4"/>
    <w:rsid w:val="00FC1B8E"/>
    <w:rsid w:val="00FC2A28"/>
    <w:rsid w:val="00FC417A"/>
    <w:rsid w:val="00FE0443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1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1B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C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1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1B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王海昌</cp:lastModifiedBy>
  <cp:revision>6</cp:revision>
  <dcterms:created xsi:type="dcterms:W3CDTF">2021-12-30T10:04:00Z</dcterms:created>
  <dcterms:modified xsi:type="dcterms:W3CDTF">2022-01-06T02:39:00Z</dcterms:modified>
</cp:coreProperties>
</file>