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4" w:rsidRPr="00CA4326" w:rsidRDefault="00194AA3" w:rsidP="00194AA3">
      <w:pPr>
        <w:pStyle w:val="a3"/>
        <w:spacing w:line="400" w:lineRule="exact"/>
        <w:jc w:val="center"/>
        <w:rPr>
          <w:rFonts w:ascii="仿宋_GB2312" w:eastAsia="仿宋_GB2312" w:hAnsiTheme="minorEastAsia" w:cs="Times New Roman"/>
          <w:b/>
          <w:bCs/>
        </w:rPr>
      </w:pPr>
      <w:r w:rsidRPr="00194AA3">
        <w:rPr>
          <w:rFonts w:ascii="仿宋_GB2312" w:eastAsia="仿宋_GB2312" w:hAnsiTheme="minorEastAsia" w:cs="Times New Roman" w:hint="eastAsia"/>
          <w:b/>
        </w:rPr>
        <w:t>关于景顺长城中证港股通科技交易型开放式指数证券投资基金变更</w:t>
      </w:r>
      <w:proofErr w:type="gramStart"/>
      <w:r w:rsidRPr="00194AA3">
        <w:rPr>
          <w:rFonts w:ascii="仿宋_GB2312" w:eastAsia="仿宋_GB2312" w:hAnsiTheme="minorEastAsia" w:cs="Times New Roman" w:hint="eastAsia"/>
          <w:b/>
        </w:rPr>
        <w:t>场内</w:t>
      </w:r>
      <w:r>
        <w:rPr>
          <w:rFonts w:ascii="仿宋_GB2312" w:eastAsia="仿宋_GB2312" w:hAnsiTheme="minorEastAsia" w:cs="Times New Roman" w:hint="eastAsia"/>
          <w:b/>
        </w:rPr>
        <w:t>扩位</w:t>
      </w:r>
      <w:r w:rsidRPr="00194AA3">
        <w:rPr>
          <w:rFonts w:ascii="仿宋_GB2312" w:eastAsia="仿宋_GB2312" w:hAnsiTheme="minorEastAsia" w:cs="Times New Roman" w:hint="eastAsia"/>
          <w:b/>
        </w:rPr>
        <w:t>简称</w:t>
      </w:r>
      <w:proofErr w:type="gramEnd"/>
      <w:r w:rsidRPr="00194AA3">
        <w:rPr>
          <w:rFonts w:ascii="仿宋_GB2312" w:eastAsia="仿宋_GB2312" w:hAnsiTheme="minorEastAsia" w:cs="Times New Roman" w:hint="eastAsia"/>
          <w:b/>
        </w:rPr>
        <w:t>的公告</w:t>
      </w:r>
    </w:p>
    <w:p w:rsidR="00B127F4" w:rsidRDefault="00194AA3" w:rsidP="00194AA3">
      <w:pPr>
        <w:pStyle w:val="a3"/>
        <w:spacing w:line="400" w:lineRule="exact"/>
        <w:ind w:firstLineChars="200" w:firstLine="480"/>
        <w:jc w:val="both"/>
        <w:rPr>
          <w:rFonts w:ascii="仿宋_GB2312" w:eastAsia="仿宋_GB2312" w:hAnsiTheme="minorEastAsia" w:cs="Times New Roman"/>
          <w:bCs/>
        </w:rPr>
      </w:pPr>
      <w:r w:rsidRPr="00194AA3">
        <w:rPr>
          <w:rFonts w:ascii="仿宋_GB2312" w:eastAsia="仿宋_GB2312" w:hAnsiTheme="minorEastAsia" w:cs="Times New Roman" w:hint="eastAsia"/>
          <w:bCs/>
        </w:rPr>
        <w:t>根据《中华人民共和国证券投资基金法》《公开募集证券投资基金运作管理办法》《</w:t>
      </w:r>
      <w:r>
        <w:rPr>
          <w:rFonts w:ascii="仿宋_GB2312" w:eastAsia="仿宋_GB2312" w:hAnsiTheme="minorEastAsia" w:cs="Times New Roman" w:hint="eastAsia"/>
          <w:bCs/>
        </w:rPr>
        <w:t>景顺长城中证港股通科技交易型开放式指数证券投资基金</w:t>
      </w:r>
      <w:r w:rsidRPr="00194AA3">
        <w:rPr>
          <w:rFonts w:ascii="仿宋_GB2312" w:eastAsia="仿宋_GB2312" w:hAnsiTheme="minorEastAsia" w:cs="Times New Roman" w:hint="eastAsia"/>
          <w:bCs/>
        </w:rPr>
        <w:t>基金合同》（以下简称“《基金合同》”），经向上海证券交易所申请并获得同意，景顺长城基金管理有限公司（以下简称“本公司”）决定自202</w:t>
      </w:r>
      <w:r>
        <w:rPr>
          <w:rFonts w:ascii="仿宋_GB2312" w:eastAsia="仿宋_GB2312" w:hAnsiTheme="minorEastAsia" w:cs="Times New Roman" w:hint="eastAsia"/>
          <w:bCs/>
        </w:rPr>
        <w:t>2</w:t>
      </w:r>
      <w:r w:rsidRPr="00194AA3">
        <w:rPr>
          <w:rFonts w:ascii="仿宋_GB2312" w:eastAsia="仿宋_GB2312" w:hAnsiTheme="minorEastAsia" w:cs="Times New Roman" w:hint="eastAsia"/>
          <w:bCs/>
        </w:rPr>
        <w:t>年1月1</w:t>
      </w:r>
      <w:r>
        <w:rPr>
          <w:rFonts w:ascii="仿宋_GB2312" w:eastAsia="仿宋_GB2312" w:hAnsiTheme="minorEastAsia" w:cs="Times New Roman" w:hint="eastAsia"/>
          <w:bCs/>
        </w:rPr>
        <w:t>2</w:t>
      </w:r>
      <w:r w:rsidRPr="00194AA3">
        <w:rPr>
          <w:rFonts w:ascii="仿宋_GB2312" w:eastAsia="仿宋_GB2312" w:hAnsiTheme="minorEastAsia" w:cs="Times New Roman" w:hint="eastAsia"/>
          <w:bCs/>
        </w:rPr>
        <w:t>日起变更</w:t>
      </w:r>
      <w:r>
        <w:rPr>
          <w:rFonts w:ascii="仿宋_GB2312" w:eastAsia="仿宋_GB2312" w:hAnsiTheme="minorEastAsia" w:cs="Times New Roman" w:hint="eastAsia"/>
          <w:bCs/>
        </w:rPr>
        <w:t>景顺长城中证港股通科技交易型开放式指数证券投资基金</w:t>
      </w:r>
      <w:proofErr w:type="gramStart"/>
      <w:r w:rsidRPr="00194AA3">
        <w:rPr>
          <w:rFonts w:ascii="仿宋_GB2312" w:eastAsia="仿宋_GB2312" w:hAnsiTheme="minorEastAsia" w:cs="Times New Roman" w:hint="eastAsia"/>
          <w:bCs/>
        </w:rPr>
        <w:t>场内扩位简称</w:t>
      </w:r>
      <w:proofErr w:type="gramEnd"/>
      <w:r w:rsidRPr="00194AA3">
        <w:rPr>
          <w:rFonts w:ascii="仿宋_GB2312" w:eastAsia="仿宋_GB2312" w:hAnsiTheme="minorEastAsia" w:cs="Times New Roman" w:hint="eastAsia"/>
          <w:bCs/>
        </w:rPr>
        <w:t>，具体如下：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2975"/>
        <w:gridCol w:w="2590"/>
      </w:tblGrid>
      <w:tr w:rsidR="00194AA3" w:rsidRPr="00194AA3" w:rsidTr="00194AA3">
        <w:trPr>
          <w:trHeight w:val="595"/>
          <w:jc w:val="center"/>
        </w:trPr>
        <w:tc>
          <w:tcPr>
            <w:tcW w:w="1593" w:type="dxa"/>
            <w:vAlign w:val="center"/>
          </w:tcPr>
          <w:p w:rsidR="00194AA3" w:rsidRPr="00194AA3" w:rsidRDefault="00194AA3" w:rsidP="00194AA3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194AA3">
              <w:rPr>
                <w:rFonts w:ascii="仿宋" w:eastAsia="仿宋" w:hAnsi="仿宋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2975" w:type="dxa"/>
            <w:vAlign w:val="center"/>
          </w:tcPr>
          <w:p w:rsidR="00194AA3" w:rsidRPr="00194AA3" w:rsidRDefault="00194AA3" w:rsidP="00194AA3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194AA3">
              <w:rPr>
                <w:rFonts w:ascii="仿宋" w:eastAsia="仿宋" w:hAnsi="仿宋" w:hint="eastAsia"/>
                <w:b/>
                <w:sz w:val="24"/>
                <w:szCs w:val="24"/>
              </w:rPr>
              <w:t>变更</w:t>
            </w:r>
            <w:proofErr w:type="gramStart"/>
            <w:r w:rsidRPr="00194AA3">
              <w:rPr>
                <w:rFonts w:ascii="仿宋" w:eastAsia="仿宋" w:hAnsi="仿宋" w:hint="eastAsia"/>
                <w:b/>
                <w:sz w:val="24"/>
                <w:szCs w:val="24"/>
              </w:rPr>
              <w:t>前扩位</w:t>
            </w:r>
            <w:proofErr w:type="gramEnd"/>
            <w:r w:rsidRPr="00194AA3">
              <w:rPr>
                <w:rFonts w:ascii="仿宋" w:eastAsia="仿宋" w:hAnsi="仿宋" w:hint="eastAsia"/>
                <w:b/>
                <w:sz w:val="24"/>
                <w:szCs w:val="24"/>
              </w:rPr>
              <w:t>简称</w:t>
            </w:r>
          </w:p>
        </w:tc>
        <w:tc>
          <w:tcPr>
            <w:tcW w:w="2590" w:type="dxa"/>
            <w:vAlign w:val="center"/>
          </w:tcPr>
          <w:p w:rsidR="00194AA3" w:rsidRPr="00194AA3" w:rsidRDefault="00194AA3" w:rsidP="00194AA3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194AA3">
              <w:rPr>
                <w:rFonts w:ascii="仿宋" w:eastAsia="仿宋" w:hAnsi="仿宋" w:hint="eastAsia"/>
                <w:b/>
                <w:sz w:val="24"/>
                <w:szCs w:val="24"/>
              </w:rPr>
              <w:t>变更</w:t>
            </w:r>
            <w:proofErr w:type="gramStart"/>
            <w:r w:rsidRPr="00194AA3">
              <w:rPr>
                <w:rFonts w:ascii="仿宋" w:eastAsia="仿宋" w:hAnsi="仿宋" w:hint="eastAsia"/>
                <w:b/>
                <w:sz w:val="24"/>
                <w:szCs w:val="24"/>
              </w:rPr>
              <w:t>后扩位简称</w:t>
            </w:r>
            <w:proofErr w:type="gramEnd"/>
          </w:p>
        </w:tc>
      </w:tr>
      <w:tr w:rsidR="00194AA3" w:rsidRPr="00194AA3" w:rsidTr="00194AA3">
        <w:trPr>
          <w:trHeight w:val="624"/>
          <w:jc w:val="center"/>
        </w:trPr>
        <w:tc>
          <w:tcPr>
            <w:tcW w:w="1593" w:type="dxa"/>
            <w:vAlign w:val="center"/>
          </w:tcPr>
          <w:p w:rsidR="00194AA3" w:rsidRPr="00194AA3" w:rsidRDefault="00194AA3" w:rsidP="00194AA3">
            <w:pPr>
              <w:pStyle w:val="a3"/>
              <w:spacing w:line="400" w:lineRule="exact"/>
              <w:jc w:val="both"/>
              <w:rPr>
                <w:rFonts w:ascii="仿宋" w:eastAsia="仿宋" w:hAnsi="仿宋" w:cs="Times New Roman"/>
              </w:rPr>
            </w:pPr>
            <w:r w:rsidRPr="00194AA3">
              <w:rPr>
                <w:rFonts w:ascii="仿宋" w:eastAsia="仿宋" w:hAnsi="仿宋" w:hint="eastAsia"/>
              </w:rPr>
              <w:t>513980</w:t>
            </w:r>
          </w:p>
        </w:tc>
        <w:tc>
          <w:tcPr>
            <w:tcW w:w="2975" w:type="dxa"/>
            <w:vAlign w:val="center"/>
          </w:tcPr>
          <w:p w:rsidR="00194AA3" w:rsidRPr="00194AA3" w:rsidRDefault="00194AA3" w:rsidP="00194AA3">
            <w:pPr>
              <w:pStyle w:val="a3"/>
              <w:spacing w:line="400" w:lineRule="exact"/>
              <w:jc w:val="both"/>
              <w:rPr>
                <w:rFonts w:ascii="仿宋" w:eastAsia="仿宋" w:hAnsi="仿宋" w:cs="Times New Roman"/>
              </w:rPr>
            </w:pPr>
            <w:r w:rsidRPr="00194AA3">
              <w:rPr>
                <w:rFonts w:ascii="仿宋" w:eastAsia="仿宋" w:hAnsi="仿宋" w:cs="Times New Roman" w:hint="eastAsia"/>
              </w:rPr>
              <w:t>港股科技ETF基金</w:t>
            </w:r>
          </w:p>
        </w:tc>
        <w:tc>
          <w:tcPr>
            <w:tcW w:w="2590" w:type="dxa"/>
            <w:vAlign w:val="center"/>
          </w:tcPr>
          <w:p w:rsidR="00194AA3" w:rsidRPr="00194AA3" w:rsidRDefault="00194AA3" w:rsidP="00194AA3">
            <w:pPr>
              <w:pStyle w:val="a3"/>
              <w:spacing w:line="400" w:lineRule="exact"/>
              <w:jc w:val="both"/>
              <w:rPr>
                <w:rFonts w:ascii="仿宋" w:eastAsia="仿宋" w:hAnsi="仿宋" w:cs="Times New Roman"/>
              </w:rPr>
            </w:pPr>
            <w:r w:rsidRPr="00194AA3">
              <w:rPr>
                <w:rFonts w:ascii="仿宋" w:eastAsia="仿宋" w:hAnsi="仿宋" w:cs="Times New Roman" w:hint="eastAsia"/>
              </w:rPr>
              <w:t>港股科技50ETF</w:t>
            </w:r>
          </w:p>
        </w:tc>
      </w:tr>
    </w:tbl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按照《基金合同》约定，本次基金变更上述</w:t>
      </w:r>
      <w:proofErr w:type="gramStart"/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场内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扩位</w:t>
      </w: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简称</w:t>
      </w:r>
      <w:proofErr w:type="gramEnd"/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对基金份额持有人利益无实质不利影响，且不涉及基金合同当事人权利义务变化，无需召开基金份额持有人大会。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上述</w:t>
      </w:r>
      <w:proofErr w:type="gramStart"/>
      <w:r w:rsidRPr="00194AA3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变更自</w:t>
      </w:r>
      <w:proofErr w:type="gramEnd"/>
      <w:r w:rsidRPr="00194AA3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2022年1月12日生效。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bookmarkStart w:id="0" w:name="_GoBack"/>
      <w:bookmarkEnd w:id="0"/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投资者可采用以下方式进行相关咨询：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客户服务电话：4008888606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公司网址：www.igwfmc.com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公司</w:t>
      </w:r>
      <w:proofErr w:type="gramStart"/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官方微信服务</w:t>
      </w:r>
      <w:proofErr w:type="gramEnd"/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号：</w:t>
      </w:r>
      <w:proofErr w:type="spellStart"/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IGWfund</w:t>
      </w:r>
      <w:proofErr w:type="spellEnd"/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公司官方APP：景顺长城基金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风险提示：基金管理人承诺以诚实信用、勤勉尽责的原则管理和运用基金资产，但不保证基金一定盈利，也不保证最低收益。投资者投资于本基金时应认真阅读本基金的基金合同、招募说明书等文件。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敬请投资者留意投资风险。</w:t>
      </w: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  <w:szCs w:val="24"/>
        </w:rPr>
      </w:pPr>
    </w:p>
    <w:p w:rsidR="00194AA3" w:rsidRPr="00194AA3" w:rsidRDefault="00194AA3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jc w:val="right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景顺长城基金管理有限公司</w:t>
      </w:r>
    </w:p>
    <w:p w:rsidR="00B127F4" w:rsidRPr="008004E7" w:rsidRDefault="006B5965" w:rsidP="00194AA3">
      <w:pPr>
        <w:widowControl/>
        <w:adjustRightInd w:val="0"/>
        <w:snapToGrid w:val="0"/>
        <w:spacing w:beforeLines="50" w:before="156" w:afterLines="50" w:after="156" w:line="400" w:lineRule="exact"/>
        <w:ind w:firstLineChars="200" w:firstLine="480"/>
        <w:jc w:val="right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二零二二</w:t>
      </w:r>
      <w:r w:rsidR="00194AA3"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年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一</w:t>
      </w:r>
      <w:r w:rsidR="00194AA3"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月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十</w:t>
      </w:r>
      <w:r w:rsidR="00194AA3" w:rsidRPr="00194AA3">
        <w:rPr>
          <w:rFonts w:ascii="仿宋_GB2312" w:eastAsia="仿宋_GB2312" w:hAnsiTheme="minorEastAsia" w:cs="宋体" w:hint="eastAsia"/>
          <w:kern w:val="0"/>
          <w:sz w:val="24"/>
          <w:szCs w:val="24"/>
        </w:rPr>
        <w:t>日</w:t>
      </w:r>
    </w:p>
    <w:sectPr w:rsidR="00B127F4" w:rsidRPr="008004E7" w:rsidSect="0090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40" w:rsidRDefault="00884D40" w:rsidP="002F7C39">
      <w:r>
        <w:separator/>
      </w:r>
    </w:p>
  </w:endnote>
  <w:endnote w:type="continuationSeparator" w:id="0">
    <w:p w:rsidR="00884D40" w:rsidRDefault="00884D40" w:rsidP="002F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40" w:rsidRDefault="00884D40" w:rsidP="002F7C39">
      <w:r>
        <w:separator/>
      </w:r>
    </w:p>
  </w:footnote>
  <w:footnote w:type="continuationSeparator" w:id="0">
    <w:p w:rsidR="00884D40" w:rsidRDefault="00884D40" w:rsidP="002F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4"/>
    <w:rsid w:val="000765E0"/>
    <w:rsid w:val="00145438"/>
    <w:rsid w:val="00194AA3"/>
    <w:rsid w:val="00241E23"/>
    <w:rsid w:val="0025588E"/>
    <w:rsid w:val="002E3FEB"/>
    <w:rsid w:val="002F7C39"/>
    <w:rsid w:val="004D3DBF"/>
    <w:rsid w:val="004F0854"/>
    <w:rsid w:val="00506BE8"/>
    <w:rsid w:val="00520428"/>
    <w:rsid w:val="005375F7"/>
    <w:rsid w:val="00605991"/>
    <w:rsid w:val="0064446A"/>
    <w:rsid w:val="00647C2A"/>
    <w:rsid w:val="006B5965"/>
    <w:rsid w:val="006C7DCF"/>
    <w:rsid w:val="00787D44"/>
    <w:rsid w:val="008004E7"/>
    <w:rsid w:val="008137E5"/>
    <w:rsid w:val="00884D40"/>
    <w:rsid w:val="008F21C9"/>
    <w:rsid w:val="0090316A"/>
    <w:rsid w:val="009677AE"/>
    <w:rsid w:val="009914D7"/>
    <w:rsid w:val="009F05E6"/>
    <w:rsid w:val="00A16AA8"/>
    <w:rsid w:val="00A17767"/>
    <w:rsid w:val="00A207DE"/>
    <w:rsid w:val="00A2446E"/>
    <w:rsid w:val="00A30DE7"/>
    <w:rsid w:val="00A35179"/>
    <w:rsid w:val="00AB077B"/>
    <w:rsid w:val="00AC2682"/>
    <w:rsid w:val="00B127F4"/>
    <w:rsid w:val="00B72149"/>
    <w:rsid w:val="00B73149"/>
    <w:rsid w:val="00BA38F7"/>
    <w:rsid w:val="00BB048F"/>
    <w:rsid w:val="00CA4326"/>
    <w:rsid w:val="00D12C60"/>
    <w:rsid w:val="00D24C5E"/>
    <w:rsid w:val="00D56BEB"/>
    <w:rsid w:val="00DC6E05"/>
    <w:rsid w:val="00E34E60"/>
    <w:rsid w:val="00E64C4C"/>
    <w:rsid w:val="00E949B8"/>
    <w:rsid w:val="00F25CAC"/>
    <w:rsid w:val="00F36D02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7C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7C3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7C3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7C3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F7C3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7C3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F7C3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F7C3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F7C39"/>
    <w:rPr>
      <w:sz w:val="18"/>
      <w:szCs w:val="18"/>
    </w:rPr>
  </w:style>
  <w:style w:type="table" w:styleId="aa">
    <w:name w:val="Table Grid"/>
    <w:basedOn w:val="a1"/>
    <w:uiPriority w:val="39"/>
    <w:rsid w:val="0019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7C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7C3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7C3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7C3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F7C3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7C3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F7C3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F7C3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F7C39"/>
    <w:rPr>
      <w:sz w:val="18"/>
      <w:szCs w:val="18"/>
    </w:rPr>
  </w:style>
  <w:style w:type="table" w:styleId="aa">
    <w:name w:val="Table Grid"/>
    <w:basedOn w:val="a1"/>
    <w:uiPriority w:val="39"/>
    <w:rsid w:val="0019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Zhang.Xiu Yu(张修羽)</dc:creator>
  <cp:lastModifiedBy>刘翠碧2</cp:lastModifiedBy>
  <cp:revision>3</cp:revision>
  <cp:lastPrinted>2022-01-06T07:38:00Z</cp:lastPrinted>
  <dcterms:created xsi:type="dcterms:W3CDTF">2022-01-06T10:22:00Z</dcterms:created>
  <dcterms:modified xsi:type="dcterms:W3CDTF">2022-01-07T03:30:00Z</dcterms:modified>
</cp:coreProperties>
</file>