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sz w:val="30"/>
        </w:rPr>
      </w:pPr>
      <w:r>
        <w:rPr>
          <w:rFonts w:hint="eastAsia" w:ascii="宋体" w:hAnsi="宋体" w:eastAsia="宋体"/>
          <w:b/>
          <w:sz w:val="30"/>
        </w:rPr>
        <w:t>博时恒生港股通高股息率交易型开放式指数证券投资基金发起式联接基金合同生效公告</w:t>
      </w:r>
      <w:bookmarkStart w:id="0" w:name="_GoBack"/>
      <w:bookmarkEnd w:id="0"/>
    </w:p>
    <w:p>
      <w:pPr>
        <w:spacing w:line="360" w:lineRule="auto"/>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2022年1月11日</w:t>
      </w:r>
    </w:p>
    <w:p>
      <w:pPr>
        <w:spacing w:line="360" w:lineRule="auto"/>
        <w:jc w:val="center"/>
        <w:rPr>
          <w:rFonts w:ascii="宋体" w:hAnsi="宋体" w:eastAsia="宋体"/>
          <w:b/>
          <w:sz w:val="24"/>
        </w:rPr>
      </w:pPr>
    </w:p>
    <w:p>
      <w:pPr>
        <w:rPr>
          <w:rFonts w:ascii="宋体" w:hAnsi="宋体" w:eastAsia="宋体"/>
          <w:b/>
        </w:rPr>
      </w:pPr>
      <w:r>
        <w:rPr>
          <w:rFonts w:ascii="宋体" w:hAnsi="宋体" w:eastAsia="宋体"/>
          <w:b/>
        </w:rPr>
        <w:t>1、公告基本信息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0"/>
        <w:gridCol w:w="2800"/>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基金名称</w:t>
            </w:r>
          </w:p>
        </w:tc>
        <w:tc>
          <w:tcPr>
            <w:tcW w:w="5600" w:type="dxa"/>
            <w:gridSpan w:val="2"/>
            <w:vAlign w:val="center"/>
          </w:tcPr>
          <w:p>
            <w:pPr>
              <w:rPr>
                <w:rFonts w:ascii="宋体" w:hAnsi="宋体" w:eastAsia="宋体"/>
              </w:rPr>
            </w:pPr>
            <w:r>
              <w:rPr>
                <w:rFonts w:hint="eastAsia" w:ascii="宋体" w:hAnsi="宋体" w:eastAsia="宋体"/>
              </w:rPr>
              <w:t>博时恒生港股通高股息率交易型开放式指数证券投资基金发起式联接基金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基金简称</w:t>
            </w:r>
          </w:p>
        </w:tc>
        <w:tc>
          <w:tcPr>
            <w:tcW w:w="5600" w:type="dxa"/>
            <w:gridSpan w:val="2"/>
            <w:vAlign w:val="center"/>
          </w:tcPr>
          <w:p>
            <w:pPr>
              <w:rPr>
                <w:rFonts w:ascii="宋体" w:hAnsi="宋体" w:eastAsia="宋体"/>
              </w:rPr>
            </w:pPr>
            <w:r>
              <w:rPr>
                <w:rFonts w:hint="eastAsia" w:ascii="宋体" w:hAnsi="宋体" w:eastAsia="宋体"/>
              </w:rPr>
              <w:t>博时恒生高股息</w:t>
            </w:r>
            <w:r>
              <w:rPr>
                <w:rFonts w:ascii="宋体" w:hAnsi="宋体" w:eastAsia="宋体"/>
              </w:rPr>
              <w:t>ETF发起式联接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基金主代码</w:t>
            </w:r>
          </w:p>
        </w:tc>
        <w:tc>
          <w:tcPr>
            <w:tcW w:w="5600" w:type="dxa"/>
            <w:gridSpan w:val="2"/>
            <w:vAlign w:val="center"/>
          </w:tcPr>
          <w:p>
            <w:pPr>
              <w:rPr>
                <w:rFonts w:ascii="宋体" w:hAnsi="宋体" w:eastAsia="宋体"/>
              </w:rPr>
            </w:pPr>
            <w:r>
              <w:rPr>
                <w:rFonts w:ascii="宋体" w:hAnsi="宋体" w:eastAsia="宋体"/>
              </w:rPr>
              <w:t>014519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基金运作方式</w:t>
            </w:r>
          </w:p>
        </w:tc>
        <w:tc>
          <w:tcPr>
            <w:tcW w:w="5600" w:type="dxa"/>
            <w:gridSpan w:val="2"/>
            <w:vAlign w:val="center"/>
          </w:tcPr>
          <w:p>
            <w:pPr>
              <w:rPr>
                <w:rFonts w:ascii="宋体" w:hAnsi="宋体" w:eastAsia="宋体"/>
              </w:rPr>
            </w:pPr>
            <w:r>
              <w:rPr>
                <w:rFonts w:hint="eastAsia" w:ascii="宋体" w:hAnsi="宋体" w:eastAsia="宋体"/>
              </w:rPr>
              <w:t>契约型开放式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基金合同生效日</w:t>
            </w:r>
          </w:p>
        </w:tc>
        <w:tc>
          <w:tcPr>
            <w:tcW w:w="5600" w:type="dxa"/>
            <w:gridSpan w:val="2"/>
            <w:vAlign w:val="center"/>
          </w:tcPr>
          <w:p>
            <w:pPr>
              <w:rPr>
                <w:rFonts w:ascii="宋体" w:hAnsi="宋体" w:eastAsia="宋体"/>
              </w:rPr>
            </w:pPr>
            <w:r>
              <w:rPr>
                <w:rFonts w:ascii="宋体" w:hAnsi="宋体" w:eastAsia="宋体"/>
              </w:rPr>
              <w:t>2022年01月10日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基金管理人名称</w:t>
            </w:r>
          </w:p>
        </w:tc>
        <w:tc>
          <w:tcPr>
            <w:tcW w:w="5600" w:type="dxa"/>
            <w:gridSpan w:val="2"/>
            <w:vAlign w:val="center"/>
          </w:tcPr>
          <w:p>
            <w:pPr>
              <w:rPr>
                <w:rFonts w:ascii="宋体" w:hAnsi="宋体" w:eastAsia="宋体"/>
              </w:rPr>
            </w:pPr>
            <w:r>
              <w:rPr>
                <w:rFonts w:hint="eastAsia" w:ascii="宋体" w:hAnsi="宋体" w:eastAsia="宋体"/>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基金托管人名称</w:t>
            </w:r>
          </w:p>
        </w:tc>
        <w:tc>
          <w:tcPr>
            <w:tcW w:w="5600" w:type="dxa"/>
            <w:gridSpan w:val="2"/>
            <w:vAlign w:val="center"/>
          </w:tcPr>
          <w:p>
            <w:pPr>
              <w:rPr>
                <w:rFonts w:ascii="宋体" w:hAnsi="宋体" w:eastAsia="宋体"/>
              </w:rPr>
            </w:pPr>
            <w:r>
              <w:rPr>
                <w:rFonts w:hint="eastAsia" w:ascii="宋体" w:hAnsi="宋体" w:eastAsia="宋体"/>
              </w:rPr>
              <w:t>中国国际金融股份有限公司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公告依据</w:t>
            </w:r>
          </w:p>
        </w:tc>
        <w:tc>
          <w:tcPr>
            <w:tcW w:w="5600" w:type="dxa"/>
            <w:gridSpan w:val="2"/>
            <w:vAlign w:val="center"/>
          </w:tcPr>
          <w:p>
            <w:pPr>
              <w:rPr>
                <w:rFonts w:ascii="宋体" w:hAnsi="宋体" w:eastAsia="宋体"/>
              </w:rPr>
            </w:pPr>
            <w:r>
              <w:rPr>
                <w:rFonts w:hint="eastAsia" w:ascii="宋体" w:hAnsi="宋体" w:eastAsia="宋体"/>
              </w:rPr>
              <w:t>《博时恒生港股通高股息率交易型开放式指数证券投资基金发起式联接基金基金合同》、《博时恒生港股通高股息率交易型开放式指数证券投资基金发起式联接基金招募说明书》等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下属类别基金的基金简称</w:t>
            </w:r>
          </w:p>
        </w:tc>
        <w:tc>
          <w:tcPr>
            <w:tcW w:w="2800" w:type="dxa"/>
            <w:vAlign w:val="center"/>
          </w:tcPr>
          <w:p>
            <w:pPr>
              <w:rPr>
                <w:rFonts w:ascii="宋体" w:hAnsi="宋体" w:eastAsia="宋体"/>
              </w:rPr>
            </w:pPr>
            <w:r>
              <w:rPr>
                <w:rFonts w:hint="eastAsia" w:ascii="宋体" w:hAnsi="宋体" w:eastAsia="宋体"/>
              </w:rPr>
              <w:t>博时恒生高股息</w:t>
            </w:r>
            <w:r>
              <w:rPr>
                <w:rFonts w:ascii="宋体" w:hAnsi="宋体" w:eastAsia="宋体"/>
              </w:rPr>
              <w:t>ETF发起式联接A</w:t>
            </w:r>
          </w:p>
        </w:tc>
        <w:tc>
          <w:tcPr>
            <w:tcW w:w="2800" w:type="dxa"/>
            <w:vAlign w:val="center"/>
          </w:tcPr>
          <w:p>
            <w:pPr>
              <w:rPr>
                <w:rFonts w:ascii="宋体" w:hAnsi="宋体" w:eastAsia="宋体"/>
              </w:rPr>
            </w:pPr>
            <w:r>
              <w:rPr>
                <w:rFonts w:hint="eastAsia" w:ascii="宋体" w:hAnsi="宋体" w:eastAsia="宋体"/>
              </w:rPr>
              <w:t>博时恒生高股息</w:t>
            </w:r>
            <w:r>
              <w:rPr>
                <w:rFonts w:ascii="宋体" w:hAnsi="宋体" w:eastAsia="宋体"/>
              </w:rPr>
              <w:t>ETF发起式联接C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下属类别基金的交易代码</w:t>
            </w:r>
          </w:p>
        </w:tc>
        <w:tc>
          <w:tcPr>
            <w:tcW w:w="2800" w:type="dxa"/>
            <w:vAlign w:val="center"/>
          </w:tcPr>
          <w:p>
            <w:pPr>
              <w:rPr>
                <w:rFonts w:ascii="宋体" w:hAnsi="宋体" w:eastAsia="宋体"/>
              </w:rPr>
            </w:pPr>
            <w:r>
              <w:rPr>
                <w:rFonts w:ascii="宋体" w:hAnsi="宋体" w:eastAsia="宋体"/>
              </w:rPr>
              <w:t>014519</w:t>
            </w:r>
          </w:p>
        </w:tc>
        <w:tc>
          <w:tcPr>
            <w:tcW w:w="2800" w:type="dxa"/>
            <w:vAlign w:val="center"/>
          </w:tcPr>
          <w:p>
            <w:pPr>
              <w:rPr>
                <w:rFonts w:ascii="宋体" w:hAnsi="宋体" w:eastAsia="宋体"/>
              </w:rPr>
            </w:pPr>
            <w:r>
              <w:rPr>
                <w:rFonts w:ascii="宋体" w:hAnsi="宋体" w:eastAsia="宋体"/>
              </w:rPr>
              <w:t>014520</w:t>
            </w:r>
          </w:p>
        </w:tc>
      </w:tr>
    </w:tbl>
    <w:p>
      <w:pPr>
        <w:rPr>
          <w:rFonts w:ascii="宋体" w:hAnsi="宋体" w:eastAsia="宋体"/>
          <w:b/>
        </w:rPr>
      </w:pPr>
    </w:p>
    <w:p>
      <w:pPr>
        <w:rPr>
          <w:rFonts w:ascii="宋体" w:hAnsi="宋体" w:eastAsia="宋体"/>
          <w:b/>
        </w:rPr>
      </w:pPr>
      <w:r>
        <w:rPr>
          <w:rFonts w:ascii="宋体" w:hAnsi="宋体" w:eastAsia="宋体"/>
          <w:b/>
        </w:rPr>
        <w:t>2、基金募集情况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1600"/>
        <w:gridCol w:w="1720"/>
        <w:gridCol w:w="172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基金募集申请获中国证监会核准的文号</w:t>
            </w:r>
          </w:p>
        </w:tc>
        <w:tc>
          <w:tcPr>
            <w:tcW w:w="5160" w:type="dxa"/>
            <w:gridSpan w:val="3"/>
            <w:vAlign w:val="center"/>
          </w:tcPr>
          <w:p>
            <w:pPr>
              <w:rPr>
                <w:rFonts w:ascii="宋体" w:hAnsi="宋体" w:eastAsia="宋体"/>
              </w:rPr>
            </w:pPr>
            <w:r>
              <w:rPr>
                <w:rFonts w:hint="eastAsia" w:ascii="宋体" w:hAnsi="宋体" w:eastAsia="宋体"/>
              </w:rPr>
              <w:t>证监许可</w:t>
            </w:r>
            <w:r>
              <w:rPr>
                <w:rFonts w:ascii="宋体" w:hAnsi="宋体" w:eastAsia="宋体"/>
              </w:rPr>
              <w:t>[202</w:t>
            </w:r>
            <w:r>
              <w:rPr>
                <w:rFonts w:hint="eastAsia" w:ascii="宋体" w:hAnsi="宋体" w:eastAsia="宋体"/>
                <w:lang w:val="en-US" w:eastAsia="zh-CN"/>
              </w:rPr>
              <w:t>1</w:t>
            </w:r>
            <w:r>
              <w:rPr>
                <w:rFonts w:ascii="宋体" w:hAnsi="宋体" w:eastAsia="宋体"/>
              </w:rPr>
              <w:t>]</w:t>
            </w:r>
            <w:r>
              <w:rPr>
                <w:rFonts w:hint="eastAsia" w:ascii="宋体" w:hAnsi="宋体" w:eastAsia="宋体"/>
                <w:lang w:val="en-US" w:eastAsia="zh-CN"/>
              </w:rPr>
              <w:t>2270</w:t>
            </w:r>
            <w:r>
              <w:rPr>
                <w:rFonts w:ascii="宋体" w:hAnsi="宋体" w:eastAsia="宋体"/>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基金募集期间</w:t>
            </w:r>
          </w:p>
        </w:tc>
        <w:tc>
          <w:tcPr>
            <w:tcW w:w="5160" w:type="dxa"/>
            <w:gridSpan w:val="3"/>
            <w:vAlign w:val="center"/>
          </w:tcPr>
          <w:p>
            <w:pPr>
              <w:rPr>
                <w:rFonts w:ascii="宋体" w:hAnsi="宋体" w:eastAsia="宋体"/>
              </w:rPr>
            </w:pPr>
            <w:r>
              <w:rPr>
                <w:rFonts w:hint="eastAsia" w:ascii="宋体" w:hAnsi="宋体" w:eastAsia="宋体"/>
              </w:rPr>
              <w:t>自</w:t>
            </w:r>
            <w:r>
              <w:rPr>
                <w:rFonts w:ascii="宋体" w:hAnsi="宋体" w:eastAsia="宋体"/>
              </w:rPr>
              <w:t>2021年12月24日至2022年01月06日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验资机构名称</w:t>
            </w:r>
          </w:p>
        </w:tc>
        <w:tc>
          <w:tcPr>
            <w:tcW w:w="5160" w:type="dxa"/>
            <w:gridSpan w:val="3"/>
            <w:vAlign w:val="center"/>
          </w:tcPr>
          <w:p>
            <w:pPr>
              <w:rPr>
                <w:rFonts w:ascii="宋体" w:hAnsi="宋体" w:eastAsia="宋体"/>
              </w:rPr>
            </w:pPr>
            <w:r>
              <w:rPr>
                <w:rFonts w:hint="eastAsia" w:ascii="宋体" w:hAnsi="宋体" w:eastAsia="宋体"/>
              </w:rPr>
              <w:t>普华永道中天会计师事务所（特殊普通合伙）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募集资金划入基金托管专户的日期</w:t>
            </w:r>
          </w:p>
        </w:tc>
        <w:tc>
          <w:tcPr>
            <w:tcW w:w="5160" w:type="dxa"/>
            <w:gridSpan w:val="3"/>
            <w:vAlign w:val="center"/>
          </w:tcPr>
          <w:p>
            <w:pPr>
              <w:rPr>
                <w:rFonts w:ascii="宋体" w:hAnsi="宋体" w:eastAsia="宋体"/>
              </w:rPr>
            </w:pPr>
            <w:r>
              <w:rPr>
                <w:rFonts w:ascii="宋体" w:hAnsi="宋体" w:eastAsia="宋体"/>
              </w:rPr>
              <w:t>2022年01月10日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募集有效认购总户数（单位：户）</w:t>
            </w:r>
          </w:p>
        </w:tc>
        <w:tc>
          <w:tcPr>
            <w:tcW w:w="5160" w:type="dxa"/>
            <w:gridSpan w:val="3"/>
            <w:vAlign w:val="center"/>
          </w:tcPr>
          <w:p>
            <w:pPr>
              <w:rPr>
                <w:rFonts w:ascii="宋体" w:hAnsi="宋体" w:eastAsia="宋体"/>
              </w:rPr>
            </w:pPr>
            <w:r>
              <w:rPr>
                <w:rFonts w:ascii="宋体" w:hAnsi="宋体" w:eastAsia="宋体"/>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份额类别</w:t>
            </w:r>
          </w:p>
        </w:tc>
        <w:tc>
          <w:tcPr>
            <w:tcW w:w="1720" w:type="dxa"/>
            <w:vAlign w:val="center"/>
          </w:tcPr>
          <w:p>
            <w:pPr>
              <w:rPr>
                <w:rFonts w:ascii="宋体" w:hAnsi="宋体" w:eastAsia="宋体"/>
              </w:rPr>
            </w:pPr>
            <w:r>
              <w:rPr>
                <w:rFonts w:hint="eastAsia" w:ascii="宋体" w:hAnsi="宋体" w:eastAsia="宋体"/>
              </w:rPr>
              <w:t>博时恒生高股息</w:t>
            </w:r>
            <w:r>
              <w:rPr>
                <w:rFonts w:ascii="宋体" w:hAnsi="宋体" w:eastAsia="宋体"/>
              </w:rPr>
              <w:t>ETF发起式联接A</w:t>
            </w:r>
          </w:p>
        </w:tc>
        <w:tc>
          <w:tcPr>
            <w:tcW w:w="1720" w:type="dxa"/>
            <w:vAlign w:val="center"/>
          </w:tcPr>
          <w:p>
            <w:pPr>
              <w:rPr>
                <w:rFonts w:ascii="宋体" w:hAnsi="宋体" w:eastAsia="宋体"/>
              </w:rPr>
            </w:pPr>
            <w:r>
              <w:rPr>
                <w:rFonts w:hint="eastAsia" w:ascii="宋体" w:hAnsi="宋体" w:eastAsia="宋体"/>
              </w:rPr>
              <w:t>博时恒生高股息</w:t>
            </w:r>
            <w:r>
              <w:rPr>
                <w:rFonts w:ascii="宋体" w:hAnsi="宋体" w:eastAsia="宋体"/>
              </w:rPr>
              <w:t>ETF发起式联接C</w:t>
            </w:r>
          </w:p>
        </w:tc>
        <w:tc>
          <w:tcPr>
            <w:tcW w:w="1720" w:type="dxa"/>
            <w:vAlign w:val="center"/>
          </w:tcPr>
          <w:p>
            <w:pPr>
              <w:rPr>
                <w:rFonts w:ascii="宋体" w:hAnsi="宋体" w:eastAsia="宋体"/>
              </w:rPr>
            </w:pPr>
            <w:r>
              <w:rPr>
                <w:rFonts w:hint="eastAsia" w:ascii="宋体" w:hAnsi="宋体" w:eastAsia="宋体"/>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募集期间净认购金额（单位：元）</w:t>
            </w:r>
          </w:p>
        </w:tc>
        <w:tc>
          <w:tcPr>
            <w:tcW w:w="1720" w:type="dxa"/>
            <w:vAlign w:val="center"/>
          </w:tcPr>
          <w:p>
            <w:pPr>
              <w:rPr>
                <w:rFonts w:ascii="宋体" w:hAnsi="宋体" w:eastAsia="宋体"/>
              </w:rPr>
            </w:pPr>
            <w:r>
              <w:rPr>
                <w:rFonts w:ascii="宋体" w:hAnsi="宋体" w:eastAsia="宋体"/>
              </w:rPr>
              <w:t>10,571,668.37</w:t>
            </w:r>
          </w:p>
        </w:tc>
        <w:tc>
          <w:tcPr>
            <w:tcW w:w="1720" w:type="dxa"/>
            <w:vAlign w:val="center"/>
          </w:tcPr>
          <w:p>
            <w:pPr>
              <w:rPr>
                <w:rFonts w:ascii="宋体" w:hAnsi="宋体" w:eastAsia="宋体"/>
              </w:rPr>
            </w:pPr>
            <w:r>
              <w:rPr>
                <w:rFonts w:ascii="宋体" w:hAnsi="宋体" w:eastAsia="宋体"/>
              </w:rPr>
              <w:t>80,955.99</w:t>
            </w:r>
          </w:p>
        </w:tc>
        <w:tc>
          <w:tcPr>
            <w:tcW w:w="1720" w:type="dxa"/>
            <w:vAlign w:val="center"/>
          </w:tcPr>
          <w:p>
            <w:pPr>
              <w:rPr>
                <w:rFonts w:ascii="宋体" w:hAnsi="宋体" w:eastAsia="宋体"/>
              </w:rPr>
            </w:pPr>
            <w:r>
              <w:rPr>
                <w:rFonts w:ascii="宋体" w:hAnsi="宋体" w:eastAsia="宋体"/>
              </w:rPr>
              <w:t>10,652,624.36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认购资金在募集期间产生的利息（单位：元）</w:t>
            </w:r>
          </w:p>
        </w:tc>
        <w:tc>
          <w:tcPr>
            <w:tcW w:w="1720" w:type="dxa"/>
            <w:vAlign w:val="center"/>
          </w:tcPr>
          <w:p>
            <w:pPr>
              <w:rPr>
                <w:rFonts w:ascii="宋体" w:hAnsi="宋体" w:eastAsia="宋体"/>
              </w:rPr>
            </w:pPr>
            <w:r>
              <w:rPr>
                <w:rFonts w:ascii="宋体" w:hAnsi="宋体" w:eastAsia="宋体"/>
              </w:rPr>
              <w:t>653.51</w:t>
            </w:r>
          </w:p>
        </w:tc>
        <w:tc>
          <w:tcPr>
            <w:tcW w:w="1720" w:type="dxa"/>
            <w:vAlign w:val="center"/>
          </w:tcPr>
          <w:p>
            <w:pPr>
              <w:rPr>
                <w:rFonts w:ascii="宋体" w:hAnsi="宋体" w:eastAsia="宋体"/>
              </w:rPr>
            </w:pPr>
            <w:r>
              <w:rPr>
                <w:rFonts w:ascii="宋体" w:hAnsi="宋体" w:eastAsia="宋体"/>
              </w:rPr>
              <w:t>5.70</w:t>
            </w:r>
          </w:p>
        </w:tc>
        <w:tc>
          <w:tcPr>
            <w:tcW w:w="1720" w:type="dxa"/>
            <w:vAlign w:val="center"/>
          </w:tcPr>
          <w:p>
            <w:pPr>
              <w:rPr>
                <w:rFonts w:ascii="宋体" w:hAnsi="宋体" w:eastAsia="宋体"/>
              </w:rPr>
            </w:pPr>
            <w:r>
              <w:rPr>
                <w:rFonts w:ascii="宋体" w:hAnsi="宋体" w:eastAsia="宋体"/>
              </w:rPr>
              <w:t>659.21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vAlign w:val="center"/>
          </w:tcPr>
          <w:p>
            <w:pPr>
              <w:rPr>
                <w:rFonts w:ascii="宋体" w:hAnsi="宋体" w:eastAsia="宋体"/>
              </w:rPr>
            </w:pPr>
            <w:r>
              <w:rPr>
                <w:rFonts w:hint="eastAsia" w:ascii="宋体" w:hAnsi="宋体" w:eastAsia="宋体"/>
              </w:rPr>
              <w:t>募集份额（单位：份）</w:t>
            </w:r>
          </w:p>
        </w:tc>
        <w:tc>
          <w:tcPr>
            <w:tcW w:w="1600" w:type="dxa"/>
            <w:vAlign w:val="center"/>
          </w:tcPr>
          <w:p>
            <w:pPr>
              <w:rPr>
                <w:rFonts w:ascii="宋体" w:hAnsi="宋体" w:eastAsia="宋体"/>
              </w:rPr>
            </w:pPr>
            <w:r>
              <w:rPr>
                <w:rFonts w:hint="eastAsia" w:ascii="宋体" w:hAnsi="宋体" w:eastAsia="宋体"/>
              </w:rPr>
              <w:t>有效认购份额</w:t>
            </w:r>
          </w:p>
        </w:tc>
        <w:tc>
          <w:tcPr>
            <w:tcW w:w="1720" w:type="dxa"/>
            <w:vAlign w:val="center"/>
          </w:tcPr>
          <w:p>
            <w:pPr>
              <w:rPr>
                <w:rFonts w:ascii="宋体" w:hAnsi="宋体" w:eastAsia="宋体"/>
              </w:rPr>
            </w:pPr>
            <w:r>
              <w:rPr>
                <w:rFonts w:ascii="宋体" w:hAnsi="宋体" w:eastAsia="宋体"/>
              </w:rPr>
              <w:t>10,571,668.37</w:t>
            </w:r>
          </w:p>
        </w:tc>
        <w:tc>
          <w:tcPr>
            <w:tcW w:w="1720" w:type="dxa"/>
            <w:vAlign w:val="center"/>
          </w:tcPr>
          <w:p>
            <w:pPr>
              <w:rPr>
                <w:rFonts w:ascii="宋体" w:hAnsi="宋体" w:eastAsia="宋体"/>
              </w:rPr>
            </w:pPr>
            <w:r>
              <w:rPr>
                <w:rFonts w:ascii="宋体" w:hAnsi="宋体" w:eastAsia="宋体"/>
              </w:rPr>
              <w:t>80,955.99</w:t>
            </w:r>
          </w:p>
        </w:tc>
        <w:tc>
          <w:tcPr>
            <w:tcW w:w="1720" w:type="dxa"/>
            <w:vAlign w:val="center"/>
          </w:tcPr>
          <w:p>
            <w:pPr>
              <w:rPr>
                <w:rFonts w:ascii="宋体" w:hAnsi="宋体" w:eastAsia="宋体"/>
              </w:rPr>
            </w:pPr>
            <w:r>
              <w:rPr>
                <w:rFonts w:ascii="宋体" w:hAnsi="宋体" w:eastAsia="宋体"/>
              </w:rPr>
              <w:t>10,652,624.36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vAlign w:val="center"/>
          </w:tcPr>
          <w:p>
            <w:pPr>
              <w:rPr>
                <w:rFonts w:ascii="宋体" w:hAnsi="宋体" w:eastAsia="宋体"/>
                <w:b/>
              </w:rPr>
            </w:pPr>
          </w:p>
        </w:tc>
        <w:tc>
          <w:tcPr>
            <w:tcW w:w="1600" w:type="dxa"/>
            <w:vAlign w:val="center"/>
          </w:tcPr>
          <w:p>
            <w:pPr>
              <w:rPr>
                <w:rFonts w:ascii="宋体" w:hAnsi="宋体" w:eastAsia="宋体"/>
              </w:rPr>
            </w:pPr>
            <w:r>
              <w:rPr>
                <w:rFonts w:hint="eastAsia" w:ascii="宋体" w:hAnsi="宋体" w:eastAsia="宋体"/>
              </w:rPr>
              <w:t>利息结转的份额</w:t>
            </w:r>
          </w:p>
        </w:tc>
        <w:tc>
          <w:tcPr>
            <w:tcW w:w="1720" w:type="dxa"/>
            <w:vAlign w:val="center"/>
          </w:tcPr>
          <w:p>
            <w:pPr>
              <w:rPr>
                <w:rFonts w:ascii="宋体" w:hAnsi="宋体" w:eastAsia="宋体"/>
              </w:rPr>
            </w:pPr>
            <w:r>
              <w:rPr>
                <w:rFonts w:ascii="宋体" w:hAnsi="宋体" w:eastAsia="宋体"/>
              </w:rPr>
              <w:t>653.51</w:t>
            </w:r>
          </w:p>
        </w:tc>
        <w:tc>
          <w:tcPr>
            <w:tcW w:w="1720" w:type="dxa"/>
            <w:vAlign w:val="center"/>
          </w:tcPr>
          <w:p>
            <w:pPr>
              <w:rPr>
                <w:rFonts w:ascii="宋体" w:hAnsi="宋体" w:eastAsia="宋体"/>
              </w:rPr>
            </w:pPr>
            <w:r>
              <w:rPr>
                <w:rFonts w:ascii="宋体" w:hAnsi="宋体" w:eastAsia="宋体"/>
              </w:rPr>
              <w:t>5.70</w:t>
            </w:r>
          </w:p>
        </w:tc>
        <w:tc>
          <w:tcPr>
            <w:tcW w:w="1720" w:type="dxa"/>
            <w:vAlign w:val="center"/>
          </w:tcPr>
          <w:p>
            <w:pPr>
              <w:rPr>
                <w:rFonts w:ascii="宋体" w:hAnsi="宋体" w:eastAsia="宋体"/>
              </w:rPr>
            </w:pPr>
            <w:r>
              <w:rPr>
                <w:rFonts w:ascii="宋体" w:hAnsi="宋体" w:eastAsia="宋体"/>
              </w:rPr>
              <w:t>659.21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vAlign w:val="center"/>
          </w:tcPr>
          <w:p>
            <w:pPr>
              <w:rPr>
                <w:rFonts w:ascii="宋体" w:hAnsi="宋体" w:eastAsia="宋体"/>
                <w:b/>
              </w:rPr>
            </w:pPr>
          </w:p>
        </w:tc>
        <w:tc>
          <w:tcPr>
            <w:tcW w:w="1600" w:type="dxa"/>
            <w:vAlign w:val="center"/>
          </w:tcPr>
          <w:p>
            <w:pPr>
              <w:rPr>
                <w:rFonts w:ascii="宋体" w:hAnsi="宋体" w:eastAsia="宋体"/>
              </w:rPr>
            </w:pPr>
            <w:r>
              <w:rPr>
                <w:rFonts w:hint="eastAsia" w:ascii="宋体" w:hAnsi="宋体" w:eastAsia="宋体"/>
              </w:rPr>
              <w:t>合计</w:t>
            </w:r>
          </w:p>
        </w:tc>
        <w:tc>
          <w:tcPr>
            <w:tcW w:w="1720" w:type="dxa"/>
            <w:vAlign w:val="center"/>
          </w:tcPr>
          <w:p>
            <w:pPr>
              <w:rPr>
                <w:rFonts w:ascii="宋体" w:hAnsi="宋体" w:eastAsia="宋体"/>
              </w:rPr>
            </w:pPr>
            <w:r>
              <w:rPr>
                <w:rFonts w:ascii="宋体" w:hAnsi="宋体" w:eastAsia="宋体"/>
              </w:rPr>
              <w:t>10,572,321.88</w:t>
            </w:r>
          </w:p>
        </w:tc>
        <w:tc>
          <w:tcPr>
            <w:tcW w:w="1720" w:type="dxa"/>
            <w:vAlign w:val="center"/>
          </w:tcPr>
          <w:p>
            <w:pPr>
              <w:rPr>
                <w:rFonts w:ascii="宋体" w:hAnsi="宋体" w:eastAsia="宋体"/>
              </w:rPr>
            </w:pPr>
            <w:r>
              <w:rPr>
                <w:rFonts w:ascii="宋体" w:hAnsi="宋体" w:eastAsia="宋体"/>
              </w:rPr>
              <w:t>80,961.69</w:t>
            </w:r>
          </w:p>
        </w:tc>
        <w:tc>
          <w:tcPr>
            <w:tcW w:w="1720" w:type="dxa"/>
            <w:vAlign w:val="center"/>
          </w:tcPr>
          <w:p>
            <w:pPr>
              <w:rPr>
                <w:rFonts w:ascii="宋体" w:hAnsi="宋体" w:eastAsia="宋体"/>
              </w:rPr>
            </w:pPr>
            <w:r>
              <w:rPr>
                <w:rFonts w:ascii="宋体" w:hAnsi="宋体" w:eastAsia="宋体"/>
              </w:rPr>
              <w:t>10,653,283.57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vAlign w:val="center"/>
          </w:tcPr>
          <w:p>
            <w:pPr>
              <w:rPr>
                <w:rFonts w:ascii="宋体" w:hAnsi="宋体" w:eastAsia="宋体"/>
              </w:rPr>
            </w:pPr>
            <w:r>
              <w:rPr>
                <w:rFonts w:hint="eastAsia" w:ascii="宋体" w:hAnsi="宋体" w:eastAsia="宋体"/>
              </w:rPr>
              <w:t>其中：募集期间基金管理人运用固有资金认购本基金情况</w:t>
            </w:r>
          </w:p>
        </w:tc>
        <w:tc>
          <w:tcPr>
            <w:tcW w:w="1600" w:type="dxa"/>
            <w:vAlign w:val="center"/>
          </w:tcPr>
          <w:p>
            <w:pPr>
              <w:rPr>
                <w:rFonts w:ascii="宋体" w:hAnsi="宋体" w:eastAsia="宋体"/>
              </w:rPr>
            </w:pPr>
            <w:r>
              <w:rPr>
                <w:rFonts w:hint="eastAsia" w:ascii="宋体" w:hAnsi="宋体" w:eastAsia="宋体"/>
              </w:rPr>
              <w:t>认购的基金份额（单位：份）</w:t>
            </w:r>
          </w:p>
        </w:tc>
        <w:tc>
          <w:tcPr>
            <w:tcW w:w="1720" w:type="dxa"/>
            <w:vAlign w:val="center"/>
          </w:tcPr>
          <w:p>
            <w:pPr>
              <w:rPr>
                <w:rFonts w:ascii="宋体" w:hAnsi="宋体" w:eastAsia="宋体"/>
              </w:rPr>
            </w:pPr>
            <w:r>
              <w:rPr>
                <w:rFonts w:ascii="宋体" w:hAnsi="宋体" w:eastAsia="宋体"/>
              </w:rPr>
              <w:t>10,000,600.06</w:t>
            </w:r>
          </w:p>
        </w:tc>
        <w:tc>
          <w:tcPr>
            <w:tcW w:w="1720" w:type="dxa"/>
            <w:vAlign w:val="center"/>
          </w:tcPr>
          <w:p>
            <w:pPr>
              <w:rPr>
                <w:rFonts w:ascii="宋体" w:hAnsi="宋体" w:eastAsia="宋体"/>
              </w:rPr>
            </w:pPr>
            <w:r>
              <w:rPr>
                <w:rFonts w:ascii="宋体" w:hAnsi="宋体" w:eastAsia="宋体"/>
              </w:rPr>
              <w:t>0.00</w:t>
            </w:r>
          </w:p>
        </w:tc>
        <w:tc>
          <w:tcPr>
            <w:tcW w:w="1720" w:type="dxa"/>
            <w:vAlign w:val="center"/>
          </w:tcPr>
          <w:p>
            <w:pPr>
              <w:rPr>
                <w:rFonts w:ascii="宋体" w:hAnsi="宋体" w:eastAsia="宋体"/>
              </w:rPr>
            </w:pPr>
            <w:r>
              <w:rPr>
                <w:rFonts w:ascii="宋体" w:hAnsi="宋体" w:eastAsia="宋体"/>
              </w:rPr>
              <w:t>10,000,600.06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vAlign w:val="center"/>
          </w:tcPr>
          <w:p>
            <w:pPr>
              <w:rPr>
                <w:rFonts w:ascii="宋体" w:hAnsi="宋体" w:eastAsia="宋体"/>
                <w:b/>
              </w:rPr>
            </w:pPr>
          </w:p>
        </w:tc>
        <w:tc>
          <w:tcPr>
            <w:tcW w:w="1600" w:type="dxa"/>
            <w:vAlign w:val="center"/>
          </w:tcPr>
          <w:p>
            <w:pPr>
              <w:rPr>
                <w:rFonts w:ascii="宋体" w:hAnsi="宋体" w:eastAsia="宋体"/>
              </w:rPr>
            </w:pPr>
            <w:r>
              <w:rPr>
                <w:rFonts w:hint="eastAsia" w:ascii="宋体" w:hAnsi="宋体" w:eastAsia="宋体"/>
              </w:rPr>
              <w:t>占基金总份额比例</w:t>
            </w:r>
          </w:p>
        </w:tc>
        <w:tc>
          <w:tcPr>
            <w:tcW w:w="1720" w:type="dxa"/>
            <w:vAlign w:val="center"/>
          </w:tcPr>
          <w:p>
            <w:pPr>
              <w:rPr>
                <w:rFonts w:ascii="宋体" w:hAnsi="宋体" w:eastAsia="宋体"/>
              </w:rPr>
            </w:pPr>
            <w:r>
              <w:rPr>
                <w:rFonts w:ascii="宋体" w:hAnsi="宋体" w:eastAsia="宋体"/>
              </w:rPr>
              <w:t>94.5923%</w:t>
            </w:r>
          </w:p>
        </w:tc>
        <w:tc>
          <w:tcPr>
            <w:tcW w:w="1720" w:type="dxa"/>
            <w:vAlign w:val="center"/>
          </w:tcPr>
          <w:p>
            <w:pPr>
              <w:rPr>
                <w:rFonts w:ascii="宋体" w:hAnsi="宋体" w:eastAsia="宋体"/>
              </w:rPr>
            </w:pPr>
            <w:r>
              <w:rPr>
                <w:rFonts w:ascii="宋体" w:hAnsi="宋体" w:eastAsia="宋体"/>
              </w:rPr>
              <w:t>0.0000%</w:t>
            </w:r>
          </w:p>
        </w:tc>
        <w:tc>
          <w:tcPr>
            <w:tcW w:w="1720" w:type="dxa"/>
            <w:vAlign w:val="center"/>
          </w:tcPr>
          <w:p>
            <w:pPr>
              <w:rPr>
                <w:rFonts w:ascii="宋体" w:hAnsi="宋体" w:eastAsia="宋体"/>
              </w:rPr>
            </w:pPr>
            <w:r>
              <w:rPr>
                <w:rFonts w:ascii="宋体" w:hAnsi="宋体" w:eastAsia="宋体"/>
              </w:rPr>
              <w:t>93.8734%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vAlign w:val="center"/>
          </w:tcPr>
          <w:p>
            <w:pPr>
              <w:rPr>
                <w:rFonts w:ascii="宋体" w:hAnsi="宋体" w:eastAsia="宋体"/>
                <w:b/>
              </w:rPr>
            </w:pPr>
          </w:p>
        </w:tc>
        <w:tc>
          <w:tcPr>
            <w:tcW w:w="1600" w:type="dxa"/>
            <w:vAlign w:val="center"/>
          </w:tcPr>
          <w:p>
            <w:pPr>
              <w:rPr>
                <w:rFonts w:ascii="宋体" w:hAnsi="宋体" w:eastAsia="宋体"/>
              </w:rPr>
            </w:pPr>
            <w:r>
              <w:rPr>
                <w:rFonts w:hint="eastAsia" w:ascii="宋体" w:hAnsi="宋体" w:eastAsia="宋体"/>
              </w:rPr>
              <w:t>其他需要说明的事项</w:t>
            </w:r>
          </w:p>
        </w:tc>
        <w:tc>
          <w:tcPr>
            <w:tcW w:w="5160" w:type="dxa"/>
            <w:gridSpan w:val="3"/>
            <w:vAlign w:val="center"/>
          </w:tcPr>
          <w:p>
            <w:pPr>
              <w:rPr>
                <w:rFonts w:ascii="宋体" w:hAnsi="宋体" w:eastAsia="宋体"/>
              </w:rPr>
            </w:pPr>
            <w:r>
              <w:rPr>
                <w:rFonts w:hint="eastAsia" w:ascii="宋体" w:hAnsi="宋体" w:eastAsia="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vAlign w:val="center"/>
          </w:tcPr>
          <w:p>
            <w:pPr>
              <w:rPr>
                <w:rFonts w:ascii="宋体" w:hAnsi="宋体" w:eastAsia="宋体"/>
              </w:rPr>
            </w:pPr>
            <w:r>
              <w:rPr>
                <w:rFonts w:hint="eastAsia" w:ascii="宋体" w:hAnsi="宋体" w:eastAsia="宋体"/>
              </w:rPr>
              <w:t>其中：募集期间基金管理人的从业人员认购本基金情况</w:t>
            </w:r>
          </w:p>
        </w:tc>
        <w:tc>
          <w:tcPr>
            <w:tcW w:w="1600" w:type="dxa"/>
            <w:vAlign w:val="center"/>
          </w:tcPr>
          <w:p>
            <w:pPr>
              <w:rPr>
                <w:rFonts w:ascii="宋体" w:hAnsi="宋体" w:eastAsia="宋体"/>
              </w:rPr>
            </w:pPr>
            <w:r>
              <w:rPr>
                <w:rFonts w:hint="eastAsia" w:ascii="宋体" w:hAnsi="宋体" w:eastAsia="宋体"/>
              </w:rPr>
              <w:t>认购的基金份额（单位：份）</w:t>
            </w:r>
          </w:p>
        </w:tc>
        <w:tc>
          <w:tcPr>
            <w:tcW w:w="1720" w:type="dxa"/>
            <w:vAlign w:val="center"/>
          </w:tcPr>
          <w:p>
            <w:pPr>
              <w:rPr>
                <w:rFonts w:ascii="宋体" w:hAnsi="宋体" w:eastAsia="宋体"/>
              </w:rPr>
            </w:pPr>
            <w:r>
              <w:rPr>
                <w:rFonts w:ascii="宋体" w:hAnsi="宋体" w:eastAsia="宋体"/>
              </w:rPr>
              <w:t>0.00</w:t>
            </w:r>
          </w:p>
        </w:tc>
        <w:tc>
          <w:tcPr>
            <w:tcW w:w="1720" w:type="dxa"/>
            <w:vAlign w:val="center"/>
          </w:tcPr>
          <w:p>
            <w:pPr>
              <w:rPr>
                <w:rFonts w:ascii="宋体" w:hAnsi="宋体" w:eastAsia="宋体"/>
              </w:rPr>
            </w:pPr>
            <w:r>
              <w:rPr>
                <w:rFonts w:ascii="宋体" w:hAnsi="宋体" w:eastAsia="宋体"/>
              </w:rPr>
              <w:t>0.00</w:t>
            </w:r>
          </w:p>
        </w:tc>
        <w:tc>
          <w:tcPr>
            <w:tcW w:w="1720" w:type="dxa"/>
            <w:vAlign w:val="center"/>
          </w:tcPr>
          <w:p>
            <w:pPr>
              <w:rPr>
                <w:rFonts w:ascii="宋体" w:hAnsi="宋体" w:eastAsia="宋体"/>
              </w:rPr>
            </w:pPr>
            <w:r>
              <w:rPr>
                <w:rFonts w:ascii="宋体" w:hAnsi="宋体" w:eastAsia="宋体"/>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vAlign w:val="center"/>
          </w:tcPr>
          <w:p>
            <w:pPr>
              <w:rPr>
                <w:rFonts w:ascii="宋体" w:hAnsi="宋体" w:eastAsia="宋体"/>
                <w:b/>
              </w:rPr>
            </w:pPr>
          </w:p>
        </w:tc>
        <w:tc>
          <w:tcPr>
            <w:tcW w:w="1600" w:type="dxa"/>
            <w:vAlign w:val="center"/>
          </w:tcPr>
          <w:p>
            <w:pPr>
              <w:rPr>
                <w:rFonts w:ascii="宋体" w:hAnsi="宋体" w:eastAsia="宋体"/>
              </w:rPr>
            </w:pPr>
            <w:r>
              <w:rPr>
                <w:rFonts w:hint="eastAsia" w:ascii="宋体" w:hAnsi="宋体" w:eastAsia="宋体"/>
              </w:rPr>
              <w:t>占基金总份额比例</w:t>
            </w:r>
          </w:p>
        </w:tc>
        <w:tc>
          <w:tcPr>
            <w:tcW w:w="1720" w:type="dxa"/>
            <w:vAlign w:val="center"/>
          </w:tcPr>
          <w:p>
            <w:pPr>
              <w:rPr>
                <w:rFonts w:ascii="宋体" w:hAnsi="宋体" w:eastAsia="宋体"/>
              </w:rPr>
            </w:pPr>
            <w:r>
              <w:rPr>
                <w:rFonts w:ascii="宋体" w:hAnsi="宋体" w:eastAsia="宋体"/>
              </w:rPr>
              <w:t>0.0000%</w:t>
            </w:r>
          </w:p>
        </w:tc>
        <w:tc>
          <w:tcPr>
            <w:tcW w:w="1720" w:type="dxa"/>
            <w:vAlign w:val="center"/>
          </w:tcPr>
          <w:p>
            <w:pPr>
              <w:rPr>
                <w:rFonts w:ascii="宋体" w:hAnsi="宋体" w:eastAsia="宋体"/>
              </w:rPr>
            </w:pPr>
            <w:r>
              <w:rPr>
                <w:rFonts w:ascii="宋体" w:hAnsi="宋体" w:eastAsia="宋体"/>
              </w:rPr>
              <w:t>0.0000%</w:t>
            </w:r>
          </w:p>
        </w:tc>
        <w:tc>
          <w:tcPr>
            <w:tcW w:w="1720" w:type="dxa"/>
            <w:vAlign w:val="center"/>
          </w:tcPr>
          <w:p>
            <w:pPr>
              <w:rPr>
                <w:rFonts w:ascii="宋体" w:hAnsi="宋体" w:eastAsia="宋体"/>
              </w:rPr>
            </w:pPr>
            <w:r>
              <w:rPr>
                <w:rFonts w:ascii="宋体" w:hAnsi="宋体" w:eastAsia="宋体"/>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募集期限届满基金是否符合法律法规规定的办理基金备案手续的条件</w:t>
            </w:r>
          </w:p>
        </w:tc>
        <w:tc>
          <w:tcPr>
            <w:tcW w:w="5160" w:type="dxa"/>
            <w:gridSpan w:val="3"/>
            <w:vAlign w:val="center"/>
          </w:tcPr>
          <w:p>
            <w:pPr>
              <w:rPr>
                <w:rFonts w:ascii="宋体" w:hAnsi="宋体" w:eastAsia="宋体"/>
              </w:rPr>
            </w:pPr>
            <w:r>
              <w:rPr>
                <w:rFonts w:hint="eastAsia" w:ascii="宋体" w:hAnsi="宋体" w:eastAsia="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向中国证监会办理基金备案手续获得书面确认的日期</w:t>
            </w:r>
          </w:p>
        </w:tc>
        <w:tc>
          <w:tcPr>
            <w:tcW w:w="5160" w:type="dxa"/>
            <w:gridSpan w:val="3"/>
            <w:vAlign w:val="center"/>
          </w:tcPr>
          <w:p>
            <w:pPr>
              <w:rPr>
                <w:rFonts w:ascii="宋体" w:hAnsi="宋体" w:eastAsia="宋体"/>
              </w:rPr>
            </w:pPr>
            <w:r>
              <w:rPr>
                <w:rFonts w:ascii="宋体" w:hAnsi="宋体" w:eastAsia="宋体"/>
              </w:rPr>
              <w:t>2022年01月10日</w:t>
            </w:r>
          </w:p>
        </w:tc>
      </w:tr>
    </w:tbl>
    <w:p>
      <w:pPr>
        <w:pStyle w:val="2"/>
        <w:spacing w:before="0" w:beforeAutospacing="0" w:after="0" w:afterAutospacing="0" w:line="360" w:lineRule="auto"/>
        <w:ind w:firstLine="420"/>
        <w:rPr>
          <w:sz w:val="21"/>
          <w:szCs w:val="21"/>
        </w:rPr>
      </w:pPr>
      <w:r>
        <w:rPr>
          <w:rFonts w:hint="eastAsia"/>
          <w:sz w:val="21"/>
        </w:rPr>
        <w:t>注：</w:t>
      </w:r>
      <w:r>
        <w:rPr>
          <w:rFonts w:hint="eastAsia"/>
          <w:sz w:val="21"/>
          <w:szCs w:val="21"/>
        </w:rPr>
        <w:t xml:space="preserve">（1）本基金募集期间的信息披露费、会计师费、律师费以及其他费用，不从基金财产中列支； </w:t>
      </w:r>
    </w:p>
    <w:p>
      <w:pPr>
        <w:pStyle w:val="2"/>
        <w:spacing w:before="0" w:beforeAutospacing="0" w:after="0" w:afterAutospacing="0" w:line="360" w:lineRule="auto"/>
        <w:ind w:firstLine="420"/>
        <w:rPr>
          <w:rFonts w:hint="eastAsia"/>
          <w:sz w:val="21"/>
          <w:szCs w:val="21"/>
        </w:rPr>
      </w:pPr>
      <w:r>
        <w:rPr>
          <w:rFonts w:hint="eastAsia"/>
          <w:sz w:val="21"/>
          <w:szCs w:val="21"/>
        </w:rPr>
        <w:t xml:space="preserve">（2）本公司高级管理人员、基金投资和研究部门负责人未持有本基金； </w:t>
      </w:r>
    </w:p>
    <w:p>
      <w:pPr>
        <w:pStyle w:val="2"/>
        <w:spacing w:before="0" w:beforeAutospacing="0" w:after="0" w:afterAutospacing="0" w:line="360" w:lineRule="auto"/>
        <w:ind w:firstLine="420"/>
        <w:rPr>
          <w:rFonts w:hint="eastAsia"/>
          <w:sz w:val="21"/>
          <w:szCs w:val="21"/>
        </w:rPr>
      </w:pPr>
      <w:r>
        <w:rPr>
          <w:rFonts w:hint="eastAsia"/>
          <w:sz w:val="21"/>
          <w:szCs w:val="21"/>
        </w:rPr>
        <w:t xml:space="preserve">（3）本基金的基金经理未持有本基金。 </w:t>
      </w:r>
    </w:p>
    <w:p>
      <w:pPr>
        <w:rPr>
          <w:rFonts w:ascii="宋体" w:hAnsi="宋体" w:eastAsia="宋体"/>
          <w:b/>
        </w:rPr>
      </w:pPr>
      <w:r>
        <w:rPr>
          <w:rFonts w:ascii="宋体" w:hAnsi="宋体" w:eastAsia="宋体"/>
          <w:b/>
        </w:rPr>
        <w:t>3、发起式基金发起资金持有份额情况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1581"/>
        <w:gridCol w:w="1377"/>
        <w:gridCol w:w="1581"/>
        <w:gridCol w:w="1378"/>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rPr>
                <w:rFonts w:ascii="宋体" w:hAnsi="宋体" w:eastAsia="宋体"/>
              </w:rPr>
            </w:pPr>
            <w:r>
              <w:rPr>
                <w:rFonts w:hint="eastAsia" w:ascii="宋体" w:hAnsi="宋体" w:eastAsia="宋体"/>
              </w:rPr>
              <w:t>项目</w:t>
            </w:r>
          </w:p>
        </w:tc>
        <w:tc>
          <w:tcPr>
            <w:tcW w:w="1581" w:type="dxa"/>
            <w:vAlign w:val="center"/>
          </w:tcPr>
          <w:p>
            <w:pPr>
              <w:rPr>
                <w:rFonts w:ascii="宋体" w:hAnsi="宋体" w:eastAsia="宋体"/>
              </w:rPr>
            </w:pPr>
            <w:r>
              <w:rPr>
                <w:rFonts w:hint="eastAsia" w:ascii="宋体" w:hAnsi="宋体" w:eastAsia="宋体"/>
              </w:rPr>
              <w:t>持有份额总数</w:t>
            </w:r>
          </w:p>
        </w:tc>
        <w:tc>
          <w:tcPr>
            <w:tcW w:w="1377" w:type="dxa"/>
            <w:vAlign w:val="center"/>
          </w:tcPr>
          <w:p>
            <w:pPr>
              <w:rPr>
                <w:rFonts w:ascii="宋体" w:hAnsi="宋体" w:eastAsia="宋体"/>
              </w:rPr>
            </w:pPr>
            <w:r>
              <w:rPr>
                <w:rFonts w:hint="eastAsia" w:ascii="宋体" w:hAnsi="宋体" w:eastAsia="宋体"/>
              </w:rPr>
              <w:t>持有份额占基金总份额比例</w:t>
            </w:r>
          </w:p>
        </w:tc>
        <w:tc>
          <w:tcPr>
            <w:tcW w:w="1581" w:type="dxa"/>
            <w:vAlign w:val="center"/>
          </w:tcPr>
          <w:p>
            <w:pPr>
              <w:rPr>
                <w:rFonts w:ascii="宋体" w:hAnsi="宋体" w:eastAsia="宋体"/>
              </w:rPr>
            </w:pPr>
            <w:r>
              <w:rPr>
                <w:rFonts w:hint="eastAsia" w:ascii="宋体" w:hAnsi="宋体" w:eastAsia="宋体"/>
              </w:rPr>
              <w:t>发起份额总数</w:t>
            </w:r>
          </w:p>
        </w:tc>
        <w:tc>
          <w:tcPr>
            <w:tcW w:w="1378" w:type="dxa"/>
            <w:vAlign w:val="center"/>
          </w:tcPr>
          <w:p>
            <w:pPr>
              <w:rPr>
                <w:rFonts w:ascii="宋体" w:hAnsi="宋体" w:eastAsia="宋体"/>
              </w:rPr>
            </w:pPr>
            <w:r>
              <w:rPr>
                <w:rFonts w:hint="eastAsia" w:ascii="宋体" w:hAnsi="宋体" w:eastAsia="宋体"/>
              </w:rPr>
              <w:t>发起份额占基金总份额比例</w:t>
            </w:r>
          </w:p>
        </w:tc>
        <w:tc>
          <w:tcPr>
            <w:tcW w:w="1303" w:type="dxa"/>
            <w:vAlign w:val="center"/>
          </w:tcPr>
          <w:p>
            <w:pPr>
              <w:rPr>
                <w:rFonts w:ascii="宋体" w:hAnsi="宋体" w:eastAsia="宋体"/>
              </w:rPr>
            </w:pPr>
            <w:r>
              <w:rPr>
                <w:rFonts w:hint="eastAsia" w:ascii="宋体" w:hAnsi="宋体" w:eastAsia="宋体"/>
              </w:rPr>
              <w:t>发起份额承诺持有期限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rPr>
                <w:rFonts w:ascii="宋体" w:hAnsi="宋体" w:eastAsia="宋体"/>
              </w:rPr>
            </w:pPr>
            <w:r>
              <w:rPr>
                <w:rFonts w:hint="eastAsia" w:ascii="宋体" w:hAnsi="宋体" w:eastAsia="宋体"/>
              </w:rPr>
              <w:t>基金管理人固有资金</w:t>
            </w:r>
          </w:p>
        </w:tc>
        <w:tc>
          <w:tcPr>
            <w:tcW w:w="1581" w:type="dxa"/>
            <w:vAlign w:val="center"/>
          </w:tcPr>
          <w:p>
            <w:pPr>
              <w:rPr>
                <w:rFonts w:ascii="宋体" w:hAnsi="宋体" w:eastAsia="宋体"/>
              </w:rPr>
            </w:pPr>
            <w:r>
              <w:rPr>
                <w:rFonts w:ascii="宋体" w:hAnsi="宋体" w:eastAsia="宋体"/>
              </w:rPr>
              <w:t>10,000,600.06</w:t>
            </w:r>
          </w:p>
        </w:tc>
        <w:tc>
          <w:tcPr>
            <w:tcW w:w="1377" w:type="dxa"/>
            <w:vAlign w:val="center"/>
          </w:tcPr>
          <w:p>
            <w:pPr>
              <w:rPr>
                <w:rFonts w:ascii="宋体" w:hAnsi="宋体" w:eastAsia="宋体"/>
              </w:rPr>
            </w:pPr>
            <w:r>
              <w:rPr>
                <w:rFonts w:hint="eastAsia" w:ascii="宋体" w:hAnsi="宋体" w:eastAsia="宋体"/>
              </w:rPr>
              <w:t>93.8734</w:t>
            </w:r>
            <w:r>
              <w:rPr>
                <w:rFonts w:ascii="宋体" w:hAnsi="宋体" w:eastAsia="宋体"/>
              </w:rPr>
              <w:t>%</w:t>
            </w:r>
          </w:p>
        </w:tc>
        <w:tc>
          <w:tcPr>
            <w:tcW w:w="1581" w:type="dxa"/>
            <w:vAlign w:val="center"/>
          </w:tcPr>
          <w:p>
            <w:pPr>
              <w:rPr>
                <w:rFonts w:ascii="宋体" w:hAnsi="宋体" w:eastAsia="宋体"/>
              </w:rPr>
            </w:pPr>
            <w:r>
              <w:rPr>
                <w:rFonts w:ascii="宋体" w:hAnsi="宋体" w:eastAsia="宋体"/>
              </w:rPr>
              <w:t>10,000,600.06</w:t>
            </w:r>
          </w:p>
        </w:tc>
        <w:tc>
          <w:tcPr>
            <w:tcW w:w="1378" w:type="dxa"/>
            <w:vAlign w:val="center"/>
          </w:tcPr>
          <w:p>
            <w:pPr>
              <w:rPr>
                <w:rFonts w:ascii="宋体" w:hAnsi="宋体" w:eastAsia="宋体"/>
              </w:rPr>
            </w:pPr>
            <w:r>
              <w:rPr>
                <w:rFonts w:hint="eastAsia" w:ascii="宋体" w:hAnsi="宋体" w:eastAsia="宋体"/>
              </w:rPr>
              <w:t>93.8734</w:t>
            </w:r>
            <w:r>
              <w:rPr>
                <w:rFonts w:ascii="宋体" w:hAnsi="宋体" w:eastAsia="宋体"/>
              </w:rPr>
              <w:t>%</w:t>
            </w:r>
          </w:p>
        </w:tc>
        <w:tc>
          <w:tcPr>
            <w:tcW w:w="1303" w:type="dxa"/>
            <w:vAlign w:val="center"/>
          </w:tcPr>
          <w:p>
            <w:pPr>
              <w:rPr>
                <w:rFonts w:ascii="宋体" w:hAnsi="宋体" w:eastAsia="宋体"/>
              </w:rPr>
            </w:pPr>
            <w:r>
              <w:rPr>
                <w:rFonts w:hint="eastAsia" w:ascii="宋体" w:hAnsi="宋体" w:eastAsia="宋体"/>
              </w:rPr>
              <w:t>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rPr>
                <w:rFonts w:ascii="宋体" w:hAnsi="宋体" w:eastAsia="宋体"/>
              </w:rPr>
            </w:pPr>
            <w:r>
              <w:rPr>
                <w:rFonts w:hint="eastAsia" w:ascii="宋体" w:hAnsi="宋体" w:eastAsia="宋体"/>
              </w:rPr>
              <w:t>基金管理人高级管理人员</w:t>
            </w:r>
          </w:p>
        </w:tc>
        <w:tc>
          <w:tcPr>
            <w:tcW w:w="1581"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377"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581"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378"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303"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rPr>
                <w:rFonts w:ascii="宋体" w:hAnsi="宋体" w:eastAsia="宋体"/>
              </w:rPr>
            </w:pPr>
            <w:r>
              <w:rPr>
                <w:rFonts w:hint="eastAsia" w:ascii="宋体" w:hAnsi="宋体" w:eastAsia="宋体"/>
              </w:rPr>
              <w:t>基金经理等人员</w:t>
            </w:r>
          </w:p>
        </w:tc>
        <w:tc>
          <w:tcPr>
            <w:tcW w:w="1581"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377"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581"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378"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303"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rPr>
                <w:rFonts w:ascii="宋体" w:hAnsi="宋体" w:eastAsia="宋体"/>
              </w:rPr>
            </w:pPr>
            <w:r>
              <w:rPr>
                <w:rFonts w:hint="eastAsia" w:ascii="宋体" w:hAnsi="宋体" w:eastAsia="宋体"/>
              </w:rPr>
              <w:t>基金管理人股东</w:t>
            </w:r>
          </w:p>
        </w:tc>
        <w:tc>
          <w:tcPr>
            <w:tcW w:w="1581"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377"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581"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378"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303"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rPr>
                <w:rFonts w:ascii="宋体" w:hAnsi="宋体" w:eastAsia="宋体"/>
              </w:rPr>
            </w:pPr>
            <w:r>
              <w:rPr>
                <w:rFonts w:hint="eastAsia" w:ascii="宋体" w:hAnsi="宋体" w:eastAsia="宋体"/>
              </w:rPr>
              <w:t>其他</w:t>
            </w:r>
          </w:p>
        </w:tc>
        <w:tc>
          <w:tcPr>
            <w:tcW w:w="1581"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377"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581"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378"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c>
          <w:tcPr>
            <w:tcW w:w="1303" w:type="dxa"/>
            <w:vAlign w:val="center"/>
          </w:tcPr>
          <w:p>
            <w:pPr>
              <w:adjustRightInd w:val="0"/>
              <w:snapToGrid w:val="0"/>
              <w:spacing w:line="360" w:lineRule="exact"/>
              <w:jc w:val="center"/>
              <w:rPr>
                <w:rFonts w:ascii="宋体" w:hAnsi="宋体" w:eastAsiaTheme="minorEastAsia" w:cstheme="minorBidi"/>
                <w:color w:val="000000"/>
                <w:kern w:val="2"/>
                <w:sz w:val="21"/>
                <w:szCs w:val="21"/>
                <w:lang w:val="en-US" w:eastAsia="zh-CN" w:bidi="ar-SA"/>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rPr>
                <w:rFonts w:ascii="宋体" w:hAnsi="宋体" w:eastAsia="宋体"/>
              </w:rPr>
            </w:pPr>
            <w:r>
              <w:rPr>
                <w:rFonts w:hint="eastAsia" w:ascii="宋体" w:hAnsi="宋体" w:eastAsia="宋体"/>
              </w:rPr>
              <w:t>合计</w:t>
            </w:r>
          </w:p>
        </w:tc>
        <w:tc>
          <w:tcPr>
            <w:tcW w:w="1581" w:type="dxa"/>
            <w:vAlign w:val="center"/>
          </w:tcPr>
          <w:p>
            <w:pPr>
              <w:rPr>
                <w:rFonts w:ascii="宋体" w:hAnsi="宋体" w:eastAsia="宋体"/>
              </w:rPr>
            </w:pPr>
            <w:r>
              <w:rPr>
                <w:rFonts w:ascii="宋体" w:hAnsi="宋体" w:eastAsia="宋体"/>
              </w:rPr>
              <w:t>10,000,600.06</w:t>
            </w:r>
          </w:p>
        </w:tc>
        <w:tc>
          <w:tcPr>
            <w:tcW w:w="1377" w:type="dxa"/>
            <w:vAlign w:val="center"/>
          </w:tcPr>
          <w:p>
            <w:pPr>
              <w:rPr>
                <w:rFonts w:ascii="宋体" w:hAnsi="宋体" w:eastAsia="宋体"/>
              </w:rPr>
            </w:pPr>
            <w:r>
              <w:rPr>
                <w:rFonts w:hint="eastAsia" w:ascii="宋体" w:hAnsi="宋体" w:eastAsia="宋体"/>
              </w:rPr>
              <w:t>93.8734</w:t>
            </w:r>
            <w:r>
              <w:rPr>
                <w:rFonts w:ascii="宋体" w:hAnsi="宋体" w:eastAsia="宋体"/>
              </w:rPr>
              <w:t>%</w:t>
            </w:r>
          </w:p>
        </w:tc>
        <w:tc>
          <w:tcPr>
            <w:tcW w:w="1581" w:type="dxa"/>
            <w:vAlign w:val="center"/>
          </w:tcPr>
          <w:p>
            <w:pPr>
              <w:rPr>
                <w:rFonts w:ascii="宋体" w:hAnsi="宋体" w:eastAsia="宋体"/>
              </w:rPr>
            </w:pPr>
            <w:r>
              <w:rPr>
                <w:rFonts w:ascii="宋体" w:hAnsi="宋体" w:eastAsia="宋体"/>
              </w:rPr>
              <w:t>10,000,600.06</w:t>
            </w:r>
          </w:p>
        </w:tc>
        <w:tc>
          <w:tcPr>
            <w:tcW w:w="1378" w:type="dxa"/>
            <w:vAlign w:val="center"/>
          </w:tcPr>
          <w:p>
            <w:pPr>
              <w:rPr>
                <w:rFonts w:ascii="宋体" w:hAnsi="宋体" w:eastAsia="宋体"/>
              </w:rPr>
            </w:pPr>
            <w:r>
              <w:rPr>
                <w:rFonts w:hint="eastAsia" w:ascii="宋体" w:hAnsi="宋体" w:eastAsia="宋体"/>
              </w:rPr>
              <w:t>93.8734</w:t>
            </w:r>
            <w:r>
              <w:rPr>
                <w:rFonts w:ascii="宋体" w:hAnsi="宋体" w:eastAsia="宋体"/>
              </w:rPr>
              <w:t>%</w:t>
            </w:r>
          </w:p>
        </w:tc>
        <w:tc>
          <w:tcPr>
            <w:tcW w:w="1303" w:type="dxa"/>
            <w:vAlign w:val="center"/>
          </w:tcPr>
          <w:p>
            <w:pPr>
              <w:rPr>
                <w:rFonts w:ascii="宋体" w:hAnsi="宋体" w:eastAsia="宋体"/>
              </w:rPr>
            </w:pPr>
            <w:r>
              <w:rPr>
                <w:rFonts w:hint="eastAsia" w:ascii="宋体" w:hAnsi="宋体" w:eastAsia="宋体"/>
              </w:rPr>
              <w:t>不少于三年</w:t>
            </w:r>
          </w:p>
        </w:tc>
      </w:tr>
    </w:tbl>
    <w:p>
      <w:pPr>
        <w:rPr>
          <w:rFonts w:ascii="宋体" w:hAnsi="宋体" w:eastAsia="宋体"/>
          <w:b/>
        </w:rPr>
      </w:pPr>
    </w:p>
    <w:p>
      <w:pPr>
        <w:rPr>
          <w:rFonts w:ascii="宋体" w:hAnsi="宋体" w:eastAsia="宋体"/>
          <w:b/>
        </w:rPr>
      </w:pPr>
      <w:r>
        <w:rPr>
          <w:rFonts w:ascii="宋体" w:hAnsi="宋体" w:eastAsia="宋体"/>
          <w:b/>
        </w:rPr>
        <w:t>4、其他需要提示的事项</w:t>
      </w:r>
    </w:p>
    <w:p>
      <w:pPr>
        <w:pStyle w:val="2"/>
        <w:spacing w:before="0" w:beforeAutospacing="0" w:after="0" w:afterAutospacing="0" w:line="360" w:lineRule="auto"/>
        <w:ind w:firstLine="420"/>
        <w:rPr>
          <w:rFonts w:hint="eastAsia"/>
          <w:sz w:val="21"/>
          <w:szCs w:val="21"/>
        </w:rPr>
      </w:pPr>
      <w:r>
        <w:rPr>
          <w:rFonts w:hint="eastAsia"/>
          <w:sz w:val="21"/>
          <w:szCs w:val="21"/>
        </w:rPr>
        <w:t xml:space="preserve">（1）开放日及开放时间 </w:t>
      </w:r>
    </w:p>
    <w:p>
      <w:pPr>
        <w:pStyle w:val="2"/>
        <w:spacing w:before="0" w:beforeAutospacing="0" w:after="0" w:afterAutospacing="0" w:line="360" w:lineRule="auto"/>
        <w:ind w:firstLine="420"/>
        <w:rPr>
          <w:rFonts w:hint="eastAsia"/>
          <w:sz w:val="21"/>
          <w:szCs w:val="21"/>
        </w:rPr>
      </w:pPr>
      <w:r>
        <w:rPr>
          <w:rFonts w:hint="eastAsia"/>
          <w:sz w:val="21"/>
          <w:szCs w:val="21"/>
        </w:rPr>
        <w:t xml:space="preserve">投资人在开放日办理基金份额的申购和赎回，具体办理时间为港股通、上海证券交易所、深圳证券交易所同时为正常交易日的交易时间，但基金管理人根据法律法规、中国证监会的要求或本基金合同的规定公告暂停申购、赎回时除外。开放日的具体业务办理时间在招募说明书或相关公告中载明。 </w:t>
      </w:r>
    </w:p>
    <w:p>
      <w:pPr>
        <w:pStyle w:val="2"/>
        <w:spacing w:before="0" w:beforeAutospacing="0" w:after="0" w:afterAutospacing="0" w:line="360" w:lineRule="auto"/>
        <w:ind w:firstLine="420"/>
        <w:rPr>
          <w:rFonts w:hint="eastAsia"/>
          <w:sz w:val="21"/>
          <w:szCs w:val="21"/>
        </w:rPr>
      </w:pPr>
      <w:r>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  </w:t>
      </w:r>
    </w:p>
    <w:p>
      <w:pPr>
        <w:pStyle w:val="2"/>
        <w:spacing w:before="0" w:beforeAutospacing="0" w:after="0" w:afterAutospacing="0" w:line="360" w:lineRule="auto"/>
        <w:ind w:firstLine="420"/>
        <w:rPr>
          <w:rFonts w:hint="eastAsia"/>
          <w:sz w:val="21"/>
          <w:szCs w:val="21"/>
        </w:rPr>
      </w:pPr>
      <w:r>
        <w:rPr>
          <w:rFonts w:hint="eastAsia"/>
          <w:sz w:val="21"/>
          <w:szCs w:val="21"/>
        </w:rPr>
        <w:t xml:space="preserve">（2）申购、赎回开始日及业务办理时间 </w:t>
      </w:r>
    </w:p>
    <w:p>
      <w:pPr>
        <w:pStyle w:val="2"/>
        <w:spacing w:before="0" w:beforeAutospacing="0" w:after="0" w:afterAutospacing="0" w:line="360" w:lineRule="auto"/>
        <w:ind w:firstLine="420"/>
        <w:rPr>
          <w:rFonts w:hint="eastAsia"/>
          <w:sz w:val="21"/>
          <w:szCs w:val="21"/>
        </w:rPr>
      </w:pPr>
      <w:r>
        <w:rPr>
          <w:rFonts w:hint="eastAsia"/>
          <w:sz w:val="21"/>
          <w:szCs w:val="21"/>
        </w:rPr>
        <w:t xml:space="preserve">基金管理人可根据实际情况依法决定本基金开始办理申购的具体日期，具体业务办理时间在申购开始公告中规定。 </w:t>
      </w:r>
    </w:p>
    <w:p>
      <w:pPr>
        <w:pStyle w:val="2"/>
        <w:spacing w:before="0" w:beforeAutospacing="0" w:after="0" w:afterAutospacing="0" w:line="360" w:lineRule="auto"/>
        <w:ind w:firstLine="420"/>
        <w:rPr>
          <w:rFonts w:hint="eastAsia"/>
          <w:sz w:val="21"/>
          <w:szCs w:val="21"/>
        </w:rPr>
      </w:pPr>
      <w:r>
        <w:rPr>
          <w:rFonts w:hint="eastAsia"/>
          <w:sz w:val="21"/>
          <w:szCs w:val="21"/>
        </w:rPr>
        <w:t xml:space="preserve">基金管理人自基金合同生效之日起不超过3个月开始办理赎回，具体业务办理时间在赎回开始公告中规定。 </w:t>
      </w:r>
    </w:p>
    <w:p>
      <w:pPr>
        <w:pStyle w:val="2"/>
        <w:spacing w:before="0" w:beforeAutospacing="0" w:after="0" w:afterAutospacing="0" w:line="360" w:lineRule="auto"/>
        <w:ind w:firstLine="420"/>
        <w:rPr>
          <w:rFonts w:hint="eastAsia"/>
          <w:sz w:val="21"/>
          <w:szCs w:val="21"/>
        </w:rPr>
      </w:pPr>
      <w:r>
        <w:rPr>
          <w:rFonts w:hint="eastAsia"/>
          <w:sz w:val="21"/>
          <w:szCs w:val="21"/>
        </w:rPr>
        <w:t xml:space="preserve">在确定申购开始与赎回开始时间后，基金管理人应在申购、赎回开放日前依照《信息披露办法》的有关规定在规定媒介上公告申购与赎回的开始时间。 </w:t>
      </w:r>
    </w:p>
    <w:p>
      <w:pPr>
        <w:pStyle w:val="2"/>
        <w:spacing w:before="0" w:beforeAutospacing="0" w:after="0" w:afterAutospacing="0" w:line="360" w:lineRule="auto"/>
        <w:ind w:firstLine="420"/>
        <w:rPr>
          <w:rFonts w:hint="eastAsia"/>
          <w:sz w:val="21"/>
          <w:szCs w:val="21"/>
        </w:rPr>
      </w:pPr>
      <w:r>
        <w:rPr>
          <w:rFonts w:hint="eastAsia"/>
          <w:sz w:val="21"/>
          <w:szCs w:val="21"/>
        </w:rPr>
        <w:t xml:space="preserve">风险提示：基金管理人承诺以诚实信用、勤勉尽责的原则管理和运用基金财产，但不保证基金一定盈利，也不保证最低收益。基金的过往业绩不代表其未来表现，敬请投资者注意投资风险。  </w:t>
      </w:r>
    </w:p>
    <w:p>
      <w:pPr>
        <w:pStyle w:val="2"/>
        <w:spacing w:before="0" w:beforeAutospacing="0" w:after="0" w:afterAutospacing="0" w:line="360" w:lineRule="auto"/>
        <w:ind w:firstLine="420"/>
        <w:rPr>
          <w:rFonts w:hint="eastAsia"/>
          <w:sz w:val="21"/>
          <w:szCs w:val="21"/>
        </w:rPr>
      </w:pPr>
      <w:r>
        <w:rPr>
          <w:rFonts w:hint="eastAsia"/>
          <w:sz w:val="21"/>
          <w:szCs w:val="21"/>
        </w:rPr>
        <w:t xml:space="preserve">特此公告。 </w:t>
      </w:r>
    </w:p>
    <w:p>
      <w:pPr>
        <w:pStyle w:val="2"/>
        <w:spacing w:before="0" w:beforeAutospacing="0" w:after="0" w:afterAutospacing="0" w:line="360" w:lineRule="auto"/>
        <w:ind w:firstLine="420"/>
        <w:rPr>
          <w:sz w:val="21"/>
          <w:szCs w:val="21"/>
        </w:rPr>
      </w:pPr>
    </w:p>
    <w:p>
      <w:pPr>
        <w:pStyle w:val="2"/>
        <w:spacing w:before="0" w:beforeAutospacing="0" w:after="0" w:afterAutospacing="0" w:line="360" w:lineRule="auto"/>
        <w:ind w:firstLine="420"/>
        <w:rPr>
          <w:sz w:val="21"/>
          <w:szCs w:val="21"/>
        </w:rPr>
      </w:pPr>
    </w:p>
    <w:p>
      <w:pPr>
        <w:pStyle w:val="2"/>
        <w:spacing w:before="0" w:beforeAutospacing="0" w:after="0" w:afterAutospacing="0" w:line="360" w:lineRule="auto"/>
        <w:ind w:firstLine="420"/>
        <w:rPr>
          <w:sz w:val="21"/>
          <w:szCs w:val="21"/>
        </w:rPr>
      </w:pPr>
    </w:p>
    <w:p>
      <w:pPr>
        <w:pStyle w:val="2"/>
        <w:spacing w:before="0" w:beforeAutospacing="0" w:after="0" w:afterAutospacing="0" w:line="360" w:lineRule="auto"/>
        <w:ind w:firstLine="420"/>
        <w:jc w:val="right"/>
        <w:rPr>
          <w:rFonts w:hint="eastAsia"/>
          <w:sz w:val="21"/>
          <w:szCs w:val="21"/>
        </w:rPr>
      </w:pPr>
      <w:r>
        <w:rPr>
          <w:rFonts w:hint="eastAsia"/>
          <w:sz w:val="21"/>
          <w:szCs w:val="21"/>
        </w:rPr>
        <w:t>博时基金管理有限公司</w:t>
      </w:r>
    </w:p>
    <w:p>
      <w:pPr>
        <w:pStyle w:val="2"/>
        <w:spacing w:before="0" w:beforeAutospacing="0" w:after="0" w:afterAutospacing="0" w:line="360" w:lineRule="auto"/>
        <w:ind w:firstLine="420"/>
        <w:jc w:val="right"/>
        <w:rPr>
          <w:sz w:val="21"/>
          <w:szCs w:val="21"/>
        </w:rPr>
      </w:pPr>
      <w:r>
        <w:rPr>
          <w:sz w:val="21"/>
          <w:szCs w:val="21"/>
        </w:rPr>
        <w:t>2022年1月11日</w:t>
      </w:r>
    </w:p>
    <w:p>
      <w:pPr>
        <w:pStyle w:val="2"/>
        <w:spacing w:before="0" w:beforeAutospacing="0" w:after="0" w:afterAutospacing="0" w:line="360" w:lineRule="auto"/>
        <w:ind w:firstLine="420"/>
        <w:jc w:val="right"/>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68"/>
    <w:rsid w:val="00382E83"/>
    <w:rsid w:val="00BA7668"/>
    <w:rsid w:val="06461591"/>
    <w:rsid w:val="355101DD"/>
    <w:rsid w:val="36B0719E"/>
    <w:rsid w:val="44FF4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3</Pages>
  <Words>301</Words>
  <Characters>1716</Characters>
  <Lines>14</Lines>
  <Paragraphs>4</Paragraphs>
  <TotalTime>3</TotalTime>
  <ScaleCrop>false</ScaleCrop>
  <LinksUpToDate>false</LinksUpToDate>
  <CharactersWithSpaces>2013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2022-01-07T10:29:00Z</dcterms:created>
  <dc:creator>BSKMadminDev</dc:creator>
  <cp:lastModifiedBy>zhaiq</cp:lastModifiedBy>
  <dcterms:modified xsi:type="dcterms:W3CDTF">2022-01-10T04:34:46Z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3A042BD66B504919B18CE40D365D1EDC</vt:lpwstr>
  </property>
</Properties>
</file>