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68321B" w:rsidP="00812228">
      <w:pPr>
        <w:widowControl/>
        <w:jc w:val="center"/>
        <w:rPr>
          <w:rFonts w:eastAsiaTheme="minorEastAsia"/>
          <w:b/>
          <w:kern w:val="0"/>
          <w:sz w:val="30"/>
          <w:szCs w:val="30"/>
        </w:rPr>
      </w:pPr>
      <w:r w:rsidRPr="0068321B">
        <w:rPr>
          <w:rFonts w:eastAsiaTheme="minorEastAsia"/>
          <w:b/>
          <w:kern w:val="0"/>
          <w:sz w:val="30"/>
          <w:szCs w:val="30"/>
        </w:rPr>
        <w:t>易方达纯债债券型证券投资基金分红公告</w:t>
      </w:r>
    </w:p>
    <w:p w:rsidR="00893436" w:rsidRPr="0068321B"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2022</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11</w:t>
      </w:r>
      <w:r w:rsidRPr="0068321B">
        <w:rPr>
          <w:rFonts w:eastAsiaTheme="minorEastAsia"/>
          <w:b/>
          <w:color w:val="000000"/>
          <w:sz w:val="24"/>
          <w:szCs w:val="24"/>
        </w:rPr>
        <w:t>日</w:t>
      </w:r>
    </w:p>
    <w:p w:rsidR="00893436" w:rsidRPr="0068321B" w:rsidP="00B14D73">
      <w:pPr>
        <w:spacing w:line="360" w:lineRule="auto"/>
        <w:jc w:val="center"/>
        <w:rPr>
          <w:rFonts w:eastAsiaTheme="minorEastAsia"/>
          <w:color w:val="000000"/>
          <w:sz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0" w:name="_Toc275961418"/>
      <w:r w:rsidRPr="0068321B">
        <w:rPr>
          <w:rFonts w:eastAsiaTheme="minorEastAsia"/>
          <w:bCs w:val="0"/>
          <w:sz w:val="24"/>
          <w:szCs w:val="24"/>
        </w:rPr>
        <w:t>1.</w:t>
      </w:r>
      <w:r w:rsidRPr="0068321B">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14"/>
        <w:gridCol w:w="2706"/>
        <w:gridCol w:w="2706"/>
      </w:tblGrid>
      <w:tr w:rsidTr="00820E11">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易方达纯债债券型证券投资基金</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易方达纯债债券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110037</w:t>
            </w:r>
          </w:p>
        </w:tc>
      </w:tr>
      <w:tr w:rsidTr="00820E11">
        <w:tblPrEx>
          <w:tblW w:w="9606" w:type="dxa"/>
          <w:jc w:val="center"/>
          <w:tblLayout w:type="fixed"/>
          <w:tblLook w:val="0000"/>
        </w:tblPrEx>
        <w:trPr>
          <w:jc w:val="center"/>
        </w:trPr>
        <w:tc>
          <w:tcPr>
            <w:tcW w:w="4194" w:type="dxa"/>
            <w:gridSpan w:val="2"/>
            <w:vAlign w:val="center"/>
          </w:tcPr>
          <w:p w:rsidR="00D82E8A" w:rsidRPr="0068321B"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2012</w:t>
            </w:r>
            <w:r w:rsidRPr="0068321B">
              <w:rPr>
                <w:rFonts w:eastAsiaTheme="minorEastAsia"/>
                <w:sz w:val="24"/>
                <w:szCs w:val="24"/>
              </w:rPr>
              <w:t>年</w:t>
            </w:r>
            <w:r w:rsidRPr="0068321B">
              <w:rPr>
                <w:rFonts w:eastAsiaTheme="minorEastAsia"/>
                <w:sz w:val="24"/>
                <w:szCs w:val="24"/>
              </w:rPr>
              <w:t>5</w:t>
            </w:r>
            <w:r w:rsidRPr="0068321B">
              <w:rPr>
                <w:rFonts w:eastAsiaTheme="minorEastAsia"/>
                <w:sz w:val="24"/>
                <w:szCs w:val="24"/>
              </w:rPr>
              <w:t>月</w:t>
            </w:r>
            <w:r w:rsidRPr="0068321B">
              <w:rPr>
                <w:rFonts w:eastAsiaTheme="minorEastAsia"/>
                <w:sz w:val="24"/>
                <w:szCs w:val="24"/>
              </w:rPr>
              <w:t>3</w:t>
            </w:r>
            <w:r w:rsidRPr="0068321B">
              <w:rPr>
                <w:rFonts w:eastAsiaTheme="minorEastAsia"/>
                <w:sz w:val="24"/>
                <w:szCs w:val="24"/>
              </w:rPr>
              <w:t>日</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易方达基金管理有限公司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招商银行股份有限公司</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P="00820E11">
            <w:pPr>
              <w:rPr>
                <w:rFonts w:eastAsiaTheme="minorEastAsia"/>
                <w:sz w:val="24"/>
                <w:szCs w:val="24"/>
              </w:rPr>
            </w:pPr>
            <w:r w:rsidRPr="0068321B">
              <w:rPr>
                <w:rFonts w:eastAsiaTheme="minorEastAsia"/>
                <w:sz w:val="24"/>
                <w:szCs w:val="24"/>
              </w:rPr>
              <w:t>《公开募集证券投资基金信息披露管理办法》、《易方达纯债债券型证券投资基金基金合同》、《易方达纯债债券型证券投资基金更新的招募说明书》</w:t>
            </w:r>
          </w:p>
        </w:tc>
      </w:tr>
      <w:tr w:rsidTr="00820E11">
        <w:tblPrEx>
          <w:tblW w:w="9606" w:type="dxa"/>
          <w:jc w:val="center"/>
          <w:tblLayout w:type="fixed"/>
          <w:tblLook w:val="0000"/>
        </w:tblPrEx>
        <w:trPr>
          <w:jc w:val="center"/>
        </w:trPr>
        <w:tc>
          <w:tcPr>
            <w:tcW w:w="4194" w:type="dxa"/>
            <w:gridSpan w:val="2"/>
          </w:tcPr>
          <w:p w:rsidR="00D82E8A" w:rsidRPr="0068321B"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P="00820E11">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5</w:t>
            </w:r>
            <w:r w:rsidRPr="0068321B">
              <w:rPr>
                <w:rFonts w:eastAsiaTheme="minorEastAsia"/>
                <w:sz w:val="24"/>
                <w:szCs w:val="24"/>
              </w:rPr>
              <w:t>日</w:t>
            </w:r>
          </w:p>
        </w:tc>
      </w:tr>
      <w:tr w:rsidTr="00B14D73">
        <w:tblPrEx>
          <w:tblW w:w="9606" w:type="dxa"/>
          <w:jc w:val="center"/>
          <w:tblLayout w:type="fixed"/>
          <w:tblLook w:val="0000"/>
        </w:tblPrEx>
        <w:trPr>
          <w:jc w:val="center"/>
        </w:trPr>
        <w:tc>
          <w:tcPr>
            <w:tcW w:w="4194" w:type="dxa"/>
            <w:gridSpan w:val="2"/>
            <w:vAlign w:val="center"/>
          </w:tcPr>
          <w:p w:rsidR="00893436" w:rsidRPr="0068321B"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2022</w:t>
            </w:r>
            <w:r w:rsidRPr="0068321B">
              <w:rPr>
                <w:rFonts w:eastAsiaTheme="minorEastAsia"/>
                <w:sz w:val="24"/>
                <w:szCs w:val="24"/>
              </w:rPr>
              <w:t>年度的第</w:t>
            </w:r>
            <w:r w:rsidRPr="0068321B">
              <w:rPr>
                <w:rFonts w:eastAsiaTheme="minorEastAsia"/>
                <w:sz w:val="24"/>
                <w:szCs w:val="24"/>
              </w:rPr>
              <w:t>1</w:t>
            </w:r>
            <w:r w:rsidRPr="0068321B">
              <w:rPr>
                <w:rFonts w:eastAsiaTheme="minorEastAsia"/>
                <w:sz w:val="24"/>
                <w:szCs w:val="24"/>
              </w:rPr>
              <w:t>次分红</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易方达纯债债券</w:t>
            </w:r>
            <w:r w:rsidRPr="0068321B">
              <w:rPr>
                <w:rFonts w:eastAsiaTheme="minorEastAsia"/>
                <w:sz w:val="24"/>
                <w:szCs w:val="24"/>
              </w:rPr>
              <w:t>A</w:t>
            </w:r>
          </w:p>
        </w:tc>
        <w:tc>
          <w:tcPr>
            <w:tcW w:w="2706" w:type="dxa"/>
          </w:tcPr>
          <w:p w:rsidR="00266A99" w:rsidRPr="0068321B" w:rsidP="0007182D">
            <w:pPr>
              <w:rPr>
                <w:rFonts w:eastAsiaTheme="minorEastAsia"/>
                <w:sz w:val="24"/>
                <w:szCs w:val="24"/>
              </w:rPr>
            </w:pPr>
            <w:r w:rsidRPr="0068321B">
              <w:rPr>
                <w:rFonts w:eastAsiaTheme="minorEastAsia"/>
                <w:sz w:val="24"/>
                <w:szCs w:val="24"/>
              </w:rPr>
              <w:t>易方达纯债债券</w:t>
            </w:r>
            <w:r w:rsidRPr="0068321B">
              <w:rPr>
                <w:rFonts w:eastAsiaTheme="minorEastAsia"/>
                <w:sz w:val="24"/>
                <w:szCs w:val="24"/>
              </w:rPr>
              <w:t>C</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P="0007182D">
            <w:pPr>
              <w:rPr>
                <w:rFonts w:eastAsiaTheme="minorEastAsia"/>
                <w:sz w:val="24"/>
                <w:szCs w:val="24"/>
              </w:rPr>
            </w:pPr>
            <w:r w:rsidRPr="0068321B">
              <w:rPr>
                <w:rFonts w:eastAsiaTheme="minorEastAsia"/>
                <w:sz w:val="24"/>
                <w:szCs w:val="24"/>
              </w:rPr>
              <w:t>110037</w:t>
            </w:r>
          </w:p>
        </w:tc>
        <w:tc>
          <w:tcPr>
            <w:tcW w:w="2706" w:type="dxa"/>
          </w:tcPr>
          <w:p w:rsidR="00266A99" w:rsidRPr="0068321B" w:rsidP="0007182D">
            <w:pPr>
              <w:rPr>
                <w:rFonts w:eastAsiaTheme="minorEastAsia"/>
                <w:sz w:val="24"/>
                <w:szCs w:val="24"/>
              </w:rPr>
            </w:pPr>
            <w:r w:rsidRPr="0068321B">
              <w:rPr>
                <w:rFonts w:eastAsiaTheme="minorEastAsia"/>
                <w:sz w:val="24"/>
                <w:szCs w:val="24"/>
              </w:rPr>
              <w:t>110038</w:t>
            </w:r>
          </w:p>
        </w:tc>
      </w:tr>
      <w:tr w:rsidTr="00B14D73">
        <w:tblPrEx>
          <w:tblW w:w="9606" w:type="dxa"/>
          <w:jc w:val="center"/>
          <w:tblLayout w:type="fixed"/>
          <w:tblLook w:val="0000"/>
        </w:tblPrEx>
        <w:trPr>
          <w:jc w:val="center"/>
        </w:trPr>
        <w:tc>
          <w:tcPr>
            <w:tcW w:w="1980" w:type="dxa"/>
            <w:vMerge w:val="restart"/>
            <w:vAlign w:val="center"/>
          </w:tcPr>
          <w:p w:rsidR="000C169A" w:rsidRPr="0068321B"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1.1140</w:t>
            </w:r>
          </w:p>
        </w:tc>
        <w:tc>
          <w:tcPr>
            <w:tcW w:w="2706" w:type="dxa"/>
          </w:tcPr>
          <w:p w:rsidR="000C169A" w:rsidRPr="0068321B" w:rsidP="0007182D">
            <w:pPr>
              <w:rPr>
                <w:rFonts w:eastAsiaTheme="minorEastAsia"/>
                <w:sz w:val="24"/>
                <w:szCs w:val="24"/>
              </w:rPr>
            </w:pPr>
            <w:r w:rsidRPr="0068321B">
              <w:rPr>
                <w:rFonts w:eastAsiaTheme="minorEastAsia"/>
                <w:sz w:val="24"/>
                <w:szCs w:val="24"/>
              </w:rPr>
              <w:t>1.1113</w:t>
            </w:r>
          </w:p>
        </w:tc>
      </w:tr>
      <w:tr w:rsidTr="00B14D73">
        <w:tblPrEx>
          <w:tblW w:w="9606" w:type="dxa"/>
          <w:jc w:val="center"/>
          <w:tblLayout w:type="fixed"/>
          <w:tblLook w:val="0000"/>
        </w:tblPrEx>
        <w:trPr>
          <w:trHeight w:val="405"/>
          <w:jc w:val="center"/>
        </w:trPr>
        <w:tc>
          <w:tcPr>
            <w:tcW w:w="1980" w:type="dxa"/>
            <w:vMerge/>
          </w:tcPr>
          <w:p w:rsidR="000C169A" w:rsidRPr="0068321B" w:rsidP="0007182D">
            <w:pPr>
              <w:rPr>
                <w:rFonts w:eastAsiaTheme="minorEastAsia"/>
                <w:sz w:val="24"/>
                <w:szCs w:val="24"/>
              </w:rPr>
            </w:pPr>
          </w:p>
        </w:tc>
        <w:tc>
          <w:tcPr>
            <w:tcW w:w="2214" w:type="dxa"/>
            <w:vAlign w:val="center"/>
          </w:tcPr>
          <w:p w:rsidR="000C169A" w:rsidRPr="0068321B"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P="0007182D">
            <w:pPr>
              <w:rPr>
                <w:rFonts w:eastAsiaTheme="minorEastAsia"/>
                <w:sz w:val="24"/>
                <w:szCs w:val="24"/>
              </w:rPr>
            </w:pPr>
            <w:r w:rsidRPr="0068321B">
              <w:rPr>
                <w:rFonts w:eastAsiaTheme="minorEastAsia"/>
                <w:sz w:val="24"/>
                <w:szCs w:val="24"/>
              </w:rPr>
              <w:t>51,154,167.67</w:t>
            </w:r>
          </w:p>
        </w:tc>
        <w:tc>
          <w:tcPr>
            <w:tcW w:w="2706" w:type="dxa"/>
          </w:tcPr>
          <w:p w:rsidR="000C169A" w:rsidRPr="0068321B" w:rsidP="0007182D">
            <w:pPr>
              <w:rPr>
                <w:rFonts w:eastAsiaTheme="minorEastAsia"/>
                <w:sz w:val="24"/>
                <w:szCs w:val="24"/>
              </w:rPr>
            </w:pPr>
            <w:r w:rsidRPr="0068321B">
              <w:rPr>
                <w:rFonts w:eastAsiaTheme="minorEastAsia"/>
                <w:sz w:val="24"/>
                <w:szCs w:val="24"/>
              </w:rPr>
              <w:t>7,576,264.51</w:t>
            </w:r>
          </w:p>
        </w:tc>
      </w:tr>
      <w:tr>
        <w:tblPrEx>
          <w:tblW w:w="9606" w:type="dxa"/>
          <w:jc w:val="center"/>
          <w:tblLayout w:type="fixed"/>
          <w:tblLook w:val="0000"/>
        </w:tblPrEx>
        <w:trPr>
          <w:jc w:val="center"/>
        </w:trPr>
        <w:tc>
          <w:tcPr>
            <w:tcW w:w="1980" w:type="dxa"/>
            <w:vMerge/>
          </w:tcPr>
          <w:p w:rsidR="00064E90"/>
        </w:tc>
        <w:tc>
          <w:tcPr>
            <w:tcW w:w="2214" w:type="dxa"/>
            <w:vAlign w:val="center"/>
          </w:tcPr>
          <w:p w:rsidR="00064E90">
            <w:pPr>
              <w:jc w:val="center"/>
            </w:pPr>
            <w:r>
              <w:rPr>
                <w:rFonts w:eastAsiaTheme="minorEastAsia"/>
                <w:sz w:val="24"/>
                <w:szCs w:val="24"/>
              </w:rPr>
              <w:t>截止基准日按照基金合同约定的分红比例计算的应分配金额（单位：元）</w:t>
            </w:r>
          </w:p>
        </w:tc>
        <w:tc>
          <w:tcPr>
            <w:tcW w:w="2706" w:type="dxa"/>
            <w:vAlign w:val="center"/>
          </w:tcPr>
          <w:p w:rsidR="00064E90">
            <w:pPr>
              <w:jc w:val="left"/>
            </w:pPr>
            <w:r>
              <w:rPr>
                <w:rFonts w:eastAsiaTheme="minorEastAsia"/>
                <w:sz w:val="24"/>
                <w:szCs w:val="24"/>
              </w:rPr>
              <w:t>30,692,500.61</w:t>
            </w:r>
          </w:p>
        </w:tc>
        <w:tc>
          <w:tcPr>
            <w:tcW w:w="2706" w:type="dxa"/>
            <w:vAlign w:val="center"/>
          </w:tcPr>
          <w:p w:rsidR="00064E90">
            <w:pPr>
              <w:jc w:val="left"/>
            </w:pPr>
            <w:r>
              <w:rPr>
                <w:rFonts w:eastAsiaTheme="minorEastAsia"/>
                <w:sz w:val="24"/>
                <w:szCs w:val="24"/>
              </w:rPr>
              <w:t>4,545,758.71</w:t>
            </w:r>
          </w:p>
        </w:tc>
      </w:tr>
      <w:tr w:rsidTr="00B14D73">
        <w:tblPrEx>
          <w:tblW w:w="9606" w:type="dxa"/>
          <w:jc w:val="center"/>
          <w:tblLayout w:type="fixed"/>
          <w:tblLook w:val="0000"/>
        </w:tblPrEx>
        <w:trPr>
          <w:jc w:val="center"/>
        </w:trPr>
        <w:tc>
          <w:tcPr>
            <w:tcW w:w="4194" w:type="dxa"/>
            <w:gridSpan w:val="2"/>
          </w:tcPr>
          <w:p w:rsidR="00266A99" w:rsidRPr="0068321B"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P="0007182D">
            <w:pPr>
              <w:rPr>
                <w:rFonts w:eastAsiaTheme="minorEastAsia"/>
                <w:sz w:val="24"/>
                <w:szCs w:val="24"/>
              </w:rPr>
            </w:pPr>
            <w:r w:rsidRPr="0068321B">
              <w:rPr>
                <w:rFonts w:eastAsiaTheme="minorEastAsia"/>
                <w:sz w:val="24"/>
                <w:szCs w:val="24"/>
              </w:rPr>
              <w:t>0.08</w:t>
            </w:r>
          </w:p>
        </w:tc>
        <w:tc>
          <w:tcPr>
            <w:tcW w:w="2706" w:type="dxa"/>
          </w:tcPr>
          <w:p w:rsidR="00266A99" w:rsidRPr="0068321B" w:rsidP="0007182D">
            <w:pPr>
              <w:rPr>
                <w:rFonts w:eastAsiaTheme="minorEastAsia"/>
                <w:sz w:val="24"/>
                <w:szCs w:val="24"/>
              </w:rPr>
            </w:pPr>
            <w:r w:rsidRPr="0068321B">
              <w:rPr>
                <w:rFonts w:eastAsiaTheme="minorEastAsia"/>
                <w:sz w:val="24"/>
                <w:szCs w:val="24"/>
              </w:rPr>
              <w:t>0.07</w:t>
            </w:r>
          </w:p>
        </w:tc>
      </w:tr>
    </w:tbl>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注：根据《易方达纯债债券型证券投资基金基金合同》规定，在符合有关基金分红条件的前提下，本基金收益每年最多分配</w:t>
      </w:r>
      <w:r w:rsidRPr="0068321B">
        <w:rPr>
          <w:rFonts w:eastAsiaTheme="minorEastAsia"/>
          <w:color w:val="000000"/>
          <w:sz w:val="24"/>
          <w:szCs w:val="24"/>
        </w:rPr>
        <w:t>12</w:t>
      </w:r>
      <w:r w:rsidRPr="0068321B">
        <w:rPr>
          <w:rFonts w:eastAsiaTheme="minorEastAsia"/>
          <w:color w:val="000000"/>
          <w:sz w:val="24"/>
          <w:szCs w:val="24"/>
        </w:rPr>
        <w:t>次，每份基金份额每次基金收益分配比例不低于收益分配基准日每份基金份额可供分配利润的</w:t>
      </w:r>
      <w:r w:rsidRPr="0068321B">
        <w:rPr>
          <w:rFonts w:eastAsiaTheme="minorEastAsia"/>
          <w:color w:val="000000"/>
          <w:sz w:val="24"/>
          <w:szCs w:val="24"/>
        </w:rPr>
        <w:t>60%</w:t>
      </w:r>
      <w:r w:rsidRPr="0068321B">
        <w:rPr>
          <w:rFonts w:eastAsiaTheme="minorEastAsia"/>
          <w:color w:val="000000"/>
          <w:sz w:val="24"/>
          <w:szCs w:val="24"/>
        </w:rPr>
        <w:t>。</w:t>
      </w:r>
    </w:p>
    <w:p w:rsidR="00812228" w:rsidRPr="0068321B" w:rsidP="00B14D73">
      <w:pPr>
        <w:spacing w:line="360" w:lineRule="auto"/>
        <w:rPr>
          <w:rFonts w:eastAsiaTheme="minorEastAsia"/>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1" w:name="_Toc275961419"/>
      <w:r w:rsidRPr="0068321B">
        <w:rPr>
          <w:rFonts w:eastAsiaTheme="minorEastAsia"/>
          <w:bCs w:val="0"/>
          <w:sz w:val="24"/>
          <w:szCs w:val="24"/>
        </w:rPr>
        <w:t>2.</w:t>
      </w:r>
      <w:r w:rsidRPr="0068321B">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Tr="00B14D73">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p>
        </w:tc>
      </w:tr>
      <w:tr w:rsidTr="00B50289">
        <w:tblPrEx>
          <w:tblW w:w="9320" w:type="dxa"/>
          <w:jc w:val="center"/>
          <w:tblLayout w:type="fixed"/>
          <w:tblLook w:val="01E0"/>
        </w:tblPrEx>
        <w:trPr>
          <w:jc w:val="center"/>
        </w:trPr>
        <w:tc>
          <w:tcPr>
            <w:tcW w:w="3342" w:type="dxa"/>
          </w:tcPr>
          <w:p w:rsidR="0099338F" w:rsidRPr="0068321B"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P="00B50289">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w:t>
            </w:r>
            <w:bookmarkStart w:id="2" w:name="_GoBack"/>
            <w:bookmarkEnd w:id="2"/>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P="0007182D">
            <w:pPr>
              <w:rPr>
                <w:rFonts w:eastAsiaTheme="minorEastAsia"/>
                <w:sz w:val="24"/>
                <w:szCs w:val="24"/>
              </w:rPr>
            </w:pP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权益登记日在易方达基金管理有限公司登记在册的本基</w:t>
            </w:r>
            <w:r w:rsidRPr="0068321B">
              <w:rPr>
                <w:rFonts w:eastAsiaTheme="minorEastAsia"/>
                <w:sz w:val="24"/>
                <w:szCs w:val="24"/>
              </w:rPr>
              <w:t>金全体持有人。</w:t>
            </w:r>
          </w:p>
        </w:tc>
      </w:tr>
      <w:tr w:rsidTr="00B14D73">
        <w:tblPrEx>
          <w:tblW w:w="9320" w:type="dxa"/>
          <w:jc w:val="center"/>
          <w:tblLayout w:type="fixed"/>
          <w:tblLook w:val="01E0"/>
        </w:tblPrEx>
        <w:trPr>
          <w:jc w:val="center"/>
        </w:trPr>
        <w:tc>
          <w:tcPr>
            <w:tcW w:w="3342" w:type="dxa"/>
            <w:shd w:val="clear" w:color="auto" w:fill="auto"/>
            <w:vAlign w:val="center"/>
          </w:tcPr>
          <w:p w:rsidR="00893436" w:rsidRPr="0068321B"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12</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2022</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日起投资者可以查询、赎回。权益登记日之前（不含权益登记日）办理了转托管转出尚未办理转托管转入的基金份额，其分红方式按照红利再投资处理。</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根据相关法律法规规定，基金向投资者分配的基金收益，暂不征收所得税。</w:t>
            </w:r>
          </w:p>
        </w:tc>
      </w:tr>
      <w:tr w:rsidTr="00B14D73">
        <w:tblPrEx>
          <w:tblW w:w="9320" w:type="dxa"/>
          <w:jc w:val="center"/>
          <w:tblLayout w:type="fixed"/>
          <w:tblLook w:val="01E0"/>
        </w:tblPrEx>
        <w:trPr>
          <w:jc w:val="center"/>
        </w:trPr>
        <w:tc>
          <w:tcPr>
            <w:tcW w:w="3342" w:type="dxa"/>
          </w:tcPr>
          <w:p w:rsidR="00893436" w:rsidRPr="0068321B"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064E90">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2022</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日自基金托管账户划出。</w:t>
      </w:r>
    </w:p>
    <w:p w:rsidR="00893436"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P="00B14D73">
      <w:pPr>
        <w:spacing w:line="360" w:lineRule="auto"/>
        <w:rPr>
          <w:rFonts w:eastAsiaTheme="minorEastAsia"/>
          <w:color w:val="000000"/>
          <w:sz w:val="24"/>
          <w:szCs w:val="24"/>
        </w:rPr>
      </w:pPr>
    </w:p>
    <w:p w:rsidR="00893436" w:rsidRPr="0068321B" w:rsidP="00812228">
      <w:pPr>
        <w:pStyle w:val="Heading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Pr="0068321B" w:rsidR="00812228">
        <w:rPr>
          <w:rFonts w:eastAsiaTheme="minorEastAsia"/>
          <w:bCs w:val="0"/>
          <w:sz w:val="24"/>
          <w:szCs w:val="24"/>
        </w:rPr>
        <w:t>.</w:t>
      </w:r>
      <w:r w:rsidRPr="0068321B">
        <w:rPr>
          <w:rFonts w:eastAsiaTheme="minorEastAsia"/>
          <w:bCs w:val="0"/>
          <w:sz w:val="24"/>
          <w:szCs w:val="24"/>
        </w:rPr>
        <w:t>其他需要提示的事项</w:t>
      </w:r>
      <w:bookmarkEnd w:id="3"/>
    </w:p>
    <w:p w:rsidR="00064E9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064E9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064E9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了解相关情况。投资者也可以前往本基金有关销售机构进行咨询。本基金的销售机构详见本基金更新</w:t>
      </w:r>
      <w:r>
        <w:rPr>
          <w:rFonts w:eastAsiaTheme="minorEastAsia"/>
          <w:color w:val="000000"/>
          <w:sz w:val="24"/>
          <w:szCs w:val="24"/>
        </w:rPr>
        <w:t>的招募说明书或相关公告。</w:t>
      </w:r>
    </w:p>
    <w:p w:rsidR="00364C2A" w:rsidRPr="0068321B" w:rsidP="00812228">
      <w:pPr>
        <w:spacing w:line="360" w:lineRule="auto"/>
        <w:ind w:firstLine="480" w:firstLineChars="200"/>
        <w:rPr>
          <w:rFonts w:eastAsiaTheme="minorEastAsia"/>
          <w:color w:val="000000"/>
          <w:sz w:val="24"/>
          <w:szCs w:val="24"/>
        </w:rPr>
      </w:pPr>
      <w:r w:rsidRPr="0068321B">
        <w:rPr>
          <w:rFonts w:eastAsiaTheme="minorEastAsia"/>
          <w:color w:val="000000"/>
          <w:sz w:val="24"/>
          <w:szCs w:val="24"/>
        </w:rPr>
        <w:t>特此公告。</w:t>
      </w: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812228">
      <w:pPr>
        <w:spacing w:line="360" w:lineRule="auto"/>
        <w:ind w:firstLine="480" w:firstLineChars="200"/>
        <w:rPr>
          <w:rFonts w:eastAsiaTheme="minorEastAsia"/>
          <w:color w:val="000000"/>
          <w:sz w:val="24"/>
          <w:szCs w:val="24"/>
        </w:rPr>
      </w:pP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P="00582D89">
      <w:pPr>
        <w:spacing w:line="360" w:lineRule="auto"/>
        <w:ind w:firstLine="480" w:firstLineChars="200"/>
        <w:jc w:val="right"/>
        <w:rPr>
          <w:rFonts w:eastAsiaTheme="minorEastAsia"/>
          <w:color w:val="000000"/>
          <w:sz w:val="24"/>
          <w:szCs w:val="24"/>
        </w:rPr>
      </w:pPr>
      <w:r w:rsidRPr="0068321B">
        <w:rPr>
          <w:rFonts w:eastAsiaTheme="minorEastAsia"/>
          <w:color w:val="000000"/>
          <w:sz w:val="24"/>
          <w:szCs w:val="24"/>
        </w:rPr>
        <w:t>2022</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11</w:t>
      </w:r>
      <w:r w:rsidRPr="0068321B">
        <w:rPr>
          <w:rFonts w:eastAsiaTheme="minorEastAsia"/>
          <w:color w:val="000000"/>
          <w:sz w:val="24"/>
          <w:szCs w:val="24"/>
        </w:rPr>
        <w:t>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64E90"/>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64C2A"/>
    <w:rsid w:val="0039192C"/>
    <w:rsid w:val="003C10C0"/>
    <w:rsid w:val="003C26AF"/>
    <w:rsid w:val="003E51F2"/>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9437D"/>
    <w:rsid w:val="006A2E06"/>
    <w:rsid w:val="00721B55"/>
    <w:rsid w:val="007457E4"/>
    <w:rsid w:val="007C7B20"/>
    <w:rsid w:val="00812228"/>
    <w:rsid w:val="00820E1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50289"/>
    <w:rsid w:val="00B60712"/>
    <w:rsid w:val="00B77B08"/>
    <w:rsid w:val="00BA7F58"/>
    <w:rsid w:val="00BB421F"/>
    <w:rsid w:val="00BD7533"/>
    <w:rsid w:val="00BE444C"/>
    <w:rsid w:val="00BF5698"/>
    <w:rsid w:val="00C33DDD"/>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812228"/>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227</Words>
  <Characters>1295</Characters>
  <Application>Microsoft Office Word</Application>
  <DocSecurity>0</DocSecurity>
  <Lines>10</Lines>
  <Paragraphs>3</Paragraphs>
  <ScaleCrop>false</ScaleCrop>
  <Company>微软中国</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曾立</cp:lastModifiedBy>
  <cp:revision>39</cp:revision>
  <dcterms:created xsi:type="dcterms:W3CDTF">2013-07-29T02:29:00Z</dcterms:created>
  <dcterms:modified xsi:type="dcterms:W3CDTF">2022-01-06T08:10:00Z</dcterms:modified>
</cp:coreProperties>
</file>