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汇添富鑫福债券型证券投资基金更新基金产品资料概要(2022年01月11日更新)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2022年01月10日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2022年01月11日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汇添富鑫福债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008398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2020年03月30日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何彪</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2022年01月07日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2014年07月02日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在严格控制风险和保持资产流动性的基础上，力求获得超越业绩比较基准的投资回报，实现基金资产的长期稳健增值。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的投资范围为具有良好流动性的金融工具，包括债券（国债、央行票据、金融债券、企业债券、公司债券、永续债、中期票据、短期融资券、超短期融资券、次级债券、政府支持债券、政府支持机构债券、地方政府债券、可转换债券（含可分离交易转换债券）、可交换公司债券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本基金不投资股票或权证，因持有可转换债券和可交换公司债券所得的股票、 因所持股票派发的权证以及因投资可分离债券而产生的权证，应当在其可上市交易后 10 个交易日内卖出。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如法律法规或监管机构以后允许基金投资其他品种，基金管理人在履行适当程序后，可以将其纳入投资范围。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 80%。每个交易日日终，在扣除国债期货合约需缴纳的交易保证金后，本基金持有的现金或到期日在一年以内的政府债券不低于基金资产净值的 5%；本基金所指的现金不包括结算备付金、存出保证金、应收申购款等。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等。在谨慎投资的基础上，力争实现组合的稳健增值。本基金的投资策略还包括：期限结构配置策略、个券选择策略、可转换债券和可交换公司债券投资策略、资产支持证券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中债综合全价（总值）指数收益率*90%+银行1年期定期存款利率（税后）*10%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本基金为债券型基金，预期收益和预期风险高于货币市场基金，但低于混合型基金、股票型基金。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3834604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617409"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7"/>
        <w:gridCol w:w="2877"/>
        <w:gridCol w:w="28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0.30%</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0.10%</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《基金合同》生效后与基金相关的信息披露费用/会计师费/律师费/诉讼费/仲裁费、基金份额持有人大会费用、基金的证券/期货交易费用、基金的银行汇划费用/账户开户费用/账户维护费用等费用。</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 xml:space="preserve">注：本基金费用的计算方法和支付方式详见本基金的《招募说明书》。本基金交易证券、基金等产生的费用和税负，按实际发生额从基金资产扣除。 </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特定风险、流动性风险、本基金法律文件风险收益特征表述与销售机构基金风险评价可能不一致的风险、操作或技术风险、合规性风险等其他风险，其中特定风险具体如下：</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 xml:space="preserve">（1） 国债期货投资风险：本基金的投资范围包括国债期货，国债期货的投资可能面临市场风险、基差风险、流动性风险。市场风险是因期货市场价格波动使所持有的期货合约价值发生变化的风险。基差风险是期货市场的特有风险之一，是指由于期货与现货间的价差的波动，影响套期保值或套利效果，使之发生意外损益的风险。流动性风险可分为两类：一类为流通量风险，是指期货合约无法及时以所希望的价格建立或了结头寸的风险，此类风险往往是由市场缺乏广度或深度导致的；另一类为资金量风险，是指资金量无法满足保证金要求，使得所持有的头寸面临被强制平仓的风险。 </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 xml:space="preserve">（2） 资产支持证券投资风险：本基金可投资资产支持证券，资产支持证券在国内市场尚处发展初期，具有低流动性、高收益的特征，并存在一定的投资风险。资产支持证券的投资与基金资产密切相关，因此会受到特定原始权益人破产风险及现金流预测风险等的影响；当本基金投资的资产支持证券信用评级发生变化时，本基金将需要面对临时调整持仓的风险；此外当资产支持证券相关的发行人、基金管理人、基金托管人等出现违规违约时，本基金将面临无法收取投资收益甚至损失本金的风险。 </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（3）启用侧袋机制的风险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宋体"/>
          <w:b/>
          <w:bCs/>
          <w:iCs/>
          <w:color w:val="000000"/>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宋体"/>
          <w:b/>
          <w:bCs/>
          <w:iCs/>
          <w:color w:val="000000"/>
          <w:szCs w:val="21"/>
        </w:rPr>
        <w:t>其他情况说明</w:t>
      </w:r>
    </w:p>
    <w:p w:rsidR="00C723AC" w:rsidRPr="00C723AC" w:rsidP="00C723AC">
      <w:pPr>
        <w:spacing w:line="360" w:lineRule="auto"/>
        <w:ind w:firstLine="420" w:firstLineChars="200"/>
        <w:rPr>
          <w:rFonts w:ascii="宋体" w:eastAsia="宋体" w:hAnsi="宋体" w:cs="宋体"/>
          <w:iCs/>
          <w:color w:val="000000"/>
          <w:szCs w:val="21"/>
        </w:rPr>
      </w:pPr>
      <w:r w:rsidRPr="00C723AC">
        <w:rPr>
          <w:rFonts w:ascii="宋体" w:eastAsia="宋体" w:hAnsi="宋体" w:cs="宋体"/>
          <w:iCs/>
          <w:color w:val="000000"/>
          <w:szCs w:val="21"/>
        </w:rPr>
        <w:t>本次更新因基金经理变更。</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A0B11"/>
    <w:rsid w:val="008C558C"/>
    <w:rsid w:val="008C59BE"/>
    <w:rsid w:val="009E1D5A"/>
    <w:rsid w:val="00A02F78"/>
    <w:rsid w:val="00AC240E"/>
    <w:rsid w:val="00AF19F0"/>
    <w:rsid w:val="00B4654F"/>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