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313CBA" w:rsidRPr="00760D38" w:rsidP="00760D38">
      <w:pPr>
        <w:spacing w:line="360" w:lineRule="auto"/>
        <w:jc w:val="center"/>
        <w:rPr>
          <w:rFonts w:ascii="宋体" w:eastAsia="宋体" w:hAnsi="宋体" w:cs="宋体"/>
          <w:b/>
          <w:color w:val="000000"/>
          <w:sz w:val="28"/>
          <w:szCs w:val="28"/>
        </w:rPr>
      </w:pPr>
      <w:r w:rsidRPr="00760D38">
        <w:rPr>
          <w:rFonts w:ascii="宋体" w:eastAsia="宋体" w:hAnsi="宋体" w:cs="宋体"/>
          <w:b/>
          <w:color w:val="000000"/>
          <w:sz w:val="28"/>
          <w:szCs w:val="28"/>
        </w:rPr>
        <w:t>汇添富上证综合指数证券投资基金收益分配公告</w:t>
      </w:r>
    </w:p>
    <w:p w:rsidR="00760D38" w:rsidRPr="00760D38" w:rsidP="00760D38">
      <w:pPr>
        <w:spacing w:line="360" w:lineRule="auto"/>
        <w:jc w:val="center"/>
        <w:rPr>
          <w:rFonts w:ascii="宋体" w:eastAsia="宋体" w:hAnsi="宋体" w:cs="宋体"/>
          <w:b/>
          <w:color w:val="000000"/>
          <w:sz w:val="24"/>
          <w:szCs w:val="24"/>
        </w:rPr>
      </w:pPr>
      <w:r w:rsidRPr="00760D38">
        <w:rPr>
          <w:rFonts w:asciiTheme="minorEastAsia" w:hAnsiTheme="minorEastAsia" w:hint="eastAsia"/>
          <w:b/>
          <w:sz w:val="24"/>
          <w:szCs w:val="24"/>
        </w:rPr>
        <w:t>公告</w:t>
      </w:r>
      <w:r w:rsidRPr="00760D38">
        <w:rPr>
          <w:rFonts w:asciiTheme="minorEastAsia" w:hAnsiTheme="minorEastAsia"/>
          <w:b/>
          <w:sz w:val="24"/>
          <w:szCs w:val="24"/>
        </w:rPr>
        <w:t>送出日期：</w:t>
      </w:r>
      <w:r w:rsidRPr="00760D38">
        <w:rPr>
          <w:rFonts w:ascii="宋体" w:eastAsia="宋体" w:hAnsi="宋体" w:cs="宋体"/>
          <w:b/>
          <w:color w:val="000000"/>
          <w:sz w:val="24"/>
          <w:szCs w:val="24"/>
        </w:rPr>
        <w:t>2022年01月12日</w:t>
      </w:r>
    </w:p>
    <w:p w:rsidR="00760D38" w:rsidRPr="00760D38" w:rsidP="00760D38">
      <w:pPr>
        <w:spacing w:line="360" w:lineRule="auto"/>
        <w:rPr>
          <w:rFonts w:asciiTheme="minorEastAsia" w:hAnsiTheme="minorEastAsia"/>
          <w:b/>
          <w:sz w:val="24"/>
          <w:szCs w:val="24"/>
        </w:rPr>
      </w:pPr>
      <w:r w:rsidRPr="00760D38">
        <w:rPr>
          <w:rFonts w:asciiTheme="minorEastAsia" w:hAnsiTheme="minorEastAsia" w:hint="eastAsia"/>
          <w:b/>
          <w:sz w:val="24"/>
          <w:szCs w:val="24"/>
        </w:rPr>
        <w:t>1 公告</w:t>
      </w:r>
      <w:r w:rsidRPr="00760D38">
        <w:rPr>
          <w:rFonts w:asciiTheme="minorEastAsia" w:hAnsiTheme="minorEastAsia"/>
          <w:b/>
          <w:sz w:val="24"/>
          <w:szCs w:val="24"/>
        </w:rPr>
        <w:t>基本信息</w:t>
      </w:r>
    </w:p>
    <w:p w:rsidR="00760D38" w:rsidP="00760D38">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320"/>
        <w:gridCol w:w="2680"/>
        <w:gridCol w:w="400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基金名称</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汇添富上证综合指数证券投资基金</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基金简称</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汇添富上证综合指数</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基金主代码</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470007</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基金合同生效日</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2009年07月01日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基金管理人名称</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汇添富基金管理股份有限公司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基金托管人名称</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中国工商银行股份有限公司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公告依据</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根据相关法律法规的规定及《汇添富上证综合指数证券投资基金基金合同》的约定。</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收益分配基准日</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2021年12月31日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有关年度分红次数的说明</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本次分红为本基金2021年度第2次分红</w:t>
            </w:r>
          </w:p>
        </w:tc>
      </w:tr>
      <w:tr>
        <w:tblPrEx>
          <w:tblW w:w="0" w:type="auto"/>
          <w:tblLayout w:type="fixed"/>
          <w:tblCellMar>
            <w:left w:w="108" w:type="dxa"/>
            <w:right w:w="108" w:type="dxa"/>
          </w:tblCellMar>
        </w:tblPrEx>
        <w:tc>
          <w:tcPr>
            <w:tcW w:w="1320" w:type="dxa"/>
            <w:vMerge w:val="restart"/>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截止收益分配基准日的相关指标</w:t>
            </w: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基准日基金份额净值（单位：人民币元）</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1.197</w:t>
            </w:r>
          </w:p>
        </w:tc>
      </w:tr>
      <w:tr>
        <w:tblPrEx>
          <w:tblW w:w="0" w:type="auto"/>
          <w:tblLayout w:type="fixed"/>
          <w:tblCellMar>
            <w:left w:w="108" w:type="dxa"/>
            <w:right w:w="108" w:type="dxa"/>
          </w:tblCellMar>
        </w:tblPrEx>
        <w:tc>
          <w:tcPr>
            <w:tcW w:w="1320" w:type="dxa"/>
            <w:vMerge/>
            <w:shd w:val="clear" w:color="auto" w:fill="FFFFFF"/>
            <w:vAlign w:val="center"/>
          </w:tcPr>
          <w:p w:rsidR="00760D38" w:rsidP="00760D38">
            <w:pPr>
              <w:jc w:val="left"/>
              <w:rPr>
                <w:rFonts w:ascii="宋体" w:eastAsia="宋体" w:hAnsi="宋体" w:cs="宋体"/>
                <w:color w:val="000000"/>
                <w:sz w:val="24"/>
                <w:szCs w:val="24"/>
              </w:rPr>
            </w:pP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基准日基金可供分配利润（单位：人民币元）</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133095151.87</w:t>
            </w:r>
          </w:p>
        </w:tc>
      </w:tr>
      <w:tr>
        <w:tblPrEx>
          <w:tblW w:w="0" w:type="auto"/>
          <w:tblLayout w:type="fixed"/>
          <w:tblCellMar>
            <w:left w:w="108" w:type="dxa"/>
            <w:right w:w="108" w:type="dxa"/>
          </w:tblCellMar>
        </w:tblPrEx>
        <w:tc>
          <w:tcPr>
            <w:tcW w:w="1320" w:type="dxa"/>
            <w:vMerge/>
            <w:shd w:val="clear" w:color="auto" w:fill="FFFFFF"/>
            <w:vAlign w:val="center"/>
          </w:tcPr>
          <w:p w:rsidR="00760D38" w:rsidP="00760D38">
            <w:pPr>
              <w:jc w:val="left"/>
              <w:rPr>
                <w:rFonts w:ascii="宋体" w:eastAsia="宋体" w:hAnsi="宋体" w:cs="宋体"/>
                <w:color w:val="000000"/>
                <w:sz w:val="24"/>
                <w:szCs w:val="24"/>
              </w:rPr>
            </w:pP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截止基准日按照基金合同约定的分红比例计算的应分配金额（单位：人民币元）</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26619030.374</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本次分红方案（单位：元/10份基金份额）</w:t>
            </w:r>
          </w:p>
        </w:tc>
        <w:tc>
          <w:tcPr>
            <w:tcW w:w="4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0.4</w:t>
            </w:r>
          </w:p>
        </w:tc>
      </w:tr>
    </w:tbl>
    <w:p w:rsidR="00760D38" w:rsidP="00760D38">
      <w:pPr>
        <w:rPr>
          <w:rFonts w:asciiTheme="minorEastAsia" w:hAnsiTheme="minorEastAsia"/>
          <w:sz w:val="24"/>
          <w:szCs w:val="24"/>
        </w:rPr>
      </w:pPr>
    </w:p>
    <w:p w:rsidR="00A94D46" w:rsidRPr="00760D38" w:rsidP="00760D38">
      <w:pPr>
        <w:rPr>
          <w:rFonts w:ascii="宋体" w:eastAsia="宋体" w:hAnsi="宋体" w:cs="宋体"/>
          <w:color w:val="000000"/>
          <w:sz w:val="24"/>
          <w:szCs w:val="24"/>
        </w:rPr>
      </w:pPr>
    </w:p>
    <w:p w:rsidR="00760D38" w:rsidRPr="00760D38" w:rsidP="00760D38">
      <w:pPr>
        <w:spacing w:line="360" w:lineRule="auto"/>
        <w:rPr>
          <w:rFonts w:asciiTheme="minorEastAsia" w:hAnsiTheme="minorEastAsia"/>
          <w:b/>
          <w:bCs/>
          <w:sz w:val="24"/>
          <w:szCs w:val="24"/>
        </w:rPr>
      </w:pPr>
      <w:r w:rsidRPr="00760D38">
        <w:rPr>
          <w:rFonts w:asciiTheme="minorEastAsia" w:hAnsiTheme="minorEastAsia"/>
          <w:b/>
          <w:sz w:val="24"/>
          <w:szCs w:val="24"/>
        </w:rPr>
        <w:t xml:space="preserve">2 </w:t>
      </w:r>
      <w:r w:rsidRPr="00760D38">
        <w:rPr>
          <w:rFonts w:asciiTheme="minorEastAsia" w:hAnsiTheme="minorEastAsia" w:hint="eastAsia"/>
          <w:b/>
          <w:bCs/>
          <w:sz w:val="24"/>
          <w:szCs w:val="24"/>
        </w:rPr>
        <w:t>与分红相关的其他信息</w:t>
      </w:r>
    </w:p>
    <w:p w:rsidR="00760D38" w:rsidP="00760D38">
      <w:pPr>
        <w:rPr>
          <w:rFonts w:asciiTheme="minorEastAsia" w:hAnsiTheme="minorEastAsia"/>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667"/>
        <w:gridCol w:w="533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2022年01月14日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除息日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2022年01月14日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现金红利发放日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2022年01月18日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分红对象</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权益登记日，本基金注册登记人登记在册的本基金全体份额持有人。</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红利再投资相关事项的说明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选择红利再投资的投资者，其红利将按2022年01月14日除息后的基金份额净值折算成基金份额，并于2022年01月17日直接计入其基金账户，2022年01月18日起，投资者可以查询红利再投资的基金份额，并于本基金的开放日办理赎回等业务。</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税收相关事项的说明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根据财政部、国家税务总局的财税字[2002]128号《财政部、国家税务总局关于开放式证券投资基金有关税收问题的通知》，基金向投资者分配的基金收益，暂免征收所得税。</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费用相关事项的说明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本基金本次分红免收分红手续费。选择红利再投资方式的投资者其红利再投资所得的基金份额免收申购费用。</w:t>
            </w:r>
          </w:p>
        </w:tc>
      </w:tr>
    </w:tbl>
    <w:p w:rsidR="00760D38" w:rsidP="00760D38">
      <w:pPr>
        <w:rPr>
          <w:rFonts w:asciiTheme="minorEastAsia" w:hAnsiTheme="minorEastAsia"/>
          <w:bCs/>
          <w:sz w:val="24"/>
          <w:szCs w:val="24"/>
        </w:rPr>
      </w:pPr>
    </w:p>
    <w:p w:rsidR="00A94D46" w:rsidRPr="00760D38" w:rsidP="00760D38">
      <w:pPr>
        <w:rPr>
          <w:rFonts w:ascii="宋体" w:eastAsia="宋体" w:hAnsi="宋体" w:cs="宋体"/>
          <w:bCs/>
          <w:color w:val="000000"/>
          <w:sz w:val="24"/>
          <w:szCs w:val="24"/>
        </w:rPr>
      </w:pPr>
    </w:p>
    <w:p w:rsidR="00760D38" w:rsidRPr="0004374C" w:rsidP="00760D38">
      <w:pPr>
        <w:spacing w:line="360" w:lineRule="auto"/>
        <w:rPr>
          <w:rFonts w:asciiTheme="minorEastAsia" w:hAnsiTheme="minorEastAsia"/>
          <w:b/>
          <w:bCs/>
          <w:sz w:val="24"/>
          <w:szCs w:val="24"/>
        </w:rPr>
      </w:pPr>
      <w:r w:rsidRPr="00760D38">
        <w:rPr>
          <w:rFonts w:asciiTheme="minorEastAsia" w:hAnsiTheme="minorEastAsia" w:hint="eastAsia"/>
          <w:b/>
          <w:bCs/>
          <w:sz w:val="24"/>
          <w:szCs w:val="24"/>
        </w:rPr>
        <w:t xml:space="preserve">3 </w:t>
      </w:r>
      <w:r w:rsidRPr="0004374C">
        <w:rPr>
          <w:rFonts w:asciiTheme="minorEastAsia" w:hAnsiTheme="minorEastAsia" w:hint="eastAsia"/>
          <w:b/>
          <w:bCs/>
          <w:sz w:val="24"/>
          <w:szCs w:val="24"/>
        </w:rPr>
        <w:t>其他需要提示的事项</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1、现金红利发放日是指现金红利划出托管户的日期。</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2、权益登记日申请申购的基金份额不享有本次分红权益，权益登记日申请赎回的基金份额享有本次分红权益。</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本基金收益分配原则及方式详见《汇添富上证综合指数证券投资基金基金合同》。本次分红确认的方式将按照投资者在权益登记日之前（不含权益登记日）最后一次选择成功的分红方式为准。如投资者希望修改分红方式，请务必于权益登记日之前（不含当日），在基金开放日的交易时间内到销售机构修改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4、登记机构在权益登记日可以受理分红方式变更申请，但该申请仅对以后的收益分配有效，而对本次收益分配无效。</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5、一只基金可以在不同的销售机构设置不同的分红方式。投资者若在多个销售机构持有本基金，其在某个销售机构修改的分红方式不会改变在其他销售机构设置的分红方式。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6、投资者若在汇添富直销中心通过多个交易账号持有本基金，不同的交易账号可设置不同的分红方式，修改某个交易账号的分红方式不会改变其他交易账号的分红方式。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7、本基金收益分配并不改变本基金的风险收益特征，也不会因此降低基金投资风险或提高基金投资收益。本基金分红后，受市场波动等因素的影响，有可能出现基金净值低于初始面值的风险。</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8、咨询办法</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 xml:space="preserve">（1）汇添富基金管理股份有限公司网站：www.99fund.com。 </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（2）汇添富基金管理股份有限公司客户服务电话：400-888-9918。</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（3）汇添富基金管理股份有限公司直销网点及本基金各代销机构的相关网点（详见基金管理人官网《汇添富基金管理股份有限公司旗下基金销售机构信息表》）。</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汇添富基金高度重视投资者服务和投资者教育，特此提醒投资者需正确认知基金投资的风险和长期收益，做理性的基金投资人，做明白的基金投资人，享受长期投资的快乐！</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特此公告。</w:t>
      </w:r>
    </w:p>
    <w:p w:rsidR="00760D38" w:rsidP="00760D38">
      <w:pPr>
        <w:spacing w:line="360" w:lineRule="auto"/>
        <w:rPr>
          <w:rFonts w:asciiTheme="minorEastAsia" w:hAnsiTheme="minorEastAsia"/>
          <w:bCs/>
          <w:sz w:val="24"/>
          <w:szCs w:val="24"/>
        </w:rPr>
      </w:pPr>
    </w:p>
    <w:p w:rsidR="00760D38" w:rsidRPr="00760D38" w:rsidP="00760D38">
      <w:pPr>
        <w:spacing w:line="360" w:lineRule="auto"/>
        <w:rPr>
          <w:rFonts w:asciiTheme="minorEastAsia" w:hAnsiTheme="minorEastAsia"/>
          <w:bCs/>
          <w:sz w:val="24"/>
          <w:szCs w:val="24"/>
        </w:rPr>
      </w:pPr>
    </w:p>
    <w:p w:rsidR="00760D38" w:rsidRPr="00760D38" w:rsidP="00760D38">
      <w:pPr>
        <w:spacing w:line="360" w:lineRule="auto"/>
        <w:jc w:val="right"/>
        <w:rPr>
          <w:rFonts w:asciiTheme="minorEastAsia" w:hAnsiTheme="minorEastAsia"/>
          <w:bCs/>
          <w:sz w:val="24"/>
          <w:szCs w:val="24"/>
        </w:rPr>
      </w:pPr>
      <w:r w:rsidRPr="00760D38">
        <w:rPr>
          <w:rFonts w:asciiTheme="minorEastAsia" w:hAnsiTheme="minorEastAsia" w:hint="eastAsia"/>
          <w:bCs/>
          <w:sz w:val="24"/>
          <w:szCs w:val="24"/>
        </w:rPr>
        <w:t>汇添富</w:t>
      </w:r>
      <w:r w:rsidRPr="00760D38">
        <w:rPr>
          <w:rFonts w:asciiTheme="minorEastAsia" w:hAnsiTheme="minorEastAsia"/>
          <w:bCs/>
          <w:sz w:val="24"/>
          <w:szCs w:val="24"/>
        </w:rPr>
        <w:t>基金</w:t>
      </w:r>
      <w:r w:rsidRPr="00760D38">
        <w:rPr>
          <w:rFonts w:asciiTheme="minorEastAsia" w:hAnsiTheme="minorEastAsia"/>
          <w:bCs/>
          <w:sz w:val="24"/>
          <w:szCs w:val="24"/>
        </w:rPr>
        <w:t>管理股份有限公司</w:t>
      </w:r>
    </w:p>
    <w:p w:rsidR="00D06EB5" w:rsidRPr="0004374C" w:rsidP="0004374C">
      <w:pPr>
        <w:spacing w:line="360" w:lineRule="auto"/>
        <w:jc w:val="right"/>
        <w:rPr>
          <w:rFonts w:ascii="宋体" w:eastAsia="宋体" w:hAnsi="宋体" w:cs="宋体" w:hint="eastAsia"/>
          <w:bCs/>
          <w:color w:val="000000"/>
          <w:sz w:val="24"/>
          <w:szCs w:val="24"/>
        </w:rPr>
      </w:pPr>
      <w:r w:rsidRPr="0004374C">
        <w:rPr>
          <w:rFonts w:ascii="宋体" w:eastAsia="宋体" w:hAnsi="宋体" w:cs="宋体" w:hint="eastAsia"/>
          <w:bCs/>
          <w:color w:val="000000"/>
          <w:sz w:val="24"/>
          <w:szCs w:val="24"/>
        </w:rPr>
        <w:t>2022年01月12日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38"/>
    <w:rsid w:val="0004374C"/>
    <w:rsid w:val="00313CBA"/>
    <w:rsid w:val="004831CD"/>
    <w:rsid w:val="00556C0A"/>
    <w:rsid w:val="00760D38"/>
    <w:rsid w:val="00A94D46"/>
    <w:rsid w:val="00BA729B"/>
    <w:rsid w:val="00D06EB5"/>
    <w:rsid w:val="00DB1D62"/>
    <w:rsid w:val="00EB743E"/>
    <w:rsid w:val="00F31ACA"/>
    <w:rsid w:val="00FA34CA"/>
    <w:rsid w:val="00FF0163"/>
  </w:rsids>
  <w:docVars>
    <w:docVar w:name="KGWebUrl" w:val="http://www.htfrmssit.com:8080/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714BC647-2D8C-4554-92C3-4B6250B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38"/>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84</cp:lastModifiedBy>
  <cp:revision>2</cp:revision>
  <dcterms:created xsi:type="dcterms:W3CDTF">2021-06-09T03:05:00Z</dcterms:created>
  <dcterms:modified xsi:type="dcterms:W3CDTF">2021-06-09T03:05:00Z</dcterms:modified>
</cp:coreProperties>
</file>