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asciiTheme="minorEastAsia" w:hAnsiTheme="minorEastAsia" w:eastAsiaTheme="minorEastAsia"/>
          <w:b/>
          <w:kern w:val="0"/>
          <w:sz w:val="30"/>
          <w:szCs w:val="30"/>
        </w:rPr>
      </w:pPr>
      <w:r>
        <w:rPr>
          <w:rFonts w:hint="eastAsia" w:cs="宋体" w:asciiTheme="minorEastAsia" w:hAnsiTheme="minorEastAsia" w:eastAsiaTheme="minorEastAsia"/>
          <w:b/>
          <w:kern w:val="0"/>
          <w:sz w:val="30"/>
          <w:szCs w:val="30"/>
        </w:rPr>
        <w:t xml:space="preserve">  博时恒生港股通高股息率交易型开放式指数证券投资基金发起式联接基金开放日常申购、赎回、转换、定期定额投资业务的公告</w:t>
      </w:r>
    </w:p>
    <w:p>
      <w:pPr>
        <w:widowControl/>
        <w:jc w:val="center"/>
        <w:rPr>
          <w:rFonts w:hint="eastAsia" w:cs="宋体" w:asciiTheme="minorEastAsia" w:hAnsiTheme="minorEastAsia" w:eastAsiaTheme="minorEastAsia"/>
          <w:bCs/>
          <w:sz w:val="24"/>
          <w:szCs w:val="24"/>
          <w:lang w:eastAsia="zh-CN"/>
        </w:rPr>
      </w:pPr>
      <w:r>
        <w:rPr>
          <w:rFonts w:asciiTheme="minorEastAsia" w:hAnsiTheme="minorEastAsia" w:eastAsiaTheme="minorEastAsia"/>
          <w:color w:val="000000"/>
          <w:sz w:val="24"/>
          <w:szCs w:val="24"/>
        </w:rPr>
        <w:t>公告送出日期：</w:t>
      </w:r>
      <w:r>
        <w:rPr>
          <w:rFonts w:hint="eastAsia" w:cs="宋体" w:asciiTheme="minorEastAsia" w:hAnsiTheme="minorEastAsia" w:eastAsiaTheme="minorEastAsia"/>
          <w:bCs/>
          <w:sz w:val="24"/>
          <w:szCs w:val="24"/>
          <w:lang w:eastAsia="zh-CN"/>
        </w:rPr>
        <w:t>2022年1月12日</w:t>
      </w:r>
    </w:p>
    <w:p>
      <w:pPr>
        <w:spacing w:line="560" w:lineRule="exact"/>
        <w:jc w:val="center"/>
        <w:rPr>
          <w:rFonts w:asciiTheme="minorEastAsia" w:hAnsiTheme="minorEastAsia" w:eastAsiaTheme="minorEastAsia"/>
          <w:color w:val="000000"/>
          <w:sz w:val="24"/>
          <w:szCs w:val="24"/>
        </w:rPr>
      </w:pPr>
    </w:p>
    <w:p>
      <w:pPr>
        <w:pStyle w:val="2"/>
        <w:spacing w:line="560" w:lineRule="exact"/>
        <w:rPr>
          <w:rFonts w:asciiTheme="minorEastAsia" w:hAnsiTheme="minorEastAsia" w:eastAsiaTheme="minorEastAsia"/>
          <w:bCs w:val="0"/>
          <w:color w:val="000000"/>
          <w:sz w:val="24"/>
          <w:szCs w:val="24"/>
        </w:rPr>
      </w:pPr>
      <w:bookmarkStart w:id="0" w:name="_Toc275961395"/>
      <w:r>
        <w:rPr>
          <w:rFonts w:asciiTheme="minorEastAsia" w:hAnsiTheme="minorEastAsia" w:eastAsiaTheme="minorEastAsia"/>
          <w:bCs w:val="0"/>
          <w:color w:val="000000"/>
          <w:sz w:val="24"/>
          <w:szCs w:val="24"/>
        </w:rPr>
        <w:t>1 公告基本信息</w:t>
      </w:r>
      <w:bookmarkEnd w:id="0"/>
    </w:p>
    <w:tbl>
      <w:tblPr>
        <w:tblStyle w:val="1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3"/>
        <w:gridCol w:w="3213"/>
        <w:gridCol w:w="3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spacing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基金名称</w:t>
            </w:r>
          </w:p>
        </w:tc>
        <w:tc>
          <w:tcPr>
            <w:tcW w:w="6426" w:type="dxa"/>
            <w:gridSpan w:val="2"/>
            <w:vAlign w:val="center"/>
          </w:tcPr>
          <w:p>
            <w:pP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博时恒生港股通高股息率交易型开放式指数证券投资基金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spacing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基金简称</w:t>
            </w:r>
          </w:p>
        </w:tc>
        <w:tc>
          <w:tcPr>
            <w:tcW w:w="6426" w:type="dxa"/>
            <w:gridSpan w:val="2"/>
            <w:vAlign w:val="center"/>
          </w:tcPr>
          <w:p>
            <w:pP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博时恒生高股息ETF发起式联接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vAlign w:val="center"/>
          </w:tcPr>
          <w:p>
            <w:pPr>
              <w:spacing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基金主代码</w:t>
            </w:r>
          </w:p>
        </w:tc>
        <w:tc>
          <w:tcPr>
            <w:tcW w:w="6426" w:type="dxa"/>
            <w:gridSpan w:val="2"/>
            <w:vAlign w:val="center"/>
          </w:tcPr>
          <w:p>
            <w:pPr>
              <w:spacing w:line="560" w:lineRule="exac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014519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spacing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基金运作方式</w:t>
            </w:r>
          </w:p>
        </w:tc>
        <w:tc>
          <w:tcPr>
            <w:tcW w:w="6426" w:type="dxa"/>
            <w:gridSpan w:val="2"/>
            <w:vAlign w:val="center"/>
          </w:tcPr>
          <w:p>
            <w:pPr>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color w:val="000000" w:themeColor="text1"/>
                <w:sz w:val="24"/>
                <w:szCs w:val="24"/>
                <w14:textFill>
                  <w14:solidFill>
                    <w14:schemeClr w14:val="tx1"/>
                  </w14:solidFill>
                </w14:textFill>
              </w:rPr>
              <w:t>契约型开放式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spacing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基金合同生效日</w:t>
            </w:r>
          </w:p>
        </w:tc>
        <w:tc>
          <w:tcPr>
            <w:tcW w:w="6426" w:type="dxa"/>
            <w:gridSpan w:val="2"/>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202</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spacing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基金管理人名称</w:t>
            </w:r>
          </w:p>
        </w:tc>
        <w:tc>
          <w:tcPr>
            <w:tcW w:w="6426" w:type="dxa"/>
            <w:gridSpan w:val="2"/>
            <w:vAlign w:val="center"/>
          </w:tcPr>
          <w:p>
            <w:pPr>
              <w:rPr>
                <w:rFonts w:asciiTheme="minorEastAsia" w:hAnsiTheme="minorEastAsia" w:eastAsiaTheme="minorEastAsia"/>
                <w:sz w:val="24"/>
                <w:szCs w:val="24"/>
              </w:rPr>
            </w:pPr>
            <w:r>
              <w:rPr>
                <w:rFonts w:asciiTheme="minorEastAsia" w:hAnsiTheme="minorEastAsia" w:eastAsiaTheme="minorEastAsia"/>
                <w:sz w:val="24"/>
                <w:szCs w:val="24"/>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spacing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基金托管人名称</w:t>
            </w:r>
          </w:p>
        </w:tc>
        <w:tc>
          <w:tcPr>
            <w:tcW w:w="6426" w:type="dxa"/>
            <w:gridSpan w:val="2"/>
            <w:vAlign w:val="center"/>
          </w:tcPr>
          <w:p>
            <w:pP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中国国际金融股份有限公司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spacing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基金注册登记机构名称</w:t>
            </w:r>
          </w:p>
        </w:tc>
        <w:tc>
          <w:tcPr>
            <w:tcW w:w="6426" w:type="dxa"/>
            <w:gridSpan w:val="2"/>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spacing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公告依据</w:t>
            </w:r>
          </w:p>
        </w:tc>
        <w:tc>
          <w:tcPr>
            <w:tcW w:w="6426" w:type="dxa"/>
            <w:gridSpan w:val="2"/>
            <w:vAlign w:val="center"/>
          </w:tcPr>
          <w:p>
            <w:pPr>
              <w:spacing w:line="560" w:lineRule="exact"/>
              <w:rPr>
                <w:rFonts w:asciiTheme="minorEastAsia" w:hAnsiTheme="minorEastAsia" w:eastAsiaTheme="minorEastAsia"/>
                <w:sz w:val="24"/>
                <w:szCs w:val="24"/>
              </w:rPr>
            </w:pPr>
            <w:r>
              <w:rPr>
                <w:rFonts w:asciiTheme="minorEastAsia" w:hAnsiTheme="minorEastAsia" w:eastAsiaTheme="minorEastAsia"/>
                <w:sz w:val="24"/>
                <w:szCs w:val="24"/>
              </w:rPr>
              <w:t>《中华人民共和国证券投资基金法》、《公开募集证券投资基金运作管理办法》等法律法规以及《</w:t>
            </w:r>
            <w:r>
              <w:rPr>
                <w:rFonts w:hint="eastAsia" w:asciiTheme="minorEastAsia" w:hAnsiTheme="minorEastAsia" w:eastAsiaTheme="minorEastAsia"/>
                <w:sz w:val="24"/>
                <w:szCs w:val="24"/>
                <w:lang w:eastAsia="zh-CN"/>
              </w:rPr>
              <w:t>博时恒生港股通高股息率交易型开放式指数证券投资基金</w:t>
            </w:r>
            <w:r>
              <w:rPr>
                <w:rFonts w:asciiTheme="minorEastAsia" w:hAnsiTheme="minorEastAsia" w:eastAsiaTheme="minorEastAsia"/>
                <w:sz w:val="24"/>
                <w:szCs w:val="24"/>
              </w:rPr>
              <w:t>基金合同》及《</w:t>
            </w:r>
            <w:r>
              <w:rPr>
                <w:rFonts w:hint="eastAsia" w:asciiTheme="minorEastAsia" w:hAnsiTheme="minorEastAsia" w:eastAsiaTheme="minorEastAsia"/>
                <w:sz w:val="24"/>
                <w:szCs w:val="24"/>
                <w:lang w:eastAsia="zh-CN"/>
              </w:rPr>
              <w:t>博时恒生港股通高股息率交易型开放式指数证券投资基金</w:t>
            </w:r>
            <w:r>
              <w:rPr>
                <w:rFonts w:asciiTheme="minorEastAsia" w:hAnsiTheme="minorEastAsia" w:eastAsiaTheme="minorEastAsia"/>
                <w:sz w:val="24"/>
                <w:szCs w:val="24"/>
              </w:rPr>
              <w:t>招募说明书》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spacing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申购起始日</w:t>
            </w:r>
          </w:p>
        </w:tc>
        <w:tc>
          <w:tcPr>
            <w:tcW w:w="6426" w:type="dxa"/>
            <w:gridSpan w:val="2"/>
            <w:vAlign w:val="center"/>
          </w:tcPr>
          <w:p>
            <w:pP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2022年1月13日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spacing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赎回起始日</w:t>
            </w:r>
          </w:p>
        </w:tc>
        <w:tc>
          <w:tcPr>
            <w:tcW w:w="6426" w:type="dxa"/>
            <w:gridSpan w:val="2"/>
            <w:vAlign w:val="center"/>
          </w:tcPr>
          <w:p>
            <w:pP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2022年1月13日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spacing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转换转入起始日</w:t>
            </w:r>
          </w:p>
        </w:tc>
        <w:tc>
          <w:tcPr>
            <w:tcW w:w="6426" w:type="dxa"/>
            <w:gridSpan w:val="2"/>
            <w:vAlign w:val="center"/>
          </w:tcPr>
          <w:p>
            <w:pP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2022年1月13日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spacing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转换转出起始日</w:t>
            </w:r>
          </w:p>
        </w:tc>
        <w:tc>
          <w:tcPr>
            <w:tcW w:w="6426" w:type="dxa"/>
            <w:gridSpan w:val="2"/>
            <w:vAlign w:val="center"/>
          </w:tcPr>
          <w:p>
            <w:pP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2022年1月13日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spacing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定期定额投资起始日</w:t>
            </w:r>
          </w:p>
        </w:tc>
        <w:tc>
          <w:tcPr>
            <w:tcW w:w="6426" w:type="dxa"/>
            <w:gridSpan w:val="2"/>
            <w:vAlign w:val="center"/>
          </w:tcPr>
          <w:p>
            <w:pP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2022年1月13日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spacing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下属基金</w:t>
            </w:r>
            <w:r>
              <w:rPr>
                <w:rFonts w:hint="eastAsia" w:asciiTheme="minorEastAsia" w:hAnsiTheme="minorEastAsia" w:eastAsiaTheme="minorEastAsia"/>
                <w:color w:val="000000"/>
                <w:sz w:val="24"/>
                <w:szCs w:val="24"/>
              </w:rPr>
              <w:t>份额</w:t>
            </w:r>
            <w:r>
              <w:rPr>
                <w:rFonts w:asciiTheme="minorEastAsia" w:hAnsiTheme="minorEastAsia" w:eastAsiaTheme="minorEastAsia"/>
                <w:color w:val="000000"/>
                <w:sz w:val="24"/>
                <w:szCs w:val="24"/>
              </w:rPr>
              <w:t>的基金简称</w:t>
            </w:r>
          </w:p>
        </w:tc>
        <w:tc>
          <w:tcPr>
            <w:tcW w:w="321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博时恒生高股息ETF发起式联接</w:t>
            </w:r>
            <w:r>
              <w:rPr>
                <w:rFonts w:asciiTheme="minorEastAsia" w:hAnsiTheme="minorEastAsia" w:eastAsiaTheme="minorEastAsia"/>
                <w:sz w:val="24"/>
                <w:szCs w:val="24"/>
              </w:rPr>
              <w:t>A</w:t>
            </w:r>
          </w:p>
        </w:tc>
        <w:tc>
          <w:tcPr>
            <w:tcW w:w="3213" w:type="dxa"/>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博时恒生高股息ETF发起式联接</w:t>
            </w:r>
            <w:r>
              <w:rPr>
                <w:rFonts w:asciiTheme="minorEastAsia" w:hAnsiTheme="minorEastAsia" w:eastAsiaTheme="minorEastAsia"/>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vAlign w:val="center"/>
          </w:tcPr>
          <w:p>
            <w:pPr>
              <w:spacing w:line="560" w:lineRule="exac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下属基金</w:t>
            </w:r>
            <w:r>
              <w:rPr>
                <w:rFonts w:hint="eastAsia" w:asciiTheme="minorEastAsia" w:hAnsiTheme="minorEastAsia" w:eastAsiaTheme="minorEastAsia"/>
                <w:color w:val="000000"/>
                <w:sz w:val="24"/>
                <w:szCs w:val="24"/>
              </w:rPr>
              <w:t>份额</w:t>
            </w:r>
            <w:r>
              <w:rPr>
                <w:rFonts w:asciiTheme="minorEastAsia" w:hAnsiTheme="minorEastAsia" w:eastAsiaTheme="minorEastAsia"/>
                <w:color w:val="000000"/>
                <w:sz w:val="24"/>
                <w:szCs w:val="24"/>
              </w:rPr>
              <w:t>的交易代码</w:t>
            </w:r>
          </w:p>
        </w:tc>
        <w:tc>
          <w:tcPr>
            <w:tcW w:w="3213" w:type="dxa"/>
            <w:vAlign w:val="center"/>
          </w:tcPr>
          <w:p>
            <w:pPr>
              <w:spacing w:line="530" w:lineRule="exact"/>
              <w:rPr>
                <w:rFonts w:hint="eastAsia" w:asciiTheme="minorEastAsia" w:hAnsiTheme="minorEastAsia" w:eastAsiaTheme="minorEastAsia"/>
                <w:color w:val="000000"/>
                <w:kern w:val="0"/>
                <w:sz w:val="24"/>
                <w:szCs w:val="24"/>
                <w:lang w:eastAsia="zh-CN"/>
              </w:rPr>
            </w:pPr>
            <w:r>
              <w:rPr>
                <w:rFonts w:hint="eastAsia" w:asciiTheme="minorEastAsia" w:hAnsiTheme="minorEastAsia" w:eastAsiaTheme="minorEastAsia"/>
                <w:sz w:val="24"/>
                <w:szCs w:val="24"/>
                <w:lang w:eastAsia="zh-CN"/>
              </w:rPr>
              <w:t>014519</w:t>
            </w:r>
          </w:p>
        </w:tc>
        <w:tc>
          <w:tcPr>
            <w:tcW w:w="3213" w:type="dxa"/>
            <w:vAlign w:val="center"/>
          </w:tcPr>
          <w:p>
            <w:pPr>
              <w:spacing w:line="530" w:lineRule="exact"/>
              <w:rPr>
                <w:rFonts w:asciiTheme="minorEastAsia" w:hAnsiTheme="minorEastAsia" w:eastAsiaTheme="minorEastAsia"/>
                <w:color w:val="000000"/>
                <w:kern w:val="0"/>
                <w:sz w:val="24"/>
                <w:szCs w:val="24"/>
              </w:rPr>
            </w:pPr>
            <w:r>
              <w:rPr>
                <w:rFonts w:hint="eastAsia" w:asciiTheme="minorEastAsia" w:hAnsiTheme="minorEastAsia" w:eastAsiaTheme="minorEastAsia"/>
                <w:sz w:val="24"/>
                <w:szCs w:val="24"/>
              </w:rPr>
              <w:t>014520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3" w:type="dxa"/>
          </w:tcPr>
          <w:p>
            <w:pPr>
              <w:tabs>
                <w:tab w:val="left" w:pos="1315"/>
              </w:tabs>
              <w:spacing w:line="560" w:lineRule="exac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该类基金份额</w:t>
            </w:r>
            <w:r>
              <w:rPr>
                <w:rFonts w:asciiTheme="minorEastAsia" w:hAnsiTheme="minorEastAsia" w:eastAsiaTheme="minorEastAsia"/>
                <w:color w:val="000000"/>
                <w:sz w:val="24"/>
                <w:szCs w:val="24"/>
              </w:rPr>
              <w:t>是否开放申购、赎回</w:t>
            </w:r>
            <w:r>
              <w:rPr>
                <w:rFonts w:hint="eastAsia" w:asciiTheme="minorEastAsia" w:hAnsiTheme="minorEastAsia" w:eastAsiaTheme="minorEastAsia"/>
                <w:color w:val="000000"/>
                <w:sz w:val="24"/>
                <w:szCs w:val="24"/>
              </w:rPr>
              <w:t>、转换转入、转换转出、</w:t>
            </w:r>
            <w:r>
              <w:rPr>
                <w:rFonts w:asciiTheme="minorEastAsia" w:hAnsiTheme="minorEastAsia" w:eastAsiaTheme="minorEastAsia"/>
                <w:color w:val="000000"/>
                <w:sz w:val="24"/>
                <w:szCs w:val="24"/>
              </w:rPr>
              <w:t>定期定额投资</w:t>
            </w:r>
          </w:p>
        </w:tc>
        <w:tc>
          <w:tcPr>
            <w:tcW w:w="3213" w:type="dxa"/>
            <w:vAlign w:val="center"/>
          </w:tcPr>
          <w:p>
            <w:pPr>
              <w:spacing w:line="53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是</w:t>
            </w:r>
          </w:p>
        </w:tc>
        <w:tc>
          <w:tcPr>
            <w:tcW w:w="3213" w:type="dxa"/>
            <w:vAlign w:val="center"/>
          </w:tcPr>
          <w:p>
            <w:pPr>
              <w:spacing w:line="53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是</w:t>
            </w:r>
          </w:p>
        </w:tc>
      </w:tr>
    </w:tbl>
    <w:p>
      <w:pPr>
        <w:spacing w:line="360" w:lineRule="auto"/>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注：（1）</w:t>
      </w:r>
      <w:r>
        <w:rPr>
          <w:rFonts w:asciiTheme="minorEastAsia" w:hAnsiTheme="minorEastAsia" w:eastAsiaTheme="minorEastAsia"/>
          <w:color w:val="000000" w:themeColor="text1"/>
          <w:sz w:val="24"/>
          <w:szCs w:val="24"/>
          <w14:textFill>
            <w14:solidFill>
              <w14:schemeClr w14:val="tx1"/>
            </w14:solidFill>
          </w14:textFill>
        </w:rPr>
        <w:t>本基金为契约型开放式证券投资基金，基</w:t>
      </w:r>
      <w:r>
        <w:rPr>
          <w:rFonts w:asciiTheme="minorEastAsia" w:hAnsiTheme="minorEastAsia" w:eastAsiaTheme="minorEastAsia"/>
          <w:color w:val="000000"/>
          <w:kern w:val="0"/>
          <w:sz w:val="24"/>
          <w:szCs w:val="24"/>
        </w:rPr>
        <w:t>金管理人和基金注册登记机构为博时基金管理有限公司（以下简称“本公司”），基金托管人为</w:t>
      </w:r>
      <w:r>
        <w:rPr>
          <w:rFonts w:hint="eastAsia" w:asciiTheme="minorEastAsia" w:hAnsiTheme="minorEastAsia" w:eastAsiaTheme="minorEastAsia"/>
          <w:color w:val="000000"/>
          <w:kern w:val="0"/>
          <w:sz w:val="24"/>
          <w:szCs w:val="24"/>
          <w:lang w:eastAsia="zh-CN"/>
        </w:rPr>
        <w:t>中国国际金融股份有限公司</w:t>
      </w:r>
      <w:r>
        <w:rPr>
          <w:rFonts w:asciiTheme="minorEastAsia" w:hAnsiTheme="minorEastAsia" w:eastAsiaTheme="minorEastAsia"/>
          <w:color w:val="000000"/>
          <w:kern w:val="0"/>
          <w:sz w:val="24"/>
          <w:szCs w:val="24"/>
        </w:rPr>
        <w:t>；</w:t>
      </w:r>
    </w:p>
    <w:p>
      <w:pPr>
        <w:spacing w:line="360" w:lineRule="auto"/>
        <w:rPr>
          <w:rFonts w:asciiTheme="minorEastAsia" w:hAnsiTheme="minorEastAsia" w:eastAsiaTheme="minorEastAsia"/>
          <w:color w:val="000000"/>
          <w:sz w:val="24"/>
          <w:szCs w:val="24"/>
        </w:rPr>
      </w:pPr>
      <w:r>
        <w:rPr>
          <w:rFonts w:asciiTheme="minorEastAsia" w:hAnsiTheme="minorEastAsia" w:eastAsiaTheme="minorEastAsia"/>
          <w:color w:val="000000"/>
          <w:kern w:val="0"/>
          <w:sz w:val="24"/>
          <w:szCs w:val="24"/>
        </w:rPr>
        <w:t>（2）投资者应及时通过本基金销售网点、致电博时一线通95105568（免长途话费）或登录本公司网站www.bosera.com查询其申购、赎回、转换、定期定额投资业务申请的确认情况；</w:t>
      </w:r>
    </w:p>
    <w:p>
      <w:pPr>
        <w:spacing w:line="360" w:lineRule="auto"/>
        <w:rPr>
          <w:rFonts w:hint="eastAsia" w:asciiTheme="minorEastAsia" w:hAnsiTheme="minorEastAsia" w:eastAsiaTheme="minorEastAsia"/>
          <w:color w:val="000000"/>
          <w:sz w:val="24"/>
          <w:szCs w:val="24"/>
          <w:lang w:eastAsia="zh-CN"/>
        </w:rPr>
      </w:pPr>
      <w:r>
        <w:rPr>
          <w:rFonts w:asciiTheme="minorEastAsia" w:hAnsiTheme="minorEastAsia" w:eastAsiaTheme="minorEastAsia"/>
          <w:color w:val="000000"/>
          <w:kern w:val="0"/>
          <w:sz w:val="24"/>
          <w:szCs w:val="24"/>
        </w:rPr>
        <w:t>（3）各销售机构如开通定期定额投资业务，请参看各销售机构相关公告和业务规则</w:t>
      </w:r>
      <w:r>
        <w:rPr>
          <w:rFonts w:hint="eastAsia" w:asciiTheme="minorEastAsia" w:hAnsiTheme="minorEastAsia" w:eastAsiaTheme="minorEastAsia"/>
          <w:color w:val="000000"/>
          <w:kern w:val="0"/>
          <w:sz w:val="24"/>
          <w:szCs w:val="24"/>
          <w:lang w:eastAsia="zh-CN"/>
        </w:rPr>
        <w:t>。</w:t>
      </w:r>
    </w:p>
    <w:p>
      <w:pPr>
        <w:pStyle w:val="2"/>
        <w:spacing w:line="560" w:lineRule="exact"/>
        <w:rPr>
          <w:rFonts w:asciiTheme="minorEastAsia" w:hAnsiTheme="minorEastAsia" w:eastAsiaTheme="minorEastAsia"/>
          <w:bCs w:val="0"/>
          <w:color w:val="000000"/>
          <w:sz w:val="24"/>
          <w:szCs w:val="24"/>
        </w:rPr>
      </w:pPr>
      <w:bookmarkStart w:id="1" w:name="_Toc275961396"/>
      <w:r>
        <w:rPr>
          <w:rFonts w:asciiTheme="minorEastAsia" w:hAnsiTheme="minorEastAsia" w:eastAsiaTheme="minorEastAsia"/>
          <w:bCs w:val="0"/>
          <w:color w:val="000000"/>
          <w:sz w:val="24"/>
          <w:szCs w:val="24"/>
        </w:rPr>
        <w:t>2 日常申购、赎回（转换、定期定额投资）业务的办理时间</w:t>
      </w:r>
      <w:bookmarkEnd w:id="1"/>
    </w:p>
    <w:p>
      <w:pPr>
        <w:spacing w:line="360"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投资人在开放日办理基金份额的申购和赎回，具体办理时间为港股通、上海证券交易所、深圳证券交易所同时为正常交易日的交易时间，但基金管理人根据法律法规、中国证监会的要求或基金合同的规定公告暂停申购、赎回时除外。开放日的具体业务办理时间在招募说明书或相关公告中载明。</w:t>
      </w:r>
    </w:p>
    <w:p>
      <w:pPr>
        <w:spacing w:line="360"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pPr>
        <w:pStyle w:val="2"/>
        <w:spacing w:line="560" w:lineRule="exact"/>
        <w:rPr>
          <w:rFonts w:asciiTheme="minorEastAsia" w:hAnsiTheme="minorEastAsia" w:eastAsiaTheme="minorEastAsia"/>
          <w:bCs w:val="0"/>
          <w:color w:val="000000"/>
          <w:sz w:val="24"/>
          <w:szCs w:val="24"/>
        </w:rPr>
      </w:pPr>
      <w:bookmarkStart w:id="2" w:name="_Toc275961397"/>
      <w:r>
        <w:rPr>
          <w:rFonts w:asciiTheme="minorEastAsia" w:hAnsiTheme="minorEastAsia" w:eastAsiaTheme="minorEastAsia"/>
          <w:bCs w:val="0"/>
          <w:color w:val="000000"/>
          <w:sz w:val="24"/>
          <w:szCs w:val="24"/>
        </w:rPr>
        <w:t>3 日常申购业务</w:t>
      </w:r>
      <w:bookmarkEnd w:id="2"/>
    </w:p>
    <w:p>
      <w:pPr>
        <w:spacing w:line="560" w:lineRule="exact"/>
        <w:rPr>
          <w:rFonts w:asciiTheme="minorEastAsia" w:hAnsiTheme="minorEastAsia" w:eastAsiaTheme="minorEastAsia"/>
          <w:b/>
          <w:color w:val="000000"/>
          <w:sz w:val="24"/>
          <w:szCs w:val="24"/>
        </w:rPr>
      </w:pPr>
      <w:r>
        <w:rPr>
          <w:rFonts w:asciiTheme="minorEastAsia" w:hAnsiTheme="minorEastAsia" w:eastAsiaTheme="minorEastAsia"/>
          <w:b/>
          <w:color w:val="000000"/>
          <w:sz w:val="24"/>
          <w:szCs w:val="24"/>
        </w:rPr>
        <w:t>3.1 申购金额限制</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基金A类基金份额或C类基金份额首次申购和单笔追加申购的最低金额均为1元（含申购费），各销售机构在符合上述规定的前提下，可根据情况调高首次申购和单笔追加申购的最低金额，具体以销售机构公布的为准，投资人需遵循销售机构的相关规定。</w:t>
      </w:r>
    </w:p>
    <w:p>
      <w:pPr>
        <w:spacing w:line="560" w:lineRule="exact"/>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3</w:t>
      </w:r>
      <w:r>
        <w:rPr>
          <w:rFonts w:asciiTheme="minorEastAsia" w:hAnsiTheme="minorEastAsia" w:eastAsiaTheme="minorEastAsia"/>
          <w:b/>
          <w:color w:val="000000"/>
          <w:sz w:val="24"/>
          <w:szCs w:val="24"/>
        </w:rPr>
        <w:t>.</w:t>
      </w:r>
      <w:r>
        <w:rPr>
          <w:rFonts w:hint="eastAsia" w:asciiTheme="minorEastAsia" w:hAnsiTheme="minorEastAsia" w:eastAsiaTheme="minorEastAsia"/>
          <w:b/>
          <w:color w:val="000000"/>
          <w:sz w:val="24"/>
          <w:szCs w:val="24"/>
        </w:rPr>
        <w:t>2</w:t>
      </w:r>
      <w:r>
        <w:rPr>
          <w:rFonts w:asciiTheme="minorEastAsia" w:hAnsiTheme="minorEastAsia" w:eastAsiaTheme="minorEastAsia"/>
          <w:b/>
          <w:color w:val="000000"/>
          <w:sz w:val="24"/>
          <w:szCs w:val="24"/>
        </w:rPr>
        <w:t xml:space="preserve"> 申购费率</w:t>
      </w:r>
    </w:p>
    <w:p>
      <w:pPr>
        <w:spacing w:line="360"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基金A类基金份额在申购时收取基金申购费用；C类基金份额不收取申购费用。本基金申购费用用于本基金的市场推广、销售、登记等募集期间发生的各项费用，不列入基金财产。本基金各类基金份额的申购费率如下表所示：</w:t>
      </w:r>
    </w:p>
    <w:tbl>
      <w:tblPr>
        <w:tblStyle w:val="10"/>
        <w:tblW w:w="8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0"/>
        <w:gridCol w:w="2665"/>
        <w:gridCol w:w="2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070" w:type="dxa"/>
          </w:tcPr>
          <w:p>
            <w:pPr>
              <w:pStyle w:val="8"/>
              <w:numPr>
                <w:ilvl w:val="0"/>
                <w:numId w:val="0"/>
              </w:numPr>
              <w:snapToGrid w:val="0"/>
              <w:ind w:leftChars="0"/>
              <w:jc w:val="center"/>
              <w:rPr>
                <w:rFonts w:hint="default" w:cs="Times New Roman" w:asciiTheme="majorEastAsia" w:hAnsiTheme="majorEastAsia" w:eastAsiaTheme="majorEastAsia"/>
                <w:kern w:val="2"/>
                <w:sz w:val="24"/>
                <w:szCs w:val="24"/>
                <w:lang w:val="en-US" w:eastAsia="zh-CN" w:bidi="ar-SA"/>
              </w:rPr>
            </w:pPr>
            <w:r>
              <w:rPr>
                <w:rFonts w:hint="eastAsia" w:cs="Times New Roman" w:asciiTheme="majorEastAsia" w:hAnsiTheme="majorEastAsia" w:eastAsiaTheme="majorEastAsia"/>
                <w:kern w:val="2"/>
                <w:sz w:val="24"/>
                <w:szCs w:val="24"/>
                <w:lang w:val="en-US" w:eastAsia="zh-CN" w:bidi="ar-SA"/>
              </w:rPr>
              <w:t>购买金额（M）</w:t>
            </w:r>
          </w:p>
        </w:tc>
        <w:tc>
          <w:tcPr>
            <w:tcW w:w="2665" w:type="dxa"/>
          </w:tcPr>
          <w:p>
            <w:pPr>
              <w:pStyle w:val="8"/>
              <w:numPr>
                <w:ilvl w:val="0"/>
                <w:numId w:val="0"/>
              </w:numPr>
              <w:snapToGrid w:val="0"/>
              <w:ind w:leftChars="0"/>
              <w:jc w:val="center"/>
              <w:rPr>
                <w:rFonts w:hint="default" w:cs="Times New Roman" w:asciiTheme="majorEastAsia" w:hAnsiTheme="majorEastAsia" w:eastAsiaTheme="majorEastAsia"/>
                <w:kern w:val="2"/>
                <w:sz w:val="24"/>
                <w:szCs w:val="24"/>
                <w:lang w:val="en-US" w:eastAsia="zh-CN" w:bidi="ar-SA"/>
              </w:rPr>
            </w:pPr>
            <w:r>
              <w:rPr>
                <w:rFonts w:hint="eastAsia" w:cs="Times New Roman" w:asciiTheme="majorEastAsia" w:hAnsiTheme="majorEastAsia" w:eastAsiaTheme="majorEastAsia"/>
                <w:kern w:val="2"/>
                <w:sz w:val="24"/>
                <w:szCs w:val="24"/>
                <w:lang w:val="en-US" w:eastAsia="zh-CN" w:bidi="ar-SA"/>
              </w:rPr>
              <w:t>A类基金份额申购费率</w:t>
            </w:r>
          </w:p>
        </w:tc>
        <w:tc>
          <w:tcPr>
            <w:tcW w:w="2915" w:type="dxa"/>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C类基金份额申购费率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070" w:type="dxa"/>
          </w:tcPr>
          <w:p>
            <w:pPr>
              <w:pStyle w:val="8"/>
              <w:numPr>
                <w:ilvl w:val="0"/>
                <w:numId w:val="0"/>
              </w:numPr>
              <w:snapToGrid w:val="0"/>
              <w:ind w:leftChars="0"/>
              <w:jc w:val="center"/>
              <w:rPr>
                <w:rFonts w:hint="default" w:cs="Times New Roman" w:asciiTheme="majorEastAsia" w:hAnsiTheme="majorEastAsia" w:eastAsiaTheme="majorEastAsia"/>
                <w:kern w:val="2"/>
                <w:sz w:val="24"/>
                <w:szCs w:val="24"/>
                <w:lang w:val="en-US" w:eastAsia="zh-CN" w:bidi="ar-SA"/>
              </w:rPr>
            </w:pPr>
            <w:r>
              <w:rPr>
                <w:rFonts w:hint="eastAsia" w:cs="Times New Roman" w:asciiTheme="majorEastAsia" w:hAnsiTheme="majorEastAsia" w:eastAsiaTheme="majorEastAsia"/>
                <w:kern w:val="2"/>
                <w:sz w:val="24"/>
                <w:szCs w:val="24"/>
                <w:lang w:val="en-US" w:eastAsia="zh-CN" w:bidi="ar-SA"/>
              </w:rPr>
              <w:t>M＜100万元</w:t>
            </w:r>
          </w:p>
        </w:tc>
        <w:tc>
          <w:tcPr>
            <w:tcW w:w="2665" w:type="dxa"/>
          </w:tcPr>
          <w:p>
            <w:pPr>
              <w:pStyle w:val="8"/>
              <w:numPr>
                <w:ilvl w:val="0"/>
                <w:numId w:val="0"/>
              </w:numPr>
              <w:snapToGrid w:val="0"/>
              <w:ind w:leftChars="0"/>
              <w:jc w:val="center"/>
              <w:rPr>
                <w:rFonts w:hint="default" w:cs="Times New Roman" w:asciiTheme="majorEastAsia" w:hAnsiTheme="majorEastAsia" w:eastAsiaTheme="majorEastAsia"/>
                <w:kern w:val="2"/>
                <w:sz w:val="24"/>
                <w:szCs w:val="24"/>
                <w:lang w:val="en-US" w:eastAsia="zh-CN" w:bidi="ar-SA"/>
              </w:rPr>
            </w:pPr>
            <w:r>
              <w:rPr>
                <w:rFonts w:hint="eastAsia" w:cs="Times New Roman" w:asciiTheme="majorEastAsia" w:hAnsiTheme="majorEastAsia" w:eastAsiaTheme="majorEastAsia"/>
                <w:kern w:val="2"/>
                <w:sz w:val="24"/>
                <w:szCs w:val="24"/>
                <w:lang w:val="en-US" w:eastAsia="zh-CN" w:bidi="ar-SA"/>
              </w:rPr>
              <w:t>1.20%</w:t>
            </w:r>
          </w:p>
        </w:tc>
        <w:tc>
          <w:tcPr>
            <w:tcW w:w="2915" w:type="dxa"/>
            <w:vMerge w:val="restart"/>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p>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070" w:type="dxa"/>
          </w:tcPr>
          <w:p>
            <w:pPr>
              <w:pStyle w:val="8"/>
              <w:numPr>
                <w:ilvl w:val="0"/>
                <w:numId w:val="0"/>
              </w:numPr>
              <w:snapToGrid w:val="0"/>
              <w:ind w:leftChars="0"/>
              <w:jc w:val="center"/>
              <w:rPr>
                <w:rFonts w:hint="default" w:cs="Times New Roman" w:asciiTheme="majorEastAsia" w:hAnsiTheme="majorEastAsia" w:eastAsiaTheme="majorEastAsia"/>
                <w:kern w:val="2"/>
                <w:sz w:val="24"/>
                <w:szCs w:val="24"/>
                <w:lang w:val="en-US" w:eastAsia="zh-CN" w:bidi="ar-SA"/>
              </w:rPr>
            </w:pPr>
            <w:r>
              <w:rPr>
                <w:rFonts w:hint="eastAsia" w:cs="Times New Roman" w:asciiTheme="majorEastAsia" w:hAnsiTheme="majorEastAsia" w:eastAsiaTheme="majorEastAsia"/>
                <w:kern w:val="2"/>
                <w:sz w:val="24"/>
                <w:szCs w:val="24"/>
                <w:lang w:val="en-US" w:eastAsia="zh-CN" w:bidi="ar-SA"/>
              </w:rPr>
              <w:t>100万元≤M＜300万元</w:t>
            </w:r>
          </w:p>
        </w:tc>
        <w:tc>
          <w:tcPr>
            <w:tcW w:w="2665" w:type="dxa"/>
          </w:tcPr>
          <w:p>
            <w:pPr>
              <w:pStyle w:val="8"/>
              <w:numPr>
                <w:ilvl w:val="0"/>
                <w:numId w:val="0"/>
              </w:numPr>
              <w:snapToGrid w:val="0"/>
              <w:ind w:leftChars="0"/>
              <w:jc w:val="center"/>
              <w:rPr>
                <w:rFonts w:hint="default" w:cs="Times New Roman" w:asciiTheme="majorEastAsia" w:hAnsiTheme="majorEastAsia" w:eastAsiaTheme="majorEastAsia"/>
                <w:kern w:val="2"/>
                <w:sz w:val="24"/>
                <w:szCs w:val="24"/>
                <w:lang w:val="en-US" w:eastAsia="zh-CN" w:bidi="ar-SA"/>
              </w:rPr>
            </w:pPr>
            <w:r>
              <w:rPr>
                <w:rFonts w:hint="eastAsia" w:cs="Times New Roman" w:asciiTheme="majorEastAsia" w:hAnsiTheme="majorEastAsia" w:eastAsiaTheme="majorEastAsia"/>
                <w:kern w:val="2"/>
                <w:sz w:val="24"/>
                <w:szCs w:val="24"/>
                <w:lang w:val="en-US" w:eastAsia="zh-CN" w:bidi="ar-SA"/>
              </w:rPr>
              <w:t>0.80%</w:t>
            </w:r>
          </w:p>
        </w:tc>
        <w:tc>
          <w:tcPr>
            <w:tcW w:w="2915" w:type="dxa"/>
            <w:vMerge w:val="continue"/>
          </w:tcPr>
          <w:p>
            <w:pPr>
              <w:pStyle w:val="8"/>
              <w:snapToGrid w:val="0"/>
              <w:ind w:firstLine="420" w:firstLineChars="200"/>
              <w:jc w:val="center"/>
              <w:rPr>
                <w:rFonts w:hint="default" w:ascii="Arial Unicode MS" w:hAnsi="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070" w:type="dxa"/>
          </w:tcPr>
          <w:p>
            <w:pPr>
              <w:pStyle w:val="8"/>
              <w:numPr>
                <w:ilvl w:val="0"/>
                <w:numId w:val="0"/>
              </w:numPr>
              <w:snapToGrid w:val="0"/>
              <w:ind w:leftChars="0"/>
              <w:jc w:val="center"/>
              <w:rPr>
                <w:rFonts w:hint="default" w:cs="Times New Roman" w:asciiTheme="majorEastAsia" w:hAnsiTheme="majorEastAsia" w:eastAsiaTheme="majorEastAsia"/>
                <w:kern w:val="2"/>
                <w:sz w:val="24"/>
                <w:szCs w:val="24"/>
                <w:lang w:val="en-US" w:eastAsia="zh-CN" w:bidi="ar-SA"/>
              </w:rPr>
            </w:pPr>
            <w:r>
              <w:rPr>
                <w:rFonts w:hint="eastAsia" w:cs="Times New Roman" w:asciiTheme="majorEastAsia" w:hAnsiTheme="majorEastAsia" w:eastAsiaTheme="majorEastAsia"/>
                <w:kern w:val="2"/>
                <w:sz w:val="24"/>
                <w:szCs w:val="24"/>
                <w:lang w:val="en-US" w:eastAsia="zh-CN" w:bidi="ar-SA"/>
              </w:rPr>
              <w:t>300万元≤M＜500万元</w:t>
            </w:r>
          </w:p>
        </w:tc>
        <w:tc>
          <w:tcPr>
            <w:tcW w:w="2665" w:type="dxa"/>
          </w:tcPr>
          <w:p>
            <w:pPr>
              <w:pStyle w:val="8"/>
              <w:numPr>
                <w:ilvl w:val="0"/>
                <w:numId w:val="0"/>
              </w:numPr>
              <w:snapToGrid w:val="0"/>
              <w:ind w:leftChars="0"/>
              <w:jc w:val="center"/>
              <w:rPr>
                <w:rFonts w:hint="default" w:cs="Times New Roman" w:asciiTheme="majorEastAsia" w:hAnsiTheme="majorEastAsia" w:eastAsiaTheme="majorEastAsia"/>
                <w:kern w:val="2"/>
                <w:sz w:val="24"/>
                <w:szCs w:val="24"/>
                <w:lang w:val="en-US" w:eastAsia="zh-CN" w:bidi="ar-SA"/>
              </w:rPr>
            </w:pPr>
            <w:r>
              <w:rPr>
                <w:rFonts w:hint="eastAsia" w:cs="Times New Roman" w:asciiTheme="majorEastAsia" w:hAnsiTheme="majorEastAsia" w:eastAsiaTheme="majorEastAsia"/>
                <w:kern w:val="2"/>
                <w:sz w:val="24"/>
                <w:szCs w:val="24"/>
                <w:lang w:val="en-US" w:eastAsia="zh-CN" w:bidi="ar-SA"/>
              </w:rPr>
              <w:t>0.40%</w:t>
            </w:r>
          </w:p>
        </w:tc>
        <w:tc>
          <w:tcPr>
            <w:tcW w:w="2915" w:type="dxa"/>
            <w:vMerge w:val="continue"/>
          </w:tcPr>
          <w:p>
            <w:pPr>
              <w:pStyle w:val="8"/>
              <w:snapToGrid w:val="0"/>
              <w:ind w:firstLine="420" w:firstLineChars="200"/>
              <w:jc w:val="center"/>
              <w:rPr>
                <w:rFonts w:hint="default" w:ascii="Arial Unicode MS" w:hAnsi="Arial Unicode M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3070" w:type="dxa"/>
          </w:tcPr>
          <w:p>
            <w:pPr>
              <w:pStyle w:val="8"/>
              <w:numPr>
                <w:ilvl w:val="0"/>
                <w:numId w:val="0"/>
              </w:numPr>
              <w:snapToGrid w:val="0"/>
              <w:ind w:leftChars="0"/>
              <w:jc w:val="center"/>
              <w:rPr>
                <w:rFonts w:hint="default" w:cs="Times New Roman" w:asciiTheme="majorEastAsia" w:hAnsiTheme="majorEastAsia" w:eastAsiaTheme="majorEastAsia"/>
                <w:kern w:val="2"/>
                <w:sz w:val="24"/>
                <w:szCs w:val="24"/>
                <w:lang w:val="en-US" w:eastAsia="zh-CN" w:bidi="ar-SA"/>
              </w:rPr>
            </w:pPr>
            <w:r>
              <w:rPr>
                <w:rFonts w:hint="eastAsia" w:cs="Times New Roman" w:asciiTheme="majorEastAsia" w:hAnsiTheme="majorEastAsia" w:eastAsiaTheme="majorEastAsia"/>
                <w:kern w:val="2"/>
                <w:sz w:val="24"/>
                <w:szCs w:val="24"/>
                <w:lang w:val="en-US" w:eastAsia="zh-CN" w:bidi="ar-SA"/>
              </w:rPr>
              <w:t>M≥500万元</w:t>
            </w:r>
          </w:p>
        </w:tc>
        <w:tc>
          <w:tcPr>
            <w:tcW w:w="2665" w:type="dxa"/>
          </w:tcPr>
          <w:p>
            <w:pPr>
              <w:pStyle w:val="8"/>
              <w:numPr>
                <w:ilvl w:val="0"/>
                <w:numId w:val="0"/>
              </w:numPr>
              <w:snapToGrid w:val="0"/>
              <w:ind w:leftChars="0"/>
              <w:jc w:val="center"/>
              <w:rPr>
                <w:rFonts w:hint="default" w:cs="Times New Roman" w:asciiTheme="majorEastAsia" w:hAnsiTheme="majorEastAsia" w:eastAsiaTheme="majorEastAsia"/>
                <w:kern w:val="2"/>
                <w:sz w:val="24"/>
                <w:szCs w:val="24"/>
                <w:lang w:val="en-US" w:eastAsia="zh-CN" w:bidi="ar-SA"/>
              </w:rPr>
            </w:pPr>
            <w:r>
              <w:rPr>
                <w:rFonts w:hint="eastAsia" w:cs="Times New Roman" w:asciiTheme="majorEastAsia" w:hAnsiTheme="majorEastAsia" w:eastAsiaTheme="majorEastAsia"/>
                <w:kern w:val="2"/>
                <w:sz w:val="24"/>
                <w:szCs w:val="24"/>
                <w:lang w:val="en-US" w:eastAsia="zh-CN" w:bidi="ar-SA"/>
              </w:rPr>
              <w:t>1</w:t>
            </w:r>
            <w:r>
              <w:rPr>
                <w:rFonts w:hint="default" w:cs="Times New Roman" w:asciiTheme="majorEastAsia" w:hAnsiTheme="majorEastAsia" w:eastAsiaTheme="majorEastAsia"/>
                <w:kern w:val="2"/>
                <w:sz w:val="24"/>
                <w:szCs w:val="24"/>
                <w:lang w:val="en-US" w:eastAsia="zh-CN" w:bidi="ar-SA"/>
              </w:rPr>
              <w:t>,</w:t>
            </w:r>
            <w:r>
              <w:rPr>
                <w:rFonts w:hint="eastAsia" w:cs="Times New Roman" w:asciiTheme="majorEastAsia" w:hAnsiTheme="majorEastAsia" w:eastAsiaTheme="majorEastAsia"/>
                <w:kern w:val="2"/>
                <w:sz w:val="24"/>
                <w:szCs w:val="24"/>
                <w:lang w:val="en-US" w:eastAsia="zh-CN" w:bidi="ar-SA"/>
              </w:rPr>
              <w:t>000元/笔</w:t>
            </w:r>
          </w:p>
        </w:tc>
        <w:tc>
          <w:tcPr>
            <w:tcW w:w="2915" w:type="dxa"/>
            <w:vMerge w:val="continue"/>
          </w:tcPr>
          <w:p>
            <w:pPr>
              <w:pStyle w:val="8"/>
              <w:snapToGrid w:val="0"/>
              <w:ind w:firstLine="420" w:firstLineChars="200"/>
              <w:jc w:val="center"/>
              <w:rPr>
                <w:rFonts w:hint="default" w:ascii="Arial Unicode MS" w:hAnsi="Arial Unicode MS"/>
                <w:szCs w:val="21"/>
              </w:rPr>
            </w:pPr>
          </w:p>
        </w:tc>
      </w:tr>
    </w:tbl>
    <w:p>
      <w:pPr>
        <w:spacing w:line="560" w:lineRule="exact"/>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3</w:t>
      </w:r>
      <w:r>
        <w:rPr>
          <w:rFonts w:asciiTheme="minorEastAsia" w:hAnsiTheme="minorEastAsia" w:eastAsiaTheme="minorEastAsia"/>
          <w:b/>
          <w:color w:val="000000"/>
          <w:sz w:val="24"/>
          <w:szCs w:val="24"/>
        </w:rPr>
        <w:t>.</w:t>
      </w:r>
      <w:r>
        <w:rPr>
          <w:rFonts w:hint="eastAsia" w:asciiTheme="minorEastAsia" w:hAnsiTheme="minorEastAsia" w:eastAsiaTheme="minorEastAsia"/>
          <w:b/>
          <w:color w:val="000000"/>
          <w:sz w:val="24"/>
          <w:szCs w:val="24"/>
        </w:rPr>
        <w:t>3</w:t>
      </w:r>
      <w:r>
        <w:rPr>
          <w:rFonts w:asciiTheme="minorEastAsia" w:hAnsiTheme="minorEastAsia" w:eastAsiaTheme="minorEastAsia"/>
          <w:b/>
          <w:color w:val="000000"/>
          <w:sz w:val="24"/>
          <w:szCs w:val="24"/>
        </w:rPr>
        <w:t xml:space="preserve"> 其他与申购相关的事项</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1）基金管理人可根据有关法律规定和市场情况，调整申购金额的数量限制，基金管理人必须最迟在调整前依照《信息披露办法》的有关规定在规定媒体上公告。</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2）基金管理人可以在法律法规和基金合同规定范围内调整申购费率。费率如发生变更，基金管理人应在调整前依照《信息披露办法》的有关规定在规定媒介上公告。</w:t>
      </w:r>
    </w:p>
    <w:p>
      <w:pPr>
        <w:pStyle w:val="2"/>
        <w:spacing w:line="560" w:lineRule="exact"/>
        <w:rPr>
          <w:rFonts w:asciiTheme="minorEastAsia" w:hAnsiTheme="minorEastAsia" w:eastAsiaTheme="minorEastAsia"/>
          <w:bCs w:val="0"/>
          <w:color w:val="000000"/>
          <w:sz w:val="24"/>
          <w:szCs w:val="24"/>
        </w:rPr>
      </w:pPr>
      <w:bookmarkStart w:id="3" w:name="_Toc275961398"/>
      <w:r>
        <w:rPr>
          <w:rFonts w:hint="eastAsia" w:asciiTheme="minorEastAsia" w:hAnsiTheme="minorEastAsia" w:eastAsiaTheme="minorEastAsia"/>
          <w:bCs w:val="0"/>
          <w:color w:val="000000"/>
          <w:sz w:val="24"/>
          <w:szCs w:val="24"/>
        </w:rPr>
        <w:t>4</w:t>
      </w:r>
      <w:r>
        <w:rPr>
          <w:rFonts w:asciiTheme="minorEastAsia" w:hAnsiTheme="minorEastAsia" w:eastAsiaTheme="minorEastAsia"/>
          <w:bCs w:val="0"/>
          <w:color w:val="000000"/>
          <w:sz w:val="24"/>
          <w:szCs w:val="24"/>
        </w:rPr>
        <w:t xml:space="preserve"> 日常赎回业务</w:t>
      </w:r>
      <w:bookmarkEnd w:id="3"/>
    </w:p>
    <w:p>
      <w:pPr>
        <w:spacing w:line="560" w:lineRule="exact"/>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4</w:t>
      </w:r>
      <w:r>
        <w:rPr>
          <w:rFonts w:asciiTheme="minorEastAsia" w:hAnsiTheme="minorEastAsia" w:eastAsiaTheme="minorEastAsia"/>
          <w:b/>
          <w:color w:val="000000"/>
          <w:sz w:val="24"/>
          <w:szCs w:val="24"/>
        </w:rPr>
        <w:t>.</w:t>
      </w:r>
      <w:r>
        <w:rPr>
          <w:rFonts w:hint="eastAsia" w:asciiTheme="minorEastAsia" w:hAnsiTheme="minorEastAsia" w:eastAsiaTheme="minorEastAsia"/>
          <w:b/>
          <w:color w:val="000000"/>
          <w:sz w:val="24"/>
          <w:szCs w:val="24"/>
        </w:rPr>
        <w:t>1</w:t>
      </w:r>
      <w:r>
        <w:rPr>
          <w:rFonts w:asciiTheme="minorEastAsia" w:hAnsiTheme="minorEastAsia" w:eastAsiaTheme="minorEastAsia"/>
          <w:b/>
          <w:color w:val="000000"/>
          <w:sz w:val="24"/>
          <w:szCs w:val="24"/>
        </w:rPr>
        <w:t xml:space="preserve"> 赎回份额限制</w:t>
      </w:r>
    </w:p>
    <w:p>
      <w:pPr>
        <w:spacing w:line="360"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每个交易账户最低持有A类基金份额或C类基金份额余额为1份，若某笔赎回导致单个交易账户的A类基金份额或C类基金份额余额少于1份时，该类别基金份额余额部分必须一同赎回。</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投资者通过销售机构赎回基金份额时，本基金单笔赎回申请不得低于1份，若投资者单个交易账户持有的基金份额余额不足1份，将不受此限制，但投资者在提交赎回申请时须全部赎回。各销售机构在符合上述规定的前提下，可根据自己的情况调整单笔赎回申请限制，具体以销售机构公布的为准，投资者需遵循销售机构的相关规定。</w:t>
      </w:r>
    </w:p>
    <w:p>
      <w:pPr>
        <w:spacing w:line="560" w:lineRule="exact"/>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4</w:t>
      </w:r>
      <w:r>
        <w:rPr>
          <w:rFonts w:asciiTheme="minorEastAsia" w:hAnsiTheme="minorEastAsia" w:eastAsiaTheme="minorEastAsia"/>
          <w:b/>
          <w:color w:val="000000"/>
          <w:sz w:val="24"/>
          <w:szCs w:val="24"/>
        </w:rPr>
        <w:t>.</w:t>
      </w:r>
      <w:r>
        <w:rPr>
          <w:rFonts w:hint="eastAsia" w:asciiTheme="minorEastAsia" w:hAnsiTheme="minorEastAsia" w:eastAsiaTheme="minorEastAsia"/>
          <w:b/>
          <w:color w:val="000000"/>
          <w:sz w:val="24"/>
          <w:szCs w:val="24"/>
        </w:rPr>
        <w:t>2</w:t>
      </w:r>
      <w:r>
        <w:rPr>
          <w:rFonts w:asciiTheme="minorEastAsia" w:hAnsiTheme="minorEastAsia" w:eastAsiaTheme="minorEastAsia"/>
          <w:b/>
          <w:color w:val="000000"/>
          <w:sz w:val="24"/>
          <w:szCs w:val="24"/>
        </w:rPr>
        <w:t xml:space="preserve"> 赎回费率</w:t>
      </w:r>
    </w:p>
    <w:p>
      <w:pPr>
        <w:spacing w:line="560" w:lineRule="exact"/>
        <w:ind w:firstLine="480" w:firstLineChars="200"/>
        <w:rPr>
          <w:rFonts w:asciiTheme="minorEastAsia" w:hAnsiTheme="minorEastAsia" w:eastAsiaTheme="minorEastAsia"/>
          <w:b/>
          <w:color w:val="000000"/>
          <w:sz w:val="24"/>
          <w:szCs w:val="24"/>
        </w:rPr>
      </w:pPr>
      <w:r>
        <w:rPr>
          <w:rFonts w:hint="eastAsia" w:asciiTheme="minorEastAsia" w:hAnsiTheme="minorEastAsia" w:eastAsiaTheme="minorEastAsia"/>
          <w:color w:val="000000"/>
          <w:sz w:val="24"/>
          <w:szCs w:val="24"/>
        </w:rPr>
        <w:t>本基金的A类基金份额和C类基金份额赎回费率随申请份额持有时间增加而递减。具体如下表所示（其中1个月指30日）：</w:t>
      </w:r>
    </w:p>
    <w:tbl>
      <w:tblPr>
        <w:tblStyle w:val="10"/>
        <w:tblW w:w="8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62"/>
        <w:gridCol w:w="2780"/>
        <w:gridCol w:w="2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662" w:type="dxa"/>
            <w:shd w:val="clear" w:color="auto" w:fill="auto"/>
            <w:tcMar>
              <w:top w:w="0" w:type="dxa"/>
              <w:left w:w="108" w:type="dxa"/>
              <w:bottom w:w="0" w:type="dxa"/>
              <w:right w:w="108" w:type="dxa"/>
            </w:tcMar>
            <w:vAlign w:val="center"/>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持有基金份额期限（Y）</w:t>
            </w:r>
          </w:p>
        </w:tc>
        <w:tc>
          <w:tcPr>
            <w:tcW w:w="2780" w:type="dxa"/>
            <w:shd w:val="clear" w:color="auto" w:fill="auto"/>
            <w:tcMar>
              <w:top w:w="0" w:type="dxa"/>
              <w:left w:w="108" w:type="dxa"/>
              <w:bottom w:w="0" w:type="dxa"/>
              <w:right w:w="108" w:type="dxa"/>
            </w:tcMar>
            <w:vAlign w:val="center"/>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A类基金份额的赎回费率</w:t>
            </w:r>
          </w:p>
        </w:tc>
        <w:tc>
          <w:tcPr>
            <w:tcW w:w="2717" w:type="dxa"/>
            <w:vAlign w:val="center"/>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C类基金份额的赎回费率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662" w:type="dxa"/>
            <w:shd w:val="clear" w:color="auto" w:fill="auto"/>
            <w:noWrap/>
            <w:tcMar>
              <w:top w:w="0" w:type="dxa"/>
              <w:left w:w="108" w:type="dxa"/>
              <w:bottom w:w="0" w:type="dxa"/>
              <w:right w:w="108" w:type="dxa"/>
            </w:tcMar>
            <w:vAlign w:val="center"/>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Y＜7日</w:t>
            </w:r>
          </w:p>
        </w:tc>
        <w:tc>
          <w:tcPr>
            <w:tcW w:w="2780" w:type="dxa"/>
            <w:shd w:val="clear" w:color="auto" w:fill="auto"/>
            <w:noWrap/>
            <w:tcMar>
              <w:top w:w="0" w:type="dxa"/>
              <w:left w:w="108" w:type="dxa"/>
              <w:bottom w:w="0" w:type="dxa"/>
              <w:right w:w="108" w:type="dxa"/>
            </w:tcMar>
            <w:vAlign w:val="center"/>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1.50%</w:t>
            </w:r>
          </w:p>
        </w:tc>
        <w:tc>
          <w:tcPr>
            <w:tcW w:w="2717" w:type="dxa"/>
            <w:vAlign w:val="center"/>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662" w:type="dxa"/>
            <w:shd w:val="clear" w:color="auto" w:fill="auto"/>
            <w:noWrap/>
            <w:tcMar>
              <w:top w:w="0" w:type="dxa"/>
              <w:left w:w="108" w:type="dxa"/>
              <w:bottom w:w="0" w:type="dxa"/>
              <w:right w:w="108" w:type="dxa"/>
            </w:tcMar>
            <w:vAlign w:val="center"/>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7日≤Y＜30日</w:t>
            </w:r>
          </w:p>
        </w:tc>
        <w:tc>
          <w:tcPr>
            <w:tcW w:w="2780" w:type="dxa"/>
            <w:shd w:val="clear" w:color="auto" w:fill="auto"/>
            <w:noWrap/>
            <w:tcMar>
              <w:top w:w="0" w:type="dxa"/>
              <w:left w:w="108" w:type="dxa"/>
              <w:bottom w:w="0" w:type="dxa"/>
              <w:right w:w="108" w:type="dxa"/>
            </w:tcMar>
            <w:vAlign w:val="center"/>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0.</w:t>
            </w:r>
            <w:r>
              <w:rPr>
                <w:rFonts w:hint="default" w:cs="Times New Roman" w:asciiTheme="minorEastAsia" w:hAnsiTheme="minorEastAsia" w:eastAsiaTheme="minorEastAsia"/>
                <w:color w:val="000000"/>
                <w:kern w:val="2"/>
                <w:sz w:val="24"/>
                <w:szCs w:val="24"/>
                <w:lang w:val="en-US" w:eastAsia="zh-CN" w:bidi="ar-SA"/>
              </w:rPr>
              <w:t>50</w:t>
            </w:r>
            <w:r>
              <w:rPr>
                <w:rFonts w:hint="eastAsia" w:cs="Times New Roman" w:asciiTheme="minorEastAsia" w:hAnsiTheme="minorEastAsia" w:eastAsiaTheme="minorEastAsia"/>
                <w:color w:val="000000"/>
                <w:kern w:val="2"/>
                <w:sz w:val="24"/>
                <w:szCs w:val="24"/>
                <w:lang w:val="en-US" w:eastAsia="zh-CN" w:bidi="ar-SA"/>
              </w:rPr>
              <w:t>%</w:t>
            </w:r>
          </w:p>
        </w:tc>
        <w:tc>
          <w:tcPr>
            <w:tcW w:w="2717" w:type="dxa"/>
            <w:vAlign w:val="center"/>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662" w:type="dxa"/>
            <w:shd w:val="clear" w:color="auto" w:fill="auto"/>
            <w:noWrap/>
            <w:tcMar>
              <w:top w:w="0" w:type="dxa"/>
              <w:left w:w="108" w:type="dxa"/>
              <w:bottom w:w="0" w:type="dxa"/>
              <w:right w:w="108" w:type="dxa"/>
            </w:tcMar>
            <w:vAlign w:val="center"/>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30日≤Y＜6个月</w:t>
            </w:r>
          </w:p>
        </w:tc>
        <w:tc>
          <w:tcPr>
            <w:tcW w:w="2780" w:type="dxa"/>
            <w:shd w:val="clear" w:color="auto" w:fill="auto"/>
            <w:noWrap/>
            <w:tcMar>
              <w:top w:w="0" w:type="dxa"/>
              <w:left w:w="108" w:type="dxa"/>
              <w:bottom w:w="0" w:type="dxa"/>
              <w:right w:w="108" w:type="dxa"/>
            </w:tcMar>
            <w:vAlign w:val="center"/>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0.</w:t>
            </w:r>
            <w:r>
              <w:rPr>
                <w:rFonts w:hint="default" w:cs="Times New Roman" w:asciiTheme="minorEastAsia" w:hAnsiTheme="minorEastAsia" w:eastAsiaTheme="minorEastAsia"/>
                <w:color w:val="000000"/>
                <w:kern w:val="2"/>
                <w:sz w:val="24"/>
                <w:szCs w:val="24"/>
                <w:lang w:val="en-US" w:eastAsia="zh-CN" w:bidi="ar-SA"/>
              </w:rPr>
              <w:t>25</w:t>
            </w:r>
            <w:r>
              <w:rPr>
                <w:rFonts w:hint="eastAsia" w:cs="Times New Roman" w:asciiTheme="minorEastAsia" w:hAnsiTheme="minorEastAsia" w:eastAsiaTheme="minorEastAsia"/>
                <w:color w:val="000000"/>
                <w:kern w:val="2"/>
                <w:sz w:val="24"/>
                <w:szCs w:val="24"/>
                <w:lang w:val="en-US" w:eastAsia="zh-CN" w:bidi="ar-SA"/>
              </w:rPr>
              <w:t>%</w:t>
            </w:r>
          </w:p>
        </w:tc>
        <w:tc>
          <w:tcPr>
            <w:tcW w:w="2717" w:type="dxa"/>
            <w:vAlign w:val="center"/>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662" w:type="dxa"/>
            <w:shd w:val="clear" w:color="auto" w:fill="auto"/>
            <w:noWrap/>
            <w:tcMar>
              <w:top w:w="0" w:type="dxa"/>
              <w:left w:w="108" w:type="dxa"/>
              <w:bottom w:w="0" w:type="dxa"/>
              <w:right w:w="108" w:type="dxa"/>
            </w:tcMar>
            <w:vAlign w:val="center"/>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Y≥6个月</w:t>
            </w:r>
          </w:p>
        </w:tc>
        <w:tc>
          <w:tcPr>
            <w:tcW w:w="2780" w:type="dxa"/>
            <w:shd w:val="clear" w:color="auto" w:fill="auto"/>
            <w:noWrap/>
            <w:tcMar>
              <w:top w:w="0" w:type="dxa"/>
              <w:left w:w="108" w:type="dxa"/>
              <w:bottom w:w="0" w:type="dxa"/>
              <w:right w:w="108" w:type="dxa"/>
            </w:tcMar>
            <w:vAlign w:val="center"/>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0%</w:t>
            </w:r>
          </w:p>
        </w:tc>
        <w:tc>
          <w:tcPr>
            <w:tcW w:w="2717" w:type="dxa"/>
            <w:vAlign w:val="center"/>
          </w:tcPr>
          <w:p>
            <w:pPr>
              <w:pStyle w:val="8"/>
              <w:numPr>
                <w:ilvl w:val="0"/>
                <w:numId w:val="0"/>
              </w:numPr>
              <w:snapToGrid w:val="0"/>
              <w:ind w:leftChars="0"/>
              <w:jc w:val="center"/>
              <w:rPr>
                <w:rFonts w:hint="default" w:cs="Times New Roman" w:asciiTheme="minorEastAsia" w:hAnsiTheme="minorEastAsia" w:eastAsiaTheme="minorEastAsia"/>
                <w:color w:val="000000"/>
                <w:kern w:val="2"/>
                <w:sz w:val="24"/>
                <w:szCs w:val="24"/>
                <w:lang w:val="en-US" w:eastAsia="zh-CN" w:bidi="ar-SA"/>
              </w:rPr>
            </w:pPr>
            <w:r>
              <w:rPr>
                <w:rFonts w:hint="eastAsia" w:cs="Times New Roman" w:asciiTheme="minorEastAsia" w:hAnsiTheme="minorEastAsia" w:eastAsiaTheme="minorEastAsia"/>
                <w:color w:val="000000"/>
                <w:kern w:val="2"/>
                <w:sz w:val="24"/>
                <w:szCs w:val="24"/>
                <w:lang w:val="en-US" w:eastAsia="zh-CN" w:bidi="ar-SA"/>
              </w:rPr>
              <w:t>0%</w:t>
            </w:r>
          </w:p>
        </w:tc>
      </w:tr>
    </w:tbl>
    <w:p>
      <w:pPr>
        <w:spacing w:line="560" w:lineRule="exact"/>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持续持有期少于7日的A类基金份额投资人收取的赎回费全额计入基金财产；对持续持有期7日以上（含）的A类基金份额投资人收取的赎回费的25%计入基金财产，赎回费未归入基金财产的部分用于支付登记费和其他必要的手续费。</w:t>
      </w:r>
    </w:p>
    <w:p>
      <w:pPr>
        <w:spacing w:line="560" w:lineRule="exact"/>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对于持续持有C类基金份额少于7日的投资人收取的赎回费全额计入基金财产。</w:t>
      </w:r>
    </w:p>
    <w:p>
      <w:pPr>
        <w:spacing w:line="560" w:lineRule="exact"/>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4</w:t>
      </w:r>
      <w:r>
        <w:rPr>
          <w:rFonts w:asciiTheme="minorEastAsia" w:hAnsiTheme="minorEastAsia" w:eastAsiaTheme="minorEastAsia"/>
          <w:b/>
          <w:color w:val="000000"/>
          <w:sz w:val="24"/>
          <w:szCs w:val="24"/>
        </w:rPr>
        <w:t>.</w:t>
      </w:r>
      <w:r>
        <w:rPr>
          <w:rFonts w:hint="eastAsia" w:asciiTheme="minorEastAsia" w:hAnsiTheme="minorEastAsia" w:eastAsiaTheme="minorEastAsia"/>
          <w:b/>
          <w:color w:val="000000"/>
          <w:sz w:val="24"/>
          <w:szCs w:val="24"/>
        </w:rPr>
        <w:t>3</w:t>
      </w:r>
      <w:r>
        <w:rPr>
          <w:rFonts w:asciiTheme="minorEastAsia" w:hAnsiTheme="minorEastAsia" w:eastAsiaTheme="minorEastAsia"/>
          <w:b/>
          <w:color w:val="000000"/>
          <w:sz w:val="24"/>
          <w:szCs w:val="24"/>
        </w:rPr>
        <w:t xml:space="preserve"> 其他与赎回相关的事项</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1）基金管理人可根据有关法律规定和市场情况，调整赎回份额和账户最低持有余额的数量限制，基金管理人必须最迟在调整前依照《信息披露办法》的有关规定在规定媒体上公告。</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2）基金管理人可以在法律法规和基金合同规定范围内调整赎回费率。费率如发生变更，基金管理人应在调整前依照《信息披露办法》的有关规定在规定媒介上公告。</w:t>
      </w:r>
    </w:p>
    <w:p>
      <w:pPr>
        <w:pStyle w:val="2"/>
        <w:spacing w:line="560" w:lineRule="exact"/>
        <w:rPr>
          <w:rFonts w:asciiTheme="minorEastAsia" w:hAnsiTheme="minorEastAsia" w:eastAsiaTheme="minorEastAsia"/>
          <w:bCs w:val="0"/>
          <w:color w:val="000000"/>
          <w:sz w:val="24"/>
          <w:szCs w:val="24"/>
        </w:rPr>
      </w:pPr>
      <w:bookmarkStart w:id="4" w:name="_Toc275961399"/>
      <w:r>
        <w:rPr>
          <w:rFonts w:hint="eastAsia" w:asciiTheme="minorEastAsia" w:hAnsiTheme="minorEastAsia" w:eastAsiaTheme="minorEastAsia"/>
          <w:bCs w:val="0"/>
          <w:color w:val="000000"/>
          <w:sz w:val="24"/>
          <w:szCs w:val="24"/>
        </w:rPr>
        <w:t>5</w:t>
      </w:r>
      <w:r>
        <w:rPr>
          <w:rFonts w:asciiTheme="minorEastAsia" w:hAnsiTheme="minorEastAsia" w:eastAsiaTheme="minorEastAsia"/>
          <w:bCs w:val="0"/>
          <w:color w:val="000000"/>
          <w:sz w:val="24"/>
          <w:szCs w:val="24"/>
        </w:rPr>
        <w:t xml:space="preserve"> 日常转换业务</w:t>
      </w:r>
      <w:bookmarkEnd w:id="4"/>
    </w:p>
    <w:p>
      <w:pPr>
        <w:spacing w:line="560" w:lineRule="exact"/>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5</w:t>
      </w:r>
      <w:r>
        <w:rPr>
          <w:rFonts w:asciiTheme="minorEastAsia" w:hAnsiTheme="minorEastAsia" w:eastAsiaTheme="minorEastAsia"/>
          <w:b/>
          <w:color w:val="000000"/>
          <w:sz w:val="24"/>
          <w:szCs w:val="24"/>
        </w:rPr>
        <w:t>.</w:t>
      </w:r>
      <w:r>
        <w:rPr>
          <w:rFonts w:hint="eastAsia" w:asciiTheme="minorEastAsia" w:hAnsiTheme="minorEastAsia" w:eastAsiaTheme="minorEastAsia"/>
          <w:b/>
          <w:color w:val="000000"/>
          <w:sz w:val="24"/>
          <w:szCs w:val="24"/>
        </w:rPr>
        <w:t>1</w:t>
      </w:r>
      <w:r>
        <w:rPr>
          <w:rFonts w:asciiTheme="minorEastAsia" w:hAnsiTheme="minorEastAsia" w:eastAsiaTheme="minorEastAsia"/>
          <w:b/>
          <w:color w:val="000000"/>
          <w:sz w:val="24"/>
          <w:szCs w:val="24"/>
        </w:rPr>
        <w:t xml:space="preserve"> 转换费率</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基金转换费用由转出基金赎回费和申购费补差两部分构成，其中：申购费补差具体收取情况，视每次转换时的两只基金的申购费率的差异情况而定。基金转换费用由基金持有人承担。 </w:t>
      </w:r>
    </w:p>
    <w:p>
      <w:pPr>
        <w:spacing w:line="560" w:lineRule="exact"/>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5</w:t>
      </w:r>
      <w:r>
        <w:rPr>
          <w:rFonts w:asciiTheme="minorEastAsia" w:hAnsiTheme="minorEastAsia" w:eastAsiaTheme="minorEastAsia"/>
          <w:b/>
          <w:color w:val="000000"/>
          <w:sz w:val="24"/>
          <w:szCs w:val="24"/>
        </w:rPr>
        <w:t>.</w:t>
      </w:r>
      <w:r>
        <w:rPr>
          <w:rFonts w:hint="eastAsia" w:asciiTheme="minorEastAsia" w:hAnsiTheme="minorEastAsia" w:eastAsiaTheme="minorEastAsia"/>
          <w:b/>
          <w:color w:val="000000"/>
          <w:sz w:val="24"/>
          <w:szCs w:val="24"/>
        </w:rPr>
        <w:t>2</w:t>
      </w:r>
      <w:r>
        <w:rPr>
          <w:rFonts w:asciiTheme="minorEastAsia" w:hAnsiTheme="minorEastAsia" w:eastAsiaTheme="minorEastAsia"/>
          <w:b/>
          <w:color w:val="000000"/>
          <w:sz w:val="24"/>
          <w:szCs w:val="24"/>
        </w:rPr>
        <w:t xml:space="preserve"> 其他与转换相关的事项</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1）业务规则 </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①基金转换只能在同一销售机构进行。转换的两只基金必须都是该销售机构代理的同一基金管理人管理的、在同一注册登记机构处注册登记的基金。 </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③基金转换的目标基金份额按新交易计算持有时间。基金转出视为赎回，转入视为申购。基金转换后可赎回的时间为T＋2日。 </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④基金分红时再投资的份额可在权益登记日的T＋2日提交基金转换申请。 </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⑤基金转换以申请当日基金份额净值为基础计算。投资者采用“份额转换”的原则提交申请。转出基金份额必须是可用份额，并遵循“先进先出”的原则。 </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2）暂停基金转换的情形及处理 </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基金转换视同为转出基金的赎回和转入基金的申购，因此暂停基金转换适用有关转出基金和转入基金关于暂停或拒绝申购、暂停赎回的有关规定。 </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出现法律、法规、规章规定的其它情形或其它在《基金合同》、《招募说明书》已载明并获中国证监会批准的特殊情形时，基金管理人可以暂停基金转换业务。 </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3）重要提示 </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①本基金转换业务适用于可以销售包括本基金在内的两只以上（含两只），且基金注册登记机构为同一机构的博时旗下基金的销售机构。 </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②转换业务的收费计算公式及举例参见2010年3月16日刊登于本公司网站的《博时基金管理有限公司关于旗下开放式基金转换业务的公告》。 </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③本公司管理基金的转换业务的解释权归本公司。 </w:t>
      </w:r>
    </w:p>
    <w:p>
      <w:pPr>
        <w:pStyle w:val="2"/>
        <w:spacing w:line="560" w:lineRule="exact"/>
        <w:rPr>
          <w:rFonts w:asciiTheme="minorEastAsia" w:hAnsiTheme="minorEastAsia" w:eastAsiaTheme="minorEastAsia"/>
          <w:bCs w:val="0"/>
          <w:color w:val="000000"/>
          <w:sz w:val="24"/>
          <w:szCs w:val="24"/>
        </w:rPr>
      </w:pPr>
      <w:bookmarkStart w:id="5" w:name="_Toc275961400"/>
      <w:r>
        <w:rPr>
          <w:rFonts w:hint="eastAsia" w:asciiTheme="minorEastAsia" w:hAnsiTheme="minorEastAsia" w:eastAsiaTheme="minorEastAsia"/>
          <w:bCs w:val="0"/>
          <w:color w:val="000000"/>
          <w:sz w:val="24"/>
          <w:szCs w:val="24"/>
        </w:rPr>
        <w:t>6</w:t>
      </w:r>
      <w:r>
        <w:rPr>
          <w:rFonts w:asciiTheme="minorEastAsia" w:hAnsiTheme="minorEastAsia" w:eastAsiaTheme="minorEastAsia"/>
          <w:bCs w:val="0"/>
          <w:color w:val="000000"/>
          <w:sz w:val="24"/>
          <w:szCs w:val="24"/>
        </w:rPr>
        <w:t xml:space="preserve"> 定期定额投资业务</w:t>
      </w:r>
      <w:bookmarkEnd w:id="5"/>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（1）适用投资者范围 </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个人投资者、机构投资者、合格境外机构投资者和人民币合格境外机构投资者以及法律法规或中国证监会规定允许购买证券投资基金的其他投资者。</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（2）申购费率</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本基金定期定额投资的申购费率与普通申购业务的费率相同，见上文。</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（3）扣款日期和扣款金额</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投资者须遵循各销售机构有关扣款日期的规定，定投金额A类基金份额每次不少于人民币1元（含1元），定投金额C类基金份额每次不少于人民币1元（含1元）。</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（4）重要提示 </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1）凡申请办理本基金“定期定额投资计划”的投资者须首先开立本公司开放式基金基金账户。</w:t>
      </w:r>
    </w:p>
    <w:p>
      <w:pPr>
        <w:spacing w:line="360" w:lineRule="auto"/>
        <w:ind w:firstLine="480" w:firstLineChars="200"/>
        <w:rPr>
          <w:rFonts w:asciiTheme="minorEastAsia" w:hAnsiTheme="minorEastAsia" w:eastAsiaTheme="minorEastAsia"/>
          <w:color w:val="000000"/>
          <w:sz w:val="24"/>
          <w:szCs w:val="24"/>
        </w:rPr>
      </w:pPr>
      <w:bookmarkStart w:id="6" w:name="_Toc275961401"/>
      <w:r>
        <w:rPr>
          <w:rFonts w:hint="eastAsia" w:asciiTheme="minorEastAsia" w:hAnsiTheme="minorEastAsia" w:eastAsiaTheme="minorEastAsia"/>
          <w:color w:val="000000"/>
          <w:sz w:val="24"/>
          <w:szCs w:val="24"/>
        </w:rPr>
        <w:t>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在确认成功后直接计入投资者的基金账户。</w:t>
      </w:r>
    </w:p>
    <w:p>
      <w:pPr>
        <w:pStyle w:val="2"/>
        <w:spacing w:line="560" w:lineRule="exact"/>
        <w:rPr>
          <w:rFonts w:asciiTheme="minorEastAsia" w:hAnsiTheme="minorEastAsia" w:eastAsiaTheme="minorEastAsia"/>
          <w:bCs w:val="0"/>
          <w:color w:val="000000"/>
          <w:sz w:val="24"/>
          <w:szCs w:val="24"/>
        </w:rPr>
      </w:pPr>
      <w:r>
        <w:rPr>
          <w:rFonts w:hint="eastAsia" w:asciiTheme="minorEastAsia" w:hAnsiTheme="minorEastAsia" w:eastAsiaTheme="minorEastAsia"/>
          <w:bCs w:val="0"/>
          <w:color w:val="000000"/>
          <w:sz w:val="24"/>
          <w:szCs w:val="24"/>
        </w:rPr>
        <w:t>7</w:t>
      </w:r>
      <w:r>
        <w:rPr>
          <w:rFonts w:asciiTheme="minorEastAsia" w:hAnsiTheme="minorEastAsia" w:eastAsiaTheme="minorEastAsia"/>
          <w:bCs w:val="0"/>
          <w:color w:val="000000"/>
          <w:sz w:val="24"/>
          <w:szCs w:val="24"/>
        </w:rPr>
        <w:t xml:space="preserve"> 基金销售机构</w:t>
      </w:r>
      <w:bookmarkEnd w:id="6"/>
    </w:p>
    <w:p>
      <w:pPr>
        <w:spacing w:line="560" w:lineRule="exact"/>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7</w:t>
      </w:r>
      <w:r>
        <w:rPr>
          <w:rFonts w:asciiTheme="minorEastAsia" w:hAnsiTheme="minorEastAsia" w:eastAsiaTheme="minorEastAsia"/>
          <w:b/>
          <w:color w:val="000000"/>
          <w:sz w:val="24"/>
          <w:szCs w:val="24"/>
        </w:rPr>
        <w:t>.</w:t>
      </w:r>
      <w:r>
        <w:rPr>
          <w:rFonts w:hint="eastAsia" w:asciiTheme="minorEastAsia" w:hAnsiTheme="minorEastAsia" w:eastAsiaTheme="minorEastAsia"/>
          <w:b/>
          <w:color w:val="000000"/>
          <w:sz w:val="24"/>
          <w:szCs w:val="24"/>
        </w:rPr>
        <w:t>1</w:t>
      </w:r>
      <w:r>
        <w:rPr>
          <w:rFonts w:asciiTheme="minorEastAsia" w:hAnsiTheme="minorEastAsia" w:eastAsiaTheme="minorEastAsia"/>
          <w:b/>
          <w:color w:val="000000"/>
          <w:sz w:val="24"/>
          <w:szCs w:val="24"/>
        </w:rPr>
        <w:t xml:space="preserve"> 场外销售机构</w:t>
      </w:r>
    </w:p>
    <w:p>
      <w:pPr>
        <w:spacing w:line="560" w:lineRule="exact"/>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7</w:t>
      </w:r>
      <w:r>
        <w:rPr>
          <w:rFonts w:asciiTheme="minorEastAsia" w:hAnsiTheme="minorEastAsia" w:eastAsiaTheme="minorEastAsia"/>
          <w:b/>
          <w:color w:val="000000"/>
          <w:sz w:val="24"/>
          <w:szCs w:val="24"/>
        </w:rPr>
        <w:t>.</w:t>
      </w:r>
      <w:r>
        <w:rPr>
          <w:rFonts w:hint="eastAsia" w:asciiTheme="minorEastAsia" w:hAnsiTheme="minorEastAsia" w:eastAsiaTheme="minorEastAsia"/>
          <w:b/>
          <w:color w:val="000000"/>
          <w:sz w:val="24"/>
          <w:szCs w:val="24"/>
        </w:rPr>
        <w:t>1</w:t>
      </w:r>
      <w:r>
        <w:rPr>
          <w:rFonts w:asciiTheme="minorEastAsia" w:hAnsiTheme="minorEastAsia" w:eastAsiaTheme="minorEastAsia"/>
          <w:b/>
          <w:color w:val="000000"/>
          <w:sz w:val="24"/>
          <w:szCs w:val="24"/>
        </w:rPr>
        <w:t>.</w:t>
      </w:r>
      <w:r>
        <w:rPr>
          <w:rFonts w:hint="eastAsia" w:asciiTheme="minorEastAsia" w:hAnsiTheme="minorEastAsia" w:eastAsiaTheme="minorEastAsia"/>
          <w:b/>
          <w:color w:val="000000"/>
          <w:sz w:val="24"/>
          <w:szCs w:val="24"/>
        </w:rPr>
        <w:t>1</w:t>
      </w:r>
      <w:r>
        <w:rPr>
          <w:rFonts w:asciiTheme="minorEastAsia" w:hAnsiTheme="minorEastAsia" w:eastAsiaTheme="minorEastAsia"/>
          <w:b/>
          <w:color w:val="000000"/>
          <w:sz w:val="24"/>
          <w:szCs w:val="24"/>
        </w:rPr>
        <w:t xml:space="preserve"> 直销机构</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博时基金管理有限公司直销机构（含直销中心及直销网上交易）。投资者如需办理直销网上交易，可登录本公司网站www.bosera.com参阅《博时基金管理有限公司开放式基金业务规则》、《博时基金管理有限公司网上交易业务规则》、《博时基金管理有限公司直销定期投资业务规则》等办理相关开户、申购、赎回、转换和定期定额投资等业务。</w:t>
      </w:r>
    </w:p>
    <w:p>
      <w:pPr>
        <w:spacing w:line="560" w:lineRule="exact"/>
        <w:rPr>
          <w:rFonts w:asciiTheme="minorEastAsia" w:hAnsiTheme="minorEastAsia" w:eastAsiaTheme="minorEastAsia"/>
          <w:b/>
          <w:color w:val="000000"/>
          <w:sz w:val="24"/>
          <w:szCs w:val="24"/>
        </w:rPr>
      </w:pPr>
      <w:r>
        <w:rPr>
          <w:rFonts w:asciiTheme="minorEastAsia" w:hAnsiTheme="minorEastAsia" w:eastAsiaTheme="minorEastAsia"/>
          <w:b/>
          <w:color w:val="000000"/>
          <w:sz w:val="24"/>
          <w:szCs w:val="24"/>
        </w:rPr>
        <w:t>7.1.2 非直销机构</w:t>
      </w:r>
    </w:p>
    <w:tbl>
      <w:tblPr>
        <w:tblW w:w="10281" w:type="dxa"/>
        <w:tblInd w:w="-9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50"/>
        <w:gridCol w:w="3646"/>
        <w:gridCol w:w="1004"/>
        <w:gridCol w:w="946"/>
        <w:gridCol w:w="1015"/>
        <w:gridCol w:w="958"/>
        <w:gridCol w:w="958"/>
        <w:gridCol w:w="1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序号</w:t>
            </w:r>
          </w:p>
        </w:tc>
        <w:tc>
          <w:tcPr>
            <w:tcW w:w="36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销售机构</w:t>
            </w:r>
          </w:p>
        </w:tc>
        <w:tc>
          <w:tcPr>
            <w:tcW w:w="10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A类是否开通申赎</w:t>
            </w:r>
          </w:p>
        </w:tc>
        <w:tc>
          <w:tcPr>
            <w:tcW w:w="9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A类是否开通定投</w:t>
            </w:r>
          </w:p>
        </w:tc>
        <w:tc>
          <w:tcPr>
            <w:tcW w:w="10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A类是否开通转换</w:t>
            </w:r>
          </w:p>
        </w:tc>
        <w:tc>
          <w:tcPr>
            <w:tcW w:w="9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C类是否开通申赎</w:t>
            </w:r>
          </w:p>
        </w:tc>
        <w:tc>
          <w:tcPr>
            <w:tcW w:w="9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C类是否开通定投</w:t>
            </w:r>
          </w:p>
        </w:tc>
        <w:tc>
          <w:tcPr>
            <w:tcW w:w="100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C类是否开通转换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渤海银行股份有限公司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东莞农村商业银行股份有限公司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江苏苏州农村商业银行股份有限公司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西安银行股份有限公司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苏州银行股份有限公司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鼎信汇金（北京）投资管理有限公司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上海挖财基金销售有限公司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腾安基金销售（深圳）有限公司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北京度小满基金销售有限公司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诺亚正行基金销售有限公司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上海天天基金销售有限公司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上海好买基金销售有限公司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蚂蚁（杭州）基金销售有限公司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上海长量基金销售有限公司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浙江同花顺基金销售有限公司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嘉实财富管理有限公司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宜信普泽（北京）基金销售有限公司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南京苏宁基金销售有限公司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19</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北京恒天明泽基金销售有限公司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北京汇成基金销售有限公司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21</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北京唐鼎耀华基金销售有限公司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北京植信基金销售有限公司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海银基金销售有限公司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北京新浪仓石基金销售有限公司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上海万得基金销售有限公司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26</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北京坤元基金销售有限公司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上海基煜基金销售有限公司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28</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上海陆金所基金销售有限公司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珠海盈米基金销售有限公司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和耕传承基金销售有限公司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31</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中证金牛（北京）投资咨询有限公司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京东肯特瑞基金销售有限公司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北京雪球基金销售有限公司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弘业期货股份有限公司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东方财富证券股份有限公司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否</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阳光人寿保险股份有限公司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光大证券股份有限公司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国泰君安证券股份有限公司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中国中金财富证券有限公司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中泰证券股份有限公司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中信建投证券股份有限公司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中信证券（山东）有限责任公司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中信证券股份有限公司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44</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中信证券华南股份有限公司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爱建证券有限责任公司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渤海证券股份有限公司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47</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大同证券有限责任公司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第一创业证券股份有限公司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49</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东北证券股份有限公司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东莞证券股份有限公司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51</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东海证券股份有限公司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52</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国金证券股份有限公司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53</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国联证券股份有限公司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国盛证券有限责任公司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恒泰证券股份有限公司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56</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华安证券股份有限公司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57</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华龙证券股份有限公司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58</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华融证券股份有限公司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华西证券股份有限公司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华鑫证券有限责任公司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61</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南京证券股份有限公司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62</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天风证券股份有限公司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湘财证券股份有限公司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64</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信达证券股份有限公司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65</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长城国瑞证券有限公司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66</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中山证券有限责任公司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w:t>
            </w:r>
          </w:p>
        </w:tc>
        <w:tc>
          <w:tcPr>
            <w:tcW w:w="36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中信期货有限公司</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95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c>
          <w:tcPr>
            <w:tcW w:w="100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是</w:t>
            </w:r>
          </w:p>
        </w:tc>
      </w:tr>
    </w:tbl>
    <w:p>
      <w:pPr>
        <w:pStyle w:val="2"/>
        <w:spacing w:line="560" w:lineRule="exact"/>
        <w:rPr>
          <w:rStyle w:val="15"/>
          <w:rFonts w:asciiTheme="minorEastAsia" w:hAnsiTheme="minorEastAsia" w:eastAsiaTheme="minorEastAsia"/>
          <w:color w:val="000000"/>
          <w:sz w:val="24"/>
          <w:szCs w:val="24"/>
        </w:rPr>
      </w:pPr>
      <w:bookmarkStart w:id="7" w:name="_Toc275961402"/>
      <w:bookmarkStart w:id="9" w:name="_GoBack"/>
      <w:bookmarkEnd w:id="9"/>
      <w:r>
        <w:rPr>
          <w:rFonts w:hint="eastAsia" w:asciiTheme="minorEastAsia" w:hAnsiTheme="minorEastAsia" w:eastAsiaTheme="minorEastAsia"/>
          <w:bCs w:val="0"/>
          <w:color w:val="000000"/>
          <w:sz w:val="24"/>
          <w:szCs w:val="24"/>
        </w:rPr>
        <w:t>8</w:t>
      </w:r>
      <w:r>
        <w:rPr>
          <w:rFonts w:asciiTheme="minorEastAsia" w:hAnsiTheme="minorEastAsia" w:eastAsiaTheme="minorEastAsia"/>
          <w:bCs w:val="0"/>
          <w:color w:val="000000"/>
          <w:sz w:val="24"/>
          <w:szCs w:val="24"/>
        </w:rPr>
        <w:t xml:space="preserve"> 基金份额净值公告/基金收益公告的披露安排</w:t>
      </w:r>
      <w:bookmarkEnd w:id="7"/>
    </w:p>
    <w:p>
      <w:pPr>
        <w:spacing w:line="360"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《基金合同》生效后，在开始办理基金份额申购或者赎回前，基金管理人应当至少每周在规定网站披露一次各类基金份额净值和各类基金份额累计净值。</w:t>
      </w:r>
    </w:p>
    <w:p>
      <w:pPr>
        <w:spacing w:line="360" w:lineRule="auto"/>
        <w:ind w:firstLine="480" w:firstLineChars="200"/>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在开始办理基金份额申购或者赎回后，基金管理人应当在不晚于每个开放日的次日，通过其规定网站、基金销售机构网站或营业网点披露开放日的各类基金份额净值和各类基金份额累计净值。</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基金管理人应在不晚于半年度和年度最后一日的次日，在规定网站披露半年度和年度最后一日的各类基金份额净值和各类基金份额累计净值。</w:t>
      </w:r>
    </w:p>
    <w:p>
      <w:pPr>
        <w:pStyle w:val="2"/>
        <w:spacing w:line="560" w:lineRule="exact"/>
        <w:rPr>
          <w:rFonts w:asciiTheme="minorEastAsia" w:hAnsiTheme="minorEastAsia" w:eastAsiaTheme="minorEastAsia"/>
          <w:bCs w:val="0"/>
          <w:color w:val="000000"/>
          <w:sz w:val="24"/>
          <w:szCs w:val="24"/>
        </w:rPr>
      </w:pPr>
      <w:bookmarkStart w:id="8" w:name="_Toc275961403"/>
      <w:r>
        <w:rPr>
          <w:rFonts w:hint="eastAsia" w:asciiTheme="minorEastAsia" w:hAnsiTheme="minorEastAsia" w:eastAsiaTheme="minorEastAsia"/>
          <w:bCs w:val="0"/>
          <w:color w:val="000000"/>
          <w:sz w:val="24"/>
          <w:szCs w:val="24"/>
        </w:rPr>
        <w:t>9</w:t>
      </w:r>
      <w:r>
        <w:rPr>
          <w:rFonts w:asciiTheme="minorEastAsia" w:hAnsiTheme="minorEastAsia" w:eastAsiaTheme="minorEastAsia"/>
          <w:bCs w:val="0"/>
          <w:color w:val="000000"/>
          <w:sz w:val="24"/>
          <w:szCs w:val="24"/>
        </w:rPr>
        <w:t xml:space="preserve"> 其他需要提示的事项</w:t>
      </w:r>
      <w:bookmarkEnd w:id="8"/>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（1）上述销售机构均受理投资者的开户、日常申购、赎回、转换和定期定额投资等业务。</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（2）本公告仅对本基金日常申购、赎回、转换、定期定额投资业务的有关事项和规定予以说明。投资者欲了解本基金的详细情况，请详细阅读2021</w:t>
      </w:r>
      <w:r>
        <w:rPr>
          <w:rFonts w:hint="eastAsia" w:asciiTheme="minorEastAsia" w:hAnsiTheme="minorEastAsia" w:eastAsiaTheme="minorEastAsia"/>
          <w:color w:val="000000"/>
          <w:sz w:val="24"/>
          <w:szCs w:val="24"/>
        </w:rPr>
        <w:t>年</w:t>
      </w:r>
      <w:r>
        <w:rPr>
          <w:rFonts w:hint="eastAsia" w:asciiTheme="minorEastAsia" w:hAnsiTheme="minorEastAsia" w:eastAsiaTheme="minorEastAsia"/>
          <w:color w:val="000000"/>
          <w:sz w:val="24"/>
          <w:szCs w:val="24"/>
          <w:lang w:val="en-US" w:eastAsia="zh-CN"/>
        </w:rPr>
        <w:t>12</w:t>
      </w:r>
      <w:r>
        <w:rPr>
          <w:rFonts w:hint="eastAsia" w:asciiTheme="minorEastAsia" w:hAnsiTheme="minorEastAsia" w:eastAsiaTheme="minorEastAsia"/>
          <w:color w:val="000000"/>
          <w:sz w:val="24"/>
          <w:szCs w:val="24"/>
        </w:rPr>
        <w:t>月</w:t>
      </w:r>
      <w:r>
        <w:rPr>
          <w:rFonts w:asciiTheme="minorEastAsia" w:hAnsiTheme="minorEastAsia" w:eastAsiaTheme="minorEastAsia"/>
          <w:color w:val="000000"/>
          <w:sz w:val="24"/>
          <w:szCs w:val="24"/>
        </w:rPr>
        <w:t>2</w:t>
      </w:r>
      <w:r>
        <w:rPr>
          <w:rFonts w:hint="eastAsia" w:asciiTheme="minorEastAsia" w:hAnsiTheme="minorEastAsia" w:eastAsiaTheme="minorEastAsia"/>
          <w:color w:val="000000"/>
          <w:sz w:val="24"/>
          <w:szCs w:val="24"/>
          <w:lang w:val="en-US" w:eastAsia="zh-CN"/>
        </w:rPr>
        <w:t>1</w:t>
      </w:r>
      <w:r>
        <w:rPr>
          <w:rFonts w:hint="eastAsia" w:asciiTheme="minorEastAsia" w:hAnsiTheme="minorEastAsia" w:eastAsiaTheme="minorEastAsia"/>
          <w:color w:val="000000"/>
          <w:sz w:val="24"/>
          <w:szCs w:val="24"/>
        </w:rPr>
        <w:t>日</w:t>
      </w:r>
      <w:r>
        <w:rPr>
          <w:rFonts w:asciiTheme="minorEastAsia" w:hAnsiTheme="minorEastAsia" w:eastAsiaTheme="minorEastAsia"/>
          <w:color w:val="000000"/>
          <w:sz w:val="24"/>
          <w:szCs w:val="24"/>
        </w:rPr>
        <w:t>发布在本公司网站[http://www.bosera.com/]和中国证监会基金电子披露网站（http://eid.csrc.gov.cn/fund）上的《</w:t>
      </w:r>
      <w:r>
        <w:rPr>
          <w:rFonts w:hint="eastAsia" w:asciiTheme="minorEastAsia" w:hAnsiTheme="minorEastAsia" w:eastAsiaTheme="minorEastAsia"/>
          <w:color w:val="000000"/>
          <w:sz w:val="24"/>
          <w:szCs w:val="24"/>
          <w:lang w:eastAsia="zh-CN"/>
        </w:rPr>
        <w:t>博时恒生港股通高股息率交易型开放式指数证券投资基金</w:t>
      </w:r>
      <w:r>
        <w:rPr>
          <w:rFonts w:hint="eastAsia" w:asciiTheme="minorEastAsia" w:hAnsiTheme="minorEastAsia" w:eastAsiaTheme="minorEastAsia"/>
          <w:color w:val="000000"/>
          <w:sz w:val="24"/>
          <w:szCs w:val="24"/>
        </w:rPr>
        <w:t>招募说明书</w:t>
      </w:r>
      <w:r>
        <w:rPr>
          <w:rFonts w:asciiTheme="minorEastAsia" w:hAnsiTheme="minorEastAsia" w:eastAsiaTheme="minorEastAsia"/>
          <w:color w:val="000000"/>
          <w:sz w:val="24"/>
          <w:szCs w:val="24"/>
        </w:rPr>
        <w:t>》。</w:t>
      </w:r>
    </w:p>
    <w:p>
      <w:pPr>
        <w:spacing w:line="360" w:lineRule="auto"/>
        <w:ind w:firstLine="480" w:firstLineChars="200"/>
        <w:rPr>
          <w:rFonts w:asciiTheme="minorEastAsia" w:hAnsiTheme="minorEastAsia" w:eastAsiaTheme="minorEastAsia"/>
          <w:color w:val="000000"/>
          <w:sz w:val="24"/>
          <w:szCs w:val="24"/>
        </w:rPr>
      </w:pP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特此公告。</w:t>
      </w:r>
    </w:p>
    <w:p>
      <w:pPr>
        <w:spacing w:line="360" w:lineRule="auto"/>
        <w:ind w:firstLine="480" w:firstLineChars="200"/>
        <w:rPr>
          <w:rFonts w:asciiTheme="minorEastAsia" w:hAnsiTheme="minorEastAsia" w:eastAsiaTheme="minorEastAsia"/>
          <w:color w:val="000000"/>
          <w:sz w:val="24"/>
          <w:szCs w:val="24"/>
        </w:rPr>
      </w:pPr>
    </w:p>
    <w:p>
      <w:pPr>
        <w:spacing w:line="360" w:lineRule="auto"/>
        <w:ind w:firstLine="5520" w:firstLineChars="23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xml:space="preserve"> 博时基金管理有限公司</w:t>
      </w:r>
    </w:p>
    <w:p>
      <w:pPr>
        <w:spacing w:line="360" w:lineRule="auto"/>
        <w:ind w:firstLine="6240" w:firstLineChars="2600"/>
        <w:rPr>
          <w:rFonts w:hint="eastAsia" w:asciiTheme="minorEastAsia" w:hAnsiTheme="minorEastAsia" w:eastAsiaTheme="minorEastAsia"/>
          <w:color w:val="000000"/>
          <w:sz w:val="24"/>
          <w:szCs w:val="24"/>
          <w:lang w:eastAsia="zh-CN"/>
        </w:rPr>
      </w:pPr>
      <w:r>
        <w:rPr>
          <w:rFonts w:hint="eastAsia" w:asciiTheme="minorEastAsia" w:hAnsiTheme="minorEastAsia" w:eastAsiaTheme="minorEastAsia"/>
          <w:color w:val="000000"/>
          <w:sz w:val="24"/>
          <w:szCs w:val="24"/>
          <w:lang w:eastAsia="zh-CN"/>
        </w:rPr>
        <w:t>2022年1月12日</w:t>
      </w:r>
    </w:p>
    <w:p>
      <w:pPr>
        <w:rPr>
          <w:rFonts w:asciiTheme="minorEastAsia" w:hAnsiTheme="minorEastAsia" w:eastAsia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9C"/>
    <w:rsid w:val="00000864"/>
    <w:rsid w:val="000008F1"/>
    <w:rsid w:val="00041353"/>
    <w:rsid w:val="0004545D"/>
    <w:rsid w:val="00090186"/>
    <w:rsid w:val="000A7126"/>
    <w:rsid w:val="000B693A"/>
    <w:rsid w:val="000D6D74"/>
    <w:rsid w:val="000F7476"/>
    <w:rsid w:val="00115B6D"/>
    <w:rsid w:val="00124ED4"/>
    <w:rsid w:val="00143B05"/>
    <w:rsid w:val="00173247"/>
    <w:rsid w:val="001A401D"/>
    <w:rsid w:val="001A4FEC"/>
    <w:rsid w:val="00221206"/>
    <w:rsid w:val="00235EB4"/>
    <w:rsid w:val="00245867"/>
    <w:rsid w:val="00252259"/>
    <w:rsid w:val="00252F91"/>
    <w:rsid w:val="00267A58"/>
    <w:rsid w:val="002716B2"/>
    <w:rsid w:val="0028096B"/>
    <w:rsid w:val="00285291"/>
    <w:rsid w:val="002A0288"/>
    <w:rsid w:val="002A18A8"/>
    <w:rsid w:val="002B6AB6"/>
    <w:rsid w:val="002D4E4E"/>
    <w:rsid w:val="003159C2"/>
    <w:rsid w:val="00324BE4"/>
    <w:rsid w:val="00354C59"/>
    <w:rsid w:val="003857E5"/>
    <w:rsid w:val="003902C4"/>
    <w:rsid w:val="003C037B"/>
    <w:rsid w:val="003C11CC"/>
    <w:rsid w:val="003C2A81"/>
    <w:rsid w:val="003C5EB7"/>
    <w:rsid w:val="00415A69"/>
    <w:rsid w:val="004414DB"/>
    <w:rsid w:val="004435A8"/>
    <w:rsid w:val="004966BA"/>
    <w:rsid w:val="004A317C"/>
    <w:rsid w:val="00517CE9"/>
    <w:rsid w:val="00524FB3"/>
    <w:rsid w:val="00543206"/>
    <w:rsid w:val="0054597D"/>
    <w:rsid w:val="00554C43"/>
    <w:rsid w:val="005A7A76"/>
    <w:rsid w:val="005B4979"/>
    <w:rsid w:val="005B6B0B"/>
    <w:rsid w:val="005D105F"/>
    <w:rsid w:val="005E7139"/>
    <w:rsid w:val="005F4AAB"/>
    <w:rsid w:val="006279F3"/>
    <w:rsid w:val="00632FAA"/>
    <w:rsid w:val="00671004"/>
    <w:rsid w:val="00684220"/>
    <w:rsid w:val="006B6F63"/>
    <w:rsid w:val="006D7EEF"/>
    <w:rsid w:val="00730DEB"/>
    <w:rsid w:val="0074415C"/>
    <w:rsid w:val="00752A9C"/>
    <w:rsid w:val="007718F8"/>
    <w:rsid w:val="007937AD"/>
    <w:rsid w:val="007A2546"/>
    <w:rsid w:val="007A7F97"/>
    <w:rsid w:val="007D0009"/>
    <w:rsid w:val="00820C4C"/>
    <w:rsid w:val="0082483B"/>
    <w:rsid w:val="00895CA3"/>
    <w:rsid w:val="008963AD"/>
    <w:rsid w:val="008A4ABD"/>
    <w:rsid w:val="008B6F7B"/>
    <w:rsid w:val="008E25A5"/>
    <w:rsid w:val="008E273C"/>
    <w:rsid w:val="008F1EC0"/>
    <w:rsid w:val="008F216D"/>
    <w:rsid w:val="00956B0F"/>
    <w:rsid w:val="009602EA"/>
    <w:rsid w:val="00984EC8"/>
    <w:rsid w:val="009D7194"/>
    <w:rsid w:val="00A00B5D"/>
    <w:rsid w:val="00A62667"/>
    <w:rsid w:val="00AC6E8D"/>
    <w:rsid w:val="00AD315E"/>
    <w:rsid w:val="00B34084"/>
    <w:rsid w:val="00B4015D"/>
    <w:rsid w:val="00B459E8"/>
    <w:rsid w:val="00B61981"/>
    <w:rsid w:val="00B7442C"/>
    <w:rsid w:val="00B75AF6"/>
    <w:rsid w:val="00B87095"/>
    <w:rsid w:val="00C712D7"/>
    <w:rsid w:val="00CA0284"/>
    <w:rsid w:val="00CA489F"/>
    <w:rsid w:val="00D33A12"/>
    <w:rsid w:val="00D515AE"/>
    <w:rsid w:val="00D76587"/>
    <w:rsid w:val="00DA79B5"/>
    <w:rsid w:val="00DB7A59"/>
    <w:rsid w:val="00E03561"/>
    <w:rsid w:val="00E038BD"/>
    <w:rsid w:val="00E921D3"/>
    <w:rsid w:val="00EB0C3F"/>
    <w:rsid w:val="00EE24BF"/>
    <w:rsid w:val="00EE4694"/>
    <w:rsid w:val="00F415D8"/>
    <w:rsid w:val="00F677BD"/>
    <w:rsid w:val="00F83397"/>
    <w:rsid w:val="00FC33AF"/>
    <w:rsid w:val="00FC4129"/>
    <w:rsid w:val="00FD27A3"/>
    <w:rsid w:val="00FD35B0"/>
    <w:rsid w:val="00FE2871"/>
    <w:rsid w:val="048758C0"/>
    <w:rsid w:val="10B74337"/>
    <w:rsid w:val="1D224476"/>
    <w:rsid w:val="49531635"/>
    <w:rsid w:val="4D861190"/>
    <w:rsid w:val="50E67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0"/>
      <w:lang w:val="en-US" w:eastAsia="zh-CN" w:bidi="ar-SA"/>
    </w:rPr>
  </w:style>
  <w:style w:type="paragraph" w:styleId="2">
    <w:name w:val="heading 2"/>
    <w:basedOn w:val="1"/>
    <w:next w:val="1"/>
    <w:link w:val="16"/>
    <w:qFormat/>
    <w:uiPriority w:val="0"/>
    <w:pPr>
      <w:keepNext/>
      <w:keepLines/>
      <w:spacing w:before="260" w:after="260" w:line="416" w:lineRule="auto"/>
      <w:outlineLvl w:val="1"/>
    </w:pPr>
    <w:rPr>
      <w:rFonts w:ascii="Arial" w:hAnsi="Arial" w:eastAsia="黑体"/>
      <w:b/>
      <w:bCs/>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7"/>
    <w:qFormat/>
    <w:uiPriority w:val="0"/>
    <w:pPr>
      <w:snapToGrid w:val="0"/>
      <w:jc w:val="left"/>
    </w:pPr>
    <w:rPr>
      <w:rFonts w:eastAsia="宋体"/>
      <w:sz w:val="18"/>
    </w:rPr>
  </w:style>
  <w:style w:type="paragraph" w:styleId="8">
    <w:name w:val="Body Text Indent 3"/>
    <w:basedOn w:val="1"/>
    <w:link w:val="23"/>
    <w:qFormat/>
    <w:uiPriority w:val="0"/>
    <w:pPr>
      <w:spacing w:line="360" w:lineRule="auto"/>
      <w:ind w:firstLine="425"/>
    </w:pPr>
    <w:rPr>
      <w:rFonts w:ascii="宋体" w:eastAsiaTheme="minorEastAsia" w:cstheme="minorBidi"/>
      <w:sz w:val="21"/>
      <w:szCs w:val="24"/>
    </w:rPr>
  </w:style>
  <w:style w:type="paragraph" w:styleId="9">
    <w:name w:val="annotation subject"/>
    <w:basedOn w:val="3"/>
    <w:next w:val="3"/>
    <w:link w:val="22"/>
    <w:semiHidden/>
    <w:unhideWhenUsed/>
    <w:qFormat/>
    <w:uiPriority w:val="99"/>
    <w:rPr>
      <w:b/>
      <w:bCs/>
    </w:rPr>
  </w:style>
  <w:style w:type="character" w:styleId="12">
    <w:name w:val="FollowedHyperlink"/>
    <w:basedOn w:val="11"/>
    <w:semiHidden/>
    <w:unhideWhenUsed/>
    <w:qFormat/>
    <w:uiPriority w:val="99"/>
    <w:rPr>
      <w:color w:val="954F72"/>
      <w:u w:val="single"/>
    </w:rPr>
  </w:style>
  <w:style w:type="character" w:styleId="13">
    <w:name w:val="Hyperlink"/>
    <w:basedOn w:val="11"/>
    <w:semiHidden/>
    <w:unhideWhenUsed/>
    <w:qFormat/>
    <w:uiPriority w:val="99"/>
    <w:rPr>
      <w:color w:val="0563C1"/>
      <w:u w:val="single"/>
    </w:rPr>
  </w:style>
  <w:style w:type="character" w:styleId="14">
    <w:name w:val="annotation reference"/>
    <w:basedOn w:val="11"/>
    <w:semiHidden/>
    <w:unhideWhenUsed/>
    <w:uiPriority w:val="99"/>
    <w:rPr>
      <w:sz w:val="21"/>
      <w:szCs w:val="21"/>
    </w:rPr>
  </w:style>
  <w:style w:type="character" w:styleId="15">
    <w:name w:val="footnote reference"/>
    <w:basedOn w:val="11"/>
    <w:qFormat/>
    <w:uiPriority w:val="0"/>
    <w:rPr>
      <w:vertAlign w:val="superscript"/>
    </w:rPr>
  </w:style>
  <w:style w:type="character" w:customStyle="1" w:styleId="16">
    <w:name w:val="标题 2 字符"/>
    <w:basedOn w:val="11"/>
    <w:link w:val="2"/>
    <w:uiPriority w:val="0"/>
    <w:rPr>
      <w:rFonts w:ascii="Arial" w:hAnsi="Arial" w:eastAsia="黑体" w:cs="Times New Roman"/>
      <w:b/>
      <w:bCs/>
      <w:sz w:val="32"/>
      <w:szCs w:val="32"/>
    </w:rPr>
  </w:style>
  <w:style w:type="character" w:customStyle="1" w:styleId="17">
    <w:name w:val="脚注文本 字符"/>
    <w:basedOn w:val="11"/>
    <w:link w:val="7"/>
    <w:uiPriority w:val="0"/>
    <w:rPr>
      <w:rFonts w:ascii="Times New Roman" w:hAnsi="Times New Roman" w:eastAsia="宋体" w:cs="Times New Roman"/>
      <w:sz w:val="18"/>
      <w:szCs w:val="20"/>
    </w:rPr>
  </w:style>
  <w:style w:type="character" w:customStyle="1" w:styleId="18">
    <w:name w:val="批注框文本 字符"/>
    <w:basedOn w:val="11"/>
    <w:link w:val="4"/>
    <w:semiHidden/>
    <w:uiPriority w:val="99"/>
    <w:rPr>
      <w:rFonts w:ascii="Times New Roman" w:hAnsi="Times New Roman" w:eastAsia="方正仿宋简体" w:cs="Times New Roman"/>
      <w:sz w:val="18"/>
      <w:szCs w:val="18"/>
    </w:rPr>
  </w:style>
  <w:style w:type="character" w:customStyle="1" w:styleId="19">
    <w:name w:val="页眉 字符"/>
    <w:basedOn w:val="11"/>
    <w:link w:val="6"/>
    <w:qFormat/>
    <w:uiPriority w:val="99"/>
    <w:rPr>
      <w:rFonts w:ascii="Times New Roman" w:hAnsi="Times New Roman" w:eastAsia="方正仿宋简体" w:cs="Times New Roman"/>
      <w:sz w:val="18"/>
      <w:szCs w:val="18"/>
    </w:rPr>
  </w:style>
  <w:style w:type="character" w:customStyle="1" w:styleId="20">
    <w:name w:val="页脚 字符"/>
    <w:basedOn w:val="11"/>
    <w:link w:val="5"/>
    <w:uiPriority w:val="99"/>
    <w:rPr>
      <w:rFonts w:ascii="Times New Roman" w:hAnsi="Times New Roman" w:eastAsia="方正仿宋简体" w:cs="Times New Roman"/>
      <w:sz w:val="18"/>
      <w:szCs w:val="18"/>
    </w:rPr>
  </w:style>
  <w:style w:type="character" w:customStyle="1" w:styleId="21">
    <w:name w:val="批注文字 字符"/>
    <w:basedOn w:val="11"/>
    <w:link w:val="3"/>
    <w:semiHidden/>
    <w:qFormat/>
    <w:uiPriority w:val="99"/>
    <w:rPr>
      <w:rFonts w:ascii="Times New Roman" w:hAnsi="Times New Roman" w:eastAsia="方正仿宋简体" w:cs="Times New Roman"/>
      <w:sz w:val="32"/>
      <w:szCs w:val="20"/>
    </w:rPr>
  </w:style>
  <w:style w:type="character" w:customStyle="1" w:styleId="22">
    <w:name w:val="批注主题 字符"/>
    <w:basedOn w:val="21"/>
    <w:link w:val="9"/>
    <w:semiHidden/>
    <w:uiPriority w:val="99"/>
    <w:rPr>
      <w:rFonts w:ascii="Times New Roman" w:hAnsi="Times New Roman" w:eastAsia="方正仿宋简体" w:cs="Times New Roman"/>
      <w:b/>
      <w:bCs/>
      <w:sz w:val="32"/>
      <w:szCs w:val="20"/>
    </w:rPr>
  </w:style>
  <w:style w:type="character" w:customStyle="1" w:styleId="23">
    <w:name w:val="正文文本缩进 3 字符"/>
    <w:link w:val="8"/>
    <w:qFormat/>
    <w:uiPriority w:val="0"/>
    <w:rPr>
      <w:rFonts w:ascii="宋体" w:hAnsi="Times New Roman"/>
      <w:szCs w:val="24"/>
    </w:rPr>
  </w:style>
  <w:style w:type="character" w:customStyle="1" w:styleId="24">
    <w:name w:val="正文文本缩进 3 字符1"/>
    <w:basedOn w:val="11"/>
    <w:semiHidden/>
    <w:uiPriority w:val="99"/>
    <w:rPr>
      <w:rFonts w:ascii="Times New Roman" w:hAnsi="Times New Roman" w:eastAsia="方正仿宋简体" w:cs="Times New Roman"/>
      <w:sz w:val="16"/>
      <w:szCs w:val="16"/>
    </w:rPr>
  </w:style>
  <w:style w:type="paragraph" w:customStyle="1" w:styleId="25">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font5"/>
    <w:basedOn w:val="1"/>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7">
    <w:name w:val="xl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b/>
      <w:bCs/>
      <w:kern w:val="0"/>
      <w:sz w:val="20"/>
    </w:rPr>
  </w:style>
  <w:style w:type="paragraph" w:customStyle="1" w:styleId="28">
    <w:name w:val="xl6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20"/>
    </w:rPr>
  </w:style>
  <w:style w:type="paragraph" w:customStyle="1" w:styleId="29">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rPr>
  </w:style>
  <w:style w:type="paragraph" w:customStyle="1" w:styleId="30">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kern w:val="0"/>
      <w:sz w:val="20"/>
    </w:rPr>
  </w:style>
  <w:style w:type="paragraph" w:customStyle="1" w:styleId="31">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rPr>
  </w:style>
  <w:style w:type="paragraph" w:customStyle="1" w:styleId="32">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0"/>
    </w:rPr>
  </w:style>
  <w:style w:type="paragraph" w:customStyle="1" w:styleId="33">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rPr>
  </w:style>
  <w:style w:type="paragraph" w:customStyle="1" w:styleId="34">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990</Words>
  <Characters>5643</Characters>
  <Lines>47</Lines>
  <Paragraphs>13</Paragraphs>
  <TotalTime>21</TotalTime>
  <ScaleCrop>false</ScaleCrop>
  <LinksUpToDate>false</LinksUpToDate>
  <CharactersWithSpaces>6620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2020-11-09T05:58:00Z</dcterms:created>
  <dc:creator>User</dc:creator>
  <cp:lastModifiedBy>panan</cp:lastModifiedBy>
  <dcterms:modified xsi:type="dcterms:W3CDTF">2022-01-11T07:22:28Z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B20FCBA8D64D456F8E8F34CE98F0B01E</vt:lpwstr>
  </property>
</Properties>
</file>