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方正仿宋简体" w:eastAsia="方正仿宋简体" w:cs="仿宋_GB2312" w:hAnsiTheme="minorEastAsia"/>
          <w:kern w:val="0"/>
          <w:sz w:val="36"/>
          <w:szCs w:val="36"/>
        </w:rPr>
      </w:pPr>
      <w:r>
        <w:rPr>
          <w:rFonts w:hint="eastAsia" w:ascii="方正仿宋简体" w:eastAsia="方正仿宋简体" w:cs="仿宋_GB2312" w:hAnsiTheme="minorEastAsia"/>
          <w:kern w:val="0"/>
          <w:sz w:val="36"/>
          <w:szCs w:val="36"/>
        </w:rPr>
        <w:t>博时恒生港股通高股息率交易型开放式指数证券投资基金发起式联接基金（博时恒生高股息ETF发起式联接C）基金产品资料概要更新</w:t>
      </w:r>
    </w:p>
    <w:p>
      <w:pPr>
        <w:autoSpaceDE w:val="0"/>
        <w:autoSpaceDN w:val="0"/>
        <w:adjustRightInd w:val="0"/>
        <w:jc w:val="right"/>
        <w:rPr>
          <w:rFonts w:ascii="方正仿宋简体" w:hAnsi="方正仿宋简体" w:eastAsia="方正仿宋简体" w:cs="方正仿宋简体"/>
          <w:iCs/>
          <w:sz w:val="24"/>
          <w:szCs w:val="24"/>
        </w:rPr>
      </w:pPr>
      <w:r>
        <w:rPr>
          <w:rFonts w:hint="eastAsia" w:ascii="方正仿宋简体" w:hAnsi="方正仿宋简体" w:eastAsia="方正仿宋简体" w:cs="方正仿宋简体"/>
          <w:iCs/>
          <w:sz w:val="24"/>
          <w:szCs w:val="24"/>
        </w:rPr>
        <w:t>编制日期：2022年1月11日</w:t>
      </w:r>
    </w:p>
    <w:p>
      <w:pPr>
        <w:autoSpaceDE w:val="0"/>
        <w:autoSpaceDN w:val="0"/>
        <w:adjustRightInd w:val="0"/>
        <w:jc w:val="center"/>
        <w:rPr>
          <w:rFonts w:ascii="方正仿宋简体" w:hAnsi="方正仿宋简体" w:eastAsia="方正仿宋简体" w:cs="方正仿宋简体"/>
          <w:iCs/>
          <w:sz w:val="24"/>
          <w:szCs w:val="24"/>
        </w:rPr>
      </w:pPr>
      <w:r>
        <w:rPr>
          <w:rFonts w:hint="eastAsia" w:ascii="方正仿宋简体" w:hAnsi="方正仿宋简体" w:eastAsia="方正仿宋简体" w:cs="方正仿宋简体"/>
          <w:iCs/>
          <w:sz w:val="24"/>
          <w:szCs w:val="24"/>
        </w:rPr>
        <w:t>送出日期：2022年1月12日</w:t>
      </w:r>
    </w:p>
    <w:p>
      <w:pPr>
        <w:autoSpaceDE w:val="0"/>
        <w:autoSpaceDN w:val="0"/>
        <w:adjustRightInd w:val="0"/>
        <w:spacing w:line="440" w:lineRule="exact"/>
        <w:jc w:val="center"/>
        <w:rPr>
          <w:rFonts w:ascii="方正黑体简体" w:eastAsia="方正黑体简体" w:cs="黑体"/>
          <w:kern w:val="0"/>
          <w:sz w:val="28"/>
          <w:szCs w:val="28"/>
        </w:rPr>
      </w:pPr>
      <w:r>
        <w:rPr>
          <w:rFonts w:hint="eastAsia" w:ascii="方正黑体简体" w:eastAsia="方正黑体简体" w:cs="黑体"/>
          <w:kern w:val="0"/>
          <w:sz w:val="28"/>
          <w:szCs w:val="28"/>
        </w:rPr>
        <w:t>本概要提供本基金的重要信息，是招募说明书的一部分。</w:t>
      </w:r>
    </w:p>
    <w:p>
      <w:pPr>
        <w:autoSpaceDE w:val="0"/>
        <w:autoSpaceDN w:val="0"/>
        <w:adjustRightInd w:val="0"/>
        <w:spacing w:line="440" w:lineRule="exact"/>
        <w:jc w:val="center"/>
        <w:rPr>
          <w:rFonts w:ascii="方正黑体简体" w:eastAsia="方正黑体简体" w:cs="黑体"/>
          <w:kern w:val="0"/>
          <w:sz w:val="28"/>
          <w:szCs w:val="28"/>
        </w:rPr>
      </w:pPr>
      <w:r>
        <w:rPr>
          <w:rFonts w:hint="eastAsia" w:ascii="方正黑体简体" w:eastAsia="方正黑体简体" w:cs="黑体"/>
          <w:kern w:val="0"/>
          <w:sz w:val="28"/>
          <w:szCs w:val="28"/>
        </w:rPr>
        <w:t>作出投资决定前，请阅读完整的招募说明书等销售文件。</w:t>
      </w:r>
    </w:p>
    <w:p>
      <w:pPr>
        <w:numPr>
          <w:ilvl w:val="0"/>
          <w:numId w:val="2"/>
        </w:numPr>
        <w:spacing w:line="440" w:lineRule="exact"/>
        <w:outlineLvl w:val="0"/>
        <w:rPr>
          <w:rFonts w:ascii="方正仿宋简体" w:hAnsi="方正仿宋简体" w:eastAsia="方正仿宋简体" w:cs="方正仿宋简体"/>
          <w:b/>
          <w:iCs/>
          <w:sz w:val="24"/>
          <w:szCs w:val="24"/>
        </w:rPr>
      </w:pPr>
      <w:r>
        <w:rPr>
          <w:rFonts w:hint="eastAsia" w:ascii="方正仿宋简体" w:hAnsi="方正仿宋简体" w:eastAsia="方正仿宋简体" w:cs="方正仿宋简体"/>
          <w:b/>
          <w:iCs/>
          <w:sz w:val="24"/>
          <w:szCs w:val="24"/>
        </w:rPr>
        <w:t>产品概况</w:t>
      </w:r>
    </w:p>
    <w:tbl>
      <w:tblPr>
        <w:tblStyle w:val="8"/>
        <w:tblW w:w="5000" w:type="pct"/>
        <w:tblInd w:w="0" w:type="dxa"/>
        <w:tblBorders>
          <w:top w:val="single" w:color="auto" w:sz="4" w:space="0"/>
          <w:left w:val="none" w:color="auto" w:sz="0" w:space="0"/>
          <w:bottom w:val="single" w:color="auto" w:sz="4" w:space="0"/>
          <w:right w:val="none" w:color="auto" w:sz="0" w:space="0"/>
          <w:insideH w:val="dashSmallGap" w:color="A5A5A5" w:themeColor="background1" w:themeShade="A6" w:sz="4" w:space="0"/>
          <w:insideV w:val="none" w:color="auto" w:sz="0" w:space="0"/>
        </w:tblBorders>
        <w:tblLayout w:type="fixed"/>
        <w:tblCellMar>
          <w:top w:w="0" w:type="dxa"/>
          <w:left w:w="108" w:type="dxa"/>
          <w:bottom w:w="0" w:type="dxa"/>
          <w:right w:w="108" w:type="dxa"/>
        </w:tblCellMar>
      </w:tblPr>
      <w:tblGrid>
        <w:gridCol w:w="2446"/>
        <w:gridCol w:w="3019"/>
        <w:gridCol w:w="2134"/>
        <w:gridCol w:w="3083"/>
      </w:tblGrid>
      <w:tr>
        <w:tblPrEx>
          <w:tblBorders>
            <w:top w:val="single" w:color="auto" w:sz="4" w:space="0"/>
            <w:left w:val="none" w:color="auto" w:sz="0" w:space="0"/>
            <w:bottom w:val="single" w:color="auto" w:sz="4" w:space="0"/>
            <w:right w:val="none" w:color="auto" w:sz="0" w:space="0"/>
            <w:insideH w:val="dashSmallGap" w:color="A5A5A5" w:themeColor="background1" w:themeShade="A6" w:sz="4" w:space="0"/>
            <w:insideV w:val="none" w:color="auto" w:sz="0" w:space="0"/>
          </w:tblBorders>
          <w:tblCellMar>
            <w:top w:w="0" w:type="dxa"/>
            <w:left w:w="108" w:type="dxa"/>
            <w:bottom w:w="0" w:type="dxa"/>
            <w:right w:w="108" w:type="dxa"/>
          </w:tblCellMar>
        </w:tblPrEx>
        <w:trPr>
          <w:trHeight w:val="454" w:hRule="atLeast"/>
        </w:trPr>
        <w:tc>
          <w:tcPr>
            <w:tcW w:w="1145" w:type="pct"/>
            <w:vMerge w:val="restar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基金简称</w:t>
            </w:r>
          </w:p>
        </w:tc>
        <w:tc>
          <w:tcPr>
            <w:tcW w:w="1413" w:type="pct"/>
            <w:vMerge w:val="restart"/>
            <w:vAlign w:val="center"/>
          </w:tcPr>
          <w:p>
            <w:pPr>
              <w:spacing w:line="320" w:lineRule="exact"/>
              <w:rPr>
                <w:rFonts w:ascii="方正仿宋简体" w:eastAsia="方正仿宋简体" w:cs="方正仿宋简体" w:hAnsiTheme="minorEastAsia"/>
                <w:iCs/>
              </w:rPr>
            </w:pPr>
            <w:r>
              <w:rPr>
                <w:rFonts w:hint="eastAsia" w:ascii="方正仿宋简体" w:eastAsia="方正仿宋简体" w:cs="方正仿宋简体" w:hAnsiTheme="minorEastAsia"/>
                <w:iCs/>
              </w:rPr>
              <w:t>博时恒生高股息ETF发起式联接</w:t>
            </w:r>
          </w:p>
        </w:tc>
        <w:tc>
          <w:tcPr>
            <w:tcW w:w="999" w:type="pct"/>
            <w:vMerge w:val="restar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基金代码</w:t>
            </w:r>
          </w:p>
        </w:tc>
        <w:tc>
          <w:tcPr>
            <w:tcW w:w="1443" w:type="pct"/>
            <w:tcBorders>
              <w:bottom w:val="dashSmallGap" w:color="A5A5A5" w:themeColor="background1" w:themeShade="A6" w:sz="4" w:space="0"/>
            </w:tcBorders>
            <w:vAlign w:val="center"/>
          </w:tcPr>
          <w:p>
            <w:pPr>
              <w:spacing w:line="320" w:lineRule="exact"/>
              <w:rPr>
                <w:rFonts w:ascii="方正仿宋简体" w:eastAsia="方正仿宋简体" w:cs="方正仿宋简体" w:hAnsiTheme="minorEastAsia"/>
                <w:iCs/>
              </w:rPr>
            </w:pPr>
            <w:r>
              <w:rPr>
                <w:rFonts w:hint="eastAsia" w:ascii="方正仿宋简体" w:eastAsia="方正仿宋简体" w:cs="方正仿宋简体" w:hAnsiTheme="minorEastAsia"/>
                <w:iCs/>
              </w:rPr>
              <w:t>014519</w:t>
            </w:r>
          </w:p>
        </w:tc>
      </w:tr>
      <w:tr>
        <w:tblPrEx>
          <w:tblBorders>
            <w:top w:val="single" w:color="auto" w:sz="4" w:space="0"/>
            <w:left w:val="none" w:color="auto" w:sz="0" w:space="0"/>
            <w:bottom w:val="single" w:color="auto" w:sz="4" w:space="0"/>
            <w:right w:val="none" w:color="auto" w:sz="0" w:space="0"/>
            <w:insideH w:val="dashSmallGap" w:color="A5A5A5" w:themeColor="background1" w:themeShade="A6" w:sz="4" w:space="0"/>
            <w:insideV w:val="none" w:color="auto" w:sz="0" w:space="0"/>
          </w:tblBorders>
          <w:tblCellMar>
            <w:top w:w="0" w:type="dxa"/>
            <w:left w:w="108" w:type="dxa"/>
            <w:bottom w:w="0" w:type="dxa"/>
            <w:right w:w="108" w:type="dxa"/>
          </w:tblCellMar>
        </w:tblPrEx>
        <w:trPr>
          <w:trHeight w:val="150" w:hRule="atLeast"/>
        </w:trPr>
        <w:tc>
          <w:tcPr>
            <w:tcW w:w="1145" w:type="pct"/>
            <w:vMerge w:val="restar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下属基金简称</w:t>
            </w:r>
          </w:p>
        </w:tc>
        <w:tc>
          <w:tcPr>
            <w:tcW w:w="1413" w:type="pct"/>
            <w:vMerge w:val="restart"/>
            <w:tcBorders>
              <w:top w:val="nil"/>
            </w:tcBorders>
            <w:vAlign w:val="center"/>
          </w:tcPr>
          <w:p>
            <w:pPr>
              <w:spacing w:line="320" w:lineRule="exact"/>
              <w:rPr>
                <w:rFonts w:ascii="方正仿宋简体" w:eastAsia="方正仿宋简体" w:cs="方正仿宋简体" w:hAnsiTheme="minorEastAsia"/>
                <w:iCs/>
              </w:rPr>
            </w:pPr>
            <w:r>
              <w:rPr>
                <w:rFonts w:ascii="方正仿宋简体" w:eastAsia="方正仿宋简体" w:cs="方正仿宋简体" w:hAnsiTheme="minorEastAsia"/>
                <w:iCs/>
              </w:rPr>
              <w:t>博时恒生高股息ETF发起式联接C</w:t>
            </w:r>
          </w:p>
        </w:tc>
        <w:tc>
          <w:tcPr>
            <w:tcW w:w="999" w:type="pct"/>
            <w:vMerge w:val="restar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下属基金代码</w:t>
            </w:r>
          </w:p>
        </w:tc>
        <w:tc>
          <w:tcPr>
            <w:tcW w:w="1443" w:type="pct"/>
            <w:tcBorders>
              <w:top w:val="nil"/>
              <w:bottom w:val="nil"/>
            </w:tcBorders>
            <w:vAlign w:val="center"/>
          </w:tcPr>
          <w:p>
            <w:pPr>
              <w:spacing w:line="320" w:lineRule="exact"/>
              <w:rPr>
                <w:rFonts w:ascii="方正仿宋简体" w:eastAsia="方正仿宋简体" w:cs="方正仿宋简体" w:hAnsiTheme="minorEastAsia"/>
                <w:iCs/>
              </w:rPr>
            </w:pPr>
            <w:r>
              <w:rPr>
                <w:rFonts w:hint="eastAsia" w:ascii="方正仿宋简体" w:eastAsia="方正仿宋简体" w:cs="方正仿宋简体" w:hAnsiTheme="minorEastAsia"/>
                <w:iCs/>
              </w:rPr>
              <w:t>014520</w:t>
            </w:r>
          </w:p>
        </w:tc>
      </w:tr>
      <w:tr>
        <w:tblPrEx>
          <w:tblBorders>
            <w:top w:val="single" w:color="auto" w:sz="4" w:space="0"/>
            <w:left w:val="none" w:color="auto" w:sz="0" w:space="0"/>
            <w:bottom w:val="single" w:color="auto" w:sz="4" w:space="0"/>
            <w:right w:val="none" w:color="auto" w:sz="0" w:space="0"/>
            <w:insideH w:val="dashSmallGap" w:color="A5A5A5" w:themeColor="background1" w:themeShade="A6" w:sz="4" w:space="0"/>
            <w:insideV w:val="none" w:color="auto" w:sz="0" w:space="0"/>
          </w:tblBorders>
          <w:tblCellMar>
            <w:top w:w="0" w:type="dxa"/>
            <w:left w:w="108" w:type="dxa"/>
            <w:bottom w:w="0" w:type="dxa"/>
            <w:right w:w="108" w:type="dxa"/>
          </w:tblCellMar>
        </w:tblPrEx>
        <w:trPr>
          <w:trHeight w:val="454" w:hRule="atLeast"/>
        </w:trPr>
        <w:tc>
          <w:tcPr>
            <w:tcW w:w="1145" w:type="pc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基金管理人</w:t>
            </w:r>
          </w:p>
        </w:tc>
        <w:tc>
          <w:tcPr>
            <w:tcW w:w="1413" w:type="pct"/>
            <w:tcBorders>
              <w:top w:val="dashSmallGap" w:color="A5A5A5" w:themeColor="background1" w:themeShade="A6" w:sz="4" w:space="0"/>
            </w:tcBorders>
            <w:vAlign w:val="center"/>
          </w:tcPr>
          <w:p>
            <w:pPr>
              <w:spacing w:line="320" w:lineRule="exact"/>
              <w:rPr>
                <w:rFonts w:ascii="方正仿宋简体" w:eastAsia="方正仿宋简体" w:cs="方正仿宋简体" w:hAnsiTheme="minorEastAsia"/>
                <w:iCs/>
              </w:rPr>
            </w:pPr>
            <w:r>
              <w:rPr>
                <w:rFonts w:hint="eastAsia" w:ascii="方正仿宋简体" w:eastAsia="方正仿宋简体" w:cs="方正仿宋简体" w:hAnsiTheme="minorEastAsia"/>
                <w:iCs/>
              </w:rPr>
              <w:t>博时基金管理有限公司</w:t>
            </w:r>
          </w:p>
        </w:tc>
        <w:tc>
          <w:tcPr>
            <w:tcW w:w="999" w:type="pc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基金托管人</w:t>
            </w:r>
          </w:p>
        </w:tc>
        <w:tc>
          <w:tcPr>
            <w:tcW w:w="1443" w:type="pct"/>
            <w:tcBorders>
              <w:top w:val="dashSmallGap" w:color="A5A5A5" w:themeColor="background1" w:themeShade="A6" w:sz="4" w:space="0"/>
            </w:tcBorders>
            <w:vAlign w:val="center"/>
          </w:tcPr>
          <w:p>
            <w:pPr>
              <w:spacing w:line="320" w:lineRule="exact"/>
              <w:rPr>
                <w:rFonts w:ascii="方正仿宋简体" w:eastAsia="方正仿宋简体" w:cs="方正仿宋简体" w:hAnsiTheme="minorEastAsia"/>
                <w:iCs/>
              </w:rPr>
            </w:pPr>
            <w:r>
              <w:rPr>
                <w:rFonts w:hint="eastAsia" w:ascii="方正仿宋简体" w:eastAsia="方正仿宋简体" w:cs="方正仿宋简体" w:hAnsiTheme="minorEastAsia"/>
                <w:iCs/>
              </w:rPr>
              <w:t xml:space="preserve">中国国际金融股份有限公司 </w:t>
            </w:r>
          </w:p>
        </w:tc>
      </w:tr>
      <w:tr>
        <w:tblPrEx>
          <w:tblBorders>
            <w:top w:val="single" w:color="auto" w:sz="4" w:space="0"/>
            <w:left w:val="none" w:color="auto" w:sz="0" w:space="0"/>
            <w:bottom w:val="single" w:color="auto" w:sz="4" w:space="0"/>
            <w:right w:val="none" w:color="auto" w:sz="0" w:space="0"/>
            <w:insideH w:val="dashSmallGap" w:color="A5A5A5" w:themeColor="background1" w:themeShade="A6" w:sz="4" w:space="0"/>
            <w:insideV w:val="none" w:color="auto" w:sz="0" w:space="0"/>
          </w:tblBorders>
          <w:tblCellMar>
            <w:top w:w="0" w:type="dxa"/>
            <w:left w:w="108" w:type="dxa"/>
            <w:bottom w:w="0" w:type="dxa"/>
            <w:right w:w="108" w:type="dxa"/>
          </w:tblCellMar>
        </w:tblPrEx>
        <w:trPr>
          <w:trHeight w:val="454" w:hRule="atLeast"/>
        </w:trPr>
        <w:tc>
          <w:tcPr>
            <w:tcW w:w="1145" w:type="pct"/>
            <w:vMerge w:val="restar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基金合同生效日</w:t>
            </w:r>
          </w:p>
        </w:tc>
        <w:tc>
          <w:tcPr>
            <w:tcW w:w="1413" w:type="pct"/>
            <w:vMerge w:val="restart"/>
            <w:vAlign w:val="center"/>
          </w:tcPr>
          <w:p>
            <w:pPr>
              <w:spacing w:line="320" w:lineRule="exact"/>
              <w:rPr>
                <w:rFonts w:ascii="方正仿宋简体" w:eastAsia="方正仿宋简体" w:cs="方正仿宋简体" w:hAnsiTheme="minorEastAsia"/>
                <w:iCs/>
              </w:rPr>
            </w:pPr>
            <w:r>
              <w:rPr>
                <w:rFonts w:hint="eastAsia" w:ascii="方正仿宋简体" w:eastAsia="方正仿宋简体" w:cs="方正仿宋简体" w:hAnsiTheme="minorEastAsia"/>
                <w:iCs/>
              </w:rPr>
              <w:t>2022-01-10</w:t>
            </w:r>
          </w:p>
        </w:tc>
        <w:tc>
          <w:tcPr>
            <w:tcW w:w="999" w:type="pct"/>
            <w:vMerge w:val="restart"/>
            <w:vAlign w:val="center"/>
          </w:tcPr>
          <w:p>
            <w:pPr>
              <w:spacing w:line="320" w:lineRule="exact"/>
              <w:rPr>
                <w:rFonts w:ascii="方正仿宋简体" w:eastAsia="方正仿宋简体" w:cs="方正仿宋简体" w:hAnsiTheme="minorEastAsia"/>
                <w:b/>
                <w:iCs/>
              </w:rPr>
            </w:pPr>
          </w:p>
        </w:tc>
        <w:tc>
          <w:tcPr>
            <w:tcW w:w="1443" w:type="pct"/>
            <w:tcBorders>
              <w:top w:val="dashSmallGap" w:color="A5A5A5" w:themeColor="background1" w:themeShade="A6" w:sz="4" w:space="0"/>
              <w:bottom w:val="nil"/>
            </w:tcBorders>
            <w:vAlign w:val="center"/>
          </w:tcPr>
          <w:p>
            <w:pPr>
              <w:spacing w:line="320" w:lineRule="exact"/>
              <w:rPr>
                <w:rFonts w:ascii="方正仿宋简体" w:eastAsia="方正仿宋简体" w:cs="方正仿宋简体" w:hAnsiTheme="minorEastAsia"/>
                <w:iCs/>
              </w:rPr>
            </w:pPr>
            <w:r>
              <w:rPr>
                <w:rFonts w:hint="eastAsia" w:ascii="方正仿宋简体" w:eastAsia="方正仿宋简体" w:cs="方正仿宋简体" w:hAnsiTheme="minorEastAsia"/>
                <w:iCs/>
              </w:rPr>
              <w:t xml:space="preserve"> </w:t>
            </w:r>
          </w:p>
        </w:tc>
      </w:tr>
      <w:tr>
        <w:tblPrEx>
          <w:tblBorders>
            <w:top w:val="single" w:color="auto" w:sz="4" w:space="0"/>
            <w:left w:val="none" w:color="auto" w:sz="0" w:space="0"/>
            <w:bottom w:val="single" w:color="auto" w:sz="4" w:space="0"/>
            <w:right w:val="none" w:color="auto" w:sz="0" w:space="0"/>
            <w:insideH w:val="dashSmallGap" w:color="A5A5A5" w:themeColor="background1" w:themeShade="A6" w:sz="4" w:space="0"/>
            <w:insideV w:val="none" w:color="auto" w:sz="0" w:space="0"/>
          </w:tblBorders>
          <w:tblCellMar>
            <w:top w:w="0" w:type="dxa"/>
            <w:left w:w="108" w:type="dxa"/>
            <w:bottom w:w="0" w:type="dxa"/>
            <w:right w:w="108" w:type="dxa"/>
          </w:tblCellMar>
        </w:tblPrEx>
        <w:trPr>
          <w:trHeight w:val="454" w:hRule="atLeast"/>
        </w:trPr>
        <w:tc>
          <w:tcPr>
            <w:tcW w:w="1145" w:type="pc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基金类型</w:t>
            </w:r>
          </w:p>
        </w:tc>
        <w:tc>
          <w:tcPr>
            <w:tcW w:w="1413" w:type="pct"/>
            <w:vAlign w:val="center"/>
          </w:tcPr>
          <w:p>
            <w:pPr>
              <w:spacing w:line="320" w:lineRule="exact"/>
              <w:rPr>
                <w:rFonts w:ascii="方正仿宋简体" w:eastAsia="方正仿宋简体" w:cs="方正仿宋简体" w:hAnsiTheme="minorEastAsia"/>
                <w:iCs/>
              </w:rPr>
            </w:pPr>
            <w:r>
              <w:rPr>
                <w:rFonts w:hint="eastAsia" w:ascii="方正仿宋简体" w:eastAsia="方正仿宋简体" w:cs="方正仿宋简体" w:hAnsiTheme="minorEastAsia"/>
                <w:iCs/>
              </w:rPr>
              <w:t>股票型</w:t>
            </w:r>
          </w:p>
        </w:tc>
        <w:tc>
          <w:tcPr>
            <w:tcW w:w="999" w:type="pc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交易币种</w:t>
            </w:r>
          </w:p>
        </w:tc>
        <w:tc>
          <w:tcPr>
            <w:tcW w:w="1443" w:type="pct"/>
            <w:tcBorders>
              <w:top w:val="dashSmallGap" w:color="A5A5A5" w:themeColor="background1" w:themeShade="A6" w:sz="4" w:space="0"/>
            </w:tcBorders>
            <w:vAlign w:val="center"/>
          </w:tcPr>
          <w:p>
            <w:pPr>
              <w:spacing w:line="320" w:lineRule="exact"/>
              <w:rPr>
                <w:rFonts w:ascii="方正仿宋简体" w:eastAsia="方正仿宋简体" w:cs="方正仿宋简体" w:hAnsiTheme="minorEastAsia"/>
                <w:iCs/>
              </w:rPr>
            </w:pPr>
            <w:r>
              <w:rPr>
                <w:rFonts w:hint="eastAsia" w:ascii="方正仿宋简体" w:eastAsia="方正仿宋简体" w:cs="方正仿宋简体" w:hAnsiTheme="minorEastAsia"/>
                <w:iCs/>
              </w:rPr>
              <w:t>人民币</w:t>
            </w:r>
          </w:p>
        </w:tc>
      </w:tr>
      <w:tr>
        <w:tblPrEx>
          <w:tblBorders>
            <w:top w:val="single" w:color="auto" w:sz="4" w:space="0"/>
            <w:left w:val="none" w:color="auto" w:sz="0" w:space="0"/>
            <w:bottom w:val="single" w:color="auto" w:sz="4" w:space="0"/>
            <w:right w:val="none" w:color="auto" w:sz="0" w:space="0"/>
            <w:insideH w:val="dashSmallGap" w:color="A5A5A5" w:themeColor="background1" w:themeShade="A6" w:sz="4" w:space="0"/>
            <w:insideV w:val="none" w:color="auto" w:sz="0" w:space="0"/>
          </w:tblBorders>
          <w:tblCellMar>
            <w:top w:w="0" w:type="dxa"/>
            <w:left w:w="108" w:type="dxa"/>
            <w:bottom w:w="0" w:type="dxa"/>
            <w:right w:w="108" w:type="dxa"/>
          </w:tblCellMar>
        </w:tblPrEx>
        <w:trPr>
          <w:trHeight w:val="454" w:hRule="atLeast"/>
        </w:trPr>
        <w:tc>
          <w:tcPr>
            <w:tcW w:w="1145" w:type="pc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运作方式</w:t>
            </w:r>
          </w:p>
        </w:tc>
        <w:tc>
          <w:tcPr>
            <w:tcW w:w="1413" w:type="pct"/>
            <w:vAlign w:val="center"/>
          </w:tcPr>
          <w:p>
            <w:pPr>
              <w:spacing w:line="320" w:lineRule="exact"/>
              <w:rPr>
                <w:rFonts w:ascii="方正仿宋简体" w:eastAsia="方正仿宋简体" w:cs="方正仿宋简体" w:hAnsiTheme="minorEastAsia"/>
                <w:iCs/>
              </w:rPr>
            </w:pPr>
            <w:r>
              <w:rPr>
                <w:rFonts w:hint="eastAsia" w:ascii="方正仿宋简体" w:eastAsia="方正仿宋简体" w:cs="方正仿宋简体" w:hAnsiTheme="minorEastAsia"/>
                <w:iCs/>
              </w:rPr>
              <w:t>普通开放式</w:t>
            </w:r>
          </w:p>
        </w:tc>
        <w:tc>
          <w:tcPr>
            <w:tcW w:w="999" w:type="pc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开放频率</w:t>
            </w:r>
          </w:p>
        </w:tc>
        <w:tc>
          <w:tcPr>
            <w:tcW w:w="1443" w:type="pct"/>
            <w:vAlign w:val="center"/>
          </w:tcPr>
          <w:p>
            <w:pPr>
              <w:spacing w:line="320" w:lineRule="exact"/>
              <w:rPr>
                <w:rFonts w:ascii="方正仿宋简体" w:eastAsia="方正仿宋简体" w:cs="方正仿宋简体" w:hAnsiTheme="minorEastAsia"/>
                <w:iCs/>
              </w:rPr>
            </w:pPr>
            <w:r>
              <w:rPr>
                <w:rFonts w:hint="eastAsia" w:ascii="方正仿宋简体" w:eastAsia="方正仿宋简体" w:cs="方正仿宋简体" w:hAnsiTheme="minorEastAsia"/>
                <w:iCs/>
              </w:rPr>
              <w:t>每个开放日</w:t>
            </w:r>
          </w:p>
        </w:tc>
      </w:tr>
      <w:tr>
        <w:tblPrEx>
          <w:tblBorders>
            <w:top w:val="single" w:color="auto" w:sz="4" w:space="0"/>
            <w:left w:val="none" w:color="auto" w:sz="0" w:space="0"/>
            <w:bottom w:val="single" w:color="auto" w:sz="4" w:space="0"/>
            <w:right w:val="none" w:color="auto" w:sz="0" w:space="0"/>
            <w:insideH w:val="dashSmallGap" w:color="A5A5A5" w:themeColor="background1" w:themeShade="A6" w:sz="4" w:space="0"/>
            <w:insideV w:val="none" w:color="auto" w:sz="0" w:space="0"/>
          </w:tblBorders>
          <w:tblCellMar>
            <w:top w:w="0" w:type="dxa"/>
            <w:left w:w="108" w:type="dxa"/>
            <w:bottom w:w="0" w:type="dxa"/>
            <w:right w:w="108" w:type="dxa"/>
          </w:tblCellMar>
        </w:tblPrEx>
        <w:trPr>
          <w:trHeight w:val="454" w:hRule="atLeast"/>
        </w:trPr>
        <w:tc>
          <w:tcPr>
            <w:tcW w:w="1145" w:type="pct"/>
            <w:vMerge w:val="restar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基金经理</w:t>
            </w:r>
          </w:p>
        </w:tc>
        <w:tc>
          <w:tcPr>
            <w:tcW w:w="1413" w:type="pct"/>
            <w:vMerge w:val="restart"/>
            <w:vAlign w:val="center"/>
          </w:tcPr>
          <w:p>
            <w:pPr>
              <w:spacing w:line="320" w:lineRule="exact"/>
              <w:rPr>
                <w:rFonts w:ascii="方正仿宋简体" w:eastAsia="方正仿宋简体" w:cs="方正仿宋简体" w:hAnsiTheme="minorEastAsia"/>
                <w:iCs/>
              </w:rPr>
            </w:pPr>
            <w:r>
              <w:rPr>
                <w:rFonts w:ascii="方正仿宋简体" w:eastAsia="方正仿宋简体" w:cs="方正仿宋简体" w:hAnsiTheme="minorEastAsia"/>
                <w:iCs/>
              </w:rPr>
              <w:t>万琼</w:t>
            </w:r>
          </w:p>
        </w:tc>
        <w:tc>
          <w:tcPr>
            <w:tcW w:w="999" w:type="pc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开始担任本基金基金经理的日期</w:t>
            </w:r>
          </w:p>
        </w:tc>
        <w:tc>
          <w:tcPr>
            <w:tcW w:w="1443" w:type="pct"/>
            <w:vAlign w:val="center"/>
          </w:tcPr>
          <w:p>
            <w:pPr>
              <w:spacing w:line="320" w:lineRule="exact"/>
              <w:rPr>
                <w:rFonts w:ascii="方正仿宋简体" w:eastAsia="方正仿宋简体" w:cs="方正仿宋简体" w:hAnsiTheme="minorEastAsia"/>
                <w:iCs/>
              </w:rPr>
            </w:pPr>
            <w:r>
              <w:rPr>
                <w:rFonts w:ascii="方正仿宋简体" w:eastAsia="方正仿宋简体" w:cs="方正仿宋简体" w:hAnsiTheme="minorEastAsia"/>
                <w:iCs/>
              </w:rPr>
              <w:t>2022-01-10</w:t>
            </w:r>
          </w:p>
        </w:tc>
      </w:tr>
      <w:tr>
        <w:tblPrEx>
          <w:tblBorders>
            <w:top w:val="single" w:color="auto" w:sz="4" w:space="0"/>
            <w:left w:val="none" w:color="auto" w:sz="0" w:space="0"/>
            <w:bottom w:val="single" w:color="auto" w:sz="4" w:space="0"/>
            <w:right w:val="none" w:color="auto" w:sz="0" w:space="0"/>
            <w:insideH w:val="dashSmallGap" w:color="A5A5A5" w:themeColor="background1" w:themeShade="A6" w:sz="4" w:space="0"/>
            <w:insideV w:val="none" w:color="auto" w:sz="0" w:space="0"/>
          </w:tblBorders>
          <w:tblCellMar>
            <w:top w:w="0" w:type="dxa"/>
            <w:left w:w="108" w:type="dxa"/>
            <w:bottom w:w="0" w:type="dxa"/>
            <w:right w:w="108" w:type="dxa"/>
          </w:tblCellMar>
        </w:tblPrEx>
        <w:trPr>
          <w:trHeight w:val="454" w:hRule="atLeast"/>
        </w:trPr>
        <w:tc>
          <w:tcPr>
            <w:tcW w:w="1145" w:type="pct"/>
            <w:vMerge w:val="continue"/>
            <w:vAlign w:val="center"/>
          </w:tcPr>
          <w:p>
            <w:pPr>
              <w:spacing w:line="320" w:lineRule="exact"/>
              <w:rPr>
                <w:rFonts w:ascii="方正仿宋简体" w:eastAsia="方正仿宋简体" w:cs="方正仿宋简体" w:hAnsiTheme="minorEastAsia"/>
                <w:b/>
                <w:iCs/>
              </w:rPr>
            </w:pPr>
          </w:p>
        </w:tc>
        <w:tc>
          <w:tcPr>
            <w:tcW w:w="1413" w:type="pct"/>
            <w:vMerge w:val="continue"/>
            <w:vAlign w:val="center"/>
          </w:tcPr>
          <w:p>
            <w:pPr>
              <w:spacing w:line="320" w:lineRule="exact"/>
              <w:rPr>
                <w:rFonts w:ascii="方正仿宋简体" w:eastAsia="方正仿宋简体" w:cs="方正仿宋简体" w:hAnsiTheme="minorEastAsia"/>
                <w:b/>
                <w:iCs/>
              </w:rPr>
            </w:pPr>
          </w:p>
        </w:tc>
        <w:tc>
          <w:tcPr>
            <w:tcW w:w="999" w:type="pc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证券从业日期</w:t>
            </w:r>
          </w:p>
        </w:tc>
        <w:tc>
          <w:tcPr>
            <w:tcW w:w="1443" w:type="pct"/>
            <w:vAlign w:val="center"/>
          </w:tcPr>
          <w:p>
            <w:pPr>
              <w:spacing w:line="320" w:lineRule="exact"/>
              <w:rPr>
                <w:rFonts w:ascii="方正仿宋简体" w:eastAsia="方正仿宋简体" w:cs="方正仿宋简体" w:hAnsiTheme="minorEastAsia"/>
                <w:iCs/>
              </w:rPr>
            </w:pPr>
            <w:r>
              <w:rPr>
                <w:rFonts w:hint="eastAsia" w:ascii="方正仿宋简体" w:eastAsia="方正仿宋简体" w:cs="方正仿宋简体" w:hAnsiTheme="minorEastAsia"/>
                <w:iCs/>
              </w:rPr>
              <w:t>2007-03-01</w:t>
            </w:r>
          </w:p>
        </w:tc>
      </w:tr>
      <w:tr>
        <w:tblPrEx>
          <w:tblBorders>
            <w:top w:val="single" w:color="auto" w:sz="4" w:space="0"/>
            <w:left w:val="none" w:color="auto" w:sz="0" w:space="0"/>
            <w:bottom w:val="single" w:color="auto" w:sz="4" w:space="0"/>
            <w:right w:val="none" w:color="auto" w:sz="0" w:space="0"/>
            <w:insideH w:val="dashSmallGap" w:color="A5A5A5" w:themeColor="background1" w:themeShade="A6" w:sz="4" w:space="0"/>
            <w:insideV w:val="none" w:color="auto" w:sz="0" w:space="0"/>
          </w:tblBorders>
          <w:tblCellMar>
            <w:top w:w="0" w:type="dxa"/>
            <w:left w:w="108" w:type="dxa"/>
            <w:bottom w:w="0" w:type="dxa"/>
            <w:right w:w="108" w:type="dxa"/>
          </w:tblCellMar>
        </w:tblPrEx>
        <w:trPr>
          <w:trHeight w:val="454" w:hRule="atLeast"/>
        </w:trPr>
        <w:tc>
          <w:tcPr>
            <w:tcW w:w="1145" w:type="pc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iCs/>
              </w:rPr>
              <w:t>其它概况</w:t>
            </w:r>
          </w:p>
        </w:tc>
        <w:tc>
          <w:tcPr>
            <w:tcW w:w="3855" w:type="pct"/>
            <w:gridSpan w:val="3"/>
            <w:vAlign w:val="center"/>
          </w:tcPr>
          <w:p>
            <w:pPr>
              <w:spacing w:line="320" w:lineRule="exact"/>
              <w:rPr>
                <w:rFonts w:ascii="方正仿宋简体" w:eastAsia="方正仿宋简体" w:cs="方正仿宋简体" w:hAnsiTheme="minorEastAsia"/>
                <w:iCs/>
              </w:rPr>
            </w:pPr>
            <w:r>
              <w:rPr>
                <w:rFonts w:hint="eastAsia" w:ascii="方正仿宋简体" w:eastAsia="方正仿宋简体" w:cs="方正仿宋简体" w:hAnsiTheme="minorEastAsia"/>
                <w:iCs/>
              </w:rPr>
              <w:t>本基金的基金合同生效之日起三年后的对应日，若基金资产净值低于两亿元的，本基金将根据基金合同的约定进行基金财产清算并终止，无需召开基金份额持有人大会审议，且不得通过召开基金份额持有人大会的方式延续基金合同。若届时的法律法规或中国证监会规定发生变化，上述终止规定被取消、更改或补充时，则本基金可以参照届时有效的法律法规或中国证监会规定执行。</w:t>
            </w:r>
          </w:p>
        </w:tc>
      </w:tr>
    </w:tbl>
    <w:p>
      <w:pPr>
        <w:spacing w:line="280" w:lineRule="exact"/>
        <w:rPr>
          <w:rFonts w:ascii="方正仿宋简体" w:eastAsia="方正仿宋简体" w:cs="仿宋_GB2312" w:hAnsiTheme="minorEastAsia"/>
          <w:b/>
          <w:kern w:val="0"/>
          <w:szCs w:val="24"/>
        </w:rPr>
      </w:pPr>
    </w:p>
    <w:p>
      <w:pPr>
        <w:numPr>
          <w:ilvl w:val="0"/>
          <w:numId w:val="2"/>
        </w:numPr>
        <w:spacing w:line="440" w:lineRule="exact"/>
        <w:outlineLvl w:val="0"/>
        <w:rPr>
          <w:rFonts w:ascii="方正仿宋简体" w:hAnsi="方正仿宋简体" w:eastAsia="方正仿宋简体" w:cs="方正仿宋简体"/>
          <w:b/>
          <w:iCs/>
          <w:sz w:val="24"/>
          <w:szCs w:val="24"/>
        </w:rPr>
      </w:pPr>
      <w:r>
        <w:rPr>
          <w:rFonts w:hint="eastAsia" w:ascii="方正仿宋简体" w:hAnsi="方正仿宋简体" w:eastAsia="方正仿宋简体" w:cs="方正仿宋简体"/>
          <w:b/>
          <w:iCs/>
          <w:sz w:val="24"/>
          <w:szCs w:val="24"/>
        </w:rPr>
        <w:t>基金投资与净值表现</w:t>
      </w:r>
    </w:p>
    <w:p>
      <w:pPr>
        <w:pStyle w:val="12"/>
        <w:numPr>
          <w:ilvl w:val="0"/>
          <w:numId w:val="3"/>
        </w:numPr>
        <w:spacing w:line="320" w:lineRule="exact"/>
        <w:ind w:firstLineChars="0"/>
        <w:outlineLvl w:val="1"/>
        <w:rPr>
          <w:rFonts w:ascii="方正仿宋简体" w:eastAsia="方正仿宋简体" w:cs="方正仿宋简体" w:hAnsiTheme="minorEastAsia"/>
          <w:b/>
          <w:iCs/>
          <w:sz w:val="24"/>
          <w:szCs w:val="24"/>
        </w:rPr>
      </w:pPr>
      <w:r>
        <w:rPr>
          <w:rFonts w:hint="eastAsia" w:ascii="方正仿宋简体" w:hAnsi="方正仿宋简体" w:eastAsia="方正仿宋简体" w:cs="方正仿宋简体"/>
          <w:b/>
          <w:iCs/>
          <w:sz w:val="24"/>
          <w:szCs w:val="24"/>
        </w:rPr>
        <w:t>投资目标与投资策略</w:t>
      </w:r>
    </w:p>
    <w:p>
      <w:pPr>
        <w:spacing w:line="320" w:lineRule="exact"/>
        <w:rPr>
          <w:rFonts w:ascii="方正仿宋简体" w:eastAsia="方正仿宋简体" w:cs="方正仿宋简体" w:hAnsiTheme="minorEastAsia"/>
          <w:bCs/>
          <w:iCs/>
        </w:rPr>
      </w:pPr>
      <w:r>
        <w:rPr>
          <w:rFonts w:hint="eastAsia" w:ascii="方正仿宋简体" w:eastAsia="方正仿宋简体" w:cs="方正仿宋简体" w:hAnsiTheme="minorEastAsia"/>
          <w:bCs/>
          <w:iCs/>
        </w:rPr>
        <w:t>敬请投资者阅读《招募说明书》第九章了解详细情况</w:t>
      </w:r>
    </w:p>
    <w:tbl>
      <w:tblPr>
        <w:tblStyle w:val="8"/>
        <w:tblW w:w="5000" w:type="pct"/>
        <w:tblInd w:w="0" w:type="dxa"/>
        <w:tblBorders>
          <w:top w:val="single" w:color="auto" w:sz="4" w:space="0"/>
          <w:left w:val="none" w:color="auto" w:sz="0" w:space="0"/>
          <w:bottom w:val="single" w:color="auto" w:sz="4" w:space="0"/>
          <w:right w:val="none" w:color="auto" w:sz="0" w:space="0"/>
          <w:insideH w:val="dashSmallGap" w:color="7F7F7F" w:themeColor="background1" w:themeShade="80" w:sz="4" w:space="0"/>
          <w:insideV w:val="none" w:color="auto" w:sz="0" w:space="0"/>
        </w:tblBorders>
        <w:tblLayout w:type="autofit"/>
        <w:tblCellMar>
          <w:top w:w="0" w:type="dxa"/>
          <w:left w:w="108" w:type="dxa"/>
          <w:bottom w:w="0" w:type="dxa"/>
          <w:right w:w="108" w:type="dxa"/>
        </w:tblCellMar>
      </w:tblPr>
      <w:tblGrid>
        <w:gridCol w:w="2623"/>
        <w:gridCol w:w="8059"/>
      </w:tblGrid>
      <w:tr>
        <w:tblPrEx>
          <w:tblBorders>
            <w:top w:val="single" w:color="auto" w:sz="4" w:space="0"/>
            <w:left w:val="none" w:color="auto" w:sz="0" w:space="0"/>
            <w:bottom w:val="single" w:color="auto"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228" w:type="pct"/>
            <w:vAlign w:val="center"/>
          </w:tcPr>
          <w:p>
            <w:pPr>
              <w:autoSpaceDE w:val="0"/>
              <w:autoSpaceDN w:val="0"/>
              <w:adjustRightInd w:val="0"/>
              <w:spacing w:line="320" w:lineRule="exact"/>
              <w:rPr>
                <w:rFonts w:ascii="方正仿宋简体" w:eastAsia="方正仿宋简体" w:cs="仿宋_GB2312" w:hAnsiTheme="minorEastAsia"/>
                <w:kern w:val="0"/>
                <w:sz w:val="22"/>
                <w:szCs w:val="24"/>
              </w:rPr>
            </w:pPr>
            <w:r>
              <w:rPr>
                <w:rFonts w:hint="eastAsia" w:ascii="方正仿宋简体" w:eastAsia="方正仿宋简体" w:cs="方正仿宋简体" w:hAnsiTheme="minorEastAsia"/>
                <w:b/>
                <w:bCs/>
                <w:iCs/>
                <w:szCs w:val="24"/>
              </w:rPr>
              <w:t>投资目标</w:t>
            </w:r>
          </w:p>
        </w:tc>
        <w:tc>
          <w:tcPr>
            <w:tcW w:w="3772" w:type="pct"/>
            <w:vAlign w:val="center"/>
          </w:tcPr>
          <w:p>
            <w:pPr>
              <w:autoSpaceDE w:val="0"/>
              <w:autoSpaceDN w:val="0"/>
              <w:adjustRightInd w:val="0"/>
              <w:spacing w:line="320" w:lineRule="exact"/>
              <w:rPr>
                <w:rFonts w:ascii="方正仿宋简体" w:eastAsia="方正仿宋简体" w:cs="仿宋_GB2312" w:hAnsiTheme="minorEastAsia"/>
                <w:kern w:val="0"/>
                <w:szCs w:val="24"/>
              </w:rPr>
            </w:pPr>
            <w:r>
              <w:rPr>
                <w:rFonts w:hint="eastAsia" w:ascii="方正仿宋简体" w:eastAsia="方正仿宋简体" w:cs="仿宋_GB2312" w:hAnsiTheme="minorEastAsia"/>
                <w:kern w:val="0"/>
                <w:szCs w:val="24"/>
              </w:rPr>
              <w:t>通过主要投资于目标ETF，紧密跟踪标的指数即恒生港股通高股息率指数的表现，追求跟踪偏离度和跟踪误差的最小化。</w:t>
            </w:r>
          </w:p>
        </w:tc>
      </w:tr>
      <w:tr>
        <w:tblPrEx>
          <w:tblBorders>
            <w:top w:val="single" w:color="auto" w:sz="4" w:space="0"/>
            <w:left w:val="none" w:color="auto" w:sz="0" w:space="0"/>
            <w:bottom w:val="single" w:color="auto"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228" w:type="pct"/>
            <w:vAlign w:val="center"/>
          </w:tcPr>
          <w:p>
            <w:pPr>
              <w:autoSpaceDE w:val="0"/>
              <w:autoSpaceDN w:val="0"/>
              <w:adjustRightInd w:val="0"/>
              <w:spacing w:line="320" w:lineRule="exact"/>
              <w:rPr>
                <w:rFonts w:ascii="方正仿宋简体" w:eastAsia="方正仿宋简体" w:cs="仿宋_GB2312" w:hAnsiTheme="minorEastAsia"/>
                <w:kern w:val="0"/>
                <w:sz w:val="22"/>
                <w:szCs w:val="24"/>
              </w:rPr>
            </w:pPr>
            <w:r>
              <w:rPr>
                <w:rFonts w:hint="eastAsia" w:ascii="方正仿宋简体" w:eastAsia="方正仿宋简体" w:cs="方正仿宋简体" w:hAnsiTheme="minorEastAsia"/>
                <w:b/>
                <w:bCs/>
                <w:iCs/>
                <w:szCs w:val="24"/>
              </w:rPr>
              <w:t>投资范围</w:t>
            </w:r>
          </w:p>
        </w:tc>
        <w:tc>
          <w:tcPr>
            <w:tcW w:w="3772" w:type="pct"/>
            <w:vAlign w:val="center"/>
          </w:tcPr>
          <w:p>
            <w:pPr>
              <w:autoSpaceDE w:val="0"/>
              <w:autoSpaceDN w:val="0"/>
              <w:adjustRightInd w:val="0"/>
              <w:spacing w:line="320" w:lineRule="exact"/>
              <w:rPr>
                <w:rFonts w:ascii="方正仿宋简体" w:eastAsia="方正仿宋简体" w:cs="仿宋_GB2312" w:hAnsiTheme="minorEastAsia"/>
                <w:kern w:val="0"/>
                <w:szCs w:val="24"/>
              </w:rPr>
            </w:pPr>
            <w:r>
              <w:rPr>
                <w:rFonts w:hint="eastAsia" w:ascii="方正仿宋简体" w:eastAsia="方正仿宋简体" w:cs="仿宋_GB2312" w:hAnsiTheme="minorEastAsia"/>
                <w:kern w:val="0"/>
                <w:szCs w:val="24"/>
              </w:rPr>
              <w:t>本基金主要投资于目标ETF、标的指数即恒生港股通高股息率指数成份股和备选成份股票（含存托凭证），为更好地实现基金的投资目标，本基金可能会少量投资于依法发行或上市的其他港股通标的股票等非成份股（含存托凭证）、债券（包括国债、金融债、地方政府债、政府支持机构债券、企业债、公司债、可转换债券（含分离交易可转债的纯债部分）、可交换债券、央行票据、短期融资券、超短期融资券、中期票据等）、国债期货、股指期货、股票期权、货币市场工具（包括银行存款、同业存单等）、债券回购、资产支持证券以及法律法规或中国证监会允许基金投资的其他金融工具（但须符合中国证监会的相关规定）。</w:t>
            </w:r>
          </w:p>
          <w:p>
            <w:pPr>
              <w:autoSpaceDE w:val="0"/>
              <w:autoSpaceDN w:val="0"/>
              <w:adjustRightInd w:val="0"/>
              <w:spacing w:line="320" w:lineRule="exact"/>
              <w:rPr>
                <w:rFonts w:ascii="方正仿宋简体" w:eastAsia="方正仿宋简体" w:cs="仿宋_GB2312" w:hAnsiTheme="minorEastAsia"/>
                <w:kern w:val="0"/>
                <w:szCs w:val="24"/>
              </w:rPr>
            </w:pPr>
            <w:r>
              <w:rPr>
                <w:rFonts w:hint="eastAsia" w:ascii="方正仿宋简体" w:eastAsia="方正仿宋简体" w:cs="仿宋_GB2312" w:hAnsiTheme="minorEastAsia"/>
                <w:kern w:val="0"/>
                <w:szCs w:val="24"/>
              </w:rPr>
              <w:t>本基金可根据相关法律法规和基金合同的约定参与融资和转融通证券出借业务。</w:t>
            </w:r>
          </w:p>
          <w:p>
            <w:pPr>
              <w:autoSpaceDE w:val="0"/>
              <w:autoSpaceDN w:val="0"/>
              <w:adjustRightInd w:val="0"/>
              <w:spacing w:line="320" w:lineRule="exact"/>
              <w:rPr>
                <w:rFonts w:ascii="方正仿宋简体" w:eastAsia="方正仿宋简体" w:cs="仿宋_GB2312" w:hAnsiTheme="minorEastAsia"/>
                <w:kern w:val="0"/>
                <w:szCs w:val="24"/>
              </w:rPr>
            </w:pPr>
            <w:r>
              <w:rPr>
                <w:rFonts w:hint="eastAsia" w:ascii="方正仿宋简体" w:eastAsia="方正仿宋简体" w:cs="仿宋_GB2312" w:hAnsiTheme="minorEastAsia"/>
                <w:kern w:val="0"/>
                <w:szCs w:val="24"/>
              </w:rPr>
              <w:t>如法律法规或监管机构以后允许基金投资其他品种，基金管理人在履行适当程序后，可以将其纳入投资范围。</w:t>
            </w:r>
          </w:p>
          <w:p>
            <w:pPr>
              <w:autoSpaceDE w:val="0"/>
              <w:autoSpaceDN w:val="0"/>
              <w:adjustRightInd w:val="0"/>
              <w:spacing w:line="320" w:lineRule="exact"/>
              <w:rPr>
                <w:rFonts w:ascii="方正仿宋简体" w:eastAsia="方正仿宋简体" w:cs="仿宋_GB2312" w:hAnsiTheme="minorEastAsia"/>
                <w:kern w:val="0"/>
                <w:szCs w:val="24"/>
              </w:rPr>
            </w:pPr>
            <w:r>
              <w:rPr>
                <w:rFonts w:hint="eastAsia" w:ascii="方正仿宋简体" w:eastAsia="方正仿宋简体" w:cs="仿宋_GB2312" w:hAnsiTheme="minorEastAsia"/>
                <w:kern w:val="0"/>
                <w:szCs w:val="24"/>
              </w:rPr>
              <w:t>本基金投资于目标ETF的资产比例不低于基金资产净值的90%，股指期货、国债期货、股票期权及其他金融工具的投资比例依照法律法规或监管机构的规定执行。本基金每个交易日日终在扣除股指期货、国债期货和股票期权合约需缴纳的交易保证金后，对现金或者到期日在一年以内的政府债券的投资比例不低于基金资产净值的5%，其中，现金不包括结算备付金、存出保证金、应收申购款等。</w:t>
            </w:r>
          </w:p>
          <w:p>
            <w:pPr>
              <w:autoSpaceDE w:val="0"/>
              <w:autoSpaceDN w:val="0"/>
              <w:adjustRightInd w:val="0"/>
              <w:spacing w:line="320" w:lineRule="exact"/>
              <w:rPr>
                <w:rFonts w:ascii="方正仿宋简体" w:eastAsia="方正仿宋简体" w:cs="仿宋_GB2312" w:hAnsiTheme="minorEastAsia"/>
                <w:kern w:val="0"/>
                <w:szCs w:val="24"/>
              </w:rPr>
            </w:pPr>
            <w:r>
              <w:rPr>
                <w:rFonts w:hint="eastAsia" w:ascii="方正仿宋简体" w:eastAsia="方正仿宋简体" w:cs="仿宋_GB2312" w:hAnsiTheme="minorEastAsia"/>
                <w:kern w:val="0"/>
                <w:szCs w:val="24"/>
              </w:rPr>
              <w:t>如果法律法规或中国证监会变更投资品种的投资比例限制，基金管理人在履行适当程序后，可以调整上述投资品种的投资比例。</w:t>
            </w:r>
          </w:p>
        </w:tc>
      </w:tr>
      <w:tr>
        <w:tblPrEx>
          <w:tblBorders>
            <w:top w:val="single" w:color="auto" w:sz="4" w:space="0"/>
            <w:left w:val="none" w:color="auto" w:sz="0" w:space="0"/>
            <w:bottom w:val="single" w:color="auto"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228" w:type="pct"/>
            <w:vAlign w:val="center"/>
          </w:tcPr>
          <w:p>
            <w:pPr>
              <w:autoSpaceDE w:val="0"/>
              <w:autoSpaceDN w:val="0"/>
              <w:adjustRightInd w:val="0"/>
              <w:spacing w:line="320" w:lineRule="exact"/>
              <w:rPr>
                <w:rFonts w:ascii="方正仿宋简体" w:eastAsia="方正仿宋简体" w:cs="仿宋_GB2312" w:hAnsiTheme="minorEastAsia"/>
                <w:kern w:val="0"/>
                <w:sz w:val="22"/>
                <w:szCs w:val="24"/>
              </w:rPr>
            </w:pPr>
            <w:r>
              <w:rPr>
                <w:rFonts w:hint="eastAsia" w:ascii="方正仿宋简体" w:eastAsia="方正仿宋简体" w:cs="方正仿宋简体" w:hAnsiTheme="minorEastAsia"/>
                <w:b/>
                <w:bCs/>
                <w:iCs/>
                <w:szCs w:val="24"/>
              </w:rPr>
              <w:t>主要投资策略</w:t>
            </w:r>
          </w:p>
        </w:tc>
        <w:tc>
          <w:tcPr>
            <w:tcW w:w="3772" w:type="pct"/>
            <w:vAlign w:val="center"/>
          </w:tcPr>
          <w:p>
            <w:pPr>
              <w:autoSpaceDE w:val="0"/>
              <w:autoSpaceDN w:val="0"/>
              <w:adjustRightInd w:val="0"/>
              <w:spacing w:line="320" w:lineRule="exact"/>
              <w:rPr>
                <w:rFonts w:ascii="方正仿宋简体" w:eastAsia="方正仿宋简体" w:cs="仿宋_GB2312" w:hAnsiTheme="minorEastAsia"/>
                <w:kern w:val="0"/>
                <w:szCs w:val="24"/>
              </w:rPr>
            </w:pPr>
            <w:r>
              <w:rPr>
                <w:rFonts w:hint="eastAsia" w:ascii="方正仿宋简体" w:eastAsia="方正仿宋简体" w:cs="仿宋_GB2312" w:hAnsiTheme="minorEastAsia"/>
                <w:kern w:val="0"/>
                <w:szCs w:val="24"/>
              </w:rPr>
              <w:t>本基金主要投资于目标ETF，方便特定的客户群通过本基金投资目标ETF。本基金不参与目标ETF的投资管理。</w:t>
            </w:r>
          </w:p>
          <w:p>
            <w:pPr>
              <w:autoSpaceDE w:val="0"/>
              <w:autoSpaceDN w:val="0"/>
              <w:adjustRightInd w:val="0"/>
              <w:spacing w:line="320" w:lineRule="exact"/>
              <w:rPr>
                <w:rFonts w:ascii="方正仿宋简体" w:eastAsia="方正仿宋简体" w:cs="仿宋_GB2312" w:hAnsiTheme="minorEastAsia"/>
                <w:kern w:val="0"/>
                <w:szCs w:val="24"/>
              </w:rPr>
            </w:pPr>
            <w:r>
              <w:rPr>
                <w:rFonts w:hint="eastAsia" w:ascii="方正仿宋简体" w:eastAsia="方正仿宋简体" w:cs="仿宋_GB2312" w:hAnsiTheme="minorEastAsia"/>
                <w:kern w:val="0"/>
                <w:szCs w:val="24"/>
              </w:rPr>
              <w:t>1、资产配置策略</w:t>
            </w:r>
          </w:p>
          <w:p>
            <w:pPr>
              <w:autoSpaceDE w:val="0"/>
              <w:autoSpaceDN w:val="0"/>
              <w:adjustRightInd w:val="0"/>
              <w:spacing w:line="320" w:lineRule="exact"/>
              <w:rPr>
                <w:rFonts w:ascii="方正仿宋简体" w:eastAsia="方正仿宋简体" w:cs="仿宋_GB2312" w:hAnsiTheme="minorEastAsia"/>
                <w:kern w:val="0"/>
                <w:szCs w:val="24"/>
              </w:rPr>
            </w:pPr>
            <w:r>
              <w:rPr>
                <w:rFonts w:hint="eastAsia" w:ascii="方正仿宋简体" w:eastAsia="方正仿宋简体" w:cs="仿宋_GB2312" w:hAnsiTheme="minorEastAsia"/>
                <w:kern w:val="0"/>
                <w:szCs w:val="24"/>
              </w:rPr>
              <w:t>为实现投资目标，本基金将以不低于基金资产净值90%的资产投资于目标ETF。</w:t>
            </w:r>
          </w:p>
          <w:p>
            <w:pPr>
              <w:autoSpaceDE w:val="0"/>
              <w:autoSpaceDN w:val="0"/>
              <w:adjustRightInd w:val="0"/>
              <w:spacing w:line="320" w:lineRule="exact"/>
              <w:rPr>
                <w:rFonts w:ascii="方正仿宋简体" w:eastAsia="方正仿宋简体" w:cs="仿宋_GB2312" w:hAnsiTheme="minorEastAsia"/>
                <w:kern w:val="0"/>
                <w:szCs w:val="24"/>
              </w:rPr>
            </w:pPr>
            <w:r>
              <w:rPr>
                <w:rFonts w:hint="eastAsia" w:ascii="方正仿宋简体" w:eastAsia="方正仿宋简体" w:cs="仿宋_GB2312" w:hAnsiTheme="minorEastAsia"/>
                <w:kern w:val="0"/>
                <w:szCs w:val="24"/>
              </w:rPr>
              <w:t>2、基金投资策略</w:t>
            </w:r>
          </w:p>
          <w:p>
            <w:pPr>
              <w:autoSpaceDE w:val="0"/>
              <w:autoSpaceDN w:val="0"/>
              <w:adjustRightInd w:val="0"/>
              <w:spacing w:line="320" w:lineRule="exact"/>
              <w:rPr>
                <w:rFonts w:ascii="方正仿宋简体" w:eastAsia="方正仿宋简体" w:cs="仿宋_GB2312" w:hAnsiTheme="minorEastAsia"/>
                <w:kern w:val="0"/>
                <w:szCs w:val="24"/>
              </w:rPr>
            </w:pPr>
            <w:r>
              <w:rPr>
                <w:rFonts w:hint="eastAsia" w:ascii="方正仿宋简体" w:eastAsia="方正仿宋简体" w:cs="仿宋_GB2312" w:hAnsiTheme="minorEastAsia"/>
                <w:kern w:val="0"/>
                <w:szCs w:val="24"/>
              </w:rPr>
              <w:t>基金合同生效后，本基金将主要按照目标ETF法律文件的约定申购赎回目标ETF，也可部分在二级市场买入目标ETF，使本基金投资于目标ETF的比例不低于基金资产净值的90%。</w:t>
            </w:r>
          </w:p>
          <w:p>
            <w:pPr>
              <w:autoSpaceDE w:val="0"/>
              <w:autoSpaceDN w:val="0"/>
              <w:adjustRightInd w:val="0"/>
              <w:spacing w:line="320" w:lineRule="exact"/>
              <w:rPr>
                <w:rFonts w:ascii="方正仿宋简体" w:eastAsia="方正仿宋简体" w:cs="仿宋_GB2312" w:hAnsiTheme="minorEastAsia"/>
                <w:kern w:val="0"/>
                <w:szCs w:val="24"/>
              </w:rPr>
            </w:pPr>
            <w:r>
              <w:rPr>
                <w:rFonts w:hint="eastAsia" w:ascii="方正仿宋简体" w:eastAsia="方正仿宋简体" w:cs="仿宋_GB2312" w:hAnsiTheme="minorEastAsia"/>
                <w:kern w:val="0"/>
                <w:szCs w:val="24"/>
              </w:rPr>
              <w:t>本基金的其他投资策略还包括标的指数成份股和备选成份股投资策略、存托凭证投资策略、债券投资策略、资产支持证券的投资策略、可转换债券及可交换债券投资策略、非成份股的股票投资策略、衍生产品投资策略、融资及转融通证券出借业务的投资策略、流通受限证券投资策略等。</w:t>
            </w:r>
          </w:p>
        </w:tc>
      </w:tr>
      <w:tr>
        <w:tblPrEx>
          <w:tblBorders>
            <w:top w:val="single" w:color="auto" w:sz="4" w:space="0"/>
            <w:left w:val="none" w:color="auto" w:sz="0" w:space="0"/>
            <w:bottom w:val="single" w:color="auto"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228" w:type="pct"/>
            <w:vAlign w:val="center"/>
          </w:tcPr>
          <w:p>
            <w:pPr>
              <w:autoSpaceDE w:val="0"/>
              <w:autoSpaceDN w:val="0"/>
              <w:adjustRightInd w:val="0"/>
              <w:spacing w:line="320" w:lineRule="exact"/>
              <w:rPr>
                <w:rFonts w:ascii="方正仿宋简体" w:eastAsia="方正仿宋简体" w:cs="仿宋_GB2312" w:hAnsiTheme="minorEastAsia"/>
                <w:kern w:val="0"/>
                <w:sz w:val="22"/>
                <w:szCs w:val="24"/>
              </w:rPr>
            </w:pPr>
            <w:r>
              <w:rPr>
                <w:rFonts w:hint="eastAsia" w:ascii="方正仿宋简体" w:eastAsia="方正仿宋简体" w:cs="方正仿宋简体" w:hAnsiTheme="minorEastAsia"/>
                <w:b/>
                <w:bCs/>
                <w:iCs/>
                <w:szCs w:val="24"/>
              </w:rPr>
              <w:t>业绩比较基准</w:t>
            </w:r>
          </w:p>
        </w:tc>
        <w:tc>
          <w:tcPr>
            <w:tcW w:w="3772" w:type="pct"/>
            <w:vAlign w:val="center"/>
          </w:tcPr>
          <w:p>
            <w:pPr>
              <w:autoSpaceDE w:val="0"/>
              <w:autoSpaceDN w:val="0"/>
              <w:adjustRightInd w:val="0"/>
              <w:spacing w:line="320" w:lineRule="exact"/>
              <w:rPr>
                <w:rFonts w:ascii="方正仿宋简体" w:eastAsia="方正仿宋简体" w:cs="仿宋_GB2312" w:hAnsiTheme="minorEastAsia"/>
                <w:kern w:val="0"/>
                <w:szCs w:val="24"/>
              </w:rPr>
            </w:pPr>
            <w:r>
              <w:rPr>
                <w:rFonts w:hint="eastAsia" w:ascii="方正仿宋简体" w:eastAsia="方正仿宋简体" w:cs="仿宋_GB2312" w:hAnsiTheme="minorEastAsia"/>
                <w:kern w:val="0"/>
                <w:szCs w:val="24"/>
              </w:rPr>
              <w:t>恒生港股通高股息率指数收益率（经估值汇率调整后）×95%+银行活期存款利率(税后)×5%。</w:t>
            </w:r>
          </w:p>
        </w:tc>
      </w:tr>
      <w:tr>
        <w:tblPrEx>
          <w:tblBorders>
            <w:top w:val="single" w:color="auto" w:sz="4" w:space="0"/>
            <w:left w:val="none" w:color="auto" w:sz="0" w:space="0"/>
            <w:bottom w:val="single" w:color="auto"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228" w:type="pct"/>
            <w:vAlign w:val="center"/>
          </w:tcPr>
          <w:p>
            <w:pPr>
              <w:autoSpaceDE w:val="0"/>
              <w:autoSpaceDN w:val="0"/>
              <w:adjustRightInd w:val="0"/>
              <w:spacing w:line="320" w:lineRule="exact"/>
              <w:rPr>
                <w:rFonts w:ascii="方正仿宋简体" w:eastAsia="方正仿宋简体" w:cs="仿宋_GB2312" w:hAnsiTheme="minorEastAsia"/>
                <w:kern w:val="0"/>
                <w:sz w:val="22"/>
                <w:szCs w:val="24"/>
              </w:rPr>
            </w:pPr>
            <w:r>
              <w:rPr>
                <w:rFonts w:hint="eastAsia" w:ascii="方正仿宋简体" w:eastAsia="方正仿宋简体" w:cs="方正仿宋简体" w:hAnsiTheme="minorEastAsia"/>
                <w:b/>
                <w:bCs/>
                <w:iCs/>
                <w:szCs w:val="24"/>
              </w:rPr>
              <w:t>风险收益特征</w:t>
            </w:r>
          </w:p>
        </w:tc>
        <w:tc>
          <w:tcPr>
            <w:tcW w:w="3772" w:type="pct"/>
            <w:vAlign w:val="center"/>
          </w:tcPr>
          <w:p>
            <w:pPr>
              <w:autoSpaceDE w:val="0"/>
              <w:autoSpaceDN w:val="0"/>
              <w:adjustRightInd w:val="0"/>
              <w:spacing w:line="320" w:lineRule="exact"/>
              <w:rPr>
                <w:rFonts w:ascii="方正仿宋简体" w:eastAsia="方正仿宋简体" w:cs="仿宋_GB2312" w:hAnsiTheme="minorEastAsia"/>
                <w:kern w:val="0"/>
                <w:szCs w:val="24"/>
              </w:rPr>
            </w:pPr>
            <w:r>
              <w:rPr>
                <w:rFonts w:hint="eastAsia" w:ascii="方正仿宋简体" w:eastAsia="方正仿宋简体" w:cs="仿宋_GB2312" w:hAnsiTheme="minorEastAsia"/>
                <w:kern w:val="0"/>
                <w:szCs w:val="24"/>
              </w:rPr>
              <w:t>本基金为ETF联接基金，通过投资于目标ETF跟踪标的指数表现，具有与标的指数以及标的指数所代表的证券市场相似的风险收益特征。</w:t>
            </w:r>
          </w:p>
          <w:p>
            <w:pPr>
              <w:autoSpaceDE w:val="0"/>
              <w:autoSpaceDN w:val="0"/>
              <w:adjustRightInd w:val="0"/>
              <w:spacing w:line="320" w:lineRule="exact"/>
              <w:rPr>
                <w:rFonts w:ascii="方正仿宋简体" w:eastAsia="方正仿宋简体" w:cs="仿宋_GB2312" w:hAnsiTheme="minorEastAsia"/>
                <w:kern w:val="0"/>
                <w:szCs w:val="24"/>
              </w:rPr>
            </w:pPr>
            <w:r>
              <w:rPr>
                <w:rFonts w:hint="eastAsia" w:ascii="方正仿宋简体" w:eastAsia="方正仿宋简体" w:cs="仿宋_GB2312" w:hAnsiTheme="minorEastAsia"/>
                <w:kern w:val="0"/>
                <w:szCs w:val="24"/>
              </w:rPr>
              <w:t>同时，本基金为被动式投资的股票指数基金，跟踪恒生港股通高股息率指数，其预期风险与预期收益高于债券型基金、混合型基金、货币市场基金。</w:t>
            </w:r>
          </w:p>
          <w:p>
            <w:pPr>
              <w:autoSpaceDE w:val="0"/>
              <w:autoSpaceDN w:val="0"/>
              <w:adjustRightInd w:val="0"/>
              <w:spacing w:line="320" w:lineRule="exact"/>
              <w:rPr>
                <w:rFonts w:ascii="方正仿宋简体" w:eastAsia="方正仿宋简体" w:cs="仿宋_GB2312" w:hAnsiTheme="minorEastAsia"/>
                <w:kern w:val="0"/>
                <w:szCs w:val="24"/>
              </w:rPr>
            </w:pPr>
            <w:r>
              <w:rPr>
                <w:rFonts w:hint="eastAsia" w:ascii="方正仿宋简体" w:eastAsia="方正仿宋简体" w:cs="仿宋_GB2312" w:hAnsiTheme="minorEastAsia"/>
                <w:kern w:val="0"/>
                <w:szCs w:val="24"/>
              </w:rPr>
              <w:t>本基金通过主要投资于目标ETF，间接投资于香港证券市场，需承担港股通机制下因投资环境、投资标的、市场制度以及交易规则等差异带来的特有风险。</w:t>
            </w:r>
          </w:p>
        </w:tc>
      </w:tr>
    </w:tbl>
    <w:p>
      <w:pPr>
        <w:spacing w:line="320" w:lineRule="exact"/>
        <w:rPr>
          <w:rFonts w:ascii="方正仿宋简体" w:eastAsia="方正仿宋简体" w:cs="仿宋_GB2312" w:hAnsiTheme="minorEastAsia"/>
          <w:kern w:val="0"/>
          <w:szCs w:val="24"/>
        </w:rPr>
      </w:pPr>
    </w:p>
    <w:p>
      <w:pPr>
        <w:pStyle w:val="12"/>
        <w:numPr>
          <w:ilvl w:val="0"/>
          <w:numId w:val="3"/>
        </w:numPr>
        <w:spacing w:line="320" w:lineRule="exact"/>
        <w:ind w:firstLineChars="0"/>
        <w:outlineLvl w:val="1"/>
        <w:rPr>
          <w:rFonts w:ascii="方正仿宋简体" w:hAnsi="方正仿宋简体" w:eastAsia="方正仿宋简体" w:cs="方正仿宋简体"/>
          <w:b/>
          <w:iCs/>
          <w:sz w:val="24"/>
          <w:szCs w:val="24"/>
        </w:rPr>
      </w:pPr>
      <w:r>
        <w:rPr>
          <w:rFonts w:hint="eastAsia" w:ascii="方正仿宋简体" w:hAnsi="方正仿宋简体" w:eastAsia="方正仿宋简体" w:cs="方正仿宋简体"/>
          <w:b/>
          <w:iCs/>
          <w:sz w:val="24"/>
          <w:szCs w:val="24"/>
        </w:rPr>
        <w:t>投资组合资产配置图表/区域配置图表</w:t>
      </w:r>
    </w:p>
    <w:p>
      <w:pPr>
        <w:autoSpaceDE w:val="0"/>
        <w:autoSpaceDN w:val="0"/>
        <w:adjustRightInd w:val="0"/>
        <w:spacing w:line="280" w:lineRule="exact"/>
        <w:jc w:val="left"/>
        <w:rPr>
          <w:rFonts w:ascii="方正仿宋简体" w:hAnsi="方正仿宋简体" w:eastAsia="方正仿宋简体" w:cs="方正仿宋简体"/>
          <w:b/>
          <w:iCs/>
          <w:sz w:val="24"/>
          <w:szCs w:val="24"/>
        </w:rPr>
      </w:pPr>
      <w:r>
        <w:rPr>
          <w:rFonts w:hint="eastAsia" w:ascii="方正仿宋简体" w:eastAsia="方正仿宋简体" w:hAnsiTheme="minorEastAsia"/>
          <w:color w:val="000000" w:themeColor="text1"/>
          <w14:textFill>
            <w14:solidFill>
              <w14:schemeClr w14:val="tx1"/>
            </w14:solidFill>
          </w14:textFill>
        </w:rPr>
        <w:t>无</w:t>
      </w:r>
      <w:bookmarkStart w:id="0" w:name="_GoBack"/>
      <w:bookmarkEnd w:id="0"/>
    </w:p>
    <w:p>
      <w:pPr>
        <w:pStyle w:val="12"/>
        <w:numPr>
          <w:ilvl w:val="0"/>
          <w:numId w:val="3"/>
        </w:numPr>
        <w:spacing w:line="280" w:lineRule="exact"/>
        <w:ind w:firstLineChars="0"/>
        <w:outlineLvl w:val="1"/>
        <w:rPr>
          <w:rFonts w:ascii="方正仿宋简体" w:hAnsi="方正仿宋简体" w:eastAsia="方正仿宋简体" w:cs="方正仿宋简体"/>
          <w:b/>
          <w:iCs/>
          <w:sz w:val="24"/>
          <w:szCs w:val="24"/>
        </w:rPr>
      </w:pPr>
      <w:r>
        <w:rPr>
          <w:rFonts w:hint="eastAsia" w:ascii="方正仿宋简体" w:hAnsi="方正仿宋简体" w:eastAsia="方正仿宋简体" w:cs="方正仿宋简体"/>
          <w:b/>
          <w:iCs/>
          <w:sz w:val="24"/>
          <w:szCs w:val="24"/>
        </w:rPr>
        <w:t>自基金合同生效以来基金每年的净值增长率及与同期业绩比较基准的比较图</w:t>
      </w:r>
    </w:p>
    <w:p>
      <w:pPr>
        <w:autoSpaceDE w:val="0"/>
        <w:autoSpaceDN w:val="0"/>
        <w:adjustRightInd w:val="0"/>
        <w:spacing w:line="280" w:lineRule="exact"/>
        <w:jc w:val="left"/>
        <w:rPr>
          <w:rFonts w:ascii="方正仿宋简体" w:eastAsia="方正仿宋简体" w:hAnsiTheme="minorEastAsia"/>
          <w:color w:val="000000" w:themeColor="text1"/>
          <w14:textFill>
            <w14:solidFill>
              <w14:schemeClr w14:val="tx1"/>
            </w14:solidFill>
          </w14:textFill>
        </w:rPr>
      </w:pPr>
      <w:r>
        <w:rPr>
          <w:rFonts w:hint="eastAsia" w:ascii="方正仿宋简体" w:eastAsia="方正仿宋简体" w:hAnsiTheme="minorEastAsia"/>
          <w:color w:val="000000" w:themeColor="text1"/>
          <w14:textFill>
            <w14:solidFill>
              <w14:schemeClr w14:val="tx1"/>
            </w14:solidFill>
          </w14:textFill>
        </w:rPr>
        <w:t>无</w:t>
      </w:r>
    </w:p>
    <w:p>
      <w:pPr>
        <w:numPr>
          <w:ilvl w:val="0"/>
          <w:numId w:val="2"/>
        </w:numPr>
        <w:spacing w:line="440" w:lineRule="exact"/>
        <w:outlineLvl w:val="0"/>
        <w:rPr>
          <w:rFonts w:ascii="方正仿宋简体" w:hAnsi="方正仿宋简体" w:eastAsia="方正仿宋简体" w:cs="方正仿宋简体"/>
          <w:b/>
          <w:iCs/>
          <w:sz w:val="24"/>
          <w:szCs w:val="24"/>
        </w:rPr>
      </w:pPr>
      <w:r>
        <w:rPr>
          <w:rFonts w:hint="eastAsia" w:ascii="方正仿宋简体" w:hAnsi="方正仿宋简体" w:eastAsia="方正仿宋简体" w:cs="方正仿宋简体"/>
          <w:b/>
          <w:iCs/>
          <w:sz w:val="24"/>
          <w:szCs w:val="24"/>
        </w:rPr>
        <w:t>投资本基金涉及的费用</w:t>
      </w:r>
    </w:p>
    <w:p>
      <w:pPr>
        <w:pStyle w:val="12"/>
        <w:numPr>
          <w:ilvl w:val="0"/>
          <w:numId w:val="4"/>
        </w:numPr>
        <w:spacing w:line="320" w:lineRule="exact"/>
        <w:ind w:firstLineChars="0"/>
        <w:outlineLvl w:val="1"/>
        <w:rPr>
          <w:rFonts w:ascii="方正仿宋简体" w:hAnsi="方正仿宋简体" w:eastAsia="方正仿宋简体" w:cs="方正仿宋简体"/>
          <w:b/>
          <w:iCs/>
          <w:sz w:val="24"/>
          <w:szCs w:val="24"/>
        </w:rPr>
      </w:pPr>
      <w:r>
        <w:rPr>
          <w:rFonts w:hint="eastAsia" w:ascii="方正仿宋简体" w:hAnsi="方正仿宋简体" w:eastAsia="方正仿宋简体" w:cs="方正仿宋简体"/>
          <w:b/>
          <w:iCs/>
          <w:sz w:val="24"/>
          <w:szCs w:val="24"/>
        </w:rPr>
        <w:t>基金销售相关费用</w:t>
      </w:r>
    </w:p>
    <w:p>
      <w:pPr>
        <w:autoSpaceDE w:val="0"/>
        <w:autoSpaceDN w:val="0"/>
        <w:adjustRightInd w:val="0"/>
        <w:spacing w:line="320" w:lineRule="exact"/>
        <w:jc w:val="left"/>
        <w:rPr>
          <w:rFonts w:ascii="方正仿宋简体" w:eastAsia="方正仿宋简体"/>
        </w:rPr>
      </w:pPr>
      <w:r>
        <w:rPr>
          <w:rFonts w:hint="eastAsia" w:ascii="方正仿宋简体" w:hAnsi="方正仿宋简体" w:eastAsia="方正仿宋简体" w:cs="方正仿宋简体"/>
          <w:iCs/>
        </w:rPr>
        <w:t>以下费用在认购/申购/赎回基金过程中收取：</w:t>
      </w:r>
    </w:p>
    <w:tbl>
      <w:tblPr>
        <w:tblStyle w:val="7"/>
        <w:tblW w:w="5000" w:type="pct"/>
        <w:tblInd w:w="0" w:type="dxa"/>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Layout w:type="autofit"/>
        <w:tblCellMar>
          <w:top w:w="0" w:type="dxa"/>
          <w:left w:w="108" w:type="dxa"/>
          <w:bottom w:w="0" w:type="dxa"/>
          <w:right w:w="108" w:type="dxa"/>
        </w:tblCellMar>
      </w:tblPr>
      <w:tblGrid>
        <w:gridCol w:w="2978"/>
        <w:gridCol w:w="4089"/>
        <w:gridCol w:w="2485"/>
        <w:gridCol w:w="1130"/>
      </w:tblGrid>
      <w:tr>
        <w:tblPrEx>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394" w:type="pct"/>
            <w:vAlign w:val="center"/>
          </w:tcPr>
          <w:p>
            <w:pPr>
              <w:spacing w:line="320" w:lineRule="exact"/>
              <w:jc w:val="center"/>
              <w:rPr>
                <w:rFonts w:ascii="方正仿宋简体" w:hAnsi="方正仿宋简体" w:eastAsia="方正仿宋简体" w:cs="方正仿宋简体"/>
                <w:b/>
                <w:bCs/>
                <w:iCs/>
              </w:rPr>
            </w:pPr>
            <w:r>
              <w:rPr>
                <w:rFonts w:hint="eastAsia" w:ascii="方正仿宋简体" w:hAnsi="方正仿宋简体" w:eastAsia="方正仿宋简体" w:cs="方正仿宋简体"/>
                <w:b/>
                <w:bCs/>
                <w:iCs/>
              </w:rPr>
              <w:t>费用类型</w:t>
            </w:r>
          </w:p>
        </w:tc>
        <w:tc>
          <w:tcPr>
            <w:tcW w:w="1914" w:type="pct"/>
            <w:vAlign w:val="center"/>
          </w:tcPr>
          <w:p>
            <w:pPr>
              <w:spacing w:line="320" w:lineRule="exact"/>
              <w:jc w:val="center"/>
              <w:rPr>
                <w:rFonts w:ascii="方正仿宋简体" w:hAnsi="方正仿宋简体" w:eastAsia="方正仿宋简体" w:cs="方正仿宋简体"/>
                <w:b/>
                <w:bCs/>
                <w:iCs/>
              </w:rPr>
            </w:pPr>
            <w:r>
              <w:rPr>
                <w:rFonts w:hint="eastAsia" w:ascii="方正仿宋简体" w:hAnsi="方正仿宋简体" w:eastAsia="方正仿宋简体" w:cs="方正仿宋简体"/>
                <w:b/>
                <w:bCs/>
                <w:iCs/>
              </w:rPr>
              <w:t>份额（S）或金额（M）</w:t>
            </w:r>
          </w:p>
          <w:p>
            <w:pPr>
              <w:spacing w:line="320" w:lineRule="exact"/>
              <w:jc w:val="center"/>
              <w:rPr>
                <w:rFonts w:ascii="方正仿宋简体" w:hAnsi="方正仿宋简体" w:eastAsia="方正仿宋简体" w:cs="方正仿宋简体"/>
                <w:b/>
                <w:bCs/>
                <w:iCs/>
              </w:rPr>
            </w:pPr>
            <w:r>
              <w:rPr>
                <w:rFonts w:hint="eastAsia" w:ascii="方正仿宋简体" w:hAnsi="方正仿宋简体" w:eastAsia="方正仿宋简体" w:cs="方正仿宋简体"/>
                <w:b/>
                <w:bCs/>
                <w:iCs/>
              </w:rPr>
              <w:t>/持有期限（N）</w:t>
            </w:r>
          </w:p>
        </w:tc>
        <w:tc>
          <w:tcPr>
            <w:tcW w:w="1163" w:type="pct"/>
            <w:vAlign w:val="center"/>
          </w:tcPr>
          <w:p>
            <w:pPr>
              <w:spacing w:line="320" w:lineRule="exact"/>
              <w:jc w:val="center"/>
              <w:rPr>
                <w:rFonts w:ascii="方正仿宋简体" w:hAnsi="方正仿宋简体" w:eastAsia="方正仿宋简体" w:cs="方正仿宋简体"/>
                <w:b/>
                <w:bCs/>
                <w:iCs/>
              </w:rPr>
            </w:pPr>
            <w:r>
              <w:rPr>
                <w:rFonts w:hint="eastAsia" w:ascii="方正仿宋简体" w:hAnsi="方正仿宋简体" w:eastAsia="方正仿宋简体" w:cs="方正仿宋简体"/>
                <w:b/>
                <w:bCs/>
                <w:iCs/>
              </w:rPr>
              <w:t>收费方式/费率</w:t>
            </w:r>
          </w:p>
        </w:tc>
        <w:tc>
          <w:tcPr>
            <w:tcW w:w="529" w:type="pct"/>
            <w:vAlign w:val="center"/>
          </w:tcPr>
          <w:p>
            <w:pPr>
              <w:spacing w:line="320" w:lineRule="exact"/>
              <w:jc w:val="center"/>
              <w:rPr>
                <w:rFonts w:ascii="方正仿宋简体" w:hAnsi="方正仿宋简体" w:eastAsia="方正仿宋简体" w:cs="方正仿宋简体"/>
                <w:b/>
                <w:bCs/>
                <w:iCs/>
              </w:rPr>
            </w:pPr>
            <w:r>
              <w:rPr>
                <w:rFonts w:hint="eastAsia" w:ascii="方正仿宋简体" w:hAnsi="方正仿宋简体" w:eastAsia="方正仿宋简体" w:cs="方正仿宋简体"/>
                <w:b/>
                <w:bCs/>
                <w:iCs/>
              </w:rPr>
              <w:t>备注</w:t>
            </w:r>
          </w:p>
        </w:tc>
      </w:tr>
      <w:tr>
        <w:tblPrEx>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394" w:type="pct"/>
            <w:vMerge w:val="restart"/>
            <w:vAlign w:val="center"/>
          </w:tcPr>
          <w:p>
            <w:pPr>
              <w:spacing w:line="320" w:lineRule="exact"/>
              <w:jc w:val="center"/>
              <w:rPr>
                <w:rFonts w:ascii="方正仿宋简体" w:hAnsi="方正仿宋简体" w:eastAsia="方正仿宋简体" w:cs="方正仿宋简体"/>
                <w:b/>
                <w:bCs/>
                <w:iCs/>
              </w:rPr>
            </w:pPr>
            <w:r>
              <w:rPr>
                <w:rFonts w:hint="eastAsia" w:ascii="方正仿宋简体" w:hAnsi="方正仿宋简体" w:eastAsia="方正仿宋简体" w:cs="方正仿宋简体"/>
                <w:b/>
                <w:bCs/>
                <w:iCs/>
              </w:rPr>
              <w:t>赎回费</w:t>
            </w:r>
          </w:p>
        </w:tc>
        <w:tc>
          <w:tcPr>
            <w:tcW w:w="1914"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 xml:space="preserve">  N &lt; 7天 </w:t>
            </w:r>
          </w:p>
        </w:tc>
        <w:tc>
          <w:tcPr>
            <w:tcW w:w="1163"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 xml:space="preserve">1.50%  </w:t>
            </w:r>
          </w:p>
        </w:tc>
        <w:tc>
          <w:tcPr>
            <w:tcW w:w="529"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100%计入资产</w:t>
            </w:r>
          </w:p>
        </w:tc>
      </w:tr>
      <w:tr>
        <w:tblPrEx>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394" w:type="pct"/>
            <w:vMerge w:val="continue"/>
            <w:vAlign w:val="center"/>
          </w:tcPr>
          <w:p>
            <w:pPr>
              <w:spacing w:line="320" w:lineRule="exact"/>
              <w:jc w:val="center"/>
              <w:rPr>
                <w:rFonts w:ascii="方正仿宋简体" w:hAnsi="方正仿宋简体" w:eastAsia="方正仿宋简体" w:cs="方正仿宋简体"/>
                <w:b/>
                <w:bCs/>
                <w:iCs/>
              </w:rPr>
            </w:pPr>
            <w:r>
              <w:rPr>
                <w:rFonts w:hint="eastAsia" w:ascii="方正仿宋简体" w:hAnsi="方正仿宋简体" w:eastAsia="方正仿宋简体" w:cs="方正仿宋简体"/>
                <w:b/>
                <w:bCs/>
                <w:iCs/>
              </w:rPr>
              <w:t>赎回费</w:t>
            </w:r>
          </w:p>
        </w:tc>
        <w:tc>
          <w:tcPr>
            <w:tcW w:w="1914"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 xml:space="preserve">　 　 N ≥ 7天 </w:t>
            </w:r>
          </w:p>
        </w:tc>
        <w:tc>
          <w:tcPr>
            <w:tcW w:w="1163"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 xml:space="preserve">0.00%  </w:t>
            </w:r>
          </w:p>
        </w:tc>
        <w:tc>
          <w:tcPr>
            <w:tcW w:w="529" w:type="pct"/>
            <w:vAlign w:val="center"/>
          </w:tcPr>
          <w:p>
            <w:pPr>
              <w:spacing w:line="320" w:lineRule="exact"/>
              <w:jc w:val="center"/>
              <w:rPr>
                <w:rFonts w:ascii="方正仿宋简体" w:hAnsi="方正仿宋简体" w:eastAsia="方正仿宋简体" w:cs="方正仿宋简体"/>
                <w:bCs/>
                <w:iCs/>
              </w:rPr>
            </w:pPr>
          </w:p>
        </w:tc>
      </w:tr>
    </w:tbl>
    <w:p>
      <w:pPr>
        <w:spacing w:line="320" w:lineRule="exact"/>
        <w:rPr>
          <w:rFonts w:ascii="方正仿宋简体" w:eastAsia="方正仿宋简体" w:hAnsiTheme="minorEastAsia"/>
          <w:b/>
          <w:color w:val="000000"/>
        </w:rPr>
      </w:pPr>
      <w:r>
        <w:rPr>
          <w:rFonts w:hint="eastAsia" w:ascii="方正仿宋简体" w:eastAsia="方正仿宋简体" w:hAnsiTheme="minorEastAsia"/>
          <w:b/>
          <w:color w:val="000000"/>
        </w:rPr>
        <w:t>申购费：</w:t>
      </w:r>
    </w:p>
    <w:p>
      <w:pPr>
        <w:spacing w:line="320" w:lineRule="exact"/>
        <w:rPr>
          <w:rFonts w:ascii="方正仿宋简体" w:eastAsia="方正仿宋简体" w:hAnsiTheme="minorEastAsia"/>
          <w:color w:val="000000"/>
        </w:rPr>
      </w:pPr>
      <w:r>
        <w:rPr>
          <w:rFonts w:hint="eastAsia" w:ascii="方正仿宋简体" w:eastAsia="方正仿宋简体" w:hAnsiTheme="minorEastAsia"/>
          <w:color w:val="000000"/>
        </w:rPr>
        <w:t>本基金C类基金份额不收取申购费</w:t>
      </w:r>
    </w:p>
    <w:p>
      <w:pPr>
        <w:spacing w:line="320" w:lineRule="exact"/>
        <w:rPr>
          <w:rFonts w:ascii="方正仿宋简体" w:eastAsia="方正仿宋简体" w:cs="方正仿宋简体" w:hAnsiTheme="minorEastAsia"/>
          <w:b/>
          <w:iCs/>
          <w:sz w:val="24"/>
          <w:szCs w:val="24"/>
        </w:rPr>
      </w:pPr>
    </w:p>
    <w:p>
      <w:pPr>
        <w:spacing w:line="320" w:lineRule="exact"/>
        <w:outlineLvl w:val="1"/>
        <w:rPr>
          <w:rFonts w:ascii="方正仿宋简体" w:hAnsi="方正仿宋简体" w:eastAsia="方正仿宋简体" w:cs="方正仿宋简体"/>
          <w:b/>
          <w:iCs/>
          <w:sz w:val="24"/>
          <w:szCs w:val="24"/>
        </w:rPr>
      </w:pPr>
      <w:r>
        <w:rPr>
          <w:rFonts w:hint="eastAsia" w:ascii="方正仿宋简体" w:hAnsi="方正仿宋简体" w:eastAsia="方正仿宋简体" w:cs="方正仿宋简体"/>
          <w:b/>
          <w:iCs/>
          <w:sz w:val="24"/>
          <w:szCs w:val="24"/>
        </w:rPr>
        <w:t>（二）基金运作相关费用</w:t>
      </w:r>
    </w:p>
    <w:p>
      <w:pPr>
        <w:autoSpaceDE w:val="0"/>
        <w:autoSpaceDN w:val="0"/>
        <w:adjustRightInd w:val="0"/>
        <w:spacing w:line="320" w:lineRule="exact"/>
        <w:jc w:val="left"/>
        <w:rPr>
          <w:rFonts w:ascii="方正仿宋简体" w:hAnsi="方正仿宋简体" w:eastAsia="方正仿宋简体" w:cs="方正仿宋简体"/>
          <w:iCs/>
        </w:rPr>
      </w:pPr>
      <w:r>
        <w:rPr>
          <w:rFonts w:hint="eastAsia" w:ascii="方正仿宋简体" w:eastAsia="方正仿宋简体"/>
        </w:rPr>
        <w:t>以下</w:t>
      </w:r>
      <w:r>
        <w:rPr>
          <w:rFonts w:hint="eastAsia" w:ascii="方正仿宋简体" w:hAnsi="方正仿宋简体" w:eastAsia="方正仿宋简体" w:cs="方正仿宋简体"/>
          <w:iCs/>
        </w:rPr>
        <w:t>费用将从基金资产中扣除：</w:t>
      </w:r>
    </w:p>
    <w:tbl>
      <w:tblPr>
        <w:tblStyle w:val="7"/>
        <w:tblW w:w="5000" w:type="pct"/>
        <w:tblInd w:w="0" w:type="dxa"/>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Layout w:type="autofit"/>
        <w:tblCellMar>
          <w:top w:w="0" w:type="dxa"/>
          <w:left w:w="108" w:type="dxa"/>
          <w:bottom w:w="0" w:type="dxa"/>
          <w:right w:w="108" w:type="dxa"/>
        </w:tblCellMar>
      </w:tblPr>
      <w:tblGrid>
        <w:gridCol w:w="3155"/>
        <w:gridCol w:w="7527"/>
      </w:tblGrid>
      <w:tr>
        <w:tblPrEx>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477" w:type="pct"/>
            <w:vAlign w:val="center"/>
          </w:tcPr>
          <w:p>
            <w:pPr>
              <w:spacing w:line="320" w:lineRule="exact"/>
              <w:rPr>
                <w:rFonts w:ascii="方正仿宋简体" w:hAnsi="方正仿宋简体" w:eastAsia="方正仿宋简体" w:cs="方正仿宋简体"/>
                <w:b/>
                <w:bCs/>
              </w:rPr>
            </w:pPr>
            <w:r>
              <w:rPr>
                <w:rFonts w:hint="eastAsia" w:ascii="方正仿宋简体" w:hAnsi="方正仿宋简体" w:eastAsia="方正仿宋简体" w:cs="方正仿宋简体"/>
                <w:b/>
                <w:bCs/>
                <w:iCs/>
              </w:rPr>
              <w:t>费用类别</w:t>
            </w:r>
          </w:p>
        </w:tc>
        <w:tc>
          <w:tcPr>
            <w:tcW w:w="3523" w:type="pct"/>
            <w:vAlign w:val="center"/>
          </w:tcPr>
          <w:p>
            <w:pPr>
              <w:spacing w:line="320" w:lineRule="exact"/>
              <w:jc w:val="center"/>
              <w:rPr>
                <w:rFonts w:ascii="方正仿宋简体" w:hAnsi="方正仿宋简体" w:eastAsia="方正仿宋简体" w:cs="方正仿宋简体"/>
                <w:b/>
                <w:bCs/>
                <w:iCs/>
              </w:rPr>
            </w:pPr>
            <w:r>
              <w:rPr>
                <w:rFonts w:hint="eastAsia" w:ascii="方正仿宋简体" w:hAnsi="方正仿宋简体" w:eastAsia="方正仿宋简体" w:cs="方正仿宋简体"/>
                <w:b/>
                <w:bCs/>
                <w:iCs/>
              </w:rPr>
              <w:t>收费方式/年费率</w:t>
            </w:r>
          </w:p>
        </w:tc>
      </w:tr>
      <w:tr>
        <w:tblPrEx>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477" w:type="pct"/>
            <w:vAlign w:val="center"/>
          </w:tcPr>
          <w:p>
            <w:pPr>
              <w:spacing w:line="320" w:lineRule="exact"/>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管理费</w:t>
            </w:r>
          </w:p>
        </w:tc>
        <w:tc>
          <w:tcPr>
            <w:tcW w:w="3523"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固定比例 0.50%</w:t>
            </w:r>
          </w:p>
        </w:tc>
      </w:tr>
      <w:tr>
        <w:tblPrEx>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477" w:type="pct"/>
            <w:vAlign w:val="center"/>
          </w:tcPr>
          <w:p>
            <w:pPr>
              <w:spacing w:line="320" w:lineRule="exact"/>
              <w:rPr>
                <w:rFonts w:ascii="方正仿宋简体" w:eastAsia="方正仿宋简体" w:cs="方正仿宋简体" w:hAnsiTheme="minorEastAsia"/>
                <w:bCs/>
                <w:iCs/>
              </w:rPr>
            </w:pPr>
            <w:r>
              <w:rPr>
                <w:rFonts w:hint="eastAsia" w:ascii="方正仿宋简体" w:eastAsia="方正仿宋简体" w:cs="方正仿宋简体" w:hAnsiTheme="minorEastAsia"/>
                <w:bCs/>
                <w:iCs/>
              </w:rPr>
              <w:t>托管费</w:t>
            </w:r>
          </w:p>
        </w:tc>
        <w:tc>
          <w:tcPr>
            <w:tcW w:w="3523" w:type="pct"/>
            <w:vAlign w:val="center"/>
          </w:tcPr>
          <w:p>
            <w:pPr>
              <w:spacing w:line="320" w:lineRule="exact"/>
              <w:jc w:val="center"/>
              <w:rPr>
                <w:rFonts w:ascii="方正仿宋简体" w:eastAsia="方正仿宋简体" w:cs="方正仿宋简体" w:hAnsiTheme="minorEastAsia"/>
                <w:bCs/>
                <w:iCs/>
              </w:rPr>
            </w:pPr>
            <w:r>
              <w:rPr>
                <w:rFonts w:hint="eastAsia" w:ascii="方正仿宋简体" w:eastAsia="方正仿宋简体" w:cs="方正仿宋简体" w:hAnsiTheme="minorEastAsia"/>
                <w:bCs/>
                <w:iCs/>
              </w:rPr>
              <w:t>固定比例 0.10%</w:t>
            </w:r>
          </w:p>
        </w:tc>
      </w:tr>
      <w:tr>
        <w:tblPrEx>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477" w:type="pct"/>
            <w:vAlign w:val="center"/>
          </w:tcPr>
          <w:p>
            <w:pPr>
              <w:spacing w:line="320" w:lineRule="exact"/>
              <w:rPr>
                <w:rFonts w:ascii="方正仿宋简体" w:hAnsi="方正仿宋简体" w:eastAsia="方正仿宋简体" w:cs="方正仿宋简体"/>
                <w:iCs/>
              </w:rPr>
            </w:pPr>
            <w:r>
              <w:rPr>
                <w:rFonts w:hint="eastAsia" w:ascii="方正仿宋简体" w:hAnsi="方正仿宋简体" w:eastAsia="方正仿宋简体" w:cs="方正仿宋简体"/>
                <w:iCs/>
              </w:rPr>
              <w:t>销售服务费</w:t>
            </w:r>
          </w:p>
        </w:tc>
        <w:tc>
          <w:tcPr>
            <w:tcW w:w="3523" w:type="pct"/>
            <w:vAlign w:val="center"/>
          </w:tcPr>
          <w:p>
            <w:pPr>
              <w:spacing w:line="320" w:lineRule="exact"/>
              <w:jc w:val="center"/>
              <w:rPr>
                <w:rFonts w:ascii="方正仿宋简体" w:eastAsia="方正仿宋简体" w:cs="方正仿宋简体" w:hAnsiTheme="minorEastAsia"/>
                <w:bCs/>
                <w:iCs/>
              </w:rPr>
            </w:pPr>
            <w:r>
              <w:rPr>
                <w:rFonts w:hint="eastAsia" w:ascii="方正仿宋简体" w:eastAsia="方正仿宋简体" w:cs="方正仿宋简体" w:hAnsiTheme="minorEastAsia"/>
                <w:bCs/>
                <w:iCs/>
              </w:rPr>
              <w:t>固定比例 0.40%</w:t>
            </w:r>
          </w:p>
        </w:tc>
      </w:tr>
      <w:tr>
        <w:tblPrEx>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477" w:type="pct"/>
            <w:vAlign w:val="center"/>
          </w:tcPr>
          <w:p>
            <w:pPr>
              <w:spacing w:line="320" w:lineRule="exact"/>
              <w:rPr>
                <w:rFonts w:ascii="方正仿宋简体" w:hAnsi="方正仿宋简体" w:eastAsia="方正仿宋简体" w:cs="方正仿宋简体"/>
                <w:iCs/>
              </w:rPr>
            </w:pPr>
            <w:r>
              <w:rPr>
                <w:rFonts w:hint="eastAsia" w:ascii="方正仿宋简体" w:hAnsi="方正仿宋简体" w:eastAsia="方正仿宋简体" w:cs="方正仿宋简体"/>
                <w:iCs/>
              </w:rPr>
              <w:t>其他费用</w:t>
            </w:r>
          </w:p>
        </w:tc>
        <w:tc>
          <w:tcPr>
            <w:tcW w:w="3523" w:type="pct"/>
            <w:vAlign w:val="center"/>
          </w:tcPr>
          <w:p>
            <w:pPr>
              <w:spacing w:line="320" w:lineRule="exact"/>
              <w:jc w:val="center"/>
              <w:rPr>
                <w:rFonts w:ascii="方正仿宋简体" w:eastAsia="方正仿宋简体" w:cs="方正仿宋简体" w:hAnsiTheme="minorEastAsia"/>
                <w:bCs/>
                <w:iCs/>
              </w:rPr>
            </w:pPr>
            <w:r>
              <w:rPr>
                <w:rFonts w:hint="eastAsia" w:ascii="方正仿宋简体" w:eastAsia="方正仿宋简体" w:cs="方正仿宋简体" w:hAnsiTheme="minorEastAsia"/>
                <w:bCs/>
                <w:iCs/>
              </w:rPr>
              <w:t xml:space="preserve">《基金合同》生效后与基金相关的信息披露费用（法律法规、中国证监会另有规定的除外）；基金份额持有人大会费用；《基金合同》生效后与基金相关的会计师费、律师费、仲裁费、诉讼费和公证费；基金的证券、期货、期权交易、结算费用；基金的银行汇划费用；账户开户费用、账户维护费用；因投资港股通标的股票而产生的各项合理费用；基金依照有关法律法规应当缴纳的，购买或处置证券有关的任何税收、征费、关税、印花税及预扣提税（以及与前述各项有关的任何利息及费用）（简称“税收”），及基金缴纳税收有关的手续费、汇款费、顾问费等；基金投资目标ETF的相关费用；按照国家有关规定和《基金合同》约定，可以在基金财产中列支的其他费用。 </w:t>
            </w:r>
          </w:p>
        </w:tc>
      </w:tr>
    </w:tbl>
    <w:p>
      <w:pPr>
        <w:autoSpaceDE w:val="0"/>
        <w:autoSpaceDN w:val="0"/>
        <w:adjustRightInd w:val="0"/>
        <w:spacing w:line="320" w:lineRule="exact"/>
        <w:jc w:val="left"/>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注： 本基金交易证券等产生的费用和税负，按实际发生额从基金资产扣除。</w:t>
      </w:r>
    </w:p>
    <w:p>
      <w:pPr>
        <w:autoSpaceDE w:val="0"/>
        <w:autoSpaceDN w:val="0"/>
        <w:adjustRightInd w:val="0"/>
        <w:spacing w:line="280" w:lineRule="exact"/>
        <w:jc w:val="left"/>
        <w:rPr>
          <w:rFonts w:ascii="方正仿宋简体" w:eastAsia="方正仿宋简体" w:cs="仿宋_GB2312" w:hAnsiTheme="minorEastAsia"/>
          <w:kern w:val="0"/>
          <w:szCs w:val="24"/>
        </w:rPr>
      </w:pPr>
    </w:p>
    <w:p>
      <w:pPr>
        <w:numPr>
          <w:ilvl w:val="0"/>
          <w:numId w:val="2"/>
        </w:numPr>
        <w:spacing w:line="440" w:lineRule="exact"/>
        <w:outlineLvl w:val="0"/>
        <w:rPr>
          <w:rFonts w:ascii="方正仿宋简体" w:hAnsi="方正仿宋简体" w:eastAsia="方正仿宋简体" w:cs="方正仿宋简体"/>
          <w:b/>
          <w:iCs/>
          <w:sz w:val="24"/>
          <w:szCs w:val="24"/>
        </w:rPr>
      </w:pPr>
      <w:r>
        <w:rPr>
          <w:rFonts w:hint="eastAsia" w:ascii="方正仿宋简体" w:hAnsi="方正仿宋简体" w:eastAsia="方正仿宋简体" w:cs="方正仿宋简体"/>
          <w:b/>
          <w:iCs/>
          <w:sz w:val="24"/>
          <w:szCs w:val="24"/>
        </w:rPr>
        <w:t>风险揭示与重要提示</w:t>
      </w:r>
    </w:p>
    <w:p>
      <w:pPr>
        <w:pStyle w:val="12"/>
        <w:numPr>
          <w:ilvl w:val="0"/>
          <w:numId w:val="5"/>
        </w:numPr>
        <w:spacing w:line="320" w:lineRule="exact"/>
        <w:ind w:firstLineChars="0"/>
        <w:outlineLvl w:val="1"/>
        <w:rPr>
          <w:rFonts w:ascii="方正仿宋简体" w:hAnsi="方正仿宋简体" w:eastAsia="方正仿宋简体" w:cs="方正仿宋简体"/>
          <w:b/>
          <w:bCs/>
          <w:iCs/>
          <w:sz w:val="24"/>
          <w:szCs w:val="24"/>
        </w:rPr>
      </w:pPr>
      <w:r>
        <w:rPr>
          <w:rFonts w:hint="eastAsia" w:ascii="方正仿宋简体" w:hAnsi="方正仿宋简体" w:eastAsia="方正仿宋简体" w:cs="方正仿宋简体"/>
          <w:b/>
          <w:bCs/>
          <w:iCs/>
          <w:sz w:val="24"/>
          <w:szCs w:val="24"/>
        </w:rPr>
        <w:t>风险揭示</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本基金不提供任何保证。投资者可能损失投资本金。</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投资有风险，投资者购买基金时应认真阅读本基金的《招募说明书》等销售文件。</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投资者应认真阅读《基金合同》、《招募说明书》等法律文件，及时关注本公司出具的适当性意见，各销售机构关于适当性的意见不必然一致，本公司的适当性匹配意见并不表明对基金的风险和收益做出实质性判断或者保证。基金合同中关于基金风险收益特征与基金风险等级因考虑因素不同而存在差异。投资者应了解基金的风险收益情况，结合自身投资目的、期限、投资经验及风险承受能力谨慎决策并自行承担风险，不应采信不符合法律法规要求的销售行为及违规宣传推介材料。</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1、本基金特有风险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1）标的指数的风险：即标的指数因为编制方法的缺陷有可能导致标的指数的表现与总体市场表现存在差异，因标的指数编制方法的不成熟也可能导致指数调整较大，增加基金投资成本，并有可能因此而增加跟踪误差，影响投资收益。</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（2）标的指数波动的风险：标的指数成份股的价格可能受到政治因素、经济因素、上市公司状况、投资人心理和交易制度等各种因素的影响而波动，导致指数波动，从而使基金收益水平发生变化，产生风险。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（3）标的指数变更的风险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（4）指数编制机构停止服务的风险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基金合同终止。因此，投资人将面临更换基金标的指数、转换运作方式、与其他基金合并或者终止基金合同等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（5）投资于目标ETF基金带来的风险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由于主要投资于目标ETF，所以本基金会面临诸如目标ETF的管理风险与操作风险、目标ETF基金份额二级市场交易价格折溢价的风险、目标ETF的技术风险等风险。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（6）投资股票期权的风险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流动性风险：由于股票期权合约众多，交易较为分散，股票期权市场的流动性一般较期货市场要低，尤其是深度实值和虚值的股票期权，成交量稀少，持有这些股票期权的投资者容易遇到无法成交、平仓出局的局面。</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价格风险：股票期权买方的价格风险即为他所付出的权利金，风险具有确定性。股票期权卖方的价格风险不定，不过其所收取的权利金可以提供相应保护，当发生亏损时，可以抵消部分损失。</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操作风险：操作风险是指由于管理不善或者制度执行出现问题等原因所导致的风险。股票期权作为一种衍生品，虽然可以用来管理风险，但若使用不当，也会产生巨额损失。</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（7）投资资产支持证券的风险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资产支持证券（ABS）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（8）投资股指期货的风险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本基金可投资于股指期货，股指期货作为一种金融衍生品，主要存在以下风险：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1）市场风险：是指由于股指期货价格变动而给投资人带来的风险；2）流动性风险：是指由于股指期货合约无法及时变现所带来的风险；3）基差风险：是指股指期货合约价格和标的指数价格之间的价格差的波动所造成的风险；4）保证金风险：是指由于无法及时筹措资金满足建立或者维持股指期货合约头寸所要求的保证金而带来的风险；5）杠杆风险：因股指期货采用保证金交易而存在杠杆，基金财产可能因此产生更大的收益波动；6）信用风险：是指期货经纪公司违约而产生损失的风险；7）操作风险：是指由于内部流程的不完善，业务人员出现差错或者疏漏，或者系统出现故障等原因造成损失的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（9）投资国债期货的风险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本基金的一部分资产将可能投资于国债期货，国债期货市场的风险类型较为复杂，涉及面广，具有放大性与可预防性等特征。其风险主要有由利率波动原因造成的市场价格风险、由宏观因素和政策因素变化而引起的系统风险、由市场和资金流动性原因引起的流动性风险、由交易制度不完善而引发的制度性风险以及由技术系统故障及操作失误造成的技术系统风险等。</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（10）融资和转融通证券出借业务的主要风险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主要包括流动性风险、交易对手违约风险、市场风险、提前或延迟了结风险、跟踪误差风险、杠杆效应放大风险、担保能力及限制交易风险、强制平仓风险、操作风险、法律合规风险。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（11）港股通机制下，港股投资风险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本基金投资范围为包括内地与香港股票市场交易互联互通机制下允许投资的香港联合交易所上市的股票，本基金面临港股通机制下因投资环境、投资者结构、投资标的构成、市场制度以及交易规则等差异所带来的特有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包括但不限于：市场联动的风险、股价波动的风险、汇率风险、港股通额度限制、港股通可投资标的范围调整带来的风险、港股通交易日设定的风险、交收制度带来的基金流动性风险、港股通下对公司行为的处理规则带来的风险、香港联合交易所停牌、退市等制度性差异带来的风险、港股通规则变动带来的风险、其他可能的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（12）投资于存托凭证的风险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本基金的投资范围包括存托凭证，本基金将面临存托凭证价格大幅波动甚至出现较大亏损的风险，以及与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（13）自动清算的风险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本基金是发起式基金，在本基金的基金合同生效之日起三年后的对应日，若基金资产净值低于两亿元的，本基金将根据基金合同的约定进行基金财产清算并终止，无需召开基金份额持有人大会审议，且不得通过召开基金份额持有人大会的方式延续基金合同。</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因此本基金有面临自动清算的风险。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2、本基金普通风险：市场风险（政策风险、经济周期风险、利率风险、购买力风险、再投资风险、信用风险、债券回购风险等）、管理风险（决策风险、操作风险、技术风险等）、流动性风险、合规性风险和其他风险。</w:t>
      </w:r>
    </w:p>
    <w:p>
      <w:pPr>
        <w:spacing w:line="320" w:lineRule="exact"/>
        <w:outlineLvl w:val="1"/>
        <w:rPr>
          <w:rFonts w:ascii="方正仿宋简体" w:hAnsi="方正仿宋简体" w:eastAsia="方正仿宋简体" w:cs="方正仿宋简体"/>
          <w:b/>
          <w:iCs/>
          <w:sz w:val="22"/>
          <w:szCs w:val="24"/>
        </w:rPr>
      </w:pPr>
      <w:r>
        <w:rPr>
          <w:rFonts w:hint="eastAsia" w:ascii="方正仿宋简体" w:hAnsi="方正仿宋简体" w:eastAsia="方正仿宋简体" w:cs="方正仿宋简体"/>
          <w:b/>
          <w:iCs/>
          <w:sz w:val="24"/>
          <w:szCs w:val="24"/>
        </w:rPr>
        <w:t>（二）重要提示</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中国证监会对本基金募集的注册，并不表明其对本基金的价值和收益作出实质性判断或保证，也不表明投资于本基金没有风险。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基金管理人依照恪尽职守、诚实信用、谨慎勤勉的原则管理和运用基金财产，但不保证基金一定盈利，也不保证最低收益。</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基金投资者自依基金合同取得基金份额，即成为基金份额持有人和基金合同的当事人。</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pPr>
        <w:autoSpaceDE w:val="0"/>
        <w:autoSpaceDN w:val="0"/>
        <w:adjustRightInd w:val="0"/>
        <w:spacing w:line="280" w:lineRule="exact"/>
        <w:jc w:val="left"/>
        <w:rPr>
          <w:rFonts w:ascii="方正仿宋简体" w:eastAsia="方正仿宋简体"/>
        </w:rPr>
      </w:pPr>
    </w:p>
    <w:p>
      <w:pPr>
        <w:numPr>
          <w:ilvl w:val="0"/>
          <w:numId w:val="2"/>
        </w:numPr>
        <w:spacing w:line="440" w:lineRule="exact"/>
        <w:outlineLvl w:val="0"/>
        <w:rPr>
          <w:rFonts w:ascii="方正仿宋简体" w:hAnsi="方正仿宋简体" w:eastAsia="方正仿宋简体" w:cs="方正仿宋简体"/>
          <w:b/>
          <w:iCs/>
          <w:sz w:val="24"/>
          <w:szCs w:val="24"/>
        </w:rPr>
      </w:pPr>
      <w:r>
        <w:rPr>
          <w:rFonts w:hint="eastAsia" w:ascii="方正仿宋简体" w:hAnsi="方正仿宋简体" w:eastAsia="方正仿宋简体" w:cs="方正仿宋简体"/>
          <w:b/>
          <w:iCs/>
          <w:sz w:val="24"/>
          <w:szCs w:val="24"/>
        </w:rPr>
        <w:t>其他资料查询方式</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以下资料详见基金管理人网站[网址：www.bosera.com][客服电话：95105568]</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（1）基金合同、托管协议、招募说明书</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（2）定期报告，包括基金季度报告、中期报告和年度报告</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（3）基金份额净值</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（4）基金销售机构及联系方式</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（5）其他重要资料</w:t>
      </w:r>
    </w:p>
    <w:p>
      <w:pPr>
        <w:autoSpaceDE w:val="0"/>
        <w:autoSpaceDN w:val="0"/>
        <w:adjustRightInd w:val="0"/>
        <w:spacing w:line="280" w:lineRule="exact"/>
        <w:jc w:val="left"/>
        <w:rPr>
          <w:rFonts w:ascii="方正仿宋简体" w:eastAsia="方正仿宋简体"/>
        </w:rPr>
      </w:pPr>
    </w:p>
    <w:p>
      <w:pPr>
        <w:numPr>
          <w:ilvl w:val="0"/>
          <w:numId w:val="2"/>
        </w:numPr>
        <w:spacing w:line="440" w:lineRule="exact"/>
        <w:outlineLvl w:val="0"/>
        <w:rPr>
          <w:rFonts w:ascii="方正仿宋简体" w:hAnsi="方正仿宋简体" w:eastAsia="方正仿宋简体" w:cs="方正仿宋简体"/>
          <w:b/>
          <w:iCs/>
          <w:sz w:val="24"/>
          <w:szCs w:val="24"/>
        </w:rPr>
      </w:pPr>
      <w:r>
        <w:rPr>
          <w:rFonts w:hint="eastAsia" w:ascii="方正仿宋简体" w:hAnsi="方正仿宋简体" w:eastAsia="方正仿宋简体" w:cs="方正仿宋简体"/>
          <w:b/>
          <w:iCs/>
          <w:sz w:val="24"/>
          <w:szCs w:val="24"/>
        </w:rPr>
        <w:t>其他情况说明</w:t>
      </w:r>
    </w:p>
    <w:p>
      <w:pPr>
        <w:spacing w:line="320" w:lineRule="exact"/>
        <w:ind w:firstLine="420"/>
        <w:rPr>
          <w:rFonts w:ascii="方正仿宋简体" w:hAnsi="方正仿宋简体" w:eastAsia="方正仿宋简体" w:cs="方正仿宋简体"/>
          <w:b/>
          <w:bCs/>
          <w:i/>
        </w:rPr>
      </w:pPr>
      <w:r>
        <w:rPr>
          <w:rFonts w:hint="eastAsia" w:ascii="方正仿宋简体" w:hAnsi="方正仿宋简体" w:eastAsia="方正仿宋简体" w:cs="方正仿宋简体"/>
          <w:b/>
          <w:bCs/>
          <w:i/>
        </w:rPr>
        <w:t>对于因基金合同的订立、内容、履行和解释或与基金合同有关的争议，基金合同当事人应尽量通过协商、调解途径解决。不愿或者不能通过协商、调解解决的，任何一方均有权将争议提交中国国际经济贸易仲裁委员会，按照其届时有效的仲裁规则进行仲裁。仲裁地点为北京市。仲裁裁决是终局的，对各方当事人均有约束力。除裁决另有规定的，仲裁费用由败诉方承担。</w:t>
      </w:r>
    </w:p>
    <w:p>
      <w:pPr>
        <w:autoSpaceDE w:val="0"/>
        <w:autoSpaceDN w:val="0"/>
        <w:adjustRightInd w:val="0"/>
        <w:spacing w:line="280" w:lineRule="exact"/>
        <w:jc w:val="left"/>
      </w:pPr>
    </w:p>
    <w:sectPr>
      <w:foot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altName w:val="微软雅黑"/>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5751033"/>
      <w:docPartObj>
        <w:docPartGallery w:val="AutoText"/>
      </w:docPartObj>
    </w:sdtPr>
    <w:sdtContent>
      <w:sdt>
        <w:sdtPr>
          <w:id w:val="98381352"/>
          <w:docPartObj>
            <w:docPartGallery w:val="AutoText"/>
          </w:docPartObj>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sdtContent>
      </w:sdt>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C33FEB"/>
    <w:multiLevelType w:val="multilevel"/>
    <w:tmpl w:val="05C33FE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B716C97"/>
    <w:multiLevelType w:val="multilevel"/>
    <w:tmpl w:val="1B716C97"/>
    <w:lvl w:ilvl="0" w:tentative="0">
      <w:start w:val="1"/>
      <w:numFmt w:val="decimal"/>
      <w:pStyle w:val="11"/>
      <w:lvlText w:val="§%1"/>
      <w:lvlJc w:val="left"/>
      <w:pPr>
        <w:ind w:left="420" w:hanging="420"/>
      </w:pPr>
      <w:rPr>
        <w:rFonts w:hint="default" w:eastAsia="宋体"/>
        <w:b/>
        <w:i w:val="0"/>
        <w:sz w:val="28"/>
      </w:rPr>
    </w:lvl>
    <w:lvl w:ilvl="1" w:tentative="0">
      <w:start w:val="1"/>
      <w:numFmt w:val="decimal"/>
      <w:pStyle w:val="13"/>
      <w:suff w:val="space"/>
      <w:lvlText w:val="%1.%2"/>
      <w:lvlJc w:val="left"/>
      <w:pPr>
        <w:ind w:left="284" w:hanging="284"/>
      </w:pPr>
      <w:rPr>
        <w:rFonts w:hint="eastAsia"/>
      </w:rPr>
    </w:lvl>
    <w:lvl w:ilvl="2" w:tentative="0">
      <w:start w:val="1"/>
      <w:numFmt w:val="decimal"/>
      <w:pStyle w:val="14"/>
      <w:suff w:val="space"/>
      <w:lvlText w:val="%1.%2.%3"/>
      <w:lvlJc w:val="left"/>
      <w:pPr>
        <w:ind w:left="284" w:hanging="284"/>
      </w:pPr>
      <w:rPr>
        <w:rFonts w:hint="eastAsia"/>
      </w:rPr>
    </w:lvl>
    <w:lvl w:ilvl="3" w:tentative="0">
      <w:start w:val="1"/>
      <w:numFmt w:val="decimal"/>
      <w:pStyle w:val="15"/>
      <w:suff w:val="space"/>
      <w:lvlText w:val="%1.%2.%3.%4"/>
      <w:lvlJc w:val="left"/>
      <w:pPr>
        <w:ind w:left="284" w:hanging="284"/>
      </w:pPr>
      <w:rPr>
        <w:rFonts w:hint="eastAsia"/>
      </w:rPr>
    </w:lvl>
    <w:lvl w:ilvl="4" w:tentative="0">
      <w:start w:val="1"/>
      <w:numFmt w:val="decimal"/>
      <w:pStyle w:val="16"/>
      <w:suff w:val="space"/>
      <w:lvlText w:val="%1.%2.%3.%4.%5"/>
      <w:lvlJc w:val="left"/>
      <w:pPr>
        <w:ind w:left="284" w:hanging="284"/>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2">
    <w:nsid w:val="478E6770"/>
    <w:multiLevelType w:val="multilevel"/>
    <w:tmpl w:val="478E6770"/>
    <w:lvl w:ilvl="0" w:tentative="0">
      <w:start w:val="1"/>
      <w:numFmt w:val="japaneseCounting"/>
      <w:lvlText w:val="（%1）"/>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C33CF0"/>
    <w:multiLevelType w:val="singleLevel"/>
    <w:tmpl w:val="5AC33CF0"/>
    <w:lvl w:ilvl="0" w:tentative="0">
      <w:start w:val="1"/>
      <w:numFmt w:val="chineseCounting"/>
      <w:suff w:val="nothing"/>
      <w:lvlText w:val="%1、"/>
      <w:lvlJc w:val="left"/>
      <w:rPr>
        <w:rFonts w:asciiTheme="minorEastAsia" w:hAnsiTheme="minorEastAsia" w:eastAsiaTheme="minorEastAsia"/>
      </w:rPr>
    </w:lvl>
  </w:abstractNum>
  <w:abstractNum w:abstractNumId="4">
    <w:nsid w:val="7D0D3582"/>
    <w:multiLevelType w:val="multilevel"/>
    <w:tmpl w:val="7D0D3582"/>
    <w:lvl w:ilvl="0" w:tentative="0">
      <w:start w:val="1"/>
      <w:numFmt w:val="chineseCountingThousand"/>
      <w:suff w:val="space"/>
      <w:lvlText w:val="(%1)"/>
      <w:lvlJc w:val="left"/>
      <w:pPr>
        <w:ind w:left="284" w:hanging="284"/>
      </w:pPr>
      <w:rPr>
        <w:rFonts w:hint="eastAsia" w:eastAsia="宋体" w:asciiTheme="minorEastAsia" w:hAnsiTheme="minorEastAsia"/>
        <w:b/>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HorizontalSpacing w:val="18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7B3B56"/>
    <w:rsid w:val="00002B50"/>
    <w:rsid w:val="00002F33"/>
    <w:rsid w:val="000034E5"/>
    <w:rsid w:val="00003561"/>
    <w:rsid w:val="000035EA"/>
    <w:rsid w:val="00004180"/>
    <w:rsid w:val="00006EAF"/>
    <w:rsid w:val="0000736D"/>
    <w:rsid w:val="00015DD4"/>
    <w:rsid w:val="00017721"/>
    <w:rsid w:val="00022B9A"/>
    <w:rsid w:val="00024497"/>
    <w:rsid w:val="00030595"/>
    <w:rsid w:val="000315CE"/>
    <w:rsid w:val="00035A85"/>
    <w:rsid w:val="000431A9"/>
    <w:rsid w:val="0004462C"/>
    <w:rsid w:val="00045BE4"/>
    <w:rsid w:val="00046C88"/>
    <w:rsid w:val="00047F4E"/>
    <w:rsid w:val="0005053E"/>
    <w:rsid w:val="00052BDA"/>
    <w:rsid w:val="00053B2F"/>
    <w:rsid w:val="00054711"/>
    <w:rsid w:val="00056380"/>
    <w:rsid w:val="000567E4"/>
    <w:rsid w:val="0005794F"/>
    <w:rsid w:val="00060B05"/>
    <w:rsid w:val="000612DA"/>
    <w:rsid w:val="00061AF3"/>
    <w:rsid w:val="00062543"/>
    <w:rsid w:val="0006363D"/>
    <w:rsid w:val="0006546B"/>
    <w:rsid w:val="00065CA6"/>
    <w:rsid w:val="0006758E"/>
    <w:rsid w:val="000676AA"/>
    <w:rsid w:val="00070564"/>
    <w:rsid w:val="00071412"/>
    <w:rsid w:val="00075ECF"/>
    <w:rsid w:val="00076810"/>
    <w:rsid w:val="00077F97"/>
    <w:rsid w:val="0008034A"/>
    <w:rsid w:val="0008034B"/>
    <w:rsid w:val="00080C9E"/>
    <w:rsid w:val="00086076"/>
    <w:rsid w:val="000862CB"/>
    <w:rsid w:val="00086FAF"/>
    <w:rsid w:val="00090D03"/>
    <w:rsid w:val="00090E1B"/>
    <w:rsid w:val="000915A1"/>
    <w:rsid w:val="00092664"/>
    <w:rsid w:val="0009280C"/>
    <w:rsid w:val="00095DA1"/>
    <w:rsid w:val="00096ECA"/>
    <w:rsid w:val="000A25FC"/>
    <w:rsid w:val="000A27CB"/>
    <w:rsid w:val="000A4485"/>
    <w:rsid w:val="000A69FE"/>
    <w:rsid w:val="000A6C27"/>
    <w:rsid w:val="000A71C1"/>
    <w:rsid w:val="000A7FF9"/>
    <w:rsid w:val="000B672F"/>
    <w:rsid w:val="000C04B2"/>
    <w:rsid w:val="000C0D50"/>
    <w:rsid w:val="000C3D2A"/>
    <w:rsid w:val="000C3D96"/>
    <w:rsid w:val="000C4A85"/>
    <w:rsid w:val="000C52B6"/>
    <w:rsid w:val="000C6C14"/>
    <w:rsid w:val="000D14A1"/>
    <w:rsid w:val="000D21EE"/>
    <w:rsid w:val="000D36AB"/>
    <w:rsid w:val="000D3D44"/>
    <w:rsid w:val="000D4535"/>
    <w:rsid w:val="000D516E"/>
    <w:rsid w:val="000D6088"/>
    <w:rsid w:val="000D6D52"/>
    <w:rsid w:val="000D6F1A"/>
    <w:rsid w:val="000D7961"/>
    <w:rsid w:val="000D7CDD"/>
    <w:rsid w:val="000D7E62"/>
    <w:rsid w:val="000E0465"/>
    <w:rsid w:val="000E1B15"/>
    <w:rsid w:val="000E3CDB"/>
    <w:rsid w:val="000E44EE"/>
    <w:rsid w:val="000E56AA"/>
    <w:rsid w:val="000E7720"/>
    <w:rsid w:val="000E7A0D"/>
    <w:rsid w:val="000F1A6B"/>
    <w:rsid w:val="000F2324"/>
    <w:rsid w:val="000F35E6"/>
    <w:rsid w:val="000F3A56"/>
    <w:rsid w:val="000F3B8E"/>
    <w:rsid w:val="000F4870"/>
    <w:rsid w:val="000F4ADF"/>
    <w:rsid w:val="000F600C"/>
    <w:rsid w:val="000F650C"/>
    <w:rsid w:val="00101AE7"/>
    <w:rsid w:val="00101E69"/>
    <w:rsid w:val="001026B3"/>
    <w:rsid w:val="00103453"/>
    <w:rsid w:val="00104223"/>
    <w:rsid w:val="001042DD"/>
    <w:rsid w:val="00104B7B"/>
    <w:rsid w:val="001054AF"/>
    <w:rsid w:val="001064D8"/>
    <w:rsid w:val="00106EB0"/>
    <w:rsid w:val="00107BDE"/>
    <w:rsid w:val="00107C68"/>
    <w:rsid w:val="00110D35"/>
    <w:rsid w:val="0011161D"/>
    <w:rsid w:val="00111992"/>
    <w:rsid w:val="00114B35"/>
    <w:rsid w:val="00116CA0"/>
    <w:rsid w:val="00117831"/>
    <w:rsid w:val="00120454"/>
    <w:rsid w:val="00120E44"/>
    <w:rsid w:val="0012116F"/>
    <w:rsid w:val="00124437"/>
    <w:rsid w:val="0012454F"/>
    <w:rsid w:val="001302B4"/>
    <w:rsid w:val="0013061B"/>
    <w:rsid w:val="00130F4D"/>
    <w:rsid w:val="0013367D"/>
    <w:rsid w:val="001351D1"/>
    <w:rsid w:val="00135D07"/>
    <w:rsid w:val="0013609D"/>
    <w:rsid w:val="0013716B"/>
    <w:rsid w:val="00137185"/>
    <w:rsid w:val="001373AB"/>
    <w:rsid w:val="0014192C"/>
    <w:rsid w:val="00142D38"/>
    <w:rsid w:val="00142FAC"/>
    <w:rsid w:val="00143189"/>
    <w:rsid w:val="001443DA"/>
    <w:rsid w:val="00144C18"/>
    <w:rsid w:val="00150641"/>
    <w:rsid w:val="001506D6"/>
    <w:rsid w:val="00150A06"/>
    <w:rsid w:val="00150F72"/>
    <w:rsid w:val="00151549"/>
    <w:rsid w:val="0015352E"/>
    <w:rsid w:val="001546D4"/>
    <w:rsid w:val="001549B1"/>
    <w:rsid w:val="001552A2"/>
    <w:rsid w:val="001559E1"/>
    <w:rsid w:val="00160476"/>
    <w:rsid w:val="001608BD"/>
    <w:rsid w:val="00160EB7"/>
    <w:rsid w:val="00163632"/>
    <w:rsid w:val="0016394B"/>
    <w:rsid w:val="00163A1B"/>
    <w:rsid w:val="00165561"/>
    <w:rsid w:val="001664CE"/>
    <w:rsid w:val="00166CB3"/>
    <w:rsid w:val="00171A01"/>
    <w:rsid w:val="00172DE2"/>
    <w:rsid w:val="001735C4"/>
    <w:rsid w:val="00174334"/>
    <w:rsid w:val="001752EA"/>
    <w:rsid w:val="00176B87"/>
    <w:rsid w:val="00177627"/>
    <w:rsid w:val="001777C9"/>
    <w:rsid w:val="00177C56"/>
    <w:rsid w:val="00177DFE"/>
    <w:rsid w:val="00183372"/>
    <w:rsid w:val="00184B5C"/>
    <w:rsid w:val="0018735D"/>
    <w:rsid w:val="00187ADF"/>
    <w:rsid w:val="00190373"/>
    <w:rsid w:val="00191262"/>
    <w:rsid w:val="0019128C"/>
    <w:rsid w:val="001916CF"/>
    <w:rsid w:val="00193370"/>
    <w:rsid w:val="00196878"/>
    <w:rsid w:val="001A28F4"/>
    <w:rsid w:val="001A450C"/>
    <w:rsid w:val="001A45B4"/>
    <w:rsid w:val="001A4E24"/>
    <w:rsid w:val="001A4FC5"/>
    <w:rsid w:val="001A77C2"/>
    <w:rsid w:val="001A7E7C"/>
    <w:rsid w:val="001B2C1A"/>
    <w:rsid w:val="001B525D"/>
    <w:rsid w:val="001C19CC"/>
    <w:rsid w:val="001C1A3B"/>
    <w:rsid w:val="001C1CAE"/>
    <w:rsid w:val="001C1D13"/>
    <w:rsid w:val="001C1F54"/>
    <w:rsid w:val="001C27FC"/>
    <w:rsid w:val="001C285F"/>
    <w:rsid w:val="001C3861"/>
    <w:rsid w:val="001C4114"/>
    <w:rsid w:val="001C55FF"/>
    <w:rsid w:val="001D1811"/>
    <w:rsid w:val="001D1CA5"/>
    <w:rsid w:val="001D31F4"/>
    <w:rsid w:val="001D4A4E"/>
    <w:rsid w:val="001D4FBE"/>
    <w:rsid w:val="001D6241"/>
    <w:rsid w:val="001D6EC7"/>
    <w:rsid w:val="001E0982"/>
    <w:rsid w:val="001E27BF"/>
    <w:rsid w:val="001E3862"/>
    <w:rsid w:val="001E3F34"/>
    <w:rsid w:val="001E430F"/>
    <w:rsid w:val="001E61DC"/>
    <w:rsid w:val="001E6DE4"/>
    <w:rsid w:val="001F0651"/>
    <w:rsid w:val="001F33FD"/>
    <w:rsid w:val="001F3AEC"/>
    <w:rsid w:val="001F63FB"/>
    <w:rsid w:val="001F6C89"/>
    <w:rsid w:val="001F7FD1"/>
    <w:rsid w:val="0020147E"/>
    <w:rsid w:val="00205053"/>
    <w:rsid w:val="002056E7"/>
    <w:rsid w:val="00206017"/>
    <w:rsid w:val="002067FB"/>
    <w:rsid w:val="00206D9B"/>
    <w:rsid w:val="00211393"/>
    <w:rsid w:val="002113D2"/>
    <w:rsid w:val="00212DAC"/>
    <w:rsid w:val="00216A96"/>
    <w:rsid w:val="0022157A"/>
    <w:rsid w:val="0022206C"/>
    <w:rsid w:val="002226D8"/>
    <w:rsid w:val="00222EBF"/>
    <w:rsid w:val="00223123"/>
    <w:rsid w:val="00223E6A"/>
    <w:rsid w:val="0022487F"/>
    <w:rsid w:val="00225B28"/>
    <w:rsid w:val="00226C77"/>
    <w:rsid w:val="00226D4F"/>
    <w:rsid w:val="002271D8"/>
    <w:rsid w:val="0023065E"/>
    <w:rsid w:val="00233FB5"/>
    <w:rsid w:val="002340C5"/>
    <w:rsid w:val="002343A0"/>
    <w:rsid w:val="002343D4"/>
    <w:rsid w:val="002349DA"/>
    <w:rsid w:val="00234D6F"/>
    <w:rsid w:val="0023676C"/>
    <w:rsid w:val="00236E18"/>
    <w:rsid w:val="00236E77"/>
    <w:rsid w:val="002374DD"/>
    <w:rsid w:val="00240A33"/>
    <w:rsid w:val="002419CF"/>
    <w:rsid w:val="00243408"/>
    <w:rsid w:val="00243552"/>
    <w:rsid w:val="00243C17"/>
    <w:rsid w:val="0024571E"/>
    <w:rsid w:val="00246C1A"/>
    <w:rsid w:val="00247F81"/>
    <w:rsid w:val="00250329"/>
    <w:rsid w:val="0025159F"/>
    <w:rsid w:val="00252624"/>
    <w:rsid w:val="00252FAA"/>
    <w:rsid w:val="0025315A"/>
    <w:rsid w:val="00253E38"/>
    <w:rsid w:val="00256B43"/>
    <w:rsid w:val="00257D0E"/>
    <w:rsid w:val="00257F1F"/>
    <w:rsid w:val="00261721"/>
    <w:rsid w:val="002618F7"/>
    <w:rsid w:val="0026413B"/>
    <w:rsid w:val="00265B51"/>
    <w:rsid w:val="00266322"/>
    <w:rsid w:val="00267819"/>
    <w:rsid w:val="00270CFD"/>
    <w:rsid w:val="00271658"/>
    <w:rsid w:val="002724DA"/>
    <w:rsid w:val="00273BF8"/>
    <w:rsid w:val="00274372"/>
    <w:rsid w:val="002761C7"/>
    <w:rsid w:val="00276226"/>
    <w:rsid w:val="002767C0"/>
    <w:rsid w:val="0027718A"/>
    <w:rsid w:val="0028090B"/>
    <w:rsid w:val="00280B89"/>
    <w:rsid w:val="0028191B"/>
    <w:rsid w:val="0028218E"/>
    <w:rsid w:val="00284817"/>
    <w:rsid w:val="0028728C"/>
    <w:rsid w:val="00287867"/>
    <w:rsid w:val="00287FF4"/>
    <w:rsid w:val="00291912"/>
    <w:rsid w:val="00292B75"/>
    <w:rsid w:val="00292F69"/>
    <w:rsid w:val="00293DD2"/>
    <w:rsid w:val="002956E1"/>
    <w:rsid w:val="00296495"/>
    <w:rsid w:val="00296A84"/>
    <w:rsid w:val="00296D6A"/>
    <w:rsid w:val="00296F28"/>
    <w:rsid w:val="002A049B"/>
    <w:rsid w:val="002A2023"/>
    <w:rsid w:val="002A25FA"/>
    <w:rsid w:val="002A273F"/>
    <w:rsid w:val="002A2914"/>
    <w:rsid w:val="002A29D8"/>
    <w:rsid w:val="002A3B92"/>
    <w:rsid w:val="002A3CBD"/>
    <w:rsid w:val="002A4280"/>
    <w:rsid w:val="002A4FFB"/>
    <w:rsid w:val="002A56F1"/>
    <w:rsid w:val="002B0143"/>
    <w:rsid w:val="002B3337"/>
    <w:rsid w:val="002B3AF5"/>
    <w:rsid w:val="002B4008"/>
    <w:rsid w:val="002B4E46"/>
    <w:rsid w:val="002B73E3"/>
    <w:rsid w:val="002B7FB5"/>
    <w:rsid w:val="002C001B"/>
    <w:rsid w:val="002C32E0"/>
    <w:rsid w:val="002C5189"/>
    <w:rsid w:val="002C64BD"/>
    <w:rsid w:val="002C6C9F"/>
    <w:rsid w:val="002C7128"/>
    <w:rsid w:val="002C7D40"/>
    <w:rsid w:val="002C7DBB"/>
    <w:rsid w:val="002D3460"/>
    <w:rsid w:val="002D3E31"/>
    <w:rsid w:val="002D53F1"/>
    <w:rsid w:val="002D6593"/>
    <w:rsid w:val="002D670B"/>
    <w:rsid w:val="002E1107"/>
    <w:rsid w:val="002E1288"/>
    <w:rsid w:val="002E268C"/>
    <w:rsid w:val="002E2B66"/>
    <w:rsid w:val="002E2DCB"/>
    <w:rsid w:val="002E4201"/>
    <w:rsid w:val="002E484E"/>
    <w:rsid w:val="002E6B76"/>
    <w:rsid w:val="002F0445"/>
    <w:rsid w:val="002F17B6"/>
    <w:rsid w:val="002F1D8A"/>
    <w:rsid w:val="002F22A9"/>
    <w:rsid w:val="002F280A"/>
    <w:rsid w:val="002F3F0D"/>
    <w:rsid w:val="002F55A5"/>
    <w:rsid w:val="002F6F97"/>
    <w:rsid w:val="002F715D"/>
    <w:rsid w:val="002F7A30"/>
    <w:rsid w:val="00301A05"/>
    <w:rsid w:val="00303D91"/>
    <w:rsid w:val="00304D8E"/>
    <w:rsid w:val="00305382"/>
    <w:rsid w:val="00305DFF"/>
    <w:rsid w:val="003069AA"/>
    <w:rsid w:val="00311BB3"/>
    <w:rsid w:val="00314524"/>
    <w:rsid w:val="00317576"/>
    <w:rsid w:val="00317FCB"/>
    <w:rsid w:val="00320127"/>
    <w:rsid w:val="00321387"/>
    <w:rsid w:val="00322043"/>
    <w:rsid w:val="003253B4"/>
    <w:rsid w:val="0032576F"/>
    <w:rsid w:val="0032656E"/>
    <w:rsid w:val="00327198"/>
    <w:rsid w:val="00327D04"/>
    <w:rsid w:val="003310CE"/>
    <w:rsid w:val="00332BE9"/>
    <w:rsid w:val="00332EC1"/>
    <w:rsid w:val="00333E7C"/>
    <w:rsid w:val="00335522"/>
    <w:rsid w:val="00335C3C"/>
    <w:rsid w:val="00335FDC"/>
    <w:rsid w:val="00342D67"/>
    <w:rsid w:val="00343096"/>
    <w:rsid w:val="0034383A"/>
    <w:rsid w:val="00343D44"/>
    <w:rsid w:val="00345A65"/>
    <w:rsid w:val="00351D5C"/>
    <w:rsid w:val="00351F88"/>
    <w:rsid w:val="00351FDD"/>
    <w:rsid w:val="003526A1"/>
    <w:rsid w:val="00355045"/>
    <w:rsid w:val="003553B7"/>
    <w:rsid w:val="0035595E"/>
    <w:rsid w:val="00357BB4"/>
    <w:rsid w:val="00360359"/>
    <w:rsid w:val="00360E9D"/>
    <w:rsid w:val="00364FA7"/>
    <w:rsid w:val="003665BF"/>
    <w:rsid w:val="003667EC"/>
    <w:rsid w:val="00367E76"/>
    <w:rsid w:val="00370C84"/>
    <w:rsid w:val="003712CC"/>
    <w:rsid w:val="00373CC2"/>
    <w:rsid w:val="003744FE"/>
    <w:rsid w:val="0037519F"/>
    <w:rsid w:val="00375483"/>
    <w:rsid w:val="003800E8"/>
    <w:rsid w:val="00380BCD"/>
    <w:rsid w:val="00381CFE"/>
    <w:rsid w:val="00382845"/>
    <w:rsid w:val="00386A7F"/>
    <w:rsid w:val="00390A07"/>
    <w:rsid w:val="00390F2A"/>
    <w:rsid w:val="003914C0"/>
    <w:rsid w:val="0039181C"/>
    <w:rsid w:val="00391FAF"/>
    <w:rsid w:val="00396FFE"/>
    <w:rsid w:val="003978D5"/>
    <w:rsid w:val="003A005F"/>
    <w:rsid w:val="003A0571"/>
    <w:rsid w:val="003A0ACD"/>
    <w:rsid w:val="003A1255"/>
    <w:rsid w:val="003A1F45"/>
    <w:rsid w:val="003A2523"/>
    <w:rsid w:val="003A56C9"/>
    <w:rsid w:val="003A698A"/>
    <w:rsid w:val="003B0BD0"/>
    <w:rsid w:val="003B0EDE"/>
    <w:rsid w:val="003B0FB4"/>
    <w:rsid w:val="003B2295"/>
    <w:rsid w:val="003B3103"/>
    <w:rsid w:val="003B3B69"/>
    <w:rsid w:val="003B47EF"/>
    <w:rsid w:val="003B4A12"/>
    <w:rsid w:val="003B5F1C"/>
    <w:rsid w:val="003B6B11"/>
    <w:rsid w:val="003B7E49"/>
    <w:rsid w:val="003C1C5E"/>
    <w:rsid w:val="003C1CC4"/>
    <w:rsid w:val="003C2452"/>
    <w:rsid w:val="003C570B"/>
    <w:rsid w:val="003C6D4B"/>
    <w:rsid w:val="003C6FDD"/>
    <w:rsid w:val="003D0705"/>
    <w:rsid w:val="003D0B6F"/>
    <w:rsid w:val="003D1060"/>
    <w:rsid w:val="003D2954"/>
    <w:rsid w:val="003E0BE3"/>
    <w:rsid w:val="003E11A4"/>
    <w:rsid w:val="003E4F18"/>
    <w:rsid w:val="003E66A5"/>
    <w:rsid w:val="003E6956"/>
    <w:rsid w:val="003E78BD"/>
    <w:rsid w:val="003E7F21"/>
    <w:rsid w:val="003F1DE3"/>
    <w:rsid w:val="003F2DF1"/>
    <w:rsid w:val="003F324E"/>
    <w:rsid w:val="003F42E1"/>
    <w:rsid w:val="003F56C3"/>
    <w:rsid w:val="003F6EF3"/>
    <w:rsid w:val="00401E99"/>
    <w:rsid w:val="00402B28"/>
    <w:rsid w:val="00403885"/>
    <w:rsid w:val="004103D9"/>
    <w:rsid w:val="00411B1E"/>
    <w:rsid w:val="00411C1F"/>
    <w:rsid w:val="00415142"/>
    <w:rsid w:val="00416169"/>
    <w:rsid w:val="00417B28"/>
    <w:rsid w:val="00420623"/>
    <w:rsid w:val="00421441"/>
    <w:rsid w:val="004225D8"/>
    <w:rsid w:val="00426A9B"/>
    <w:rsid w:val="00430064"/>
    <w:rsid w:val="00430BE8"/>
    <w:rsid w:val="0043184A"/>
    <w:rsid w:val="004324B8"/>
    <w:rsid w:val="004335EC"/>
    <w:rsid w:val="00435F11"/>
    <w:rsid w:val="00437CC4"/>
    <w:rsid w:val="0044078C"/>
    <w:rsid w:val="00440F0C"/>
    <w:rsid w:val="004428A7"/>
    <w:rsid w:val="00443386"/>
    <w:rsid w:val="00444874"/>
    <w:rsid w:val="0044609F"/>
    <w:rsid w:val="004504DB"/>
    <w:rsid w:val="0045198C"/>
    <w:rsid w:val="00456164"/>
    <w:rsid w:val="00457457"/>
    <w:rsid w:val="00462FAF"/>
    <w:rsid w:val="00463DA7"/>
    <w:rsid w:val="00464A9D"/>
    <w:rsid w:val="00464C4E"/>
    <w:rsid w:val="00466F82"/>
    <w:rsid w:val="004709CA"/>
    <w:rsid w:val="00470B24"/>
    <w:rsid w:val="0047161C"/>
    <w:rsid w:val="004727B4"/>
    <w:rsid w:val="00475599"/>
    <w:rsid w:val="00475E21"/>
    <w:rsid w:val="004761F4"/>
    <w:rsid w:val="00477547"/>
    <w:rsid w:val="00477F83"/>
    <w:rsid w:val="00487376"/>
    <w:rsid w:val="00487514"/>
    <w:rsid w:val="00494113"/>
    <w:rsid w:val="00497075"/>
    <w:rsid w:val="004972B7"/>
    <w:rsid w:val="004974D6"/>
    <w:rsid w:val="00497942"/>
    <w:rsid w:val="004A03E3"/>
    <w:rsid w:val="004A166C"/>
    <w:rsid w:val="004A1CE8"/>
    <w:rsid w:val="004A214B"/>
    <w:rsid w:val="004A28A8"/>
    <w:rsid w:val="004A3A2B"/>
    <w:rsid w:val="004A47CE"/>
    <w:rsid w:val="004A6488"/>
    <w:rsid w:val="004B35A1"/>
    <w:rsid w:val="004B3925"/>
    <w:rsid w:val="004B5C77"/>
    <w:rsid w:val="004B5D91"/>
    <w:rsid w:val="004C2008"/>
    <w:rsid w:val="004C4116"/>
    <w:rsid w:val="004C4D70"/>
    <w:rsid w:val="004C5B50"/>
    <w:rsid w:val="004C6220"/>
    <w:rsid w:val="004D0CA3"/>
    <w:rsid w:val="004D1BE1"/>
    <w:rsid w:val="004D1CFD"/>
    <w:rsid w:val="004D5927"/>
    <w:rsid w:val="004E01B5"/>
    <w:rsid w:val="004E0E97"/>
    <w:rsid w:val="004E1F62"/>
    <w:rsid w:val="004E275A"/>
    <w:rsid w:val="004E29D3"/>
    <w:rsid w:val="004E41F8"/>
    <w:rsid w:val="004E46D3"/>
    <w:rsid w:val="004E55B4"/>
    <w:rsid w:val="004E5A80"/>
    <w:rsid w:val="004E736F"/>
    <w:rsid w:val="004E7553"/>
    <w:rsid w:val="004F0DA7"/>
    <w:rsid w:val="004F157A"/>
    <w:rsid w:val="004F21FC"/>
    <w:rsid w:val="004F2EA3"/>
    <w:rsid w:val="004F38D7"/>
    <w:rsid w:val="004F4959"/>
    <w:rsid w:val="004F51E5"/>
    <w:rsid w:val="004F7753"/>
    <w:rsid w:val="0050081D"/>
    <w:rsid w:val="00502133"/>
    <w:rsid w:val="005026AC"/>
    <w:rsid w:val="005033AE"/>
    <w:rsid w:val="0050479A"/>
    <w:rsid w:val="00511D3A"/>
    <w:rsid w:val="00514055"/>
    <w:rsid w:val="00514D50"/>
    <w:rsid w:val="00516B14"/>
    <w:rsid w:val="00516E4A"/>
    <w:rsid w:val="005173DE"/>
    <w:rsid w:val="0052053C"/>
    <w:rsid w:val="00522E7E"/>
    <w:rsid w:val="00523969"/>
    <w:rsid w:val="00523DE3"/>
    <w:rsid w:val="00524640"/>
    <w:rsid w:val="00526D03"/>
    <w:rsid w:val="005303D3"/>
    <w:rsid w:val="00530D39"/>
    <w:rsid w:val="0053188C"/>
    <w:rsid w:val="00532E71"/>
    <w:rsid w:val="005341C9"/>
    <w:rsid w:val="00534441"/>
    <w:rsid w:val="00536BA8"/>
    <w:rsid w:val="00536BCB"/>
    <w:rsid w:val="00536C05"/>
    <w:rsid w:val="00537A33"/>
    <w:rsid w:val="00537D22"/>
    <w:rsid w:val="0054307D"/>
    <w:rsid w:val="00543811"/>
    <w:rsid w:val="005442A7"/>
    <w:rsid w:val="005445C1"/>
    <w:rsid w:val="00544653"/>
    <w:rsid w:val="00544EBD"/>
    <w:rsid w:val="005451CF"/>
    <w:rsid w:val="00545943"/>
    <w:rsid w:val="00550A83"/>
    <w:rsid w:val="00551F7A"/>
    <w:rsid w:val="0055285B"/>
    <w:rsid w:val="00553DB0"/>
    <w:rsid w:val="005540D2"/>
    <w:rsid w:val="00554969"/>
    <w:rsid w:val="00555C70"/>
    <w:rsid w:val="005622C8"/>
    <w:rsid w:val="005626F8"/>
    <w:rsid w:val="00562E85"/>
    <w:rsid w:val="00563BCF"/>
    <w:rsid w:val="00563EC0"/>
    <w:rsid w:val="0056468E"/>
    <w:rsid w:val="00565C2C"/>
    <w:rsid w:val="00571BD4"/>
    <w:rsid w:val="00571F09"/>
    <w:rsid w:val="00572E76"/>
    <w:rsid w:val="005778C5"/>
    <w:rsid w:val="00581429"/>
    <w:rsid w:val="005815B2"/>
    <w:rsid w:val="00581EE1"/>
    <w:rsid w:val="005846C3"/>
    <w:rsid w:val="00584DC5"/>
    <w:rsid w:val="00585183"/>
    <w:rsid w:val="00585DE1"/>
    <w:rsid w:val="0058643A"/>
    <w:rsid w:val="00590020"/>
    <w:rsid w:val="005900FF"/>
    <w:rsid w:val="00590AB6"/>
    <w:rsid w:val="0059107C"/>
    <w:rsid w:val="00591262"/>
    <w:rsid w:val="00591310"/>
    <w:rsid w:val="0059257B"/>
    <w:rsid w:val="0059394B"/>
    <w:rsid w:val="00594641"/>
    <w:rsid w:val="005973D3"/>
    <w:rsid w:val="005A0A2F"/>
    <w:rsid w:val="005A3B9B"/>
    <w:rsid w:val="005A48A0"/>
    <w:rsid w:val="005A549D"/>
    <w:rsid w:val="005A65CD"/>
    <w:rsid w:val="005B0619"/>
    <w:rsid w:val="005B38BC"/>
    <w:rsid w:val="005B472E"/>
    <w:rsid w:val="005B66AE"/>
    <w:rsid w:val="005B68DF"/>
    <w:rsid w:val="005B6AFF"/>
    <w:rsid w:val="005B70B9"/>
    <w:rsid w:val="005B755C"/>
    <w:rsid w:val="005C1A5C"/>
    <w:rsid w:val="005C5197"/>
    <w:rsid w:val="005C64D0"/>
    <w:rsid w:val="005C65CA"/>
    <w:rsid w:val="005C6897"/>
    <w:rsid w:val="005C68EB"/>
    <w:rsid w:val="005C7259"/>
    <w:rsid w:val="005C75B8"/>
    <w:rsid w:val="005C77E0"/>
    <w:rsid w:val="005D013C"/>
    <w:rsid w:val="005D2905"/>
    <w:rsid w:val="005D45F5"/>
    <w:rsid w:val="005E06A1"/>
    <w:rsid w:val="005E3245"/>
    <w:rsid w:val="005E41D1"/>
    <w:rsid w:val="005E539C"/>
    <w:rsid w:val="005E6DA7"/>
    <w:rsid w:val="005E7F1E"/>
    <w:rsid w:val="005F360D"/>
    <w:rsid w:val="005F45F8"/>
    <w:rsid w:val="005F46B9"/>
    <w:rsid w:val="005F5295"/>
    <w:rsid w:val="005F564F"/>
    <w:rsid w:val="005F7400"/>
    <w:rsid w:val="005F794C"/>
    <w:rsid w:val="005F7CEE"/>
    <w:rsid w:val="005F7E06"/>
    <w:rsid w:val="00600EE5"/>
    <w:rsid w:val="00601775"/>
    <w:rsid w:val="00601B0A"/>
    <w:rsid w:val="00601F54"/>
    <w:rsid w:val="0060316A"/>
    <w:rsid w:val="00605BCB"/>
    <w:rsid w:val="006112A2"/>
    <w:rsid w:val="00611FAF"/>
    <w:rsid w:val="0061345D"/>
    <w:rsid w:val="00614CA3"/>
    <w:rsid w:val="006224B1"/>
    <w:rsid w:val="0062290A"/>
    <w:rsid w:val="00623286"/>
    <w:rsid w:val="00627395"/>
    <w:rsid w:val="006273A4"/>
    <w:rsid w:val="00627DF0"/>
    <w:rsid w:val="0063129E"/>
    <w:rsid w:val="0063171A"/>
    <w:rsid w:val="00632D3B"/>
    <w:rsid w:val="00633283"/>
    <w:rsid w:val="00634B58"/>
    <w:rsid w:val="00636AC5"/>
    <w:rsid w:val="0064010F"/>
    <w:rsid w:val="00640AE8"/>
    <w:rsid w:val="00641BA0"/>
    <w:rsid w:val="00642A45"/>
    <w:rsid w:val="00642C8D"/>
    <w:rsid w:val="00643F76"/>
    <w:rsid w:val="006455FB"/>
    <w:rsid w:val="0064578E"/>
    <w:rsid w:val="0064728C"/>
    <w:rsid w:val="00651936"/>
    <w:rsid w:val="00652174"/>
    <w:rsid w:val="00652881"/>
    <w:rsid w:val="006529EB"/>
    <w:rsid w:val="00654A93"/>
    <w:rsid w:val="00654DF0"/>
    <w:rsid w:val="0065679F"/>
    <w:rsid w:val="006603E5"/>
    <w:rsid w:val="00660F5F"/>
    <w:rsid w:val="006613FB"/>
    <w:rsid w:val="0066183D"/>
    <w:rsid w:val="00661D67"/>
    <w:rsid w:val="006633F2"/>
    <w:rsid w:val="00665726"/>
    <w:rsid w:val="00666C3D"/>
    <w:rsid w:val="00667E4B"/>
    <w:rsid w:val="00670B3A"/>
    <w:rsid w:val="006710A4"/>
    <w:rsid w:val="00673295"/>
    <w:rsid w:val="0067358F"/>
    <w:rsid w:val="00675942"/>
    <w:rsid w:val="00676029"/>
    <w:rsid w:val="006762E2"/>
    <w:rsid w:val="00677271"/>
    <w:rsid w:val="00680FB6"/>
    <w:rsid w:val="00681669"/>
    <w:rsid w:val="0068168C"/>
    <w:rsid w:val="006825C9"/>
    <w:rsid w:val="00683266"/>
    <w:rsid w:val="00683640"/>
    <w:rsid w:val="00683944"/>
    <w:rsid w:val="006844DC"/>
    <w:rsid w:val="00685873"/>
    <w:rsid w:val="006863A2"/>
    <w:rsid w:val="00686A1D"/>
    <w:rsid w:val="00687021"/>
    <w:rsid w:val="006909BD"/>
    <w:rsid w:val="00690ABF"/>
    <w:rsid w:val="00690BAF"/>
    <w:rsid w:val="006919C2"/>
    <w:rsid w:val="00691DF1"/>
    <w:rsid w:val="006924B3"/>
    <w:rsid w:val="0069320A"/>
    <w:rsid w:val="006958E7"/>
    <w:rsid w:val="00697FD6"/>
    <w:rsid w:val="006A0F1D"/>
    <w:rsid w:val="006A1F36"/>
    <w:rsid w:val="006A2869"/>
    <w:rsid w:val="006A409B"/>
    <w:rsid w:val="006A417D"/>
    <w:rsid w:val="006A476E"/>
    <w:rsid w:val="006A4E44"/>
    <w:rsid w:val="006A6105"/>
    <w:rsid w:val="006A6462"/>
    <w:rsid w:val="006A668D"/>
    <w:rsid w:val="006A7AFE"/>
    <w:rsid w:val="006B1B03"/>
    <w:rsid w:val="006B26D3"/>
    <w:rsid w:val="006B2E95"/>
    <w:rsid w:val="006B3403"/>
    <w:rsid w:val="006B697B"/>
    <w:rsid w:val="006C0AB1"/>
    <w:rsid w:val="006C0D66"/>
    <w:rsid w:val="006C12FF"/>
    <w:rsid w:val="006C37EF"/>
    <w:rsid w:val="006C3D12"/>
    <w:rsid w:val="006C608C"/>
    <w:rsid w:val="006C66E0"/>
    <w:rsid w:val="006C677F"/>
    <w:rsid w:val="006D13D9"/>
    <w:rsid w:val="006D1C04"/>
    <w:rsid w:val="006D1DEF"/>
    <w:rsid w:val="006D5620"/>
    <w:rsid w:val="006D580F"/>
    <w:rsid w:val="006D7011"/>
    <w:rsid w:val="006E09F9"/>
    <w:rsid w:val="006E4152"/>
    <w:rsid w:val="006E4302"/>
    <w:rsid w:val="006E4D7F"/>
    <w:rsid w:val="006E4F54"/>
    <w:rsid w:val="006F3B05"/>
    <w:rsid w:val="006F5DDA"/>
    <w:rsid w:val="006F6174"/>
    <w:rsid w:val="006F644F"/>
    <w:rsid w:val="006F7A73"/>
    <w:rsid w:val="00700B21"/>
    <w:rsid w:val="00703359"/>
    <w:rsid w:val="00704D47"/>
    <w:rsid w:val="00710EE8"/>
    <w:rsid w:val="00710FD8"/>
    <w:rsid w:val="00710FF1"/>
    <w:rsid w:val="00711527"/>
    <w:rsid w:val="0071264A"/>
    <w:rsid w:val="00713D57"/>
    <w:rsid w:val="00714D53"/>
    <w:rsid w:val="00716B37"/>
    <w:rsid w:val="00717C5D"/>
    <w:rsid w:val="007262A0"/>
    <w:rsid w:val="00726BDA"/>
    <w:rsid w:val="00726D06"/>
    <w:rsid w:val="00727EC8"/>
    <w:rsid w:val="00730159"/>
    <w:rsid w:val="00731B5B"/>
    <w:rsid w:val="00732732"/>
    <w:rsid w:val="0073322B"/>
    <w:rsid w:val="00733A45"/>
    <w:rsid w:val="00733BBD"/>
    <w:rsid w:val="00735135"/>
    <w:rsid w:val="00735E04"/>
    <w:rsid w:val="00735F21"/>
    <w:rsid w:val="007367CA"/>
    <w:rsid w:val="00737FC3"/>
    <w:rsid w:val="007406DF"/>
    <w:rsid w:val="0074096A"/>
    <w:rsid w:val="007409DD"/>
    <w:rsid w:val="00746BC6"/>
    <w:rsid w:val="00750319"/>
    <w:rsid w:val="00751532"/>
    <w:rsid w:val="00752B07"/>
    <w:rsid w:val="00752C48"/>
    <w:rsid w:val="00753981"/>
    <w:rsid w:val="00754473"/>
    <w:rsid w:val="00754857"/>
    <w:rsid w:val="00754FB5"/>
    <w:rsid w:val="007570EE"/>
    <w:rsid w:val="00760071"/>
    <w:rsid w:val="007607AB"/>
    <w:rsid w:val="00760936"/>
    <w:rsid w:val="007613C9"/>
    <w:rsid w:val="007632D4"/>
    <w:rsid w:val="0076354E"/>
    <w:rsid w:val="007635F6"/>
    <w:rsid w:val="00763D1C"/>
    <w:rsid w:val="00763D5D"/>
    <w:rsid w:val="0076533D"/>
    <w:rsid w:val="0076546F"/>
    <w:rsid w:val="0076590C"/>
    <w:rsid w:val="00765B54"/>
    <w:rsid w:val="00767617"/>
    <w:rsid w:val="0076779F"/>
    <w:rsid w:val="00770121"/>
    <w:rsid w:val="007706A6"/>
    <w:rsid w:val="00770C2F"/>
    <w:rsid w:val="0077542A"/>
    <w:rsid w:val="00775C2B"/>
    <w:rsid w:val="00775CBB"/>
    <w:rsid w:val="00776054"/>
    <w:rsid w:val="007801AD"/>
    <w:rsid w:val="007801CE"/>
    <w:rsid w:val="0078092F"/>
    <w:rsid w:val="00781198"/>
    <w:rsid w:val="007817A1"/>
    <w:rsid w:val="00781DF5"/>
    <w:rsid w:val="00782B4D"/>
    <w:rsid w:val="00782CE1"/>
    <w:rsid w:val="00783141"/>
    <w:rsid w:val="00783176"/>
    <w:rsid w:val="0078384B"/>
    <w:rsid w:val="007862E9"/>
    <w:rsid w:val="00787B68"/>
    <w:rsid w:val="0079221A"/>
    <w:rsid w:val="00792A98"/>
    <w:rsid w:val="00792C6C"/>
    <w:rsid w:val="00795584"/>
    <w:rsid w:val="007A1BF5"/>
    <w:rsid w:val="007A3AAC"/>
    <w:rsid w:val="007A467F"/>
    <w:rsid w:val="007A5BAB"/>
    <w:rsid w:val="007A6BA1"/>
    <w:rsid w:val="007A6C09"/>
    <w:rsid w:val="007B0632"/>
    <w:rsid w:val="007B1E0F"/>
    <w:rsid w:val="007B23C7"/>
    <w:rsid w:val="007B3B56"/>
    <w:rsid w:val="007B3EC6"/>
    <w:rsid w:val="007B487D"/>
    <w:rsid w:val="007B4E50"/>
    <w:rsid w:val="007B693B"/>
    <w:rsid w:val="007B6F65"/>
    <w:rsid w:val="007C0C2E"/>
    <w:rsid w:val="007C0E0D"/>
    <w:rsid w:val="007C6958"/>
    <w:rsid w:val="007D075F"/>
    <w:rsid w:val="007D0982"/>
    <w:rsid w:val="007D2784"/>
    <w:rsid w:val="007D4128"/>
    <w:rsid w:val="007E1A14"/>
    <w:rsid w:val="007E1A79"/>
    <w:rsid w:val="007E27A0"/>
    <w:rsid w:val="007E3C1E"/>
    <w:rsid w:val="007E3F9D"/>
    <w:rsid w:val="007E402B"/>
    <w:rsid w:val="007E5665"/>
    <w:rsid w:val="007E6D53"/>
    <w:rsid w:val="007F0E3B"/>
    <w:rsid w:val="007F18C3"/>
    <w:rsid w:val="007F39B7"/>
    <w:rsid w:val="007F3A09"/>
    <w:rsid w:val="007F408E"/>
    <w:rsid w:val="007F4E29"/>
    <w:rsid w:val="007F5E08"/>
    <w:rsid w:val="007F6315"/>
    <w:rsid w:val="007F681B"/>
    <w:rsid w:val="007F746D"/>
    <w:rsid w:val="007F770C"/>
    <w:rsid w:val="00801385"/>
    <w:rsid w:val="00801E18"/>
    <w:rsid w:val="00804BAB"/>
    <w:rsid w:val="00805DFA"/>
    <w:rsid w:val="008064A9"/>
    <w:rsid w:val="008069ED"/>
    <w:rsid w:val="008122BD"/>
    <w:rsid w:val="00812E6B"/>
    <w:rsid w:val="00813E00"/>
    <w:rsid w:val="00815911"/>
    <w:rsid w:val="00815EFB"/>
    <w:rsid w:val="00816AFF"/>
    <w:rsid w:val="00817F10"/>
    <w:rsid w:val="00817F66"/>
    <w:rsid w:val="00820E3A"/>
    <w:rsid w:val="00821679"/>
    <w:rsid w:val="00822A86"/>
    <w:rsid w:val="008232C0"/>
    <w:rsid w:val="00823822"/>
    <w:rsid w:val="00825D6B"/>
    <w:rsid w:val="0083024B"/>
    <w:rsid w:val="00830C08"/>
    <w:rsid w:val="00833BAF"/>
    <w:rsid w:val="008342E9"/>
    <w:rsid w:val="00836777"/>
    <w:rsid w:val="008410D4"/>
    <w:rsid w:val="00842753"/>
    <w:rsid w:val="00842811"/>
    <w:rsid w:val="00842FAE"/>
    <w:rsid w:val="00843FF1"/>
    <w:rsid w:val="008473B0"/>
    <w:rsid w:val="00847637"/>
    <w:rsid w:val="008503E1"/>
    <w:rsid w:val="00850420"/>
    <w:rsid w:val="00850654"/>
    <w:rsid w:val="00852E5B"/>
    <w:rsid w:val="00854596"/>
    <w:rsid w:val="00855452"/>
    <w:rsid w:val="008560FF"/>
    <w:rsid w:val="00856354"/>
    <w:rsid w:val="008572FE"/>
    <w:rsid w:val="00857F63"/>
    <w:rsid w:val="00860FBB"/>
    <w:rsid w:val="008612FD"/>
    <w:rsid w:val="00861806"/>
    <w:rsid w:val="00862688"/>
    <w:rsid w:val="008637BE"/>
    <w:rsid w:val="008646B2"/>
    <w:rsid w:val="00867328"/>
    <w:rsid w:val="00867C31"/>
    <w:rsid w:val="00872076"/>
    <w:rsid w:val="00872D80"/>
    <w:rsid w:val="0087307E"/>
    <w:rsid w:val="0087384F"/>
    <w:rsid w:val="00873A0F"/>
    <w:rsid w:val="008740C8"/>
    <w:rsid w:val="008745A1"/>
    <w:rsid w:val="008746AF"/>
    <w:rsid w:val="0087523D"/>
    <w:rsid w:val="00877A01"/>
    <w:rsid w:val="0088032D"/>
    <w:rsid w:val="00882B51"/>
    <w:rsid w:val="00883039"/>
    <w:rsid w:val="008837AC"/>
    <w:rsid w:val="00884104"/>
    <w:rsid w:val="008844E4"/>
    <w:rsid w:val="00884CBE"/>
    <w:rsid w:val="008903F8"/>
    <w:rsid w:val="00890E27"/>
    <w:rsid w:val="008926FD"/>
    <w:rsid w:val="00893919"/>
    <w:rsid w:val="00895708"/>
    <w:rsid w:val="00896A9C"/>
    <w:rsid w:val="00896F7D"/>
    <w:rsid w:val="00897522"/>
    <w:rsid w:val="008A036F"/>
    <w:rsid w:val="008A1173"/>
    <w:rsid w:val="008A13A2"/>
    <w:rsid w:val="008A1CB3"/>
    <w:rsid w:val="008A1D50"/>
    <w:rsid w:val="008A4638"/>
    <w:rsid w:val="008A46F0"/>
    <w:rsid w:val="008A492B"/>
    <w:rsid w:val="008A59EF"/>
    <w:rsid w:val="008B2736"/>
    <w:rsid w:val="008B304E"/>
    <w:rsid w:val="008B41BB"/>
    <w:rsid w:val="008B5922"/>
    <w:rsid w:val="008B70EB"/>
    <w:rsid w:val="008B7E39"/>
    <w:rsid w:val="008C13E2"/>
    <w:rsid w:val="008C3B45"/>
    <w:rsid w:val="008C513D"/>
    <w:rsid w:val="008C69C2"/>
    <w:rsid w:val="008C7E7C"/>
    <w:rsid w:val="008D143A"/>
    <w:rsid w:val="008D18CA"/>
    <w:rsid w:val="008D1976"/>
    <w:rsid w:val="008D1E8A"/>
    <w:rsid w:val="008D2A52"/>
    <w:rsid w:val="008D2E30"/>
    <w:rsid w:val="008D52F5"/>
    <w:rsid w:val="008D5516"/>
    <w:rsid w:val="008D6FCA"/>
    <w:rsid w:val="008E2637"/>
    <w:rsid w:val="008E29C1"/>
    <w:rsid w:val="008E3637"/>
    <w:rsid w:val="008E4D3D"/>
    <w:rsid w:val="008E6ABC"/>
    <w:rsid w:val="008E7A33"/>
    <w:rsid w:val="008F03BA"/>
    <w:rsid w:val="008F11F0"/>
    <w:rsid w:val="008F1E7B"/>
    <w:rsid w:val="008F29BC"/>
    <w:rsid w:val="008F3532"/>
    <w:rsid w:val="008F6139"/>
    <w:rsid w:val="008F66CB"/>
    <w:rsid w:val="008F7C89"/>
    <w:rsid w:val="00900B89"/>
    <w:rsid w:val="00900F97"/>
    <w:rsid w:val="00901015"/>
    <w:rsid w:val="00901138"/>
    <w:rsid w:val="009022DA"/>
    <w:rsid w:val="00902310"/>
    <w:rsid w:val="00903355"/>
    <w:rsid w:val="009037B3"/>
    <w:rsid w:val="00903FCA"/>
    <w:rsid w:val="00904C29"/>
    <w:rsid w:val="00904E19"/>
    <w:rsid w:val="00905F05"/>
    <w:rsid w:val="00910138"/>
    <w:rsid w:val="0091166C"/>
    <w:rsid w:val="0091221A"/>
    <w:rsid w:val="009122C0"/>
    <w:rsid w:val="009128A4"/>
    <w:rsid w:val="0091462D"/>
    <w:rsid w:val="00914A03"/>
    <w:rsid w:val="00916338"/>
    <w:rsid w:val="009169B1"/>
    <w:rsid w:val="0091716E"/>
    <w:rsid w:val="0092395F"/>
    <w:rsid w:val="00923F07"/>
    <w:rsid w:val="009253B1"/>
    <w:rsid w:val="00930EE7"/>
    <w:rsid w:val="00932986"/>
    <w:rsid w:val="009367C5"/>
    <w:rsid w:val="00936ACE"/>
    <w:rsid w:val="00940A06"/>
    <w:rsid w:val="009413BB"/>
    <w:rsid w:val="00941CE2"/>
    <w:rsid w:val="009429BE"/>
    <w:rsid w:val="0094361C"/>
    <w:rsid w:val="009460FF"/>
    <w:rsid w:val="009463E9"/>
    <w:rsid w:val="00946AF0"/>
    <w:rsid w:val="00947D58"/>
    <w:rsid w:val="0095164B"/>
    <w:rsid w:val="009523E8"/>
    <w:rsid w:val="009526DD"/>
    <w:rsid w:val="00952E6A"/>
    <w:rsid w:val="00954A20"/>
    <w:rsid w:val="00960CF6"/>
    <w:rsid w:val="0096346C"/>
    <w:rsid w:val="00963CB7"/>
    <w:rsid w:val="0096418D"/>
    <w:rsid w:val="00964431"/>
    <w:rsid w:val="009647A6"/>
    <w:rsid w:val="009659C5"/>
    <w:rsid w:val="00970185"/>
    <w:rsid w:val="0097091A"/>
    <w:rsid w:val="009716F7"/>
    <w:rsid w:val="00972935"/>
    <w:rsid w:val="00972DF8"/>
    <w:rsid w:val="009743FC"/>
    <w:rsid w:val="009751A2"/>
    <w:rsid w:val="009768DC"/>
    <w:rsid w:val="00977308"/>
    <w:rsid w:val="00977790"/>
    <w:rsid w:val="00980E2C"/>
    <w:rsid w:val="00981A67"/>
    <w:rsid w:val="009835A3"/>
    <w:rsid w:val="0098360E"/>
    <w:rsid w:val="0098401F"/>
    <w:rsid w:val="00985731"/>
    <w:rsid w:val="00985F4D"/>
    <w:rsid w:val="0098659B"/>
    <w:rsid w:val="009918D1"/>
    <w:rsid w:val="00992964"/>
    <w:rsid w:val="009929F9"/>
    <w:rsid w:val="00992A0F"/>
    <w:rsid w:val="0099324A"/>
    <w:rsid w:val="00993300"/>
    <w:rsid w:val="00994E4A"/>
    <w:rsid w:val="0099593F"/>
    <w:rsid w:val="0099690D"/>
    <w:rsid w:val="00996983"/>
    <w:rsid w:val="009A2391"/>
    <w:rsid w:val="009A24E6"/>
    <w:rsid w:val="009A25A1"/>
    <w:rsid w:val="009A3477"/>
    <w:rsid w:val="009A46F4"/>
    <w:rsid w:val="009A5FBA"/>
    <w:rsid w:val="009A6135"/>
    <w:rsid w:val="009A7355"/>
    <w:rsid w:val="009A7A4D"/>
    <w:rsid w:val="009A7B0D"/>
    <w:rsid w:val="009B05A4"/>
    <w:rsid w:val="009B0BD9"/>
    <w:rsid w:val="009B2CE3"/>
    <w:rsid w:val="009B53D8"/>
    <w:rsid w:val="009B614F"/>
    <w:rsid w:val="009C1EDC"/>
    <w:rsid w:val="009C2834"/>
    <w:rsid w:val="009C371A"/>
    <w:rsid w:val="009C4762"/>
    <w:rsid w:val="009C4B20"/>
    <w:rsid w:val="009C7436"/>
    <w:rsid w:val="009D12E0"/>
    <w:rsid w:val="009E0299"/>
    <w:rsid w:val="009E0E3A"/>
    <w:rsid w:val="009E27A2"/>
    <w:rsid w:val="009E2980"/>
    <w:rsid w:val="009E3605"/>
    <w:rsid w:val="009E36E7"/>
    <w:rsid w:val="009E4A7E"/>
    <w:rsid w:val="009E726B"/>
    <w:rsid w:val="009F0325"/>
    <w:rsid w:val="009F104E"/>
    <w:rsid w:val="009F2C58"/>
    <w:rsid w:val="009F4A28"/>
    <w:rsid w:val="009F65B5"/>
    <w:rsid w:val="00A00479"/>
    <w:rsid w:val="00A004B0"/>
    <w:rsid w:val="00A009A7"/>
    <w:rsid w:val="00A01C85"/>
    <w:rsid w:val="00A02FB3"/>
    <w:rsid w:val="00A035ED"/>
    <w:rsid w:val="00A03BE5"/>
    <w:rsid w:val="00A03C1B"/>
    <w:rsid w:val="00A062B1"/>
    <w:rsid w:val="00A063AA"/>
    <w:rsid w:val="00A06758"/>
    <w:rsid w:val="00A06827"/>
    <w:rsid w:val="00A06C84"/>
    <w:rsid w:val="00A10DB2"/>
    <w:rsid w:val="00A119E4"/>
    <w:rsid w:val="00A136DF"/>
    <w:rsid w:val="00A1474F"/>
    <w:rsid w:val="00A1494A"/>
    <w:rsid w:val="00A14DF5"/>
    <w:rsid w:val="00A17116"/>
    <w:rsid w:val="00A17EE2"/>
    <w:rsid w:val="00A2040C"/>
    <w:rsid w:val="00A2073F"/>
    <w:rsid w:val="00A22596"/>
    <w:rsid w:val="00A22600"/>
    <w:rsid w:val="00A239EB"/>
    <w:rsid w:val="00A249B5"/>
    <w:rsid w:val="00A25AA8"/>
    <w:rsid w:val="00A26951"/>
    <w:rsid w:val="00A26A19"/>
    <w:rsid w:val="00A27633"/>
    <w:rsid w:val="00A27965"/>
    <w:rsid w:val="00A279C5"/>
    <w:rsid w:val="00A30DB2"/>
    <w:rsid w:val="00A3100B"/>
    <w:rsid w:val="00A311A1"/>
    <w:rsid w:val="00A334CE"/>
    <w:rsid w:val="00A349DB"/>
    <w:rsid w:val="00A35D14"/>
    <w:rsid w:val="00A360E1"/>
    <w:rsid w:val="00A36164"/>
    <w:rsid w:val="00A37F4C"/>
    <w:rsid w:val="00A402F8"/>
    <w:rsid w:val="00A4045A"/>
    <w:rsid w:val="00A439D0"/>
    <w:rsid w:val="00A47F72"/>
    <w:rsid w:val="00A501A7"/>
    <w:rsid w:val="00A52357"/>
    <w:rsid w:val="00A548E9"/>
    <w:rsid w:val="00A54A0E"/>
    <w:rsid w:val="00A54C47"/>
    <w:rsid w:val="00A5561A"/>
    <w:rsid w:val="00A575FB"/>
    <w:rsid w:val="00A57C38"/>
    <w:rsid w:val="00A57ED2"/>
    <w:rsid w:val="00A60373"/>
    <w:rsid w:val="00A620D4"/>
    <w:rsid w:val="00A630BA"/>
    <w:rsid w:val="00A65B0A"/>
    <w:rsid w:val="00A6670E"/>
    <w:rsid w:val="00A705F3"/>
    <w:rsid w:val="00A70DD6"/>
    <w:rsid w:val="00A72B34"/>
    <w:rsid w:val="00A73468"/>
    <w:rsid w:val="00A734B5"/>
    <w:rsid w:val="00A746B0"/>
    <w:rsid w:val="00A74E50"/>
    <w:rsid w:val="00A74F3D"/>
    <w:rsid w:val="00A75DE6"/>
    <w:rsid w:val="00A77B93"/>
    <w:rsid w:val="00A80DB9"/>
    <w:rsid w:val="00A80E65"/>
    <w:rsid w:val="00A8710A"/>
    <w:rsid w:val="00A916CE"/>
    <w:rsid w:val="00A92DE6"/>
    <w:rsid w:val="00A93429"/>
    <w:rsid w:val="00A93FAE"/>
    <w:rsid w:val="00AA0104"/>
    <w:rsid w:val="00AA01A2"/>
    <w:rsid w:val="00AA08C9"/>
    <w:rsid w:val="00AA1216"/>
    <w:rsid w:val="00AA2BE7"/>
    <w:rsid w:val="00AA4D00"/>
    <w:rsid w:val="00AA515B"/>
    <w:rsid w:val="00AA582D"/>
    <w:rsid w:val="00AA5997"/>
    <w:rsid w:val="00AA5A61"/>
    <w:rsid w:val="00AA64C3"/>
    <w:rsid w:val="00AB0258"/>
    <w:rsid w:val="00AB0A7B"/>
    <w:rsid w:val="00AB3C80"/>
    <w:rsid w:val="00AB5335"/>
    <w:rsid w:val="00AB7302"/>
    <w:rsid w:val="00AC0A9C"/>
    <w:rsid w:val="00AC0AF6"/>
    <w:rsid w:val="00AC0F3B"/>
    <w:rsid w:val="00AC3DA0"/>
    <w:rsid w:val="00AC4269"/>
    <w:rsid w:val="00AC5DCB"/>
    <w:rsid w:val="00AC648B"/>
    <w:rsid w:val="00AD17BB"/>
    <w:rsid w:val="00AD52F3"/>
    <w:rsid w:val="00AE05B8"/>
    <w:rsid w:val="00AE0640"/>
    <w:rsid w:val="00AE10CD"/>
    <w:rsid w:val="00AE1B02"/>
    <w:rsid w:val="00AE2207"/>
    <w:rsid w:val="00AE30F3"/>
    <w:rsid w:val="00AE567E"/>
    <w:rsid w:val="00AE6387"/>
    <w:rsid w:val="00AE6430"/>
    <w:rsid w:val="00AF3F04"/>
    <w:rsid w:val="00AF6503"/>
    <w:rsid w:val="00AF6AD4"/>
    <w:rsid w:val="00B00AB3"/>
    <w:rsid w:val="00B00F6E"/>
    <w:rsid w:val="00B030B3"/>
    <w:rsid w:val="00B037CB"/>
    <w:rsid w:val="00B04026"/>
    <w:rsid w:val="00B04AC4"/>
    <w:rsid w:val="00B11286"/>
    <w:rsid w:val="00B112AA"/>
    <w:rsid w:val="00B11D50"/>
    <w:rsid w:val="00B14481"/>
    <w:rsid w:val="00B144F1"/>
    <w:rsid w:val="00B1459C"/>
    <w:rsid w:val="00B1543B"/>
    <w:rsid w:val="00B159E0"/>
    <w:rsid w:val="00B168B6"/>
    <w:rsid w:val="00B1724A"/>
    <w:rsid w:val="00B21143"/>
    <w:rsid w:val="00B21547"/>
    <w:rsid w:val="00B225EC"/>
    <w:rsid w:val="00B22B29"/>
    <w:rsid w:val="00B239BA"/>
    <w:rsid w:val="00B24261"/>
    <w:rsid w:val="00B27817"/>
    <w:rsid w:val="00B31ADA"/>
    <w:rsid w:val="00B356AC"/>
    <w:rsid w:val="00B35DAE"/>
    <w:rsid w:val="00B36D86"/>
    <w:rsid w:val="00B37438"/>
    <w:rsid w:val="00B40E28"/>
    <w:rsid w:val="00B41FE0"/>
    <w:rsid w:val="00B440BC"/>
    <w:rsid w:val="00B44349"/>
    <w:rsid w:val="00B450D8"/>
    <w:rsid w:val="00B46076"/>
    <w:rsid w:val="00B46B32"/>
    <w:rsid w:val="00B50237"/>
    <w:rsid w:val="00B51233"/>
    <w:rsid w:val="00B51D18"/>
    <w:rsid w:val="00B54CCF"/>
    <w:rsid w:val="00B5605F"/>
    <w:rsid w:val="00B5741B"/>
    <w:rsid w:val="00B576E3"/>
    <w:rsid w:val="00B57C21"/>
    <w:rsid w:val="00B63F25"/>
    <w:rsid w:val="00B66AE9"/>
    <w:rsid w:val="00B66CCF"/>
    <w:rsid w:val="00B67B4E"/>
    <w:rsid w:val="00B67BD4"/>
    <w:rsid w:val="00B70E27"/>
    <w:rsid w:val="00B73113"/>
    <w:rsid w:val="00B745AF"/>
    <w:rsid w:val="00B74FD3"/>
    <w:rsid w:val="00B75F7F"/>
    <w:rsid w:val="00B768A1"/>
    <w:rsid w:val="00B7723A"/>
    <w:rsid w:val="00B772F7"/>
    <w:rsid w:val="00B7751D"/>
    <w:rsid w:val="00B824EF"/>
    <w:rsid w:val="00B8395D"/>
    <w:rsid w:val="00B83B48"/>
    <w:rsid w:val="00B84340"/>
    <w:rsid w:val="00B86537"/>
    <w:rsid w:val="00B87016"/>
    <w:rsid w:val="00B905BA"/>
    <w:rsid w:val="00B948AA"/>
    <w:rsid w:val="00B96635"/>
    <w:rsid w:val="00BA057C"/>
    <w:rsid w:val="00BA078D"/>
    <w:rsid w:val="00BA139F"/>
    <w:rsid w:val="00BA2E9E"/>
    <w:rsid w:val="00BA3793"/>
    <w:rsid w:val="00BA47E0"/>
    <w:rsid w:val="00BA515B"/>
    <w:rsid w:val="00BA5AE0"/>
    <w:rsid w:val="00BA7BA6"/>
    <w:rsid w:val="00BB0835"/>
    <w:rsid w:val="00BB229C"/>
    <w:rsid w:val="00BB6C39"/>
    <w:rsid w:val="00BB7DDB"/>
    <w:rsid w:val="00BC07AA"/>
    <w:rsid w:val="00BC1488"/>
    <w:rsid w:val="00BC2FEF"/>
    <w:rsid w:val="00BC4028"/>
    <w:rsid w:val="00BC6407"/>
    <w:rsid w:val="00BD1560"/>
    <w:rsid w:val="00BD36F1"/>
    <w:rsid w:val="00BD3B1A"/>
    <w:rsid w:val="00BD3CAD"/>
    <w:rsid w:val="00BD55E4"/>
    <w:rsid w:val="00BD755E"/>
    <w:rsid w:val="00BE0BCB"/>
    <w:rsid w:val="00BE1F92"/>
    <w:rsid w:val="00BE2A1D"/>
    <w:rsid w:val="00BE2C91"/>
    <w:rsid w:val="00BE2F82"/>
    <w:rsid w:val="00BE34CD"/>
    <w:rsid w:val="00BE3A68"/>
    <w:rsid w:val="00BE3D7F"/>
    <w:rsid w:val="00BE6614"/>
    <w:rsid w:val="00BF05CF"/>
    <w:rsid w:val="00BF0B0B"/>
    <w:rsid w:val="00BF1A8D"/>
    <w:rsid w:val="00BF3A83"/>
    <w:rsid w:val="00BF66C7"/>
    <w:rsid w:val="00C006ED"/>
    <w:rsid w:val="00C01316"/>
    <w:rsid w:val="00C015EB"/>
    <w:rsid w:val="00C0339D"/>
    <w:rsid w:val="00C03922"/>
    <w:rsid w:val="00C03BA1"/>
    <w:rsid w:val="00C0587A"/>
    <w:rsid w:val="00C05EC6"/>
    <w:rsid w:val="00C06C2D"/>
    <w:rsid w:val="00C06E7B"/>
    <w:rsid w:val="00C06F66"/>
    <w:rsid w:val="00C07240"/>
    <w:rsid w:val="00C10266"/>
    <w:rsid w:val="00C10D6B"/>
    <w:rsid w:val="00C158A8"/>
    <w:rsid w:val="00C225D7"/>
    <w:rsid w:val="00C26D4B"/>
    <w:rsid w:val="00C302BC"/>
    <w:rsid w:val="00C31A3A"/>
    <w:rsid w:val="00C31C36"/>
    <w:rsid w:val="00C346E2"/>
    <w:rsid w:val="00C34F45"/>
    <w:rsid w:val="00C360DB"/>
    <w:rsid w:val="00C36353"/>
    <w:rsid w:val="00C40363"/>
    <w:rsid w:val="00C40382"/>
    <w:rsid w:val="00C40EC4"/>
    <w:rsid w:val="00C419C3"/>
    <w:rsid w:val="00C4313B"/>
    <w:rsid w:val="00C43BF2"/>
    <w:rsid w:val="00C45262"/>
    <w:rsid w:val="00C45AE3"/>
    <w:rsid w:val="00C4751F"/>
    <w:rsid w:val="00C52A45"/>
    <w:rsid w:val="00C53411"/>
    <w:rsid w:val="00C534C0"/>
    <w:rsid w:val="00C53B80"/>
    <w:rsid w:val="00C545FA"/>
    <w:rsid w:val="00C550AE"/>
    <w:rsid w:val="00C56134"/>
    <w:rsid w:val="00C57D41"/>
    <w:rsid w:val="00C61DF9"/>
    <w:rsid w:val="00C62C60"/>
    <w:rsid w:val="00C65333"/>
    <w:rsid w:val="00C70FFB"/>
    <w:rsid w:val="00C71124"/>
    <w:rsid w:val="00C716FD"/>
    <w:rsid w:val="00C776B7"/>
    <w:rsid w:val="00C81039"/>
    <w:rsid w:val="00C826A5"/>
    <w:rsid w:val="00C83165"/>
    <w:rsid w:val="00C8410B"/>
    <w:rsid w:val="00C846F6"/>
    <w:rsid w:val="00C863B4"/>
    <w:rsid w:val="00C86986"/>
    <w:rsid w:val="00C87461"/>
    <w:rsid w:val="00C87F83"/>
    <w:rsid w:val="00C922E6"/>
    <w:rsid w:val="00C9315F"/>
    <w:rsid w:val="00C945F5"/>
    <w:rsid w:val="00C96D58"/>
    <w:rsid w:val="00C97203"/>
    <w:rsid w:val="00C97AC3"/>
    <w:rsid w:val="00CA03C2"/>
    <w:rsid w:val="00CA09DA"/>
    <w:rsid w:val="00CA20A1"/>
    <w:rsid w:val="00CA437B"/>
    <w:rsid w:val="00CA49F9"/>
    <w:rsid w:val="00CA5FE7"/>
    <w:rsid w:val="00CA61AA"/>
    <w:rsid w:val="00CA6EA7"/>
    <w:rsid w:val="00CA78D6"/>
    <w:rsid w:val="00CB2C3F"/>
    <w:rsid w:val="00CB46CD"/>
    <w:rsid w:val="00CB5110"/>
    <w:rsid w:val="00CB5FB2"/>
    <w:rsid w:val="00CB6459"/>
    <w:rsid w:val="00CC0392"/>
    <w:rsid w:val="00CC190C"/>
    <w:rsid w:val="00CC22C3"/>
    <w:rsid w:val="00CC2C3F"/>
    <w:rsid w:val="00CC306C"/>
    <w:rsid w:val="00CC477E"/>
    <w:rsid w:val="00CC4F7D"/>
    <w:rsid w:val="00CC5EDC"/>
    <w:rsid w:val="00CC69EE"/>
    <w:rsid w:val="00CC7072"/>
    <w:rsid w:val="00CC7BAA"/>
    <w:rsid w:val="00CD080B"/>
    <w:rsid w:val="00CD2004"/>
    <w:rsid w:val="00CD3BF9"/>
    <w:rsid w:val="00CD3EDF"/>
    <w:rsid w:val="00CD429B"/>
    <w:rsid w:val="00CD7C6C"/>
    <w:rsid w:val="00CE1975"/>
    <w:rsid w:val="00CE1C21"/>
    <w:rsid w:val="00CE4FAE"/>
    <w:rsid w:val="00CE595D"/>
    <w:rsid w:val="00CE5CD6"/>
    <w:rsid w:val="00CE741D"/>
    <w:rsid w:val="00CE7ABF"/>
    <w:rsid w:val="00CF0045"/>
    <w:rsid w:val="00CF0936"/>
    <w:rsid w:val="00CF0B32"/>
    <w:rsid w:val="00CF104E"/>
    <w:rsid w:val="00CF233D"/>
    <w:rsid w:val="00CF3DA5"/>
    <w:rsid w:val="00CF402B"/>
    <w:rsid w:val="00CF7070"/>
    <w:rsid w:val="00D0006F"/>
    <w:rsid w:val="00D00527"/>
    <w:rsid w:val="00D00C0F"/>
    <w:rsid w:val="00D0300D"/>
    <w:rsid w:val="00D042C4"/>
    <w:rsid w:val="00D043B7"/>
    <w:rsid w:val="00D046CD"/>
    <w:rsid w:val="00D04B2B"/>
    <w:rsid w:val="00D05F43"/>
    <w:rsid w:val="00D07CAA"/>
    <w:rsid w:val="00D14673"/>
    <w:rsid w:val="00D150CC"/>
    <w:rsid w:val="00D152CC"/>
    <w:rsid w:val="00D16468"/>
    <w:rsid w:val="00D20C97"/>
    <w:rsid w:val="00D21830"/>
    <w:rsid w:val="00D221A5"/>
    <w:rsid w:val="00D2457E"/>
    <w:rsid w:val="00D247FC"/>
    <w:rsid w:val="00D2548F"/>
    <w:rsid w:val="00D276D7"/>
    <w:rsid w:val="00D27E9E"/>
    <w:rsid w:val="00D27F3B"/>
    <w:rsid w:val="00D31A33"/>
    <w:rsid w:val="00D32C39"/>
    <w:rsid w:val="00D332F5"/>
    <w:rsid w:val="00D358BB"/>
    <w:rsid w:val="00D36091"/>
    <w:rsid w:val="00D377A0"/>
    <w:rsid w:val="00D41D4A"/>
    <w:rsid w:val="00D4205B"/>
    <w:rsid w:val="00D44B3A"/>
    <w:rsid w:val="00D4626F"/>
    <w:rsid w:val="00D47891"/>
    <w:rsid w:val="00D47ACE"/>
    <w:rsid w:val="00D53CEE"/>
    <w:rsid w:val="00D54D59"/>
    <w:rsid w:val="00D54E79"/>
    <w:rsid w:val="00D55AB8"/>
    <w:rsid w:val="00D56378"/>
    <w:rsid w:val="00D60808"/>
    <w:rsid w:val="00D60C92"/>
    <w:rsid w:val="00D61048"/>
    <w:rsid w:val="00D6110F"/>
    <w:rsid w:val="00D62816"/>
    <w:rsid w:val="00D639D1"/>
    <w:rsid w:val="00D652C2"/>
    <w:rsid w:val="00D65461"/>
    <w:rsid w:val="00D6563A"/>
    <w:rsid w:val="00D66871"/>
    <w:rsid w:val="00D66D1A"/>
    <w:rsid w:val="00D66DDF"/>
    <w:rsid w:val="00D6726A"/>
    <w:rsid w:val="00D67DCA"/>
    <w:rsid w:val="00D718C0"/>
    <w:rsid w:val="00D72047"/>
    <w:rsid w:val="00D73726"/>
    <w:rsid w:val="00D7408F"/>
    <w:rsid w:val="00D742DC"/>
    <w:rsid w:val="00D750AA"/>
    <w:rsid w:val="00D77134"/>
    <w:rsid w:val="00D779ED"/>
    <w:rsid w:val="00D81F13"/>
    <w:rsid w:val="00D82143"/>
    <w:rsid w:val="00D824C2"/>
    <w:rsid w:val="00D844AA"/>
    <w:rsid w:val="00D863EB"/>
    <w:rsid w:val="00D868A1"/>
    <w:rsid w:val="00D86BD9"/>
    <w:rsid w:val="00D87268"/>
    <w:rsid w:val="00D87CFD"/>
    <w:rsid w:val="00D9069A"/>
    <w:rsid w:val="00D908A8"/>
    <w:rsid w:val="00D91683"/>
    <w:rsid w:val="00D91758"/>
    <w:rsid w:val="00D93F6E"/>
    <w:rsid w:val="00D95B89"/>
    <w:rsid w:val="00D96A08"/>
    <w:rsid w:val="00D96B66"/>
    <w:rsid w:val="00D97034"/>
    <w:rsid w:val="00D973E6"/>
    <w:rsid w:val="00DA02D0"/>
    <w:rsid w:val="00DA063E"/>
    <w:rsid w:val="00DA1517"/>
    <w:rsid w:val="00DA21AD"/>
    <w:rsid w:val="00DA5F04"/>
    <w:rsid w:val="00DA72F9"/>
    <w:rsid w:val="00DA779B"/>
    <w:rsid w:val="00DA7C6F"/>
    <w:rsid w:val="00DB0421"/>
    <w:rsid w:val="00DB07EC"/>
    <w:rsid w:val="00DB0B2B"/>
    <w:rsid w:val="00DB2606"/>
    <w:rsid w:val="00DB2BF6"/>
    <w:rsid w:val="00DB5267"/>
    <w:rsid w:val="00DC050F"/>
    <w:rsid w:val="00DC06A5"/>
    <w:rsid w:val="00DC097F"/>
    <w:rsid w:val="00DC0C7D"/>
    <w:rsid w:val="00DC1228"/>
    <w:rsid w:val="00DC4269"/>
    <w:rsid w:val="00DC45B5"/>
    <w:rsid w:val="00DC4BC6"/>
    <w:rsid w:val="00DC6EF0"/>
    <w:rsid w:val="00DC7B89"/>
    <w:rsid w:val="00DD33C0"/>
    <w:rsid w:val="00DD420A"/>
    <w:rsid w:val="00DD48B1"/>
    <w:rsid w:val="00DD57E2"/>
    <w:rsid w:val="00DD59E3"/>
    <w:rsid w:val="00DD5FEE"/>
    <w:rsid w:val="00DD7810"/>
    <w:rsid w:val="00DE2042"/>
    <w:rsid w:val="00DE25B6"/>
    <w:rsid w:val="00DE370F"/>
    <w:rsid w:val="00DE3881"/>
    <w:rsid w:val="00DE550E"/>
    <w:rsid w:val="00DE5C51"/>
    <w:rsid w:val="00DE7130"/>
    <w:rsid w:val="00DF1BDC"/>
    <w:rsid w:val="00DF1E83"/>
    <w:rsid w:val="00DF1EE9"/>
    <w:rsid w:val="00DF39F0"/>
    <w:rsid w:val="00DF4A84"/>
    <w:rsid w:val="00DF5A00"/>
    <w:rsid w:val="00DF5C1F"/>
    <w:rsid w:val="00DF6811"/>
    <w:rsid w:val="00DF79D0"/>
    <w:rsid w:val="00E00A56"/>
    <w:rsid w:val="00E0175A"/>
    <w:rsid w:val="00E032CF"/>
    <w:rsid w:val="00E04ECA"/>
    <w:rsid w:val="00E05BF0"/>
    <w:rsid w:val="00E060AF"/>
    <w:rsid w:val="00E06B1B"/>
    <w:rsid w:val="00E06F3B"/>
    <w:rsid w:val="00E072A8"/>
    <w:rsid w:val="00E102D5"/>
    <w:rsid w:val="00E12471"/>
    <w:rsid w:val="00E12602"/>
    <w:rsid w:val="00E12A4F"/>
    <w:rsid w:val="00E15747"/>
    <w:rsid w:val="00E1665D"/>
    <w:rsid w:val="00E173DD"/>
    <w:rsid w:val="00E20489"/>
    <w:rsid w:val="00E206C7"/>
    <w:rsid w:val="00E20807"/>
    <w:rsid w:val="00E218C9"/>
    <w:rsid w:val="00E2283D"/>
    <w:rsid w:val="00E2391A"/>
    <w:rsid w:val="00E24727"/>
    <w:rsid w:val="00E24912"/>
    <w:rsid w:val="00E27123"/>
    <w:rsid w:val="00E31443"/>
    <w:rsid w:val="00E324E7"/>
    <w:rsid w:val="00E3381B"/>
    <w:rsid w:val="00E34663"/>
    <w:rsid w:val="00E3495E"/>
    <w:rsid w:val="00E35BD3"/>
    <w:rsid w:val="00E37BFF"/>
    <w:rsid w:val="00E4113C"/>
    <w:rsid w:val="00E43629"/>
    <w:rsid w:val="00E436DD"/>
    <w:rsid w:val="00E5167A"/>
    <w:rsid w:val="00E52494"/>
    <w:rsid w:val="00E52866"/>
    <w:rsid w:val="00E52F9D"/>
    <w:rsid w:val="00E54053"/>
    <w:rsid w:val="00E554C5"/>
    <w:rsid w:val="00E55F27"/>
    <w:rsid w:val="00E5644C"/>
    <w:rsid w:val="00E6005A"/>
    <w:rsid w:val="00E61810"/>
    <w:rsid w:val="00E62ED0"/>
    <w:rsid w:val="00E63400"/>
    <w:rsid w:val="00E63993"/>
    <w:rsid w:val="00E67659"/>
    <w:rsid w:val="00E67E4D"/>
    <w:rsid w:val="00E71ACC"/>
    <w:rsid w:val="00E73DE5"/>
    <w:rsid w:val="00E76179"/>
    <w:rsid w:val="00E76E2F"/>
    <w:rsid w:val="00E76F50"/>
    <w:rsid w:val="00E800CB"/>
    <w:rsid w:val="00E83176"/>
    <w:rsid w:val="00E833FE"/>
    <w:rsid w:val="00E878A0"/>
    <w:rsid w:val="00E9184E"/>
    <w:rsid w:val="00E97F50"/>
    <w:rsid w:val="00EA033C"/>
    <w:rsid w:val="00EA37EA"/>
    <w:rsid w:val="00EA3C76"/>
    <w:rsid w:val="00EA45D2"/>
    <w:rsid w:val="00EA482B"/>
    <w:rsid w:val="00EA564B"/>
    <w:rsid w:val="00EA6C5A"/>
    <w:rsid w:val="00EB0126"/>
    <w:rsid w:val="00EB15D2"/>
    <w:rsid w:val="00EB393C"/>
    <w:rsid w:val="00EB44D6"/>
    <w:rsid w:val="00EB48AC"/>
    <w:rsid w:val="00EB4A8D"/>
    <w:rsid w:val="00EB6132"/>
    <w:rsid w:val="00EB6E8B"/>
    <w:rsid w:val="00EC006C"/>
    <w:rsid w:val="00EC0886"/>
    <w:rsid w:val="00EC08CE"/>
    <w:rsid w:val="00EC1FA4"/>
    <w:rsid w:val="00EC4CC3"/>
    <w:rsid w:val="00EC6A5F"/>
    <w:rsid w:val="00ED03AB"/>
    <w:rsid w:val="00ED0709"/>
    <w:rsid w:val="00ED0A51"/>
    <w:rsid w:val="00ED26AB"/>
    <w:rsid w:val="00ED4BAB"/>
    <w:rsid w:val="00ED50B2"/>
    <w:rsid w:val="00ED59DB"/>
    <w:rsid w:val="00EE01FF"/>
    <w:rsid w:val="00EE021E"/>
    <w:rsid w:val="00EE0685"/>
    <w:rsid w:val="00EE0C11"/>
    <w:rsid w:val="00EE1803"/>
    <w:rsid w:val="00EE254E"/>
    <w:rsid w:val="00EE26D3"/>
    <w:rsid w:val="00EE2785"/>
    <w:rsid w:val="00EE2DE4"/>
    <w:rsid w:val="00EE54E7"/>
    <w:rsid w:val="00EE7CF0"/>
    <w:rsid w:val="00EF4447"/>
    <w:rsid w:val="00EF525D"/>
    <w:rsid w:val="00EF5ABB"/>
    <w:rsid w:val="00EF6A80"/>
    <w:rsid w:val="00EF7C89"/>
    <w:rsid w:val="00F037BB"/>
    <w:rsid w:val="00F0657B"/>
    <w:rsid w:val="00F068BA"/>
    <w:rsid w:val="00F100AB"/>
    <w:rsid w:val="00F1153F"/>
    <w:rsid w:val="00F115D4"/>
    <w:rsid w:val="00F151FE"/>
    <w:rsid w:val="00F1556D"/>
    <w:rsid w:val="00F15D79"/>
    <w:rsid w:val="00F16A39"/>
    <w:rsid w:val="00F16E7C"/>
    <w:rsid w:val="00F20767"/>
    <w:rsid w:val="00F211A2"/>
    <w:rsid w:val="00F21640"/>
    <w:rsid w:val="00F21BBC"/>
    <w:rsid w:val="00F21E26"/>
    <w:rsid w:val="00F2297C"/>
    <w:rsid w:val="00F23774"/>
    <w:rsid w:val="00F25689"/>
    <w:rsid w:val="00F3062E"/>
    <w:rsid w:val="00F31D45"/>
    <w:rsid w:val="00F327CF"/>
    <w:rsid w:val="00F3394C"/>
    <w:rsid w:val="00F33EAB"/>
    <w:rsid w:val="00F35135"/>
    <w:rsid w:val="00F35DFB"/>
    <w:rsid w:val="00F363C5"/>
    <w:rsid w:val="00F377ED"/>
    <w:rsid w:val="00F37CF5"/>
    <w:rsid w:val="00F4193A"/>
    <w:rsid w:val="00F42E2F"/>
    <w:rsid w:val="00F43907"/>
    <w:rsid w:val="00F4462A"/>
    <w:rsid w:val="00F45124"/>
    <w:rsid w:val="00F473F0"/>
    <w:rsid w:val="00F50606"/>
    <w:rsid w:val="00F52070"/>
    <w:rsid w:val="00F5341C"/>
    <w:rsid w:val="00F55C1F"/>
    <w:rsid w:val="00F57B9F"/>
    <w:rsid w:val="00F60031"/>
    <w:rsid w:val="00F625F5"/>
    <w:rsid w:val="00F63AA3"/>
    <w:rsid w:val="00F67554"/>
    <w:rsid w:val="00F74093"/>
    <w:rsid w:val="00F75AF2"/>
    <w:rsid w:val="00F77328"/>
    <w:rsid w:val="00F80D34"/>
    <w:rsid w:val="00F8111E"/>
    <w:rsid w:val="00F82191"/>
    <w:rsid w:val="00F827BC"/>
    <w:rsid w:val="00F85716"/>
    <w:rsid w:val="00F86A0B"/>
    <w:rsid w:val="00F86D14"/>
    <w:rsid w:val="00F90C74"/>
    <w:rsid w:val="00F91EC2"/>
    <w:rsid w:val="00F9272F"/>
    <w:rsid w:val="00F932C3"/>
    <w:rsid w:val="00F9356F"/>
    <w:rsid w:val="00FA0A90"/>
    <w:rsid w:val="00FA0F23"/>
    <w:rsid w:val="00FA16BC"/>
    <w:rsid w:val="00FA2C38"/>
    <w:rsid w:val="00FA5506"/>
    <w:rsid w:val="00FB0ADC"/>
    <w:rsid w:val="00FB1115"/>
    <w:rsid w:val="00FB220D"/>
    <w:rsid w:val="00FB2640"/>
    <w:rsid w:val="00FB3B24"/>
    <w:rsid w:val="00FB3C44"/>
    <w:rsid w:val="00FB4A72"/>
    <w:rsid w:val="00FB4C1B"/>
    <w:rsid w:val="00FB4FE0"/>
    <w:rsid w:val="00FB5BA5"/>
    <w:rsid w:val="00FB65B4"/>
    <w:rsid w:val="00FB70E5"/>
    <w:rsid w:val="00FB76D8"/>
    <w:rsid w:val="00FB793A"/>
    <w:rsid w:val="00FC2F24"/>
    <w:rsid w:val="00FC455F"/>
    <w:rsid w:val="00FC53C5"/>
    <w:rsid w:val="00FC715E"/>
    <w:rsid w:val="00FC7A01"/>
    <w:rsid w:val="00FC7BB5"/>
    <w:rsid w:val="00FD14B6"/>
    <w:rsid w:val="00FD1F22"/>
    <w:rsid w:val="00FD20BC"/>
    <w:rsid w:val="00FD262D"/>
    <w:rsid w:val="00FD40BF"/>
    <w:rsid w:val="00FD42D5"/>
    <w:rsid w:val="00FD4483"/>
    <w:rsid w:val="00FD44F2"/>
    <w:rsid w:val="00FD65BB"/>
    <w:rsid w:val="00FD6D18"/>
    <w:rsid w:val="00FD6E6D"/>
    <w:rsid w:val="00FD7CC8"/>
    <w:rsid w:val="00FE681A"/>
    <w:rsid w:val="00FF13E8"/>
    <w:rsid w:val="00FF1656"/>
    <w:rsid w:val="00FF25D4"/>
    <w:rsid w:val="00FF6A3D"/>
    <w:rsid w:val="04EC7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9"/>
    <w:semiHidden/>
    <w:unhideWhenUsed/>
    <w:uiPriority w:val="99"/>
    <w:rPr>
      <w:sz w:val="18"/>
      <w:szCs w:val="18"/>
    </w:rPr>
  </w:style>
  <w:style w:type="paragraph" w:styleId="4">
    <w:name w:val="footer"/>
    <w:basedOn w:val="1"/>
    <w:link w:val="18"/>
    <w:unhideWhenUsed/>
    <w:uiPriority w:val="99"/>
    <w:pPr>
      <w:tabs>
        <w:tab w:val="center" w:pos="4153"/>
        <w:tab w:val="right" w:pos="8306"/>
      </w:tabs>
      <w:snapToGrid w:val="0"/>
      <w:jc w:val="left"/>
    </w:pPr>
    <w:rPr>
      <w:sz w:val="18"/>
      <w:szCs w:val="18"/>
    </w:rPr>
  </w:style>
  <w:style w:type="paragraph" w:styleId="5">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21"/>
    <w:unhideWhenUsed/>
    <w:qFormat/>
    <w:uiPriority w:val="0"/>
    <w:pPr>
      <w:snapToGrid w:val="0"/>
      <w:jc w:val="left"/>
    </w:pPr>
    <w:rPr>
      <w:rFonts w:ascii="Calibri" w:hAnsi="Calibri" w:eastAsia="宋体" w:cs="Times New Roman"/>
      <w:sz w:val="18"/>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otnote reference"/>
    <w:unhideWhenUsed/>
    <w:qFormat/>
    <w:uiPriority w:val="0"/>
    <w:rPr>
      <w:rFonts w:ascii="Times New Roman" w:hAnsi="Times New Roman" w:eastAsia="宋体" w:cs="Times New Roman"/>
      <w:vertAlign w:val="superscript"/>
    </w:rPr>
  </w:style>
  <w:style w:type="paragraph" w:customStyle="1" w:styleId="11">
    <w:name w:val="一级"/>
    <w:basedOn w:val="12"/>
    <w:qFormat/>
    <w:uiPriority w:val="0"/>
    <w:pPr>
      <w:numPr>
        <w:ilvl w:val="0"/>
        <w:numId w:val="1"/>
      </w:numPr>
      <w:spacing w:line="360" w:lineRule="auto"/>
      <w:ind w:firstLine="0" w:firstLineChars="0"/>
      <w:jc w:val="center"/>
    </w:pPr>
    <w:rPr>
      <w:b/>
      <w:sz w:val="28"/>
    </w:rPr>
  </w:style>
  <w:style w:type="paragraph" w:styleId="12">
    <w:name w:val="List Paragraph"/>
    <w:basedOn w:val="1"/>
    <w:qFormat/>
    <w:uiPriority w:val="34"/>
    <w:pPr>
      <w:ind w:firstLine="420" w:firstLineChars="200"/>
    </w:pPr>
  </w:style>
  <w:style w:type="paragraph" w:customStyle="1" w:styleId="13">
    <w:name w:val="二级"/>
    <w:basedOn w:val="12"/>
    <w:qFormat/>
    <w:uiPriority w:val="0"/>
    <w:pPr>
      <w:numPr>
        <w:ilvl w:val="1"/>
        <w:numId w:val="1"/>
      </w:numPr>
      <w:ind w:firstLine="0" w:firstLineChars="0"/>
    </w:pPr>
    <w:rPr>
      <w:b/>
      <w:sz w:val="28"/>
    </w:rPr>
  </w:style>
  <w:style w:type="paragraph" w:customStyle="1" w:styleId="14">
    <w:name w:val="三级"/>
    <w:basedOn w:val="12"/>
    <w:qFormat/>
    <w:uiPriority w:val="0"/>
    <w:pPr>
      <w:numPr>
        <w:ilvl w:val="2"/>
        <w:numId w:val="1"/>
      </w:numPr>
      <w:ind w:firstLine="0" w:firstLineChars="0"/>
    </w:pPr>
    <w:rPr>
      <w:b/>
      <w:sz w:val="28"/>
    </w:rPr>
  </w:style>
  <w:style w:type="paragraph" w:customStyle="1" w:styleId="15">
    <w:name w:val="四级"/>
    <w:basedOn w:val="14"/>
    <w:qFormat/>
    <w:uiPriority w:val="0"/>
    <w:pPr>
      <w:numPr>
        <w:ilvl w:val="3"/>
      </w:numPr>
    </w:pPr>
  </w:style>
  <w:style w:type="paragraph" w:customStyle="1" w:styleId="16">
    <w:name w:val="五级"/>
    <w:basedOn w:val="15"/>
    <w:qFormat/>
    <w:uiPriority w:val="0"/>
    <w:pPr>
      <w:numPr>
        <w:ilvl w:val="4"/>
      </w:numPr>
    </w:pPr>
    <w:rPr>
      <w:sz w:val="24"/>
    </w:rPr>
  </w:style>
  <w:style w:type="character" w:customStyle="1" w:styleId="17">
    <w:name w:val="页眉 Char"/>
    <w:basedOn w:val="9"/>
    <w:link w:val="5"/>
    <w:uiPriority w:val="99"/>
    <w:rPr>
      <w:sz w:val="18"/>
      <w:szCs w:val="18"/>
    </w:rPr>
  </w:style>
  <w:style w:type="character" w:customStyle="1" w:styleId="18">
    <w:name w:val="页脚 Char"/>
    <w:basedOn w:val="9"/>
    <w:link w:val="4"/>
    <w:qFormat/>
    <w:uiPriority w:val="99"/>
    <w:rPr>
      <w:sz w:val="18"/>
      <w:szCs w:val="18"/>
    </w:rPr>
  </w:style>
  <w:style w:type="character" w:customStyle="1" w:styleId="19">
    <w:name w:val="批注框文本 Char"/>
    <w:basedOn w:val="9"/>
    <w:link w:val="3"/>
    <w:semiHidden/>
    <w:uiPriority w:val="99"/>
    <w:rPr>
      <w:sz w:val="18"/>
      <w:szCs w:val="18"/>
    </w:rPr>
  </w:style>
  <w:style w:type="character" w:styleId="20">
    <w:name w:val="Placeholder Text"/>
    <w:basedOn w:val="9"/>
    <w:semiHidden/>
    <w:uiPriority w:val="99"/>
    <w:rPr>
      <w:color w:val="808080"/>
    </w:rPr>
  </w:style>
  <w:style w:type="character" w:customStyle="1" w:styleId="21">
    <w:name w:val="脚注文本 Char"/>
    <w:basedOn w:val="9"/>
    <w:link w:val="6"/>
    <w:qFormat/>
    <w:uiPriority w:val="0"/>
    <w:rPr>
      <w:rFonts w:ascii="Calibri" w:hAnsi="Calibri" w:eastAsia="宋体" w:cs="Times New Roman"/>
      <w:sz w:val="18"/>
      <w:szCs w:val="24"/>
    </w:rPr>
  </w:style>
  <w:style w:type="character" w:customStyle="1" w:styleId="22">
    <w:name w:val="标题 1 Char"/>
    <w:basedOn w:val="9"/>
    <w:link w:val="2"/>
    <w:uiPriority w:val="9"/>
    <w:rPr>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Normal.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3312F-8E28-451A-A15D-912655569409}">
  <ds:schemaRefs/>
</ds:datastoreItem>
</file>

<file path=docProps/app.xml><?xml version="1.0" encoding="utf-8"?>
<Properties xmlns="http://schemas.openxmlformats.org/officeDocument/2006/extended-properties" xmlns:vt="http://schemas.openxmlformats.org/officeDocument/2006/docPropsVTypes">
  <Template>Normal.dotm</Template>
  <Company>shenduxitong</Company>
  <Pages>17</Pages>
  <Words>634</Words>
  <Characters>3620</Characters>
  <Lines>30</Lines>
  <Paragraphs>8</Paragraphs>
  <TotalTime>0</TotalTime>
  <ScaleCrop>false</ScaleCrop>
  <LinksUpToDate>false</LinksUpToDate>
  <CharactersWithSpaces>4246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2020-08-28T09:28:00Z</dcterms:created>
  <dc:creator>Donghm</dc:creator>
  <cp:lastModifiedBy>zhaiq</cp:lastModifiedBy>
  <dcterms:modified xsi:type="dcterms:W3CDTF">2022-01-11T03:52:22Z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FDF44DF7CCA741E59D53ADA060AB4B73</vt:lpwstr>
  </property>
</Properties>
</file>