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070317" w:rsidRPr="002A51E8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2A51E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易方达科讯混合型证券投资基金基金经理变更公告</w:t>
      </w:r>
    </w:p>
    <w:p w:rsidR="00070317" w:rsidRPr="00801D63" w:rsidP="00801D63">
      <w:pPr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公告送出日期：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2022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年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1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b/>
          <w:color w:val="000000"/>
          <w:sz w:val="24"/>
          <w:szCs w:val="24"/>
        </w:rPr>
        <w:t>12</w:t>
      </w:r>
      <w:r w:rsidRPr="00801D63">
        <w:rPr>
          <w:rFonts w:asciiTheme="minorEastAsia" w:eastAsiaTheme="minorEastAsia" w:hAnsiTheme="minorEastAsia"/>
          <w:b/>
          <w:color w:val="000000"/>
          <w:sz w:val="24"/>
          <w:szCs w:val="24"/>
        </w:rPr>
        <w:t>日</w:t>
      </w:r>
    </w:p>
    <w:p w:rsidR="00070317" w:rsidRPr="0000418A" w:rsidP="00070317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C6080C" w:rsidRPr="0000418A" w:rsidP="00C6080C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3"/>
        <w:gridCol w:w="5286"/>
      </w:tblGrid>
      <w:tr w:rsidTr="004D1446">
        <w:tblPrEx>
          <w:tblW w:w="963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易方达科讯混合型证券投资基金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基金简称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易方达科讯混合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基金主代码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110029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基金管理人名称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易方达基金管理有限公司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公告依据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《公开募集证券投资基金信息披露管理办法》《基金管理公司投资管理人员管理指导意见》《易方达科讯混合型证券投资基金基金合同》</w:t>
            </w:r>
          </w:p>
        </w:tc>
      </w:tr>
      <w:tr w:rsidTr="004D1446"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基金经理变更类型</w:t>
            </w:r>
          </w:p>
        </w:tc>
        <w:tc>
          <w:tcPr>
            <w:tcW w:w="5286" w:type="dxa"/>
            <w:vAlign w:val="center"/>
          </w:tcPr>
          <w:p w:rsidR="00C6080C" w:rsidRPr="009E69A9" w:rsidP="009E69A9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9E69A9">
              <w:rPr>
                <w:rFonts w:eastAsiaTheme="minorEastAsia" w:hAnsiTheme="minorEastAsia"/>
                <w:sz w:val="24"/>
                <w:szCs w:val="24"/>
              </w:rPr>
              <w:t>解聘基金经理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6553F6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86" w:type="dxa"/>
            <w:vAlign w:val="center"/>
          </w:tcPr>
          <w:p w:rsidR="006553F6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刘健维</w:t>
            </w:r>
          </w:p>
        </w:tc>
      </w:tr>
      <w:tr>
        <w:tblPrEx>
          <w:tblW w:w="9639" w:type="dxa"/>
          <w:jc w:val="center"/>
          <w:tblLayout w:type="fixed"/>
          <w:tblLook w:val="01E0"/>
        </w:tblPrEx>
        <w:trPr>
          <w:jc w:val="center"/>
        </w:trPr>
        <w:tc>
          <w:tcPr>
            <w:tcW w:w="4353" w:type="dxa"/>
            <w:vAlign w:val="center"/>
          </w:tcPr>
          <w:p w:rsidR="006553F6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86" w:type="dxa"/>
            <w:vAlign w:val="center"/>
          </w:tcPr>
          <w:p w:rsidR="006553F6">
            <w:pPr>
              <w:jc w:val="left"/>
            </w:pPr>
            <w:r>
              <w:rPr>
                <w:rFonts w:eastAsiaTheme="minorEastAsia"/>
                <w:sz w:val="24"/>
                <w:szCs w:val="24"/>
              </w:rPr>
              <w:t>陈皓</w:t>
            </w:r>
          </w:p>
        </w:tc>
      </w:tr>
    </w:tbl>
    <w:p w:rsidR="00070317" w:rsidRPr="0000418A" w:rsidP="00070317">
      <w:pPr>
        <w:spacing w:line="560" w:lineRule="exact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E2FD8" w:rsidRPr="007E2FD8" w:rsidP="007E2FD8">
      <w:pPr>
        <w:pStyle w:val="Heading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0"/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2</w:t>
      </w:r>
      <w:r w:rsidRPr="0000418A" w:rsidR="00070317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离任基金经理的相关信息</w:t>
      </w:r>
      <w:bookmarkEnd w:id="0"/>
    </w:p>
    <w:tbl>
      <w:tblPr>
        <w:tblW w:w="9679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412"/>
        <w:gridCol w:w="5267"/>
      </w:tblGrid>
      <w:tr w:rsidTr="007E2FD8">
        <w:tblPrEx>
          <w:tblW w:w="9679" w:type="dxa"/>
          <w:jc w:val="center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离任基金经理姓名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陈皓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离任原因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工作需要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离任日期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2022</w:t>
            </w:r>
            <w:r w:rsidRPr="007E2FD8">
              <w:rPr>
                <w:rFonts w:eastAsiaTheme="minorEastAsia"/>
                <w:sz w:val="24"/>
                <w:szCs w:val="24"/>
              </w:rPr>
              <w:t>年</w:t>
            </w:r>
            <w:r w:rsidRPr="007E2FD8">
              <w:rPr>
                <w:rFonts w:eastAsiaTheme="minorEastAsia"/>
                <w:sz w:val="24"/>
                <w:szCs w:val="24"/>
              </w:rPr>
              <w:t>1</w:t>
            </w:r>
            <w:r w:rsidRPr="007E2FD8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Pr="007E2FD8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转任本公司其他工作岗位的说明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-</w:t>
            </w:r>
          </w:p>
        </w:tc>
      </w:tr>
      <w:tr w:rsidTr="007E2FD8">
        <w:tblPrEx>
          <w:tblW w:w="9679" w:type="dxa"/>
          <w:jc w:val="center"/>
          <w:tblLook w:val="04A0"/>
        </w:tblPrEx>
        <w:trPr>
          <w:jc w:val="center"/>
        </w:trPr>
        <w:tc>
          <w:tcPr>
            <w:tcW w:w="4412" w:type="dxa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5267" w:type="dxa"/>
            <w:vAlign w:val="center"/>
          </w:tcPr>
          <w:p w:rsidR="00070317" w:rsidRPr="007E2FD8" w:rsidP="00E80921">
            <w:pPr>
              <w:rPr>
                <w:rFonts w:eastAsiaTheme="minorEastAsia"/>
                <w:sz w:val="24"/>
                <w:szCs w:val="24"/>
              </w:rPr>
            </w:pPr>
            <w:r w:rsidRPr="007E2FD8">
              <w:rPr>
                <w:rFonts w:eastAsiaTheme="minorEastAsia"/>
                <w:sz w:val="24"/>
                <w:szCs w:val="24"/>
              </w:rPr>
              <w:t>是</w:t>
            </w:r>
          </w:p>
        </w:tc>
      </w:tr>
    </w:tbl>
    <w:p w:rsidR="00070317" w:rsidRPr="00E80921" w:rsidP="00E80921">
      <w:pPr>
        <w:rPr>
          <w:rFonts w:eastAsia="宋体"/>
          <w:color w:val="000000"/>
          <w:sz w:val="24"/>
          <w:szCs w:val="24"/>
        </w:rPr>
      </w:pPr>
      <w:r w:rsidRPr="00E80921">
        <w:rPr>
          <w:rFonts w:eastAsia="宋体"/>
          <w:color w:val="000000"/>
          <w:sz w:val="24"/>
          <w:szCs w:val="24"/>
        </w:rPr>
        <w:t>注：陈皓仍担任易方达基金管理有限公司基金经理、副总经理级高级管理人员、投资一部总经理、权益投资决策委员会委员。</w:t>
      </w:r>
    </w:p>
    <w:p w:rsidR="00E80921" w:rsidRPr="00B0471F" w:rsidP="00E80921">
      <w:pPr>
        <w:spacing w:line="360" w:lineRule="auto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E72701" w:rsidP="00E72701">
      <w:pPr>
        <w:spacing w:line="360" w:lineRule="auto"/>
        <w:ind w:firstLine="480"/>
        <w:rPr>
          <w:rFonts w:ascii="宋体" w:hAnsi="宋体"/>
          <w:color w:val="000000"/>
          <w:sz w:val="24"/>
          <w:szCs w:val="24"/>
        </w:rPr>
      </w:pPr>
      <w:r w:rsidRPr="003E1F7C"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E80921" w:rsidP="00E80921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</w:t>
      </w:r>
      <w:r w:rsidRPr="003E1F7C">
        <w:rPr>
          <w:rFonts w:ascii="宋体" w:hAnsi="宋体" w:hint="eastAsia"/>
          <w:color w:val="000000"/>
          <w:sz w:val="24"/>
          <w:szCs w:val="24"/>
        </w:rPr>
        <w:t>易方达基金管理有限公司</w:t>
      </w:r>
    </w:p>
    <w:p w:rsidR="00E80921" w:rsidRPr="0000418A" w:rsidP="00801D63">
      <w:pPr>
        <w:spacing w:line="360" w:lineRule="auto"/>
        <w:ind w:left="-320" w:firstLine="840" w:leftChars="-100" w:firstLineChars="35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2022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1</w:t>
      </w:r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12</w:t>
      </w:r>
      <w:bookmarkStart w:id="1" w:name="_GoBack"/>
      <w:bookmarkEnd w:id="1"/>
      <w:r w:rsidRPr="00676EBF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sectPr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康玉冰">
    <w15:presenceInfo w15:providerId="None" w15:userId="康玉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070317"/>
    <w:rsid w:val="0000418A"/>
    <w:rsid w:val="000071CE"/>
    <w:rsid w:val="0002358F"/>
    <w:rsid w:val="00031AB4"/>
    <w:rsid w:val="00033B07"/>
    <w:rsid w:val="00041353"/>
    <w:rsid w:val="00042A21"/>
    <w:rsid w:val="00043AF4"/>
    <w:rsid w:val="00070317"/>
    <w:rsid w:val="000B3D47"/>
    <w:rsid w:val="000C18B3"/>
    <w:rsid w:val="000D6628"/>
    <w:rsid w:val="000E6F9C"/>
    <w:rsid w:val="00111BD0"/>
    <w:rsid w:val="00142DAF"/>
    <w:rsid w:val="00142E54"/>
    <w:rsid w:val="00156475"/>
    <w:rsid w:val="0018138F"/>
    <w:rsid w:val="001B2DB9"/>
    <w:rsid w:val="001D14B7"/>
    <w:rsid w:val="001F622D"/>
    <w:rsid w:val="00207AA8"/>
    <w:rsid w:val="00213BDC"/>
    <w:rsid w:val="00213F59"/>
    <w:rsid w:val="00285743"/>
    <w:rsid w:val="002A51E8"/>
    <w:rsid w:val="002C06BE"/>
    <w:rsid w:val="002E6C8D"/>
    <w:rsid w:val="00306525"/>
    <w:rsid w:val="00306AAE"/>
    <w:rsid w:val="0032019E"/>
    <w:rsid w:val="0033552A"/>
    <w:rsid w:val="00375EE6"/>
    <w:rsid w:val="003E1F7C"/>
    <w:rsid w:val="00404B1E"/>
    <w:rsid w:val="00412A37"/>
    <w:rsid w:val="004414AB"/>
    <w:rsid w:val="00456D89"/>
    <w:rsid w:val="00483DDC"/>
    <w:rsid w:val="004966BA"/>
    <w:rsid w:val="004B3F81"/>
    <w:rsid w:val="004D01DF"/>
    <w:rsid w:val="004E10AB"/>
    <w:rsid w:val="004F0C3E"/>
    <w:rsid w:val="0052318A"/>
    <w:rsid w:val="00536CF6"/>
    <w:rsid w:val="0053712A"/>
    <w:rsid w:val="0054154D"/>
    <w:rsid w:val="00547962"/>
    <w:rsid w:val="00566B55"/>
    <w:rsid w:val="00596F7A"/>
    <w:rsid w:val="005975BB"/>
    <w:rsid w:val="005B28C6"/>
    <w:rsid w:val="005B39B4"/>
    <w:rsid w:val="005C1B03"/>
    <w:rsid w:val="005E6555"/>
    <w:rsid w:val="005F3560"/>
    <w:rsid w:val="006113F1"/>
    <w:rsid w:val="006152A9"/>
    <w:rsid w:val="006163B1"/>
    <w:rsid w:val="0062601A"/>
    <w:rsid w:val="006340ED"/>
    <w:rsid w:val="006553F6"/>
    <w:rsid w:val="0066795D"/>
    <w:rsid w:val="00672C20"/>
    <w:rsid w:val="00676EBF"/>
    <w:rsid w:val="006A5D36"/>
    <w:rsid w:val="006C7CF1"/>
    <w:rsid w:val="006C7FDB"/>
    <w:rsid w:val="006F225C"/>
    <w:rsid w:val="006F43D8"/>
    <w:rsid w:val="006F4CAF"/>
    <w:rsid w:val="0070712F"/>
    <w:rsid w:val="007179FB"/>
    <w:rsid w:val="00731DEC"/>
    <w:rsid w:val="007C54E2"/>
    <w:rsid w:val="007E2FD8"/>
    <w:rsid w:val="00801D63"/>
    <w:rsid w:val="00803A3A"/>
    <w:rsid w:val="00807FC2"/>
    <w:rsid w:val="00872E95"/>
    <w:rsid w:val="0087717F"/>
    <w:rsid w:val="008F0ACC"/>
    <w:rsid w:val="00966B40"/>
    <w:rsid w:val="009D65C6"/>
    <w:rsid w:val="009E3ABA"/>
    <w:rsid w:val="009E69A9"/>
    <w:rsid w:val="009F783B"/>
    <w:rsid w:val="00A22C61"/>
    <w:rsid w:val="00A507E1"/>
    <w:rsid w:val="00A61621"/>
    <w:rsid w:val="00A63D9B"/>
    <w:rsid w:val="00A66507"/>
    <w:rsid w:val="00A87732"/>
    <w:rsid w:val="00AA5074"/>
    <w:rsid w:val="00B03319"/>
    <w:rsid w:val="00B0471F"/>
    <w:rsid w:val="00B27750"/>
    <w:rsid w:val="00B96712"/>
    <w:rsid w:val="00BE716F"/>
    <w:rsid w:val="00BE7AA2"/>
    <w:rsid w:val="00C6080C"/>
    <w:rsid w:val="00C911F2"/>
    <w:rsid w:val="00CE6E56"/>
    <w:rsid w:val="00CF42C0"/>
    <w:rsid w:val="00D047E3"/>
    <w:rsid w:val="00D21C32"/>
    <w:rsid w:val="00D30AF1"/>
    <w:rsid w:val="00D64B1C"/>
    <w:rsid w:val="00DD624E"/>
    <w:rsid w:val="00DE5519"/>
    <w:rsid w:val="00E0346F"/>
    <w:rsid w:val="00E24A56"/>
    <w:rsid w:val="00E276FF"/>
    <w:rsid w:val="00E33112"/>
    <w:rsid w:val="00E435FE"/>
    <w:rsid w:val="00E72701"/>
    <w:rsid w:val="00E80921"/>
    <w:rsid w:val="00E857A8"/>
    <w:rsid w:val="00EB0ADE"/>
    <w:rsid w:val="00ED0ADF"/>
    <w:rsid w:val="00EE1199"/>
    <w:rsid w:val="00F70EFB"/>
  </w:rsids>
  <w:docVars>
    <w:docVar w:name="KGWebUrl" w:val="http://idp.efunds.com.cn/api/v1/backend/docSyncController/downloadAnnFile.json?force=true&amp;fileName=%E6%98%93%E6%96%B9%E8%BE%BE%E7%A7%91%E8%AE%AF%E6%B7%B7%E5%90%88%E5%9E%8B%E8%AF%81%E5%88%B8%E6%8A%95%E8%B5%84%E5%9F%BA%E9%87%91%E5%9F%BA%E9%87%91%E7%BB%8F%E7%90%86%E5%8F%98%E6%9B%B4%E5%85%AC%E5%91%8A.docx&amp;fileId=ANN_DOC_11965&amp;t=1641861545330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BD84B9-0749-41B3-92C0-EFE4C65F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1">
    <w:name w:val="heading 1"/>
    <w:basedOn w:val="Normal"/>
    <w:next w:val="Normal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DefaultParagraphFont"/>
    <w:link w:val="Heading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FootnoteReference">
    <w:name w:val="footnote reference"/>
    <w:basedOn w:val="DefaultParagraphFont"/>
    <w:rsid w:val="00070317"/>
    <w:rPr>
      <w:vertAlign w:val="superscript"/>
    </w:rPr>
  </w:style>
  <w:style w:type="paragraph" w:styleId="FootnoteText">
    <w:name w:val="footnote text"/>
    <w:basedOn w:val="Normal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DefaultParagraphFont"/>
    <w:link w:val="FootnoteText"/>
    <w:rsid w:val="00070317"/>
    <w:rPr>
      <w:rFonts w:ascii="Times New Roman" w:eastAsia="宋体" w:hAnsi="Times New Roman" w:cs="Times New Roman"/>
      <w:sz w:val="18"/>
      <w:szCs w:val="20"/>
    </w:rPr>
  </w:style>
  <w:style w:type="paragraph" w:styleId="DocumentMap">
    <w:name w:val="Document Map"/>
    <w:basedOn w:val="Normal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DefaultParagraphFont"/>
    <w:link w:val="DocumentMap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DefaultParagraphFont"/>
    <w:link w:val="Head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DefaultParagraphFont"/>
    <w:link w:val="Footer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BalloonText">
    <w:name w:val="Balloon Text"/>
    <w:basedOn w:val="Normal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DefaultParagraphFont"/>
    <w:link w:val="BalloonText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Relationship Id="rId6" Type="http://schemas.microsoft.com/office/2011/relationships/people" Target="peop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康玉冰</cp:lastModifiedBy>
  <cp:revision>2</cp:revision>
  <dcterms:created xsi:type="dcterms:W3CDTF">2022-01-11T00:39:00Z</dcterms:created>
  <dcterms:modified xsi:type="dcterms:W3CDTF">2022-01-11T00:39:00Z</dcterms:modified>
</cp:coreProperties>
</file>