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F4FFE" w:rsidRPr="00DC4872" w:rsidP="00CF4FFE" w14:paraId="1825406A" w14:textId="4A09FFF1">
      <w:pPr>
        <w:spacing w:line="360" w:lineRule="auto"/>
        <w:jc w:val="center"/>
        <w:rPr>
          <w:rFonts w:asciiTheme="majorEastAsia" w:eastAsiaTheme="majorEastAsia" w:hAnsiTheme="majorEastAsia"/>
          <w:b/>
          <w:bCs/>
          <w:color w:val="000000"/>
          <w:sz w:val="30"/>
          <w:szCs w:val="30"/>
        </w:rPr>
      </w:pPr>
      <w:bookmarkStart w:id="0" w:name="_Toc249760023"/>
      <w:r>
        <w:rPr>
          <w:rFonts w:asciiTheme="majorEastAsia" w:eastAsiaTheme="majorEastAsia" w:hAnsiTheme="majorEastAsia" w:hint="eastAsia"/>
          <w:b/>
          <w:bCs/>
          <w:color w:val="000000"/>
          <w:sz w:val="30"/>
          <w:szCs w:val="30"/>
        </w:rPr>
        <w:t>易方达全球医药行业混合型发起式证券投资基金2022年1月17日暂停申购、赎回及定期定额投资业务的公告</w:t>
      </w:r>
    </w:p>
    <w:p w:rsidR="00CF4FFE" w:rsidRPr="00FC4FF1" w:rsidP="00CF4FFE" w14:paraId="6824EE55" w14:textId="2290D205">
      <w:pPr>
        <w:spacing w:line="360" w:lineRule="auto"/>
        <w:jc w:val="center"/>
        <w:rPr>
          <w:rFonts w:asciiTheme="majorEastAsia" w:eastAsiaTheme="majorEastAsia" w:hAnsiTheme="majorEastAsia"/>
          <w:b/>
          <w:sz w:val="24"/>
        </w:rPr>
      </w:pPr>
      <w:r w:rsidRPr="00FC4FF1">
        <w:rPr>
          <w:rFonts w:asciiTheme="majorEastAsia" w:eastAsiaTheme="majorEastAsia" w:hAnsiTheme="majorEastAsia" w:hint="eastAsia"/>
          <w:b/>
          <w:sz w:val="24"/>
        </w:rPr>
        <w:t>公告送出日期：2022年1月12日</w:t>
      </w:r>
    </w:p>
    <w:bookmarkEnd w:id="0"/>
    <w:p w:rsidR="00CF4FFE" w:rsidRPr="008C2033" w:rsidP="00CF4FFE" w14:paraId="6BD82C2F" w14:textId="77777777">
      <w:pPr>
        <w:pStyle w:val="Heading3"/>
        <w:keepNext w:val="0"/>
        <w:keepLines w:val="0"/>
        <w:spacing w:before="0" w:after="0" w:line="360" w:lineRule="auto"/>
        <w:rPr>
          <w:rFonts w:ascii="宋体" w:hAnsi="宋体"/>
          <w:bCs w:val="0"/>
          <w:sz w:val="24"/>
          <w:szCs w:val="24"/>
        </w:rPr>
      </w:pPr>
      <w:r w:rsidRPr="008C2033">
        <w:rPr>
          <w:rFonts w:ascii="宋体" w:hAnsi="宋体" w:hint="eastAsia"/>
          <w:bCs w:val="0"/>
          <w:sz w:val="24"/>
          <w:szCs w:val="24"/>
        </w:rPr>
        <w:t>1.公告基本信息</w:t>
      </w:r>
    </w:p>
    <w:tbl>
      <w:tblPr>
        <w:tblW w:w="0" w:type="auto"/>
        <w:tblLayout w:type="fixed"/>
        <w:tblLook w:val="04A0"/>
      </w:tblPr>
      <w:tblGrid>
        <w:gridCol w:w="2124"/>
        <w:gridCol w:w="3084"/>
        <w:gridCol w:w="3084"/>
      </w:tblGrid>
      <w:tr w14:paraId="40369019" w14:textId="77777777" w:rsidTr="00783BF2">
        <w:tblPrEx>
          <w:tblW w:w="0" w:type="auto"/>
          <w:tblLayout w:type="fixed"/>
          <w:tblLook w:val="04A0"/>
        </w:tblPrEx>
        <w:trPr>
          <w:trHeight w:val="310"/>
        </w:trPr>
        <w:tc>
          <w:tcPr>
            <w:tcW w:w="2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4A65" w:rsidRPr="00B94A65" w:rsidP="000D44FD" w14:paraId="5F240A32" w14:textId="77777777">
            <w:pPr>
              <w:widowControl/>
              <w:rPr>
                <w:rFonts w:ascii="宋体" w:hAnsi="宋体" w:cs="宋体"/>
                <w:color w:val="000000"/>
                <w:kern w:val="0"/>
                <w:sz w:val="24"/>
              </w:rPr>
            </w:pPr>
            <w:r w:rsidRPr="00B94A65">
              <w:rPr>
                <w:rFonts w:ascii="宋体" w:hAnsi="宋体" w:cs="宋体" w:hint="eastAsia"/>
                <w:color w:val="000000"/>
                <w:kern w:val="0"/>
                <w:sz w:val="24"/>
              </w:rPr>
              <w:t>基金名称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04A81B93" w14:textId="6C6F1ADB">
            <w:pPr>
              <w:rPr>
                <w:rFonts w:ascii="宋体" w:hAnsi="宋体" w:cs="宋体"/>
                <w:color w:val="000000"/>
                <w:kern w:val="0"/>
                <w:sz w:val="24"/>
              </w:rPr>
            </w:pPr>
            <w:r w:rsidRPr="007E1EDD">
              <w:rPr>
                <w:rFonts w:ascii="宋体" w:hAnsi="宋体" w:cs="宋体" w:hint="eastAsia"/>
                <w:color w:val="000000"/>
                <w:kern w:val="0"/>
                <w:sz w:val="24"/>
              </w:rPr>
              <w:t>易方达全球医药行业混合型发起式证券投资基金</w:t>
            </w:r>
          </w:p>
        </w:tc>
      </w:tr>
      <w:tr w14:paraId="7526B5D2"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0842E3AE" w14:textId="77777777">
            <w:pPr>
              <w:widowControl/>
              <w:rPr>
                <w:rFonts w:ascii="宋体" w:hAnsi="宋体" w:cs="宋体"/>
                <w:color w:val="000000"/>
                <w:kern w:val="0"/>
                <w:sz w:val="24"/>
              </w:rPr>
            </w:pPr>
            <w:r w:rsidRPr="00B94A65">
              <w:rPr>
                <w:rFonts w:ascii="宋体" w:hAnsi="宋体" w:cs="宋体" w:hint="eastAsia"/>
                <w:color w:val="000000"/>
                <w:kern w:val="0"/>
                <w:sz w:val="24"/>
              </w:rPr>
              <w:t>基金简称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9F597D" w:rsidP="000D44FD" w14:paraId="09254076" w14:textId="574DE111">
            <w:pPr>
              <w:rPr>
                <w:rFonts w:ascii="宋体" w:hAnsi="宋体" w:cs="宋体"/>
                <w:color w:val="000000"/>
                <w:kern w:val="0"/>
                <w:sz w:val="24"/>
              </w:rPr>
            </w:pPr>
            <w:r w:rsidRPr="007E1EDD">
              <w:rPr>
                <w:rFonts w:ascii="宋体" w:hAnsi="宋体" w:cs="宋体" w:hint="eastAsia"/>
                <w:color w:val="000000"/>
                <w:kern w:val="0"/>
                <w:sz w:val="24"/>
              </w:rPr>
              <w:t>易方达全球医药行业混合发起式（QDII）</w:t>
            </w:r>
          </w:p>
        </w:tc>
      </w:tr>
      <w:tr w14:paraId="16D25BC8" w14:textId="77777777" w:rsidTr="00783BF2">
        <w:tblPrEx>
          <w:tblW w:w="0" w:type="auto"/>
          <w:tblLayout w:type="fixed"/>
          <w:tblLook w:val="04A0"/>
        </w:tblPrEx>
        <w:trPr>
          <w:trHeight w:val="32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691A3A04" w14:textId="77777777">
            <w:pPr>
              <w:widowControl/>
              <w:rPr>
                <w:rFonts w:ascii="宋体" w:hAnsi="宋体" w:cs="宋体"/>
                <w:color w:val="000000"/>
                <w:kern w:val="0"/>
                <w:sz w:val="24"/>
              </w:rPr>
            </w:pPr>
            <w:r w:rsidRPr="00B94A65">
              <w:rPr>
                <w:rFonts w:ascii="宋体" w:hAnsi="宋体" w:cs="宋体" w:hint="eastAsia"/>
                <w:color w:val="000000"/>
                <w:kern w:val="0"/>
                <w:sz w:val="24"/>
              </w:rPr>
              <w:t>基金主代码</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7E1EDD" w:rsidP="000D44FD" w14:paraId="2E3087B1" w14:textId="57B5451D">
            <w:pPr>
              <w:rPr>
                <w:rFonts w:ascii="宋体" w:hAnsi="宋体" w:cs="宋体"/>
                <w:color w:val="000000"/>
                <w:kern w:val="0"/>
                <w:sz w:val="24"/>
              </w:rPr>
            </w:pPr>
            <w:r w:rsidRPr="007E1EDD">
              <w:rPr>
                <w:rFonts w:ascii="宋体" w:hAnsi="宋体" w:cs="宋体" w:hint="eastAsia"/>
                <w:color w:val="000000"/>
                <w:kern w:val="0"/>
                <w:sz w:val="24"/>
              </w:rPr>
              <w:t>008284</w:t>
            </w:r>
          </w:p>
        </w:tc>
      </w:tr>
      <w:tr w14:paraId="068D39BD"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1F17D044" w14:textId="77777777">
            <w:pPr>
              <w:widowControl/>
              <w:rPr>
                <w:rFonts w:ascii="宋体" w:hAnsi="宋体" w:cs="宋体"/>
                <w:color w:val="000000"/>
                <w:kern w:val="0"/>
                <w:sz w:val="24"/>
              </w:rPr>
            </w:pPr>
            <w:r w:rsidRPr="00B94A65">
              <w:rPr>
                <w:rFonts w:ascii="宋体" w:hAnsi="宋体" w:cs="宋体" w:hint="eastAsia"/>
                <w:color w:val="000000"/>
                <w:kern w:val="0"/>
                <w:sz w:val="24"/>
              </w:rPr>
              <w:t>基金管理人名称</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6F9D748D" w14:textId="77777777">
            <w:pPr>
              <w:widowControl/>
              <w:rPr>
                <w:rFonts w:ascii="宋体" w:hAnsi="宋体" w:cs="宋体"/>
                <w:color w:val="000000"/>
                <w:kern w:val="0"/>
                <w:sz w:val="24"/>
              </w:rPr>
            </w:pPr>
            <w:r w:rsidRPr="00B94A65">
              <w:rPr>
                <w:rFonts w:ascii="宋体" w:hAnsi="宋体" w:cs="宋体" w:hint="eastAsia"/>
                <w:color w:val="000000"/>
                <w:kern w:val="0"/>
                <w:sz w:val="24"/>
              </w:rPr>
              <w:t>易方达基金管理有限公司</w:t>
            </w:r>
          </w:p>
        </w:tc>
      </w:tr>
      <w:tr w14:paraId="15C94924" w14:textId="77777777" w:rsidTr="00783BF2">
        <w:tblPrEx>
          <w:tblW w:w="0" w:type="auto"/>
          <w:tblLayout w:type="fixed"/>
          <w:tblLook w:val="04A0"/>
        </w:tblPrEx>
        <w:trPr>
          <w:trHeight w:val="310"/>
        </w:trPr>
        <w:tc>
          <w:tcPr>
            <w:tcW w:w="2124" w:type="dxa"/>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72ECCC84" w14:textId="77777777">
            <w:pPr>
              <w:widowControl/>
              <w:rPr>
                <w:rFonts w:ascii="宋体" w:hAnsi="宋体" w:cs="宋体"/>
                <w:color w:val="000000"/>
                <w:kern w:val="0"/>
                <w:sz w:val="24"/>
              </w:rPr>
            </w:pPr>
            <w:r w:rsidRPr="00B94A65">
              <w:rPr>
                <w:rFonts w:ascii="宋体" w:hAnsi="宋体" w:cs="宋体" w:hint="eastAsia"/>
                <w:color w:val="000000"/>
                <w:kern w:val="0"/>
                <w:sz w:val="24"/>
              </w:rPr>
              <w:t>公告依据</w:t>
            </w:r>
          </w:p>
        </w:tc>
        <w:tc>
          <w:tcPr>
            <w:tcW w:w="6168" w:type="dxa"/>
            <w:gridSpan w:val="2"/>
            <w:tcBorders>
              <w:top w:val="single" w:sz="8" w:space="0" w:color="000000"/>
              <w:left w:val="nil"/>
              <w:bottom w:val="single" w:sz="8" w:space="0" w:color="000000"/>
              <w:right w:val="single" w:sz="8" w:space="0" w:color="000000"/>
            </w:tcBorders>
            <w:shd w:val="clear" w:color="auto" w:fill="auto"/>
            <w:vAlign w:val="center"/>
            <w:hideMark/>
          </w:tcPr>
          <w:p w:rsidR="00B94A65" w:rsidRPr="00B94A65" w:rsidP="000D44FD" w14:paraId="016EE163" w14:textId="736F8595">
            <w:pPr>
              <w:widowControl/>
              <w:rPr>
                <w:rFonts w:ascii="宋体" w:hAnsi="宋体" w:cs="宋体"/>
                <w:color w:val="000000"/>
                <w:kern w:val="0"/>
                <w:sz w:val="24"/>
              </w:rPr>
            </w:pPr>
            <w:r w:rsidRPr="007E1EDD">
              <w:rPr>
                <w:rFonts w:ascii="宋体" w:hAnsi="宋体" w:cs="宋体" w:hint="eastAsia"/>
                <w:color w:val="000000"/>
                <w:kern w:val="0"/>
                <w:sz w:val="24"/>
              </w:rPr>
              <w:t>《公开募集证券投资基金信息披露管理办法》、《易方达全球医药行业混合型发起式证券投资基金基金合同》、《易方达全球医药行业混合型发起式证券投资基金更新的招募说明书》</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paraId="6607AA11"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paraId="4F143829" w14:textId="42D16F44">
            <w:pPr>
              <w:widowControl/>
              <w:rPr>
                <w:rFonts w:ascii="宋体" w:hAnsi="宋体" w:cs="宋体"/>
                <w:color w:val="000000"/>
                <w:kern w:val="0"/>
                <w:sz w:val="24"/>
              </w:rPr>
            </w:pPr>
            <w:r>
              <w:rPr>
                <w:rFonts w:ascii="宋体" w:hAnsi="宋体" w:cs="宋体" w:hint="eastAsia"/>
                <w:color w:val="000000"/>
                <w:kern w:val="0"/>
                <w:sz w:val="24"/>
              </w:rPr>
              <w:t>暂停申购起始日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paraId="55BB674B" w14:textId="17D51A40">
            <w:pPr>
              <w:widowControl/>
              <w:rPr>
                <w:color w:val="000000"/>
                <w:kern w:val="0"/>
                <w:sz w:val="24"/>
              </w:rPr>
            </w:pPr>
            <w:r>
              <w:rPr>
                <w:rFonts w:ascii="宋体" w:hAnsi="宋体" w:cs="宋体" w:hint="eastAsia"/>
                <w:color w:val="000000"/>
                <w:kern w:val="0"/>
                <w:sz w:val="24"/>
              </w:rPr>
              <w:t>2022年1月17日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暂停赎回起始日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暂停定期定额投资起始日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2022年1月17日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暂停相关业务的起始日及原因说明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暂停申购、赎回、定期定额投资的原因说明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2022年1月17日为纳斯达克证券交易所非交易日。</w:t>
            </w:r>
          </w:p>
        </w:tc>
      </w:tr>
      <w:tr w14:paraId="11767F64" w14:textId="77777777" w:rsidTr="00783BF2">
        <w:tblPrEx>
          <w:tblW w:w="0" w:type="auto"/>
          <w:tblLayout w:type="fixed"/>
          <w:tblLook w:val="04A0"/>
        </w:tblPrEx>
        <w:trPr>
          <w:trHeight w:val="320"/>
        </w:trPr>
        <w:tc>
          <w:tcPr>
            <w:tcW w:w="2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恢复申购日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2022年1月18日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恢复赎回日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2022年1月18日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恢复定期定额投资日</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2022年1月18日</w:t>
            </w:r>
          </w:p>
        </w:tc>
      </w:tr>
      <w:tr w14:paraId="11767F64" w14:textId="77777777" w:rsidTr="00783BF2">
        <w:tblPrEx>
          <w:tblW w:w="0" w:type="auto"/>
          <w:tblLayout w:type="fixed"/>
          <w:tblLook w:val="04A0"/>
        </w:tblPrEx>
        <w:trPr>
          <w:trHeight w:val="320"/>
        </w:trPr>
        <w:tc>
          <w:tcPr>
            <w:tcW w:w="2124" w:type="dxa"/>
            <w:vMerge/>
            <w:tcBorders>
              <w:top w:val="nil"/>
              <w:left w:val="single" w:sz="8" w:space="0" w:color="000000"/>
              <w:bottom w:val="single" w:sz="8" w:space="0" w:color="000000"/>
              <w:right w:val="single" w:sz="8" w:space="0" w:color="000000"/>
            </w:tcBorders>
            <w:shd w:val="clear" w:color="auto" w:fill="auto"/>
            <w:vAlign w:val="center"/>
            <w:hideMark/>
          </w:tcPr>
          <w:p w:rsidR="00B94A65" w:rsidRPr="00B94A65" w:rsidP="000D44FD" w14:textId="6268D23A">
            <w:pPr>
              <w:widowControl/>
              <w:rPr>
                <w:rFonts w:ascii="宋体" w:hAnsi="宋体" w:cs="宋体"/>
                <w:color w:val="000000"/>
                <w:kern w:val="0"/>
                <w:sz w:val="24"/>
              </w:rPr>
            </w:pPr>
            <w:r>
              <w:rPr>
                <w:rFonts w:ascii="宋体" w:hAnsi="宋体" w:cs="宋体" w:hint="eastAsia"/>
                <w:color w:val="000000"/>
                <w:kern w:val="0"/>
                <w:sz w:val="24"/>
              </w:rPr>
              <w:t>恢复相关业务的日期及原因说明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42D16F44">
            <w:pPr>
              <w:widowControl/>
              <w:rPr>
                <w:rFonts w:ascii="宋体" w:hAnsi="宋体" w:cs="宋体"/>
                <w:color w:val="000000"/>
                <w:kern w:val="0"/>
                <w:sz w:val="24"/>
              </w:rPr>
            </w:pPr>
            <w:r>
              <w:rPr>
                <w:rFonts w:ascii="宋体" w:hAnsi="宋体" w:cs="宋体" w:hint="eastAsia"/>
                <w:color w:val="000000"/>
                <w:kern w:val="0"/>
                <w:sz w:val="24"/>
              </w:rPr>
              <w:t>恢复申购、赎回、定期定额投资的原因说明</w:t>
            </w:r>
          </w:p>
        </w:tc>
        <w:tc>
          <w:tcPr>
            <w:tcW w:w="3084" w:type="dxa"/>
            <w:tcBorders>
              <w:top w:val="nil"/>
              <w:left w:val="nil"/>
              <w:bottom w:val="single" w:sz="8" w:space="0" w:color="000000"/>
              <w:right w:val="single" w:sz="8" w:space="0" w:color="000000"/>
            </w:tcBorders>
            <w:shd w:val="clear" w:color="auto" w:fill="auto"/>
            <w:vAlign w:val="center"/>
            <w:hideMark/>
          </w:tcPr>
          <w:p w:rsidR="00B94A65" w:rsidRPr="00B94A65" w:rsidP="000D44FD" w14:textId="17D51A40">
            <w:pPr>
              <w:widowControl/>
              <w:rPr>
                <w:color w:val="000000"/>
                <w:kern w:val="0"/>
                <w:sz w:val="24"/>
              </w:rPr>
            </w:pPr>
            <w:r>
              <w:rPr>
                <w:rFonts w:ascii="宋体" w:hAnsi="宋体" w:cs="宋体" w:hint="eastAsia"/>
                <w:color w:val="000000"/>
                <w:kern w:val="0"/>
                <w:sz w:val="24"/>
              </w:rPr>
              <w:t>2022年1月18日为纳斯达克证券交易所交易日。</w:t>
            </w:r>
          </w:p>
        </w:tc>
      </w:tr>
    </w:tbl>
    <w:p w:rsidR="00EC4900" w:rsidP="001E1FED" w14:paraId="0F18672C" w14:textId="17365086">
      <w:pPr>
        <w:spacing w:line="360" w:lineRule="auto"/>
        <w:ind w:firstLine="480" w:firstLineChars="200"/>
        <w:rPr>
          <w:rFonts w:asciiTheme="minorEastAsia" w:eastAsiaTheme="minorEastAsia" w:hAnsiTheme="minorEastAsia"/>
          <w:color w:val="000000"/>
          <w:sz w:val="24"/>
        </w:rPr>
      </w:pPr>
    </w:p>
    <w:p w:rsidR="005448E2" w:rsidRPr="008259F4" w:rsidP="001E1FED" w14:paraId="15B506D7" w14:textId="77777777">
      <w:pPr>
        <w:spacing w:line="360" w:lineRule="auto"/>
        <w:ind w:firstLine="480" w:firstLineChars="200"/>
        <w:rPr>
          <w:sz w:val="24"/>
        </w:rPr>
      </w:pPr>
    </w:p>
    <w:p w:rsidR="00CF4FFE" w:rsidRPr="008C2033" w:rsidP="00CF4FFE" w14:paraId="363AB32A" w14:textId="77777777">
      <w:pPr>
        <w:pStyle w:val="Heading3"/>
        <w:keepNext w:val="0"/>
        <w:keepLines w:val="0"/>
        <w:spacing w:before="0" w:after="0" w:line="360" w:lineRule="auto"/>
        <w:rPr>
          <w:color w:val="000000"/>
          <w:sz w:val="24"/>
          <w:szCs w:val="24"/>
        </w:rPr>
      </w:pPr>
      <w:r>
        <w:rPr>
          <w:rFonts w:hint="eastAsia"/>
          <w:color w:val="000000"/>
          <w:sz w:val="24"/>
          <w:szCs w:val="24"/>
        </w:rPr>
        <w:t>2.</w:t>
      </w:r>
      <w:r>
        <w:rPr>
          <w:rFonts w:hint="eastAsia"/>
          <w:color w:val="000000"/>
          <w:sz w:val="24"/>
          <w:szCs w:val="24"/>
        </w:rPr>
        <w:t>其他需要提示的事项</w:t>
      </w:r>
      <w:bookmarkStart w:id="1" w:name="_GoBack"/>
      <w:bookmarkEnd w:id="1"/>
    </w:p>
    <w:p w:rsidR="00CF4FFE" w:rsidP="00CF4FFE" w14:paraId="578BB31F"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(1) 本次暂停相关业务针对易方达全球医药行业混合型发起式证券投资基金（以下简称“本基金”）所有基金份额类别（人民币份额基金代码为008284，美元份额基金代码为008285）。</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 若港股通或境外主要市场节假日安排发生变化，本基金管理人将进行相应调整并公告。</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(3)  投资者可通过本基金各销售机构及以下途径咨询有关详情：</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1) 易方达基金管理有限公司网站：www.efunds.com.cn；</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　　2) 易方达基金管理有限公司客户服务热线：400 881 8088；</w:t>
      </w:r>
    </w:p>
    <w:p w:rsidR="00CF4FFE" w:rsidP="00CF4FFE" w14:textId="2DED6C58">
      <w:pPr>
        <w:spacing w:line="360" w:lineRule="auto"/>
        <w:ind w:firstLine="480" w:firstLineChars="200"/>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特此公告。</w:t>
      </w:r>
    </w:p>
    <w:p w:rsidR="00D3112F" w:rsidRPr="00FC4FF1" w:rsidP="00CF4FFE" w14:paraId="25639636" w14:textId="77777777">
      <w:pPr>
        <w:spacing w:line="360" w:lineRule="auto"/>
        <w:ind w:firstLine="480" w:firstLineChars="200"/>
        <w:rPr>
          <w:rFonts w:asciiTheme="minorEastAsia" w:eastAsiaTheme="minorEastAsia" w:hAnsiTheme="minorEastAsia"/>
          <w:color w:val="000000"/>
          <w:sz w:val="24"/>
        </w:rPr>
      </w:pPr>
    </w:p>
    <w:p w:rsidR="00CF4FFE" w:rsidRPr="00FC4FF1" w:rsidP="00CF4FFE" w14:paraId="7886694F" w14:textId="77777777">
      <w:pPr>
        <w:spacing w:line="360" w:lineRule="auto"/>
        <w:ind w:firstLine="480" w:firstLineChars="200"/>
        <w:jc w:val="right"/>
        <w:rPr>
          <w:rFonts w:asciiTheme="minorEastAsia" w:eastAsiaTheme="minorEastAsia" w:hAnsiTheme="minorEastAsia"/>
          <w:color w:val="000000"/>
          <w:sz w:val="24"/>
        </w:rPr>
      </w:pPr>
      <w:r w:rsidRPr="00FC4FF1">
        <w:rPr>
          <w:rFonts w:asciiTheme="minorEastAsia" w:eastAsiaTheme="minorEastAsia" w:hAnsiTheme="minorEastAsia" w:hint="eastAsia"/>
          <w:color w:val="000000"/>
          <w:sz w:val="24"/>
        </w:rPr>
        <w:t>易方达基金管理有限公司</w:t>
      </w:r>
    </w:p>
    <w:p w:rsidR="00E255CB" w:rsidRPr="004932BD" w:rsidP="00D37617" w14:paraId="5782F7C8" w14:textId="135AB155">
      <w:pPr>
        <w:spacing w:line="360" w:lineRule="auto"/>
        <w:ind w:firstLine="480" w:firstLineChars="200"/>
        <w:jc w:val="right"/>
        <w:rPr>
          <w:rFonts w:asciiTheme="minorEastAsia" w:eastAsiaTheme="minorEastAsia" w:hAnsiTheme="minorEastAsia"/>
          <w:color w:val="000000"/>
          <w:sz w:val="24"/>
        </w:rPr>
      </w:pPr>
      <w:r w:rsidRPr="004932BD">
        <w:rPr>
          <w:rFonts w:asciiTheme="minorEastAsia" w:eastAsiaTheme="minorEastAsia" w:hAnsiTheme="minorEastAsia" w:hint="eastAsia"/>
          <w:color w:val="000000"/>
          <w:sz w:val="24"/>
        </w:rPr>
        <w:t>2022年1月12日</w:t>
      </w:r>
    </w:p>
    <w:sectPr w:rsidSect="00B120A5">
      <w:headerReference w:type="default" r:id="rId4"/>
      <w:footerReference w:type="default" r:id="rId5"/>
      <w:pgSz w:w="11906" w:h="16838"/>
      <w:pgMar w:top="1440" w:right="1797" w:bottom="1440" w:left="179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P="00B120A5" w14:paraId="1C7CA91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0A5" w:rsidRPr="004649DF" w:rsidP="00B120A5" w14:paraId="0F4E9E85" w14:textId="77777777">
    <w:pPr>
      <w:pStyle w:val="Header"/>
      <w:rPr>
        <w:rStyle w:val="PageNumber"/>
      </w:rPr>
    </w:pPr>
    <w:r>
      <w:rPr>
        <w:rStyle w:val="PageNumber"/>
        <w:rFonts w:hint="eastAsia"/>
      </w:rPr>
      <w:t xml:space="preserve">                                             </w:t>
    </w:r>
  </w:p>
  <w:p w:rsidR="00B120A5" w:rsidRPr="004649DF" w:rsidP="00B120A5" w14:paraId="5623FFA9" w14:textId="77777777">
    <w:pPr>
      <w:pStyle w:val="Header"/>
    </w:pPr>
    <w:r>
      <w:rPr>
        <w:rFonts w:hint="eastAsia"/>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叶子逸">
    <w15:presenceInfo w15:providerId="AD" w15:userId="S-1-5-21-4192046361-1944119394-1811551143-3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80C"/>
    <w:rsid w:val="000040EC"/>
    <w:rsid w:val="00005047"/>
    <w:rsid w:val="000058CF"/>
    <w:rsid w:val="00016C7C"/>
    <w:rsid w:val="00022A0F"/>
    <w:rsid w:val="00053A2D"/>
    <w:rsid w:val="000603AA"/>
    <w:rsid w:val="00084037"/>
    <w:rsid w:val="00090A6D"/>
    <w:rsid w:val="000A08E2"/>
    <w:rsid w:val="000A4EA8"/>
    <w:rsid w:val="000B505A"/>
    <w:rsid w:val="000B6CA1"/>
    <w:rsid w:val="000C5859"/>
    <w:rsid w:val="000D44FD"/>
    <w:rsid w:val="000D75B3"/>
    <w:rsid w:val="000E21A5"/>
    <w:rsid w:val="000E5C48"/>
    <w:rsid w:val="000E6DEE"/>
    <w:rsid w:val="000F55E8"/>
    <w:rsid w:val="001052A2"/>
    <w:rsid w:val="00116555"/>
    <w:rsid w:val="00127FE4"/>
    <w:rsid w:val="001345C4"/>
    <w:rsid w:val="00134ECE"/>
    <w:rsid w:val="001403F5"/>
    <w:rsid w:val="00165A9A"/>
    <w:rsid w:val="00171A39"/>
    <w:rsid w:val="00176983"/>
    <w:rsid w:val="00196B43"/>
    <w:rsid w:val="001D0C32"/>
    <w:rsid w:val="001D450D"/>
    <w:rsid w:val="001E1FED"/>
    <w:rsid w:val="001E5FFF"/>
    <w:rsid w:val="001F3EA6"/>
    <w:rsid w:val="002047B8"/>
    <w:rsid w:val="0021374C"/>
    <w:rsid w:val="00215D16"/>
    <w:rsid w:val="0023799D"/>
    <w:rsid w:val="0024190B"/>
    <w:rsid w:val="002510E8"/>
    <w:rsid w:val="00264A0A"/>
    <w:rsid w:val="00271D28"/>
    <w:rsid w:val="00276D6E"/>
    <w:rsid w:val="00282163"/>
    <w:rsid w:val="0028505D"/>
    <w:rsid w:val="0029083D"/>
    <w:rsid w:val="00292495"/>
    <w:rsid w:val="002B5634"/>
    <w:rsid w:val="002C7CA4"/>
    <w:rsid w:val="002D1C89"/>
    <w:rsid w:val="002E422A"/>
    <w:rsid w:val="002E5FD3"/>
    <w:rsid w:val="002F1B3D"/>
    <w:rsid w:val="00327620"/>
    <w:rsid w:val="00346B75"/>
    <w:rsid w:val="00385C65"/>
    <w:rsid w:val="00397A1D"/>
    <w:rsid w:val="003A69C1"/>
    <w:rsid w:val="003B3E2F"/>
    <w:rsid w:val="003B533D"/>
    <w:rsid w:val="003C3FD7"/>
    <w:rsid w:val="003F12CF"/>
    <w:rsid w:val="003F1376"/>
    <w:rsid w:val="003F2DE8"/>
    <w:rsid w:val="003F4DF6"/>
    <w:rsid w:val="0041080C"/>
    <w:rsid w:val="00413A38"/>
    <w:rsid w:val="00413BA8"/>
    <w:rsid w:val="004167E4"/>
    <w:rsid w:val="00417904"/>
    <w:rsid w:val="004260EA"/>
    <w:rsid w:val="00452E7F"/>
    <w:rsid w:val="004649DF"/>
    <w:rsid w:val="00482D94"/>
    <w:rsid w:val="0049091A"/>
    <w:rsid w:val="004932BD"/>
    <w:rsid w:val="00495E00"/>
    <w:rsid w:val="004B11C7"/>
    <w:rsid w:val="004D0C85"/>
    <w:rsid w:val="004E1CFC"/>
    <w:rsid w:val="004E61FB"/>
    <w:rsid w:val="004F3838"/>
    <w:rsid w:val="00504A01"/>
    <w:rsid w:val="00517C1D"/>
    <w:rsid w:val="005218F5"/>
    <w:rsid w:val="0053152C"/>
    <w:rsid w:val="00531592"/>
    <w:rsid w:val="00534171"/>
    <w:rsid w:val="005364D2"/>
    <w:rsid w:val="005447D0"/>
    <w:rsid w:val="005448E2"/>
    <w:rsid w:val="005536BB"/>
    <w:rsid w:val="00555F13"/>
    <w:rsid w:val="00575AC3"/>
    <w:rsid w:val="005D5763"/>
    <w:rsid w:val="005E40BD"/>
    <w:rsid w:val="005F752C"/>
    <w:rsid w:val="00601E83"/>
    <w:rsid w:val="0063349B"/>
    <w:rsid w:val="00636133"/>
    <w:rsid w:val="00645DE2"/>
    <w:rsid w:val="00656FB6"/>
    <w:rsid w:val="00663E5B"/>
    <w:rsid w:val="00666055"/>
    <w:rsid w:val="006768BB"/>
    <w:rsid w:val="006B54D0"/>
    <w:rsid w:val="006B5E1D"/>
    <w:rsid w:val="006C376C"/>
    <w:rsid w:val="006E57D3"/>
    <w:rsid w:val="007072E2"/>
    <w:rsid w:val="00711D6B"/>
    <w:rsid w:val="00715649"/>
    <w:rsid w:val="00726142"/>
    <w:rsid w:val="00737821"/>
    <w:rsid w:val="00744165"/>
    <w:rsid w:val="0076152C"/>
    <w:rsid w:val="007773D8"/>
    <w:rsid w:val="00782BA1"/>
    <w:rsid w:val="00783BF2"/>
    <w:rsid w:val="007935D8"/>
    <w:rsid w:val="007B5458"/>
    <w:rsid w:val="007C62FF"/>
    <w:rsid w:val="007D19C3"/>
    <w:rsid w:val="007D2E3B"/>
    <w:rsid w:val="007D414E"/>
    <w:rsid w:val="007E1EDD"/>
    <w:rsid w:val="007E7A4D"/>
    <w:rsid w:val="007F3451"/>
    <w:rsid w:val="008259F4"/>
    <w:rsid w:val="00845B17"/>
    <w:rsid w:val="00891BCA"/>
    <w:rsid w:val="00893A09"/>
    <w:rsid w:val="008B31A1"/>
    <w:rsid w:val="008C2033"/>
    <w:rsid w:val="008C228D"/>
    <w:rsid w:val="008D649F"/>
    <w:rsid w:val="008E0142"/>
    <w:rsid w:val="00906C0D"/>
    <w:rsid w:val="009107AD"/>
    <w:rsid w:val="00914A85"/>
    <w:rsid w:val="0091559C"/>
    <w:rsid w:val="009171B8"/>
    <w:rsid w:val="009366E4"/>
    <w:rsid w:val="00956986"/>
    <w:rsid w:val="00956F22"/>
    <w:rsid w:val="0097220C"/>
    <w:rsid w:val="00980B50"/>
    <w:rsid w:val="00983790"/>
    <w:rsid w:val="009E2E4E"/>
    <w:rsid w:val="009E7637"/>
    <w:rsid w:val="009F36BD"/>
    <w:rsid w:val="009F597D"/>
    <w:rsid w:val="00A047D8"/>
    <w:rsid w:val="00A0504E"/>
    <w:rsid w:val="00A20DB2"/>
    <w:rsid w:val="00A3326C"/>
    <w:rsid w:val="00A36518"/>
    <w:rsid w:val="00A4742E"/>
    <w:rsid w:val="00A63968"/>
    <w:rsid w:val="00A77BEA"/>
    <w:rsid w:val="00A96349"/>
    <w:rsid w:val="00AA083B"/>
    <w:rsid w:val="00AB2CC9"/>
    <w:rsid w:val="00AC299C"/>
    <w:rsid w:val="00AC59C2"/>
    <w:rsid w:val="00AC5FC9"/>
    <w:rsid w:val="00AD24D3"/>
    <w:rsid w:val="00AD5C5E"/>
    <w:rsid w:val="00AF1784"/>
    <w:rsid w:val="00AF487C"/>
    <w:rsid w:val="00B0053C"/>
    <w:rsid w:val="00B04BDA"/>
    <w:rsid w:val="00B120A5"/>
    <w:rsid w:val="00B24C24"/>
    <w:rsid w:val="00B463D8"/>
    <w:rsid w:val="00B53662"/>
    <w:rsid w:val="00B543A4"/>
    <w:rsid w:val="00B54764"/>
    <w:rsid w:val="00B62F01"/>
    <w:rsid w:val="00B81249"/>
    <w:rsid w:val="00B94A65"/>
    <w:rsid w:val="00BA0A9C"/>
    <w:rsid w:val="00BC691A"/>
    <w:rsid w:val="00BC7747"/>
    <w:rsid w:val="00BE4B67"/>
    <w:rsid w:val="00BF4B3A"/>
    <w:rsid w:val="00C0698B"/>
    <w:rsid w:val="00C23E63"/>
    <w:rsid w:val="00C43F62"/>
    <w:rsid w:val="00C52FF0"/>
    <w:rsid w:val="00C826E0"/>
    <w:rsid w:val="00C93191"/>
    <w:rsid w:val="00CA2E18"/>
    <w:rsid w:val="00CD4719"/>
    <w:rsid w:val="00CE4E69"/>
    <w:rsid w:val="00CE5E63"/>
    <w:rsid w:val="00CF03C6"/>
    <w:rsid w:val="00CF4FFE"/>
    <w:rsid w:val="00D17ADA"/>
    <w:rsid w:val="00D20661"/>
    <w:rsid w:val="00D30829"/>
    <w:rsid w:val="00D3112F"/>
    <w:rsid w:val="00D31935"/>
    <w:rsid w:val="00D37617"/>
    <w:rsid w:val="00D3796F"/>
    <w:rsid w:val="00D4622B"/>
    <w:rsid w:val="00D827E2"/>
    <w:rsid w:val="00D83D7B"/>
    <w:rsid w:val="00DB1DD0"/>
    <w:rsid w:val="00DC4872"/>
    <w:rsid w:val="00E15EC5"/>
    <w:rsid w:val="00E200FD"/>
    <w:rsid w:val="00E22F18"/>
    <w:rsid w:val="00E255CB"/>
    <w:rsid w:val="00E31C70"/>
    <w:rsid w:val="00E32BDD"/>
    <w:rsid w:val="00E3465E"/>
    <w:rsid w:val="00E52837"/>
    <w:rsid w:val="00E5581A"/>
    <w:rsid w:val="00E65A9C"/>
    <w:rsid w:val="00EB0D87"/>
    <w:rsid w:val="00EB32F2"/>
    <w:rsid w:val="00EC4900"/>
    <w:rsid w:val="00EE4900"/>
    <w:rsid w:val="00F14E36"/>
    <w:rsid w:val="00F21ACC"/>
    <w:rsid w:val="00F412E7"/>
    <w:rsid w:val="00F44F36"/>
    <w:rsid w:val="00F54207"/>
    <w:rsid w:val="00F70383"/>
    <w:rsid w:val="00F73FF7"/>
    <w:rsid w:val="00F8382B"/>
    <w:rsid w:val="00F97F99"/>
    <w:rsid w:val="00FC4FF1"/>
    <w:rsid w:val="00FD12FC"/>
    <w:rsid w:val="00FD6C2B"/>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C45B9C8B-7F5D-48FD-B5FF-49F8A4D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FFE"/>
    <w:pPr>
      <w:widowControl w:val="0"/>
      <w:jc w:val="both"/>
    </w:pPr>
    <w:rPr>
      <w:rFonts w:ascii="Times New Roman" w:eastAsia="宋体" w:hAnsi="Times New Roman" w:cs="Times New Roman"/>
      <w:szCs w:val="24"/>
    </w:rPr>
  </w:style>
  <w:style w:type="paragraph" w:styleId="Heading3">
    <w:name w:val="heading 3"/>
    <w:basedOn w:val="Normal"/>
    <w:next w:val="Normal"/>
    <w:link w:val="3Char"/>
    <w:qFormat/>
    <w:rsid w:val="00CF4FFE"/>
    <w:pPr>
      <w:keepNext/>
      <w:keepLines/>
      <w:spacing w:before="260" w:after="260" w:line="416" w:lineRule="auto"/>
      <w:outlineLvl w:val="2"/>
    </w:pPr>
    <w:rPr>
      <w:b/>
      <w:bCs/>
      <w:sz w:val="32"/>
      <w:szCs w:val="32"/>
    </w:rPr>
  </w:style>
  <w:style w:type="paragraph" w:styleId="Heading5">
    <w:name w:val="heading 5"/>
    <w:basedOn w:val="Normal"/>
    <w:next w:val="Normal"/>
    <w:link w:val="5Char"/>
    <w:uiPriority w:val="9"/>
    <w:unhideWhenUsed/>
    <w:qFormat/>
    <w:rsid w:val="00663E5B"/>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unhideWhenUsed/>
    <w:rsid w:val="00CF4F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DefaultParagraphFont"/>
    <w:link w:val="Header"/>
    <w:uiPriority w:val="99"/>
    <w:rsid w:val="00CF4FFE"/>
    <w:rPr>
      <w:sz w:val="18"/>
      <w:szCs w:val="18"/>
    </w:rPr>
  </w:style>
  <w:style w:type="paragraph" w:styleId="Footer">
    <w:name w:val="footer"/>
    <w:basedOn w:val="Normal"/>
    <w:link w:val="Char0"/>
    <w:unhideWhenUsed/>
    <w:rsid w:val="00CF4F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DefaultParagraphFont"/>
    <w:link w:val="Footer"/>
    <w:uiPriority w:val="99"/>
    <w:rsid w:val="00CF4FFE"/>
    <w:rPr>
      <w:sz w:val="18"/>
      <w:szCs w:val="18"/>
    </w:rPr>
  </w:style>
  <w:style w:type="character" w:customStyle="1" w:styleId="3Char">
    <w:name w:val="标题 3 Char"/>
    <w:basedOn w:val="DefaultParagraphFont"/>
    <w:link w:val="Heading3"/>
    <w:rsid w:val="00CF4FFE"/>
    <w:rPr>
      <w:rFonts w:ascii="Times New Roman" w:eastAsia="宋体" w:hAnsi="Times New Roman" w:cs="Times New Roman"/>
      <w:b/>
      <w:bCs/>
      <w:sz w:val="32"/>
      <w:szCs w:val="32"/>
    </w:rPr>
  </w:style>
  <w:style w:type="character" w:styleId="PageNumber">
    <w:name w:val="page number"/>
    <w:basedOn w:val="DefaultParagraphFont"/>
    <w:rsid w:val="00CF4FFE"/>
  </w:style>
  <w:style w:type="paragraph" w:styleId="BalloonText">
    <w:name w:val="Balloon Text"/>
    <w:basedOn w:val="Normal"/>
    <w:link w:val="Char1"/>
    <w:uiPriority w:val="99"/>
    <w:semiHidden/>
    <w:unhideWhenUsed/>
    <w:rsid w:val="00EC4900"/>
    <w:rPr>
      <w:sz w:val="18"/>
      <w:szCs w:val="18"/>
    </w:rPr>
  </w:style>
  <w:style w:type="character" w:customStyle="1" w:styleId="Char1">
    <w:name w:val="批注框文本 Char"/>
    <w:basedOn w:val="DefaultParagraphFont"/>
    <w:link w:val="BalloonText"/>
    <w:uiPriority w:val="99"/>
    <w:semiHidden/>
    <w:rsid w:val="00EC4900"/>
    <w:rPr>
      <w:rFonts w:ascii="Times New Roman" w:eastAsia="宋体" w:hAnsi="Times New Roman" w:cs="Times New Roman"/>
      <w:sz w:val="18"/>
      <w:szCs w:val="18"/>
    </w:rPr>
  </w:style>
  <w:style w:type="paragraph" w:styleId="DocumentMap">
    <w:name w:val="Document Map"/>
    <w:basedOn w:val="Normal"/>
    <w:link w:val="Char2"/>
    <w:uiPriority w:val="99"/>
    <w:semiHidden/>
    <w:unhideWhenUsed/>
    <w:rsid w:val="002C7CA4"/>
    <w:rPr>
      <w:rFonts w:ascii="宋体"/>
      <w:sz w:val="18"/>
      <w:szCs w:val="18"/>
    </w:rPr>
  </w:style>
  <w:style w:type="character" w:customStyle="1" w:styleId="Char2">
    <w:name w:val="文档结构图 Char"/>
    <w:basedOn w:val="DefaultParagraphFont"/>
    <w:link w:val="DocumentMap"/>
    <w:uiPriority w:val="99"/>
    <w:semiHidden/>
    <w:rsid w:val="002C7CA4"/>
    <w:rPr>
      <w:rFonts w:ascii="宋体" w:eastAsia="宋体" w:hAnsi="Times New Roman" w:cs="Times New Roman"/>
      <w:sz w:val="18"/>
      <w:szCs w:val="18"/>
    </w:rPr>
  </w:style>
  <w:style w:type="character" w:styleId="CommentReference">
    <w:name w:val="annotation reference"/>
    <w:basedOn w:val="DefaultParagraphFont"/>
    <w:uiPriority w:val="99"/>
    <w:semiHidden/>
    <w:unhideWhenUsed/>
    <w:rsid w:val="004167E4"/>
    <w:rPr>
      <w:sz w:val="21"/>
      <w:szCs w:val="21"/>
    </w:rPr>
  </w:style>
  <w:style w:type="paragraph" w:styleId="CommentText">
    <w:name w:val="annotation text"/>
    <w:basedOn w:val="Normal"/>
    <w:link w:val="Char3"/>
    <w:uiPriority w:val="99"/>
    <w:semiHidden/>
    <w:unhideWhenUsed/>
    <w:rsid w:val="004167E4"/>
    <w:pPr>
      <w:jc w:val="left"/>
    </w:pPr>
  </w:style>
  <w:style w:type="character" w:customStyle="1" w:styleId="Char3">
    <w:name w:val="批注文字 Char"/>
    <w:basedOn w:val="DefaultParagraphFont"/>
    <w:link w:val="CommentText"/>
    <w:uiPriority w:val="99"/>
    <w:semiHidden/>
    <w:rsid w:val="004167E4"/>
    <w:rPr>
      <w:rFonts w:ascii="Times New Roman" w:eastAsia="宋体" w:hAnsi="Times New Roman" w:cs="Times New Roman"/>
      <w:szCs w:val="24"/>
    </w:rPr>
  </w:style>
  <w:style w:type="paragraph" w:styleId="CommentSubject">
    <w:name w:val="annotation subject"/>
    <w:basedOn w:val="CommentText"/>
    <w:next w:val="CommentText"/>
    <w:link w:val="Char4"/>
    <w:uiPriority w:val="99"/>
    <w:semiHidden/>
    <w:unhideWhenUsed/>
    <w:rsid w:val="004167E4"/>
    <w:rPr>
      <w:b/>
      <w:bCs/>
    </w:rPr>
  </w:style>
  <w:style w:type="character" w:customStyle="1" w:styleId="Char4">
    <w:name w:val="批注主题 Char"/>
    <w:basedOn w:val="Char3"/>
    <w:link w:val="CommentSubject"/>
    <w:uiPriority w:val="99"/>
    <w:semiHidden/>
    <w:rsid w:val="004167E4"/>
    <w:rPr>
      <w:rFonts w:ascii="Times New Roman" w:eastAsia="宋体" w:hAnsi="Times New Roman" w:cs="Times New Roman"/>
      <w:b/>
      <w:bCs/>
      <w:szCs w:val="24"/>
    </w:rPr>
  </w:style>
  <w:style w:type="character" w:customStyle="1" w:styleId="5Char">
    <w:name w:val="标题 5 Char"/>
    <w:basedOn w:val="DefaultParagraphFont"/>
    <w:link w:val="Heading5"/>
    <w:uiPriority w:val="9"/>
    <w:rsid w:val="00663E5B"/>
    <w:rPr>
      <w:rFonts w:ascii="Times New Roman" w:eastAsia="宋体"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 Id="rId8" Type="http://schemas.microsoft.com/office/2011/relationships/people" Target="people.xml" /></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xmlns:ns1="http://schemas.openxmlformats.org/wordprocessingml/2006/main" xmlns:ns11="http://schemas.microsoft.com/office/word/2006/wordml" xmlns:ns12="http://schemas.openxmlformats.org/drawingml/2006/chart" xmlns:ns14="http://schemas.openxmlformats.org/drawingml/2006/diagram" xmlns:ns15="http://schemas.openxmlformats.org/drawingml/2006/picture" xmlns:ns16="http://schemas.openxmlformats.org/drawingml/2006/spreadsheetDrawing" xmlns:ns17="http://schemas.microsoft.com/office/drawing/2008/diagram" xmlns:ns19="urn:schemas-microsoft-com:office:office" xmlns:ns2="http://schemas.openxmlformats.org/officeDocument/2006/math" xmlns:ns20="urn:schemas-microsoft-com:vml" xmlns:ns21="urn:schemas-microsoft-com:office:word" xmlns:ns25="http://opendope.org/xpaths" xmlns:ns26="http://opendope.org/conditions" xmlns:ns27="http://opendope.org/questions" xmlns:ns28="http://opendope.org/answers" xmlns:ns29="http://opendope.org/components" xmlns:ns3="http://schemas.openxmlformats.org/officeDocument/2006/relationships" xmlns:ns30="http://opendope.org/SmartArt/DataHierarchy" xmlns:ns31="http://schemas.openxmlformats.org/officeDocument/2006/bibliography" xmlns:ns32="http://schemas.microsoft.com/office/webextensions/taskpanes/2010/11" xmlns:ns33="http://schemas.microsoft.com/office/webextensions/webextension/2010/11" xmlns:ns4="http://schemas.microsoft.com/office/word/2010/wordml" xmlns:ns5="http://schemas.openxmlformats.org/drawingml/2006/wordprocessingDrawing" xmlns:ns6="http://schemas.openxmlformats.org/drawingml/2006/main" xmlns:ns7="http://schemas.microsoft.com/office/word/2010/wordprocessingDrawing" xmlns:ns8="http://schemas.microsoft.com/office/word/2012/wordml" xmlns:ns9="http://schemas.openxmlformats.org/markup-compatibility/2006"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70</Words>
  <Characters>405</Characters>
  <Application>Microsoft Office Word</Application>
  <DocSecurity>0</DocSecurity>
  <Lines>3</Lines>
  <Paragraphs>1</Paragraphs>
  <ScaleCrop>false</ScaleCrop>
  <Company>E FUND</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白玥明</dc:creator>
  <cp:lastModifiedBy>叶子逸</cp:lastModifiedBy>
  <cp:revision>31</cp:revision>
  <dcterms:created xsi:type="dcterms:W3CDTF">2020-10-27T10:05:00Z</dcterms:created>
  <dcterms:modified xsi:type="dcterms:W3CDTF">2021-03-09T03:26:00Z</dcterms:modified>
</cp:coreProperties>
</file>