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仿宋简体" w:eastAsia="方正仿宋简体" w:cs="仿宋_GB2312" w:hAnsiTheme="minorEastAsia"/>
          <w:kern w:val="0"/>
          <w:sz w:val="36"/>
          <w:szCs w:val="36"/>
        </w:rPr>
      </w:pPr>
      <w:r>
        <w:rPr>
          <w:rFonts w:hint="eastAsia" w:ascii="方正仿宋简体" w:eastAsia="方正仿宋简体" w:cs="仿宋_GB2312" w:hAnsiTheme="minorEastAsia"/>
          <w:kern w:val="0"/>
          <w:sz w:val="36"/>
          <w:szCs w:val="36"/>
        </w:rPr>
        <w:t>博时恒生港股通高股息率交易型开放式指数证券投资基金发起式联接基金（博时恒生高股息ETF发起式联接A）基金产品资料概要更新</w:t>
      </w:r>
    </w:p>
    <w:p>
      <w:pPr>
        <w:autoSpaceDE w:val="0"/>
        <w:autoSpaceDN w:val="0"/>
        <w:adjustRightInd w:val="0"/>
        <w:jc w:val="right"/>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编制日期：2022年1月11日</w:t>
      </w:r>
    </w:p>
    <w:p>
      <w:pPr>
        <w:autoSpaceDE w:val="0"/>
        <w:autoSpaceDN w:val="0"/>
        <w:adjustRightInd w:val="0"/>
        <w:jc w:val="center"/>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送出日期：2022年1月12日</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本概要提供本基金的重要信息，是招募说明书的一部分。</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作出投资决定前，请阅读完整的招募说明书等销售文件。</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产品概况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Layout w:type="fixed"/>
        <w:tblCellMar>
          <w:top w:w="0" w:type="dxa"/>
          <w:left w:w="108" w:type="dxa"/>
          <w:bottom w:w="0" w:type="dxa"/>
          <w:right w:w="108" w:type="dxa"/>
        </w:tblCellMar>
      </w:tblPr>
      <w:tblGrid>
        <w:gridCol w:w="2446"/>
        <w:gridCol w:w="3019"/>
        <w:gridCol w:w="2134"/>
        <w:gridCol w:w="3083"/>
      </w:tblGrid>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基金简称</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博时恒生高股息ETF发起式联接</w:t>
            </w:r>
          </w:p>
        </w:tc>
        <w:tc>
          <w:tcPr>
            <w:tcW w:w="999"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基金代码</w:t>
            </w:r>
          </w:p>
        </w:tc>
        <w:tc>
          <w:tcPr>
            <w:tcW w:w="1443" w:type="pct"/>
            <w:tcBorders>
              <w:bottom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014519</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150"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下属基金简称</w:t>
            </w:r>
          </w:p>
        </w:tc>
        <w:tc>
          <w:tcPr>
            <w:tcW w:w="1413" w:type="pct"/>
            <w:vMerge w:val="restar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博时恒生高股息ETF发起式联接A</w:t>
            </w:r>
          </w:p>
        </w:tc>
        <w:tc>
          <w:tcPr>
            <w:tcW w:w="999"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下属基金代码</w:t>
            </w:r>
          </w:p>
        </w:tc>
        <w:tc>
          <w:tcPr>
            <w:tcW w:w="1443" w:type="pct"/>
            <w:tcBorders>
              <w:top w:val="dashSmallGap" w:color="A5A5A5" w:themeColor="background1" w:themeShade="A6" w:sz="4" w:space="0"/>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014519</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基金管理人</w:t>
            </w:r>
          </w:p>
        </w:tc>
        <w:tc>
          <w:tcPr>
            <w:tcW w:w="141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博时基金管理有限公司</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基金托管人</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中国国际金融股份有限公司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基金合同生效日</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2022-01-10</w:t>
            </w:r>
          </w:p>
        </w:tc>
        <w:tc>
          <w:tcPr>
            <w:tcW w:w="999" w:type="pct"/>
            <w:vMerge w:val="restart"/>
            <w:vAlign w:val="center"/>
          </w:tcPr>
          <w:p>
            <w:pPr>
              <w:spacing w:line="320" w:lineRule="exact"/>
              <w:rPr>
                <w:rFonts w:ascii="方正仿宋简体" w:eastAsia="方正仿宋简体" w:cs="方正仿宋简体" w:hAnsiTheme="minorEastAsia"/>
                <w:b/>
                <w:iCs/>
              </w:rPr>
            </w:pPr>
          </w:p>
        </w:tc>
        <w:tc>
          <w:tcPr>
            <w:tcW w:w="1443" w:type="pct"/>
            <w:tcBorders>
              <w:top w:val="dashSmallGap" w:color="A5A5A5" w:themeColor="background1" w:themeShade="A6" w:sz="4" w:space="0"/>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基金类型</w:t>
            </w:r>
          </w:p>
        </w:tc>
        <w:tc>
          <w:tcPr>
            <w:tcW w:w="141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股票型</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交易币种</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人民币</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运作方式</w:t>
            </w:r>
          </w:p>
        </w:tc>
        <w:tc>
          <w:tcPr>
            <w:tcW w:w="141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普通开放式</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开放频率</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每个开放日</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基金经理</w:t>
            </w:r>
          </w:p>
        </w:tc>
        <w:tc>
          <w:tcPr>
            <w:tcW w:w="1413" w:type="pct"/>
            <w:vMerge w:val="restar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万琼</w:t>
            </w: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开始担任本基金基金经理的日期</w:t>
            </w:r>
          </w:p>
        </w:tc>
        <w:tc>
          <w:tcPr>
            <w:tcW w:w="1443" w:type="pc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2022-01-10</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Merge w:val="continue"/>
            <w:vAlign w:val="center"/>
          </w:tcPr>
          <w:p>
            <w:pPr>
              <w:spacing w:line="320" w:lineRule="exact"/>
              <w:rPr>
                <w:rFonts w:ascii="方正仿宋简体" w:eastAsia="方正仿宋简体" w:cs="方正仿宋简体" w:hAnsiTheme="minorEastAsia"/>
                <w:b/>
                <w:iCs/>
              </w:rPr>
            </w:pPr>
          </w:p>
        </w:tc>
        <w:tc>
          <w:tcPr>
            <w:tcW w:w="1413" w:type="pct"/>
            <w:vMerge w:val="continue"/>
            <w:vAlign w:val="center"/>
          </w:tcPr>
          <w:p>
            <w:pPr>
              <w:spacing w:line="320" w:lineRule="exact"/>
              <w:rPr>
                <w:rFonts w:ascii="方正仿宋简体" w:eastAsia="方正仿宋简体" w:cs="方正仿宋简体" w:hAnsiTheme="minorEastAsia"/>
                <w:b/>
                <w:iCs/>
              </w:rPr>
            </w:pPr>
          </w:p>
        </w:tc>
        <w:tc>
          <w:tcPr>
            <w:tcW w:w="999"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证券从业日期</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2007-03-01</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5"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iCs/>
              </w:rPr>
              <w:t>其它概况</w:t>
            </w:r>
          </w:p>
        </w:tc>
        <w:tc>
          <w:tcPr>
            <w:tcW w:w="3855" w:type="pct"/>
            <w:gridSpan w:val="3"/>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若届时的法律法规或中国证监会规定发生变化，上述终止规定被取消、更改或补充时，则本基金可以参照届时有效的法律法规或中国证监会规定执行。</w:t>
            </w:r>
          </w:p>
        </w:tc>
      </w:tr>
    </w:tbl>
    <w:p>
      <w:pPr>
        <w:spacing w:line="280" w:lineRule="exact"/>
        <w:rPr>
          <w:rFonts w:ascii="方正仿宋简体" w:eastAsia="方正仿宋简体" w:cs="仿宋_GB2312" w:hAnsiTheme="minorEastAsia"/>
          <w:b/>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基金投资与净值表现</w:t>
      </w:r>
    </w:p>
    <w:p>
      <w:pPr>
        <w:pStyle w:val="12"/>
        <w:numPr>
          <w:ilvl w:val="0"/>
          <w:numId w:val="3"/>
        </w:numPr>
        <w:spacing w:line="320" w:lineRule="exact"/>
        <w:ind w:firstLineChars="0"/>
        <w:outlineLvl w:val="1"/>
        <w:rPr>
          <w:rFonts w:ascii="方正仿宋简体" w:eastAsia="方正仿宋简体" w:cs="方正仿宋简体" w:hAnsiTheme="minorEastAsia"/>
          <w:b/>
          <w:iCs/>
          <w:sz w:val="24"/>
          <w:szCs w:val="24"/>
        </w:rPr>
      </w:pPr>
      <w:r>
        <w:rPr>
          <w:rFonts w:hint="eastAsia" w:ascii="方正仿宋简体" w:hAnsi="方正仿宋简体" w:eastAsia="方正仿宋简体" w:cs="方正仿宋简体"/>
          <w:b/>
          <w:iCs/>
          <w:sz w:val="24"/>
          <w:szCs w:val="24"/>
        </w:rPr>
        <w:t>投资目标与投资策略</w:t>
      </w:r>
    </w:p>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敬请投资者阅读《招募说明书》第九章了解详细情况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623"/>
        <w:gridCol w:w="8059"/>
      </w:tblGrid>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投资目标</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通过主要投资于目标ETF，紧密跟踪标的指数即恒生港股通高股息率指数的表现，追求跟踪偏离度和跟踪误差的最小化。</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投资范围</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主要投资于目标ETF、标的指数即恒生港股通高股息率指数成份股和备选成份股票（含存托凭证），为更好地实现基金的投资目标，本基金可能会少量投资于依法发行或上市的其他港股通标的股票等非成份股（含存托凭证）、债券（包括国债、金融债、地方政府债、政府支持机构债券、企业债、公司债、可转换债券（含分离交易可转债的纯债部分）、可交换债券、央行票据、短期融资券、超短期融资券、中期票据等）、国债期货、股指期货、股票期权、货币市场工具（包括银行存款、同业存单等）、债券回购、资产支持证券以及法律法规或中国证监会允许基金投资的其他金融工具（但须符合中国证监会的相关规定）。</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本基金可根据相关法律法规和基金合同的约定参与融资和转融通证券出借业务。</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如法律法规或监管机构以后允许基金投资其他品种，基金管理人在履行适当程序后，可以将其纳入投资范围。</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投资于目标ETF的资产比例不低于基金资产净值的90%，股指期货、国债期货、股票期权及其他金融工具的投资比例依照法律法规或监管机构的规定执行。本基金每个交易日日终在扣除股指期货、国债期货和股票期权合约需缴纳的交易保证金后，对现金或者到期日在一年以内的政府债券的投资比例不低于基金资产净值的5%，其中，现金不包括结算备付金、存出保证金、应收申购款等。</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如果法律法规或中国证监会变更投资品种的投资比例限制，基金管理人在履行适当程序后，可以调整上述投资品种的投资比例。</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主要投资策略</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本基金主要投资于目标ETF，方便特定的客户群通过本基金投资目标ETF。本基金不参与目标ETF的投资管理。</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1、资产配置策略</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为实现投资目标，本基金将以不低于基金资产净值90%的资产投资于目标ETF。</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2、基金投资策略</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基金合同生效后，本基金将主要按照目标ETF法律文件的约定申购赎回目标ETF，也可部分在二级市场买入目标ETF，使本基金投资于目标ETF的比例不低于基金资产净值的90%。</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的其他投资策略还包括标的指数成份股和备选成份股投资策略、存托凭证投资策略、债券投资策略、资产支持证券的投资策略、可转换债券及可交换债券投资策略、非成份股的股票投资策略、衍生产品投资策略、融资及转融通证券出借业务的投资策略、流通受限证券投资策略等。</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业绩比较基准</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恒生港股通高股息率指数收益率（经估值汇率调整后）×95%+银行活期存款利率(税后)×5%。</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风险收益特征</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本基金为ETF联接基金，通过投资于目标ETF跟踪标的指数表现，具有与标的指数以及标的指数所代表的证券市场相似的风险收益特征。</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同时，本基金为被动式投资的股票指数基金，跟踪恒生港股通高股息率指数，其预期风险与预期收益高于债券型基金、混合型基金、货币市场基金。</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本基金通过主要投资于目标ETF，间接投资于香港证券市场，需承担港股通机制下因投资环境、投资标的、市场制度以及交易规则等差异带来的特有风险。</w:t>
            </w:r>
          </w:p>
        </w:tc>
      </w:tr>
    </w:tbl>
    <w:p>
      <w:pPr>
        <w:spacing w:line="320" w:lineRule="exact"/>
        <w:rPr>
          <w:rFonts w:ascii="方正仿宋简体" w:eastAsia="方正仿宋简体" w:cs="仿宋_GB2312" w:hAnsiTheme="minorEastAsia"/>
          <w:kern w:val="0"/>
          <w:szCs w:val="24"/>
        </w:rPr>
      </w:pPr>
    </w:p>
    <w:p>
      <w:pPr>
        <w:pStyle w:val="12"/>
        <w:numPr>
          <w:ilvl w:val="0"/>
          <w:numId w:val="3"/>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投资组合资产配置图表/区域配置图表</w:t>
      </w:r>
    </w:p>
    <w:p>
      <w:pPr>
        <w:autoSpaceDE w:val="0"/>
        <w:autoSpaceDN w:val="0"/>
        <w:adjustRightInd w:val="0"/>
        <w:spacing w:line="280" w:lineRule="exact"/>
        <w:jc w:val="left"/>
        <w:rPr>
          <w:rFonts w:ascii="方正仿宋简体" w:hAnsi="方正仿宋简体" w:eastAsia="方正仿宋简体" w:cs="方正仿宋简体"/>
          <w:b/>
          <w:iCs/>
          <w:sz w:val="24"/>
          <w:szCs w:val="24"/>
        </w:rPr>
      </w:pPr>
      <w:r>
        <w:rPr>
          <w:rFonts w:hint="eastAsia" w:ascii="方正仿宋简体" w:eastAsia="方正仿宋简体" w:hAnsiTheme="minorEastAsia"/>
          <w:color w:val="000000" w:themeColor="text1"/>
          <w14:textFill>
            <w14:solidFill>
              <w14:schemeClr w14:val="tx1"/>
            </w14:solidFill>
          </w14:textFill>
        </w:rPr>
        <w:t>无</w:t>
      </w:r>
      <w:bookmarkStart w:id="0" w:name="_GoBack"/>
      <w:bookmarkEnd w:id="0"/>
    </w:p>
    <w:p>
      <w:pPr>
        <w:pStyle w:val="12"/>
        <w:numPr>
          <w:ilvl w:val="0"/>
          <w:numId w:val="3"/>
        </w:numPr>
        <w:spacing w:line="28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自基金合同生效以来基金每年的净值增长率及与同期业绩比较基准的比较图</w:t>
      </w:r>
    </w:p>
    <w:p>
      <w:pPr>
        <w:autoSpaceDE w:val="0"/>
        <w:autoSpaceDN w:val="0"/>
        <w:adjustRightInd w:val="0"/>
        <w:spacing w:line="280" w:lineRule="exact"/>
        <w:jc w:val="left"/>
        <w:rPr>
          <w:rFonts w:ascii="方正仿宋简体" w:eastAsia="方正仿宋简体" w:hAnsiTheme="minorEastAsia"/>
          <w:color w:val="000000" w:themeColor="text1"/>
          <w14:textFill>
            <w14:solidFill>
              <w14:schemeClr w14:val="tx1"/>
            </w14:solidFill>
          </w14:textFill>
        </w:rPr>
      </w:pPr>
      <w:r>
        <w:rPr>
          <w:rFonts w:hint="eastAsia" w:ascii="方正仿宋简体" w:eastAsia="方正仿宋简体" w:hAnsiTheme="minorEastAsia"/>
          <w:color w:val="000000" w:themeColor="text1"/>
          <w14:textFill>
            <w14:solidFill>
              <w14:schemeClr w14:val="tx1"/>
            </w14:solidFill>
          </w14:textFill>
        </w:rPr>
        <w:t>无</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投资本基金涉及的费用</w:t>
      </w:r>
    </w:p>
    <w:p>
      <w:pPr>
        <w:pStyle w:val="12"/>
        <w:numPr>
          <w:ilvl w:val="0"/>
          <w:numId w:val="4"/>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基金销售相关费用</w:t>
      </w:r>
    </w:p>
    <w:p>
      <w:pPr>
        <w:autoSpaceDE w:val="0"/>
        <w:autoSpaceDN w:val="0"/>
        <w:adjustRightInd w:val="0"/>
        <w:spacing w:line="320" w:lineRule="exact"/>
        <w:jc w:val="left"/>
        <w:rPr>
          <w:rFonts w:ascii="方正仿宋简体" w:eastAsia="方正仿宋简体"/>
        </w:rPr>
      </w:pPr>
      <w:r>
        <w:rPr>
          <w:rFonts w:hint="eastAsia" w:ascii="方正仿宋简体" w:hAnsi="方正仿宋简体" w:eastAsia="方正仿宋简体" w:cs="方正仿宋简体"/>
          <w:iCs/>
        </w:rPr>
        <w:t>以下费用在认购/申购/赎回基金过程中收取：</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974"/>
        <w:gridCol w:w="4088"/>
        <w:gridCol w:w="2489"/>
        <w:gridCol w:w="1131"/>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费用类型</w:t>
            </w:r>
          </w:p>
        </w:tc>
        <w:tc>
          <w:tcPr>
            <w:tcW w:w="191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份额（S）或金额（M）</w:t>
            </w:r>
          </w:p>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/持有期限（N）</w:t>
            </w:r>
          </w:p>
        </w:tc>
        <w:tc>
          <w:tcPr>
            <w:tcW w:w="1165"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收费方式/费率</w:t>
            </w:r>
          </w:p>
        </w:tc>
        <w:tc>
          <w:tcPr>
            <w:tcW w:w="529"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备注</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restar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M &lt; 100万元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1.20%  </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100万元 ≤ M &lt; 300万元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0.80%  </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300万元 ≤ M &lt; 500万元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0.40%  </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申购费（前收费）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M ≥ 500万元</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1000元/笔</w:t>
            </w:r>
          </w:p>
        </w:tc>
        <w:tc>
          <w:tcPr>
            <w:tcW w:w="529" w:type="pct"/>
            <w:vAlign w:val="center"/>
          </w:tcPr>
          <w:p>
            <w:pPr>
              <w:spacing w:line="320" w:lineRule="exact"/>
              <w:jc w:val="center"/>
              <w:rPr>
                <w:rFonts w:ascii="方正仿宋简体" w:hAnsi="方正仿宋简体" w:eastAsia="方正仿宋简体" w:cs="方正仿宋简体"/>
                <w:bCs/>
                <w:iCs/>
              </w:rPr>
            </w:pP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restar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&lt; 7天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1.50%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7天 ≤ N &lt; 30天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至少25%计入资产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30天 ≤ N &lt; 180天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0.25%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至少25%计入资产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2"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 180天 </w:t>
            </w:r>
          </w:p>
        </w:tc>
        <w:tc>
          <w:tcPr>
            <w:tcW w:w="1165"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0.00%  </w:t>
            </w:r>
          </w:p>
        </w:tc>
        <w:tc>
          <w:tcPr>
            <w:tcW w:w="529" w:type="pct"/>
            <w:vAlign w:val="center"/>
          </w:tcPr>
          <w:p>
            <w:pPr>
              <w:spacing w:line="320" w:lineRule="exact"/>
              <w:jc w:val="center"/>
              <w:rPr>
                <w:rFonts w:ascii="方正仿宋简体" w:hAnsi="方正仿宋简体" w:eastAsia="方正仿宋简体" w:cs="方正仿宋简体"/>
                <w:bCs/>
                <w:iCs/>
              </w:rPr>
            </w:pPr>
          </w:p>
        </w:tc>
      </w:tr>
    </w:tbl>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hAnsi="方正仿宋简体" w:eastAsia="方正仿宋简体" w:cs="方正仿宋简体"/>
          <w:iCs/>
        </w:rPr>
        <w:t>注：对于通过基金管理人直销渠道申购的养老金客户，享受申购费率1折优惠。对于通过基金管理人直销渠道赎回的养老金客户，将不计入基金资产部分的赎回费免除。</w:t>
      </w:r>
    </w:p>
    <w:p>
      <w:pPr>
        <w:spacing w:line="320" w:lineRule="exact"/>
        <w:rPr>
          <w:rFonts w:ascii="方正仿宋简体" w:eastAsia="方正仿宋简体" w:cs="方正仿宋简体" w:hAnsiTheme="minorEastAsia"/>
          <w:b/>
          <w:iCs/>
          <w:sz w:val="24"/>
          <w:szCs w:val="24"/>
        </w:rPr>
      </w:pPr>
    </w:p>
    <w:p>
      <w:pPr>
        <w:spacing w:line="320" w:lineRule="exact"/>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（二）基金运作相关费用</w:t>
      </w:r>
    </w:p>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eastAsia="方正仿宋简体"/>
        </w:rPr>
        <w:t>以下</w:t>
      </w:r>
      <w:r>
        <w:rPr>
          <w:rFonts w:hint="eastAsia" w:ascii="方正仿宋简体" w:hAnsi="方正仿宋简体" w:eastAsia="方正仿宋简体" w:cs="方正仿宋简体"/>
          <w:iCs/>
        </w:rPr>
        <w:t>费用将从基金资产中扣除：</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3155"/>
        <w:gridCol w:w="7527"/>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
                <w:bCs/>
              </w:rPr>
            </w:pPr>
            <w:r>
              <w:rPr>
                <w:rFonts w:hint="eastAsia" w:ascii="方正仿宋简体" w:hAnsi="方正仿宋简体" w:eastAsia="方正仿宋简体" w:cs="方正仿宋简体"/>
                <w:b/>
                <w:bCs/>
                <w:iCs/>
              </w:rPr>
              <w:t>费用类别</w:t>
            </w:r>
          </w:p>
        </w:tc>
        <w:tc>
          <w:tcPr>
            <w:tcW w:w="352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收费方式/年费率</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管理费</w:t>
            </w:r>
          </w:p>
        </w:tc>
        <w:tc>
          <w:tcPr>
            <w:tcW w:w="352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固定比例 0.50%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托管费</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固定比例 0.10%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iCs/>
              </w:rPr>
            </w:pPr>
            <w:r>
              <w:rPr>
                <w:rFonts w:hint="eastAsia" w:ascii="方正仿宋简体" w:hAnsi="方正仿宋简体" w:eastAsia="方正仿宋简体" w:cs="方正仿宋简体"/>
                <w:iCs/>
              </w:rPr>
              <w:t>其他费用</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 xml:space="preserve">《基金合同》生效后与基金相关的信息披露费用（法律法规、中国证监会另有规定的除外）；基金份额持有人大会费用；《基金合同》生效后与基金相关的会计师费、律师费、仲裁费、诉讼费和公证费；基金的证券、期货、期权交易、结算费用；基金的银行汇划费用；账户开户费用、账户维护费用；因投资港股通标的股票而产生的各项合理费用；基金依照有关法律法规应当缴纳的，购买或处置证券有关的任何税收、征费、关税、印花税及预扣提税（以及与前述各项有关的任何利息及费用）（简称“税收”），及基金缴纳税收有关的手续费、汇款费、顾问费等；基金投资目标ETF的相关费用；按照国家有关规定和《基金合同》约定，可以在基金财产中列支的其他费用。 </w:t>
            </w:r>
          </w:p>
        </w:tc>
      </w:tr>
    </w:tbl>
    <w:p>
      <w:pPr>
        <w:autoSpaceDE w:val="0"/>
        <w:autoSpaceDN w:val="0"/>
        <w:adjustRightInd w:val="0"/>
        <w:spacing w:line="320" w:lineRule="exact"/>
        <w:jc w:val="lef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注： 本基金交易证券等产生的费用和税负，按实际发生额从基金资产扣除。</w:t>
      </w:r>
    </w:p>
    <w:p>
      <w:pPr>
        <w:autoSpaceDE w:val="0"/>
        <w:autoSpaceDN w:val="0"/>
        <w:adjustRightInd w:val="0"/>
        <w:spacing w:line="280" w:lineRule="exact"/>
        <w:jc w:val="left"/>
        <w:rPr>
          <w:rFonts w:ascii="方正仿宋简体" w:eastAsia="方正仿宋简体" w:cs="仿宋_GB2312" w:hAnsiTheme="minorEastAsia"/>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风险揭示与重要提示</w:t>
      </w:r>
    </w:p>
    <w:p>
      <w:pPr>
        <w:pStyle w:val="12"/>
        <w:numPr>
          <w:ilvl w:val="0"/>
          <w:numId w:val="5"/>
        </w:numPr>
        <w:spacing w:line="320" w:lineRule="exact"/>
        <w:ind w:firstLineChars="0"/>
        <w:outlineLvl w:val="1"/>
        <w:rPr>
          <w:rFonts w:ascii="方正仿宋简体" w:hAnsi="方正仿宋简体" w:eastAsia="方正仿宋简体" w:cs="方正仿宋简体"/>
          <w:b/>
          <w:bCs/>
          <w:iCs/>
          <w:sz w:val="24"/>
          <w:szCs w:val="24"/>
        </w:rPr>
      </w:pPr>
      <w:r>
        <w:rPr>
          <w:rFonts w:hint="eastAsia" w:ascii="方正仿宋简体" w:hAnsi="方正仿宋简体" w:eastAsia="方正仿宋简体" w:cs="方正仿宋简体"/>
          <w:b/>
          <w:bCs/>
          <w:iCs/>
          <w:sz w:val="24"/>
          <w:szCs w:val="24"/>
        </w:rPr>
        <w:t>风险揭示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本基金不提供任何保证。投资者可能损失投资本金。</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投资有风险，投资者购买基金时应认真阅读本基金的《招募说明书》等销售文件。</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1、本基金特有风险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（2）标的指数波动的风险：标的指数成份股的价格可能受到政治因素、经济因素、上市公司状况、投资人心理和交易制度等各种因素的影响而波动，导致指数波动，从而使基金收益水平发生变化，产生风险。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（3）标的指数变更的风险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（4）指数编制机构停止服务的风险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因此，投资人将面临更换基金标的指数、转换运作方式、与其他基金合并或者终止基金合同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（5）投资于目标ETF基金带来的风险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由于主要投资于目标ETF，所以本基金会面临诸如目标ETF的管理风险与操作风险、目标ETF基金份额二级市场交易价格折溢价的风险、目标ETF的技术风险等风险。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（6）投资股票期权的风险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流动性风险：由于股票期权合约众多，交易较为分散，股票期权市场的流动性一般较期货市场要低，尤其是深度实值和虚值的股票期权，成交量稀少，持有这些股票期权的投资者容易遇到无法成交、平仓出局的局面。</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价格风险：股票期权买方的价格风险即为他所付出的权利金，风险具有确定性。股票期权卖方的价格风险不定，不过其所收取的权利金可以提供相应保护，当发生亏损时，可以抵消部分损失。</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操作风险：操作风险是指由于管理不善或者制度执行出现问题等原因所导致的风险。股票期权作为一种衍生品，虽然可以用来管理风险，但若使用不当，也会产生巨额损失。</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（7）投资资产支持证券的风险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（8）投资股指期货的风险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本基金可投资于股指期货，股指期货作为一种金融衍生品，主要存在以下风险：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市场风险：是指由于股指期货价格变动而给投资人带来的风险；2）流动性风险：是指由于股指期货合约无法及时变现所带来的风险；3）基差风险：是指股指期货合约价格和标的指数价格之间的价格差的波动所造成的风险；4）保证金风险：是指由于无法及时筹措资金满足建立或者维持股指期货合约头寸所要求的保证金而带来的风险；5）杠杆风险：因股指期货采用保证金交易而存在杠杆，基金财产可能因此产生更大的收益波动；6）信用风险：是指期货经纪公司违约而产生损失的风险；7）操作风险：是指由于内部流程的不完善，业务人员出现差错或者疏漏，或者系统出现故障等原因造成损失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（9）投资国债期货的风险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一部分资产将可能投资于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（10）融资和转融通证券出借业务的主要风险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主要包括流动性风险、交易对手违约风险、市场风险、提前或延迟了结风险、跟踪误差风险、杠杆效应放大风险、担保能力及限制交易风险、强制平仓风险、操作风险、法律合规风险。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（11）港股通机制下，港股投资风险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投资范围为包括内地与香港股票市场交易互联互通机制下允许投资的香港联合交易所上市的股票，本基金面临港股通机制下因投资环境、投资者结构、投资标的构成、市场制度以及交易规则等差异所带来的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包括但不限于：市场联动的风险、股价波动的风险、汇率风险、港股通额度限制、港股通可投资标的范围调整带来的风险、港股通交易日设定的风险、交收制度带来的基金流动性风险、港股通下对公司行为的处理规则带来的风险、香港联合交易所停牌、退市等制度性差异带来的风险、港股通规则变动带来的风险、其他可能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（12）投资于存托凭证的风险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投资范围包括存托凭证，本基金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（13）自动清算的风险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是发起式基金，在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因此本基金有面临自动清算的风险。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本基金普通风险：市场风险（政策风险、经济周期风险、利率风险、购买力风险、再投资风险、信用风险、债券回购风险等）、管理风险（决策风险、操作风险、技术风险等）、流动性风险、合规性风险和其他风险。</w:t>
      </w:r>
    </w:p>
    <w:p>
      <w:pPr>
        <w:spacing w:line="320" w:lineRule="exact"/>
        <w:outlineLvl w:val="1"/>
        <w:rPr>
          <w:rFonts w:ascii="方正仿宋简体" w:hAnsi="方正仿宋简体" w:eastAsia="方正仿宋简体" w:cs="方正仿宋简体"/>
          <w:b/>
          <w:iCs/>
          <w:sz w:val="22"/>
          <w:szCs w:val="24"/>
        </w:rPr>
      </w:pPr>
      <w:r>
        <w:rPr>
          <w:rFonts w:hint="eastAsia" w:ascii="方正仿宋简体" w:hAnsi="方正仿宋简体" w:eastAsia="方正仿宋简体" w:cs="方正仿宋简体"/>
          <w:b/>
          <w:iCs/>
          <w:sz w:val="24"/>
          <w:szCs w:val="24"/>
        </w:rPr>
        <w:t>（二）重要提示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中国证监会对本基金募集的注册，并不表明其对本基金的价值和收益作出实质性判断或保证，也不表明投资于本基金没有风险。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基金管理人依照恪尽职守、诚实信用、谨慎勤勉的原则管理和运用基金财产，但不保证基金一定盈利，也不保证最低收益。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基金投资者自依基金合同取得基金份额，即成为基金份额持有人和基金合同的当事人。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其他资料查询方式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以下资料详见基金管理人网站[网址：www.bosera.com][客服电话：95105568]</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（1）基金合同、托管协议、招募说明书</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（2）定期报告，包括基金季度报告、中期报告和年度报告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（3）基金份额净值</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（4）基金销售机构及联系方式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（5）其他重要资料</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其他情况说明</w:t>
      </w:r>
    </w:p>
    <w:p>
      <w:pPr>
        <w:spacing w:line="320" w:lineRule="exact"/>
        <w:ind w:firstLine="420"/>
        <w:rPr>
          <w:rFonts w:ascii="方正仿宋简体" w:hAnsi="方正仿宋简体" w:eastAsia="方正仿宋简体" w:cs="方正仿宋简体"/>
          <w:b/>
          <w:bCs/>
          <w:i/>
        </w:rPr>
      </w:pPr>
      <w:r>
        <w:rPr>
          <w:rFonts w:hint="eastAsia" w:ascii="方正仿宋简体" w:hAnsi="方正仿宋简体" w:eastAsia="方正仿宋简体" w:cs="方正仿宋简体"/>
          <w:b/>
          <w:bCs/>
          <w:i/>
        </w:rPr>
        <w:t>对于因基金合同的订立、内容、履行和解释或与基金合同有关的争议，基金合同当事人应尽量通过协商、调解途径解决。不愿或者不能通过协商、调解解决的，任何一方均有权将争议提交中国国际经济贸易仲裁委员会，按照其届时有效的仲裁规则进行仲裁。仲裁地点为北京市。仲裁裁决是终局的，对各方当事人均有约束力。除裁决另有规定的，仲裁费用由败诉方承担。</w:t>
      </w:r>
    </w:p>
    <w:p>
      <w:pPr>
        <w:autoSpaceDE w:val="0"/>
        <w:autoSpaceDN w:val="0"/>
        <w:adjustRightInd w:val="0"/>
        <w:spacing w:line="280" w:lineRule="exact"/>
        <w:jc w:val="left"/>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751033"/>
      <w:docPartObj>
        <w:docPartGallery w:val="AutoText"/>
      </w:docPartObj>
    </w:sdtPr>
    <w:sdtContent>
      <w:sdt>
        <w:sdtPr>
          <w:id w:val="9838135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33FEB"/>
    <w:multiLevelType w:val="multilevel"/>
    <w:tmpl w:val="05C33F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716C97"/>
    <w:multiLevelType w:val="multilevel"/>
    <w:tmpl w:val="1B716C97"/>
    <w:lvl w:ilvl="0" w:tentative="0">
      <w:start w:val="1"/>
      <w:numFmt w:val="decimal"/>
      <w:pStyle w:val="11"/>
      <w:lvlText w:val="§%1"/>
      <w:lvlJc w:val="left"/>
      <w:pPr>
        <w:ind w:left="420" w:hanging="420"/>
      </w:pPr>
      <w:rPr>
        <w:rFonts w:hint="default" w:eastAsia="宋体"/>
        <w:b/>
        <w:i w:val="0"/>
        <w:sz w:val="28"/>
      </w:rPr>
    </w:lvl>
    <w:lvl w:ilvl="1" w:tentative="0">
      <w:start w:val="1"/>
      <w:numFmt w:val="decimal"/>
      <w:pStyle w:val="13"/>
      <w:suff w:val="space"/>
      <w:lvlText w:val="%1.%2"/>
      <w:lvlJc w:val="left"/>
      <w:pPr>
        <w:ind w:left="284" w:hanging="284"/>
      </w:pPr>
      <w:rPr>
        <w:rFonts w:hint="eastAsia"/>
      </w:rPr>
    </w:lvl>
    <w:lvl w:ilvl="2" w:tentative="0">
      <w:start w:val="1"/>
      <w:numFmt w:val="decimal"/>
      <w:pStyle w:val="14"/>
      <w:suff w:val="space"/>
      <w:lvlText w:val="%1.%2.%3"/>
      <w:lvlJc w:val="left"/>
      <w:pPr>
        <w:ind w:left="284" w:hanging="284"/>
      </w:pPr>
      <w:rPr>
        <w:rFonts w:hint="eastAsia"/>
      </w:rPr>
    </w:lvl>
    <w:lvl w:ilvl="3" w:tentative="0">
      <w:start w:val="1"/>
      <w:numFmt w:val="decimal"/>
      <w:pStyle w:val="15"/>
      <w:suff w:val="space"/>
      <w:lvlText w:val="%1.%2.%3.%4"/>
      <w:lvlJc w:val="left"/>
      <w:pPr>
        <w:ind w:left="284" w:hanging="284"/>
      </w:pPr>
      <w:rPr>
        <w:rFonts w:hint="eastAsia"/>
      </w:rPr>
    </w:lvl>
    <w:lvl w:ilvl="4" w:tentative="0">
      <w:start w:val="1"/>
      <w:numFmt w:val="decimal"/>
      <w:pStyle w:val="16"/>
      <w:suff w:val="space"/>
      <w:lvlText w:val="%1.%2.%3.%4.%5"/>
      <w:lvlJc w:val="left"/>
      <w:pPr>
        <w:ind w:left="284" w:hanging="284"/>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78E6770"/>
    <w:multiLevelType w:val="multilevel"/>
    <w:tmpl w:val="478E6770"/>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C33CF0"/>
    <w:multiLevelType w:val="singleLevel"/>
    <w:tmpl w:val="5AC33CF0"/>
    <w:lvl w:ilvl="0" w:tentative="0">
      <w:start w:val="1"/>
      <w:numFmt w:val="chineseCounting"/>
      <w:suff w:val="nothing"/>
      <w:lvlText w:val="%1、"/>
      <w:lvlJc w:val="left"/>
      <w:rPr>
        <w:rFonts w:asciiTheme="minorEastAsia" w:hAnsiTheme="minorEastAsia" w:eastAsiaTheme="minorEastAsia"/>
      </w:rPr>
    </w:lvl>
  </w:abstractNum>
  <w:abstractNum w:abstractNumId="4">
    <w:nsid w:val="7D0D3582"/>
    <w:multiLevelType w:val="multilevel"/>
    <w:tmpl w:val="7D0D3582"/>
    <w:lvl w:ilvl="0" w:tentative="0">
      <w:start w:val="1"/>
      <w:numFmt w:val="chineseCountingThousand"/>
      <w:suff w:val="space"/>
      <w:lvlText w:val="(%1)"/>
      <w:lvlJc w:val="left"/>
      <w:pPr>
        <w:ind w:left="284" w:hanging="284"/>
      </w:pPr>
      <w:rPr>
        <w:rFonts w:hint="eastAsia" w:eastAsia="宋体" w:asciiTheme="minorEastAsia" w:hAnsiTheme="minorEastAsia"/>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 w:val="4216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1"/>
    <w:unhideWhenUsed/>
    <w:qFormat/>
    <w:uiPriority w:val="0"/>
    <w:pPr>
      <w:snapToGrid w:val="0"/>
      <w:jc w:val="left"/>
    </w:pPr>
    <w:rPr>
      <w:rFonts w:ascii="Calibri" w:hAnsi="Calibri" w:eastAsia="宋体" w:cs="Times New Roman"/>
      <w:sz w:val="18"/>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unhideWhenUsed/>
    <w:qFormat/>
    <w:uiPriority w:val="0"/>
    <w:rPr>
      <w:rFonts w:ascii="Times New Roman" w:hAnsi="Times New Roman" w:eastAsia="宋体" w:cs="Times New Roman"/>
      <w:vertAlign w:val="superscript"/>
    </w:rPr>
  </w:style>
  <w:style w:type="paragraph" w:customStyle="1" w:styleId="11">
    <w:name w:val="一级"/>
    <w:basedOn w:val="12"/>
    <w:qFormat/>
    <w:uiPriority w:val="0"/>
    <w:pPr>
      <w:numPr>
        <w:ilvl w:val="0"/>
        <w:numId w:val="1"/>
      </w:numPr>
      <w:spacing w:line="360" w:lineRule="auto"/>
      <w:ind w:firstLine="0" w:firstLineChars="0"/>
      <w:jc w:val="center"/>
    </w:pPr>
    <w:rPr>
      <w:b/>
      <w:sz w:val="28"/>
    </w:rPr>
  </w:style>
  <w:style w:type="paragraph" w:styleId="12">
    <w:name w:val="List Paragraph"/>
    <w:basedOn w:val="1"/>
    <w:qFormat/>
    <w:uiPriority w:val="34"/>
    <w:pPr>
      <w:ind w:firstLine="420" w:firstLineChars="200"/>
    </w:pPr>
  </w:style>
  <w:style w:type="paragraph" w:customStyle="1" w:styleId="13">
    <w:name w:val="二级"/>
    <w:basedOn w:val="12"/>
    <w:qFormat/>
    <w:uiPriority w:val="0"/>
    <w:pPr>
      <w:numPr>
        <w:ilvl w:val="1"/>
        <w:numId w:val="1"/>
      </w:numPr>
      <w:ind w:firstLine="0" w:firstLineChars="0"/>
    </w:pPr>
    <w:rPr>
      <w:b/>
      <w:sz w:val="28"/>
    </w:rPr>
  </w:style>
  <w:style w:type="paragraph" w:customStyle="1" w:styleId="14">
    <w:name w:val="三级"/>
    <w:basedOn w:val="12"/>
    <w:qFormat/>
    <w:uiPriority w:val="0"/>
    <w:pPr>
      <w:numPr>
        <w:ilvl w:val="2"/>
        <w:numId w:val="1"/>
      </w:numPr>
      <w:ind w:firstLine="0" w:firstLineChars="0"/>
    </w:pPr>
    <w:rPr>
      <w:b/>
      <w:sz w:val="28"/>
    </w:rPr>
  </w:style>
  <w:style w:type="paragraph" w:customStyle="1" w:styleId="15">
    <w:name w:val="四级"/>
    <w:basedOn w:val="14"/>
    <w:qFormat/>
    <w:uiPriority w:val="0"/>
    <w:pPr>
      <w:numPr>
        <w:ilvl w:val="3"/>
      </w:numPr>
    </w:pPr>
  </w:style>
  <w:style w:type="paragraph" w:customStyle="1" w:styleId="16">
    <w:name w:val="五级"/>
    <w:basedOn w:val="15"/>
    <w:qFormat/>
    <w:uiPriority w:val="0"/>
    <w:pPr>
      <w:numPr>
        <w:ilvl w:val="4"/>
      </w:numPr>
    </w:pPr>
    <w:rPr>
      <w:sz w:val="24"/>
    </w:rPr>
  </w:style>
  <w:style w:type="character" w:customStyle="1" w:styleId="17">
    <w:name w:val="页眉 Char"/>
    <w:basedOn w:val="9"/>
    <w:link w:val="5"/>
    <w:qFormat/>
    <w:uiPriority w:val="99"/>
    <w:rPr>
      <w:sz w:val="18"/>
      <w:szCs w:val="18"/>
    </w:rPr>
  </w:style>
  <w:style w:type="character" w:customStyle="1" w:styleId="18">
    <w:name w:val="页脚 Char"/>
    <w:basedOn w:val="9"/>
    <w:link w:val="4"/>
    <w:uiPriority w:val="99"/>
    <w:rPr>
      <w:sz w:val="18"/>
      <w:szCs w:val="18"/>
    </w:rPr>
  </w:style>
  <w:style w:type="character" w:customStyle="1" w:styleId="19">
    <w:name w:val="批注框文本 Char"/>
    <w:basedOn w:val="9"/>
    <w:link w:val="3"/>
    <w:semiHidden/>
    <w:qFormat/>
    <w:uiPriority w:val="99"/>
    <w:rPr>
      <w:sz w:val="18"/>
      <w:szCs w:val="18"/>
    </w:rPr>
  </w:style>
  <w:style w:type="character" w:styleId="20">
    <w:name w:val="Placeholder Text"/>
    <w:basedOn w:val="9"/>
    <w:semiHidden/>
    <w:qFormat/>
    <w:uiPriority w:val="99"/>
    <w:rPr>
      <w:color w:val="808080"/>
    </w:rPr>
  </w:style>
  <w:style w:type="character" w:customStyle="1" w:styleId="21">
    <w:name w:val="脚注文本 Char"/>
    <w:basedOn w:val="9"/>
    <w:link w:val="6"/>
    <w:qFormat/>
    <w:uiPriority w:val="0"/>
    <w:rPr>
      <w:rFonts w:ascii="Calibri" w:hAnsi="Calibri" w:eastAsia="宋体" w:cs="Times New Roman"/>
      <w:sz w:val="18"/>
      <w:szCs w:val="24"/>
    </w:rPr>
  </w:style>
  <w:style w:type="character" w:customStyle="1" w:styleId="22">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312F-8E28-451A-A15D-912655569409}">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17</Pages>
  <Words>634</Words>
  <Characters>3620</Characters>
  <Lines>30</Lines>
  <Paragraphs>8</Paragraphs>
  <TotalTime>0</TotalTime>
  <ScaleCrop>false</ScaleCrop>
  <LinksUpToDate>false</LinksUpToDate>
  <CharactersWithSpaces>4246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2020-08-28T09:28:00Z</dcterms:created>
  <dc:creator>Donghm</dc:creator>
  <cp:lastModifiedBy>zhaiq</cp:lastModifiedBy>
  <dcterms:modified xsi:type="dcterms:W3CDTF">2022-01-11T03:51:36Z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870376A87977425DA4B7DC6622AD71CA</vt:lpwstr>
  </property>
</Properties>
</file>