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C54D35" w:rsidRPr="008A6137" w:rsidP="004A631B">
      <w:pPr>
        <w:widowControl/>
        <w:jc w:val="center"/>
        <w:rPr>
          <w:rFonts w:ascii="宋体" w:eastAsia="宋体" w:hAnsi="宋体" w:cs="宋体"/>
          <w:b/>
          <w:kern w:val="0"/>
          <w:sz w:val="30"/>
          <w:szCs w:val="30"/>
        </w:rPr>
      </w:pPr>
      <w:r w:rsidRPr="008A6137">
        <w:rPr>
          <w:rFonts w:ascii="宋体" w:eastAsia="宋体" w:hAnsi="宋体" w:cs="宋体"/>
          <w:b/>
          <w:kern w:val="0"/>
          <w:sz w:val="30"/>
          <w:szCs w:val="30"/>
        </w:rPr>
        <w:t>易方达全球成长精选混合型证券投资基金（QDII）基金合同生效公告</w:t>
      </w:r>
    </w:p>
    <w:p w:rsidR="00C54D35" w:rsidRPr="008A6137" w:rsidP="00EC181E">
      <w:pPr>
        <w:jc w:val="center"/>
        <w:rPr>
          <w:rFonts w:ascii="宋体" w:eastAsia="宋体" w:hAnsi="宋体" w:cs="宋体"/>
          <w:b/>
          <w:kern w:val="0"/>
          <w:sz w:val="24"/>
          <w:szCs w:val="24"/>
        </w:rPr>
      </w:pPr>
      <w:r w:rsidRPr="008A6137">
        <w:rPr>
          <w:rFonts w:ascii="宋体" w:eastAsia="宋体" w:hAnsi="宋体" w:hint="eastAsia"/>
          <w:b/>
          <w:color w:val="000000"/>
          <w:sz w:val="24"/>
          <w:szCs w:val="24"/>
        </w:rPr>
        <w:t>公告送出日期：</w:t>
      </w:r>
      <w:r w:rsidRPr="008A6137">
        <w:rPr>
          <w:rFonts w:ascii="宋体" w:eastAsia="宋体" w:hAnsi="宋体" w:cs="宋体"/>
          <w:b/>
          <w:bCs/>
          <w:sz w:val="24"/>
          <w:szCs w:val="24"/>
        </w:rPr>
        <w:t>2022年1月12日</w:t>
      </w:r>
    </w:p>
    <w:p w:rsidR="00C54D35" w:rsidRPr="008A6137" w:rsidP="00C935DF">
      <w:pPr>
        <w:spacing w:line="560" w:lineRule="exact"/>
        <w:rPr>
          <w:rFonts w:ascii="宋体" w:eastAsia="宋体" w:hAnsi="宋体"/>
          <w:color w:val="000000"/>
          <w:sz w:val="21"/>
          <w:szCs w:val="21"/>
        </w:rPr>
      </w:pPr>
      <w:bookmarkStart w:id="0" w:name="_GoBack"/>
      <w:bookmarkEnd w:id="0"/>
    </w:p>
    <w:p w:rsidR="00C54D35" w:rsidRPr="008A6137" w:rsidP="00CF259A">
      <w:pPr>
        <w:pStyle w:val="Heading3"/>
        <w:keepNext w:val="0"/>
        <w:keepLines w:val="0"/>
        <w:spacing w:before="0" w:after="0" w:line="360" w:lineRule="auto"/>
        <w:rPr>
          <w:rFonts w:ascii="宋体" w:hAnsi="宋体"/>
          <w:bCs w:val="0"/>
          <w:sz w:val="24"/>
          <w:szCs w:val="24"/>
        </w:rPr>
      </w:pPr>
      <w:bookmarkStart w:id="1" w:name="_Toc275961391"/>
      <w:r w:rsidRPr="008A6137">
        <w:rPr>
          <w:rFonts w:ascii="宋体" w:hAnsi="宋体"/>
          <w:bCs w:val="0"/>
          <w:sz w:val="24"/>
          <w:szCs w:val="24"/>
        </w:rPr>
        <w:t>1.</w:t>
      </w:r>
      <w:r w:rsidRPr="008A6137">
        <w:rPr>
          <w:rFonts w:ascii="宋体" w:hAnsi="宋体" w:hint="eastAsia"/>
          <w:bCs w:val="0"/>
          <w:sz w:val="24"/>
          <w:szCs w:val="24"/>
        </w:rPr>
        <w:t>公告基本信息</w:t>
      </w:r>
      <w:bookmarkEnd w:id="1"/>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8"/>
        <w:gridCol w:w="5839"/>
      </w:tblGrid>
      <w:tr w:rsidTr="00BC53CD">
        <w:tblPrEx>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86"/>
          <w:jc w:val="center"/>
        </w:trPr>
        <w:tc>
          <w:tcPr>
            <w:tcW w:w="3808" w:type="dxa"/>
            <w:vAlign w:val="center"/>
          </w:tcPr>
          <w:p w:rsidR="00C54D35" w:rsidRPr="008A6137" w:rsidP="00CF259A">
            <w:pPr>
              <w:rPr>
                <w:rFonts w:ascii="宋体" w:eastAsia="宋体" w:hAnsi="宋体"/>
                <w:sz w:val="24"/>
                <w:szCs w:val="24"/>
              </w:rPr>
            </w:pPr>
            <w:r w:rsidRPr="008A6137">
              <w:rPr>
                <w:rFonts w:ascii="宋体" w:eastAsia="宋体" w:hAnsi="宋体" w:hint="eastAsia"/>
                <w:sz w:val="24"/>
                <w:szCs w:val="24"/>
              </w:rPr>
              <w:t>基金名称</w:t>
            </w:r>
          </w:p>
        </w:tc>
        <w:tc>
          <w:tcPr>
            <w:tcW w:w="5839" w:type="dxa"/>
            <w:vAlign w:val="center"/>
          </w:tcPr>
          <w:p w:rsidR="00C54D35" w:rsidRPr="008A6137" w:rsidP="00470D71">
            <w:pPr>
              <w:rPr>
                <w:rFonts w:ascii="宋体" w:eastAsia="宋体" w:hAnsi="宋体"/>
                <w:sz w:val="24"/>
                <w:szCs w:val="24"/>
              </w:rPr>
            </w:pPr>
            <w:r w:rsidRPr="008A6137">
              <w:rPr>
                <w:rFonts w:ascii="宋体" w:eastAsia="宋体" w:hAnsi="宋体"/>
                <w:sz w:val="24"/>
                <w:szCs w:val="24"/>
              </w:rPr>
              <w:t>易方达全球成长精选混合型证券投资基金（QDII）</w:t>
            </w:r>
          </w:p>
        </w:tc>
      </w:tr>
      <w:tr w:rsidTr="00BC53CD">
        <w:tblPrEx>
          <w:tblW w:w="9647" w:type="dxa"/>
          <w:jc w:val="center"/>
          <w:tblLayout w:type="fixed"/>
          <w:tblLook w:val="0000"/>
        </w:tblPrEx>
        <w:trPr>
          <w:trHeight w:val="386"/>
          <w:jc w:val="center"/>
        </w:trPr>
        <w:tc>
          <w:tcPr>
            <w:tcW w:w="3808" w:type="dxa"/>
            <w:vAlign w:val="center"/>
          </w:tcPr>
          <w:p w:rsidR="00C54D35" w:rsidRPr="008A6137" w:rsidP="00CF259A">
            <w:pPr>
              <w:rPr>
                <w:rFonts w:ascii="宋体" w:eastAsia="宋体" w:hAnsi="宋体"/>
                <w:sz w:val="24"/>
                <w:szCs w:val="24"/>
              </w:rPr>
            </w:pPr>
            <w:r w:rsidRPr="008A6137">
              <w:rPr>
                <w:rFonts w:ascii="宋体" w:eastAsia="宋体" w:hAnsi="宋体" w:hint="eastAsia"/>
                <w:sz w:val="24"/>
                <w:szCs w:val="24"/>
              </w:rPr>
              <w:t>基金简称</w:t>
            </w:r>
          </w:p>
        </w:tc>
        <w:tc>
          <w:tcPr>
            <w:tcW w:w="5839" w:type="dxa"/>
            <w:vAlign w:val="center"/>
          </w:tcPr>
          <w:p w:rsidR="00C54D35" w:rsidRPr="008A6137" w:rsidP="00470D71">
            <w:pPr>
              <w:rPr>
                <w:rFonts w:ascii="宋体" w:eastAsia="宋体" w:hAnsi="宋体"/>
                <w:sz w:val="24"/>
                <w:szCs w:val="24"/>
              </w:rPr>
            </w:pPr>
            <w:r w:rsidRPr="008A6137">
              <w:rPr>
                <w:rFonts w:ascii="宋体" w:eastAsia="宋体" w:hAnsi="宋体"/>
                <w:sz w:val="24"/>
                <w:szCs w:val="24"/>
              </w:rPr>
              <w:t>易方达全球成长精选混合（QDII）</w:t>
            </w:r>
          </w:p>
        </w:tc>
      </w:tr>
      <w:tr w:rsidTr="00BC53CD">
        <w:tblPrEx>
          <w:tblW w:w="9647" w:type="dxa"/>
          <w:jc w:val="center"/>
          <w:tblLayout w:type="fixed"/>
          <w:tblLook w:val="0000"/>
        </w:tblPrEx>
        <w:trPr>
          <w:trHeight w:val="386"/>
          <w:jc w:val="center"/>
        </w:trPr>
        <w:tc>
          <w:tcPr>
            <w:tcW w:w="3808" w:type="dxa"/>
            <w:vAlign w:val="center"/>
          </w:tcPr>
          <w:p w:rsidR="00C54D35" w:rsidRPr="008A6137" w:rsidP="00CF259A">
            <w:pPr>
              <w:rPr>
                <w:rFonts w:ascii="宋体" w:eastAsia="宋体" w:hAnsi="宋体"/>
                <w:sz w:val="24"/>
                <w:szCs w:val="24"/>
              </w:rPr>
            </w:pPr>
            <w:r w:rsidRPr="008A6137">
              <w:rPr>
                <w:rFonts w:ascii="宋体" w:eastAsia="宋体" w:hAnsi="宋体" w:hint="eastAsia"/>
                <w:sz w:val="24"/>
                <w:szCs w:val="24"/>
              </w:rPr>
              <w:t>基金主代码</w:t>
            </w:r>
          </w:p>
        </w:tc>
        <w:tc>
          <w:tcPr>
            <w:tcW w:w="5839" w:type="dxa"/>
            <w:vAlign w:val="center"/>
          </w:tcPr>
          <w:p w:rsidR="00C54D35" w:rsidRPr="008A6137" w:rsidP="00CF259A">
            <w:pPr>
              <w:rPr>
                <w:rFonts w:ascii="宋体" w:eastAsia="宋体" w:hAnsi="宋体"/>
                <w:sz w:val="24"/>
                <w:szCs w:val="24"/>
              </w:rPr>
            </w:pPr>
            <w:r w:rsidRPr="008A6137">
              <w:rPr>
                <w:rFonts w:ascii="宋体" w:eastAsia="宋体" w:hAnsi="宋体"/>
                <w:sz w:val="24"/>
                <w:szCs w:val="24"/>
              </w:rPr>
              <w:t>012920</w:t>
            </w:r>
          </w:p>
        </w:tc>
      </w:tr>
      <w:tr w:rsidTr="00BC53CD">
        <w:tblPrEx>
          <w:tblW w:w="9647" w:type="dxa"/>
          <w:jc w:val="center"/>
          <w:tblLayout w:type="fixed"/>
          <w:tblLook w:val="0000"/>
        </w:tblPrEx>
        <w:trPr>
          <w:trHeight w:val="386"/>
          <w:jc w:val="center"/>
        </w:trPr>
        <w:tc>
          <w:tcPr>
            <w:tcW w:w="3808" w:type="dxa"/>
            <w:vAlign w:val="center"/>
          </w:tcPr>
          <w:p w:rsidR="00C54D35" w:rsidRPr="008A6137" w:rsidP="00CF259A">
            <w:pPr>
              <w:rPr>
                <w:rFonts w:ascii="宋体" w:eastAsia="宋体" w:hAnsi="宋体"/>
                <w:sz w:val="24"/>
                <w:szCs w:val="24"/>
              </w:rPr>
            </w:pPr>
            <w:r w:rsidRPr="008A6137">
              <w:rPr>
                <w:rFonts w:ascii="宋体" w:eastAsia="宋体" w:hAnsi="宋体" w:hint="eastAsia"/>
                <w:sz w:val="24"/>
                <w:szCs w:val="24"/>
              </w:rPr>
              <w:t>基金运作方式</w:t>
            </w:r>
          </w:p>
        </w:tc>
        <w:tc>
          <w:tcPr>
            <w:tcW w:w="5839" w:type="dxa"/>
            <w:vAlign w:val="center"/>
          </w:tcPr>
          <w:p w:rsidR="00C54D35" w:rsidRPr="008A6137" w:rsidP="00470D71">
            <w:pPr>
              <w:rPr>
                <w:rFonts w:ascii="宋体" w:eastAsia="宋体" w:hAnsi="宋体"/>
                <w:sz w:val="24"/>
                <w:szCs w:val="24"/>
              </w:rPr>
            </w:pPr>
            <w:r w:rsidRPr="008A6137">
              <w:rPr>
                <w:rFonts w:ascii="宋体" w:eastAsia="宋体" w:hAnsi="宋体"/>
                <w:sz w:val="24"/>
                <w:szCs w:val="24"/>
              </w:rPr>
              <w:t>契约型开放式</w:t>
            </w:r>
          </w:p>
        </w:tc>
      </w:tr>
      <w:tr w:rsidTr="00BC53CD">
        <w:tblPrEx>
          <w:tblW w:w="9647" w:type="dxa"/>
          <w:jc w:val="center"/>
          <w:tblLayout w:type="fixed"/>
          <w:tblLook w:val="0000"/>
        </w:tblPrEx>
        <w:trPr>
          <w:trHeight w:val="386"/>
          <w:jc w:val="center"/>
        </w:trPr>
        <w:tc>
          <w:tcPr>
            <w:tcW w:w="3808" w:type="dxa"/>
            <w:vAlign w:val="center"/>
          </w:tcPr>
          <w:p w:rsidR="00C54D35" w:rsidRPr="008A6137" w:rsidP="00CF259A">
            <w:pPr>
              <w:rPr>
                <w:rFonts w:ascii="宋体" w:eastAsia="宋体" w:hAnsi="宋体"/>
                <w:sz w:val="24"/>
                <w:szCs w:val="24"/>
              </w:rPr>
            </w:pPr>
            <w:r w:rsidRPr="008A6137">
              <w:rPr>
                <w:rFonts w:ascii="宋体" w:eastAsia="宋体" w:hAnsi="宋体" w:hint="eastAsia"/>
                <w:sz w:val="24"/>
                <w:szCs w:val="24"/>
              </w:rPr>
              <w:t>基金合同生效日</w:t>
            </w:r>
          </w:p>
        </w:tc>
        <w:tc>
          <w:tcPr>
            <w:tcW w:w="5839" w:type="dxa"/>
            <w:vAlign w:val="center"/>
          </w:tcPr>
          <w:p w:rsidR="00C54D35" w:rsidRPr="008A6137" w:rsidP="00470D71">
            <w:pPr>
              <w:rPr>
                <w:rFonts w:ascii="宋体" w:eastAsia="宋体" w:hAnsi="宋体"/>
                <w:sz w:val="24"/>
                <w:szCs w:val="24"/>
              </w:rPr>
            </w:pPr>
            <w:r w:rsidRPr="008A6137">
              <w:rPr>
                <w:rFonts w:ascii="宋体" w:eastAsia="宋体" w:hAnsi="宋体"/>
                <w:sz w:val="24"/>
                <w:szCs w:val="24"/>
              </w:rPr>
              <w:t>2022年1月11日</w:t>
            </w:r>
          </w:p>
        </w:tc>
      </w:tr>
      <w:tr w:rsidTr="00BC53CD">
        <w:tblPrEx>
          <w:tblW w:w="9647" w:type="dxa"/>
          <w:jc w:val="center"/>
          <w:tblLayout w:type="fixed"/>
          <w:tblLook w:val="0000"/>
        </w:tblPrEx>
        <w:trPr>
          <w:trHeight w:val="386"/>
          <w:jc w:val="center"/>
        </w:trPr>
        <w:tc>
          <w:tcPr>
            <w:tcW w:w="3808" w:type="dxa"/>
            <w:vAlign w:val="center"/>
          </w:tcPr>
          <w:p w:rsidR="00C54D35" w:rsidRPr="008A6137" w:rsidP="00CF259A">
            <w:pPr>
              <w:rPr>
                <w:rFonts w:ascii="宋体" w:eastAsia="宋体" w:hAnsi="宋体"/>
                <w:sz w:val="24"/>
                <w:szCs w:val="24"/>
              </w:rPr>
            </w:pPr>
            <w:r w:rsidRPr="008A6137">
              <w:rPr>
                <w:rFonts w:ascii="宋体" w:eastAsia="宋体" w:hAnsi="宋体" w:hint="eastAsia"/>
                <w:sz w:val="24"/>
                <w:szCs w:val="24"/>
              </w:rPr>
              <w:t>基金管理人名称</w:t>
            </w:r>
          </w:p>
        </w:tc>
        <w:tc>
          <w:tcPr>
            <w:tcW w:w="5839" w:type="dxa"/>
            <w:vAlign w:val="center"/>
          </w:tcPr>
          <w:p w:rsidR="00C54D35" w:rsidRPr="008A6137" w:rsidP="00470D71">
            <w:pPr>
              <w:rPr>
                <w:rFonts w:ascii="宋体" w:eastAsia="宋体" w:hAnsi="宋体"/>
                <w:sz w:val="24"/>
                <w:szCs w:val="24"/>
              </w:rPr>
            </w:pPr>
            <w:r w:rsidRPr="008A6137">
              <w:rPr>
                <w:rFonts w:ascii="宋体" w:eastAsia="宋体" w:hAnsi="宋体"/>
                <w:sz w:val="24"/>
                <w:szCs w:val="24"/>
              </w:rPr>
              <w:t>易方达基金管理有限公司</w:t>
            </w:r>
          </w:p>
        </w:tc>
      </w:tr>
      <w:tr w:rsidTr="00BC53CD">
        <w:tblPrEx>
          <w:tblW w:w="9647" w:type="dxa"/>
          <w:jc w:val="center"/>
          <w:tblLayout w:type="fixed"/>
          <w:tblLook w:val="0000"/>
        </w:tblPrEx>
        <w:trPr>
          <w:trHeight w:val="386"/>
          <w:jc w:val="center"/>
        </w:trPr>
        <w:tc>
          <w:tcPr>
            <w:tcW w:w="3808" w:type="dxa"/>
            <w:vAlign w:val="center"/>
          </w:tcPr>
          <w:p w:rsidR="00C54D35" w:rsidRPr="008A6137" w:rsidP="00CF259A">
            <w:pPr>
              <w:rPr>
                <w:rFonts w:ascii="宋体" w:eastAsia="宋体" w:hAnsi="宋体"/>
                <w:sz w:val="24"/>
                <w:szCs w:val="24"/>
              </w:rPr>
            </w:pPr>
            <w:r w:rsidRPr="008A6137">
              <w:rPr>
                <w:rFonts w:ascii="宋体" w:eastAsia="宋体" w:hAnsi="宋体" w:hint="eastAsia"/>
                <w:sz w:val="24"/>
                <w:szCs w:val="24"/>
              </w:rPr>
              <w:t>基金托管人名称</w:t>
            </w:r>
          </w:p>
        </w:tc>
        <w:tc>
          <w:tcPr>
            <w:tcW w:w="5839" w:type="dxa"/>
            <w:vAlign w:val="center"/>
          </w:tcPr>
          <w:p w:rsidR="00C54D35" w:rsidRPr="008A6137" w:rsidP="00470D71">
            <w:pPr>
              <w:rPr>
                <w:rFonts w:ascii="宋体" w:eastAsia="宋体" w:hAnsi="宋体"/>
                <w:sz w:val="24"/>
                <w:szCs w:val="24"/>
              </w:rPr>
            </w:pPr>
            <w:r w:rsidRPr="008A6137">
              <w:rPr>
                <w:rFonts w:ascii="宋体" w:eastAsia="宋体" w:hAnsi="宋体"/>
                <w:sz w:val="24"/>
                <w:szCs w:val="24"/>
              </w:rPr>
              <w:t>宁波银行股份有限公司</w:t>
            </w:r>
          </w:p>
        </w:tc>
      </w:tr>
      <w:tr w:rsidTr="00BC53CD">
        <w:tblPrEx>
          <w:tblW w:w="9647" w:type="dxa"/>
          <w:jc w:val="center"/>
          <w:tblLayout w:type="fixed"/>
          <w:tblLook w:val="0000"/>
        </w:tblPrEx>
        <w:trPr>
          <w:trHeight w:val="386"/>
          <w:jc w:val="center"/>
        </w:trPr>
        <w:tc>
          <w:tcPr>
            <w:tcW w:w="3808" w:type="dxa"/>
            <w:vAlign w:val="center"/>
          </w:tcPr>
          <w:p w:rsidR="00C54D35" w:rsidRPr="008A6137" w:rsidP="00CF259A">
            <w:pPr>
              <w:rPr>
                <w:rFonts w:ascii="宋体" w:eastAsia="宋体" w:hAnsi="宋体"/>
                <w:sz w:val="24"/>
                <w:szCs w:val="24"/>
              </w:rPr>
            </w:pPr>
            <w:r w:rsidRPr="008A6137">
              <w:rPr>
                <w:rFonts w:ascii="宋体" w:eastAsia="宋体" w:hAnsi="宋体" w:hint="eastAsia"/>
                <w:sz w:val="24"/>
                <w:szCs w:val="24"/>
              </w:rPr>
              <w:t>公告依据</w:t>
            </w:r>
          </w:p>
        </w:tc>
        <w:tc>
          <w:tcPr>
            <w:tcW w:w="5839" w:type="dxa"/>
            <w:vAlign w:val="center"/>
          </w:tcPr>
          <w:p w:rsidR="00C54D35" w:rsidRPr="008A6137" w:rsidP="00470D71">
            <w:pPr>
              <w:rPr>
                <w:rFonts w:ascii="宋体" w:eastAsia="宋体" w:hAnsi="宋体"/>
                <w:sz w:val="24"/>
                <w:szCs w:val="24"/>
              </w:rPr>
            </w:pPr>
            <w:r w:rsidRPr="008A6137">
              <w:rPr>
                <w:rFonts w:ascii="宋体" w:eastAsia="宋体" w:hAnsi="宋体"/>
                <w:sz w:val="24"/>
                <w:szCs w:val="24"/>
              </w:rPr>
              <w:t>《中华人民共和国证券投资基金法》及其配套法规、《易方达全球成长精选混合型证券投资基金（QDII）基金合同》、《易方达全球成长精选混合型证券投资基金（QDII）招募说明书》</w:t>
            </w:r>
          </w:p>
        </w:tc>
      </w:tr>
    </w:tbl>
    <w:p w:rsidR="00C54D35" w:rsidRPr="008A6137" w:rsidP="00BC53CD">
      <w:pPr>
        <w:spacing w:line="360" w:lineRule="auto"/>
        <w:rPr>
          <w:rFonts w:ascii="宋体" w:eastAsia="宋体" w:hAnsi="宋体"/>
          <w:color w:val="000000"/>
          <w:sz w:val="24"/>
          <w:szCs w:val="24"/>
        </w:rPr>
      </w:pPr>
      <w:r w:rsidRPr="008A6137">
        <w:rPr>
          <w:rFonts w:ascii="宋体" w:eastAsia="宋体" w:hAnsi="宋体"/>
          <w:color w:val="000000"/>
          <w:sz w:val="24"/>
          <w:szCs w:val="24"/>
        </w:rPr>
        <w:t>注：A类人民币份额基金代码为012920，A类美元现汇份额基金代码为012921，C类人民币份额基金代码为012922，C类美元现汇份额基金代码为012923。</w:t>
      </w:r>
    </w:p>
    <w:p w:rsidR="00C54D35" w:rsidRPr="008A6137" w:rsidP="00CF259A">
      <w:pPr>
        <w:pStyle w:val="Heading3"/>
        <w:keepNext w:val="0"/>
        <w:keepLines w:val="0"/>
        <w:spacing w:before="0" w:after="0" w:line="360" w:lineRule="auto"/>
        <w:rPr>
          <w:rFonts w:ascii="宋体" w:hAnsi="宋体"/>
          <w:bCs w:val="0"/>
          <w:sz w:val="24"/>
          <w:szCs w:val="24"/>
        </w:rPr>
      </w:pPr>
      <w:bookmarkStart w:id="2" w:name="_Toc275961392"/>
      <w:r w:rsidRPr="008A6137">
        <w:rPr>
          <w:rFonts w:ascii="宋体" w:hAnsi="宋体"/>
          <w:bCs w:val="0"/>
          <w:sz w:val="24"/>
          <w:szCs w:val="24"/>
        </w:rPr>
        <w:t>2.</w:t>
      </w:r>
      <w:r w:rsidRPr="008A6137">
        <w:rPr>
          <w:rFonts w:ascii="宋体" w:hAnsi="宋体" w:hint="eastAsia"/>
          <w:bCs w:val="0"/>
          <w:sz w:val="24"/>
          <w:szCs w:val="24"/>
        </w:rPr>
        <w:t>基金募集情况</w:t>
      </w:r>
      <w:bookmarkEnd w:id="2"/>
    </w:p>
    <w:tbl>
      <w:tblPr>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37"/>
        <w:gridCol w:w="1984"/>
        <w:gridCol w:w="1985"/>
        <w:gridCol w:w="1984"/>
        <w:gridCol w:w="2103"/>
      </w:tblGrid>
      <w:tr w:rsidTr="00BC53CD">
        <w:tblPrEx>
          <w:tblW w:w="9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86"/>
          <w:jc w:val="center"/>
        </w:trPr>
        <w:tc>
          <w:tcPr>
            <w:tcW w:w="3721" w:type="dxa"/>
            <w:gridSpan w:val="2"/>
          </w:tcPr>
          <w:p w:rsidR="00C54D35" w:rsidRPr="008A6137" w:rsidP="00CF259A">
            <w:pPr>
              <w:rPr>
                <w:rFonts w:ascii="宋体" w:eastAsia="宋体" w:hAnsi="宋体"/>
                <w:sz w:val="24"/>
                <w:szCs w:val="24"/>
              </w:rPr>
            </w:pPr>
            <w:r w:rsidRPr="008A6137">
              <w:rPr>
                <w:rFonts w:ascii="宋体" w:eastAsia="宋体" w:hAnsi="宋体" w:hint="eastAsia"/>
                <w:sz w:val="24"/>
                <w:szCs w:val="24"/>
              </w:rPr>
              <w:t>基金募集申请获中国证监会核准的文号</w:t>
            </w:r>
          </w:p>
        </w:tc>
        <w:tc>
          <w:tcPr>
            <w:tcW w:w="6072" w:type="dxa"/>
            <w:gridSpan w:val="3"/>
            <w:vAlign w:val="center"/>
          </w:tcPr>
          <w:p w:rsidR="00C54D35" w:rsidRPr="008A6137" w:rsidP="00470D71">
            <w:pPr>
              <w:rPr>
                <w:rFonts w:ascii="宋体" w:eastAsia="宋体" w:hAnsi="宋体"/>
                <w:sz w:val="24"/>
                <w:szCs w:val="24"/>
              </w:rPr>
            </w:pPr>
            <w:r w:rsidRPr="008A6137">
              <w:rPr>
                <w:rFonts w:ascii="宋体" w:eastAsia="宋体" w:hAnsi="宋体"/>
                <w:sz w:val="24"/>
                <w:szCs w:val="24"/>
              </w:rPr>
              <w:t>中国证券监督管理委员会证监许可〔2021〕2121号</w:t>
            </w:r>
          </w:p>
        </w:tc>
      </w:tr>
      <w:tr w:rsidTr="00BC53CD">
        <w:tblPrEx>
          <w:tblW w:w="9793" w:type="dxa"/>
          <w:jc w:val="center"/>
          <w:tblLayout w:type="fixed"/>
          <w:tblLook w:val="0000"/>
        </w:tblPrEx>
        <w:trPr>
          <w:trHeight w:val="421"/>
          <w:jc w:val="center"/>
        </w:trPr>
        <w:tc>
          <w:tcPr>
            <w:tcW w:w="3721" w:type="dxa"/>
            <w:gridSpan w:val="2"/>
            <w:vAlign w:val="center"/>
          </w:tcPr>
          <w:p w:rsidR="00C54D35" w:rsidRPr="008A6137" w:rsidP="00CF259A">
            <w:pPr>
              <w:rPr>
                <w:rFonts w:ascii="宋体" w:eastAsia="宋体" w:hAnsi="宋体"/>
                <w:sz w:val="24"/>
                <w:szCs w:val="24"/>
              </w:rPr>
            </w:pPr>
            <w:r w:rsidRPr="008A6137">
              <w:rPr>
                <w:rFonts w:ascii="宋体" w:eastAsia="宋体" w:hAnsi="宋体" w:hint="eastAsia"/>
                <w:sz w:val="24"/>
                <w:szCs w:val="24"/>
              </w:rPr>
              <w:t>基金募集期间</w:t>
            </w:r>
          </w:p>
        </w:tc>
        <w:tc>
          <w:tcPr>
            <w:tcW w:w="6072" w:type="dxa"/>
            <w:gridSpan w:val="3"/>
            <w:vAlign w:val="center"/>
          </w:tcPr>
          <w:p w:rsidR="00C54D35" w:rsidRPr="008A6137" w:rsidP="00CF259A">
            <w:pPr>
              <w:rPr>
                <w:rFonts w:ascii="宋体" w:eastAsia="宋体" w:hAnsi="宋体"/>
                <w:sz w:val="24"/>
                <w:szCs w:val="24"/>
              </w:rPr>
            </w:pPr>
            <w:r w:rsidRPr="008A6137">
              <w:rPr>
                <w:rFonts w:ascii="宋体" w:eastAsia="宋体" w:hAnsi="宋体" w:hint="eastAsia"/>
                <w:sz w:val="24"/>
                <w:szCs w:val="24"/>
              </w:rPr>
              <w:t>自</w:t>
            </w:r>
            <w:r w:rsidRPr="008A6137">
              <w:rPr>
                <w:rFonts w:ascii="宋体" w:eastAsia="宋体" w:hAnsi="宋体"/>
                <w:sz w:val="24"/>
                <w:szCs w:val="24"/>
              </w:rPr>
              <w:t>2021年12月21日</w:t>
            </w:r>
            <w:r w:rsidRPr="008A6137">
              <w:rPr>
                <w:rFonts w:ascii="宋体" w:eastAsia="宋体" w:hAnsi="宋体" w:hint="eastAsia"/>
                <w:sz w:val="24"/>
                <w:szCs w:val="24"/>
              </w:rPr>
              <w:t>至</w:t>
            </w:r>
            <w:r w:rsidRPr="008A6137">
              <w:rPr>
                <w:rFonts w:ascii="宋体" w:eastAsia="宋体" w:hAnsi="宋体"/>
                <w:sz w:val="24"/>
                <w:szCs w:val="24"/>
              </w:rPr>
              <w:t>2022年1月7日</w:t>
            </w:r>
          </w:p>
        </w:tc>
      </w:tr>
      <w:tr w:rsidTr="00BC53CD">
        <w:tblPrEx>
          <w:tblW w:w="9793" w:type="dxa"/>
          <w:jc w:val="center"/>
          <w:tblLayout w:type="fixed"/>
          <w:tblLook w:val="0000"/>
        </w:tblPrEx>
        <w:trPr>
          <w:trHeight w:val="386"/>
          <w:jc w:val="center"/>
        </w:trPr>
        <w:tc>
          <w:tcPr>
            <w:tcW w:w="3721" w:type="dxa"/>
            <w:gridSpan w:val="2"/>
            <w:vAlign w:val="center"/>
          </w:tcPr>
          <w:p w:rsidR="00C54D35" w:rsidRPr="008A6137" w:rsidP="00CF259A">
            <w:pPr>
              <w:rPr>
                <w:rFonts w:ascii="宋体" w:eastAsia="宋体" w:hAnsi="宋体"/>
                <w:sz w:val="24"/>
                <w:szCs w:val="24"/>
              </w:rPr>
            </w:pPr>
            <w:r w:rsidRPr="008A6137">
              <w:rPr>
                <w:rFonts w:ascii="宋体" w:eastAsia="宋体" w:hAnsi="宋体" w:hint="eastAsia"/>
                <w:sz w:val="24"/>
                <w:szCs w:val="24"/>
              </w:rPr>
              <w:t>验资机构名称</w:t>
            </w:r>
          </w:p>
        </w:tc>
        <w:tc>
          <w:tcPr>
            <w:tcW w:w="6072" w:type="dxa"/>
            <w:gridSpan w:val="3"/>
            <w:vAlign w:val="center"/>
          </w:tcPr>
          <w:p w:rsidR="00C54D35" w:rsidRPr="008A6137" w:rsidP="00470D71">
            <w:pPr>
              <w:rPr>
                <w:rFonts w:ascii="宋体" w:eastAsia="宋体" w:hAnsi="宋体"/>
                <w:sz w:val="24"/>
                <w:szCs w:val="24"/>
              </w:rPr>
            </w:pPr>
            <w:r w:rsidRPr="008A6137">
              <w:rPr>
                <w:rFonts w:ascii="宋体" w:eastAsia="宋体" w:hAnsi="宋体"/>
                <w:sz w:val="24"/>
                <w:szCs w:val="24"/>
              </w:rPr>
              <w:t>安永华明会计师事务所（特殊普通合伙）</w:t>
            </w:r>
          </w:p>
        </w:tc>
      </w:tr>
      <w:tr w:rsidTr="00BC53CD">
        <w:tblPrEx>
          <w:tblW w:w="9793" w:type="dxa"/>
          <w:jc w:val="center"/>
          <w:tblLayout w:type="fixed"/>
          <w:tblLook w:val="0000"/>
        </w:tblPrEx>
        <w:trPr>
          <w:trHeight w:val="386"/>
          <w:jc w:val="center"/>
        </w:trPr>
        <w:tc>
          <w:tcPr>
            <w:tcW w:w="3721" w:type="dxa"/>
            <w:gridSpan w:val="2"/>
            <w:vAlign w:val="center"/>
          </w:tcPr>
          <w:p w:rsidR="00C54D35" w:rsidRPr="008A6137" w:rsidP="00CF259A">
            <w:pPr>
              <w:rPr>
                <w:rFonts w:ascii="宋体" w:eastAsia="宋体" w:hAnsi="宋体"/>
                <w:sz w:val="24"/>
                <w:szCs w:val="24"/>
              </w:rPr>
            </w:pPr>
            <w:r w:rsidRPr="008A6137">
              <w:rPr>
                <w:rFonts w:ascii="宋体" w:eastAsia="宋体" w:hAnsi="宋体" w:hint="eastAsia"/>
                <w:sz w:val="24"/>
                <w:szCs w:val="24"/>
              </w:rPr>
              <w:t>募集资金划入基金托管专户的日期</w:t>
            </w:r>
          </w:p>
        </w:tc>
        <w:tc>
          <w:tcPr>
            <w:tcW w:w="6072" w:type="dxa"/>
            <w:gridSpan w:val="3"/>
            <w:vAlign w:val="center"/>
          </w:tcPr>
          <w:p w:rsidR="00C54D35" w:rsidRPr="008A6137" w:rsidP="00470D71">
            <w:pPr>
              <w:rPr>
                <w:rFonts w:ascii="宋体" w:eastAsia="宋体" w:hAnsi="宋体"/>
                <w:sz w:val="24"/>
                <w:szCs w:val="24"/>
              </w:rPr>
            </w:pPr>
            <w:r w:rsidRPr="008A6137">
              <w:rPr>
                <w:rFonts w:ascii="宋体" w:eastAsia="宋体" w:hAnsi="宋体"/>
                <w:sz w:val="24"/>
                <w:szCs w:val="24"/>
              </w:rPr>
              <w:t>2022年1月11日</w:t>
            </w:r>
          </w:p>
        </w:tc>
      </w:tr>
      <w:tr w:rsidTr="00BC53CD">
        <w:tblPrEx>
          <w:tblW w:w="9793" w:type="dxa"/>
          <w:jc w:val="center"/>
          <w:tblLayout w:type="fixed"/>
          <w:tblLook w:val="0000"/>
        </w:tblPrEx>
        <w:trPr>
          <w:trHeight w:val="386"/>
          <w:jc w:val="center"/>
        </w:trPr>
        <w:tc>
          <w:tcPr>
            <w:tcW w:w="3721" w:type="dxa"/>
            <w:gridSpan w:val="2"/>
            <w:vAlign w:val="center"/>
          </w:tcPr>
          <w:p w:rsidR="00C54D35" w:rsidRPr="008A6137" w:rsidP="00CF259A">
            <w:pPr>
              <w:rPr>
                <w:rFonts w:ascii="宋体" w:eastAsia="宋体" w:hAnsi="宋体"/>
                <w:sz w:val="24"/>
                <w:szCs w:val="24"/>
              </w:rPr>
            </w:pPr>
            <w:r w:rsidRPr="008A6137">
              <w:rPr>
                <w:rFonts w:ascii="宋体" w:eastAsia="宋体" w:hAnsi="宋体" w:hint="eastAsia"/>
                <w:sz w:val="24"/>
                <w:szCs w:val="24"/>
              </w:rPr>
              <w:t>募集有效认购总户数（单位：户）</w:t>
            </w:r>
          </w:p>
        </w:tc>
        <w:tc>
          <w:tcPr>
            <w:tcW w:w="6072" w:type="dxa"/>
            <w:gridSpan w:val="3"/>
            <w:vAlign w:val="center"/>
          </w:tcPr>
          <w:p w:rsidR="00C54D35" w:rsidRPr="008A6137" w:rsidP="00470D71">
            <w:pPr>
              <w:rPr>
                <w:rFonts w:ascii="宋体" w:eastAsia="宋体" w:hAnsi="宋体"/>
                <w:sz w:val="24"/>
                <w:szCs w:val="24"/>
              </w:rPr>
            </w:pPr>
            <w:r w:rsidRPr="008A6137">
              <w:rPr>
                <w:rFonts w:ascii="宋体" w:eastAsia="宋体" w:hAnsi="宋体"/>
                <w:sz w:val="24"/>
                <w:szCs w:val="24"/>
              </w:rPr>
              <w:t>10,472</w:t>
            </w:r>
          </w:p>
        </w:tc>
      </w:tr>
      <w:tr w:rsidTr="00BC53CD">
        <w:tblPrEx>
          <w:tblW w:w="9793" w:type="dxa"/>
          <w:jc w:val="center"/>
          <w:tblLayout w:type="fixed"/>
          <w:tblLook w:val="0000"/>
        </w:tblPrEx>
        <w:trPr>
          <w:trHeight w:val="386"/>
          <w:jc w:val="center"/>
        </w:trPr>
        <w:tc>
          <w:tcPr>
            <w:tcW w:w="3721" w:type="dxa"/>
            <w:gridSpan w:val="2"/>
            <w:vAlign w:val="center"/>
          </w:tcPr>
          <w:p w:rsidR="00C54D35" w:rsidRPr="008A6137" w:rsidP="00CF259A">
            <w:pPr>
              <w:rPr>
                <w:rFonts w:ascii="宋体" w:eastAsia="宋体" w:hAnsi="宋体"/>
                <w:sz w:val="24"/>
                <w:szCs w:val="24"/>
              </w:rPr>
            </w:pPr>
            <w:r w:rsidRPr="008A6137">
              <w:rPr>
                <w:rFonts w:ascii="宋体" w:eastAsia="宋体" w:hAnsi="宋体" w:hint="eastAsia"/>
                <w:sz w:val="24"/>
                <w:szCs w:val="24"/>
              </w:rPr>
              <w:t>份额</w:t>
            </w:r>
            <w:r w:rsidRPr="00A74090" w:rsidR="00A74090">
              <w:rPr>
                <w:rFonts w:ascii="宋体" w:eastAsia="宋体" w:hAnsi="宋体" w:hint="eastAsia"/>
                <w:sz w:val="24"/>
                <w:szCs w:val="24"/>
              </w:rPr>
              <w:t>类别</w:t>
            </w:r>
          </w:p>
        </w:tc>
        <w:tc>
          <w:tcPr>
            <w:tcW w:w="1985" w:type="dxa"/>
            <w:vAlign w:val="center"/>
          </w:tcPr>
          <w:p w:rsidR="00C54D35" w:rsidRPr="008A6137" w:rsidP="00CF259A">
            <w:pPr>
              <w:rPr>
                <w:rFonts w:ascii="宋体" w:eastAsia="宋体" w:hAnsi="宋体"/>
                <w:sz w:val="24"/>
                <w:szCs w:val="24"/>
              </w:rPr>
            </w:pPr>
            <w:r w:rsidRPr="008A6137">
              <w:rPr>
                <w:rFonts w:ascii="宋体" w:eastAsia="宋体" w:hAnsi="宋体"/>
                <w:sz w:val="24"/>
                <w:szCs w:val="24"/>
              </w:rPr>
              <w:t>易方达全球成长精选混合（QDII）A</w:t>
            </w:r>
          </w:p>
        </w:tc>
        <w:tc>
          <w:tcPr>
            <w:tcW w:w="1984" w:type="dxa"/>
            <w:vAlign w:val="center"/>
          </w:tcPr>
          <w:p w:rsidR="00C54D35" w:rsidRPr="008A6137" w:rsidP="00CF259A">
            <w:pPr>
              <w:rPr>
                <w:rFonts w:ascii="宋体" w:eastAsia="宋体" w:hAnsi="宋体"/>
                <w:sz w:val="24"/>
                <w:szCs w:val="24"/>
              </w:rPr>
            </w:pPr>
            <w:r w:rsidRPr="008A6137">
              <w:rPr>
                <w:rFonts w:ascii="宋体" w:eastAsia="宋体" w:hAnsi="宋体"/>
                <w:sz w:val="24"/>
                <w:szCs w:val="24"/>
              </w:rPr>
              <w:t>易方达全球成长精选混合（QDII）C</w:t>
            </w:r>
          </w:p>
        </w:tc>
        <w:tc>
          <w:tcPr>
            <w:tcW w:w="2103" w:type="dxa"/>
            <w:vAlign w:val="center"/>
          </w:tcPr>
          <w:p w:rsidR="00C54D35" w:rsidRPr="008A6137" w:rsidP="009F569E">
            <w:pPr>
              <w:rPr>
                <w:rFonts w:ascii="宋体" w:eastAsia="宋体" w:hAnsi="宋体"/>
                <w:sz w:val="24"/>
                <w:szCs w:val="24"/>
              </w:rPr>
            </w:pPr>
            <w:r w:rsidRPr="008A6137">
              <w:rPr>
                <w:rFonts w:ascii="宋体" w:eastAsia="宋体" w:hAnsi="宋体" w:hint="eastAsia"/>
                <w:sz w:val="24"/>
                <w:szCs w:val="24"/>
              </w:rPr>
              <w:t>合计</w:t>
            </w:r>
          </w:p>
        </w:tc>
      </w:tr>
      <w:tr w:rsidTr="00BC53CD">
        <w:tblPrEx>
          <w:tblW w:w="9793" w:type="dxa"/>
          <w:jc w:val="center"/>
          <w:tblLayout w:type="fixed"/>
          <w:tblLook w:val="0000"/>
        </w:tblPrEx>
        <w:trPr>
          <w:trHeight w:val="386"/>
          <w:jc w:val="center"/>
        </w:trPr>
        <w:tc>
          <w:tcPr>
            <w:tcW w:w="3721" w:type="dxa"/>
            <w:gridSpan w:val="2"/>
            <w:vAlign w:val="center"/>
          </w:tcPr>
          <w:p w:rsidR="00C54D35" w:rsidRPr="008A6137" w:rsidP="00CF259A">
            <w:pPr>
              <w:rPr>
                <w:rFonts w:ascii="宋体" w:eastAsia="宋体" w:hAnsi="宋体"/>
                <w:sz w:val="24"/>
                <w:szCs w:val="24"/>
              </w:rPr>
            </w:pPr>
            <w:r w:rsidRPr="008A6137">
              <w:rPr>
                <w:rFonts w:ascii="宋体" w:eastAsia="宋体" w:hAnsi="宋体" w:hint="eastAsia"/>
                <w:sz w:val="24"/>
                <w:szCs w:val="24"/>
              </w:rPr>
              <w:t>募集期间净认购金额（单位：</w:t>
            </w:r>
            <w:r w:rsidRPr="008A6137" w:rsidR="008A4FFB">
              <w:rPr>
                <w:rFonts w:ascii="宋体" w:eastAsia="宋体" w:hAnsi="宋体" w:hint="eastAsia"/>
                <w:sz w:val="24"/>
                <w:szCs w:val="24"/>
              </w:rPr>
              <w:t>人民币</w:t>
            </w:r>
            <w:r w:rsidRPr="008A6137">
              <w:rPr>
                <w:rFonts w:ascii="宋体" w:eastAsia="宋体" w:hAnsi="宋体" w:hint="eastAsia"/>
                <w:sz w:val="24"/>
                <w:szCs w:val="24"/>
              </w:rPr>
              <w:t>元）</w:t>
            </w:r>
          </w:p>
        </w:tc>
        <w:tc>
          <w:tcPr>
            <w:tcW w:w="1985" w:type="dxa"/>
            <w:vAlign w:val="center"/>
          </w:tcPr>
          <w:p w:rsidR="00C54D35" w:rsidRPr="008A6137" w:rsidP="00CF259A">
            <w:pPr>
              <w:rPr>
                <w:rFonts w:ascii="宋体" w:eastAsia="宋体" w:hAnsi="宋体"/>
                <w:sz w:val="24"/>
                <w:szCs w:val="24"/>
              </w:rPr>
            </w:pPr>
            <w:r w:rsidRPr="008A6137">
              <w:rPr>
                <w:rFonts w:ascii="宋体" w:eastAsia="宋体" w:hAnsi="宋体"/>
                <w:sz w:val="24"/>
                <w:szCs w:val="24"/>
              </w:rPr>
              <w:t>391,173,129.22</w:t>
            </w:r>
          </w:p>
        </w:tc>
        <w:tc>
          <w:tcPr>
            <w:tcW w:w="1984" w:type="dxa"/>
            <w:vAlign w:val="center"/>
          </w:tcPr>
          <w:p w:rsidR="00C54D35" w:rsidRPr="008A6137" w:rsidP="00CF259A">
            <w:pPr>
              <w:rPr>
                <w:rFonts w:ascii="宋体" w:eastAsia="宋体" w:hAnsi="宋体"/>
                <w:sz w:val="24"/>
                <w:szCs w:val="24"/>
              </w:rPr>
            </w:pPr>
            <w:r w:rsidRPr="000A4E9A">
              <w:rPr>
                <w:rFonts w:ascii="宋体" w:eastAsia="宋体" w:hAnsi="宋体"/>
                <w:sz w:val="24"/>
                <w:szCs w:val="24"/>
              </w:rPr>
              <w:t>45,415,765.32</w:t>
            </w:r>
          </w:p>
        </w:tc>
        <w:tc>
          <w:tcPr>
            <w:tcW w:w="2103" w:type="dxa"/>
            <w:vAlign w:val="center"/>
          </w:tcPr>
          <w:p w:rsidR="00C54D35" w:rsidRPr="008A6137" w:rsidP="00CF259A">
            <w:pPr>
              <w:rPr>
                <w:rFonts w:ascii="宋体" w:eastAsia="宋体" w:hAnsi="宋体"/>
                <w:sz w:val="24"/>
                <w:szCs w:val="24"/>
              </w:rPr>
            </w:pPr>
            <w:r w:rsidRPr="008A6137">
              <w:rPr>
                <w:rFonts w:ascii="宋体" w:eastAsia="宋体" w:hAnsi="宋体"/>
                <w:sz w:val="24"/>
                <w:szCs w:val="24"/>
              </w:rPr>
              <w:t>436,588,894.54</w:t>
            </w:r>
          </w:p>
        </w:tc>
      </w:tr>
      <w:tr w:rsidTr="00BC53CD">
        <w:tblPrEx>
          <w:tblW w:w="9793" w:type="dxa"/>
          <w:jc w:val="center"/>
          <w:tblLayout w:type="fixed"/>
          <w:tblLook w:val="0000"/>
        </w:tblPrEx>
        <w:trPr>
          <w:trHeight w:val="454"/>
          <w:jc w:val="center"/>
        </w:trPr>
        <w:tc>
          <w:tcPr>
            <w:tcW w:w="3721" w:type="dxa"/>
            <w:gridSpan w:val="2"/>
            <w:vAlign w:val="center"/>
          </w:tcPr>
          <w:p w:rsidR="00C54D35" w:rsidRPr="008A6137" w:rsidP="00CF259A">
            <w:pPr>
              <w:rPr>
                <w:rFonts w:ascii="宋体" w:eastAsia="宋体" w:hAnsi="宋体"/>
                <w:sz w:val="24"/>
                <w:szCs w:val="24"/>
              </w:rPr>
            </w:pPr>
            <w:r w:rsidRPr="008A6137">
              <w:rPr>
                <w:rFonts w:ascii="宋体" w:eastAsia="宋体" w:hAnsi="宋体" w:hint="eastAsia"/>
                <w:sz w:val="24"/>
                <w:szCs w:val="24"/>
              </w:rPr>
              <w:t>认购资金在募集期间产生的利息（单位：</w:t>
            </w:r>
            <w:r w:rsidRPr="008A6137" w:rsidR="008A4FFB">
              <w:rPr>
                <w:rFonts w:ascii="宋体" w:eastAsia="宋体" w:hAnsi="宋体" w:hint="eastAsia"/>
                <w:sz w:val="24"/>
                <w:szCs w:val="24"/>
              </w:rPr>
              <w:t>人民币</w:t>
            </w:r>
            <w:r w:rsidRPr="008A6137">
              <w:rPr>
                <w:rFonts w:ascii="宋体" w:eastAsia="宋体" w:hAnsi="宋体" w:hint="eastAsia"/>
                <w:sz w:val="24"/>
                <w:szCs w:val="24"/>
              </w:rPr>
              <w:t>元）</w:t>
            </w:r>
          </w:p>
        </w:tc>
        <w:tc>
          <w:tcPr>
            <w:tcW w:w="1985" w:type="dxa"/>
            <w:vAlign w:val="center"/>
          </w:tcPr>
          <w:p w:rsidR="00C54D35" w:rsidRPr="008A6137" w:rsidP="00CF259A">
            <w:pPr>
              <w:rPr>
                <w:rFonts w:ascii="宋体" w:eastAsia="宋体" w:hAnsi="宋体"/>
                <w:sz w:val="24"/>
                <w:szCs w:val="24"/>
              </w:rPr>
            </w:pPr>
            <w:r w:rsidRPr="008A6137">
              <w:rPr>
                <w:rFonts w:ascii="宋体" w:eastAsia="宋体" w:hAnsi="宋体"/>
                <w:sz w:val="24"/>
                <w:szCs w:val="24"/>
              </w:rPr>
              <w:t>145,842.26</w:t>
            </w:r>
          </w:p>
        </w:tc>
        <w:tc>
          <w:tcPr>
            <w:tcW w:w="1984" w:type="dxa"/>
            <w:vAlign w:val="center"/>
          </w:tcPr>
          <w:p w:rsidR="00C54D35" w:rsidRPr="008A6137" w:rsidP="00CF259A">
            <w:pPr>
              <w:rPr>
                <w:rFonts w:ascii="宋体" w:eastAsia="宋体" w:hAnsi="宋体"/>
                <w:sz w:val="24"/>
                <w:szCs w:val="24"/>
              </w:rPr>
            </w:pPr>
            <w:r w:rsidRPr="008A6137">
              <w:rPr>
                <w:rFonts w:ascii="宋体" w:eastAsia="宋体" w:hAnsi="宋体"/>
                <w:sz w:val="24"/>
                <w:szCs w:val="24"/>
              </w:rPr>
              <w:t>8,741.88</w:t>
            </w:r>
          </w:p>
        </w:tc>
        <w:tc>
          <w:tcPr>
            <w:tcW w:w="2103" w:type="dxa"/>
            <w:vAlign w:val="center"/>
          </w:tcPr>
          <w:p w:rsidR="00C54D35" w:rsidRPr="008A6137" w:rsidP="00CF259A">
            <w:pPr>
              <w:rPr>
                <w:rFonts w:ascii="宋体" w:eastAsia="宋体" w:hAnsi="宋体"/>
                <w:sz w:val="24"/>
                <w:szCs w:val="24"/>
              </w:rPr>
            </w:pPr>
            <w:r w:rsidRPr="008A6137">
              <w:rPr>
                <w:rFonts w:ascii="宋体" w:eastAsia="宋体" w:hAnsi="宋体"/>
                <w:sz w:val="24"/>
                <w:szCs w:val="24"/>
              </w:rPr>
              <w:t>154,584.14</w:t>
            </w:r>
          </w:p>
        </w:tc>
      </w:tr>
      <w:tr w:rsidTr="00BC53CD">
        <w:tblPrEx>
          <w:tblW w:w="9793" w:type="dxa"/>
          <w:jc w:val="center"/>
          <w:tblLayout w:type="fixed"/>
          <w:tblLook w:val="0000"/>
        </w:tblPrEx>
        <w:trPr>
          <w:jc w:val="center"/>
        </w:trPr>
        <w:tc>
          <w:tcPr>
            <w:tcW w:w="1737" w:type="dxa"/>
            <w:vMerge w:val="restart"/>
            <w:vAlign w:val="center"/>
          </w:tcPr>
          <w:p w:rsidR="00C54D35" w:rsidRPr="008A6137" w:rsidP="00CF259A">
            <w:pPr>
              <w:rPr>
                <w:rFonts w:ascii="宋体" w:eastAsia="宋体" w:hAnsi="宋体"/>
                <w:sz w:val="24"/>
                <w:szCs w:val="24"/>
              </w:rPr>
            </w:pPr>
            <w:r w:rsidRPr="008A6137">
              <w:rPr>
                <w:rFonts w:ascii="宋体" w:eastAsia="宋体" w:hAnsi="宋体" w:hint="eastAsia"/>
                <w:sz w:val="24"/>
                <w:szCs w:val="24"/>
              </w:rPr>
              <w:t>募集份额（单位：份）</w:t>
            </w:r>
          </w:p>
        </w:tc>
        <w:tc>
          <w:tcPr>
            <w:tcW w:w="1984" w:type="dxa"/>
            <w:vAlign w:val="center"/>
          </w:tcPr>
          <w:p w:rsidR="00C54D35" w:rsidRPr="008A6137" w:rsidP="00CF259A">
            <w:pPr>
              <w:rPr>
                <w:rFonts w:ascii="宋体" w:eastAsia="宋体" w:hAnsi="宋体"/>
                <w:sz w:val="24"/>
                <w:szCs w:val="24"/>
              </w:rPr>
            </w:pPr>
            <w:r w:rsidRPr="008A6137">
              <w:rPr>
                <w:rFonts w:ascii="宋体" w:eastAsia="宋体" w:hAnsi="宋体" w:hint="eastAsia"/>
                <w:sz w:val="24"/>
                <w:szCs w:val="24"/>
              </w:rPr>
              <w:t>有效认购份额</w:t>
            </w:r>
          </w:p>
        </w:tc>
        <w:tc>
          <w:tcPr>
            <w:tcW w:w="1985" w:type="dxa"/>
            <w:vAlign w:val="center"/>
          </w:tcPr>
          <w:p w:rsidR="00C54D35" w:rsidRPr="008A6137" w:rsidP="00CF259A">
            <w:pPr>
              <w:rPr>
                <w:rFonts w:ascii="宋体" w:eastAsia="宋体" w:hAnsi="宋体"/>
                <w:sz w:val="24"/>
                <w:szCs w:val="24"/>
              </w:rPr>
            </w:pPr>
            <w:r w:rsidRPr="008A6137">
              <w:rPr>
                <w:rFonts w:ascii="宋体" w:eastAsia="宋体" w:hAnsi="宋体"/>
                <w:sz w:val="24"/>
                <w:szCs w:val="24"/>
              </w:rPr>
              <w:t>391,173,129.22</w:t>
            </w:r>
          </w:p>
        </w:tc>
        <w:tc>
          <w:tcPr>
            <w:tcW w:w="1984" w:type="dxa"/>
            <w:vAlign w:val="center"/>
          </w:tcPr>
          <w:p w:rsidR="00C54D35" w:rsidRPr="008A6137" w:rsidP="00CF259A">
            <w:pPr>
              <w:rPr>
                <w:rFonts w:ascii="宋体" w:eastAsia="宋体" w:hAnsi="宋体"/>
                <w:sz w:val="24"/>
                <w:szCs w:val="24"/>
              </w:rPr>
            </w:pPr>
            <w:r w:rsidRPr="008A6137">
              <w:rPr>
                <w:rFonts w:ascii="宋体" w:eastAsia="宋体" w:hAnsi="宋体"/>
                <w:sz w:val="24"/>
                <w:szCs w:val="24"/>
              </w:rPr>
              <w:t>45,415,765.32</w:t>
            </w:r>
          </w:p>
        </w:tc>
        <w:tc>
          <w:tcPr>
            <w:tcW w:w="2103" w:type="dxa"/>
            <w:vAlign w:val="center"/>
          </w:tcPr>
          <w:p w:rsidR="00C54D35" w:rsidRPr="008A6137" w:rsidP="00CF259A">
            <w:pPr>
              <w:rPr>
                <w:rFonts w:ascii="宋体" w:eastAsia="宋体" w:hAnsi="宋体"/>
                <w:sz w:val="24"/>
                <w:szCs w:val="24"/>
              </w:rPr>
            </w:pPr>
            <w:r w:rsidRPr="008A6137">
              <w:rPr>
                <w:rFonts w:ascii="宋体" w:eastAsia="宋体" w:hAnsi="宋体"/>
                <w:sz w:val="24"/>
                <w:szCs w:val="24"/>
              </w:rPr>
              <w:t>436,588,894.54</w:t>
            </w:r>
          </w:p>
        </w:tc>
      </w:tr>
      <w:tr w:rsidTr="00BC53CD">
        <w:tblPrEx>
          <w:tblW w:w="9793" w:type="dxa"/>
          <w:jc w:val="center"/>
          <w:tblLayout w:type="fixed"/>
          <w:tblLook w:val="0000"/>
        </w:tblPrEx>
        <w:trPr>
          <w:jc w:val="center"/>
        </w:trPr>
        <w:tc>
          <w:tcPr>
            <w:tcW w:w="1737" w:type="dxa"/>
            <w:vMerge/>
            <w:vAlign w:val="center"/>
          </w:tcPr>
          <w:p w:rsidR="00C54D35" w:rsidRPr="008A6137" w:rsidP="00CF259A">
            <w:pPr>
              <w:rPr>
                <w:rFonts w:ascii="宋体" w:eastAsia="宋体" w:hAnsi="宋体"/>
                <w:sz w:val="24"/>
                <w:szCs w:val="24"/>
              </w:rPr>
            </w:pPr>
          </w:p>
        </w:tc>
        <w:tc>
          <w:tcPr>
            <w:tcW w:w="1984" w:type="dxa"/>
            <w:vAlign w:val="center"/>
          </w:tcPr>
          <w:p w:rsidR="00C54D35" w:rsidRPr="008A6137" w:rsidP="00CF259A">
            <w:pPr>
              <w:rPr>
                <w:rFonts w:ascii="宋体" w:eastAsia="宋体" w:hAnsi="宋体"/>
                <w:sz w:val="24"/>
                <w:szCs w:val="24"/>
              </w:rPr>
            </w:pPr>
            <w:r w:rsidRPr="008A6137">
              <w:rPr>
                <w:rFonts w:ascii="宋体" w:eastAsia="宋体" w:hAnsi="宋体" w:hint="eastAsia"/>
                <w:sz w:val="24"/>
                <w:szCs w:val="24"/>
              </w:rPr>
              <w:t>利息结转的份额</w:t>
            </w:r>
          </w:p>
        </w:tc>
        <w:tc>
          <w:tcPr>
            <w:tcW w:w="1985" w:type="dxa"/>
            <w:vAlign w:val="center"/>
          </w:tcPr>
          <w:p w:rsidR="00C54D35" w:rsidRPr="008A6137" w:rsidP="00CF259A">
            <w:pPr>
              <w:rPr>
                <w:rFonts w:ascii="宋体" w:eastAsia="宋体" w:hAnsi="宋体"/>
                <w:sz w:val="24"/>
                <w:szCs w:val="24"/>
              </w:rPr>
            </w:pPr>
            <w:r w:rsidRPr="008A6137">
              <w:rPr>
                <w:rFonts w:ascii="宋体" w:eastAsia="宋体" w:hAnsi="宋体"/>
                <w:sz w:val="24"/>
                <w:szCs w:val="24"/>
              </w:rPr>
              <w:t>145,842.26</w:t>
            </w:r>
          </w:p>
        </w:tc>
        <w:tc>
          <w:tcPr>
            <w:tcW w:w="1984" w:type="dxa"/>
            <w:vAlign w:val="center"/>
          </w:tcPr>
          <w:p w:rsidR="00C54D35" w:rsidRPr="008A6137" w:rsidP="00CF259A">
            <w:pPr>
              <w:rPr>
                <w:rFonts w:ascii="宋体" w:eastAsia="宋体" w:hAnsi="宋体"/>
                <w:sz w:val="24"/>
                <w:szCs w:val="24"/>
              </w:rPr>
            </w:pPr>
            <w:r w:rsidRPr="008A6137">
              <w:rPr>
                <w:rFonts w:ascii="宋体" w:eastAsia="宋体" w:hAnsi="宋体"/>
                <w:sz w:val="24"/>
                <w:szCs w:val="24"/>
              </w:rPr>
              <w:t>8,741.88</w:t>
            </w:r>
          </w:p>
        </w:tc>
        <w:tc>
          <w:tcPr>
            <w:tcW w:w="2103" w:type="dxa"/>
            <w:vAlign w:val="center"/>
          </w:tcPr>
          <w:p w:rsidR="00C54D35" w:rsidRPr="008A6137" w:rsidP="00CF259A">
            <w:pPr>
              <w:rPr>
                <w:rFonts w:ascii="宋体" w:eastAsia="宋体" w:hAnsi="宋体"/>
                <w:sz w:val="24"/>
                <w:szCs w:val="24"/>
              </w:rPr>
            </w:pPr>
            <w:r w:rsidRPr="008A6137">
              <w:rPr>
                <w:rFonts w:ascii="宋体" w:eastAsia="宋体" w:hAnsi="宋体"/>
                <w:sz w:val="24"/>
                <w:szCs w:val="24"/>
              </w:rPr>
              <w:t>154,584.14</w:t>
            </w:r>
          </w:p>
        </w:tc>
      </w:tr>
      <w:tr w:rsidTr="00BC53CD">
        <w:tblPrEx>
          <w:tblW w:w="9793" w:type="dxa"/>
          <w:jc w:val="center"/>
          <w:tblLayout w:type="fixed"/>
          <w:tblLook w:val="0000"/>
        </w:tblPrEx>
        <w:trPr>
          <w:jc w:val="center"/>
        </w:trPr>
        <w:tc>
          <w:tcPr>
            <w:tcW w:w="1737" w:type="dxa"/>
            <w:vMerge/>
            <w:vAlign w:val="center"/>
          </w:tcPr>
          <w:p w:rsidR="00C54D35" w:rsidRPr="008A6137" w:rsidP="00CF259A">
            <w:pPr>
              <w:rPr>
                <w:rFonts w:ascii="宋体" w:eastAsia="宋体" w:hAnsi="宋体"/>
                <w:sz w:val="24"/>
                <w:szCs w:val="24"/>
              </w:rPr>
            </w:pPr>
          </w:p>
        </w:tc>
        <w:tc>
          <w:tcPr>
            <w:tcW w:w="1984" w:type="dxa"/>
            <w:vAlign w:val="center"/>
          </w:tcPr>
          <w:p w:rsidR="00C54D35" w:rsidRPr="008A6137" w:rsidP="00CF259A">
            <w:pPr>
              <w:rPr>
                <w:rFonts w:ascii="宋体" w:eastAsia="宋体" w:hAnsi="宋体"/>
                <w:sz w:val="24"/>
                <w:szCs w:val="24"/>
              </w:rPr>
            </w:pPr>
            <w:r w:rsidRPr="008A6137">
              <w:rPr>
                <w:rFonts w:ascii="宋体" w:eastAsia="宋体" w:hAnsi="宋体" w:hint="eastAsia"/>
                <w:sz w:val="24"/>
                <w:szCs w:val="24"/>
              </w:rPr>
              <w:t>合计</w:t>
            </w:r>
          </w:p>
        </w:tc>
        <w:tc>
          <w:tcPr>
            <w:tcW w:w="1985" w:type="dxa"/>
            <w:vAlign w:val="center"/>
          </w:tcPr>
          <w:p w:rsidR="00C54D35" w:rsidRPr="008A6137" w:rsidP="00CF259A">
            <w:pPr>
              <w:rPr>
                <w:rFonts w:ascii="宋体" w:eastAsia="宋体" w:hAnsi="宋体"/>
                <w:sz w:val="24"/>
                <w:szCs w:val="24"/>
              </w:rPr>
            </w:pPr>
            <w:r w:rsidRPr="008A6137">
              <w:rPr>
                <w:rFonts w:ascii="宋体" w:eastAsia="宋体" w:hAnsi="宋体"/>
                <w:sz w:val="24"/>
                <w:szCs w:val="24"/>
              </w:rPr>
              <w:t>391,318,971.48</w:t>
            </w:r>
          </w:p>
        </w:tc>
        <w:tc>
          <w:tcPr>
            <w:tcW w:w="1984" w:type="dxa"/>
            <w:vAlign w:val="center"/>
          </w:tcPr>
          <w:p w:rsidR="00C54D35" w:rsidRPr="008A6137" w:rsidP="00CF259A">
            <w:pPr>
              <w:rPr>
                <w:rFonts w:ascii="宋体" w:eastAsia="宋体" w:hAnsi="宋体"/>
                <w:sz w:val="24"/>
                <w:szCs w:val="24"/>
              </w:rPr>
            </w:pPr>
            <w:r w:rsidRPr="008A6137">
              <w:rPr>
                <w:rFonts w:ascii="宋体" w:eastAsia="宋体" w:hAnsi="宋体"/>
                <w:sz w:val="24"/>
                <w:szCs w:val="24"/>
              </w:rPr>
              <w:t>45,424,507.20</w:t>
            </w:r>
          </w:p>
        </w:tc>
        <w:tc>
          <w:tcPr>
            <w:tcW w:w="2103" w:type="dxa"/>
            <w:vAlign w:val="center"/>
          </w:tcPr>
          <w:p w:rsidR="00C54D35" w:rsidRPr="008A6137" w:rsidP="00CF259A">
            <w:pPr>
              <w:rPr>
                <w:rFonts w:ascii="宋体" w:eastAsia="宋体" w:hAnsi="宋体"/>
                <w:sz w:val="24"/>
                <w:szCs w:val="24"/>
              </w:rPr>
            </w:pPr>
            <w:r w:rsidRPr="008A6137">
              <w:rPr>
                <w:rFonts w:ascii="宋体" w:eastAsia="宋体" w:hAnsi="宋体"/>
                <w:sz w:val="24"/>
                <w:szCs w:val="24"/>
              </w:rPr>
              <w:t>436,743,478.68</w:t>
            </w:r>
          </w:p>
        </w:tc>
      </w:tr>
      <w:tr w:rsidTr="00BC53CD">
        <w:tblPrEx>
          <w:tblW w:w="9793" w:type="dxa"/>
          <w:jc w:val="center"/>
          <w:tblLayout w:type="fixed"/>
          <w:tblLook w:val="0000"/>
        </w:tblPrEx>
        <w:trPr>
          <w:jc w:val="center"/>
        </w:trPr>
        <w:tc>
          <w:tcPr>
            <w:tcW w:w="1737" w:type="dxa"/>
            <w:vMerge w:val="restart"/>
            <w:vAlign w:val="center"/>
          </w:tcPr>
          <w:p w:rsidR="00C54D35" w:rsidRPr="008A6137" w:rsidP="00CF259A">
            <w:pPr>
              <w:rPr>
                <w:rFonts w:ascii="宋体" w:eastAsia="宋体" w:hAnsi="宋体"/>
                <w:sz w:val="24"/>
                <w:szCs w:val="24"/>
              </w:rPr>
            </w:pPr>
            <w:r w:rsidRPr="008A6137">
              <w:rPr>
                <w:rFonts w:ascii="宋体" w:eastAsia="宋体" w:hAnsi="宋体" w:hint="eastAsia"/>
                <w:sz w:val="24"/>
                <w:szCs w:val="24"/>
              </w:rPr>
              <w:t>其中：募集期间基金管理人运用固有资金认购本基金情况</w:t>
            </w:r>
          </w:p>
        </w:tc>
        <w:tc>
          <w:tcPr>
            <w:tcW w:w="1984" w:type="dxa"/>
            <w:vAlign w:val="center"/>
          </w:tcPr>
          <w:p w:rsidR="00C54D35" w:rsidRPr="008A6137" w:rsidP="00CF259A">
            <w:pPr>
              <w:rPr>
                <w:rFonts w:ascii="宋体" w:eastAsia="宋体" w:hAnsi="宋体"/>
                <w:sz w:val="24"/>
                <w:szCs w:val="24"/>
              </w:rPr>
            </w:pPr>
            <w:r w:rsidRPr="008A6137">
              <w:rPr>
                <w:rFonts w:ascii="宋体" w:eastAsia="宋体" w:hAnsi="宋体" w:hint="eastAsia"/>
                <w:sz w:val="24"/>
                <w:szCs w:val="24"/>
              </w:rPr>
              <w:t>认购的基金份额（单位：份）</w:t>
            </w:r>
          </w:p>
        </w:tc>
        <w:tc>
          <w:tcPr>
            <w:tcW w:w="1985" w:type="dxa"/>
            <w:vAlign w:val="center"/>
          </w:tcPr>
          <w:p w:rsidR="00C54D35" w:rsidRPr="008A6137" w:rsidP="00CF259A">
            <w:pPr>
              <w:rPr>
                <w:rFonts w:ascii="宋体" w:eastAsia="宋体" w:hAnsi="宋体"/>
                <w:sz w:val="24"/>
                <w:szCs w:val="24"/>
              </w:rPr>
            </w:pPr>
            <w:r w:rsidRPr="008A6137">
              <w:rPr>
                <w:rFonts w:ascii="宋体" w:eastAsia="宋体" w:hAnsi="宋体"/>
                <w:sz w:val="24"/>
                <w:szCs w:val="24"/>
              </w:rPr>
              <w:t>0.00</w:t>
            </w:r>
          </w:p>
        </w:tc>
        <w:tc>
          <w:tcPr>
            <w:tcW w:w="1984" w:type="dxa"/>
            <w:vAlign w:val="center"/>
          </w:tcPr>
          <w:p w:rsidR="00C54D35" w:rsidRPr="008A6137" w:rsidP="00CF259A">
            <w:pPr>
              <w:rPr>
                <w:rFonts w:ascii="宋体" w:eastAsia="宋体" w:hAnsi="宋体"/>
                <w:sz w:val="24"/>
                <w:szCs w:val="24"/>
              </w:rPr>
            </w:pPr>
            <w:r w:rsidRPr="008A6137">
              <w:rPr>
                <w:rFonts w:ascii="宋体" w:eastAsia="宋体" w:hAnsi="宋体"/>
                <w:sz w:val="24"/>
                <w:szCs w:val="24"/>
              </w:rPr>
              <w:t>0.00</w:t>
            </w:r>
          </w:p>
        </w:tc>
        <w:tc>
          <w:tcPr>
            <w:tcW w:w="2103" w:type="dxa"/>
            <w:vAlign w:val="center"/>
          </w:tcPr>
          <w:p w:rsidR="00C54D35" w:rsidRPr="008A6137" w:rsidP="00CF259A">
            <w:pPr>
              <w:rPr>
                <w:rFonts w:ascii="宋体" w:eastAsia="宋体" w:hAnsi="宋体"/>
                <w:sz w:val="24"/>
                <w:szCs w:val="24"/>
              </w:rPr>
            </w:pPr>
            <w:r w:rsidRPr="008A6137">
              <w:rPr>
                <w:rFonts w:ascii="宋体" w:eastAsia="宋体" w:hAnsi="宋体"/>
                <w:sz w:val="24"/>
                <w:szCs w:val="24"/>
              </w:rPr>
              <w:t>0.00</w:t>
            </w:r>
          </w:p>
        </w:tc>
      </w:tr>
      <w:tr w:rsidTr="00BC53CD">
        <w:tblPrEx>
          <w:tblW w:w="9793" w:type="dxa"/>
          <w:jc w:val="center"/>
          <w:tblLayout w:type="fixed"/>
          <w:tblLook w:val="0000"/>
        </w:tblPrEx>
        <w:trPr>
          <w:jc w:val="center"/>
        </w:trPr>
        <w:tc>
          <w:tcPr>
            <w:tcW w:w="1737" w:type="dxa"/>
            <w:vMerge/>
            <w:vAlign w:val="center"/>
          </w:tcPr>
          <w:p w:rsidR="00C54D35" w:rsidRPr="008A6137" w:rsidP="00CF259A">
            <w:pPr>
              <w:rPr>
                <w:rFonts w:ascii="宋体" w:eastAsia="宋体" w:hAnsi="宋体"/>
                <w:sz w:val="24"/>
                <w:szCs w:val="24"/>
              </w:rPr>
            </w:pPr>
          </w:p>
        </w:tc>
        <w:tc>
          <w:tcPr>
            <w:tcW w:w="1984" w:type="dxa"/>
            <w:vAlign w:val="center"/>
          </w:tcPr>
          <w:p w:rsidR="00C54D35" w:rsidRPr="008A6137" w:rsidP="00CF259A">
            <w:pPr>
              <w:rPr>
                <w:rFonts w:ascii="宋体" w:eastAsia="宋体" w:hAnsi="宋体"/>
                <w:sz w:val="24"/>
                <w:szCs w:val="24"/>
              </w:rPr>
            </w:pPr>
            <w:r w:rsidRPr="008A6137">
              <w:rPr>
                <w:rFonts w:ascii="宋体" w:eastAsia="宋体" w:hAnsi="宋体" w:hint="eastAsia"/>
                <w:sz w:val="24"/>
                <w:szCs w:val="24"/>
              </w:rPr>
              <w:t>占基金总份额比例</w:t>
            </w:r>
          </w:p>
        </w:tc>
        <w:tc>
          <w:tcPr>
            <w:tcW w:w="1985" w:type="dxa"/>
            <w:vAlign w:val="center"/>
          </w:tcPr>
          <w:p w:rsidR="00C54D35" w:rsidRPr="008A6137" w:rsidP="00CF259A">
            <w:pPr>
              <w:rPr>
                <w:rFonts w:ascii="宋体" w:eastAsia="宋体" w:hAnsi="宋体"/>
                <w:sz w:val="24"/>
                <w:szCs w:val="24"/>
              </w:rPr>
            </w:pPr>
            <w:r w:rsidRPr="008A6137">
              <w:rPr>
                <w:rFonts w:ascii="宋体" w:eastAsia="宋体" w:hAnsi="宋体"/>
                <w:sz w:val="24"/>
                <w:szCs w:val="24"/>
              </w:rPr>
              <w:t>0.0000%</w:t>
            </w:r>
          </w:p>
        </w:tc>
        <w:tc>
          <w:tcPr>
            <w:tcW w:w="1984" w:type="dxa"/>
            <w:vAlign w:val="center"/>
          </w:tcPr>
          <w:p w:rsidR="00C54D35" w:rsidRPr="008A6137" w:rsidP="00CF259A">
            <w:pPr>
              <w:rPr>
                <w:rFonts w:ascii="宋体" w:eastAsia="宋体" w:hAnsi="宋体"/>
                <w:sz w:val="24"/>
                <w:szCs w:val="24"/>
              </w:rPr>
            </w:pPr>
            <w:r w:rsidRPr="008A6137">
              <w:rPr>
                <w:rFonts w:ascii="宋体" w:eastAsia="宋体" w:hAnsi="宋体"/>
                <w:sz w:val="24"/>
                <w:szCs w:val="24"/>
              </w:rPr>
              <w:t>0.0000%</w:t>
            </w:r>
          </w:p>
        </w:tc>
        <w:tc>
          <w:tcPr>
            <w:tcW w:w="2103" w:type="dxa"/>
            <w:vAlign w:val="center"/>
          </w:tcPr>
          <w:p w:rsidR="00C54D35" w:rsidRPr="008A6137" w:rsidP="00CF259A">
            <w:pPr>
              <w:rPr>
                <w:rFonts w:ascii="宋体" w:eastAsia="宋体" w:hAnsi="宋体"/>
                <w:sz w:val="24"/>
                <w:szCs w:val="24"/>
              </w:rPr>
            </w:pPr>
            <w:r w:rsidRPr="008A6137">
              <w:rPr>
                <w:rFonts w:ascii="宋体" w:eastAsia="宋体" w:hAnsi="宋体"/>
                <w:sz w:val="24"/>
                <w:szCs w:val="24"/>
              </w:rPr>
              <w:t>0.0000%</w:t>
            </w:r>
          </w:p>
        </w:tc>
      </w:tr>
      <w:tr w:rsidTr="00BC53CD">
        <w:tblPrEx>
          <w:tblW w:w="9793" w:type="dxa"/>
          <w:jc w:val="center"/>
          <w:tblLayout w:type="fixed"/>
          <w:tblLook w:val="0000"/>
        </w:tblPrEx>
        <w:trPr>
          <w:jc w:val="center"/>
        </w:trPr>
        <w:tc>
          <w:tcPr>
            <w:tcW w:w="1737" w:type="dxa"/>
            <w:vMerge/>
            <w:vAlign w:val="center"/>
          </w:tcPr>
          <w:p w:rsidR="00C54D35" w:rsidRPr="008A6137" w:rsidP="00CF259A">
            <w:pPr>
              <w:rPr>
                <w:rFonts w:ascii="宋体" w:eastAsia="宋体" w:hAnsi="宋体"/>
                <w:sz w:val="24"/>
                <w:szCs w:val="24"/>
              </w:rPr>
            </w:pPr>
          </w:p>
        </w:tc>
        <w:tc>
          <w:tcPr>
            <w:tcW w:w="1984" w:type="dxa"/>
            <w:vAlign w:val="center"/>
          </w:tcPr>
          <w:p w:rsidR="00C54D35" w:rsidRPr="008A6137" w:rsidP="00CF259A">
            <w:pPr>
              <w:rPr>
                <w:rFonts w:ascii="宋体" w:eastAsia="宋体" w:hAnsi="宋体"/>
                <w:sz w:val="24"/>
                <w:szCs w:val="24"/>
              </w:rPr>
            </w:pPr>
            <w:r w:rsidRPr="008A6137">
              <w:rPr>
                <w:rFonts w:ascii="宋体" w:eastAsia="宋体" w:hAnsi="宋体" w:hint="eastAsia"/>
                <w:sz w:val="24"/>
                <w:szCs w:val="24"/>
              </w:rPr>
              <w:t>其他需要说明的事项</w:t>
            </w:r>
          </w:p>
        </w:tc>
        <w:tc>
          <w:tcPr>
            <w:tcW w:w="1985" w:type="dxa"/>
            <w:vAlign w:val="center"/>
          </w:tcPr>
          <w:p w:rsidR="00C54D35" w:rsidRPr="008A6137" w:rsidP="00CF259A">
            <w:pPr>
              <w:rPr>
                <w:rFonts w:ascii="宋体" w:eastAsia="宋体" w:hAnsi="宋体"/>
                <w:sz w:val="24"/>
                <w:szCs w:val="24"/>
              </w:rPr>
            </w:pPr>
            <w:r w:rsidRPr="008A6137">
              <w:rPr>
                <w:rFonts w:ascii="宋体" w:eastAsia="宋体" w:hAnsi="宋体"/>
                <w:sz w:val="24"/>
                <w:szCs w:val="24"/>
              </w:rPr>
              <w:t>－</w:t>
            </w:r>
          </w:p>
        </w:tc>
        <w:tc>
          <w:tcPr>
            <w:tcW w:w="1984" w:type="dxa"/>
            <w:vAlign w:val="center"/>
          </w:tcPr>
          <w:p w:rsidR="00C54D35" w:rsidRPr="008A6137" w:rsidP="00CF259A">
            <w:pPr>
              <w:rPr>
                <w:rFonts w:ascii="宋体" w:eastAsia="宋体" w:hAnsi="宋体"/>
                <w:sz w:val="24"/>
                <w:szCs w:val="24"/>
              </w:rPr>
            </w:pPr>
            <w:r w:rsidRPr="008A6137">
              <w:rPr>
                <w:rFonts w:ascii="宋体" w:eastAsia="宋体" w:hAnsi="宋体"/>
                <w:sz w:val="24"/>
                <w:szCs w:val="24"/>
              </w:rPr>
              <w:t>－</w:t>
            </w:r>
          </w:p>
        </w:tc>
        <w:tc>
          <w:tcPr>
            <w:tcW w:w="2103" w:type="dxa"/>
            <w:vAlign w:val="center"/>
          </w:tcPr>
          <w:p w:rsidR="00C54D35" w:rsidRPr="008A6137" w:rsidP="00CF259A">
            <w:pPr>
              <w:rPr>
                <w:rFonts w:ascii="宋体" w:eastAsia="宋体" w:hAnsi="宋体"/>
                <w:sz w:val="24"/>
                <w:szCs w:val="24"/>
              </w:rPr>
            </w:pPr>
            <w:r w:rsidRPr="008A6137">
              <w:rPr>
                <w:rFonts w:ascii="宋体" w:eastAsia="宋体" w:hAnsi="宋体"/>
                <w:sz w:val="24"/>
                <w:szCs w:val="24"/>
              </w:rPr>
              <w:t>－</w:t>
            </w:r>
          </w:p>
        </w:tc>
      </w:tr>
      <w:tr w:rsidTr="00BC53CD">
        <w:tblPrEx>
          <w:tblW w:w="9793" w:type="dxa"/>
          <w:jc w:val="center"/>
          <w:tblLayout w:type="fixed"/>
          <w:tblLook w:val="0000"/>
        </w:tblPrEx>
        <w:trPr>
          <w:jc w:val="center"/>
        </w:trPr>
        <w:tc>
          <w:tcPr>
            <w:tcW w:w="1737" w:type="dxa"/>
            <w:vMerge w:val="restart"/>
            <w:vAlign w:val="center"/>
          </w:tcPr>
          <w:p w:rsidR="00C54D35" w:rsidRPr="008A6137" w:rsidP="00CF259A">
            <w:pPr>
              <w:rPr>
                <w:rFonts w:ascii="宋体" w:eastAsia="宋体" w:hAnsi="宋体"/>
                <w:sz w:val="24"/>
                <w:szCs w:val="24"/>
              </w:rPr>
            </w:pPr>
            <w:r w:rsidRPr="008A6137">
              <w:rPr>
                <w:rFonts w:ascii="宋体" w:eastAsia="宋体" w:hAnsi="宋体" w:hint="eastAsia"/>
                <w:sz w:val="24"/>
                <w:szCs w:val="24"/>
              </w:rPr>
              <w:t>其中：募集期间基金管理人的从业人员认购本基金情况</w:t>
            </w:r>
          </w:p>
        </w:tc>
        <w:tc>
          <w:tcPr>
            <w:tcW w:w="1984" w:type="dxa"/>
            <w:vAlign w:val="center"/>
          </w:tcPr>
          <w:p w:rsidR="00C54D35" w:rsidRPr="008A6137" w:rsidP="00CF259A">
            <w:pPr>
              <w:rPr>
                <w:rFonts w:ascii="宋体" w:eastAsia="宋体" w:hAnsi="宋体"/>
                <w:sz w:val="24"/>
                <w:szCs w:val="24"/>
              </w:rPr>
            </w:pPr>
            <w:r w:rsidRPr="008A6137">
              <w:rPr>
                <w:rFonts w:ascii="宋体" w:eastAsia="宋体" w:hAnsi="宋体" w:hint="eastAsia"/>
                <w:sz w:val="24"/>
                <w:szCs w:val="24"/>
              </w:rPr>
              <w:t>认购的基金份额（单位：份）</w:t>
            </w:r>
          </w:p>
        </w:tc>
        <w:tc>
          <w:tcPr>
            <w:tcW w:w="1985" w:type="dxa"/>
            <w:vAlign w:val="center"/>
          </w:tcPr>
          <w:p w:rsidR="00C54D35" w:rsidRPr="008A6137" w:rsidP="00CF259A">
            <w:pPr>
              <w:rPr>
                <w:rFonts w:ascii="宋体" w:eastAsia="宋体" w:hAnsi="宋体"/>
                <w:sz w:val="24"/>
                <w:szCs w:val="24"/>
              </w:rPr>
            </w:pPr>
            <w:r w:rsidRPr="008A6137">
              <w:rPr>
                <w:rFonts w:ascii="宋体" w:eastAsia="宋体" w:hAnsi="宋体"/>
                <w:sz w:val="24"/>
                <w:szCs w:val="24"/>
              </w:rPr>
              <w:t>50,002.25</w:t>
            </w:r>
          </w:p>
        </w:tc>
        <w:tc>
          <w:tcPr>
            <w:tcW w:w="1984" w:type="dxa"/>
            <w:vAlign w:val="center"/>
          </w:tcPr>
          <w:p w:rsidR="00C54D35" w:rsidRPr="008A6137" w:rsidP="00CF259A">
            <w:pPr>
              <w:rPr>
                <w:rFonts w:ascii="宋体" w:eastAsia="宋体" w:hAnsi="宋体"/>
                <w:sz w:val="24"/>
                <w:szCs w:val="24"/>
              </w:rPr>
            </w:pPr>
            <w:r w:rsidRPr="008A6137">
              <w:rPr>
                <w:rFonts w:ascii="宋体" w:eastAsia="宋体" w:hAnsi="宋体"/>
                <w:sz w:val="24"/>
                <w:szCs w:val="24"/>
              </w:rPr>
              <w:t>10,006.75</w:t>
            </w:r>
          </w:p>
        </w:tc>
        <w:tc>
          <w:tcPr>
            <w:tcW w:w="2103" w:type="dxa"/>
            <w:vAlign w:val="center"/>
          </w:tcPr>
          <w:p w:rsidR="00C54D35" w:rsidRPr="008A6137" w:rsidP="00CF259A">
            <w:pPr>
              <w:rPr>
                <w:rFonts w:ascii="宋体" w:eastAsia="宋体" w:hAnsi="宋体"/>
                <w:sz w:val="24"/>
                <w:szCs w:val="24"/>
              </w:rPr>
            </w:pPr>
            <w:r w:rsidRPr="008A6137">
              <w:rPr>
                <w:rFonts w:ascii="宋体" w:eastAsia="宋体" w:hAnsi="宋体"/>
                <w:sz w:val="24"/>
                <w:szCs w:val="24"/>
              </w:rPr>
              <w:t>60,009.00</w:t>
            </w:r>
          </w:p>
        </w:tc>
      </w:tr>
      <w:tr w:rsidTr="00BC53CD">
        <w:tblPrEx>
          <w:tblW w:w="9793" w:type="dxa"/>
          <w:jc w:val="center"/>
          <w:tblLayout w:type="fixed"/>
          <w:tblLook w:val="0000"/>
        </w:tblPrEx>
        <w:trPr>
          <w:jc w:val="center"/>
        </w:trPr>
        <w:tc>
          <w:tcPr>
            <w:tcW w:w="1737" w:type="dxa"/>
            <w:vMerge/>
            <w:vAlign w:val="center"/>
          </w:tcPr>
          <w:p w:rsidR="00C54D35" w:rsidRPr="008A6137" w:rsidP="00CF259A">
            <w:pPr>
              <w:rPr>
                <w:rFonts w:ascii="宋体" w:eastAsia="宋体" w:hAnsi="宋体"/>
                <w:sz w:val="24"/>
                <w:szCs w:val="24"/>
              </w:rPr>
            </w:pPr>
          </w:p>
        </w:tc>
        <w:tc>
          <w:tcPr>
            <w:tcW w:w="1984" w:type="dxa"/>
            <w:vAlign w:val="center"/>
          </w:tcPr>
          <w:p w:rsidR="00C54D35" w:rsidRPr="008A6137" w:rsidP="00CF259A">
            <w:pPr>
              <w:rPr>
                <w:rFonts w:ascii="宋体" w:eastAsia="宋体" w:hAnsi="宋体"/>
                <w:sz w:val="24"/>
                <w:szCs w:val="24"/>
              </w:rPr>
            </w:pPr>
            <w:r w:rsidRPr="008A6137">
              <w:rPr>
                <w:rFonts w:ascii="宋体" w:eastAsia="宋体" w:hAnsi="宋体" w:hint="eastAsia"/>
                <w:sz w:val="24"/>
                <w:szCs w:val="24"/>
              </w:rPr>
              <w:t>占基金总份额比例</w:t>
            </w:r>
          </w:p>
        </w:tc>
        <w:tc>
          <w:tcPr>
            <w:tcW w:w="1985" w:type="dxa"/>
            <w:vAlign w:val="center"/>
          </w:tcPr>
          <w:p w:rsidR="00C54D35" w:rsidRPr="008A6137" w:rsidP="00CF259A">
            <w:pPr>
              <w:rPr>
                <w:rFonts w:ascii="宋体" w:eastAsia="宋体" w:hAnsi="宋体"/>
                <w:sz w:val="24"/>
                <w:szCs w:val="24"/>
              </w:rPr>
            </w:pPr>
            <w:r w:rsidRPr="008A6137">
              <w:rPr>
                <w:rFonts w:ascii="宋体" w:eastAsia="宋体" w:hAnsi="宋体"/>
                <w:sz w:val="24"/>
                <w:szCs w:val="24"/>
              </w:rPr>
              <w:t>0.0128%</w:t>
            </w:r>
          </w:p>
        </w:tc>
        <w:tc>
          <w:tcPr>
            <w:tcW w:w="1984" w:type="dxa"/>
            <w:vAlign w:val="center"/>
          </w:tcPr>
          <w:p w:rsidR="00C54D35" w:rsidRPr="008A6137" w:rsidP="00CF259A">
            <w:pPr>
              <w:rPr>
                <w:rFonts w:ascii="宋体" w:eastAsia="宋体" w:hAnsi="宋体"/>
                <w:sz w:val="24"/>
                <w:szCs w:val="24"/>
              </w:rPr>
            </w:pPr>
            <w:r w:rsidRPr="008A6137">
              <w:rPr>
                <w:rFonts w:ascii="宋体" w:eastAsia="宋体" w:hAnsi="宋体"/>
                <w:sz w:val="24"/>
                <w:szCs w:val="24"/>
              </w:rPr>
              <w:t>0.0220%</w:t>
            </w:r>
          </w:p>
        </w:tc>
        <w:tc>
          <w:tcPr>
            <w:tcW w:w="2103" w:type="dxa"/>
            <w:vAlign w:val="center"/>
          </w:tcPr>
          <w:p w:rsidR="00C54D35" w:rsidRPr="008A6137" w:rsidP="00CF259A">
            <w:pPr>
              <w:rPr>
                <w:rFonts w:ascii="宋体" w:eastAsia="宋体" w:hAnsi="宋体"/>
                <w:sz w:val="24"/>
                <w:szCs w:val="24"/>
              </w:rPr>
            </w:pPr>
            <w:r w:rsidRPr="008A6137">
              <w:rPr>
                <w:rFonts w:ascii="宋体" w:eastAsia="宋体" w:hAnsi="宋体"/>
                <w:sz w:val="24"/>
                <w:szCs w:val="24"/>
              </w:rPr>
              <w:t>0.0137%</w:t>
            </w:r>
          </w:p>
        </w:tc>
      </w:tr>
      <w:tr w:rsidTr="00BC53CD">
        <w:tblPrEx>
          <w:tblW w:w="9793" w:type="dxa"/>
          <w:jc w:val="center"/>
          <w:tblLayout w:type="fixed"/>
          <w:tblLook w:val="0000"/>
        </w:tblPrEx>
        <w:trPr>
          <w:trHeight w:val="375"/>
          <w:jc w:val="center"/>
        </w:trPr>
        <w:tc>
          <w:tcPr>
            <w:tcW w:w="7690" w:type="dxa"/>
            <w:gridSpan w:val="4"/>
            <w:vAlign w:val="center"/>
          </w:tcPr>
          <w:p w:rsidR="00C54D35" w:rsidRPr="008A6137" w:rsidP="00CF259A">
            <w:pPr>
              <w:rPr>
                <w:rFonts w:ascii="宋体" w:eastAsia="宋体" w:hAnsi="宋体"/>
                <w:sz w:val="24"/>
                <w:szCs w:val="24"/>
              </w:rPr>
            </w:pPr>
            <w:r w:rsidRPr="008A6137">
              <w:rPr>
                <w:rFonts w:ascii="宋体" w:eastAsia="宋体" w:hAnsi="宋体" w:hint="eastAsia"/>
                <w:sz w:val="24"/>
                <w:szCs w:val="24"/>
              </w:rPr>
              <w:t>募集期限届满基金是否符合法律法规规定的办理基金备案手续的条件</w:t>
            </w:r>
          </w:p>
        </w:tc>
        <w:tc>
          <w:tcPr>
            <w:tcW w:w="2103" w:type="dxa"/>
            <w:vAlign w:val="center"/>
          </w:tcPr>
          <w:p w:rsidR="00C54D35" w:rsidRPr="008A6137" w:rsidP="00BC53CD">
            <w:pPr>
              <w:rPr>
                <w:rFonts w:ascii="宋体" w:eastAsia="宋体" w:hAnsi="宋体"/>
                <w:sz w:val="24"/>
                <w:szCs w:val="24"/>
              </w:rPr>
            </w:pPr>
            <w:r w:rsidRPr="008A6137">
              <w:rPr>
                <w:rFonts w:ascii="宋体" w:eastAsia="宋体" w:hAnsi="宋体"/>
                <w:sz w:val="24"/>
                <w:szCs w:val="24"/>
              </w:rPr>
              <w:t>是</w:t>
            </w:r>
          </w:p>
        </w:tc>
      </w:tr>
      <w:tr w:rsidTr="00BC53CD">
        <w:tblPrEx>
          <w:tblW w:w="9793" w:type="dxa"/>
          <w:jc w:val="center"/>
          <w:tblLayout w:type="fixed"/>
          <w:tblLook w:val="0000"/>
        </w:tblPrEx>
        <w:trPr>
          <w:trHeight w:val="323"/>
          <w:jc w:val="center"/>
        </w:trPr>
        <w:tc>
          <w:tcPr>
            <w:tcW w:w="7690" w:type="dxa"/>
            <w:gridSpan w:val="4"/>
            <w:vAlign w:val="center"/>
          </w:tcPr>
          <w:p w:rsidR="00C54D35" w:rsidRPr="008A6137" w:rsidP="00CF259A">
            <w:pPr>
              <w:rPr>
                <w:rFonts w:ascii="宋体" w:eastAsia="宋体" w:hAnsi="宋体"/>
                <w:sz w:val="24"/>
                <w:szCs w:val="24"/>
              </w:rPr>
            </w:pPr>
            <w:r w:rsidRPr="008A6137">
              <w:rPr>
                <w:rFonts w:ascii="宋体" w:eastAsia="宋体" w:hAnsi="宋体" w:hint="eastAsia"/>
                <w:sz w:val="24"/>
                <w:szCs w:val="24"/>
              </w:rPr>
              <w:t>向中国证监会办理基金备案手续获得书面确认的日期</w:t>
            </w:r>
          </w:p>
        </w:tc>
        <w:tc>
          <w:tcPr>
            <w:tcW w:w="2103" w:type="dxa"/>
            <w:vAlign w:val="center"/>
          </w:tcPr>
          <w:p w:rsidR="00C54D35" w:rsidRPr="008A6137" w:rsidP="00BC53CD">
            <w:pPr>
              <w:rPr>
                <w:rFonts w:ascii="宋体" w:eastAsia="宋体" w:hAnsi="宋体"/>
                <w:sz w:val="24"/>
                <w:szCs w:val="24"/>
              </w:rPr>
            </w:pPr>
            <w:r w:rsidRPr="008A6137">
              <w:rPr>
                <w:rFonts w:ascii="宋体" w:eastAsia="宋体" w:hAnsi="宋体"/>
                <w:sz w:val="24"/>
                <w:szCs w:val="24"/>
              </w:rPr>
              <w:t>2022年1月11日</w:t>
            </w:r>
          </w:p>
        </w:tc>
      </w:tr>
    </w:tbl>
    <w:p w:rsidR="00981F9B" w:rsidRPr="008A6137" w:rsidP="00BC53CD">
      <w:pPr>
        <w:spacing w:line="360" w:lineRule="auto"/>
        <w:ind w:firstLine="480" w:firstLineChars="200"/>
        <w:rPr>
          <w:rFonts w:ascii="宋体" w:eastAsia="宋体" w:hAnsi="宋体"/>
          <w:color w:val="000000"/>
          <w:sz w:val="24"/>
          <w:szCs w:val="24"/>
        </w:rPr>
      </w:pPr>
      <w:r w:rsidRPr="008A6137">
        <w:rPr>
          <w:rFonts w:ascii="宋体" w:eastAsia="宋体" w:hAnsi="宋体"/>
          <w:color w:val="000000"/>
          <w:sz w:val="24"/>
          <w:szCs w:val="24"/>
        </w:rPr>
        <w:t>注：（</w:t>
      </w:r>
      <w:r w:rsidRPr="008A6137">
        <w:rPr>
          <w:rFonts w:ascii="宋体" w:eastAsia="宋体" w:hAnsi="宋体"/>
          <w:color w:val="000000"/>
          <w:sz w:val="24"/>
          <w:szCs w:val="24"/>
        </w:rPr>
        <w:t>1</w:t>
      </w:r>
      <w:r w:rsidRPr="008A6137">
        <w:rPr>
          <w:rFonts w:ascii="宋体" w:eastAsia="宋体" w:hAnsi="宋体"/>
          <w:color w:val="000000"/>
          <w:sz w:val="24"/>
          <w:szCs w:val="24"/>
        </w:rPr>
        <w:t>）本次易方达全球成长精选混合（</w:t>
      </w:r>
      <w:r w:rsidRPr="008A6137">
        <w:rPr>
          <w:rFonts w:ascii="宋体" w:eastAsia="宋体" w:hAnsi="宋体"/>
          <w:color w:val="000000"/>
          <w:sz w:val="24"/>
          <w:szCs w:val="24"/>
        </w:rPr>
        <w:t>QDII</w:t>
      </w:r>
      <w:r w:rsidRPr="008A6137">
        <w:rPr>
          <w:rFonts w:ascii="宋体" w:eastAsia="宋体" w:hAnsi="宋体"/>
          <w:color w:val="000000"/>
          <w:sz w:val="24"/>
          <w:szCs w:val="24"/>
        </w:rPr>
        <w:t>）</w:t>
      </w:r>
      <w:r w:rsidRPr="008A6137">
        <w:rPr>
          <w:rFonts w:ascii="宋体" w:eastAsia="宋体" w:hAnsi="宋体"/>
          <w:color w:val="000000"/>
          <w:sz w:val="24"/>
          <w:szCs w:val="24"/>
        </w:rPr>
        <w:t>A</w:t>
      </w:r>
      <w:r w:rsidRPr="008A6137">
        <w:rPr>
          <w:rFonts w:ascii="宋体" w:eastAsia="宋体" w:hAnsi="宋体"/>
          <w:color w:val="000000"/>
          <w:sz w:val="24"/>
          <w:szCs w:val="24"/>
        </w:rPr>
        <w:t>类份额的人民币净认购金额为</w:t>
      </w:r>
      <w:r w:rsidRPr="008A6137">
        <w:rPr>
          <w:rFonts w:ascii="宋体" w:eastAsia="宋体" w:hAnsi="宋体"/>
          <w:color w:val="000000"/>
          <w:sz w:val="24"/>
          <w:szCs w:val="24"/>
        </w:rPr>
        <w:t>389,523,878.72</w:t>
      </w:r>
      <w:r w:rsidRPr="008A6137">
        <w:rPr>
          <w:rFonts w:ascii="宋体" w:eastAsia="宋体" w:hAnsi="宋体"/>
          <w:color w:val="000000"/>
          <w:sz w:val="24"/>
          <w:szCs w:val="24"/>
        </w:rPr>
        <w:t>人民币元、人民币认购金额产生的银行利息为</w:t>
      </w:r>
      <w:r w:rsidRPr="008A6137">
        <w:rPr>
          <w:rFonts w:ascii="宋体" w:eastAsia="宋体" w:hAnsi="宋体"/>
          <w:color w:val="000000"/>
          <w:sz w:val="24"/>
          <w:szCs w:val="24"/>
        </w:rPr>
        <w:t>145,838.89</w:t>
      </w:r>
      <w:r w:rsidRPr="008A6137">
        <w:rPr>
          <w:rFonts w:ascii="宋体" w:eastAsia="宋体" w:hAnsi="宋体"/>
          <w:color w:val="000000"/>
          <w:sz w:val="24"/>
          <w:szCs w:val="24"/>
        </w:rPr>
        <w:t>人民币元，美元净认购金额为</w:t>
      </w:r>
      <w:r w:rsidRPr="008A6137">
        <w:rPr>
          <w:rFonts w:ascii="宋体" w:eastAsia="宋体" w:hAnsi="宋体"/>
          <w:color w:val="000000"/>
          <w:sz w:val="24"/>
          <w:szCs w:val="24"/>
        </w:rPr>
        <w:t>258,738.43</w:t>
      </w:r>
      <w:r w:rsidRPr="008A6137">
        <w:rPr>
          <w:rFonts w:ascii="宋体" w:eastAsia="宋体" w:hAnsi="宋体"/>
          <w:color w:val="000000"/>
          <w:sz w:val="24"/>
          <w:szCs w:val="24"/>
        </w:rPr>
        <w:t>美元、美元认购金额产生的银行利息为</w:t>
      </w:r>
      <w:r w:rsidRPr="008A6137">
        <w:rPr>
          <w:rFonts w:ascii="宋体" w:eastAsia="宋体" w:hAnsi="宋体"/>
          <w:color w:val="000000"/>
          <w:sz w:val="24"/>
          <w:szCs w:val="24"/>
        </w:rPr>
        <w:t>0.53</w:t>
      </w:r>
      <w:r w:rsidRPr="008A6137">
        <w:rPr>
          <w:rFonts w:ascii="宋体" w:eastAsia="宋体" w:hAnsi="宋体"/>
          <w:color w:val="000000"/>
          <w:sz w:val="24"/>
          <w:szCs w:val="24"/>
        </w:rPr>
        <w:t>美元。易方达全球成长精选混合（</w:t>
      </w:r>
      <w:r w:rsidRPr="008A6137">
        <w:rPr>
          <w:rFonts w:ascii="宋体" w:eastAsia="宋体" w:hAnsi="宋体"/>
          <w:color w:val="000000"/>
          <w:sz w:val="24"/>
          <w:szCs w:val="24"/>
        </w:rPr>
        <w:t>QDII</w:t>
      </w:r>
      <w:r w:rsidRPr="008A6137">
        <w:rPr>
          <w:rFonts w:ascii="宋体" w:eastAsia="宋体" w:hAnsi="宋体"/>
          <w:color w:val="000000"/>
          <w:sz w:val="24"/>
          <w:szCs w:val="24"/>
        </w:rPr>
        <w:t>）</w:t>
      </w:r>
      <w:r w:rsidRPr="008A6137">
        <w:rPr>
          <w:rFonts w:ascii="宋体" w:eastAsia="宋体" w:hAnsi="宋体"/>
          <w:color w:val="000000"/>
          <w:sz w:val="24"/>
          <w:szCs w:val="24"/>
        </w:rPr>
        <w:t>C</w:t>
      </w:r>
      <w:r w:rsidRPr="008A6137">
        <w:rPr>
          <w:rFonts w:ascii="宋体" w:eastAsia="宋体" w:hAnsi="宋体"/>
          <w:color w:val="000000"/>
          <w:sz w:val="24"/>
          <w:szCs w:val="24"/>
        </w:rPr>
        <w:t>类份额的人民币净认购金额为</w:t>
      </w:r>
      <w:r w:rsidRPr="008A6137">
        <w:rPr>
          <w:rFonts w:ascii="宋体" w:eastAsia="宋体" w:hAnsi="宋体"/>
          <w:color w:val="000000"/>
          <w:sz w:val="24"/>
          <w:szCs w:val="24"/>
        </w:rPr>
        <w:t>43,933,783.97</w:t>
      </w:r>
      <w:r w:rsidRPr="008A6137">
        <w:rPr>
          <w:rFonts w:ascii="宋体" w:eastAsia="宋体" w:hAnsi="宋体"/>
          <w:color w:val="000000"/>
          <w:sz w:val="24"/>
          <w:szCs w:val="24"/>
        </w:rPr>
        <w:t>人民币元、人民币认购金额产生的银行利息为</w:t>
      </w:r>
      <w:r w:rsidRPr="008A6137">
        <w:rPr>
          <w:rFonts w:ascii="宋体" w:eastAsia="宋体" w:hAnsi="宋体"/>
          <w:color w:val="000000"/>
          <w:sz w:val="24"/>
          <w:szCs w:val="24"/>
        </w:rPr>
        <w:t>8,740.74</w:t>
      </w:r>
      <w:r w:rsidRPr="008A6137">
        <w:rPr>
          <w:rFonts w:ascii="宋体" w:eastAsia="宋体" w:hAnsi="宋体"/>
          <w:color w:val="000000"/>
          <w:sz w:val="24"/>
          <w:szCs w:val="24"/>
        </w:rPr>
        <w:t>人民币元，美元净认购金额为</w:t>
      </w:r>
      <w:r w:rsidRPr="008A6137">
        <w:rPr>
          <w:rFonts w:ascii="宋体" w:eastAsia="宋体" w:hAnsi="宋体"/>
          <w:color w:val="000000"/>
          <w:sz w:val="24"/>
          <w:szCs w:val="24"/>
        </w:rPr>
        <w:t>232,496.84</w:t>
      </w:r>
      <w:r w:rsidRPr="008A6137">
        <w:rPr>
          <w:rFonts w:ascii="宋体" w:eastAsia="宋体" w:hAnsi="宋体"/>
          <w:color w:val="000000"/>
          <w:sz w:val="24"/>
          <w:szCs w:val="24"/>
        </w:rPr>
        <w:t>美元、美元认购金额产生的银行利息为</w:t>
      </w:r>
      <w:r w:rsidRPr="008A6137">
        <w:rPr>
          <w:rFonts w:ascii="宋体" w:eastAsia="宋体" w:hAnsi="宋体"/>
          <w:color w:val="000000"/>
          <w:sz w:val="24"/>
          <w:szCs w:val="24"/>
        </w:rPr>
        <w:t>0.18</w:t>
      </w:r>
      <w:r w:rsidRPr="008A6137">
        <w:rPr>
          <w:rFonts w:ascii="宋体" w:eastAsia="宋体" w:hAnsi="宋体"/>
          <w:color w:val="000000"/>
          <w:sz w:val="24"/>
          <w:szCs w:val="24"/>
        </w:rPr>
        <w:t>美元。上表中</w:t>
      </w:r>
      <w:r w:rsidRPr="008A6137">
        <w:rPr>
          <w:rFonts w:ascii="宋体" w:eastAsia="宋体" w:hAnsi="宋体"/>
          <w:color w:val="000000"/>
          <w:sz w:val="24"/>
          <w:szCs w:val="24"/>
        </w:rPr>
        <w:t>“</w:t>
      </w:r>
      <w:r w:rsidRPr="008A6137">
        <w:rPr>
          <w:rFonts w:ascii="宋体" w:eastAsia="宋体" w:hAnsi="宋体"/>
          <w:color w:val="000000"/>
          <w:sz w:val="24"/>
          <w:szCs w:val="24"/>
        </w:rPr>
        <w:t>募集</w:t>
      </w:r>
      <w:r w:rsidRPr="008A6137">
        <w:rPr>
          <w:rFonts w:ascii="宋体" w:eastAsia="宋体" w:hAnsi="宋体"/>
          <w:color w:val="000000"/>
          <w:sz w:val="24"/>
          <w:szCs w:val="24"/>
        </w:rPr>
        <w:t>期间净认购金额</w:t>
      </w:r>
      <w:r w:rsidRPr="008A6137">
        <w:rPr>
          <w:rFonts w:ascii="宋体" w:eastAsia="宋体" w:hAnsi="宋体"/>
          <w:color w:val="000000"/>
          <w:sz w:val="24"/>
          <w:szCs w:val="24"/>
        </w:rPr>
        <w:t>”</w:t>
      </w:r>
      <w:r w:rsidRPr="008A6137">
        <w:rPr>
          <w:rFonts w:ascii="宋体" w:eastAsia="宋体" w:hAnsi="宋体"/>
          <w:color w:val="000000"/>
          <w:sz w:val="24"/>
          <w:szCs w:val="24"/>
        </w:rPr>
        <w:t>、</w:t>
      </w:r>
      <w:r w:rsidRPr="008A6137">
        <w:rPr>
          <w:rFonts w:ascii="宋体" w:eastAsia="宋体" w:hAnsi="宋体"/>
          <w:color w:val="000000"/>
          <w:sz w:val="24"/>
          <w:szCs w:val="24"/>
        </w:rPr>
        <w:t>“</w:t>
      </w:r>
      <w:r w:rsidRPr="008A6137">
        <w:rPr>
          <w:rFonts w:ascii="宋体" w:eastAsia="宋体" w:hAnsi="宋体"/>
          <w:color w:val="000000"/>
          <w:sz w:val="24"/>
          <w:szCs w:val="24"/>
        </w:rPr>
        <w:t>认购资金在募集期间产生的利息</w:t>
      </w:r>
      <w:r w:rsidRPr="008A6137">
        <w:rPr>
          <w:rFonts w:ascii="宋体" w:eastAsia="宋体" w:hAnsi="宋体"/>
          <w:color w:val="000000"/>
          <w:sz w:val="24"/>
          <w:szCs w:val="24"/>
        </w:rPr>
        <w:t>”</w:t>
      </w:r>
      <w:r w:rsidRPr="008A6137">
        <w:rPr>
          <w:rFonts w:ascii="宋体" w:eastAsia="宋体" w:hAnsi="宋体"/>
          <w:color w:val="000000"/>
          <w:sz w:val="24"/>
          <w:szCs w:val="24"/>
        </w:rPr>
        <w:t>为合计数（单位是人民币元），其中美元金额按照募集期最后一日美元估值汇率进行折算，即</w:t>
      </w:r>
      <w:r w:rsidRPr="008A6137">
        <w:rPr>
          <w:rFonts w:ascii="宋体" w:eastAsia="宋体" w:hAnsi="宋体"/>
          <w:color w:val="000000"/>
          <w:sz w:val="24"/>
          <w:szCs w:val="24"/>
        </w:rPr>
        <w:t>1</w:t>
      </w:r>
      <w:r w:rsidRPr="008A6137">
        <w:rPr>
          <w:rFonts w:ascii="宋体" w:eastAsia="宋体" w:hAnsi="宋体"/>
          <w:color w:val="000000"/>
          <w:sz w:val="24"/>
          <w:szCs w:val="24"/>
        </w:rPr>
        <w:t>美元对人民币</w:t>
      </w:r>
      <w:r w:rsidRPr="008A6137">
        <w:rPr>
          <w:rFonts w:ascii="宋体" w:eastAsia="宋体" w:hAnsi="宋体"/>
          <w:color w:val="000000"/>
          <w:sz w:val="24"/>
          <w:szCs w:val="24"/>
        </w:rPr>
        <w:t>6.3742</w:t>
      </w:r>
      <w:r w:rsidRPr="008A6137">
        <w:rPr>
          <w:rFonts w:ascii="宋体" w:eastAsia="宋体" w:hAnsi="宋体"/>
          <w:color w:val="000000"/>
          <w:sz w:val="24"/>
          <w:szCs w:val="24"/>
        </w:rPr>
        <w:t>元折算为人民币。</w:t>
      </w:r>
    </w:p>
    <w:p w:rsidR="00981F9B" w:rsidRPr="008A6137" w:rsidP="00BC53CD">
      <w:pPr>
        <w:spacing w:line="360" w:lineRule="auto"/>
        <w:ind w:firstLine="480" w:firstLineChars="200"/>
        <w:rPr>
          <w:rFonts w:ascii="宋体" w:eastAsia="宋体" w:hAnsi="宋体"/>
          <w:color w:val="000000"/>
          <w:sz w:val="24"/>
          <w:szCs w:val="24"/>
        </w:rPr>
      </w:pPr>
      <w:r w:rsidRPr="008A6137">
        <w:rPr>
          <w:rFonts w:ascii="宋体" w:eastAsia="宋体" w:hAnsi="宋体"/>
          <w:color w:val="000000"/>
          <w:sz w:val="24"/>
          <w:szCs w:val="24"/>
        </w:rPr>
        <w:t>（</w:t>
      </w:r>
      <w:r w:rsidRPr="008A6137">
        <w:rPr>
          <w:rFonts w:ascii="宋体" w:eastAsia="宋体" w:hAnsi="宋体"/>
          <w:color w:val="000000"/>
          <w:sz w:val="24"/>
          <w:szCs w:val="24"/>
        </w:rPr>
        <w:t>2</w:t>
      </w:r>
      <w:r w:rsidRPr="008A6137">
        <w:rPr>
          <w:rFonts w:ascii="宋体" w:eastAsia="宋体" w:hAnsi="宋体"/>
          <w:color w:val="000000"/>
          <w:sz w:val="24"/>
          <w:szCs w:val="24"/>
        </w:rPr>
        <w:t>）人民币基金份额按照每份基金份额面值</w:t>
      </w:r>
      <w:r w:rsidRPr="008A6137">
        <w:rPr>
          <w:rFonts w:ascii="宋体" w:eastAsia="宋体" w:hAnsi="宋体"/>
          <w:color w:val="000000"/>
          <w:sz w:val="24"/>
          <w:szCs w:val="24"/>
        </w:rPr>
        <w:t>1.00</w:t>
      </w:r>
      <w:r w:rsidRPr="008A6137">
        <w:rPr>
          <w:rFonts w:ascii="宋体" w:eastAsia="宋体" w:hAnsi="宋体"/>
          <w:color w:val="000000"/>
          <w:sz w:val="24"/>
          <w:szCs w:val="24"/>
        </w:rPr>
        <w:t>元人民币计算，美元现汇基金份额按照每份基金份额的初始面值</w:t>
      </w:r>
      <w:r w:rsidRPr="008A6137">
        <w:rPr>
          <w:rFonts w:ascii="宋体" w:eastAsia="宋体" w:hAnsi="宋体"/>
          <w:color w:val="000000"/>
          <w:sz w:val="24"/>
          <w:szCs w:val="24"/>
        </w:rPr>
        <w:t>0.15688243</w:t>
      </w:r>
      <w:r w:rsidRPr="008A6137">
        <w:rPr>
          <w:rFonts w:ascii="宋体" w:eastAsia="宋体" w:hAnsi="宋体"/>
          <w:color w:val="000000"/>
          <w:sz w:val="24"/>
          <w:szCs w:val="24"/>
        </w:rPr>
        <w:t>美元计算（为人民币基金份额的初始面值按照募集期最后一日美元估值汇率进行折算，以美元为单位，四舍五入保留小数点后</w:t>
      </w:r>
      <w:r w:rsidRPr="008A6137">
        <w:rPr>
          <w:rFonts w:ascii="宋体" w:eastAsia="宋体" w:hAnsi="宋体"/>
          <w:color w:val="000000"/>
          <w:sz w:val="24"/>
          <w:szCs w:val="24"/>
        </w:rPr>
        <w:t>8</w:t>
      </w:r>
      <w:r w:rsidRPr="008A6137">
        <w:rPr>
          <w:rFonts w:ascii="宋体" w:eastAsia="宋体" w:hAnsi="宋体"/>
          <w:color w:val="000000"/>
          <w:sz w:val="24"/>
          <w:szCs w:val="24"/>
        </w:rPr>
        <w:t>位），募集期间募集及利息结转的</w:t>
      </w:r>
      <w:r w:rsidRPr="008A6137">
        <w:rPr>
          <w:rFonts w:ascii="宋体" w:eastAsia="宋体" w:hAnsi="宋体"/>
          <w:color w:val="000000"/>
          <w:sz w:val="24"/>
          <w:szCs w:val="24"/>
        </w:rPr>
        <w:t>A</w:t>
      </w:r>
      <w:r w:rsidRPr="008A6137">
        <w:rPr>
          <w:rFonts w:ascii="宋体" w:eastAsia="宋体" w:hAnsi="宋体"/>
          <w:color w:val="000000"/>
          <w:sz w:val="24"/>
          <w:szCs w:val="24"/>
        </w:rPr>
        <w:t>类基金份额共计</w:t>
      </w:r>
      <w:r w:rsidRPr="008A6137">
        <w:rPr>
          <w:rFonts w:ascii="宋体" w:eastAsia="宋体" w:hAnsi="宋体"/>
          <w:color w:val="000000"/>
          <w:sz w:val="24"/>
          <w:szCs w:val="24"/>
        </w:rPr>
        <w:t>391,318,971.48</w:t>
      </w:r>
      <w:r w:rsidRPr="008A6137">
        <w:rPr>
          <w:rFonts w:ascii="宋体" w:eastAsia="宋体" w:hAnsi="宋体"/>
          <w:color w:val="000000"/>
          <w:sz w:val="24"/>
          <w:szCs w:val="24"/>
        </w:rPr>
        <w:t>份基金份额，其中人民币基金</w:t>
      </w:r>
      <w:r w:rsidRPr="008A6137">
        <w:rPr>
          <w:rFonts w:ascii="宋体" w:eastAsia="宋体" w:hAnsi="宋体"/>
          <w:color w:val="000000"/>
          <w:sz w:val="24"/>
          <w:szCs w:val="24"/>
        </w:rPr>
        <w:t>份额为</w:t>
      </w:r>
      <w:r w:rsidRPr="008A6137">
        <w:rPr>
          <w:rFonts w:ascii="宋体" w:eastAsia="宋体" w:hAnsi="宋体"/>
          <w:color w:val="000000"/>
          <w:sz w:val="24"/>
          <w:szCs w:val="24"/>
        </w:rPr>
        <w:t>389,669,717.61</w:t>
      </w:r>
      <w:r w:rsidRPr="008A6137">
        <w:rPr>
          <w:rFonts w:ascii="宋体" w:eastAsia="宋体" w:hAnsi="宋体"/>
          <w:color w:val="000000"/>
          <w:sz w:val="24"/>
          <w:szCs w:val="24"/>
        </w:rPr>
        <w:t>份、美元现汇基金份额为</w:t>
      </w:r>
      <w:r w:rsidRPr="008A6137">
        <w:rPr>
          <w:rFonts w:ascii="宋体" w:eastAsia="宋体" w:hAnsi="宋体"/>
          <w:color w:val="000000"/>
          <w:sz w:val="24"/>
          <w:szCs w:val="24"/>
        </w:rPr>
        <w:t>1,649,253.87</w:t>
      </w:r>
      <w:r w:rsidRPr="008A6137">
        <w:rPr>
          <w:rFonts w:ascii="宋体" w:eastAsia="宋体" w:hAnsi="宋体"/>
          <w:color w:val="000000"/>
          <w:sz w:val="24"/>
          <w:szCs w:val="24"/>
        </w:rPr>
        <w:t>份，募集期间募集及利息结转的</w:t>
      </w:r>
      <w:r w:rsidRPr="008A6137">
        <w:rPr>
          <w:rFonts w:ascii="宋体" w:eastAsia="宋体" w:hAnsi="宋体"/>
          <w:color w:val="000000"/>
          <w:sz w:val="24"/>
          <w:szCs w:val="24"/>
        </w:rPr>
        <w:t>C</w:t>
      </w:r>
      <w:r w:rsidRPr="008A6137">
        <w:rPr>
          <w:rFonts w:ascii="宋体" w:eastAsia="宋体" w:hAnsi="宋体"/>
          <w:color w:val="000000"/>
          <w:sz w:val="24"/>
          <w:szCs w:val="24"/>
        </w:rPr>
        <w:t>类基金份额共计</w:t>
      </w:r>
      <w:r w:rsidRPr="008A6137">
        <w:rPr>
          <w:rFonts w:ascii="宋体" w:eastAsia="宋体" w:hAnsi="宋体"/>
          <w:color w:val="000000"/>
          <w:sz w:val="24"/>
          <w:szCs w:val="24"/>
        </w:rPr>
        <w:t>45,424,507.20</w:t>
      </w:r>
      <w:r w:rsidRPr="008A6137">
        <w:rPr>
          <w:rFonts w:ascii="宋体" w:eastAsia="宋体" w:hAnsi="宋体"/>
          <w:color w:val="000000"/>
          <w:sz w:val="24"/>
          <w:szCs w:val="24"/>
        </w:rPr>
        <w:t>份基金份额，其中人民币基金份额为</w:t>
      </w:r>
      <w:r w:rsidRPr="008A6137">
        <w:rPr>
          <w:rFonts w:ascii="宋体" w:eastAsia="宋体" w:hAnsi="宋体"/>
          <w:color w:val="000000"/>
          <w:sz w:val="24"/>
          <w:szCs w:val="24"/>
        </w:rPr>
        <w:t>43,942,524.71</w:t>
      </w:r>
      <w:r w:rsidRPr="008A6137">
        <w:rPr>
          <w:rFonts w:ascii="宋体" w:eastAsia="宋体" w:hAnsi="宋体"/>
          <w:color w:val="000000"/>
          <w:sz w:val="24"/>
          <w:szCs w:val="24"/>
        </w:rPr>
        <w:t>份、美元现汇基金份额为</w:t>
      </w:r>
      <w:r w:rsidRPr="008A6137">
        <w:rPr>
          <w:rFonts w:ascii="宋体" w:eastAsia="宋体" w:hAnsi="宋体"/>
          <w:color w:val="000000"/>
          <w:sz w:val="24"/>
          <w:szCs w:val="24"/>
        </w:rPr>
        <w:t>1,481,982.49</w:t>
      </w:r>
      <w:r w:rsidRPr="008A6137">
        <w:rPr>
          <w:rFonts w:ascii="宋体" w:eastAsia="宋体" w:hAnsi="宋体"/>
          <w:color w:val="000000"/>
          <w:sz w:val="24"/>
          <w:szCs w:val="24"/>
        </w:rPr>
        <w:t>份。</w:t>
      </w:r>
    </w:p>
    <w:p w:rsidR="00981F9B" w:rsidRPr="008A6137" w:rsidP="00BC53CD">
      <w:pPr>
        <w:spacing w:line="360" w:lineRule="auto"/>
        <w:ind w:firstLine="480" w:firstLineChars="200"/>
        <w:rPr>
          <w:rFonts w:ascii="宋体" w:eastAsia="宋体" w:hAnsi="宋体"/>
          <w:color w:val="000000"/>
          <w:sz w:val="24"/>
          <w:szCs w:val="24"/>
        </w:rPr>
      </w:pPr>
      <w:r w:rsidRPr="008A6137">
        <w:rPr>
          <w:rFonts w:ascii="宋体" w:eastAsia="宋体" w:hAnsi="宋体"/>
          <w:color w:val="000000"/>
          <w:sz w:val="24"/>
          <w:szCs w:val="24"/>
        </w:rPr>
        <w:t>（</w:t>
      </w:r>
      <w:r w:rsidRPr="008A6137">
        <w:rPr>
          <w:rFonts w:ascii="宋体" w:eastAsia="宋体" w:hAnsi="宋体"/>
          <w:color w:val="000000"/>
          <w:sz w:val="24"/>
          <w:szCs w:val="24"/>
        </w:rPr>
        <w:t>3</w:t>
      </w:r>
      <w:r w:rsidRPr="008A6137">
        <w:rPr>
          <w:rFonts w:ascii="宋体" w:eastAsia="宋体" w:hAnsi="宋体"/>
          <w:color w:val="000000"/>
          <w:sz w:val="24"/>
          <w:szCs w:val="24"/>
        </w:rPr>
        <w:t>）本公司高级管理人员、基金投资和研究部门负责人持有本基金份额总量的数量区间为</w:t>
      </w:r>
      <w:r w:rsidRPr="008A6137">
        <w:rPr>
          <w:rFonts w:ascii="宋体" w:eastAsia="宋体" w:hAnsi="宋体"/>
          <w:color w:val="000000"/>
          <w:sz w:val="24"/>
          <w:szCs w:val="24"/>
        </w:rPr>
        <w:t>0</w:t>
      </w:r>
      <w:r w:rsidRPr="008A6137">
        <w:rPr>
          <w:rFonts w:ascii="宋体" w:eastAsia="宋体" w:hAnsi="宋体"/>
          <w:color w:val="000000"/>
          <w:sz w:val="24"/>
          <w:szCs w:val="24"/>
        </w:rPr>
        <w:t>；本基金的基金经理持有本基金份额总量的数量区间为</w:t>
      </w:r>
      <w:r w:rsidRPr="008A6137">
        <w:rPr>
          <w:rFonts w:ascii="宋体" w:eastAsia="宋体" w:hAnsi="宋体"/>
          <w:color w:val="000000"/>
          <w:sz w:val="24"/>
          <w:szCs w:val="24"/>
        </w:rPr>
        <w:t>0</w:t>
      </w:r>
      <w:r w:rsidRPr="008A6137">
        <w:rPr>
          <w:rFonts w:ascii="宋体" w:eastAsia="宋体" w:hAnsi="宋体"/>
          <w:color w:val="000000"/>
          <w:sz w:val="24"/>
          <w:szCs w:val="24"/>
        </w:rPr>
        <w:t>。</w:t>
      </w:r>
    </w:p>
    <w:p w:rsidR="00C54D35" w:rsidRPr="008A6137" w:rsidP="00BC53CD">
      <w:pPr>
        <w:spacing w:line="360" w:lineRule="auto"/>
        <w:ind w:firstLine="480" w:firstLineChars="200"/>
        <w:rPr>
          <w:rFonts w:ascii="宋体" w:eastAsia="宋体" w:hAnsi="宋体" w:hint="eastAsia"/>
          <w:color w:val="000000"/>
          <w:sz w:val="24"/>
          <w:szCs w:val="24"/>
        </w:rPr>
      </w:pPr>
      <w:r w:rsidRPr="008A6137">
        <w:rPr>
          <w:rFonts w:ascii="宋体" w:eastAsia="宋体" w:hAnsi="宋体"/>
          <w:color w:val="000000"/>
          <w:sz w:val="24"/>
          <w:szCs w:val="24"/>
        </w:rPr>
        <w:t>（4）本基金合同生效前的信息披露费、会计师费和律师费不从基金财产中列支。</w:t>
      </w:r>
    </w:p>
    <w:p w:rsidR="00C54D35" w:rsidRPr="008A6137" w:rsidP="00B74C5F">
      <w:pPr>
        <w:pStyle w:val="Heading3"/>
        <w:keepNext w:val="0"/>
        <w:keepLines w:val="0"/>
        <w:spacing w:before="0" w:after="0" w:line="360" w:lineRule="auto"/>
        <w:rPr>
          <w:rFonts w:ascii="宋体" w:hAnsi="宋体"/>
          <w:bCs w:val="0"/>
          <w:sz w:val="24"/>
          <w:szCs w:val="24"/>
        </w:rPr>
      </w:pPr>
      <w:r w:rsidRPr="008A6137">
        <w:rPr>
          <w:rFonts w:ascii="宋体" w:hAnsi="宋体"/>
          <w:bCs w:val="0"/>
          <w:sz w:val="24"/>
          <w:szCs w:val="24"/>
        </w:rPr>
        <w:t>3</w:t>
      </w:r>
      <w:r w:rsidRPr="008A6137">
        <w:rPr>
          <w:rFonts w:ascii="宋体" w:hAnsi="宋体"/>
          <w:bCs w:val="0"/>
          <w:sz w:val="24"/>
          <w:szCs w:val="24"/>
        </w:rPr>
        <w:t>.</w:t>
      </w:r>
      <w:r w:rsidRPr="008A6137">
        <w:rPr>
          <w:rFonts w:ascii="宋体" w:hAnsi="宋体" w:hint="eastAsia"/>
          <w:bCs w:val="0"/>
          <w:sz w:val="24"/>
          <w:szCs w:val="24"/>
        </w:rPr>
        <w:t>其他需要提示的事项</w:t>
      </w:r>
    </w:p>
    <w:p w:rsidR="00981F9B" w:rsidRPr="008A6137">
      <w:pPr>
        <w:spacing w:line="360" w:lineRule="auto"/>
        <w:ind w:firstLine="480" w:firstLineChars="200"/>
        <w:rPr>
          <w:rFonts w:ascii="宋体" w:eastAsia="宋体" w:hAnsi="宋体"/>
          <w:color w:val="000000"/>
          <w:sz w:val="24"/>
          <w:szCs w:val="24"/>
        </w:rPr>
      </w:pPr>
      <w:r w:rsidRPr="008A6137">
        <w:rPr>
          <w:rFonts w:ascii="宋体" w:eastAsia="宋体" w:hAnsi="宋体"/>
          <w:color w:val="000000"/>
          <w:sz w:val="24"/>
          <w:szCs w:val="24"/>
        </w:rPr>
        <w:t>自基金合同生</w:t>
      </w:r>
      <w:r w:rsidRPr="008A6137">
        <w:rPr>
          <w:rFonts w:ascii="宋体" w:eastAsia="宋体" w:hAnsi="宋体"/>
          <w:color w:val="000000"/>
          <w:sz w:val="24"/>
          <w:szCs w:val="24"/>
        </w:rPr>
        <w:t>效之日起，本基金管理人正式开始管理本基金。</w:t>
      </w:r>
    </w:p>
    <w:p w:rsidR="00981F9B" w:rsidRPr="008A6137">
      <w:pPr>
        <w:spacing w:line="360" w:lineRule="auto"/>
        <w:ind w:firstLine="480" w:firstLineChars="200"/>
        <w:rPr>
          <w:rFonts w:ascii="宋体" w:eastAsia="宋体" w:hAnsi="宋体"/>
          <w:color w:val="000000"/>
          <w:sz w:val="24"/>
          <w:szCs w:val="24"/>
        </w:rPr>
      </w:pPr>
      <w:r w:rsidRPr="008A6137">
        <w:rPr>
          <w:rFonts w:ascii="宋体" w:eastAsia="宋体" w:hAnsi="宋体"/>
          <w:color w:val="000000"/>
          <w:sz w:val="24"/>
          <w:szCs w:val="24"/>
        </w:rPr>
        <w:t>基金管理人可根据实际情况依法决定本基金开始办理申购的具体日期，基金管理人自基金合同生效之日起不超过</w:t>
      </w:r>
      <w:r w:rsidRPr="008A6137">
        <w:rPr>
          <w:rFonts w:ascii="宋体" w:eastAsia="宋体" w:hAnsi="宋体"/>
          <w:color w:val="000000"/>
          <w:sz w:val="24"/>
          <w:szCs w:val="24"/>
        </w:rPr>
        <w:t>3</w:t>
      </w:r>
      <w:r w:rsidRPr="008A6137">
        <w:rPr>
          <w:rFonts w:ascii="宋体" w:eastAsia="宋体" w:hAnsi="宋体"/>
          <w:color w:val="000000"/>
          <w:sz w:val="24"/>
          <w:szCs w:val="24"/>
        </w:rPr>
        <w:t>个月开始办理赎回。</w:t>
      </w:r>
    </w:p>
    <w:p w:rsidR="00981F9B" w:rsidRPr="008A6137">
      <w:pPr>
        <w:spacing w:line="360" w:lineRule="auto"/>
        <w:ind w:firstLine="480" w:firstLineChars="200"/>
        <w:rPr>
          <w:rFonts w:ascii="宋体" w:eastAsia="宋体" w:hAnsi="宋体"/>
          <w:color w:val="000000"/>
          <w:sz w:val="24"/>
          <w:szCs w:val="24"/>
        </w:rPr>
      </w:pPr>
      <w:r w:rsidRPr="008A6137">
        <w:rPr>
          <w:rFonts w:ascii="宋体" w:eastAsia="宋体" w:hAnsi="宋体"/>
          <w:color w:val="000000"/>
          <w:sz w:val="24"/>
          <w:szCs w:val="24"/>
        </w:rPr>
        <w:t>在确定申购开始与赎回开始时间后，基金管理人应在申购、赎回开放前依照《公开募集证券投资基金信息披露管理办法》的有关规定在规定媒介上进行公告。</w:t>
      </w:r>
    </w:p>
    <w:p w:rsidR="00981F9B" w:rsidRPr="008A6137">
      <w:pPr>
        <w:spacing w:line="360" w:lineRule="auto"/>
        <w:ind w:firstLine="480" w:firstLineChars="200"/>
        <w:rPr>
          <w:rFonts w:ascii="宋体" w:eastAsia="宋体" w:hAnsi="宋体"/>
          <w:color w:val="000000"/>
          <w:sz w:val="24"/>
          <w:szCs w:val="24"/>
        </w:rPr>
      </w:pPr>
    </w:p>
    <w:p w:rsidR="00981F9B" w:rsidRPr="008A6137">
      <w:pPr>
        <w:spacing w:line="360" w:lineRule="auto"/>
        <w:ind w:firstLine="480" w:firstLineChars="200"/>
        <w:rPr>
          <w:rFonts w:ascii="宋体" w:eastAsia="宋体" w:hAnsi="宋体"/>
          <w:color w:val="000000"/>
          <w:sz w:val="24"/>
          <w:szCs w:val="24"/>
        </w:rPr>
      </w:pPr>
    </w:p>
    <w:p w:rsidR="00981F9B" w:rsidRPr="008A6137" w:rsidP="00F930C3">
      <w:pPr>
        <w:spacing w:line="360" w:lineRule="auto"/>
        <w:ind w:firstLine="480" w:firstLineChars="200"/>
        <w:jc w:val="right"/>
        <w:rPr>
          <w:rFonts w:ascii="宋体" w:eastAsia="宋体" w:hAnsi="宋体"/>
          <w:color w:val="000000"/>
          <w:sz w:val="24"/>
          <w:szCs w:val="24"/>
        </w:rPr>
      </w:pPr>
      <w:r w:rsidRPr="008A6137">
        <w:rPr>
          <w:rFonts w:ascii="宋体" w:eastAsia="宋体" w:hAnsi="宋体"/>
          <w:color w:val="000000"/>
          <w:sz w:val="24"/>
          <w:szCs w:val="24"/>
        </w:rPr>
        <w:t>易方达基金管理有限公司</w:t>
      </w:r>
    </w:p>
    <w:p w:rsidR="00C54D35" w:rsidRPr="008A6137" w:rsidP="00F930C3">
      <w:pPr>
        <w:wordWrap w:val="0"/>
        <w:spacing w:line="360" w:lineRule="auto"/>
        <w:ind w:firstLine="480" w:firstLineChars="200"/>
        <w:jc w:val="right"/>
        <w:rPr>
          <w:rFonts w:ascii="宋体" w:eastAsia="宋体" w:hAnsi="宋体"/>
          <w:color w:val="000000"/>
          <w:sz w:val="24"/>
          <w:szCs w:val="24"/>
        </w:rPr>
      </w:pPr>
      <w:r w:rsidRPr="008A6137">
        <w:rPr>
          <w:rFonts w:ascii="宋体" w:eastAsia="宋体" w:hAnsi="宋体"/>
          <w:color w:val="000000"/>
          <w:sz w:val="24"/>
          <w:szCs w:val="24"/>
        </w:rPr>
        <w:t>2022年1月12日</w:t>
      </w:r>
      <w:r w:rsidRPr="008A6137" w:rsidR="00F930C3">
        <w:rPr>
          <w:rFonts w:ascii="宋体" w:eastAsia="宋体" w:hAnsi="宋体" w:hint="eastAsia"/>
          <w:color w:val="000000"/>
          <w:sz w:val="24"/>
          <w:szCs w:val="24"/>
        </w:rPr>
        <w:t xml:space="preserve"> </w:t>
      </w:r>
      <w:r w:rsidRPr="008A6137" w:rsidR="00F930C3">
        <w:rPr>
          <w:rFonts w:ascii="宋体" w:eastAsia="宋体" w:hAnsi="宋体"/>
          <w:color w:val="000000"/>
          <w:sz w:val="24"/>
          <w:szCs w:val="24"/>
        </w:rPr>
        <w:t xml:space="preserve"> </w:t>
      </w:r>
    </w:p>
    <w:sectPr w:rsidSect="004C055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330C4"/>
    <w:rsid w:val="00035D00"/>
    <w:rsid w:val="00041353"/>
    <w:rsid w:val="000A4E9A"/>
    <w:rsid w:val="00102950"/>
    <w:rsid w:val="0010447C"/>
    <w:rsid w:val="00131CAD"/>
    <w:rsid w:val="001A0386"/>
    <w:rsid w:val="001D0858"/>
    <w:rsid w:val="001E1459"/>
    <w:rsid w:val="002A2812"/>
    <w:rsid w:val="002B287A"/>
    <w:rsid w:val="002B4F0F"/>
    <w:rsid w:val="002C1686"/>
    <w:rsid w:val="003000C2"/>
    <w:rsid w:val="0030037A"/>
    <w:rsid w:val="003565D4"/>
    <w:rsid w:val="00364C2A"/>
    <w:rsid w:val="00390E48"/>
    <w:rsid w:val="003C0D0A"/>
    <w:rsid w:val="003C3029"/>
    <w:rsid w:val="00470D71"/>
    <w:rsid w:val="0049139B"/>
    <w:rsid w:val="004966BA"/>
    <w:rsid w:val="004A631B"/>
    <w:rsid w:val="004C055C"/>
    <w:rsid w:val="005434E3"/>
    <w:rsid w:val="005B66AC"/>
    <w:rsid w:val="005C0B8D"/>
    <w:rsid w:val="005C1B44"/>
    <w:rsid w:val="005D5CAA"/>
    <w:rsid w:val="005D6260"/>
    <w:rsid w:val="005E0049"/>
    <w:rsid w:val="005F60DE"/>
    <w:rsid w:val="00613952"/>
    <w:rsid w:val="00615513"/>
    <w:rsid w:val="00622436"/>
    <w:rsid w:val="00674714"/>
    <w:rsid w:val="006C0D9C"/>
    <w:rsid w:val="006C3386"/>
    <w:rsid w:val="00717E45"/>
    <w:rsid w:val="00721770"/>
    <w:rsid w:val="00737166"/>
    <w:rsid w:val="0075321E"/>
    <w:rsid w:val="007C24C0"/>
    <w:rsid w:val="007F4376"/>
    <w:rsid w:val="008066EF"/>
    <w:rsid w:val="00865588"/>
    <w:rsid w:val="00887978"/>
    <w:rsid w:val="008A4FFB"/>
    <w:rsid w:val="008A6137"/>
    <w:rsid w:val="008C6FD7"/>
    <w:rsid w:val="008D1678"/>
    <w:rsid w:val="008D4098"/>
    <w:rsid w:val="00904108"/>
    <w:rsid w:val="009371A9"/>
    <w:rsid w:val="00944CBC"/>
    <w:rsid w:val="00965048"/>
    <w:rsid w:val="00981F9B"/>
    <w:rsid w:val="009F4198"/>
    <w:rsid w:val="009F569E"/>
    <w:rsid w:val="00A04914"/>
    <w:rsid w:val="00A37576"/>
    <w:rsid w:val="00A7218A"/>
    <w:rsid w:val="00A74090"/>
    <w:rsid w:val="00A74AFB"/>
    <w:rsid w:val="00B2478D"/>
    <w:rsid w:val="00B53A7A"/>
    <w:rsid w:val="00B74C5F"/>
    <w:rsid w:val="00B90602"/>
    <w:rsid w:val="00BC53CD"/>
    <w:rsid w:val="00BD0512"/>
    <w:rsid w:val="00C2642E"/>
    <w:rsid w:val="00C30E6A"/>
    <w:rsid w:val="00C40FE0"/>
    <w:rsid w:val="00C54D35"/>
    <w:rsid w:val="00C84908"/>
    <w:rsid w:val="00C935DF"/>
    <w:rsid w:val="00CB0572"/>
    <w:rsid w:val="00CB3E1F"/>
    <w:rsid w:val="00CF259A"/>
    <w:rsid w:val="00D43190"/>
    <w:rsid w:val="00DA2CD1"/>
    <w:rsid w:val="00DC112B"/>
    <w:rsid w:val="00E2069A"/>
    <w:rsid w:val="00E2122C"/>
    <w:rsid w:val="00E57275"/>
    <w:rsid w:val="00EB06D4"/>
    <w:rsid w:val="00EC181E"/>
    <w:rsid w:val="00EE18FB"/>
    <w:rsid w:val="00EF40F5"/>
    <w:rsid w:val="00F10215"/>
    <w:rsid w:val="00F930C3"/>
    <w:rsid w:val="00FE31B7"/>
    <w:rsid w:val="00FF2E75"/>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39004465-2422-4FE1-9430-C48C0572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5DF"/>
    <w:pPr>
      <w:widowControl w:val="0"/>
      <w:jc w:val="both"/>
    </w:pPr>
    <w:rPr>
      <w:rFonts w:ascii="Times New Roman" w:eastAsia="方正仿宋简体" w:hAnsi="Times New Roman"/>
      <w:kern w:val="2"/>
      <w:sz w:val="32"/>
    </w:rPr>
  </w:style>
  <w:style w:type="paragraph" w:styleId="Heading2">
    <w:name w:val="heading 2"/>
    <w:basedOn w:val="Normal"/>
    <w:next w:val="Normal"/>
    <w:link w:val="2Char"/>
    <w:uiPriority w:val="99"/>
    <w:qFormat/>
    <w:rsid w:val="00C935DF"/>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uiPriority w:val="99"/>
    <w:qFormat/>
    <w:rsid w:val="00CF259A"/>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Char">
    <w:name w:val="标题 2 Char"/>
    <w:link w:val="Heading2"/>
    <w:uiPriority w:val="99"/>
    <w:locked/>
    <w:rsid w:val="00C935DF"/>
    <w:rPr>
      <w:rFonts w:ascii="Arial" w:eastAsia="黑体" w:hAnsi="Arial" w:cs="Times New Roman"/>
      <w:b/>
      <w:bCs/>
      <w:sz w:val="32"/>
      <w:szCs w:val="32"/>
    </w:rPr>
  </w:style>
  <w:style w:type="character" w:customStyle="1" w:styleId="3Char">
    <w:name w:val="标题 3 Char"/>
    <w:link w:val="Heading3"/>
    <w:uiPriority w:val="99"/>
    <w:locked/>
    <w:rsid w:val="00CF259A"/>
    <w:rPr>
      <w:rFonts w:ascii="Times New Roman" w:eastAsia="宋体" w:hAnsi="Times New Roman" w:cs="Times New Roman"/>
      <w:b/>
      <w:bCs/>
      <w:sz w:val="32"/>
      <w:szCs w:val="32"/>
    </w:rPr>
  </w:style>
  <w:style w:type="character" w:styleId="FootnoteReference">
    <w:name w:val="footnote reference"/>
    <w:uiPriority w:val="99"/>
    <w:rsid w:val="00C935DF"/>
    <w:rPr>
      <w:rFonts w:cs="Times New Roman"/>
      <w:vertAlign w:val="superscript"/>
    </w:rPr>
  </w:style>
  <w:style w:type="paragraph" w:styleId="FootnoteText">
    <w:name w:val="footnote text"/>
    <w:basedOn w:val="Normal"/>
    <w:link w:val="Char"/>
    <w:uiPriority w:val="99"/>
    <w:rsid w:val="00C935DF"/>
    <w:pPr>
      <w:snapToGrid w:val="0"/>
      <w:jc w:val="left"/>
    </w:pPr>
    <w:rPr>
      <w:rFonts w:eastAsia="宋体"/>
      <w:sz w:val="18"/>
    </w:rPr>
  </w:style>
  <w:style w:type="character" w:customStyle="1" w:styleId="Char">
    <w:name w:val="脚注文本 Char"/>
    <w:link w:val="FootnoteText"/>
    <w:uiPriority w:val="99"/>
    <w:locked/>
    <w:rsid w:val="00C935DF"/>
    <w:rPr>
      <w:rFonts w:ascii="Times New Roman" w:eastAsia="宋体" w:hAnsi="Times New Roman" w:cs="Times New Roman"/>
      <w:sz w:val="20"/>
      <w:szCs w:val="20"/>
    </w:rPr>
  </w:style>
  <w:style w:type="paragraph" w:styleId="Header">
    <w:name w:val="header"/>
    <w:basedOn w:val="Normal"/>
    <w:link w:val="Char0"/>
    <w:uiPriority w:val="99"/>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Header"/>
    <w:uiPriority w:val="99"/>
    <w:locked/>
    <w:rsid w:val="005E0049"/>
    <w:rPr>
      <w:rFonts w:ascii="Times New Roman" w:eastAsia="方正仿宋简体" w:hAnsi="Times New Roman" w:cs="Times New Roman"/>
      <w:sz w:val="18"/>
      <w:szCs w:val="18"/>
    </w:rPr>
  </w:style>
  <w:style w:type="paragraph" w:styleId="Footer">
    <w:name w:val="footer"/>
    <w:basedOn w:val="Normal"/>
    <w:link w:val="Char1"/>
    <w:uiPriority w:val="99"/>
    <w:rsid w:val="005E0049"/>
    <w:pPr>
      <w:tabs>
        <w:tab w:val="center" w:pos="4153"/>
        <w:tab w:val="right" w:pos="8306"/>
      </w:tabs>
      <w:snapToGrid w:val="0"/>
      <w:jc w:val="left"/>
    </w:pPr>
    <w:rPr>
      <w:sz w:val="18"/>
      <w:szCs w:val="18"/>
    </w:rPr>
  </w:style>
  <w:style w:type="character" w:customStyle="1" w:styleId="Char1">
    <w:name w:val="页脚 Char"/>
    <w:link w:val="Footer"/>
    <w:uiPriority w:val="99"/>
    <w:locked/>
    <w:rsid w:val="005E0049"/>
    <w:rPr>
      <w:rFonts w:ascii="Times New Roman" w:eastAsia="方正仿宋简体" w:hAnsi="Times New Roman" w:cs="Times New Roman"/>
      <w:sz w:val="18"/>
      <w:szCs w:val="18"/>
    </w:rPr>
  </w:style>
  <w:style w:type="paragraph" w:styleId="DocumentMap">
    <w:name w:val="Document Map"/>
    <w:basedOn w:val="Normal"/>
    <w:link w:val="Char2"/>
    <w:uiPriority w:val="99"/>
    <w:semiHidden/>
    <w:rsid w:val="0030037A"/>
    <w:rPr>
      <w:rFonts w:ascii="宋体" w:eastAsia="宋体"/>
      <w:sz w:val="18"/>
      <w:szCs w:val="18"/>
    </w:rPr>
  </w:style>
  <w:style w:type="character" w:customStyle="1" w:styleId="Char2">
    <w:name w:val="文档结构图 Char"/>
    <w:link w:val="DocumentMap"/>
    <w:uiPriority w:val="99"/>
    <w:semiHidden/>
    <w:locked/>
    <w:rsid w:val="0030037A"/>
    <w:rPr>
      <w:rFonts w:ascii="宋体" w:eastAsia="宋体" w:hAnsi="Times New Roman" w:cs="Times New Roman"/>
      <w:sz w:val="18"/>
      <w:szCs w:val="18"/>
    </w:rPr>
  </w:style>
  <w:style w:type="table" w:styleId="TableGrid">
    <w:name w:val="Table Grid"/>
    <w:basedOn w:val="TableNormal"/>
    <w:uiPriority w:val="99"/>
    <w:rsid w:val="005D6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311</Words>
  <Characters>1779</Characters>
  <Application>Microsoft Office Word</Application>
  <DocSecurity>0</DocSecurity>
  <Lines>14</Lines>
  <Paragraphs>4</Paragraphs>
  <ScaleCrop>false</ScaleCrop>
  <Company>微软中国</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张艺耀</cp:lastModifiedBy>
  <cp:revision>30</cp:revision>
  <dcterms:created xsi:type="dcterms:W3CDTF">2013-07-24T07:15:00Z</dcterms:created>
  <dcterms:modified xsi:type="dcterms:W3CDTF">2022-01-11T09:15:00Z</dcterms:modified>
</cp:coreProperties>
</file>