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5A4" w:rsidRPr="001C46F3" w:rsidRDefault="000237F2"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南方君信灵活配置混合型证券投资基金（</w:t>
      </w:r>
      <w:r>
        <w:rPr>
          <w:rFonts w:ascii="宋体" w:hAnsi="方正黑体简体" w:cs="方正黑体简体"/>
          <w:b/>
          <w:bCs/>
          <w:iCs/>
          <w:sz w:val="31"/>
          <w:szCs w:val="36"/>
        </w:rPr>
        <w:t>A类份额）基金产品资料概要（更新）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0237F2">
        <w:rPr>
          <w:rFonts w:ascii="仿宋" w:hAnsi="仿宋"/>
          <w:color w:val="000000" w:themeColor="text1"/>
          <w:sz w:val="24"/>
          <w:szCs w:val="24"/>
        </w:rPr>
        <w:t>2022年5月19日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0237F2">
        <w:rPr>
          <w:rFonts w:ascii="仿宋" w:hAnsi="仿宋"/>
          <w:color w:val="000000" w:themeColor="text1"/>
          <w:sz w:val="24"/>
          <w:szCs w:val="24"/>
        </w:rPr>
        <w:t>2022年6月17日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0237F2" w:rsidRDefault="000237F2" w:rsidP="000237F2">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0237F2" w:rsidTr="000237F2">
        <w:tc>
          <w:tcPr>
            <w:tcW w:w="2076" w:type="dxa"/>
          </w:tcPr>
          <w:p w:rsidR="000237F2" w:rsidRDefault="000237F2" w:rsidP="000237F2">
            <w:pPr>
              <w:jc w:val="left"/>
            </w:pPr>
            <w:r>
              <w:rPr>
                <w:rFonts w:hint="eastAsia"/>
              </w:rPr>
              <w:t>基金简称</w:t>
            </w:r>
          </w:p>
        </w:tc>
        <w:tc>
          <w:tcPr>
            <w:tcW w:w="2076" w:type="dxa"/>
          </w:tcPr>
          <w:p w:rsidR="000237F2" w:rsidRDefault="000237F2" w:rsidP="000237F2">
            <w:pPr>
              <w:jc w:val="left"/>
            </w:pPr>
            <w:r>
              <w:rPr>
                <w:rFonts w:hint="eastAsia"/>
              </w:rPr>
              <w:t>南方君信灵活配置混合</w:t>
            </w:r>
            <w:r>
              <w:rPr>
                <w:rFonts w:hint="eastAsia"/>
              </w:rPr>
              <w:t>A</w:t>
            </w:r>
          </w:p>
        </w:tc>
        <w:tc>
          <w:tcPr>
            <w:tcW w:w="2077" w:type="dxa"/>
          </w:tcPr>
          <w:p w:rsidR="000237F2" w:rsidRDefault="000237F2" w:rsidP="000237F2">
            <w:pPr>
              <w:jc w:val="left"/>
            </w:pPr>
            <w:r>
              <w:rPr>
                <w:rFonts w:hint="eastAsia"/>
              </w:rPr>
              <w:t>基金代码</w:t>
            </w:r>
          </w:p>
        </w:tc>
        <w:tc>
          <w:tcPr>
            <w:tcW w:w="2077" w:type="dxa"/>
          </w:tcPr>
          <w:p w:rsidR="000237F2" w:rsidRDefault="000237F2" w:rsidP="000237F2">
            <w:pPr>
              <w:jc w:val="left"/>
            </w:pPr>
            <w:r>
              <w:t>005741</w:t>
            </w:r>
          </w:p>
        </w:tc>
      </w:tr>
      <w:tr w:rsidR="000237F2" w:rsidTr="000237F2">
        <w:tc>
          <w:tcPr>
            <w:tcW w:w="2076" w:type="dxa"/>
          </w:tcPr>
          <w:p w:rsidR="000237F2" w:rsidRDefault="000237F2" w:rsidP="000237F2">
            <w:pPr>
              <w:jc w:val="left"/>
            </w:pPr>
            <w:r>
              <w:rPr>
                <w:rFonts w:hint="eastAsia"/>
              </w:rPr>
              <w:t>基金管理人</w:t>
            </w:r>
          </w:p>
        </w:tc>
        <w:tc>
          <w:tcPr>
            <w:tcW w:w="2076" w:type="dxa"/>
          </w:tcPr>
          <w:p w:rsidR="000237F2" w:rsidRDefault="000237F2" w:rsidP="000237F2">
            <w:pPr>
              <w:jc w:val="left"/>
            </w:pPr>
            <w:r>
              <w:rPr>
                <w:rFonts w:hint="eastAsia"/>
              </w:rPr>
              <w:t>南方基金管理股份有限公司</w:t>
            </w:r>
          </w:p>
        </w:tc>
        <w:tc>
          <w:tcPr>
            <w:tcW w:w="2077" w:type="dxa"/>
          </w:tcPr>
          <w:p w:rsidR="000237F2" w:rsidRDefault="000237F2" w:rsidP="000237F2">
            <w:pPr>
              <w:jc w:val="left"/>
            </w:pPr>
            <w:r>
              <w:rPr>
                <w:rFonts w:hint="eastAsia"/>
              </w:rPr>
              <w:t>基金托管人</w:t>
            </w:r>
          </w:p>
        </w:tc>
        <w:tc>
          <w:tcPr>
            <w:tcW w:w="2077" w:type="dxa"/>
          </w:tcPr>
          <w:p w:rsidR="000237F2" w:rsidRDefault="000237F2" w:rsidP="000237F2">
            <w:pPr>
              <w:jc w:val="left"/>
            </w:pPr>
            <w:r>
              <w:rPr>
                <w:rFonts w:hint="eastAsia"/>
              </w:rPr>
              <w:t>中信银行股份有限公司</w:t>
            </w:r>
          </w:p>
        </w:tc>
      </w:tr>
      <w:tr w:rsidR="000237F2" w:rsidTr="001A530D">
        <w:tc>
          <w:tcPr>
            <w:tcW w:w="2076" w:type="dxa"/>
          </w:tcPr>
          <w:p w:rsidR="000237F2" w:rsidRDefault="000237F2" w:rsidP="000237F2">
            <w:pPr>
              <w:jc w:val="left"/>
            </w:pPr>
            <w:r>
              <w:rPr>
                <w:rFonts w:hint="eastAsia"/>
              </w:rPr>
              <w:t>基金合同生效日</w:t>
            </w:r>
          </w:p>
        </w:tc>
        <w:tc>
          <w:tcPr>
            <w:tcW w:w="6230" w:type="dxa"/>
            <w:gridSpan w:val="3"/>
          </w:tcPr>
          <w:p w:rsidR="000237F2" w:rsidRDefault="000237F2" w:rsidP="000237F2">
            <w:pPr>
              <w:jc w:val="left"/>
            </w:pPr>
            <w:r>
              <w:rPr>
                <w:rFonts w:hint="eastAsia"/>
              </w:rPr>
              <w:t>2018</w:t>
            </w:r>
            <w:r>
              <w:rPr>
                <w:rFonts w:hint="eastAsia"/>
              </w:rPr>
              <w:t>年</w:t>
            </w:r>
            <w:r>
              <w:rPr>
                <w:rFonts w:hint="eastAsia"/>
              </w:rPr>
              <w:t>5</w:t>
            </w:r>
            <w:r>
              <w:rPr>
                <w:rFonts w:hint="eastAsia"/>
              </w:rPr>
              <w:t>月</w:t>
            </w:r>
            <w:r>
              <w:rPr>
                <w:rFonts w:hint="eastAsia"/>
              </w:rPr>
              <w:t>30</w:t>
            </w:r>
            <w:r>
              <w:rPr>
                <w:rFonts w:hint="eastAsia"/>
              </w:rPr>
              <w:t>日</w:t>
            </w:r>
          </w:p>
        </w:tc>
      </w:tr>
      <w:tr w:rsidR="000237F2" w:rsidTr="000237F2">
        <w:tc>
          <w:tcPr>
            <w:tcW w:w="2076" w:type="dxa"/>
          </w:tcPr>
          <w:p w:rsidR="000237F2" w:rsidRDefault="000237F2" w:rsidP="000237F2">
            <w:pPr>
              <w:jc w:val="left"/>
            </w:pPr>
            <w:r>
              <w:rPr>
                <w:rFonts w:hint="eastAsia"/>
              </w:rPr>
              <w:t>基金类型</w:t>
            </w:r>
          </w:p>
        </w:tc>
        <w:tc>
          <w:tcPr>
            <w:tcW w:w="2076" w:type="dxa"/>
          </w:tcPr>
          <w:p w:rsidR="000237F2" w:rsidRDefault="000237F2" w:rsidP="000237F2">
            <w:pPr>
              <w:jc w:val="left"/>
            </w:pPr>
            <w:r>
              <w:rPr>
                <w:rFonts w:hint="eastAsia"/>
              </w:rPr>
              <w:t>混合型</w:t>
            </w:r>
          </w:p>
        </w:tc>
        <w:tc>
          <w:tcPr>
            <w:tcW w:w="2077" w:type="dxa"/>
          </w:tcPr>
          <w:p w:rsidR="000237F2" w:rsidRDefault="000237F2" w:rsidP="000237F2">
            <w:pPr>
              <w:jc w:val="left"/>
            </w:pPr>
            <w:r>
              <w:rPr>
                <w:rFonts w:hint="eastAsia"/>
              </w:rPr>
              <w:t>交易币种</w:t>
            </w:r>
          </w:p>
        </w:tc>
        <w:tc>
          <w:tcPr>
            <w:tcW w:w="2077" w:type="dxa"/>
          </w:tcPr>
          <w:p w:rsidR="000237F2" w:rsidRDefault="000237F2" w:rsidP="000237F2">
            <w:pPr>
              <w:jc w:val="left"/>
            </w:pPr>
            <w:r>
              <w:rPr>
                <w:rFonts w:hint="eastAsia"/>
              </w:rPr>
              <w:t>人民币</w:t>
            </w:r>
          </w:p>
        </w:tc>
      </w:tr>
      <w:tr w:rsidR="000237F2" w:rsidTr="00811505">
        <w:tc>
          <w:tcPr>
            <w:tcW w:w="2076" w:type="dxa"/>
          </w:tcPr>
          <w:p w:rsidR="000237F2" w:rsidRDefault="000237F2" w:rsidP="000237F2">
            <w:pPr>
              <w:jc w:val="left"/>
            </w:pPr>
            <w:r>
              <w:rPr>
                <w:rFonts w:hint="eastAsia"/>
              </w:rPr>
              <w:t>运作方式</w:t>
            </w:r>
          </w:p>
        </w:tc>
        <w:tc>
          <w:tcPr>
            <w:tcW w:w="6230" w:type="dxa"/>
            <w:gridSpan w:val="3"/>
          </w:tcPr>
          <w:p w:rsidR="000237F2" w:rsidRDefault="000237F2" w:rsidP="000237F2">
            <w:pPr>
              <w:jc w:val="left"/>
            </w:pPr>
            <w:r>
              <w:rPr>
                <w:rFonts w:hint="eastAsia"/>
              </w:rPr>
              <w:t>普通开放式</w:t>
            </w:r>
          </w:p>
        </w:tc>
      </w:tr>
      <w:tr w:rsidR="000237F2" w:rsidTr="00B72EA8">
        <w:tc>
          <w:tcPr>
            <w:tcW w:w="2076" w:type="dxa"/>
          </w:tcPr>
          <w:p w:rsidR="000237F2" w:rsidRDefault="000237F2" w:rsidP="000237F2">
            <w:pPr>
              <w:jc w:val="left"/>
            </w:pPr>
            <w:r>
              <w:rPr>
                <w:rFonts w:hint="eastAsia"/>
              </w:rPr>
              <w:t>开放频率</w:t>
            </w:r>
          </w:p>
        </w:tc>
        <w:tc>
          <w:tcPr>
            <w:tcW w:w="6230" w:type="dxa"/>
            <w:gridSpan w:val="3"/>
          </w:tcPr>
          <w:p w:rsidR="000237F2" w:rsidRDefault="000237F2" w:rsidP="000237F2">
            <w:pPr>
              <w:jc w:val="left"/>
            </w:pPr>
            <w:r>
              <w:rPr>
                <w:rFonts w:hint="eastAsia"/>
              </w:rPr>
              <w:t>每个开放日</w:t>
            </w:r>
          </w:p>
        </w:tc>
      </w:tr>
      <w:tr w:rsidR="000237F2" w:rsidTr="000237F2">
        <w:tc>
          <w:tcPr>
            <w:tcW w:w="2076" w:type="dxa"/>
            <w:vMerge w:val="restart"/>
          </w:tcPr>
          <w:p w:rsidR="000237F2" w:rsidRDefault="000237F2" w:rsidP="000237F2">
            <w:pPr>
              <w:jc w:val="left"/>
            </w:pPr>
            <w:r>
              <w:rPr>
                <w:rFonts w:hint="eastAsia"/>
              </w:rPr>
              <w:t>基金经理</w:t>
            </w:r>
          </w:p>
        </w:tc>
        <w:tc>
          <w:tcPr>
            <w:tcW w:w="2076" w:type="dxa"/>
            <w:vMerge w:val="restart"/>
          </w:tcPr>
          <w:p w:rsidR="000237F2" w:rsidRDefault="000237F2" w:rsidP="000237F2">
            <w:pPr>
              <w:jc w:val="left"/>
            </w:pPr>
            <w:r>
              <w:rPr>
                <w:rFonts w:hint="eastAsia"/>
              </w:rPr>
              <w:t>茅炜</w:t>
            </w:r>
          </w:p>
        </w:tc>
        <w:tc>
          <w:tcPr>
            <w:tcW w:w="2077" w:type="dxa"/>
          </w:tcPr>
          <w:p w:rsidR="000237F2" w:rsidRDefault="000237F2" w:rsidP="000237F2">
            <w:pPr>
              <w:jc w:val="left"/>
            </w:pPr>
            <w:r>
              <w:rPr>
                <w:rFonts w:hint="eastAsia"/>
              </w:rPr>
              <w:t>开始担任本基金基金经理的日期</w:t>
            </w:r>
          </w:p>
        </w:tc>
        <w:tc>
          <w:tcPr>
            <w:tcW w:w="2077" w:type="dxa"/>
          </w:tcPr>
          <w:p w:rsidR="000237F2" w:rsidRDefault="000237F2" w:rsidP="000237F2">
            <w:pPr>
              <w:jc w:val="left"/>
            </w:pPr>
            <w:r>
              <w:rPr>
                <w:rFonts w:hint="eastAsia"/>
              </w:rPr>
              <w:t>2018</w:t>
            </w:r>
            <w:r>
              <w:rPr>
                <w:rFonts w:hint="eastAsia"/>
              </w:rPr>
              <w:t>年</w:t>
            </w:r>
            <w:r>
              <w:rPr>
                <w:rFonts w:hint="eastAsia"/>
              </w:rPr>
              <w:t>5</w:t>
            </w:r>
            <w:r>
              <w:rPr>
                <w:rFonts w:hint="eastAsia"/>
              </w:rPr>
              <w:t>月</w:t>
            </w:r>
            <w:r>
              <w:rPr>
                <w:rFonts w:hint="eastAsia"/>
              </w:rPr>
              <w:t>30</w:t>
            </w:r>
            <w:r>
              <w:rPr>
                <w:rFonts w:hint="eastAsia"/>
              </w:rPr>
              <w:t>日</w:t>
            </w:r>
          </w:p>
        </w:tc>
      </w:tr>
      <w:tr w:rsidR="000237F2" w:rsidTr="000237F2">
        <w:tc>
          <w:tcPr>
            <w:tcW w:w="2076" w:type="dxa"/>
            <w:vMerge/>
          </w:tcPr>
          <w:p w:rsidR="000237F2" w:rsidRDefault="000237F2" w:rsidP="000237F2">
            <w:pPr>
              <w:jc w:val="left"/>
            </w:pPr>
          </w:p>
        </w:tc>
        <w:tc>
          <w:tcPr>
            <w:tcW w:w="2076" w:type="dxa"/>
            <w:vMerge/>
          </w:tcPr>
          <w:p w:rsidR="000237F2" w:rsidRDefault="000237F2" w:rsidP="000237F2">
            <w:pPr>
              <w:jc w:val="left"/>
            </w:pPr>
          </w:p>
        </w:tc>
        <w:tc>
          <w:tcPr>
            <w:tcW w:w="2077" w:type="dxa"/>
          </w:tcPr>
          <w:p w:rsidR="000237F2" w:rsidRDefault="000237F2" w:rsidP="000237F2">
            <w:pPr>
              <w:jc w:val="left"/>
            </w:pPr>
            <w:r>
              <w:rPr>
                <w:rFonts w:hint="eastAsia"/>
              </w:rPr>
              <w:t>证券从业日期</w:t>
            </w:r>
          </w:p>
        </w:tc>
        <w:tc>
          <w:tcPr>
            <w:tcW w:w="2077" w:type="dxa"/>
          </w:tcPr>
          <w:p w:rsidR="000237F2" w:rsidRDefault="000237F2" w:rsidP="000237F2">
            <w:pPr>
              <w:jc w:val="left"/>
            </w:pPr>
            <w:r>
              <w:rPr>
                <w:rFonts w:hint="eastAsia"/>
              </w:rPr>
              <w:t>2008</w:t>
            </w:r>
            <w:r>
              <w:rPr>
                <w:rFonts w:hint="eastAsia"/>
              </w:rPr>
              <w:t>年</w:t>
            </w:r>
            <w:r>
              <w:rPr>
                <w:rFonts w:hint="eastAsia"/>
              </w:rPr>
              <w:t>1</w:t>
            </w:r>
            <w:r>
              <w:rPr>
                <w:rFonts w:hint="eastAsia"/>
              </w:rPr>
              <w:t>月</w:t>
            </w:r>
            <w:r>
              <w:rPr>
                <w:rFonts w:hint="eastAsia"/>
              </w:rPr>
              <w:t>20</w:t>
            </w:r>
            <w:r>
              <w:rPr>
                <w:rFonts w:hint="eastAsia"/>
              </w:rPr>
              <w:t>日</w:t>
            </w:r>
          </w:p>
        </w:tc>
      </w:tr>
    </w:tbl>
    <w:p w:rsidR="000237F2" w:rsidRDefault="000237F2" w:rsidP="000237F2">
      <w:pPr>
        <w:pStyle w:val="-1"/>
        <w:spacing w:before="156" w:after="156"/>
        <w:rPr>
          <w:rFonts w:hint="eastAsia"/>
        </w:rPr>
      </w:pPr>
      <w:r>
        <w:rPr>
          <w:rFonts w:hint="eastAsia"/>
        </w:rPr>
        <w:t>二、基金投资与净值表现</w:t>
      </w:r>
    </w:p>
    <w:p w:rsidR="000237F2" w:rsidRDefault="000237F2" w:rsidP="000237F2">
      <w:pPr>
        <w:pStyle w:val="-2"/>
        <w:spacing w:before="156" w:after="156"/>
        <w:rPr>
          <w:rFonts w:hint="eastAsia"/>
        </w:rPr>
      </w:pPr>
      <w:r>
        <w:rPr>
          <w:rFonts w:hint="eastAsia"/>
        </w:rPr>
        <w:t>（一）</w:t>
      </w:r>
      <w:r>
        <w:rPr>
          <w:rFonts w:hint="eastAsia"/>
        </w:rPr>
        <w:t xml:space="preserve"> </w:t>
      </w:r>
      <w:r>
        <w:rPr>
          <w:rFonts w:hint="eastAsia"/>
        </w:rPr>
        <w:t>投资目标与投资策略</w:t>
      </w:r>
    </w:p>
    <w:p w:rsidR="000237F2" w:rsidRDefault="000237F2" w:rsidP="000237F2">
      <w:pPr>
        <w:pStyle w:val="-"/>
        <w:ind w:firstLine="420"/>
        <w:rPr>
          <w:rFonts w:hint="eastAsia"/>
        </w:rPr>
      </w:pPr>
      <w:r>
        <w:rPr>
          <w:rFonts w:hint="eastAsia"/>
        </w:rPr>
        <w:t>详见《南方君信灵活配置混合型证券投资基金招募说明书》第九部分“基金的投资”。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0237F2" w:rsidTr="000237F2">
        <w:tc>
          <w:tcPr>
            <w:tcW w:w="1701" w:type="dxa"/>
          </w:tcPr>
          <w:p w:rsidR="000237F2" w:rsidRDefault="000237F2" w:rsidP="000237F2">
            <w:pPr>
              <w:jc w:val="left"/>
            </w:pPr>
            <w:r>
              <w:rPr>
                <w:rFonts w:hint="eastAsia"/>
              </w:rPr>
              <w:t>投资目标</w:t>
            </w:r>
          </w:p>
        </w:tc>
        <w:tc>
          <w:tcPr>
            <w:tcW w:w="6804" w:type="dxa"/>
          </w:tcPr>
          <w:p w:rsidR="000237F2" w:rsidRDefault="000237F2" w:rsidP="000237F2">
            <w:pPr>
              <w:jc w:val="left"/>
            </w:pPr>
            <w:r>
              <w:rPr>
                <w:rFonts w:hint="eastAsia"/>
              </w:rPr>
              <w:t>在严格控制组合风险并保持良好流动性的前提下，通过专业化研究分析，力争实现基金资产的长期稳定增值。</w:t>
            </w:r>
          </w:p>
        </w:tc>
      </w:tr>
      <w:tr w:rsidR="000237F2" w:rsidTr="000237F2">
        <w:tc>
          <w:tcPr>
            <w:tcW w:w="1701" w:type="dxa"/>
          </w:tcPr>
          <w:p w:rsidR="000237F2" w:rsidRDefault="000237F2" w:rsidP="000237F2">
            <w:pPr>
              <w:jc w:val="left"/>
            </w:pPr>
            <w:r>
              <w:rPr>
                <w:rFonts w:hint="eastAsia"/>
              </w:rPr>
              <w:t>投资范围</w:t>
            </w:r>
          </w:p>
        </w:tc>
        <w:tc>
          <w:tcPr>
            <w:tcW w:w="6804" w:type="dxa"/>
          </w:tcPr>
          <w:p w:rsidR="000237F2" w:rsidRDefault="000237F2" w:rsidP="000237F2">
            <w:pPr>
              <w:jc w:val="left"/>
              <w:rPr>
                <w:rFonts w:hint="eastAsia"/>
              </w:rPr>
            </w:pPr>
            <w:r>
              <w:rPr>
                <w:rFonts w:hint="eastAsia"/>
              </w:rPr>
              <w:t>本基金的投资范围包括国内依法发行上市的股票（包括中小板、创业板及其他经中国证监会核准上市的股票以及存托凭证（下同））、沪港通允许买卖的规定范围内的香港联合交易所上市的股票及深港通允许买卖的规定范围内的香港联合交易所上市的股票（简称“港股通股票”）、债券（包括国债、央行票据、金融债券、企业债券、公司债券、中期票据、短期融资券、超短期融资券、次级债券、政府支持机构债券、政府支持债券、地方政府债券、中小企业私募债券、可转换债券等）、资产支持证券、债券回购、银行存款（包括协议存款、定期存款及其他银行存款）、同业存单、货币市场工具、权证、股指期货以及经中国证监会允许基金投资的其他金融工具，但需符合中国证监会的相关规定。</w:t>
            </w:r>
          </w:p>
          <w:p w:rsidR="000237F2" w:rsidRDefault="000237F2" w:rsidP="000237F2">
            <w:pPr>
              <w:jc w:val="left"/>
              <w:rPr>
                <w:rFonts w:hint="eastAsia"/>
              </w:rPr>
            </w:pPr>
            <w:r>
              <w:rPr>
                <w:rFonts w:hint="eastAsia"/>
              </w:rPr>
              <w:t>本基金股票（含存托凭证）投资占基金资产的比例范围为</w:t>
            </w:r>
            <w:r>
              <w:rPr>
                <w:rFonts w:hint="eastAsia"/>
              </w:rPr>
              <w:t>0-95%</w:t>
            </w:r>
            <w:r>
              <w:rPr>
                <w:rFonts w:hint="eastAsia"/>
              </w:rPr>
              <w:t>（其中港股通股票最高投资比例不得超过股票资产的</w:t>
            </w:r>
            <w:r>
              <w:rPr>
                <w:rFonts w:hint="eastAsia"/>
              </w:rPr>
              <w:t>50%</w:t>
            </w:r>
            <w:r>
              <w:rPr>
                <w:rFonts w:hint="eastAsia"/>
              </w:rPr>
              <w:t>）。本基金每个交易日日终在扣除股指期货合约需缴纳的交易保证金后，应当保持不低于基金资产净值</w:t>
            </w:r>
            <w:r>
              <w:rPr>
                <w:rFonts w:hint="eastAsia"/>
              </w:rPr>
              <w:t>5%</w:t>
            </w:r>
            <w:r>
              <w:rPr>
                <w:rFonts w:hint="eastAsia"/>
              </w:rPr>
              <w:t>的现金或者到期日在一年以内的政府债券。</w:t>
            </w:r>
          </w:p>
          <w:p w:rsidR="000237F2" w:rsidRDefault="000237F2" w:rsidP="000237F2">
            <w:pPr>
              <w:jc w:val="left"/>
            </w:pPr>
            <w:r>
              <w:rPr>
                <w:rFonts w:hint="eastAsia"/>
              </w:rPr>
              <w:t>如法律法规或监管机构以后允许基金投资其他品种，基金管理人在履行</w:t>
            </w:r>
            <w:r>
              <w:rPr>
                <w:rFonts w:hint="eastAsia"/>
              </w:rPr>
              <w:lastRenderedPageBreak/>
              <w:t>适当程序后，可以将其纳入投资范围。</w:t>
            </w:r>
          </w:p>
        </w:tc>
      </w:tr>
      <w:tr w:rsidR="000237F2" w:rsidTr="000237F2">
        <w:tc>
          <w:tcPr>
            <w:tcW w:w="1701" w:type="dxa"/>
          </w:tcPr>
          <w:p w:rsidR="000237F2" w:rsidRDefault="000237F2" w:rsidP="000237F2">
            <w:pPr>
              <w:jc w:val="left"/>
            </w:pPr>
            <w:r>
              <w:rPr>
                <w:rFonts w:hint="eastAsia"/>
              </w:rPr>
              <w:lastRenderedPageBreak/>
              <w:t>主要投资策略</w:t>
            </w:r>
          </w:p>
        </w:tc>
        <w:tc>
          <w:tcPr>
            <w:tcW w:w="6804" w:type="dxa"/>
          </w:tcPr>
          <w:p w:rsidR="000237F2" w:rsidRDefault="000237F2" w:rsidP="000237F2">
            <w:pPr>
              <w:jc w:val="left"/>
            </w:pPr>
            <w:r>
              <w:rPr>
                <w:rFonts w:hint="eastAsia"/>
              </w:rPr>
              <w:t>本基金采用“自上而下”的分析视角，综合考量中国宏观经济发展前景、国内股票市场的估值、国内债券市场收益率的期限结构、</w:t>
            </w:r>
            <w:r>
              <w:rPr>
                <w:rFonts w:hint="eastAsia"/>
              </w:rPr>
              <w:t>CPI</w:t>
            </w:r>
            <w:r>
              <w:rPr>
                <w:rFonts w:hint="eastAsia"/>
              </w:rPr>
              <w:t>与</w:t>
            </w:r>
            <w:r>
              <w:rPr>
                <w:rFonts w:hint="eastAsia"/>
              </w:rPr>
              <w:t>PPI</w:t>
            </w:r>
            <w:r>
              <w:rPr>
                <w:rFonts w:hint="eastAsia"/>
              </w:rPr>
              <w:t>变动趋势、外围主要经济体宏观经济与资本市场的运行状况等因素，分析研判货币市场、债券市场与股票市场的预期收益与风险，并据此进行大类资产的配置与组合构建，合理确定本基金在股票、债券、现金等金融工具上的投资比例，并随着各类金融工具风险收益特征的相对变化，适时动态地调整各金融工具的投资比例。</w:t>
            </w:r>
          </w:p>
        </w:tc>
      </w:tr>
      <w:tr w:rsidR="000237F2" w:rsidTr="000237F2">
        <w:tc>
          <w:tcPr>
            <w:tcW w:w="1701" w:type="dxa"/>
          </w:tcPr>
          <w:p w:rsidR="000237F2" w:rsidRDefault="000237F2" w:rsidP="000237F2">
            <w:pPr>
              <w:jc w:val="left"/>
            </w:pPr>
            <w:r>
              <w:rPr>
                <w:rFonts w:hint="eastAsia"/>
              </w:rPr>
              <w:t>业绩比较基准</w:t>
            </w:r>
          </w:p>
        </w:tc>
        <w:tc>
          <w:tcPr>
            <w:tcW w:w="6804" w:type="dxa"/>
          </w:tcPr>
          <w:p w:rsidR="000237F2" w:rsidRDefault="000237F2" w:rsidP="000237F2">
            <w:pPr>
              <w:jc w:val="left"/>
            </w:pPr>
            <w:r>
              <w:rPr>
                <w:rFonts w:hint="eastAsia"/>
              </w:rPr>
              <w:t>沪深</w:t>
            </w:r>
            <w:r>
              <w:rPr>
                <w:rFonts w:hint="eastAsia"/>
              </w:rPr>
              <w:t>300</w:t>
            </w:r>
            <w:r>
              <w:rPr>
                <w:rFonts w:hint="eastAsia"/>
              </w:rPr>
              <w:t>指数收益率×</w:t>
            </w:r>
            <w:r>
              <w:rPr>
                <w:rFonts w:hint="eastAsia"/>
              </w:rPr>
              <w:t>50%+</w:t>
            </w:r>
            <w:r>
              <w:rPr>
                <w:rFonts w:hint="eastAsia"/>
              </w:rPr>
              <w:t>中证港股通综合指数（人民币）收益率×</w:t>
            </w:r>
            <w:r>
              <w:rPr>
                <w:rFonts w:hint="eastAsia"/>
              </w:rPr>
              <w:t>20%+</w:t>
            </w:r>
            <w:r>
              <w:rPr>
                <w:rFonts w:hint="eastAsia"/>
              </w:rPr>
              <w:t>上证国债指数收益率×</w:t>
            </w:r>
            <w:r>
              <w:rPr>
                <w:rFonts w:hint="eastAsia"/>
              </w:rPr>
              <w:t>30%</w:t>
            </w:r>
          </w:p>
        </w:tc>
      </w:tr>
      <w:tr w:rsidR="000237F2" w:rsidTr="000237F2">
        <w:tc>
          <w:tcPr>
            <w:tcW w:w="1701" w:type="dxa"/>
          </w:tcPr>
          <w:p w:rsidR="000237F2" w:rsidRDefault="000237F2" w:rsidP="000237F2">
            <w:pPr>
              <w:jc w:val="left"/>
            </w:pPr>
            <w:r>
              <w:rPr>
                <w:rFonts w:hint="eastAsia"/>
              </w:rPr>
              <w:t>风险收益特征</w:t>
            </w:r>
          </w:p>
        </w:tc>
        <w:tc>
          <w:tcPr>
            <w:tcW w:w="6804" w:type="dxa"/>
          </w:tcPr>
          <w:p w:rsidR="000237F2" w:rsidRDefault="000237F2" w:rsidP="000237F2">
            <w:pPr>
              <w:jc w:val="left"/>
            </w:pPr>
            <w:r>
              <w:rPr>
                <w:rFonts w:hint="eastAsia"/>
              </w:rPr>
              <w:t>本基金为混合型基金，属于证券投资基金中较高预期风险、较高预期收益的品种，一般而言，其预期风险收益水平高于债券基金与货币市场型基金，低于股票型基金。本基金可投资港股通股票，除了需要承担与境内证券投资基金类似的市场波动风险等一般投资风险之外，本基金还面临汇率风险、香港市场风险等境外证券市场投资所面临的特别投资风险。</w:t>
            </w:r>
          </w:p>
        </w:tc>
      </w:tr>
    </w:tbl>
    <w:p w:rsidR="000237F2" w:rsidRDefault="000237F2" w:rsidP="000237F2">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0237F2" w:rsidRDefault="000237F2" w:rsidP="000237F2">
      <w:r>
        <w:rPr>
          <w:noProof/>
        </w:rPr>
        <w:drawing>
          <wp:inline distT="0" distB="0" distL="0" distR="0">
            <wp:extent cx="5274310" cy="2673350"/>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673350"/>
                    </a:xfrm>
                    <a:prstGeom prst="rect">
                      <a:avLst/>
                    </a:prstGeom>
                  </pic:spPr>
                </pic:pic>
              </a:graphicData>
            </a:graphic>
          </wp:inline>
        </w:drawing>
      </w:r>
    </w:p>
    <w:p w:rsidR="000237F2" w:rsidRDefault="000237F2" w:rsidP="000237F2">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0237F2" w:rsidRDefault="000237F2" w:rsidP="000237F2">
      <w:r>
        <w:rPr>
          <w:noProof/>
        </w:rPr>
        <w:lastRenderedPageBreak/>
        <w:drawing>
          <wp:inline distT="0" distB="0" distL="0" distR="0">
            <wp:extent cx="5274310" cy="3318510"/>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318510"/>
                    </a:xfrm>
                    <a:prstGeom prst="rect">
                      <a:avLst/>
                    </a:prstGeom>
                  </pic:spPr>
                </pic:pic>
              </a:graphicData>
            </a:graphic>
          </wp:inline>
        </w:drawing>
      </w:r>
    </w:p>
    <w:p w:rsidR="000237F2" w:rsidRDefault="000237F2" w:rsidP="000237F2">
      <w:pPr>
        <w:pStyle w:val="-1"/>
        <w:spacing w:before="156" w:after="156"/>
        <w:rPr>
          <w:rFonts w:hint="eastAsia"/>
        </w:rPr>
      </w:pPr>
      <w:r>
        <w:rPr>
          <w:rFonts w:hint="eastAsia"/>
        </w:rPr>
        <w:t>三、投资本基金涉及的费用</w:t>
      </w:r>
    </w:p>
    <w:p w:rsidR="000237F2" w:rsidRDefault="000237F2" w:rsidP="000237F2">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auto"/>
        <w:tblLayout w:type="fixed"/>
        <w:tblLook w:val="04A0" w:firstRow="1" w:lastRow="0" w:firstColumn="1" w:lastColumn="0" w:noHBand="0" w:noVBand="1"/>
      </w:tblPr>
      <w:tblGrid>
        <w:gridCol w:w="2076"/>
        <w:gridCol w:w="2076"/>
        <w:gridCol w:w="2077"/>
        <w:gridCol w:w="2077"/>
      </w:tblGrid>
      <w:tr w:rsidR="000237F2" w:rsidTr="000237F2">
        <w:tc>
          <w:tcPr>
            <w:tcW w:w="2076" w:type="dxa"/>
          </w:tcPr>
          <w:p w:rsidR="000237F2" w:rsidRDefault="000237F2" w:rsidP="000237F2">
            <w:pPr>
              <w:jc w:val="center"/>
            </w:pPr>
            <w:r>
              <w:rPr>
                <w:rFonts w:hint="eastAsia"/>
              </w:rPr>
              <w:t>费用类型</w:t>
            </w:r>
          </w:p>
        </w:tc>
        <w:tc>
          <w:tcPr>
            <w:tcW w:w="2076" w:type="dxa"/>
          </w:tcPr>
          <w:p w:rsidR="000237F2" w:rsidRDefault="000237F2" w:rsidP="000237F2">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tcPr>
            <w:tcW w:w="2077" w:type="dxa"/>
          </w:tcPr>
          <w:p w:rsidR="000237F2" w:rsidRDefault="000237F2" w:rsidP="000237F2">
            <w:pPr>
              <w:jc w:val="center"/>
            </w:pPr>
            <w:r>
              <w:rPr>
                <w:rFonts w:hint="eastAsia"/>
              </w:rPr>
              <w:t>收费方式</w:t>
            </w:r>
            <w:r>
              <w:rPr>
                <w:rFonts w:hint="eastAsia"/>
              </w:rPr>
              <w:t>/</w:t>
            </w:r>
            <w:r>
              <w:rPr>
                <w:rFonts w:hint="eastAsia"/>
              </w:rPr>
              <w:t>费率</w:t>
            </w:r>
          </w:p>
        </w:tc>
        <w:tc>
          <w:tcPr>
            <w:tcW w:w="2077" w:type="dxa"/>
          </w:tcPr>
          <w:p w:rsidR="000237F2" w:rsidRDefault="000237F2" w:rsidP="000237F2">
            <w:pPr>
              <w:jc w:val="center"/>
            </w:pPr>
            <w:r>
              <w:rPr>
                <w:rFonts w:hint="eastAsia"/>
              </w:rPr>
              <w:t>备注</w:t>
            </w:r>
          </w:p>
        </w:tc>
      </w:tr>
      <w:tr w:rsidR="000237F2" w:rsidTr="000237F2">
        <w:tc>
          <w:tcPr>
            <w:tcW w:w="2076" w:type="dxa"/>
            <w:vMerge w:val="restart"/>
          </w:tcPr>
          <w:p w:rsidR="000237F2" w:rsidRDefault="000237F2" w:rsidP="000237F2">
            <w:pPr>
              <w:jc w:val="center"/>
            </w:pPr>
            <w:r>
              <w:rPr>
                <w:rFonts w:hint="eastAsia"/>
              </w:rPr>
              <w:t>认购费</w:t>
            </w:r>
          </w:p>
        </w:tc>
        <w:tc>
          <w:tcPr>
            <w:tcW w:w="2076" w:type="dxa"/>
          </w:tcPr>
          <w:p w:rsidR="000237F2" w:rsidRDefault="000237F2" w:rsidP="000237F2">
            <w:pPr>
              <w:jc w:val="left"/>
            </w:pPr>
            <w:r>
              <w:rPr>
                <w:rFonts w:hint="eastAsia"/>
              </w:rPr>
              <w:t>M&lt; 100</w:t>
            </w:r>
            <w:r>
              <w:rPr>
                <w:rFonts w:hint="eastAsia"/>
              </w:rPr>
              <w:t>万元</w:t>
            </w:r>
          </w:p>
        </w:tc>
        <w:tc>
          <w:tcPr>
            <w:tcW w:w="2077" w:type="dxa"/>
          </w:tcPr>
          <w:p w:rsidR="000237F2" w:rsidRDefault="000237F2" w:rsidP="000237F2">
            <w:pPr>
              <w:jc w:val="right"/>
            </w:pPr>
            <w:r>
              <w:t>1.2%</w:t>
            </w:r>
          </w:p>
        </w:tc>
        <w:tc>
          <w:tcPr>
            <w:tcW w:w="2077" w:type="dxa"/>
          </w:tcPr>
          <w:p w:rsidR="000237F2" w:rsidRDefault="000237F2" w:rsidP="000237F2">
            <w:pPr>
              <w:jc w:val="right"/>
            </w:pPr>
            <w:r>
              <w:t>-</w:t>
            </w:r>
          </w:p>
        </w:tc>
      </w:tr>
      <w:tr w:rsidR="000237F2" w:rsidTr="000237F2">
        <w:tc>
          <w:tcPr>
            <w:tcW w:w="2076" w:type="dxa"/>
            <w:vMerge/>
          </w:tcPr>
          <w:p w:rsidR="000237F2" w:rsidRDefault="000237F2" w:rsidP="000237F2">
            <w:pPr>
              <w:jc w:val="left"/>
            </w:pPr>
          </w:p>
        </w:tc>
        <w:tc>
          <w:tcPr>
            <w:tcW w:w="2076" w:type="dxa"/>
          </w:tcPr>
          <w:p w:rsidR="000237F2" w:rsidRDefault="000237F2" w:rsidP="000237F2">
            <w:pPr>
              <w:jc w:val="left"/>
            </w:pPr>
            <w:r>
              <w:rPr>
                <w:rFonts w:hint="eastAsia"/>
              </w:rPr>
              <w:t>100</w:t>
            </w:r>
            <w:r>
              <w:rPr>
                <w:rFonts w:hint="eastAsia"/>
              </w:rPr>
              <w:t>万元≤</w:t>
            </w:r>
            <w:r>
              <w:rPr>
                <w:rFonts w:hint="eastAsia"/>
              </w:rPr>
              <w:t>M&lt; 500</w:t>
            </w:r>
            <w:r>
              <w:rPr>
                <w:rFonts w:hint="eastAsia"/>
              </w:rPr>
              <w:t>万元</w:t>
            </w:r>
          </w:p>
        </w:tc>
        <w:tc>
          <w:tcPr>
            <w:tcW w:w="2077" w:type="dxa"/>
          </w:tcPr>
          <w:p w:rsidR="000237F2" w:rsidRDefault="000237F2" w:rsidP="000237F2">
            <w:pPr>
              <w:jc w:val="right"/>
            </w:pPr>
            <w:r>
              <w:t>0.8%</w:t>
            </w:r>
          </w:p>
        </w:tc>
        <w:tc>
          <w:tcPr>
            <w:tcW w:w="2077" w:type="dxa"/>
          </w:tcPr>
          <w:p w:rsidR="000237F2" w:rsidRDefault="000237F2" w:rsidP="000237F2">
            <w:pPr>
              <w:jc w:val="right"/>
            </w:pPr>
            <w:r>
              <w:t>-</w:t>
            </w:r>
          </w:p>
        </w:tc>
      </w:tr>
      <w:tr w:rsidR="000237F2" w:rsidTr="000237F2">
        <w:tc>
          <w:tcPr>
            <w:tcW w:w="2076" w:type="dxa"/>
            <w:vMerge/>
          </w:tcPr>
          <w:p w:rsidR="000237F2" w:rsidRDefault="000237F2" w:rsidP="000237F2">
            <w:pPr>
              <w:jc w:val="left"/>
            </w:pPr>
          </w:p>
        </w:tc>
        <w:tc>
          <w:tcPr>
            <w:tcW w:w="2076" w:type="dxa"/>
          </w:tcPr>
          <w:p w:rsidR="000237F2" w:rsidRDefault="000237F2" w:rsidP="000237F2">
            <w:pPr>
              <w:jc w:val="left"/>
            </w:pPr>
            <w:r>
              <w:rPr>
                <w:rFonts w:hint="eastAsia"/>
              </w:rPr>
              <w:t>500</w:t>
            </w:r>
            <w:r>
              <w:rPr>
                <w:rFonts w:hint="eastAsia"/>
              </w:rPr>
              <w:t>万元≤</w:t>
            </w:r>
            <w:r>
              <w:rPr>
                <w:rFonts w:hint="eastAsia"/>
              </w:rPr>
              <w:t>M&lt; 1000</w:t>
            </w:r>
            <w:r>
              <w:rPr>
                <w:rFonts w:hint="eastAsia"/>
              </w:rPr>
              <w:t>万元</w:t>
            </w:r>
          </w:p>
        </w:tc>
        <w:tc>
          <w:tcPr>
            <w:tcW w:w="2077" w:type="dxa"/>
          </w:tcPr>
          <w:p w:rsidR="000237F2" w:rsidRDefault="000237F2" w:rsidP="000237F2">
            <w:pPr>
              <w:jc w:val="right"/>
            </w:pPr>
            <w:r>
              <w:t>0.2%</w:t>
            </w:r>
          </w:p>
        </w:tc>
        <w:tc>
          <w:tcPr>
            <w:tcW w:w="2077" w:type="dxa"/>
          </w:tcPr>
          <w:p w:rsidR="000237F2" w:rsidRDefault="000237F2" w:rsidP="000237F2">
            <w:pPr>
              <w:jc w:val="right"/>
            </w:pPr>
            <w:r>
              <w:t>-</w:t>
            </w:r>
          </w:p>
        </w:tc>
      </w:tr>
      <w:tr w:rsidR="000237F2" w:rsidTr="000237F2">
        <w:tc>
          <w:tcPr>
            <w:tcW w:w="2076" w:type="dxa"/>
            <w:vMerge/>
          </w:tcPr>
          <w:p w:rsidR="000237F2" w:rsidRDefault="000237F2" w:rsidP="000237F2">
            <w:pPr>
              <w:jc w:val="left"/>
            </w:pPr>
          </w:p>
        </w:tc>
        <w:tc>
          <w:tcPr>
            <w:tcW w:w="2076" w:type="dxa"/>
          </w:tcPr>
          <w:p w:rsidR="000237F2" w:rsidRDefault="000237F2" w:rsidP="000237F2">
            <w:pPr>
              <w:jc w:val="left"/>
            </w:pPr>
            <w:r>
              <w:rPr>
                <w:rFonts w:hint="eastAsia"/>
              </w:rPr>
              <w:t>1000</w:t>
            </w:r>
            <w:r>
              <w:rPr>
                <w:rFonts w:hint="eastAsia"/>
              </w:rPr>
              <w:t>万元≤</w:t>
            </w:r>
            <w:r>
              <w:rPr>
                <w:rFonts w:hint="eastAsia"/>
              </w:rPr>
              <w:t>M</w:t>
            </w:r>
          </w:p>
        </w:tc>
        <w:tc>
          <w:tcPr>
            <w:tcW w:w="2077" w:type="dxa"/>
          </w:tcPr>
          <w:p w:rsidR="000237F2" w:rsidRDefault="000237F2" w:rsidP="000237F2">
            <w:pPr>
              <w:jc w:val="left"/>
            </w:pPr>
            <w:r>
              <w:rPr>
                <w:rFonts w:hint="eastAsia"/>
              </w:rPr>
              <w:t>每笔</w:t>
            </w:r>
            <w:r>
              <w:rPr>
                <w:rFonts w:hint="eastAsia"/>
              </w:rPr>
              <w:t>1000.00</w:t>
            </w:r>
            <w:r>
              <w:rPr>
                <w:rFonts w:hint="eastAsia"/>
              </w:rPr>
              <w:t>元</w:t>
            </w:r>
          </w:p>
        </w:tc>
        <w:tc>
          <w:tcPr>
            <w:tcW w:w="2077" w:type="dxa"/>
          </w:tcPr>
          <w:p w:rsidR="000237F2" w:rsidRDefault="000237F2" w:rsidP="000237F2">
            <w:pPr>
              <w:jc w:val="right"/>
            </w:pPr>
            <w:r>
              <w:t>-</w:t>
            </w:r>
          </w:p>
        </w:tc>
      </w:tr>
      <w:tr w:rsidR="000237F2" w:rsidTr="000237F2">
        <w:tc>
          <w:tcPr>
            <w:tcW w:w="2076" w:type="dxa"/>
            <w:vMerge w:val="restart"/>
          </w:tcPr>
          <w:p w:rsidR="000237F2" w:rsidRDefault="000237F2" w:rsidP="000237F2">
            <w:pPr>
              <w:jc w:val="center"/>
            </w:pPr>
            <w:r>
              <w:rPr>
                <w:rFonts w:hint="eastAsia"/>
              </w:rPr>
              <w:t>申购费（前收费）</w:t>
            </w:r>
          </w:p>
        </w:tc>
        <w:tc>
          <w:tcPr>
            <w:tcW w:w="2076" w:type="dxa"/>
          </w:tcPr>
          <w:p w:rsidR="000237F2" w:rsidRDefault="000237F2" w:rsidP="000237F2">
            <w:pPr>
              <w:jc w:val="left"/>
            </w:pPr>
            <w:r>
              <w:rPr>
                <w:rFonts w:hint="eastAsia"/>
              </w:rPr>
              <w:t>M&lt; 100</w:t>
            </w:r>
            <w:r>
              <w:rPr>
                <w:rFonts w:hint="eastAsia"/>
              </w:rPr>
              <w:t>万元</w:t>
            </w:r>
          </w:p>
        </w:tc>
        <w:tc>
          <w:tcPr>
            <w:tcW w:w="2077" w:type="dxa"/>
          </w:tcPr>
          <w:p w:rsidR="000237F2" w:rsidRDefault="000237F2" w:rsidP="000237F2">
            <w:pPr>
              <w:jc w:val="right"/>
            </w:pPr>
            <w:r>
              <w:t>1.5%</w:t>
            </w:r>
          </w:p>
        </w:tc>
        <w:tc>
          <w:tcPr>
            <w:tcW w:w="2077" w:type="dxa"/>
          </w:tcPr>
          <w:p w:rsidR="000237F2" w:rsidRDefault="000237F2" w:rsidP="000237F2">
            <w:pPr>
              <w:jc w:val="right"/>
            </w:pPr>
            <w:r>
              <w:t>-</w:t>
            </w:r>
          </w:p>
        </w:tc>
      </w:tr>
      <w:tr w:rsidR="000237F2" w:rsidTr="000237F2">
        <w:tc>
          <w:tcPr>
            <w:tcW w:w="2076" w:type="dxa"/>
            <w:vMerge/>
          </w:tcPr>
          <w:p w:rsidR="000237F2" w:rsidRDefault="000237F2" w:rsidP="000237F2">
            <w:pPr>
              <w:jc w:val="left"/>
            </w:pPr>
          </w:p>
        </w:tc>
        <w:tc>
          <w:tcPr>
            <w:tcW w:w="2076" w:type="dxa"/>
          </w:tcPr>
          <w:p w:rsidR="000237F2" w:rsidRDefault="000237F2" w:rsidP="000237F2">
            <w:pPr>
              <w:jc w:val="left"/>
            </w:pPr>
            <w:r>
              <w:rPr>
                <w:rFonts w:hint="eastAsia"/>
              </w:rPr>
              <w:t>100</w:t>
            </w:r>
            <w:r>
              <w:rPr>
                <w:rFonts w:hint="eastAsia"/>
              </w:rPr>
              <w:t>万元≤</w:t>
            </w:r>
            <w:r>
              <w:rPr>
                <w:rFonts w:hint="eastAsia"/>
              </w:rPr>
              <w:t>M&lt; 500</w:t>
            </w:r>
            <w:r>
              <w:rPr>
                <w:rFonts w:hint="eastAsia"/>
              </w:rPr>
              <w:t>万元</w:t>
            </w:r>
          </w:p>
        </w:tc>
        <w:tc>
          <w:tcPr>
            <w:tcW w:w="2077" w:type="dxa"/>
          </w:tcPr>
          <w:p w:rsidR="000237F2" w:rsidRDefault="000237F2" w:rsidP="000237F2">
            <w:pPr>
              <w:jc w:val="right"/>
            </w:pPr>
            <w:r>
              <w:t>0.9%</w:t>
            </w:r>
          </w:p>
        </w:tc>
        <w:tc>
          <w:tcPr>
            <w:tcW w:w="2077" w:type="dxa"/>
          </w:tcPr>
          <w:p w:rsidR="000237F2" w:rsidRDefault="000237F2" w:rsidP="000237F2">
            <w:pPr>
              <w:jc w:val="right"/>
            </w:pPr>
            <w:r>
              <w:t>-</w:t>
            </w:r>
          </w:p>
        </w:tc>
      </w:tr>
      <w:tr w:rsidR="000237F2" w:rsidTr="000237F2">
        <w:tc>
          <w:tcPr>
            <w:tcW w:w="2076" w:type="dxa"/>
            <w:vMerge/>
          </w:tcPr>
          <w:p w:rsidR="000237F2" w:rsidRDefault="000237F2" w:rsidP="000237F2">
            <w:pPr>
              <w:jc w:val="left"/>
            </w:pPr>
          </w:p>
        </w:tc>
        <w:tc>
          <w:tcPr>
            <w:tcW w:w="2076" w:type="dxa"/>
          </w:tcPr>
          <w:p w:rsidR="000237F2" w:rsidRDefault="000237F2" w:rsidP="000237F2">
            <w:pPr>
              <w:jc w:val="left"/>
            </w:pPr>
            <w:r>
              <w:rPr>
                <w:rFonts w:hint="eastAsia"/>
              </w:rPr>
              <w:t>500</w:t>
            </w:r>
            <w:r>
              <w:rPr>
                <w:rFonts w:hint="eastAsia"/>
              </w:rPr>
              <w:t>万元≤</w:t>
            </w:r>
            <w:r>
              <w:rPr>
                <w:rFonts w:hint="eastAsia"/>
              </w:rPr>
              <w:t>M&lt; 1000</w:t>
            </w:r>
            <w:r>
              <w:rPr>
                <w:rFonts w:hint="eastAsia"/>
              </w:rPr>
              <w:t>万元</w:t>
            </w:r>
          </w:p>
        </w:tc>
        <w:tc>
          <w:tcPr>
            <w:tcW w:w="2077" w:type="dxa"/>
          </w:tcPr>
          <w:p w:rsidR="000237F2" w:rsidRDefault="000237F2" w:rsidP="000237F2">
            <w:pPr>
              <w:jc w:val="right"/>
            </w:pPr>
            <w:r>
              <w:t>0.3%</w:t>
            </w:r>
          </w:p>
        </w:tc>
        <w:tc>
          <w:tcPr>
            <w:tcW w:w="2077" w:type="dxa"/>
          </w:tcPr>
          <w:p w:rsidR="000237F2" w:rsidRDefault="000237F2" w:rsidP="000237F2">
            <w:pPr>
              <w:jc w:val="right"/>
            </w:pPr>
            <w:r>
              <w:t>-</w:t>
            </w:r>
          </w:p>
        </w:tc>
      </w:tr>
      <w:tr w:rsidR="000237F2" w:rsidTr="000237F2">
        <w:tc>
          <w:tcPr>
            <w:tcW w:w="2076" w:type="dxa"/>
            <w:vMerge/>
          </w:tcPr>
          <w:p w:rsidR="000237F2" w:rsidRDefault="000237F2" w:rsidP="000237F2">
            <w:pPr>
              <w:jc w:val="left"/>
            </w:pPr>
          </w:p>
        </w:tc>
        <w:tc>
          <w:tcPr>
            <w:tcW w:w="2076" w:type="dxa"/>
          </w:tcPr>
          <w:p w:rsidR="000237F2" w:rsidRDefault="000237F2" w:rsidP="000237F2">
            <w:pPr>
              <w:jc w:val="left"/>
            </w:pPr>
            <w:r>
              <w:rPr>
                <w:rFonts w:hint="eastAsia"/>
              </w:rPr>
              <w:t>1000</w:t>
            </w:r>
            <w:r>
              <w:rPr>
                <w:rFonts w:hint="eastAsia"/>
              </w:rPr>
              <w:t>万元≤</w:t>
            </w:r>
            <w:r>
              <w:rPr>
                <w:rFonts w:hint="eastAsia"/>
              </w:rPr>
              <w:t>M</w:t>
            </w:r>
          </w:p>
        </w:tc>
        <w:tc>
          <w:tcPr>
            <w:tcW w:w="2077" w:type="dxa"/>
          </w:tcPr>
          <w:p w:rsidR="000237F2" w:rsidRDefault="000237F2" w:rsidP="000237F2">
            <w:pPr>
              <w:jc w:val="left"/>
            </w:pPr>
            <w:r>
              <w:rPr>
                <w:rFonts w:hint="eastAsia"/>
              </w:rPr>
              <w:t>每笔</w:t>
            </w:r>
            <w:r>
              <w:rPr>
                <w:rFonts w:hint="eastAsia"/>
              </w:rPr>
              <w:t>1000.00</w:t>
            </w:r>
            <w:r>
              <w:rPr>
                <w:rFonts w:hint="eastAsia"/>
              </w:rPr>
              <w:t>元</w:t>
            </w:r>
          </w:p>
        </w:tc>
        <w:tc>
          <w:tcPr>
            <w:tcW w:w="2077" w:type="dxa"/>
          </w:tcPr>
          <w:p w:rsidR="000237F2" w:rsidRDefault="000237F2" w:rsidP="000237F2">
            <w:pPr>
              <w:jc w:val="right"/>
            </w:pPr>
            <w:r>
              <w:t>-</w:t>
            </w:r>
          </w:p>
        </w:tc>
      </w:tr>
      <w:tr w:rsidR="000237F2" w:rsidTr="000237F2">
        <w:tc>
          <w:tcPr>
            <w:tcW w:w="2076" w:type="dxa"/>
            <w:vMerge w:val="restart"/>
          </w:tcPr>
          <w:p w:rsidR="000237F2" w:rsidRDefault="000237F2" w:rsidP="000237F2">
            <w:pPr>
              <w:jc w:val="center"/>
            </w:pPr>
            <w:r>
              <w:rPr>
                <w:rFonts w:hint="eastAsia"/>
              </w:rPr>
              <w:t>赎回费</w:t>
            </w:r>
          </w:p>
        </w:tc>
        <w:tc>
          <w:tcPr>
            <w:tcW w:w="2076" w:type="dxa"/>
          </w:tcPr>
          <w:p w:rsidR="000237F2" w:rsidRDefault="000237F2" w:rsidP="000237F2">
            <w:pPr>
              <w:jc w:val="left"/>
            </w:pPr>
            <w:r>
              <w:rPr>
                <w:rFonts w:hint="eastAsia"/>
              </w:rPr>
              <w:t>N&lt; 7</w:t>
            </w:r>
            <w:r>
              <w:rPr>
                <w:rFonts w:hint="eastAsia"/>
              </w:rPr>
              <w:t>天</w:t>
            </w:r>
          </w:p>
        </w:tc>
        <w:tc>
          <w:tcPr>
            <w:tcW w:w="2077" w:type="dxa"/>
          </w:tcPr>
          <w:p w:rsidR="000237F2" w:rsidRDefault="000237F2" w:rsidP="000237F2">
            <w:pPr>
              <w:jc w:val="right"/>
            </w:pPr>
            <w:r>
              <w:t>1.5%</w:t>
            </w:r>
          </w:p>
        </w:tc>
        <w:tc>
          <w:tcPr>
            <w:tcW w:w="2077" w:type="dxa"/>
          </w:tcPr>
          <w:p w:rsidR="000237F2" w:rsidRDefault="000237F2" w:rsidP="000237F2">
            <w:pPr>
              <w:jc w:val="right"/>
            </w:pPr>
            <w:r>
              <w:t>-</w:t>
            </w:r>
          </w:p>
        </w:tc>
      </w:tr>
      <w:tr w:rsidR="000237F2" w:rsidTr="000237F2">
        <w:tc>
          <w:tcPr>
            <w:tcW w:w="2076" w:type="dxa"/>
            <w:vMerge/>
          </w:tcPr>
          <w:p w:rsidR="000237F2" w:rsidRDefault="000237F2" w:rsidP="000237F2">
            <w:pPr>
              <w:jc w:val="left"/>
            </w:pPr>
          </w:p>
        </w:tc>
        <w:tc>
          <w:tcPr>
            <w:tcW w:w="2076" w:type="dxa"/>
          </w:tcPr>
          <w:p w:rsidR="000237F2" w:rsidRDefault="000237F2" w:rsidP="000237F2">
            <w:pPr>
              <w:jc w:val="left"/>
            </w:pPr>
            <w:r>
              <w:rPr>
                <w:rFonts w:hint="eastAsia"/>
              </w:rPr>
              <w:t>7</w:t>
            </w:r>
            <w:r>
              <w:rPr>
                <w:rFonts w:hint="eastAsia"/>
              </w:rPr>
              <w:t>天≤</w:t>
            </w:r>
            <w:r>
              <w:rPr>
                <w:rFonts w:hint="eastAsia"/>
              </w:rPr>
              <w:t xml:space="preserve"> N&lt; 30</w:t>
            </w:r>
            <w:r>
              <w:rPr>
                <w:rFonts w:hint="eastAsia"/>
              </w:rPr>
              <w:t>天</w:t>
            </w:r>
          </w:p>
        </w:tc>
        <w:tc>
          <w:tcPr>
            <w:tcW w:w="2077" w:type="dxa"/>
          </w:tcPr>
          <w:p w:rsidR="000237F2" w:rsidRDefault="000237F2" w:rsidP="000237F2">
            <w:pPr>
              <w:jc w:val="right"/>
            </w:pPr>
            <w:r>
              <w:t>0.75%</w:t>
            </w:r>
          </w:p>
        </w:tc>
        <w:tc>
          <w:tcPr>
            <w:tcW w:w="2077" w:type="dxa"/>
          </w:tcPr>
          <w:p w:rsidR="000237F2" w:rsidRDefault="000237F2" w:rsidP="000237F2">
            <w:pPr>
              <w:jc w:val="right"/>
            </w:pPr>
            <w:r>
              <w:t>-</w:t>
            </w:r>
          </w:p>
        </w:tc>
      </w:tr>
      <w:tr w:rsidR="000237F2" w:rsidTr="000237F2">
        <w:tc>
          <w:tcPr>
            <w:tcW w:w="2076" w:type="dxa"/>
            <w:vMerge/>
          </w:tcPr>
          <w:p w:rsidR="000237F2" w:rsidRDefault="000237F2" w:rsidP="000237F2">
            <w:pPr>
              <w:jc w:val="left"/>
            </w:pPr>
          </w:p>
        </w:tc>
        <w:tc>
          <w:tcPr>
            <w:tcW w:w="2076" w:type="dxa"/>
          </w:tcPr>
          <w:p w:rsidR="000237F2" w:rsidRDefault="000237F2" w:rsidP="000237F2">
            <w:pPr>
              <w:jc w:val="left"/>
            </w:pPr>
            <w:r>
              <w:rPr>
                <w:rFonts w:hint="eastAsia"/>
              </w:rPr>
              <w:t>30</w:t>
            </w:r>
            <w:r>
              <w:rPr>
                <w:rFonts w:hint="eastAsia"/>
              </w:rPr>
              <w:t>天≤</w:t>
            </w:r>
            <w:r>
              <w:rPr>
                <w:rFonts w:hint="eastAsia"/>
              </w:rPr>
              <w:t xml:space="preserve"> N&lt; 365</w:t>
            </w:r>
            <w:r>
              <w:rPr>
                <w:rFonts w:hint="eastAsia"/>
              </w:rPr>
              <w:t>天</w:t>
            </w:r>
          </w:p>
        </w:tc>
        <w:tc>
          <w:tcPr>
            <w:tcW w:w="2077" w:type="dxa"/>
          </w:tcPr>
          <w:p w:rsidR="000237F2" w:rsidRDefault="000237F2" w:rsidP="000237F2">
            <w:pPr>
              <w:jc w:val="right"/>
            </w:pPr>
            <w:r>
              <w:t>0.5%</w:t>
            </w:r>
          </w:p>
        </w:tc>
        <w:tc>
          <w:tcPr>
            <w:tcW w:w="2077" w:type="dxa"/>
          </w:tcPr>
          <w:p w:rsidR="000237F2" w:rsidRDefault="000237F2" w:rsidP="000237F2">
            <w:pPr>
              <w:jc w:val="right"/>
            </w:pPr>
            <w:r>
              <w:t>-</w:t>
            </w:r>
          </w:p>
        </w:tc>
      </w:tr>
      <w:tr w:rsidR="000237F2" w:rsidTr="000237F2">
        <w:tc>
          <w:tcPr>
            <w:tcW w:w="2076" w:type="dxa"/>
            <w:vMerge/>
          </w:tcPr>
          <w:p w:rsidR="000237F2" w:rsidRDefault="000237F2" w:rsidP="000237F2">
            <w:pPr>
              <w:jc w:val="left"/>
            </w:pPr>
          </w:p>
        </w:tc>
        <w:tc>
          <w:tcPr>
            <w:tcW w:w="2076" w:type="dxa"/>
          </w:tcPr>
          <w:p w:rsidR="000237F2" w:rsidRDefault="000237F2" w:rsidP="000237F2">
            <w:pPr>
              <w:jc w:val="left"/>
            </w:pPr>
            <w:r>
              <w:rPr>
                <w:rFonts w:hint="eastAsia"/>
              </w:rPr>
              <w:t>1</w:t>
            </w:r>
            <w:r>
              <w:rPr>
                <w:rFonts w:hint="eastAsia"/>
              </w:rPr>
              <w:t>年≤</w:t>
            </w:r>
            <w:r>
              <w:rPr>
                <w:rFonts w:hint="eastAsia"/>
              </w:rPr>
              <w:t xml:space="preserve"> N&lt; 2</w:t>
            </w:r>
            <w:r>
              <w:rPr>
                <w:rFonts w:hint="eastAsia"/>
              </w:rPr>
              <w:t>年</w:t>
            </w:r>
          </w:p>
        </w:tc>
        <w:tc>
          <w:tcPr>
            <w:tcW w:w="2077" w:type="dxa"/>
          </w:tcPr>
          <w:p w:rsidR="000237F2" w:rsidRDefault="000237F2" w:rsidP="000237F2">
            <w:pPr>
              <w:jc w:val="right"/>
            </w:pPr>
            <w:r>
              <w:t>0.3%</w:t>
            </w:r>
          </w:p>
        </w:tc>
        <w:tc>
          <w:tcPr>
            <w:tcW w:w="2077" w:type="dxa"/>
          </w:tcPr>
          <w:p w:rsidR="000237F2" w:rsidRDefault="000237F2" w:rsidP="000237F2">
            <w:pPr>
              <w:jc w:val="right"/>
            </w:pPr>
            <w:r>
              <w:t>-</w:t>
            </w:r>
          </w:p>
        </w:tc>
      </w:tr>
      <w:tr w:rsidR="000237F2" w:rsidTr="000237F2">
        <w:tc>
          <w:tcPr>
            <w:tcW w:w="2076" w:type="dxa"/>
            <w:vMerge/>
          </w:tcPr>
          <w:p w:rsidR="000237F2" w:rsidRDefault="000237F2" w:rsidP="000237F2">
            <w:pPr>
              <w:jc w:val="left"/>
            </w:pPr>
          </w:p>
        </w:tc>
        <w:tc>
          <w:tcPr>
            <w:tcW w:w="2076" w:type="dxa"/>
          </w:tcPr>
          <w:p w:rsidR="000237F2" w:rsidRDefault="000237F2" w:rsidP="000237F2">
            <w:pPr>
              <w:jc w:val="left"/>
            </w:pPr>
            <w:r>
              <w:rPr>
                <w:rFonts w:hint="eastAsia"/>
              </w:rPr>
              <w:t>2</w:t>
            </w:r>
            <w:r>
              <w:rPr>
                <w:rFonts w:hint="eastAsia"/>
              </w:rPr>
              <w:t>年≤</w:t>
            </w:r>
            <w:r>
              <w:rPr>
                <w:rFonts w:hint="eastAsia"/>
              </w:rPr>
              <w:t xml:space="preserve"> N</w:t>
            </w:r>
          </w:p>
        </w:tc>
        <w:tc>
          <w:tcPr>
            <w:tcW w:w="2077" w:type="dxa"/>
          </w:tcPr>
          <w:p w:rsidR="000237F2" w:rsidRDefault="000237F2" w:rsidP="000237F2">
            <w:pPr>
              <w:jc w:val="right"/>
            </w:pPr>
            <w:r>
              <w:t>0%</w:t>
            </w:r>
          </w:p>
        </w:tc>
        <w:tc>
          <w:tcPr>
            <w:tcW w:w="2077" w:type="dxa"/>
          </w:tcPr>
          <w:p w:rsidR="000237F2" w:rsidRDefault="000237F2" w:rsidP="000237F2">
            <w:pPr>
              <w:jc w:val="right"/>
            </w:pPr>
            <w:r>
              <w:t>-</w:t>
            </w:r>
          </w:p>
        </w:tc>
      </w:tr>
    </w:tbl>
    <w:p w:rsidR="000237F2" w:rsidRDefault="000237F2" w:rsidP="000237F2">
      <w:pPr>
        <w:pStyle w:val="-7"/>
        <w:ind w:firstLine="420"/>
        <w:rPr>
          <w:rFonts w:hint="eastAsia"/>
        </w:rPr>
      </w:pPr>
      <w:r>
        <w:rPr>
          <w:rFonts w:hint="eastAsia"/>
        </w:rPr>
        <w:t>注：投资人重复申购，须按每次申购所对应的费率档次分别计费。</w:t>
      </w:r>
    </w:p>
    <w:p w:rsidR="000237F2" w:rsidRDefault="000237F2" w:rsidP="000237F2">
      <w:pPr>
        <w:pStyle w:val="-"/>
        <w:ind w:firstLine="420"/>
        <w:rPr>
          <w:rFonts w:hint="eastAsia"/>
        </w:rPr>
      </w:pPr>
      <w:r>
        <w:rPr>
          <w:rFonts w:hint="eastAsia"/>
        </w:rPr>
        <w:t>基金申购费用由投资人承担，不列入基金财产，主要用于基金的市场推广、销售、登记等各项费用。</w:t>
      </w:r>
    </w:p>
    <w:p w:rsidR="000237F2" w:rsidRDefault="000237F2" w:rsidP="000237F2">
      <w:pPr>
        <w:pStyle w:val="-"/>
        <w:ind w:firstLine="420"/>
        <w:rPr>
          <w:rFonts w:hint="eastAsia"/>
        </w:rPr>
      </w:pPr>
      <w:r>
        <w:rPr>
          <w:rFonts w:hint="eastAsia"/>
        </w:rPr>
        <w:lastRenderedPageBreak/>
        <w:t>赎回费用由赎回基金份额的基金份额持有人承担，在基金份额持有人赎回基金份额时收取。</w:t>
      </w:r>
    </w:p>
    <w:p w:rsidR="000237F2" w:rsidRDefault="000237F2" w:rsidP="000237F2">
      <w:pPr>
        <w:pStyle w:val="-2"/>
        <w:spacing w:before="156" w:after="156"/>
        <w:rPr>
          <w:rFonts w:hint="eastAsia"/>
        </w:rPr>
      </w:pPr>
      <w:r>
        <w:rPr>
          <w:rFonts w:hint="eastAsia"/>
        </w:rPr>
        <w:t>（二）</w:t>
      </w:r>
      <w:r>
        <w:rPr>
          <w:rFonts w:hint="eastAsia"/>
        </w:rPr>
        <w:t xml:space="preserve"> </w:t>
      </w:r>
      <w:r>
        <w:rPr>
          <w:rFonts w:hint="eastAsia"/>
        </w:rPr>
        <w:t>基金运作相关费用</w:t>
      </w:r>
    </w:p>
    <w:tbl>
      <w:tblPr>
        <w:tblStyle w:val="-noheader"/>
        <w:tblW w:w="0" w:type="auto"/>
        <w:tblLayout w:type="fixed"/>
        <w:tblLook w:val="04A0" w:firstRow="1" w:lastRow="0" w:firstColumn="1" w:lastColumn="0" w:noHBand="0" w:noVBand="1"/>
      </w:tblPr>
      <w:tblGrid>
        <w:gridCol w:w="2768"/>
        <w:gridCol w:w="2769"/>
        <w:gridCol w:w="2769"/>
      </w:tblGrid>
      <w:tr w:rsidR="000237F2" w:rsidTr="000237F2">
        <w:tc>
          <w:tcPr>
            <w:tcW w:w="2768" w:type="dxa"/>
          </w:tcPr>
          <w:p w:rsidR="000237F2" w:rsidRDefault="000237F2" w:rsidP="000237F2">
            <w:pPr>
              <w:jc w:val="left"/>
            </w:pPr>
            <w:r>
              <w:rPr>
                <w:rFonts w:hint="eastAsia"/>
              </w:rPr>
              <w:t>费用类别</w:t>
            </w:r>
          </w:p>
        </w:tc>
        <w:tc>
          <w:tcPr>
            <w:tcW w:w="2769" w:type="dxa"/>
          </w:tcPr>
          <w:p w:rsidR="000237F2" w:rsidRDefault="000237F2" w:rsidP="000237F2">
            <w:pPr>
              <w:jc w:val="left"/>
            </w:pPr>
            <w:r>
              <w:rPr>
                <w:rFonts w:hint="eastAsia"/>
              </w:rPr>
              <w:t>收费方式</w:t>
            </w:r>
          </w:p>
        </w:tc>
        <w:tc>
          <w:tcPr>
            <w:tcW w:w="2769" w:type="dxa"/>
          </w:tcPr>
          <w:p w:rsidR="000237F2" w:rsidRDefault="000237F2" w:rsidP="000237F2">
            <w:pPr>
              <w:jc w:val="left"/>
            </w:pPr>
            <w:r>
              <w:rPr>
                <w:rFonts w:hint="eastAsia"/>
              </w:rPr>
              <w:t>年费率</w:t>
            </w:r>
          </w:p>
        </w:tc>
      </w:tr>
      <w:tr w:rsidR="000237F2" w:rsidTr="000237F2">
        <w:tc>
          <w:tcPr>
            <w:tcW w:w="2768" w:type="dxa"/>
          </w:tcPr>
          <w:p w:rsidR="000237F2" w:rsidRDefault="000237F2" w:rsidP="000237F2">
            <w:pPr>
              <w:jc w:val="left"/>
            </w:pPr>
            <w:r>
              <w:rPr>
                <w:rFonts w:hint="eastAsia"/>
              </w:rPr>
              <w:t>管理费</w:t>
            </w:r>
          </w:p>
        </w:tc>
        <w:tc>
          <w:tcPr>
            <w:tcW w:w="2769" w:type="dxa"/>
          </w:tcPr>
          <w:p w:rsidR="000237F2" w:rsidRDefault="000237F2" w:rsidP="000237F2">
            <w:pPr>
              <w:jc w:val="right"/>
            </w:pPr>
            <w:r>
              <w:t>-</w:t>
            </w:r>
          </w:p>
        </w:tc>
        <w:tc>
          <w:tcPr>
            <w:tcW w:w="2769" w:type="dxa"/>
          </w:tcPr>
          <w:p w:rsidR="000237F2" w:rsidRDefault="000237F2" w:rsidP="000237F2">
            <w:pPr>
              <w:jc w:val="right"/>
            </w:pPr>
            <w:r>
              <w:t>1.50%</w:t>
            </w:r>
          </w:p>
        </w:tc>
      </w:tr>
      <w:tr w:rsidR="000237F2" w:rsidTr="000237F2">
        <w:tc>
          <w:tcPr>
            <w:tcW w:w="2768" w:type="dxa"/>
          </w:tcPr>
          <w:p w:rsidR="000237F2" w:rsidRDefault="000237F2" w:rsidP="000237F2">
            <w:pPr>
              <w:jc w:val="left"/>
            </w:pPr>
            <w:r>
              <w:rPr>
                <w:rFonts w:hint="eastAsia"/>
              </w:rPr>
              <w:t>托管费</w:t>
            </w:r>
          </w:p>
        </w:tc>
        <w:tc>
          <w:tcPr>
            <w:tcW w:w="2769" w:type="dxa"/>
          </w:tcPr>
          <w:p w:rsidR="000237F2" w:rsidRDefault="000237F2" w:rsidP="000237F2">
            <w:pPr>
              <w:jc w:val="right"/>
            </w:pPr>
            <w:r>
              <w:t>-</w:t>
            </w:r>
          </w:p>
        </w:tc>
        <w:tc>
          <w:tcPr>
            <w:tcW w:w="2769" w:type="dxa"/>
          </w:tcPr>
          <w:p w:rsidR="000237F2" w:rsidRDefault="000237F2" w:rsidP="000237F2">
            <w:pPr>
              <w:jc w:val="right"/>
            </w:pPr>
            <w:r>
              <w:t>0.25%</w:t>
            </w:r>
          </w:p>
        </w:tc>
      </w:tr>
      <w:tr w:rsidR="000237F2" w:rsidTr="000237F2">
        <w:tc>
          <w:tcPr>
            <w:tcW w:w="2768" w:type="dxa"/>
          </w:tcPr>
          <w:p w:rsidR="000237F2" w:rsidRDefault="000237F2" w:rsidP="000237F2">
            <w:pPr>
              <w:jc w:val="left"/>
            </w:pPr>
            <w:r>
              <w:rPr>
                <w:rFonts w:hint="eastAsia"/>
              </w:rPr>
              <w:t>销售服务费</w:t>
            </w:r>
          </w:p>
        </w:tc>
        <w:tc>
          <w:tcPr>
            <w:tcW w:w="2769" w:type="dxa"/>
          </w:tcPr>
          <w:p w:rsidR="000237F2" w:rsidRDefault="000237F2" w:rsidP="000237F2">
            <w:pPr>
              <w:jc w:val="right"/>
            </w:pPr>
            <w:r>
              <w:t>-</w:t>
            </w:r>
          </w:p>
        </w:tc>
        <w:tc>
          <w:tcPr>
            <w:tcW w:w="2769" w:type="dxa"/>
          </w:tcPr>
          <w:p w:rsidR="000237F2" w:rsidRDefault="000237F2" w:rsidP="000237F2">
            <w:pPr>
              <w:jc w:val="right"/>
            </w:pPr>
            <w:r>
              <w:t>-</w:t>
            </w:r>
          </w:p>
        </w:tc>
      </w:tr>
      <w:tr w:rsidR="000237F2" w:rsidTr="000F7196">
        <w:tc>
          <w:tcPr>
            <w:tcW w:w="2768" w:type="dxa"/>
          </w:tcPr>
          <w:p w:rsidR="000237F2" w:rsidRDefault="000237F2" w:rsidP="000237F2">
            <w:pPr>
              <w:jc w:val="left"/>
            </w:pPr>
            <w:r>
              <w:rPr>
                <w:rFonts w:hint="eastAsia"/>
              </w:rPr>
              <w:t>其他费用</w:t>
            </w:r>
          </w:p>
        </w:tc>
        <w:tc>
          <w:tcPr>
            <w:tcW w:w="5538" w:type="dxa"/>
            <w:gridSpan w:val="2"/>
          </w:tcPr>
          <w:p w:rsidR="000237F2" w:rsidRDefault="000237F2" w:rsidP="000237F2">
            <w:pPr>
              <w:jc w:val="left"/>
            </w:pPr>
            <w:r>
              <w:rPr>
                <w:rFonts w:hint="eastAsia"/>
              </w:rPr>
              <w:t>《基金合同》生效后与基金相关的信息披露费用；《基金合同》生效后与基金相关的会计师费、律师费、审计费、诉讼费和仲裁费；基金份额持有人大会费用；基金的证券、期货交易费用；基金的银行汇划费用；基金相关账户的开户及维护费用；按照国家有关规定和《基金合同》约定，可以在基金财产中列支的其他费用。</w:t>
            </w:r>
          </w:p>
        </w:tc>
      </w:tr>
    </w:tbl>
    <w:p w:rsidR="000237F2" w:rsidRDefault="000237F2" w:rsidP="000237F2">
      <w:pPr>
        <w:pStyle w:val="-7"/>
        <w:ind w:firstLine="420"/>
        <w:rPr>
          <w:rFonts w:hint="eastAsia"/>
        </w:rPr>
      </w:pPr>
      <w:r>
        <w:rPr>
          <w:rFonts w:hint="eastAsia"/>
        </w:rPr>
        <w:t>注：本基金交易证券、基金等产生的费用和税负，按实际发生额从基金资产扣除。</w:t>
      </w:r>
    </w:p>
    <w:p w:rsidR="000237F2" w:rsidRDefault="000237F2" w:rsidP="000237F2">
      <w:pPr>
        <w:pStyle w:val="-1"/>
        <w:spacing w:before="156" w:after="156"/>
        <w:rPr>
          <w:rFonts w:hint="eastAsia"/>
        </w:rPr>
      </w:pPr>
      <w:r>
        <w:rPr>
          <w:rFonts w:hint="eastAsia"/>
        </w:rPr>
        <w:t>四、风险揭示与重要提示</w:t>
      </w:r>
    </w:p>
    <w:p w:rsidR="000237F2" w:rsidRDefault="000237F2" w:rsidP="000237F2">
      <w:pPr>
        <w:pStyle w:val="-2"/>
        <w:spacing w:before="156" w:after="156"/>
        <w:rPr>
          <w:rFonts w:hint="eastAsia"/>
        </w:rPr>
      </w:pPr>
      <w:r>
        <w:rPr>
          <w:rFonts w:hint="eastAsia"/>
        </w:rPr>
        <w:t>（一）</w:t>
      </w:r>
      <w:r>
        <w:rPr>
          <w:rFonts w:hint="eastAsia"/>
        </w:rPr>
        <w:t xml:space="preserve"> </w:t>
      </w:r>
      <w:r>
        <w:rPr>
          <w:rFonts w:hint="eastAsia"/>
        </w:rPr>
        <w:t>风险揭示</w:t>
      </w:r>
    </w:p>
    <w:p w:rsidR="000237F2" w:rsidRDefault="000237F2" w:rsidP="000237F2">
      <w:pPr>
        <w:pStyle w:val="-"/>
        <w:ind w:firstLine="420"/>
        <w:rPr>
          <w:rFonts w:hint="eastAsia"/>
        </w:rPr>
      </w:pPr>
      <w:r>
        <w:rPr>
          <w:rFonts w:hint="eastAsia"/>
        </w:rPr>
        <w:t>本基金不提供任何保证。投资者可能损失本金。</w:t>
      </w:r>
    </w:p>
    <w:p w:rsidR="000237F2" w:rsidRDefault="000237F2" w:rsidP="000237F2">
      <w:pPr>
        <w:pStyle w:val="-"/>
        <w:ind w:firstLine="420"/>
        <w:rPr>
          <w:rFonts w:hint="eastAsia"/>
        </w:rPr>
      </w:pPr>
      <w:r>
        <w:rPr>
          <w:rFonts w:hint="eastAsia"/>
        </w:rPr>
        <w:t>投资有风险，投资者购买基金时应认真阅读本基金的《招募说明书》等销售文件。</w:t>
      </w:r>
    </w:p>
    <w:p w:rsidR="000237F2" w:rsidRDefault="000237F2" w:rsidP="000237F2">
      <w:pPr>
        <w:pStyle w:val="-"/>
        <w:ind w:firstLine="420"/>
        <w:rPr>
          <w:rFonts w:hint="eastAsia"/>
        </w:rPr>
      </w:pPr>
      <w:r>
        <w:rPr>
          <w:rFonts w:hint="eastAsia"/>
        </w:rPr>
        <w:t>本基金面临的主要风险有市场风险、管理风险、流动性风险、本基金特有风险、本基金法律文件风险收益特征表述与销售机构基金风险评价可能不一致的风险及其他风险等。</w:t>
      </w:r>
    </w:p>
    <w:p w:rsidR="000237F2" w:rsidRDefault="000237F2" w:rsidP="000237F2">
      <w:pPr>
        <w:pStyle w:val="-"/>
        <w:ind w:firstLine="420"/>
        <w:rPr>
          <w:rFonts w:hint="eastAsia"/>
        </w:rPr>
      </w:pPr>
      <w:r>
        <w:rPr>
          <w:rFonts w:hint="eastAsia"/>
        </w:rPr>
        <w:t>本基金特有的风险包括：</w:t>
      </w:r>
    </w:p>
    <w:p w:rsidR="000237F2" w:rsidRDefault="000237F2" w:rsidP="000237F2">
      <w:pPr>
        <w:pStyle w:val="-"/>
        <w:ind w:firstLine="420"/>
        <w:rPr>
          <w:rFonts w:hint="eastAsia"/>
        </w:rPr>
      </w:pPr>
      <w:r>
        <w:rPr>
          <w:rFonts w:hint="eastAsia"/>
        </w:rPr>
        <w:t>1</w:t>
      </w:r>
      <w:r>
        <w:rPr>
          <w:rFonts w:hint="eastAsia"/>
        </w:rPr>
        <w:t>、本基金为混合型基金，股票投资占基金资产的比例范围为</w:t>
      </w:r>
      <w:r>
        <w:rPr>
          <w:rFonts w:hint="eastAsia"/>
        </w:rPr>
        <w:t>0-95%</w:t>
      </w:r>
      <w:r>
        <w:rPr>
          <w:rFonts w:hint="eastAsia"/>
        </w:rPr>
        <w:t>（其中港股通股票最高投资比例不得超过股票资产的</w:t>
      </w:r>
      <w:r>
        <w:rPr>
          <w:rFonts w:hint="eastAsia"/>
        </w:rPr>
        <w:t>50%</w:t>
      </w:r>
      <w:r>
        <w:rPr>
          <w:rFonts w:hint="eastAsia"/>
        </w:rPr>
        <w:t>）。因此，国内和港股通标的股票市场和债券市场的变化均会影响到基金业绩表现，基金净值表现因此可能受到影响。本基金管理人将发挥专业研究优势，加强对市场、上市公司基本面和固定收益类产品的深入研究，持续优化组合配置，以控制特定风险。</w:t>
      </w:r>
    </w:p>
    <w:p w:rsidR="000237F2" w:rsidRDefault="000237F2" w:rsidP="000237F2">
      <w:pPr>
        <w:pStyle w:val="-"/>
        <w:ind w:firstLine="420"/>
        <w:rPr>
          <w:rFonts w:hint="eastAsia"/>
        </w:rPr>
      </w:pPr>
      <w:r>
        <w:rPr>
          <w:rFonts w:hint="eastAsia"/>
        </w:rPr>
        <w:t>本基金可通过港股通机制参与香港股票市场交易，可根据投资策略需要或不同配置地市场环境的变化，选择将部分基金资产投资于港股或选择不将基金资产投资于港股，基金资产并非必然投资港股。</w:t>
      </w:r>
    </w:p>
    <w:p w:rsidR="000237F2" w:rsidRDefault="000237F2" w:rsidP="000237F2">
      <w:pPr>
        <w:pStyle w:val="-"/>
        <w:ind w:firstLine="420"/>
        <w:rPr>
          <w:rFonts w:hint="eastAsia"/>
        </w:rPr>
      </w:pPr>
      <w:r>
        <w:rPr>
          <w:rFonts w:hint="eastAsia"/>
        </w:rPr>
        <w:t>2</w:t>
      </w:r>
      <w:r>
        <w:rPr>
          <w:rFonts w:hint="eastAsia"/>
        </w:rPr>
        <w:t>、投资港股通股票的风险</w:t>
      </w:r>
    </w:p>
    <w:p w:rsidR="000237F2" w:rsidRDefault="000237F2" w:rsidP="000237F2">
      <w:pPr>
        <w:pStyle w:val="-"/>
        <w:ind w:firstLine="420"/>
        <w:rPr>
          <w:rFonts w:hint="eastAsia"/>
        </w:rPr>
      </w:pPr>
      <w:r>
        <w:rPr>
          <w:rFonts w:hint="eastAsia"/>
        </w:rPr>
        <w:t>本基金投资于法律法规规定范围内的香港联合交易所上市的股票。除了需要承担与境内证券投资基金类似的市场波动风险等一般投资风险之外，本基金还面临汇率风险、香港市场风险、市场制度以及交易规则不同等境外证券市场投资所面临的特有风险，包括但不限于：</w:t>
      </w:r>
    </w:p>
    <w:p w:rsidR="000237F2" w:rsidRDefault="000237F2" w:rsidP="000237F2">
      <w:pPr>
        <w:pStyle w:val="-"/>
        <w:ind w:firstLine="420"/>
        <w:rPr>
          <w:rFonts w:hint="eastAsia"/>
        </w:rPr>
      </w:pPr>
      <w:r>
        <w:rPr>
          <w:rFonts w:hint="eastAsia"/>
        </w:rPr>
        <w:t>（</w:t>
      </w:r>
      <w:r>
        <w:rPr>
          <w:rFonts w:hint="eastAsia"/>
        </w:rPr>
        <w:t>1</w:t>
      </w:r>
      <w:r>
        <w:rPr>
          <w:rFonts w:hint="eastAsia"/>
        </w:rPr>
        <w:t>）汇率风险</w:t>
      </w:r>
    </w:p>
    <w:p w:rsidR="000237F2" w:rsidRDefault="000237F2" w:rsidP="000237F2">
      <w:pPr>
        <w:pStyle w:val="-"/>
        <w:ind w:firstLine="420"/>
        <w:rPr>
          <w:rFonts w:hint="eastAsia"/>
        </w:rPr>
      </w:pPr>
      <w:r>
        <w:rPr>
          <w:rFonts w:hint="eastAsia"/>
        </w:rPr>
        <w:t>在现行港股通机制下，港股的买卖是以港币报价，以人民币进行支付，并且资金不留港（港股交易后结算的净资金余额头寸以换汇的方式兑换为人民币），故本基金每日的港股买卖结算将进行相应的港币兑人民币的换汇操作，本基金承担港元对人民币汇率波动的风险，以及因汇率大幅波动引起账户透支的风险。另外本基金对港股买卖每日结算中所采用的报价汇率可能存在报价差异，本基金可能需额外承担买卖结算汇率报价点差所带来的损失；同时根据港股通的规则设定，本基金在每日买卖港股申请时将参考汇率买入</w:t>
      </w:r>
      <w:r>
        <w:rPr>
          <w:rFonts w:hint="eastAsia"/>
        </w:rPr>
        <w:t>/</w:t>
      </w:r>
      <w:r>
        <w:rPr>
          <w:rFonts w:hint="eastAsia"/>
        </w:rPr>
        <w:t>卖出价冻</w:t>
      </w:r>
      <w:r>
        <w:rPr>
          <w:rFonts w:hint="eastAsia"/>
        </w:rPr>
        <w:lastRenderedPageBreak/>
        <w:t>结相应的资金，该参考汇率买入价和卖出价设定上存在比例差异，以抵御该日汇率波动而带来的结算风险，本基金将因此而遭遇资金被额外占用进而降低基金投资效率的风险。</w:t>
      </w:r>
    </w:p>
    <w:p w:rsidR="000237F2" w:rsidRDefault="000237F2" w:rsidP="000237F2">
      <w:pPr>
        <w:pStyle w:val="-"/>
        <w:ind w:firstLine="420"/>
        <w:rPr>
          <w:rFonts w:hint="eastAsia"/>
        </w:rPr>
      </w:pPr>
      <w:r>
        <w:rPr>
          <w:rFonts w:hint="eastAsia"/>
        </w:rPr>
        <w:t>（</w:t>
      </w:r>
      <w:r>
        <w:rPr>
          <w:rFonts w:hint="eastAsia"/>
        </w:rPr>
        <w:t>2</w:t>
      </w:r>
      <w:r>
        <w:rPr>
          <w:rFonts w:hint="eastAsia"/>
        </w:rPr>
        <w:t>）香港市场风险</w:t>
      </w:r>
    </w:p>
    <w:p w:rsidR="000237F2" w:rsidRDefault="000237F2" w:rsidP="000237F2">
      <w:pPr>
        <w:pStyle w:val="-"/>
        <w:ind w:firstLine="420"/>
        <w:rPr>
          <w:rFonts w:hint="eastAsia"/>
        </w:rPr>
      </w:pPr>
      <w:r>
        <w:rPr>
          <w:rFonts w:hint="eastAsia"/>
        </w:rPr>
        <w:t>与内地</w:t>
      </w:r>
      <w:r>
        <w:rPr>
          <w:rFonts w:hint="eastAsia"/>
        </w:rPr>
        <w:t xml:space="preserve"> A </w:t>
      </w:r>
      <w:r>
        <w:rPr>
          <w:rFonts w:hint="eastAsia"/>
        </w:rPr>
        <w:t>股市场相比，港股市场上外汇资金流动更为自由，海外资金的流动对港股价格的影响巨大，港股价格与海外资金流动表现出高度相关性，本基金在参与港股市场投资时受到全球宏观经济和货币政策变动等因素所导致的系统风险相对更大。加之香港市场结构性产品和衍生品种类相对丰富以及做空机制的存在，港股股价受到意外事件影响可能表现出比</w:t>
      </w:r>
      <w:r>
        <w:rPr>
          <w:rFonts w:hint="eastAsia"/>
        </w:rPr>
        <w:t xml:space="preserve">A </w:t>
      </w:r>
      <w:r>
        <w:rPr>
          <w:rFonts w:hint="eastAsia"/>
        </w:rPr>
        <w:t>股更为剧烈的股价波动。</w:t>
      </w:r>
    </w:p>
    <w:p w:rsidR="000237F2" w:rsidRDefault="000237F2" w:rsidP="000237F2">
      <w:pPr>
        <w:pStyle w:val="-"/>
        <w:ind w:firstLine="420"/>
        <w:rPr>
          <w:rFonts w:hint="eastAsia"/>
        </w:rPr>
      </w:pPr>
      <w:r>
        <w:rPr>
          <w:rFonts w:hint="eastAsia"/>
        </w:rPr>
        <w:t>（</w:t>
      </w:r>
      <w:r>
        <w:rPr>
          <w:rFonts w:hint="eastAsia"/>
        </w:rPr>
        <w:t>3</w:t>
      </w:r>
      <w:r>
        <w:rPr>
          <w:rFonts w:hint="eastAsia"/>
        </w:rPr>
        <w:t>）香港交易市场制度或规则不同带来的风险</w:t>
      </w:r>
    </w:p>
    <w:p w:rsidR="000237F2" w:rsidRDefault="000237F2" w:rsidP="000237F2">
      <w:pPr>
        <w:pStyle w:val="-"/>
        <w:ind w:firstLine="420"/>
        <w:rPr>
          <w:rFonts w:hint="eastAsia"/>
        </w:rPr>
      </w:pPr>
      <w:r>
        <w:rPr>
          <w:rFonts w:hint="eastAsia"/>
        </w:rPr>
        <w:t>香港市场交易规则有别于内地</w:t>
      </w:r>
      <w:r>
        <w:rPr>
          <w:rFonts w:hint="eastAsia"/>
        </w:rPr>
        <w:t xml:space="preserve"> A </w:t>
      </w:r>
      <w:r>
        <w:rPr>
          <w:rFonts w:hint="eastAsia"/>
        </w:rPr>
        <w:t>股市场规则，在“内地与香港股票市场交易互联互通机制”下参与香港股票投资还将面临包括但不限于如下特殊风险：</w:t>
      </w:r>
    </w:p>
    <w:p w:rsidR="000237F2" w:rsidRDefault="000237F2" w:rsidP="000237F2">
      <w:pPr>
        <w:pStyle w:val="-"/>
        <w:ind w:firstLine="420"/>
        <w:rPr>
          <w:rFonts w:hint="eastAsia"/>
        </w:rPr>
      </w:pPr>
      <w:r>
        <w:rPr>
          <w:rFonts w:hint="eastAsia"/>
        </w:rPr>
        <w:t>①港股市场实行</w:t>
      </w:r>
      <w:r>
        <w:rPr>
          <w:rFonts w:hint="eastAsia"/>
        </w:rPr>
        <w:t xml:space="preserve"> T+0 </w:t>
      </w:r>
      <w:r>
        <w:rPr>
          <w:rFonts w:hint="eastAsia"/>
        </w:rPr>
        <w:t>回转交易机制（即当日买入的股票，在交收前可以于当日卖出），同时对个股不设涨跌幅限制，因此每日涨跌幅空间相对较大；</w:t>
      </w:r>
    </w:p>
    <w:p w:rsidR="000237F2" w:rsidRDefault="000237F2" w:rsidP="000237F2">
      <w:pPr>
        <w:pStyle w:val="-"/>
        <w:ind w:firstLine="420"/>
        <w:rPr>
          <w:rFonts w:hint="eastAsia"/>
        </w:rPr>
      </w:pPr>
      <w:r>
        <w:rPr>
          <w:rFonts w:hint="eastAsia"/>
        </w:rPr>
        <w:t>②只有内地与香港均为交易日且能够满足结算安排的交易日才为港股通交易日；</w:t>
      </w:r>
    </w:p>
    <w:p w:rsidR="000237F2" w:rsidRDefault="000237F2" w:rsidP="000237F2">
      <w:pPr>
        <w:pStyle w:val="-"/>
        <w:ind w:firstLine="420"/>
        <w:rPr>
          <w:rFonts w:hint="eastAsia"/>
        </w:rPr>
      </w:pPr>
      <w:r>
        <w:rPr>
          <w:rFonts w:hint="eastAsia"/>
        </w:rPr>
        <w:t>③香港出现台风、黑色暴雨或者香港联合交易所规定的其他情形时，香港联合交易所将可能停市，投资者将面临在停市期间无法进行港股通交易的风险；出现内地证券交易所证券交易服务公司认定的交易异常情况时，内地证券交易所证券交易服务公司将可能暂停提供部分或者全部港股通服务，投资者将面临在暂停服务期间无法进行港股通交易的风险。</w:t>
      </w:r>
    </w:p>
    <w:p w:rsidR="000237F2" w:rsidRDefault="000237F2" w:rsidP="000237F2">
      <w:pPr>
        <w:pStyle w:val="-"/>
        <w:ind w:firstLine="420"/>
        <w:rPr>
          <w:rFonts w:hint="eastAsia"/>
        </w:rPr>
      </w:pPr>
      <w:r>
        <w:rPr>
          <w:rFonts w:hint="eastAsia"/>
        </w:rPr>
        <w:t>④交收制度带来的基金流动性风险</w:t>
      </w:r>
    </w:p>
    <w:p w:rsidR="000237F2" w:rsidRDefault="000237F2" w:rsidP="000237F2">
      <w:pPr>
        <w:pStyle w:val="-"/>
        <w:ind w:firstLine="420"/>
        <w:rPr>
          <w:rFonts w:hint="eastAsia"/>
        </w:rPr>
      </w:pPr>
      <w:r>
        <w:rPr>
          <w:rFonts w:hint="eastAsia"/>
        </w:rPr>
        <w:t>由于香港市场实行</w:t>
      </w:r>
      <w:r>
        <w:rPr>
          <w:rFonts w:hint="eastAsia"/>
        </w:rPr>
        <w:t xml:space="preserve"> T+2 </w:t>
      </w:r>
      <w:r>
        <w:rPr>
          <w:rFonts w:hint="eastAsia"/>
        </w:rPr>
        <w:t>日（</w:t>
      </w:r>
      <w:r>
        <w:rPr>
          <w:rFonts w:hint="eastAsia"/>
        </w:rPr>
        <w:t xml:space="preserve">T </w:t>
      </w:r>
      <w:r>
        <w:rPr>
          <w:rFonts w:hint="eastAsia"/>
        </w:rPr>
        <w:t>日买卖股票，资金和股票在</w:t>
      </w:r>
      <w:r>
        <w:rPr>
          <w:rFonts w:hint="eastAsia"/>
        </w:rPr>
        <w:t xml:space="preserve"> T+2 </w:t>
      </w:r>
      <w:r>
        <w:rPr>
          <w:rFonts w:hint="eastAsia"/>
        </w:rPr>
        <w:t>日才进行交收）的交收安排，本基金在</w:t>
      </w:r>
      <w:r>
        <w:rPr>
          <w:rFonts w:hint="eastAsia"/>
        </w:rPr>
        <w:t xml:space="preserve"> T </w:t>
      </w:r>
      <w:r>
        <w:rPr>
          <w:rFonts w:hint="eastAsia"/>
        </w:rPr>
        <w:t>日（港股通交易日）卖出股票，</w:t>
      </w:r>
      <w:r>
        <w:rPr>
          <w:rFonts w:hint="eastAsia"/>
        </w:rPr>
        <w:t xml:space="preserve">T+2 </w:t>
      </w:r>
      <w:r>
        <w:rPr>
          <w:rFonts w:hint="eastAsia"/>
        </w:rPr>
        <w:t>日（港股通交易日，即为卖出当日之后第二个港股通交易日）才能在香港市场完成清算交收，卖出的资金在</w:t>
      </w:r>
      <w:r>
        <w:rPr>
          <w:rFonts w:hint="eastAsia"/>
        </w:rPr>
        <w:t xml:space="preserve"> T+3 </w:t>
      </w:r>
      <w:r>
        <w:rPr>
          <w:rFonts w:hint="eastAsia"/>
        </w:rPr>
        <w:t>日才能回到人民币资金账户。因此交收制度的不同以及港股通交易日的设定原因，本基金可能面临卖出港股后资金不能及时到账，而造成支付赎回款日期比正常情况延后而给投资者带来流动性风险，同时也存在不能及时调整基金资产组合中港股投资比例，造成比例超标的风险。</w:t>
      </w:r>
    </w:p>
    <w:p w:rsidR="000237F2" w:rsidRDefault="000237F2" w:rsidP="000237F2">
      <w:pPr>
        <w:pStyle w:val="-"/>
        <w:ind w:firstLine="420"/>
        <w:rPr>
          <w:rFonts w:hint="eastAsia"/>
        </w:rPr>
      </w:pPr>
      <w:r>
        <w:rPr>
          <w:rFonts w:hint="eastAsia"/>
        </w:rPr>
        <w:t>⑤香港联合交易所停牌、退市等制度性差异带来的风险</w:t>
      </w:r>
    </w:p>
    <w:p w:rsidR="000237F2" w:rsidRDefault="000237F2" w:rsidP="000237F2">
      <w:pPr>
        <w:pStyle w:val="-"/>
        <w:ind w:firstLine="420"/>
        <w:rPr>
          <w:rFonts w:hint="eastAsia"/>
        </w:rPr>
      </w:pPr>
      <w:r>
        <w:rPr>
          <w:rFonts w:hint="eastAsia"/>
        </w:rPr>
        <w:t>香港联合交易所规定，在交易所认为所要求的停牌合理而且必要时，上市公司方可采取停牌措施。此外，不同于内地</w:t>
      </w:r>
      <w:r>
        <w:rPr>
          <w:rFonts w:hint="eastAsia"/>
        </w:rPr>
        <w:t xml:space="preserve"> A </w:t>
      </w:r>
      <w:r>
        <w:rPr>
          <w:rFonts w:hint="eastAsia"/>
        </w:rPr>
        <w:t>股市场的停牌制度，香港联合交易所对停牌的具体时长并没有量化规定，只是确定了“尽量缩短停牌时间”的原则；同时与</w:t>
      </w:r>
      <w:r>
        <w:rPr>
          <w:rFonts w:hint="eastAsia"/>
        </w:rPr>
        <w:t xml:space="preserve"> A </w:t>
      </w:r>
      <w:r>
        <w:rPr>
          <w:rFonts w:hint="eastAsia"/>
        </w:rPr>
        <w:t>股市场对存在退市可能的上市公司根据其财务状况在证券简称前加入相应标记（例如，</w:t>
      </w:r>
      <w:r>
        <w:rPr>
          <w:rFonts w:hint="eastAsia"/>
        </w:rPr>
        <w:t xml:space="preserve">ST </w:t>
      </w:r>
      <w:r>
        <w:rPr>
          <w:rFonts w:hint="eastAsia"/>
        </w:rPr>
        <w:t>及</w:t>
      </w:r>
      <w:r>
        <w:rPr>
          <w:rFonts w:hint="eastAsia"/>
        </w:rPr>
        <w:t xml:space="preserve">*ST </w:t>
      </w:r>
      <w:r>
        <w:rPr>
          <w:rFonts w:hint="eastAsia"/>
        </w:rPr>
        <w:t>等标记）以警示投资者风险的做法不同，在香港联合交易所市场没有风险警示板，香港联合交易所采用非量化的退市标准且在上市公司退市过程中拥有相对较大的主导权，使得香港联合交易所上市公司的退市情形较</w:t>
      </w:r>
      <w:r>
        <w:rPr>
          <w:rFonts w:hint="eastAsia"/>
        </w:rPr>
        <w:t xml:space="preserve"> A </w:t>
      </w:r>
      <w:r>
        <w:rPr>
          <w:rFonts w:hint="eastAsia"/>
        </w:rPr>
        <w:t>股市场相对复杂。</w:t>
      </w:r>
    </w:p>
    <w:p w:rsidR="000237F2" w:rsidRDefault="000237F2" w:rsidP="000237F2">
      <w:pPr>
        <w:pStyle w:val="-"/>
        <w:ind w:firstLine="420"/>
        <w:rPr>
          <w:rFonts w:hint="eastAsia"/>
        </w:rPr>
      </w:pPr>
      <w:r>
        <w:rPr>
          <w:rFonts w:hint="eastAsia"/>
        </w:rPr>
        <w:t>因该等制度性差异，本基金可能存在因所持个股遭遇非预期性的停牌甚至退市而给基金带来损失的风险。</w:t>
      </w:r>
    </w:p>
    <w:p w:rsidR="000237F2" w:rsidRDefault="000237F2" w:rsidP="000237F2">
      <w:pPr>
        <w:pStyle w:val="-"/>
        <w:ind w:firstLine="420"/>
        <w:rPr>
          <w:rFonts w:hint="eastAsia"/>
        </w:rPr>
      </w:pPr>
      <w:r>
        <w:rPr>
          <w:rFonts w:hint="eastAsia"/>
        </w:rPr>
        <w:t>（</w:t>
      </w:r>
      <w:r>
        <w:rPr>
          <w:rFonts w:hint="eastAsia"/>
        </w:rPr>
        <w:t>4</w:t>
      </w:r>
      <w:r>
        <w:rPr>
          <w:rFonts w:hint="eastAsia"/>
        </w:rPr>
        <w:t>）港股通制度限制或调整带来的风险</w:t>
      </w:r>
    </w:p>
    <w:p w:rsidR="000237F2" w:rsidRDefault="000237F2" w:rsidP="000237F2">
      <w:pPr>
        <w:pStyle w:val="-"/>
        <w:ind w:firstLine="420"/>
        <w:rPr>
          <w:rFonts w:hint="eastAsia"/>
        </w:rPr>
      </w:pPr>
      <w:r>
        <w:rPr>
          <w:rFonts w:hint="eastAsia"/>
        </w:rPr>
        <w:t>①港股通额度限制</w:t>
      </w:r>
    </w:p>
    <w:p w:rsidR="000237F2" w:rsidRDefault="000237F2" w:rsidP="000237F2">
      <w:pPr>
        <w:pStyle w:val="-"/>
        <w:ind w:firstLine="420"/>
        <w:rPr>
          <w:rFonts w:hint="eastAsia"/>
        </w:rPr>
      </w:pPr>
      <w:r>
        <w:rPr>
          <w:rFonts w:hint="eastAsia"/>
        </w:rPr>
        <w:t>现行的港股通规则，对港股通设有每日额度上限的限制；本基金可能因为港股通市场每日额度不足，在香港联合交易所开市前阶段，新增的买单申报将面临失败的风险；在香港联合交易所持续交易时段或者收市竞价交易时段，当日本基金将面临不能通过港股通进行买入交易的风险。</w:t>
      </w:r>
    </w:p>
    <w:p w:rsidR="000237F2" w:rsidRDefault="000237F2" w:rsidP="000237F2">
      <w:pPr>
        <w:pStyle w:val="-"/>
        <w:ind w:firstLine="420"/>
        <w:rPr>
          <w:rFonts w:hint="eastAsia"/>
        </w:rPr>
      </w:pPr>
      <w:r>
        <w:rPr>
          <w:rFonts w:hint="eastAsia"/>
        </w:rPr>
        <w:t>②港股通可投资标的范围调整带来的风险</w:t>
      </w:r>
    </w:p>
    <w:p w:rsidR="000237F2" w:rsidRDefault="000237F2" w:rsidP="000237F2">
      <w:pPr>
        <w:pStyle w:val="-"/>
        <w:ind w:firstLine="420"/>
        <w:rPr>
          <w:rFonts w:hint="eastAsia"/>
        </w:rPr>
      </w:pPr>
      <w:r>
        <w:rPr>
          <w:rFonts w:hint="eastAsia"/>
        </w:rPr>
        <w:t>现行的港股通规则，对港股通下可投资的港股范围进行了限制，并定期或不定期根据范围限制规则对具体的可投资标的进行调整，对于调出在投资范围的港股，只能卖出不能</w:t>
      </w:r>
      <w:r>
        <w:rPr>
          <w:rFonts w:hint="eastAsia"/>
        </w:rPr>
        <w:lastRenderedPageBreak/>
        <w:t>买入；本基金可能因为港股通可投资标的范围的调整而不能再进行调出港股的买入交易风险及股价波动风险。</w:t>
      </w:r>
    </w:p>
    <w:p w:rsidR="000237F2" w:rsidRDefault="000237F2" w:rsidP="000237F2">
      <w:pPr>
        <w:pStyle w:val="-"/>
        <w:ind w:firstLine="420"/>
        <w:rPr>
          <w:rFonts w:hint="eastAsia"/>
        </w:rPr>
      </w:pPr>
      <w:r>
        <w:rPr>
          <w:rFonts w:hint="eastAsia"/>
        </w:rPr>
        <w:t>③港股通交易日设定的风险</w:t>
      </w:r>
    </w:p>
    <w:p w:rsidR="000237F2" w:rsidRDefault="000237F2" w:rsidP="000237F2">
      <w:pPr>
        <w:pStyle w:val="-"/>
        <w:ind w:firstLine="420"/>
        <w:rPr>
          <w:rFonts w:hint="eastAsia"/>
        </w:rPr>
      </w:pPr>
      <w:r>
        <w:rPr>
          <w:rFonts w:hint="eastAsia"/>
        </w:rPr>
        <w:t>根据现行的港股通规则，只有内地与香港均为交易日且能够满足结算安排的交易日才为港股通交易日，存在港股通交易日不连贯的情形（如内地市场因放假等原因休市而香港市场照常交易但港股通不能如常进行交易），而导致基金所持的港股组合在后续港股通交易日开市交易中集中体现市场反应而造成其价格波动骤然增大，进而导致本基金所持港股组合在资产估值上出现波动增大的风险。</w:t>
      </w:r>
    </w:p>
    <w:p w:rsidR="000237F2" w:rsidRDefault="000237F2" w:rsidP="000237F2">
      <w:pPr>
        <w:pStyle w:val="-"/>
        <w:ind w:firstLine="420"/>
        <w:rPr>
          <w:rFonts w:hint="eastAsia"/>
        </w:rPr>
      </w:pPr>
      <w:r>
        <w:rPr>
          <w:rFonts w:hint="eastAsia"/>
        </w:rPr>
        <w:t>④港股通下对公司行为的处理规则带来的风险</w:t>
      </w:r>
    </w:p>
    <w:p w:rsidR="000237F2" w:rsidRDefault="000237F2" w:rsidP="000237F2">
      <w:pPr>
        <w:pStyle w:val="-"/>
        <w:ind w:firstLine="420"/>
        <w:rPr>
          <w:rFonts w:hint="eastAsia"/>
        </w:rPr>
      </w:pPr>
      <w:r>
        <w:rPr>
          <w:rFonts w:hint="eastAsia"/>
        </w:rPr>
        <w:t>根据现行的港股通规则，本基金因所持港股通标的股票权益分派、转换、上市公司被收购等情形或者异常情况，所取得的港股通标的股票以外的香港联合交易所上市证券，只能通过港股通卖出，但不得买入；因港股通标的股票权益分派或者转换等情形取得的香港联合交易所上市股票的认购权利在香港联合交易所上市的，可以通过港股通卖出，但不得行权；因港股通标的股票权益分派、转换或者上市公司被收购等所取得的非香港联合交易所上市证券，可以享有相关权益，但不得通过港股通买入或卖出。本基金存在因上述规则，利益得不到最大化甚至受损的风险。</w:t>
      </w:r>
    </w:p>
    <w:p w:rsidR="000237F2" w:rsidRDefault="000237F2" w:rsidP="000237F2">
      <w:pPr>
        <w:pStyle w:val="-"/>
        <w:ind w:firstLine="420"/>
        <w:rPr>
          <w:rFonts w:hint="eastAsia"/>
        </w:rPr>
      </w:pPr>
      <w:r>
        <w:rPr>
          <w:rFonts w:hint="eastAsia"/>
        </w:rPr>
        <w:t>⑤代理投票</w:t>
      </w:r>
    </w:p>
    <w:p w:rsidR="000237F2" w:rsidRDefault="000237F2" w:rsidP="000237F2">
      <w:pPr>
        <w:pStyle w:val="-"/>
        <w:ind w:firstLine="420"/>
        <w:rPr>
          <w:rFonts w:hint="eastAsia"/>
        </w:rPr>
      </w:pPr>
      <w:r>
        <w:rPr>
          <w:rFonts w:hint="eastAsia"/>
        </w:rPr>
        <w:t>由于中国证券登记结算有限责任公司是在汇总投资者意愿后再向香港中央结算有限公司提交投票意愿，中国证券登记结算有限责任公司对投资者设定的意愿征集期比香港中央结算有限公司的征集期稍早结束；投票没有权益登记日的，以投票截止日的持有作为计算基准；投票数量超出持有数量的，按照比例分配持有基数。</w:t>
      </w:r>
    </w:p>
    <w:p w:rsidR="000237F2" w:rsidRDefault="000237F2" w:rsidP="000237F2">
      <w:pPr>
        <w:pStyle w:val="-"/>
        <w:ind w:firstLine="420"/>
        <w:rPr>
          <w:rFonts w:hint="eastAsia"/>
        </w:rPr>
      </w:pPr>
      <w:r>
        <w:rPr>
          <w:rFonts w:hint="eastAsia"/>
        </w:rPr>
        <w:t>（</w:t>
      </w:r>
      <w:r>
        <w:rPr>
          <w:rFonts w:hint="eastAsia"/>
        </w:rPr>
        <w:t>5</w:t>
      </w:r>
      <w:r>
        <w:rPr>
          <w:rFonts w:hint="eastAsia"/>
        </w:rPr>
        <w:t>）法律和政治风险</w:t>
      </w:r>
    </w:p>
    <w:p w:rsidR="000237F2" w:rsidRDefault="000237F2" w:rsidP="000237F2">
      <w:pPr>
        <w:pStyle w:val="-"/>
        <w:ind w:firstLine="420"/>
        <w:rPr>
          <w:rFonts w:hint="eastAsia"/>
        </w:rPr>
      </w:pPr>
      <w:r>
        <w:rPr>
          <w:rFonts w:hint="eastAsia"/>
        </w:rPr>
        <w:t>由于香港市场适用不同法律法规的原因，可能导致本基金的某些投资行为受到限制或合同不能正常执行，从而使得基金资产面临损失的可能性。此外，香港市场可能会不时采取某些管制措施，如资本或外汇管制、没收资产以及征收高额税收等，从而对基金收益以及基金资产带来不利影响。</w:t>
      </w:r>
    </w:p>
    <w:p w:rsidR="000237F2" w:rsidRDefault="000237F2" w:rsidP="000237F2">
      <w:pPr>
        <w:pStyle w:val="-"/>
        <w:ind w:firstLine="420"/>
        <w:rPr>
          <w:rFonts w:hint="eastAsia"/>
        </w:rPr>
      </w:pPr>
      <w:r>
        <w:rPr>
          <w:rFonts w:hint="eastAsia"/>
        </w:rPr>
        <w:t>（</w:t>
      </w:r>
      <w:r>
        <w:rPr>
          <w:rFonts w:hint="eastAsia"/>
        </w:rPr>
        <w:t>6</w:t>
      </w:r>
      <w:r>
        <w:rPr>
          <w:rFonts w:hint="eastAsia"/>
        </w:rPr>
        <w:t>）会计制度风险</w:t>
      </w:r>
    </w:p>
    <w:p w:rsidR="000237F2" w:rsidRDefault="000237F2" w:rsidP="000237F2">
      <w:pPr>
        <w:pStyle w:val="-"/>
        <w:ind w:firstLine="420"/>
        <w:rPr>
          <w:rFonts w:hint="eastAsia"/>
        </w:rPr>
      </w:pPr>
      <w:r>
        <w:rPr>
          <w:rFonts w:hint="eastAsia"/>
        </w:rPr>
        <w:t>香港市场对上市公司日常经营活动的会计处理、财务报表披露等会计核算标准的规定可能与境内存在一定差异，可能导致基金经理对公司盈利能力、投资价值的判断产生偏差，从而给本基金投资带来潜在风险。</w:t>
      </w:r>
    </w:p>
    <w:p w:rsidR="000237F2" w:rsidRDefault="000237F2" w:rsidP="000237F2">
      <w:pPr>
        <w:pStyle w:val="-"/>
        <w:ind w:firstLine="420"/>
        <w:rPr>
          <w:rFonts w:hint="eastAsia"/>
        </w:rPr>
      </w:pPr>
      <w:r>
        <w:rPr>
          <w:rFonts w:hint="eastAsia"/>
        </w:rPr>
        <w:t>（</w:t>
      </w:r>
      <w:r>
        <w:rPr>
          <w:rFonts w:hint="eastAsia"/>
        </w:rPr>
        <w:t>7</w:t>
      </w:r>
      <w:r>
        <w:rPr>
          <w:rFonts w:hint="eastAsia"/>
        </w:rPr>
        <w:t>）税务风险</w:t>
      </w:r>
    </w:p>
    <w:p w:rsidR="000237F2" w:rsidRDefault="000237F2" w:rsidP="000237F2">
      <w:pPr>
        <w:pStyle w:val="-"/>
        <w:ind w:firstLine="420"/>
        <w:rPr>
          <w:rFonts w:hint="eastAsia"/>
        </w:rPr>
      </w:pPr>
      <w:r>
        <w:rPr>
          <w:rFonts w:hint="eastAsia"/>
        </w:rPr>
        <w:t>香港市场在税务方面的法律法规可能与境内存在一定差异，可能会要求基金就股息、利息、资本利得等收益向当地税务机构缴纳税金，该行为会使基金收益受到一定影响。此外，香港市场的税收规定可能发生变化，或者实施具有追溯力的修订，从而导致基金向该市场所在地缴纳在基金销售、估值或者出售投资当日并未预计的额外税项。</w:t>
      </w:r>
    </w:p>
    <w:p w:rsidR="000237F2" w:rsidRDefault="000237F2" w:rsidP="000237F2">
      <w:pPr>
        <w:pStyle w:val="-"/>
        <w:ind w:firstLine="420"/>
        <w:rPr>
          <w:rFonts w:hint="eastAsia"/>
        </w:rPr>
      </w:pPr>
      <w:r>
        <w:rPr>
          <w:rFonts w:hint="eastAsia"/>
        </w:rPr>
        <w:t>3</w:t>
      </w:r>
      <w:r>
        <w:rPr>
          <w:rFonts w:hint="eastAsia"/>
        </w:rPr>
        <w:t>、本基金投资中小企业私募债券，中小企业私募债是根据相关法律法规由非上市中小企业采用非公开方式发行的债券。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0237F2" w:rsidRDefault="000237F2" w:rsidP="000237F2">
      <w:pPr>
        <w:pStyle w:val="-"/>
        <w:ind w:firstLine="420"/>
        <w:rPr>
          <w:rFonts w:hint="eastAsia"/>
        </w:rPr>
      </w:pPr>
      <w:r>
        <w:rPr>
          <w:rFonts w:hint="eastAsia"/>
        </w:rPr>
        <w:t>当发债主体信用质量恶化时，受市场流动性所限，本基金可能无法卖出所持有的中小企业私募债，由此可能给基金净值带来更大的负面影响和损失。</w:t>
      </w:r>
    </w:p>
    <w:p w:rsidR="000237F2" w:rsidRDefault="000237F2" w:rsidP="000237F2">
      <w:pPr>
        <w:pStyle w:val="-"/>
        <w:ind w:firstLine="420"/>
        <w:rPr>
          <w:rFonts w:hint="eastAsia"/>
        </w:rPr>
      </w:pPr>
      <w:r>
        <w:rPr>
          <w:rFonts w:hint="eastAsia"/>
        </w:rPr>
        <w:t>4</w:t>
      </w:r>
      <w:r>
        <w:rPr>
          <w:rFonts w:hint="eastAsia"/>
        </w:rPr>
        <w:t>、本基金投资股指期货的风险。</w:t>
      </w:r>
    </w:p>
    <w:p w:rsidR="000237F2" w:rsidRDefault="000237F2" w:rsidP="000237F2">
      <w:pPr>
        <w:pStyle w:val="-"/>
        <w:ind w:firstLine="420"/>
        <w:rPr>
          <w:rFonts w:hint="eastAsia"/>
        </w:rPr>
      </w:pPr>
      <w:r>
        <w:rPr>
          <w:rFonts w:hint="eastAsia"/>
        </w:rPr>
        <w:lastRenderedPageBreak/>
        <w:t>本基金可投资于股指期货，股指期货作为一种金融衍生品，主要存在以下风险：</w:t>
      </w:r>
    </w:p>
    <w:p w:rsidR="000237F2" w:rsidRDefault="000237F2" w:rsidP="000237F2">
      <w:pPr>
        <w:pStyle w:val="-"/>
        <w:ind w:firstLine="420"/>
        <w:rPr>
          <w:rFonts w:hint="eastAsia"/>
        </w:rPr>
      </w:pPr>
      <w:r>
        <w:rPr>
          <w:rFonts w:hint="eastAsia"/>
        </w:rPr>
        <w:t>（</w:t>
      </w:r>
      <w:r>
        <w:rPr>
          <w:rFonts w:hint="eastAsia"/>
        </w:rPr>
        <w:t>1</w:t>
      </w:r>
      <w:r>
        <w:rPr>
          <w:rFonts w:hint="eastAsia"/>
        </w:rPr>
        <w:t>）市场风险：是指由于股指期货价格变动而给投资者带来的风险。</w:t>
      </w:r>
    </w:p>
    <w:p w:rsidR="000237F2" w:rsidRDefault="000237F2" w:rsidP="000237F2">
      <w:pPr>
        <w:pStyle w:val="-"/>
        <w:ind w:firstLine="420"/>
        <w:rPr>
          <w:rFonts w:hint="eastAsia"/>
        </w:rPr>
      </w:pPr>
      <w:r>
        <w:rPr>
          <w:rFonts w:hint="eastAsia"/>
        </w:rPr>
        <w:t>（</w:t>
      </w:r>
      <w:r>
        <w:rPr>
          <w:rFonts w:hint="eastAsia"/>
        </w:rPr>
        <w:t>2</w:t>
      </w:r>
      <w:r>
        <w:rPr>
          <w:rFonts w:hint="eastAsia"/>
        </w:rPr>
        <w:t>）流动性风险：是指由于股指期货合约无法及时变现所带来的风险。</w:t>
      </w:r>
    </w:p>
    <w:p w:rsidR="000237F2" w:rsidRDefault="000237F2" w:rsidP="000237F2">
      <w:pPr>
        <w:pStyle w:val="-"/>
        <w:ind w:firstLine="420"/>
        <w:rPr>
          <w:rFonts w:hint="eastAsia"/>
        </w:rPr>
      </w:pPr>
      <w:r>
        <w:rPr>
          <w:rFonts w:hint="eastAsia"/>
        </w:rPr>
        <w:t>（</w:t>
      </w:r>
      <w:r>
        <w:rPr>
          <w:rFonts w:hint="eastAsia"/>
        </w:rPr>
        <w:t>3</w:t>
      </w:r>
      <w:r>
        <w:rPr>
          <w:rFonts w:hint="eastAsia"/>
        </w:rPr>
        <w:t>）基差风险：是指股指期货合约价格和标的指数价格之间的价格差的波动所造成的风险。</w:t>
      </w:r>
    </w:p>
    <w:p w:rsidR="000237F2" w:rsidRDefault="000237F2" w:rsidP="000237F2">
      <w:pPr>
        <w:pStyle w:val="-"/>
        <w:ind w:firstLine="420"/>
        <w:rPr>
          <w:rFonts w:hint="eastAsia"/>
        </w:rPr>
      </w:pPr>
      <w:r>
        <w:rPr>
          <w:rFonts w:hint="eastAsia"/>
        </w:rPr>
        <w:t>（</w:t>
      </w:r>
      <w:r>
        <w:rPr>
          <w:rFonts w:hint="eastAsia"/>
        </w:rPr>
        <w:t>4</w:t>
      </w:r>
      <w:r>
        <w:rPr>
          <w:rFonts w:hint="eastAsia"/>
        </w:rPr>
        <w:t>）保证金风险：是指由于无法及时筹措资金满足建立或者维持股指期货合约头寸所要求的保证金而带来的风险。</w:t>
      </w:r>
    </w:p>
    <w:p w:rsidR="000237F2" w:rsidRDefault="000237F2" w:rsidP="000237F2">
      <w:pPr>
        <w:pStyle w:val="-"/>
        <w:ind w:firstLine="420"/>
        <w:rPr>
          <w:rFonts w:hint="eastAsia"/>
        </w:rPr>
      </w:pPr>
      <w:r>
        <w:rPr>
          <w:rFonts w:hint="eastAsia"/>
        </w:rPr>
        <w:t>（</w:t>
      </w:r>
      <w:r>
        <w:rPr>
          <w:rFonts w:hint="eastAsia"/>
        </w:rPr>
        <w:t>5</w:t>
      </w:r>
      <w:r>
        <w:rPr>
          <w:rFonts w:hint="eastAsia"/>
        </w:rPr>
        <w:t>）杠杆风险：因股指期货采用保证金交易而存在杠杆，基金财产可能因此产生更大的收益波动。</w:t>
      </w:r>
    </w:p>
    <w:p w:rsidR="000237F2" w:rsidRDefault="000237F2" w:rsidP="000237F2">
      <w:pPr>
        <w:pStyle w:val="-"/>
        <w:ind w:firstLine="420"/>
        <w:rPr>
          <w:rFonts w:hint="eastAsia"/>
        </w:rPr>
      </w:pPr>
      <w:r>
        <w:rPr>
          <w:rFonts w:hint="eastAsia"/>
        </w:rPr>
        <w:t>（</w:t>
      </w:r>
      <w:r>
        <w:rPr>
          <w:rFonts w:hint="eastAsia"/>
        </w:rPr>
        <w:t>6</w:t>
      </w:r>
      <w:r>
        <w:rPr>
          <w:rFonts w:hint="eastAsia"/>
        </w:rPr>
        <w:t>）信用风险：是指期货经纪公司违约而产生损失的风险。</w:t>
      </w:r>
    </w:p>
    <w:p w:rsidR="000237F2" w:rsidRDefault="000237F2" w:rsidP="000237F2">
      <w:pPr>
        <w:pStyle w:val="-"/>
        <w:ind w:firstLine="420"/>
        <w:rPr>
          <w:rFonts w:hint="eastAsia"/>
        </w:rPr>
      </w:pPr>
      <w:r>
        <w:rPr>
          <w:rFonts w:hint="eastAsia"/>
        </w:rPr>
        <w:t>（</w:t>
      </w:r>
      <w:r>
        <w:rPr>
          <w:rFonts w:hint="eastAsia"/>
        </w:rPr>
        <w:t>7</w:t>
      </w:r>
      <w:r>
        <w:rPr>
          <w:rFonts w:hint="eastAsia"/>
        </w:rPr>
        <w:t>）操作风险：是指由于内部流程的不完善，业务人员出现差错或者疏漏，或者系统出现故障等原因造成损失的风险。</w:t>
      </w:r>
    </w:p>
    <w:p w:rsidR="000237F2" w:rsidRDefault="000237F2" w:rsidP="000237F2">
      <w:pPr>
        <w:pStyle w:val="-"/>
        <w:ind w:firstLine="420"/>
        <w:rPr>
          <w:rFonts w:hint="eastAsia"/>
        </w:rPr>
      </w:pPr>
      <w:r>
        <w:rPr>
          <w:rFonts w:hint="eastAsia"/>
        </w:rPr>
        <w:t>5</w:t>
      </w:r>
      <w:r>
        <w:rPr>
          <w:rFonts w:hint="eastAsia"/>
        </w:rPr>
        <w:t>、投资于存托凭证的风险</w:t>
      </w:r>
    </w:p>
    <w:p w:rsidR="000237F2" w:rsidRDefault="000237F2" w:rsidP="000237F2">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0237F2" w:rsidRDefault="000237F2" w:rsidP="000237F2">
      <w:pPr>
        <w:pStyle w:val="-"/>
        <w:ind w:firstLine="420"/>
        <w:rPr>
          <w:rFonts w:hint="eastAsia"/>
        </w:rPr>
      </w:pPr>
      <w:r>
        <w:rPr>
          <w:rFonts w:hint="eastAsia"/>
        </w:rPr>
        <w:t>6</w:t>
      </w:r>
      <w:r>
        <w:rPr>
          <w:rFonts w:hint="eastAsia"/>
        </w:rPr>
        <w:t>、本基金法律文件风险收益特征表述与销售机构基金风险评价可能不一致的风险：</w:t>
      </w:r>
    </w:p>
    <w:p w:rsidR="000237F2" w:rsidRDefault="000237F2" w:rsidP="000237F2">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0237F2" w:rsidRDefault="000237F2" w:rsidP="000237F2">
      <w:pPr>
        <w:pStyle w:val="-"/>
        <w:ind w:firstLine="420"/>
        <w:rPr>
          <w:rFonts w:hint="eastAsia"/>
        </w:rPr>
      </w:pPr>
      <w:r>
        <w:rPr>
          <w:rFonts w:hint="eastAsia"/>
        </w:rPr>
        <w:t>7</w:t>
      </w:r>
      <w:r>
        <w:rPr>
          <w:rFonts w:hint="eastAsia"/>
        </w:rPr>
        <w:t>、实施备用的流动性风险管理工具的情形、程序及对投资者的潜在影响：</w:t>
      </w:r>
    </w:p>
    <w:p w:rsidR="000237F2" w:rsidRDefault="000237F2" w:rsidP="000237F2">
      <w:pPr>
        <w:pStyle w:val="-"/>
        <w:ind w:firstLine="420"/>
        <w:rPr>
          <w:rFonts w:hint="eastAsia"/>
        </w:rPr>
      </w:pPr>
      <w:r>
        <w:rPr>
          <w:rFonts w:hint="eastAsia"/>
        </w:rPr>
        <w:t>本基金在面临大规模赎回的情况下有可能因为无法变现造成流动性风险。</w:t>
      </w:r>
    </w:p>
    <w:p w:rsidR="000237F2" w:rsidRDefault="000237F2" w:rsidP="000237F2">
      <w:pPr>
        <w:pStyle w:val="-"/>
        <w:ind w:firstLine="420"/>
        <w:rPr>
          <w:rFonts w:hint="eastAsia"/>
        </w:rPr>
      </w:pPr>
      <w:r>
        <w:rPr>
          <w:rFonts w:hint="eastAsia"/>
        </w:rPr>
        <w:t>如果出现流动性风险，基金管理人经与基金托管人协商，在确保投资者得到公平对待的前提下，可实施备用的流动性风险管理工具，包括但不限于暂停接受赎回申请、延缓支付赎回款项、收取短期赎回费、摆动定价、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rsidR="000237F2" w:rsidRDefault="000237F2" w:rsidP="000237F2">
      <w:pPr>
        <w:pStyle w:val="-"/>
        <w:ind w:firstLine="420"/>
        <w:rPr>
          <w:rFonts w:hint="eastAsia"/>
        </w:rPr>
      </w:pPr>
      <w:r>
        <w:rPr>
          <w:rFonts w:hint="eastAsia"/>
        </w:rPr>
        <w:t>8</w:t>
      </w:r>
      <w:r>
        <w:rPr>
          <w:rFonts w:hint="eastAsia"/>
        </w:rPr>
        <w:t>、实施侧袋机制对投资者的影响</w:t>
      </w:r>
    </w:p>
    <w:p w:rsidR="000237F2" w:rsidRDefault="000237F2" w:rsidP="000237F2">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w:t>
      </w:r>
      <w:r>
        <w:rPr>
          <w:rFonts w:hint="eastAsia"/>
        </w:rPr>
        <w:lastRenderedPageBreak/>
        <w:t>定性并且有可能大幅低于启用侧袋机制前特定资产的估值，基金份额持有人可能因此面临损失。</w:t>
      </w:r>
    </w:p>
    <w:p w:rsidR="000237F2" w:rsidRDefault="000237F2" w:rsidP="000237F2">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0237F2" w:rsidRDefault="000237F2" w:rsidP="000237F2">
      <w:pPr>
        <w:pStyle w:val="-"/>
        <w:ind w:firstLine="420"/>
        <w:rPr>
          <w:rFonts w:hint="eastAsia"/>
        </w:rPr>
      </w:pPr>
      <w:r>
        <w:rPr>
          <w:rFonts w:hint="eastAsia"/>
        </w:rPr>
        <w:t>基金管理人将根据主袋账户运作情况合理确定申购政策，因此实施侧袋机制后主袋账户份额存在暂停申购的可能。</w:t>
      </w:r>
    </w:p>
    <w:p w:rsidR="000237F2" w:rsidRDefault="000237F2" w:rsidP="000237F2">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0237F2" w:rsidRDefault="000237F2" w:rsidP="000237F2">
      <w:pPr>
        <w:pStyle w:val="-2"/>
        <w:spacing w:before="156" w:after="156"/>
        <w:rPr>
          <w:rFonts w:hint="eastAsia"/>
        </w:rPr>
      </w:pPr>
      <w:r>
        <w:rPr>
          <w:rFonts w:hint="eastAsia"/>
        </w:rPr>
        <w:t>（二）</w:t>
      </w:r>
      <w:r>
        <w:rPr>
          <w:rFonts w:hint="eastAsia"/>
        </w:rPr>
        <w:t xml:space="preserve"> </w:t>
      </w:r>
      <w:r>
        <w:rPr>
          <w:rFonts w:hint="eastAsia"/>
        </w:rPr>
        <w:t>重要提示</w:t>
      </w:r>
    </w:p>
    <w:p w:rsidR="000237F2" w:rsidRDefault="000237F2" w:rsidP="000237F2">
      <w:pPr>
        <w:pStyle w:val="-"/>
        <w:ind w:firstLine="420"/>
        <w:rPr>
          <w:rFonts w:hint="eastAsia"/>
        </w:rPr>
      </w:pPr>
      <w:r>
        <w:rPr>
          <w:rFonts w:hint="eastAsia"/>
        </w:rPr>
        <w:t>南方君信灵活配置混合型证券投资基金（以下简称“本基金”）</w:t>
      </w:r>
      <w:r>
        <w:rPr>
          <w:rFonts w:hint="eastAsia"/>
        </w:rPr>
        <w:t xml:space="preserve"> </w:t>
      </w:r>
      <w:r>
        <w:rPr>
          <w:rFonts w:hint="eastAsia"/>
        </w:rPr>
        <w:t>经中国证监会</w:t>
      </w:r>
      <w:r>
        <w:rPr>
          <w:rFonts w:hint="eastAsia"/>
        </w:rPr>
        <w:t>2018</w:t>
      </w:r>
      <w:r>
        <w:rPr>
          <w:rFonts w:hint="eastAsia"/>
        </w:rPr>
        <w:t>年</w:t>
      </w:r>
      <w:r>
        <w:rPr>
          <w:rFonts w:hint="eastAsia"/>
        </w:rPr>
        <w:t>2</w:t>
      </w:r>
      <w:r>
        <w:rPr>
          <w:rFonts w:hint="eastAsia"/>
        </w:rPr>
        <w:t>月</w:t>
      </w:r>
      <w:r>
        <w:rPr>
          <w:rFonts w:hint="eastAsia"/>
        </w:rPr>
        <w:t>28</w:t>
      </w:r>
      <w:r>
        <w:rPr>
          <w:rFonts w:hint="eastAsia"/>
        </w:rPr>
        <w:t>日证监许可</w:t>
      </w:r>
      <w:r>
        <w:rPr>
          <w:rFonts w:hint="eastAsia"/>
        </w:rPr>
        <w:t>[2018]358</w:t>
      </w:r>
      <w:r>
        <w:rPr>
          <w:rFonts w:hint="eastAsia"/>
        </w:rPr>
        <w:t>号文注册募集。中国证监会对本基金募集的注册，并不表明其对本基金的价值和收益作出实质性判断或保证，也不表明投资于本基金没有风险。</w:t>
      </w:r>
    </w:p>
    <w:p w:rsidR="000237F2" w:rsidRDefault="000237F2" w:rsidP="000237F2">
      <w:pPr>
        <w:pStyle w:val="-"/>
        <w:ind w:firstLine="420"/>
        <w:rPr>
          <w:rFonts w:hint="eastAsia"/>
        </w:rPr>
      </w:pPr>
      <w:r>
        <w:rPr>
          <w:rFonts w:hint="eastAsia"/>
        </w:rPr>
        <w:t>基金管理人依照恪尽职守、诚实信用、谨慎勤勉的原则管理和运用基金财产，但不保证基金一定盈利，也不保证最低收益。</w:t>
      </w:r>
    </w:p>
    <w:p w:rsidR="000237F2" w:rsidRDefault="000237F2" w:rsidP="000237F2">
      <w:pPr>
        <w:pStyle w:val="-"/>
        <w:ind w:firstLine="420"/>
        <w:rPr>
          <w:rFonts w:hint="eastAsia"/>
        </w:rPr>
      </w:pPr>
      <w:r>
        <w:rPr>
          <w:rFonts w:hint="eastAsia"/>
        </w:rPr>
        <w:t>基金投资者自依基金合同取得基金份额，即成为基金份额持有人和基金合同的当事人。</w:t>
      </w:r>
    </w:p>
    <w:p w:rsidR="000237F2" w:rsidRDefault="000237F2" w:rsidP="000237F2">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0237F2" w:rsidRDefault="000237F2" w:rsidP="000237F2">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0237F2" w:rsidRDefault="000237F2" w:rsidP="000237F2">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0237F2" w:rsidRDefault="000237F2" w:rsidP="000237F2">
      <w:pPr>
        <w:pStyle w:val="-1"/>
        <w:spacing w:before="156" w:after="156"/>
        <w:rPr>
          <w:rFonts w:hint="eastAsia"/>
        </w:rPr>
      </w:pPr>
      <w:r>
        <w:rPr>
          <w:rFonts w:hint="eastAsia"/>
        </w:rPr>
        <w:t>五、其他资料查询方式</w:t>
      </w:r>
    </w:p>
    <w:p w:rsidR="000237F2" w:rsidRDefault="000237F2" w:rsidP="000237F2">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0237F2" w:rsidRDefault="000237F2" w:rsidP="000237F2">
      <w:pPr>
        <w:pStyle w:val="-"/>
        <w:ind w:firstLine="420"/>
        <w:rPr>
          <w:rFonts w:hint="eastAsia"/>
        </w:rPr>
      </w:pPr>
      <w:r>
        <w:rPr>
          <w:rFonts w:hint="eastAsia"/>
        </w:rPr>
        <w:t>●《南方君信灵活配置混合型证券投资基金基金合同》、</w:t>
      </w:r>
    </w:p>
    <w:p w:rsidR="000237F2" w:rsidRDefault="000237F2" w:rsidP="000237F2">
      <w:pPr>
        <w:pStyle w:val="-"/>
        <w:ind w:firstLine="420"/>
        <w:rPr>
          <w:rFonts w:hint="eastAsia"/>
        </w:rPr>
      </w:pPr>
      <w:r>
        <w:rPr>
          <w:rFonts w:hint="eastAsia"/>
        </w:rPr>
        <w:t>《南方君信灵活配置混合型证券投资基金托管协议》、</w:t>
      </w:r>
    </w:p>
    <w:p w:rsidR="000237F2" w:rsidRDefault="000237F2" w:rsidP="000237F2">
      <w:pPr>
        <w:pStyle w:val="-"/>
        <w:ind w:firstLine="420"/>
        <w:rPr>
          <w:rFonts w:hint="eastAsia"/>
        </w:rPr>
      </w:pPr>
      <w:r>
        <w:rPr>
          <w:rFonts w:hint="eastAsia"/>
        </w:rPr>
        <w:t>《南方君信灵活配置混合型证券投资基金招募说明书》</w:t>
      </w:r>
    </w:p>
    <w:p w:rsidR="000237F2" w:rsidRDefault="000237F2" w:rsidP="000237F2">
      <w:pPr>
        <w:pStyle w:val="-"/>
        <w:ind w:firstLine="420"/>
        <w:rPr>
          <w:rFonts w:hint="eastAsia"/>
        </w:rPr>
      </w:pPr>
      <w:r>
        <w:rPr>
          <w:rFonts w:hint="eastAsia"/>
        </w:rPr>
        <w:t>●定期报告、包括基金季度报告、中期报告和年度报告</w:t>
      </w:r>
    </w:p>
    <w:p w:rsidR="000237F2" w:rsidRDefault="000237F2" w:rsidP="000237F2">
      <w:pPr>
        <w:pStyle w:val="-"/>
        <w:ind w:firstLine="420"/>
        <w:rPr>
          <w:rFonts w:hint="eastAsia"/>
        </w:rPr>
      </w:pPr>
      <w:r>
        <w:rPr>
          <w:rFonts w:hint="eastAsia"/>
        </w:rPr>
        <w:t>●基金份额净值</w:t>
      </w:r>
    </w:p>
    <w:p w:rsidR="000237F2" w:rsidRDefault="000237F2" w:rsidP="000237F2">
      <w:pPr>
        <w:pStyle w:val="-"/>
        <w:ind w:firstLine="420"/>
        <w:rPr>
          <w:rFonts w:hint="eastAsia"/>
        </w:rPr>
      </w:pPr>
      <w:r>
        <w:rPr>
          <w:rFonts w:hint="eastAsia"/>
        </w:rPr>
        <w:t>●基金销售机构及联系方式</w:t>
      </w:r>
    </w:p>
    <w:p w:rsidR="000237F2" w:rsidRDefault="000237F2" w:rsidP="000237F2">
      <w:pPr>
        <w:pStyle w:val="-"/>
        <w:ind w:firstLine="420"/>
        <w:rPr>
          <w:rFonts w:hint="eastAsia"/>
        </w:rPr>
      </w:pPr>
      <w:r>
        <w:rPr>
          <w:rFonts w:hint="eastAsia"/>
        </w:rPr>
        <w:t>●其他重要资料</w:t>
      </w:r>
    </w:p>
    <w:p w:rsidR="000237F2" w:rsidRDefault="000237F2" w:rsidP="000237F2">
      <w:pPr>
        <w:pStyle w:val="-1"/>
        <w:spacing w:before="156" w:after="156"/>
        <w:rPr>
          <w:rFonts w:hint="eastAsia"/>
        </w:rPr>
      </w:pPr>
      <w:r>
        <w:rPr>
          <w:rFonts w:hint="eastAsia"/>
        </w:rPr>
        <w:t>六、其他情况说明</w:t>
      </w:r>
    </w:p>
    <w:p w:rsidR="000237F2" w:rsidRDefault="000237F2" w:rsidP="000237F2">
      <w:pPr>
        <w:pStyle w:val="-"/>
        <w:ind w:firstLine="420"/>
        <w:rPr>
          <w:rFonts w:hint="eastAsia"/>
        </w:rPr>
      </w:pPr>
      <w:r>
        <w:rPr>
          <w:rFonts w:hint="eastAsia"/>
        </w:rPr>
        <w:t>暂无。</w:t>
      </w:r>
    </w:p>
    <w:p w:rsidR="00E67375" w:rsidRPr="00ED7F31" w:rsidRDefault="000237F2" w:rsidP="000237F2">
      <w:bookmarkStart w:id="0" w:name="_GoBack"/>
      <w:bookmarkEnd w:id="0"/>
      <w:r w:rsidRPr="00A84177">
        <w:t xml:space="preserve"> </w:t>
      </w:r>
    </w:p>
    <w:sectPr w:rsidR="00E67375"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788" w:rsidRDefault="00964788" w:rsidP="00C06F04">
      <w:r>
        <w:separator/>
      </w:r>
    </w:p>
  </w:endnote>
  <w:endnote w:type="continuationSeparator" w:id="0">
    <w:p w:rsidR="00964788" w:rsidRDefault="00964788"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7F2" w:rsidRDefault="000237F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97D" w:rsidRDefault="00FA097D">
    <w:pPr>
      <w:pStyle w:val="a7"/>
      <w:jc w:val="right"/>
    </w:pPr>
    <w:r>
      <w:fldChar w:fldCharType="begin"/>
    </w:r>
    <w:r>
      <w:instrText xml:space="preserve"> PAGE   \* MERGEFORMAT </w:instrText>
    </w:r>
    <w:r>
      <w:fldChar w:fldCharType="separate"/>
    </w:r>
    <w:r w:rsidR="000237F2" w:rsidRPr="000237F2">
      <w:rPr>
        <w:noProof/>
        <w:lang w:val="zh-CN"/>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7F2" w:rsidRDefault="000237F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788" w:rsidRDefault="00964788" w:rsidP="00C06F04">
      <w:r>
        <w:separator/>
      </w:r>
    </w:p>
  </w:footnote>
  <w:footnote w:type="continuationSeparator" w:id="0">
    <w:p w:rsidR="00964788" w:rsidRDefault="00964788"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7F2" w:rsidRDefault="000237F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7B7" w:rsidRDefault="000237F2" w:rsidP="00CE07B7">
    <w:pPr>
      <w:pStyle w:val="a6"/>
      <w:jc w:val="right"/>
    </w:pPr>
    <w:r>
      <w:rPr>
        <w:rFonts w:hint="eastAsia"/>
      </w:rPr>
      <w:t>南方君信灵活配置混合型证券投资基金（</w:t>
    </w:r>
    <w:r>
      <w:rPr>
        <w:rFonts w:hint="eastAsia"/>
      </w:rPr>
      <w:t>A</w:t>
    </w:r>
    <w:r>
      <w:rPr>
        <w:rFonts w:hint="eastAsia"/>
      </w:rPr>
      <w:t>类份额）基金产品资料概要（更新）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7F2" w:rsidRDefault="000237F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237F2"/>
    <w:rsid w:val="00045B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0">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5">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60601-B824-4B8A-81C8-43BF52582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1226</Words>
  <Characters>6994</Characters>
  <Application>Microsoft Office Word</Application>
  <DocSecurity>0</DocSecurity>
  <Lines>58</Lines>
  <Paragraphs>16</Paragraphs>
  <ScaleCrop>false</ScaleCrop>
  <Company>MC SYSTEM</Company>
  <LinksUpToDate>false</LinksUpToDate>
  <CharactersWithSpaces>8204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cp:lastModifiedBy>nfuser</cp:lastModifiedBy>
  <cp:revision>2</cp:revision>
  <dcterms:created xsi:type="dcterms:W3CDTF">2022-06-10T08:54:00Z</dcterms:created>
  <dcterms:modified xsi:type="dcterms:W3CDTF">2022-06-10T08:54:00Z</dcterms:modified>
</cp:coreProperties>
</file>