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博时安盈债券型证券投资基金分红公告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2022年6月17日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2"/>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博时安盈债券型证券投资基金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博时安盈债券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2013年4月23日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《中华人民共和国证券投资基金法》、《公开募集证券投资基金运作管理办法》、《博时安盈债券型证券投资基金基金合同》、《博时安盈债券型证券投资基金招募说明书》等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2022年6月13日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下属基金份额的基金简称</w:t>
            </w:r>
          </w:p>
        </w:tc>
        <w:tc>
          <w:tcPr>
            <w:tcW w:w="2841" w:type="dxa"/>
            <w:vAlign w:val="center"/>
          </w:tcPr>
          <w:p>
            <w:pPr>
              <w:rPr>
                <w:rFonts w:ascii="宋体" w:hAnsi="宋体" w:eastAsia="宋体"/>
              </w:rPr>
            </w:pPr>
            <w:r>
              <w:rPr>
                <w:rFonts w:hint="eastAsia" w:ascii="宋体" w:hAnsi="宋体" w:eastAsia="宋体"/>
              </w:rPr>
              <w:t>博时安盈债券</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博时安盈债券</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下属基金份额的交易代码</w:t>
            </w:r>
          </w:p>
        </w:tc>
        <w:tc>
          <w:tcPr>
            <w:tcW w:w="2841" w:type="dxa"/>
            <w:vAlign w:val="center"/>
          </w:tcPr>
          <w:p>
            <w:pPr>
              <w:rPr>
                <w:rFonts w:ascii="宋体" w:hAnsi="宋体" w:eastAsia="宋体"/>
              </w:rPr>
            </w:pPr>
            <w:r>
              <w:rPr>
                <w:rFonts w:ascii="宋体" w:hAnsi="宋体" w:eastAsia="宋体"/>
              </w:rPr>
              <w:t>000084</w:t>
            </w:r>
          </w:p>
        </w:tc>
        <w:tc>
          <w:tcPr>
            <w:tcW w:w="2841" w:type="dxa"/>
            <w:vAlign w:val="center"/>
          </w:tcPr>
          <w:p>
            <w:pPr>
              <w:rPr>
                <w:rFonts w:ascii="宋体" w:hAnsi="宋体" w:eastAsia="宋体"/>
              </w:rPr>
            </w:pPr>
            <w:r>
              <w:rPr>
                <w:rFonts w:ascii="宋体" w:hAnsi="宋体" w:eastAsia="宋体"/>
              </w:rPr>
              <w:t>000085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rPr>
                <w:rFonts w:ascii="宋体" w:hAnsi="宋体" w:eastAsia="宋体"/>
              </w:rPr>
            </w:pPr>
            <w:r>
              <w:rPr>
                <w:rFonts w:hint="eastAsia" w:ascii="宋体" w:hAnsi="宋体" w:eastAsia="宋体"/>
              </w:rPr>
              <w:t>截止基准日下属基金份额的相关指标</w:t>
            </w:r>
          </w:p>
        </w:tc>
        <w:tc>
          <w:tcPr>
            <w:tcW w:w="1420" w:type="dxa"/>
            <w:vAlign w:val="center"/>
          </w:tcPr>
          <w:p>
            <w:pPr>
              <w:rPr>
                <w:rFonts w:ascii="宋体" w:hAnsi="宋体" w:eastAsia="宋体"/>
              </w:rPr>
            </w:pPr>
            <w:r>
              <w:rPr>
                <w:rFonts w:hint="eastAsia" w:ascii="宋体" w:hAnsi="宋体" w:eastAsia="宋体"/>
              </w:rPr>
              <w:t>基准日下属基金份额份额净值（单位：元）</w:t>
            </w:r>
          </w:p>
        </w:tc>
        <w:tc>
          <w:tcPr>
            <w:tcW w:w="2841" w:type="dxa"/>
            <w:vAlign w:val="center"/>
          </w:tcPr>
          <w:p>
            <w:pPr>
              <w:rPr>
                <w:rFonts w:ascii="宋体" w:hAnsi="宋体" w:eastAsia="宋体"/>
              </w:rPr>
            </w:pPr>
            <w:r>
              <w:rPr>
                <w:rFonts w:ascii="宋体" w:hAnsi="宋体" w:eastAsia="宋体"/>
              </w:rPr>
              <w:t>1.2892</w:t>
            </w:r>
          </w:p>
        </w:tc>
        <w:tc>
          <w:tcPr>
            <w:tcW w:w="2841" w:type="dxa"/>
            <w:vAlign w:val="center"/>
          </w:tcPr>
          <w:p>
            <w:pPr>
              <w:rPr>
                <w:rFonts w:ascii="宋体" w:hAnsi="宋体" w:eastAsia="宋体"/>
              </w:rPr>
            </w:pPr>
            <w:r>
              <w:rPr>
                <w:rFonts w:ascii="宋体" w:hAnsi="宋体" w:eastAsia="宋体"/>
              </w:rPr>
              <w:t>1.2562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基准日下属基金份额可供分配利润（单位：元）</w:t>
            </w:r>
          </w:p>
        </w:tc>
        <w:tc>
          <w:tcPr>
            <w:tcW w:w="2841" w:type="dxa"/>
            <w:vAlign w:val="center"/>
          </w:tcPr>
          <w:p>
            <w:pPr>
              <w:rPr>
                <w:rFonts w:ascii="宋体" w:hAnsi="宋体" w:eastAsia="宋体"/>
              </w:rPr>
            </w:pPr>
            <w:r>
              <w:rPr>
                <w:rFonts w:ascii="宋体" w:hAnsi="宋体" w:eastAsia="宋体"/>
              </w:rPr>
              <w:t>2,802,847,587.67</w:t>
            </w:r>
          </w:p>
        </w:tc>
        <w:tc>
          <w:tcPr>
            <w:tcW w:w="2841" w:type="dxa"/>
            <w:vAlign w:val="center"/>
          </w:tcPr>
          <w:p>
            <w:pPr>
              <w:rPr>
                <w:rFonts w:ascii="宋体" w:hAnsi="宋体" w:eastAsia="宋体"/>
              </w:rPr>
            </w:pPr>
            <w:r>
              <w:rPr>
                <w:rFonts w:ascii="宋体" w:hAnsi="宋体" w:eastAsia="宋体"/>
              </w:rPr>
              <w:t>1,109,334,594.50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ascii="宋体" w:hAnsi="宋体" w:eastAsia="宋体"/>
              </w:rPr>
            </w:pPr>
            <w:r>
              <w:rPr>
                <w:rFonts w:ascii="宋体" w:hAnsi="宋体" w:eastAsia="宋体"/>
              </w:rPr>
              <w:t>-</w:t>
            </w:r>
          </w:p>
        </w:tc>
        <w:tc>
          <w:tcPr>
            <w:tcW w:w="2841" w:type="dxa"/>
            <w:vAlign w:val="center"/>
          </w:tcPr>
          <w:p>
            <w:pPr>
              <w:rPr>
                <w:rFonts w:ascii="宋体" w:hAnsi="宋体" w:eastAsia="宋体"/>
              </w:rPr>
            </w:pPr>
            <w:r>
              <w:rPr>
                <w:rFonts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本次下属基金份额分红方案（单位：元</w:t>
            </w:r>
            <w:r>
              <w:rPr>
                <w:rFonts w:ascii="宋体" w:hAnsi="宋体" w:eastAsia="宋体"/>
              </w:rPr>
              <w:t>/10份基金份额）</w:t>
            </w:r>
          </w:p>
        </w:tc>
        <w:tc>
          <w:tcPr>
            <w:tcW w:w="2841" w:type="dxa"/>
            <w:vAlign w:val="center"/>
          </w:tcPr>
          <w:p>
            <w:pPr>
              <w:rPr>
                <w:rFonts w:ascii="宋体" w:hAnsi="宋体" w:eastAsia="宋体"/>
              </w:rPr>
            </w:pPr>
            <w:r>
              <w:rPr>
                <w:rFonts w:ascii="宋体" w:hAnsi="宋体" w:eastAsia="宋体"/>
              </w:rPr>
              <w:t>0.0800</w:t>
            </w:r>
          </w:p>
        </w:tc>
        <w:tc>
          <w:tcPr>
            <w:tcW w:w="2841" w:type="dxa"/>
            <w:vAlign w:val="center"/>
          </w:tcPr>
          <w:p>
            <w:pPr>
              <w:rPr>
                <w:rFonts w:ascii="宋体" w:hAnsi="宋体" w:eastAsia="宋体"/>
              </w:rPr>
            </w:pPr>
            <w:r>
              <w:rPr>
                <w:rFonts w:ascii="宋体" w:hAnsi="宋体" w:eastAsia="宋体"/>
              </w:rPr>
              <w:t>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2022年度的第3次分红</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本基金A类基金份额每10份基金份额发放红利0.0800元人民币，本基金C类基金份额每10份基金份额发放红利0.0700元人民币。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权益登记日</w:t>
            </w:r>
          </w:p>
        </w:tc>
        <w:tc>
          <w:tcPr>
            <w:tcW w:w="5682" w:type="dxa"/>
            <w:vAlign w:val="center"/>
          </w:tcPr>
          <w:p>
            <w:pPr>
              <w:rPr>
                <w:rFonts w:ascii="宋体" w:hAnsi="宋体" w:eastAsia="宋体"/>
                <w:sz w:val="21"/>
                <w:szCs w:val="21"/>
              </w:rPr>
            </w:pPr>
            <w:r>
              <w:rPr>
                <w:rFonts w:ascii="宋体" w:hAnsi="宋体" w:eastAsia="宋体"/>
                <w:sz w:val="21"/>
                <w:szCs w:val="21"/>
              </w:rPr>
              <w:t>2022年6月21日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除息日</w:t>
            </w:r>
          </w:p>
        </w:tc>
        <w:tc>
          <w:tcPr>
            <w:tcW w:w="5682" w:type="dxa"/>
            <w:vAlign w:val="center"/>
          </w:tcPr>
          <w:p>
            <w:pPr>
              <w:rPr>
                <w:rFonts w:ascii="宋体" w:hAnsi="宋体" w:eastAsia="宋体"/>
                <w:sz w:val="21"/>
                <w:szCs w:val="21"/>
              </w:rPr>
            </w:pPr>
            <w:r>
              <w:rPr>
                <w:rFonts w:ascii="宋体" w:hAnsi="宋体" w:eastAsia="宋体"/>
                <w:sz w:val="21"/>
                <w:szCs w:val="21"/>
              </w:rPr>
              <w:t>2022年6月21日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现金红利发放日</w:t>
            </w:r>
          </w:p>
        </w:tc>
        <w:tc>
          <w:tcPr>
            <w:tcW w:w="5682" w:type="dxa"/>
            <w:vAlign w:val="center"/>
          </w:tcPr>
          <w:p>
            <w:pPr>
              <w:rPr>
                <w:rFonts w:ascii="宋体" w:hAnsi="宋体" w:eastAsia="宋体"/>
                <w:sz w:val="21"/>
                <w:szCs w:val="21"/>
              </w:rPr>
            </w:pPr>
            <w:r>
              <w:rPr>
                <w:rFonts w:ascii="宋体" w:hAnsi="宋体" w:eastAsia="宋体"/>
                <w:sz w:val="21"/>
                <w:szCs w:val="21"/>
              </w:rPr>
              <w:t>2022年6月23日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分红对象</w:t>
            </w:r>
          </w:p>
        </w:tc>
        <w:tc>
          <w:tcPr>
            <w:tcW w:w="5682" w:type="dxa"/>
            <w:vAlign w:val="center"/>
          </w:tcPr>
          <w:p>
            <w:pPr>
              <w:rPr>
                <w:rFonts w:ascii="宋体" w:hAnsi="宋体" w:eastAsia="宋体"/>
                <w:sz w:val="21"/>
                <w:szCs w:val="21"/>
              </w:rPr>
            </w:pPr>
            <w:r>
              <w:rPr>
                <w:rFonts w:hint="eastAsia" w:ascii="宋体" w:hAnsi="宋体" w:eastAsia="宋体"/>
                <w:sz w:val="21"/>
                <w:szCs w:val="21"/>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红利再投资相关事项的说明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选择红利再投资方式的投资者所转换的基金份额将以</w:t>
            </w:r>
            <w:r>
              <w:rPr>
                <w:rFonts w:ascii="宋体" w:hAnsi="宋体" w:eastAsia="宋体"/>
                <w:sz w:val="21"/>
                <w:szCs w:val="21"/>
              </w:rPr>
              <w:t>2022年6月21日的基金份额净值为计算基准确定再投资份额，红利再投资所转换的基金份额于2022年6月22日直接划入其基金账户，2022年6月23日起投资者可以查询、赎回。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税收相关事项的说明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根据财政部、国家税务总局的财税</w:t>
            </w:r>
            <w:r>
              <w:rPr>
                <w:rFonts w:ascii="宋体" w:hAnsi="宋体" w:eastAsia="宋体"/>
                <w:sz w:val="21"/>
                <w:szCs w:val="21"/>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sz w:val="21"/>
                <w:szCs w:val="21"/>
              </w:rPr>
            </w:pPr>
            <w:r>
              <w:rPr>
                <w:rFonts w:hint="eastAsia" w:ascii="宋体" w:hAnsi="宋体" w:eastAsia="宋体"/>
                <w:sz w:val="21"/>
                <w:szCs w:val="21"/>
              </w:rPr>
              <w:t>费用相关事项的说明</w:t>
            </w:r>
          </w:p>
        </w:tc>
        <w:tc>
          <w:tcPr>
            <w:tcW w:w="5682" w:type="dxa"/>
            <w:vAlign w:val="center"/>
          </w:tcPr>
          <w:p>
            <w:pPr>
              <w:rPr>
                <w:rFonts w:ascii="宋体" w:hAnsi="宋体" w:eastAsia="宋体"/>
                <w:sz w:val="21"/>
                <w:szCs w:val="21"/>
              </w:rPr>
            </w:pPr>
            <w:r>
              <w:rPr>
                <w:rFonts w:hint="eastAsia" w:ascii="宋体" w:hAnsi="宋体" w:eastAsia="宋体"/>
                <w:sz w:val="21"/>
                <w:szCs w:val="21"/>
              </w:rPr>
              <w:t>本基金本次分红免收分红手续费。选择红利再投资方式的投资者其红利所转换的基金份额免收申购费用。</w:t>
            </w:r>
          </w:p>
        </w:tc>
      </w:tr>
    </w:tbl>
    <w:p>
      <w:pPr>
        <w:rPr>
          <w:sz w:val="21"/>
          <w:szCs w:val="21"/>
        </w:rPr>
      </w:pPr>
    </w:p>
    <w:p>
      <w:pPr>
        <w:pStyle w:val="2"/>
        <w:rPr>
          <w:rFonts w:hint="eastAsia" w:ascii="宋体" w:hAnsi="宋体" w:eastAsia="宋体"/>
          <w:sz w:val="21"/>
        </w:rPr>
      </w:pPr>
      <w:r>
        <w:rPr>
          <w:rFonts w:hint="eastAsia" w:ascii="宋体" w:hAnsi="宋体" w:eastAsia="宋体"/>
          <w:sz w:val="21"/>
        </w:rPr>
        <w:t>3 其他需要提示的事项</w:t>
      </w:r>
      <w:bookmarkStart w:id="0" w:name="_GoBack"/>
      <w:bookmarkEnd w:id="0"/>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6月21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（4）若投资者选择红利再投资方式并在2022年6月21日申请赎回基金份额的，其账户余额（包括红利再投资份额）低于1份时，本基金将自动计算其分红收益，并与赎回款一起以现金形式支付。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2022年6月17日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88"/>
    <w:rsid w:val="000A0B60"/>
    <w:rsid w:val="000B2788"/>
    <w:rsid w:val="66323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250</Words>
  <Characters>1430</Characters>
  <Lines>11</Lines>
  <Paragraphs>3</Paragraphs>
  <TotalTime>0</TotalTime>
  <ScaleCrop>false</ScaleCrop>
  <LinksUpToDate>false</LinksUpToDate>
  <CharactersWithSpaces>1677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2022-06-15T07:24:00Z</dcterms:created>
  <dc:creator>BSKMadminDev</dc:creator>
  <cp:lastModifiedBy>fuxj</cp:lastModifiedBy>
  <dcterms:modified xsi:type="dcterms:W3CDTF">2022-06-15T07:28:52Z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F35D8053A70A4E778CCD8440680EF82C</vt:lpwstr>
  </property>
</Properties>
</file>