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5A4" w:rsidRPr="001C46F3" w:rsidRDefault="001657E2"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南方恒庆一年定期开放债券型证券投资基金基金产品资料概要（更新）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1657E2">
        <w:rPr>
          <w:rFonts w:ascii="仿宋" w:hAnsi="仿宋"/>
          <w:color w:val="000000" w:themeColor="text1"/>
          <w:sz w:val="24"/>
          <w:szCs w:val="24"/>
        </w:rPr>
        <w:t>2022年5月18日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1657E2">
        <w:rPr>
          <w:rFonts w:ascii="仿宋" w:hAnsi="仿宋"/>
          <w:color w:val="000000" w:themeColor="text1"/>
          <w:sz w:val="24"/>
          <w:szCs w:val="24"/>
        </w:rPr>
        <w:t>2022年6月17日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1657E2" w:rsidRDefault="001657E2" w:rsidP="001657E2">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1657E2" w:rsidTr="001657E2">
        <w:tc>
          <w:tcPr>
            <w:tcW w:w="2076" w:type="dxa"/>
          </w:tcPr>
          <w:p w:rsidR="001657E2" w:rsidRDefault="001657E2" w:rsidP="001657E2">
            <w:pPr>
              <w:jc w:val="left"/>
            </w:pPr>
            <w:r>
              <w:rPr>
                <w:rFonts w:hint="eastAsia"/>
              </w:rPr>
              <w:t>基金简称</w:t>
            </w:r>
          </w:p>
        </w:tc>
        <w:tc>
          <w:tcPr>
            <w:tcW w:w="2076" w:type="dxa"/>
          </w:tcPr>
          <w:p w:rsidR="001657E2" w:rsidRDefault="001657E2" w:rsidP="001657E2">
            <w:pPr>
              <w:jc w:val="left"/>
            </w:pPr>
            <w:r>
              <w:rPr>
                <w:rFonts w:hint="eastAsia"/>
              </w:rPr>
              <w:t>南方恒庆一年定开债券</w:t>
            </w:r>
          </w:p>
        </w:tc>
        <w:tc>
          <w:tcPr>
            <w:tcW w:w="2077" w:type="dxa"/>
          </w:tcPr>
          <w:p w:rsidR="001657E2" w:rsidRDefault="001657E2" w:rsidP="001657E2">
            <w:pPr>
              <w:jc w:val="left"/>
            </w:pPr>
            <w:r>
              <w:rPr>
                <w:rFonts w:hint="eastAsia"/>
              </w:rPr>
              <w:t>基金代码</w:t>
            </w:r>
          </w:p>
        </w:tc>
        <w:tc>
          <w:tcPr>
            <w:tcW w:w="2077" w:type="dxa"/>
          </w:tcPr>
          <w:p w:rsidR="001657E2" w:rsidRDefault="001657E2" w:rsidP="001657E2">
            <w:pPr>
              <w:jc w:val="left"/>
            </w:pPr>
            <w:r>
              <w:t>007161</w:t>
            </w:r>
          </w:p>
        </w:tc>
      </w:tr>
      <w:tr w:rsidR="001657E2" w:rsidTr="001657E2">
        <w:tc>
          <w:tcPr>
            <w:tcW w:w="2076" w:type="dxa"/>
          </w:tcPr>
          <w:p w:rsidR="001657E2" w:rsidRDefault="001657E2" w:rsidP="001657E2">
            <w:pPr>
              <w:jc w:val="left"/>
            </w:pPr>
            <w:r>
              <w:rPr>
                <w:rFonts w:hint="eastAsia"/>
              </w:rPr>
              <w:t>基金管理人</w:t>
            </w:r>
          </w:p>
        </w:tc>
        <w:tc>
          <w:tcPr>
            <w:tcW w:w="2076" w:type="dxa"/>
          </w:tcPr>
          <w:p w:rsidR="001657E2" w:rsidRDefault="001657E2" w:rsidP="001657E2">
            <w:pPr>
              <w:jc w:val="left"/>
            </w:pPr>
            <w:r>
              <w:rPr>
                <w:rFonts w:hint="eastAsia"/>
              </w:rPr>
              <w:t>南方基金管理股份有限公司</w:t>
            </w:r>
          </w:p>
        </w:tc>
        <w:tc>
          <w:tcPr>
            <w:tcW w:w="2077" w:type="dxa"/>
          </w:tcPr>
          <w:p w:rsidR="001657E2" w:rsidRDefault="001657E2" w:rsidP="001657E2">
            <w:pPr>
              <w:jc w:val="left"/>
            </w:pPr>
            <w:r>
              <w:rPr>
                <w:rFonts w:hint="eastAsia"/>
              </w:rPr>
              <w:t>基金托管人</w:t>
            </w:r>
          </w:p>
        </w:tc>
        <w:tc>
          <w:tcPr>
            <w:tcW w:w="2077" w:type="dxa"/>
          </w:tcPr>
          <w:p w:rsidR="001657E2" w:rsidRDefault="001657E2" w:rsidP="001657E2">
            <w:pPr>
              <w:jc w:val="left"/>
            </w:pPr>
            <w:r>
              <w:rPr>
                <w:rFonts w:hint="eastAsia"/>
              </w:rPr>
              <w:t>交通银行股份有限公司</w:t>
            </w:r>
          </w:p>
        </w:tc>
      </w:tr>
      <w:tr w:rsidR="001657E2" w:rsidTr="007040DC">
        <w:tc>
          <w:tcPr>
            <w:tcW w:w="2076" w:type="dxa"/>
          </w:tcPr>
          <w:p w:rsidR="001657E2" w:rsidRDefault="001657E2" w:rsidP="001657E2">
            <w:pPr>
              <w:jc w:val="left"/>
            </w:pPr>
            <w:r>
              <w:rPr>
                <w:rFonts w:hint="eastAsia"/>
              </w:rPr>
              <w:t>基金合同生效日</w:t>
            </w:r>
          </w:p>
        </w:tc>
        <w:tc>
          <w:tcPr>
            <w:tcW w:w="6230" w:type="dxa"/>
            <w:gridSpan w:val="3"/>
          </w:tcPr>
          <w:p w:rsidR="001657E2" w:rsidRDefault="001657E2" w:rsidP="001657E2">
            <w:pPr>
              <w:jc w:val="left"/>
            </w:pPr>
            <w:r>
              <w:rPr>
                <w:rFonts w:hint="eastAsia"/>
              </w:rPr>
              <w:t>2019</w:t>
            </w:r>
            <w:r>
              <w:rPr>
                <w:rFonts w:hint="eastAsia"/>
              </w:rPr>
              <w:t>年</w:t>
            </w:r>
            <w:r>
              <w:rPr>
                <w:rFonts w:hint="eastAsia"/>
              </w:rPr>
              <w:t>5</w:t>
            </w:r>
            <w:r>
              <w:rPr>
                <w:rFonts w:hint="eastAsia"/>
              </w:rPr>
              <w:t>月</w:t>
            </w:r>
            <w:r>
              <w:rPr>
                <w:rFonts w:hint="eastAsia"/>
              </w:rPr>
              <w:t>21</w:t>
            </w:r>
            <w:r>
              <w:rPr>
                <w:rFonts w:hint="eastAsia"/>
              </w:rPr>
              <w:t>日</w:t>
            </w:r>
          </w:p>
        </w:tc>
      </w:tr>
      <w:tr w:rsidR="001657E2" w:rsidTr="001657E2">
        <w:tc>
          <w:tcPr>
            <w:tcW w:w="2076" w:type="dxa"/>
          </w:tcPr>
          <w:p w:rsidR="001657E2" w:rsidRDefault="001657E2" w:rsidP="001657E2">
            <w:pPr>
              <w:jc w:val="left"/>
            </w:pPr>
            <w:r>
              <w:rPr>
                <w:rFonts w:hint="eastAsia"/>
              </w:rPr>
              <w:t>基金类型</w:t>
            </w:r>
          </w:p>
        </w:tc>
        <w:tc>
          <w:tcPr>
            <w:tcW w:w="2076" w:type="dxa"/>
          </w:tcPr>
          <w:p w:rsidR="001657E2" w:rsidRDefault="001657E2" w:rsidP="001657E2">
            <w:pPr>
              <w:jc w:val="left"/>
            </w:pPr>
            <w:r>
              <w:rPr>
                <w:rFonts w:hint="eastAsia"/>
              </w:rPr>
              <w:t>债券型</w:t>
            </w:r>
          </w:p>
        </w:tc>
        <w:tc>
          <w:tcPr>
            <w:tcW w:w="2077" w:type="dxa"/>
          </w:tcPr>
          <w:p w:rsidR="001657E2" w:rsidRDefault="001657E2" w:rsidP="001657E2">
            <w:pPr>
              <w:jc w:val="left"/>
            </w:pPr>
            <w:r>
              <w:rPr>
                <w:rFonts w:hint="eastAsia"/>
              </w:rPr>
              <w:t>交易币种</w:t>
            </w:r>
          </w:p>
        </w:tc>
        <w:tc>
          <w:tcPr>
            <w:tcW w:w="2077" w:type="dxa"/>
          </w:tcPr>
          <w:p w:rsidR="001657E2" w:rsidRDefault="001657E2" w:rsidP="001657E2">
            <w:pPr>
              <w:jc w:val="left"/>
            </w:pPr>
            <w:r>
              <w:rPr>
                <w:rFonts w:hint="eastAsia"/>
              </w:rPr>
              <w:t>人民币</w:t>
            </w:r>
          </w:p>
        </w:tc>
      </w:tr>
      <w:tr w:rsidR="001657E2" w:rsidTr="003A7908">
        <w:tc>
          <w:tcPr>
            <w:tcW w:w="2076" w:type="dxa"/>
          </w:tcPr>
          <w:p w:rsidR="001657E2" w:rsidRDefault="001657E2" w:rsidP="001657E2">
            <w:pPr>
              <w:jc w:val="left"/>
            </w:pPr>
            <w:r>
              <w:rPr>
                <w:rFonts w:hint="eastAsia"/>
              </w:rPr>
              <w:t>运作方式</w:t>
            </w:r>
          </w:p>
        </w:tc>
        <w:tc>
          <w:tcPr>
            <w:tcW w:w="6230" w:type="dxa"/>
            <w:gridSpan w:val="3"/>
          </w:tcPr>
          <w:p w:rsidR="001657E2" w:rsidRDefault="001657E2" w:rsidP="001657E2">
            <w:pPr>
              <w:jc w:val="left"/>
            </w:pPr>
            <w:r>
              <w:rPr>
                <w:rFonts w:hint="eastAsia"/>
              </w:rPr>
              <w:t>定期开放式</w:t>
            </w:r>
          </w:p>
        </w:tc>
      </w:tr>
      <w:tr w:rsidR="001657E2" w:rsidTr="0001010E">
        <w:tc>
          <w:tcPr>
            <w:tcW w:w="2076" w:type="dxa"/>
          </w:tcPr>
          <w:p w:rsidR="001657E2" w:rsidRDefault="001657E2" w:rsidP="001657E2">
            <w:pPr>
              <w:jc w:val="left"/>
            </w:pPr>
            <w:r>
              <w:rPr>
                <w:rFonts w:hint="eastAsia"/>
              </w:rPr>
              <w:t>开放频率</w:t>
            </w:r>
          </w:p>
        </w:tc>
        <w:tc>
          <w:tcPr>
            <w:tcW w:w="6230" w:type="dxa"/>
            <w:gridSpan w:val="3"/>
          </w:tcPr>
          <w:p w:rsidR="001657E2" w:rsidRDefault="001657E2" w:rsidP="001657E2">
            <w:pPr>
              <w:jc w:val="left"/>
            </w:pPr>
            <w:r>
              <w:rPr>
                <w:rFonts w:hint="eastAsia"/>
              </w:rPr>
              <w:t>每年开放一次</w:t>
            </w:r>
          </w:p>
        </w:tc>
      </w:tr>
      <w:tr w:rsidR="001657E2" w:rsidTr="001657E2">
        <w:tc>
          <w:tcPr>
            <w:tcW w:w="2076" w:type="dxa"/>
            <w:vMerge w:val="restart"/>
          </w:tcPr>
          <w:p w:rsidR="001657E2" w:rsidRDefault="001657E2" w:rsidP="001657E2">
            <w:pPr>
              <w:jc w:val="left"/>
            </w:pPr>
            <w:r>
              <w:rPr>
                <w:rFonts w:hint="eastAsia"/>
              </w:rPr>
              <w:t>基金经理</w:t>
            </w:r>
          </w:p>
        </w:tc>
        <w:tc>
          <w:tcPr>
            <w:tcW w:w="2076" w:type="dxa"/>
            <w:vMerge w:val="restart"/>
          </w:tcPr>
          <w:p w:rsidR="001657E2" w:rsidRDefault="001657E2" w:rsidP="001657E2">
            <w:pPr>
              <w:jc w:val="left"/>
            </w:pPr>
            <w:r>
              <w:rPr>
                <w:rFonts w:hint="eastAsia"/>
              </w:rPr>
              <w:t>黄河</w:t>
            </w:r>
          </w:p>
        </w:tc>
        <w:tc>
          <w:tcPr>
            <w:tcW w:w="2077" w:type="dxa"/>
          </w:tcPr>
          <w:p w:rsidR="001657E2" w:rsidRDefault="001657E2" w:rsidP="001657E2">
            <w:pPr>
              <w:jc w:val="left"/>
            </w:pPr>
            <w:r>
              <w:rPr>
                <w:rFonts w:hint="eastAsia"/>
              </w:rPr>
              <w:t>开始担任本基金基金经理的日期</w:t>
            </w:r>
          </w:p>
        </w:tc>
        <w:tc>
          <w:tcPr>
            <w:tcW w:w="2077" w:type="dxa"/>
          </w:tcPr>
          <w:p w:rsidR="001657E2" w:rsidRDefault="001657E2" w:rsidP="001657E2">
            <w:pPr>
              <w:jc w:val="left"/>
            </w:pPr>
            <w:r>
              <w:rPr>
                <w:rFonts w:hint="eastAsia"/>
              </w:rPr>
              <w:t>2020</w:t>
            </w:r>
            <w:r>
              <w:rPr>
                <w:rFonts w:hint="eastAsia"/>
              </w:rPr>
              <w:t>年</w:t>
            </w:r>
            <w:r>
              <w:rPr>
                <w:rFonts w:hint="eastAsia"/>
              </w:rPr>
              <w:t>4</w:t>
            </w:r>
            <w:r>
              <w:rPr>
                <w:rFonts w:hint="eastAsia"/>
              </w:rPr>
              <w:t>月</w:t>
            </w:r>
            <w:r>
              <w:rPr>
                <w:rFonts w:hint="eastAsia"/>
              </w:rPr>
              <w:t>29</w:t>
            </w:r>
            <w:r>
              <w:rPr>
                <w:rFonts w:hint="eastAsia"/>
              </w:rPr>
              <w:t>日</w:t>
            </w:r>
          </w:p>
        </w:tc>
      </w:tr>
      <w:tr w:rsidR="001657E2" w:rsidTr="001657E2">
        <w:tc>
          <w:tcPr>
            <w:tcW w:w="2076" w:type="dxa"/>
            <w:vMerge/>
          </w:tcPr>
          <w:p w:rsidR="001657E2" w:rsidRDefault="001657E2" w:rsidP="001657E2">
            <w:pPr>
              <w:jc w:val="left"/>
            </w:pPr>
          </w:p>
        </w:tc>
        <w:tc>
          <w:tcPr>
            <w:tcW w:w="2076" w:type="dxa"/>
            <w:vMerge/>
          </w:tcPr>
          <w:p w:rsidR="001657E2" w:rsidRDefault="001657E2" w:rsidP="001657E2">
            <w:pPr>
              <w:jc w:val="left"/>
            </w:pPr>
          </w:p>
        </w:tc>
        <w:tc>
          <w:tcPr>
            <w:tcW w:w="2077" w:type="dxa"/>
          </w:tcPr>
          <w:p w:rsidR="001657E2" w:rsidRDefault="001657E2" w:rsidP="001657E2">
            <w:pPr>
              <w:jc w:val="left"/>
            </w:pPr>
            <w:r>
              <w:rPr>
                <w:rFonts w:hint="eastAsia"/>
              </w:rPr>
              <w:t>证券从业日期</w:t>
            </w:r>
          </w:p>
        </w:tc>
        <w:tc>
          <w:tcPr>
            <w:tcW w:w="2077" w:type="dxa"/>
          </w:tcPr>
          <w:p w:rsidR="001657E2" w:rsidRDefault="001657E2" w:rsidP="001657E2">
            <w:pPr>
              <w:jc w:val="left"/>
            </w:pPr>
            <w:r>
              <w:rPr>
                <w:rFonts w:hint="eastAsia"/>
              </w:rPr>
              <w:t>2010</w:t>
            </w:r>
            <w:r>
              <w:rPr>
                <w:rFonts w:hint="eastAsia"/>
              </w:rPr>
              <w:t>年</w:t>
            </w:r>
            <w:r>
              <w:rPr>
                <w:rFonts w:hint="eastAsia"/>
              </w:rPr>
              <w:t>7</w:t>
            </w:r>
            <w:r>
              <w:rPr>
                <w:rFonts w:hint="eastAsia"/>
              </w:rPr>
              <w:t>月</w:t>
            </w:r>
            <w:r>
              <w:rPr>
                <w:rFonts w:hint="eastAsia"/>
              </w:rPr>
              <w:t>12</w:t>
            </w:r>
            <w:r>
              <w:rPr>
                <w:rFonts w:hint="eastAsia"/>
              </w:rPr>
              <w:t>日</w:t>
            </w:r>
          </w:p>
        </w:tc>
      </w:tr>
      <w:tr w:rsidR="001657E2" w:rsidTr="00D402AC">
        <w:tc>
          <w:tcPr>
            <w:tcW w:w="2076" w:type="dxa"/>
          </w:tcPr>
          <w:p w:rsidR="001657E2" w:rsidRDefault="001657E2" w:rsidP="001657E2">
            <w:pPr>
              <w:jc w:val="left"/>
            </w:pPr>
            <w:r>
              <w:rPr>
                <w:rFonts w:hint="eastAsia"/>
              </w:rPr>
              <w:t>其他</w:t>
            </w:r>
          </w:p>
        </w:tc>
        <w:tc>
          <w:tcPr>
            <w:tcW w:w="6230" w:type="dxa"/>
            <w:gridSpan w:val="3"/>
          </w:tcPr>
          <w:p w:rsidR="001657E2" w:rsidRDefault="001657E2" w:rsidP="001657E2">
            <w:pPr>
              <w:jc w:val="left"/>
            </w:pPr>
            <w:r>
              <w:rPr>
                <w:rFonts w:hint="eastAsia"/>
              </w:rPr>
              <w:t>基金合同生效后的存续期内，每个封闭期到期前，基金管理人有权决定是否进入开放期；开放期最后一日日终，如果基金的基金资产净值加上基金开放期最后一日交易申请确认的申购确认金额及转换转入确认金额，扣除赎回确认金额及转换转出确认金额后的余额低于</w:t>
            </w:r>
            <w:r>
              <w:rPr>
                <w:rFonts w:hint="eastAsia"/>
              </w:rPr>
              <w:t>5000</w:t>
            </w:r>
            <w:r>
              <w:rPr>
                <w:rFonts w:hint="eastAsia"/>
              </w:rPr>
              <w:t>万元或基金份额持有人数量不满</w:t>
            </w:r>
            <w:r>
              <w:rPr>
                <w:rFonts w:hint="eastAsia"/>
              </w:rPr>
              <w:t>200</w:t>
            </w:r>
            <w:r>
              <w:rPr>
                <w:rFonts w:hint="eastAsia"/>
              </w:rPr>
              <w:t>人的，基金管理人有权决定是否进入下一封闭期；基金封闭期到期日因部分资产无法变现或者无法以合理价格变现导致基金部分资产尚未变现的，基金将暂停进入下一开放期。</w:t>
            </w:r>
          </w:p>
        </w:tc>
      </w:tr>
    </w:tbl>
    <w:p w:rsidR="001657E2" w:rsidRDefault="001657E2" w:rsidP="001657E2">
      <w:pPr>
        <w:pStyle w:val="-1"/>
        <w:spacing w:before="156" w:after="156"/>
        <w:rPr>
          <w:rFonts w:hint="eastAsia"/>
        </w:rPr>
      </w:pPr>
      <w:r>
        <w:rPr>
          <w:rFonts w:hint="eastAsia"/>
        </w:rPr>
        <w:t>二、基金投资与净值表现</w:t>
      </w:r>
    </w:p>
    <w:p w:rsidR="001657E2" w:rsidRDefault="001657E2" w:rsidP="001657E2">
      <w:pPr>
        <w:pStyle w:val="-2"/>
        <w:spacing w:before="156" w:after="156"/>
        <w:rPr>
          <w:rFonts w:hint="eastAsia"/>
        </w:rPr>
      </w:pPr>
      <w:r>
        <w:rPr>
          <w:rFonts w:hint="eastAsia"/>
        </w:rPr>
        <w:t>（一）</w:t>
      </w:r>
      <w:r>
        <w:rPr>
          <w:rFonts w:hint="eastAsia"/>
        </w:rPr>
        <w:t xml:space="preserve"> </w:t>
      </w:r>
      <w:r>
        <w:rPr>
          <w:rFonts w:hint="eastAsia"/>
        </w:rPr>
        <w:t>投资目标与投资策略</w:t>
      </w:r>
    </w:p>
    <w:p w:rsidR="001657E2" w:rsidRDefault="001657E2" w:rsidP="001657E2">
      <w:pPr>
        <w:pStyle w:val="-"/>
        <w:ind w:firstLine="420"/>
        <w:rPr>
          <w:rFonts w:hint="eastAsia"/>
        </w:rPr>
      </w:pPr>
      <w:r>
        <w:rPr>
          <w:rFonts w:hint="eastAsia"/>
        </w:rPr>
        <w:t>请投资者阅读《南方恒庆一年定期开放债券型证券投资基金招募说明书》第十部分“基金的投资”了解详细情况。</w:t>
      </w:r>
    </w:p>
    <w:tbl>
      <w:tblPr>
        <w:tblStyle w:val="-noheader"/>
        <w:tblW w:w="8505" w:type="dxa"/>
        <w:tblLayout w:type="fixed"/>
        <w:tblLook w:val="04A0" w:firstRow="1" w:lastRow="0" w:firstColumn="1" w:lastColumn="0" w:noHBand="0" w:noVBand="1"/>
      </w:tblPr>
      <w:tblGrid>
        <w:gridCol w:w="1701"/>
        <w:gridCol w:w="6804"/>
      </w:tblGrid>
      <w:tr w:rsidR="001657E2" w:rsidTr="001657E2">
        <w:tc>
          <w:tcPr>
            <w:tcW w:w="1701" w:type="dxa"/>
          </w:tcPr>
          <w:p w:rsidR="001657E2" w:rsidRDefault="001657E2" w:rsidP="001657E2">
            <w:pPr>
              <w:jc w:val="left"/>
            </w:pPr>
            <w:r>
              <w:rPr>
                <w:rFonts w:hint="eastAsia"/>
              </w:rPr>
              <w:t>投资目标</w:t>
            </w:r>
          </w:p>
        </w:tc>
        <w:tc>
          <w:tcPr>
            <w:tcW w:w="6804" w:type="dxa"/>
          </w:tcPr>
          <w:p w:rsidR="001657E2" w:rsidRDefault="001657E2" w:rsidP="001657E2">
            <w:pPr>
              <w:jc w:val="left"/>
            </w:pPr>
            <w:r>
              <w:rPr>
                <w:rFonts w:hint="eastAsia"/>
              </w:rPr>
              <w:t>本基金封闭期内采取买入持有到期投资策略，投资于剩余期限（或回售期限）不超过基金剩余封闭期的固定收益类工具，力求基金资产的稳健增值。</w:t>
            </w:r>
          </w:p>
        </w:tc>
      </w:tr>
      <w:tr w:rsidR="001657E2" w:rsidTr="001657E2">
        <w:tc>
          <w:tcPr>
            <w:tcW w:w="1701" w:type="dxa"/>
          </w:tcPr>
          <w:p w:rsidR="001657E2" w:rsidRDefault="001657E2" w:rsidP="001657E2">
            <w:pPr>
              <w:jc w:val="left"/>
            </w:pPr>
            <w:r>
              <w:rPr>
                <w:rFonts w:hint="eastAsia"/>
              </w:rPr>
              <w:t>投资范围</w:t>
            </w:r>
          </w:p>
        </w:tc>
        <w:tc>
          <w:tcPr>
            <w:tcW w:w="6804" w:type="dxa"/>
          </w:tcPr>
          <w:p w:rsidR="001657E2" w:rsidRDefault="001657E2" w:rsidP="001657E2">
            <w:pPr>
              <w:jc w:val="left"/>
              <w:rPr>
                <w:rFonts w:hint="eastAsia"/>
              </w:rPr>
            </w:pPr>
            <w:r>
              <w:rPr>
                <w:rFonts w:hint="eastAsia"/>
              </w:rPr>
              <w:t>本基金主要投资于债券（包括国债、央行票据、金融债券、企业债券、公司债券、中期票据、短期融资券、超短期融资券、次级债券、政府机构债、地方政府债等）、资产支持证券、债券回购、银行存款（包括协议存款、定期存款等）、同业存单、货币市场工具以及经中国证监会允许基金投资的其他金融工具，但需符合中国证监会的相关规定。本基金</w:t>
            </w:r>
            <w:r>
              <w:rPr>
                <w:rFonts w:hint="eastAsia"/>
              </w:rPr>
              <w:lastRenderedPageBreak/>
              <w:t>不投资股票、权证、可转换债券、可交换债券。</w:t>
            </w:r>
          </w:p>
          <w:p w:rsidR="001657E2" w:rsidRDefault="001657E2" w:rsidP="001657E2">
            <w:pPr>
              <w:jc w:val="left"/>
              <w:rPr>
                <w:rFonts w:hint="eastAsia"/>
              </w:rPr>
            </w:pPr>
            <w:r>
              <w:rPr>
                <w:rFonts w:hint="eastAsia"/>
              </w:rPr>
              <w:t>基金的投资组合比例为：本基金投资于债券资产比例不低于基金资产的</w:t>
            </w:r>
            <w:r>
              <w:rPr>
                <w:rFonts w:hint="eastAsia"/>
              </w:rPr>
              <w:t>80%</w:t>
            </w:r>
            <w:r>
              <w:rPr>
                <w:rFonts w:hint="eastAsia"/>
              </w:rPr>
              <w:t>，应开放期流动性需要，为保护持有人利益，本基金开放期开始前</w:t>
            </w:r>
            <w:r>
              <w:rPr>
                <w:rFonts w:hint="eastAsia"/>
              </w:rPr>
              <w:t>1</w:t>
            </w:r>
            <w:r>
              <w:rPr>
                <w:rFonts w:hint="eastAsia"/>
              </w:rPr>
              <w:t>个月、开放期以及开放期结束后的</w:t>
            </w:r>
            <w:r>
              <w:rPr>
                <w:rFonts w:hint="eastAsia"/>
              </w:rPr>
              <w:t>1</w:t>
            </w:r>
            <w:r>
              <w:rPr>
                <w:rFonts w:hint="eastAsia"/>
              </w:rPr>
              <w:t>个月内，本基金的债券资产的投资比例可不受上述限制。开放期内，本基金保持不低于基金资产净值</w:t>
            </w:r>
            <w:r>
              <w:rPr>
                <w:rFonts w:hint="eastAsia"/>
              </w:rPr>
              <w:t>5%</w:t>
            </w:r>
            <w:r>
              <w:rPr>
                <w:rFonts w:hint="eastAsia"/>
              </w:rPr>
              <w:t>的现金或者到期日在一年以内的政府债券，封闭期内不受上述</w:t>
            </w:r>
            <w:r>
              <w:rPr>
                <w:rFonts w:hint="eastAsia"/>
              </w:rPr>
              <w:t>5%</w:t>
            </w:r>
            <w:r>
              <w:rPr>
                <w:rFonts w:hint="eastAsia"/>
              </w:rPr>
              <w:t>的限制，其中现金不包括结算备付金、存出保证金、应收申购款等。</w:t>
            </w:r>
          </w:p>
          <w:p w:rsidR="001657E2" w:rsidRDefault="001657E2" w:rsidP="001657E2">
            <w:pPr>
              <w:jc w:val="left"/>
            </w:pPr>
            <w:r>
              <w:rPr>
                <w:rFonts w:hint="eastAsia"/>
              </w:rPr>
              <w:t>如法律法规或监管机构以后允许基金投资其他品种，基金管理人在履行适当程序后，可以将其纳入投资范围，并可依据届时有效的法律法规适时合理地调整投资范围。</w:t>
            </w:r>
          </w:p>
        </w:tc>
      </w:tr>
      <w:tr w:rsidR="001657E2" w:rsidTr="001657E2">
        <w:tc>
          <w:tcPr>
            <w:tcW w:w="1701" w:type="dxa"/>
          </w:tcPr>
          <w:p w:rsidR="001657E2" w:rsidRDefault="001657E2" w:rsidP="001657E2">
            <w:pPr>
              <w:jc w:val="left"/>
            </w:pPr>
            <w:r>
              <w:rPr>
                <w:rFonts w:hint="eastAsia"/>
              </w:rPr>
              <w:lastRenderedPageBreak/>
              <w:t>主要投资策略</w:t>
            </w:r>
          </w:p>
        </w:tc>
        <w:tc>
          <w:tcPr>
            <w:tcW w:w="6804" w:type="dxa"/>
          </w:tcPr>
          <w:p w:rsidR="001657E2" w:rsidRDefault="001657E2" w:rsidP="001657E2">
            <w:pPr>
              <w:jc w:val="left"/>
            </w:pPr>
            <w:r>
              <w:rPr>
                <w:rFonts w:hint="eastAsia"/>
              </w:rPr>
              <w:t>本基金由于封闭期内采用买入持有到期投资策略，因此，个券精选是本基金投资策略的重要组成部分。信用债券相对央票、国债等利率产品的信用利差是本基金获取较高投资收益的来源。本基金将在南方基金内部信用评级的基础上和内部信用风险控制的框架下，根据对宏观经济形势、发行人公司所在行业状况、以及公司自身在行业内的竞争力、公司财务状况和现金流状况、公司治理等信息，进一步结合债券发行具体条款对债券进行分析，评估信用风险溢价，发掘具备相对价值的个券。</w:t>
            </w:r>
          </w:p>
        </w:tc>
      </w:tr>
      <w:tr w:rsidR="001657E2" w:rsidTr="001657E2">
        <w:tc>
          <w:tcPr>
            <w:tcW w:w="1701" w:type="dxa"/>
          </w:tcPr>
          <w:p w:rsidR="001657E2" w:rsidRDefault="001657E2" w:rsidP="001657E2">
            <w:pPr>
              <w:jc w:val="left"/>
            </w:pPr>
            <w:r>
              <w:rPr>
                <w:rFonts w:hint="eastAsia"/>
              </w:rPr>
              <w:t>业绩比较基准</w:t>
            </w:r>
          </w:p>
        </w:tc>
        <w:tc>
          <w:tcPr>
            <w:tcW w:w="6804" w:type="dxa"/>
          </w:tcPr>
          <w:p w:rsidR="001657E2" w:rsidRDefault="001657E2" w:rsidP="001657E2">
            <w:pPr>
              <w:jc w:val="left"/>
              <w:rPr>
                <w:rFonts w:hint="eastAsia"/>
              </w:rPr>
            </w:pPr>
            <w:r>
              <w:rPr>
                <w:rFonts w:hint="eastAsia"/>
              </w:rPr>
              <w:t>在每个封闭期，本基金的业绩比较基准为该封闭期起始日公布的一年期定期存款利率（税后）</w:t>
            </w:r>
            <w:r>
              <w:rPr>
                <w:rFonts w:hint="eastAsia"/>
              </w:rPr>
              <w:t>+1.5%</w:t>
            </w:r>
            <w:r>
              <w:rPr>
                <w:rFonts w:hint="eastAsia"/>
              </w:rPr>
              <w:t>。</w:t>
            </w:r>
          </w:p>
          <w:p w:rsidR="001657E2" w:rsidRDefault="001657E2" w:rsidP="001657E2">
            <w:pPr>
              <w:jc w:val="left"/>
            </w:pPr>
            <w:r>
              <w:rPr>
                <w:rFonts w:hint="eastAsia"/>
              </w:rPr>
              <w:t>一年期定期存款利率采用每个封闭期起始日中国人民银行公布的金融机构人民币一年期存款基准利率。</w:t>
            </w:r>
          </w:p>
        </w:tc>
      </w:tr>
      <w:tr w:rsidR="001657E2" w:rsidTr="001657E2">
        <w:tc>
          <w:tcPr>
            <w:tcW w:w="1701" w:type="dxa"/>
          </w:tcPr>
          <w:p w:rsidR="001657E2" w:rsidRDefault="001657E2" w:rsidP="001657E2">
            <w:pPr>
              <w:jc w:val="left"/>
            </w:pPr>
            <w:r>
              <w:rPr>
                <w:rFonts w:hint="eastAsia"/>
              </w:rPr>
              <w:t>风险收益特征</w:t>
            </w:r>
          </w:p>
        </w:tc>
        <w:tc>
          <w:tcPr>
            <w:tcW w:w="6804" w:type="dxa"/>
          </w:tcPr>
          <w:p w:rsidR="001657E2" w:rsidRDefault="001657E2" w:rsidP="001657E2">
            <w:pPr>
              <w:jc w:val="left"/>
            </w:pPr>
            <w:r>
              <w:rPr>
                <w:rFonts w:hint="eastAsia"/>
              </w:rPr>
              <w:t>本基金为债券型基金，一般而言，其长期平均风险和预期收益率低于股票型基金、混合型基金，高于货币市场基金。</w:t>
            </w:r>
          </w:p>
        </w:tc>
      </w:tr>
    </w:tbl>
    <w:p w:rsidR="001657E2" w:rsidRDefault="001657E2" w:rsidP="001657E2">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1657E2" w:rsidRDefault="001657E2" w:rsidP="001657E2">
      <w:r>
        <w:rPr>
          <w:noProof/>
        </w:rPr>
        <w:drawing>
          <wp:inline distT="0" distB="0" distL="0" distR="0">
            <wp:extent cx="5274310" cy="26733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73350"/>
                    </a:xfrm>
                    <a:prstGeom prst="rect">
                      <a:avLst/>
                    </a:prstGeom>
                  </pic:spPr>
                </pic:pic>
              </a:graphicData>
            </a:graphic>
          </wp:inline>
        </w:drawing>
      </w:r>
    </w:p>
    <w:p w:rsidR="001657E2" w:rsidRDefault="001657E2" w:rsidP="001657E2">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1657E2" w:rsidRDefault="001657E2" w:rsidP="001657E2">
      <w:r>
        <w:rPr>
          <w:noProof/>
        </w:rPr>
        <w:lastRenderedPageBreak/>
        <w:drawing>
          <wp:inline distT="0" distB="0" distL="0" distR="0">
            <wp:extent cx="5274310" cy="3749040"/>
            <wp:effectExtent l="0" t="0" r="2540" b="381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749040"/>
                    </a:xfrm>
                    <a:prstGeom prst="rect">
                      <a:avLst/>
                    </a:prstGeom>
                  </pic:spPr>
                </pic:pic>
              </a:graphicData>
            </a:graphic>
          </wp:inline>
        </w:drawing>
      </w:r>
    </w:p>
    <w:p w:rsidR="001657E2" w:rsidRDefault="001657E2" w:rsidP="001657E2">
      <w:pPr>
        <w:pStyle w:val="-1"/>
        <w:spacing w:before="156" w:after="156"/>
        <w:rPr>
          <w:rFonts w:hint="eastAsia"/>
        </w:rPr>
      </w:pPr>
      <w:r>
        <w:rPr>
          <w:rFonts w:hint="eastAsia"/>
        </w:rPr>
        <w:t>三、投资本基金涉及的费用</w:t>
      </w:r>
    </w:p>
    <w:p w:rsidR="001657E2" w:rsidRDefault="001657E2" w:rsidP="001657E2">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1657E2" w:rsidTr="001657E2">
        <w:tc>
          <w:tcPr>
            <w:tcW w:w="2076" w:type="dxa"/>
          </w:tcPr>
          <w:p w:rsidR="001657E2" w:rsidRDefault="001657E2" w:rsidP="001657E2">
            <w:pPr>
              <w:jc w:val="center"/>
            </w:pPr>
            <w:r>
              <w:rPr>
                <w:rFonts w:hint="eastAsia"/>
              </w:rPr>
              <w:t>费用类型</w:t>
            </w:r>
          </w:p>
        </w:tc>
        <w:tc>
          <w:tcPr>
            <w:tcW w:w="2076" w:type="dxa"/>
          </w:tcPr>
          <w:p w:rsidR="001657E2" w:rsidRDefault="001657E2" w:rsidP="001657E2">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1657E2" w:rsidRDefault="001657E2" w:rsidP="001657E2">
            <w:pPr>
              <w:jc w:val="center"/>
            </w:pPr>
            <w:r>
              <w:rPr>
                <w:rFonts w:hint="eastAsia"/>
              </w:rPr>
              <w:t>收费方式</w:t>
            </w:r>
            <w:r>
              <w:rPr>
                <w:rFonts w:hint="eastAsia"/>
              </w:rPr>
              <w:t>/</w:t>
            </w:r>
            <w:r>
              <w:rPr>
                <w:rFonts w:hint="eastAsia"/>
              </w:rPr>
              <w:t>费率</w:t>
            </w:r>
          </w:p>
        </w:tc>
        <w:tc>
          <w:tcPr>
            <w:tcW w:w="2077" w:type="dxa"/>
          </w:tcPr>
          <w:p w:rsidR="001657E2" w:rsidRDefault="001657E2" w:rsidP="001657E2">
            <w:pPr>
              <w:jc w:val="center"/>
            </w:pPr>
            <w:r>
              <w:rPr>
                <w:rFonts w:hint="eastAsia"/>
              </w:rPr>
              <w:t>备注</w:t>
            </w:r>
          </w:p>
        </w:tc>
      </w:tr>
      <w:tr w:rsidR="001657E2" w:rsidTr="001657E2">
        <w:tc>
          <w:tcPr>
            <w:tcW w:w="2076" w:type="dxa"/>
            <w:vMerge w:val="restart"/>
          </w:tcPr>
          <w:p w:rsidR="001657E2" w:rsidRDefault="001657E2" w:rsidP="001657E2">
            <w:pPr>
              <w:jc w:val="center"/>
            </w:pPr>
            <w:r>
              <w:rPr>
                <w:rFonts w:hint="eastAsia"/>
              </w:rPr>
              <w:t>申购费（前收费）</w:t>
            </w:r>
          </w:p>
        </w:tc>
        <w:tc>
          <w:tcPr>
            <w:tcW w:w="2076" w:type="dxa"/>
          </w:tcPr>
          <w:p w:rsidR="001657E2" w:rsidRDefault="001657E2" w:rsidP="001657E2">
            <w:pPr>
              <w:jc w:val="left"/>
            </w:pPr>
            <w:r>
              <w:rPr>
                <w:rFonts w:hint="eastAsia"/>
              </w:rPr>
              <w:t>M&lt; 100</w:t>
            </w:r>
            <w:r>
              <w:rPr>
                <w:rFonts w:hint="eastAsia"/>
              </w:rPr>
              <w:t>万元</w:t>
            </w:r>
          </w:p>
        </w:tc>
        <w:tc>
          <w:tcPr>
            <w:tcW w:w="2077" w:type="dxa"/>
          </w:tcPr>
          <w:p w:rsidR="001657E2" w:rsidRDefault="001657E2" w:rsidP="001657E2">
            <w:pPr>
              <w:jc w:val="right"/>
            </w:pPr>
            <w:r>
              <w:t>0.45%</w:t>
            </w:r>
          </w:p>
        </w:tc>
        <w:tc>
          <w:tcPr>
            <w:tcW w:w="2077" w:type="dxa"/>
          </w:tcPr>
          <w:p w:rsidR="001657E2" w:rsidRDefault="001657E2" w:rsidP="001657E2">
            <w:pPr>
              <w:jc w:val="right"/>
            </w:pPr>
            <w:r>
              <w:t>-</w:t>
            </w:r>
          </w:p>
        </w:tc>
      </w:tr>
      <w:tr w:rsidR="001657E2" w:rsidTr="001657E2">
        <w:tc>
          <w:tcPr>
            <w:tcW w:w="2076" w:type="dxa"/>
            <w:vMerge/>
          </w:tcPr>
          <w:p w:rsidR="001657E2" w:rsidRDefault="001657E2" w:rsidP="001657E2">
            <w:pPr>
              <w:jc w:val="left"/>
            </w:pPr>
          </w:p>
        </w:tc>
        <w:tc>
          <w:tcPr>
            <w:tcW w:w="2076" w:type="dxa"/>
          </w:tcPr>
          <w:p w:rsidR="001657E2" w:rsidRDefault="001657E2" w:rsidP="001657E2">
            <w:pPr>
              <w:jc w:val="left"/>
            </w:pPr>
            <w:r>
              <w:rPr>
                <w:rFonts w:hint="eastAsia"/>
              </w:rPr>
              <w:t>100</w:t>
            </w:r>
            <w:r>
              <w:rPr>
                <w:rFonts w:hint="eastAsia"/>
              </w:rPr>
              <w:t>万元≤</w:t>
            </w:r>
            <w:r>
              <w:rPr>
                <w:rFonts w:hint="eastAsia"/>
              </w:rPr>
              <w:t>M&lt; 500</w:t>
            </w:r>
            <w:r>
              <w:rPr>
                <w:rFonts w:hint="eastAsia"/>
              </w:rPr>
              <w:t>万元</w:t>
            </w:r>
          </w:p>
        </w:tc>
        <w:tc>
          <w:tcPr>
            <w:tcW w:w="2077" w:type="dxa"/>
          </w:tcPr>
          <w:p w:rsidR="001657E2" w:rsidRDefault="001657E2" w:rsidP="001657E2">
            <w:pPr>
              <w:jc w:val="right"/>
            </w:pPr>
            <w:r>
              <w:t>0.2%</w:t>
            </w:r>
          </w:p>
        </w:tc>
        <w:tc>
          <w:tcPr>
            <w:tcW w:w="2077" w:type="dxa"/>
          </w:tcPr>
          <w:p w:rsidR="001657E2" w:rsidRDefault="001657E2" w:rsidP="001657E2">
            <w:pPr>
              <w:jc w:val="right"/>
            </w:pPr>
            <w:r>
              <w:t>-</w:t>
            </w:r>
          </w:p>
        </w:tc>
      </w:tr>
      <w:tr w:rsidR="001657E2" w:rsidTr="001657E2">
        <w:tc>
          <w:tcPr>
            <w:tcW w:w="2076" w:type="dxa"/>
            <w:vMerge/>
          </w:tcPr>
          <w:p w:rsidR="001657E2" w:rsidRDefault="001657E2" w:rsidP="001657E2">
            <w:pPr>
              <w:jc w:val="left"/>
            </w:pPr>
          </w:p>
        </w:tc>
        <w:tc>
          <w:tcPr>
            <w:tcW w:w="2076" w:type="dxa"/>
          </w:tcPr>
          <w:p w:rsidR="001657E2" w:rsidRDefault="001657E2" w:rsidP="001657E2">
            <w:pPr>
              <w:jc w:val="left"/>
            </w:pPr>
            <w:r>
              <w:rPr>
                <w:rFonts w:hint="eastAsia"/>
              </w:rPr>
              <w:t>500</w:t>
            </w:r>
            <w:r>
              <w:rPr>
                <w:rFonts w:hint="eastAsia"/>
              </w:rPr>
              <w:t>万元≤</w:t>
            </w:r>
            <w:r>
              <w:rPr>
                <w:rFonts w:hint="eastAsia"/>
              </w:rPr>
              <w:t>M</w:t>
            </w:r>
          </w:p>
        </w:tc>
        <w:tc>
          <w:tcPr>
            <w:tcW w:w="2077" w:type="dxa"/>
          </w:tcPr>
          <w:p w:rsidR="001657E2" w:rsidRDefault="001657E2" w:rsidP="001657E2">
            <w:pPr>
              <w:jc w:val="left"/>
            </w:pPr>
            <w:r>
              <w:rPr>
                <w:rFonts w:hint="eastAsia"/>
              </w:rPr>
              <w:t>每笔</w:t>
            </w:r>
            <w:r>
              <w:rPr>
                <w:rFonts w:hint="eastAsia"/>
              </w:rPr>
              <w:t>1000</w:t>
            </w:r>
            <w:r>
              <w:rPr>
                <w:rFonts w:hint="eastAsia"/>
              </w:rPr>
              <w:t>元</w:t>
            </w:r>
          </w:p>
        </w:tc>
        <w:tc>
          <w:tcPr>
            <w:tcW w:w="2077" w:type="dxa"/>
          </w:tcPr>
          <w:p w:rsidR="001657E2" w:rsidRDefault="001657E2" w:rsidP="001657E2">
            <w:pPr>
              <w:jc w:val="right"/>
            </w:pPr>
            <w:r>
              <w:t>-</w:t>
            </w:r>
          </w:p>
        </w:tc>
      </w:tr>
      <w:tr w:rsidR="001657E2" w:rsidTr="001657E2">
        <w:tc>
          <w:tcPr>
            <w:tcW w:w="2076" w:type="dxa"/>
            <w:vMerge w:val="restart"/>
          </w:tcPr>
          <w:p w:rsidR="001657E2" w:rsidRDefault="001657E2" w:rsidP="001657E2">
            <w:pPr>
              <w:jc w:val="center"/>
            </w:pPr>
            <w:r>
              <w:rPr>
                <w:rFonts w:hint="eastAsia"/>
              </w:rPr>
              <w:t>赎回费</w:t>
            </w:r>
          </w:p>
        </w:tc>
        <w:tc>
          <w:tcPr>
            <w:tcW w:w="2076" w:type="dxa"/>
          </w:tcPr>
          <w:p w:rsidR="001657E2" w:rsidRDefault="001657E2" w:rsidP="001657E2">
            <w:pPr>
              <w:jc w:val="left"/>
            </w:pPr>
            <w:r>
              <w:rPr>
                <w:rFonts w:hint="eastAsia"/>
              </w:rPr>
              <w:t>N&lt; 7</w:t>
            </w:r>
            <w:r>
              <w:rPr>
                <w:rFonts w:hint="eastAsia"/>
              </w:rPr>
              <w:t>天</w:t>
            </w:r>
          </w:p>
        </w:tc>
        <w:tc>
          <w:tcPr>
            <w:tcW w:w="2077" w:type="dxa"/>
          </w:tcPr>
          <w:p w:rsidR="001657E2" w:rsidRDefault="001657E2" w:rsidP="001657E2">
            <w:pPr>
              <w:jc w:val="right"/>
            </w:pPr>
            <w:r>
              <w:t>1.5%</w:t>
            </w:r>
          </w:p>
        </w:tc>
        <w:tc>
          <w:tcPr>
            <w:tcW w:w="2077" w:type="dxa"/>
          </w:tcPr>
          <w:p w:rsidR="001657E2" w:rsidRDefault="001657E2" w:rsidP="001657E2">
            <w:pPr>
              <w:jc w:val="right"/>
            </w:pPr>
            <w:r>
              <w:t>-</w:t>
            </w:r>
          </w:p>
        </w:tc>
      </w:tr>
      <w:tr w:rsidR="001657E2" w:rsidTr="001657E2">
        <w:tc>
          <w:tcPr>
            <w:tcW w:w="2076" w:type="dxa"/>
            <w:vMerge/>
          </w:tcPr>
          <w:p w:rsidR="001657E2" w:rsidRDefault="001657E2" w:rsidP="001657E2">
            <w:pPr>
              <w:jc w:val="left"/>
            </w:pPr>
          </w:p>
        </w:tc>
        <w:tc>
          <w:tcPr>
            <w:tcW w:w="2076" w:type="dxa"/>
          </w:tcPr>
          <w:p w:rsidR="001657E2" w:rsidRDefault="001657E2" w:rsidP="001657E2">
            <w:pPr>
              <w:jc w:val="left"/>
            </w:pPr>
            <w:r>
              <w:rPr>
                <w:rFonts w:hint="eastAsia"/>
              </w:rPr>
              <w:t>7</w:t>
            </w:r>
            <w:r>
              <w:rPr>
                <w:rFonts w:hint="eastAsia"/>
              </w:rPr>
              <w:t>天≤</w:t>
            </w:r>
            <w:r>
              <w:rPr>
                <w:rFonts w:hint="eastAsia"/>
              </w:rPr>
              <w:t xml:space="preserve"> N</w:t>
            </w:r>
          </w:p>
        </w:tc>
        <w:tc>
          <w:tcPr>
            <w:tcW w:w="2077" w:type="dxa"/>
          </w:tcPr>
          <w:p w:rsidR="001657E2" w:rsidRDefault="001657E2" w:rsidP="001657E2">
            <w:pPr>
              <w:jc w:val="right"/>
            </w:pPr>
            <w:r>
              <w:t>0%</w:t>
            </w:r>
          </w:p>
        </w:tc>
        <w:tc>
          <w:tcPr>
            <w:tcW w:w="2077" w:type="dxa"/>
          </w:tcPr>
          <w:p w:rsidR="001657E2" w:rsidRDefault="001657E2" w:rsidP="001657E2">
            <w:pPr>
              <w:jc w:val="right"/>
            </w:pPr>
            <w:r>
              <w:t>-</w:t>
            </w:r>
          </w:p>
        </w:tc>
      </w:tr>
    </w:tbl>
    <w:p w:rsidR="001657E2" w:rsidRDefault="001657E2" w:rsidP="001657E2">
      <w:pPr>
        <w:pStyle w:val="-"/>
        <w:ind w:firstLine="420"/>
        <w:rPr>
          <w:rFonts w:hint="eastAsia"/>
        </w:rPr>
      </w:pPr>
      <w:r>
        <w:rPr>
          <w:rFonts w:hint="eastAsia"/>
        </w:rPr>
        <w:t>投资人重复申购，须按每次申购所对应的费率档次分别计费。</w:t>
      </w:r>
    </w:p>
    <w:p w:rsidR="001657E2" w:rsidRDefault="001657E2" w:rsidP="001657E2">
      <w:pPr>
        <w:pStyle w:val="-"/>
        <w:ind w:firstLine="420"/>
        <w:rPr>
          <w:rFonts w:hint="eastAsia"/>
        </w:rPr>
      </w:pPr>
      <w:r>
        <w:rPr>
          <w:rFonts w:hint="eastAsia"/>
        </w:rPr>
        <w:t>申购费用由投资人承担，不列入基金财产，主要用于本基金的市场推广、销售、登记等各项费用。</w:t>
      </w:r>
    </w:p>
    <w:p w:rsidR="001657E2" w:rsidRDefault="001657E2" w:rsidP="001657E2">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1657E2" w:rsidTr="001657E2">
        <w:tc>
          <w:tcPr>
            <w:tcW w:w="2768" w:type="dxa"/>
          </w:tcPr>
          <w:p w:rsidR="001657E2" w:rsidRDefault="001657E2" w:rsidP="001657E2">
            <w:pPr>
              <w:jc w:val="left"/>
            </w:pPr>
            <w:r>
              <w:rPr>
                <w:rFonts w:hint="eastAsia"/>
              </w:rPr>
              <w:t>费用类别</w:t>
            </w:r>
          </w:p>
        </w:tc>
        <w:tc>
          <w:tcPr>
            <w:tcW w:w="2769" w:type="dxa"/>
          </w:tcPr>
          <w:p w:rsidR="001657E2" w:rsidRDefault="001657E2" w:rsidP="001657E2">
            <w:pPr>
              <w:jc w:val="left"/>
            </w:pPr>
            <w:r>
              <w:rPr>
                <w:rFonts w:hint="eastAsia"/>
              </w:rPr>
              <w:t>收费方式</w:t>
            </w:r>
          </w:p>
        </w:tc>
        <w:tc>
          <w:tcPr>
            <w:tcW w:w="2769" w:type="dxa"/>
          </w:tcPr>
          <w:p w:rsidR="001657E2" w:rsidRDefault="001657E2" w:rsidP="001657E2">
            <w:pPr>
              <w:jc w:val="left"/>
            </w:pPr>
            <w:r>
              <w:rPr>
                <w:rFonts w:hint="eastAsia"/>
              </w:rPr>
              <w:t>年费率</w:t>
            </w:r>
          </w:p>
        </w:tc>
      </w:tr>
      <w:tr w:rsidR="001657E2" w:rsidTr="001657E2">
        <w:tc>
          <w:tcPr>
            <w:tcW w:w="2768" w:type="dxa"/>
          </w:tcPr>
          <w:p w:rsidR="001657E2" w:rsidRDefault="001657E2" w:rsidP="001657E2">
            <w:pPr>
              <w:jc w:val="left"/>
            </w:pPr>
            <w:r>
              <w:rPr>
                <w:rFonts w:hint="eastAsia"/>
              </w:rPr>
              <w:t>管理费</w:t>
            </w:r>
          </w:p>
        </w:tc>
        <w:tc>
          <w:tcPr>
            <w:tcW w:w="2769" w:type="dxa"/>
          </w:tcPr>
          <w:p w:rsidR="001657E2" w:rsidRDefault="001657E2" w:rsidP="001657E2">
            <w:pPr>
              <w:jc w:val="right"/>
            </w:pPr>
            <w:r>
              <w:t>-</w:t>
            </w:r>
          </w:p>
        </w:tc>
        <w:tc>
          <w:tcPr>
            <w:tcW w:w="2769" w:type="dxa"/>
          </w:tcPr>
          <w:p w:rsidR="001657E2" w:rsidRDefault="001657E2" w:rsidP="001657E2">
            <w:pPr>
              <w:jc w:val="right"/>
            </w:pPr>
            <w:r>
              <w:t>0.15%</w:t>
            </w:r>
          </w:p>
        </w:tc>
      </w:tr>
      <w:tr w:rsidR="001657E2" w:rsidTr="001657E2">
        <w:tc>
          <w:tcPr>
            <w:tcW w:w="2768" w:type="dxa"/>
          </w:tcPr>
          <w:p w:rsidR="001657E2" w:rsidRDefault="001657E2" w:rsidP="001657E2">
            <w:pPr>
              <w:jc w:val="left"/>
            </w:pPr>
            <w:r>
              <w:rPr>
                <w:rFonts w:hint="eastAsia"/>
              </w:rPr>
              <w:t>托管费</w:t>
            </w:r>
          </w:p>
        </w:tc>
        <w:tc>
          <w:tcPr>
            <w:tcW w:w="2769" w:type="dxa"/>
          </w:tcPr>
          <w:p w:rsidR="001657E2" w:rsidRDefault="001657E2" w:rsidP="001657E2">
            <w:pPr>
              <w:jc w:val="right"/>
            </w:pPr>
            <w:r>
              <w:t>-</w:t>
            </w:r>
          </w:p>
        </w:tc>
        <w:tc>
          <w:tcPr>
            <w:tcW w:w="2769" w:type="dxa"/>
          </w:tcPr>
          <w:p w:rsidR="001657E2" w:rsidRDefault="001657E2" w:rsidP="001657E2">
            <w:pPr>
              <w:jc w:val="right"/>
            </w:pPr>
            <w:r>
              <w:t>0.05%</w:t>
            </w:r>
          </w:p>
        </w:tc>
      </w:tr>
      <w:tr w:rsidR="001657E2" w:rsidTr="001657E2">
        <w:tc>
          <w:tcPr>
            <w:tcW w:w="2768" w:type="dxa"/>
          </w:tcPr>
          <w:p w:rsidR="001657E2" w:rsidRDefault="001657E2" w:rsidP="001657E2">
            <w:pPr>
              <w:jc w:val="left"/>
            </w:pPr>
            <w:r>
              <w:rPr>
                <w:rFonts w:hint="eastAsia"/>
              </w:rPr>
              <w:t>销售服务费</w:t>
            </w:r>
          </w:p>
        </w:tc>
        <w:tc>
          <w:tcPr>
            <w:tcW w:w="2769" w:type="dxa"/>
          </w:tcPr>
          <w:p w:rsidR="001657E2" w:rsidRDefault="001657E2" w:rsidP="001657E2">
            <w:pPr>
              <w:jc w:val="right"/>
            </w:pPr>
            <w:r>
              <w:t>-</w:t>
            </w:r>
          </w:p>
        </w:tc>
        <w:tc>
          <w:tcPr>
            <w:tcW w:w="2769" w:type="dxa"/>
          </w:tcPr>
          <w:p w:rsidR="001657E2" w:rsidRDefault="001657E2" w:rsidP="001657E2">
            <w:pPr>
              <w:jc w:val="right"/>
            </w:pPr>
            <w:r>
              <w:t>-</w:t>
            </w:r>
          </w:p>
        </w:tc>
      </w:tr>
      <w:tr w:rsidR="001657E2" w:rsidTr="0047554B">
        <w:tc>
          <w:tcPr>
            <w:tcW w:w="2768" w:type="dxa"/>
          </w:tcPr>
          <w:p w:rsidR="001657E2" w:rsidRDefault="001657E2" w:rsidP="001657E2">
            <w:pPr>
              <w:jc w:val="left"/>
            </w:pPr>
            <w:r>
              <w:rPr>
                <w:rFonts w:hint="eastAsia"/>
              </w:rPr>
              <w:t>其他费用</w:t>
            </w:r>
          </w:p>
        </w:tc>
        <w:tc>
          <w:tcPr>
            <w:tcW w:w="5538" w:type="dxa"/>
            <w:gridSpan w:val="2"/>
          </w:tcPr>
          <w:p w:rsidR="001657E2" w:rsidRDefault="001657E2" w:rsidP="001657E2">
            <w:pPr>
              <w:jc w:val="left"/>
            </w:pPr>
            <w:r>
              <w:rPr>
                <w:rFonts w:hint="eastAsia"/>
              </w:rPr>
              <w:t>《基金合同》生效后与基金相关的信息披露费用、会计师费、律师费、审计费、诉讼费和仲裁费、基金份额持有人大会费用、基金的证券交易费用、基金的银行汇划费用、基金相关账户的开户及维护费用，按照国家有关规定和</w:t>
            </w:r>
            <w:r>
              <w:rPr>
                <w:rFonts w:hint="eastAsia"/>
              </w:rPr>
              <w:lastRenderedPageBreak/>
              <w:t>《基金合同》约定，可以在基金财产中列支的其他费用。</w:t>
            </w:r>
          </w:p>
        </w:tc>
      </w:tr>
    </w:tbl>
    <w:p w:rsidR="001657E2" w:rsidRDefault="001657E2" w:rsidP="001657E2">
      <w:pPr>
        <w:pStyle w:val="-7"/>
        <w:ind w:firstLine="420"/>
        <w:rPr>
          <w:rFonts w:hint="eastAsia"/>
        </w:rPr>
      </w:pPr>
      <w:r>
        <w:rPr>
          <w:rFonts w:hint="eastAsia"/>
        </w:rPr>
        <w:lastRenderedPageBreak/>
        <w:t>注：本基金交易证券、基金等产生的费用和税负，按实际发生额从基金资产扣除。</w:t>
      </w:r>
    </w:p>
    <w:p w:rsidR="001657E2" w:rsidRDefault="001657E2" w:rsidP="001657E2">
      <w:pPr>
        <w:pStyle w:val="-1"/>
        <w:spacing w:before="156" w:after="156"/>
        <w:rPr>
          <w:rFonts w:hint="eastAsia"/>
        </w:rPr>
      </w:pPr>
      <w:r>
        <w:rPr>
          <w:rFonts w:hint="eastAsia"/>
        </w:rPr>
        <w:t>四、风险揭示与重要提示</w:t>
      </w:r>
    </w:p>
    <w:p w:rsidR="001657E2" w:rsidRDefault="001657E2" w:rsidP="001657E2">
      <w:pPr>
        <w:pStyle w:val="-2"/>
        <w:spacing w:before="156" w:after="156"/>
        <w:rPr>
          <w:rFonts w:hint="eastAsia"/>
        </w:rPr>
      </w:pPr>
      <w:r>
        <w:rPr>
          <w:rFonts w:hint="eastAsia"/>
        </w:rPr>
        <w:t>（一）</w:t>
      </w:r>
      <w:r>
        <w:rPr>
          <w:rFonts w:hint="eastAsia"/>
        </w:rPr>
        <w:t xml:space="preserve"> </w:t>
      </w:r>
      <w:r>
        <w:rPr>
          <w:rFonts w:hint="eastAsia"/>
        </w:rPr>
        <w:t>风险揭示</w:t>
      </w:r>
    </w:p>
    <w:p w:rsidR="001657E2" w:rsidRDefault="001657E2" w:rsidP="001657E2">
      <w:pPr>
        <w:pStyle w:val="-"/>
        <w:ind w:firstLine="420"/>
        <w:rPr>
          <w:rFonts w:hint="eastAsia"/>
        </w:rPr>
      </w:pPr>
      <w:r>
        <w:rPr>
          <w:rFonts w:hint="eastAsia"/>
        </w:rPr>
        <w:t>本基金不提供任何保证。投资者可能损失投资本金。</w:t>
      </w:r>
    </w:p>
    <w:p w:rsidR="001657E2" w:rsidRDefault="001657E2" w:rsidP="001657E2">
      <w:pPr>
        <w:pStyle w:val="-"/>
        <w:ind w:firstLine="420"/>
        <w:rPr>
          <w:rFonts w:hint="eastAsia"/>
        </w:rPr>
      </w:pPr>
      <w:r>
        <w:rPr>
          <w:rFonts w:hint="eastAsia"/>
        </w:rPr>
        <w:t>投资有风险，投资者购买基金时应认真阅读本基金的《招募说明书》等销售文件。</w:t>
      </w:r>
    </w:p>
    <w:p w:rsidR="001657E2" w:rsidRDefault="001657E2" w:rsidP="001657E2">
      <w:pPr>
        <w:pStyle w:val="-"/>
        <w:ind w:firstLine="420"/>
        <w:rPr>
          <w:rFonts w:hint="eastAsia"/>
        </w:rPr>
      </w:pPr>
      <w:r>
        <w:rPr>
          <w:rFonts w:hint="eastAsia"/>
        </w:rPr>
        <w:t>1</w:t>
      </w:r>
      <w:r>
        <w:rPr>
          <w:rFonts w:hint="eastAsia"/>
        </w:rPr>
        <w:t>、本基金特有的风险：</w:t>
      </w:r>
    </w:p>
    <w:p w:rsidR="001657E2" w:rsidRDefault="001657E2" w:rsidP="001657E2">
      <w:pPr>
        <w:pStyle w:val="-"/>
        <w:ind w:firstLine="420"/>
        <w:rPr>
          <w:rFonts w:hint="eastAsia"/>
        </w:rPr>
      </w:pPr>
      <w:r>
        <w:rPr>
          <w:rFonts w:hint="eastAsia"/>
        </w:rPr>
        <w:t>（</w:t>
      </w:r>
      <w:r>
        <w:rPr>
          <w:rFonts w:hint="eastAsia"/>
        </w:rPr>
        <w:t>1</w:t>
      </w:r>
      <w:r>
        <w:rPr>
          <w:rFonts w:hint="eastAsia"/>
        </w:rPr>
        <w:t>）本基金以封闭期和开放期滚动的方式运作，投资人需在开放期提出申购赎回申请，在非开放期间将无法进行申购和赎回。基金份额持有人面临封闭期内无法赎回的风险。</w:t>
      </w:r>
    </w:p>
    <w:p w:rsidR="001657E2" w:rsidRDefault="001657E2" w:rsidP="001657E2">
      <w:pPr>
        <w:pStyle w:val="-"/>
        <w:ind w:firstLine="420"/>
        <w:rPr>
          <w:rFonts w:hint="eastAsia"/>
        </w:rPr>
      </w:pPr>
      <w:r>
        <w:rPr>
          <w:rFonts w:hint="eastAsia"/>
        </w:rPr>
        <w:t>（</w:t>
      </w:r>
      <w:r>
        <w:rPr>
          <w:rFonts w:hint="eastAsia"/>
        </w:rPr>
        <w:t>2</w:t>
      </w:r>
      <w:r>
        <w:rPr>
          <w:rFonts w:hint="eastAsia"/>
        </w:rPr>
        <w:t>）本基金的投资范围包括资产支持证券。资产支持证券存在如下风险：</w:t>
      </w:r>
    </w:p>
    <w:p w:rsidR="001657E2" w:rsidRDefault="001657E2" w:rsidP="001657E2">
      <w:pPr>
        <w:pStyle w:val="-"/>
        <w:ind w:firstLine="420"/>
        <w:rPr>
          <w:rFonts w:hint="eastAsia"/>
        </w:rPr>
      </w:pPr>
      <w:r>
        <w:rPr>
          <w:rFonts w:hint="eastAsia"/>
        </w:rPr>
        <w:t>1</w:t>
      </w:r>
      <w:r>
        <w:rPr>
          <w:rFonts w:hint="eastAsia"/>
        </w:rPr>
        <w:t>）信用风险，也称为违约风险，它是指资产支持证券参与主体对它们所承诺的各种合约的违约所造成的可能损失。从简单意义上讲，信用风险表现为证券化资产所产生的现金流不能支持本金和利息的及时支付而给投资者带来损失。</w:t>
      </w:r>
    </w:p>
    <w:p w:rsidR="001657E2" w:rsidRDefault="001657E2" w:rsidP="001657E2">
      <w:pPr>
        <w:pStyle w:val="-"/>
        <w:ind w:firstLine="420"/>
        <w:rPr>
          <w:rFonts w:hint="eastAsia"/>
        </w:rPr>
      </w:pPr>
      <w:r>
        <w:rPr>
          <w:rFonts w:hint="eastAsia"/>
        </w:rPr>
        <w:t>2</w:t>
      </w:r>
      <w:r>
        <w:rPr>
          <w:rFonts w:hint="eastAsia"/>
        </w:rPr>
        <w:t>）提前偿付风险，是指若合同约定债务人有权在产品到期前偿还，则存在由于提前偿付而使投资者遭受损失的可能性。</w:t>
      </w:r>
    </w:p>
    <w:p w:rsidR="001657E2" w:rsidRDefault="001657E2" w:rsidP="001657E2">
      <w:pPr>
        <w:pStyle w:val="-"/>
        <w:ind w:firstLine="420"/>
        <w:rPr>
          <w:rFonts w:hint="eastAsia"/>
        </w:rPr>
      </w:pPr>
      <w:r>
        <w:rPr>
          <w:rFonts w:hint="eastAsia"/>
        </w:rPr>
        <w:t>3</w:t>
      </w:r>
      <w:r>
        <w:rPr>
          <w:rFonts w:hint="eastAsia"/>
        </w:rPr>
        <w:t>）操作风险，是指相关各方在业务操作过程中，因操作失误或违反操作规程而引起的风险。</w:t>
      </w:r>
    </w:p>
    <w:p w:rsidR="001657E2" w:rsidRDefault="001657E2" w:rsidP="001657E2">
      <w:pPr>
        <w:pStyle w:val="-"/>
        <w:ind w:firstLine="420"/>
        <w:rPr>
          <w:rFonts w:hint="eastAsia"/>
        </w:rPr>
      </w:pPr>
      <w:r>
        <w:rPr>
          <w:rFonts w:hint="eastAsia"/>
        </w:rPr>
        <w:t>4</w:t>
      </w:r>
      <w:r>
        <w:rPr>
          <w:rFonts w:hint="eastAsia"/>
        </w:rPr>
        <w:t>）法律风险，是指因资产支持证券交易结构较为复杂、参与方较多、交易文件较多，而存在的法律风险和履约风险。</w:t>
      </w:r>
    </w:p>
    <w:p w:rsidR="001657E2" w:rsidRDefault="001657E2" w:rsidP="001657E2">
      <w:pPr>
        <w:pStyle w:val="-"/>
        <w:ind w:firstLine="420"/>
        <w:rPr>
          <w:rFonts w:hint="eastAsia"/>
        </w:rPr>
      </w:pPr>
      <w:r>
        <w:rPr>
          <w:rFonts w:hint="eastAsia"/>
        </w:rPr>
        <w:t>（</w:t>
      </w:r>
      <w:r>
        <w:rPr>
          <w:rFonts w:hint="eastAsia"/>
        </w:rPr>
        <w:t>3</w:t>
      </w:r>
      <w:r>
        <w:rPr>
          <w:rFonts w:hint="eastAsia"/>
        </w:rPr>
        <w:t>）流动性风险评估</w:t>
      </w:r>
    </w:p>
    <w:p w:rsidR="001657E2" w:rsidRDefault="001657E2" w:rsidP="001657E2">
      <w:pPr>
        <w:pStyle w:val="-"/>
        <w:ind w:firstLine="420"/>
        <w:rPr>
          <w:rFonts w:hint="eastAsia"/>
        </w:rPr>
      </w:pPr>
      <w:r>
        <w:rPr>
          <w:rFonts w:hint="eastAsia"/>
        </w:rPr>
        <w:t>1</w:t>
      </w:r>
      <w:r>
        <w:rPr>
          <w:rFonts w:hint="eastAsia"/>
        </w:rPr>
        <w:t>）本基金的申购、赎回安排</w:t>
      </w:r>
    </w:p>
    <w:p w:rsidR="001657E2" w:rsidRDefault="001657E2" w:rsidP="001657E2">
      <w:pPr>
        <w:pStyle w:val="-"/>
        <w:ind w:firstLine="420"/>
        <w:rPr>
          <w:rFonts w:hint="eastAsia"/>
        </w:rPr>
      </w:pPr>
      <w:r>
        <w:rPr>
          <w:rFonts w:hint="eastAsia"/>
        </w:rPr>
        <w:t>本基金以封闭期和开放期滚动的方式运作，以一年为一个封闭期。投资人在开放日办理基金份额的申购和赎回，具体办理时间为开放期内上海证券交易所、深圳证券交易所的正常交易日的交易时间，但基金管理人根据法律法规、中国证监会的要求或本基金合同的规定公告暂停申购、赎回时除外。封闭期内，本基金不办理申购与赎回业务，也不上市交易。</w:t>
      </w:r>
    </w:p>
    <w:p w:rsidR="001657E2" w:rsidRDefault="001657E2" w:rsidP="001657E2">
      <w:pPr>
        <w:pStyle w:val="-"/>
        <w:ind w:firstLine="420"/>
        <w:rPr>
          <w:rFonts w:hint="eastAsia"/>
        </w:rPr>
      </w:pPr>
      <w:r>
        <w:rPr>
          <w:rFonts w:hint="eastAsia"/>
        </w:rPr>
        <w:t>2</w:t>
      </w:r>
      <w:r>
        <w:rPr>
          <w:rFonts w:hint="eastAsia"/>
        </w:rPr>
        <w:t>）投资市场、行业及资产的流动性风险评估</w:t>
      </w:r>
    </w:p>
    <w:p w:rsidR="001657E2" w:rsidRDefault="001657E2" w:rsidP="001657E2">
      <w:pPr>
        <w:pStyle w:val="-"/>
        <w:ind w:firstLine="420"/>
        <w:rPr>
          <w:rFonts w:hint="eastAsia"/>
        </w:rPr>
      </w:pPr>
      <w:r>
        <w:rPr>
          <w:rFonts w:hint="eastAsia"/>
        </w:rPr>
        <w:t>本基金封闭期内采取买入持有到期投资策略，投资于剩余期限（或回售期限）不超过基金剩余封闭期的固定收益类工具，使基金资产在开放前可完变现，能够满足开放期投资的赎回需求，为基金平稳运作提供了良好的基础。根据《公开募集开放式证券投资基金流动性风险管理规定》的相关要求，本基金会审慎评估所投资资产的流动性，并针对性制定流动性风险管理措施，因此本基金流动性风险也可以得到有效控制。</w:t>
      </w:r>
    </w:p>
    <w:p w:rsidR="001657E2" w:rsidRDefault="001657E2" w:rsidP="001657E2">
      <w:pPr>
        <w:pStyle w:val="-"/>
        <w:ind w:firstLine="420"/>
        <w:rPr>
          <w:rFonts w:hint="eastAsia"/>
        </w:rPr>
      </w:pPr>
      <w:r>
        <w:rPr>
          <w:rFonts w:hint="eastAsia"/>
        </w:rPr>
        <w:t>3</w:t>
      </w:r>
      <w:r>
        <w:rPr>
          <w:rFonts w:hint="eastAsia"/>
        </w:rPr>
        <w:t>）巨额赎回情形下的流动性风险管理措施</w:t>
      </w:r>
    </w:p>
    <w:p w:rsidR="001657E2" w:rsidRDefault="001657E2" w:rsidP="001657E2">
      <w:pPr>
        <w:pStyle w:val="-"/>
        <w:ind w:firstLine="420"/>
        <w:rPr>
          <w:rFonts w:hint="eastAsia"/>
        </w:rPr>
      </w:pPr>
      <w:r>
        <w:rPr>
          <w:rFonts w:hint="eastAsia"/>
        </w:rPr>
        <w:t>若本基金单个开放日内的基金份额净赎回申请（赎回申请份额总数加上基金转换中转出申请份额总数后扣除申购申请份额总数及基金转换中转入申请份额总数后的余额）超过前一工作日的基金总份额的</w:t>
      </w:r>
      <w:r>
        <w:rPr>
          <w:rFonts w:hint="eastAsia"/>
        </w:rPr>
        <w:t>20%</w:t>
      </w:r>
      <w:r>
        <w:rPr>
          <w:rFonts w:hint="eastAsia"/>
        </w:rPr>
        <w:t>，即认为是发生了巨额赎回。当基金发生巨额赎回，在单个基金份额持有人超过基金总份额</w:t>
      </w:r>
      <w:r>
        <w:rPr>
          <w:rFonts w:hint="eastAsia"/>
        </w:rPr>
        <w:t>30%</w:t>
      </w:r>
      <w:r>
        <w:rPr>
          <w:rFonts w:hint="eastAsia"/>
        </w:rPr>
        <w:t>以上的赎回申请情形下，基金管理人可以延期办理赎回申请。如基金管理人对于其超过基金总份额</w:t>
      </w:r>
      <w:r>
        <w:rPr>
          <w:rFonts w:hint="eastAsia"/>
        </w:rPr>
        <w:t>30%</w:t>
      </w:r>
      <w:r>
        <w:rPr>
          <w:rFonts w:hint="eastAsia"/>
        </w:rPr>
        <w:t>以上部分的赎回申请实施延期办理，延期的赎回申请与下一开放日赎回申请一并处理；基金管理人只接受其基金总份额</w:t>
      </w:r>
      <w:r>
        <w:rPr>
          <w:rFonts w:hint="eastAsia"/>
        </w:rPr>
        <w:t>30%</w:t>
      </w:r>
      <w:r>
        <w:rPr>
          <w:rFonts w:hint="eastAsia"/>
        </w:rPr>
        <w:t>部分作为当日有效赎回申请，且基金管理人可以根据前述“全额赎回”或“延缓支付赎回款项”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w:t>
      </w:r>
      <w:r>
        <w:rPr>
          <w:rFonts w:hint="eastAsia"/>
        </w:rPr>
        <w:lastRenderedPageBreak/>
        <w:t>择，投资人未能赎回部分作自动延期赎回处理，但若在开放期最后一日发生上述情形的，超过部分将视为无效赎回申请。</w:t>
      </w:r>
    </w:p>
    <w:p w:rsidR="001657E2" w:rsidRDefault="001657E2" w:rsidP="001657E2">
      <w:pPr>
        <w:pStyle w:val="-"/>
        <w:ind w:firstLine="420"/>
        <w:rPr>
          <w:rFonts w:hint="eastAsia"/>
        </w:rPr>
      </w:pPr>
      <w:r>
        <w:rPr>
          <w:rFonts w:hint="eastAsia"/>
        </w:rPr>
        <w:t>4</w:t>
      </w:r>
      <w:r>
        <w:rPr>
          <w:rFonts w:hint="eastAsia"/>
        </w:rPr>
        <w:t>）实施备用的流动性风险管理工具的情形、程序及对投资者的潜在影响</w:t>
      </w:r>
    </w:p>
    <w:p w:rsidR="001657E2" w:rsidRDefault="001657E2" w:rsidP="001657E2">
      <w:pPr>
        <w:pStyle w:val="-"/>
        <w:ind w:firstLine="420"/>
        <w:rPr>
          <w:rFonts w:hint="eastAsia"/>
        </w:rPr>
      </w:pPr>
      <w:r>
        <w:rPr>
          <w:rFonts w:hint="eastAsia"/>
        </w:rPr>
        <w:t>开放期内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rsidR="001657E2" w:rsidRDefault="001657E2" w:rsidP="001657E2">
      <w:pPr>
        <w:pStyle w:val="-"/>
        <w:ind w:firstLine="420"/>
        <w:rPr>
          <w:rFonts w:hint="eastAsia"/>
        </w:rPr>
      </w:pPr>
      <w:r>
        <w:rPr>
          <w:rFonts w:hint="eastAsia"/>
        </w:rPr>
        <w:t>（</w:t>
      </w:r>
      <w:r>
        <w:rPr>
          <w:rFonts w:hint="eastAsia"/>
        </w:rPr>
        <w:t>4</w:t>
      </w:r>
      <w:r>
        <w:rPr>
          <w:rFonts w:hint="eastAsia"/>
        </w:rPr>
        <w:t>）信用风险对本基金买入持有到期投资策略的影响</w:t>
      </w:r>
    </w:p>
    <w:p w:rsidR="001657E2" w:rsidRDefault="001657E2" w:rsidP="001657E2">
      <w:pPr>
        <w:pStyle w:val="-"/>
        <w:ind w:firstLine="420"/>
        <w:rPr>
          <w:rFonts w:hint="eastAsia"/>
        </w:rPr>
      </w:pPr>
      <w:r>
        <w:rPr>
          <w:rFonts w:hint="eastAsia"/>
        </w:rPr>
        <w:t>为控制本基金的信用风险，本基金将定期对所投债券的信用资质和发行人的偿付能力进行评估。对于存在信用风险隐患的发行人所发行的债券，及时制定风险处置预案。封闭期内，如本基金持有债券的信用风险显著增加时，为减少信用损失，本基金将对该债券进行处置。</w:t>
      </w:r>
    </w:p>
    <w:p w:rsidR="001657E2" w:rsidRDefault="001657E2" w:rsidP="001657E2">
      <w:pPr>
        <w:pStyle w:val="-"/>
        <w:ind w:firstLine="420"/>
        <w:rPr>
          <w:rFonts w:hint="eastAsia"/>
        </w:rPr>
      </w:pPr>
      <w:r>
        <w:rPr>
          <w:rFonts w:hint="eastAsia"/>
        </w:rPr>
        <w:t>（</w:t>
      </w:r>
      <w:r>
        <w:rPr>
          <w:rFonts w:hint="eastAsia"/>
        </w:rPr>
        <w:t>5</w:t>
      </w:r>
      <w:r>
        <w:rPr>
          <w:rFonts w:hint="eastAsia"/>
        </w:rPr>
        <w:t>）基金封闭期到期日因部分资产无法变现或者无法以合理价格变现导致基金部分资产尚未变现的，基金将暂停进入下一开放期，封闭期结束的下一个工作日，基金份额应全部自动赎回，按已变现的基金财产支付部分赎回款项，未变现资产对应赎回款延缓支付，待该部分资产变现后支付剩余赎回款。赎回价格按全部资产最终变现净额确定。基金管理人应就上述延缓支付部分赎回款项的原因和安排在封闭期结束后的下一个工作日发布公告并提示最终赎回价格与封闭期到期日的净值可能存在差异的风险。</w:t>
      </w:r>
    </w:p>
    <w:p w:rsidR="001657E2" w:rsidRDefault="001657E2" w:rsidP="001657E2">
      <w:pPr>
        <w:pStyle w:val="-"/>
        <w:ind w:firstLine="420"/>
        <w:rPr>
          <w:rFonts w:hint="eastAsia"/>
        </w:rPr>
      </w:pPr>
      <w:r>
        <w:rPr>
          <w:rFonts w:hint="eastAsia"/>
        </w:rPr>
        <w:t>（</w:t>
      </w:r>
      <w:r>
        <w:rPr>
          <w:rFonts w:hint="eastAsia"/>
        </w:rPr>
        <w:t>6</w:t>
      </w:r>
      <w:r>
        <w:rPr>
          <w:rFonts w:hint="eastAsia"/>
        </w:rPr>
        <w:t>）在封闭期内，本基金采用买入并持有至到期策略，一般情况下，持有的固定收益类品种和结构在封闭期内不会发生变化，在行情波动时，可能损失一定的交易收益。</w:t>
      </w:r>
    </w:p>
    <w:p w:rsidR="001657E2" w:rsidRDefault="001657E2" w:rsidP="001657E2">
      <w:pPr>
        <w:pStyle w:val="-"/>
        <w:ind w:firstLine="420"/>
        <w:rPr>
          <w:rFonts w:hint="eastAsia"/>
        </w:rPr>
      </w:pPr>
      <w:r>
        <w:rPr>
          <w:rFonts w:hint="eastAsia"/>
        </w:rPr>
        <w:t>（</w:t>
      </w:r>
      <w:r>
        <w:rPr>
          <w:rFonts w:hint="eastAsia"/>
        </w:rPr>
        <w:t>7</w:t>
      </w:r>
      <w:r>
        <w:rPr>
          <w:rFonts w:hint="eastAsia"/>
        </w:rPr>
        <w:t>）本基金定期对持有的固定收益品种的账面价值进行检查，如有客观证据表明其发生了减值的，应当与托管人协商一致后对所投资资产计算确认减值损失。因此，摊余成本法估值不等同于保本，基金资产发生计提减值准备可能导致基金份额净值下跌。</w:t>
      </w:r>
    </w:p>
    <w:p w:rsidR="001657E2" w:rsidRDefault="001657E2" w:rsidP="001657E2">
      <w:pPr>
        <w:pStyle w:val="-"/>
        <w:ind w:firstLine="420"/>
        <w:rPr>
          <w:rFonts w:hint="eastAsia"/>
        </w:rPr>
      </w:pPr>
      <w:r>
        <w:rPr>
          <w:rFonts w:hint="eastAsia"/>
        </w:rPr>
        <w:t>2</w:t>
      </w:r>
      <w:r>
        <w:rPr>
          <w:rFonts w:hint="eastAsia"/>
        </w:rPr>
        <w:t>、市场风险</w:t>
      </w:r>
    </w:p>
    <w:p w:rsidR="001657E2" w:rsidRDefault="001657E2" w:rsidP="001657E2">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1657E2" w:rsidRDefault="001657E2" w:rsidP="001657E2">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）购买力风险；（</w:t>
      </w:r>
      <w:r>
        <w:rPr>
          <w:rFonts w:hint="eastAsia"/>
        </w:rPr>
        <w:t>5</w:t>
      </w:r>
      <w:r>
        <w:rPr>
          <w:rFonts w:hint="eastAsia"/>
        </w:rPr>
        <w:t>）信用风险；（</w:t>
      </w:r>
      <w:r>
        <w:rPr>
          <w:rFonts w:hint="eastAsia"/>
        </w:rPr>
        <w:t>6</w:t>
      </w:r>
      <w:r>
        <w:rPr>
          <w:rFonts w:hint="eastAsia"/>
        </w:rPr>
        <w:t>）债券收益率曲线变动风险；（</w:t>
      </w:r>
      <w:r>
        <w:rPr>
          <w:rFonts w:hint="eastAsia"/>
        </w:rPr>
        <w:t>7</w:t>
      </w:r>
      <w:r>
        <w:rPr>
          <w:rFonts w:hint="eastAsia"/>
        </w:rPr>
        <w:t>）再投资风险。</w:t>
      </w:r>
    </w:p>
    <w:p w:rsidR="001657E2" w:rsidRDefault="001657E2" w:rsidP="001657E2">
      <w:pPr>
        <w:pStyle w:val="-"/>
        <w:ind w:firstLine="420"/>
        <w:rPr>
          <w:rFonts w:hint="eastAsia"/>
        </w:rPr>
      </w:pPr>
      <w:r>
        <w:rPr>
          <w:rFonts w:hint="eastAsia"/>
        </w:rPr>
        <w:t>3</w:t>
      </w:r>
      <w:r>
        <w:rPr>
          <w:rFonts w:hint="eastAsia"/>
        </w:rPr>
        <w:t>、开放式基金共有的风险</w:t>
      </w:r>
    </w:p>
    <w:p w:rsidR="001657E2" w:rsidRDefault="001657E2" w:rsidP="001657E2">
      <w:pPr>
        <w:pStyle w:val="-"/>
        <w:ind w:firstLine="420"/>
        <w:rPr>
          <w:rFonts w:hint="eastAsia"/>
        </w:rPr>
      </w:pPr>
      <w:r>
        <w:rPr>
          <w:rFonts w:hint="eastAsia"/>
        </w:rPr>
        <w:t>（</w:t>
      </w:r>
      <w:r>
        <w:rPr>
          <w:rFonts w:hint="eastAsia"/>
        </w:rPr>
        <w:t>1</w:t>
      </w:r>
      <w:r>
        <w:rPr>
          <w:rFonts w:hint="eastAsia"/>
        </w:rPr>
        <w:t>）管理风险；（</w:t>
      </w:r>
      <w:r>
        <w:rPr>
          <w:rFonts w:hint="eastAsia"/>
        </w:rPr>
        <w:t>2</w:t>
      </w:r>
      <w:r>
        <w:rPr>
          <w:rFonts w:hint="eastAsia"/>
        </w:rPr>
        <w:t>）流动性风险；（</w:t>
      </w:r>
      <w:r>
        <w:rPr>
          <w:rFonts w:hint="eastAsia"/>
        </w:rPr>
        <w:t>3</w:t>
      </w:r>
      <w:r>
        <w:rPr>
          <w:rFonts w:hint="eastAsia"/>
        </w:rPr>
        <w:t>）其他风险。</w:t>
      </w:r>
    </w:p>
    <w:p w:rsidR="001657E2" w:rsidRDefault="001657E2" w:rsidP="001657E2">
      <w:pPr>
        <w:pStyle w:val="-"/>
        <w:ind w:firstLine="420"/>
        <w:rPr>
          <w:rFonts w:hint="eastAsia"/>
        </w:rPr>
      </w:pPr>
      <w:r>
        <w:rPr>
          <w:rFonts w:hint="eastAsia"/>
        </w:rPr>
        <w:t>4</w:t>
      </w:r>
      <w:r>
        <w:rPr>
          <w:rFonts w:hint="eastAsia"/>
        </w:rPr>
        <w:t>、本基金法律文件风险收益特征表述与销售机构基金风险评价可能不一致的风险</w:t>
      </w:r>
    </w:p>
    <w:p w:rsidR="001657E2" w:rsidRDefault="001657E2" w:rsidP="001657E2">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1657E2" w:rsidRDefault="001657E2" w:rsidP="001657E2">
      <w:pPr>
        <w:pStyle w:val="-"/>
        <w:ind w:firstLine="420"/>
        <w:rPr>
          <w:rFonts w:hint="eastAsia"/>
        </w:rPr>
      </w:pPr>
      <w:r>
        <w:rPr>
          <w:rFonts w:hint="eastAsia"/>
        </w:rPr>
        <w:t>5</w:t>
      </w:r>
      <w:r>
        <w:rPr>
          <w:rFonts w:hint="eastAsia"/>
        </w:rPr>
        <w:t>、实施侧袋机制对投资者的影响</w:t>
      </w:r>
    </w:p>
    <w:p w:rsidR="001657E2" w:rsidRDefault="001657E2" w:rsidP="001657E2">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w:t>
      </w:r>
      <w:r>
        <w:rPr>
          <w:rFonts w:hint="eastAsia"/>
        </w:rPr>
        <w:lastRenderedPageBreak/>
        <w:t>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1657E2" w:rsidRDefault="001657E2" w:rsidP="001657E2">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1657E2" w:rsidRDefault="001657E2" w:rsidP="001657E2">
      <w:pPr>
        <w:pStyle w:val="-"/>
        <w:ind w:firstLine="420"/>
        <w:rPr>
          <w:rFonts w:hint="eastAsia"/>
        </w:rPr>
      </w:pPr>
      <w:r>
        <w:rPr>
          <w:rFonts w:hint="eastAsia"/>
        </w:rPr>
        <w:t>基金管理人将根据主袋账户运作情况合理确定申购政策，因此实施侧袋机制后主袋账户份额存在暂停申购的可能。</w:t>
      </w:r>
    </w:p>
    <w:p w:rsidR="001657E2" w:rsidRDefault="001657E2" w:rsidP="001657E2">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1657E2" w:rsidRDefault="001657E2" w:rsidP="001657E2">
      <w:pPr>
        <w:pStyle w:val="-2"/>
        <w:spacing w:before="156" w:after="156"/>
        <w:rPr>
          <w:rFonts w:hint="eastAsia"/>
        </w:rPr>
      </w:pPr>
      <w:r>
        <w:rPr>
          <w:rFonts w:hint="eastAsia"/>
        </w:rPr>
        <w:t>（二）</w:t>
      </w:r>
      <w:r>
        <w:rPr>
          <w:rFonts w:hint="eastAsia"/>
        </w:rPr>
        <w:t xml:space="preserve"> </w:t>
      </w:r>
      <w:r>
        <w:rPr>
          <w:rFonts w:hint="eastAsia"/>
        </w:rPr>
        <w:t>重要提示</w:t>
      </w:r>
    </w:p>
    <w:p w:rsidR="001657E2" w:rsidRDefault="001657E2" w:rsidP="001657E2">
      <w:pPr>
        <w:pStyle w:val="-"/>
        <w:ind w:firstLine="420"/>
        <w:rPr>
          <w:rFonts w:hint="eastAsia"/>
        </w:rPr>
      </w:pPr>
      <w:r>
        <w:rPr>
          <w:rFonts w:hint="eastAsia"/>
        </w:rPr>
        <w:t>南方恒庆一年定期开放债券型证券投资基金（以下简称“本基金”）经中国证监会</w:t>
      </w:r>
      <w:r>
        <w:rPr>
          <w:rFonts w:hint="eastAsia"/>
        </w:rPr>
        <w:t>2019</w:t>
      </w:r>
      <w:r>
        <w:rPr>
          <w:rFonts w:hint="eastAsia"/>
        </w:rPr>
        <w:t>年</w:t>
      </w:r>
      <w:r>
        <w:rPr>
          <w:rFonts w:hint="eastAsia"/>
        </w:rPr>
        <w:t>3</w:t>
      </w:r>
      <w:r>
        <w:rPr>
          <w:rFonts w:hint="eastAsia"/>
        </w:rPr>
        <w:t>月</w:t>
      </w:r>
      <w:r>
        <w:rPr>
          <w:rFonts w:hint="eastAsia"/>
        </w:rPr>
        <w:t>18</w:t>
      </w:r>
      <w:r>
        <w:rPr>
          <w:rFonts w:hint="eastAsia"/>
        </w:rPr>
        <w:t>日证监许可</w:t>
      </w:r>
      <w:r>
        <w:rPr>
          <w:rFonts w:hint="eastAsia"/>
        </w:rPr>
        <w:t>[2019]402</w:t>
      </w:r>
      <w:r>
        <w:rPr>
          <w:rFonts w:hint="eastAsia"/>
        </w:rPr>
        <w:t>号文注册募集。中国证监会对本基金募集的注册，并不表明其对本基金的价值和收益作出实质性判断或保证，也不表明投资于本基金没有风险。</w:t>
      </w:r>
    </w:p>
    <w:p w:rsidR="001657E2" w:rsidRDefault="001657E2" w:rsidP="001657E2">
      <w:pPr>
        <w:pStyle w:val="-"/>
        <w:ind w:firstLine="420"/>
        <w:rPr>
          <w:rFonts w:hint="eastAsia"/>
        </w:rPr>
      </w:pPr>
      <w:r>
        <w:rPr>
          <w:rFonts w:hint="eastAsia"/>
        </w:rPr>
        <w:t>基金管理人依照恪尽职守、诚实信用、谨慎勤勉的原则管理和运用基金财产，但不保证基金一定盈利，也不保证最低收益。</w:t>
      </w:r>
    </w:p>
    <w:p w:rsidR="001657E2" w:rsidRDefault="001657E2" w:rsidP="001657E2">
      <w:pPr>
        <w:pStyle w:val="-"/>
        <w:ind w:firstLine="420"/>
        <w:rPr>
          <w:rFonts w:hint="eastAsia"/>
        </w:rPr>
      </w:pPr>
      <w:r>
        <w:rPr>
          <w:rFonts w:hint="eastAsia"/>
        </w:rPr>
        <w:t>基金投资者自依基金合同取得基金份额，即成为基金份额持有人和基金合同的当事人。</w:t>
      </w:r>
    </w:p>
    <w:p w:rsidR="001657E2" w:rsidRDefault="001657E2" w:rsidP="001657E2">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基金合同相关的争议解决方式为仲裁。因本基金产生的或与基金合同有关的一切争议，如经友好协商未能解决的，任何一方均有权将争议提交中国国际经济贸易仲裁委员会仲裁，仲裁地点为上海市。</w:t>
      </w:r>
    </w:p>
    <w:p w:rsidR="001657E2" w:rsidRDefault="001657E2" w:rsidP="001657E2">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1657E2" w:rsidRDefault="001657E2" w:rsidP="001657E2">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1657E2" w:rsidRDefault="001657E2" w:rsidP="001657E2">
      <w:pPr>
        <w:pStyle w:val="-1"/>
        <w:spacing w:before="156" w:after="156"/>
        <w:rPr>
          <w:rFonts w:hint="eastAsia"/>
        </w:rPr>
      </w:pPr>
      <w:r>
        <w:rPr>
          <w:rFonts w:hint="eastAsia"/>
        </w:rPr>
        <w:t>五、其他资料查询方式</w:t>
      </w:r>
    </w:p>
    <w:p w:rsidR="001657E2" w:rsidRDefault="001657E2" w:rsidP="001657E2">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1657E2" w:rsidRDefault="001657E2" w:rsidP="001657E2">
      <w:pPr>
        <w:pStyle w:val="-"/>
        <w:ind w:firstLine="420"/>
        <w:rPr>
          <w:rFonts w:hint="eastAsia"/>
        </w:rPr>
      </w:pPr>
      <w:r>
        <w:rPr>
          <w:rFonts w:hint="eastAsia"/>
        </w:rPr>
        <w:t>●《南方恒庆一年定期开放债券型证券投资基金基金合同》、</w:t>
      </w:r>
    </w:p>
    <w:p w:rsidR="001657E2" w:rsidRDefault="001657E2" w:rsidP="001657E2">
      <w:pPr>
        <w:pStyle w:val="-"/>
        <w:ind w:firstLine="420"/>
        <w:rPr>
          <w:rFonts w:hint="eastAsia"/>
        </w:rPr>
      </w:pPr>
      <w:r>
        <w:rPr>
          <w:rFonts w:hint="eastAsia"/>
        </w:rPr>
        <w:t>《南方恒庆一年定期开放债券型证券投资基金托管协议》、</w:t>
      </w:r>
    </w:p>
    <w:p w:rsidR="001657E2" w:rsidRDefault="001657E2" w:rsidP="001657E2">
      <w:pPr>
        <w:pStyle w:val="-"/>
        <w:ind w:firstLine="420"/>
        <w:rPr>
          <w:rFonts w:hint="eastAsia"/>
        </w:rPr>
      </w:pPr>
      <w:r>
        <w:rPr>
          <w:rFonts w:hint="eastAsia"/>
        </w:rPr>
        <w:t>《南方恒庆一年定期开放债券型证券投资基金招募说明书》</w:t>
      </w:r>
    </w:p>
    <w:p w:rsidR="001657E2" w:rsidRDefault="001657E2" w:rsidP="001657E2">
      <w:pPr>
        <w:pStyle w:val="-"/>
        <w:ind w:firstLine="420"/>
        <w:rPr>
          <w:rFonts w:hint="eastAsia"/>
        </w:rPr>
      </w:pPr>
      <w:r>
        <w:rPr>
          <w:rFonts w:hint="eastAsia"/>
        </w:rPr>
        <w:t>●定期报告、包括基金季度报告、中期报告和年度报告</w:t>
      </w:r>
    </w:p>
    <w:p w:rsidR="001657E2" w:rsidRDefault="001657E2" w:rsidP="001657E2">
      <w:pPr>
        <w:pStyle w:val="-"/>
        <w:ind w:firstLine="420"/>
        <w:rPr>
          <w:rFonts w:hint="eastAsia"/>
        </w:rPr>
      </w:pPr>
      <w:r>
        <w:rPr>
          <w:rFonts w:hint="eastAsia"/>
        </w:rPr>
        <w:t>●基金份额净值</w:t>
      </w:r>
    </w:p>
    <w:p w:rsidR="001657E2" w:rsidRDefault="001657E2" w:rsidP="001657E2">
      <w:pPr>
        <w:pStyle w:val="-"/>
        <w:ind w:firstLine="420"/>
        <w:rPr>
          <w:rFonts w:hint="eastAsia"/>
        </w:rPr>
      </w:pPr>
      <w:r>
        <w:rPr>
          <w:rFonts w:hint="eastAsia"/>
        </w:rPr>
        <w:t>●基金销售机构及联系方式</w:t>
      </w:r>
    </w:p>
    <w:p w:rsidR="001657E2" w:rsidRDefault="001657E2" w:rsidP="001657E2">
      <w:pPr>
        <w:pStyle w:val="-"/>
        <w:ind w:firstLine="420"/>
        <w:rPr>
          <w:rFonts w:hint="eastAsia"/>
        </w:rPr>
      </w:pPr>
      <w:r>
        <w:rPr>
          <w:rFonts w:hint="eastAsia"/>
        </w:rPr>
        <w:t>●其他重要资料</w:t>
      </w:r>
    </w:p>
    <w:p w:rsidR="001657E2" w:rsidRDefault="001657E2" w:rsidP="001657E2">
      <w:pPr>
        <w:pStyle w:val="-1"/>
        <w:spacing w:before="156" w:after="156"/>
        <w:rPr>
          <w:rFonts w:hint="eastAsia"/>
        </w:rPr>
      </w:pPr>
      <w:r>
        <w:rPr>
          <w:rFonts w:hint="eastAsia"/>
        </w:rPr>
        <w:t>六、其他情况说明</w:t>
      </w:r>
    </w:p>
    <w:p w:rsidR="001657E2" w:rsidRDefault="001657E2" w:rsidP="001657E2">
      <w:pPr>
        <w:pStyle w:val="-"/>
        <w:ind w:firstLine="420"/>
        <w:rPr>
          <w:rFonts w:hint="eastAsia"/>
        </w:rPr>
      </w:pPr>
      <w:r>
        <w:rPr>
          <w:rFonts w:hint="eastAsia"/>
        </w:rPr>
        <w:t>暂无。</w:t>
      </w:r>
    </w:p>
    <w:p w:rsidR="00E67375" w:rsidRPr="00ED7F31" w:rsidRDefault="001657E2" w:rsidP="001657E2">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788" w:rsidRDefault="00964788" w:rsidP="00C06F04">
      <w:r>
        <w:separator/>
      </w:r>
    </w:p>
  </w:endnote>
  <w:endnote w:type="continuationSeparator" w:id="0">
    <w:p w:rsidR="00964788" w:rsidRDefault="00964788"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7E2" w:rsidRDefault="001657E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7D" w:rsidRDefault="00FA097D">
    <w:pPr>
      <w:pStyle w:val="a7"/>
      <w:jc w:val="right"/>
    </w:pPr>
    <w:r>
      <w:fldChar w:fldCharType="begin"/>
    </w:r>
    <w:r>
      <w:instrText xml:space="preserve"> PAGE   \* MERGEFORMAT </w:instrText>
    </w:r>
    <w:r>
      <w:fldChar w:fldCharType="separate"/>
    </w:r>
    <w:r w:rsidR="001657E2" w:rsidRPr="001657E2">
      <w:rPr>
        <w:noProof/>
        <w:lang w:val="zh-CN"/>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7E2" w:rsidRDefault="001657E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788" w:rsidRDefault="00964788" w:rsidP="00C06F04">
      <w:r>
        <w:separator/>
      </w:r>
    </w:p>
  </w:footnote>
  <w:footnote w:type="continuationSeparator" w:id="0">
    <w:p w:rsidR="00964788" w:rsidRDefault="00964788"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7E2" w:rsidRDefault="001657E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B7" w:rsidRDefault="001657E2" w:rsidP="00CE07B7">
    <w:pPr>
      <w:pStyle w:val="a6"/>
      <w:jc w:val="right"/>
    </w:pPr>
    <w:r>
      <w:rPr>
        <w:rFonts w:hint="eastAsia"/>
      </w:rPr>
      <w:t>南方恒庆一年定期开放债券型证券投资基金基金产品资料概要（更新）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7E2" w:rsidRDefault="001657E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657E2"/>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0">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5">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ED22C-5E57-455D-AA79-D0582F18C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882</Words>
  <Characters>5028</Characters>
  <Application>Microsoft Office Word</Application>
  <DocSecurity>0</DocSecurity>
  <Lines>41</Lines>
  <Paragraphs>11</Paragraphs>
  <ScaleCrop>false</ScaleCrop>
  <Company>MC SYSTEM</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nfuser</cp:lastModifiedBy>
  <cp:revision>2</cp:revision>
  <dcterms:created xsi:type="dcterms:W3CDTF">2022-05-30T05:53:00Z</dcterms:created>
  <dcterms:modified xsi:type="dcterms:W3CDTF">2022-05-30T05:53:00Z</dcterms:modified>
</cp:coreProperties>
</file>