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313CBA" w:rsidRPr="00760D38" w:rsidP="00760D38">
      <w:pPr>
        <w:spacing w:line="360" w:lineRule="auto"/>
        <w:jc w:val="center"/>
        <w:rPr>
          <w:rFonts w:ascii="宋体" w:eastAsia="宋体" w:hAnsi="宋体" w:cs="宋体"/>
          <w:b/>
          <w:color w:val="000000"/>
          <w:sz w:val="28"/>
          <w:szCs w:val="28"/>
        </w:rPr>
      </w:pPr>
      <w:r w:rsidRPr="00760D38">
        <w:rPr>
          <w:rFonts w:ascii="宋体" w:eastAsia="宋体" w:hAnsi="宋体" w:cs="宋体"/>
          <w:b/>
          <w:color w:val="000000"/>
          <w:sz w:val="28"/>
          <w:szCs w:val="28"/>
        </w:rPr>
        <w:t>汇添富彭博中国政策性银行债券1-3年指数证券投资基金收益分配公告</w:t>
      </w:r>
    </w:p>
    <w:p w:rsidR="00760D38" w:rsidRPr="00760D38" w:rsidP="00760D38">
      <w:pPr>
        <w:spacing w:line="360" w:lineRule="auto"/>
        <w:jc w:val="center"/>
        <w:rPr>
          <w:rFonts w:ascii="宋体" w:eastAsia="宋体" w:hAnsi="宋体" w:cs="宋体"/>
          <w:b/>
          <w:color w:val="000000"/>
          <w:sz w:val="24"/>
          <w:szCs w:val="24"/>
        </w:rPr>
      </w:pPr>
      <w:r w:rsidRPr="00760D38">
        <w:rPr>
          <w:rFonts w:asciiTheme="minorEastAsia" w:hAnsiTheme="minorEastAsia" w:hint="eastAsia"/>
          <w:b/>
          <w:sz w:val="24"/>
          <w:szCs w:val="24"/>
        </w:rPr>
        <w:t>公告</w:t>
      </w:r>
      <w:r w:rsidRPr="00760D38">
        <w:rPr>
          <w:rFonts w:asciiTheme="minorEastAsia" w:hAnsiTheme="minorEastAsia"/>
          <w:b/>
          <w:sz w:val="24"/>
          <w:szCs w:val="24"/>
        </w:rPr>
        <w:t>送出日期：</w:t>
      </w:r>
      <w:r w:rsidRPr="00760D38">
        <w:rPr>
          <w:rFonts w:ascii="宋体" w:eastAsia="宋体" w:hAnsi="宋体" w:cs="宋体"/>
          <w:b/>
          <w:color w:val="000000"/>
          <w:sz w:val="24"/>
          <w:szCs w:val="24"/>
        </w:rPr>
        <w:t>2022年06月18日</w:t>
      </w:r>
    </w:p>
    <w:p w:rsidR="00760D38" w:rsidRPr="00760D38" w:rsidP="00760D38">
      <w:pPr>
        <w:spacing w:line="360" w:lineRule="auto"/>
        <w:rPr>
          <w:rFonts w:asciiTheme="minorEastAsia" w:hAnsiTheme="minorEastAsia"/>
          <w:b/>
          <w:sz w:val="24"/>
          <w:szCs w:val="24"/>
        </w:rPr>
      </w:pPr>
      <w:r w:rsidRPr="00760D38">
        <w:rPr>
          <w:rFonts w:asciiTheme="minorEastAsia" w:hAnsiTheme="minorEastAsia" w:hint="eastAsia"/>
          <w:b/>
          <w:sz w:val="24"/>
          <w:szCs w:val="24"/>
        </w:rPr>
        <w:t>1 公告</w:t>
      </w:r>
      <w:r w:rsidRPr="00760D38">
        <w:rPr>
          <w:rFonts w:asciiTheme="minorEastAsia" w:hAnsiTheme="minorEastAsia"/>
          <w:b/>
          <w:sz w:val="24"/>
          <w:szCs w:val="24"/>
        </w:rPr>
        <w:t>基本信息</w:t>
      </w:r>
    </w:p>
    <w:p w:rsidR="00760D38" w:rsidP="00760D38">
      <w:pPr>
        <w:rPr>
          <w:rFonts w:asciiTheme="minorEastAsia" w:hAnsiTheme="minorEastAsi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320"/>
        <w:gridCol w:w="2680"/>
        <w:gridCol w:w="2000"/>
        <w:gridCol w:w="2000"/>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汇添富彭博中国政策性银行债券1-3年指数证券投资基金</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基金简称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汇添富彭博政金债1-3年</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基金主代码</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012128</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基金合同生效日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2021年10月15日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基金管理人名称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汇添富基金管理股份有限公司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基金托管人名称</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中国建设银行股份有限公司</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公告依据</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根据相关法律法规的规定及《汇添富彭博中国政策性银行债券1-3年指数证券投资基金基金合同》的约定。</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收益分配基准日</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2022年06月13日</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有关年度分红次数的说明</w:t>
            </w:r>
          </w:p>
        </w:tc>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本次分红为本基金2022年度第2次分红</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下属基金份额的基金简称</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汇添富彭博政金债1-3年A</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汇添富彭博政金债1-3年C</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下属基金份额的交易代码</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012128</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012129</w:t>
            </w:r>
          </w:p>
        </w:tc>
      </w:tr>
      <w:tr>
        <w:tblPrEx>
          <w:tblW w:w="0" w:type="auto"/>
          <w:tblLayout w:type="fixed"/>
          <w:tblCellMar>
            <w:left w:w="108" w:type="dxa"/>
            <w:right w:w="108" w:type="dxa"/>
          </w:tblCellMar>
        </w:tblPrEx>
        <w:tc>
          <w:tcPr>
            <w:tcW w:w="1320" w:type="dxa"/>
            <w:vMerge w:val="restart"/>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截止基准日下属基金份额的相关指标</w:t>
            </w: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基准日下属基金份额份额净值（单位：人民币元）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1.0184</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1.0177</w:t>
            </w:r>
          </w:p>
        </w:tc>
      </w:tr>
      <w:tr>
        <w:tblPrEx>
          <w:tblW w:w="0" w:type="auto"/>
          <w:tblLayout w:type="fixed"/>
          <w:tblCellMar>
            <w:left w:w="108" w:type="dxa"/>
            <w:right w:w="108" w:type="dxa"/>
          </w:tblCellMar>
        </w:tblPrEx>
        <w:tc>
          <w:tcPr>
            <w:tcW w:w="1320" w:type="dxa"/>
            <w:vMerge/>
            <w:shd w:val="clear" w:color="auto" w:fill="FFFFFF"/>
            <w:vAlign w:val="center"/>
          </w:tcPr>
          <w:p w:rsidR="00760D38" w:rsidP="00760D38">
            <w:pPr>
              <w:jc w:val="left"/>
              <w:rPr>
                <w:rFonts w:ascii="宋体" w:eastAsia="宋体" w:hAnsi="宋体" w:cs="宋体"/>
                <w:color w:val="000000"/>
                <w:sz w:val="24"/>
                <w:szCs w:val="24"/>
              </w:rPr>
            </w:pPr>
          </w:p>
        </w:tc>
        <w:tc>
          <w:tcPr>
            <w:tcW w:w="268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基准日下属基金份额可供分配利润（单位：人民币元）</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123354595.87</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1487.99</w:t>
            </w:r>
          </w:p>
        </w:tc>
      </w:tr>
      <w:tr>
        <w:tblPrEx>
          <w:tblW w:w="0" w:type="auto"/>
          <w:tblLayout w:type="fixed"/>
          <w:tblCellMar>
            <w:left w:w="108" w:type="dxa"/>
            <w:right w:w="108" w:type="dxa"/>
          </w:tblCellMar>
        </w:tblPrEx>
        <w:tc>
          <w:tcPr>
            <w:tcW w:w="4000" w:type="dxa"/>
            <w:gridSpan w:val="2"/>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本次下属基金份额分红方案（单位：元/10份基金份额）</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w:t>
            </w:r>
          </w:p>
        </w:tc>
        <w:tc>
          <w:tcPr>
            <w:tcW w:w="2000" w:type="dxa"/>
            <w:shd w:val="clear" w:color="auto" w:fill="FFFFFF"/>
            <w:vAlign w:val="center"/>
          </w:tcPr>
          <w:p w:rsidR="00760D38" w:rsidP="00760D38">
            <w:pPr>
              <w:jc w:val="left"/>
              <w:rPr>
                <w:rFonts w:ascii="宋体" w:eastAsia="宋体" w:hAnsi="宋体" w:cs="宋体"/>
                <w:color w:val="000000"/>
                <w:sz w:val="24"/>
                <w:szCs w:val="24"/>
              </w:rPr>
            </w:pPr>
            <w:r>
              <w:rPr>
                <w:rFonts w:ascii="宋体" w:eastAsia="宋体" w:hAnsi="宋体" w:cs="宋体"/>
                <w:color w:val="000000"/>
                <w:sz w:val="24"/>
                <w:szCs w:val="24"/>
              </w:rPr>
              <w:t>0.1</w:t>
            </w:r>
          </w:p>
        </w:tc>
      </w:tr>
    </w:tbl>
    <w:p w:rsidR="00760D38" w:rsidP="00760D38">
      <w:pPr>
        <w:rPr>
          <w:rFonts w:asciiTheme="minorEastAsia" w:hAnsiTheme="minorEastAsia"/>
          <w:sz w:val="24"/>
          <w:szCs w:val="24"/>
        </w:rPr>
      </w:pPr>
    </w:p>
    <w:p w:rsidR="00A94D46" w:rsidRPr="00760D38" w:rsidP="00760D38">
      <w:pPr>
        <w:rPr>
          <w:rFonts w:ascii="宋体" w:eastAsia="宋体" w:hAnsi="宋体" w:cs="宋体"/>
          <w:color w:val="000000"/>
          <w:sz w:val="24"/>
          <w:szCs w:val="24"/>
        </w:rPr>
      </w:pPr>
    </w:p>
    <w:p w:rsidR="00760D38" w:rsidRPr="00760D38" w:rsidP="00760D38">
      <w:pPr>
        <w:spacing w:line="360" w:lineRule="auto"/>
        <w:rPr>
          <w:rFonts w:asciiTheme="minorEastAsia" w:hAnsiTheme="minorEastAsia"/>
          <w:b/>
          <w:bCs/>
          <w:sz w:val="24"/>
          <w:szCs w:val="24"/>
        </w:rPr>
      </w:pPr>
      <w:r w:rsidRPr="00760D38">
        <w:rPr>
          <w:rFonts w:asciiTheme="minorEastAsia" w:hAnsiTheme="minorEastAsia"/>
          <w:b/>
          <w:sz w:val="24"/>
          <w:szCs w:val="24"/>
        </w:rPr>
        <w:t xml:space="preserve">2 </w:t>
      </w:r>
      <w:r w:rsidRPr="00760D38">
        <w:rPr>
          <w:rFonts w:asciiTheme="minorEastAsia" w:hAnsiTheme="minorEastAsia" w:hint="eastAsia"/>
          <w:b/>
          <w:bCs/>
          <w:sz w:val="24"/>
          <w:szCs w:val="24"/>
        </w:rPr>
        <w:t>与分红相关的其他信息</w:t>
      </w:r>
    </w:p>
    <w:p w:rsidR="00760D38" w:rsidP="00760D38">
      <w:pPr>
        <w:rPr>
          <w:rFonts w:asciiTheme="minorEastAsia" w:hAnsiTheme="minorEastAsia"/>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67"/>
        <w:gridCol w:w="5333"/>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除息日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2022年06月20日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现金红利发放日</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2022年06月22日</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分红对象</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权益登记日，本基金注册登记人登记在册的本基金全体份额持有人。</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红利再投资相关事项的说明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选择红利再投资的投资者，其红利将按2022年06月20日除息后的基金份额净值折算成基金份额，并于2022年06月21日直接计入其基金账户，2022年06月22日起，投资者可以查询红利再投资的基金份额，并于本基金的开放日办理赎回等业务。</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税收相关事项的说明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根据财政部、国家税务总局的财税字[2002]128号《财政部、国家税务总局关于开放式证券投资基金有关税收问题的通知》，基金向投资者分配的基金收益，暂免征收所得税。</w:t>
            </w:r>
          </w:p>
        </w:tc>
      </w:tr>
      <w:tr>
        <w:tblPrEx>
          <w:tblW w:w="0" w:type="auto"/>
          <w:tblLayout w:type="fixed"/>
          <w:tblCellMar>
            <w:left w:w="108" w:type="dxa"/>
            <w:right w:w="108" w:type="dxa"/>
          </w:tblCellMar>
        </w:tblPrEx>
        <w:tc>
          <w:tcPr>
            <w:tcW w:w="2667"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费用相关事项的说明</w:t>
            </w:r>
          </w:p>
        </w:tc>
        <w:tc>
          <w:tcPr>
            <w:tcW w:w="5333" w:type="dxa"/>
            <w:shd w:val="clear" w:color="auto" w:fill="FFFFFF"/>
            <w:vAlign w:val="center"/>
          </w:tcPr>
          <w:p w:rsidR="00760D38" w:rsidP="00760D38">
            <w:pPr>
              <w:jc w:val="left"/>
              <w:rPr>
                <w:rFonts w:ascii="宋体" w:eastAsia="宋体" w:hAnsi="宋体" w:cs="宋体"/>
                <w:bCs/>
                <w:color w:val="000000"/>
                <w:sz w:val="24"/>
                <w:szCs w:val="24"/>
              </w:rPr>
            </w:pPr>
            <w:r>
              <w:rPr>
                <w:rFonts w:ascii="宋体" w:eastAsia="宋体" w:hAnsi="宋体" w:cs="宋体"/>
                <w:bCs/>
                <w:color w:val="000000"/>
                <w:sz w:val="24"/>
                <w:szCs w:val="24"/>
              </w:rPr>
              <w:t>本基金本次分红免收分红手续费。选择红利再投资方式的投资者其红利再投资所得的基金份额免收申购费用。</w:t>
            </w:r>
          </w:p>
        </w:tc>
      </w:tr>
    </w:tbl>
    <w:p w:rsidR="00760D38" w:rsidP="00760D38">
      <w:pPr>
        <w:rPr>
          <w:rFonts w:asciiTheme="minorEastAsia" w:hAnsiTheme="minorEastAsia"/>
          <w:bCs/>
          <w:sz w:val="24"/>
          <w:szCs w:val="24"/>
        </w:rPr>
      </w:pPr>
    </w:p>
    <w:p w:rsidR="00A94D46" w:rsidRPr="00760D38" w:rsidP="00760D38">
      <w:pPr>
        <w:rPr>
          <w:rFonts w:ascii="宋体" w:eastAsia="宋体" w:hAnsi="宋体" w:cs="宋体"/>
          <w:bCs/>
          <w:color w:val="000000"/>
          <w:sz w:val="24"/>
          <w:szCs w:val="24"/>
        </w:rPr>
      </w:pPr>
    </w:p>
    <w:p w:rsidR="00760D38" w:rsidRPr="0004374C" w:rsidP="00760D38">
      <w:pPr>
        <w:spacing w:line="360" w:lineRule="auto"/>
        <w:rPr>
          <w:rFonts w:asciiTheme="minorEastAsia" w:hAnsiTheme="minorEastAsia"/>
          <w:b/>
          <w:bCs/>
          <w:sz w:val="24"/>
          <w:szCs w:val="24"/>
        </w:rPr>
      </w:pPr>
      <w:r w:rsidRPr="00760D38">
        <w:rPr>
          <w:rFonts w:asciiTheme="minorEastAsia" w:hAnsiTheme="minorEastAsia" w:hint="eastAsia"/>
          <w:b/>
          <w:bCs/>
          <w:sz w:val="24"/>
          <w:szCs w:val="24"/>
        </w:rPr>
        <w:t xml:space="preserve">3 </w:t>
      </w:r>
      <w:r w:rsidRPr="0004374C">
        <w:rPr>
          <w:rFonts w:asciiTheme="minorEastAsia" w:hAnsiTheme="minorEastAsia" w:hint="eastAsia"/>
          <w:b/>
          <w:bCs/>
          <w:sz w:val="24"/>
          <w:szCs w:val="24"/>
        </w:rPr>
        <w:t>其他需要提示的事项</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1、现金红利发放日是指现金红利划出托管户的日期。</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2、权益登记日申请申购的基金份额不享有本次分红权益，权益登记日申请赎回的基金份额享有本次分红权益。</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本基金收益分配原则及方式详见《汇添富彭博中国政策性银行债券1-3年指数证券投资基金基金合同》。本次分红确认的方式将按照投资者在权益登记日之前（不含权益登记日）最后一次选择成功的分红方式为准。如投资者希望修改分红方式，请务必于权益登记日之前（不含当日），在基金开放日的交易时间内到销售机构修改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4、登记机构在权益登记日可以受理分红方式变更申请，但该申请仅对以后的收益分配有效，而对本次收益分配无效。</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5、一只基金可以在不同的销售机构设置不同的分红方式。投资者若在多个销售机构持有本基金，其在某个销售机构修改的分红方式不会改变在其他销售机构设置的分红方式。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6、投资者若在汇添富直销中心通过多个交易账号持有本基金，不同的交易账号可设置不同的分红方式，修改某个交易账号的分红方式不会改变其他交易账号的分红方式。</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7、本基金收益分配并不改变本基金的风险收益特征，也不会因此降低基金投资风险或提高基金投资收益。本基金分红后，受市场波动等因素的影响，有可能出现基金净值低于初始面值的风险。</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8、咨询办法</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 xml:space="preserve">（1）汇添富基金管理股份有限公司网站：www.99fund.com。 </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（2）汇添富基金管理股份有限公司客户服务电话：400-888-9918。</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（3）汇添富基金管理股份有限公司直销网点及本基金各代销机构的相关网点（详见基金管理人官网《汇添富基金管理股份有限公司旗下基金销售机构信息表》）。</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汇添富基金高度重视投资者服务和投资者教育，特此提醒投资者需正确认知基金投资的风险和长期收益，做理性的基金投资人，做明白的基金投资人，享受长期投资的快乐！</w:t>
      </w:r>
    </w:p>
    <w:p w:rsidR="00760D38" w:rsidP="00760D38">
      <w:pPr>
        <w:spacing w:line="360" w:lineRule="auto"/>
        <w:ind w:firstLine="480" w:firstLineChars="200"/>
        <w:rPr>
          <w:rFonts w:ascii="宋体" w:eastAsia="宋体" w:hAnsi="宋体" w:cs="宋体"/>
          <w:bCs/>
          <w:color w:val="000000"/>
          <w:sz w:val="24"/>
          <w:szCs w:val="24"/>
        </w:rPr>
      </w:pPr>
      <w:r>
        <w:rPr>
          <w:rFonts w:ascii="宋体" w:eastAsia="宋体" w:hAnsi="宋体" w:cs="宋体"/>
          <w:bCs/>
          <w:color w:val="000000"/>
          <w:sz w:val="24"/>
          <w:szCs w:val="24"/>
        </w:rPr>
        <w:t>特此公告。</w:t>
      </w:r>
    </w:p>
    <w:p w:rsidR="00760D38" w:rsidP="00760D38">
      <w:pPr>
        <w:spacing w:line="360" w:lineRule="auto"/>
        <w:rPr>
          <w:rFonts w:asciiTheme="minorEastAsia" w:hAnsiTheme="minorEastAsia"/>
          <w:bCs/>
          <w:sz w:val="24"/>
          <w:szCs w:val="24"/>
        </w:rPr>
      </w:pPr>
    </w:p>
    <w:p w:rsidR="00760D38" w:rsidRPr="00760D38" w:rsidP="00760D38">
      <w:pPr>
        <w:spacing w:line="360" w:lineRule="auto"/>
        <w:rPr>
          <w:rFonts w:asciiTheme="minorEastAsia" w:hAnsiTheme="minorEastAsia"/>
          <w:bCs/>
          <w:sz w:val="24"/>
          <w:szCs w:val="24"/>
        </w:rPr>
      </w:pPr>
    </w:p>
    <w:p w:rsidR="00760D38" w:rsidRPr="00760D38" w:rsidP="00760D38">
      <w:pPr>
        <w:spacing w:line="360" w:lineRule="auto"/>
        <w:jc w:val="right"/>
        <w:rPr>
          <w:rFonts w:asciiTheme="minorEastAsia" w:hAnsiTheme="minorEastAsia"/>
          <w:bCs/>
          <w:sz w:val="24"/>
          <w:szCs w:val="24"/>
        </w:rPr>
      </w:pPr>
      <w:r w:rsidRPr="00760D38">
        <w:rPr>
          <w:rFonts w:asciiTheme="minorEastAsia" w:hAnsiTheme="minorEastAsia" w:hint="eastAsia"/>
          <w:bCs/>
          <w:sz w:val="24"/>
          <w:szCs w:val="24"/>
        </w:rPr>
        <w:t>汇添富</w:t>
      </w:r>
      <w:r w:rsidRPr="00760D38">
        <w:rPr>
          <w:rFonts w:asciiTheme="minorEastAsia" w:hAnsiTheme="minorEastAsia"/>
          <w:bCs/>
          <w:sz w:val="24"/>
          <w:szCs w:val="24"/>
        </w:rPr>
        <w:t>基金</w:t>
      </w:r>
      <w:r w:rsidRPr="00760D38">
        <w:rPr>
          <w:rFonts w:asciiTheme="minorEastAsia" w:hAnsiTheme="minorEastAsia"/>
          <w:bCs/>
          <w:sz w:val="24"/>
          <w:szCs w:val="24"/>
        </w:rPr>
        <w:t>管理股份有限公司</w:t>
      </w:r>
    </w:p>
    <w:p w:rsidR="00D06EB5" w:rsidRPr="0004374C" w:rsidP="0004374C">
      <w:pPr>
        <w:spacing w:line="360" w:lineRule="auto"/>
        <w:jc w:val="right"/>
        <w:rPr>
          <w:rFonts w:ascii="宋体" w:eastAsia="宋体" w:hAnsi="宋体" w:cs="宋体" w:hint="eastAsia"/>
          <w:bCs/>
          <w:color w:val="000000"/>
          <w:sz w:val="24"/>
          <w:szCs w:val="24"/>
        </w:rPr>
      </w:pPr>
      <w:r w:rsidRPr="0004374C">
        <w:rPr>
          <w:rFonts w:ascii="宋体" w:eastAsia="宋体" w:hAnsi="宋体" w:cs="宋体" w:hint="eastAsia"/>
          <w:bCs/>
          <w:color w:val="000000"/>
          <w:sz w:val="24"/>
          <w:szCs w:val="24"/>
        </w:rPr>
        <w:t>2022年06月18日</w:t>
      </w:r>
    </w:p>
    <w:sectPr>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revisionView w:comments="1" w:formatting="1" w:inkAnnotations="1" w:insDel="1" w:markup="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38"/>
    <w:rsid w:val="0004374C"/>
    <w:rsid w:val="00313CBA"/>
    <w:rsid w:val="004831CD"/>
    <w:rsid w:val="00556C0A"/>
    <w:rsid w:val="00760D38"/>
    <w:rsid w:val="00A94D46"/>
    <w:rsid w:val="00BA729B"/>
    <w:rsid w:val="00D06EB5"/>
    <w:rsid w:val="00DB1D62"/>
    <w:rsid w:val="00EB743E"/>
    <w:rsid w:val="00F31ACA"/>
    <w:rsid w:val="00FA34CA"/>
    <w:rsid w:val="00FF0163"/>
  </w:rsids>
  <w:docVars>
    <w:docVar w:name="KGWebUrl" w:val="http://www.htfrmssit.com:8080/RepTemplateManager//OfficeServer.aspx"/>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714BC647-2D8C-4554-92C3-4B6250BD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D38"/>
    <w:pPr>
      <w:ind w:firstLine="420" w:firstLineChars="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182</Characters>
  <Application>Microsoft Office Word</Application>
  <DocSecurity>0</DocSecurity>
  <Lines>1</Lines>
  <Paragraphs>1</Paragraphs>
  <ScaleCrop>false</ScaleCrop>
  <Company/>
  <LinksUpToDate>false</LinksUpToDate>
  <CharactersWithSpaces>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dc:creator>
  <cp:lastModifiedBy>84</cp:lastModifiedBy>
  <cp:revision>2</cp:revision>
  <dcterms:created xsi:type="dcterms:W3CDTF">2021-06-09T03:05:00Z</dcterms:created>
  <dcterms:modified xsi:type="dcterms:W3CDTF">2021-06-09T03:05:00Z</dcterms:modified>
</cp:coreProperties>
</file>