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博时科创主题灵活配置混合型证券投资基金（LOF）</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中国工商银行股份有限公司</w:t>
      </w:r>
      <w:r>
        <w:rPr>
          <w:rFonts w:ascii="宋体" w:hAnsi="宋体" w:eastAsia="宋体"/>
          <w:b/>
          <w:sz w:val="30"/>
        </w:rPr>
        <w:br w:type="page"/>
      </w:r>
    </w:p>
    <w:p>
      <w:pPr>
        <w:pStyle w:val="2"/>
        <w:jc w:val="center"/>
        <w:rPr>
          <w:rFonts w:ascii="宋体" w:hAnsi="宋体" w:eastAsia="宋体"/>
          <w:sz w:val="30"/>
        </w:rPr>
      </w:pPr>
      <w:bookmarkStart w:id="0" w:name="_Toc82437022"/>
      <w:bookmarkStart w:id="1" w:name="_Toc24701"/>
      <w:r>
        <w:rPr>
          <w:rFonts w:hint="eastAsia" w:ascii="宋体" w:hAnsi="宋体" w:eastAsia="宋体"/>
          <w:sz w:val="30"/>
        </w:rPr>
        <w:t>【重要提示】</w:t>
      </w:r>
      <w:bookmarkEnd w:id="0"/>
      <w:bookmarkEnd w:id="1"/>
    </w:p>
    <w:p>
      <w:pPr>
        <w:pStyle w:val="8"/>
        <w:spacing w:before="0" w:beforeAutospacing="0" w:after="0" w:afterAutospacing="0" w:line="360" w:lineRule="auto"/>
        <w:ind w:firstLine="420"/>
        <w:rPr>
          <w:sz w:val="21"/>
          <w:szCs w:val="21"/>
        </w:rPr>
      </w:pPr>
      <w:r>
        <w:rPr>
          <w:rFonts w:hint="eastAsia"/>
          <w:sz w:val="21"/>
          <w:szCs w:val="21"/>
        </w:rPr>
        <w:t>博时科创主题灵活配置混合型证券投资基金（LOF）由博时科创主题3年封闭运作灵活配置混合型证券投资基金封闭运作期届满更名而来。本基金经中国证监会</w:t>
      </w:r>
      <w:bookmarkStart w:id="2" w:name="field_2343_approveddate_1"/>
      <w:r>
        <w:rPr>
          <w:sz w:val="21"/>
          <w:szCs w:val="21"/>
        </w:rPr>
        <w:t>2019年06月05日</w:t>
      </w:r>
      <w:bookmarkEnd w:id="2"/>
      <w:r>
        <w:rPr>
          <w:rFonts w:hint="eastAsia"/>
          <w:sz w:val="21"/>
          <w:szCs w:val="21"/>
        </w:rPr>
        <w:t>证监许可</w:t>
      </w:r>
      <w:bookmarkStart w:id="3" w:name="field_2343_lotnumber_1"/>
      <w:r>
        <w:rPr>
          <w:sz w:val="21"/>
          <w:szCs w:val="21"/>
        </w:rPr>
        <w:t>[2019]1015</w:t>
      </w:r>
      <w:bookmarkEnd w:id="3"/>
      <w:r>
        <w:rPr>
          <w:rFonts w:hint="eastAsia"/>
          <w:sz w:val="21"/>
          <w:szCs w:val="21"/>
        </w:rPr>
        <w:t xml:space="preserve">号文注册募集。 </w:t>
      </w:r>
    </w:p>
    <w:p>
      <w:pPr>
        <w:pStyle w:val="8"/>
        <w:spacing w:before="0" w:beforeAutospacing="0" w:after="0" w:afterAutospacing="0" w:line="360" w:lineRule="auto"/>
        <w:ind w:firstLine="420"/>
        <w:rPr>
          <w:sz w:val="21"/>
          <w:szCs w:val="21"/>
        </w:rPr>
      </w:pPr>
      <w:r>
        <w:rPr>
          <w:rFonts w:hint="eastAsia"/>
          <w:sz w:val="21"/>
          <w:szCs w:val="21"/>
        </w:rPr>
        <w:t xml:space="preserve">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 </w:t>
      </w:r>
    </w:p>
    <w:p>
      <w:pPr>
        <w:pStyle w:val="8"/>
        <w:spacing w:before="0" w:beforeAutospacing="0" w:after="0" w:afterAutospacing="0" w:line="360" w:lineRule="auto"/>
        <w:ind w:firstLine="420"/>
        <w:rPr>
          <w:sz w:val="21"/>
          <w:szCs w:val="21"/>
        </w:rPr>
      </w:pPr>
      <w:r>
        <w:rPr>
          <w:rFonts w:hint="eastAsia"/>
          <w:sz w:val="21"/>
          <w:szCs w:val="21"/>
        </w:rPr>
        <w:t xml:space="preserve">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封闭运作期届满后由于基金投资人连续大量赎回基金产生的流动性风险，基金管理人在基金管理实施过程中产生的基金管理风险等。 </w:t>
      </w:r>
    </w:p>
    <w:p>
      <w:pPr>
        <w:pStyle w:val="8"/>
        <w:spacing w:before="0" w:beforeAutospacing="0" w:after="0" w:afterAutospacing="0" w:line="360" w:lineRule="auto"/>
        <w:ind w:firstLine="420"/>
        <w:rPr>
          <w:sz w:val="21"/>
          <w:szCs w:val="21"/>
        </w:rPr>
      </w:pPr>
      <w:r>
        <w:rPr>
          <w:rFonts w:hint="eastAsia"/>
          <w:sz w:val="21"/>
          <w:szCs w:val="21"/>
        </w:rPr>
        <w:t xml:space="preserve">本基金基金合同生效后进入三年的封闭运作期，封闭运作期间投资者不能申购、赎回基金份额。本基金在封闭运作期间，基金份额可上市交易，投资者可在二级市场买卖基金份额。受市场供需关系等各种因素的影响，投资者买卖基金份额有可能面临相应的折溢价风险。 </w:t>
      </w:r>
    </w:p>
    <w:p>
      <w:pPr>
        <w:pStyle w:val="8"/>
        <w:spacing w:before="0" w:beforeAutospacing="0" w:after="0" w:afterAutospacing="0" w:line="360" w:lineRule="auto"/>
        <w:ind w:firstLine="420"/>
        <w:rPr>
          <w:sz w:val="21"/>
          <w:szCs w:val="21"/>
        </w:rPr>
      </w:pPr>
      <w:r>
        <w:rPr>
          <w:rFonts w:hint="eastAsia"/>
          <w:sz w:val="21"/>
          <w:szCs w:val="21"/>
        </w:rPr>
        <w:t xml:space="preserve">本基金以投资科创主题战略配售股票为主要投资策略，需参与并接受科创板发行人的战略配售股票，由此产生的投资风险与价格波动由投资者自行承担。 </w:t>
      </w:r>
    </w:p>
    <w:p>
      <w:pPr>
        <w:pStyle w:val="8"/>
        <w:spacing w:before="0" w:beforeAutospacing="0" w:after="0" w:afterAutospacing="0" w:line="360" w:lineRule="auto"/>
        <w:ind w:firstLine="420"/>
        <w:rPr>
          <w:sz w:val="21"/>
          <w:szCs w:val="21"/>
        </w:rPr>
      </w:pPr>
      <w:r>
        <w:rPr>
          <w:rFonts w:hint="eastAsia"/>
          <w:sz w:val="21"/>
          <w:szCs w:val="21"/>
        </w:rPr>
        <w:t xml:space="preserve">本基金可投资港股通股票，除了需要承担与境内证券投资基金类似的市场波动风险等一般投资风险之外，本基金还面临汇率风险、香港市场风险等境外证券市场投资所面临的特别投资风险。本基金的特定风险详见招募说明书“风险揭示”章节等。 </w:t>
      </w:r>
    </w:p>
    <w:p>
      <w:pPr>
        <w:pStyle w:val="8"/>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8"/>
        <w:spacing w:before="0" w:beforeAutospacing="0" w:after="0" w:afterAutospacing="0" w:line="360" w:lineRule="auto"/>
        <w:ind w:firstLine="420"/>
        <w:rPr>
          <w:sz w:val="21"/>
          <w:szCs w:val="21"/>
        </w:rPr>
      </w:pPr>
    </w:p>
    <w:p>
      <w:pPr>
        <w:pStyle w:val="8"/>
        <w:spacing w:before="0" w:beforeAutospacing="0" w:after="0" w:afterAutospacing="0" w:line="360" w:lineRule="auto"/>
        <w:ind w:firstLine="420"/>
        <w:rPr>
          <w:sz w:val="21"/>
          <w:szCs w:val="21"/>
        </w:rPr>
      </w:pPr>
      <w:r>
        <w:rPr>
          <w:rFonts w:hint="eastAsia"/>
          <w:sz w:val="21"/>
          <w:szCs w:val="21"/>
        </w:rPr>
        <w:t xml:space="preserve">本基金为混合型基金，其长期平均风险和预期收益率低于股票型基金，高于债券型基金和货币市场基金。投资有风险，投资人申购基金时，应认真阅读本招募说明书，全面认识本基金的风险收益特征和产品特性，并充分考虑自身的风险承受能力，理性判断市场，谨慎做出投资决策。在本基金存续期间，基金管理人不承担基金销售、基金投资等运作环节中的任何汇率变动风险。 </w:t>
      </w:r>
    </w:p>
    <w:p>
      <w:pPr>
        <w:pStyle w:val="8"/>
        <w:spacing w:before="0" w:beforeAutospacing="0" w:after="0" w:afterAutospacing="0" w:line="360" w:lineRule="auto"/>
        <w:ind w:firstLine="420"/>
        <w:rPr>
          <w:sz w:val="21"/>
          <w:szCs w:val="21"/>
        </w:rPr>
      </w:pPr>
      <w:r>
        <w:rPr>
          <w:rFonts w:hint="eastAsia"/>
          <w:sz w:val="21"/>
          <w:szCs w:val="21"/>
        </w:rPr>
        <w:t xml:space="preserve">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 </w:t>
      </w:r>
    </w:p>
    <w:p>
      <w:pPr>
        <w:pStyle w:val="8"/>
        <w:spacing w:before="0" w:beforeAutospacing="0" w:after="0" w:afterAutospacing="0" w:line="360" w:lineRule="auto"/>
        <w:ind w:firstLine="420"/>
        <w:rPr>
          <w:sz w:val="21"/>
          <w:szCs w:val="21"/>
        </w:rPr>
      </w:pPr>
      <w:r>
        <w:rPr>
          <w:rFonts w:hint="eastAsia"/>
          <w:sz w:val="21"/>
          <w:szCs w:val="21"/>
        </w:rPr>
        <w:t xml:space="preserve">基金的过往业绩并不预示其未来表现。 </w:t>
      </w:r>
    </w:p>
    <w:p>
      <w:pPr>
        <w:pStyle w:val="8"/>
        <w:spacing w:before="0" w:beforeAutospacing="0" w:after="0" w:afterAutospacing="0" w:line="360" w:lineRule="auto"/>
        <w:ind w:firstLine="420"/>
        <w:rPr>
          <w:sz w:val="21"/>
          <w:szCs w:val="21"/>
        </w:rPr>
      </w:pPr>
      <w:r>
        <w:rPr>
          <w:rFonts w:hint="eastAsia"/>
          <w:sz w:val="21"/>
          <w:szCs w:val="21"/>
        </w:rPr>
        <w:t xml:space="preserve">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 </w:t>
      </w:r>
    </w:p>
    <w:p>
      <w:pPr>
        <w:pStyle w:val="8"/>
        <w:spacing w:before="0" w:beforeAutospacing="0" w:after="0" w:afterAutospacing="0" w:line="360" w:lineRule="auto"/>
        <w:ind w:firstLine="420"/>
        <w:rPr>
          <w:sz w:val="21"/>
          <w:szCs w:val="21"/>
        </w:rPr>
      </w:pPr>
      <w:r>
        <w:rPr>
          <w:rFonts w:hint="eastAsia"/>
          <w:sz w:val="21"/>
          <w:szCs w:val="21"/>
        </w:rPr>
        <w:t>本招募说明书（更新）所载内容截止日</w:t>
      </w:r>
      <w:bookmarkStart w:id="4" w:name="field_2343_infoendday_1"/>
      <w:r>
        <w:rPr>
          <w:sz w:val="21"/>
          <w:szCs w:val="21"/>
        </w:rPr>
        <w:t>202</w:t>
      </w:r>
      <w:r>
        <w:rPr>
          <w:rFonts w:hint="eastAsia"/>
          <w:sz w:val="21"/>
          <w:szCs w:val="21"/>
        </w:rPr>
        <w:t>2</w:t>
      </w:r>
      <w:r>
        <w:rPr>
          <w:sz w:val="21"/>
          <w:szCs w:val="21"/>
        </w:rPr>
        <w:t>年0</w:t>
      </w:r>
      <w:r>
        <w:rPr>
          <w:rFonts w:hint="eastAsia"/>
          <w:sz w:val="21"/>
          <w:szCs w:val="21"/>
        </w:rPr>
        <w:t>6</w:t>
      </w:r>
      <w:r>
        <w:rPr>
          <w:sz w:val="21"/>
          <w:szCs w:val="21"/>
        </w:rPr>
        <w:t>月</w:t>
      </w:r>
      <w:r>
        <w:rPr>
          <w:rFonts w:hint="eastAsia"/>
          <w:sz w:val="21"/>
          <w:szCs w:val="21"/>
        </w:rPr>
        <w:t>2</w:t>
      </w:r>
      <w:r>
        <w:rPr>
          <w:rFonts w:hint="eastAsia"/>
          <w:sz w:val="21"/>
          <w:szCs w:val="21"/>
          <w:lang w:val="en-US" w:eastAsia="zh-CN"/>
        </w:rPr>
        <w:t>2</w:t>
      </w:r>
      <w:r>
        <w:rPr>
          <w:sz w:val="21"/>
          <w:szCs w:val="21"/>
        </w:rPr>
        <w:t>日</w:t>
      </w:r>
      <w:bookmarkEnd w:id="4"/>
      <w:r>
        <w:rPr>
          <w:rFonts w:hint="eastAsia"/>
          <w:sz w:val="21"/>
          <w:szCs w:val="21"/>
        </w:rPr>
        <w:t>，有关财务数据和净值表现截止日为</w:t>
      </w:r>
      <w:bookmarkStart w:id="5" w:name="field_2343_financeendday_1"/>
      <w:r>
        <w:rPr>
          <w:sz w:val="21"/>
          <w:szCs w:val="21"/>
        </w:rPr>
        <w:t>202</w:t>
      </w:r>
      <w:r>
        <w:rPr>
          <w:rFonts w:hint="eastAsia"/>
          <w:sz w:val="21"/>
          <w:szCs w:val="21"/>
        </w:rPr>
        <w:t>2</w:t>
      </w:r>
      <w:r>
        <w:rPr>
          <w:sz w:val="21"/>
          <w:szCs w:val="21"/>
        </w:rPr>
        <w:t>年0</w:t>
      </w:r>
      <w:r>
        <w:rPr>
          <w:rFonts w:hint="eastAsia"/>
          <w:sz w:val="21"/>
          <w:szCs w:val="21"/>
        </w:rPr>
        <w:t>3</w:t>
      </w:r>
      <w:r>
        <w:rPr>
          <w:sz w:val="21"/>
          <w:szCs w:val="21"/>
        </w:rPr>
        <w:t>月3</w:t>
      </w:r>
      <w:r>
        <w:rPr>
          <w:rFonts w:hint="eastAsia"/>
          <w:sz w:val="21"/>
          <w:szCs w:val="21"/>
        </w:rPr>
        <w:t>1</w:t>
      </w:r>
      <w:r>
        <w:rPr>
          <w:sz w:val="21"/>
          <w:szCs w:val="21"/>
        </w:rPr>
        <w:t>日</w:t>
      </w:r>
      <w:bookmarkEnd w:id="5"/>
      <w:r>
        <w:rPr>
          <w:rFonts w:hint="eastAsia"/>
          <w:sz w:val="21"/>
          <w:szCs w:val="21"/>
        </w:rPr>
        <w:t xml:space="preserve">（财务数据未经审计）。 </w:t>
      </w:r>
    </w:p>
    <w:p>
      <w:pPr>
        <w:pStyle w:val="2"/>
        <w:jc w:val="center"/>
        <w:rPr>
          <w:rFonts w:ascii="宋体" w:hAnsi="宋体" w:eastAsia="宋体"/>
          <w:sz w:val="30"/>
        </w:rPr>
      </w:pPr>
      <w:r>
        <w:rPr>
          <w:rFonts w:ascii="宋体" w:hAnsi="宋体" w:eastAsia="宋体"/>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7"/>
        <w:tabs>
          <w:tab w:val="right" w:leader="dot" w:pos="8300"/>
        </w:tabs>
        <w:spacing w:line="360" w:lineRule="auto"/>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"_Toc24701" </w:instrText>
      </w:r>
      <w:r>
        <w:fldChar w:fldCharType="separate"/>
      </w:r>
      <w:r>
        <w:rPr>
          <w:rFonts w:hint="eastAsia" w:ascii="宋体" w:hAnsi="宋体" w:eastAsia="宋体"/>
        </w:rPr>
        <w:t>【重要提示】</w:t>
      </w:r>
      <w:r>
        <w:tab/>
      </w:r>
      <w:r>
        <w:fldChar w:fldCharType="begin"/>
      </w:r>
      <w:r>
        <w:instrText xml:space="preserve"> PAGEREF _Toc24701 \h </w:instrText>
      </w:r>
      <w:r>
        <w:fldChar w:fldCharType="separate"/>
      </w:r>
      <w:r>
        <w:t>2</w:t>
      </w:r>
      <w:r>
        <w:fldChar w:fldCharType="end"/>
      </w:r>
      <w:r>
        <w:fldChar w:fldCharType="end"/>
      </w:r>
    </w:p>
    <w:p>
      <w:pPr>
        <w:pStyle w:val="7"/>
        <w:tabs>
          <w:tab w:val="right" w:leader="dot" w:pos="8300"/>
        </w:tabs>
        <w:spacing w:line="360" w:lineRule="auto"/>
      </w:pPr>
      <w:r>
        <w:fldChar w:fldCharType="begin"/>
      </w:r>
      <w:r>
        <w:instrText xml:space="preserve"> HYPERLINK \l "_Toc19543" </w:instrText>
      </w:r>
      <w:r>
        <w:fldChar w:fldCharType="separate"/>
      </w:r>
      <w:r>
        <w:rPr>
          <w:rFonts w:hint="eastAsia" w:ascii="宋体" w:hAnsi="宋体" w:eastAsia="宋体"/>
        </w:rPr>
        <w:t>第一部分  绪言</w:t>
      </w:r>
      <w:r>
        <w:tab/>
      </w:r>
      <w:r>
        <w:fldChar w:fldCharType="begin"/>
      </w:r>
      <w:r>
        <w:instrText xml:space="preserve"> PAGEREF _Toc19543 \h </w:instrText>
      </w:r>
      <w:r>
        <w:fldChar w:fldCharType="separate"/>
      </w:r>
      <w:r>
        <w:t>6</w:t>
      </w:r>
      <w:r>
        <w:fldChar w:fldCharType="end"/>
      </w:r>
      <w:r>
        <w:fldChar w:fldCharType="end"/>
      </w:r>
    </w:p>
    <w:p>
      <w:pPr>
        <w:pStyle w:val="7"/>
        <w:tabs>
          <w:tab w:val="right" w:leader="dot" w:pos="8300"/>
        </w:tabs>
        <w:spacing w:line="360" w:lineRule="auto"/>
      </w:pPr>
      <w:r>
        <w:fldChar w:fldCharType="begin"/>
      </w:r>
      <w:r>
        <w:instrText xml:space="preserve"> HYPERLINK \l "_Toc14982" </w:instrText>
      </w:r>
      <w:r>
        <w:fldChar w:fldCharType="separate"/>
      </w:r>
      <w:r>
        <w:rPr>
          <w:rFonts w:hint="eastAsia" w:ascii="宋体" w:hAnsi="宋体" w:eastAsia="宋体"/>
        </w:rPr>
        <w:t>第二部分  释义</w:t>
      </w:r>
      <w:r>
        <w:tab/>
      </w:r>
      <w:r>
        <w:fldChar w:fldCharType="begin"/>
      </w:r>
      <w:r>
        <w:instrText xml:space="preserve"> PAGEREF _Toc14982 \h </w:instrText>
      </w:r>
      <w:r>
        <w:fldChar w:fldCharType="separate"/>
      </w:r>
      <w:r>
        <w:t>7</w:t>
      </w:r>
      <w:r>
        <w:fldChar w:fldCharType="end"/>
      </w:r>
      <w:r>
        <w:fldChar w:fldCharType="end"/>
      </w:r>
    </w:p>
    <w:p>
      <w:pPr>
        <w:pStyle w:val="7"/>
        <w:tabs>
          <w:tab w:val="right" w:leader="dot" w:pos="8300"/>
        </w:tabs>
        <w:spacing w:line="360" w:lineRule="auto"/>
      </w:pPr>
      <w:r>
        <w:fldChar w:fldCharType="begin"/>
      </w:r>
      <w:r>
        <w:instrText xml:space="preserve"> HYPERLINK \l "_Toc23855" </w:instrText>
      </w:r>
      <w:r>
        <w:fldChar w:fldCharType="separate"/>
      </w:r>
      <w:r>
        <w:rPr>
          <w:rFonts w:hint="eastAsia" w:ascii="宋体" w:hAnsi="宋体" w:eastAsia="宋体"/>
        </w:rPr>
        <w:t>第三部分  基金管理人</w:t>
      </w:r>
      <w:r>
        <w:tab/>
      </w:r>
      <w:r>
        <w:fldChar w:fldCharType="begin"/>
      </w:r>
      <w:r>
        <w:instrText xml:space="preserve"> PAGEREF _Toc23855 \h </w:instrText>
      </w:r>
      <w:r>
        <w:fldChar w:fldCharType="separate"/>
      </w:r>
      <w:r>
        <w:t>13</w:t>
      </w:r>
      <w:r>
        <w:fldChar w:fldCharType="end"/>
      </w:r>
      <w:r>
        <w:fldChar w:fldCharType="end"/>
      </w:r>
    </w:p>
    <w:p>
      <w:pPr>
        <w:pStyle w:val="7"/>
        <w:tabs>
          <w:tab w:val="right" w:leader="dot" w:pos="8300"/>
        </w:tabs>
        <w:spacing w:line="360" w:lineRule="auto"/>
      </w:pPr>
      <w:r>
        <w:fldChar w:fldCharType="begin"/>
      </w:r>
      <w:r>
        <w:instrText xml:space="preserve"> HYPERLINK \l "_Toc26177" </w:instrText>
      </w:r>
      <w:r>
        <w:fldChar w:fldCharType="separate"/>
      </w:r>
      <w:r>
        <w:rPr>
          <w:rFonts w:hint="eastAsia" w:ascii="宋体" w:hAnsi="宋体" w:eastAsia="宋体"/>
        </w:rPr>
        <w:t>第四部分  基金托管人</w:t>
      </w:r>
      <w:r>
        <w:tab/>
      </w:r>
      <w:r>
        <w:fldChar w:fldCharType="begin"/>
      </w:r>
      <w:r>
        <w:instrText xml:space="preserve"> PAGEREF _Toc26177 \h </w:instrText>
      </w:r>
      <w:r>
        <w:fldChar w:fldCharType="separate"/>
      </w:r>
      <w:r>
        <w:t>24</w:t>
      </w:r>
      <w:r>
        <w:fldChar w:fldCharType="end"/>
      </w:r>
      <w:r>
        <w:fldChar w:fldCharType="end"/>
      </w:r>
    </w:p>
    <w:p>
      <w:pPr>
        <w:pStyle w:val="7"/>
        <w:tabs>
          <w:tab w:val="right" w:leader="dot" w:pos="8300"/>
        </w:tabs>
        <w:spacing w:line="360" w:lineRule="auto"/>
      </w:pPr>
      <w:r>
        <w:fldChar w:fldCharType="begin"/>
      </w:r>
      <w:r>
        <w:instrText xml:space="preserve"> HYPERLINK \l "_Toc3542" </w:instrText>
      </w:r>
      <w:r>
        <w:fldChar w:fldCharType="separate"/>
      </w:r>
      <w:r>
        <w:rPr>
          <w:rFonts w:hint="eastAsia" w:ascii="宋体" w:hAnsi="宋体" w:eastAsia="宋体"/>
        </w:rPr>
        <w:t>第五部分  相关服务机构</w:t>
      </w:r>
      <w:r>
        <w:tab/>
      </w:r>
      <w:r>
        <w:fldChar w:fldCharType="begin"/>
      </w:r>
      <w:r>
        <w:instrText xml:space="preserve"> PAGEREF _Toc3542 \h </w:instrText>
      </w:r>
      <w:r>
        <w:fldChar w:fldCharType="separate"/>
      </w:r>
      <w:r>
        <w:t>30</w:t>
      </w:r>
      <w:r>
        <w:fldChar w:fldCharType="end"/>
      </w:r>
      <w:r>
        <w:fldChar w:fldCharType="end"/>
      </w:r>
    </w:p>
    <w:p>
      <w:pPr>
        <w:pStyle w:val="7"/>
        <w:tabs>
          <w:tab w:val="right" w:leader="dot" w:pos="8300"/>
        </w:tabs>
        <w:spacing w:line="360" w:lineRule="auto"/>
      </w:pPr>
      <w:r>
        <w:fldChar w:fldCharType="begin"/>
      </w:r>
      <w:r>
        <w:instrText xml:space="preserve"> HYPERLINK \l "_Toc19690" </w:instrText>
      </w:r>
      <w:r>
        <w:fldChar w:fldCharType="separate"/>
      </w:r>
      <w:r>
        <w:rPr>
          <w:rFonts w:hint="eastAsia" w:ascii="宋体" w:hAnsi="宋体" w:eastAsia="宋体"/>
        </w:rPr>
        <w:t>第六部分 基金的募集与基金合同的生效</w:t>
      </w:r>
      <w:r>
        <w:tab/>
      </w:r>
      <w:r>
        <w:fldChar w:fldCharType="begin"/>
      </w:r>
      <w:r>
        <w:instrText xml:space="preserve"> PAGEREF _Toc19690 \h </w:instrText>
      </w:r>
      <w:r>
        <w:fldChar w:fldCharType="separate"/>
      </w:r>
      <w:r>
        <w:t>61</w:t>
      </w:r>
      <w:r>
        <w:fldChar w:fldCharType="end"/>
      </w:r>
      <w:r>
        <w:fldChar w:fldCharType="end"/>
      </w:r>
    </w:p>
    <w:p>
      <w:pPr>
        <w:pStyle w:val="7"/>
        <w:tabs>
          <w:tab w:val="right" w:leader="dot" w:pos="8300"/>
        </w:tabs>
        <w:spacing w:line="360" w:lineRule="auto"/>
      </w:pPr>
      <w:r>
        <w:fldChar w:fldCharType="begin"/>
      </w:r>
      <w:r>
        <w:instrText xml:space="preserve"> HYPERLINK \l "_Toc13221" </w:instrText>
      </w:r>
      <w:r>
        <w:fldChar w:fldCharType="separate"/>
      </w:r>
      <w:r>
        <w:rPr>
          <w:rFonts w:hint="eastAsia" w:ascii="宋体" w:hAnsi="宋体" w:eastAsia="宋体"/>
        </w:rPr>
        <w:t>第七部分  基金份额的上市交易</w:t>
      </w:r>
      <w:r>
        <w:tab/>
      </w:r>
      <w:r>
        <w:fldChar w:fldCharType="begin"/>
      </w:r>
      <w:r>
        <w:instrText xml:space="preserve"> PAGEREF _Toc13221 \h </w:instrText>
      </w:r>
      <w:r>
        <w:fldChar w:fldCharType="separate"/>
      </w:r>
      <w:r>
        <w:t>62</w:t>
      </w:r>
      <w:r>
        <w:fldChar w:fldCharType="end"/>
      </w:r>
      <w:r>
        <w:fldChar w:fldCharType="end"/>
      </w:r>
    </w:p>
    <w:p>
      <w:pPr>
        <w:pStyle w:val="7"/>
        <w:tabs>
          <w:tab w:val="right" w:leader="dot" w:pos="8300"/>
        </w:tabs>
        <w:spacing w:line="360" w:lineRule="auto"/>
      </w:pPr>
      <w:r>
        <w:fldChar w:fldCharType="begin"/>
      </w:r>
      <w:r>
        <w:instrText xml:space="preserve"> HYPERLINK \l "_Toc828" </w:instrText>
      </w:r>
      <w:r>
        <w:fldChar w:fldCharType="separate"/>
      </w:r>
      <w:r>
        <w:rPr>
          <w:rFonts w:hint="eastAsia" w:ascii="宋体" w:hAnsi="宋体" w:eastAsia="宋体"/>
        </w:rPr>
        <w:t>第八部分  基金份额的申购与赎回</w:t>
      </w:r>
      <w:r>
        <w:tab/>
      </w:r>
      <w:r>
        <w:fldChar w:fldCharType="begin"/>
      </w:r>
      <w:r>
        <w:instrText xml:space="preserve"> PAGEREF _Toc828 \h </w:instrText>
      </w:r>
      <w:r>
        <w:fldChar w:fldCharType="separate"/>
      </w:r>
      <w:r>
        <w:t>63</w:t>
      </w:r>
      <w:r>
        <w:fldChar w:fldCharType="end"/>
      </w:r>
      <w:r>
        <w:fldChar w:fldCharType="end"/>
      </w:r>
    </w:p>
    <w:p>
      <w:pPr>
        <w:pStyle w:val="7"/>
        <w:tabs>
          <w:tab w:val="right" w:leader="dot" w:pos="8300"/>
        </w:tabs>
        <w:spacing w:line="360" w:lineRule="auto"/>
      </w:pPr>
      <w:r>
        <w:fldChar w:fldCharType="begin"/>
      </w:r>
      <w:r>
        <w:instrText xml:space="preserve"> HYPERLINK \l "_Toc31249" </w:instrText>
      </w:r>
      <w:r>
        <w:fldChar w:fldCharType="separate"/>
      </w:r>
      <w:r>
        <w:rPr>
          <w:rFonts w:hint="eastAsia" w:ascii="宋体" w:hAnsi="宋体" w:eastAsia="宋体"/>
        </w:rPr>
        <w:t>第九部分  基金的投资</w:t>
      </w:r>
      <w:r>
        <w:tab/>
      </w:r>
      <w:r>
        <w:fldChar w:fldCharType="begin"/>
      </w:r>
      <w:r>
        <w:instrText xml:space="preserve"> PAGEREF _Toc31249 \h </w:instrText>
      </w:r>
      <w:r>
        <w:fldChar w:fldCharType="separate"/>
      </w:r>
      <w:r>
        <w:t>74</w:t>
      </w:r>
      <w:r>
        <w:fldChar w:fldCharType="end"/>
      </w:r>
      <w:r>
        <w:fldChar w:fldCharType="end"/>
      </w:r>
    </w:p>
    <w:p>
      <w:pPr>
        <w:pStyle w:val="7"/>
        <w:tabs>
          <w:tab w:val="right" w:leader="dot" w:pos="8300"/>
        </w:tabs>
        <w:spacing w:line="360" w:lineRule="auto"/>
      </w:pPr>
      <w:r>
        <w:fldChar w:fldCharType="begin"/>
      </w:r>
      <w:r>
        <w:instrText xml:space="preserve"> HYPERLINK \l "_Toc20980" </w:instrText>
      </w:r>
      <w:r>
        <w:fldChar w:fldCharType="separate"/>
      </w:r>
      <w:r>
        <w:rPr>
          <w:rFonts w:hint="eastAsia" w:ascii="宋体" w:hAnsi="宋体" w:eastAsia="宋体"/>
        </w:rPr>
        <w:t>第十部分 基金的业绩</w:t>
      </w:r>
      <w:r>
        <w:tab/>
      </w:r>
      <w:r>
        <w:fldChar w:fldCharType="begin"/>
      </w:r>
      <w:r>
        <w:instrText xml:space="preserve"> PAGEREF _Toc20980 \h </w:instrText>
      </w:r>
      <w:r>
        <w:fldChar w:fldCharType="separate"/>
      </w:r>
      <w:r>
        <w:t>98</w:t>
      </w:r>
      <w:r>
        <w:fldChar w:fldCharType="end"/>
      </w:r>
      <w:r>
        <w:fldChar w:fldCharType="end"/>
      </w:r>
    </w:p>
    <w:p>
      <w:pPr>
        <w:pStyle w:val="7"/>
        <w:tabs>
          <w:tab w:val="right" w:leader="dot" w:pos="8300"/>
        </w:tabs>
        <w:spacing w:line="360" w:lineRule="auto"/>
      </w:pPr>
      <w:r>
        <w:fldChar w:fldCharType="begin"/>
      </w:r>
      <w:r>
        <w:instrText xml:space="preserve"> HYPERLINK \l "_Toc3475" </w:instrText>
      </w:r>
      <w:r>
        <w:fldChar w:fldCharType="separate"/>
      </w:r>
      <w:r>
        <w:rPr>
          <w:rFonts w:hint="eastAsia" w:ascii="宋体" w:hAnsi="宋体" w:eastAsia="宋体"/>
        </w:rPr>
        <w:t>第十一部分  基金的财产</w:t>
      </w:r>
      <w:r>
        <w:tab/>
      </w:r>
      <w:r>
        <w:fldChar w:fldCharType="begin"/>
      </w:r>
      <w:r>
        <w:instrText xml:space="preserve"> PAGEREF _Toc3475 \h </w:instrText>
      </w:r>
      <w:r>
        <w:fldChar w:fldCharType="separate"/>
      </w:r>
      <w:r>
        <w:t>99</w:t>
      </w:r>
      <w:r>
        <w:fldChar w:fldCharType="end"/>
      </w:r>
      <w:r>
        <w:fldChar w:fldCharType="end"/>
      </w:r>
    </w:p>
    <w:p>
      <w:pPr>
        <w:pStyle w:val="7"/>
        <w:tabs>
          <w:tab w:val="right" w:leader="dot" w:pos="8300"/>
        </w:tabs>
        <w:spacing w:line="360" w:lineRule="auto"/>
      </w:pPr>
      <w:r>
        <w:fldChar w:fldCharType="begin"/>
      </w:r>
      <w:r>
        <w:instrText xml:space="preserve"> HYPERLINK \l "_Toc26517" </w:instrText>
      </w:r>
      <w:r>
        <w:fldChar w:fldCharType="separate"/>
      </w:r>
      <w:r>
        <w:rPr>
          <w:rFonts w:hint="eastAsia" w:ascii="宋体" w:hAnsi="宋体" w:eastAsia="宋体"/>
        </w:rPr>
        <w:t>第十二部分  基金资产的估值</w:t>
      </w:r>
      <w:r>
        <w:tab/>
      </w:r>
      <w:r>
        <w:fldChar w:fldCharType="begin"/>
      </w:r>
      <w:r>
        <w:instrText xml:space="preserve"> PAGEREF _Toc26517 \h </w:instrText>
      </w:r>
      <w:r>
        <w:fldChar w:fldCharType="separate"/>
      </w:r>
      <w:r>
        <w:t>100</w:t>
      </w:r>
      <w:r>
        <w:fldChar w:fldCharType="end"/>
      </w:r>
      <w:r>
        <w:fldChar w:fldCharType="end"/>
      </w:r>
    </w:p>
    <w:p>
      <w:pPr>
        <w:pStyle w:val="7"/>
        <w:tabs>
          <w:tab w:val="right" w:leader="dot" w:pos="8300"/>
        </w:tabs>
        <w:spacing w:line="360" w:lineRule="auto"/>
      </w:pPr>
      <w:r>
        <w:fldChar w:fldCharType="begin"/>
      </w:r>
      <w:r>
        <w:instrText xml:space="preserve"> HYPERLINK \l "_Toc28388" </w:instrText>
      </w:r>
      <w:r>
        <w:fldChar w:fldCharType="separate"/>
      </w:r>
      <w:r>
        <w:rPr>
          <w:rFonts w:hint="eastAsia" w:ascii="宋体" w:hAnsi="宋体" w:eastAsia="宋体"/>
        </w:rPr>
        <w:t>第十三部分  基金的收益分配</w:t>
      </w:r>
      <w:r>
        <w:tab/>
      </w:r>
      <w:r>
        <w:fldChar w:fldCharType="begin"/>
      </w:r>
      <w:r>
        <w:instrText xml:space="preserve"> PAGEREF _Toc28388 \h </w:instrText>
      </w:r>
      <w:r>
        <w:fldChar w:fldCharType="separate"/>
      </w:r>
      <w:r>
        <w:t>106</w:t>
      </w:r>
      <w:r>
        <w:fldChar w:fldCharType="end"/>
      </w:r>
      <w:r>
        <w:fldChar w:fldCharType="end"/>
      </w:r>
    </w:p>
    <w:p>
      <w:pPr>
        <w:pStyle w:val="7"/>
        <w:tabs>
          <w:tab w:val="right" w:leader="dot" w:pos="8300"/>
        </w:tabs>
        <w:spacing w:line="360" w:lineRule="auto"/>
      </w:pPr>
      <w:r>
        <w:fldChar w:fldCharType="begin"/>
      </w:r>
      <w:r>
        <w:instrText xml:space="preserve"> HYPERLINK \l "_Toc9509" </w:instrText>
      </w:r>
      <w:r>
        <w:fldChar w:fldCharType="separate"/>
      </w:r>
      <w:r>
        <w:rPr>
          <w:rFonts w:hint="eastAsia" w:ascii="宋体" w:hAnsi="宋体" w:eastAsia="宋体"/>
        </w:rPr>
        <w:t>第十四部分  基金的费用与税收</w:t>
      </w:r>
      <w:r>
        <w:tab/>
      </w:r>
      <w:r>
        <w:fldChar w:fldCharType="begin"/>
      </w:r>
      <w:r>
        <w:instrText xml:space="preserve"> PAGEREF _Toc9509 \h </w:instrText>
      </w:r>
      <w:r>
        <w:fldChar w:fldCharType="separate"/>
      </w:r>
      <w:r>
        <w:t>108</w:t>
      </w:r>
      <w:r>
        <w:fldChar w:fldCharType="end"/>
      </w:r>
      <w:r>
        <w:fldChar w:fldCharType="end"/>
      </w:r>
    </w:p>
    <w:p>
      <w:pPr>
        <w:pStyle w:val="7"/>
        <w:tabs>
          <w:tab w:val="right" w:leader="dot" w:pos="8300"/>
        </w:tabs>
        <w:spacing w:line="360" w:lineRule="auto"/>
      </w:pPr>
      <w:r>
        <w:fldChar w:fldCharType="begin"/>
      </w:r>
      <w:r>
        <w:instrText xml:space="preserve"> HYPERLINK \l "_Toc14658" </w:instrText>
      </w:r>
      <w:r>
        <w:fldChar w:fldCharType="separate"/>
      </w:r>
      <w:r>
        <w:rPr>
          <w:rFonts w:hint="eastAsia" w:ascii="宋体" w:hAnsi="宋体" w:eastAsia="宋体"/>
        </w:rPr>
        <w:t>第十五部分  基金的会计与审计</w:t>
      </w:r>
      <w:r>
        <w:tab/>
      </w:r>
      <w:r>
        <w:fldChar w:fldCharType="begin"/>
      </w:r>
      <w:r>
        <w:instrText xml:space="preserve"> PAGEREF _Toc14658 \h </w:instrText>
      </w:r>
      <w:r>
        <w:fldChar w:fldCharType="separate"/>
      </w:r>
      <w:r>
        <w:t>111</w:t>
      </w:r>
      <w:r>
        <w:fldChar w:fldCharType="end"/>
      </w:r>
      <w:r>
        <w:fldChar w:fldCharType="end"/>
      </w:r>
    </w:p>
    <w:p>
      <w:pPr>
        <w:pStyle w:val="7"/>
        <w:tabs>
          <w:tab w:val="right" w:leader="dot" w:pos="8300"/>
        </w:tabs>
        <w:spacing w:line="360" w:lineRule="auto"/>
      </w:pPr>
      <w:r>
        <w:fldChar w:fldCharType="begin"/>
      </w:r>
      <w:r>
        <w:instrText xml:space="preserve"> HYPERLINK \l "_Toc17917" </w:instrText>
      </w:r>
      <w:r>
        <w:fldChar w:fldCharType="separate"/>
      </w:r>
      <w:r>
        <w:rPr>
          <w:rFonts w:hint="eastAsia" w:ascii="宋体" w:hAnsi="宋体" w:eastAsia="宋体"/>
        </w:rPr>
        <w:t>第十六部分  基金的信息披露</w:t>
      </w:r>
      <w:r>
        <w:tab/>
      </w:r>
      <w:r>
        <w:fldChar w:fldCharType="begin"/>
      </w:r>
      <w:r>
        <w:instrText xml:space="preserve"> PAGEREF _Toc17917 \h </w:instrText>
      </w:r>
      <w:r>
        <w:fldChar w:fldCharType="separate"/>
      </w:r>
      <w:r>
        <w:t>112</w:t>
      </w:r>
      <w:r>
        <w:fldChar w:fldCharType="end"/>
      </w:r>
      <w:r>
        <w:fldChar w:fldCharType="end"/>
      </w:r>
    </w:p>
    <w:p>
      <w:pPr>
        <w:pStyle w:val="7"/>
        <w:tabs>
          <w:tab w:val="right" w:leader="dot" w:pos="8300"/>
        </w:tabs>
        <w:spacing w:line="360" w:lineRule="auto"/>
      </w:pPr>
      <w:r>
        <w:fldChar w:fldCharType="begin"/>
      </w:r>
      <w:r>
        <w:instrText xml:space="preserve"> HYPERLINK \l "_Toc15241" </w:instrText>
      </w:r>
      <w:r>
        <w:fldChar w:fldCharType="separate"/>
      </w:r>
      <w:r>
        <w:rPr>
          <w:rFonts w:hint="eastAsia" w:ascii="宋体" w:hAnsi="宋体" w:eastAsia="宋体"/>
        </w:rPr>
        <w:t>第十七部分  风险揭示</w:t>
      </w:r>
      <w:r>
        <w:tab/>
      </w:r>
      <w:r>
        <w:fldChar w:fldCharType="begin"/>
      </w:r>
      <w:r>
        <w:instrText xml:space="preserve"> PAGEREF _Toc15241 \h </w:instrText>
      </w:r>
      <w:r>
        <w:fldChar w:fldCharType="separate"/>
      </w:r>
      <w:r>
        <w:t>119</w:t>
      </w:r>
      <w:r>
        <w:fldChar w:fldCharType="end"/>
      </w:r>
      <w:r>
        <w:fldChar w:fldCharType="end"/>
      </w:r>
    </w:p>
    <w:p>
      <w:pPr>
        <w:pStyle w:val="7"/>
        <w:tabs>
          <w:tab w:val="right" w:leader="dot" w:pos="8300"/>
        </w:tabs>
        <w:spacing w:line="360" w:lineRule="auto"/>
      </w:pPr>
      <w:r>
        <w:fldChar w:fldCharType="begin"/>
      </w:r>
      <w:r>
        <w:instrText xml:space="preserve"> HYPERLINK \l "_Toc25308" </w:instrText>
      </w:r>
      <w:r>
        <w:fldChar w:fldCharType="separate"/>
      </w:r>
      <w:r>
        <w:rPr>
          <w:rFonts w:hint="eastAsia" w:ascii="宋体" w:hAnsi="宋体" w:eastAsia="宋体"/>
        </w:rPr>
        <w:t>第十八部分  基金合同的变更、终止与基金财产的清算</w:t>
      </w:r>
      <w:r>
        <w:tab/>
      </w:r>
      <w:r>
        <w:fldChar w:fldCharType="begin"/>
      </w:r>
      <w:r>
        <w:instrText xml:space="preserve"> PAGEREF _Toc25308 \h </w:instrText>
      </w:r>
      <w:r>
        <w:fldChar w:fldCharType="separate"/>
      </w:r>
      <w:r>
        <w:t>129</w:t>
      </w:r>
      <w:r>
        <w:fldChar w:fldCharType="end"/>
      </w:r>
      <w:r>
        <w:fldChar w:fldCharType="end"/>
      </w:r>
    </w:p>
    <w:p>
      <w:pPr>
        <w:pStyle w:val="7"/>
        <w:tabs>
          <w:tab w:val="right" w:leader="dot" w:pos="8300"/>
        </w:tabs>
        <w:spacing w:line="360" w:lineRule="auto"/>
      </w:pPr>
      <w:r>
        <w:fldChar w:fldCharType="begin"/>
      </w:r>
      <w:r>
        <w:instrText xml:space="preserve"> HYPERLINK \l "_Toc872" </w:instrText>
      </w:r>
      <w:r>
        <w:fldChar w:fldCharType="separate"/>
      </w:r>
      <w:r>
        <w:rPr>
          <w:rFonts w:hint="eastAsia" w:ascii="宋体" w:hAnsi="宋体" w:eastAsia="宋体"/>
        </w:rPr>
        <w:t>第十九部分  基金合同的内容摘要</w:t>
      </w:r>
      <w:r>
        <w:tab/>
      </w:r>
      <w:r>
        <w:fldChar w:fldCharType="begin"/>
      </w:r>
      <w:r>
        <w:instrText xml:space="preserve"> PAGEREF _Toc872 \h </w:instrText>
      </w:r>
      <w:r>
        <w:fldChar w:fldCharType="separate"/>
      </w:r>
      <w:r>
        <w:t>131</w:t>
      </w:r>
      <w:r>
        <w:fldChar w:fldCharType="end"/>
      </w:r>
      <w:r>
        <w:fldChar w:fldCharType="end"/>
      </w:r>
    </w:p>
    <w:p>
      <w:pPr>
        <w:pStyle w:val="7"/>
        <w:tabs>
          <w:tab w:val="right" w:leader="dot" w:pos="8300"/>
        </w:tabs>
        <w:spacing w:line="360" w:lineRule="auto"/>
      </w:pPr>
      <w:r>
        <w:fldChar w:fldCharType="begin"/>
      </w:r>
      <w:r>
        <w:instrText xml:space="preserve"> HYPERLINK \l "_Toc4836" </w:instrText>
      </w:r>
      <w:r>
        <w:fldChar w:fldCharType="separate"/>
      </w:r>
      <w:r>
        <w:rPr>
          <w:rFonts w:hint="eastAsia" w:ascii="宋体" w:hAnsi="宋体" w:eastAsia="宋体"/>
        </w:rPr>
        <w:t>第二十部分  基金托管协议的内容摘要</w:t>
      </w:r>
      <w:r>
        <w:tab/>
      </w:r>
      <w:r>
        <w:fldChar w:fldCharType="begin"/>
      </w:r>
      <w:r>
        <w:instrText xml:space="preserve"> PAGEREF _Toc4836 \h </w:instrText>
      </w:r>
      <w:r>
        <w:fldChar w:fldCharType="separate"/>
      </w:r>
      <w:r>
        <w:t>158</w:t>
      </w:r>
      <w:r>
        <w:fldChar w:fldCharType="end"/>
      </w:r>
      <w:r>
        <w:fldChar w:fldCharType="end"/>
      </w:r>
    </w:p>
    <w:p>
      <w:pPr>
        <w:pStyle w:val="7"/>
        <w:tabs>
          <w:tab w:val="right" w:leader="dot" w:pos="8300"/>
        </w:tabs>
        <w:spacing w:line="360" w:lineRule="auto"/>
      </w:pPr>
      <w:r>
        <w:fldChar w:fldCharType="begin"/>
      </w:r>
      <w:r>
        <w:instrText xml:space="preserve"> HYPERLINK \l "_Toc13057" </w:instrText>
      </w:r>
      <w:r>
        <w:fldChar w:fldCharType="separate"/>
      </w:r>
      <w:r>
        <w:rPr>
          <w:rFonts w:hint="eastAsia" w:ascii="宋体" w:hAnsi="宋体" w:eastAsia="宋体"/>
        </w:rPr>
        <w:t>第二十一部分  对基金份额持有人的服务</w:t>
      </w:r>
      <w:r>
        <w:tab/>
      </w:r>
      <w:r>
        <w:fldChar w:fldCharType="begin"/>
      </w:r>
      <w:r>
        <w:instrText xml:space="preserve"> PAGEREF _Toc13057 \h </w:instrText>
      </w:r>
      <w:r>
        <w:fldChar w:fldCharType="separate"/>
      </w:r>
      <w:r>
        <w:t>179</w:t>
      </w:r>
      <w:r>
        <w:fldChar w:fldCharType="end"/>
      </w:r>
      <w:r>
        <w:fldChar w:fldCharType="end"/>
      </w:r>
    </w:p>
    <w:p>
      <w:pPr>
        <w:pStyle w:val="7"/>
        <w:tabs>
          <w:tab w:val="right" w:leader="dot" w:pos="8300"/>
        </w:tabs>
        <w:spacing w:line="360" w:lineRule="auto"/>
      </w:pPr>
      <w:r>
        <w:fldChar w:fldCharType="begin"/>
      </w:r>
      <w:r>
        <w:instrText xml:space="preserve"> HYPERLINK \l "_Toc16680" </w:instrText>
      </w:r>
      <w:r>
        <w:fldChar w:fldCharType="separate"/>
      </w:r>
      <w:r>
        <w:rPr>
          <w:rFonts w:hint="eastAsia" w:ascii="宋体" w:hAnsi="宋体" w:eastAsia="宋体"/>
        </w:rPr>
        <w:t>第二十二部分 其他应披露的事项</w:t>
      </w:r>
      <w:r>
        <w:tab/>
      </w:r>
      <w:r>
        <w:fldChar w:fldCharType="begin"/>
      </w:r>
      <w:r>
        <w:instrText xml:space="preserve"> PAGEREF _Toc16680 \h </w:instrText>
      </w:r>
      <w:r>
        <w:fldChar w:fldCharType="separate"/>
      </w:r>
      <w:r>
        <w:t>182</w:t>
      </w:r>
      <w:r>
        <w:fldChar w:fldCharType="end"/>
      </w:r>
      <w:r>
        <w:fldChar w:fldCharType="end"/>
      </w:r>
    </w:p>
    <w:p>
      <w:pPr>
        <w:pStyle w:val="7"/>
        <w:tabs>
          <w:tab w:val="right" w:leader="dot" w:pos="8300"/>
        </w:tabs>
        <w:spacing w:line="360" w:lineRule="auto"/>
      </w:pPr>
      <w:r>
        <w:fldChar w:fldCharType="begin"/>
      </w:r>
      <w:r>
        <w:instrText xml:space="preserve"> HYPERLINK \l "_Toc31915" </w:instrText>
      </w:r>
      <w:r>
        <w:fldChar w:fldCharType="separate"/>
      </w:r>
      <w:r>
        <w:rPr>
          <w:rFonts w:hint="eastAsia" w:ascii="宋体" w:hAnsi="宋体" w:eastAsia="宋体"/>
        </w:rPr>
        <w:t>第二十三部分  招募说明书存放及查阅方式</w:t>
      </w:r>
      <w:r>
        <w:tab/>
      </w:r>
      <w:r>
        <w:fldChar w:fldCharType="begin"/>
      </w:r>
      <w:r>
        <w:instrText xml:space="preserve"> PAGEREF _Toc31915 \h </w:instrText>
      </w:r>
      <w:r>
        <w:fldChar w:fldCharType="separate"/>
      </w:r>
      <w:r>
        <w:t>185</w:t>
      </w:r>
      <w:r>
        <w:fldChar w:fldCharType="end"/>
      </w:r>
      <w:r>
        <w:fldChar w:fldCharType="end"/>
      </w:r>
    </w:p>
    <w:p>
      <w:pPr>
        <w:pStyle w:val="7"/>
        <w:tabs>
          <w:tab w:val="right" w:leader="dot" w:pos="8300"/>
        </w:tabs>
        <w:spacing w:line="360" w:lineRule="auto"/>
      </w:pPr>
      <w:r>
        <w:fldChar w:fldCharType="begin"/>
      </w:r>
      <w:r>
        <w:instrText xml:space="preserve"> HYPERLINK \l "_Toc17389" </w:instrText>
      </w:r>
      <w:r>
        <w:fldChar w:fldCharType="separate"/>
      </w:r>
      <w:r>
        <w:rPr>
          <w:rFonts w:hint="eastAsia" w:ascii="宋体" w:hAnsi="宋体" w:eastAsia="宋体"/>
        </w:rPr>
        <w:t>第二十四部分  备查文件</w:t>
      </w:r>
      <w:r>
        <w:tab/>
      </w:r>
      <w:r>
        <w:fldChar w:fldCharType="begin"/>
      </w:r>
      <w:r>
        <w:instrText xml:space="preserve"> PAGEREF _Toc17389 \h </w:instrText>
      </w:r>
      <w:r>
        <w:fldChar w:fldCharType="separate"/>
      </w:r>
      <w:r>
        <w:t>186</w:t>
      </w:r>
      <w:r>
        <w:fldChar w:fldCharType="end"/>
      </w:r>
      <w: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 w:name="_Toc82437023"/>
      <w:bookmarkStart w:id="7" w:name="_Toc19543"/>
      <w:bookmarkStart w:id="8" w:name="chapter_level1_3_2344"/>
      <w:r>
        <w:rPr>
          <w:rFonts w:hint="eastAsia" w:ascii="宋体" w:hAnsi="宋体" w:eastAsia="宋体"/>
          <w:sz w:val="30"/>
        </w:rPr>
        <w:t>第一部分  绪言</w:t>
      </w:r>
      <w:bookmarkEnd w:id="6"/>
      <w:bookmarkEnd w:id="7"/>
      <w:bookmarkEnd w:id="8"/>
    </w:p>
    <w:p>
      <w:pPr>
        <w:pStyle w:val="8"/>
        <w:spacing w:before="0" w:beforeAutospacing="0" w:after="0" w:afterAutospacing="0" w:line="360" w:lineRule="auto"/>
        <w:ind w:firstLine="420"/>
        <w:rPr>
          <w:sz w:val="21"/>
          <w:szCs w:val="21"/>
        </w:rPr>
      </w:pPr>
      <w:bookmarkStart w:id="9" w:name="chapter_level1_3_2344_section_1"/>
      <w:bookmarkEnd w:id="9"/>
      <w:r>
        <w:rPr>
          <w:rFonts w:hint="eastAsia"/>
          <w:sz w:val="21"/>
          <w:szCs w:val="21"/>
        </w:rPr>
        <w:t xml:space="preserve">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博时科创主题灵活配置混合型证券投资基金（LOF）基金合同》编写。  </w:t>
      </w:r>
    </w:p>
    <w:p>
      <w:pPr>
        <w:pStyle w:val="8"/>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pPr>
        <w:pStyle w:val="8"/>
        <w:spacing w:before="0" w:beforeAutospacing="0" w:after="0" w:afterAutospacing="0" w:line="360" w:lineRule="auto"/>
        <w:ind w:firstLine="420"/>
        <w:rPr>
          <w:sz w:val="21"/>
          <w:szCs w:val="21"/>
        </w:rPr>
      </w:pPr>
      <w:r>
        <w:rPr>
          <w:rFonts w:hint="eastAsia"/>
          <w:sz w:val="21"/>
          <w:szCs w:val="21"/>
        </w:rPr>
        <w:t xml:space="preserve">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 </w:t>
      </w:r>
    </w:p>
    <w:p>
      <w:pPr>
        <w:pStyle w:val="8"/>
        <w:spacing w:before="0" w:beforeAutospacing="0" w:after="0" w:afterAutospacing="0" w:line="360" w:lineRule="auto"/>
        <w:ind w:firstLine="420"/>
        <w:rPr>
          <w:sz w:val="21"/>
          <w:szCs w:val="21"/>
        </w:rPr>
      </w:pPr>
      <w:r>
        <w:rPr>
          <w:rFonts w:hint="eastAsia"/>
          <w:sz w:val="21"/>
          <w:szCs w:val="21"/>
        </w:rPr>
        <w:t>本基金按照中国法律法规成立并运作，若基金合同、招募说明书的内容与届时有效的法</w:t>
      </w:r>
      <w:bookmarkStart w:id="10" w:name="chapter_level1_3_2344_section_1_end"/>
      <w:bookmarkEnd w:id="10"/>
      <w:r>
        <w:rPr>
          <w:rFonts w:hint="eastAsia"/>
          <w:sz w:val="21"/>
          <w:szCs w:val="21"/>
        </w:rPr>
        <w:t xml:space="preserve">律法规的强制性规定不一致，应当以届时有效的法律法规的规定为准。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 w:name="_Toc14982"/>
      <w:bookmarkStart w:id="12" w:name="chapter_level1_4_49"/>
      <w:bookmarkStart w:id="13" w:name="_Toc82437024"/>
      <w:r>
        <w:rPr>
          <w:rFonts w:hint="eastAsia" w:ascii="宋体" w:hAnsi="宋体" w:eastAsia="宋体"/>
          <w:sz w:val="30"/>
        </w:rPr>
        <w:t>第二部分  释义</w:t>
      </w:r>
      <w:bookmarkEnd w:id="11"/>
      <w:bookmarkEnd w:id="12"/>
      <w:bookmarkEnd w:id="13"/>
    </w:p>
    <w:p>
      <w:pPr>
        <w:pStyle w:val="8"/>
        <w:spacing w:before="0" w:beforeAutospacing="0" w:after="0" w:afterAutospacing="0" w:line="360" w:lineRule="auto"/>
        <w:ind w:firstLine="420"/>
        <w:rPr>
          <w:sz w:val="21"/>
          <w:szCs w:val="21"/>
        </w:rPr>
      </w:pPr>
      <w:bookmarkStart w:id="14" w:name="chapter_level1_4_49_section_1"/>
      <w:bookmarkEnd w:id="14"/>
      <w:r>
        <w:rPr>
          <w:rFonts w:hint="eastAsia"/>
          <w:sz w:val="21"/>
          <w:szCs w:val="21"/>
        </w:rPr>
        <w:t xml:space="preserve">在本招募说明书中，除非文意另有所指，下列词语或简称具有如下含义：    </w:t>
      </w:r>
    </w:p>
    <w:p>
      <w:pPr>
        <w:pStyle w:val="8"/>
        <w:spacing w:before="0" w:beforeAutospacing="0" w:after="0" w:afterAutospacing="0" w:line="360" w:lineRule="auto"/>
        <w:ind w:firstLine="420"/>
        <w:rPr>
          <w:sz w:val="21"/>
          <w:szCs w:val="21"/>
        </w:rPr>
      </w:pPr>
      <w:r>
        <w:rPr>
          <w:rFonts w:hint="eastAsia"/>
          <w:sz w:val="21"/>
          <w:szCs w:val="21"/>
        </w:rPr>
        <w:t>1、基金或本基金：指</w:t>
      </w:r>
      <w:bookmarkStart w:id="15" w:name="field_0_productfullname_2"/>
      <w:r>
        <w:rPr>
          <w:rFonts w:hint="eastAsia"/>
          <w:sz w:val="21"/>
          <w:szCs w:val="21"/>
        </w:rPr>
        <w:t>博时科创主题</w:t>
      </w:r>
      <w:r>
        <w:rPr>
          <w:sz w:val="21"/>
          <w:szCs w:val="21"/>
        </w:rPr>
        <w:t>3年封闭运作灵活配置混合型证券投资基金</w:t>
      </w:r>
      <w:bookmarkEnd w:id="15"/>
      <w:r>
        <w:rPr>
          <w:rFonts w:hint="eastAsia"/>
          <w:sz w:val="21"/>
          <w:szCs w:val="21"/>
        </w:rPr>
        <w:t xml:space="preserve">或博时科创主题灵活配置混合型证券投资基金（LOF）   </w:t>
      </w:r>
    </w:p>
    <w:p>
      <w:pPr>
        <w:pStyle w:val="8"/>
        <w:spacing w:before="0" w:beforeAutospacing="0" w:after="0" w:afterAutospacing="0" w:line="360" w:lineRule="auto"/>
        <w:ind w:firstLine="420"/>
        <w:rPr>
          <w:sz w:val="21"/>
          <w:szCs w:val="21"/>
        </w:rPr>
      </w:pPr>
      <w:r>
        <w:rPr>
          <w:rFonts w:hint="eastAsia"/>
          <w:sz w:val="21"/>
          <w:szCs w:val="21"/>
        </w:rPr>
        <w:t>2、基金管理人：指</w:t>
      </w:r>
      <w:bookmarkStart w:id="16" w:name="field_0_managerorgfullname_1"/>
      <w:r>
        <w:rPr>
          <w:rFonts w:hint="eastAsia"/>
          <w:sz w:val="21"/>
          <w:szCs w:val="21"/>
        </w:rPr>
        <w:t>博时基金管理有限公司</w:t>
      </w:r>
      <w:bookmarkEnd w:id="16"/>
      <w:r>
        <w:rPr>
          <w:rFonts w:hint="eastAsia"/>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3、基金托管人：指</w:t>
      </w:r>
      <w:bookmarkStart w:id="17" w:name="field_0_trustorgfullname_1"/>
      <w:r>
        <w:rPr>
          <w:rFonts w:hint="eastAsia"/>
          <w:sz w:val="21"/>
          <w:szCs w:val="21"/>
        </w:rPr>
        <w:t>中国工商银行股份有限公司</w:t>
      </w:r>
      <w:bookmarkEnd w:id="17"/>
      <w:r>
        <w:rPr>
          <w:rFonts w:hint="eastAsia"/>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 xml:space="preserve">4、基金合同：指《博时科创主题灵活配置混合型证券投资基金（LOF）基金合同》及对基金合同的任何有效修订和补充 </w:t>
      </w:r>
    </w:p>
    <w:p>
      <w:pPr>
        <w:pStyle w:val="8"/>
        <w:spacing w:before="0" w:beforeAutospacing="0" w:after="0" w:afterAutospacing="0" w:line="360" w:lineRule="auto"/>
        <w:ind w:firstLine="420"/>
        <w:rPr>
          <w:sz w:val="21"/>
          <w:szCs w:val="21"/>
        </w:rPr>
      </w:pPr>
      <w:r>
        <w:rPr>
          <w:rFonts w:hint="eastAsia"/>
          <w:sz w:val="21"/>
          <w:szCs w:val="21"/>
        </w:rPr>
        <w:t xml:space="preserve">5、托管协议：指基金管理人与基金托管人就本基金签订之《博时科创主题灵活配置混合型证券投资基金（LOF）托管协议》及对该托管协议的任何有效修订和补充 </w:t>
      </w:r>
    </w:p>
    <w:p>
      <w:pPr>
        <w:pStyle w:val="8"/>
        <w:spacing w:before="0" w:beforeAutospacing="0" w:after="0" w:afterAutospacing="0" w:line="360" w:lineRule="auto"/>
        <w:ind w:firstLine="420"/>
        <w:rPr>
          <w:sz w:val="21"/>
          <w:szCs w:val="21"/>
        </w:rPr>
      </w:pPr>
      <w:r>
        <w:rPr>
          <w:rFonts w:hint="eastAsia"/>
          <w:sz w:val="21"/>
          <w:szCs w:val="21"/>
        </w:rPr>
        <w:t xml:space="preserve">6、招募说明书：指《博时科创主题灵活配置混合型证券投资基金（LOF）招募说明书》及其更新 </w:t>
      </w:r>
    </w:p>
    <w:p>
      <w:pPr>
        <w:pStyle w:val="8"/>
        <w:spacing w:before="0" w:beforeAutospacing="0" w:after="0" w:afterAutospacing="0" w:line="360" w:lineRule="auto"/>
        <w:ind w:firstLine="420"/>
        <w:rPr>
          <w:sz w:val="21"/>
          <w:szCs w:val="21"/>
        </w:rPr>
      </w:pPr>
      <w:r>
        <w:rPr>
          <w:rFonts w:hint="eastAsia"/>
          <w:sz w:val="21"/>
          <w:szCs w:val="21"/>
        </w:rPr>
        <w:t xml:space="preserve">7、基金产品资料概要：指《博时科创主题灵活配置混合型证券投资基金（LOF）基金产品资料概要》及其更新 </w:t>
      </w:r>
    </w:p>
    <w:p>
      <w:pPr>
        <w:pStyle w:val="8"/>
        <w:spacing w:before="0" w:beforeAutospacing="0" w:after="0" w:afterAutospacing="0" w:line="360" w:lineRule="auto"/>
        <w:ind w:firstLine="420"/>
        <w:rPr>
          <w:sz w:val="21"/>
          <w:szCs w:val="21"/>
        </w:rPr>
      </w:pPr>
      <w:r>
        <w:rPr>
          <w:rFonts w:hint="eastAsia"/>
          <w:sz w:val="21"/>
          <w:szCs w:val="21"/>
        </w:rPr>
        <w:t xml:space="preserve">8、基金份额发售公告：指《博时科创主题灵活配置混合型证券投资基金（LOF）基金份额发售公告》 </w:t>
      </w:r>
    </w:p>
    <w:p>
      <w:pPr>
        <w:pStyle w:val="8"/>
        <w:spacing w:before="0" w:beforeAutospacing="0" w:after="0" w:afterAutospacing="0" w:line="360" w:lineRule="auto"/>
        <w:ind w:firstLine="420"/>
        <w:rPr>
          <w:sz w:val="21"/>
          <w:szCs w:val="21"/>
        </w:rPr>
      </w:pPr>
      <w:r>
        <w:rPr>
          <w:rFonts w:hint="eastAsia"/>
          <w:sz w:val="21"/>
          <w:szCs w:val="21"/>
        </w:rPr>
        <w:t xml:space="preserve">9、《上市交易公告书》：指《博时科创主题灵活配置混合型证券投资基金（LOF）上市交易公告书》 </w:t>
      </w:r>
    </w:p>
    <w:p>
      <w:pPr>
        <w:pStyle w:val="8"/>
        <w:spacing w:before="0" w:beforeAutospacing="0" w:after="0" w:afterAutospacing="0" w:line="360" w:lineRule="auto"/>
        <w:ind w:firstLine="420"/>
        <w:rPr>
          <w:sz w:val="21"/>
          <w:szCs w:val="21"/>
        </w:rPr>
      </w:pPr>
      <w:r>
        <w:rPr>
          <w:rFonts w:hint="eastAsia"/>
          <w:sz w:val="21"/>
          <w:szCs w:val="21"/>
        </w:rPr>
        <w:t xml:space="preserve">10、法律法规：指中国现行有效并公布实施的法律、行政法规、规范性文件、司法解释、行政规章以及其他对基金合同当事人有约束力的决定、决议、通知等 </w:t>
      </w:r>
    </w:p>
    <w:p>
      <w:pPr>
        <w:pStyle w:val="8"/>
        <w:spacing w:before="0" w:beforeAutospacing="0" w:after="0" w:afterAutospacing="0" w:line="360" w:lineRule="auto"/>
        <w:ind w:firstLine="420"/>
        <w:rPr>
          <w:sz w:val="21"/>
          <w:szCs w:val="21"/>
        </w:rPr>
      </w:pPr>
      <w:r>
        <w:rPr>
          <w:rFonts w:hint="eastAsia"/>
          <w:sz w:val="21"/>
          <w:szCs w:val="21"/>
        </w:rPr>
        <w:t xml:space="preserve">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 </w:t>
      </w:r>
    </w:p>
    <w:p>
      <w:pPr>
        <w:pStyle w:val="8"/>
        <w:spacing w:before="0" w:beforeAutospacing="0" w:after="0" w:afterAutospacing="0" w:line="360" w:lineRule="auto"/>
        <w:ind w:firstLine="420"/>
        <w:rPr>
          <w:sz w:val="21"/>
          <w:szCs w:val="21"/>
        </w:rPr>
      </w:pPr>
      <w:r>
        <w:rPr>
          <w:rFonts w:hint="eastAsia"/>
          <w:sz w:val="21"/>
          <w:szCs w:val="21"/>
        </w:rPr>
        <w:t xml:space="preserve">12、《销售办法》：指中国证监会2013年3月15日颁布、同年6月1日实施的《证券投资基金销售管理办法》及颁布机关对其不时做出的修订 </w:t>
      </w:r>
    </w:p>
    <w:p>
      <w:pPr>
        <w:pStyle w:val="8"/>
        <w:spacing w:before="0" w:beforeAutospacing="0" w:after="0" w:afterAutospacing="0" w:line="360" w:lineRule="auto"/>
        <w:ind w:firstLine="420"/>
        <w:rPr>
          <w:sz w:val="21"/>
          <w:szCs w:val="21"/>
        </w:rPr>
      </w:pPr>
      <w:r>
        <w:rPr>
          <w:rFonts w:hint="eastAsia"/>
          <w:sz w:val="21"/>
          <w:szCs w:val="21"/>
        </w:rPr>
        <w:t xml:space="preserve">13、《信息披露办法》：指中国证监会2019年7月26日颁布、同年9月1日实施的《公开募集证券投资基金信息披露管理办法》及颁布机关对其不时做出的修订 </w:t>
      </w:r>
    </w:p>
    <w:p>
      <w:pPr>
        <w:pStyle w:val="8"/>
        <w:spacing w:before="0" w:beforeAutospacing="0" w:after="0" w:afterAutospacing="0" w:line="360" w:lineRule="auto"/>
        <w:ind w:firstLine="420"/>
        <w:rPr>
          <w:sz w:val="21"/>
          <w:szCs w:val="21"/>
        </w:rPr>
      </w:pPr>
      <w:r>
        <w:rPr>
          <w:rFonts w:hint="eastAsia"/>
          <w:sz w:val="21"/>
          <w:szCs w:val="21"/>
        </w:rPr>
        <w:t xml:space="preserve">14、《运作办法》：指中国证监会2014年7月7日颁布、同年8月8日实施的《公开募集证券投资基金运作管理办法》及颁布机关对其不时做出的修订 </w:t>
      </w:r>
    </w:p>
    <w:p>
      <w:pPr>
        <w:pStyle w:val="8"/>
        <w:spacing w:before="0" w:beforeAutospacing="0" w:after="0" w:afterAutospacing="0" w:line="360" w:lineRule="auto"/>
        <w:ind w:firstLine="420"/>
        <w:rPr>
          <w:sz w:val="21"/>
          <w:szCs w:val="21"/>
        </w:rPr>
      </w:pPr>
      <w:r>
        <w:rPr>
          <w:rFonts w:hint="eastAsia"/>
          <w:sz w:val="21"/>
          <w:szCs w:val="21"/>
        </w:rPr>
        <w:t xml:space="preserve">15、《流动性风险管理规定》：指中国证监会2017年8月31日颁布、同年10月1日实施的《公开募集开放式证券投资基金流动性风险管理规定》及颁布机关对其不时做出的修订 </w:t>
      </w:r>
    </w:p>
    <w:p>
      <w:pPr>
        <w:pStyle w:val="8"/>
        <w:spacing w:before="0" w:beforeAutospacing="0" w:after="0" w:afterAutospacing="0" w:line="360" w:lineRule="auto"/>
        <w:ind w:firstLine="420"/>
        <w:rPr>
          <w:sz w:val="21"/>
          <w:szCs w:val="21"/>
        </w:rPr>
      </w:pPr>
      <w:r>
        <w:rPr>
          <w:rFonts w:hint="eastAsia"/>
          <w:sz w:val="21"/>
          <w:szCs w:val="21"/>
        </w:rPr>
        <w:t xml:space="preserve">16、中国证监会：指中国证券监督管理委员会 </w:t>
      </w:r>
    </w:p>
    <w:p>
      <w:pPr>
        <w:pStyle w:val="8"/>
        <w:spacing w:before="0" w:beforeAutospacing="0" w:after="0" w:afterAutospacing="0" w:line="360" w:lineRule="auto"/>
        <w:ind w:firstLine="420"/>
        <w:rPr>
          <w:sz w:val="21"/>
          <w:szCs w:val="21"/>
        </w:rPr>
      </w:pPr>
      <w:r>
        <w:rPr>
          <w:rFonts w:hint="eastAsia"/>
          <w:sz w:val="21"/>
          <w:szCs w:val="21"/>
        </w:rPr>
        <w:t xml:space="preserve">17、银行业监督管理机构：指中国人民银行和/或中国银行保险监督管理委员会 </w:t>
      </w:r>
    </w:p>
    <w:p>
      <w:pPr>
        <w:pStyle w:val="8"/>
        <w:spacing w:before="0" w:beforeAutospacing="0" w:after="0" w:afterAutospacing="0" w:line="360" w:lineRule="auto"/>
        <w:ind w:firstLine="420"/>
        <w:rPr>
          <w:sz w:val="21"/>
          <w:szCs w:val="21"/>
        </w:rPr>
      </w:pPr>
      <w:r>
        <w:rPr>
          <w:rFonts w:hint="eastAsia"/>
          <w:sz w:val="21"/>
          <w:szCs w:val="21"/>
        </w:rPr>
        <w:t xml:space="preserve">18、基金合同当事人：指受基金合同约束，根据基金合同享有权利并承担义务的法律主体，包括基金管理人、基金托管人和基金份额持有人 </w:t>
      </w:r>
    </w:p>
    <w:p>
      <w:pPr>
        <w:pStyle w:val="8"/>
        <w:spacing w:before="0" w:beforeAutospacing="0" w:after="0" w:afterAutospacing="0" w:line="360" w:lineRule="auto"/>
        <w:ind w:firstLine="420"/>
        <w:rPr>
          <w:sz w:val="21"/>
          <w:szCs w:val="21"/>
        </w:rPr>
      </w:pPr>
      <w:r>
        <w:rPr>
          <w:rFonts w:hint="eastAsia"/>
          <w:sz w:val="21"/>
          <w:szCs w:val="21"/>
        </w:rPr>
        <w:t xml:space="preserve">19、个人投资者：指依据有关法律法规规定可投资于证券投资基金的自然人 </w:t>
      </w:r>
    </w:p>
    <w:p>
      <w:pPr>
        <w:pStyle w:val="8"/>
        <w:spacing w:before="0" w:beforeAutospacing="0" w:after="0" w:afterAutospacing="0" w:line="360" w:lineRule="auto"/>
        <w:ind w:firstLine="420"/>
        <w:rPr>
          <w:sz w:val="21"/>
          <w:szCs w:val="21"/>
        </w:rPr>
      </w:pPr>
      <w:r>
        <w:rPr>
          <w:rFonts w:hint="eastAsia"/>
          <w:sz w:val="21"/>
          <w:szCs w:val="21"/>
        </w:rPr>
        <w:t xml:space="preserve">20、机构投资者：指依法可以投资证券投资基金的、在中华人民共和国境内合法登记并存续或经有关政府部门批准设立并存续的企业法人、事业法人、社会团体或其他组织 </w:t>
      </w:r>
    </w:p>
    <w:p>
      <w:pPr>
        <w:pStyle w:val="8"/>
        <w:spacing w:before="0" w:beforeAutospacing="0" w:after="0" w:afterAutospacing="0" w:line="360" w:lineRule="auto"/>
        <w:ind w:firstLine="420"/>
        <w:rPr>
          <w:sz w:val="21"/>
          <w:szCs w:val="21"/>
        </w:rPr>
      </w:pPr>
      <w:r>
        <w:rPr>
          <w:rFonts w:hint="eastAsia"/>
          <w:sz w:val="21"/>
          <w:szCs w:val="21"/>
        </w:rPr>
        <w:t xml:space="preserve">21、特定机构投资者:指全国社会保障基金、基本养老保险基金、企业年金基金和职业年金基金等机构投资者 </w:t>
      </w:r>
    </w:p>
    <w:p>
      <w:pPr>
        <w:pStyle w:val="8"/>
        <w:spacing w:before="0" w:beforeAutospacing="0" w:after="0" w:afterAutospacing="0" w:line="360" w:lineRule="auto"/>
        <w:ind w:firstLine="420"/>
        <w:rPr>
          <w:sz w:val="21"/>
          <w:szCs w:val="21"/>
        </w:rPr>
      </w:pPr>
      <w:r>
        <w:rPr>
          <w:rFonts w:hint="eastAsia"/>
          <w:sz w:val="21"/>
          <w:szCs w:val="21"/>
        </w:rPr>
        <w:t xml:space="preserve">22、合格境外机构投资者：指符合《合格境外机构投资者境内证券投资管理办法》（包括其不时修订）及相关法律法规规定可以投资于在中国境内依法募集的证券投资基金的中国境外的机构投资者 </w:t>
      </w:r>
    </w:p>
    <w:p>
      <w:pPr>
        <w:pStyle w:val="8"/>
        <w:spacing w:before="0" w:beforeAutospacing="0" w:after="0" w:afterAutospacing="0" w:line="360" w:lineRule="auto"/>
        <w:ind w:firstLine="420"/>
        <w:rPr>
          <w:sz w:val="21"/>
          <w:szCs w:val="21"/>
        </w:rPr>
      </w:pPr>
      <w:r>
        <w:rPr>
          <w:rFonts w:hint="eastAsia"/>
          <w:sz w:val="21"/>
          <w:szCs w:val="21"/>
        </w:rPr>
        <w:t xml:space="preserve">23、人民币合格境外机构投资者：指按照《人民币合格境外机构投资者境内证券投资试点办法》（包括其不时修订）及相关法律法规规定，运用来自境外的人民币资金进行境内证券投资的境外法人 </w:t>
      </w:r>
    </w:p>
    <w:p>
      <w:pPr>
        <w:pStyle w:val="8"/>
        <w:spacing w:before="0" w:beforeAutospacing="0" w:after="0" w:afterAutospacing="0" w:line="360" w:lineRule="auto"/>
        <w:ind w:firstLine="420"/>
        <w:rPr>
          <w:sz w:val="21"/>
          <w:szCs w:val="21"/>
        </w:rPr>
      </w:pPr>
      <w:r>
        <w:rPr>
          <w:rFonts w:hint="eastAsia"/>
          <w:sz w:val="21"/>
          <w:szCs w:val="21"/>
        </w:rPr>
        <w:t xml:space="preserve">24、投资人、投资者：指个人投资者、机构投资者（含特定机构投资者）、合格境外机构投资者和人民币合格境外机构投资者以及法律法规或中国证监会允许购买证券投资基金的其他投资人的合称 </w:t>
      </w:r>
    </w:p>
    <w:p>
      <w:pPr>
        <w:pStyle w:val="8"/>
        <w:spacing w:before="0" w:beforeAutospacing="0" w:after="0" w:afterAutospacing="0" w:line="360" w:lineRule="auto"/>
        <w:ind w:firstLine="420"/>
        <w:rPr>
          <w:sz w:val="21"/>
          <w:szCs w:val="21"/>
        </w:rPr>
      </w:pPr>
      <w:bookmarkStart w:id="18" w:name="chapter_level1_4_49_section_1_end"/>
      <w:bookmarkEnd w:id="18"/>
      <w:r>
        <w:rPr>
          <w:rFonts w:hint="eastAsia"/>
          <w:sz w:val="21"/>
          <w:szCs w:val="21"/>
        </w:rPr>
        <w:t xml:space="preserve">25、基金份额持有人：指依基金合同和招募说明书合法取得基金份额的投资人 </w:t>
      </w:r>
    </w:p>
    <w:p>
      <w:pPr>
        <w:pStyle w:val="8"/>
        <w:spacing w:before="0" w:beforeAutospacing="0" w:after="0" w:afterAutospacing="0" w:line="360" w:lineRule="auto"/>
        <w:ind w:firstLine="420"/>
        <w:rPr>
          <w:sz w:val="21"/>
          <w:szCs w:val="21"/>
        </w:rPr>
      </w:pPr>
      <w:bookmarkStart w:id="19" w:name="chapter_level1_4_49_section_2"/>
      <w:bookmarkEnd w:id="19"/>
      <w:r>
        <w:rPr>
          <w:rFonts w:hint="eastAsia"/>
          <w:sz w:val="21"/>
          <w:szCs w:val="21"/>
        </w:rPr>
        <w:t xml:space="preserve">26、基金销售业务：指基金管理人或销售机构宣传推介基金，发售基金份额，办理基金份额的申购、赎回、转换、转托管及定期定额投资等业务  </w:t>
      </w:r>
    </w:p>
    <w:p>
      <w:pPr>
        <w:pStyle w:val="8"/>
        <w:spacing w:before="0" w:beforeAutospacing="0" w:after="0" w:afterAutospacing="0" w:line="360" w:lineRule="auto"/>
        <w:ind w:firstLine="420"/>
        <w:rPr>
          <w:sz w:val="21"/>
          <w:szCs w:val="21"/>
        </w:rPr>
      </w:pPr>
      <w:r>
        <w:rPr>
          <w:rFonts w:hint="eastAsia"/>
          <w:sz w:val="21"/>
          <w:szCs w:val="21"/>
        </w:rPr>
        <w:t>27、销售机构：指</w:t>
      </w:r>
      <w:bookmarkStart w:id="20" w:name="field_0_managerorgfullname_2"/>
      <w:r>
        <w:rPr>
          <w:rFonts w:hint="eastAsia"/>
          <w:sz w:val="21"/>
          <w:szCs w:val="21"/>
        </w:rPr>
        <w:t>博时基金管理有限公司</w:t>
      </w:r>
      <w:bookmarkEnd w:id="20"/>
      <w:r>
        <w:rPr>
          <w:rFonts w:hint="eastAsia"/>
          <w:sz w:val="21"/>
          <w:szCs w:val="21"/>
        </w:rPr>
        <w:t xml:space="preserve">以及符合《销售办法》和中国证监会规定的其他条件，取得基金销售业务资格并与基金管理人签订了基金销售服务协议，办理基金销售业务的机构，以及可通过上海证券交易所办理基金销售业务的会员单位。其中，可通过上海证券交易所办理本基金销售业务的机构必须是具有基金销售业务资格、并经上海证券交易所和中国证券登记结算有限责任公司认可的上海证券交易所会员单位 </w:t>
      </w:r>
    </w:p>
    <w:p>
      <w:pPr>
        <w:pStyle w:val="8"/>
        <w:spacing w:before="0" w:beforeAutospacing="0" w:after="0" w:afterAutospacing="0" w:line="360" w:lineRule="auto"/>
        <w:ind w:firstLine="420"/>
        <w:rPr>
          <w:sz w:val="21"/>
          <w:szCs w:val="21"/>
        </w:rPr>
      </w:pPr>
      <w:r>
        <w:rPr>
          <w:rFonts w:hint="eastAsia"/>
          <w:sz w:val="21"/>
          <w:szCs w:val="21"/>
        </w:rPr>
        <w:t xml:space="preserve">8、场外：指通过上海证券交易所外的销售机构进行基金份额认购、申购和赎回等业务的场所。通过该等场所办理基金份额的认购、申购、赎回也称为场外认购、场外申购、场外赎回 </w:t>
      </w:r>
    </w:p>
    <w:p>
      <w:pPr>
        <w:pStyle w:val="8"/>
        <w:spacing w:before="0" w:beforeAutospacing="0" w:after="0" w:afterAutospacing="0" w:line="360" w:lineRule="auto"/>
        <w:ind w:firstLine="420"/>
        <w:rPr>
          <w:sz w:val="21"/>
          <w:szCs w:val="21"/>
        </w:rPr>
      </w:pPr>
      <w:r>
        <w:rPr>
          <w:rFonts w:hint="eastAsia"/>
          <w:sz w:val="21"/>
          <w:szCs w:val="21"/>
        </w:rPr>
        <w:t xml:space="preserve">29、场内：指通过上海证券交易所内具有基金销售业务资格的会员单位通过上海证券交易所开放式基金销售系统进行基金份额认购、申购、赎回以及上市交易的场所。通过该等场所办理基金份额的认购、申购、赎回也称为场内认购、场内申购、场内赎回 </w:t>
      </w:r>
    </w:p>
    <w:p>
      <w:pPr>
        <w:pStyle w:val="8"/>
        <w:spacing w:before="0" w:beforeAutospacing="0" w:after="0" w:afterAutospacing="0" w:line="360" w:lineRule="auto"/>
        <w:ind w:firstLine="420"/>
        <w:rPr>
          <w:sz w:val="21"/>
          <w:szCs w:val="21"/>
        </w:rPr>
      </w:pPr>
      <w:r>
        <w:rPr>
          <w:rFonts w:hint="eastAsia"/>
          <w:sz w:val="21"/>
          <w:szCs w:val="21"/>
        </w:rPr>
        <w:t xml:space="preserve">30、登记业务：指基金登记、存管、过户、清算和结算业务，具体内容包括投资人基金账户的建立和管理、基金份额登记、基金销售业务的确认、清算和结算、代理发放红利、建立并保管基金份额持有人名册和办理非交易过户等 </w:t>
      </w:r>
    </w:p>
    <w:p>
      <w:pPr>
        <w:pStyle w:val="8"/>
        <w:spacing w:before="0" w:beforeAutospacing="0" w:after="0" w:afterAutospacing="0" w:line="360" w:lineRule="auto"/>
        <w:ind w:firstLine="420"/>
        <w:rPr>
          <w:sz w:val="21"/>
          <w:szCs w:val="21"/>
        </w:rPr>
      </w:pPr>
      <w:r>
        <w:rPr>
          <w:rFonts w:hint="eastAsia"/>
          <w:sz w:val="21"/>
          <w:szCs w:val="21"/>
        </w:rPr>
        <w:t xml:space="preserve">31、登记机构：指办理登记业务的机构。本基金的登记机构为中国证券登记结算有限责任公司 </w:t>
      </w:r>
    </w:p>
    <w:p>
      <w:pPr>
        <w:pStyle w:val="8"/>
        <w:spacing w:before="0" w:beforeAutospacing="0" w:after="0" w:afterAutospacing="0" w:line="360" w:lineRule="auto"/>
        <w:ind w:firstLine="420"/>
        <w:rPr>
          <w:sz w:val="21"/>
          <w:szCs w:val="21"/>
        </w:rPr>
      </w:pPr>
      <w:r>
        <w:rPr>
          <w:rFonts w:hint="eastAsia"/>
          <w:sz w:val="21"/>
          <w:szCs w:val="21"/>
        </w:rPr>
        <w:t xml:space="preserve">32、登记结算系统：指中国证券登记结算有限责任公司开放式基金登记结算系统。投资人通过场外基金销售机构认购、申购所得的基金份额登记在本系统下 </w:t>
      </w:r>
    </w:p>
    <w:p>
      <w:pPr>
        <w:pStyle w:val="8"/>
        <w:spacing w:before="0" w:beforeAutospacing="0" w:after="0" w:afterAutospacing="0" w:line="360" w:lineRule="auto"/>
        <w:ind w:firstLine="420"/>
        <w:rPr>
          <w:sz w:val="21"/>
          <w:szCs w:val="21"/>
        </w:rPr>
      </w:pPr>
      <w:r>
        <w:rPr>
          <w:rFonts w:hint="eastAsia"/>
          <w:sz w:val="21"/>
          <w:szCs w:val="21"/>
        </w:rPr>
        <w:t xml:space="preserve">33、证券登记结算系统：指中国证券登记结算有限责任公司上海分公司证券登记结算系统。投资人通过场内会员单位认购、申购或买入所得的基金份额登记在本系统下 </w:t>
      </w:r>
    </w:p>
    <w:p>
      <w:pPr>
        <w:pStyle w:val="8"/>
        <w:spacing w:before="0" w:beforeAutospacing="0" w:after="0" w:afterAutospacing="0" w:line="360" w:lineRule="auto"/>
        <w:ind w:firstLine="420"/>
        <w:rPr>
          <w:sz w:val="21"/>
          <w:szCs w:val="21"/>
        </w:rPr>
      </w:pPr>
      <w:r>
        <w:rPr>
          <w:rFonts w:hint="eastAsia"/>
          <w:sz w:val="21"/>
          <w:szCs w:val="21"/>
        </w:rPr>
        <w:t xml:space="preserve">34、开放式基金账户：指投资人通过场外销售机构在中国证券登记结算有限责任公司注册的开放式基金账户，用于记录其持有的、基金管理人所管理的基金份额余额及其变动情况的账户 </w:t>
      </w:r>
    </w:p>
    <w:p>
      <w:pPr>
        <w:pStyle w:val="8"/>
        <w:spacing w:before="0" w:beforeAutospacing="0" w:after="0" w:afterAutospacing="0" w:line="360" w:lineRule="auto"/>
        <w:ind w:firstLine="420"/>
        <w:rPr>
          <w:sz w:val="21"/>
          <w:szCs w:val="21"/>
        </w:rPr>
      </w:pPr>
      <w:r>
        <w:rPr>
          <w:rFonts w:hint="eastAsia"/>
          <w:sz w:val="21"/>
          <w:szCs w:val="21"/>
        </w:rPr>
        <w:t xml:space="preserve">35、基金交易账户：指销售机构为投资人开立的、记录投资人通过该销售机构办理认购、申购、赎回、转换、转托管及定期定额投资等业务而引起的基金份额变动及结余情况的账户 </w:t>
      </w:r>
    </w:p>
    <w:p>
      <w:pPr>
        <w:pStyle w:val="8"/>
        <w:spacing w:before="0" w:beforeAutospacing="0" w:after="0" w:afterAutospacing="0" w:line="360" w:lineRule="auto"/>
        <w:ind w:firstLine="420"/>
        <w:rPr>
          <w:sz w:val="21"/>
          <w:szCs w:val="21"/>
        </w:rPr>
      </w:pPr>
      <w:r>
        <w:rPr>
          <w:rFonts w:hint="eastAsia"/>
          <w:sz w:val="21"/>
          <w:szCs w:val="21"/>
        </w:rPr>
        <w:t xml:space="preserve">36、上海证券账户：指投资人在中国证券登记结算有限责任公司上海分公司开立的上海证券交易所人民币普通股票账户（即A股账户）或证券投资基金账户 </w:t>
      </w:r>
    </w:p>
    <w:p>
      <w:pPr>
        <w:pStyle w:val="8"/>
        <w:spacing w:before="0" w:beforeAutospacing="0" w:after="0" w:afterAutospacing="0" w:line="360" w:lineRule="auto"/>
        <w:ind w:firstLine="420"/>
        <w:rPr>
          <w:sz w:val="21"/>
          <w:szCs w:val="21"/>
        </w:rPr>
      </w:pPr>
      <w:r>
        <w:rPr>
          <w:rFonts w:hint="eastAsia"/>
          <w:sz w:val="21"/>
          <w:szCs w:val="21"/>
        </w:rPr>
        <w:t xml:space="preserve">37、基金合同生效日：指基金募集达到法律法规规定及基金合同规定的条件，基金管理人向中国证监会办理基金备案手续完毕，并获得中国证监会书面确认的日期 </w:t>
      </w:r>
    </w:p>
    <w:p>
      <w:pPr>
        <w:pStyle w:val="8"/>
        <w:spacing w:before="0" w:beforeAutospacing="0" w:after="0" w:afterAutospacing="0" w:line="360" w:lineRule="auto"/>
        <w:ind w:firstLine="420"/>
        <w:rPr>
          <w:sz w:val="21"/>
          <w:szCs w:val="21"/>
        </w:rPr>
      </w:pPr>
      <w:r>
        <w:rPr>
          <w:rFonts w:hint="eastAsia"/>
          <w:sz w:val="21"/>
          <w:szCs w:val="21"/>
        </w:rPr>
        <w:t xml:space="preserve">38、基金合同终止日：指基金合同规定的基金合同终止事由出现后，基金财产清算完毕，清算结果报中国证监会备案并予以公告的日期 </w:t>
      </w:r>
    </w:p>
    <w:p>
      <w:pPr>
        <w:pStyle w:val="8"/>
        <w:spacing w:before="0" w:beforeAutospacing="0" w:after="0" w:afterAutospacing="0" w:line="360" w:lineRule="auto"/>
        <w:ind w:firstLine="420"/>
        <w:rPr>
          <w:sz w:val="21"/>
          <w:szCs w:val="21"/>
        </w:rPr>
      </w:pPr>
      <w:r>
        <w:rPr>
          <w:rFonts w:hint="eastAsia"/>
          <w:sz w:val="21"/>
          <w:szCs w:val="21"/>
        </w:rPr>
        <w:t xml:space="preserve">39、基金募集期：指自基金份额发售之日起至发售结束之日止的期间，最长不得超过3个月 </w:t>
      </w:r>
    </w:p>
    <w:p>
      <w:pPr>
        <w:pStyle w:val="8"/>
        <w:spacing w:before="0" w:beforeAutospacing="0" w:after="0" w:afterAutospacing="0" w:line="360" w:lineRule="auto"/>
        <w:ind w:firstLine="420"/>
        <w:rPr>
          <w:sz w:val="21"/>
          <w:szCs w:val="21"/>
        </w:rPr>
      </w:pPr>
      <w:r>
        <w:rPr>
          <w:rFonts w:hint="eastAsia"/>
          <w:sz w:val="21"/>
          <w:szCs w:val="21"/>
        </w:rPr>
        <w:t xml:space="preserve">40、存续期：指基金合同生效至终止之间的不定期期限 </w:t>
      </w:r>
    </w:p>
    <w:p>
      <w:pPr>
        <w:pStyle w:val="8"/>
        <w:spacing w:before="0" w:beforeAutospacing="0" w:after="0" w:afterAutospacing="0" w:line="360" w:lineRule="auto"/>
        <w:ind w:firstLine="420"/>
        <w:rPr>
          <w:sz w:val="21"/>
          <w:szCs w:val="21"/>
        </w:rPr>
      </w:pPr>
      <w:r>
        <w:rPr>
          <w:rFonts w:hint="eastAsia"/>
          <w:sz w:val="21"/>
          <w:szCs w:val="21"/>
        </w:rPr>
        <w:t xml:space="preserve">41、工作日：指上海证券交易所、深圳证券交易所及相关期货交易所的正常交易日 </w:t>
      </w:r>
    </w:p>
    <w:p>
      <w:pPr>
        <w:pStyle w:val="8"/>
        <w:spacing w:before="0" w:beforeAutospacing="0" w:after="0" w:afterAutospacing="0" w:line="360" w:lineRule="auto"/>
        <w:ind w:firstLine="420"/>
        <w:rPr>
          <w:sz w:val="21"/>
          <w:szCs w:val="21"/>
        </w:rPr>
      </w:pPr>
      <w:r>
        <w:rPr>
          <w:rFonts w:hint="eastAsia"/>
          <w:sz w:val="21"/>
          <w:szCs w:val="21"/>
        </w:rPr>
        <w:t xml:space="preserve">42、T日：指销售机构在规定时间受理投资人申购、赎回或其他业务申请的开放日 </w:t>
      </w:r>
    </w:p>
    <w:p>
      <w:pPr>
        <w:pStyle w:val="8"/>
        <w:spacing w:before="0" w:beforeAutospacing="0" w:after="0" w:afterAutospacing="0" w:line="360" w:lineRule="auto"/>
        <w:ind w:firstLine="420"/>
        <w:rPr>
          <w:sz w:val="21"/>
          <w:szCs w:val="21"/>
        </w:rPr>
      </w:pPr>
      <w:r>
        <w:rPr>
          <w:rFonts w:hint="eastAsia"/>
          <w:sz w:val="21"/>
          <w:szCs w:val="21"/>
        </w:rPr>
        <w:t xml:space="preserve">43、T+n日：指自T日起第n个工作日(不包含T日)，n为自然数 </w:t>
      </w:r>
    </w:p>
    <w:p>
      <w:pPr>
        <w:pStyle w:val="8"/>
        <w:spacing w:before="0" w:beforeAutospacing="0" w:after="0" w:afterAutospacing="0" w:line="360" w:lineRule="auto"/>
        <w:ind w:firstLine="420"/>
        <w:rPr>
          <w:sz w:val="21"/>
          <w:szCs w:val="21"/>
        </w:rPr>
      </w:pPr>
      <w:r>
        <w:rPr>
          <w:rFonts w:hint="eastAsia"/>
          <w:sz w:val="21"/>
          <w:szCs w:val="21"/>
        </w:rPr>
        <w:t xml:space="preserve">44、封闭运作期：基金合同生效后的前三年为封闭运作期，封闭运作期内本基金不开放申购、赎回。封闭运作期届满后，本基金转为上市开放式基金（LOF） </w:t>
      </w:r>
    </w:p>
    <w:p>
      <w:pPr>
        <w:pStyle w:val="8"/>
        <w:spacing w:before="0" w:beforeAutospacing="0" w:after="0" w:afterAutospacing="0" w:line="360" w:lineRule="auto"/>
        <w:ind w:firstLine="420"/>
        <w:rPr>
          <w:sz w:val="21"/>
          <w:szCs w:val="21"/>
        </w:rPr>
      </w:pPr>
      <w:r>
        <w:rPr>
          <w:rFonts w:hint="eastAsia"/>
          <w:sz w:val="21"/>
          <w:szCs w:val="21"/>
        </w:rPr>
        <w:t xml:space="preserve">45、开放日：指为投资人办理基金份额申购、赎回或其他业务的工作日（封闭运作期届满后，若基金投资港股通标的股票且该工作日为非港股通交易日，则基金管理人可根据实际情况决定本基金是否开放申购、赎回或其他业务，具体以届时提前发布的公告为准） </w:t>
      </w:r>
    </w:p>
    <w:p>
      <w:pPr>
        <w:pStyle w:val="8"/>
        <w:spacing w:before="0" w:beforeAutospacing="0" w:after="0" w:afterAutospacing="0" w:line="360" w:lineRule="auto"/>
        <w:ind w:firstLine="420"/>
        <w:rPr>
          <w:sz w:val="21"/>
          <w:szCs w:val="21"/>
        </w:rPr>
      </w:pPr>
      <w:r>
        <w:rPr>
          <w:rFonts w:hint="eastAsia"/>
          <w:sz w:val="21"/>
          <w:szCs w:val="21"/>
        </w:rPr>
        <w:t xml:space="preserve">46、开放时间：指开放日基金接受申购、赎回或其他交易的时间段 </w:t>
      </w:r>
    </w:p>
    <w:p>
      <w:pPr>
        <w:pStyle w:val="8"/>
        <w:spacing w:before="0" w:beforeAutospacing="0" w:after="0" w:afterAutospacing="0" w:line="360" w:lineRule="auto"/>
        <w:ind w:firstLine="420"/>
        <w:rPr>
          <w:sz w:val="21"/>
          <w:szCs w:val="21"/>
        </w:rPr>
      </w:pPr>
      <w:r>
        <w:rPr>
          <w:rFonts w:hint="eastAsia"/>
          <w:sz w:val="21"/>
          <w:szCs w:val="21"/>
        </w:rPr>
        <w:t>47、《业务规则》：指</w:t>
      </w:r>
      <w:bookmarkStart w:id="21" w:name="field_0_managerorgfullname_3"/>
      <w:r>
        <w:rPr>
          <w:rFonts w:hint="eastAsia"/>
          <w:sz w:val="21"/>
          <w:szCs w:val="21"/>
        </w:rPr>
        <w:t>博时基金管理有限公司</w:t>
      </w:r>
      <w:bookmarkEnd w:id="21"/>
      <w:r>
        <w:rPr>
          <w:rFonts w:hint="eastAsia"/>
          <w:sz w:val="21"/>
          <w:szCs w:val="21"/>
        </w:rPr>
        <w:t xml:space="preserve">、上海证券交易所、中国证券登记结算有限责任公司及销售机构的相关业务规则及对其不时做出的修订 </w:t>
      </w:r>
    </w:p>
    <w:p>
      <w:pPr>
        <w:pStyle w:val="8"/>
        <w:spacing w:before="0" w:beforeAutospacing="0" w:after="0" w:afterAutospacing="0" w:line="360" w:lineRule="auto"/>
        <w:ind w:firstLine="420"/>
        <w:rPr>
          <w:sz w:val="21"/>
          <w:szCs w:val="21"/>
        </w:rPr>
      </w:pPr>
      <w:r>
        <w:rPr>
          <w:rFonts w:hint="eastAsia"/>
          <w:sz w:val="21"/>
          <w:szCs w:val="21"/>
        </w:rPr>
        <w:t xml:space="preserve">48、认购：指在基金募集期内，投资人根据基金合同和招募说明书的规定申请购买基金份额的行为 </w:t>
      </w:r>
    </w:p>
    <w:p>
      <w:pPr>
        <w:pStyle w:val="8"/>
        <w:spacing w:before="0" w:beforeAutospacing="0" w:after="0" w:afterAutospacing="0" w:line="360" w:lineRule="auto"/>
        <w:ind w:firstLine="420"/>
        <w:rPr>
          <w:sz w:val="21"/>
          <w:szCs w:val="21"/>
        </w:rPr>
      </w:pPr>
      <w:r>
        <w:rPr>
          <w:rFonts w:hint="eastAsia"/>
          <w:sz w:val="21"/>
          <w:szCs w:val="21"/>
        </w:rPr>
        <w:t xml:space="preserve">49、申购：指基金合同生效后，投资人根据基金合同和招募说明书的规定申请购买基金份额的行为 </w:t>
      </w:r>
    </w:p>
    <w:p>
      <w:pPr>
        <w:pStyle w:val="8"/>
        <w:spacing w:before="0" w:beforeAutospacing="0" w:after="0" w:afterAutospacing="0" w:line="360" w:lineRule="auto"/>
        <w:ind w:firstLine="420"/>
        <w:rPr>
          <w:sz w:val="21"/>
          <w:szCs w:val="21"/>
        </w:rPr>
      </w:pPr>
      <w:r>
        <w:rPr>
          <w:rFonts w:hint="eastAsia"/>
          <w:sz w:val="21"/>
          <w:szCs w:val="21"/>
        </w:rPr>
        <w:t xml:space="preserve">50、赎回：指基金合同生效后，基金份额持有人按基金合同和招募说明书规定的条件要求将基金份额兑换为现金的行为 </w:t>
      </w:r>
    </w:p>
    <w:p>
      <w:pPr>
        <w:pStyle w:val="8"/>
        <w:spacing w:before="0" w:beforeAutospacing="0" w:after="0" w:afterAutospacing="0" w:line="360" w:lineRule="auto"/>
        <w:ind w:firstLine="420"/>
        <w:rPr>
          <w:sz w:val="21"/>
          <w:szCs w:val="21"/>
        </w:rPr>
      </w:pPr>
      <w:r>
        <w:rPr>
          <w:rFonts w:hint="eastAsia"/>
          <w:sz w:val="21"/>
          <w:szCs w:val="21"/>
        </w:rPr>
        <w:t xml:space="preserve">51、基金转换：指基金份额持有人按照基金合同和基金管理人届时有效公告规定的条件，申请将其持有基金管理人管理的、某一基金的基金份额转换为基金管理人管理的其他基金基金份额的行为 </w:t>
      </w:r>
    </w:p>
    <w:p>
      <w:pPr>
        <w:pStyle w:val="8"/>
        <w:spacing w:before="0" w:beforeAutospacing="0" w:after="0" w:afterAutospacing="0" w:line="360" w:lineRule="auto"/>
        <w:ind w:firstLine="420"/>
        <w:rPr>
          <w:sz w:val="21"/>
          <w:szCs w:val="21"/>
        </w:rPr>
      </w:pPr>
      <w:r>
        <w:rPr>
          <w:rFonts w:hint="eastAsia"/>
          <w:sz w:val="21"/>
          <w:szCs w:val="21"/>
        </w:rPr>
        <w:t xml:space="preserve">52、转托管：指基金份额持有人在本基金的不同销售机构之间实施的变更所持基金份额销售机构的操作，包括系统内转托管和跨系统转托管 </w:t>
      </w:r>
    </w:p>
    <w:p>
      <w:pPr>
        <w:pStyle w:val="8"/>
        <w:spacing w:before="0" w:beforeAutospacing="0" w:after="0" w:afterAutospacing="0" w:line="360" w:lineRule="auto"/>
        <w:ind w:firstLine="420"/>
        <w:rPr>
          <w:sz w:val="21"/>
          <w:szCs w:val="21"/>
        </w:rPr>
      </w:pPr>
      <w:r>
        <w:rPr>
          <w:rFonts w:hint="eastAsia"/>
          <w:sz w:val="21"/>
          <w:szCs w:val="21"/>
        </w:rPr>
        <w:t xml:space="preserve">53、定期定额投资计划：指投资人通过有关销售机构提出申请，约定每期申购日、扣款金额及扣款方式，由销售机构于每期约定扣款日在投资人指定银行账户内自动完成扣款及受理基金申购申请的一种投资方式 </w:t>
      </w:r>
    </w:p>
    <w:p>
      <w:pPr>
        <w:pStyle w:val="8"/>
        <w:spacing w:before="0" w:beforeAutospacing="0" w:after="0" w:afterAutospacing="0" w:line="360" w:lineRule="auto"/>
        <w:ind w:firstLine="420"/>
        <w:rPr>
          <w:sz w:val="21"/>
          <w:szCs w:val="21"/>
        </w:rPr>
      </w:pPr>
      <w:r>
        <w:rPr>
          <w:rFonts w:hint="eastAsia"/>
          <w:sz w:val="21"/>
          <w:szCs w:val="21"/>
        </w:rPr>
        <w:t xml:space="preserve">54、巨额赎回：指本基金封闭运作期届满，转为上市开放式基金（LOF）后，单个开放日，基金净赎回申请(赎回申请份额总数加上基金转换中转出申请份额总数后扣除申购申请份额总数及基金转换中转入申请份额总数后的余额)超过上一开放日基金总份额的  % </w:t>
      </w:r>
    </w:p>
    <w:p>
      <w:pPr>
        <w:pStyle w:val="8"/>
        <w:spacing w:before="0" w:beforeAutospacing="0" w:after="0" w:afterAutospacing="0" w:line="360" w:lineRule="auto"/>
        <w:ind w:firstLine="420"/>
        <w:rPr>
          <w:sz w:val="21"/>
          <w:szCs w:val="21"/>
        </w:rPr>
      </w:pPr>
      <w:r>
        <w:rPr>
          <w:rFonts w:hint="eastAsia"/>
          <w:sz w:val="21"/>
          <w:szCs w:val="21"/>
        </w:rPr>
        <w:t xml:space="preserve">55、元：指人民币元 </w:t>
      </w:r>
    </w:p>
    <w:p>
      <w:pPr>
        <w:pStyle w:val="8"/>
        <w:spacing w:before="0" w:beforeAutospacing="0" w:after="0" w:afterAutospacing="0" w:line="360" w:lineRule="auto"/>
        <w:ind w:firstLine="420"/>
        <w:rPr>
          <w:sz w:val="21"/>
          <w:szCs w:val="21"/>
        </w:rPr>
      </w:pPr>
      <w:r>
        <w:rPr>
          <w:rFonts w:hint="eastAsia"/>
          <w:sz w:val="21"/>
          <w:szCs w:val="21"/>
        </w:rPr>
        <w:t xml:space="preserve">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 </w:t>
      </w:r>
    </w:p>
    <w:p>
      <w:pPr>
        <w:pStyle w:val="8"/>
        <w:spacing w:before="0" w:beforeAutospacing="0" w:after="0" w:afterAutospacing="0" w:line="360" w:lineRule="auto"/>
        <w:ind w:firstLine="420"/>
        <w:rPr>
          <w:sz w:val="21"/>
          <w:szCs w:val="21"/>
        </w:rPr>
      </w:pPr>
      <w:r>
        <w:rPr>
          <w:rFonts w:hint="eastAsia"/>
          <w:sz w:val="21"/>
          <w:szCs w:val="21"/>
        </w:rPr>
        <w:t xml:space="preserve">57、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 </w:t>
      </w:r>
    </w:p>
    <w:p>
      <w:pPr>
        <w:pStyle w:val="8"/>
        <w:spacing w:before="0" w:beforeAutospacing="0" w:after="0" w:afterAutospacing="0" w:line="360" w:lineRule="auto"/>
        <w:ind w:firstLine="420"/>
        <w:rPr>
          <w:sz w:val="21"/>
          <w:szCs w:val="21"/>
        </w:rPr>
      </w:pPr>
      <w:r>
        <w:rPr>
          <w:rFonts w:hint="eastAsia"/>
          <w:sz w:val="21"/>
          <w:szCs w:val="21"/>
        </w:rPr>
        <w:t xml:space="preserve">58、基金收益：指基金投资所得红利、股息、债券利息、买卖证券价差、银行存款利息、已实现的其他合法收入及因运用基金财产带来的成本和费用的节约 </w:t>
      </w:r>
    </w:p>
    <w:p>
      <w:pPr>
        <w:pStyle w:val="8"/>
        <w:spacing w:before="0" w:beforeAutospacing="0" w:after="0" w:afterAutospacing="0" w:line="360" w:lineRule="auto"/>
        <w:ind w:firstLine="420"/>
        <w:rPr>
          <w:sz w:val="21"/>
          <w:szCs w:val="21"/>
        </w:rPr>
      </w:pPr>
      <w:r>
        <w:rPr>
          <w:rFonts w:hint="eastAsia"/>
          <w:sz w:val="21"/>
          <w:szCs w:val="21"/>
        </w:rPr>
        <w:t xml:space="preserve">59、基金资产总值：指基金拥有的各类有价证券、银行存款本息、基金应收款项及其他资产的价值总和 </w:t>
      </w:r>
    </w:p>
    <w:p>
      <w:pPr>
        <w:pStyle w:val="8"/>
        <w:spacing w:before="0" w:beforeAutospacing="0" w:after="0" w:afterAutospacing="0" w:line="360" w:lineRule="auto"/>
        <w:ind w:firstLine="420"/>
        <w:rPr>
          <w:sz w:val="21"/>
          <w:szCs w:val="21"/>
        </w:rPr>
      </w:pPr>
      <w:r>
        <w:rPr>
          <w:rFonts w:hint="eastAsia"/>
          <w:sz w:val="21"/>
          <w:szCs w:val="21"/>
        </w:rPr>
        <w:t xml:space="preserve">60、基金资产净值：指基金资产总值减去基金负债后的价值 </w:t>
      </w:r>
    </w:p>
    <w:p>
      <w:pPr>
        <w:pStyle w:val="8"/>
        <w:spacing w:before="0" w:beforeAutospacing="0" w:after="0" w:afterAutospacing="0" w:line="360" w:lineRule="auto"/>
        <w:ind w:firstLine="420"/>
        <w:rPr>
          <w:sz w:val="21"/>
          <w:szCs w:val="21"/>
        </w:rPr>
      </w:pPr>
      <w:r>
        <w:rPr>
          <w:rFonts w:hint="eastAsia"/>
          <w:sz w:val="21"/>
          <w:szCs w:val="21"/>
        </w:rPr>
        <w:t xml:space="preserve">61、基金份额净值：指计算日基金资产净值除以计算日基金份额总数 </w:t>
      </w:r>
    </w:p>
    <w:p>
      <w:pPr>
        <w:pStyle w:val="8"/>
        <w:spacing w:before="0" w:beforeAutospacing="0" w:after="0" w:afterAutospacing="0" w:line="360" w:lineRule="auto"/>
        <w:ind w:firstLine="420"/>
        <w:rPr>
          <w:sz w:val="21"/>
          <w:szCs w:val="21"/>
        </w:rPr>
      </w:pPr>
      <w:r>
        <w:rPr>
          <w:rFonts w:hint="eastAsia"/>
          <w:sz w:val="21"/>
          <w:szCs w:val="21"/>
        </w:rPr>
        <w:t xml:space="preserve">62、基金资产估值：指计算评估基金资产和负债的价值，以确定基金资产净值和基金份额净值的过程 </w:t>
      </w:r>
    </w:p>
    <w:p>
      <w:pPr>
        <w:pStyle w:val="8"/>
        <w:spacing w:before="0" w:beforeAutospacing="0" w:after="0" w:afterAutospacing="0" w:line="360" w:lineRule="auto"/>
        <w:ind w:firstLine="420"/>
        <w:rPr>
          <w:sz w:val="21"/>
          <w:szCs w:val="21"/>
        </w:rPr>
      </w:pPr>
      <w:r>
        <w:rPr>
          <w:rFonts w:hint="eastAsia"/>
          <w:sz w:val="21"/>
          <w:szCs w:val="21"/>
        </w:rPr>
        <w:t xml:space="preserve">63、港股通标的股票：指内地投资者委托内地证券公司，经由境内证券交易所设立的证券交易服务公司，向香港联合交易所进行申报，买卖规定范围内的香港联合交易所上市的股票 </w:t>
      </w:r>
    </w:p>
    <w:p>
      <w:pPr>
        <w:pStyle w:val="8"/>
        <w:spacing w:before="0" w:beforeAutospacing="0" w:after="0" w:afterAutospacing="0" w:line="360" w:lineRule="auto"/>
        <w:ind w:firstLine="420"/>
        <w:rPr>
          <w:sz w:val="21"/>
          <w:szCs w:val="21"/>
        </w:rPr>
      </w:pPr>
      <w:r>
        <w:rPr>
          <w:rFonts w:hint="eastAsia"/>
          <w:sz w:val="21"/>
          <w:szCs w:val="21"/>
        </w:rPr>
        <w:t>64、基金份额的类别：指本基金根据销售服务费及申购费收取方式等不同，将基金份额分为A类基金份额和C类基金份额两个类别。两类基金份额分设不同的基金代码，并分别公布基金份额净值</w:t>
      </w:r>
    </w:p>
    <w:p>
      <w:pPr>
        <w:pStyle w:val="8"/>
        <w:spacing w:before="0" w:beforeAutospacing="0" w:after="0" w:afterAutospacing="0" w:line="360" w:lineRule="auto"/>
        <w:ind w:firstLine="420"/>
        <w:rPr>
          <w:sz w:val="21"/>
          <w:szCs w:val="21"/>
        </w:rPr>
      </w:pPr>
      <w:r>
        <w:rPr>
          <w:rFonts w:hint="eastAsia"/>
          <w:sz w:val="21"/>
          <w:szCs w:val="21"/>
        </w:rPr>
        <w:t>65、A类基金份额：指在投资者申购时收取申购费用，在赎回时根据持有期限收取赎回费用，但不计提销售服务费的基金份额。本基金增加C类基金份额后，原基金份额全部自动划归为本基金A类基金份额</w:t>
      </w:r>
    </w:p>
    <w:p>
      <w:pPr>
        <w:pStyle w:val="8"/>
        <w:spacing w:before="0" w:beforeAutospacing="0" w:after="0" w:afterAutospacing="0" w:line="360" w:lineRule="auto"/>
        <w:ind w:firstLine="420"/>
        <w:rPr>
          <w:sz w:val="21"/>
          <w:szCs w:val="21"/>
        </w:rPr>
      </w:pPr>
      <w:r>
        <w:rPr>
          <w:rFonts w:hint="eastAsia"/>
          <w:sz w:val="21"/>
          <w:szCs w:val="21"/>
        </w:rPr>
        <w:t>66、C类基金份额：指在投资者申购时不收取申购费用，在赎回时根据持有期限收取赎回费用，且从本类别基金资产中计提销售服务费的基金份额。本基金转为上市开放式基金（LOF）后开始销售C类基金份额</w:t>
      </w:r>
    </w:p>
    <w:p>
      <w:pPr>
        <w:pStyle w:val="8"/>
        <w:spacing w:before="0" w:beforeAutospacing="0" w:after="0" w:afterAutospacing="0" w:line="360" w:lineRule="auto"/>
        <w:ind w:firstLine="420"/>
        <w:rPr>
          <w:sz w:val="21"/>
          <w:szCs w:val="21"/>
        </w:rPr>
      </w:pPr>
      <w:r>
        <w:rPr>
          <w:rFonts w:hint="eastAsia"/>
          <w:sz w:val="21"/>
          <w:szCs w:val="21"/>
        </w:rPr>
        <w:t>67、销售服务费：指从基金财产中计提的，用于本基金市场推广、销售以及基金份额持有人服务的费用</w:t>
      </w:r>
    </w:p>
    <w:p>
      <w:pPr>
        <w:pStyle w:val="8"/>
        <w:spacing w:before="0" w:beforeAutospacing="0" w:after="0" w:afterAutospacing="0" w:line="360" w:lineRule="auto"/>
        <w:ind w:firstLine="420"/>
        <w:rPr>
          <w:sz w:val="21"/>
          <w:szCs w:val="21"/>
        </w:rPr>
      </w:pPr>
      <w:r>
        <w:rPr>
          <w:rFonts w:hint="eastAsia"/>
          <w:sz w:val="21"/>
          <w:szCs w:val="21"/>
        </w:rPr>
        <w:t>6</w:t>
      </w:r>
      <w:r>
        <w:rPr>
          <w:sz w:val="21"/>
          <w:szCs w:val="21"/>
        </w:rPr>
        <w:t>8</w:t>
      </w:r>
      <w:r>
        <w:rPr>
          <w:rFonts w:hint="eastAsia"/>
          <w:sz w:val="21"/>
          <w:szCs w:val="21"/>
        </w:rPr>
        <w:t xml:space="preserve">、指定媒介：指中国证监会指定的用以进行信息披露的全国性报刊及指定互联网网站（包括基金管理人网站、基金托管人网站、中国证监会基金电子披露网站）等媒介 </w:t>
      </w:r>
    </w:p>
    <w:p>
      <w:pPr>
        <w:pStyle w:val="8"/>
        <w:spacing w:before="0" w:beforeAutospacing="0" w:after="0" w:afterAutospacing="0" w:line="360" w:lineRule="auto"/>
        <w:ind w:firstLine="420"/>
        <w:rPr>
          <w:sz w:val="21"/>
          <w:szCs w:val="21"/>
        </w:rPr>
      </w:pPr>
      <w:r>
        <w:rPr>
          <w:rFonts w:hint="eastAsia"/>
          <w:sz w:val="21"/>
          <w:szCs w:val="21"/>
        </w:rPr>
        <w:t>6</w:t>
      </w:r>
      <w:r>
        <w:rPr>
          <w:sz w:val="21"/>
          <w:szCs w:val="21"/>
        </w:rPr>
        <w:t>9</w:t>
      </w:r>
      <w:r>
        <w:rPr>
          <w:rFonts w:hint="eastAsia"/>
          <w:sz w:val="21"/>
          <w:szCs w:val="21"/>
        </w:rPr>
        <w:t xml:space="preserve">、不可抗力：指基金合同当事人不能预见、不能避免且不能克服的客观事件 </w:t>
      </w:r>
    </w:p>
    <w:p>
      <w:pPr>
        <w:pStyle w:val="8"/>
        <w:spacing w:before="0" w:beforeAutospacing="0" w:after="0" w:afterAutospacing="0" w:line="360" w:lineRule="auto"/>
        <w:ind w:firstLine="420"/>
        <w:rPr>
          <w:sz w:val="21"/>
          <w:szCs w:val="21"/>
        </w:rPr>
      </w:pPr>
      <w:r>
        <w:rPr>
          <w:rFonts w:hint="eastAsia"/>
          <w:sz w:val="21"/>
          <w:szCs w:val="21"/>
        </w:rPr>
        <w:t>以上释义中涉及法律法规、业务规则的内容，法律法规、业务规则修订后，如适用本基</w:t>
      </w:r>
      <w:bookmarkStart w:id="22" w:name="chapter_level1_4_49_section_2_end"/>
      <w:bookmarkEnd w:id="22"/>
      <w:r>
        <w:rPr>
          <w:rFonts w:hint="eastAsia"/>
          <w:sz w:val="21"/>
          <w:szCs w:val="21"/>
        </w:rPr>
        <w:t xml:space="preserve">金，相关内容以修订后法律法规、业务规则为准。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3" w:name="chapter_level1_5_53"/>
      <w:bookmarkStart w:id="24" w:name="_Toc23855"/>
      <w:bookmarkStart w:id="25" w:name="_Toc82437025"/>
      <w:r>
        <w:rPr>
          <w:rFonts w:hint="eastAsia" w:ascii="宋体" w:hAnsi="宋体" w:eastAsia="宋体"/>
          <w:sz w:val="30"/>
        </w:rPr>
        <w:t>第三部分  基金管理人</w:t>
      </w:r>
      <w:bookmarkEnd w:id="23"/>
      <w:bookmarkEnd w:id="24"/>
      <w:bookmarkEnd w:id="25"/>
    </w:p>
    <w:p>
      <w:pPr>
        <w:pStyle w:val="8"/>
        <w:spacing w:before="0" w:beforeAutospacing="0" w:after="0" w:afterAutospacing="0" w:line="360" w:lineRule="auto"/>
        <w:ind w:firstLine="420"/>
        <w:rPr>
          <w:sz w:val="21"/>
          <w:szCs w:val="21"/>
        </w:rPr>
      </w:pPr>
      <w:bookmarkStart w:id="26" w:name="chapter_level1_5_53_section_1"/>
      <w:bookmarkEnd w:id="26"/>
      <w:r>
        <w:rPr>
          <w:rStyle w:val="13"/>
          <w:rFonts w:hint="eastAsia"/>
          <w:sz w:val="21"/>
          <w:szCs w:val="21"/>
        </w:rPr>
        <w:t>一、基金管理人概况</w:t>
      </w:r>
    </w:p>
    <w:p>
      <w:pPr>
        <w:pStyle w:val="8"/>
        <w:spacing w:before="0" w:beforeAutospacing="0" w:after="0" w:afterAutospacing="0" w:line="360" w:lineRule="auto"/>
        <w:ind w:firstLine="420"/>
        <w:rPr>
          <w:sz w:val="21"/>
          <w:szCs w:val="21"/>
        </w:rPr>
      </w:pPr>
      <w:bookmarkStart w:id="27" w:name="field_0_managercompanyinfo_1_start"/>
      <w:bookmarkEnd w:id="27"/>
      <w:r>
        <w:rPr>
          <w:rFonts w:hint="eastAsia"/>
          <w:sz w:val="21"/>
          <w:szCs w:val="21"/>
        </w:rPr>
        <w:t>名称：</w:t>
      </w:r>
      <w:r>
        <w:rPr>
          <w:rFonts w:hint="eastAsia"/>
          <w:sz w:val="21"/>
          <w:szCs w:val="21"/>
        </w:rPr>
        <w:tab/>
      </w:r>
      <w:r>
        <w:rPr>
          <w:rFonts w:hint="eastAsia"/>
          <w:sz w:val="21"/>
          <w:szCs w:val="21"/>
        </w:rPr>
        <w:t>博时基金管理有限公司</w:t>
      </w:r>
    </w:p>
    <w:p>
      <w:pPr>
        <w:pStyle w:val="8"/>
        <w:spacing w:before="0" w:beforeAutospacing="0" w:after="0" w:afterAutospacing="0" w:line="360" w:lineRule="auto"/>
        <w:ind w:firstLine="420"/>
        <w:rPr>
          <w:sz w:val="21"/>
          <w:szCs w:val="21"/>
        </w:rPr>
      </w:pPr>
      <w:r>
        <w:rPr>
          <w:rFonts w:hint="eastAsia"/>
          <w:sz w:val="21"/>
          <w:szCs w:val="21"/>
        </w:rPr>
        <w:t>住所：</w:t>
      </w:r>
      <w:r>
        <w:rPr>
          <w:rFonts w:hint="eastAsia"/>
          <w:sz w:val="21"/>
          <w:szCs w:val="21"/>
        </w:rPr>
        <w:tab/>
      </w:r>
      <w:r>
        <w:rPr>
          <w:rFonts w:hint="eastAsia"/>
          <w:sz w:val="21"/>
          <w:szCs w:val="21"/>
        </w:rPr>
        <w:t>深圳市福田区莲花街道福新社区益田路5999号基金大厦21层</w:t>
      </w:r>
    </w:p>
    <w:p>
      <w:pPr>
        <w:pStyle w:val="8"/>
        <w:spacing w:before="0" w:beforeAutospacing="0" w:after="0" w:afterAutospacing="0" w:line="360" w:lineRule="auto"/>
        <w:ind w:firstLine="420"/>
        <w:rPr>
          <w:sz w:val="21"/>
          <w:szCs w:val="21"/>
        </w:rPr>
      </w:pPr>
      <w:r>
        <w:rPr>
          <w:rFonts w:hint="eastAsia"/>
          <w:sz w:val="21"/>
          <w:szCs w:val="21"/>
        </w:rPr>
        <w:t>办公地址：</w:t>
      </w:r>
      <w:r>
        <w:rPr>
          <w:rFonts w:hint="eastAsia"/>
          <w:sz w:val="21"/>
          <w:szCs w:val="21"/>
        </w:rPr>
        <w:tab/>
      </w:r>
      <w:r>
        <w:rPr>
          <w:rFonts w:hint="eastAsia"/>
          <w:sz w:val="21"/>
          <w:szCs w:val="21"/>
        </w:rPr>
        <w:t>广东省深圳市福田区益田路5999号基金大厦21层</w:t>
      </w:r>
    </w:p>
    <w:p>
      <w:pPr>
        <w:pStyle w:val="8"/>
        <w:spacing w:before="0" w:beforeAutospacing="0" w:after="0" w:afterAutospacing="0" w:line="360" w:lineRule="auto"/>
        <w:ind w:firstLine="420"/>
        <w:rPr>
          <w:sz w:val="21"/>
          <w:szCs w:val="21"/>
        </w:rPr>
      </w:pPr>
      <w:r>
        <w:rPr>
          <w:rFonts w:hint="eastAsia"/>
          <w:sz w:val="21"/>
          <w:szCs w:val="21"/>
        </w:rPr>
        <w:t>法定代表人：江向阳</w:t>
      </w:r>
    </w:p>
    <w:p>
      <w:pPr>
        <w:pStyle w:val="8"/>
        <w:spacing w:before="0" w:beforeAutospacing="0" w:after="0" w:afterAutospacing="0" w:line="360" w:lineRule="auto"/>
        <w:ind w:firstLine="420"/>
        <w:rPr>
          <w:sz w:val="21"/>
          <w:szCs w:val="21"/>
        </w:rPr>
      </w:pPr>
      <w:r>
        <w:rPr>
          <w:rFonts w:hint="eastAsia"/>
          <w:sz w:val="21"/>
          <w:szCs w:val="21"/>
        </w:rPr>
        <w:t>成立时间：</w:t>
      </w:r>
      <w:r>
        <w:rPr>
          <w:rFonts w:hint="eastAsia"/>
          <w:sz w:val="21"/>
          <w:szCs w:val="21"/>
        </w:rPr>
        <w:tab/>
      </w:r>
      <w:r>
        <w:rPr>
          <w:rFonts w:hint="eastAsia"/>
          <w:sz w:val="21"/>
          <w:szCs w:val="21"/>
        </w:rPr>
        <w:t>1998年7月13日</w:t>
      </w:r>
    </w:p>
    <w:p>
      <w:pPr>
        <w:pStyle w:val="8"/>
        <w:spacing w:before="0" w:beforeAutospacing="0" w:after="0" w:afterAutospacing="0" w:line="360" w:lineRule="auto"/>
        <w:ind w:firstLine="420"/>
        <w:rPr>
          <w:sz w:val="21"/>
          <w:szCs w:val="21"/>
        </w:rPr>
      </w:pPr>
      <w:r>
        <w:rPr>
          <w:rFonts w:hint="eastAsia"/>
          <w:sz w:val="21"/>
          <w:szCs w:val="21"/>
        </w:rPr>
        <w:t>注册资本：</w:t>
      </w:r>
      <w:r>
        <w:rPr>
          <w:rFonts w:hint="eastAsia"/>
          <w:sz w:val="21"/>
          <w:szCs w:val="21"/>
        </w:rPr>
        <w:tab/>
      </w:r>
      <w:r>
        <w:rPr>
          <w:rFonts w:hint="eastAsia"/>
          <w:sz w:val="21"/>
          <w:szCs w:val="21"/>
        </w:rPr>
        <w:t>2.5亿元人民币</w:t>
      </w:r>
    </w:p>
    <w:p>
      <w:pPr>
        <w:pStyle w:val="8"/>
        <w:spacing w:before="0" w:beforeAutospacing="0" w:after="0" w:afterAutospacing="0" w:line="360" w:lineRule="auto"/>
        <w:ind w:firstLine="420"/>
        <w:rPr>
          <w:sz w:val="21"/>
          <w:szCs w:val="21"/>
        </w:rPr>
      </w:pPr>
      <w:r>
        <w:rPr>
          <w:rFonts w:hint="eastAsia"/>
          <w:sz w:val="21"/>
          <w:szCs w:val="21"/>
        </w:rPr>
        <w:t>存续期间：</w:t>
      </w:r>
      <w:r>
        <w:rPr>
          <w:rFonts w:hint="eastAsia"/>
          <w:sz w:val="21"/>
          <w:szCs w:val="21"/>
        </w:rPr>
        <w:tab/>
      </w:r>
      <w:r>
        <w:rPr>
          <w:rFonts w:hint="eastAsia"/>
          <w:sz w:val="21"/>
          <w:szCs w:val="21"/>
        </w:rPr>
        <w:t>持续经营</w:t>
      </w:r>
    </w:p>
    <w:p>
      <w:pPr>
        <w:pStyle w:val="8"/>
        <w:spacing w:before="0" w:beforeAutospacing="0" w:after="0" w:afterAutospacing="0" w:line="360" w:lineRule="auto"/>
        <w:ind w:firstLine="420"/>
        <w:rPr>
          <w:sz w:val="21"/>
          <w:szCs w:val="21"/>
        </w:rPr>
      </w:pPr>
      <w:r>
        <w:rPr>
          <w:rFonts w:hint="eastAsia"/>
          <w:sz w:val="21"/>
          <w:szCs w:val="21"/>
        </w:rPr>
        <w:t>联系人：    韩强</w:t>
      </w:r>
    </w:p>
    <w:p>
      <w:pPr>
        <w:pStyle w:val="8"/>
        <w:spacing w:before="0" w:beforeAutospacing="0" w:after="0" w:afterAutospacing="0" w:line="360" w:lineRule="auto"/>
        <w:ind w:firstLine="420"/>
        <w:rPr>
          <w:sz w:val="21"/>
          <w:szCs w:val="21"/>
        </w:rPr>
      </w:pPr>
      <w:r>
        <w:rPr>
          <w:rFonts w:hint="eastAsia"/>
          <w:sz w:val="21"/>
          <w:szCs w:val="21"/>
        </w:rPr>
        <w:t>联系电话：  （0755）8316 9999</w:t>
      </w:r>
    </w:p>
    <w:p>
      <w:pPr>
        <w:pStyle w:val="8"/>
        <w:spacing w:before="0" w:beforeAutospacing="0" w:after="0" w:afterAutospacing="0" w:line="360" w:lineRule="auto"/>
        <w:ind w:firstLine="420"/>
        <w:rPr>
          <w:sz w:val="21"/>
          <w:szCs w:val="21"/>
        </w:rPr>
      </w:pPr>
      <w:r>
        <w:rPr>
          <w:rFonts w:hint="eastAsia"/>
          <w:sz w:val="21"/>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pStyle w:val="8"/>
        <w:spacing w:before="0" w:beforeAutospacing="0" w:after="0" w:afterAutospacing="0" w:line="360" w:lineRule="auto"/>
        <w:ind w:firstLine="420"/>
        <w:rPr>
          <w:sz w:val="21"/>
          <w:szCs w:val="21"/>
        </w:rPr>
      </w:pPr>
      <w:r>
        <w:rPr>
          <w:rFonts w:hint="eastAsia"/>
          <w:sz w:val="21"/>
          <w:szCs w:val="21"/>
        </w:rPr>
        <w:t>公司设立了投资决策委员会。投资决策委员会负责指导基金资产的运作、确定基本的投资策略和投资组合的原则。</w:t>
      </w:r>
    </w:p>
    <w:p>
      <w:pPr>
        <w:pStyle w:val="8"/>
        <w:spacing w:before="0" w:beforeAutospacing="0" w:after="0" w:afterAutospacing="0" w:line="360" w:lineRule="auto"/>
        <w:ind w:firstLine="420"/>
        <w:rPr>
          <w:sz w:val="21"/>
          <w:szCs w:val="21"/>
        </w:rPr>
      </w:pPr>
      <w:r>
        <w:rPr>
          <w:rFonts w:hint="eastAsia"/>
          <w:sz w:val="21"/>
          <w:szCs w:val="21"/>
        </w:rPr>
        <w:t>公司已经建立健全投资管理制度、风险控制制度、内部监察制度、财务管理制度、人事管理制度、信息披露制度和员工行为准则等公司管理制度体系。</w:t>
      </w:r>
    </w:p>
    <w:p>
      <w:pPr>
        <w:pStyle w:val="8"/>
        <w:spacing w:before="0" w:beforeAutospacing="0" w:after="0" w:afterAutospacing="0" w:line="360" w:lineRule="auto"/>
        <w:ind w:firstLine="420"/>
        <w:rPr>
          <w:b/>
          <w:bCs/>
          <w:sz w:val="21"/>
          <w:szCs w:val="21"/>
        </w:rPr>
      </w:pPr>
      <w:r>
        <w:rPr>
          <w:rFonts w:hint="eastAsia"/>
          <w:b/>
          <w:bCs/>
          <w:sz w:val="21"/>
          <w:szCs w:val="21"/>
        </w:rPr>
        <w:t>二、主要成员情况</w:t>
      </w:r>
    </w:p>
    <w:p>
      <w:pPr>
        <w:pStyle w:val="8"/>
        <w:spacing w:before="0" w:beforeAutospacing="0" w:after="0" w:afterAutospacing="0" w:line="360" w:lineRule="auto"/>
        <w:ind w:firstLine="420"/>
        <w:rPr>
          <w:sz w:val="21"/>
          <w:szCs w:val="21"/>
        </w:rPr>
      </w:pPr>
      <w:r>
        <w:rPr>
          <w:rFonts w:hint="eastAsia"/>
          <w:sz w:val="21"/>
          <w:szCs w:val="21"/>
        </w:rPr>
        <w:t>1、基金管理人董事会成员</w:t>
      </w:r>
    </w:p>
    <w:p>
      <w:pPr>
        <w:pStyle w:val="8"/>
        <w:spacing w:before="0" w:beforeAutospacing="0" w:after="0" w:afterAutospacing="0" w:line="360" w:lineRule="auto"/>
        <w:ind w:firstLine="420"/>
        <w:rPr>
          <w:sz w:val="21"/>
          <w:szCs w:val="21"/>
        </w:rPr>
      </w:pPr>
      <w:r>
        <w:rPr>
          <w:rFonts w:hint="eastAsia"/>
          <w:sz w:val="21"/>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pStyle w:val="8"/>
        <w:spacing w:before="0" w:beforeAutospacing="0" w:after="0" w:afterAutospacing="0" w:line="360" w:lineRule="auto"/>
        <w:ind w:firstLine="420"/>
        <w:rPr>
          <w:sz w:val="21"/>
          <w:szCs w:val="21"/>
        </w:rPr>
      </w:pPr>
      <w:r>
        <w:rPr>
          <w:rFonts w:hint="eastAsia"/>
          <w:sz w:val="21"/>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pStyle w:val="8"/>
        <w:spacing w:before="0" w:beforeAutospacing="0" w:after="0" w:afterAutospacing="0" w:line="360" w:lineRule="auto"/>
        <w:ind w:firstLine="420"/>
        <w:rPr>
          <w:sz w:val="21"/>
          <w:szCs w:val="21"/>
        </w:rPr>
      </w:pPr>
      <w:r>
        <w:rPr>
          <w:rFonts w:hint="eastAsia"/>
          <w:sz w:val="21"/>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在在鹏华基金管理有限公司任副总经理。自2021年2月5日起，任博时基金管理有限公司总经理。自2021年4月7日起，任博时基金管理有限公司第八届董事会董事。</w:t>
      </w:r>
    </w:p>
    <w:p>
      <w:pPr>
        <w:pStyle w:val="8"/>
        <w:spacing w:before="0" w:beforeAutospacing="0" w:after="0" w:afterAutospacing="0" w:line="360" w:lineRule="auto"/>
        <w:ind w:firstLine="420"/>
        <w:rPr>
          <w:sz w:val="21"/>
          <w:szCs w:val="21"/>
        </w:rPr>
      </w:pPr>
      <w:r>
        <w:rPr>
          <w:rFonts w:hint="eastAsia"/>
          <w:sz w:val="21"/>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pStyle w:val="8"/>
        <w:spacing w:before="0" w:beforeAutospacing="0" w:after="0" w:afterAutospacing="0" w:line="360" w:lineRule="auto"/>
        <w:ind w:firstLine="420"/>
        <w:rPr>
          <w:sz w:val="21"/>
          <w:szCs w:val="21"/>
        </w:rPr>
      </w:pPr>
      <w:r>
        <w:rPr>
          <w:rFonts w:hint="eastAsia"/>
          <w:sz w:val="21"/>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pStyle w:val="8"/>
        <w:spacing w:before="0" w:beforeAutospacing="0" w:after="0" w:afterAutospacing="0" w:line="360" w:lineRule="auto"/>
        <w:ind w:firstLine="420"/>
        <w:rPr>
          <w:sz w:val="21"/>
          <w:szCs w:val="21"/>
        </w:rPr>
      </w:pPr>
      <w:r>
        <w:rPr>
          <w:rFonts w:hint="eastAsia"/>
          <w:sz w:val="21"/>
          <w:szCs w:val="21"/>
        </w:rPr>
        <w:t>李楚楚女士，香港注册会计师。2008年以全额奖学金被香港中文大学录取，并获得工商管理学士学位。2012年起加入毕马威香港办公室审计部门，为大型企业提供上市财务、审计、商业咨询及资本市场服务；2014年起，调入毕马威香港办公室咨询部门，历任高级顾问和咨询经理，参与了众多并购、上市、尽职调查、公司治理、合规管理、风险管理等项目，积累了丰富的行业知识及企业运营管理经验。2017年，加入上海信利股份投资基金管理有限公司并工作至今，历任投资经理、投资总监、董事等职，同时兼任上海汇华实业有限公司投资总监和上海盛业股权投资基金有限公司监事，负责股权投资项目管理。李女士在私募股权投资、投后管理等方面拥有丰富的经验，领导并管理了多个行业的投资，包括金融服务（保险、资产管理、金融科技等）、医疗保健、消费与零售、新能源与环境、科技与媒体通信等。自2020年12月8日起，任博时基金管理有限公司董事。</w:t>
      </w:r>
    </w:p>
    <w:p>
      <w:pPr>
        <w:pStyle w:val="8"/>
        <w:spacing w:before="0" w:beforeAutospacing="0" w:after="0" w:afterAutospacing="0" w:line="360" w:lineRule="auto"/>
        <w:ind w:firstLine="420"/>
        <w:rPr>
          <w:sz w:val="21"/>
          <w:szCs w:val="21"/>
        </w:rPr>
      </w:pPr>
      <w:r>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自2017年11月3日起，任博时基金管理有限公司独立董事。</w:t>
      </w:r>
    </w:p>
    <w:p>
      <w:pPr>
        <w:pStyle w:val="8"/>
        <w:spacing w:before="0" w:beforeAutospacing="0" w:after="0" w:afterAutospacing="0" w:line="360" w:lineRule="auto"/>
        <w:ind w:firstLine="420"/>
        <w:rPr>
          <w:sz w:val="21"/>
          <w:szCs w:val="21"/>
        </w:rPr>
      </w:pPr>
      <w:r>
        <w:rPr>
          <w:rFonts w:hint="eastAsia"/>
          <w:sz w:val="21"/>
          <w:szCs w:val="21"/>
        </w:rPr>
        <w:t>赵如冰先生，1956年生，教授级高级工程师，国际金融专业经济学硕士研究生。赵如冰先生历任葛洲坝水力发电厂工程师、高级工程师、葛洲坝二江电厂电气分厂主任、书记；1989.09—1991.10任葛洲坝至上海正负50万伏超高压直流输电换流站书记兼站长，主持参加了我国第一条直流输电工程的安装调试和运行。1991.10—1995.12任厂办公室主任兼外事办公室主任。1995.12—1999.12，赵如冰先生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2004.07-2009.03，赵如冰先生任华能房地产开发公司党组书记、总经理。2009.12-2016.8, 赵如冰先生任景顺长城基金管理公司董事长、景顺长城资产管理（深圳）公司董事长兼长城证券公司党委副书记。2016.8-2020.03, 赵如冰先生任阳光资产管理股份有限公司副董事长；2016.8-至今,任西南证券、百隆东方独立董事，2020.03-至今深圳市深粮控股股份有限公司独立董事。自2017年11月3日起，任博时基金管理有限公司独立董事。</w:t>
      </w:r>
    </w:p>
    <w:p>
      <w:pPr>
        <w:pStyle w:val="8"/>
        <w:spacing w:before="0" w:beforeAutospacing="0" w:after="0" w:afterAutospacing="0" w:line="360" w:lineRule="auto"/>
        <w:ind w:firstLine="420"/>
        <w:rPr>
          <w:sz w:val="21"/>
          <w:szCs w:val="21"/>
        </w:rPr>
      </w:pPr>
      <w:r>
        <w:rPr>
          <w:rFonts w:hint="eastAsia"/>
          <w:sz w:val="21"/>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pStyle w:val="8"/>
        <w:spacing w:before="0" w:beforeAutospacing="0" w:after="0" w:afterAutospacing="0" w:line="360" w:lineRule="auto"/>
        <w:ind w:firstLine="420"/>
        <w:rPr>
          <w:sz w:val="21"/>
          <w:szCs w:val="21"/>
        </w:rPr>
      </w:pPr>
      <w:r>
        <w:rPr>
          <w:rFonts w:hint="eastAsia"/>
          <w:sz w:val="21"/>
          <w:szCs w:val="21"/>
        </w:rPr>
        <w:t>2、基金管理人监事会成员</w:t>
      </w:r>
    </w:p>
    <w:p>
      <w:pPr>
        <w:pStyle w:val="8"/>
        <w:spacing w:before="0" w:beforeAutospacing="0" w:after="0" w:afterAutospacing="0" w:line="360" w:lineRule="auto"/>
        <w:ind w:firstLine="420"/>
        <w:rPr>
          <w:sz w:val="21"/>
          <w:szCs w:val="21"/>
        </w:rPr>
      </w:pPr>
      <w:r>
        <w:rPr>
          <w:rFonts w:hint="eastAsia"/>
          <w:sz w:val="21"/>
          <w:szCs w:val="21"/>
        </w:rPr>
        <w:t>何敏女士，1975年出生，中南财经大学会计学硕士。1999年7月至2006年4月任招商证券股份有限公司财务部会计核算岗，2006年4月至2009年4 月任招商证券股份有限公司财务部总经理助理，2009年4月至 2019年2月任 招商证券股份有限公司财务部副总经理，2019年2月至今任招商证券股份有限公司财务部总经理。自2019年4月10日起，任博时基金管理有限公司监事会主席。</w:t>
      </w:r>
    </w:p>
    <w:p>
      <w:pPr>
        <w:pStyle w:val="8"/>
        <w:spacing w:before="0" w:beforeAutospacing="0" w:after="0" w:afterAutospacing="0" w:line="360" w:lineRule="auto"/>
        <w:ind w:firstLine="420"/>
        <w:rPr>
          <w:sz w:val="21"/>
          <w:szCs w:val="21"/>
        </w:rPr>
      </w:pPr>
      <w:r>
        <w:rPr>
          <w:rFonts w:hint="eastAsia"/>
          <w:sz w:val="21"/>
          <w:szCs w:val="21"/>
        </w:rPr>
        <w:t>蒋伟先生，硕士。2011年3月至2017年5月就职于中国长城资产管理公司，分别任办公室外事处一级业务员、业务副主管、业务主管。2017年5月至2020年7日月就职于长城罗斯基金管理有限公司任行政总监/执行董事。2020年7月至今任中国长城资产管理有限公司资产经营三部副高级经理（处室负责人）。</w:t>
      </w:r>
    </w:p>
    <w:p>
      <w:pPr>
        <w:pStyle w:val="8"/>
        <w:spacing w:before="0" w:beforeAutospacing="0" w:after="0" w:afterAutospacing="0" w:line="360" w:lineRule="auto"/>
        <w:ind w:firstLine="420"/>
        <w:rPr>
          <w:sz w:val="21"/>
          <w:szCs w:val="21"/>
        </w:rPr>
      </w:pPr>
      <w:r>
        <w:rPr>
          <w:rFonts w:hint="eastAsia"/>
          <w:sz w:val="21"/>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pStyle w:val="8"/>
        <w:spacing w:before="0" w:beforeAutospacing="0" w:after="0" w:afterAutospacing="0" w:line="360" w:lineRule="auto"/>
        <w:ind w:firstLine="420"/>
        <w:rPr>
          <w:sz w:val="21"/>
          <w:szCs w:val="21"/>
        </w:rPr>
      </w:pPr>
      <w:r>
        <w:rPr>
          <w:rFonts w:hint="eastAsia"/>
          <w:sz w:val="21"/>
          <w:szCs w:val="21"/>
        </w:rPr>
        <w:t>严斌先生，硕士。1997年7月起先后在华侨城集团公司、博时基金管理有限公司工作。现任博时基金管理有限公司财务部总经理。自2015年5月起，任博时基金管理有限公司监事。</w:t>
      </w:r>
    </w:p>
    <w:p>
      <w:pPr>
        <w:pStyle w:val="8"/>
        <w:spacing w:before="0" w:beforeAutospacing="0" w:after="0" w:afterAutospacing="0" w:line="360" w:lineRule="auto"/>
        <w:ind w:firstLine="420"/>
        <w:rPr>
          <w:sz w:val="21"/>
          <w:szCs w:val="21"/>
        </w:rPr>
      </w:pPr>
      <w:r>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pStyle w:val="8"/>
        <w:spacing w:before="0" w:beforeAutospacing="0" w:after="0" w:afterAutospacing="0" w:line="360" w:lineRule="auto"/>
        <w:ind w:firstLine="420"/>
        <w:rPr>
          <w:sz w:val="21"/>
          <w:szCs w:val="21"/>
        </w:rPr>
      </w:pPr>
      <w:r>
        <w:rPr>
          <w:rFonts w:hint="eastAsia"/>
          <w:sz w:val="21"/>
          <w:szCs w:val="21"/>
        </w:rPr>
        <w:t> 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pStyle w:val="8"/>
        <w:spacing w:before="0" w:beforeAutospacing="0" w:after="0" w:afterAutospacing="0" w:line="360" w:lineRule="auto"/>
        <w:ind w:firstLine="420"/>
        <w:rPr>
          <w:sz w:val="21"/>
          <w:szCs w:val="21"/>
        </w:rPr>
      </w:pPr>
      <w:r>
        <w:rPr>
          <w:rFonts w:hint="eastAsia"/>
          <w:sz w:val="21"/>
          <w:szCs w:val="21"/>
        </w:rPr>
        <w:t>3、高级管理人员</w:t>
      </w:r>
    </w:p>
    <w:p>
      <w:pPr>
        <w:pStyle w:val="8"/>
        <w:spacing w:before="0" w:beforeAutospacing="0" w:after="0" w:afterAutospacing="0" w:line="360" w:lineRule="auto"/>
        <w:ind w:firstLine="420"/>
        <w:rPr>
          <w:sz w:val="21"/>
          <w:szCs w:val="21"/>
        </w:rPr>
      </w:pPr>
      <w:r>
        <w:rPr>
          <w:rFonts w:hint="eastAsia"/>
          <w:sz w:val="21"/>
          <w:szCs w:val="21"/>
        </w:rPr>
        <w:t>江向阳先生，简历同上。</w:t>
      </w:r>
    </w:p>
    <w:p>
      <w:pPr>
        <w:pStyle w:val="8"/>
        <w:spacing w:before="0" w:beforeAutospacing="0" w:after="0" w:afterAutospacing="0" w:line="360" w:lineRule="auto"/>
        <w:ind w:firstLine="420"/>
        <w:rPr>
          <w:sz w:val="21"/>
          <w:szCs w:val="21"/>
        </w:rPr>
      </w:pPr>
      <w:r>
        <w:rPr>
          <w:rFonts w:hint="eastAsia"/>
          <w:sz w:val="21"/>
          <w:szCs w:val="21"/>
        </w:rPr>
        <w:t>高阳先生，简历同上。</w:t>
      </w:r>
    </w:p>
    <w:p>
      <w:pPr>
        <w:pStyle w:val="8"/>
        <w:spacing w:before="0" w:beforeAutospacing="0" w:after="0" w:afterAutospacing="0" w:line="360" w:lineRule="auto"/>
        <w:ind w:firstLine="420"/>
        <w:rPr>
          <w:sz w:val="21"/>
          <w:szCs w:val="21"/>
        </w:rPr>
      </w:pPr>
      <w:r>
        <w:rPr>
          <w:rFonts w:hint="eastAsia"/>
          <w:sz w:val="21"/>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基金(国际)有限公司及博时资本管理有限公司董事。</w:t>
      </w:r>
    </w:p>
    <w:p>
      <w:pPr>
        <w:pStyle w:val="8"/>
        <w:spacing w:before="0" w:beforeAutospacing="0" w:after="0" w:afterAutospacing="0" w:line="360" w:lineRule="auto"/>
        <w:ind w:firstLine="420"/>
        <w:rPr>
          <w:sz w:val="21"/>
          <w:szCs w:val="21"/>
        </w:rPr>
      </w:pPr>
      <w:r>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混合资产投资部总经理、兼任博时基金（国际）有限公司董事、博时资本管理有限公司董事。</w:t>
      </w:r>
    </w:p>
    <w:p>
      <w:pPr>
        <w:pStyle w:val="8"/>
        <w:spacing w:before="0" w:beforeAutospacing="0" w:after="0" w:afterAutospacing="0" w:line="360" w:lineRule="auto"/>
        <w:ind w:firstLine="420"/>
        <w:rPr>
          <w:sz w:val="21"/>
          <w:szCs w:val="21"/>
        </w:rPr>
      </w:pPr>
      <w:r>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pPr>
        <w:pStyle w:val="8"/>
        <w:spacing w:before="0" w:beforeAutospacing="0" w:after="0" w:afterAutospacing="0" w:line="360" w:lineRule="auto"/>
        <w:ind w:firstLine="420"/>
        <w:rPr>
          <w:sz w:val="21"/>
          <w:szCs w:val="21"/>
        </w:rPr>
      </w:pPr>
      <w:r>
        <w:rPr>
          <w:rFonts w:hint="eastAsia"/>
          <w:sz w:val="21"/>
          <w:szCs w:val="21"/>
        </w:rPr>
        <w:t>孙麒清女士，商法学硕士，督察长。曾供职于广东深港律师事务所。2002年加入博时基金管理有限公司，历任监察法律部法律顾问、监察法律部总经理。现任公司督察长，兼任博时基金（国际）有限公司董事、博时资本管理有限公司副董事长。</w:t>
      </w:r>
    </w:p>
    <w:p>
      <w:pPr>
        <w:pStyle w:val="8"/>
        <w:spacing w:before="0" w:beforeAutospacing="0" w:after="0" w:afterAutospacing="0" w:line="360" w:lineRule="auto"/>
        <w:ind w:firstLine="420"/>
        <w:rPr>
          <w:sz w:val="21"/>
          <w:szCs w:val="21"/>
        </w:rPr>
      </w:pPr>
      <w:r>
        <w:rPr>
          <w:rFonts w:hint="eastAsia"/>
          <w:sz w:val="21"/>
          <w:szCs w:val="21"/>
        </w:rPr>
        <w:t>4、本基金基金经理</w:t>
      </w:r>
    </w:p>
    <w:p>
      <w:pPr>
        <w:pStyle w:val="8"/>
        <w:spacing w:before="0" w:beforeAutospacing="0" w:after="0" w:afterAutospacing="0" w:line="360" w:lineRule="auto"/>
        <w:ind w:firstLine="420"/>
        <w:rPr>
          <w:sz w:val="21"/>
          <w:szCs w:val="21"/>
        </w:rPr>
      </w:pPr>
      <w:r>
        <w:rPr>
          <w:rFonts w:hint="eastAsia"/>
          <w:sz w:val="21"/>
          <w:szCs w:val="21"/>
        </w:rPr>
        <w:t>肖瑞瑾先生，硕士。2012年从复旦大学硕士研究生毕业后加入博时基金管理有限公司。历任研究员、高级研究员、高级研究员兼基金经理助理、资深研究员兼基金经理助理、博时灵活配置混合型证券投资基金(2017年8月1日-2018年3月9日)、博时互联网主题灵活配置混合型证券投资基金(2017年1月5日-2019年6月21日)、博时特许价值混合型证券投资基金(2018年6月21日-2021年4月13日)、博时汇悦回报混合型证券投资基金(2020年2月20日-2021年4月13日)的基金经理、权益投资主题组投资总监助理、博时消费创新混合型证券投资基金(2020年10月23日-2021年11月8日)、博时创业板两年定期开放混合型证券投资基金(2020年9月3日-2021年12月14日)的基金经理。现任权益投资四部投资总监助理兼博时回报灵活配置混合型证券投资基金(2017年8月14日—至今)、博时科创主题3年封闭运作灵活配置混合型证券投资基金(2019年6月27日—至今)、博时科技创新混合型证券投资基金(2020年4月15日—至今)、博时科创板三年定期开放混合型证券投资基金(2020年7月29日—至今)、博时创新精选混合型证券投资基金(2021年3月9日—至今)、博时数字经济18个月封闭运作混合型证券投资基金(2021年6月18日—至今)、博时半导体主题混合型证券投资基金(2021年7月20日—至今)、博时成长回报混合型证券投资基金(2021年12月3日—至今)、博时时代消费混合型证券投资基金(2021年12月21日—至今)、博时回报严选混合型证券投资基金(2022年2月8日—至今)的基金经理。</w:t>
      </w:r>
    </w:p>
    <w:p>
      <w:pPr>
        <w:pStyle w:val="8"/>
        <w:spacing w:before="0" w:beforeAutospacing="0" w:after="0" w:afterAutospacing="0" w:line="360" w:lineRule="auto"/>
        <w:ind w:firstLine="420"/>
        <w:rPr>
          <w:sz w:val="21"/>
          <w:szCs w:val="21"/>
        </w:rPr>
      </w:pPr>
      <w:r>
        <w:rPr>
          <w:rFonts w:hint="eastAsia"/>
          <w:sz w:val="21"/>
          <w:szCs w:val="21"/>
        </w:rPr>
        <w:t>曾鹏先生，硕士。2005年起先后在上投摩根基金、嘉实基金从事研究、投资工作。2012年加入博时基金管理有限公司。历任投资经理、博时灵活配置混合型证券投资基金(2015年2月9日-2016年4月25日)基金经理、权益投资主题组负责人、权益投资总部一体化投研总监。现任公司董事总经理兼权益投研一体化总监、权益投资四部总经理、权益投资四部投资总监、境外投资部总经理、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博时新兴消费主题混合型证券投资基金(2021年1月20日—至今)、博时沪港深优质企业灵活配置混合型证券投资基金(2021年1月20日—至今)、博时港股通领先趋势混合型证券投资基金(2021年2月9日—至今)、博时半导体主题混合型证券投资基金(2021年7月20日—至今)、博时消费创新混合型证券投资基金(2021年11月8日—至今)、博时时代领航混合型证券投资基金(2022年1月25日—至今)的基金经理。</w:t>
      </w:r>
    </w:p>
    <w:p>
      <w:pPr>
        <w:pStyle w:val="8"/>
        <w:spacing w:before="0" w:beforeAutospacing="0" w:after="0" w:afterAutospacing="0" w:line="360" w:lineRule="auto"/>
        <w:ind w:firstLine="420"/>
        <w:rPr>
          <w:sz w:val="21"/>
          <w:szCs w:val="21"/>
        </w:rPr>
      </w:pPr>
      <w:r>
        <w:rPr>
          <w:rFonts w:hint="eastAsia"/>
          <w:sz w:val="21"/>
          <w:szCs w:val="21"/>
        </w:rPr>
        <w:t>黄继晨先生，硕士。2010年至2014年先后在港铁轨道（深圳）有限公司、联讯证券工作。2016年从南开大学硕士研究生毕业后加入博时基金管理有限公司。历任研究员、高级研究员兼基金经理助理、研究部总经理助理。现任行业研究部总经理助理兼博时科创主题3年封闭运作灵活配置混合型证券投资基金(2020年11月4日—至今)、博时荣丰回报三年封闭运作灵活配置混合型证券投资基金(2021年9月7日—至今)的基金经理。</w:t>
      </w:r>
    </w:p>
    <w:p>
      <w:pPr>
        <w:pStyle w:val="8"/>
        <w:spacing w:before="0" w:beforeAutospacing="0" w:after="0" w:afterAutospacing="0" w:line="360" w:lineRule="auto"/>
        <w:ind w:firstLine="420"/>
        <w:rPr>
          <w:sz w:val="21"/>
          <w:szCs w:val="21"/>
        </w:rPr>
      </w:pPr>
      <w:r>
        <w:rPr>
          <w:rFonts w:hint="eastAsia"/>
          <w:sz w:val="21"/>
          <w:szCs w:val="21"/>
        </w:rPr>
        <w:t>5、投资决策委员会成员</w:t>
      </w:r>
    </w:p>
    <w:p>
      <w:pPr>
        <w:pStyle w:val="8"/>
        <w:spacing w:before="0" w:beforeAutospacing="0" w:after="0" w:afterAutospacing="0" w:line="360" w:lineRule="auto"/>
        <w:ind w:firstLine="420"/>
        <w:rPr>
          <w:sz w:val="21"/>
          <w:szCs w:val="21"/>
        </w:rPr>
      </w:pPr>
      <w:r>
        <w:rPr>
          <w:rFonts w:hint="eastAsia"/>
          <w:sz w:val="21"/>
          <w:szCs w:val="21"/>
        </w:rPr>
        <w:t>公司总经理高阳先生。</w:t>
      </w:r>
    </w:p>
    <w:p>
      <w:pPr>
        <w:pStyle w:val="8"/>
        <w:spacing w:before="0" w:beforeAutospacing="0" w:after="0" w:afterAutospacing="0" w:line="360" w:lineRule="auto"/>
        <w:ind w:firstLine="420"/>
        <w:rPr>
          <w:sz w:val="21"/>
          <w:szCs w:val="21"/>
        </w:rPr>
      </w:pPr>
      <w:r>
        <w:rPr>
          <w:rFonts w:hint="eastAsia"/>
          <w:sz w:val="21"/>
          <w:szCs w:val="21"/>
        </w:rPr>
        <w:t>公司副总经理兼首席固定收益投资官、混合资产投资部总经理邵凯先生。</w:t>
      </w:r>
    </w:p>
    <w:p>
      <w:pPr>
        <w:pStyle w:val="8"/>
        <w:spacing w:before="0" w:beforeAutospacing="0" w:after="0" w:afterAutospacing="0" w:line="360" w:lineRule="auto"/>
        <w:ind w:firstLine="420"/>
        <w:rPr>
          <w:sz w:val="21"/>
          <w:szCs w:val="21"/>
        </w:rPr>
      </w:pPr>
      <w:r>
        <w:rPr>
          <w:rFonts w:hint="eastAsia"/>
          <w:sz w:val="21"/>
          <w:szCs w:val="21"/>
        </w:rPr>
        <w:t>公司首席资产配置官黄健斌先生。</w:t>
      </w:r>
    </w:p>
    <w:p>
      <w:pPr>
        <w:pStyle w:val="8"/>
        <w:spacing w:before="0" w:beforeAutospacing="0" w:after="0" w:afterAutospacing="0" w:line="360" w:lineRule="auto"/>
        <w:ind w:firstLine="420"/>
        <w:rPr>
          <w:sz w:val="21"/>
          <w:szCs w:val="21"/>
        </w:rPr>
      </w:pPr>
      <w:r>
        <w:rPr>
          <w:rFonts w:hint="eastAsia"/>
          <w:sz w:val="21"/>
          <w:szCs w:val="21"/>
        </w:rPr>
        <w:t>公司首席年金投资官邵佳民先生。</w:t>
      </w:r>
    </w:p>
    <w:p>
      <w:pPr>
        <w:pStyle w:val="8"/>
        <w:spacing w:before="0" w:beforeAutospacing="0" w:after="0" w:afterAutospacing="0" w:line="360" w:lineRule="auto"/>
        <w:ind w:firstLine="420"/>
        <w:rPr>
          <w:sz w:val="21"/>
          <w:szCs w:val="21"/>
        </w:rPr>
      </w:pPr>
      <w:r>
        <w:rPr>
          <w:rFonts w:hint="eastAsia"/>
          <w:sz w:val="21"/>
          <w:szCs w:val="21"/>
        </w:rPr>
        <w:t>首席基金经理过钧先生。</w:t>
      </w:r>
    </w:p>
    <w:p>
      <w:pPr>
        <w:pStyle w:val="8"/>
        <w:spacing w:before="0" w:beforeAutospacing="0" w:after="0" w:afterAutospacing="0" w:line="360" w:lineRule="auto"/>
        <w:ind w:firstLine="420"/>
        <w:rPr>
          <w:sz w:val="21"/>
          <w:szCs w:val="21"/>
        </w:rPr>
      </w:pPr>
      <w:r>
        <w:rPr>
          <w:rFonts w:hint="eastAsia"/>
          <w:sz w:val="21"/>
          <w:szCs w:val="21"/>
        </w:rPr>
        <w:t>董事总经理兼权益投研一体化总监、权益投资四部总经理、权益投资四部投资总监、境外投资部总经理曾鹏先生。</w:t>
      </w:r>
    </w:p>
    <w:p>
      <w:pPr>
        <w:pStyle w:val="8"/>
        <w:spacing w:before="0" w:beforeAutospacing="0" w:after="0" w:afterAutospacing="0" w:line="360" w:lineRule="auto"/>
        <w:ind w:firstLine="420"/>
        <w:rPr>
          <w:sz w:val="21"/>
          <w:szCs w:val="21"/>
        </w:rPr>
      </w:pPr>
      <w:r>
        <w:rPr>
          <w:rFonts w:hint="eastAsia"/>
          <w:sz w:val="21"/>
          <w:szCs w:val="21"/>
        </w:rPr>
        <w:t>权益投资三部投资总监蔡滨先生。</w:t>
      </w:r>
    </w:p>
    <w:p>
      <w:pPr>
        <w:pStyle w:val="8"/>
        <w:spacing w:before="0" w:beforeAutospacing="0" w:after="0" w:afterAutospacing="0" w:line="360" w:lineRule="auto"/>
        <w:ind w:firstLine="420"/>
        <w:rPr>
          <w:sz w:val="21"/>
          <w:szCs w:val="21"/>
        </w:rPr>
      </w:pPr>
      <w:r>
        <w:rPr>
          <w:rFonts w:hint="eastAsia"/>
          <w:sz w:val="21"/>
          <w:szCs w:val="21"/>
        </w:rPr>
        <w:t>指数与量化投资部总经理黄瑞庆先生。</w:t>
      </w:r>
    </w:p>
    <w:p>
      <w:pPr>
        <w:pStyle w:val="8"/>
        <w:spacing w:before="0" w:beforeAutospacing="0" w:after="0" w:afterAutospacing="0" w:line="360" w:lineRule="auto"/>
        <w:ind w:firstLine="420"/>
        <w:rPr>
          <w:sz w:val="21"/>
          <w:szCs w:val="21"/>
        </w:rPr>
      </w:pPr>
      <w:r>
        <w:rPr>
          <w:rFonts w:hint="eastAsia"/>
          <w:sz w:val="21"/>
          <w:szCs w:val="21"/>
        </w:rPr>
        <w:t>行业研究部副总经理（主持工作）金晟哲先生。</w:t>
      </w:r>
    </w:p>
    <w:p>
      <w:pPr>
        <w:pStyle w:val="8"/>
        <w:numPr>
          <w:ilvl w:val="0"/>
          <w:numId w:val="1"/>
        </w:numPr>
        <w:spacing w:before="0" w:beforeAutospacing="0" w:after="0" w:afterAutospacing="0" w:line="360" w:lineRule="auto"/>
        <w:ind w:firstLine="420"/>
        <w:rPr>
          <w:sz w:val="21"/>
          <w:szCs w:val="21"/>
        </w:rPr>
      </w:pPr>
      <w:r>
        <w:rPr>
          <w:rFonts w:hint="eastAsia"/>
          <w:sz w:val="21"/>
          <w:szCs w:val="21"/>
        </w:rPr>
        <w:t>上述人员之间均不存在近亲属关系。</w:t>
      </w:r>
    </w:p>
    <w:p>
      <w:pPr>
        <w:pStyle w:val="8"/>
        <w:spacing w:before="0" w:beforeAutospacing="0" w:after="0" w:afterAutospacing="0" w:line="360" w:lineRule="auto"/>
        <w:ind w:firstLine="420"/>
        <w:rPr>
          <w:sz w:val="21"/>
          <w:szCs w:val="21"/>
        </w:rPr>
      </w:pPr>
      <w:bookmarkStart w:id="28" w:name="chapter_level1_5_53_section_4"/>
      <w:bookmarkEnd w:id="28"/>
      <w:r>
        <w:rPr>
          <w:rStyle w:val="13"/>
          <w:rFonts w:hint="eastAsia"/>
          <w:sz w:val="21"/>
          <w:szCs w:val="21"/>
        </w:rPr>
        <w:t>三、基金管理人的职责 </w:t>
      </w:r>
    </w:p>
    <w:p>
      <w:pPr>
        <w:pStyle w:val="8"/>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8"/>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8"/>
        <w:spacing w:before="0" w:beforeAutospacing="0" w:after="0" w:afterAutospacing="0" w:line="360" w:lineRule="auto"/>
        <w:ind w:firstLine="420"/>
        <w:rPr>
          <w:sz w:val="21"/>
          <w:szCs w:val="21"/>
        </w:rPr>
      </w:pPr>
      <w:r>
        <w:rPr>
          <w:rFonts w:hint="eastAsia"/>
          <w:sz w:val="21"/>
          <w:szCs w:val="21"/>
        </w:rPr>
        <w:t xml:space="preserve">（3）对所管理的不同基金财产分别管理、分别记账，进行证券投资； </w:t>
      </w:r>
    </w:p>
    <w:p>
      <w:pPr>
        <w:pStyle w:val="8"/>
        <w:spacing w:before="0" w:beforeAutospacing="0" w:after="0" w:afterAutospacing="0" w:line="360" w:lineRule="auto"/>
        <w:ind w:firstLine="420"/>
        <w:rPr>
          <w:sz w:val="21"/>
          <w:szCs w:val="21"/>
        </w:rPr>
      </w:pPr>
      <w:r>
        <w:rPr>
          <w:rFonts w:hint="eastAsia"/>
          <w:sz w:val="21"/>
          <w:szCs w:val="21"/>
        </w:rPr>
        <w:t xml:space="preserve">（4）按照基金合同的约定确定基金收益分配方案，及时向基金份额持有人分配收益； </w:t>
      </w:r>
    </w:p>
    <w:p>
      <w:pPr>
        <w:pStyle w:val="8"/>
        <w:spacing w:before="0" w:beforeAutospacing="0" w:after="0" w:afterAutospacing="0" w:line="360" w:lineRule="auto"/>
        <w:ind w:firstLine="420"/>
        <w:rPr>
          <w:sz w:val="21"/>
          <w:szCs w:val="21"/>
        </w:rPr>
      </w:pPr>
      <w:r>
        <w:rPr>
          <w:rFonts w:hint="eastAsia"/>
          <w:sz w:val="21"/>
          <w:szCs w:val="21"/>
        </w:rPr>
        <w:t xml:space="preserve">（5）进行基金会计核算并编制基金财务会计报告； </w:t>
      </w:r>
    </w:p>
    <w:p>
      <w:pPr>
        <w:pStyle w:val="8"/>
        <w:spacing w:before="0" w:beforeAutospacing="0" w:after="0" w:afterAutospacing="0" w:line="360" w:lineRule="auto"/>
        <w:ind w:firstLine="420"/>
        <w:rPr>
          <w:sz w:val="21"/>
          <w:szCs w:val="21"/>
        </w:rPr>
      </w:pPr>
      <w:r>
        <w:rPr>
          <w:rFonts w:hint="eastAsia"/>
          <w:sz w:val="21"/>
          <w:szCs w:val="21"/>
        </w:rPr>
        <w:t xml:space="preserve">（6）编制季度报告、中期报告和年度报告； </w:t>
      </w:r>
    </w:p>
    <w:p>
      <w:pPr>
        <w:pStyle w:val="8"/>
        <w:spacing w:before="0" w:beforeAutospacing="0" w:after="0" w:afterAutospacing="0" w:line="360" w:lineRule="auto"/>
        <w:ind w:firstLine="420"/>
        <w:rPr>
          <w:sz w:val="21"/>
          <w:szCs w:val="21"/>
        </w:rPr>
      </w:pPr>
      <w:r>
        <w:rPr>
          <w:rFonts w:hint="eastAsia"/>
          <w:sz w:val="21"/>
          <w:szCs w:val="21"/>
        </w:rPr>
        <w:t xml:space="preserve">（7）计算并公告基金净值信息，确定基金份额申购、赎回价格； </w:t>
      </w:r>
    </w:p>
    <w:p>
      <w:pPr>
        <w:pStyle w:val="8"/>
        <w:spacing w:before="0" w:beforeAutospacing="0" w:after="0" w:afterAutospacing="0" w:line="360" w:lineRule="auto"/>
        <w:ind w:firstLine="420"/>
        <w:rPr>
          <w:sz w:val="21"/>
          <w:szCs w:val="21"/>
        </w:rPr>
      </w:pPr>
      <w:r>
        <w:rPr>
          <w:rFonts w:hint="eastAsia"/>
          <w:sz w:val="21"/>
          <w:szCs w:val="21"/>
        </w:rPr>
        <w:t xml:space="preserve">（8）办理与基金财产管理业务活动有关的信息披露事项； </w:t>
      </w:r>
    </w:p>
    <w:p>
      <w:pPr>
        <w:pStyle w:val="8"/>
        <w:spacing w:before="0" w:beforeAutospacing="0" w:after="0" w:afterAutospacing="0" w:line="360" w:lineRule="auto"/>
        <w:ind w:firstLine="420"/>
        <w:rPr>
          <w:sz w:val="21"/>
          <w:szCs w:val="21"/>
        </w:rPr>
      </w:pPr>
      <w:r>
        <w:rPr>
          <w:rFonts w:hint="eastAsia"/>
          <w:sz w:val="21"/>
          <w:szCs w:val="21"/>
        </w:rPr>
        <w:t xml:space="preserve">（9）按照规定召集基金份额持有人大会；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（10）保存基金财产管理业务活动的记录、账册、报表和其他相关资料； </w:t>
      </w:r>
    </w:p>
    <w:p>
      <w:pPr>
        <w:pStyle w:val="8"/>
        <w:spacing w:before="0" w:beforeAutospacing="0" w:after="0" w:afterAutospacing="0" w:line="360" w:lineRule="auto"/>
        <w:ind w:firstLine="420"/>
        <w:rPr>
          <w:sz w:val="21"/>
          <w:szCs w:val="21"/>
        </w:rPr>
      </w:pPr>
      <w:r>
        <w:rPr>
          <w:rFonts w:hint="eastAsia"/>
          <w:sz w:val="21"/>
          <w:szCs w:val="21"/>
        </w:rPr>
        <w:t xml:space="preserve">（11）以基金管理人名义，代表基金份额持有人利益行使诉讼权利或者实施其他法律行为； </w:t>
      </w:r>
    </w:p>
    <w:p>
      <w:pPr>
        <w:pStyle w:val="8"/>
        <w:spacing w:before="0" w:beforeAutospacing="0" w:after="0" w:afterAutospacing="0" w:line="360" w:lineRule="auto"/>
        <w:ind w:firstLine="420"/>
        <w:rPr>
          <w:sz w:val="21"/>
          <w:szCs w:val="21"/>
        </w:rPr>
      </w:pPr>
      <w:r>
        <w:rPr>
          <w:rFonts w:hint="eastAsia"/>
          <w:sz w:val="21"/>
          <w:szCs w:val="21"/>
        </w:rPr>
        <w:t xml:space="preserve">（12）法律法规及中国证监会规定的和基金合同约定的其他职责。 </w:t>
      </w:r>
    </w:p>
    <w:p>
      <w:pPr>
        <w:pStyle w:val="8"/>
        <w:spacing w:before="0" w:beforeAutospacing="0" w:after="0" w:afterAutospacing="0" w:line="360" w:lineRule="auto"/>
        <w:ind w:firstLine="420"/>
        <w:rPr>
          <w:sz w:val="21"/>
          <w:szCs w:val="21"/>
        </w:rPr>
      </w:pPr>
      <w:r>
        <w:rPr>
          <w:rStyle w:val="13"/>
          <w:rFonts w:hint="eastAsia"/>
          <w:sz w:val="21"/>
          <w:szCs w:val="21"/>
        </w:rPr>
        <w:t>四、基金管理人关于遵守法律法规的承诺</w:t>
      </w:r>
    </w:p>
    <w:p>
      <w:pPr>
        <w:pStyle w:val="8"/>
        <w:spacing w:before="0" w:beforeAutospacing="0" w:after="0" w:afterAutospacing="0" w:line="360" w:lineRule="auto"/>
        <w:ind w:firstLine="420"/>
        <w:rPr>
          <w:sz w:val="21"/>
          <w:szCs w:val="21"/>
        </w:rPr>
      </w:pPr>
      <w:r>
        <w:rPr>
          <w:rFonts w:hint="eastAsia"/>
          <w:sz w:val="21"/>
          <w:szCs w:val="21"/>
        </w:rPr>
        <w:t xml:space="preserve">1、基金管理人承诺遵守《基金法》及其他相关法律法规的规定，建立健全的内部控制制度，采取有效措施，防止违反《基金法》及其他相关法律法规行为的发生。 </w:t>
      </w:r>
    </w:p>
    <w:p>
      <w:pPr>
        <w:pStyle w:val="8"/>
        <w:spacing w:before="0" w:beforeAutospacing="0" w:after="0" w:afterAutospacing="0" w:line="360" w:lineRule="auto"/>
        <w:ind w:firstLine="420"/>
        <w:rPr>
          <w:sz w:val="21"/>
          <w:szCs w:val="21"/>
        </w:rPr>
      </w:pPr>
      <w:r>
        <w:rPr>
          <w:rFonts w:hint="eastAsia"/>
          <w:sz w:val="21"/>
          <w:szCs w:val="21"/>
        </w:rPr>
        <w:t xml:space="preserve">2、基金管理人承诺不从事下列行为： </w:t>
      </w:r>
    </w:p>
    <w:p>
      <w:pPr>
        <w:pStyle w:val="8"/>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8"/>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8"/>
        <w:spacing w:before="0" w:beforeAutospacing="0" w:after="0" w:afterAutospacing="0" w:line="360" w:lineRule="auto"/>
        <w:ind w:firstLine="420"/>
        <w:rPr>
          <w:sz w:val="21"/>
          <w:szCs w:val="21"/>
        </w:rPr>
      </w:pPr>
      <w:r>
        <w:rPr>
          <w:rFonts w:hint="eastAsia"/>
          <w:sz w:val="21"/>
          <w:szCs w:val="21"/>
        </w:rPr>
        <w:t xml:space="preserve">（3）利用基金财产或者职务之便为基金份额持有人以外的人牟取利益； </w:t>
      </w:r>
    </w:p>
    <w:p>
      <w:pPr>
        <w:pStyle w:val="8"/>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8"/>
        <w:spacing w:before="0" w:beforeAutospacing="0" w:after="0" w:afterAutospacing="0" w:line="360" w:lineRule="auto"/>
        <w:ind w:firstLine="420"/>
        <w:rPr>
          <w:sz w:val="21"/>
          <w:szCs w:val="21"/>
        </w:rPr>
      </w:pPr>
      <w:r>
        <w:rPr>
          <w:rFonts w:hint="eastAsia"/>
          <w:sz w:val="21"/>
          <w:szCs w:val="21"/>
        </w:rPr>
        <w:t xml:space="preserve">（5）侵占、挪用基金财产； </w:t>
      </w:r>
    </w:p>
    <w:p>
      <w:pPr>
        <w:pStyle w:val="8"/>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pPr>
        <w:pStyle w:val="8"/>
        <w:spacing w:before="0" w:beforeAutospacing="0" w:after="0" w:afterAutospacing="0" w:line="360" w:lineRule="auto"/>
        <w:ind w:firstLine="420"/>
        <w:rPr>
          <w:sz w:val="21"/>
          <w:szCs w:val="21"/>
        </w:rPr>
      </w:pPr>
      <w:r>
        <w:rPr>
          <w:rFonts w:hint="eastAsia"/>
          <w:sz w:val="21"/>
          <w:szCs w:val="21"/>
        </w:rPr>
        <w:t xml:space="preserve">（7）玩忽职守，不按照规定履行职责； </w:t>
      </w:r>
    </w:p>
    <w:p>
      <w:pPr>
        <w:pStyle w:val="8"/>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pPr>
        <w:pStyle w:val="8"/>
        <w:spacing w:before="0" w:beforeAutospacing="0" w:after="0" w:afterAutospacing="0" w:line="360" w:lineRule="auto"/>
        <w:ind w:firstLine="420"/>
        <w:rPr>
          <w:sz w:val="21"/>
          <w:szCs w:val="21"/>
        </w:rPr>
      </w:pPr>
      <w:r>
        <w:rPr>
          <w:rStyle w:val="13"/>
          <w:rFonts w:hint="eastAsia"/>
          <w:sz w:val="21"/>
          <w:szCs w:val="21"/>
        </w:rPr>
        <w:t>五、基金管理人关于禁止性行为的承诺</w:t>
      </w:r>
    </w:p>
    <w:p>
      <w:pPr>
        <w:pStyle w:val="8"/>
        <w:spacing w:before="0" w:beforeAutospacing="0" w:after="0" w:afterAutospacing="0" w:line="360" w:lineRule="auto"/>
        <w:ind w:firstLine="420"/>
        <w:rPr>
          <w:sz w:val="21"/>
          <w:szCs w:val="21"/>
        </w:rPr>
      </w:pPr>
      <w:r>
        <w:rPr>
          <w:rFonts w:hint="eastAsia"/>
          <w:sz w:val="21"/>
          <w:szCs w:val="21"/>
        </w:rPr>
        <w:t xml:space="preserve">为维护基金份额持有人的合法权益，本基金禁止从事下列行为： </w:t>
      </w:r>
    </w:p>
    <w:p>
      <w:pPr>
        <w:pStyle w:val="8"/>
        <w:spacing w:before="0" w:beforeAutospacing="0" w:after="0" w:afterAutospacing="0" w:line="360" w:lineRule="auto"/>
        <w:ind w:firstLine="420"/>
        <w:rPr>
          <w:sz w:val="21"/>
          <w:szCs w:val="21"/>
        </w:rPr>
      </w:pPr>
      <w:r>
        <w:rPr>
          <w:rFonts w:hint="eastAsia"/>
          <w:sz w:val="21"/>
          <w:szCs w:val="21"/>
        </w:rPr>
        <w:t xml:space="preserve">1、承销证券； </w:t>
      </w:r>
    </w:p>
    <w:p>
      <w:pPr>
        <w:pStyle w:val="8"/>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8"/>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8"/>
        <w:spacing w:before="0" w:beforeAutospacing="0" w:after="0" w:afterAutospacing="0" w:line="360" w:lineRule="auto"/>
        <w:ind w:firstLine="420"/>
        <w:rPr>
          <w:sz w:val="21"/>
          <w:szCs w:val="21"/>
        </w:rPr>
      </w:pPr>
      <w:r>
        <w:rPr>
          <w:rFonts w:hint="eastAsia"/>
          <w:sz w:val="21"/>
          <w:szCs w:val="21"/>
        </w:rPr>
        <w:t xml:space="preserve">4、向基金管理人、基金托管人出资； </w:t>
      </w:r>
    </w:p>
    <w:p>
      <w:pPr>
        <w:pStyle w:val="8"/>
        <w:spacing w:before="0" w:beforeAutospacing="0" w:after="0" w:afterAutospacing="0" w:line="360" w:lineRule="auto"/>
        <w:ind w:firstLine="420"/>
        <w:rPr>
          <w:sz w:val="21"/>
          <w:szCs w:val="21"/>
        </w:rPr>
      </w:pPr>
      <w:r>
        <w:rPr>
          <w:rFonts w:hint="eastAsia"/>
          <w:sz w:val="21"/>
          <w:szCs w:val="21"/>
        </w:rPr>
        <w:t xml:space="preserve">5、从事内幕交易、操纵证券交易价格及其他不正当的证券交易活动； </w:t>
      </w:r>
    </w:p>
    <w:p>
      <w:pPr>
        <w:pStyle w:val="8"/>
        <w:spacing w:before="0" w:beforeAutospacing="0" w:after="0" w:afterAutospacing="0" w:line="360" w:lineRule="auto"/>
        <w:ind w:firstLine="420"/>
        <w:rPr>
          <w:sz w:val="21"/>
          <w:szCs w:val="21"/>
        </w:rPr>
      </w:pPr>
      <w:r>
        <w:rPr>
          <w:rFonts w:hint="eastAsia"/>
          <w:sz w:val="21"/>
          <w:szCs w:val="21"/>
        </w:rPr>
        <w:t xml:space="preserve">6、法律、行政法规和中国证监会规定禁止的其他活动。 </w:t>
      </w:r>
    </w:p>
    <w:p>
      <w:pPr>
        <w:pStyle w:val="8"/>
        <w:spacing w:before="0" w:beforeAutospacing="0" w:after="0" w:afterAutospacing="0" w:line="360" w:lineRule="auto"/>
        <w:ind w:firstLine="420"/>
        <w:rPr>
          <w:sz w:val="21"/>
          <w:szCs w:val="21"/>
        </w:rPr>
      </w:pPr>
      <w:r>
        <w:rPr>
          <w:rFonts w:hint="eastAsia"/>
          <w:sz w:val="21"/>
          <w:szCs w:val="21"/>
        </w:rPr>
        <w:t xml:space="preserve">法律法规或监管部门取消上述限制，如适用于本基金，则本基金投资不再受相关限制。 </w:t>
      </w:r>
    </w:p>
    <w:p>
      <w:pPr>
        <w:pStyle w:val="8"/>
        <w:spacing w:before="0" w:beforeAutospacing="0" w:after="0" w:afterAutospacing="0" w:line="360" w:lineRule="auto"/>
        <w:ind w:firstLine="420"/>
        <w:rPr>
          <w:sz w:val="21"/>
          <w:szCs w:val="21"/>
        </w:rPr>
      </w:pPr>
      <w:r>
        <w:rPr>
          <w:rStyle w:val="13"/>
          <w:rFonts w:hint="eastAsia"/>
          <w:sz w:val="21"/>
          <w:szCs w:val="21"/>
        </w:rPr>
        <w:t>六、基金经理承诺 </w:t>
      </w:r>
    </w:p>
    <w:p>
      <w:pPr>
        <w:pStyle w:val="8"/>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1、依照有关法律、法规和基金合同的规定，本着勤勉尽责的原则为基金份额持有人谋取最大利益； </w:t>
      </w:r>
    </w:p>
    <w:p>
      <w:pPr>
        <w:pStyle w:val="8"/>
        <w:spacing w:before="0" w:beforeAutospacing="0" w:after="0" w:afterAutospacing="0" w:line="360" w:lineRule="auto"/>
        <w:ind w:firstLine="420"/>
        <w:rPr>
          <w:sz w:val="21"/>
          <w:szCs w:val="21"/>
        </w:rPr>
      </w:pPr>
      <w:r>
        <w:rPr>
          <w:rFonts w:hint="eastAsia"/>
          <w:sz w:val="21"/>
          <w:szCs w:val="21"/>
        </w:rPr>
        <w:t xml:space="preserve">2、不能利用职务之便为自己、受雇人或基金份额持有人以外的人谋取利益； </w:t>
      </w:r>
    </w:p>
    <w:p>
      <w:pPr>
        <w:pStyle w:val="8"/>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pPr>
        <w:pStyle w:val="8"/>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8"/>
        <w:spacing w:before="0" w:beforeAutospacing="0" w:after="0" w:afterAutospacing="0" w:line="360" w:lineRule="auto"/>
        <w:ind w:firstLine="420"/>
        <w:rPr>
          <w:sz w:val="21"/>
          <w:szCs w:val="21"/>
        </w:rPr>
      </w:pPr>
      <w:r>
        <w:rPr>
          <w:rStyle w:val="13"/>
          <w:rFonts w:hint="eastAsia"/>
          <w:sz w:val="21"/>
          <w:szCs w:val="21"/>
        </w:rPr>
        <w:t>七、基金管理人的内部控制制度</w:t>
      </w:r>
    </w:p>
    <w:p>
      <w:pPr>
        <w:pStyle w:val="8"/>
        <w:spacing w:before="0" w:beforeAutospacing="0" w:after="0" w:afterAutospacing="0" w:line="360" w:lineRule="auto"/>
        <w:ind w:firstLine="420"/>
        <w:rPr>
          <w:sz w:val="21"/>
          <w:szCs w:val="21"/>
        </w:rPr>
      </w:pPr>
      <w:r>
        <w:rPr>
          <w:rFonts w:hint="eastAsia"/>
          <w:sz w:val="21"/>
          <w:szCs w:val="21"/>
        </w:rPr>
        <w:t xml:space="preserve">1、内部控制制度概述 </w:t>
      </w:r>
    </w:p>
    <w:p>
      <w:pPr>
        <w:pStyle w:val="8"/>
        <w:spacing w:before="0" w:beforeAutospacing="0" w:after="0" w:afterAutospacing="0" w:line="360" w:lineRule="auto"/>
        <w:ind w:firstLine="420"/>
        <w:rPr>
          <w:sz w:val="21"/>
          <w:szCs w:val="21"/>
        </w:rPr>
      </w:pPr>
      <w:r>
        <w:rPr>
          <w:rFonts w:hint="eastAsia"/>
          <w:sz w:val="21"/>
          <w:szCs w:val="21"/>
        </w:rPr>
        <w:t xml:space="preserve">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 </w:t>
      </w:r>
    </w:p>
    <w:p>
      <w:pPr>
        <w:pStyle w:val="8"/>
        <w:spacing w:before="0" w:beforeAutospacing="0" w:after="0" w:afterAutospacing="0" w:line="360" w:lineRule="auto"/>
        <w:ind w:firstLine="420"/>
        <w:rPr>
          <w:sz w:val="21"/>
          <w:szCs w:val="21"/>
        </w:rPr>
      </w:pPr>
      <w:r>
        <w:rPr>
          <w:rFonts w:hint="eastAsia"/>
          <w:sz w:val="21"/>
          <w:szCs w:val="21"/>
        </w:rPr>
        <w:t xml:space="preserve">内部控制制度是指公司为实现内部控制目标而建立的一系列组织机制、管理方法、操作程序与控制措施的总称。内部控制制度由内部控制大纲、基本管理制度、部门业务规章等组成。 </w:t>
      </w:r>
    </w:p>
    <w:p>
      <w:pPr>
        <w:pStyle w:val="8"/>
        <w:spacing w:before="0" w:beforeAutospacing="0" w:after="0" w:afterAutospacing="0" w:line="360" w:lineRule="auto"/>
        <w:ind w:firstLine="420"/>
        <w:rPr>
          <w:sz w:val="21"/>
          <w:szCs w:val="21"/>
        </w:rPr>
      </w:pPr>
      <w:r>
        <w:rPr>
          <w:rFonts w:hint="eastAsia"/>
          <w:sz w:val="21"/>
          <w:szCs w:val="21"/>
        </w:rPr>
        <w:t xml:space="preserve">公司内部控制大纲是对公司章程规定的内控原则的细化和展开，是对各项基本管理制度的总揽和指导，内部控制大纲明确了内控目标、内控原则、控制环境、内控措施等内容。 </w:t>
      </w:r>
    </w:p>
    <w:p>
      <w:pPr>
        <w:pStyle w:val="8"/>
        <w:spacing w:before="0" w:beforeAutospacing="0" w:after="0" w:afterAutospacing="0" w:line="360" w:lineRule="auto"/>
        <w:ind w:firstLine="420"/>
        <w:rPr>
          <w:sz w:val="21"/>
          <w:szCs w:val="21"/>
        </w:rPr>
      </w:pPr>
      <w:r>
        <w:rPr>
          <w:rFonts w:hint="eastAsia"/>
          <w:sz w:val="21"/>
          <w:szCs w:val="21"/>
        </w:rPr>
        <w:t xml:space="preserve">基本管理制度包括内部会计控制制度、风险控制制度、投资管理制度、监察稽核制度、基金会计制度、信息披露制度、信息技术管理制度、资料档案管理制度、业绩评估考核制度和紧急应变制度等。 </w:t>
      </w:r>
    </w:p>
    <w:p>
      <w:pPr>
        <w:pStyle w:val="8"/>
        <w:spacing w:before="0" w:beforeAutospacing="0" w:after="0" w:afterAutospacing="0" w:line="360" w:lineRule="auto"/>
        <w:ind w:firstLine="420"/>
        <w:rPr>
          <w:sz w:val="21"/>
          <w:szCs w:val="21"/>
        </w:rPr>
      </w:pPr>
      <w:r>
        <w:rPr>
          <w:rFonts w:hint="eastAsia"/>
          <w:sz w:val="21"/>
          <w:szCs w:val="21"/>
        </w:rPr>
        <w:t xml:space="preserve">部门业务规章是在基本管理制度的基础上，对各部门的主要职责、岗位设置、岗位责任、操作守则等的具体说明。 </w:t>
      </w:r>
    </w:p>
    <w:p>
      <w:pPr>
        <w:pStyle w:val="8"/>
        <w:spacing w:before="0" w:beforeAutospacing="0" w:after="0" w:afterAutospacing="0" w:line="360" w:lineRule="auto"/>
        <w:ind w:firstLine="420"/>
        <w:rPr>
          <w:sz w:val="21"/>
          <w:szCs w:val="21"/>
        </w:rPr>
      </w:pPr>
      <w:r>
        <w:rPr>
          <w:rFonts w:hint="eastAsia"/>
          <w:sz w:val="21"/>
          <w:szCs w:val="21"/>
        </w:rPr>
        <w:t xml:space="preserve">2、内部控制原则 </w:t>
      </w:r>
    </w:p>
    <w:p>
      <w:pPr>
        <w:pStyle w:val="8"/>
        <w:spacing w:before="0" w:beforeAutospacing="0" w:after="0" w:afterAutospacing="0" w:line="360" w:lineRule="auto"/>
        <w:ind w:firstLine="420"/>
        <w:rPr>
          <w:sz w:val="21"/>
          <w:szCs w:val="21"/>
        </w:rPr>
      </w:pPr>
      <w:r>
        <w:rPr>
          <w:rFonts w:hint="eastAsia"/>
          <w:sz w:val="21"/>
          <w:szCs w:val="21"/>
        </w:rPr>
        <w:t xml:space="preserve">健全性原则。内部控制机制必须覆盖公司的各项业务、各个部门或机构和各级人员，并涵盖到决策、执行、监督、反馈等各个运作环节。 </w:t>
      </w:r>
    </w:p>
    <w:p>
      <w:pPr>
        <w:pStyle w:val="8"/>
        <w:spacing w:before="0" w:beforeAutospacing="0" w:after="0" w:afterAutospacing="0" w:line="360" w:lineRule="auto"/>
        <w:ind w:firstLine="420"/>
        <w:rPr>
          <w:sz w:val="21"/>
          <w:szCs w:val="21"/>
        </w:rPr>
      </w:pPr>
      <w:r>
        <w:rPr>
          <w:rFonts w:hint="eastAsia"/>
          <w:sz w:val="21"/>
          <w:szCs w:val="21"/>
        </w:rPr>
        <w:t xml:space="preserve">有效性原则。通过科学的内控手段和方法，建立合理的内控程序，维护内控制度的有效执行。 </w:t>
      </w:r>
    </w:p>
    <w:p>
      <w:pPr>
        <w:pStyle w:val="8"/>
        <w:spacing w:before="0" w:beforeAutospacing="0" w:after="0" w:afterAutospacing="0" w:line="360" w:lineRule="auto"/>
        <w:ind w:firstLine="420"/>
        <w:rPr>
          <w:sz w:val="21"/>
          <w:szCs w:val="21"/>
        </w:rPr>
      </w:pPr>
      <w:r>
        <w:rPr>
          <w:rFonts w:hint="eastAsia"/>
          <w:sz w:val="21"/>
          <w:szCs w:val="21"/>
        </w:rPr>
        <w:t xml:space="preserve">独立性原则。公司各机构、部门和岗位在职能上应当保持相对独立，公司基金资产、自有资产、其他资产的运作应当分离。 </w:t>
      </w:r>
    </w:p>
    <w:p>
      <w:pPr>
        <w:pStyle w:val="8"/>
        <w:spacing w:before="0" w:beforeAutospacing="0" w:after="0" w:afterAutospacing="0" w:line="360" w:lineRule="auto"/>
        <w:ind w:firstLine="420"/>
        <w:rPr>
          <w:sz w:val="21"/>
          <w:szCs w:val="21"/>
        </w:rPr>
      </w:pPr>
      <w:r>
        <w:rPr>
          <w:rFonts w:hint="eastAsia"/>
          <w:sz w:val="21"/>
          <w:szCs w:val="21"/>
        </w:rPr>
        <w:t xml:space="preserve">相互制约原则。公司内部部门和岗位的设置必须权责分明、相互制衡，并通过切实可行的措施来实行。 </w:t>
      </w:r>
    </w:p>
    <w:p>
      <w:pPr>
        <w:pStyle w:val="8"/>
        <w:spacing w:before="0" w:beforeAutospacing="0" w:after="0" w:afterAutospacing="0" w:line="360" w:lineRule="auto"/>
        <w:ind w:firstLine="420"/>
        <w:rPr>
          <w:sz w:val="21"/>
          <w:szCs w:val="21"/>
        </w:rPr>
      </w:pPr>
      <w:r>
        <w:rPr>
          <w:rFonts w:hint="eastAsia"/>
          <w:sz w:val="21"/>
          <w:szCs w:val="21"/>
        </w:rPr>
        <w:t xml:space="preserve">成本效益原则。公司应充分发挥各机构、各部门及各级员工的工作积极性，运用科学化的方法尽量降低经营运作成本，提高经济效益，以合理的控制成本达到最佳的内部控制效果。 </w:t>
      </w:r>
    </w:p>
    <w:p>
      <w:pPr>
        <w:pStyle w:val="8"/>
        <w:spacing w:before="0" w:beforeAutospacing="0" w:after="0" w:afterAutospacing="0" w:line="360" w:lineRule="auto"/>
        <w:ind w:firstLine="420"/>
        <w:rPr>
          <w:sz w:val="21"/>
          <w:szCs w:val="21"/>
        </w:rPr>
      </w:pPr>
      <w:r>
        <w:rPr>
          <w:rFonts w:hint="eastAsia"/>
          <w:sz w:val="21"/>
          <w:szCs w:val="21"/>
        </w:rPr>
        <w:t xml:space="preserve">3、主要内部控制制度 </w:t>
      </w:r>
    </w:p>
    <w:p>
      <w:pPr>
        <w:pStyle w:val="8"/>
        <w:spacing w:before="0" w:beforeAutospacing="0" w:after="0" w:afterAutospacing="0" w:line="360" w:lineRule="auto"/>
        <w:ind w:firstLine="420"/>
        <w:rPr>
          <w:sz w:val="21"/>
          <w:szCs w:val="21"/>
        </w:rPr>
      </w:pPr>
      <w:r>
        <w:rPr>
          <w:rFonts w:hint="eastAsia"/>
          <w:sz w:val="21"/>
          <w:szCs w:val="21"/>
        </w:rPr>
        <w:t xml:space="preserve">（1）内部会计控制制度 </w:t>
      </w:r>
    </w:p>
    <w:p>
      <w:pPr>
        <w:pStyle w:val="8"/>
        <w:spacing w:before="0" w:beforeAutospacing="0" w:after="0" w:afterAutospacing="0" w:line="360" w:lineRule="auto"/>
        <w:ind w:firstLine="420"/>
        <w:rPr>
          <w:sz w:val="21"/>
          <w:szCs w:val="21"/>
        </w:rPr>
      </w:pPr>
      <w:r>
        <w:rPr>
          <w:rFonts w:hint="eastAsia"/>
          <w:sz w:val="21"/>
          <w:szCs w:val="21"/>
        </w:rPr>
        <w:t xml:space="preserve">公司依据《中华人民共和国会计法》等国家有关法律、法规制订了基金会计制度、公司财务会计制度、会计工作操作流程和会计岗位职责，并针对各个风险控制点建立严密的会计系统控制。 </w:t>
      </w:r>
    </w:p>
    <w:p>
      <w:pPr>
        <w:pStyle w:val="8"/>
        <w:spacing w:before="0" w:beforeAutospacing="0" w:after="0" w:afterAutospacing="0" w:line="360" w:lineRule="auto"/>
        <w:ind w:firstLine="420"/>
        <w:rPr>
          <w:sz w:val="21"/>
          <w:szCs w:val="21"/>
        </w:rPr>
      </w:pPr>
      <w:r>
        <w:rPr>
          <w:rFonts w:hint="eastAsia"/>
          <w:sz w:val="21"/>
          <w:szCs w:val="21"/>
        </w:rPr>
        <w:t xml:space="preserve">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 </w:t>
      </w:r>
    </w:p>
    <w:p>
      <w:pPr>
        <w:pStyle w:val="8"/>
        <w:spacing w:before="0" w:beforeAutospacing="0" w:after="0" w:afterAutospacing="0" w:line="360" w:lineRule="auto"/>
        <w:ind w:firstLine="420"/>
        <w:rPr>
          <w:sz w:val="21"/>
          <w:szCs w:val="21"/>
        </w:rPr>
      </w:pPr>
      <w:r>
        <w:rPr>
          <w:rFonts w:hint="eastAsia"/>
          <w:sz w:val="21"/>
          <w:szCs w:val="21"/>
        </w:rPr>
        <w:t xml:space="preserve">（2）风险管理控制制度 </w:t>
      </w:r>
    </w:p>
    <w:p>
      <w:pPr>
        <w:pStyle w:val="8"/>
        <w:spacing w:before="0" w:beforeAutospacing="0" w:after="0" w:afterAutospacing="0" w:line="360" w:lineRule="auto"/>
        <w:ind w:firstLine="420"/>
        <w:rPr>
          <w:sz w:val="21"/>
          <w:szCs w:val="21"/>
        </w:rPr>
      </w:pPr>
      <w:r>
        <w:rPr>
          <w:rFonts w:hint="eastAsia"/>
          <w:sz w:val="21"/>
          <w:szCs w:val="21"/>
        </w:rPr>
        <w:t xml:space="preserve">风险控制制度由风险控制委员会组织各部门制定，风险控制制度由风险控制的机构设置、风险控制的程序、风险控制的具体制度、风险控制制度执行情况的监督等部分组成。 </w:t>
      </w:r>
    </w:p>
    <w:p>
      <w:pPr>
        <w:pStyle w:val="8"/>
        <w:spacing w:before="0" w:beforeAutospacing="0" w:after="0" w:afterAutospacing="0" w:line="360" w:lineRule="auto"/>
        <w:ind w:firstLine="420"/>
        <w:rPr>
          <w:sz w:val="21"/>
          <w:szCs w:val="21"/>
        </w:rPr>
      </w:pPr>
      <w:r>
        <w:rPr>
          <w:rFonts w:hint="eastAsia"/>
          <w:sz w:val="21"/>
          <w:szCs w:val="21"/>
        </w:rPr>
        <w:t xml:space="preserve">风险控制的具体制度主要包括投资风险管理制度、交易风险管理制度、财务风险控制制度、信息技术系统风险控制制度以及岗位分离制度、防火墙制度、反馈制度、保密制度等程序性风险管理制度。 </w:t>
      </w:r>
    </w:p>
    <w:p>
      <w:pPr>
        <w:pStyle w:val="8"/>
        <w:spacing w:before="0" w:beforeAutospacing="0" w:after="0" w:afterAutospacing="0" w:line="360" w:lineRule="auto"/>
        <w:ind w:firstLine="420"/>
        <w:rPr>
          <w:sz w:val="21"/>
          <w:szCs w:val="21"/>
        </w:rPr>
      </w:pPr>
      <w:r>
        <w:rPr>
          <w:rFonts w:hint="eastAsia"/>
          <w:sz w:val="21"/>
          <w:szCs w:val="21"/>
        </w:rPr>
        <w:t xml:space="preserve">（3）监察稽核制度 </w:t>
      </w:r>
    </w:p>
    <w:p>
      <w:pPr>
        <w:pStyle w:val="8"/>
        <w:spacing w:before="0" w:beforeAutospacing="0" w:after="0" w:afterAutospacing="0" w:line="360" w:lineRule="auto"/>
        <w:ind w:firstLine="420"/>
        <w:rPr>
          <w:sz w:val="21"/>
          <w:szCs w:val="21"/>
        </w:rPr>
      </w:pPr>
      <w:r>
        <w:rPr>
          <w:rFonts w:hint="eastAsia"/>
          <w:sz w:val="21"/>
          <w:szCs w:val="21"/>
        </w:rPr>
        <w:t xml:space="preserve">公司设立督察长，负责监督检查基金和公司运作的合法合规情况及公司内部风险控制情况。督察长由总经理提名，董事会聘任，并经全体独立董事同意。 </w:t>
      </w:r>
    </w:p>
    <w:p>
      <w:pPr>
        <w:pStyle w:val="8"/>
        <w:spacing w:before="0" w:beforeAutospacing="0" w:after="0" w:afterAutospacing="0" w:line="360" w:lineRule="auto"/>
        <w:ind w:firstLine="420"/>
        <w:rPr>
          <w:sz w:val="21"/>
          <w:szCs w:val="21"/>
        </w:rPr>
      </w:pPr>
      <w:r>
        <w:rPr>
          <w:rFonts w:hint="eastAsia"/>
          <w:sz w:val="21"/>
          <w:szCs w:val="21"/>
        </w:rPr>
        <w:t xml:space="preserve">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 </w:t>
      </w:r>
    </w:p>
    <w:p>
      <w:pPr>
        <w:pStyle w:val="8"/>
        <w:spacing w:before="0" w:beforeAutospacing="0" w:after="0" w:afterAutospacing="0" w:line="360" w:lineRule="auto"/>
        <w:ind w:firstLine="420"/>
        <w:rPr>
          <w:sz w:val="21"/>
          <w:szCs w:val="21"/>
        </w:rPr>
      </w:pPr>
      <w:r>
        <w:rPr>
          <w:rFonts w:hint="eastAsia"/>
          <w:sz w:val="21"/>
          <w:szCs w:val="21"/>
        </w:rPr>
        <w:t xml:space="preserve">公司设立监察稽核部门，具体执行监察稽核工作。公司配备了充足合格的监察稽核人员，明确规定了监察稽核部门及内部各岗位的职责和工作流程。 </w:t>
      </w:r>
    </w:p>
    <w:p>
      <w:pPr>
        <w:pStyle w:val="8"/>
        <w:spacing w:before="0" w:beforeAutospacing="0" w:after="0" w:afterAutospacing="0" w:line="360" w:lineRule="auto"/>
        <w:ind w:firstLine="420"/>
        <w:rPr>
          <w:sz w:val="21"/>
          <w:szCs w:val="21"/>
        </w:rPr>
      </w:pPr>
      <w:r>
        <w:rPr>
          <w:rFonts w:hint="eastAsia"/>
          <w:sz w:val="21"/>
          <w:szCs w:val="21"/>
        </w:rPr>
        <w:t>监察稽核制度包括内部稽核管理办法、内部稽核工作准则等。通过这些制度的建立，检查公司各业务部门和人员遵守有关法律、法规和规章的情况；检查公司各业务部门和人员执</w:t>
      </w:r>
      <w:bookmarkStart w:id="29" w:name="chapter_level1_5_53_section_4_end"/>
      <w:bookmarkEnd w:id="29"/>
      <w:r>
        <w:rPr>
          <w:rFonts w:hint="eastAsia"/>
          <w:sz w:val="21"/>
          <w:szCs w:val="21"/>
        </w:rPr>
        <w:t xml:space="preserve">行公司内部控制制度、各项管理制度和业务规章的情况。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0" w:name="chapter_level1_6_55"/>
      <w:bookmarkStart w:id="31" w:name="_Toc82437026"/>
      <w:bookmarkStart w:id="32" w:name="_Toc26177"/>
      <w:r>
        <w:rPr>
          <w:rFonts w:hint="eastAsia" w:ascii="宋体" w:hAnsi="宋体" w:eastAsia="宋体"/>
          <w:sz w:val="30"/>
        </w:rPr>
        <w:t>第四部分  基金托管人</w:t>
      </w:r>
      <w:bookmarkEnd w:id="30"/>
      <w:bookmarkEnd w:id="31"/>
      <w:bookmarkEnd w:id="32"/>
    </w:p>
    <w:p>
      <w:pPr>
        <w:pStyle w:val="8"/>
        <w:spacing w:before="0" w:beforeAutospacing="0" w:after="0" w:afterAutospacing="0" w:line="360" w:lineRule="auto"/>
        <w:ind w:firstLine="420"/>
        <w:rPr>
          <w:b/>
          <w:sz w:val="21"/>
          <w:szCs w:val="21"/>
        </w:rPr>
      </w:pPr>
      <w:bookmarkStart w:id="33" w:name="chapter_level1_6_55_section_1"/>
      <w:bookmarkEnd w:id="33"/>
      <w:bookmarkStart w:id="34" w:name="field_0_trustcompanyinfo_1_start"/>
      <w:bookmarkEnd w:id="34"/>
      <w:r>
        <w:rPr>
          <w:rFonts w:hint="eastAsia"/>
          <w:b/>
          <w:sz w:val="21"/>
          <w:szCs w:val="21"/>
        </w:rPr>
        <w:t xml:space="preserve">一、基金托管人基本情况 </w:t>
      </w:r>
    </w:p>
    <w:p>
      <w:pPr>
        <w:pStyle w:val="8"/>
        <w:spacing w:before="0" w:beforeAutospacing="0" w:after="0" w:afterAutospacing="0" w:line="360" w:lineRule="auto"/>
        <w:ind w:firstLine="420"/>
        <w:rPr>
          <w:bCs/>
          <w:sz w:val="21"/>
          <w:szCs w:val="21"/>
        </w:rPr>
      </w:pPr>
      <w:r>
        <w:rPr>
          <w:rFonts w:hint="eastAsia"/>
          <w:bCs/>
          <w:sz w:val="21"/>
          <w:szCs w:val="21"/>
        </w:rPr>
        <w:t>名称：中国工商银行股份有限公司</w:t>
      </w:r>
    </w:p>
    <w:p>
      <w:pPr>
        <w:pStyle w:val="8"/>
        <w:spacing w:before="0" w:beforeAutospacing="0" w:after="0" w:afterAutospacing="0" w:line="360" w:lineRule="auto"/>
        <w:ind w:firstLine="420"/>
        <w:rPr>
          <w:bCs/>
          <w:sz w:val="21"/>
          <w:szCs w:val="21"/>
        </w:rPr>
      </w:pPr>
      <w:r>
        <w:rPr>
          <w:rFonts w:hint="eastAsia"/>
          <w:bCs/>
          <w:sz w:val="21"/>
          <w:szCs w:val="21"/>
        </w:rPr>
        <w:t>注册地址：北京市西城区复兴门内大街55号</w:t>
      </w:r>
    </w:p>
    <w:p>
      <w:pPr>
        <w:pStyle w:val="8"/>
        <w:spacing w:before="0" w:beforeAutospacing="0" w:after="0" w:afterAutospacing="0" w:line="360" w:lineRule="auto"/>
        <w:ind w:firstLine="420"/>
        <w:rPr>
          <w:bCs/>
          <w:sz w:val="21"/>
          <w:szCs w:val="21"/>
        </w:rPr>
      </w:pPr>
      <w:r>
        <w:rPr>
          <w:rFonts w:hint="eastAsia"/>
          <w:bCs/>
          <w:sz w:val="21"/>
          <w:szCs w:val="21"/>
        </w:rPr>
        <w:t>成立时间：1984年1月1日</w:t>
      </w:r>
    </w:p>
    <w:p>
      <w:pPr>
        <w:pStyle w:val="8"/>
        <w:spacing w:before="0" w:beforeAutospacing="0" w:after="0" w:afterAutospacing="0" w:line="360" w:lineRule="auto"/>
        <w:ind w:firstLine="420"/>
        <w:rPr>
          <w:bCs/>
          <w:sz w:val="21"/>
          <w:szCs w:val="21"/>
        </w:rPr>
      </w:pPr>
      <w:r>
        <w:rPr>
          <w:rFonts w:hint="eastAsia"/>
          <w:bCs/>
          <w:sz w:val="21"/>
          <w:szCs w:val="21"/>
        </w:rPr>
        <w:t>法定代表人： 陈四清</w:t>
      </w:r>
    </w:p>
    <w:p>
      <w:pPr>
        <w:pStyle w:val="8"/>
        <w:spacing w:before="0" w:beforeAutospacing="0" w:after="0" w:afterAutospacing="0" w:line="360" w:lineRule="auto"/>
        <w:ind w:firstLine="420"/>
        <w:rPr>
          <w:bCs/>
          <w:sz w:val="21"/>
          <w:szCs w:val="21"/>
        </w:rPr>
      </w:pPr>
      <w:r>
        <w:rPr>
          <w:rFonts w:hint="eastAsia"/>
          <w:bCs/>
          <w:sz w:val="21"/>
          <w:szCs w:val="21"/>
        </w:rPr>
        <w:t>注册资本：人民币35,640,625.7089万元</w:t>
      </w:r>
    </w:p>
    <w:p>
      <w:pPr>
        <w:pStyle w:val="8"/>
        <w:spacing w:before="0" w:beforeAutospacing="0" w:after="0" w:afterAutospacing="0" w:line="360" w:lineRule="auto"/>
        <w:ind w:firstLine="420"/>
        <w:rPr>
          <w:bCs/>
          <w:sz w:val="21"/>
          <w:szCs w:val="21"/>
        </w:rPr>
      </w:pPr>
      <w:r>
        <w:rPr>
          <w:rFonts w:hint="eastAsia"/>
          <w:bCs/>
          <w:sz w:val="21"/>
          <w:szCs w:val="21"/>
        </w:rPr>
        <w:t>联系电话：010-66105799</w:t>
      </w:r>
    </w:p>
    <w:p>
      <w:pPr>
        <w:pStyle w:val="8"/>
        <w:spacing w:before="0" w:beforeAutospacing="0" w:after="0" w:afterAutospacing="0" w:line="360" w:lineRule="auto"/>
        <w:ind w:firstLine="420"/>
        <w:rPr>
          <w:bCs/>
          <w:sz w:val="21"/>
          <w:szCs w:val="21"/>
        </w:rPr>
      </w:pPr>
      <w:r>
        <w:rPr>
          <w:rFonts w:hint="eastAsia"/>
          <w:bCs/>
          <w:sz w:val="21"/>
          <w:szCs w:val="21"/>
        </w:rPr>
        <w:t>联系人：郭明</w:t>
      </w:r>
    </w:p>
    <w:p>
      <w:pPr>
        <w:pStyle w:val="8"/>
        <w:spacing w:before="0" w:beforeAutospacing="0" w:after="0" w:afterAutospacing="0" w:line="360" w:lineRule="auto"/>
        <w:ind w:firstLine="420"/>
        <w:rPr>
          <w:b/>
          <w:sz w:val="21"/>
          <w:szCs w:val="21"/>
        </w:rPr>
      </w:pPr>
      <w:r>
        <w:rPr>
          <w:rFonts w:hint="eastAsia"/>
          <w:b/>
          <w:sz w:val="21"/>
          <w:szCs w:val="21"/>
        </w:rPr>
        <w:t>二、主要人员情况</w:t>
      </w:r>
    </w:p>
    <w:p>
      <w:pPr>
        <w:pStyle w:val="8"/>
        <w:spacing w:before="0" w:beforeAutospacing="0" w:after="0" w:afterAutospacing="0" w:line="360" w:lineRule="auto"/>
        <w:ind w:firstLine="420"/>
        <w:rPr>
          <w:bCs/>
          <w:sz w:val="21"/>
          <w:szCs w:val="21"/>
        </w:rPr>
      </w:pPr>
      <w:r>
        <w:rPr>
          <w:rFonts w:hint="eastAsia"/>
          <w:bCs/>
          <w:sz w:val="21"/>
          <w:szCs w:val="21"/>
        </w:rPr>
        <w:t>截至2022年3月，中国工商银行资产托管部共有员工214人，平均年龄34岁，95%以上员工拥有大学本科以上学历，高管人员均拥有研究生以上学历或高级技术职称。</w:t>
      </w:r>
    </w:p>
    <w:p>
      <w:pPr>
        <w:pStyle w:val="8"/>
        <w:spacing w:before="0" w:beforeAutospacing="0" w:after="0" w:afterAutospacing="0" w:line="360" w:lineRule="auto"/>
        <w:ind w:firstLine="420"/>
        <w:rPr>
          <w:b/>
          <w:sz w:val="21"/>
          <w:szCs w:val="21"/>
        </w:rPr>
      </w:pPr>
      <w:r>
        <w:rPr>
          <w:rFonts w:hint="eastAsia"/>
          <w:b/>
          <w:sz w:val="21"/>
          <w:szCs w:val="21"/>
        </w:rPr>
        <w:t>三、基金托管业务经营情况</w:t>
      </w:r>
    </w:p>
    <w:p>
      <w:pPr>
        <w:pStyle w:val="8"/>
        <w:spacing w:before="0" w:beforeAutospacing="0" w:after="0" w:afterAutospacing="0" w:line="360" w:lineRule="auto"/>
        <w:ind w:firstLine="420"/>
        <w:rPr>
          <w:bCs/>
          <w:sz w:val="21"/>
          <w:szCs w:val="21"/>
        </w:rPr>
      </w:pPr>
      <w:r>
        <w:rPr>
          <w:rFonts w:hint="eastAsia"/>
          <w:bCs/>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3月，中国工商银行共托管证券投资基金1304只。自2003年以来，本行连续二十年获得香港《亚洲货币》、英国《全球托管人》、香港《财资》、美国《环球金融》、内地《证券时报》、《上海证券报》等境内外权威财经媒体评选的81项最佳托管银行大奖；是获得奖项最多的国内托管银行，优良的服务品质获得国内外金融领域的持续认可和广泛好评。</w:t>
      </w:r>
    </w:p>
    <w:p>
      <w:pPr>
        <w:pStyle w:val="8"/>
        <w:spacing w:before="0" w:beforeAutospacing="0" w:after="0" w:afterAutospacing="0" w:line="360" w:lineRule="auto"/>
        <w:ind w:firstLine="420"/>
        <w:rPr>
          <w:b/>
          <w:sz w:val="21"/>
          <w:szCs w:val="21"/>
        </w:rPr>
      </w:pPr>
      <w:r>
        <w:rPr>
          <w:rFonts w:hint="eastAsia"/>
          <w:b/>
          <w:sz w:val="21"/>
          <w:szCs w:val="21"/>
        </w:rPr>
        <w:t>四、</w:t>
      </w:r>
      <w:r>
        <w:rPr>
          <w:b/>
          <w:sz w:val="21"/>
          <w:szCs w:val="21"/>
        </w:rPr>
        <w:t>基金托管人的职责</w:t>
      </w:r>
    </w:p>
    <w:p>
      <w:pPr>
        <w:pStyle w:val="8"/>
        <w:spacing w:before="0" w:beforeAutospacing="0" w:after="0" w:afterAutospacing="0" w:line="360" w:lineRule="auto"/>
        <w:ind w:firstLine="420"/>
        <w:rPr>
          <w:sz w:val="21"/>
          <w:szCs w:val="21"/>
        </w:rPr>
      </w:pPr>
      <w:r>
        <w:rPr>
          <w:sz w:val="21"/>
          <w:szCs w:val="21"/>
        </w:rPr>
        <w:t>1、以诚实信用、勤勉尽责的原则持有并安全保管基金财产；</w:t>
      </w:r>
    </w:p>
    <w:p>
      <w:pPr>
        <w:pStyle w:val="8"/>
        <w:spacing w:before="0" w:beforeAutospacing="0" w:after="0" w:afterAutospacing="0" w:line="360" w:lineRule="auto"/>
        <w:ind w:firstLine="420"/>
        <w:rPr>
          <w:sz w:val="21"/>
          <w:szCs w:val="21"/>
        </w:rPr>
      </w:pPr>
      <w:r>
        <w:rPr>
          <w:sz w:val="21"/>
          <w:szCs w:val="21"/>
        </w:rPr>
        <w:t>2、设立专门的基金托管部门，具有符合要求的营业场所，配备足够的、合格的熟悉基金托管业务的专职人员，负责基金财产托管事宜；</w:t>
      </w:r>
    </w:p>
    <w:p>
      <w:pPr>
        <w:pStyle w:val="8"/>
        <w:spacing w:before="0" w:beforeAutospacing="0" w:after="0" w:afterAutospacing="0" w:line="360" w:lineRule="auto"/>
        <w:ind w:firstLine="420"/>
        <w:rPr>
          <w:sz w:val="21"/>
          <w:szCs w:val="21"/>
        </w:rPr>
      </w:pPr>
      <w:r>
        <w:rPr>
          <w:sz w:val="2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pPr>
        <w:pStyle w:val="8"/>
        <w:spacing w:before="0" w:beforeAutospacing="0" w:after="0" w:afterAutospacing="0" w:line="360" w:lineRule="auto"/>
        <w:ind w:firstLine="420"/>
        <w:rPr>
          <w:sz w:val="21"/>
          <w:szCs w:val="21"/>
        </w:rPr>
      </w:pPr>
      <w:r>
        <w:rPr>
          <w:sz w:val="21"/>
          <w:szCs w:val="21"/>
        </w:rPr>
        <w:t>4、除依据《基金法》、基金合同及其他有关规定外，不得利用基金财产为自己及任何第三人谋取利益，不得委托第三人托管基金财产；</w:t>
      </w:r>
    </w:p>
    <w:p>
      <w:pPr>
        <w:pStyle w:val="8"/>
        <w:spacing w:before="0" w:beforeAutospacing="0" w:after="0" w:afterAutospacing="0" w:line="360" w:lineRule="auto"/>
        <w:ind w:firstLine="420"/>
        <w:rPr>
          <w:sz w:val="21"/>
          <w:szCs w:val="21"/>
        </w:rPr>
      </w:pPr>
      <w:r>
        <w:rPr>
          <w:sz w:val="21"/>
          <w:szCs w:val="21"/>
        </w:rPr>
        <w:t>5、保管由基金管理人代表基金签订的与基金有关的重大合同及有关凭证；</w:t>
      </w:r>
    </w:p>
    <w:p>
      <w:pPr>
        <w:pStyle w:val="8"/>
        <w:spacing w:before="0" w:beforeAutospacing="0" w:after="0" w:afterAutospacing="0" w:line="360" w:lineRule="auto"/>
        <w:ind w:firstLine="420"/>
        <w:rPr>
          <w:sz w:val="21"/>
          <w:szCs w:val="21"/>
        </w:rPr>
      </w:pPr>
      <w:r>
        <w:rPr>
          <w:sz w:val="21"/>
          <w:szCs w:val="21"/>
        </w:rPr>
        <w:t>6、按规定开设基金财产的资金账户和证券账户，按照基金合同的约定，根据基金管理人的投资指令，及时办理清算、交割事宜；</w:t>
      </w:r>
    </w:p>
    <w:p>
      <w:pPr>
        <w:pStyle w:val="8"/>
        <w:spacing w:before="0" w:beforeAutospacing="0" w:after="0" w:afterAutospacing="0" w:line="360" w:lineRule="auto"/>
        <w:ind w:firstLine="420"/>
        <w:rPr>
          <w:sz w:val="21"/>
          <w:szCs w:val="21"/>
        </w:rPr>
      </w:pPr>
      <w:r>
        <w:rPr>
          <w:sz w:val="21"/>
          <w:szCs w:val="21"/>
        </w:rPr>
        <w:t>7、保守基金商业秘密，除《基金法》、基金合同及其他有关规定另有规定外，在基金信息公开披露前予以保密，不得向他人泄露；</w:t>
      </w:r>
    </w:p>
    <w:p>
      <w:pPr>
        <w:pStyle w:val="8"/>
        <w:spacing w:before="0" w:beforeAutospacing="0" w:after="0" w:afterAutospacing="0" w:line="360" w:lineRule="auto"/>
        <w:ind w:firstLine="420"/>
        <w:rPr>
          <w:sz w:val="21"/>
          <w:szCs w:val="21"/>
        </w:rPr>
      </w:pPr>
      <w:r>
        <w:rPr>
          <w:sz w:val="21"/>
          <w:szCs w:val="21"/>
        </w:rPr>
        <w:t>8、复核、审查基金管理人计算的基金资产净值、基金份额申购、赎回价格；</w:t>
      </w:r>
    </w:p>
    <w:p>
      <w:pPr>
        <w:pStyle w:val="8"/>
        <w:spacing w:before="0" w:beforeAutospacing="0" w:after="0" w:afterAutospacing="0" w:line="360" w:lineRule="auto"/>
        <w:ind w:firstLine="420"/>
        <w:rPr>
          <w:sz w:val="21"/>
          <w:szCs w:val="21"/>
        </w:rPr>
      </w:pPr>
      <w:r>
        <w:rPr>
          <w:sz w:val="21"/>
          <w:szCs w:val="21"/>
        </w:rPr>
        <w:t>9、办理与基金托管业务活动有关的信息披露事项；</w:t>
      </w:r>
    </w:p>
    <w:p>
      <w:pPr>
        <w:pStyle w:val="8"/>
        <w:spacing w:before="0" w:beforeAutospacing="0" w:after="0" w:afterAutospacing="0" w:line="360" w:lineRule="auto"/>
        <w:ind w:firstLine="420"/>
        <w:rPr>
          <w:sz w:val="21"/>
          <w:szCs w:val="21"/>
        </w:rPr>
      </w:pPr>
      <w:r>
        <w:rPr>
          <w:sz w:val="21"/>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pPr>
        <w:pStyle w:val="8"/>
        <w:spacing w:before="0" w:beforeAutospacing="0" w:after="0" w:afterAutospacing="0" w:line="360" w:lineRule="auto"/>
        <w:ind w:firstLine="420"/>
        <w:rPr>
          <w:sz w:val="21"/>
          <w:szCs w:val="21"/>
        </w:rPr>
      </w:pPr>
      <w:r>
        <w:rPr>
          <w:sz w:val="21"/>
          <w:szCs w:val="21"/>
        </w:rPr>
        <w:t>11、保存基金托管业务活动的记录、账册、报表和其他相关资料15年以上；</w:t>
      </w:r>
    </w:p>
    <w:p>
      <w:pPr>
        <w:pStyle w:val="8"/>
        <w:spacing w:before="0" w:beforeAutospacing="0" w:after="0" w:afterAutospacing="0" w:line="360" w:lineRule="auto"/>
        <w:ind w:firstLine="420"/>
        <w:rPr>
          <w:sz w:val="21"/>
          <w:szCs w:val="21"/>
        </w:rPr>
      </w:pPr>
      <w:r>
        <w:rPr>
          <w:sz w:val="21"/>
          <w:szCs w:val="21"/>
        </w:rPr>
        <w:t>12、建立并保存基金份额持有人名册；</w:t>
      </w:r>
    </w:p>
    <w:p>
      <w:pPr>
        <w:pStyle w:val="8"/>
        <w:spacing w:before="0" w:beforeAutospacing="0" w:after="0" w:afterAutospacing="0" w:line="360" w:lineRule="auto"/>
        <w:ind w:firstLine="420"/>
        <w:rPr>
          <w:sz w:val="21"/>
          <w:szCs w:val="21"/>
        </w:rPr>
      </w:pPr>
      <w:r>
        <w:rPr>
          <w:sz w:val="21"/>
          <w:szCs w:val="21"/>
        </w:rPr>
        <w:t>13、按规定制作相关账册并与基金管理人核对；</w:t>
      </w:r>
    </w:p>
    <w:p>
      <w:pPr>
        <w:pStyle w:val="8"/>
        <w:spacing w:before="0" w:beforeAutospacing="0" w:after="0" w:afterAutospacing="0" w:line="360" w:lineRule="auto"/>
        <w:ind w:firstLine="420"/>
        <w:rPr>
          <w:sz w:val="21"/>
          <w:szCs w:val="21"/>
        </w:rPr>
      </w:pPr>
      <w:r>
        <w:rPr>
          <w:sz w:val="21"/>
          <w:szCs w:val="21"/>
        </w:rPr>
        <w:t>14、依据基金管理人的指令或有关规定向基金份额持有人支付基金收益和赎回款项；</w:t>
      </w:r>
    </w:p>
    <w:p>
      <w:pPr>
        <w:pStyle w:val="8"/>
        <w:spacing w:before="0" w:beforeAutospacing="0" w:after="0" w:afterAutospacing="0" w:line="360" w:lineRule="auto"/>
        <w:ind w:firstLine="420"/>
        <w:rPr>
          <w:sz w:val="21"/>
          <w:szCs w:val="21"/>
        </w:rPr>
      </w:pPr>
      <w:r>
        <w:rPr>
          <w:sz w:val="21"/>
          <w:szCs w:val="21"/>
        </w:rPr>
        <w:t>15、按照规定召集基金份额持有人大会或配合基金管理人、基金份额持有人依法自行召集基金份额持有人大会；</w:t>
      </w:r>
    </w:p>
    <w:p>
      <w:pPr>
        <w:pStyle w:val="8"/>
        <w:spacing w:before="0" w:beforeAutospacing="0" w:after="0" w:afterAutospacing="0" w:line="360" w:lineRule="auto"/>
        <w:ind w:firstLine="420"/>
        <w:rPr>
          <w:sz w:val="21"/>
          <w:szCs w:val="21"/>
        </w:rPr>
      </w:pPr>
      <w:r>
        <w:rPr>
          <w:sz w:val="21"/>
          <w:szCs w:val="21"/>
        </w:rPr>
        <w:t>16、按照法律法规和基金合同的规定监督基金管理人的投资运作；</w:t>
      </w:r>
    </w:p>
    <w:p>
      <w:pPr>
        <w:pStyle w:val="8"/>
        <w:spacing w:before="0" w:beforeAutospacing="0" w:after="0" w:afterAutospacing="0" w:line="360" w:lineRule="auto"/>
        <w:ind w:firstLine="420"/>
        <w:rPr>
          <w:sz w:val="21"/>
          <w:szCs w:val="21"/>
        </w:rPr>
      </w:pPr>
      <w:r>
        <w:rPr>
          <w:sz w:val="21"/>
          <w:szCs w:val="21"/>
        </w:rPr>
        <w:t>17、参加基金财产清算小组，参与基金财产的保管、清理、估价、变现和分配；</w:t>
      </w:r>
    </w:p>
    <w:p>
      <w:pPr>
        <w:pStyle w:val="8"/>
        <w:spacing w:before="0" w:beforeAutospacing="0" w:after="0" w:afterAutospacing="0" w:line="360" w:lineRule="auto"/>
        <w:ind w:firstLine="420"/>
        <w:rPr>
          <w:sz w:val="21"/>
          <w:szCs w:val="21"/>
        </w:rPr>
      </w:pPr>
      <w:r>
        <w:rPr>
          <w:sz w:val="21"/>
          <w:szCs w:val="21"/>
        </w:rPr>
        <w:t>18、面临解散、依法被撤销或者被依法宣告破产时，及时报告中国证监会和银行监管机构，并通知基金管理人；</w:t>
      </w:r>
    </w:p>
    <w:p>
      <w:pPr>
        <w:pStyle w:val="8"/>
        <w:spacing w:before="0" w:beforeAutospacing="0" w:after="0" w:afterAutospacing="0" w:line="360" w:lineRule="auto"/>
        <w:ind w:firstLine="420"/>
        <w:rPr>
          <w:sz w:val="21"/>
          <w:szCs w:val="21"/>
        </w:rPr>
      </w:pPr>
      <w:r>
        <w:rPr>
          <w:sz w:val="21"/>
          <w:szCs w:val="21"/>
        </w:rPr>
        <w:t>19、因违反基金合同导致基金财产损失时，应承担赔偿责任，其赔偿责任不因其退任而免除；</w:t>
      </w:r>
    </w:p>
    <w:p>
      <w:pPr>
        <w:pStyle w:val="8"/>
        <w:spacing w:before="0" w:beforeAutospacing="0" w:after="0" w:afterAutospacing="0" w:line="360" w:lineRule="auto"/>
        <w:ind w:firstLine="420"/>
        <w:rPr>
          <w:sz w:val="21"/>
          <w:szCs w:val="21"/>
        </w:rPr>
      </w:pPr>
      <w:r>
        <w:rPr>
          <w:sz w:val="21"/>
          <w:szCs w:val="21"/>
        </w:rPr>
        <w:t>20、按规定监督基金管理人按法律法规和基金合同规定履行自己的义务，基金管理人因违反基金合同造成基金财产损失时，应为基金利益向基金管理人追偿；</w:t>
      </w:r>
    </w:p>
    <w:p>
      <w:pPr>
        <w:pStyle w:val="8"/>
        <w:spacing w:before="0" w:beforeAutospacing="0" w:after="0" w:afterAutospacing="0" w:line="360" w:lineRule="auto"/>
        <w:ind w:firstLine="420"/>
        <w:rPr>
          <w:sz w:val="21"/>
          <w:szCs w:val="21"/>
        </w:rPr>
      </w:pPr>
      <w:r>
        <w:rPr>
          <w:sz w:val="21"/>
          <w:szCs w:val="21"/>
        </w:rPr>
        <w:t>21、执行生效的基金份额持有人大会的决议；</w:t>
      </w:r>
    </w:p>
    <w:p>
      <w:pPr>
        <w:pStyle w:val="8"/>
        <w:spacing w:before="0" w:beforeAutospacing="0" w:after="0" w:afterAutospacing="0" w:line="360" w:lineRule="auto"/>
        <w:ind w:firstLine="420"/>
        <w:rPr>
          <w:sz w:val="21"/>
          <w:szCs w:val="21"/>
        </w:rPr>
      </w:pPr>
      <w:r>
        <w:rPr>
          <w:sz w:val="21"/>
          <w:szCs w:val="21"/>
        </w:rPr>
        <w:t>22、法律法规及中国证监会规定的和基金合同约定的其他义务。</w:t>
      </w:r>
    </w:p>
    <w:p>
      <w:pPr>
        <w:pStyle w:val="8"/>
        <w:spacing w:before="0" w:beforeAutospacing="0" w:after="0" w:afterAutospacing="0" w:line="360" w:lineRule="auto"/>
        <w:ind w:firstLine="420"/>
        <w:rPr>
          <w:b/>
          <w:sz w:val="21"/>
          <w:szCs w:val="21"/>
        </w:rPr>
      </w:pPr>
      <w:r>
        <w:rPr>
          <w:rFonts w:hint="eastAsia"/>
          <w:b/>
          <w:sz w:val="21"/>
          <w:szCs w:val="21"/>
        </w:rPr>
        <w:t>五、</w:t>
      </w:r>
      <w:r>
        <w:rPr>
          <w:b/>
          <w:sz w:val="21"/>
          <w:szCs w:val="21"/>
        </w:rPr>
        <w:t>基金托管人的内部控制制度</w:t>
      </w:r>
    </w:p>
    <w:p>
      <w:pPr>
        <w:pStyle w:val="8"/>
        <w:spacing w:before="0" w:beforeAutospacing="0" w:after="0" w:afterAutospacing="0" w:line="360" w:lineRule="auto"/>
        <w:ind w:firstLine="420"/>
        <w:rPr>
          <w:sz w:val="21"/>
          <w:szCs w:val="21"/>
        </w:rPr>
      </w:pPr>
      <w:r>
        <w:rPr>
          <w:rFonts w:hint="eastAsia"/>
          <w:sz w:val="21"/>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四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pPr>
        <w:pStyle w:val="8"/>
        <w:spacing w:before="0" w:beforeAutospacing="0" w:after="0" w:afterAutospacing="0" w:line="360" w:lineRule="auto"/>
        <w:ind w:firstLine="420"/>
        <w:rPr>
          <w:sz w:val="21"/>
          <w:szCs w:val="21"/>
        </w:rPr>
      </w:pPr>
      <w:r>
        <w:rPr>
          <w:sz w:val="21"/>
          <w:szCs w:val="21"/>
        </w:rPr>
        <w:t>1、内部风险控制目标</w:t>
      </w:r>
    </w:p>
    <w:p>
      <w:pPr>
        <w:pStyle w:val="8"/>
        <w:spacing w:before="0" w:beforeAutospacing="0" w:after="0" w:afterAutospacing="0" w:line="360" w:lineRule="auto"/>
        <w:ind w:firstLine="420"/>
        <w:rPr>
          <w:sz w:val="21"/>
          <w:szCs w:val="21"/>
        </w:rPr>
      </w:pPr>
      <w:r>
        <w:rPr>
          <w:sz w:val="21"/>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pPr>
        <w:pStyle w:val="8"/>
        <w:spacing w:before="0" w:beforeAutospacing="0" w:after="0" w:afterAutospacing="0" w:line="360" w:lineRule="auto"/>
        <w:ind w:firstLine="420"/>
        <w:rPr>
          <w:sz w:val="21"/>
          <w:szCs w:val="21"/>
        </w:rPr>
      </w:pPr>
      <w:r>
        <w:rPr>
          <w:sz w:val="21"/>
          <w:szCs w:val="21"/>
        </w:rPr>
        <w:t>2、内部风险控制组织结构</w:t>
      </w:r>
    </w:p>
    <w:p>
      <w:pPr>
        <w:pStyle w:val="8"/>
        <w:spacing w:before="0" w:beforeAutospacing="0" w:after="0" w:afterAutospacing="0" w:line="360" w:lineRule="auto"/>
        <w:ind w:firstLine="420"/>
        <w:rPr>
          <w:sz w:val="21"/>
          <w:szCs w:val="21"/>
        </w:rPr>
      </w:pPr>
      <w:r>
        <w:rPr>
          <w:sz w:val="21"/>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pPr>
        <w:pStyle w:val="8"/>
        <w:spacing w:before="0" w:beforeAutospacing="0" w:after="0" w:afterAutospacing="0" w:line="360" w:lineRule="auto"/>
        <w:ind w:firstLine="420"/>
        <w:rPr>
          <w:sz w:val="21"/>
          <w:szCs w:val="21"/>
        </w:rPr>
      </w:pPr>
      <w:r>
        <w:rPr>
          <w:sz w:val="21"/>
          <w:szCs w:val="21"/>
        </w:rPr>
        <w:t>3、内部风险控制原则</w:t>
      </w:r>
    </w:p>
    <w:p>
      <w:pPr>
        <w:pStyle w:val="8"/>
        <w:spacing w:before="0" w:beforeAutospacing="0" w:after="0" w:afterAutospacing="0" w:line="360" w:lineRule="auto"/>
        <w:ind w:firstLine="420"/>
        <w:rPr>
          <w:sz w:val="21"/>
          <w:szCs w:val="21"/>
        </w:rPr>
      </w:pPr>
      <w:r>
        <w:rPr>
          <w:sz w:val="21"/>
          <w:szCs w:val="21"/>
        </w:rPr>
        <w:t>（1）合法性原则。内控制度应当符合国家法律法规及监管机构的监管要求，并贯穿于托管业务经营管理活动的始终。</w:t>
      </w:r>
    </w:p>
    <w:p>
      <w:pPr>
        <w:pStyle w:val="8"/>
        <w:spacing w:before="0" w:beforeAutospacing="0" w:after="0" w:afterAutospacing="0" w:line="360" w:lineRule="auto"/>
        <w:ind w:firstLine="420"/>
        <w:rPr>
          <w:sz w:val="21"/>
          <w:szCs w:val="21"/>
        </w:rPr>
      </w:pPr>
      <w:r>
        <w:rPr>
          <w:sz w:val="21"/>
          <w:szCs w:val="21"/>
        </w:rPr>
        <w:t>（2）完整性原则。托管业务的各项经营管理活动都必须有相应的规范程序和监督制约；监督制约应渗透到托管业务的全过程和各个操作环节，覆盖所有的部门、岗位和人员。</w:t>
      </w:r>
    </w:p>
    <w:p>
      <w:pPr>
        <w:pStyle w:val="8"/>
        <w:spacing w:before="0" w:beforeAutospacing="0" w:after="0" w:afterAutospacing="0" w:line="360" w:lineRule="auto"/>
        <w:ind w:firstLine="420"/>
        <w:rPr>
          <w:sz w:val="21"/>
          <w:szCs w:val="21"/>
        </w:rPr>
      </w:pPr>
      <w:r>
        <w:rPr>
          <w:sz w:val="21"/>
          <w:szCs w:val="21"/>
        </w:rPr>
        <w:t>（3）及时性原则。托管业务经营活动必须在发生时能准确及时地记录；按照“内控优先”的原则，新设机构或新增业务品种时，必须做到已建立相关的规章制度。</w:t>
      </w:r>
    </w:p>
    <w:p>
      <w:pPr>
        <w:pStyle w:val="8"/>
        <w:spacing w:before="0" w:beforeAutospacing="0" w:after="0" w:afterAutospacing="0" w:line="360" w:lineRule="auto"/>
        <w:ind w:firstLine="420"/>
        <w:rPr>
          <w:sz w:val="21"/>
          <w:szCs w:val="21"/>
        </w:rPr>
      </w:pPr>
      <w:r>
        <w:rPr>
          <w:sz w:val="21"/>
          <w:szCs w:val="21"/>
        </w:rPr>
        <w:t>（4）审慎性原则。各项业务经营活动必须防范风险，审慎经营，保证基金资产和其他委托资产的安全与完整。</w:t>
      </w:r>
    </w:p>
    <w:p>
      <w:pPr>
        <w:pStyle w:val="8"/>
        <w:spacing w:before="0" w:beforeAutospacing="0" w:after="0" w:afterAutospacing="0" w:line="360" w:lineRule="auto"/>
        <w:ind w:firstLine="420"/>
        <w:rPr>
          <w:sz w:val="21"/>
          <w:szCs w:val="21"/>
        </w:rPr>
      </w:pPr>
      <w:r>
        <w:rPr>
          <w:sz w:val="21"/>
          <w:szCs w:val="21"/>
        </w:rPr>
        <w:t>（5）有效性原则。内控制度应根据国家政策、法律及经营管理的需要适时修改完善，并保证得到全面落实执行，不得有任何空间、时限及人员的例外。</w:t>
      </w:r>
    </w:p>
    <w:p>
      <w:pPr>
        <w:pStyle w:val="8"/>
        <w:spacing w:before="0" w:beforeAutospacing="0" w:after="0" w:afterAutospacing="0" w:line="360" w:lineRule="auto"/>
        <w:ind w:firstLine="420"/>
        <w:rPr>
          <w:sz w:val="21"/>
          <w:szCs w:val="21"/>
        </w:rPr>
      </w:pPr>
      <w:r>
        <w:rPr>
          <w:sz w:val="21"/>
          <w:szCs w:val="21"/>
        </w:rPr>
        <w:t>（6）独立性原则。设立专门履行托管人职责的管理部门；直接操作人员和控制人员必须相对独立，适当分离；内控制度的检查、评价部门必须独立于内控制度的制定和执行部门。</w:t>
      </w:r>
    </w:p>
    <w:p>
      <w:pPr>
        <w:pStyle w:val="8"/>
        <w:spacing w:before="0" w:beforeAutospacing="0" w:after="0" w:afterAutospacing="0" w:line="360" w:lineRule="auto"/>
        <w:ind w:firstLine="420"/>
        <w:rPr>
          <w:sz w:val="21"/>
          <w:szCs w:val="21"/>
        </w:rPr>
      </w:pPr>
      <w:r>
        <w:rPr>
          <w:sz w:val="21"/>
          <w:szCs w:val="21"/>
        </w:rPr>
        <w:t>4、内部风险控制措施实施</w:t>
      </w:r>
    </w:p>
    <w:p>
      <w:pPr>
        <w:pStyle w:val="8"/>
        <w:spacing w:before="0" w:beforeAutospacing="0" w:after="0" w:afterAutospacing="0" w:line="360" w:lineRule="auto"/>
        <w:ind w:firstLine="420"/>
        <w:rPr>
          <w:sz w:val="21"/>
          <w:szCs w:val="21"/>
        </w:rPr>
      </w:pPr>
      <w:r>
        <w:rPr>
          <w:sz w:val="21"/>
          <w:szCs w:val="21"/>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pPr>
        <w:pStyle w:val="8"/>
        <w:spacing w:before="0" w:beforeAutospacing="0" w:after="0" w:afterAutospacing="0" w:line="360" w:lineRule="auto"/>
        <w:ind w:firstLine="420"/>
        <w:rPr>
          <w:sz w:val="21"/>
          <w:szCs w:val="21"/>
        </w:rPr>
      </w:pPr>
      <w:r>
        <w:rPr>
          <w:sz w:val="21"/>
          <w:szCs w:val="2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pPr>
        <w:pStyle w:val="8"/>
        <w:spacing w:before="0" w:beforeAutospacing="0" w:after="0" w:afterAutospacing="0" w:line="360" w:lineRule="auto"/>
        <w:ind w:firstLine="420"/>
        <w:rPr>
          <w:sz w:val="21"/>
          <w:szCs w:val="21"/>
        </w:rPr>
      </w:pPr>
      <w:r>
        <w:rPr>
          <w:sz w:val="21"/>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pPr>
        <w:pStyle w:val="8"/>
        <w:spacing w:before="0" w:beforeAutospacing="0" w:after="0" w:afterAutospacing="0" w:line="360" w:lineRule="auto"/>
        <w:ind w:firstLine="420"/>
        <w:rPr>
          <w:sz w:val="21"/>
          <w:szCs w:val="21"/>
        </w:rPr>
      </w:pPr>
      <w:r>
        <w:rPr>
          <w:sz w:val="21"/>
          <w:szCs w:val="21"/>
        </w:rPr>
        <w:t>（4）经营控制。资产托管部通过制定计划、编制预算等方法开展各种业务营销活动、处理各项事务，从而有效地控制和配置组织资源，达到资源利用和效益最大化目的。</w:t>
      </w:r>
    </w:p>
    <w:p>
      <w:pPr>
        <w:pStyle w:val="8"/>
        <w:spacing w:before="0" w:beforeAutospacing="0" w:after="0" w:afterAutospacing="0" w:line="360" w:lineRule="auto"/>
        <w:ind w:firstLine="420"/>
        <w:rPr>
          <w:sz w:val="21"/>
          <w:szCs w:val="21"/>
        </w:rPr>
      </w:pPr>
      <w:r>
        <w:rPr>
          <w:sz w:val="21"/>
          <w:szCs w:val="21"/>
        </w:rPr>
        <w:t>（5）内部风险管理。资产托管部通过稽核监察、风险评估等方式加强内部风险管理，定期或不定期地对业务运作状况进行检查、监控，指导业务部门进行风险识别、评估，制定并实施风险控制措施，排查风险隐患。</w:t>
      </w:r>
    </w:p>
    <w:p>
      <w:pPr>
        <w:pStyle w:val="8"/>
        <w:spacing w:before="0" w:beforeAutospacing="0" w:after="0" w:afterAutospacing="0" w:line="360" w:lineRule="auto"/>
        <w:ind w:firstLine="420"/>
        <w:rPr>
          <w:sz w:val="21"/>
          <w:szCs w:val="21"/>
        </w:rPr>
      </w:pPr>
      <w:r>
        <w:rPr>
          <w:sz w:val="21"/>
          <w:szCs w:val="21"/>
        </w:rPr>
        <w:t>（6）数据安全控制。工商银行通过业务操作区相对独立、数据和传真加密、数据传输线路的冗余备份、监控设施的运用和保障等措施来保障数据安全。</w:t>
      </w:r>
    </w:p>
    <w:p>
      <w:pPr>
        <w:pStyle w:val="8"/>
        <w:spacing w:before="0" w:beforeAutospacing="0" w:after="0" w:afterAutospacing="0" w:line="360" w:lineRule="auto"/>
        <w:ind w:firstLine="420"/>
        <w:rPr>
          <w:sz w:val="21"/>
          <w:szCs w:val="21"/>
        </w:rPr>
      </w:pPr>
      <w:r>
        <w:rPr>
          <w:sz w:val="21"/>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pPr>
        <w:pStyle w:val="8"/>
        <w:spacing w:before="0" w:beforeAutospacing="0" w:after="0" w:afterAutospacing="0" w:line="360" w:lineRule="auto"/>
        <w:ind w:firstLine="420"/>
        <w:rPr>
          <w:sz w:val="21"/>
          <w:szCs w:val="21"/>
        </w:rPr>
      </w:pPr>
      <w:r>
        <w:rPr>
          <w:sz w:val="21"/>
          <w:szCs w:val="21"/>
        </w:rPr>
        <w:t>5、资产托管部内部风险控制情况</w:t>
      </w:r>
    </w:p>
    <w:p>
      <w:pPr>
        <w:pStyle w:val="8"/>
        <w:spacing w:before="0" w:beforeAutospacing="0" w:after="0" w:afterAutospacing="0" w:line="360" w:lineRule="auto"/>
        <w:ind w:firstLine="420"/>
        <w:rPr>
          <w:sz w:val="21"/>
          <w:szCs w:val="21"/>
        </w:rPr>
      </w:pPr>
      <w:r>
        <w:rPr>
          <w:sz w:val="21"/>
          <w:szCs w:val="21"/>
        </w:rPr>
        <w:t>（1）资产托管部内部设置专职稽核监察部门，配备专职稽核监察人员，在总经理的直接领导下，依照有关法律规章，全面贯彻落实全程监控思想，确保资产托管业务健康、稳定地发展。</w:t>
      </w:r>
    </w:p>
    <w:p>
      <w:pPr>
        <w:pStyle w:val="8"/>
        <w:spacing w:before="0" w:beforeAutospacing="0" w:after="0" w:afterAutospacing="0" w:line="360" w:lineRule="auto"/>
        <w:ind w:firstLine="420"/>
        <w:rPr>
          <w:sz w:val="21"/>
          <w:szCs w:val="21"/>
        </w:rPr>
      </w:pPr>
      <w:r>
        <w:rPr>
          <w:sz w:val="21"/>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pPr>
        <w:pStyle w:val="8"/>
        <w:spacing w:before="0" w:beforeAutospacing="0" w:after="0" w:afterAutospacing="0" w:line="360" w:lineRule="auto"/>
        <w:ind w:firstLine="420"/>
        <w:rPr>
          <w:sz w:val="21"/>
          <w:szCs w:val="21"/>
        </w:rPr>
      </w:pPr>
      <w:r>
        <w:rPr>
          <w:sz w:val="21"/>
          <w:szCs w:val="21"/>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pPr>
        <w:pStyle w:val="8"/>
        <w:spacing w:before="0" w:beforeAutospacing="0" w:after="0" w:afterAutospacing="0" w:line="360" w:lineRule="auto"/>
        <w:ind w:firstLine="420"/>
        <w:rPr>
          <w:sz w:val="21"/>
          <w:szCs w:val="21"/>
        </w:rPr>
      </w:pPr>
      <w:r>
        <w:rPr>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pPr>
        <w:pStyle w:val="8"/>
        <w:spacing w:before="0" w:beforeAutospacing="0" w:after="0" w:afterAutospacing="0" w:line="360" w:lineRule="auto"/>
        <w:ind w:firstLine="420"/>
        <w:rPr>
          <w:b/>
          <w:sz w:val="21"/>
          <w:szCs w:val="21"/>
        </w:rPr>
      </w:pPr>
      <w:r>
        <w:rPr>
          <w:rFonts w:hint="eastAsia"/>
          <w:b/>
          <w:sz w:val="21"/>
          <w:szCs w:val="21"/>
        </w:rPr>
        <w:t>六、</w:t>
      </w:r>
      <w:r>
        <w:rPr>
          <w:b/>
          <w:sz w:val="21"/>
          <w:szCs w:val="21"/>
        </w:rPr>
        <w:t>基金托管人对基金管理人运作基金进行监督的方法和程序</w:t>
      </w:r>
    </w:p>
    <w:p>
      <w:pPr>
        <w:pStyle w:val="8"/>
        <w:spacing w:before="0" w:beforeAutospacing="0" w:after="0" w:afterAutospacing="0" w:line="360" w:lineRule="auto"/>
        <w:ind w:firstLine="420"/>
        <w:rPr>
          <w:sz w:val="21"/>
          <w:szCs w:val="21"/>
        </w:rPr>
      </w:pPr>
      <w:r>
        <w:rPr>
          <w:sz w:val="21"/>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pPr>
        <w:pStyle w:val="8"/>
        <w:spacing w:before="0" w:beforeAutospacing="0" w:after="0" w:afterAutospacing="0" w:line="360" w:lineRule="auto"/>
        <w:ind w:firstLine="420"/>
        <w:rPr>
          <w:sz w:val="21"/>
          <w:szCs w:val="21"/>
        </w:rPr>
      </w:pPr>
      <w:r>
        <w:rPr>
          <w:sz w:val="21"/>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pPr>
        <w:pStyle w:val="8"/>
        <w:spacing w:before="0" w:beforeAutospacing="0" w:after="0" w:afterAutospacing="0" w:line="360" w:lineRule="auto"/>
        <w:ind w:firstLine="420"/>
        <w:rPr>
          <w:sz w:val="21"/>
          <w:szCs w:val="21"/>
        </w:rPr>
      </w:pPr>
      <w:r>
        <w:rPr>
          <w:sz w:val="21"/>
          <w:szCs w:val="21"/>
        </w:rPr>
        <w:t>基金托管人发现基金管理人有重大违规行为，应立即报告中国证监会，同时通知基金管理人限期纠正。</w:t>
      </w:r>
    </w:p>
    <w:p>
      <w:pPr>
        <w:pStyle w:val="8"/>
        <w:spacing w:before="0" w:beforeAutospacing="0" w:after="0" w:afterAutospacing="0" w:line="360" w:lineRule="auto"/>
        <w:ind w:firstLine="420"/>
        <w:rPr>
          <w:sz w:val="21"/>
          <w:szCs w:val="21"/>
        </w:rPr>
      </w:pPr>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5" w:name="_Toc3542"/>
      <w:bookmarkStart w:id="36" w:name="_Toc82437027"/>
      <w:bookmarkStart w:id="37" w:name="chapter_level1_7_56"/>
      <w:r>
        <w:rPr>
          <w:rFonts w:hint="eastAsia" w:ascii="宋体" w:hAnsi="宋体" w:eastAsia="宋体"/>
          <w:sz w:val="30"/>
        </w:rPr>
        <w:t>第五部分  相关服务机构</w:t>
      </w:r>
      <w:bookmarkEnd w:id="35"/>
      <w:bookmarkEnd w:id="36"/>
      <w:bookmarkEnd w:id="37"/>
    </w:p>
    <w:p>
      <w:pPr>
        <w:pStyle w:val="8"/>
        <w:spacing w:before="0" w:beforeAutospacing="0" w:after="0" w:afterAutospacing="0" w:line="360" w:lineRule="auto"/>
        <w:ind w:firstLine="420"/>
        <w:rPr>
          <w:sz w:val="21"/>
          <w:szCs w:val="21"/>
        </w:rPr>
      </w:pPr>
      <w:bookmarkStart w:id="38" w:name="chapter_level1_7_56_section_1"/>
      <w:bookmarkEnd w:id="38"/>
      <w:r>
        <w:rPr>
          <w:rStyle w:val="13"/>
          <w:rFonts w:hint="eastAsia"/>
          <w:sz w:val="21"/>
          <w:szCs w:val="21"/>
        </w:rPr>
        <w:t>一、基金份额销售机构</w:t>
      </w:r>
    </w:p>
    <w:p>
      <w:pPr>
        <w:pStyle w:val="8"/>
        <w:spacing w:before="0" w:beforeAutospacing="0" w:after="0" w:afterAutospacing="0" w:line="360" w:lineRule="auto"/>
        <w:ind w:firstLine="420"/>
        <w:rPr>
          <w:sz w:val="21"/>
          <w:szCs w:val="21"/>
        </w:rPr>
      </w:pPr>
      <w:r>
        <w:rPr>
          <w:rFonts w:hint="eastAsia"/>
          <w:sz w:val="21"/>
          <w:szCs w:val="21"/>
        </w:rPr>
        <w:t xml:space="preserve">1、直销机构 </w:t>
      </w:r>
    </w:p>
    <w:p>
      <w:pPr>
        <w:pStyle w:val="8"/>
        <w:spacing w:before="0" w:beforeAutospacing="0" w:after="0" w:afterAutospacing="0" w:line="360" w:lineRule="auto"/>
        <w:ind w:firstLine="420"/>
        <w:rPr>
          <w:sz w:val="21"/>
          <w:szCs w:val="21"/>
        </w:rPr>
      </w:pPr>
      <w:bookmarkStart w:id="39" w:name="field_0_marketcompanyinfo_1_start"/>
      <w:bookmarkEnd w:id="39"/>
      <w:r>
        <w:rPr>
          <w:rFonts w:hint="eastAsia"/>
          <w:sz w:val="21"/>
          <w:szCs w:val="21"/>
        </w:rPr>
        <w:t xml:space="preserve">名称：博时基金管理有限公司北京直销中心 </w:t>
      </w:r>
    </w:p>
    <w:p>
      <w:pPr>
        <w:pStyle w:val="8"/>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8"/>
        <w:spacing w:before="0" w:beforeAutospacing="0" w:after="0" w:afterAutospacing="0" w:line="360" w:lineRule="auto"/>
        <w:ind w:firstLine="420"/>
        <w:rPr>
          <w:sz w:val="21"/>
          <w:szCs w:val="21"/>
        </w:rPr>
      </w:pPr>
      <w:r>
        <w:rPr>
          <w:rFonts w:hint="eastAsia"/>
          <w:sz w:val="21"/>
          <w:szCs w:val="21"/>
        </w:rPr>
        <w:t xml:space="preserve">电话：010-65187055 </w:t>
      </w:r>
    </w:p>
    <w:p>
      <w:pPr>
        <w:pStyle w:val="8"/>
        <w:spacing w:before="0" w:beforeAutospacing="0" w:after="0" w:afterAutospacing="0" w:line="360" w:lineRule="auto"/>
        <w:ind w:firstLine="420"/>
        <w:rPr>
          <w:sz w:val="21"/>
          <w:szCs w:val="21"/>
        </w:rPr>
      </w:pPr>
      <w:r>
        <w:rPr>
          <w:rFonts w:hint="eastAsia"/>
          <w:sz w:val="21"/>
          <w:szCs w:val="21"/>
        </w:rPr>
        <w:t xml:space="preserve">传真：010-65187032 </w:t>
      </w:r>
    </w:p>
    <w:p>
      <w:pPr>
        <w:pStyle w:val="8"/>
        <w:spacing w:before="0" w:beforeAutospacing="0" w:after="0" w:afterAutospacing="0" w:line="360" w:lineRule="auto"/>
        <w:ind w:firstLine="420"/>
        <w:rPr>
          <w:sz w:val="21"/>
          <w:szCs w:val="21"/>
        </w:rPr>
      </w:pPr>
      <w:r>
        <w:rPr>
          <w:rFonts w:hint="eastAsia"/>
          <w:sz w:val="21"/>
          <w:szCs w:val="21"/>
        </w:rPr>
        <w:t xml:space="preserve">联系人：韩明亮 </w:t>
      </w:r>
    </w:p>
    <w:p>
      <w:pPr>
        <w:pStyle w:val="8"/>
        <w:spacing w:before="0" w:beforeAutospacing="0" w:after="0" w:afterAutospacing="0" w:line="360" w:lineRule="auto"/>
        <w:ind w:firstLine="420"/>
        <w:rPr>
          <w:sz w:val="21"/>
          <w:szCs w:val="21"/>
        </w:rPr>
      </w:pPr>
      <w:bookmarkStart w:id="40" w:name="chapter_level1_7_56_section_1_end"/>
      <w:bookmarkEnd w:id="40"/>
      <w:r>
        <w:rPr>
          <w:rFonts w:hint="eastAsia"/>
          <w:sz w:val="21"/>
          <w:szCs w:val="21"/>
        </w:rPr>
        <w:t xml:space="preserve">博时一线通：95105568（免长途话费） </w:t>
      </w:r>
      <w:bookmarkStart w:id="41" w:name="field_0_marketcompanyinfo_1_end"/>
      <w:bookmarkEnd w:id="41"/>
      <w:r>
        <w:rPr>
          <w:rFonts w:hint="eastAsia"/>
          <w:sz w:val="21"/>
          <w:szCs w:val="21"/>
        </w:rPr>
        <w:t xml:space="preserve">  </w:t>
      </w:r>
    </w:p>
    <w:p>
      <w:pPr>
        <w:pStyle w:val="8"/>
        <w:spacing w:before="0" w:beforeAutospacing="0" w:after="0" w:afterAutospacing="0" w:line="360" w:lineRule="auto"/>
        <w:ind w:firstLine="420"/>
        <w:rPr>
          <w:sz w:val="21"/>
          <w:szCs w:val="21"/>
        </w:rPr>
      </w:pPr>
      <w:bookmarkStart w:id="42" w:name="chapter_level1_7_56_section_2"/>
      <w:bookmarkEnd w:id="42"/>
      <w:r>
        <w:rPr>
          <w:rFonts w:hint="eastAsia"/>
          <w:sz w:val="21"/>
          <w:szCs w:val="21"/>
        </w:rPr>
        <w:t xml:space="preserve">2、代销机构 </w:t>
      </w:r>
    </w:p>
    <w:p>
      <w:pPr>
        <w:pStyle w:val="8"/>
        <w:spacing w:before="0" w:beforeAutospacing="0" w:after="0" w:afterAutospacing="0" w:line="360" w:lineRule="auto"/>
        <w:ind w:firstLine="420"/>
        <w:rPr>
          <w:sz w:val="21"/>
          <w:szCs w:val="21"/>
        </w:rPr>
      </w:pPr>
      <w:bookmarkStart w:id="43" w:name="field_0_allproxysaletables_1_start"/>
      <w:bookmarkEnd w:id="43"/>
      <w:r>
        <w:rPr>
          <w:rFonts w:hint="eastAsia"/>
          <w:b/>
          <w:bCs/>
          <w:sz w:val="21"/>
          <w:szCs w:val="21"/>
        </w:rPr>
        <w:t>(1)中国工商银行股份有限公司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http://www.icbc.com.cn/ </w:t>
            </w:r>
          </w:p>
        </w:tc>
      </w:tr>
    </w:tbl>
    <w:p>
      <w:pPr>
        <w:pStyle w:val="8"/>
        <w:spacing w:before="0" w:beforeAutospacing="0" w:after="0" w:afterAutospacing="0" w:line="360" w:lineRule="auto"/>
        <w:ind w:firstLine="420"/>
        <w:rPr>
          <w:sz w:val="21"/>
          <w:szCs w:val="21"/>
        </w:rPr>
      </w:pPr>
      <w:r>
        <w:rPr>
          <w:rFonts w:hint="eastAsia"/>
          <w:b/>
          <w:bCs/>
          <w:sz w:val="21"/>
          <w:szCs w:val="21"/>
        </w:rPr>
        <w:t>(2)中国农业银行股份有限公司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周慕冰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http://www.abchina.com </w:t>
            </w:r>
          </w:p>
        </w:tc>
      </w:tr>
    </w:tbl>
    <w:p>
      <w:pPr>
        <w:pStyle w:val="8"/>
        <w:spacing w:before="0" w:beforeAutospacing="0" w:after="0" w:afterAutospacing="0" w:line="360" w:lineRule="auto"/>
        <w:ind w:firstLine="420"/>
        <w:rPr>
          <w:sz w:val="21"/>
          <w:szCs w:val="21"/>
        </w:rPr>
      </w:pPr>
      <w:r>
        <w:rPr>
          <w:rFonts w:hint="eastAsia"/>
          <w:b/>
          <w:bCs/>
          <w:sz w:val="21"/>
          <w:szCs w:val="21"/>
        </w:rPr>
        <w:t>(3)中国银行股份有限公司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刘连舸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http://www.boc.cn/ </w:t>
            </w:r>
          </w:p>
        </w:tc>
      </w:tr>
    </w:tbl>
    <w:p>
      <w:pPr>
        <w:pStyle w:val="8"/>
        <w:spacing w:before="0" w:beforeAutospacing="0" w:after="0" w:afterAutospacing="0" w:line="360" w:lineRule="auto"/>
        <w:ind w:firstLine="420"/>
        <w:rPr>
          <w:sz w:val="21"/>
          <w:szCs w:val="21"/>
        </w:rPr>
      </w:pPr>
      <w:r>
        <w:rPr>
          <w:rFonts w:hint="eastAsia"/>
          <w:b/>
          <w:bCs/>
          <w:sz w:val="21"/>
          <w:szCs w:val="21"/>
        </w:rPr>
        <w:t>(4)中国建设银行股份有限公司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北京市西城区金融大街25号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北京市西城区闹市口大街1号院1号楼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田国立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张静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010－66275654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http://www.ccb.com/ </w:t>
            </w:r>
          </w:p>
        </w:tc>
      </w:tr>
    </w:tbl>
    <w:p>
      <w:pPr>
        <w:pStyle w:val="8"/>
        <w:spacing w:before="0" w:beforeAutospacing="0" w:after="0" w:afterAutospacing="0" w:line="360" w:lineRule="auto"/>
        <w:ind w:firstLine="420"/>
        <w:rPr>
          <w:sz w:val="21"/>
          <w:szCs w:val="21"/>
        </w:rPr>
      </w:pPr>
      <w:r>
        <w:rPr>
          <w:rFonts w:hint="eastAsia"/>
          <w:b/>
          <w:bCs/>
          <w:sz w:val="21"/>
          <w:szCs w:val="21"/>
        </w:rPr>
        <w:t>(5)交通银行股份有限公司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http://www.bankcomm.com/ </w:t>
            </w:r>
          </w:p>
        </w:tc>
      </w:tr>
    </w:tbl>
    <w:p>
      <w:pPr>
        <w:pStyle w:val="8"/>
        <w:spacing w:before="0" w:beforeAutospacing="0" w:after="0" w:afterAutospacing="0" w:line="360" w:lineRule="auto"/>
        <w:ind w:firstLine="420"/>
        <w:rPr>
          <w:sz w:val="21"/>
          <w:szCs w:val="21"/>
        </w:rPr>
      </w:pPr>
      <w:r>
        <w:rPr>
          <w:rFonts w:hint="eastAsia"/>
          <w:b/>
          <w:bCs/>
          <w:sz w:val="21"/>
          <w:szCs w:val="21"/>
        </w:rPr>
        <w:t>(6)招商银行股份有限公司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http://www.cmbchina.com/ </w:t>
            </w:r>
          </w:p>
        </w:tc>
      </w:tr>
    </w:tbl>
    <w:p>
      <w:pPr>
        <w:pStyle w:val="8"/>
        <w:spacing w:before="0" w:beforeAutospacing="0" w:after="0" w:afterAutospacing="0" w:line="360" w:lineRule="auto"/>
        <w:ind w:firstLine="420"/>
        <w:rPr>
          <w:sz w:val="21"/>
          <w:szCs w:val="21"/>
        </w:rPr>
      </w:pPr>
      <w:r>
        <w:rPr>
          <w:rFonts w:hint="eastAsia"/>
          <w:b/>
          <w:bCs/>
          <w:sz w:val="21"/>
          <w:szCs w:val="21"/>
        </w:rPr>
        <w:t>(7)中信银行股份有限公司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http://bank.ecitic.com/ </w:t>
            </w:r>
          </w:p>
        </w:tc>
      </w:tr>
    </w:tbl>
    <w:p>
      <w:pPr>
        <w:pStyle w:val="8"/>
        <w:spacing w:before="0" w:beforeAutospacing="0" w:after="0" w:afterAutospacing="0" w:line="360" w:lineRule="auto"/>
        <w:ind w:firstLine="420"/>
        <w:rPr>
          <w:sz w:val="21"/>
          <w:szCs w:val="21"/>
        </w:rPr>
      </w:pPr>
      <w:r>
        <w:rPr>
          <w:rFonts w:hint="eastAsia"/>
          <w:b/>
          <w:bCs/>
          <w:sz w:val="21"/>
          <w:szCs w:val="21"/>
        </w:rPr>
        <w:t>(8)上海浦东发展银行股份有限公司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高国富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http://www.spdb.com.cn </w:t>
            </w:r>
          </w:p>
        </w:tc>
      </w:tr>
    </w:tbl>
    <w:p>
      <w:pPr>
        <w:pStyle w:val="8"/>
        <w:spacing w:before="0" w:beforeAutospacing="0" w:after="0" w:afterAutospacing="0" w:line="360" w:lineRule="auto"/>
        <w:ind w:firstLine="420"/>
        <w:rPr>
          <w:sz w:val="21"/>
          <w:szCs w:val="21"/>
        </w:rPr>
      </w:pPr>
      <w:r>
        <w:rPr>
          <w:rFonts w:hint="eastAsia"/>
          <w:b/>
          <w:bCs/>
          <w:sz w:val="21"/>
          <w:szCs w:val="21"/>
        </w:rPr>
        <w:t>(9)兴业银行股份有限公司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福州市湖东路154号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上海市江宁路168号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高建平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曾鸣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021-52629999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www.cib.com.cn </w:t>
            </w:r>
          </w:p>
        </w:tc>
      </w:tr>
    </w:tbl>
    <w:p>
      <w:pPr>
        <w:pStyle w:val="8"/>
        <w:spacing w:before="0" w:beforeAutospacing="0" w:after="0" w:afterAutospacing="0" w:line="360" w:lineRule="auto"/>
        <w:ind w:firstLine="420"/>
        <w:rPr>
          <w:sz w:val="21"/>
          <w:szCs w:val="21"/>
        </w:rPr>
      </w:pPr>
      <w:r>
        <w:rPr>
          <w:rFonts w:hint="eastAsia"/>
          <w:b/>
          <w:bCs/>
          <w:sz w:val="21"/>
          <w:szCs w:val="21"/>
        </w:rPr>
        <w:t>(10)中国光大银行股份有限公司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北京市西城区太平桥大街25号、甲25号中国光大中心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北京市西城区太平桥大街25号光大中心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李晓鹏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朱红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010－63636153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010－63636157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http://www.cebbank.com </w:t>
            </w:r>
          </w:p>
        </w:tc>
      </w:tr>
    </w:tbl>
    <w:p>
      <w:pPr>
        <w:pStyle w:val="8"/>
        <w:spacing w:before="0" w:beforeAutospacing="0" w:after="0" w:afterAutospacing="0" w:line="360" w:lineRule="auto"/>
        <w:ind w:firstLine="420"/>
        <w:rPr>
          <w:sz w:val="21"/>
          <w:szCs w:val="21"/>
        </w:rPr>
      </w:pPr>
      <w:r>
        <w:rPr>
          <w:rFonts w:hint="eastAsia"/>
          <w:b/>
          <w:bCs/>
          <w:sz w:val="21"/>
          <w:szCs w:val="21"/>
        </w:rPr>
        <w:t>(11)中国民生银行股份有限公司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高迎欣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王继伟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010－58560666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010－57092611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http://www.cmbc.com.cn/ </w:t>
            </w:r>
          </w:p>
        </w:tc>
      </w:tr>
    </w:tbl>
    <w:p>
      <w:pPr>
        <w:pStyle w:val="8"/>
        <w:spacing w:before="0" w:beforeAutospacing="0" w:after="0" w:afterAutospacing="0" w:line="360" w:lineRule="auto"/>
        <w:ind w:firstLine="420"/>
        <w:rPr>
          <w:sz w:val="21"/>
          <w:szCs w:val="21"/>
        </w:rPr>
      </w:pPr>
      <w:r>
        <w:rPr>
          <w:rFonts w:hint="eastAsia"/>
          <w:b/>
          <w:bCs/>
          <w:sz w:val="21"/>
          <w:szCs w:val="21"/>
        </w:rPr>
        <w:t>(12)中国邮政储蓄银行股份有限公司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张金良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陈春林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010－68858117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http://www.psbc.com </w:t>
            </w:r>
          </w:p>
        </w:tc>
      </w:tr>
    </w:tbl>
    <w:p>
      <w:pPr>
        <w:pStyle w:val="8"/>
        <w:spacing w:before="0" w:beforeAutospacing="0" w:after="0" w:afterAutospacing="0" w:line="360" w:lineRule="auto"/>
        <w:ind w:firstLine="420"/>
        <w:rPr>
          <w:sz w:val="21"/>
          <w:szCs w:val="21"/>
        </w:rPr>
      </w:pPr>
      <w:r>
        <w:rPr>
          <w:rFonts w:hint="eastAsia"/>
          <w:b/>
          <w:bCs/>
          <w:sz w:val="21"/>
          <w:szCs w:val="21"/>
        </w:rPr>
        <w:t>(13)北京银行股份有限公司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北京市西城区金融大街甲17号首层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北京市西城区金融大街丙17号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张东宁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周黎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010－66226045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http://www.bankofbeijing.com.cn/ </w:t>
            </w:r>
          </w:p>
        </w:tc>
      </w:tr>
    </w:tbl>
    <w:p>
      <w:pPr>
        <w:pStyle w:val="8"/>
        <w:spacing w:before="0" w:beforeAutospacing="0" w:after="0" w:afterAutospacing="0" w:line="360" w:lineRule="auto"/>
        <w:ind w:firstLine="420"/>
        <w:rPr>
          <w:sz w:val="21"/>
          <w:szCs w:val="21"/>
        </w:rPr>
      </w:pPr>
      <w:r>
        <w:rPr>
          <w:rFonts w:hint="eastAsia"/>
          <w:b/>
          <w:bCs/>
          <w:sz w:val="21"/>
          <w:szCs w:val="21"/>
        </w:rPr>
        <w:t>(14)上海银行股份有限公司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上海市浦东新区银城中路168号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上海市浦东新区银城中路168号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范一飞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汤征程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021-68475521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021-68476497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www.bosc.cn </w:t>
            </w:r>
          </w:p>
        </w:tc>
      </w:tr>
    </w:tbl>
    <w:p>
      <w:pPr>
        <w:pStyle w:val="8"/>
        <w:spacing w:before="0" w:beforeAutospacing="0" w:after="0" w:afterAutospacing="0" w:line="360" w:lineRule="auto"/>
        <w:ind w:firstLine="420"/>
        <w:rPr>
          <w:sz w:val="21"/>
          <w:szCs w:val="21"/>
        </w:rPr>
      </w:pPr>
      <w:r>
        <w:rPr>
          <w:rFonts w:hint="eastAsia"/>
          <w:b/>
          <w:bCs/>
          <w:sz w:val="21"/>
          <w:szCs w:val="21"/>
        </w:rPr>
        <w:t>(15)广发银行股份有限公司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http://www.cgbchina.com.cn/ </w:t>
            </w:r>
          </w:p>
        </w:tc>
      </w:tr>
    </w:tbl>
    <w:p>
      <w:pPr>
        <w:pStyle w:val="8"/>
        <w:spacing w:before="0" w:beforeAutospacing="0" w:after="0" w:afterAutospacing="0" w:line="360" w:lineRule="auto"/>
        <w:ind w:firstLine="420"/>
        <w:rPr>
          <w:sz w:val="21"/>
          <w:szCs w:val="21"/>
        </w:rPr>
      </w:pPr>
      <w:r>
        <w:rPr>
          <w:rFonts w:hint="eastAsia"/>
          <w:b/>
          <w:bCs/>
          <w:sz w:val="21"/>
          <w:szCs w:val="21"/>
        </w:rPr>
        <w:t>(16)平安银行股份有限公司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http://bank.pingan.com </w:t>
            </w:r>
          </w:p>
        </w:tc>
      </w:tr>
    </w:tbl>
    <w:p>
      <w:pPr>
        <w:pStyle w:val="8"/>
        <w:spacing w:before="0" w:beforeAutospacing="0" w:after="0" w:afterAutospacing="0" w:line="360" w:lineRule="auto"/>
        <w:ind w:firstLine="420"/>
        <w:rPr>
          <w:sz w:val="21"/>
          <w:szCs w:val="21"/>
        </w:rPr>
      </w:pPr>
      <w:r>
        <w:rPr>
          <w:rFonts w:hint="eastAsia"/>
          <w:b/>
          <w:bCs/>
          <w:sz w:val="21"/>
          <w:szCs w:val="21"/>
        </w:rPr>
        <w:t>(17)宁波银行股份有限公司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http://www.nbcb.com.cn </w:t>
            </w:r>
          </w:p>
        </w:tc>
      </w:tr>
    </w:tbl>
    <w:p>
      <w:pPr>
        <w:pStyle w:val="8"/>
        <w:spacing w:before="0" w:beforeAutospacing="0" w:after="0" w:afterAutospacing="0" w:line="360" w:lineRule="auto"/>
        <w:ind w:firstLine="420"/>
        <w:rPr>
          <w:sz w:val="21"/>
          <w:szCs w:val="21"/>
        </w:rPr>
      </w:pPr>
      <w:r>
        <w:rPr>
          <w:rFonts w:hint="eastAsia"/>
          <w:b/>
          <w:bCs/>
          <w:sz w:val="21"/>
          <w:szCs w:val="21"/>
        </w:rPr>
        <w:t>(18)上海农村商业银行股份有限公司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http://www.srcb.com/ </w:t>
            </w:r>
          </w:p>
        </w:tc>
      </w:tr>
    </w:tbl>
    <w:p>
      <w:pPr>
        <w:pStyle w:val="8"/>
        <w:spacing w:before="0" w:beforeAutospacing="0" w:after="0" w:afterAutospacing="0" w:line="360" w:lineRule="auto"/>
        <w:ind w:firstLine="420"/>
        <w:rPr>
          <w:sz w:val="21"/>
          <w:szCs w:val="21"/>
        </w:rPr>
      </w:pPr>
      <w:r>
        <w:rPr>
          <w:rFonts w:hint="eastAsia"/>
          <w:b/>
          <w:bCs/>
          <w:sz w:val="21"/>
          <w:szCs w:val="21"/>
        </w:rPr>
        <w:t>(19)青岛银行股份有限公司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郭少泉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徐伟静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0532-68629925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0532-68629939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96588（青岛）  400-669-6588（全国）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http://www.qdccb.com </w:t>
            </w:r>
          </w:p>
        </w:tc>
      </w:tr>
    </w:tbl>
    <w:p>
      <w:pPr>
        <w:pStyle w:val="8"/>
        <w:spacing w:before="0" w:beforeAutospacing="0" w:after="0" w:afterAutospacing="0" w:line="360" w:lineRule="auto"/>
        <w:ind w:firstLine="420"/>
        <w:rPr>
          <w:sz w:val="21"/>
          <w:szCs w:val="21"/>
        </w:rPr>
      </w:pPr>
      <w:r>
        <w:rPr>
          <w:rFonts w:hint="eastAsia"/>
          <w:b/>
          <w:bCs/>
          <w:sz w:val="21"/>
          <w:szCs w:val="21"/>
        </w:rPr>
        <w:t>(20)东莞银行股份有限公司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卢国锋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吴照群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0769－22119061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0769－22117730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4001196228;0769-96228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http://www.dongguanbank.cn </w:t>
            </w:r>
          </w:p>
        </w:tc>
      </w:tr>
    </w:tbl>
    <w:p>
      <w:pPr>
        <w:pStyle w:val="8"/>
        <w:spacing w:before="0" w:beforeAutospacing="0" w:after="0" w:afterAutospacing="0" w:line="360" w:lineRule="auto"/>
        <w:ind w:firstLine="420"/>
        <w:rPr>
          <w:sz w:val="21"/>
          <w:szCs w:val="21"/>
        </w:rPr>
      </w:pPr>
      <w:r>
        <w:rPr>
          <w:rFonts w:hint="eastAsia"/>
          <w:b/>
          <w:bCs/>
          <w:sz w:val="21"/>
          <w:szCs w:val="21"/>
        </w:rPr>
        <w:t>(21)南京银行股份有限公司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http://www.njcb.com.cn </w:t>
            </w:r>
          </w:p>
        </w:tc>
      </w:tr>
    </w:tbl>
    <w:p>
      <w:pPr>
        <w:pStyle w:val="8"/>
        <w:spacing w:before="0" w:beforeAutospacing="0" w:after="0" w:afterAutospacing="0" w:line="360" w:lineRule="auto"/>
        <w:ind w:firstLine="420"/>
        <w:rPr>
          <w:sz w:val="21"/>
          <w:szCs w:val="21"/>
        </w:rPr>
      </w:pPr>
      <w:r>
        <w:rPr>
          <w:rFonts w:hint="eastAsia"/>
          <w:b/>
          <w:bCs/>
          <w:sz w:val="21"/>
          <w:szCs w:val="21"/>
        </w:rPr>
        <w:t>(22)江苏银行股份有限公司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南京市洪武北路55号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南京市中华路26号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夏平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田春慧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025-58587018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025-58587038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http://www.jsbchina.cn </w:t>
            </w:r>
          </w:p>
        </w:tc>
      </w:tr>
    </w:tbl>
    <w:p>
      <w:pPr>
        <w:pStyle w:val="8"/>
        <w:spacing w:before="0" w:beforeAutospacing="0" w:after="0" w:afterAutospacing="0" w:line="360" w:lineRule="auto"/>
        <w:ind w:firstLine="420"/>
        <w:rPr>
          <w:sz w:val="21"/>
          <w:szCs w:val="21"/>
        </w:rPr>
      </w:pPr>
      <w:r>
        <w:rPr>
          <w:rFonts w:hint="eastAsia"/>
          <w:b/>
          <w:bCs/>
          <w:sz w:val="21"/>
          <w:szCs w:val="21"/>
        </w:rPr>
        <w:t>(23)浙江民泰商业银行股份有限公司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浙江省温岭市太平街道三星大道168号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浙江省杭州市江干区丹桂街8号汉嘉国际401室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江建法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沈斯诺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www.mintaibank.com </w:t>
            </w:r>
          </w:p>
        </w:tc>
      </w:tr>
    </w:tbl>
    <w:p>
      <w:pPr>
        <w:pStyle w:val="8"/>
        <w:spacing w:before="0" w:beforeAutospacing="0" w:after="0" w:afterAutospacing="0" w:line="360" w:lineRule="auto"/>
        <w:ind w:firstLine="420"/>
        <w:rPr>
          <w:sz w:val="21"/>
          <w:szCs w:val="21"/>
        </w:rPr>
      </w:pPr>
      <w:r>
        <w:rPr>
          <w:rFonts w:hint="eastAsia"/>
          <w:b/>
          <w:bCs/>
          <w:sz w:val="21"/>
          <w:szCs w:val="21"/>
        </w:rPr>
        <w:t>(24)东莞农村商业银行股份有限公司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http://www.drcbank.com/ </w:t>
            </w:r>
          </w:p>
        </w:tc>
      </w:tr>
    </w:tbl>
    <w:p>
      <w:pPr>
        <w:pStyle w:val="8"/>
        <w:spacing w:before="0" w:beforeAutospacing="0" w:after="0" w:afterAutospacing="0" w:line="360" w:lineRule="auto"/>
        <w:ind w:firstLine="420"/>
        <w:rPr>
          <w:sz w:val="21"/>
          <w:szCs w:val="21"/>
        </w:rPr>
      </w:pPr>
      <w:r>
        <w:rPr>
          <w:rFonts w:hint="eastAsia"/>
          <w:b/>
          <w:bCs/>
          <w:sz w:val="21"/>
          <w:szCs w:val="21"/>
        </w:rPr>
        <w:t>(25)苏州银行股份有限公司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www.suzhoubank.com </w:t>
            </w:r>
          </w:p>
        </w:tc>
      </w:tr>
    </w:tbl>
    <w:p>
      <w:pPr>
        <w:pStyle w:val="8"/>
        <w:spacing w:before="0" w:beforeAutospacing="0" w:after="0" w:afterAutospacing="0" w:line="360" w:lineRule="auto"/>
        <w:ind w:firstLine="420"/>
        <w:rPr>
          <w:sz w:val="21"/>
          <w:szCs w:val="21"/>
        </w:rPr>
      </w:pPr>
      <w:r>
        <w:rPr>
          <w:rFonts w:hint="eastAsia"/>
          <w:b/>
          <w:bCs/>
          <w:sz w:val="21"/>
          <w:szCs w:val="21"/>
        </w:rPr>
        <w:t>(26)深圳市新兰德证券投资咨询有限公司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http://8.jrj.com.cn/ </w:t>
            </w:r>
          </w:p>
        </w:tc>
      </w:tr>
    </w:tbl>
    <w:p>
      <w:pPr>
        <w:pStyle w:val="8"/>
        <w:spacing w:before="0" w:beforeAutospacing="0" w:after="0" w:afterAutospacing="0" w:line="360" w:lineRule="auto"/>
        <w:ind w:firstLine="420"/>
        <w:rPr>
          <w:sz w:val="21"/>
          <w:szCs w:val="21"/>
        </w:rPr>
      </w:pPr>
      <w:r>
        <w:rPr>
          <w:rFonts w:hint="eastAsia"/>
          <w:b/>
          <w:bCs/>
          <w:sz w:val="21"/>
          <w:szCs w:val="21"/>
        </w:rPr>
        <w:t>(27)上海挖财基金销售有限公司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http://wacaijijin.com/ </w:t>
            </w:r>
          </w:p>
        </w:tc>
      </w:tr>
    </w:tbl>
    <w:p>
      <w:pPr>
        <w:pStyle w:val="8"/>
        <w:spacing w:before="0" w:beforeAutospacing="0" w:after="0" w:afterAutospacing="0" w:line="360" w:lineRule="auto"/>
        <w:ind w:firstLine="420"/>
        <w:rPr>
          <w:sz w:val="21"/>
          <w:szCs w:val="21"/>
        </w:rPr>
      </w:pPr>
      <w:r>
        <w:rPr>
          <w:rFonts w:hint="eastAsia"/>
          <w:b/>
          <w:bCs/>
          <w:sz w:val="21"/>
          <w:szCs w:val="21"/>
        </w:rPr>
        <w:t>(28)腾安基金销售（深圳）有限公司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https://www.txfund.com/ </w:t>
            </w:r>
          </w:p>
        </w:tc>
      </w:tr>
    </w:tbl>
    <w:p>
      <w:pPr>
        <w:pStyle w:val="8"/>
        <w:spacing w:before="0" w:beforeAutospacing="0" w:after="0" w:afterAutospacing="0" w:line="360" w:lineRule="auto"/>
        <w:ind w:firstLine="420"/>
        <w:rPr>
          <w:sz w:val="21"/>
          <w:szCs w:val="21"/>
        </w:rPr>
      </w:pPr>
      <w:r>
        <w:rPr>
          <w:rFonts w:hint="eastAsia"/>
          <w:b/>
          <w:bCs/>
          <w:sz w:val="21"/>
          <w:szCs w:val="21"/>
        </w:rPr>
        <w:t>(29)北京度小满基金销售有限公司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www.baiyingfund.com </w:t>
            </w:r>
          </w:p>
        </w:tc>
      </w:tr>
    </w:tbl>
    <w:p>
      <w:pPr>
        <w:pStyle w:val="8"/>
        <w:spacing w:before="0" w:beforeAutospacing="0" w:after="0" w:afterAutospacing="0" w:line="360" w:lineRule="auto"/>
        <w:ind w:firstLine="420"/>
        <w:rPr>
          <w:sz w:val="21"/>
          <w:szCs w:val="21"/>
        </w:rPr>
      </w:pPr>
      <w:r>
        <w:rPr>
          <w:rFonts w:hint="eastAsia"/>
          <w:b/>
          <w:bCs/>
          <w:sz w:val="21"/>
          <w:szCs w:val="21"/>
        </w:rPr>
        <w:t>(30)诺亚正行基金销售有限公司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http://www.noah-fund.com </w:t>
            </w:r>
          </w:p>
        </w:tc>
      </w:tr>
    </w:tbl>
    <w:p>
      <w:pPr>
        <w:pStyle w:val="8"/>
        <w:spacing w:before="0" w:beforeAutospacing="0" w:after="0" w:afterAutospacing="0" w:line="360" w:lineRule="auto"/>
        <w:ind w:firstLine="420"/>
        <w:rPr>
          <w:sz w:val="21"/>
          <w:szCs w:val="21"/>
        </w:rPr>
      </w:pPr>
      <w:r>
        <w:rPr>
          <w:rFonts w:hint="eastAsia"/>
          <w:b/>
          <w:bCs/>
          <w:sz w:val="21"/>
          <w:szCs w:val="21"/>
        </w:rPr>
        <w:t>(31)深圳众禄基金销售股份有限公司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https://www.zlfund.cn/ </w:t>
            </w:r>
          </w:p>
        </w:tc>
      </w:tr>
    </w:tbl>
    <w:p>
      <w:pPr>
        <w:pStyle w:val="8"/>
        <w:spacing w:before="0" w:beforeAutospacing="0" w:after="0" w:afterAutospacing="0" w:line="360" w:lineRule="auto"/>
        <w:ind w:firstLine="420"/>
        <w:rPr>
          <w:sz w:val="21"/>
          <w:szCs w:val="21"/>
        </w:rPr>
      </w:pPr>
      <w:r>
        <w:rPr>
          <w:rFonts w:hint="eastAsia"/>
          <w:b/>
          <w:bCs/>
          <w:sz w:val="21"/>
          <w:szCs w:val="21"/>
        </w:rPr>
        <w:t>(32)上海天天基金销售有限公司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http://www.1234567.com.cn </w:t>
            </w:r>
          </w:p>
        </w:tc>
      </w:tr>
    </w:tbl>
    <w:p>
      <w:pPr>
        <w:pStyle w:val="8"/>
        <w:spacing w:before="0" w:beforeAutospacing="0" w:after="0" w:afterAutospacing="0" w:line="360" w:lineRule="auto"/>
        <w:ind w:firstLine="420"/>
        <w:rPr>
          <w:sz w:val="21"/>
          <w:szCs w:val="21"/>
        </w:rPr>
      </w:pPr>
      <w:r>
        <w:rPr>
          <w:rFonts w:hint="eastAsia"/>
          <w:b/>
          <w:bCs/>
          <w:sz w:val="21"/>
          <w:szCs w:val="21"/>
        </w:rPr>
        <w:t>(33)上海好买基金销售有限公司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http://www.howbuy.com </w:t>
            </w:r>
          </w:p>
        </w:tc>
      </w:tr>
    </w:tbl>
    <w:p>
      <w:pPr>
        <w:pStyle w:val="8"/>
        <w:spacing w:before="0" w:beforeAutospacing="0" w:after="0" w:afterAutospacing="0" w:line="360" w:lineRule="auto"/>
        <w:ind w:firstLine="420"/>
        <w:rPr>
          <w:sz w:val="21"/>
          <w:szCs w:val="21"/>
        </w:rPr>
      </w:pPr>
      <w:r>
        <w:rPr>
          <w:rFonts w:hint="eastAsia"/>
          <w:b/>
          <w:bCs/>
          <w:sz w:val="21"/>
          <w:szCs w:val="21"/>
        </w:rPr>
        <w:t>(34)蚂蚁（杭州）基金销售有限公司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杭州市余杭区仓前街道文一西路1218号1栋202室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浙江省杭州市滨江区江南大道3588号恒生大厦12楼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陈柏青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朱晓超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400-076-6123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http://www.fund123.cn </w:t>
            </w:r>
          </w:p>
        </w:tc>
      </w:tr>
    </w:tbl>
    <w:p>
      <w:pPr>
        <w:pStyle w:val="8"/>
        <w:spacing w:before="0" w:beforeAutospacing="0" w:after="0" w:afterAutospacing="0" w:line="360" w:lineRule="auto"/>
        <w:ind w:firstLine="420"/>
        <w:rPr>
          <w:sz w:val="21"/>
          <w:szCs w:val="21"/>
        </w:rPr>
      </w:pPr>
      <w:r>
        <w:rPr>
          <w:rFonts w:hint="eastAsia"/>
          <w:b/>
          <w:bCs/>
          <w:sz w:val="21"/>
          <w:szCs w:val="21"/>
        </w:rPr>
        <w:t>(35)上海长量基金销售有限公司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http://www.erichfund.com </w:t>
            </w:r>
          </w:p>
        </w:tc>
      </w:tr>
    </w:tbl>
    <w:p>
      <w:pPr>
        <w:pStyle w:val="8"/>
        <w:spacing w:before="0" w:beforeAutospacing="0" w:after="0" w:afterAutospacing="0" w:line="360" w:lineRule="auto"/>
        <w:ind w:firstLine="420"/>
        <w:rPr>
          <w:sz w:val="21"/>
          <w:szCs w:val="21"/>
        </w:rPr>
      </w:pPr>
      <w:r>
        <w:rPr>
          <w:rFonts w:hint="eastAsia"/>
          <w:b/>
          <w:bCs/>
          <w:sz w:val="21"/>
          <w:szCs w:val="21"/>
        </w:rPr>
        <w:t>(36)浙江同花顺基金销售有限公司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400-877-3772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www.5ifund.com </w:t>
            </w:r>
          </w:p>
        </w:tc>
      </w:tr>
    </w:tbl>
    <w:p>
      <w:pPr>
        <w:pStyle w:val="8"/>
        <w:spacing w:before="0" w:beforeAutospacing="0" w:after="0" w:afterAutospacing="0" w:line="360" w:lineRule="auto"/>
        <w:ind w:firstLine="420"/>
        <w:rPr>
          <w:sz w:val="21"/>
          <w:szCs w:val="21"/>
        </w:rPr>
      </w:pPr>
      <w:r>
        <w:rPr>
          <w:rFonts w:hint="eastAsia"/>
          <w:b/>
          <w:bCs/>
          <w:sz w:val="21"/>
          <w:szCs w:val="21"/>
        </w:rPr>
        <w:t>(37)上海利得基金销售有限公司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http://a.leadfund.com.cn/ </w:t>
            </w:r>
          </w:p>
        </w:tc>
      </w:tr>
    </w:tbl>
    <w:p>
      <w:pPr>
        <w:pStyle w:val="8"/>
        <w:spacing w:before="0" w:beforeAutospacing="0" w:after="0" w:afterAutospacing="0" w:line="360" w:lineRule="auto"/>
        <w:ind w:firstLine="420"/>
        <w:rPr>
          <w:sz w:val="21"/>
          <w:szCs w:val="21"/>
        </w:rPr>
      </w:pPr>
      <w:r>
        <w:rPr>
          <w:rFonts w:hint="eastAsia"/>
          <w:b/>
          <w:bCs/>
          <w:sz w:val="21"/>
          <w:szCs w:val="21"/>
        </w:rPr>
        <w:t>(38)嘉实财富管理有限公司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www.harvestwm.cn </w:t>
            </w:r>
          </w:p>
        </w:tc>
      </w:tr>
    </w:tbl>
    <w:p>
      <w:pPr>
        <w:pStyle w:val="8"/>
        <w:spacing w:before="0" w:beforeAutospacing="0" w:after="0" w:afterAutospacing="0" w:line="360" w:lineRule="auto"/>
        <w:ind w:firstLine="420"/>
        <w:rPr>
          <w:sz w:val="21"/>
          <w:szCs w:val="21"/>
        </w:rPr>
      </w:pPr>
      <w:r>
        <w:rPr>
          <w:rFonts w:hint="eastAsia"/>
          <w:b/>
          <w:bCs/>
          <w:sz w:val="21"/>
          <w:szCs w:val="21"/>
        </w:rPr>
        <w:t>(39)宜信普泽（北京）基金销售有限公司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http://www.yixinfund.com </w:t>
            </w:r>
          </w:p>
        </w:tc>
      </w:tr>
    </w:tbl>
    <w:p>
      <w:pPr>
        <w:pStyle w:val="8"/>
        <w:spacing w:before="0" w:beforeAutospacing="0" w:after="0" w:afterAutospacing="0" w:line="360" w:lineRule="auto"/>
        <w:ind w:firstLine="420"/>
        <w:rPr>
          <w:sz w:val="21"/>
          <w:szCs w:val="21"/>
        </w:rPr>
      </w:pPr>
      <w:r>
        <w:rPr>
          <w:rFonts w:hint="eastAsia"/>
          <w:b/>
          <w:bCs/>
          <w:sz w:val="21"/>
          <w:szCs w:val="21"/>
        </w:rPr>
        <w:t>(40)南京苏宁基金销售有限公司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www.snjijin.com </w:t>
            </w:r>
          </w:p>
        </w:tc>
      </w:tr>
    </w:tbl>
    <w:p>
      <w:pPr>
        <w:pStyle w:val="8"/>
        <w:spacing w:before="0" w:beforeAutospacing="0" w:after="0" w:afterAutospacing="0" w:line="360" w:lineRule="auto"/>
        <w:ind w:firstLine="420"/>
        <w:rPr>
          <w:sz w:val="21"/>
          <w:szCs w:val="21"/>
        </w:rPr>
      </w:pPr>
      <w:r>
        <w:rPr>
          <w:rFonts w:hint="eastAsia"/>
          <w:b/>
          <w:bCs/>
          <w:sz w:val="21"/>
          <w:szCs w:val="21"/>
        </w:rPr>
        <w:t>(41)浦领基金销售有限公司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www.zscffund.com </w:t>
            </w:r>
          </w:p>
        </w:tc>
      </w:tr>
    </w:tbl>
    <w:p>
      <w:pPr>
        <w:pStyle w:val="8"/>
        <w:spacing w:before="0" w:beforeAutospacing="0" w:after="0" w:afterAutospacing="0" w:line="360" w:lineRule="auto"/>
        <w:ind w:firstLine="420"/>
        <w:rPr>
          <w:sz w:val="21"/>
          <w:szCs w:val="21"/>
        </w:rPr>
      </w:pPr>
      <w:r>
        <w:rPr>
          <w:rFonts w:hint="eastAsia"/>
          <w:b/>
          <w:bCs/>
          <w:sz w:val="21"/>
          <w:szCs w:val="21"/>
        </w:rPr>
        <w:t>(42)北京增财基金销售有限公司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北京市西城区南礼士路66号1号楼12层1208号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北京市西城区南礼士路66号建威大厦1208室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王昌庆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罗细安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010-67000988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010-67000988-6000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400-001-8811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http://www.zcvc.com.cn </w:t>
            </w:r>
          </w:p>
        </w:tc>
      </w:tr>
    </w:tbl>
    <w:p>
      <w:pPr>
        <w:pStyle w:val="8"/>
        <w:spacing w:before="0" w:beforeAutospacing="0" w:after="0" w:afterAutospacing="0" w:line="360" w:lineRule="auto"/>
        <w:ind w:firstLine="420"/>
        <w:rPr>
          <w:sz w:val="21"/>
          <w:szCs w:val="21"/>
        </w:rPr>
      </w:pPr>
      <w:r>
        <w:rPr>
          <w:rFonts w:hint="eastAsia"/>
          <w:b/>
          <w:bCs/>
          <w:sz w:val="21"/>
          <w:szCs w:val="21"/>
        </w:rPr>
        <w:t>(43)深圳腾元基金销售有限公司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曾革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鄢萌莎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0755-33376922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0755-33065516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400-990-8600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www.tenyuanfund.com </w:t>
            </w:r>
          </w:p>
        </w:tc>
      </w:tr>
    </w:tbl>
    <w:p>
      <w:pPr>
        <w:pStyle w:val="8"/>
        <w:spacing w:before="0" w:beforeAutospacing="0" w:after="0" w:afterAutospacing="0" w:line="360" w:lineRule="auto"/>
        <w:ind w:firstLine="420"/>
        <w:rPr>
          <w:sz w:val="21"/>
          <w:szCs w:val="21"/>
        </w:rPr>
      </w:pPr>
      <w:r>
        <w:rPr>
          <w:rFonts w:hint="eastAsia"/>
          <w:b/>
          <w:bCs/>
          <w:sz w:val="21"/>
          <w:szCs w:val="21"/>
        </w:rPr>
        <w:t>(44)北京恒天明泽基金销售有限公司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北京市北京经济技术开发区宏达北路10号5层5122室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北京市朝阳区东三环中路20号乐成中心A座23层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周斌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马鹏程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010-57756074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010-56810782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400-8980-618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www.chtwm.com </w:t>
            </w:r>
          </w:p>
        </w:tc>
      </w:tr>
    </w:tbl>
    <w:p>
      <w:pPr>
        <w:pStyle w:val="8"/>
        <w:spacing w:before="0" w:beforeAutospacing="0" w:after="0" w:afterAutospacing="0" w:line="360" w:lineRule="auto"/>
        <w:ind w:firstLine="420"/>
        <w:rPr>
          <w:sz w:val="21"/>
          <w:szCs w:val="21"/>
        </w:rPr>
      </w:pPr>
      <w:r>
        <w:rPr>
          <w:rFonts w:hint="eastAsia"/>
          <w:b/>
          <w:bCs/>
          <w:sz w:val="21"/>
          <w:szCs w:val="21"/>
        </w:rPr>
        <w:t>(45)北京汇成基金销售有限公司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www.hcjijin.com </w:t>
            </w:r>
          </w:p>
        </w:tc>
      </w:tr>
    </w:tbl>
    <w:p>
      <w:pPr>
        <w:pStyle w:val="8"/>
        <w:spacing w:before="0" w:beforeAutospacing="0" w:after="0" w:afterAutospacing="0" w:line="360" w:lineRule="auto"/>
        <w:ind w:firstLine="420"/>
        <w:rPr>
          <w:sz w:val="21"/>
          <w:szCs w:val="21"/>
        </w:rPr>
      </w:pPr>
      <w:r>
        <w:rPr>
          <w:rFonts w:hint="eastAsia"/>
          <w:b/>
          <w:bCs/>
          <w:sz w:val="21"/>
          <w:szCs w:val="21"/>
        </w:rPr>
        <w:t>(46)一路财富（北京）基金销售股份有限公司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北京市西城区车公庄大街9号院5号楼702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北京市西城区阜成门外大街2号万通新世界A座2208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吴雪秀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段京璐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010-88312877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010-88312099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400-001-1566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http://www.yilucaifu.com </w:t>
            </w:r>
          </w:p>
        </w:tc>
      </w:tr>
    </w:tbl>
    <w:p>
      <w:pPr>
        <w:pStyle w:val="8"/>
        <w:spacing w:before="0" w:beforeAutospacing="0" w:after="0" w:afterAutospacing="0" w:line="360" w:lineRule="auto"/>
        <w:ind w:firstLine="420"/>
        <w:rPr>
          <w:sz w:val="21"/>
          <w:szCs w:val="21"/>
        </w:rPr>
      </w:pPr>
      <w:r>
        <w:rPr>
          <w:rFonts w:hint="eastAsia"/>
          <w:b/>
          <w:bCs/>
          <w:sz w:val="21"/>
          <w:szCs w:val="21"/>
        </w:rPr>
        <w:t>(47)北京唐鼎耀华基金销售有限公司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北京市延庆县延庆经济开发区百泉街10号2栋236室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北京市朝阳区亮马桥路甲40号二十一世纪大厦A303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鲁志勇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周君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010-53570568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010-59200800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400-819-9868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http://www.tdyhfund.com </w:t>
            </w:r>
          </w:p>
        </w:tc>
      </w:tr>
    </w:tbl>
    <w:p>
      <w:pPr>
        <w:pStyle w:val="8"/>
        <w:spacing w:before="0" w:beforeAutospacing="0" w:after="0" w:afterAutospacing="0" w:line="360" w:lineRule="auto"/>
        <w:ind w:firstLine="420"/>
        <w:rPr>
          <w:sz w:val="21"/>
          <w:szCs w:val="21"/>
        </w:rPr>
      </w:pPr>
      <w:r>
        <w:rPr>
          <w:rFonts w:hint="eastAsia"/>
          <w:b/>
          <w:bCs/>
          <w:sz w:val="21"/>
          <w:szCs w:val="21"/>
        </w:rPr>
        <w:t>(48)北京植信基金销售有限公司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北京市密云县兴盛南路8号院2号楼106-67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北京市朝阳区建华南路6号 卓明大厦2层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于龙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叶航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010-65166112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010-65166001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4006-802-123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http://www.zhixin-inv.com </w:t>
            </w:r>
          </w:p>
        </w:tc>
      </w:tr>
    </w:tbl>
    <w:p>
      <w:pPr>
        <w:pStyle w:val="8"/>
        <w:spacing w:before="0" w:beforeAutospacing="0" w:after="0" w:afterAutospacing="0" w:line="360" w:lineRule="auto"/>
        <w:ind w:firstLine="420"/>
        <w:rPr>
          <w:sz w:val="21"/>
          <w:szCs w:val="21"/>
        </w:rPr>
      </w:pPr>
      <w:r>
        <w:rPr>
          <w:rFonts w:hint="eastAsia"/>
          <w:b/>
          <w:bCs/>
          <w:sz w:val="21"/>
          <w:szCs w:val="21"/>
        </w:rPr>
        <w:t>(49)海银基金销售有限公司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中国（上海）自由贸易试验区银城中路8号402室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上海市浦东新区银城中路8号4楼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巩巧丽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毛林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021-80133597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021-80133413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400-808-1016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www.fundhaiyin.com </w:t>
            </w:r>
          </w:p>
        </w:tc>
      </w:tr>
    </w:tbl>
    <w:p>
      <w:pPr>
        <w:pStyle w:val="8"/>
        <w:spacing w:before="0" w:beforeAutospacing="0" w:after="0" w:afterAutospacing="0" w:line="360" w:lineRule="auto"/>
        <w:ind w:firstLine="420"/>
        <w:rPr>
          <w:sz w:val="21"/>
          <w:szCs w:val="21"/>
        </w:rPr>
      </w:pPr>
      <w:r>
        <w:rPr>
          <w:rFonts w:hint="eastAsia"/>
          <w:b/>
          <w:bCs/>
          <w:sz w:val="21"/>
          <w:szCs w:val="21"/>
        </w:rPr>
        <w:t>(50)济安财富（北京）基金销售有限公司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北京市朝阳区东三环中路7号4号楼40层4601室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北京市朝阳区东三环中路7号财富中心A座46层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杨健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李海燕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010-65309516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010-65330699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400-673-7010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www.jianfortune.com </w:t>
            </w:r>
          </w:p>
        </w:tc>
      </w:tr>
    </w:tbl>
    <w:p>
      <w:pPr>
        <w:pStyle w:val="8"/>
        <w:spacing w:before="0" w:beforeAutospacing="0" w:after="0" w:afterAutospacing="0" w:line="360" w:lineRule="auto"/>
        <w:ind w:firstLine="420"/>
        <w:rPr>
          <w:sz w:val="21"/>
          <w:szCs w:val="21"/>
        </w:rPr>
      </w:pPr>
      <w:r>
        <w:rPr>
          <w:rFonts w:hint="eastAsia"/>
          <w:b/>
          <w:bCs/>
          <w:sz w:val="21"/>
          <w:szCs w:val="21"/>
        </w:rPr>
        <w:t>(51)上海万得基金销售有限公司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www.520fund.com.cn </w:t>
            </w:r>
          </w:p>
        </w:tc>
      </w:tr>
    </w:tbl>
    <w:p>
      <w:pPr>
        <w:pStyle w:val="8"/>
        <w:spacing w:before="0" w:beforeAutospacing="0" w:after="0" w:afterAutospacing="0" w:line="360" w:lineRule="auto"/>
        <w:ind w:firstLine="420"/>
        <w:rPr>
          <w:sz w:val="21"/>
          <w:szCs w:val="21"/>
        </w:rPr>
      </w:pPr>
      <w:r>
        <w:rPr>
          <w:rFonts w:hint="eastAsia"/>
          <w:b/>
          <w:bCs/>
          <w:sz w:val="21"/>
          <w:szCs w:val="21"/>
        </w:rPr>
        <w:t>(52)凤凰金信（海口）基金销售有限公司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宁夏回族自治区银川市金凤区阅海湾中央商务区万寿路142号14层1402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北京市朝阳区紫月路18号院 朝来高科技产业园18号楼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张旭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010-58160168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010-58160173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400-810-5919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www.fengfd.com </w:t>
            </w:r>
          </w:p>
        </w:tc>
      </w:tr>
    </w:tbl>
    <w:p>
      <w:pPr>
        <w:pStyle w:val="8"/>
        <w:spacing w:before="0" w:beforeAutospacing="0" w:after="0" w:afterAutospacing="0" w:line="360" w:lineRule="auto"/>
        <w:ind w:firstLine="420"/>
        <w:rPr>
          <w:sz w:val="21"/>
          <w:szCs w:val="21"/>
        </w:rPr>
      </w:pPr>
      <w:r>
        <w:rPr>
          <w:rFonts w:hint="eastAsia"/>
          <w:b/>
          <w:bCs/>
          <w:sz w:val="21"/>
          <w:szCs w:val="21"/>
        </w:rPr>
        <w:t>(53)上海联泰基金销售有限公司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www.66zichan.com </w:t>
            </w:r>
          </w:p>
        </w:tc>
      </w:tr>
    </w:tbl>
    <w:p>
      <w:pPr>
        <w:pStyle w:val="8"/>
        <w:spacing w:before="0" w:beforeAutospacing="0" w:after="0" w:afterAutospacing="0" w:line="360" w:lineRule="auto"/>
        <w:ind w:firstLine="420"/>
        <w:rPr>
          <w:sz w:val="21"/>
          <w:szCs w:val="21"/>
        </w:rPr>
      </w:pPr>
      <w:r>
        <w:rPr>
          <w:rFonts w:hint="eastAsia"/>
          <w:b/>
          <w:bCs/>
          <w:sz w:val="21"/>
          <w:szCs w:val="21"/>
        </w:rPr>
        <w:t>(54)上海基煜基金销售有限公司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www.jiyufund.com.cn </w:t>
            </w:r>
          </w:p>
        </w:tc>
      </w:tr>
    </w:tbl>
    <w:p>
      <w:pPr>
        <w:pStyle w:val="8"/>
        <w:spacing w:before="0" w:beforeAutospacing="0" w:after="0" w:afterAutospacing="0" w:line="360" w:lineRule="auto"/>
        <w:ind w:firstLine="420"/>
        <w:rPr>
          <w:sz w:val="21"/>
          <w:szCs w:val="21"/>
        </w:rPr>
      </w:pPr>
      <w:r>
        <w:rPr>
          <w:rFonts w:hint="eastAsia"/>
          <w:b/>
          <w:bCs/>
          <w:sz w:val="21"/>
          <w:szCs w:val="21"/>
        </w:rPr>
        <w:t>(55)上海凯石财富基金销售有限公司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上海市黄浦区西藏南路765号602-115室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上海市黄浦区延安东路1号凯石大厦四楼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陈继武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李晓明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021-63333319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021-63332523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400-643-3389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www.lingxianfund.com </w:t>
            </w:r>
          </w:p>
        </w:tc>
      </w:tr>
    </w:tbl>
    <w:p>
      <w:pPr>
        <w:pStyle w:val="8"/>
        <w:spacing w:before="0" w:beforeAutospacing="0" w:after="0" w:afterAutospacing="0" w:line="360" w:lineRule="auto"/>
        <w:ind w:firstLine="420"/>
        <w:rPr>
          <w:sz w:val="21"/>
          <w:szCs w:val="21"/>
        </w:rPr>
      </w:pPr>
      <w:r>
        <w:rPr>
          <w:rFonts w:hint="eastAsia"/>
          <w:b/>
          <w:bCs/>
          <w:sz w:val="21"/>
          <w:szCs w:val="21"/>
        </w:rPr>
        <w:t>(56)北京虹点基金销售有限公司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北京市朝阳区西大望路1号1号楼1603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北京市朝阳区工人体育馆北路甲2号盈科中心B座裙楼二层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董浩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于婷婷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010-56409010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010-56580660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400-618-0707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www.hongdianfund.com </w:t>
            </w:r>
          </w:p>
        </w:tc>
      </w:tr>
    </w:tbl>
    <w:p>
      <w:pPr>
        <w:pStyle w:val="8"/>
        <w:spacing w:before="0" w:beforeAutospacing="0" w:after="0" w:afterAutospacing="0" w:line="360" w:lineRule="auto"/>
        <w:ind w:firstLine="420"/>
        <w:rPr>
          <w:sz w:val="21"/>
          <w:szCs w:val="21"/>
        </w:rPr>
      </w:pPr>
      <w:r>
        <w:rPr>
          <w:rFonts w:hint="eastAsia"/>
          <w:b/>
          <w:bCs/>
          <w:sz w:val="21"/>
          <w:szCs w:val="21"/>
        </w:rPr>
        <w:t>(57)上海陆金所基金销售有限公司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www.lufunds.com </w:t>
            </w:r>
          </w:p>
        </w:tc>
      </w:tr>
    </w:tbl>
    <w:p>
      <w:pPr>
        <w:pStyle w:val="8"/>
        <w:spacing w:before="0" w:beforeAutospacing="0" w:after="0" w:afterAutospacing="0" w:line="360" w:lineRule="auto"/>
        <w:ind w:firstLine="420"/>
        <w:rPr>
          <w:sz w:val="21"/>
          <w:szCs w:val="21"/>
        </w:rPr>
      </w:pPr>
      <w:r>
        <w:rPr>
          <w:rFonts w:hint="eastAsia"/>
          <w:b/>
          <w:bCs/>
          <w:sz w:val="21"/>
          <w:szCs w:val="21"/>
        </w:rPr>
        <w:t>(58)珠海盈米基金销售有限公司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www.yingmi.cn </w:t>
            </w:r>
          </w:p>
        </w:tc>
      </w:tr>
    </w:tbl>
    <w:p>
      <w:pPr>
        <w:pStyle w:val="8"/>
        <w:spacing w:before="0" w:beforeAutospacing="0" w:after="0" w:afterAutospacing="0" w:line="360" w:lineRule="auto"/>
        <w:ind w:firstLine="420"/>
        <w:rPr>
          <w:sz w:val="21"/>
          <w:szCs w:val="21"/>
        </w:rPr>
      </w:pPr>
      <w:r>
        <w:rPr>
          <w:rFonts w:hint="eastAsia"/>
          <w:b/>
          <w:bCs/>
          <w:sz w:val="21"/>
          <w:szCs w:val="21"/>
        </w:rPr>
        <w:t>(59)奕丰基金销售有限公司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深圳市前海深港合作区前湾一路1号A 栋 201 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深圳市南山区海德三路海岸大厦东座1116室及1307室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TAN YIK KUAN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许雅君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0755-89460502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0755-21674453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0755-89460500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www.ifastps.com.cn </w:t>
            </w:r>
          </w:p>
        </w:tc>
      </w:tr>
    </w:tbl>
    <w:p>
      <w:pPr>
        <w:pStyle w:val="8"/>
        <w:spacing w:before="0" w:beforeAutospacing="0" w:after="0" w:afterAutospacing="0" w:line="360" w:lineRule="auto"/>
        <w:ind w:firstLine="420"/>
        <w:rPr>
          <w:sz w:val="21"/>
          <w:szCs w:val="21"/>
        </w:rPr>
      </w:pPr>
      <w:r>
        <w:rPr>
          <w:rFonts w:hint="eastAsia"/>
          <w:b/>
          <w:bCs/>
          <w:sz w:val="21"/>
          <w:szCs w:val="21"/>
        </w:rPr>
        <w:t>(60)中证金牛（北京）投资咨询有限公司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www.jnlc.com </w:t>
            </w:r>
          </w:p>
        </w:tc>
      </w:tr>
    </w:tbl>
    <w:p>
      <w:pPr>
        <w:pStyle w:val="8"/>
        <w:spacing w:before="0" w:beforeAutospacing="0" w:after="0" w:afterAutospacing="0" w:line="360" w:lineRule="auto"/>
        <w:ind w:firstLine="420"/>
        <w:rPr>
          <w:sz w:val="21"/>
          <w:szCs w:val="21"/>
        </w:rPr>
      </w:pPr>
      <w:r>
        <w:rPr>
          <w:rFonts w:hint="eastAsia"/>
          <w:b/>
          <w:bCs/>
          <w:sz w:val="21"/>
          <w:szCs w:val="21"/>
        </w:rPr>
        <w:t>(61)京东肯特瑞基金销售有限公司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http://jr.jd.com/ </w:t>
            </w:r>
          </w:p>
        </w:tc>
      </w:tr>
    </w:tbl>
    <w:p>
      <w:pPr>
        <w:pStyle w:val="8"/>
        <w:spacing w:before="0" w:beforeAutospacing="0" w:after="0" w:afterAutospacing="0" w:line="360" w:lineRule="auto"/>
        <w:ind w:firstLine="420"/>
        <w:rPr>
          <w:sz w:val="21"/>
          <w:szCs w:val="21"/>
        </w:rPr>
      </w:pPr>
      <w:r>
        <w:rPr>
          <w:rFonts w:hint="eastAsia"/>
          <w:b/>
          <w:bCs/>
          <w:sz w:val="21"/>
          <w:szCs w:val="21"/>
        </w:rPr>
        <w:t>(62)深圳市金斧子基金销售有限公司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www.jfzinv.com </w:t>
            </w:r>
          </w:p>
        </w:tc>
      </w:tr>
    </w:tbl>
    <w:p>
      <w:pPr>
        <w:pStyle w:val="8"/>
        <w:spacing w:before="0" w:beforeAutospacing="0" w:after="0" w:afterAutospacing="0" w:line="360" w:lineRule="auto"/>
        <w:ind w:firstLine="420"/>
        <w:rPr>
          <w:sz w:val="21"/>
          <w:szCs w:val="21"/>
        </w:rPr>
      </w:pPr>
      <w:r>
        <w:rPr>
          <w:rFonts w:hint="eastAsia"/>
          <w:b/>
          <w:bCs/>
          <w:sz w:val="21"/>
          <w:szCs w:val="21"/>
        </w:rPr>
        <w:t>(63)北京蛋卷基金销售有限公司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钟斐斐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danjuanapp.com </w:t>
            </w:r>
          </w:p>
        </w:tc>
      </w:tr>
    </w:tbl>
    <w:p>
      <w:pPr>
        <w:pStyle w:val="8"/>
        <w:spacing w:before="0" w:beforeAutospacing="0" w:after="0" w:afterAutospacing="0" w:line="360" w:lineRule="auto"/>
        <w:ind w:firstLine="420"/>
        <w:rPr>
          <w:sz w:val="21"/>
          <w:szCs w:val="21"/>
        </w:rPr>
      </w:pPr>
      <w:r>
        <w:rPr>
          <w:rFonts w:hint="eastAsia"/>
          <w:b/>
          <w:bCs/>
          <w:sz w:val="21"/>
          <w:szCs w:val="21"/>
        </w:rPr>
        <w:t>(64)天津万家财富资产管理有限公司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http://www.wanjiawealth.com/ </w:t>
            </w:r>
          </w:p>
        </w:tc>
      </w:tr>
    </w:tbl>
    <w:p>
      <w:pPr>
        <w:pStyle w:val="8"/>
        <w:spacing w:before="0" w:beforeAutospacing="0" w:after="0" w:afterAutospacing="0" w:line="360" w:lineRule="auto"/>
        <w:ind w:firstLine="420"/>
        <w:rPr>
          <w:sz w:val="21"/>
          <w:szCs w:val="21"/>
        </w:rPr>
      </w:pPr>
      <w:r>
        <w:rPr>
          <w:rFonts w:hint="eastAsia"/>
          <w:b/>
          <w:bCs/>
          <w:sz w:val="21"/>
          <w:szCs w:val="21"/>
        </w:rPr>
        <w:t>(65)中信期货有限公司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李琪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www.citicsf.com </w:t>
            </w:r>
          </w:p>
        </w:tc>
      </w:tr>
    </w:tbl>
    <w:p>
      <w:pPr>
        <w:pStyle w:val="8"/>
        <w:spacing w:before="0" w:beforeAutospacing="0" w:after="0" w:afterAutospacing="0" w:line="360" w:lineRule="auto"/>
        <w:ind w:firstLine="420"/>
        <w:rPr>
          <w:sz w:val="21"/>
          <w:szCs w:val="21"/>
        </w:rPr>
      </w:pPr>
      <w:r>
        <w:rPr>
          <w:rFonts w:hint="eastAsia"/>
          <w:b/>
          <w:bCs/>
          <w:sz w:val="21"/>
          <w:szCs w:val="21"/>
        </w:rPr>
        <w:t>(66)弘业期货股份有限公司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周剑秋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孙朝旺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025-52278870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025-52313068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400-828-1288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www.ftol.com.cn </w:t>
            </w:r>
          </w:p>
        </w:tc>
      </w:tr>
    </w:tbl>
    <w:p>
      <w:pPr>
        <w:pStyle w:val="8"/>
        <w:spacing w:before="0" w:beforeAutospacing="0" w:after="0" w:afterAutospacing="0" w:line="360" w:lineRule="auto"/>
        <w:ind w:firstLine="420"/>
        <w:rPr>
          <w:sz w:val="21"/>
          <w:szCs w:val="21"/>
        </w:rPr>
      </w:pPr>
      <w:r>
        <w:rPr>
          <w:rFonts w:hint="eastAsia"/>
          <w:b/>
          <w:bCs/>
          <w:sz w:val="21"/>
          <w:szCs w:val="21"/>
        </w:rPr>
        <w:t>(67)国泰君安证券股份有限公司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https://www.gtja.com  </w:t>
            </w:r>
          </w:p>
        </w:tc>
      </w:tr>
    </w:tbl>
    <w:p>
      <w:pPr>
        <w:pStyle w:val="8"/>
        <w:spacing w:before="0" w:beforeAutospacing="0" w:after="0" w:afterAutospacing="0" w:line="360" w:lineRule="auto"/>
        <w:ind w:firstLine="420"/>
        <w:rPr>
          <w:sz w:val="21"/>
          <w:szCs w:val="21"/>
        </w:rPr>
      </w:pPr>
      <w:r>
        <w:rPr>
          <w:rFonts w:hint="eastAsia"/>
          <w:b/>
          <w:bCs/>
          <w:sz w:val="21"/>
          <w:szCs w:val="21"/>
        </w:rPr>
        <w:t>(68)中信建投证券股份有限公司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李凯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http://www.csc108.com/ </w:t>
            </w:r>
          </w:p>
        </w:tc>
      </w:tr>
    </w:tbl>
    <w:p>
      <w:pPr>
        <w:pStyle w:val="8"/>
        <w:spacing w:before="0" w:beforeAutospacing="0" w:after="0" w:afterAutospacing="0" w:line="360" w:lineRule="auto"/>
        <w:ind w:firstLine="420"/>
        <w:rPr>
          <w:sz w:val="21"/>
          <w:szCs w:val="21"/>
        </w:rPr>
      </w:pPr>
      <w:r>
        <w:rPr>
          <w:rFonts w:hint="eastAsia"/>
          <w:b/>
          <w:bCs/>
          <w:sz w:val="21"/>
          <w:szCs w:val="21"/>
        </w:rPr>
        <w:t>(69)国信证券股份有限公司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深圳市罗湖区红岭中路1010号国际信托大厦21楼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http://www.guosen.com.cn/ </w:t>
            </w:r>
          </w:p>
        </w:tc>
      </w:tr>
    </w:tbl>
    <w:p>
      <w:pPr>
        <w:pStyle w:val="8"/>
        <w:spacing w:before="0" w:beforeAutospacing="0" w:after="0" w:afterAutospacing="0" w:line="360" w:lineRule="auto"/>
        <w:ind w:firstLine="420"/>
        <w:rPr>
          <w:sz w:val="21"/>
          <w:szCs w:val="21"/>
        </w:rPr>
      </w:pPr>
      <w:r>
        <w:rPr>
          <w:rFonts w:hint="eastAsia"/>
          <w:b/>
          <w:bCs/>
          <w:sz w:val="21"/>
          <w:szCs w:val="21"/>
        </w:rPr>
        <w:t>(70)招商证券股份有限公司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http://www.newone.com.cn/ </w:t>
            </w:r>
          </w:p>
        </w:tc>
      </w:tr>
    </w:tbl>
    <w:p>
      <w:pPr>
        <w:pStyle w:val="8"/>
        <w:spacing w:before="0" w:beforeAutospacing="0" w:after="0" w:afterAutospacing="0" w:line="360" w:lineRule="auto"/>
        <w:ind w:firstLine="420"/>
        <w:rPr>
          <w:sz w:val="21"/>
          <w:szCs w:val="21"/>
        </w:rPr>
      </w:pPr>
      <w:r>
        <w:rPr>
          <w:rFonts w:hint="eastAsia"/>
          <w:b/>
          <w:bCs/>
          <w:sz w:val="21"/>
          <w:szCs w:val="21"/>
        </w:rPr>
        <w:t>(71)广发证券股份有限公司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孙树明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http://www.gf.com.cn/ </w:t>
            </w:r>
          </w:p>
        </w:tc>
      </w:tr>
    </w:tbl>
    <w:p>
      <w:pPr>
        <w:pStyle w:val="8"/>
        <w:spacing w:before="0" w:beforeAutospacing="0" w:after="0" w:afterAutospacing="0" w:line="360" w:lineRule="auto"/>
        <w:ind w:firstLine="420"/>
        <w:rPr>
          <w:sz w:val="21"/>
          <w:szCs w:val="21"/>
        </w:rPr>
      </w:pPr>
      <w:r>
        <w:rPr>
          <w:rFonts w:hint="eastAsia"/>
          <w:b/>
          <w:bCs/>
          <w:sz w:val="21"/>
          <w:szCs w:val="21"/>
        </w:rPr>
        <w:t>(72)中信证券股份有限公司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马静懿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http://www.cs.ecitic.com/ </w:t>
            </w:r>
          </w:p>
        </w:tc>
      </w:tr>
    </w:tbl>
    <w:p>
      <w:pPr>
        <w:pStyle w:val="8"/>
        <w:spacing w:before="0" w:beforeAutospacing="0" w:after="0" w:afterAutospacing="0" w:line="360" w:lineRule="auto"/>
        <w:ind w:firstLine="420"/>
        <w:rPr>
          <w:sz w:val="21"/>
          <w:szCs w:val="21"/>
        </w:rPr>
      </w:pPr>
      <w:r>
        <w:rPr>
          <w:rFonts w:hint="eastAsia"/>
          <w:b/>
          <w:bCs/>
          <w:sz w:val="21"/>
          <w:szCs w:val="21"/>
        </w:rPr>
        <w:t>(73)中国银河证券股份有限公司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北京市西城区金融大街35号2-6层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陈共炎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 www.chinastock.com.cn/ </w:t>
            </w:r>
          </w:p>
        </w:tc>
      </w:tr>
    </w:tbl>
    <w:p>
      <w:pPr>
        <w:pStyle w:val="8"/>
        <w:spacing w:before="0" w:beforeAutospacing="0" w:after="0" w:afterAutospacing="0" w:line="360" w:lineRule="auto"/>
        <w:ind w:firstLine="420"/>
        <w:rPr>
          <w:sz w:val="21"/>
          <w:szCs w:val="21"/>
        </w:rPr>
      </w:pPr>
      <w:r>
        <w:rPr>
          <w:rFonts w:hint="eastAsia"/>
          <w:b/>
          <w:bCs/>
          <w:sz w:val="21"/>
          <w:szCs w:val="21"/>
        </w:rPr>
        <w:t>(74)海通证券股份有限公司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http://www.htsec.com/ </w:t>
            </w:r>
          </w:p>
        </w:tc>
      </w:tr>
    </w:tbl>
    <w:p>
      <w:pPr>
        <w:pStyle w:val="8"/>
        <w:spacing w:before="0" w:beforeAutospacing="0" w:after="0" w:afterAutospacing="0" w:line="360" w:lineRule="auto"/>
        <w:ind w:firstLine="420"/>
        <w:rPr>
          <w:sz w:val="21"/>
          <w:szCs w:val="21"/>
        </w:rPr>
      </w:pPr>
      <w:r>
        <w:rPr>
          <w:rFonts w:hint="eastAsia"/>
          <w:b/>
          <w:bCs/>
          <w:sz w:val="21"/>
          <w:szCs w:val="21"/>
        </w:rPr>
        <w:t>(75)申万宏源证券有限公司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021-33388252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www.swhysc.com </w:t>
            </w:r>
          </w:p>
        </w:tc>
      </w:tr>
    </w:tbl>
    <w:p>
      <w:pPr>
        <w:pStyle w:val="8"/>
        <w:spacing w:before="0" w:beforeAutospacing="0" w:after="0" w:afterAutospacing="0" w:line="360" w:lineRule="auto"/>
        <w:ind w:firstLine="420"/>
        <w:rPr>
          <w:sz w:val="21"/>
          <w:szCs w:val="21"/>
        </w:rPr>
      </w:pPr>
      <w:r>
        <w:rPr>
          <w:rFonts w:hint="eastAsia"/>
          <w:b/>
          <w:bCs/>
          <w:sz w:val="21"/>
          <w:szCs w:val="21"/>
        </w:rPr>
        <w:t>(76)长江证券股份有限公司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http://www.95579.com/ </w:t>
            </w:r>
          </w:p>
        </w:tc>
      </w:tr>
    </w:tbl>
    <w:p>
      <w:pPr>
        <w:pStyle w:val="8"/>
        <w:spacing w:before="0" w:beforeAutospacing="0" w:after="0" w:afterAutospacing="0" w:line="360" w:lineRule="auto"/>
        <w:ind w:firstLine="420"/>
        <w:rPr>
          <w:sz w:val="21"/>
          <w:szCs w:val="21"/>
        </w:rPr>
      </w:pPr>
      <w:r>
        <w:rPr>
          <w:rFonts w:hint="eastAsia"/>
          <w:b/>
          <w:bCs/>
          <w:sz w:val="21"/>
          <w:szCs w:val="21"/>
        </w:rPr>
        <w:t>(77)安信证券股份有限公司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深圳市福田区金田路4018号安联大厦35层、28层A02单元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深圳市福田区金田路4018号安联大厦35层、28层A02单元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0755-82558323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0755－82558355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http://www.essence.com.cn </w:t>
            </w:r>
          </w:p>
        </w:tc>
      </w:tr>
    </w:tbl>
    <w:p>
      <w:pPr>
        <w:pStyle w:val="8"/>
        <w:spacing w:before="0" w:beforeAutospacing="0" w:after="0" w:afterAutospacing="0" w:line="360" w:lineRule="auto"/>
        <w:ind w:firstLine="420"/>
        <w:rPr>
          <w:sz w:val="21"/>
          <w:szCs w:val="21"/>
        </w:rPr>
      </w:pPr>
      <w:r>
        <w:rPr>
          <w:rFonts w:hint="eastAsia"/>
          <w:b/>
          <w:bCs/>
          <w:sz w:val="21"/>
          <w:szCs w:val="21"/>
        </w:rPr>
        <w:t>(78)西南证券股份有限公司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重庆市江北区桥北苑8号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重庆市江北区桥北苑8号西南证券大厦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廖庆轩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周青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023-67616310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023-63786212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4008096096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http://www.swsc.com.cn </w:t>
            </w:r>
          </w:p>
        </w:tc>
      </w:tr>
    </w:tbl>
    <w:p>
      <w:pPr>
        <w:pStyle w:val="8"/>
        <w:spacing w:before="0" w:beforeAutospacing="0" w:after="0" w:afterAutospacing="0" w:line="360" w:lineRule="auto"/>
        <w:ind w:firstLine="420"/>
        <w:rPr>
          <w:sz w:val="21"/>
          <w:szCs w:val="21"/>
        </w:rPr>
      </w:pPr>
      <w:r>
        <w:rPr>
          <w:rFonts w:hint="eastAsia"/>
          <w:b/>
          <w:bCs/>
          <w:sz w:val="21"/>
          <w:szCs w:val="21"/>
        </w:rPr>
        <w:t>(79)湘财证券股份有限公司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孙永祥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江恩前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021-38784580-8920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http://www.xcsc.com </w:t>
            </w:r>
          </w:p>
        </w:tc>
      </w:tr>
    </w:tbl>
    <w:p>
      <w:pPr>
        <w:pStyle w:val="8"/>
        <w:spacing w:before="0" w:beforeAutospacing="0" w:after="0" w:afterAutospacing="0" w:line="360" w:lineRule="auto"/>
        <w:ind w:firstLine="420"/>
        <w:rPr>
          <w:sz w:val="21"/>
          <w:szCs w:val="21"/>
        </w:rPr>
      </w:pPr>
      <w:r>
        <w:rPr>
          <w:rFonts w:hint="eastAsia"/>
          <w:b/>
          <w:bCs/>
          <w:sz w:val="21"/>
          <w:szCs w:val="21"/>
        </w:rPr>
        <w:t>(80)万联证券股份有限公司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广州市天河区珠江东路11号18、19楼全层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广东省广州市天河区珠江东路13号高德置地广场E座12层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袁笑一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丁思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020-83988334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020－22373718－1013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http://www.wlzq.cn </w:t>
            </w:r>
          </w:p>
        </w:tc>
      </w:tr>
    </w:tbl>
    <w:p>
      <w:pPr>
        <w:pStyle w:val="8"/>
        <w:spacing w:before="0" w:beforeAutospacing="0" w:after="0" w:afterAutospacing="0" w:line="360" w:lineRule="auto"/>
        <w:ind w:firstLine="420"/>
        <w:rPr>
          <w:sz w:val="21"/>
          <w:szCs w:val="21"/>
        </w:rPr>
      </w:pPr>
      <w:r>
        <w:rPr>
          <w:rFonts w:hint="eastAsia"/>
          <w:b/>
          <w:bCs/>
          <w:sz w:val="21"/>
          <w:szCs w:val="21"/>
        </w:rPr>
        <w:t>(81)民生证券股份有限公司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北京市东城区建国门内大街28号民生金融中心A座16-18层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北京市东城区建国门内大街28号民生金融中心A座16-20层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余政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赵明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010-85127622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010-85127917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4006198888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www.mszq.com </w:t>
            </w:r>
          </w:p>
        </w:tc>
      </w:tr>
    </w:tbl>
    <w:p>
      <w:pPr>
        <w:pStyle w:val="8"/>
        <w:spacing w:before="0" w:beforeAutospacing="0" w:after="0" w:afterAutospacing="0" w:line="360" w:lineRule="auto"/>
        <w:ind w:firstLine="420"/>
        <w:rPr>
          <w:sz w:val="21"/>
          <w:szCs w:val="21"/>
        </w:rPr>
      </w:pPr>
      <w:r>
        <w:rPr>
          <w:rFonts w:hint="eastAsia"/>
          <w:b/>
          <w:bCs/>
          <w:sz w:val="21"/>
          <w:szCs w:val="21"/>
        </w:rPr>
        <w:t>(82)国元证券股份有限公司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凤良志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李蔡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0551－2272101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0551－2272100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全国统一热线4008888777，安徽省内热线96888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http://www.gyzq.com.cn </w:t>
            </w:r>
          </w:p>
        </w:tc>
      </w:tr>
    </w:tbl>
    <w:p>
      <w:pPr>
        <w:pStyle w:val="8"/>
        <w:spacing w:before="0" w:beforeAutospacing="0" w:after="0" w:afterAutospacing="0" w:line="360" w:lineRule="auto"/>
        <w:ind w:firstLine="420"/>
        <w:rPr>
          <w:sz w:val="21"/>
          <w:szCs w:val="21"/>
        </w:rPr>
      </w:pPr>
      <w:r>
        <w:rPr>
          <w:rFonts w:hint="eastAsia"/>
          <w:b/>
          <w:bCs/>
          <w:sz w:val="21"/>
          <w:szCs w:val="21"/>
        </w:rPr>
        <w:t>(83)渤海证券股份有限公司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天津经济技术开发区第二大街42号写字楼101室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天津市南开区宾水西道8号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安志勇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王星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022-23861692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022－28451892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4006515988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http://www.ewww.com.cn </w:t>
            </w:r>
          </w:p>
        </w:tc>
      </w:tr>
    </w:tbl>
    <w:p>
      <w:pPr>
        <w:pStyle w:val="8"/>
        <w:spacing w:before="0" w:beforeAutospacing="0" w:after="0" w:afterAutospacing="0" w:line="360" w:lineRule="auto"/>
        <w:ind w:firstLine="420"/>
        <w:rPr>
          <w:sz w:val="21"/>
          <w:szCs w:val="21"/>
        </w:rPr>
      </w:pPr>
      <w:r>
        <w:rPr>
          <w:rFonts w:hint="eastAsia"/>
          <w:b/>
          <w:bCs/>
          <w:sz w:val="21"/>
          <w:szCs w:val="21"/>
        </w:rPr>
        <w:t>(84)华泰证券股份有限公司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办公地址 南京市建邺区江东中路228号华泰证券广场、深圳市福田区深南大道4011号港中旅大厦18楼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陈森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0755-82492962（深圳）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http://www.htsc.com.cn/ </w:t>
            </w:r>
          </w:p>
        </w:tc>
      </w:tr>
    </w:tbl>
    <w:p>
      <w:pPr>
        <w:pStyle w:val="8"/>
        <w:spacing w:before="0" w:beforeAutospacing="0" w:after="0" w:afterAutospacing="0" w:line="360" w:lineRule="auto"/>
        <w:ind w:firstLine="420"/>
        <w:rPr>
          <w:sz w:val="21"/>
          <w:szCs w:val="21"/>
        </w:rPr>
      </w:pPr>
      <w:r>
        <w:rPr>
          <w:rFonts w:hint="eastAsia"/>
          <w:b/>
          <w:bCs/>
          <w:sz w:val="21"/>
          <w:szCs w:val="21"/>
        </w:rPr>
        <w:t>(85)中信证券（山东）有限责任公司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孙秋月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http://www.cs.ecitic.com/newsite/ </w:t>
            </w:r>
          </w:p>
        </w:tc>
      </w:tr>
    </w:tbl>
    <w:p>
      <w:pPr>
        <w:pStyle w:val="8"/>
        <w:spacing w:before="0" w:beforeAutospacing="0" w:after="0" w:afterAutospacing="0" w:line="360" w:lineRule="auto"/>
        <w:ind w:firstLine="420"/>
        <w:rPr>
          <w:sz w:val="21"/>
          <w:szCs w:val="21"/>
        </w:rPr>
      </w:pPr>
      <w:r>
        <w:rPr>
          <w:rFonts w:hint="eastAsia"/>
          <w:b/>
          <w:bCs/>
          <w:sz w:val="21"/>
          <w:szCs w:val="21"/>
        </w:rPr>
        <w:t>(86)东兴证券股份有限公司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北京市西城区金融大街5号（新盛大厦）12、15层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北京市西城区金融大街5号新盛大厦B座12-15层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魏庆华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郑旷怡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010-66559039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010-66555133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http://www.dxzq.net </w:t>
            </w:r>
          </w:p>
        </w:tc>
      </w:tr>
    </w:tbl>
    <w:p>
      <w:pPr>
        <w:pStyle w:val="8"/>
        <w:spacing w:before="0" w:beforeAutospacing="0" w:after="0" w:afterAutospacing="0" w:line="360" w:lineRule="auto"/>
        <w:ind w:firstLine="420"/>
        <w:rPr>
          <w:sz w:val="21"/>
          <w:szCs w:val="21"/>
        </w:rPr>
      </w:pPr>
      <w:r>
        <w:rPr>
          <w:rFonts w:hint="eastAsia"/>
          <w:b/>
          <w:bCs/>
          <w:sz w:val="21"/>
          <w:szCs w:val="21"/>
        </w:rPr>
        <w:t>(87)东吴证券股份有限公司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http://www.dwjq.com.cn </w:t>
            </w:r>
          </w:p>
        </w:tc>
      </w:tr>
    </w:tbl>
    <w:p>
      <w:pPr>
        <w:pStyle w:val="8"/>
        <w:spacing w:before="0" w:beforeAutospacing="0" w:after="0" w:afterAutospacing="0" w:line="360" w:lineRule="auto"/>
        <w:ind w:firstLine="420"/>
        <w:rPr>
          <w:sz w:val="21"/>
          <w:szCs w:val="21"/>
        </w:rPr>
      </w:pPr>
      <w:r>
        <w:rPr>
          <w:rFonts w:hint="eastAsia"/>
          <w:b/>
          <w:bCs/>
          <w:sz w:val="21"/>
          <w:szCs w:val="21"/>
        </w:rPr>
        <w:t>(88)信达证券股份有限公司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张志刚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http://www.cindasc.com </w:t>
            </w:r>
          </w:p>
        </w:tc>
      </w:tr>
    </w:tbl>
    <w:p>
      <w:pPr>
        <w:pStyle w:val="8"/>
        <w:spacing w:before="0" w:beforeAutospacing="0" w:after="0" w:afterAutospacing="0" w:line="360" w:lineRule="auto"/>
        <w:ind w:firstLine="420"/>
        <w:rPr>
          <w:sz w:val="21"/>
          <w:szCs w:val="21"/>
        </w:rPr>
      </w:pPr>
      <w:r>
        <w:rPr>
          <w:rFonts w:hint="eastAsia"/>
          <w:b/>
          <w:bCs/>
          <w:sz w:val="21"/>
          <w:szCs w:val="21"/>
        </w:rPr>
        <w:t>(89)方正证券股份有限公司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http://www.foundersc.com </w:t>
            </w:r>
          </w:p>
        </w:tc>
      </w:tr>
    </w:tbl>
    <w:p>
      <w:pPr>
        <w:pStyle w:val="8"/>
        <w:spacing w:before="0" w:beforeAutospacing="0" w:after="0" w:afterAutospacing="0" w:line="360" w:lineRule="auto"/>
        <w:ind w:firstLine="420"/>
        <w:rPr>
          <w:sz w:val="21"/>
          <w:szCs w:val="21"/>
        </w:rPr>
      </w:pPr>
      <w:r>
        <w:rPr>
          <w:rFonts w:hint="eastAsia"/>
          <w:b/>
          <w:bCs/>
          <w:sz w:val="21"/>
          <w:szCs w:val="21"/>
        </w:rPr>
        <w:t>(90)长城证券股份有限公司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深圳市深南大道6008号特区报业大厦16、17层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深圳市深南大道6008号特区报业大厦14、16、17层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丁益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沈晓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0755-83464734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0755－83515567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4006666888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http://www.cgws.com </w:t>
            </w:r>
          </w:p>
        </w:tc>
      </w:tr>
    </w:tbl>
    <w:p>
      <w:pPr>
        <w:pStyle w:val="8"/>
        <w:spacing w:before="0" w:beforeAutospacing="0" w:after="0" w:afterAutospacing="0" w:line="360" w:lineRule="auto"/>
        <w:ind w:firstLine="420"/>
        <w:rPr>
          <w:sz w:val="21"/>
          <w:szCs w:val="21"/>
        </w:rPr>
      </w:pPr>
      <w:r>
        <w:rPr>
          <w:rFonts w:hint="eastAsia"/>
          <w:b/>
          <w:bCs/>
          <w:sz w:val="21"/>
          <w:szCs w:val="21"/>
        </w:rPr>
        <w:t>(91)光大证券股份有限公司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http://www.ebscn.com/ </w:t>
            </w:r>
          </w:p>
        </w:tc>
      </w:tr>
    </w:tbl>
    <w:p>
      <w:pPr>
        <w:pStyle w:val="8"/>
        <w:spacing w:before="0" w:beforeAutospacing="0" w:after="0" w:afterAutospacing="0" w:line="360" w:lineRule="auto"/>
        <w:ind w:firstLine="420"/>
        <w:rPr>
          <w:sz w:val="21"/>
          <w:szCs w:val="21"/>
        </w:rPr>
      </w:pPr>
      <w:r>
        <w:rPr>
          <w:rFonts w:hint="eastAsia"/>
          <w:b/>
          <w:bCs/>
          <w:sz w:val="21"/>
          <w:szCs w:val="21"/>
        </w:rPr>
        <w:t>(92)中信证券华南股份有限公司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宋丽雪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http://www.gzs.com.cn </w:t>
            </w:r>
          </w:p>
        </w:tc>
      </w:tr>
    </w:tbl>
    <w:p>
      <w:pPr>
        <w:pStyle w:val="8"/>
        <w:spacing w:before="0" w:beforeAutospacing="0" w:after="0" w:afterAutospacing="0" w:line="360" w:lineRule="auto"/>
        <w:ind w:firstLine="420"/>
        <w:rPr>
          <w:sz w:val="21"/>
          <w:szCs w:val="21"/>
        </w:rPr>
      </w:pPr>
      <w:r>
        <w:rPr>
          <w:rFonts w:hint="eastAsia"/>
          <w:b/>
          <w:bCs/>
          <w:sz w:val="21"/>
          <w:szCs w:val="21"/>
        </w:rPr>
        <w:t>(93)东北证券股份有限公司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http://www.nesc.cn </w:t>
            </w:r>
          </w:p>
        </w:tc>
      </w:tr>
    </w:tbl>
    <w:p>
      <w:pPr>
        <w:pStyle w:val="8"/>
        <w:spacing w:before="0" w:beforeAutospacing="0" w:after="0" w:afterAutospacing="0" w:line="360" w:lineRule="auto"/>
        <w:ind w:firstLine="420"/>
        <w:rPr>
          <w:sz w:val="21"/>
          <w:szCs w:val="21"/>
        </w:rPr>
      </w:pPr>
      <w:r>
        <w:rPr>
          <w:rFonts w:hint="eastAsia"/>
          <w:b/>
          <w:bCs/>
          <w:sz w:val="21"/>
          <w:szCs w:val="21"/>
        </w:rPr>
        <w:t>(94)上海证券有限责任公司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https://www.shzq.com/ </w:t>
            </w:r>
          </w:p>
        </w:tc>
      </w:tr>
    </w:tbl>
    <w:p>
      <w:pPr>
        <w:pStyle w:val="8"/>
        <w:spacing w:before="0" w:beforeAutospacing="0" w:after="0" w:afterAutospacing="0" w:line="360" w:lineRule="auto"/>
        <w:ind w:firstLine="420"/>
        <w:rPr>
          <w:sz w:val="21"/>
          <w:szCs w:val="21"/>
        </w:rPr>
      </w:pPr>
      <w:r>
        <w:rPr>
          <w:rFonts w:hint="eastAsia"/>
          <w:b/>
          <w:bCs/>
          <w:sz w:val="21"/>
          <w:szCs w:val="21"/>
        </w:rPr>
        <w:t>(95)新时代证券股份有限公司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叶顺德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田芳芳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010-83561000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010-83561001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http://www.xsdzq.cn </w:t>
            </w:r>
          </w:p>
        </w:tc>
      </w:tr>
    </w:tbl>
    <w:p>
      <w:pPr>
        <w:pStyle w:val="8"/>
        <w:spacing w:before="0" w:beforeAutospacing="0" w:after="0" w:afterAutospacing="0" w:line="360" w:lineRule="auto"/>
        <w:ind w:firstLine="420"/>
        <w:rPr>
          <w:sz w:val="21"/>
          <w:szCs w:val="21"/>
        </w:rPr>
      </w:pPr>
      <w:r>
        <w:rPr>
          <w:rFonts w:hint="eastAsia"/>
          <w:b/>
          <w:bCs/>
          <w:sz w:val="21"/>
          <w:szCs w:val="21"/>
        </w:rPr>
        <w:t>(96)大同证券有限责任公司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大同市城区迎宾街15号桐城中央21层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太原市长治路111 号山西世贸中心A 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0351－4192803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http://www.dtsbc.com.cn </w:t>
            </w:r>
          </w:p>
        </w:tc>
      </w:tr>
    </w:tbl>
    <w:p>
      <w:pPr>
        <w:pStyle w:val="8"/>
        <w:spacing w:before="0" w:beforeAutospacing="0" w:after="0" w:afterAutospacing="0" w:line="360" w:lineRule="auto"/>
        <w:ind w:firstLine="420"/>
        <w:rPr>
          <w:sz w:val="21"/>
          <w:szCs w:val="21"/>
        </w:rPr>
      </w:pPr>
      <w:r>
        <w:rPr>
          <w:rFonts w:hint="eastAsia"/>
          <w:b/>
          <w:bCs/>
          <w:sz w:val="21"/>
          <w:szCs w:val="21"/>
        </w:rPr>
        <w:t>(97)国联证券股份有限公司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无锡市县前东街168号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江苏省无锡市太湖新城金融一街8号国联金融大厦702室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姚志勇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祁昊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0510-82831662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0510-82830162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http://www.glsc.com.cn </w:t>
            </w:r>
          </w:p>
        </w:tc>
      </w:tr>
    </w:tbl>
    <w:p>
      <w:pPr>
        <w:pStyle w:val="8"/>
        <w:spacing w:before="0" w:beforeAutospacing="0" w:after="0" w:afterAutospacing="0" w:line="360" w:lineRule="auto"/>
        <w:ind w:firstLine="420"/>
        <w:rPr>
          <w:sz w:val="21"/>
          <w:szCs w:val="21"/>
        </w:rPr>
      </w:pPr>
      <w:r>
        <w:rPr>
          <w:rFonts w:hint="eastAsia"/>
          <w:b/>
          <w:bCs/>
          <w:sz w:val="21"/>
          <w:szCs w:val="21"/>
        </w:rPr>
        <w:t>(98)浙商证券股份有限公司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浙江省杭州市江干区五星路201号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浙江省杭州市江干区四季青街道五星路201号浙商证券5楼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吴承根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胡相斌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0571-87902239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0571－87901913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http://www.stocke.com.cn/ </w:t>
            </w:r>
          </w:p>
        </w:tc>
      </w:tr>
    </w:tbl>
    <w:p>
      <w:pPr>
        <w:pStyle w:val="8"/>
        <w:spacing w:before="0" w:beforeAutospacing="0" w:after="0" w:afterAutospacing="0" w:line="360" w:lineRule="auto"/>
        <w:ind w:firstLine="420"/>
        <w:rPr>
          <w:sz w:val="21"/>
          <w:szCs w:val="21"/>
        </w:rPr>
      </w:pPr>
      <w:r>
        <w:rPr>
          <w:rFonts w:hint="eastAsia"/>
          <w:b/>
          <w:bCs/>
          <w:sz w:val="21"/>
          <w:szCs w:val="21"/>
        </w:rPr>
        <w:t>(99)平安证券股份有限公司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http:www.stock.pingan.com </w:t>
            </w:r>
          </w:p>
        </w:tc>
      </w:tr>
    </w:tbl>
    <w:p>
      <w:pPr>
        <w:pStyle w:val="8"/>
        <w:spacing w:before="0" w:beforeAutospacing="0" w:after="0" w:afterAutospacing="0" w:line="360" w:lineRule="auto"/>
        <w:ind w:firstLine="420"/>
        <w:rPr>
          <w:sz w:val="21"/>
          <w:szCs w:val="21"/>
        </w:rPr>
      </w:pPr>
      <w:r>
        <w:rPr>
          <w:rFonts w:hint="eastAsia"/>
          <w:b/>
          <w:bCs/>
          <w:sz w:val="21"/>
          <w:szCs w:val="21"/>
        </w:rPr>
        <w:t>(100)华安证券股份有限公司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安徽省合肥市政务文化新区天鹅湖路198号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安徽省合肥市南二环959号财智中心B1座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章宏韬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0551-65161821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0551－65161672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http://www.hazq.com/ </w:t>
            </w:r>
          </w:p>
        </w:tc>
      </w:tr>
    </w:tbl>
    <w:p>
      <w:pPr>
        <w:pStyle w:val="8"/>
        <w:spacing w:before="0" w:beforeAutospacing="0" w:after="0" w:afterAutospacing="0" w:line="360" w:lineRule="auto"/>
        <w:ind w:firstLine="420"/>
        <w:rPr>
          <w:sz w:val="21"/>
          <w:szCs w:val="21"/>
        </w:rPr>
      </w:pPr>
      <w:r>
        <w:rPr>
          <w:rFonts w:hint="eastAsia"/>
          <w:b/>
          <w:bCs/>
          <w:sz w:val="21"/>
          <w:szCs w:val="21"/>
        </w:rPr>
        <w:t>(101)国都证券股份有限公司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翁振杰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黄静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010-84183333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010-84183311-3389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400-818-8118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http://www.guodu.com </w:t>
            </w:r>
          </w:p>
        </w:tc>
      </w:tr>
    </w:tbl>
    <w:p>
      <w:pPr>
        <w:pStyle w:val="8"/>
        <w:spacing w:before="0" w:beforeAutospacing="0" w:after="0" w:afterAutospacing="0" w:line="360" w:lineRule="auto"/>
        <w:ind w:firstLine="420"/>
        <w:rPr>
          <w:sz w:val="21"/>
          <w:szCs w:val="21"/>
        </w:rPr>
      </w:pPr>
      <w:r>
        <w:rPr>
          <w:rFonts w:hint="eastAsia"/>
          <w:b/>
          <w:bCs/>
          <w:sz w:val="21"/>
          <w:szCs w:val="21"/>
        </w:rPr>
        <w:t>(102)东海证券股份有限公司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http://www.longone.com.cn </w:t>
            </w:r>
          </w:p>
        </w:tc>
      </w:tr>
    </w:tbl>
    <w:p>
      <w:pPr>
        <w:pStyle w:val="8"/>
        <w:spacing w:before="0" w:beforeAutospacing="0" w:after="0" w:afterAutospacing="0" w:line="360" w:lineRule="auto"/>
        <w:ind w:firstLine="420"/>
        <w:rPr>
          <w:sz w:val="21"/>
          <w:szCs w:val="21"/>
        </w:rPr>
      </w:pPr>
      <w:r>
        <w:rPr>
          <w:rFonts w:hint="eastAsia"/>
          <w:b/>
          <w:bCs/>
          <w:sz w:val="21"/>
          <w:szCs w:val="21"/>
        </w:rPr>
        <w:t>(103)恒泰证券股份有限公司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庞介民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0471－4972675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0471－4930707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400-196-6188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http://www.cnht.com.cn/ </w:t>
            </w:r>
          </w:p>
        </w:tc>
      </w:tr>
    </w:tbl>
    <w:p>
      <w:pPr>
        <w:pStyle w:val="8"/>
        <w:spacing w:before="0" w:beforeAutospacing="0" w:after="0" w:afterAutospacing="0" w:line="360" w:lineRule="auto"/>
        <w:ind w:firstLine="420"/>
        <w:rPr>
          <w:sz w:val="21"/>
          <w:szCs w:val="21"/>
        </w:rPr>
      </w:pPr>
      <w:r>
        <w:rPr>
          <w:rFonts w:hint="eastAsia"/>
          <w:b/>
          <w:bCs/>
          <w:sz w:val="21"/>
          <w:szCs w:val="21"/>
        </w:rPr>
        <w:t>(104)国盛证券有限责任公司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徐丽峰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4008222111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https://www.gszq.com/ </w:t>
            </w:r>
          </w:p>
        </w:tc>
      </w:tr>
    </w:tbl>
    <w:p>
      <w:pPr>
        <w:pStyle w:val="8"/>
        <w:spacing w:before="0" w:beforeAutospacing="0" w:after="0" w:afterAutospacing="0" w:line="360" w:lineRule="auto"/>
        <w:ind w:firstLine="420"/>
        <w:rPr>
          <w:sz w:val="21"/>
          <w:szCs w:val="21"/>
        </w:rPr>
      </w:pPr>
      <w:r>
        <w:rPr>
          <w:rFonts w:hint="eastAsia"/>
          <w:b/>
          <w:bCs/>
          <w:sz w:val="21"/>
          <w:szCs w:val="21"/>
        </w:rPr>
        <w:t>(105)华西证券股份有限公司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张彬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http://www.hx168.com.cn </w:t>
            </w:r>
          </w:p>
        </w:tc>
      </w:tr>
    </w:tbl>
    <w:p>
      <w:pPr>
        <w:pStyle w:val="8"/>
        <w:spacing w:before="0" w:beforeAutospacing="0" w:after="0" w:afterAutospacing="0" w:line="360" w:lineRule="auto"/>
        <w:ind w:firstLine="420"/>
        <w:rPr>
          <w:sz w:val="21"/>
          <w:szCs w:val="21"/>
        </w:rPr>
      </w:pPr>
      <w:r>
        <w:rPr>
          <w:rFonts w:hint="eastAsia"/>
          <w:b/>
          <w:bCs/>
          <w:sz w:val="21"/>
          <w:szCs w:val="21"/>
        </w:rPr>
        <w:t>(106)申万宏源西部证券有限公司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北京市西城区太平桥大街19号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李琦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021-3338825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4008000562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http://www.hysec.com </w:t>
            </w:r>
          </w:p>
        </w:tc>
      </w:tr>
    </w:tbl>
    <w:p>
      <w:pPr>
        <w:pStyle w:val="8"/>
        <w:spacing w:before="0" w:beforeAutospacing="0" w:after="0" w:afterAutospacing="0" w:line="360" w:lineRule="auto"/>
        <w:ind w:firstLine="420"/>
        <w:rPr>
          <w:sz w:val="21"/>
          <w:szCs w:val="21"/>
        </w:rPr>
      </w:pPr>
      <w:r>
        <w:rPr>
          <w:rFonts w:hint="eastAsia"/>
          <w:b/>
          <w:bCs/>
          <w:sz w:val="21"/>
          <w:szCs w:val="21"/>
        </w:rPr>
        <w:t>(107)中泰证券股份有限公司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www.zts.com.cn </w:t>
            </w:r>
          </w:p>
        </w:tc>
      </w:tr>
    </w:tbl>
    <w:p>
      <w:pPr>
        <w:pStyle w:val="8"/>
        <w:spacing w:before="0" w:beforeAutospacing="0" w:after="0" w:afterAutospacing="0" w:line="360" w:lineRule="auto"/>
        <w:ind w:firstLine="420"/>
        <w:rPr>
          <w:sz w:val="21"/>
          <w:szCs w:val="21"/>
        </w:rPr>
      </w:pPr>
      <w:r>
        <w:rPr>
          <w:rFonts w:hint="eastAsia"/>
          <w:b/>
          <w:bCs/>
          <w:sz w:val="21"/>
          <w:szCs w:val="21"/>
        </w:rPr>
        <w:t>(108)世纪证券有限责任公司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深圳市前海深港合作区南山街道桂湾五路128号前海深港基金小镇对冲基金中心406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广东省深圳市福田区福田街道金田路2026号能源大厦北塔23-25楼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李强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徐玲娟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0755-83199599-9135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0755－83199545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4008323000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http://www.csco.com.cn/ </w:t>
            </w:r>
          </w:p>
        </w:tc>
      </w:tr>
    </w:tbl>
    <w:p>
      <w:pPr>
        <w:pStyle w:val="8"/>
        <w:spacing w:before="0" w:beforeAutospacing="0" w:after="0" w:afterAutospacing="0" w:line="360" w:lineRule="auto"/>
        <w:ind w:firstLine="420"/>
        <w:rPr>
          <w:sz w:val="21"/>
          <w:szCs w:val="21"/>
        </w:rPr>
      </w:pPr>
      <w:r>
        <w:rPr>
          <w:rFonts w:hint="eastAsia"/>
          <w:b/>
          <w:bCs/>
          <w:sz w:val="21"/>
          <w:szCs w:val="21"/>
        </w:rPr>
        <w:t>(109)第一创业证券股份有限公司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http://www.firstcapital.com.cn/ </w:t>
            </w:r>
          </w:p>
        </w:tc>
      </w:tr>
    </w:tbl>
    <w:p>
      <w:pPr>
        <w:pStyle w:val="8"/>
        <w:spacing w:before="0" w:beforeAutospacing="0" w:after="0" w:afterAutospacing="0" w:line="360" w:lineRule="auto"/>
        <w:ind w:firstLine="420"/>
        <w:rPr>
          <w:sz w:val="21"/>
          <w:szCs w:val="21"/>
        </w:rPr>
      </w:pPr>
      <w:r>
        <w:rPr>
          <w:rFonts w:hint="eastAsia"/>
          <w:b/>
          <w:bCs/>
          <w:sz w:val="21"/>
          <w:szCs w:val="21"/>
        </w:rPr>
        <w:t>(110)德邦证券股份有限公司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http://www.tebon.com.cn </w:t>
            </w:r>
          </w:p>
        </w:tc>
      </w:tr>
    </w:tbl>
    <w:p>
      <w:pPr>
        <w:pStyle w:val="8"/>
        <w:spacing w:before="0" w:beforeAutospacing="0" w:after="0" w:afterAutospacing="0" w:line="360" w:lineRule="auto"/>
        <w:ind w:firstLine="420"/>
        <w:rPr>
          <w:sz w:val="21"/>
          <w:szCs w:val="21"/>
        </w:rPr>
      </w:pPr>
      <w:r>
        <w:rPr>
          <w:rFonts w:hint="eastAsia"/>
          <w:b/>
          <w:bCs/>
          <w:sz w:val="21"/>
          <w:szCs w:val="21"/>
        </w:rPr>
        <w:t>(111)西部证券股份有限公司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陕西省西安市新城区东新街319号8幢10000室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西安市新城区东新街319号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徐朝晖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张吉安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029-87211668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029-87406117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http://www.west95582.com/ </w:t>
            </w:r>
          </w:p>
        </w:tc>
      </w:tr>
    </w:tbl>
    <w:p>
      <w:pPr>
        <w:pStyle w:val="8"/>
        <w:spacing w:before="0" w:beforeAutospacing="0" w:after="0" w:afterAutospacing="0" w:line="360" w:lineRule="auto"/>
        <w:ind w:firstLine="420"/>
        <w:rPr>
          <w:sz w:val="21"/>
          <w:szCs w:val="21"/>
        </w:rPr>
      </w:pPr>
      <w:r>
        <w:rPr>
          <w:rFonts w:hint="eastAsia"/>
          <w:b/>
          <w:bCs/>
          <w:sz w:val="21"/>
          <w:szCs w:val="21"/>
        </w:rPr>
        <w:t>(112)华龙证券股份有限公司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兰州市城关区东岗西路638号兰州财富中心21楼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甘肃省兰州市城关区东岗西路638号财富大厦19楼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陈牧原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谢彦虎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0931-4890208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0931-4890628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95368/400689888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 www.hlzq.com/  </w:t>
            </w:r>
          </w:p>
        </w:tc>
      </w:tr>
    </w:tbl>
    <w:p>
      <w:pPr>
        <w:pStyle w:val="8"/>
        <w:spacing w:before="0" w:beforeAutospacing="0" w:after="0" w:afterAutospacing="0" w:line="360" w:lineRule="auto"/>
        <w:ind w:firstLine="420"/>
        <w:rPr>
          <w:sz w:val="21"/>
          <w:szCs w:val="21"/>
        </w:rPr>
      </w:pPr>
      <w:r>
        <w:rPr>
          <w:rFonts w:hint="eastAsia"/>
          <w:b/>
          <w:bCs/>
          <w:sz w:val="21"/>
          <w:szCs w:val="21"/>
        </w:rPr>
        <w:t>(113)财通证券股份有限公司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杭州市解放路111号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浙江省杭州市天目山路198号财通双冠大厦西楼1201室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陆建强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陶志华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0571-87789160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0571－85071387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95336（上海地区962336）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http://www.ctsec.com </w:t>
            </w:r>
          </w:p>
        </w:tc>
      </w:tr>
    </w:tbl>
    <w:p>
      <w:pPr>
        <w:pStyle w:val="8"/>
        <w:spacing w:before="0" w:beforeAutospacing="0" w:after="0" w:afterAutospacing="0" w:line="360" w:lineRule="auto"/>
        <w:ind w:firstLine="420"/>
        <w:rPr>
          <w:sz w:val="21"/>
          <w:szCs w:val="21"/>
        </w:rPr>
      </w:pPr>
      <w:r>
        <w:rPr>
          <w:rFonts w:hint="eastAsia"/>
          <w:b/>
          <w:bCs/>
          <w:sz w:val="21"/>
          <w:szCs w:val="21"/>
        </w:rPr>
        <w:t>(114)华鑫证券有限责任公司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上海市徐汇区宛平南路8号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http://www.cfsc.com.cn </w:t>
            </w:r>
          </w:p>
        </w:tc>
      </w:tr>
    </w:tbl>
    <w:p>
      <w:pPr>
        <w:pStyle w:val="8"/>
        <w:spacing w:before="0" w:beforeAutospacing="0" w:after="0" w:afterAutospacing="0" w:line="360" w:lineRule="auto"/>
        <w:ind w:firstLine="420"/>
        <w:rPr>
          <w:sz w:val="21"/>
          <w:szCs w:val="21"/>
        </w:rPr>
      </w:pPr>
      <w:r>
        <w:rPr>
          <w:rFonts w:hint="eastAsia"/>
          <w:b/>
          <w:bCs/>
          <w:sz w:val="21"/>
          <w:szCs w:val="21"/>
        </w:rPr>
        <w:t>(115)中山证券有限责任公司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http://www.zszq.com </w:t>
            </w:r>
          </w:p>
        </w:tc>
      </w:tr>
    </w:tbl>
    <w:p>
      <w:pPr>
        <w:pStyle w:val="8"/>
        <w:spacing w:before="0" w:beforeAutospacing="0" w:after="0" w:afterAutospacing="0" w:line="360" w:lineRule="auto"/>
        <w:ind w:firstLine="420"/>
        <w:rPr>
          <w:sz w:val="21"/>
          <w:szCs w:val="21"/>
        </w:rPr>
      </w:pPr>
      <w:r>
        <w:rPr>
          <w:rFonts w:hint="eastAsia"/>
          <w:b/>
          <w:bCs/>
          <w:sz w:val="21"/>
          <w:szCs w:val="21"/>
        </w:rPr>
        <w:t>(116)粤开证券股份有限公司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广州经济技术开发区科学大道60号开发区金控中心21、22、23层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http://www.ykzq.com </w:t>
            </w:r>
          </w:p>
        </w:tc>
      </w:tr>
    </w:tbl>
    <w:p>
      <w:pPr>
        <w:pStyle w:val="8"/>
        <w:spacing w:before="0" w:beforeAutospacing="0" w:after="0" w:afterAutospacing="0" w:line="360" w:lineRule="auto"/>
        <w:ind w:firstLine="420"/>
        <w:rPr>
          <w:sz w:val="21"/>
          <w:szCs w:val="21"/>
        </w:rPr>
      </w:pPr>
      <w:r>
        <w:rPr>
          <w:rFonts w:hint="eastAsia"/>
          <w:b/>
          <w:bCs/>
          <w:sz w:val="21"/>
          <w:szCs w:val="21"/>
        </w:rPr>
        <w:t>(117)国金证券股份有限公司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http://www.gjzq.com.cn </w:t>
            </w:r>
          </w:p>
        </w:tc>
      </w:tr>
    </w:tbl>
    <w:p>
      <w:pPr>
        <w:pStyle w:val="8"/>
        <w:spacing w:before="0" w:beforeAutospacing="0" w:after="0" w:afterAutospacing="0" w:line="360" w:lineRule="auto"/>
        <w:ind w:firstLine="420"/>
        <w:rPr>
          <w:sz w:val="21"/>
          <w:szCs w:val="21"/>
        </w:rPr>
      </w:pPr>
      <w:r>
        <w:rPr>
          <w:rFonts w:hint="eastAsia"/>
          <w:b/>
          <w:bCs/>
          <w:sz w:val="21"/>
          <w:szCs w:val="21"/>
        </w:rPr>
        <w:t>(118)华宝证券股份有限公司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刘加海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刘闻川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021-68777222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021－68777822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4008209898;021-38929908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http://www.cnhbstock.com </w:t>
            </w:r>
          </w:p>
        </w:tc>
      </w:tr>
    </w:tbl>
    <w:p>
      <w:pPr>
        <w:pStyle w:val="8"/>
        <w:spacing w:before="0" w:beforeAutospacing="0" w:after="0" w:afterAutospacing="0" w:line="360" w:lineRule="auto"/>
        <w:ind w:firstLine="420"/>
        <w:rPr>
          <w:sz w:val="21"/>
          <w:szCs w:val="21"/>
        </w:rPr>
      </w:pPr>
      <w:r>
        <w:rPr>
          <w:rFonts w:hint="eastAsia"/>
          <w:b/>
          <w:bCs/>
          <w:sz w:val="21"/>
          <w:szCs w:val="21"/>
        </w:rPr>
        <w:t>(119)爱建证券有限责任公司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中国（上海）自由贸易试验区世纪大道1600号1幢32楼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上海市浦东新区世纪大道1600号32楼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祝健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姚盛盛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021-32229888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021- 68728703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4001-962-502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http://www.ajzq.com </w:t>
            </w:r>
          </w:p>
        </w:tc>
      </w:tr>
    </w:tbl>
    <w:p>
      <w:pPr>
        <w:pStyle w:val="8"/>
        <w:spacing w:before="0" w:beforeAutospacing="0" w:after="0" w:afterAutospacing="0" w:line="360" w:lineRule="auto"/>
        <w:ind w:firstLine="420"/>
        <w:rPr>
          <w:sz w:val="21"/>
          <w:szCs w:val="21"/>
        </w:rPr>
      </w:pPr>
      <w:r>
        <w:rPr>
          <w:rFonts w:hint="eastAsia"/>
          <w:b/>
          <w:bCs/>
          <w:sz w:val="21"/>
          <w:szCs w:val="21"/>
        </w:rPr>
        <w:t>(120)华融证券股份有限公司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北京市西城区金融大街8号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北京市朝阳区朝阳门北大街18号中国人保寿险大厦12层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张海文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孙燕波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010-85556048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http://www.hrsec.com.cn/ </w:t>
            </w:r>
          </w:p>
        </w:tc>
      </w:tr>
    </w:tbl>
    <w:p>
      <w:pPr>
        <w:pStyle w:val="8"/>
        <w:spacing w:before="0" w:beforeAutospacing="0" w:after="0" w:afterAutospacing="0" w:line="360" w:lineRule="auto"/>
        <w:ind w:firstLine="420"/>
        <w:rPr>
          <w:sz w:val="21"/>
          <w:szCs w:val="21"/>
        </w:rPr>
      </w:pPr>
      <w:r>
        <w:rPr>
          <w:rFonts w:hint="eastAsia"/>
          <w:b/>
          <w:bCs/>
          <w:sz w:val="21"/>
          <w:szCs w:val="21"/>
        </w:rPr>
        <w:t>(121)天风证券股份有限公司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余磊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王雅薇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027-87107535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400-800-5000/ 95391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http://www.tfzq.com/ </w:t>
            </w:r>
          </w:p>
        </w:tc>
      </w:tr>
    </w:tbl>
    <w:p>
      <w:pPr>
        <w:pStyle w:val="8"/>
        <w:spacing w:before="0" w:beforeAutospacing="0" w:after="0" w:afterAutospacing="0" w:line="360" w:lineRule="auto"/>
        <w:ind w:firstLine="420"/>
        <w:rPr>
          <w:sz w:val="21"/>
          <w:szCs w:val="21"/>
        </w:rPr>
      </w:pPr>
      <w:r>
        <w:rPr>
          <w:rFonts w:hint="eastAsia"/>
          <w:b/>
          <w:bCs/>
          <w:sz w:val="21"/>
          <w:szCs w:val="21"/>
        </w:rPr>
        <w:t>(122)首创证券股份有限公司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毕劲松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周姝豆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010-59366077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400 620 0620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www.sczq.com.cn </w:t>
            </w:r>
          </w:p>
        </w:tc>
      </w:tr>
    </w:tbl>
    <w:p>
      <w:pPr>
        <w:pStyle w:val="8"/>
        <w:spacing w:before="0" w:beforeAutospacing="0" w:after="0" w:afterAutospacing="0" w:line="360" w:lineRule="auto"/>
        <w:ind w:firstLine="420"/>
        <w:rPr>
          <w:sz w:val="21"/>
          <w:szCs w:val="21"/>
        </w:rPr>
      </w:pPr>
      <w:r>
        <w:rPr>
          <w:rFonts w:hint="eastAsia"/>
          <w:b/>
          <w:bCs/>
          <w:sz w:val="21"/>
          <w:szCs w:val="21"/>
        </w:rPr>
        <w:t>(123)开源证券股份有限公司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陕西省西安市高新区锦业路1号都市之门B座5层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陕西省西安市高新区锦业路1号都市之门B座5层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李刚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张蕊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029-88365809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86-29-88365835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95325 /400-860-8866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http://www.kysec.cn/ </w:t>
            </w:r>
          </w:p>
        </w:tc>
      </w:tr>
    </w:tbl>
    <w:p>
      <w:pPr>
        <w:pStyle w:val="8"/>
        <w:spacing w:before="0" w:beforeAutospacing="0" w:after="0" w:afterAutospacing="0" w:line="360" w:lineRule="auto"/>
        <w:ind w:firstLine="420"/>
        <w:rPr>
          <w:sz w:val="21"/>
          <w:szCs w:val="21"/>
        </w:rPr>
      </w:pPr>
      <w:r>
        <w:rPr>
          <w:rFonts w:hint="eastAsia"/>
          <w:b/>
          <w:bCs/>
          <w:sz w:val="21"/>
          <w:szCs w:val="21"/>
        </w:rPr>
        <w:t>(124)联储证券有限责任公司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吕春卫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张婉婷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010-86499765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0755-82075835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4006206868/010-56177851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http://www.lczq.com/ </w:t>
            </w:r>
          </w:p>
        </w:tc>
      </w:tr>
    </w:tbl>
    <w:p>
      <w:pPr>
        <w:pStyle w:val="8"/>
        <w:spacing w:before="0" w:beforeAutospacing="0" w:after="0" w:afterAutospacing="0" w:line="360" w:lineRule="auto"/>
        <w:ind w:firstLine="420"/>
        <w:rPr>
          <w:sz w:val="21"/>
          <w:szCs w:val="21"/>
        </w:rPr>
      </w:pPr>
      <w:r>
        <w:rPr>
          <w:rFonts w:hint="eastAsia"/>
          <w:b/>
          <w:bCs/>
          <w:sz w:val="21"/>
          <w:szCs w:val="21"/>
        </w:rPr>
        <w:t>(125)中国人寿保险股份有限公司</w:t>
      </w: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注册地址： </w:t>
            </w:r>
          </w:p>
        </w:tc>
        <w:tc>
          <w:tcPr>
            <w:tcW w:w="7440" w:type="dxa"/>
            <w:shd w:val="clear" w:color="auto" w:fill="auto"/>
          </w:tcPr>
          <w:p>
            <w:pPr>
              <w:pStyle w:val="8"/>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办公地址： </w:t>
            </w:r>
          </w:p>
        </w:tc>
        <w:tc>
          <w:tcPr>
            <w:tcW w:w="7440" w:type="dxa"/>
            <w:shd w:val="clear" w:color="auto" w:fill="auto"/>
          </w:tcPr>
          <w:p>
            <w:pPr>
              <w:pStyle w:val="8"/>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法定代表人： </w:t>
            </w:r>
          </w:p>
        </w:tc>
        <w:tc>
          <w:tcPr>
            <w:tcW w:w="7440" w:type="dxa"/>
            <w:shd w:val="clear" w:color="auto" w:fill="auto"/>
          </w:tcPr>
          <w:p>
            <w:pPr>
              <w:pStyle w:val="8"/>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联系人： </w:t>
            </w:r>
          </w:p>
        </w:tc>
        <w:tc>
          <w:tcPr>
            <w:tcW w:w="7440" w:type="dxa"/>
            <w:shd w:val="clear" w:color="auto" w:fill="auto"/>
          </w:tcPr>
          <w:p>
            <w:pPr>
              <w:pStyle w:val="8"/>
            </w:pPr>
            <w:r>
              <w:rPr>
                <w:rFonts w:hint="eastAsia"/>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电话： </w:t>
            </w:r>
          </w:p>
        </w:tc>
        <w:tc>
          <w:tcPr>
            <w:tcW w:w="7440" w:type="dxa"/>
            <w:shd w:val="clear" w:color="auto" w:fill="auto"/>
          </w:tcPr>
          <w:p>
            <w:pPr>
              <w:pStyle w:val="8"/>
            </w:pPr>
            <w:r>
              <w:rPr>
                <w:rFonts w:hint="eastAsia"/>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传真： </w:t>
            </w:r>
          </w:p>
        </w:tc>
        <w:tc>
          <w:tcPr>
            <w:tcW w:w="7440" w:type="dxa"/>
            <w:shd w:val="clear" w:color="auto" w:fill="auto"/>
          </w:tcPr>
          <w:p>
            <w:pPr>
              <w:pStyle w:val="8"/>
            </w:pPr>
            <w:r>
              <w:rPr>
                <w:rFonts w:hint="eastAsia"/>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pPr>
            <w:r>
              <w:rPr>
                <w:rFonts w:hint="eastAsia"/>
              </w:rPr>
              <w:t xml:space="preserve">客户服务电话： </w:t>
            </w:r>
          </w:p>
        </w:tc>
        <w:tc>
          <w:tcPr>
            <w:tcW w:w="7440" w:type="dxa"/>
            <w:shd w:val="clear" w:color="auto" w:fill="auto"/>
          </w:tcPr>
          <w:p>
            <w:pPr>
              <w:pStyle w:val="8"/>
            </w:pPr>
            <w:r>
              <w:rPr>
                <w:rFonts w:hint="eastAsia"/>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pPr>
            <w:r>
              <w:rPr>
                <w:rFonts w:hint="eastAsia"/>
              </w:rPr>
              <w:t xml:space="preserve">网址： </w:t>
            </w:r>
          </w:p>
        </w:tc>
        <w:tc>
          <w:tcPr>
            <w:tcW w:w="7440" w:type="dxa"/>
            <w:shd w:val="clear" w:color="auto" w:fill="auto"/>
          </w:tcPr>
          <w:p>
            <w:pPr>
              <w:pStyle w:val="8"/>
            </w:pPr>
            <w:r>
              <w:rPr>
                <w:rFonts w:hint="eastAsia"/>
              </w:rPr>
              <w:t xml:space="preserve">www.e-chinalife.com </w:t>
            </w:r>
          </w:p>
        </w:tc>
      </w:tr>
    </w:tbl>
    <w:p>
      <w:pPr>
        <w:rPr>
          <w:rFonts w:ascii="宋体" w:hAnsi="宋体" w:eastAsia="宋体"/>
          <w:sz w:val="24"/>
          <w:szCs w:val="24"/>
        </w:rPr>
      </w:pPr>
      <w:bookmarkStart w:id="44" w:name="field_0_allproxysaletables_1_end"/>
      <w:bookmarkEnd w:id="44"/>
      <w:bookmarkStart w:id="45" w:name="chapter_level1_7_56_section_2_end"/>
      <w:bookmarkEnd w:id="45"/>
    </w:p>
    <w:p>
      <w:pPr>
        <w:pStyle w:val="8"/>
        <w:spacing w:before="0" w:beforeAutospacing="0" w:after="0" w:afterAutospacing="0" w:line="360" w:lineRule="auto"/>
        <w:ind w:firstLine="420"/>
        <w:rPr>
          <w:sz w:val="21"/>
          <w:szCs w:val="21"/>
        </w:rPr>
      </w:pPr>
      <w:bookmarkStart w:id="46" w:name="chapter_level1_7_56_section_3"/>
      <w:bookmarkEnd w:id="46"/>
      <w:r>
        <w:rPr>
          <w:rStyle w:val="13"/>
          <w:rFonts w:hint="eastAsia"/>
          <w:sz w:val="21"/>
          <w:szCs w:val="21"/>
        </w:rPr>
        <w:t>二、登记机构</w:t>
      </w:r>
    </w:p>
    <w:p>
      <w:pPr>
        <w:pStyle w:val="8"/>
        <w:spacing w:before="0" w:beforeAutospacing="0" w:after="0" w:afterAutospacing="0" w:line="360" w:lineRule="auto"/>
        <w:ind w:firstLine="420"/>
        <w:rPr>
          <w:sz w:val="21"/>
          <w:szCs w:val="21"/>
        </w:rPr>
      </w:pPr>
      <w:bookmarkStart w:id="47" w:name="field_0_registercompanyinfo_1_start"/>
      <w:bookmarkEnd w:id="47"/>
      <w:r>
        <w:rPr>
          <w:rFonts w:hint="eastAsia"/>
          <w:sz w:val="21"/>
          <w:szCs w:val="21"/>
        </w:rPr>
        <w:t xml:space="preserve">名称：中国证券登记结算有限责任公司  </w:t>
      </w:r>
    </w:p>
    <w:p>
      <w:pPr>
        <w:pStyle w:val="8"/>
        <w:spacing w:before="0" w:beforeAutospacing="0" w:after="0" w:afterAutospacing="0" w:line="360" w:lineRule="auto"/>
        <w:ind w:firstLine="420"/>
        <w:rPr>
          <w:sz w:val="21"/>
          <w:szCs w:val="21"/>
        </w:rPr>
      </w:pPr>
      <w:r>
        <w:rPr>
          <w:rFonts w:hint="eastAsia"/>
          <w:sz w:val="21"/>
          <w:szCs w:val="21"/>
        </w:rPr>
        <w:t xml:space="preserve">住所：北京市西城区太平桥大街17号 </w:t>
      </w:r>
    </w:p>
    <w:p>
      <w:pPr>
        <w:pStyle w:val="8"/>
        <w:spacing w:before="0" w:beforeAutospacing="0" w:after="0" w:afterAutospacing="0" w:line="360" w:lineRule="auto"/>
        <w:ind w:firstLine="420"/>
        <w:rPr>
          <w:sz w:val="21"/>
          <w:szCs w:val="21"/>
        </w:rPr>
      </w:pPr>
      <w:r>
        <w:rPr>
          <w:rFonts w:hint="eastAsia"/>
          <w:sz w:val="21"/>
          <w:szCs w:val="21"/>
        </w:rPr>
        <w:t xml:space="preserve">办公地址：北京市西城区太平桥大街17号 </w:t>
      </w:r>
    </w:p>
    <w:p>
      <w:pPr>
        <w:pStyle w:val="8"/>
        <w:spacing w:before="0" w:beforeAutospacing="0" w:after="0" w:afterAutospacing="0" w:line="360" w:lineRule="auto"/>
        <w:ind w:firstLine="420"/>
        <w:rPr>
          <w:sz w:val="21"/>
          <w:szCs w:val="21"/>
        </w:rPr>
      </w:pPr>
      <w:r>
        <w:rPr>
          <w:rFonts w:hint="eastAsia"/>
          <w:sz w:val="21"/>
          <w:szCs w:val="21"/>
        </w:rPr>
        <w:t xml:space="preserve">法定代表人：周明 </w:t>
      </w:r>
    </w:p>
    <w:p>
      <w:pPr>
        <w:pStyle w:val="8"/>
        <w:spacing w:before="0" w:beforeAutospacing="0" w:after="0" w:afterAutospacing="0" w:line="360" w:lineRule="auto"/>
        <w:ind w:firstLine="420"/>
        <w:rPr>
          <w:sz w:val="21"/>
          <w:szCs w:val="21"/>
        </w:rPr>
      </w:pPr>
      <w:r>
        <w:rPr>
          <w:rFonts w:hint="eastAsia"/>
          <w:sz w:val="21"/>
          <w:szCs w:val="21"/>
        </w:rPr>
        <w:t xml:space="preserve">联系电话：0755-25946013 </w:t>
      </w:r>
    </w:p>
    <w:p>
      <w:pPr>
        <w:pStyle w:val="8"/>
        <w:spacing w:before="0" w:beforeAutospacing="0" w:after="0" w:afterAutospacing="0" w:line="360" w:lineRule="auto"/>
        <w:ind w:firstLine="420"/>
        <w:rPr>
          <w:sz w:val="21"/>
          <w:szCs w:val="21"/>
        </w:rPr>
      </w:pPr>
      <w:r>
        <w:rPr>
          <w:rFonts w:hint="eastAsia"/>
          <w:sz w:val="21"/>
          <w:szCs w:val="21"/>
        </w:rPr>
        <w:t xml:space="preserve">传真：0755-25987122 </w:t>
      </w:r>
    </w:p>
    <w:p>
      <w:pPr>
        <w:pStyle w:val="8"/>
        <w:spacing w:before="0" w:beforeAutospacing="0" w:after="0" w:afterAutospacing="0" w:line="360" w:lineRule="auto"/>
        <w:ind w:firstLine="420"/>
        <w:rPr>
          <w:sz w:val="21"/>
          <w:szCs w:val="21"/>
        </w:rPr>
      </w:pPr>
      <w:r>
        <w:rPr>
          <w:rFonts w:hint="eastAsia"/>
          <w:sz w:val="21"/>
          <w:szCs w:val="21"/>
        </w:rPr>
        <w:t xml:space="preserve">联系人：严峰 </w:t>
      </w:r>
      <w:bookmarkStart w:id="48" w:name="field_0_registercompanyinfo_1_end"/>
      <w:bookmarkEnd w:id="48"/>
      <w:r>
        <w:rPr>
          <w:rFonts w:hint="eastAsia"/>
          <w:sz w:val="21"/>
          <w:szCs w:val="21"/>
        </w:rPr>
        <w:t xml:space="preserve">  </w:t>
      </w:r>
    </w:p>
    <w:p>
      <w:pPr>
        <w:pStyle w:val="8"/>
        <w:spacing w:before="0" w:beforeAutospacing="0" w:after="0" w:afterAutospacing="0" w:line="360" w:lineRule="auto"/>
        <w:ind w:firstLine="420"/>
        <w:rPr>
          <w:sz w:val="21"/>
          <w:szCs w:val="21"/>
        </w:rPr>
      </w:pPr>
      <w:r>
        <w:rPr>
          <w:rStyle w:val="13"/>
          <w:rFonts w:hint="eastAsia"/>
          <w:sz w:val="21"/>
          <w:szCs w:val="21"/>
        </w:rPr>
        <w:t>三、出具法律意见书的律师事务所</w:t>
      </w:r>
    </w:p>
    <w:p>
      <w:pPr>
        <w:pStyle w:val="8"/>
        <w:spacing w:before="0" w:beforeAutospacing="0" w:after="0" w:afterAutospacing="0" w:line="360" w:lineRule="auto"/>
        <w:ind w:firstLine="420"/>
        <w:rPr>
          <w:sz w:val="21"/>
          <w:szCs w:val="21"/>
        </w:rPr>
      </w:pPr>
      <w:r>
        <w:rPr>
          <w:rFonts w:hint="eastAsia"/>
          <w:sz w:val="21"/>
          <w:szCs w:val="21"/>
        </w:rPr>
        <w:t xml:space="preserve">名称：上海源泰律师事务所 </w:t>
      </w:r>
    </w:p>
    <w:p>
      <w:pPr>
        <w:pStyle w:val="8"/>
        <w:spacing w:before="0" w:beforeAutospacing="0" w:after="0" w:afterAutospacing="0" w:line="360" w:lineRule="auto"/>
        <w:ind w:firstLine="420"/>
        <w:rPr>
          <w:sz w:val="21"/>
          <w:szCs w:val="21"/>
        </w:rPr>
      </w:pPr>
      <w:r>
        <w:rPr>
          <w:rFonts w:hint="eastAsia"/>
          <w:sz w:val="21"/>
          <w:szCs w:val="21"/>
        </w:rPr>
        <w:t xml:space="preserve">注册地址：上海市浦东新区浦东南路256号华夏银行大厦14楼 </w:t>
      </w:r>
    </w:p>
    <w:p>
      <w:pPr>
        <w:pStyle w:val="8"/>
        <w:spacing w:before="0" w:beforeAutospacing="0" w:after="0" w:afterAutospacing="0" w:line="360" w:lineRule="auto"/>
        <w:ind w:firstLine="420"/>
        <w:rPr>
          <w:sz w:val="21"/>
          <w:szCs w:val="21"/>
        </w:rPr>
      </w:pPr>
      <w:r>
        <w:rPr>
          <w:rFonts w:hint="eastAsia"/>
          <w:sz w:val="21"/>
          <w:szCs w:val="21"/>
        </w:rPr>
        <w:t xml:space="preserve">办公地址：上海市浦东新区浦东南路256号华夏银行大厦14楼 </w:t>
      </w:r>
    </w:p>
    <w:p>
      <w:pPr>
        <w:pStyle w:val="8"/>
        <w:spacing w:before="0" w:beforeAutospacing="0" w:after="0" w:afterAutospacing="0" w:line="360" w:lineRule="auto"/>
        <w:ind w:firstLine="420"/>
        <w:rPr>
          <w:sz w:val="21"/>
          <w:szCs w:val="21"/>
        </w:rPr>
      </w:pPr>
      <w:r>
        <w:rPr>
          <w:rFonts w:hint="eastAsia"/>
          <w:sz w:val="21"/>
          <w:szCs w:val="21"/>
        </w:rPr>
        <w:t xml:space="preserve">负责人：廖海 </w:t>
      </w:r>
    </w:p>
    <w:p>
      <w:pPr>
        <w:pStyle w:val="8"/>
        <w:spacing w:before="0" w:beforeAutospacing="0" w:after="0" w:afterAutospacing="0" w:line="360" w:lineRule="auto"/>
        <w:ind w:firstLine="420"/>
        <w:rPr>
          <w:sz w:val="21"/>
          <w:szCs w:val="21"/>
        </w:rPr>
      </w:pPr>
      <w:r>
        <w:rPr>
          <w:rFonts w:hint="eastAsia"/>
          <w:sz w:val="21"/>
          <w:szCs w:val="21"/>
        </w:rPr>
        <w:t xml:space="preserve">电话：021-51150298 </w:t>
      </w:r>
    </w:p>
    <w:p>
      <w:pPr>
        <w:pStyle w:val="8"/>
        <w:spacing w:before="0" w:beforeAutospacing="0" w:after="0" w:afterAutospacing="0" w:line="360" w:lineRule="auto"/>
        <w:ind w:firstLine="420"/>
        <w:rPr>
          <w:sz w:val="21"/>
          <w:szCs w:val="21"/>
        </w:rPr>
      </w:pPr>
      <w:r>
        <w:rPr>
          <w:rFonts w:hint="eastAsia"/>
          <w:sz w:val="21"/>
          <w:szCs w:val="21"/>
        </w:rPr>
        <w:t xml:space="preserve">传真：021-51150398 </w:t>
      </w:r>
    </w:p>
    <w:p>
      <w:pPr>
        <w:pStyle w:val="8"/>
        <w:spacing w:before="0" w:beforeAutospacing="0" w:after="0" w:afterAutospacing="0" w:line="360" w:lineRule="auto"/>
        <w:ind w:firstLine="420"/>
        <w:rPr>
          <w:sz w:val="21"/>
          <w:szCs w:val="21"/>
        </w:rPr>
      </w:pPr>
      <w:r>
        <w:rPr>
          <w:rFonts w:hint="eastAsia"/>
          <w:sz w:val="21"/>
          <w:szCs w:val="21"/>
        </w:rPr>
        <w:t xml:space="preserve">联系人：刘佳 </w:t>
      </w:r>
    </w:p>
    <w:p>
      <w:pPr>
        <w:pStyle w:val="8"/>
        <w:spacing w:before="0" w:beforeAutospacing="0" w:after="0" w:afterAutospacing="0" w:line="360" w:lineRule="auto"/>
        <w:ind w:firstLine="420"/>
        <w:rPr>
          <w:sz w:val="21"/>
          <w:szCs w:val="21"/>
        </w:rPr>
      </w:pPr>
      <w:r>
        <w:rPr>
          <w:rFonts w:hint="eastAsia"/>
          <w:sz w:val="21"/>
          <w:szCs w:val="21"/>
        </w:rPr>
        <w:t xml:space="preserve">经办律师：刘佳、刘翠 </w:t>
      </w:r>
    </w:p>
    <w:p>
      <w:pPr>
        <w:pStyle w:val="8"/>
        <w:spacing w:before="0" w:beforeAutospacing="0" w:after="0" w:afterAutospacing="0" w:line="360" w:lineRule="auto"/>
        <w:ind w:firstLine="420"/>
        <w:rPr>
          <w:sz w:val="21"/>
          <w:szCs w:val="21"/>
        </w:rPr>
      </w:pPr>
      <w:r>
        <w:rPr>
          <w:rStyle w:val="13"/>
          <w:rFonts w:hint="eastAsia"/>
          <w:sz w:val="21"/>
          <w:szCs w:val="21"/>
        </w:rPr>
        <w:t>四、审计基金财产的会计师事务所</w:t>
      </w:r>
    </w:p>
    <w:p>
      <w:pPr>
        <w:pStyle w:val="8"/>
        <w:spacing w:before="0" w:beforeAutospacing="0" w:after="0" w:afterAutospacing="0" w:line="360" w:lineRule="auto"/>
        <w:ind w:firstLine="420"/>
        <w:rPr>
          <w:sz w:val="21"/>
          <w:szCs w:val="21"/>
        </w:rPr>
      </w:pPr>
      <w:bookmarkStart w:id="49" w:name="field_0_accountingcompanyinfo_1_start"/>
      <w:bookmarkEnd w:id="49"/>
      <w:r>
        <w:rPr>
          <w:rFonts w:hint="eastAsia"/>
          <w:sz w:val="21"/>
          <w:szCs w:val="21"/>
        </w:rPr>
        <w:t xml:space="preserve">名称：普华永道中天会计师事务所(特殊普通合伙）  </w:t>
      </w:r>
    </w:p>
    <w:p>
      <w:pPr>
        <w:pStyle w:val="8"/>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8"/>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8"/>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8"/>
        <w:spacing w:before="0" w:beforeAutospacing="0" w:after="0" w:afterAutospacing="0" w:line="360" w:lineRule="auto"/>
        <w:ind w:firstLine="420"/>
        <w:rPr>
          <w:sz w:val="21"/>
          <w:szCs w:val="21"/>
        </w:rPr>
      </w:pPr>
      <w:r>
        <w:rPr>
          <w:rFonts w:hint="eastAsia"/>
          <w:sz w:val="21"/>
          <w:szCs w:val="21"/>
        </w:rPr>
        <w:t xml:space="preserve">联系电话：（021）23238888  </w:t>
      </w:r>
    </w:p>
    <w:p>
      <w:pPr>
        <w:pStyle w:val="8"/>
        <w:spacing w:before="0" w:beforeAutospacing="0" w:after="0" w:afterAutospacing="0" w:line="360" w:lineRule="auto"/>
        <w:ind w:firstLine="420"/>
        <w:rPr>
          <w:sz w:val="21"/>
          <w:szCs w:val="21"/>
        </w:rPr>
      </w:pPr>
      <w:r>
        <w:rPr>
          <w:rFonts w:hint="eastAsia"/>
          <w:sz w:val="21"/>
          <w:szCs w:val="21"/>
        </w:rPr>
        <w:t xml:space="preserve">传真：（021）23238800  </w:t>
      </w:r>
    </w:p>
    <w:p>
      <w:pPr>
        <w:pStyle w:val="8"/>
        <w:spacing w:before="0" w:beforeAutospacing="0" w:after="0" w:afterAutospacing="0" w:line="360" w:lineRule="auto"/>
        <w:ind w:firstLine="420"/>
        <w:rPr>
          <w:sz w:val="21"/>
          <w:szCs w:val="21"/>
        </w:rPr>
      </w:pPr>
      <w:r>
        <w:rPr>
          <w:rFonts w:hint="eastAsia"/>
          <w:sz w:val="21"/>
          <w:szCs w:val="21"/>
        </w:rPr>
        <w:t xml:space="preserve">联系人：沈兆杰  </w:t>
      </w:r>
    </w:p>
    <w:p>
      <w:pPr>
        <w:pStyle w:val="8"/>
        <w:spacing w:before="0" w:beforeAutospacing="0" w:after="0" w:afterAutospacing="0" w:line="360" w:lineRule="auto"/>
        <w:ind w:firstLine="420"/>
        <w:rPr>
          <w:sz w:val="21"/>
          <w:szCs w:val="21"/>
        </w:rPr>
      </w:pPr>
      <w:bookmarkStart w:id="50" w:name="chapter_level1_7_56_section_3_end"/>
      <w:bookmarkEnd w:id="50"/>
      <w:r>
        <w:rPr>
          <w:rFonts w:hint="eastAsia"/>
          <w:sz w:val="21"/>
          <w:szCs w:val="21"/>
        </w:rPr>
        <w:t xml:space="preserve">经办注册会计师：张振波、沈兆杰  </w:t>
      </w:r>
      <w:bookmarkStart w:id="51" w:name="field_0_accountingcompanyinfo_1_end"/>
      <w:bookmarkEnd w:id="51"/>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2" w:name="_Toc82437028"/>
      <w:bookmarkStart w:id="53" w:name="_Toc19690"/>
      <w:bookmarkStart w:id="54" w:name="chapter_level1_9_58"/>
      <w:r>
        <w:rPr>
          <w:rFonts w:hint="eastAsia" w:ascii="宋体" w:hAnsi="宋体" w:eastAsia="宋体"/>
          <w:sz w:val="30"/>
        </w:rPr>
        <w:t>第六部分 基金的募集与基金合同的生效</w:t>
      </w:r>
      <w:bookmarkEnd w:id="52"/>
      <w:bookmarkEnd w:id="53"/>
      <w:bookmarkEnd w:id="54"/>
    </w:p>
    <w:p>
      <w:pPr>
        <w:pStyle w:val="8"/>
        <w:spacing w:before="0" w:beforeAutospacing="0" w:after="0" w:afterAutospacing="0" w:line="360" w:lineRule="auto"/>
        <w:ind w:firstLine="420"/>
        <w:rPr>
          <w:sz w:val="21"/>
          <w:szCs w:val="21"/>
        </w:rPr>
      </w:pPr>
      <w:bookmarkStart w:id="55" w:name="chapter_level1_9_58_section_1"/>
      <w:bookmarkEnd w:id="55"/>
      <w:r>
        <w:rPr>
          <w:rFonts w:hint="eastAsia"/>
          <w:sz w:val="21"/>
          <w:szCs w:val="21"/>
        </w:rPr>
        <w:t xml:space="preserve">一．基金的募集 </w:t>
      </w:r>
    </w:p>
    <w:p>
      <w:pPr>
        <w:pStyle w:val="8"/>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基金管理人按照《基金法》、《运作办法》、《销售办法》、基金合同及其他有关规定募集本基金，并经中国证监会</w:t>
      </w:r>
      <w:bookmarkStart w:id="56" w:name="field_2343_approveddate_2"/>
      <w:r>
        <w:rPr>
          <w:sz w:val="21"/>
          <w:szCs w:val="21"/>
        </w:rPr>
        <w:t>2019年06月05日</w:t>
      </w:r>
      <w:bookmarkEnd w:id="56"/>
      <w:r>
        <w:rPr>
          <w:rFonts w:hint="eastAsia"/>
          <w:sz w:val="21"/>
          <w:szCs w:val="21"/>
        </w:rPr>
        <w:t>证监许可</w:t>
      </w:r>
      <w:bookmarkStart w:id="57" w:name="field_2343_lotnumber_2"/>
      <w:r>
        <w:rPr>
          <w:sz w:val="21"/>
          <w:szCs w:val="21"/>
        </w:rPr>
        <w:t>[2019]1015</w:t>
      </w:r>
      <w:bookmarkEnd w:id="57"/>
      <w:r>
        <w:rPr>
          <w:rFonts w:hint="eastAsia"/>
          <w:sz w:val="21"/>
          <w:szCs w:val="21"/>
        </w:rPr>
        <w:t xml:space="preserve">号文准予募集注册。 </w:t>
      </w:r>
    </w:p>
    <w:p>
      <w:pPr>
        <w:pStyle w:val="8"/>
        <w:spacing w:before="0" w:beforeAutospacing="0" w:after="0" w:afterAutospacing="0" w:line="360" w:lineRule="auto"/>
        <w:ind w:firstLine="420"/>
        <w:rPr>
          <w:sz w:val="21"/>
          <w:szCs w:val="21"/>
        </w:rPr>
      </w:pPr>
      <w:r>
        <w:rPr>
          <w:rFonts w:hint="eastAsia"/>
          <w:sz w:val="21"/>
          <w:szCs w:val="21"/>
        </w:rPr>
        <w:t>本基金募集期自</w:t>
      </w:r>
      <w:bookmarkStart w:id="58" w:name="field_58_raisebegindate_1"/>
      <w:r>
        <w:rPr>
          <w:sz w:val="21"/>
          <w:szCs w:val="21"/>
        </w:rPr>
        <w:t>2019年06月24日</w:t>
      </w:r>
      <w:bookmarkEnd w:id="58"/>
      <w:r>
        <w:rPr>
          <w:rFonts w:hint="eastAsia"/>
          <w:sz w:val="21"/>
          <w:szCs w:val="21"/>
        </w:rPr>
        <w:t>至</w:t>
      </w:r>
      <w:bookmarkStart w:id="59" w:name="field_58_raiseenddate_1"/>
      <w:r>
        <w:rPr>
          <w:sz w:val="21"/>
          <w:szCs w:val="21"/>
        </w:rPr>
        <w:t>2019年06月24日</w:t>
      </w:r>
      <w:bookmarkEnd w:id="59"/>
      <w:r>
        <w:rPr>
          <w:rFonts w:hint="eastAsia"/>
          <w:sz w:val="21"/>
          <w:szCs w:val="21"/>
        </w:rPr>
        <w:t>期间，基金份额共募集</w:t>
      </w:r>
      <w:bookmarkStart w:id="60" w:name="field_58_raisetotal_1"/>
      <w:r>
        <w:rPr>
          <w:sz w:val="21"/>
          <w:szCs w:val="21"/>
        </w:rPr>
        <w:t>996,787,785.37</w:t>
      </w:r>
      <w:bookmarkEnd w:id="60"/>
      <w:r>
        <w:rPr>
          <w:rFonts w:hint="eastAsia"/>
          <w:sz w:val="21"/>
          <w:szCs w:val="21"/>
        </w:rPr>
        <w:t>份（含利息结转的份额），募集有效认购总户数为</w:t>
      </w:r>
      <w:bookmarkStart w:id="61" w:name="field_58_effectivetotal_1"/>
      <w:r>
        <w:rPr>
          <w:sz w:val="21"/>
          <w:szCs w:val="21"/>
        </w:rPr>
        <w:t>40,232</w:t>
      </w:r>
      <w:bookmarkEnd w:id="61"/>
      <w:r>
        <w:rPr>
          <w:rFonts w:hint="eastAsia"/>
          <w:sz w:val="21"/>
          <w:szCs w:val="21"/>
        </w:rPr>
        <w:t xml:space="preserve">户。 </w:t>
      </w:r>
    </w:p>
    <w:p>
      <w:pPr>
        <w:pStyle w:val="8"/>
        <w:spacing w:before="0" w:beforeAutospacing="0" w:after="0" w:afterAutospacing="0" w:line="360" w:lineRule="auto"/>
        <w:ind w:firstLine="420"/>
        <w:rPr>
          <w:sz w:val="21"/>
          <w:szCs w:val="21"/>
        </w:rPr>
      </w:pPr>
      <w:r>
        <w:rPr>
          <w:rFonts w:hint="eastAsia"/>
          <w:sz w:val="21"/>
          <w:szCs w:val="21"/>
        </w:rPr>
        <w:t>本基金的运作方式为</w:t>
      </w:r>
      <w:bookmarkStart w:id="62" w:name="field_58_operation_1"/>
      <w:r>
        <w:rPr>
          <w:rFonts w:hint="eastAsia"/>
          <w:sz w:val="21"/>
          <w:szCs w:val="21"/>
        </w:rPr>
        <w:t>契约型开放式</w:t>
      </w:r>
      <w:bookmarkEnd w:id="62"/>
      <w:r>
        <w:rPr>
          <w:rFonts w:hint="eastAsia"/>
          <w:sz w:val="21"/>
          <w:szCs w:val="21"/>
        </w:rPr>
        <w:t>，存续期间为</w:t>
      </w:r>
      <w:bookmarkStart w:id="63" w:name="field_58_duration_1"/>
      <w:r>
        <w:rPr>
          <w:rFonts w:hint="eastAsia"/>
          <w:sz w:val="21"/>
          <w:szCs w:val="21"/>
        </w:rPr>
        <w:t>不定期</w:t>
      </w:r>
      <w:bookmarkEnd w:id="63"/>
      <w:r>
        <w:rPr>
          <w:rFonts w:hint="eastAsia"/>
          <w:sz w:val="21"/>
          <w:szCs w:val="21"/>
        </w:rPr>
        <w:t xml:space="preserve">。基金合同生效后的前三年为封闭运作期。在封闭运作期内，本基金不办理申购和赎回业务。封闭运作期内基金上市交易后，投资者可将在其持有的场内基金份额上市交易或将场外基金份额通过办理跨系统转托管业务转至场内后上市交易。封闭运作期届满后，本基金转为上市开放式基金（LOF），基金名称调整为“博时科创主题灵活配置混合型证券投资基金（LOF）”，并接受场外、场内申购赎回。 </w:t>
      </w:r>
    </w:p>
    <w:p>
      <w:pPr>
        <w:pStyle w:val="8"/>
        <w:spacing w:before="0" w:beforeAutospacing="0" w:after="0" w:afterAutospacing="0" w:line="360" w:lineRule="auto"/>
        <w:ind w:firstLine="420"/>
        <w:rPr>
          <w:sz w:val="21"/>
          <w:szCs w:val="21"/>
        </w:rPr>
      </w:pPr>
      <w:r>
        <w:rPr>
          <w:rFonts w:hint="eastAsia"/>
          <w:sz w:val="21"/>
          <w:szCs w:val="21"/>
        </w:rPr>
        <w:t xml:space="preserve">二、基金合同的生效 </w:t>
      </w:r>
    </w:p>
    <w:p>
      <w:pPr>
        <w:pStyle w:val="8"/>
        <w:spacing w:before="0" w:beforeAutospacing="0" w:after="0" w:afterAutospacing="0" w:line="360" w:lineRule="auto"/>
        <w:ind w:firstLine="420"/>
        <w:rPr>
          <w:sz w:val="21"/>
          <w:szCs w:val="21"/>
        </w:rPr>
      </w:pPr>
      <w:bookmarkStart w:id="64" w:name="chapter_level1_9_58_section_1_end"/>
      <w:bookmarkEnd w:id="64"/>
      <w:r>
        <w:rPr>
          <w:rFonts w:hint="eastAsia"/>
          <w:sz w:val="21"/>
          <w:szCs w:val="21"/>
        </w:rPr>
        <w:t>本基金的基金合同已于</w:t>
      </w:r>
      <w:bookmarkStart w:id="65" w:name="field_0_foundday_1"/>
      <w:r>
        <w:rPr>
          <w:sz w:val="21"/>
          <w:szCs w:val="21"/>
        </w:rPr>
        <w:t>2019年06月27日</w:t>
      </w:r>
      <w:bookmarkEnd w:id="65"/>
      <w:r>
        <w:rPr>
          <w:rFonts w:hint="eastAsia"/>
          <w:sz w:val="21"/>
          <w:szCs w:val="21"/>
        </w:rPr>
        <w:t xml:space="preserve">正式生效。 </w:t>
      </w:r>
    </w:p>
    <w:p>
      <w:pPr>
        <w:pStyle w:val="8"/>
        <w:spacing w:before="0" w:beforeAutospacing="0" w:after="0" w:afterAutospacing="0" w:line="360" w:lineRule="auto"/>
        <w:ind w:firstLine="420"/>
        <w:rPr>
          <w:sz w:val="21"/>
          <w:szCs w:val="21"/>
        </w:rPr>
      </w:pPr>
      <w:bookmarkStart w:id="66" w:name="chapter_level1_9_58_section_2"/>
      <w:bookmarkEnd w:id="66"/>
      <w:r>
        <w:rPr>
          <w:rStyle w:val="13"/>
          <w:rFonts w:hint="eastAsia"/>
          <w:sz w:val="21"/>
          <w:szCs w:val="21"/>
        </w:rPr>
        <w:t>三、基金存续期内的基金份额持有人数量和资产规模</w:t>
      </w:r>
    </w:p>
    <w:p>
      <w:pPr>
        <w:pStyle w:val="8"/>
        <w:spacing w:before="0" w:beforeAutospacing="0" w:after="0" w:afterAutospacing="0" w:line="360" w:lineRule="auto"/>
        <w:ind w:firstLine="420"/>
        <w:rPr>
          <w:sz w:val="21"/>
          <w:szCs w:val="21"/>
        </w:rPr>
      </w:pPr>
      <w:r>
        <w:rPr>
          <w:rFonts w:hint="eastAsia"/>
          <w:sz w:val="21"/>
          <w:szCs w:val="21"/>
        </w:rPr>
        <w:t xml:space="preserve">《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pPr>
        <w:pStyle w:val="8"/>
        <w:spacing w:before="0" w:beforeAutospacing="0" w:after="0" w:afterAutospacing="0" w:line="360" w:lineRule="auto"/>
        <w:ind w:firstLine="420"/>
        <w:rPr>
          <w:sz w:val="21"/>
          <w:szCs w:val="21"/>
        </w:rPr>
      </w:pPr>
      <w:bookmarkStart w:id="67" w:name="chapter_level1_9_58_section_2_end"/>
      <w:bookmarkEnd w:id="67"/>
      <w:r>
        <w:rPr>
          <w:rFonts w:hint="eastAsia"/>
          <w:sz w:val="21"/>
          <w:szCs w:val="21"/>
        </w:rPr>
        <w:t xml:space="preserve">法律法规或中国证监会另有规定时，从其规定。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8" w:name="_Toc82437029"/>
      <w:bookmarkStart w:id="69" w:name="_Toc13221"/>
      <w:bookmarkStart w:id="70" w:name="chapter_level1_10_30162"/>
      <w:r>
        <w:rPr>
          <w:rFonts w:hint="eastAsia" w:ascii="宋体" w:hAnsi="宋体" w:eastAsia="宋体"/>
          <w:sz w:val="30"/>
        </w:rPr>
        <w:t>第七部分  基金份额的上市交易</w:t>
      </w:r>
      <w:bookmarkEnd w:id="68"/>
      <w:bookmarkEnd w:id="69"/>
      <w:bookmarkEnd w:id="70"/>
    </w:p>
    <w:p>
      <w:pPr>
        <w:adjustRightInd w:val="0"/>
        <w:snapToGrid w:val="0"/>
        <w:spacing w:line="360" w:lineRule="auto"/>
        <w:ind w:firstLine="420" w:firstLineChars="200"/>
        <w:rPr>
          <w:rFonts w:ascii="宋体" w:hAnsi="宋体" w:eastAsia="宋体" w:cs="宋体"/>
          <w:kern w:val="0"/>
          <w:szCs w:val="21"/>
        </w:rPr>
      </w:pPr>
      <w:bookmarkStart w:id="71" w:name="chapter_level1_10_30162_section_1"/>
      <w:bookmarkEnd w:id="71"/>
      <w:r>
        <w:rPr>
          <w:rFonts w:hint="eastAsia" w:ascii="宋体" w:hAnsi="宋体" w:eastAsia="宋体" w:cs="宋体"/>
          <w:kern w:val="0"/>
          <w:szCs w:val="21"/>
        </w:rPr>
        <w:t>本基金转为上市开放式基金（LOF）后，如无特指，本章节涉及的上市份额仅指本基金A类基金份额。C类基金份额仅在场外销售，不申请上市交易。</w:t>
      </w:r>
    </w:p>
    <w:p>
      <w:pPr>
        <w:pStyle w:val="8"/>
        <w:spacing w:before="0" w:beforeAutospacing="0" w:after="0" w:afterAutospacing="0" w:line="360" w:lineRule="auto"/>
        <w:ind w:firstLine="420"/>
        <w:rPr>
          <w:sz w:val="21"/>
          <w:szCs w:val="21"/>
        </w:rPr>
      </w:pPr>
      <w:r>
        <w:rPr>
          <w:rStyle w:val="13"/>
          <w:rFonts w:hint="eastAsia"/>
          <w:sz w:val="21"/>
          <w:szCs w:val="21"/>
        </w:rPr>
        <w:t>一、基金份额的上市交易</w:t>
      </w:r>
    </w:p>
    <w:p>
      <w:pPr>
        <w:pStyle w:val="8"/>
        <w:spacing w:before="0" w:beforeAutospacing="0" w:after="0" w:afterAutospacing="0" w:line="360" w:lineRule="auto"/>
        <w:ind w:firstLine="420"/>
        <w:rPr>
          <w:sz w:val="21"/>
          <w:szCs w:val="21"/>
        </w:rPr>
      </w:pPr>
      <w:r>
        <w:rPr>
          <w:rFonts w:hint="eastAsia"/>
          <w:sz w:val="21"/>
          <w:szCs w:val="21"/>
        </w:rPr>
        <w:t xml:space="preserve">基金合同生效后，在符合法律法规和上海证券交易所规定的上市条件的情况下，本基金可申请在上海证券交易所上市交易。 </w:t>
      </w:r>
    </w:p>
    <w:p>
      <w:pPr>
        <w:pStyle w:val="8"/>
        <w:spacing w:before="0" w:beforeAutospacing="0" w:after="0" w:afterAutospacing="0" w:line="360" w:lineRule="auto"/>
        <w:ind w:firstLine="420"/>
        <w:rPr>
          <w:sz w:val="21"/>
          <w:szCs w:val="21"/>
        </w:rPr>
      </w:pPr>
      <w:r>
        <w:rPr>
          <w:rStyle w:val="13"/>
          <w:rFonts w:hint="eastAsia"/>
          <w:sz w:val="21"/>
          <w:szCs w:val="21"/>
        </w:rPr>
        <w:t>二、上市交易的地点</w:t>
      </w:r>
    </w:p>
    <w:p>
      <w:pPr>
        <w:pStyle w:val="8"/>
        <w:spacing w:before="0" w:beforeAutospacing="0" w:after="0" w:afterAutospacing="0" w:line="360" w:lineRule="auto"/>
        <w:ind w:firstLine="420"/>
        <w:rPr>
          <w:sz w:val="21"/>
          <w:szCs w:val="21"/>
        </w:rPr>
      </w:pPr>
      <w:r>
        <w:rPr>
          <w:rFonts w:hint="eastAsia"/>
          <w:sz w:val="21"/>
          <w:szCs w:val="21"/>
        </w:rPr>
        <w:t xml:space="preserve">上海证券交易所。 </w:t>
      </w:r>
    </w:p>
    <w:p>
      <w:pPr>
        <w:pStyle w:val="8"/>
        <w:spacing w:before="0" w:beforeAutospacing="0" w:after="0" w:afterAutospacing="0" w:line="360" w:lineRule="auto"/>
        <w:ind w:firstLine="420"/>
        <w:rPr>
          <w:sz w:val="21"/>
          <w:szCs w:val="21"/>
        </w:rPr>
      </w:pPr>
      <w:r>
        <w:rPr>
          <w:rStyle w:val="13"/>
          <w:rFonts w:hint="eastAsia"/>
          <w:sz w:val="21"/>
          <w:szCs w:val="21"/>
        </w:rPr>
        <w:t>三、上市交易的时间</w:t>
      </w:r>
    </w:p>
    <w:p>
      <w:pPr>
        <w:pStyle w:val="8"/>
        <w:spacing w:before="0" w:beforeAutospacing="0" w:after="0" w:afterAutospacing="0" w:line="360" w:lineRule="auto"/>
        <w:ind w:firstLine="420"/>
        <w:rPr>
          <w:sz w:val="21"/>
          <w:szCs w:val="21"/>
        </w:rPr>
      </w:pPr>
      <w:r>
        <w:rPr>
          <w:rFonts w:hint="eastAsia"/>
          <w:sz w:val="21"/>
          <w:szCs w:val="21"/>
        </w:rPr>
        <w:t>本基金已于</w:t>
      </w:r>
      <w:r>
        <w:rPr>
          <w:sz w:val="21"/>
          <w:szCs w:val="21"/>
        </w:rPr>
        <w:t>2019年12月26日</w:t>
      </w:r>
      <w:r>
        <w:rPr>
          <w:rFonts w:hint="eastAsia"/>
          <w:sz w:val="21"/>
          <w:szCs w:val="21"/>
        </w:rPr>
        <w:t>在上海证券交易所上市交易。</w:t>
      </w:r>
    </w:p>
    <w:p>
      <w:pPr>
        <w:pStyle w:val="8"/>
        <w:spacing w:before="0" w:beforeAutospacing="0" w:after="0" w:afterAutospacing="0" w:line="360" w:lineRule="auto"/>
        <w:ind w:firstLine="420"/>
        <w:rPr>
          <w:sz w:val="21"/>
          <w:szCs w:val="21"/>
        </w:rPr>
      </w:pPr>
      <w:r>
        <w:rPr>
          <w:rStyle w:val="13"/>
          <w:rFonts w:hint="eastAsia"/>
          <w:sz w:val="21"/>
          <w:szCs w:val="21"/>
        </w:rPr>
        <w:t>四、上市交易的规则</w:t>
      </w:r>
    </w:p>
    <w:p>
      <w:pPr>
        <w:pStyle w:val="8"/>
        <w:spacing w:before="0" w:beforeAutospacing="0" w:after="0" w:afterAutospacing="0" w:line="360" w:lineRule="auto"/>
        <w:ind w:firstLine="420"/>
        <w:rPr>
          <w:sz w:val="21"/>
          <w:szCs w:val="21"/>
        </w:rPr>
      </w:pPr>
      <w:r>
        <w:rPr>
          <w:rFonts w:hint="eastAsia"/>
          <w:sz w:val="21"/>
          <w:szCs w:val="21"/>
        </w:rPr>
        <w:t xml:space="preserve">本基金在上海证券交易所的上市交易需遵循《上海证券交易所证券投资基金上市规则》、《上海证券交易所交易规则》等有关规定及其不时修订和补充。 </w:t>
      </w:r>
    </w:p>
    <w:p>
      <w:pPr>
        <w:pStyle w:val="8"/>
        <w:spacing w:before="0" w:beforeAutospacing="0" w:after="0" w:afterAutospacing="0" w:line="360" w:lineRule="auto"/>
        <w:ind w:firstLine="420"/>
        <w:rPr>
          <w:sz w:val="21"/>
          <w:szCs w:val="21"/>
        </w:rPr>
      </w:pPr>
      <w:r>
        <w:rPr>
          <w:rStyle w:val="13"/>
          <w:rFonts w:hint="eastAsia"/>
          <w:sz w:val="21"/>
          <w:szCs w:val="21"/>
        </w:rPr>
        <w:t>五、上市交易的费用</w:t>
      </w:r>
    </w:p>
    <w:p>
      <w:pPr>
        <w:pStyle w:val="8"/>
        <w:spacing w:before="0" w:beforeAutospacing="0" w:after="0" w:afterAutospacing="0" w:line="360" w:lineRule="auto"/>
        <w:ind w:firstLine="420"/>
        <w:rPr>
          <w:sz w:val="21"/>
          <w:szCs w:val="21"/>
        </w:rPr>
      </w:pPr>
      <w:r>
        <w:rPr>
          <w:rFonts w:hint="eastAsia"/>
          <w:sz w:val="21"/>
          <w:szCs w:val="21"/>
        </w:rPr>
        <w:t xml:space="preserve">上市交易的费用按照上海证券交易所有关规定办理。 </w:t>
      </w:r>
    </w:p>
    <w:p>
      <w:pPr>
        <w:pStyle w:val="8"/>
        <w:spacing w:before="0" w:beforeAutospacing="0" w:after="0" w:afterAutospacing="0" w:line="360" w:lineRule="auto"/>
        <w:ind w:firstLine="420"/>
        <w:rPr>
          <w:sz w:val="21"/>
          <w:szCs w:val="21"/>
        </w:rPr>
      </w:pPr>
      <w:r>
        <w:rPr>
          <w:rStyle w:val="13"/>
          <w:rFonts w:hint="eastAsia"/>
          <w:sz w:val="21"/>
          <w:szCs w:val="21"/>
        </w:rPr>
        <w:t>六、上市交易的停复牌、暂停上市、恢复上市和终止上市</w:t>
      </w:r>
    </w:p>
    <w:p>
      <w:pPr>
        <w:pStyle w:val="8"/>
        <w:spacing w:before="0" w:beforeAutospacing="0" w:after="0" w:afterAutospacing="0" w:line="360" w:lineRule="auto"/>
        <w:ind w:firstLine="420"/>
        <w:rPr>
          <w:sz w:val="21"/>
          <w:szCs w:val="21"/>
        </w:rPr>
      </w:pPr>
      <w:r>
        <w:rPr>
          <w:rFonts w:hint="eastAsia"/>
          <w:sz w:val="21"/>
          <w:szCs w:val="21"/>
        </w:rPr>
        <w:t xml:space="preserve">上市基金份额的停复牌、暂停上市、恢复上市和终止上市按照《基金法》相关规定和上海证券交易所的相关规定执行。具体情况见基金管理人届时相关公告。 </w:t>
      </w:r>
    </w:p>
    <w:p>
      <w:pPr>
        <w:pStyle w:val="8"/>
        <w:spacing w:before="0" w:beforeAutospacing="0" w:after="0" w:afterAutospacing="0" w:line="360" w:lineRule="auto"/>
        <w:ind w:firstLine="420"/>
        <w:rPr>
          <w:sz w:val="21"/>
          <w:szCs w:val="21"/>
        </w:rPr>
      </w:pPr>
      <w:r>
        <w:rPr>
          <w:rFonts w:hint="eastAsia"/>
          <w:sz w:val="21"/>
          <w:szCs w:val="21"/>
        </w:rPr>
        <w:t xml:space="preserve">当本基金发生上海证券交易所相关业务规则规定的因不再具备上市条件而应当终止上市的情形时，本基金将变更为非上市的证券投资基金，无需召开基金份额持有人大会。基金变更并终止上市后，对于本基金场内份额的处理规则由基金管理人制定并按规定公告。 </w:t>
      </w:r>
    </w:p>
    <w:p>
      <w:pPr>
        <w:pStyle w:val="8"/>
        <w:spacing w:before="0" w:beforeAutospacing="0" w:after="0" w:afterAutospacing="0" w:line="360" w:lineRule="auto"/>
        <w:ind w:firstLine="420"/>
        <w:rPr>
          <w:sz w:val="21"/>
          <w:szCs w:val="21"/>
        </w:rPr>
      </w:pPr>
      <w:r>
        <w:rPr>
          <w:rFonts w:hint="eastAsia"/>
          <w:sz w:val="21"/>
          <w:szCs w:val="21"/>
        </w:rPr>
        <w:t xml:space="preserve">七、相关法律法规、中国证监会及上海证券交易所对基金上市交易的规则等相关规定进行调整的，本基金基金合同相应予以修改，且此项修改无需召开基金份额持有人大会，并在本基金更新的招募说明书中列示。 </w:t>
      </w:r>
    </w:p>
    <w:p>
      <w:pPr>
        <w:pStyle w:val="8"/>
        <w:spacing w:before="0" w:beforeAutospacing="0" w:after="0" w:afterAutospacing="0" w:line="360" w:lineRule="auto"/>
        <w:ind w:firstLine="420"/>
        <w:rPr>
          <w:sz w:val="21"/>
          <w:szCs w:val="21"/>
        </w:rPr>
      </w:pPr>
      <w:r>
        <w:rPr>
          <w:rFonts w:hint="eastAsia"/>
          <w:sz w:val="21"/>
          <w:szCs w:val="21"/>
        </w:rPr>
        <w:t xml:space="preserve">若上海证券交易所、中国证券登记结算有限责任公司增加了基金上市交易的新功能，本基金管理人可以在履行适当的程序后增加相应功能。 </w:t>
      </w:r>
    </w:p>
    <w:p>
      <w:pPr>
        <w:pStyle w:val="8"/>
        <w:spacing w:before="0" w:beforeAutospacing="0" w:after="0" w:afterAutospacing="0" w:line="360" w:lineRule="auto"/>
        <w:ind w:firstLine="420"/>
        <w:rPr>
          <w:sz w:val="21"/>
          <w:szCs w:val="21"/>
        </w:rPr>
      </w:pPr>
      <w:r>
        <w:rPr>
          <w:rFonts w:hint="eastAsia"/>
          <w:sz w:val="21"/>
          <w:szCs w:val="21"/>
        </w:rPr>
        <w:t>在不违反法律法规及不损害基金份额持有人利益的前提下，本基金可以申请在包括境外</w:t>
      </w:r>
      <w:bookmarkStart w:id="72" w:name="chapter_level1_10_30162_section_1_end"/>
      <w:bookmarkEnd w:id="72"/>
      <w:r>
        <w:rPr>
          <w:rFonts w:hint="eastAsia"/>
          <w:sz w:val="21"/>
          <w:szCs w:val="21"/>
        </w:rPr>
        <w:t xml:space="preserve">交易所在内的其他交易场所上市交易，无需召开基金份额持有人大会。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3" w:name="_Toc828"/>
      <w:bookmarkStart w:id="74" w:name="_Toc82437030"/>
      <w:bookmarkStart w:id="75" w:name="chapter_level1_11_59"/>
      <w:r>
        <w:rPr>
          <w:rFonts w:hint="eastAsia" w:ascii="宋体" w:hAnsi="宋体" w:eastAsia="宋体"/>
          <w:sz w:val="30"/>
        </w:rPr>
        <w:t>第八部分  基金份额的申购与赎回</w:t>
      </w:r>
      <w:bookmarkEnd w:id="73"/>
      <w:bookmarkEnd w:id="74"/>
      <w:bookmarkEnd w:id="75"/>
    </w:p>
    <w:p>
      <w:pPr>
        <w:pStyle w:val="8"/>
        <w:spacing w:before="0" w:beforeAutospacing="0" w:after="0" w:afterAutospacing="0" w:line="360" w:lineRule="auto"/>
        <w:ind w:firstLine="420"/>
        <w:rPr>
          <w:sz w:val="21"/>
          <w:szCs w:val="21"/>
        </w:rPr>
      </w:pPr>
      <w:bookmarkStart w:id="76" w:name="chapter_level1_11_59_section_1"/>
      <w:bookmarkEnd w:id="76"/>
      <w:r>
        <w:rPr>
          <w:rFonts w:hint="eastAsia"/>
          <w:sz w:val="21"/>
          <w:szCs w:val="21"/>
        </w:rPr>
        <w:t xml:space="preserve">本基金合同生效后的前三年为封闭运作期，封闭运作期内本基金不开放申购、赎回；封闭运作期届满后，本基金转为上市开放式基金（LOF），基金名称调整为“博时科创主题灵活配置混合型证券投资基金（LOF）”，并接受场外、场内申购赎回。本基金转为上市开放式基金（LOF）后，本基金原基金份额全部自动划归为本基金A类基金份额。 </w:t>
      </w:r>
    </w:p>
    <w:p>
      <w:pPr>
        <w:pStyle w:val="8"/>
        <w:spacing w:before="0" w:beforeAutospacing="0" w:after="0" w:afterAutospacing="0" w:line="360" w:lineRule="auto"/>
        <w:ind w:firstLine="420"/>
        <w:rPr>
          <w:sz w:val="21"/>
          <w:szCs w:val="21"/>
        </w:rPr>
      </w:pPr>
      <w:r>
        <w:rPr>
          <w:rFonts w:hint="eastAsia"/>
          <w:sz w:val="21"/>
          <w:szCs w:val="21"/>
        </w:rPr>
        <w:t xml:space="preserve">一、封闭运作期届满后基金份额的申购与赎回 </w:t>
      </w:r>
    </w:p>
    <w:p>
      <w:pPr>
        <w:pStyle w:val="8"/>
        <w:spacing w:before="0" w:beforeAutospacing="0" w:after="0" w:afterAutospacing="0" w:line="360" w:lineRule="auto"/>
        <w:ind w:firstLine="420"/>
        <w:rPr>
          <w:sz w:val="21"/>
          <w:szCs w:val="21"/>
        </w:rPr>
      </w:pPr>
      <w:r>
        <w:rPr>
          <w:rFonts w:hint="eastAsia"/>
          <w:sz w:val="21"/>
          <w:szCs w:val="21"/>
        </w:rPr>
        <w:t xml:space="preserve">（一）申购和赎回场所 </w:t>
      </w:r>
    </w:p>
    <w:p>
      <w:pPr>
        <w:pStyle w:val="8"/>
        <w:spacing w:before="0" w:beforeAutospacing="0" w:after="0" w:afterAutospacing="0" w:line="360" w:lineRule="auto"/>
        <w:ind w:firstLine="420"/>
        <w:rPr>
          <w:sz w:val="21"/>
          <w:szCs w:val="21"/>
        </w:rPr>
      </w:pPr>
      <w:r>
        <w:rPr>
          <w:rFonts w:hint="eastAsia"/>
          <w:sz w:val="21"/>
          <w:szCs w:val="21"/>
        </w:rPr>
        <w:t>本基金场外申购与赎回场所为基金管理人的直销网点及其他基金场外销售机构的销售网点，场内申购和赎回场所为上海证券交易所内具有基金销售业务资格并经上海证券交易所和中国证券登记结算有限责任公司认可的会员单位，具体的销售机构将由基金管理人在招募说明书或其他相关公告中列明。</w:t>
      </w:r>
    </w:p>
    <w:p>
      <w:pPr>
        <w:pStyle w:val="8"/>
        <w:spacing w:before="0" w:beforeAutospacing="0" w:after="0" w:afterAutospacing="0" w:line="360" w:lineRule="auto"/>
        <w:ind w:firstLine="420"/>
        <w:rPr>
          <w:sz w:val="21"/>
          <w:szCs w:val="21"/>
        </w:rPr>
      </w:pPr>
      <w:r>
        <w:rPr>
          <w:rFonts w:hint="eastAsia"/>
          <w:sz w:val="21"/>
          <w:szCs w:val="21"/>
        </w:rPr>
        <w:t>本基金转为上市开放式基金（LOF）后，投资人可通过场内、场外两种渠道申购与赎回 A 类基金份额；可通过场外渠道申购与赎回C类基金份额。</w:t>
      </w:r>
    </w:p>
    <w:p>
      <w:pPr>
        <w:pStyle w:val="8"/>
        <w:spacing w:before="0" w:beforeAutospacing="0" w:after="0" w:afterAutospacing="0" w:line="360" w:lineRule="auto"/>
        <w:ind w:firstLine="420"/>
        <w:rPr>
          <w:sz w:val="21"/>
          <w:szCs w:val="21"/>
        </w:rPr>
      </w:pPr>
      <w:r>
        <w:rPr>
          <w:rFonts w:hint="eastAsia"/>
          <w:sz w:val="21"/>
          <w:szCs w:val="21"/>
        </w:rPr>
        <w:t>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w:t>
      </w:r>
      <w:bookmarkStart w:id="77" w:name="chapter_level1_11_59_section_1_end"/>
      <w:bookmarkEnd w:id="77"/>
      <w:r>
        <w:rPr>
          <w:rFonts w:hint="eastAsia"/>
          <w:sz w:val="21"/>
          <w:szCs w:val="21"/>
        </w:rPr>
        <w:t xml:space="preserve">网上等交易方式，投资人可以通过上述方式进行申购与赎回。 </w:t>
      </w:r>
      <w:bookmarkStart w:id="78" w:name="chapter_level1_11_59_section_2"/>
      <w:bookmarkEnd w:id="78"/>
    </w:p>
    <w:p>
      <w:pPr>
        <w:pStyle w:val="8"/>
        <w:spacing w:before="0" w:beforeAutospacing="0" w:after="0" w:afterAutospacing="0" w:line="360" w:lineRule="auto"/>
        <w:ind w:firstLine="420"/>
        <w:rPr>
          <w:sz w:val="21"/>
          <w:szCs w:val="21"/>
        </w:rPr>
      </w:pPr>
      <w:r>
        <w:rPr>
          <w:rFonts w:hint="eastAsia"/>
          <w:sz w:val="21"/>
          <w:szCs w:val="21"/>
        </w:rPr>
        <w:t xml:space="preserve">（二）申购和赎回的开放日及时间 </w:t>
      </w:r>
    </w:p>
    <w:p>
      <w:pPr>
        <w:pStyle w:val="8"/>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8"/>
        <w:spacing w:before="0" w:beforeAutospacing="0" w:after="0" w:afterAutospacing="0" w:line="360" w:lineRule="auto"/>
        <w:ind w:firstLine="420"/>
        <w:rPr>
          <w:sz w:val="21"/>
          <w:szCs w:val="21"/>
        </w:rPr>
      </w:pPr>
      <w:r>
        <w:rPr>
          <w:rFonts w:hint="eastAsia"/>
          <w:sz w:val="21"/>
          <w:szCs w:val="21"/>
        </w:rPr>
        <w:t xml:space="preserve">基金合同生效三年后，本基金转为上市开放式基金（LOF），基金管理人在开放日办理基金份额的申购和赎回，具体办理时间为上海证券交易所、深圳证券交易所及相关期货交易所的正常交易日的交易时间（若本基金投资港股通标的股票且该工作日为非港股通交易日，则基金管理人可根据实际情况决定本基金是否开放申购、赎回或其他业务，具体以届时提前发布的公告为准），但基金管理人根据法律法规、中国证监会的要求或基金合同的规定公告暂停申购、赎回时除外。开放日的具体业务办理时间在招募说明书或相关公告中载明。 </w:t>
      </w:r>
    </w:p>
    <w:p>
      <w:pPr>
        <w:pStyle w:val="8"/>
        <w:spacing w:before="0" w:beforeAutospacing="0" w:after="0" w:afterAutospacing="0" w:line="360" w:lineRule="auto"/>
        <w:ind w:firstLine="420"/>
        <w:rPr>
          <w:sz w:val="21"/>
          <w:szCs w:val="21"/>
        </w:rPr>
      </w:pPr>
      <w:r>
        <w:rPr>
          <w:rFonts w:hint="eastAsia"/>
          <w:sz w:val="21"/>
          <w:szCs w:val="21"/>
        </w:rPr>
        <w:t xml:space="preserve">若出现新的证券/期货交易市场、证券/期货交易所交易时间变更或其他特殊情况，基金管理人将视情况对前述开放日及开放时间进行相应的调整，但应在实施日前依照《信息披露办法》的有关规定在指定媒介上公告。 </w:t>
      </w:r>
    </w:p>
    <w:p>
      <w:pPr>
        <w:pStyle w:val="8"/>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pPr>
        <w:pStyle w:val="8"/>
        <w:spacing w:before="0" w:beforeAutospacing="0" w:after="0" w:afterAutospacing="0" w:line="360" w:lineRule="auto"/>
        <w:ind w:firstLine="420"/>
        <w:rPr>
          <w:sz w:val="21"/>
          <w:szCs w:val="21"/>
        </w:rPr>
      </w:pPr>
      <w:r>
        <w:rPr>
          <w:rFonts w:hint="eastAsia"/>
          <w:sz w:val="21"/>
          <w:szCs w:val="21"/>
        </w:rPr>
        <w:t xml:space="preserve">本基金自转为上市开放式基金（LOF）之日起30日内开始办理场内与场外份额的申购、赎回业务，具体业务办理时间在相关公告中规定。 </w:t>
      </w:r>
    </w:p>
    <w:p>
      <w:pPr>
        <w:pStyle w:val="8"/>
        <w:spacing w:before="0" w:beforeAutospacing="0" w:after="0" w:afterAutospacing="0" w:line="360" w:lineRule="auto"/>
        <w:ind w:firstLine="420"/>
        <w:rPr>
          <w:sz w:val="21"/>
          <w:szCs w:val="21"/>
        </w:rPr>
      </w:pPr>
      <w:r>
        <w:rPr>
          <w:rFonts w:hint="eastAsia"/>
          <w:sz w:val="21"/>
          <w:szCs w:val="21"/>
        </w:rPr>
        <w:t xml:space="preserve">基金管理人不得在基金合同约定之外的日期或者时间办理基金份额的申购、赎回或者转换。办理申购与赎回业务的具体事宜见基金管理人届时发布的相关公告。  </w:t>
      </w:r>
    </w:p>
    <w:p>
      <w:pPr>
        <w:pStyle w:val="8"/>
        <w:spacing w:before="0" w:beforeAutospacing="0" w:after="0" w:afterAutospacing="0" w:line="360" w:lineRule="auto"/>
        <w:ind w:firstLine="420"/>
        <w:rPr>
          <w:sz w:val="21"/>
          <w:szCs w:val="21"/>
        </w:rPr>
      </w:pPr>
      <w:bookmarkStart w:id="79" w:name="chapter_level1_11_59_section_2_end"/>
      <w:bookmarkEnd w:id="79"/>
    </w:p>
    <w:p>
      <w:pPr>
        <w:pStyle w:val="8"/>
        <w:spacing w:before="0" w:beforeAutospacing="0" w:after="0" w:afterAutospacing="0" w:line="360" w:lineRule="auto"/>
        <w:ind w:firstLine="420"/>
        <w:rPr>
          <w:sz w:val="21"/>
          <w:szCs w:val="21"/>
        </w:rPr>
      </w:pPr>
      <w:bookmarkStart w:id="80" w:name="chapter_level1_11_59_section_3"/>
      <w:bookmarkEnd w:id="80"/>
      <w:r>
        <w:rPr>
          <w:rFonts w:hint="eastAsia"/>
          <w:sz w:val="21"/>
          <w:szCs w:val="21"/>
        </w:rPr>
        <w:t xml:space="preserve">（三）申购与赎回的原则 </w:t>
      </w:r>
    </w:p>
    <w:p>
      <w:pPr>
        <w:pStyle w:val="8"/>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1、“未知价”原则，即申购、赎回价格以申请当日收市后计算的该类别基金份额净值为基准进行计算； </w:t>
      </w:r>
    </w:p>
    <w:p>
      <w:pPr>
        <w:pStyle w:val="8"/>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8"/>
        <w:spacing w:before="0" w:beforeAutospacing="0" w:after="0" w:afterAutospacing="0" w:line="360" w:lineRule="auto"/>
        <w:ind w:firstLine="420"/>
        <w:rPr>
          <w:sz w:val="21"/>
          <w:szCs w:val="21"/>
        </w:rPr>
      </w:pPr>
      <w:r>
        <w:rPr>
          <w:rFonts w:hint="eastAsia"/>
          <w:sz w:val="21"/>
          <w:szCs w:val="21"/>
        </w:rPr>
        <w:t xml:space="preserve">3、当日的场外申购与赎回申请可以在基金管理人规定的时间以内撤销； </w:t>
      </w:r>
    </w:p>
    <w:p>
      <w:pPr>
        <w:pStyle w:val="8"/>
        <w:spacing w:before="0" w:beforeAutospacing="0" w:after="0" w:afterAutospacing="0" w:line="360" w:lineRule="auto"/>
        <w:ind w:firstLine="420"/>
        <w:rPr>
          <w:sz w:val="21"/>
          <w:szCs w:val="21"/>
        </w:rPr>
      </w:pPr>
      <w:r>
        <w:rPr>
          <w:rFonts w:hint="eastAsia"/>
          <w:sz w:val="21"/>
          <w:szCs w:val="21"/>
        </w:rPr>
        <w:t xml:space="preserve">4、本基金场外赎回遵循“先进先出”原则，即基金份额持有人在场外销售机构赎回基金份额时，按照基金份额持有人认购、申购确认的先后次序进行顺序赎回； </w:t>
      </w:r>
    </w:p>
    <w:p>
      <w:pPr>
        <w:pStyle w:val="8"/>
        <w:spacing w:before="0" w:beforeAutospacing="0" w:after="0" w:afterAutospacing="0" w:line="360" w:lineRule="auto"/>
        <w:ind w:firstLine="420"/>
        <w:rPr>
          <w:sz w:val="21"/>
          <w:szCs w:val="21"/>
        </w:rPr>
      </w:pPr>
      <w:r>
        <w:rPr>
          <w:rFonts w:hint="eastAsia"/>
          <w:sz w:val="21"/>
          <w:szCs w:val="21"/>
        </w:rPr>
        <w:t xml:space="preserve">5、本基金场内申购、赎回等业务，按照上海证券交易所、中国证券登记结算有限责任公司的相关业务规则执行。若相关法律法规、中国证监会、上海证券交易所或中国证券登记结算有限责任公司对申购、赎回业务等规则有新的规定，按新规定执行； </w:t>
      </w:r>
    </w:p>
    <w:p>
      <w:pPr>
        <w:pStyle w:val="8"/>
        <w:spacing w:before="0" w:beforeAutospacing="0" w:after="0" w:afterAutospacing="0" w:line="360" w:lineRule="auto"/>
        <w:ind w:firstLine="420"/>
        <w:rPr>
          <w:sz w:val="21"/>
          <w:szCs w:val="21"/>
        </w:rPr>
      </w:pPr>
      <w:r>
        <w:rPr>
          <w:rFonts w:hint="eastAsia"/>
          <w:sz w:val="21"/>
          <w:szCs w:val="21"/>
        </w:rPr>
        <w:t xml:space="preserve">6、办理申购、赎回业务时，应当遵循基金份额持有人利益优先原则，确保投资者的合法权益不受损害并得到公平对待。 </w:t>
      </w:r>
    </w:p>
    <w:p>
      <w:pPr>
        <w:pStyle w:val="8"/>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基金管理人可在法律法规允许的情况下，对上述原则进行调整。基金管理人必须在新规则开始实施前依照《信息披露办法》的有关规定在指定媒介上公告。 </w:t>
      </w:r>
    </w:p>
    <w:p>
      <w:pPr>
        <w:pStyle w:val="8"/>
        <w:spacing w:before="0" w:beforeAutospacing="0" w:after="0" w:afterAutospacing="0" w:line="360" w:lineRule="auto"/>
        <w:ind w:firstLine="420"/>
        <w:rPr>
          <w:sz w:val="21"/>
          <w:szCs w:val="21"/>
        </w:rPr>
      </w:pPr>
      <w:r>
        <w:rPr>
          <w:rFonts w:hint="eastAsia"/>
          <w:sz w:val="21"/>
          <w:szCs w:val="21"/>
        </w:rPr>
        <w:t xml:space="preserve">（四）申购与赎回的程序 </w:t>
      </w:r>
    </w:p>
    <w:p>
      <w:pPr>
        <w:pStyle w:val="8"/>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8"/>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8"/>
        <w:spacing w:before="0" w:beforeAutospacing="0" w:after="0" w:afterAutospacing="0" w:line="360" w:lineRule="auto"/>
        <w:ind w:firstLine="420"/>
        <w:rPr>
          <w:sz w:val="21"/>
          <w:szCs w:val="21"/>
        </w:rPr>
      </w:pPr>
      <w:r>
        <w:rPr>
          <w:rFonts w:hint="eastAsia"/>
          <w:sz w:val="21"/>
          <w:szCs w:val="21"/>
        </w:rPr>
        <w:t xml:space="preserve">2、申购和赎回的款项支付 </w:t>
      </w:r>
    </w:p>
    <w:p>
      <w:pPr>
        <w:pStyle w:val="8"/>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投资人申购基金份额时，必须全额交付申购款项，投资人交付申购款项，申购成立；基金份额登记机构确认基金份额时，申购生效。 </w:t>
      </w:r>
    </w:p>
    <w:p>
      <w:pPr>
        <w:pStyle w:val="8"/>
        <w:spacing w:before="0" w:beforeAutospacing="0" w:after="0" w:afterAutospacing="0" w:line="360" w:lineRule="auto"/>
        <w:ind w:firstLine="420"/>
        <w:rPr>
          <w:sz w:val="21"/>
          <w:szCs w:val="21"/>
        </w:rPr>
      </w:pPr>
      <w:r>
        <w:rPr>
          <w:rFonts w:hint="eastAsia"/>
          <w:sz w:val="21"/>
          <w:szCs w:val="21"/>
        </w:rPr>
        <w:t xml:space="preserve">基金份额持有人递交赎回申请，赎回成立；基金份额登记机构确认赎回时，赎回生效。 </w:t>
      </w:r>
    </w:p>
    <w:p>
      <w:pPr>
        <w:pStyle w:val="8"/>
        <w:spacing w:before="0" w:beforeAutospacing="0" w:after="0" w:afterAutospacing="0" w:line="360" w:lineRule="auto"/>
        <w:ind w:firstLine="420"/>
        <w:rPr>
          <w:sz w:val="21"/>
          <w:szCs w:val="21"/>
        </w:rPr>
      </w:pPr>
      <w:r>
        <w:rPr>
          <w:rFonts w:hint="eastAsia"/>
          <w:sz w:val="21"/>
          <w:szCs w:val="21"/>
        </w:rPr>
        <w:t xml:space="preserve">投资人赎回申请生效后，基金管理人将在T＋7日(包括该日)内支付赎回款项。在发生巨额赎回时或基金合同载明的其他暂停赎回或延缓支付赎回款项的情形时，款项的支付办法参照基金合同有关条款处理。 </w:t>
      </w:r>
    </w:p>
    <w:p>
      <w:pPr>
        <w:pStyle w:val="8"/>
        <w:spacing w:before="0" w:beforeAutospacing="0" w:after="0" w:afterAutospacing="0" w:line="360" w:lineRule="auto"/>
        <w:ind w:firstLine="420"/>
        <w:rPr>
          <w:sz w:val="21"/>
          <w:szCs w:val="21"/>
        </w:rPr>
      </w:pPr>
      <w:r>
        <w:rPr>
          <w:rFonts w:hint="eastAsia"/>
          <w:sz w:val="21"/>
          <w:szCs w:val="21"/>
        </w:rPr>
        <w:t xml:space="preserve">如遇证券交易所或交易市场数据传输延迟、通讯系统故障、银行数据交换系统故障、港股通交易系统或港股通资金交收规则限制或其他非基金管理人及基金托管人所能控制的因素影响了业务流程，则赎回款项划付时间相应顺延至该因素消除的最近一个工作日。 </w:t>
      </w:r>
    </w:p>
    <w:p>
      <w:pPr>
        <w:pStyle w:val="8"/>
        <w:spacing w:before="0" w:beforeAutospacing="0" w:after="0" w:afterAutospacing="0" w:line="360" w:lineRule="auto"/>
        <w:ind w:firstLine="420"/>
        <w:rPr>
          <w:sz w:val="21"/>
          <w:szCs w:val="21"/>
        </w:rPr>
      </w:pPr>
      <w:r>
        <w:rPr>
          <w:rFonts w:hint="eastAsia"/>
          <w:sz w:val="21"/>
          <w:szCs w:val="21"/>
        </w:rPr>
        <w:t xml:space="preserve">3、申购和赎回申请的确认 </w:t>
      </w:r>
    </w:p>
    <w:p>
      <w:pPr>
        <w:pStyle w:val="8"/>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退还给投资人。 </w:t>
      </w:r>
    </w:p>
    <w:p>
      <w:pPr>
        <w:pStyle w:val="8"/>
        <w:spacing w:before="0" w:beforeAutospacing="0" w:after="0" w:afterAutospacing="0" w:line="360" w:lineRule="auto"/>
        <w:ind w:firstLine="420"/>
        <w:rPr>
          <w:sz w:val="21"/>
          <w:szCs w:val="21"/>
        </w:rPr>
      </w:pPr>
      <w:r>
        <w:rPr>
          <w:rFonts w:hint="eastAsia"/>
          <w:sz w:val="21"/>
          <w:szCs w:val="21"/>
        </w:rPr>
        <w:t xml:space="preserve">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 </w:t>
      </w:r>
    </w:p>
    <w:p>
      <w:pPr>
        <w:pStyle w:val="8"/>
        <w:spacing w:before="0" w:beforeAutospacing="0" w:after="0" w:afterAutospacing="0" w:line="360" w:lineRule="auto"/>
        <w:ind w:firstLine="420"/>
        <w:rPr>
          <w:sz w:val="21"/>
          <w:szCs w:val="21"/>
        </w:rPr>
      </w:pPr>
      <w:r>
        <w:rPr>
          <w:rFonts w:hint="eastAsia"/>
          <w:sz w:val="21"/>
          <w:szCs w:val="21"/>
        </w:rPr>
        <w:t xml:space="preserve">基金管理人可在法律法规允许的范围内，在不对基金份额持有人利益造成损害的前提下，依法对上述申购和赎回申请的确认时间进行调整，并必须在调整实施前按照《信息披露办法》的有关规定在指定媒介上公告。 </w:t>
      </w:r>
    </w:p>
    <w:p>
      <w:pPr>
        <w:pStyle w:val="8"/>
        <w:spacing w:before="0" w:beforeAutospacing="0" w:after="0" w:afterAutospacing="0" w:line="360" w:lineRule="auto"/>
        <w:ind w:firstLine="420"/>
        <w:rPr>
          <w:sz w:val="21"/>
          <w:szCs w:val="21"/>
        </w:rPr>
      </w:pPr>
      <w:r>
        <w:rPr>
          <w:rFonts w:hint="eastAsia"/>
          <w:sz w:val="21"/>
          <w:szCs w:val="21"/>
        </w:rPr>
        <w:t xml:space="preserve">（五）申购和赎回的数量限制 </w:t>
      </w:r>
    </w:p>
    <w:p>
      <w:pPr>
        <w:pStyle w:val="8"/>
        <w:spacing w:before="0" w:beforeAutospacing="0" w:after="0" w:afterAutospacing="0" w:line="360" w:lineRule="auto"/>
        <w:ind w:firstLine="420"/>
        <w:rPr>
          <w:sz w:val="21"/>
          <w:szCs w:val="21"/>
        </w:rPr>
      </w:pPr>
      <w:r>
        <w:rPr>
          <w:rFonts w:hint="eastAsia"/>
          <w:sz w:val="21"/>
          <w:szCs w:val="21"/>
        </w:rPr>
        <w:t xml:space="preserve">1、本基金场外首次申购和追加申购的最低金额均为1元（含申购费，下同），基金销售机构另有规定的，以基金销售机构的规定为准。本基金场内申购单笔最低申购金额为1000元，超过1000元的须为1元的整数倍；基金销售机构另有规定的，以基金销售机构的规定为准；本基金直销机构最低申购金额及最低赎回份额由基金管理人制定和调整。 </w:t>
      </w:r>
    </w:p>
    <w:p>
      <w:pPr>
        <w:pStyle w:val="8"/>
        <w:spacing w:before="0" w:beforeAutospacing="0" w:after="0" w:afterAutospacing="0" w:line="360" w:lineRule="auto"/>
        <w:ind w:firstLine="420"/>
        <w:rPr>
          <w:sz w:val="21"/>
          <w:szCs w:val="21"/>
        </w:rPr>
      </w:pPr>
      <w:r>
        <w:rPr>
          <w:rFonts w:hint="eastAsia"/>
          <w:sz w:val="21"/>
          <w:szCs w:val="21"/>
        </w:rPr>
        <w:t>2、本基金基金份额持有人通过场外销售机构赎回基金份额时，本基金单笔赎回申请不得低于1.00份，若投资者单个交易账户持有的基金份额余额不足1.00份，将不受此限制，但投资者在提交赎回申请时须全部赎回。各销售机构在符合上述规定的前提下，可根据自己的情况调整单笔赎回申请限制，具体以销售机构公布的为准，投资者需遵循销售机构的相关规定。</w:t>
      </w:r>
    </w:p>
    <w:p>
      <w:pPr>
        <w:pStyle w:val="8"/>
        <w:spacing w:before="0" w:beforeAutospacing="0" w:after="0" w:afterAutospacing="0" w:line="360" w:lineRule="auto"/>
        <w:ind w:firstLine="420"/>
        <w:rPr>
          <w:sz w:val="21"/>
          <w:szCs w:val="21"/>
        </w:rPr>
      </w:pPr>
      <w:r>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 </w:t>
      </w:r>
    </w:p>
    <w:p>
      <w:pPr>
        <w:pStyle w:val="8"/>
        <w:spacing w:before="0" w:beforeAutospacing="0" w:after="0" w:afterAutospacing="0" w:line="360" w:lineRule="auto"/>
        <w:ind w:firstLine="420"/>
        <w:rPr>
          <w:sz w:val="21"/>
          <w:szCs w:val="21"/>
        </w:rPr>
      </w:pPr>
      <w:r>
        <w:rPr>
          <w:rFonts w:hint="eastAsia"/>
          <w:sz w:val="21"/>
          <w:szCs w:val="21"/>
        </w:rPr>
        <w:t xml:space="preserve">4、本基金不对投资人每个交易账户的最低基金份额余额进行限制； </w:t>
      </w:r>
    </w:p>
    <w:p>
      <w:pPr>
        <w:pStyle w:val="8"/>
        <w:spacing w:before="0" w:beforeAutospacing="0" w:after="0" w:afterAutospacing="0" w:line="360" w:lineRule="auto"/>
        <w:ind w:firstLine="420"/>
        <w:rPr>
          <w:sz w:val="21"/>
          <w:szCs w:val="21"/>
        </w:rPr>
      </w:pPr>
      <w:r>
        <w:rPr>
          <w:rFonts w:hint="eastAsia"/>
          <w:sz w:val="21"/>
          <w:szCs w:val="21"/>
        </w:rPr>
        <w:t xml:space="preserve">5、本基金不对单个投资人累计持有的基金份额上限进行限制，但法律法规或监管要求另有规定的除外； </w:t>
      </w:r>
    </w:p>
    <w:p>
      <w:pPr>
        <w:pStyle w:val="8"/>
        <w:spacing w:before="0" w:beforeAutospacing="0" w:after="0" w:afterAutospacing="0" w:line="360" w:lineRule="auto"/>
        <w:ind w:firstLine="420"/>
        <w:rPr>
          <w:sz w:val="21"/>
          <w:szCs w:val="21"/>
        </w:rPr>
      </w:pPr>
      <w:r>
        <w:rPr>
          <w:rFonts w:hint="eastAsia"/>
          <w:sz w:val="21"/>
          <w:szCs w:val="21"/>
        </w:rPr>
        <w:t xml:space="preserve">6、对于场内申购、赎回及持有场内份额的数量限制，上海证券交易所和中国证券登记结算有限责任公司的相关业务规则有规定的，从其最新规定办理。 </w:t>
      </w:r>
    </w:p>
    <w:p>
      <w:pPr>
        <w:pStyle w:val="8"/>
        <w:spacing w:before="0" w:beforeAutospacing="0" w:after="0" w:afterAutospacing="0" w:line="360" w:lineRule="auto"/>
        <w:ind w:firstLine="420"/>
        <w:rPr>
          <w:sz w:val="21"/>
          <w:szCs w:val="21"/>
        </w:rPr>
      </w:pPr>
      <w:r>
        <w:rPr>
          <w:rFonts w:hint="eastAsia"/>
          <w:sz w:val="21"/>
          <w:szCs w:val="21"/>
        </w:rPr>
        <w:t xml:space="preserve">7、基金管理人可在法律法规允许的情况下，调整上述规定申购金额和赎回份额的数量限制。基金管理人必须在调整实施前依照《信息披露办法》的有关规定在指定媒介上公告。 </w:t>
      </w:r>
    </w:p>
    <w:p>
      <w:pPr>
        <w:pStyle w:val="8"/>
        <w:spacing w:before="0" w:beforeAutospacing="0" w:after="0" w:afterAutospacing="0" w:line="360" w:lineRule="auto"/>
        <w:ind w:firstLine="420"/>
        <w:rPr>
          <w:sz w:val="21"/>
          <w:szCs w:val="21"/>
        </w:rPr>
      </w:pPr>
      <w:r>
        <w:rPr>
          <w:rFonts w:hint="eastAsia"/>
          <w:sz w:val="21"/>
          <w:szCs w:val="21"/>
        </w:rPr>
        <w:t xml:space="preserve">（六）申购和赎回费用 </w:t>
      </w:r>
    </w:p>
    <w:p>
      <w:pPr>
        <w:pStyle w:val="8"/>
        <w:spacing w:before="0" w:beforeAutospacing="0" w:after="0" w:afterAutospacing="0" w:line="360" w:lineRule="auto"/>
        <w:ind w:firstLine="420"/>
        <w:rPr>
          <w:sz w:val="21"/>
          <w:szCs w:val="21"/>
        </w:rPr>
      </w:pPr>
      <w:r>
        <w:rPr>
          <w:rFonts w:hint="eastAsia"/>
          <w:sz w:val="21"/>
          <w:szCs w:val="21"/>
        </w:rPr>
        <w:t xml:space="preserve">1、本基金的场外和场内申购费率最高不高于1.2%，且随申购金额的增加而递减，如下表所示 </w:t>
      </w:r>
    </w:p>
    <w:tbl>
      <w:tblPr>
        <w:tblStyle w:val="11"/>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6"/>
        <w:gridCol w:w="2954"/>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jc w:val="center"/>
            </w:pPr>
            <w:r>
              <w:rPr>
                <w:rFonts w:hint="eastAsia"/>
              </w:rPr>
              <w:t xml:space="preserve">申购金额（M），元 </w:t>
            </w:r>
          </w:p>
        </w:tc>
        <w:tc>
          <w:tcPr>
            <w:tcW w:w="0" w:type="auto"/>
            <w:shd w:val="clear" w:color="auto" w:fill="auto"/>
          </w:tcPr>
          <w:p>
            <w:pPr>
              <w:pStyle w:val="8"/>
              <w:jc w:val="center"/>
            </w:pPr>
            <w:r>
              <w:rPr>
                <w:rFonts w:hint="eastAsia"/>
              </w:rPr>
              <w:t xml:space="preserve">A类基金份额申购费率 </w:t>
            </w:r>
          </w:p>
        </w:tc>
        <w:tc>
          <w:tcPr>
            <w:tcW w:w="0" w:type="auto"/>
            <w:shd w:val="clear" w:color="auto" w:fill="auto"/>
          </w:tcPr>
          <w:p>
            <w:pPr>
              <w:pStyle w:val="8"/>
              <w:jc w:val="center"/>
            </w:pPr>
            <w:r>
              <w:rPr>
                <w:rFonts w:hint="eastAsia"/>
              </w:rPr>
              <w:t>C类基金份额申购费率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jc w:val="center"/>
            </w:pPr>
            <w:r>
              <w:rPr>
                <w:rFonts w:hint="eastAsia"/>
              </w:rPr>
              <w:t xml:space="preserve">M＜100万 </w:t>
            </w:r>
          </w:p>
        </w:tc>
        <w:tc>
          <w:tcPr>
            <w:tcW w:w="0" w:type="auto"/>
            <w:shd w:val="clear" w:color="auto" w:fill="auto"/>
          </w:tcPr>
          <w:p>
            <w:pPr>
              <w:pStyle w:val="8"/>
              <w:jc w:val="center"/>
            </w:pPr>
            <w:r>
              <w:rPr>
                <w:rFonts w:hint="eastAsia"/>
              </w:rPr>
              <w:t xml:space="preserve">1.2% </w:t>
            </w:r>
          </w:p>
        </w:tc>
        <w:tc>
          <w:tcPr>
            <w:tcW w:w="0" w:type="auto"/>
            <w:vMerge w:val="restart"/>
            <w:shd w:val="clear" w:color="auto" w:fill="auto"/>
          </w:tcPr>
          <w:p>
            <w:pPr>
              <w:pStyle w:val="8"/>
              <w:jc w:val="center"/>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jc w:val="center"/>
            </w:pPr>
            <w:r>
              <w:rPr>
                <w:rFonts w:hint="eastAsia"/>
              </w:rPr>
              <w:t xml:space="preserve">100万≤M＜500万 </w:t>
            </w:r>
          </w:p>
        </w:tc>
        <w:tc>
          <w:tcPr>
            <w:tcW w:w="0" w:type="auto"/>
            <w:shd w:val="clear" w:color="auto" w:fill="auto"/>
          </w:tcPr>
          <w:p>
            <w:pPr>
              <w:pStyle w:val="8"/>
              <w:jc w:val="center"/>
            </w:pPr>
            <w:r>
              <w:rPr>
                <w:rFonts w:hint="eastAsia"/>
              </w:rPr>
              <w:t xml:space="preserve">0.8% </w:t>
            </w:r>
          </w:p>
        </w:tc>
        <w:tc>
          <w:tcPr>
            <w:tcW w:w="0" w:type="auto"/>
            <w:vMerge w:val="continue"/>
            <w:shd w:val="clear" w:color="auto" w:fill="auto"/>
          </w:tcPr>
          <w:p>
            <w:pPr>
              <w:pStyle w:val="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jc w:val="center"/>
            </w:pPr>
            <w:r>
              <w:rPr>
                <w:rFonts w:hint="eastAsia"/>
              </w:rPr>
              <w:t xml:space="preserve">500万≤M＜1000万 </w:t>
            </w:r>
          </w:p>
        </w:tc>
        <w:tc>
          <w:tcPr>
            <w:tcW w:w="0" w:type="auto"/>
            <w:shd w:val="clear" w:color="auto" w:fill="auto"/>
          </w:tcPr>
          <w:p>
            <w:pPr>
              <w:pStyle w:val="8"/>
              <w:jc w:val="center"/>
            </w:pPr>
            <w:r>
              <w:rPr>
                <w:rFonts w:hint="eastAsia"/>
              </w:rPr>
              <w:t xml:space="preserve">0.2% </w:t>
            </w:r>
          </w:p>
        </w:tc>
        <w:tc>
          <w:tcPr>
            <w:tcW w:w="0" w:type="auto"/>
            <w:vMerge w:val="continue"/>
            <w:shd w:val="clear" w:color="auto" w:fill="auto"/>
          </w:tcPr>
          <w:p>
            <w:pPr>
              <w:pStyle w:val="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jc w:val="center"/>
            </w:pPr>
            <w:r>
              <w:rPr>
                <w:rFonts w:hint="eastAsia"/>
              </w:rPr>
              <w:t xml:space="preserve">M≥1000万 </w:t>
            </w:r>
          </w:p>
        </w:tc>
        <w:tc>
          <w:tcPr>
            <w:tcW w:w="0" w:type="auto"/>
            <w:shd w:val="clear" w:color="auto" w:fill="auto"/>
          </w:tcPr>
          <w:p>
            <w:pPr>
              <w:pStyle w:val="8"/>
              <w:jc w:val="center"/>
            </w:pPr>
            <w:r>
              <w:rPr>
                <w:rFonts w:hint="eastAsia"/>
              </w:rPr>
              <w:t xml:space="preserve">每笔1000元 </w:t>
            </w:r>
          </w:p>
        </w:tc>
        <w:tc>
          <w:tcPr>
            <w:tcW w:w="0" w:type="auto"/>
            <w:vMerge w:val="continue"/>
            <w:shd w:val="clear" w:color="auto" w:fill="auto"/>
          </w:tcPr>
          <w:p>
            <w:pPr>
              <w:pStyle w:val="8"/>
              <w:jc w:val="center"/>
            </w:pPr>
          </w:p>
        </w:tc>
      </w:tr>
    </w:tbl>
    <w:p>
      <w:pPr>
        <w:pStyle w:val="8"/>
        <w:spacing w:before="0" w:beforeAutospacing="0" w:after="0" w:afterAutospacing="0" w:line="360" w:lineRule="auto"/>
        <w:ind w:firstLine="420"/>
        <w:rPr>
          <w:sz w:val="21"/>
          <w:szCs w:val="21"/>
        </w:rPr>
      </w:pPr>
      <w:r>
        <w:rPr>
          <w:rFonts w:hint="eastAsia"/>
          <w:sz w:val="21"/>
          <w:szCs w:val="21"/>
        </w:rPr>
        <w:t xml:space="preserve">2、本基金转型后的赎回费由赎回人承担，在投资者赎回基金份额时收取。 </w:t>
      </w:r>
    </w:p>
    <w:p>
      <w:pPr>
        <w:pStyle w:val="8"/>
        <w:spacing w:before="0" w:beforeAutospacing="0" w:after="0" w:afterAutospacing="0" w:line="360" w:lineRule="auto"/>
        <w:ind w:firstLine="420"/>
        <w:rPr>
          <w:sz w:val="21"/>
          <w:szCs w:val="21"/>
        </w:rPr>
      </w:pPr>
      <w:r>
        <w:rPr>
          <w:rFonts w:hint="eastAsia"/>
          <w:sz w:val="21"/>
          <w:szCs w:val="21"/>
        </w:rPr>
        <w:t xml:space="preserve">本基金场内和场外的赎回费率一致，随基金份额的持有期限的增加而递减，具体如下（其中1年指365天）： </w:t>
      </w:r>
    </w:p>
    <w:tbl>
      <w:tblPr>
        <w:tblStyle w:val="11"/>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5"/>
        <w:gridCol w:w="3159"/>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pPr>
            <w:r>
              <w:rPr>
                <w:rFonts w:hint="eastAsia"/>
              </w:rPr>
              <w:t xml:space="preserve">持有期限 </w:t>
            </w:r>
          </w:p>
        </w:tc>
        <w:tc>
          <w:tcPr>
            <w:tcW w:w="0" w:type="auto"/>
            <w:shd w:val="clear" w:color="auto" w:fill="auto"/>
          </w:tcPr>
          <w:p>
            <w:pPr>
              <w:pStyle w:val="8"/>
            </w:pPr>
            <w:r>
              <w:rPr>
                <w:rFonts w:hint="eastAsia"/>
              </w:rPr>
              <w:t xml:space="preserve">A类基金份额赎回费率 </w:t>
            </w:r>
          </w:p>
        </w:tc>
        <w:tc>
          <w:tcPr>
            <w:tcW w:w="0" w:type="auto"/>
            <w:shd w:val="clear" w:color="auto" w:fill="auto"/>
          </w:tcPr>
          <w:p>
            <w:pPr>
              <w:pStyle w:val="8"/>
            </w:pPr>
            <w:r>
              <w:rPr>
                <w:rFonts w:hint="eastAsia"/>
              </w:rPr>
              <w:t xml:space="preserve">C类基金份额赎回费率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pPr>
            <w:r>
              <w:rPr>
                <w:rFonts w:hint="eastAsia"/>
              </w:rPr>
              <w:t xml:space="preserve">N＜7日 </w:t>
            </w:r>
          </w:p>
        </w:tc>
        <w:tc>
          <w:tcPr>
            <w:tcW w:w="0" w:type="auto"/>
            <w:shd w:val="clear" w:color="auto" w:fill="auto"/>
          </w:tcPr>
          <w:p>
            <w:pPr>
              <w:pStyle w:val="8"/>
              <w:jc w:val="center"/>
            </w:pPr>
            <w:r>
              <w:rPr>
                <w:rFonts w:hint="eastAsia"/>
              </w:rPr>
              <w:t>1.50%</w:t>
            </w:r>
          </w:p>
        </w:tc>
        <w:tc>
          <w:tcPr>
            <w:tcW w:w="0" w:type="auto"/>
            <w:shd w:val="clear" w:color="auto" w:fill="auto"/>
          </w:tcPr>
          <w:p>
            <w:pPr>
              <w:pStyle w:val="8"/>
              <w:jc w:val="center"/>
            </w:pPr>
            <w:r>
              <w:rPr>
                <w:rFonts w:hint="eastAsi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pPr>
            <w:r>
              <w:rPr>
                <w:rFonts w:hint="eastAsia"/>
              </w:rPr>
              <w:t xml:space="preserve">7日≤N＜30日 </w:t>
            </w:r>
          </w:p>
        </w:tc>
        <w:tc>
          <w:tcPr>
            <w:tcW w:w="0" w:type="auto"/>
            <w:shd w:val="clear" w:color="auto" w:fill="auto"/>
          </w:tcPr>
          <w:p>
            <w:pPr>
              <w:pStyle w:val="8"/>
              <w:jc w:val="center"/>
            </w:pPr>
            <w:r>
              <w:rPr>
                <w:rFonts w:hint="eastAsia"/>
              </w:rPr>
              <w:t>0.75%</w:t>
            </w:r>
          </w:p>
        </w:tc>
        <w:tc>
          <w:tcPr>
            <w:tcW w:w="0" w:type="auto"/>
            <w:shd w:val="clear" w:color="auto" w:fill="auto"/>
          </w:tcPr>
          <w:p>
            <w:pPr>
              <w:pStyle w:val="8"/>
              <w:jc w:val="center"/>
            </w:pPr>
            <w:r>
              <w:rPr>
                <w:rFonts w:hint="eastAsia"/>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pPr>
            <w:r>
              <w:rPr>
                <w:rFonts w:hint="eastAsia"/>
              </w:rPr>
              <w:t xml:space="preserve">30日≤N＜1年 </w:t>
            </w:r>
          </w:p>
        </w:tc>
        <w:tc>
          <w:tcPr>
            <w:tcW w:w="0" w:type="auto"/>
            <w:shd w:val="clear" w:color="auto" w:fill="auto"/>
          </w:tcPr>
          <w:p>
            <w:pPr>
              <w:pStyle w:val="8"/>
              <w:jc w:val="center"/>
            </w:pPr>
            <w:r>
              <w:rPr>
                <w:rFonts w:hint="eastAsia"/>
              </w:rPr>
              <w:t>0.50%</w:t>
            </w:r>
          </w:p>
        </w:tc>
        <w:tc>
          <w:tcPr>
            <w:tcW w:w="0" w:type="auto"/>
            <w:vMerge w:val="restart"/>
            <w:shd w:val="clear" w:color="auto" w:fill="auto"/>
          </w:tcPr>
          <w:p>
            <w:pPr>
              <w:pStyle w:val="8"/>
              <w:jc w:val="center"/>
            </w:pPr>
            <w:r>
              <w:rPr>
                <w:rFonts w:hint="eastAsia"/>
              </w:rPr>
              <w:t>0</w:t>
            </w:r>
            <w:r>
              <w:t>.00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pPr>
            <w:r>
              <w:rPr>
                <w:rFonts w:hint="eastAsia"/>
              </w:rPr>
              <w:t xml:space="preserve">1年≤N＜2年 </w:t>
            </w:r>
          </w:p>
        </w:tc>
        <w:tc>
          <w:tcPr>
            <w:tcW w:w="0" w:type="auto"/>
            <w:shd w:val="clear" w:color="auto" w:fill="auto"/>
          </w:tcPr>
          <w:p>
            <w:pPr>
              <w:pStyle w:val="8"/>
              <w:jc w:val="center"/>
            </w:pPr>
            <w:r>
              <w:rPr>
                <w:rFonts w:hint="eastAsia"/>
              </w:rPr>
              <w:t>0.30%</w:t>
            </w:r>
          </w:p>
        </w:tc>
        <w:tc>
          <w:tcPr>
            <w:tcW w:w="0" w:type="auto"/>
            <w:vMerge w:val="continue"/>
            <w:shd w:val="clear" w:color="auto" w:fill="auto"/>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pPr>
            <w:r>
              <w:rPr>
                <w:rFonts w:hint="eastAsia"/>
              </w:rPr>
              <w:t xml:space="preserve">N≥2年 </w:t>
            </w:r>
          </w:p>
        </w:tc>
        <w:tc>
          <w:tcPr>
            <w:tcW w:w="0" w:type="auto"/>
            <w:shd w:val="clear" w:color="auto" w:fill="auto"/>
          </w:tcPr>
          <w:p>
            <w:pPr>
              <w:pStyle w:val="8"/>
              <w:jc w:val="center"/>
            </w:pPr>
            <w:r>
              <w:rPr>
                <w:rFonts w:hint="eastAsia"/>
              </w:rPr>
              <w:t>0.00%</w:t>
            </w:r>
          </w:p>
        </w:tc>
        <w:tc>
          <w:tcPr>
            <w:tcW w:w="0" w:type="auto"/>
            <w:vMerge w:val="continue"/>
            <w:shd w:val="clear" w:color="auto" w:fill="auto"/>
          </w:tcPr>
          <w:p>
            <w:pPr>
              <w:pStyle w:val="8"/>
            </w:pPr>
          </w:p>
        </w:tc>
      </w:tr>
    </w:tbl>
    <w:p>
      <w:pPr>
        <w:pStyle w:val="8"/>
        <w:spacing w:before="0" w:beforeAutospacing="0" w:after="0" w:afterAutospacing="0" w:line="360" w:lineRule="auto"/>
        <w:ind w:firstLine="420"/>
        <w:rPr>
          <w:sz w:val="21"/>
          <w:szCs w:val="21"/>
        </w:rPr>
      </w:pPr>
      <w:r>
        <w:rPr>
          <w:rFonts w:hint="eastAsia"/>
          <w:sz w:val="21"/>
          <w:szCs w:val="21"/>
        </w:rPr>
        <w:t>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 （注：1个月为30日）</w:t>
      </w:r>
    </w:p>
    <w:p>
      <w:pPr>
        <w:pStyle w:val="8"/>
        <w:spacing w:before="0" w:beforeAutospacing="0" w:after="0" w:afterAutospacing="0" w:line="360" w:lineRule="auto"/>
        <w:ind w:firstLine="420"/>
        <w:rPr>
          <w:sz w:val="21"/>
          <w:szCs w:val="21"/>
        </w:rPr>
      </w:pPr>
      <w:r>
        <w:rPr>
          <w:rFonts w:hint="eastAsia"/>
          <w:sz w:val="21"/>
          <w:szCs w:val="21"/>
        </w:rPr>
        <w:t xml:space="preserve">（七）申购份额的计算 </w:t>
      </w:r>
    </w:p>
    <w:p>
      <w:pPr>
        <w:pStyle w:val="8"/>
        <w:spacing w:before="0" w:beforeAutospacing="0" w:after="0" w:afterAutospacing="0" w:line="360" w:lineRule="auto"/>
        <w:ind w:firstLine="420"/>
        <w:rPr>
          <w:sz w:val="21"/>
          <w:szCs w:val="21"/>
        </w:rPr>
      </w:pPr>
      <w:r>
        <w:rPr>
          <w:rFonts w:hint="eastAsia"/>
          <w:sz w:val="21"/>
          <w:szCs w:val="21"/>
        </w:rPr>
        <w:t xml:space="preserve">1、基金申购份额的计算 </w:t>
      </w:r>
    </w:p>
    <w:p>
      <w:pPr>
        <w:pStyle w:val="8"/>
        <w:spacing w:before="0" w:beforeAutospacing="0" w:after="0" w:afterAutospacing="0" w:line="360" w:lineRule="auto"/>
        <w:ind w:firstLine="420"/>
        <w:rPr>
          <w:sz w:val="21"/>
          <w:szCs w:val="21"/>
        </w:rPr>
      </w:pPr>
      <w:r>
        <w:rPr>
          <w:rFonts w:hint="eastAsia"/>
          <w:sz w:val="21"/>
          <w:szCs w:val="21"/>
        </w:rPr>
        <w:t xml:space="preserve">申购份额的计算公式为： </w:t>
      </w:r>
    </w:p>
    <w:p>
      <w:pPr>
        <w:pStyle w:val="8"/>
        <w:spacing w:before="0" w:beforeAutospacing="0" w:after="0" w:afterAutospacing="0" w:line="360" w:lineRule="auto"/>
        <w:ind w:firstLine="420"/>
        <w:rPr>
          <w:sz w:val="21"/>
          <w:szCs w:val="21"/>
        </w:rPr>
      </w:pPr>
      <w:r>
        <w:rPr>
          <w:rFonts w:hint="eastAsia"/>
          <w:sz w:val="21"/>
          <w:szCs w:val="21"/>
        </w:rPr>
        <w:t xml:space="preserve">申购费=有效申购金额×申购费率/(1+申购费率) </w:t>
      </w:r>
    </w:p>
    <w:p>
      <w:pPr>
        <w:pStyle w:val="8"/>
        <w:spacing w:before="0" w:beforeAutospacing="0" w:after="0" w:afterAutospacing="0" w:line="360" w:lineRule="auto"/>
        <w:ind w:firstLine="420"/>
        <w:rPr>
          <w:sz w:val="21"/>
          <w:szCs w:val="21"/>
        </w:rPr>
      </w:pPr>
      <w:r>
        <w:rPr>
          <w:rFonts w:hint="eastAsia"/>
          <w:sz w:val="21"/>
          <w:szCs w:val="21"/>
        </w:rPr>
        <w:t xml:space="preserve">申购份额＝（有效申购金额－申购费）/T日的各类基金份额净值 </w:t>
      </w:r>
    </w:p>
    <w:p>
      <w:pPr>
        <w:pStyle w:val="8"/>
        <w:spacing w:before="0" w:beforeAutospacing="0" w:after="0" w:afterAutospacing="0" w:line="360" w:lineRule="auto"/>
        <w:ind w:firstLine="420"/>
        <w:rPr>
          <w:sz w:val="21"/>
          <w:szCs w:val="21"/>
        </w:rPr>
      </w:pPr>
      <w:r>
        <w:rPr>
          <w:rFonts w:hint="eastAsia"/>
          <w:sz w:val="21"/>
          <w:szCs w:val="21"/>
        </w:rPr>
        <w:t xml:space="preserve">当申购购费用为固定金额时，申购份额的计算方法如下： </w:t>
      </w:r>
    </w:p>
    <w:p>
      <w:pPr>
        <w:pStyle w:val="8"/>
        <w:spacing w:before="0" w:beforeAutospacing="0" w:after="0" w:afterAutospacing="0" w:line="360" w:lineRule="auto"/>
        <w:ind w:firstLine="420"/>
        <w:rPr>
          <w:sz w:val="21"/>
          <w:szCs w:val="21"/>
        </w:rPr>
      </w:pPr>
      <w:r>
        <w:rPr>
          <w:rFonts w:hint="eastAsia"/>
          <w:sz w:val="21"/>
          <w:szCs w:val="21"/>
        </w:rPr>
        <w:t xml:space="preserve">申购费＝固定金额 </w:t>
      </w:r>
    </w:p>
    <w:p>
      <w:pPr>
        <w:pStyle w:val="8"/>
        <w:spacing w:before="0" w:beforeAutospacing="0" w:after="0" w:afterAutospacing="0" w:line="360" w:lineRule="auto"/>
        <w:ind w:firstLine="420"/>
        <w:rPr>
          <w:sz w:val="21"/>
          <w:szCs w:val="21"/>
        </w:rPr>
      </w:pPr>
      <w:r>
        <w:rPr>
          <w:rFonts w:hint="eastAsia"/>
          <w:sz w:val="21"/>
          <w:szCs w:val="21"/>
        </w:rPr>
        <w:t xml:space="preserve">申购份额=（有效申购金额－申购费）/T日的各类基金份额净值 </w:t>
      </w:r>
    </w:p>
    <w:p>
      <w:pPr>
        <w:pStyle w:val="8"/>
        <w:spacing w:before="0" w:beforeAutospacing="0" w:after="0" w:afterAutospacing="0" w:line="360" w:lineRule="auto"/>
        <w:ind w:firstLine="420"/>
        <w:rPr>
          <w:sz w:val="21"/>
          <w:szCs w:val="21"/>
        </w:rPr>
      </w:pPr>
      <w:r>
        <w:rPr>
          <w:rFonts w:hint="eastAsia"/>
          <w:sz w:val="21"/>
          <w:szCs w:val="21"/>
        </w:rPr>
        <w:t xml:space="preserve">（1）场内申购举例 </w:t>
      </w:r>
    </w:p>
    <w:p>
      <w:pPr>
        <w:pStyle w:val="8"/>
        <w:spacing w:before="0" w:beforeAutospacing="0" w:after="0" w:afterAutospacing="0" w:line="360" w:lineRule="auto"/>
        <w:ind w:firstLine="420"/>
        <w:rPr>
          <w:sz w:val="21"/>
          <w:szCs w:val="21"/>
        </w:rPr>
      </w:pPr>
      <w:r>
        <w:rPr>
          <w:rFonts w:hint="eastAsia"/>
          <w:sz w:val="21"/>
          <w:szCs w:val="21"/>
        </w:rPr>
        <w:t xml:space="preserve">例：某个人投资者投资10万元场内申购本基金A类基金份额，对应费率为1.2%，假设申购当日A类基金份额净值为1.0160元，则其可得到的申购份额为： </w:t>
      </w:r>
    </w:p>
    <w:p>
      <w:pPr>
        <w:pStyle w:val="8"/>
        <w:spacing w:before="0" w:beforeAutospacing="0" w:after="0" w:afterAutospacing="0" w:line="360" w:lineRule="auto"/>
        <w:ind w:firstLine="420"/>
        <w:rPr>
          <w:sz w:val="21"/>
          <w:szCs w:val="21"/>
        </w:rPr>
      </w:pPr>
      <w:r>
        <w:rPr>
          <w:rFonts w:hint="eastAsia"/>
          <w:sz w:val="21"/>
          <w:szCs w:val="21"/>
        </w:rPr>
        <w:t xml:space="preserve">申购费＝100,000×1.2%/(1+1.2%)＝1185.77元 </w:t>
      </w:r>
    </w:p>
    <w:p>
      <w:pPr>
        <w:pStyle w:val="8"/>
        <w:spacing w:before="0" w:beforeAutospacing="0" w:after="0" w:afterAutospacing="0" w:line="360" w:lineRule="auto"/>
        <w:ind w:firstLine="420"/>
        <w:rPr>
          <w:sz w:val="21"/>
          <w:szCs w:val="21"/>
        </w:rPr>
      </w:pPr>
      <w:r>
        <w:rPr>
          <w:rFonts w:hint="eastAsia"/>
          <w:sz w:val="21"/>
          <w:szCs w:val="21"/>
        </w:rPr>
        <w:t xml:space="preserve">申购份额=（100,000-1185.77）/1.0160=97,258.10份（先按四舍五入的原则保留到小数点后两位）=97,258份（再按截位法保留到整数位） </w:t>
      </w:r>
    </w:p>
    <w:p>
      <w:pPr>
        <w:pStyle w:val="8"/>
        <w:spacing w:before="0" w:beforeAutospacing="0" w:after="0" w:afterAutospacing="0" w:line="360" w:lineRule="auto"/>
        <w:ind w:firstLine="420"/>
        <w:rPr>
          <w:sz w:val="21"/>
          <w:szCs w:val="21"/>
        </w:rPr>
      </w:pPr>
      <w:r>
        <w:rPr>
          <w:rFonts w:hint="eastAsia"/>
          <w:sz w:val="21"/>
          <w:szCs w:val="21"/>
        </w:rPr>
        <w:t xml:space="preserve">退回资金=0.10×1.0160=0.10元 </w:t>
      </w:r>
    </w:p>
    <w:p>
      <w:pPr>
        <w:pStyle w:val="8"/>
        <w:spacing w:before="0" w:beforeAutospacing="0" w:after="0" w:afterAutospacing="0" w:line="360" w:lineRule="auto"/>
        <w:ind w:firstLine="420"/>
        <w:rPr>
          <w:sz w:val="21"/>
          <w:szCs w:val="21"/>
        </w:rPr>
      </w:pPr>
      <w:r>
        <w:rPr>
          <w:rFonts w:hint="eastAsia"/>
          <w:sz w:val="21"/>
          <w:szCs w:val="21"/>
        </w:rPr>
        <w:t xml:space="preserve">投资者申购所得的场内份额先按四舍五入的原则保留到小数点后两位，再按截位法保留到整数位，小数部分对应的金额退还投资者。 </w:t>
      </w:r>
    </w:p>
    <w:p>
      <w:pPr>
        <w:pStyle w:val="8"/>
        <w:spacing w:before="0" w:beforeAutospacing="0" w:after="0" w:afterAutospacing="0" w:line="360" w:lineRule="auto"/>
        <w:ind w:firstLine="420"/>
        <w:rPr>
          <w:sz w:val="21"/>
          <w:szCs w:val="21"/>
        </w:rPr>
      </w:pPr>
      <w:r>
        <w:rPr>
          <w:rFonts w:hint="eastAsia"/>
          <w:sz w:val="21"/>
          <w:szCs w:val="21"/>
        </w:rPr>
        <w:t xml:space="preserve">（2）场外申购举例 </w:t>
      </w:r>
    </w:p>
    <w:p>
      <w:pPr>
        <w:pStyle w:val="8"/>
        <w:spacing w:before="0" w:beforeAutospacing="0" w:after="0" w:afterAutospacing="0" w:line="360" w:lineRule="auto"/>
        <w:ind w:firstLine="420"/>
        <w:rPr>
          <w:sz w:val="21"/>
          <w:szCs w:val="21"/>
        </w:rPr>
      </w:pPr>
      <w:r>
        <w:rPr>
          <w:rFonts w:hint="eastAsia"/>
          <w:sz w:val="21"/>
          <w:szCs w:val="21"/>
        </w:rPr>
        <w:t xml:space="preserve">例：某个人投资者投资10万元场外申购本基金A类基金份额，对应费率为1.2%，假设申购当日A类基金份额的份额净值为1.0160元，则其可得到的申购份额为： </w:t>
      </w:r>
    </w:p>
    <w:p>
      <w:pPr>
        <w:pStyle w:val="8"/>
        <w:spacing w:before="0" w:beforeAutospacing="0" w:after="0" w:afterAutospacing="0" w:line="360" w:lineRule="auto"/>
        <w:ind w:firstLine="420"/>
        <w:rPr>
          <w:sz w:val="21"/>
          <w:szCs w:val="21"/>
        </w:rPr>
      </w:pPr>
      <w:r>
        <w:rPr>
          <w:rFonts w:hint="eastAsia"/>
          <w:sz w:val="21"/>
          <w:szCs w:val="21"/>
        </w:rPr>
        <w:t xml:space="preserve">申购费＝100,000×1.2%/(1+1.2%)＝1185.77元 </w:t>
      </w:r>
    </w:p>
    <w:p>
      <w:pPr>
        <w:pStyle w:val="8"/>
        <w:spacing w:before="0" w:beforeAutospacing="0" w:after="0" w:afterAutospacing="0" w:line="360" w:lineRule="auto"/>
        <w:ind w:firstLine="420"/>
        <w:rPr>
          <w:sz w:val="21"/>
          <w:szCs w:val="21"/>
        </w:rPr>
      </w:pPr>
      <w:r>
        <w:rPr>
          <w:rFonts w:hint="eastAsia"/>
          <w:sz w:val="21"/>
          <w:szCs w:val="21"/>
        </w:rPr>
        <w:t xml:space="preserve">申购份额=（100,000-1185.77）/1.0160=97,258.10份 </w:t>
      </w:r>
    </w:p>
    <w:p>
      <w:pPr>
        <w:pStyle w:val="8"/>
        <w:spacing w:before="0" w:beforeAutospacing="0" w:after="0" w:afterAutospacing="0" w:line="360" w:lineRule="auto"/>
        <w:ind w:firstLine="420"/>
        <w:rPr>
          <w:sz w:val="21"/>
          <w:szCs w:val="21"/>
        </w:rPr>
      </w:pPr>
      <w:r>
        <w:rPr>
          <w:rFonts w:hint="eastAsia"/>
          <w:sz w:val="21"/>
          <w:szCs w:val="21"/>
        </w:rPr>
        <w:t xml:space="preserve">申购所得的场外份额按四舍五入的原则保留到小数点后两位。 </w:t>
      </w:r>
    </w:p>
    <w:p>
      <w:pPr>
        <w:pStyle w:val="8"/>
        <w:spacing w:before="0" w:beforeAutospacing="0" w:after="0" w:afterAutospacing="0" w:line="360" w:lineRule="auto"/>
        <w:ind w:firstLine="420"/>
        <w:rPr>
          <w:sz w:val="21"/>
          <w:szCs w:val="21"/>
        </w:rPr>
      </w:pPr>
      <w:r>
        <w:rPr>
          <w:rFonts w:hint="eastAsia"/>
          <w:sz w:val="21"/>
          <w:szCs w:val="21"/>
        </w:rPr>
        <w:t xml:space="preserve">2、基金赎回金额的计算 </w:t>
      </w:r>
    </w:p>
    <w:p>
      <w:pPr>
        <w:pStyle w:val="8"/>
        <w:spacing w:before="0" w:beforeAutospacing="0" w:after="0" w:afterAutospacing="0" w:line="360" w:lineRule="auto"/>
        <w:ind w:firstLine="420"/>
        <w:rPr>
          <w:sz w:val="21"/>
          <w:szCs w:val="21"/>
        </w:rPr>
      </w:pPr>
      <w:r>
        <w:rPr>
          <w:rFonts w:hint="eastAsia"/>
          <w:sz w:val="21"/>
          <w:szCs w:val="21"/>
        </w:rPr>
        <w:t xml:space="preserve">赎回金额的计算公式为： </w:t>
      </w:r>
    </w:p>
    <w:p>
      <w:pPr>
        <w:pStyle w:val="8"/>
        <w:spacing w:before="0" w:beforeAutospacing="0" w:after="0" w:afterAutospacing="0" w:line="360" w:lineRule="auto"/>
        <w:ind w:firstLine="420"/>
        <w:rPr>
          <w:sz w:val="21"/>
          <w:szCs w:val="21"/>
        </w:rPr>
      </w:pPr>
      <w:r>
        <w:rPr>
          <w:rFonts w:hint="eastAsia"/>
          <w:sz w:val="21"/>
          <w:szCs w:val="21"/>
        </w:rPr>
        <w:t xml:space="preserve">赎回确认份额＝赎回申请份额×赎回确认比例 </w:t>
      </w:r>
    </w:p>
    <w:p>
      <w:pPr>
        <w:pStyle w:val="8"/>
        <w:spacing w:before="0" w:beforeAutospacing="0" w:after="0" w:afterAutospacing="0" w:line="360" w:lineRule="auto"/>
        <w:ind w:firstLine="420"/>
        <w:rPr>
          <w:sz w:val="21"/>
          <w:szCs w:val="21"/>
        </w:rPr>
      </w:pPr>
      <w:r>
        <w:rPr>
          <w:rFonts w:hint="eastAsia"/>
          <w:sz w:val="21"/>
          <w:szCs w:val="21"/>
        </w:rPr>
        <w:t xml:space="preserve">赎回费＝∑（赎回明细确认份额×各类基金份额净值×赎回费率） </w:t>
      </w:r>
    </w:p>
    <w:p>
      <w:pPr>
        <w:pStyle w:val="8"/>
        <w:spacing w:before="0" w:beforeAutospacing="0" w:after="0" w:afterAutospacing="0" w:line="360" w:lineRule="auto"/>
        <w:ind w:firstLine="420"/>
        <w:rPr>
          <w:sz w:val="21"/>
          <w:szCs w:val="21"/>
        </w:rPr>
      </w:pPr>
      <w:r>
        <w:rPr>
          <w:rFonts w:hint="eastAsia"/>
          <w:sz w:val="21"/>
          <w:szCs w:val="21"/>
        </w:rPr>
        <w:t xml:space="preserve">赎回确认金额＝赎回确认份额×各类基金份额净值－赎回费 </w:t>
      </w:r>
    </w:p>
    <w:p>
      <w:pPr>
        <w:pStyle w:val="8"/>
        <w:spacing w:before="0" w:beforeAutospacing="0" w:after="0" w:afterAutospacing="0" w:line="360" w:lineRule="auto"/>
        <w:ind w:firstLine="420"/>
        <w:rPr>
          <w:sz w:val="21"/>
          <w:szCs w:val="21"/>
        </w:rPr>
      </w:pPr>
      <w:r>
        <w:rPr>
          <w:rFonts w:hint="eastAsia"/>
          <w:sz w:val="21"/>
          <w:szCs w:val="21"/>
        </w:rPr>
        <w:t xml:space="preserve">例：某投资人场外认购并持有至封闭运作期届满时赎回本基金10万份原基金份额且全部确认，赎回费为0，假设赎回当日原基金份额净值是1.0160元则其可得到的赎回金额为： </w:t>
      </w:r>
    </w:p>
    <w:p>
      <w:pPr>
        <w:pStyle w:val="8"/>
        <w:spacing w:before="0" w:beforeAutospacing="0" w:after="0" w:afterAutospacing="0" w:line="360" w:lineRule="auto"/>
        <w:ind w:firstLine="420"/>
        <w:rPr>
          <w:sz w:val="21"/>
          <w:szCs w:val="21"/>
        </w:rPr>
      </w:pPr>
      <w:r>
        <w:rPr>
          <w:rFonts w:hint="eastAsia"/>
          <w:sz w:val="21"/>
          <w:szCs w:val="21"/>
        </w:rPr>
        <w:t xml:space="preserve">赎回费＝0元 </w:t>
      </w:r>
    </w:p>
    <w:p>
      <w:pPr>
        <w:pStyle w:val="8"/>
        <w:spacing w:before="0" w:beforeAutospacing="0" w:after="0" w:afterAutospacing="0" w:line="360" w:lineRule="auto"/>
        <w:ind w:firstLine="420"/>
        <w:rPr>
          <w:sz w:val="21"/>
          <w:szCs w:val="21"/>
        </w:rPr>
      </w:pPr>
      <w:r>
        <w:rPr>
          <w:rFonts w:hint="eastAsia"/>
          <w:sz w:val="21"/>
          <w:szCs w:val="21"/>
        </w:rPr>
        <w:t xml:space="preserve">赎回确认金额=100,000×1.0160＝110,600.00元 </w:t>
      </w:r>
    </w:p>
    <w:p>
      <w:pPr>
        <w:pStyle w:val="8"/>
        <w:spacing w:before="0" w:beforeAutospacing="0" w:after="0" w:afterAutospacing="0" w:line="360" w:lineRule="auto"/>
        <w:ind w:firstLine="420"/>
        <w:rPr>
          <w:sz w:val="21"/>
          <w:szCs w:val="21"/>
        </w:rPr>
      </w:pPr>
      <w:r>
        <w:rPr>
          <w:rFonts w:hint="eastAsia"/>
          <w:sz w:val="21"/>
          <w:szCs w:val="21"/>
        </w:rPr>
        <w:t xml:space="preserve">赎回金额按四舍五入的原则保留到小数点后两位，由此产生的误差计入基金财产。 </w:t>
      </w:r>
    </w:p>
    <w:p>
      <w:pPr>
        <w:pStyle w:val="8"/>
        <w:spacing w:before="0" w:beforeAutospacing="0" w:after="0" w:afterAutospacing="0" w:line="360" w:lineRule="auto"/>
        <w:ind w:firstLine="420"/>
        <w:rPr>
          <w:sz w:val="21"/>
          <w:szCs w:val="21"/>
        </w:rPr>
      </w:pPr>
      <w:r>
        <w:rPr>
          <w:rFonts w:hint="eastAsia"/>
          <w:sz w:val="21"/>
          <w:szCs w:val="21"/>
        </w:rPr>
        <w:t xml:space="preserve">3、基金份额净值的计算 </w:t>
      </w:r>
    </w:p>
    <w:p>
      <w:pPr>
        <w:pStyle w:val="8"/>
        <w:spacing w:before="0" w:beforeAutospacing="0" w:after="0" w:afterAutospacing="0" w:line="360" w:lineRule="auto"/>
        <w:ind w:firstLine="420"/>
        <w:rPr>
          <w:sz w:val="21"/>
          <w:szCs w:val="21"/>
        </w:rPr>
      </w:pPr>
      <w:r>
        <w:rPr>
          <w:rFonts w:hint="eastAsia"/>
          <w:sz w:val="21"/>
          <w:szCs w:val="21"/>
        </w:rPr>
        <w:t xml:space="preserve">T日的各类基金份额的份额净值在当天收市后计算，并按照基金合同约定公告。遇特殊情况，经履行适当程序，可以适当延迟计算或公告。本基金份额净值的计算，保留到小数点后4位，小数点后第5位四舍五入，由此产生的收益或损失由基金财产承担。 </w:t>
      </w:r>
    </w:p>
    <w:p>
      <w:pPr>
        <w:pStyle w:val="8"/>
        <w:spacing w:before="0" w:beforeAutospacing="0" w:after="0" w:afterAutospacing="0" w:line="360" w:lineRule="auto"/>
        <w:ind w:firstLine="420"/>
        <w:rPr>
          <w:sz w:val="21"/>
          <w:szCs w:val="21"/>
        </w:rPr>
      </w:pPr>
      <w:r>
        <w:rPr>
          <w:rFonts w:hint="eastAsia"/>
          <w:sz w:val="21"/>
          <w:szCs w:val="21"/>
        </w:rPr>
        <w:t xml:space="preserve">4、申购份额、余额的处理方式 </w:t>
      </w:r>
    </w:p>
    <w:p>
      <w:pPr>
        <w:pStyle w:val="8"/>
        <w:spacing w:before="0" w:beforeAutospacing="0" w:after="0" w:afterAutospacing="0" w:line="360" w:lineRule="auto"/>
        <w:ind w:firstLine="420"/>
        <w:rPr>
          <w:sz w:val="21"/>
          <w:szCs w:val="21"/>
        </w:rPr>
      </w:pPr>
      <w:r>
        <w:rPr>
          <w:rFonts w:hint="eastAsia"/>
          <w:sz w:val="21"/>
          <w:szCs w:val="21"/>
        </w:rPr>
        <w:t xml:space="preserve">申购的有效份额为按实际确认的申购金额在扣除相应的费用后，以当日某一类别基金份额的份额净值为基准计算。场外申购涉及金额、份额的计算结果保留到小数点后两位，小数点后两位以后的部分四舍五入，由此产生的误差计入基金财产。 </w:t>
      </w:r>
    </w:p>
    <w:p>
      <w:pPr>
        <w:pStyle w:val="8"/>
        <w:spacing w:before="0" w:beforeAutospacing="0" w:after="0" w:afterAutospacing="0" w:line="360" w:lineRule="auto"/>
        <w:ind w:firstLine="420"/>
        <w:rPr>
          <w:sz w:val="21"/>
          <w:szCs w:val="21"/>
        </w:rPr>
      </w:pPr>
      <w:r>
        <w:rPr>
          <w:rFonts w:hint="eastAsia"/>
          <w:sz w:val="21"/>
          <w:szCs w:val="21"/>
        </w:rPr>
        <w:t xml:space="preserve">场内申购份额先按四舍五入的原则保留到小数点后两位，再按截位法保留到整数位，小数部分对应的金额退还投资者。 </w:t>
      </w:r>
    </w:p>
    <w:p>
      <w:pPr>
        <w:pStyle w:val="8"/>
        <w:spacing w:before="0" w:beforeAutospacing="0" w:after="0" w:afterAutospacing="0" w:line="360" w:lineRule="auto"/>
        <w:ind w:firstLine="420"/>
        <w:rPr>
          <w:sz w:val="21"/>
          <w:szCs w:val="21"/>
        </w:rPr>
      </w:pPr>
      <w:r>
        <w:rPr>
          <w:rFonts w:hint="eastAsia"/>
          <w:sz w:val="21"/>
          <w:szCs w:val="21"/>
        </w:rPr>
        <w:t xml:space="preserve">5、赎回金额的处理方式 </w:t>
      </w:r>
    </w:p>
    <w:p>
      <w:pPr>
        <w:pStyle w:val="8"/>
        <w:spacing w:before="0" w:beforeAutospacing="0" w:after="0" w:afterAutospacing="0" w:line="360" w:lineRule="auto"/>
        <w:ind w:firstLine="420"/>
        <w:rPr>
          <w:sz w:val="21"/>
          <w:szCs w:val="21"/>
        </w:rPr>
      </w:pPr>
      <w:r>
        <w:rPr>
          <w:rFonts w:hint="eastAsia"/>
          <w:sz w:val="21"/>
          <w:szCs w:val="21"/>
        </w:rPr>
        <w:t xml:space="preserve">赎回确认金额为按实际确认的赎回确认份额以当日某一类别基金份额净值为基准来计算并扣除相应的费用，计算结果保留到小数点后2位，小数点后两位以后的部分四舍五入，由此产生的误差计入基金财产。 </w:t>
      </w:r>
    </w:p>
    <w:p>
      <w:pPr>
        <w:pStyle w:val="8"/>
        <w:spacing w:before="0" w:beforeAutospacing="0" w:after="0" w:afterAutospacing="0" w:line="360" w:lineRule="auto"/>
        <w:ind w:firstLine="420"/>
        <w:rPr>
          <w:sz w:val="21"/>
          <w:szCs w:val="21"/>
        </w:rPr>
      </w:pPr>
      <w:r>
        <w:rPr>
          <w:rFonts w:hint="eastAsia"/>
          <w:sz w:val="21"/>
          <w:szCs w:val="21"/>
        </w:rPr>
        <w:t xml:space="preserve">6、基金管理人可以在不违反法律法规规定及基金合同约定的情形下根据市场情况制定基金促销计划，且对基金份额持有人利益无实质不利影响的前提下，定期或不定期地开展基金促销活动。在基金促销活动期间，按相关监管部门要求履行必要手续后，基金管理人可以适当调低本基金的申购费率和赎回费。 </w:t>
      </w:r>
    </w:p>
    <w:p>
      <w:pPr>
        <w:pStyle w:val="8"/>
        <w:spacing w:before="0" w:beforeAutospacing="0" w:after="0" w:afterAutospacing="0" w:line="360" w:lineRule="auto"/>
        <w:ind w:firstLine="420"/>
        <w:rPr>
          <w:sz w:val="21"/>
          <w:szCs w:val="21"/>
        </w:rPr>
      </w:pPr>
      <w:r>
        <w:rPr>
          <w:rFonts w:hint="eastAsia"/>
          <w:sz w:val="21"/>
          <w:szCs w:val="21"/>
        </w:rPr>
        <w:t xml:space="preserve">7、当本基金发生大额申购或赎回情形时，基金管理人可以采用摆动定价机制，以确保基金估值的公平性，具体处理原则与操作规范遵循相关法律法规以及监管部门、自律规则的规定。 </w:t>
      </w:r>
    </w:p>
    <w:p>
      <w:pPr>
        <w:pStyle w:val="8"/>
        <w:spacing w:before="0" w:beforeAutospacing="0" w:after="0" w:afterAutospacing="0" w:line="360" w:lineRule="auto"/>
        <w:ind w:firstLine="420"/>
        <w:rPr>
          <w:sz w:val="21"/>
          <w:szCs w:val="21"/>
        </w:rPr>
      </w:pPr>
      <w:r>
        <w:rPr>
          <w:rFonts w:hint="eastAsia"/>
          <w:sz w:val="21"/>
          <w:szCs w:val="21"/>
        </w:rPr>
        <w:t xml:space="preserve">8、办理场内申购、赎回业务应遵守上海证券交易所及中国证券登记结算有限责任公司的有关业务规则。若相关法律法规、中国证监会、上海证券交易所或中国证券登记结算有限责任公司对场内申购、赎回业务规则有新的规定，基金合同相应予以修改，并按照新规定执行，且此项修改无需召开基金份额持有人大会审议。 </w:t>
      </w:r>
    </w:p>
    <w:p>
      <w:pPr>
        <w:pStyle w:val="8"/>
        <w:spacing w:before="0" w:beforeAutospacing="0" w:after="0" w:afterAutospacing="0" w:line="360" w:lineRule="auto"/>
        <w:ind w:firstLine="420"/>
        <w:rPr>
          <w:sz w:val="21"/>
          <w:szCs w:val="21"/>
        </w:rPr>
      </w:pPr>
      <w:r>
        <w:rPr>
          <w:rFonts w:hint="eastAsia"/>
          <w:sz w:val="21"/>
          <w:szCs w:val="21"/>
        </w:rPr>
        <w:t xml:space="preserve">（八）申购和赎回的登记 </w:t>
      </w:r>
    </w:p>
    <w:p>
      <w:pPr>
        <w:pStyle w:val="8"/>
        <w:spacing w:before="0" w:beforeAutospacing="0" w:after="0" w:afterAutospacing="0" w:line="360" w:lineRule="auto"/>
        <w:ind w:firstLine="420"/>
        <w:rPr>
          <w:sz w:val="21"/>
          <w:szCs w:val="21"/>
        </w:rPr>
      </w:pPr>
      <w:r>
        <w:rPr>
          <w:rFonts w:hint="eastAsia"/>
          <w:sz w:val="21"/>
          <w:szCs w:val="21"/>
        </w:rPr>
        <w:t xml:space="preserve">投资人场外申购基金成功后，基金登记机构在T+1日为投资人登记权益并办理登记手续，投资人自T+2日（含该日）后有权赎回该部分基金份额。 </w:t>
      </w:r>
    </w:p>
    <w:p>
      <w:pPr>
        <w:pStyle w:val="8"/>
        <w:spacing w:before="0" w:beforeAutospacing="0" w:after="0" w:afterAutospacing="0" w:line="360" w:lineRule="auto"/>
        <w:ind w:firstLine="420"/>
        <w:rPr>
          <w:sz w:val="21"/>
          <w:szCs w:val="21"/>
        </w:rPr>
      </w:pPr>
      <w:r>
        <w:rPr>
          <w:rFonts w:hint="eastAsia"/>
          <w:sz w:val="21"/>
          <w:szCs w:val="21"/>
        </w:rPr>
        <w:t xml:space="preserve">投资人场外赎回基金成功后，基金登记机构在T+1日为投资人办理扣除权益的登记手续。 </w:t>
      </w:r>
    </w:p>
    <w:p>
      <w:pPr>
        <w:pStyle w:val="8"/>
        <w:spacing w:before="0" w:beforeAutospacing="0" w:after="0" w:afterAutospacing="0" w:line="360" w:lineRule="auto"/>
        <w:ind w:firstLine="420"/>
        <w:rPr>
          <w:sz w:val="21"/>
          <w:szCs w:val="21"/>
        </w:rPr>
      </w:pPr>
      <w:r>
        <w:rPr>
          <w:rFonts w:hint="eastAsia"/>
          <w:sz w:val="21"/>
          <w:szCs w:val="21"/>
        </w:rPr>
        <w:t xml:space="preserve">本基金场内申购和赎回的注册与过户登记业务，按照上海证券交易所及中国证券登记结算有限责任公司的有关规定办理。 </w:t>
      </w:r>
    </w:p>
    <w:p>
      <w:pPr>
        <w:pStyle w:val="8"/>
        <w:spacing w:before="0" w:beforeAutospacing="0" w:after="0" w:afterAutospacing="0" w:line="360" w:lineRule="auto"/>
        <w:ind w:firstLine="420"/>
        <w:rPr>
          <w:sz w:val="21"/>
          <w:szCs w:val="21"/>
        </w:rPr>
      </w:pPr>
      <w:r>
        <w:rPr>
          <w:rFonts w:hint="eastAsia"/>
          <w:sz w:val="21"/>
          <w:szCs w:val="21"/>
        </w:rPr>
        <w:t xml:space="preserve">基金管理人可以在法律法规允许的范围内，对上述登记办理时间进行调整，但不得实质影响投资人的合法权益，并最迟于实施前依照《信息披露办法》的有关规定在指定媒介公告。 </w:t>
      </w:r>
    </w:p>
    <w:p>
      <w:pPr>
        <w:pStyle w:val="8"/>
        <w:spacing w:before="0" w:beforeAutospacing="0" w:after="0" w:afterAutospacing="0" w:line="360" w:lineRule="auto"/>
        <w:ind w:firstLine="420"/>
        <w:rPr>
          <w:sz w:val="21"/>
          <w:szCs w:val="21"/>
        </w:rPr>
      </w:pPr>
      <w:r>
        <w:rPr>
          <w:rFonts w:hint="eastAsia"/>
          <w:b/>
          <w:bCs/>
          <w:sz w:val="21"/>
          <w:szCs w:val="21"/>
        </w:rPr>
        <w:t>三、拒绝或暂停申购的情形及处理方式</w:t>
      </w:r>
    </w:p>
    <w:p>
      <w:pPr>
        <w:pStyle w:val="8"/>
        <w:spacing w:before="0" w:beforeAutospacing="0" w:after="0" w:afterAutospacing="0" w:line="360" w:lineRule="auto"/>
        <w:ind w:firstLine="420"/>
        <w:rPr>
          <w:sz w:val="21"/>
          <w:szCs w:val="21"/>
        </w:rPr>
      </w:pPr>
      <w:r>
        <w:rPr>
          <w:rFonts w:hint="eastAsia"/>
          <w:sz w:val="21"/>
          <w:szCs w:val="21"/>
        </w:rPr>
        <w:t xml:space="preserve">封闭运作期届满后，发生下列情况时，基金管理人可拒绝或暂停接受投资人的申购申请： </w:t>
      </w:r>
    </w:p>
    <w:p>
      <w:pPr>
        <w:pStyle w:val="8"/>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8"/>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 </w:t>
      </w:r>
    </w:p>
    <w:p>
      <w:pPr>
        <w:pStyle w:val="8"/>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3、证券/期货交易所交易时间非正常停市，导致基金管理人无法计算当日基金资产净值或者无法办理申购业务。 </w:t>
      </w:r>
    </w:p>
    <w:p>
      <w:pPr>
        <w:pStyle w:val="8"/>
        <w:spacing w:before="0" w:beforeAutospacing="0" w:after="0" w:afterAutospacing="0" w:line="360" w:lineRule="auto"/>
        <w:ind w:firstLine="420"/>
        <w:rPr>
          <w:sz w:val="21"/>
          <w:szCs w:val="21"/>
        </w:rPr>
      </w:pPr>
      <w:r>
        <w:rPr>
          <w:rFonts w:hint="eastAsia"/>
          <w:sz w:val="21"/>
          <w:szCs w:val="21"/>
        </w:rPr>
        <w:t xml:space="preserve">4、接受某笔或某些申购申请可能会影响或损害现有基金份额持有人利益或对存量基金份额持有人利益构成潜在重大不利影响时。 </w:t>
      </w:r>
    </w:p>
    <w:p>
      <w:pPr>
        <w:pStyle w:val="8"/>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pPr>
        <w:pStyle w:val="8"/>
        <w:spacing w:before="0" w:beforeAutospacing="0" w:after="0" w:afterAutospacing="0" w:line="360" w:lineRule="auto"/>
        <w:ind w:firstLine="420"/>
        <w:rPr>
          <w:sz w:val="21"/>
          <w:szCs w:val="21"/>
        </w:rPr>
      </w:pPr>
      <w:r>
        <w:rPr>
          <w:rFonts w:hint="eastAsia"/>
          <w:sz w:val="21"/>
          <w:szCs w:val="21"/>
        </w:rPr>
        <w:t xml:space="preserve">6、基金管理人、基金托管人、基金销售机构或登记机构因技术故障或异常情况导致基金销售系统、基金登记系统、基金会计系统或证券登记结算系统无法正常运行时。 </w:t>
      </w:r>
    </w:p>
    <w:p>
      <w:pPr>
        <w:pStyle w:val="8"/>
        <w:spacing w:before="0" w:beforeAutospacing="0" w:after="0" w:afterAutospacing="0" w:line="360" w:lineRule="auto"/>
        <w:ind w:firstLine="420"/>
        <w:rPr>
          <w:sz w:val="21"/>
          <w:szCs w:val="21"/>
        </w:rPr>
      </w:pPr>
      <w:r>
        <w:rPr>
          <w:rFonts w:hint="eastAsia"/>
          <w:sz w:val="21"/>
          <w:szCs w:val="21"/>
        </w:rPr>
        <w:t xml:space="preserve">7、基金管理人接受某笔或者某些申购申请有可能导致单一投资者持有基金份额的比例达到或者超过50%，或者变相规避50%集中度的情形时。 </w:t>
      </w:r>
    </w:p>
    <w:p>
      <w:pPr>
        <w:pStyle w:val="8"/>
        <w:spacing w:before="0" w:beforeAutospacing="0" w:after="0" w:afterAutospacing="0" w:line="360" w:lineRule="auto"/>
        <w:ind w:firstLine="420"/>
        <w:rPr>
          <w:sz w:val="21"/>
          <w:szCs w:val="21"/>
        </w:rPr>
      </w:pPr>
      <w:r>
        <w:rPr>
          <w:rFonts w:hint="eastAsia"/>
          <w:sz w:val="21"/>
          <w:szCs w:val="21"/>
        </w:rPr>
        <w:t xml:space="preserve">8、法律法规规定或中国证监会认定的其他情形。 </w:t>
      </w:r>
    </w:p>
    <w:p>
      <w:pPr>
        <w:pStyle w:val="8"/>
        <w:spacing w:before="0" w:beforeAutospacing="0" w:after="0" w:afterAutospacing="0" w:line="360" w:lineRule="auto"/>
        <w:ind w:firstLine="420"/>
        <w:rPr>
          <w:sz w:val="21"/>
          <w:szCs w:val="21"/>
        </w:rPr>
      </w:pPr>
      <w:r>
        <w:rPr>
          <w:rFonts w:hint="eastAsia"/>
          <w:sz w:val="21"/>
          <w:szCs w:val="21"/>
        </w:rPr>
        <w:t xml:space="preserve">发生上述第1、2、3、5、6、8项暂停申购情形之一且基金管理人决定暂停接受投资人申购申请时，基金管理人应当根据有关规定在指定媒介上刊登暂停申购公告。如果投资人的申购申请被拒绝，被拒绝的申购款项本金将退还给投资人。在暂停申购的情况消除时，基金管理人应及时恢复申购业务的办理。 </w:t>
      </w:r>
    </w:p>
    <w:p>
      <w:pPr>
        <w:pStyle w:val="8"/>
        <w:spacing w:before="0" w:beforeAutospacing="0" w:after="0" w:afterAutospacing="0" w:line="360" w:lineRule="auto"/>
        <w:ind w:firstLine="420"/>
        <w:rPr>
          <w:sz w:val="21"/>
          <w:szCs w:val="21"/>
        </w:rPr>
      </w:pPr>
      <w:r>
        <w:rPr>
          <w:rFonts w:hint="eastAsia"/>
          <w:b/>
          <w:bCs/>
          <w:sz w:val="21"/>
          <w:szCs w:val="21"/>
        </w:rPr>
        <w:t>四、暂停赎回或延缓支付赎回款项的情形</w:t>
      </w:r>
    </w:p>
    <w:p>
      <w:pPr>
        <w:pStyle w:val="8"/>
        <w:spacing w:before="0" w:beforeAutospacing="0" w:after="0" w:afterAutospacing="0" w:line="360" w:lineRule="auto"/>
        <w:ind w:firstLine="420"/>
        <w:rPr>
          <w:sz w:val="21"/>
          <w:szCs w:val="21"/>
        </w:rPr>
      </w:pPr>
      <w:r>
        <w:rPr>
          <w:rFonts w:hint="eastAsia"/>
          <w:sz w:val="21"/>
          <w:szCs w:val="21"/>
        </w:rPr>
        <w:t xml:space="preserve">封闭运作期届满后，发生下列情形时，基金管理人可暂停接受投资人的赎回申请或延缓支付赎回款项： </w:t>
      </w:r>
    </w:p>
    <w:p>
      <w:pPr>
        <w:pStyle w:val="8"/>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8"/>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当前一估值日基金资产净值50%以上的资产出现无可参考的活跃市场价格且采用估值技术仍导致公允价值存在重大不确定性时，经与基金托管人协商确认后，基金管理人应当暂停接受基金赎回申请或延缓支付赎回款项。 </w:t>
      </w:r>
    </w:p>
    <w:p>
      <w:pPr>
        <w:pStyle w:val="8"/>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3、证券/期货交易所交易时间非正常停市，导致基金管理人无法计算当日基金资产净值或者无法办理赎回业务。 </w:t>
      </w:r>
    </w:p>
    <w:p>
      <w:pPr>
        <w:pStyle w:val="8"/>
        <w:spacing w:before="0" w:beforeAutospacing="0" w:after="0" w:afterAutospacing="0" w:line="360" w:lineRule="auto"/>
        <w:ind w:firstLine="420"/>
        <w:rPr>
          <w:sz w:val="21"/>
          <w:szCs w:val="21"/>
        </w:rPr>
      </w:pPr>
      <w:r>
        <w:rPr>
          <w:rFonts w:hint="eastAsia"/>
          <w:sz w:val="21"/>
          <w:szCs w:val="21"/>
        </w:rPr>
        <w:t xml:space="preserve">4、发生继续接受赎回申请将损害现有基金份额持有人利益的情形时。 </w:t>
      </w:r>
    </w:p>
    <w:p>
      <w:pPr>
        <w:pStyle w:val="8"/>
        <w:spacing w:before="0" w:beforeAutospacing="0" w:after="0" w:afterAutospacing="0" w:line="360" w:lineRule="auto"/>
        <w:ind w:firstLine="420"/>
        <w:rPr>
          <w:sz w:val="21"/>
          <w:szCs w:val="21"/>
        </w:rPr>
      </w:pPr>
      <w:r>
        <w:rPr>
          <w:rFonts w:hint="eastAsia"/>
          <w:sz w:val="21"/>
          <w:szCs w:val="21"/>
        </w:rPr>
        <w:t xml:space="preserve">5、连续两个或两个以上开放日发生巨额赎回。 </w:t>
      </w:r>
    </w:p>
    <w:p>
      <w:pPr>
        <w:pStyle w:val="8"/>
        <w:spacing w:before="0" w:beforeAutospacing="0" w:after="0" w:afterAutospacing="0" w:line="360" w:lineRule="auto"/>
        <w:ind w:firstLine="420"/>
        <w:rPr>
          <w:sz w:val="21"/>
          <w:szCs w:val="21"/>
        </w:rPr>
      </w:pPr>
      <w:r>
        <w:rPr>
          <w:rFonts w:hint="eastAsia"/>
          <w:sz w:val="21"/>
          <w:szCs w:val="21"/>
        </w:rPr>
        <w:t xml:space="preserve">6、法律法规规定或中国证监会认定的其他情形。 </w:t>
      </w:r>
    </w:p>
    <w:p>
      <w:pPr>
        <w:pStyle w:val="8"/>
        <w:spacing w:before="0" w:beforeAutospacing="0" w:after="0" w:afterAutospacing="0" w:line="360" w:lineRule="auto"/>
        <w:ind w:firstLine="420"/>
        <w:rPr>
          <w:sz w:val="21"/>
          <w:szCs w:val="21"/>
        </w:rPr>
      </w:pPr>
      <w:r>
        <w:rPr>
          <w:rFonts w:hint="eastAsia"/>
          <w:sz w:val="21"/>
          <w:szCs w:val="21"/>
        </w:rPr>
        <w:t xml:space="preserve">发生上述情形（第5项除外）之一且基金管理人决定暂停接受基金份额持有人的赎回申请或者延缓支付赎回款项时，基金管理人应按规定报中国证监会备案，已确认的赎回申请，基金管理人应足额支付；如暂时不能足额支付，未支付部分可延期支付。若出现上述第5项所述情形，按基金合同的相关条款处理。基金份额持有人在申请赎回时可事先选择将当日可能未获受理部分予以撤销。出现暂停赎回或延缓支付赎回款项时，场内赎回申请按照上海证券交易所及中国证券登记结算有限责任公司的有关业务规则办理。在暂停赎回的情况消除时，基金管理人应及时恢复赎回业务的办理并公告。 </w:t>
      </w:r>
    </w:p>
    <w:p>
      <w:pPr>
        <w:pStyle w:val="8"/>
        <w:spacing w:before="0" w:beforeAutospacing="0" w:after="0" w:afterAutospacing="0" w:line="360" w:lineRule="auto"/>
        <w:ind w:firstLine="420"/>
        <w:rPr>
          <w:sz w:val="21"/>
          <w:szCs w:val="21"/>
        </w:rPr>
      </w:pPr>
      <w:r>
        <w:rPr>
          <w:rFonts w:hint="eastAsia"/>
          <w:b/>
          <w:bCs/>
          <w:sz w:val="21"/>
          <w:szCs w:val="21"/>
        </w:rPr>
        <w:t>五、封闭运作期届满后的巨额赎回的情形及处理方式</w:t>
      </w:r>
    </w:p>
    <w:p>
      <w:pPr>
        <w:pStyle w:val="8"/>
        <w:spacing w:before="0" w:beforeAutospacing="0" w:after="0" w:afterAutospacing="0" w:line="360" w:lineRule="auto"/>
        <w:ind w:firstLine="420"/>
        <w:rPr>
          <w:sz w:val="21"/>
          <w:szCs w:val="21"/>
        </w:rPr>
      </w:pPr>
      <w:r>
        <w:rPr>
          <w:rFonts w:hint="eastAsia"/>
          <w:sz w:val="21"/>
          <w:szCs w:val="21"/>
        </w:rPr>
        <w:t xml:space="preserve">1、巨额赎回的认定 </w:t>
      </w:r>
    </w:p>
    <w:p>
      <w:pPr>
        <w:pStyle w:val="8"/>
        <w:spacing w:before="0" w:beforeAutospacing="0" w:after="0" w:afterAutospacing="0" w:line="360" w:lineRule="auto"/>
        <w:ind w:firstLine="420"/>
        <w:rPr>
          <w:sz w:val="21"/>
          <w:szCs w:val="21"/>
        </w:rPr>
      </w:pPr>
      <w:r>
        <w:rPr>
          <w:rFonts w:hint="eastAsia"/>
          <w:sz w:val="21"/>
          <w:szCs w:val="21"/>
        </w:rPr>
        <w:t xml:space="preserve">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 </w:t>
      </w:r>
    </w:p>
    <w:p>
      <w:pPr>
        <w:pStyle w:val="8"/>
        <w:spacing w:before="0" w:beforeAutospacing="0" w:after="0" w:afterAutospacing="0" w:line="360" w:lineRule="auto"/>
        <w:ind w:firstLine="420"/>
        <w:rPr>
          <w:sz w:val="21"/>
          <w:szCs w:val="21"/>
        </w:rPr>
      </w:pPr>
      <w:r>
        <w:rPr>
          <w:rFonts w:hint="eastAsia"/>
          <w:sz w:val="21"/>
          <w:szCs w:val="21"/>
        </w:rPr>
        <w:t xml:space="preserve">2、巨额赎回的场外处理方式 </w:t>
      </w:r>
    </w:p>
    <w:p>
      <w:pPr>
        <w:pStyle w:val="8"/>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8"/>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8"/>
        <w:spacing w:before="0" w:beforeAutospacing="0" w:after="0" w:afterAutospacing="0" w:line="360" w:lineRule="auto"/>
        <w:ind w:firstLine="420"/>
        <w:rPr>
          <w:sz w:val="21"/>
          <w:szCs w:val="21"/>
        </w:rPr>
      </w:pPr>
      <w:r>
        <w:rPr>
          <w:rFonts w:hint="eastAsia"/>
          <w:sz w:val="21"/>
          <w:szCs w:val="21"/>
        </w:rPr>
        <w:t xml:space="preserve">（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别基金份额净值为基础计算赎回金额，以此类推，直到全部赎回为止。如投资人在提交赎回申请时未作明确选择，投资人未能赎回部分作自动延期赎回处理。部分延期赎回不受单笔赎回最低份额的限制。 </w:t>
      </w:r>
    </w:p>
    <w:p>
      <w:pPr>
        <w:pStyle w:val="8"/>
        <w:spacing w:before="0" w:beforeAutospacing="0" w:after="0" w:afterAutospacing="0" w:line="360" w:lineRule="auto"/>
        <w:ind w:firstLine="420"/>
        <w:rPr>
          <w:sz w:val="21"/>
          <w:szCs w:val="21"/>
        </w:rPr>
      </w:pPr>
      <w:r>
        <w:rPr>
          <w:rFonts w:hint="eastAsia"/>
          <w:sz w:val="21"/>
          <w:szCs w:val="21"/>
        </w:rPr>
        <w:t xml:space="preserve">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对单个基金份额持有人超过基金总份额30%以上的赎回申请延期赎回。延期的赎回申请与下一开放日赎回申请一并处理，无优先权并以下一开放日的该类别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 </w:t>
      </w:r>
    </w:p>
    <w:p>
      <w:pPr>
        <w:pStyle w:val="8"/>
        <w:spacing w:before="0" w:beforeAutospacing="0" w:after="0" w:afterAutospacing="0" w:line="360" w:lineRule="auto"/>
        <w:ind w:firstLine="420"/>
        <w:rPr>
          <w:sz w:val="21"/>
          <w:szCs w:val="21"/>
        </w:rPr>
      </w:pPr>
      <w:r>
        <w:rPr>
          <w:rFonts w:hint="eastAsia"/>
          <w:sz w:val="21"/>
          <w:szCs w:val="21"/>
        </w:rPr>
        <w:t xml:space="preserve">（3）暂停赎回：连续2个开放日以上(含本数)发生巨额赎回，如基金管理人认为有必要，可暂停接受基金的赎回申请；已经接受的赎回申请可以延缓支付赎回款项，但不得超过20个工作日，并应当在指定媒介上进行公告。 </w:t>
      </w:r>
    </w:p>
    <w:p>
      <w:pPr>
        <w:pStyle w:val="8"/>
        <w:spacing w:before="0" w:beforeAutospacing="0" w:after="0" w:afterAutospacing="0" w:line="360" w:lineRule="auto"/>
        <w:ind w:firstLine="420"/>
        <w:rPr>
          <w:sz w:val="21"/>
          <w:szCs w:val="21"/>
        </w:rPr>
      </w:pPr>
      <w:r>
        <w:rPr>
          <w:rFonts w:hint="eastAsia"/>
          <w:sz w:val="21"/>
          <w:szCs w:val="21"/>
        </w:rPr>
        <w:t xml:space="preserve">3、巨额赎回的场内处理方式 </w:t>
      </w:r>
    </w:p>
    <w:p>
      <w:pPr>
        <w:pStyle w:val="8"/>
        <w:spacing w:before="0" w:beforeAutospacing="0" w:after="0" w:afterAutospacing="0" w:line="360" w:lineRule="auto"/>
        <w:ind w:firstLine="420"/>
        <w:rPr>
          <w:sz w:val="21"/>
          <w:szCs w:val="21"/>
        </w:rPr>
      </w:pPr>
      <w:r>
        <w:rPr>
          <w:rFonts w:hint="eastAsia"/>
          <w:sz w:val="21"/>
          <w:szCs w:val="21"/>
        </w:rPr>
        <w:t xml:space="preserve">巨额赎回的场内处理按照上海证券交易所及中国证券登记结算有限责任公司的有关规定办理。 </w:t>
      </w:r>
    </w:p>
    <w:p>
      <w:pPr>
        <w:pStyle w:val="8"/>
        <w:spacing w:before="0" w:beforeAutospacing="0" w:after="0" w:afterAutospacing="0" w:line="360" w:lineRule="auto"/>
        <w:ind w:firstLine="420"/>
        <w:rPr>
          <w:sz w:val="21"/>
          <w:szCs w:val="21"/>
        </w:rPr>
      </w:pPr>
      <w:r>
        <w:rPr>
          <w:rFonts w:hint="eastAsia"/>
          <w:sz w:val="21"/>
          <w:szCs w:val="21"/>
        </w:rPr>
        <w:t xml:space="preserve">4、巨额赎回的公告 </w:t>
      </w:r>
    </w:p>
    <w:p>
      <w:pPr>
        <w:pStyle w:val="8"/>
        <w:spacing w:before="0" w:beforeAutospacing="0" w:after="0" w:afterAutospacing="0" w:line="360" w:lineRule="auto"/>
        <w:ind w:firstLine="420"/>
        <w:rPr>
          <w:sz w:val="21"/>
          <w:szCs w:val="21"/>
        </w:rPr>
      </w:pPr>
      <w:r>
        <w:rPr>
          <w:rFonts w:hint="eastAsia"/>
          <w:sz w:val="21"/>
          <w:szCs w:val="21"/>
        </w:rPr>
        <w:t xml:space="preserve">当发生上述巨额赎回并延期办理时，基金管理人应当通过邮寄、传真或者招募说明书规定的其他方式（包括但不限于短信、电子邮件或由基金销售机构通知等方式）在3个交易日内通知基金份额持有人，说明有关处理方法，并在2日内在指定媒介上刊登公告。 </w:t>
      </w:r>
    </w:p>
    <w:p>
      <w:pPr>
        <w:pStyle w:val="8"/>
        <w:spacing w:before="0" w:beforeAutospacing="0" w:after="0" w:afterAutospacing="0" w:line="360" w:lineRule="auto"/>
        <w:ind w:firstLine="420"/>
        <w:rPr>
          <w:sz w:val="21"/>
          <w:szCs w:val="21"/>
        </w:rPr>
      </w:pPr>
      <w:r>
        <w:rPr>
          <w:rFonts w:hint="eastAsia"/>
          <w:b/>
          <w:bCs/>
          <w:sz w:val="21"/>
          <w:szCs w:val="21"/>
        </w:rPr>
        <w:t>六、其他暂停申购和赎回的情形及处理方式</w:t>
      </w:r>
    </w:p>
    <w:p>
      <w:pPr>
        <w:pStyle w:val="8"/>
        <w:spacing w:before="0" w:beforeAutospacing="0" w:after="0" w:afterAutospacing="0" w:line="360" w:lineRule="auto"/>
        <w:ind w:firstLine="420"/>
        <w:rPr>
          <w:sz w:val="21"/>
          <w:szCs w:val="21"/>
        </w:rPr>
      </w:pPr>
      <w:r>
        <w:rPr>
          <w:rFonts w:hint="eastAsia"/>
          <w:sz w:val="21"/>
          <w:szCs w:val="21"/>
        </w:rPr>
        <w:t xml:space="preserve">发生《基金合同》或《招募说明书》中未予载明的事项，但基金管理人有正当理由认为需要暂停基金申购、赎回的，可以经届时有效的合法程序宣布暂停接受投资人的申购、赎回申请。 </w:t>
      </w:r>
    </w:p>
    <w:p>
      <w:pPr>
        <w:pStyle w:val="8"/>
        <w:spacing w:before="0" w:beforeAutospacing="0" w:after="0" w:afterAutospacing="0" w:line="360" w:lineRule="auto"/>
        <w:ind w:firstLine="420"/>
        <w:rPr>
          <w:sz w:val="21"/>
          <w:szCs w:val="21"/>
        </w:rPr>
      </w:pPr>
      <w:r>
        <w:rPr>
          <w:rFonts w:hint="eastAsia"/>
          <w:b/>
          <w:bCs/>
          <w:sz w:val="21"/>
          <w:szCs w:val="21"/>
        </w:rPr>
        <w:t>七、暂停申购或赎回的公告和重新开放申购或赎回的公告</w:t>
      </w:r>
    </w:p>
    <w:p>
      <w:pPr>
        <w:pStyle w:val="8"/>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8"/>
        <w:spacing w:before="0" w:beforeAutospacing="0" w:after="0" w:afterAutospacing="0" w:line="360" w:lineRule="auto"/>
        <w:ind w:firstLine="420"/>
        <w:rPr>
          <w:sz w:val="21"/>
          <w:szCs w:val="21"/>
        </w:rPr>
      </w:pPr>
      <w:r>
        <w:rPr>
          <w:rFonts w:hint="eastAsia"/>
          <w:sz w:val="21"/>
          <w:szCs w:val="21"/>
        </w:rPr>
        <w:t>2、基金管理人可以根据暂停申购或赎回的时间，依照《信息披露办法》的有关规定，最迟于重新开放日在指定媒介上刊登重新开放申购或赎回的公告；也可以根据实际情况在暂</w:t>
      </w:r>
      <w:bookmarkStart w:id="81" w:name="chapter_level1_11_59_section_3_end"/>
      <w:bookmarkEnd w:id="81"/>
      <w:r>
        <w:rPr>
          <w:rFonts w:hint="eastAsia"/>
          <w:sz w:val="21"/>
          <w:szCs w:val="21"/>
        </w:rPr>
        <w:t xml:space="preserve">停公告中明确重新开放申购或赎回的时间，届时不再另行发布重新开放的公告。 </w:t>
      </w:r>
    </w:p>
    <w:p>
      <w:pPr>
        <w:pStyle w:val="8"/>
        <w:spacing w:before="0" w:beforeAutospacing="0" w:after="0" w:afterAutospacing="0" w:line="360" w:lineRule="auto"/>
        <w:ind w:firstLine="420"/>
        <w:rPr>
          <w:sz w:val="21"/>
          <w:szCs w:val="21"/>
        </w:rPr>
      </w:pPr>
      <w:bookmarkStart w:id="82" w:name="chapter_level1_11_59_section_4"/>
      <w:bookmarkEnd w:id="82"/>
      <w:r>
        <w:rPr>
          <w:rStyle w:val="13"/>
          <w:rFonts w:hint="eastAsia"/>
          <w:sz w:val="21"/>
          <w:szCs w:val="21"/>
        </w:rPr>
        <w:t>八、基金转换</w:t>
      </w:r>
    </w:p>
    <w:p>
      <w:pPr>
        <w:pStyle w:val="8"/>
        <w:spacing w:before="0" w:beforeAutospacing="0" w:after="0" w:afterAutospacing="0" w:line="360" w:lineRule="auto"/>
        <w:ind w:firstLine="420"/>
        <w:rPr>
          <w:sz w:val="21"/>
          <w:szCs w:val="21"/>
        </w:rPr>
      </w:pPr>
      <w:r>
        <w:rPr>
          <w:rFonts w:hint="eastAsia"/>
          <w:sz w:val="21"/>
          <w:szCs w:val="21"/>
        </w:rPr>
        <w:t>基金管理人可以根据相关法律法规以及基金合同的规定决定开办本基金与基金管理人管理的其他基金之间的转换业务，基金转换可以收取一定的转换费，相关规则由基金管理人</w:t>
      </w:r>
      <w:bookmarkStart w:id="83" w:name="chapter_level1_11_59_section_4_end"/>
      <w:bookmarkEnd w:id="83"/>
      <w:r>
        <w:rPr>
          <w:rFonts w:hint="eastAsia"/>
          <w:sz w:val="21"/>
          <w:szCs w:val="21"/>
        </w:rPr>
        <w:t xml:space="preserve">届时根据相关法律法规及基金合同的规定制定并公告，并提前告知基金托管人与相关机构。 </w:t>
      </w:r>
    </w:p>
    <w:p>
      <w:pPr>
        <w:pStyle w:val="8"/>
        <w:spacing w:before="0" w:beforeAutospacing="0" w:after="0" w:afterAutospacing="0" w:line="360" w:lineRule="auto"/>
        <w:ind w:firstLine="420"/>
        <w:rPr>
          <w:sz w:val="21"/>
          <w:szCs w:val="21"/>
        </w:rPr>
      </w:pPr>
      <w:bookmarkStart w:id="84" w:name="chapter_level1_11_59_section_5"/>
      <w:bookmarkEnd w:id="84"/>
      <w:r>
        <w:rPr>
          <w:rStyle w:val="13"/>
          <w:rFonts w:hint="eastAsia"/>
          <w:sz w:val="21"/>
          <w:szCs w:val="21"/>
        </w:rPr>
        <w:t>九、基金份额的转让</w:t>
      </w:r>
    </w:p>
    <w:p>
      <w:pPr>
        <w:pStyle w:val="8"/>
        <w:spacing w:before="0" w:beforeAutospacing="0" w:after="0" w:afterAutospacing="0" w:line="360" w:lineRule="auto"/>
        <w:ind w:firstLine="420"/>
        <w:rPr>
          <w:sz w:val="21"/>
          <w:szCs w:val="21"/>
        </w:rPr>
      </w:pPr>
      <w:r>
        <w:rPr>
          <w:rFonts w:hint="eastAsia"/>
          <w:sz w:val="21"/>
          <w:szCs w:val="21"/>
        </w:rPr>
        <w:t xml:space="preserve">对基金份额持有人无实质不利影响，在法律法规允许且条件具备的情况下，履行相关程序后，除A类份额上市交易外，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pPr>
        <w:pStyle w:val="8"/>
        <w:spacing w:before="0" w:beforeAutospacing="0" w:after="0" w:afterAutospacing="0" w:line="360" w:lineRule="auto"/>
        <w:ind w:firstLine="420"/>
        <w:rPr>
          <w:sz w:val="21"/>
          <w:szCs w:val="21"/>
        </w:rPr>
      </w:pPr>
      <w:r>
        <w:rPr>
          <w:rStyle w:val="13"/>
          <w:rFonts w:hint="eastAsia"/>
          <w:sz w:val="21"/>
          <w:szCs w:val="21"/>
        </w:rPr>
        <w:t>十、基金的非交易过户</w:t>
      </w:r>
    </w:p>
    <w:p>
      <w:pPr>
        <w:pStyle w:val="8"/>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pPr>
        <w:pStyle w:val="8"/>
        <w:spacing w:before="0" w:beforeAutospacing="0" w:after="0" w:afterAutospacing="0" w:line="360" w:lineRule="auto"/>
        <w:ind w:firstLine="420"/>
        <w:rPr>
          <w:sz w:val="21"/>
          <w:szCs w:val="21"/>
        </w:rPr>
      </w:pPr>
      <w:r>
        <w:rPr>
          <w:rFonts w:hint="eastAsia"/>
          <w:sz w:val="2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w:t>
      </w:r>
      <w:bookmarkStart w:id="85" w:name="chapter_level1_11_59_section_5_end"/>
      <w:bookmarkEnd w:id="85"/>
      <w:r>
        <w:rPr>
          <w:rFonts w:hint="eastAsia"/>
          <w:sz w:val="21"/>
          <w:szCs w:val="21"/>
        </w:rPr>
        <w:t xml:space="preserve">的非交易过户申请按基金登记机构的规定办理，并按基金登记机构规定的标准收费。 </w:t>
      </w:r>
    </w:p>
    <w:p>
      <w:pPr>
        <w:pStyle w:val="8"/>
        <w:spacing w:before="0" w:beforeAutospacing="0" w:after="0" w:afterAutospacing="0" w:line="360" w:lineRule="auto"/>
        <w:ind w:firstLine="420"/>
        <w:rPr>
          <w:sz w:val="21"/>
          <w:szCs w:val="21"/>
        </w:rPr>
      </w:pPr>
      <w:bookmarkStart w:id="86" w:name="chapter_level1_11_59_section_6"/>
      <w:bookmarkEnd w:id="86"/>
      <w:r>
        <w:rPr>
          <w:rStyle w:val="13"/>
          <w:rFonts w:hint="eastAsia"/>
          <w:sz w:val="21"/>
          <w:szCs w:val="21"/>
        </w:rPr>
        <w:t>十一、定期定额投资计划</w:t>
      </w:r>
    </w:p>
    <w:p>
      <w:pPr>
        <w:pStyle w:val="8"/>
        <w:spacing w:before="0" w:beforeAutospacing="0" w:after="0" w:afterAutospacing="0" w:line="360" w:lineRule="auto"/>
        <w:ind w:firstLine="420"/>
        <w:rPr>
          <w:sz w:val="21"/>
          <w:szCs w:val="21"/>
        </w:rPr>
      </w:pPr>
      <w:r>
        <w:rPr>
          <w:rFonts w:hint="eastAsia"/>
          <w:sz w:val="21"/>
          <w:szCs w:val="21"/>
        </w:rPr>
        <w:t>基金管理人可以为投资人办理定期定额投资计划，具体规则由基金管理人另行规定。投资人在办理定期定额投资计划时可自行约定每期扣款金额，每期扣款金额必须不低于基金管</w:t>
      </w:r>
      <w:bookmarkStart w:id="87" w:name="chapter_level1_11_59_section_6_end"/>
      <w:bookmarkEnd w:id="87"/>
      <w:r>
        <w:rPr>
          <w:rFonts w:hint="eastAsia"/>
          <w:sz w:val="21"/>
          <w:szCs w:val="21"/>
        </w:rPr>
        <w:t xml:space="preserve">理人在相关公告或更新的招募说明书中所规定的定期定额投资计划最低申购金额。 </w:t>
      </w:r>
    </w:p>
    <w:p>
      <w:pPr>
        <w:pStyle w:val="8"/>
        <w:spacing w:before="0" w:beforeAutospacing="0" w:after="0" w:afterAutospacing="0" w:line="360" w:lineRule="auto"/>
        <w:ind w:firstLine="420"/>
        <w:rPr>
          <w:sz w:val="21"/>
          <w:szCs w:val="21"/>
        </w:rPr>
      </w:pPr>
      <w:bookmarkStart w:id="88" w:name="chapter_level1_11_59_section_7"/>
      <w:bookmarkEnd w:id="88"/>
      <w:r>
        <w:rPr>
          <w:rStyle w:val="13"/>
          <w:rFonts w:hint="eastAsia"/>
          <w:sz w:val="21"/>
          <w:szCs w:val="21"/>
        </w:rPr>
        <w:t>十二、基金的转托管</w:t>
      </w:r>
    </w:p>
    <w:p>
      <w:pPr>
        <w:pStyle w:val="8"/>
        <w:spacing w:before="0" w:beforeAutospacing="0" w:after="0" w:afterAutospacing="0" w:line="360" w:lineRule="auto"/>
        <w:ind w:firstLine="420"/>
        <w:rPr>
          <w:sz w:val="21"/>
          <w:szCs w:val="21"/>
        </w:rPr>
      </w:pPr>
      <w:r>
        <w:rPr>
          <w:rFonts w:hint="eastAsia"/>
          <w:sz w:val="21"/>
          <w:szCs w:val="21"/>
        </w:rPr>
        <w:t xml:space="preserve">基金份额持有人可根据登记机构的相关规定办理已持有基金份额在不同销售机构之间的转托管，包括系统内转托管和跨系统转托管，基金销售机构可以按照规定的标准收取转托管费。募集期内本基金不得办理系统内转托管和跨系统转托管。 </w:t>
      </w:r>
    </w:p>
    <w:p>
      <w:pPr>
        <w:pStyle w:val="8"/>
        <w:spacing w:before="0" w:beforeAutospacing="0" w:after="0" w:afterAutospacing="0" w:line="360" w:lineRule="auto"/>
        <w:ind w:firstLine="420"/>
        <w:rPr>
          <w:sz w:val="21"/>
          <w:szCs w:val="21"/>
        </w:rPr>
      </w:pPr>
      <w:r>
        <w:rPr>
          <w:rStyle w:val="13"/>
          <w:rFonts w:hint="eastAsia"/>
          <w:sz w:val="21"/>
          <w:szCs w:val="21"/>
        </w:rPr>
        <w:t>十三、基金份额的冻结和解冻与质押或其他基金业务</w:t>
      </w:r>
    </w:p>
    <w:p>
      <w:pPr>
        <w:pStyle w:val="8"/>
        <w:spacing w:before="0" w:beforeAutospacing="0" w:after="0" w:afterAutospacing="0" w:line="360" w:lineRule="auto"/>
        <w:ind w:firstLine="420"/>
        <w:rPr>
          <w:sz w:val="21"/>
          <w:szCs w:val="21"/>
        </w:rPr>
      </w:pPr>
      <w:r>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pPr>
        <w:pStyle w:val="8"/>
        <w:spacing w:before="0" w:beforeAutospacing="0" w:after="0" w:afterAutospacing="0" w:line="360" w:lineRule="auto"/>
        <w:ind w:firstLine="420"/>
        <w:rPr>
          <w:sz w:val="21"/>
          <w:szCs w:val="21"/>
        </w:rPr>
      </w:pPr>
      <w:r>
        <w:rPr>
          <w:rFonts w:hint="eastAsia"/>
          <w:sz w:val="21"/>
          <w:szCs w:val="21"/>
        </w:rPr>
        <w:t>如相关法律法规允许基金管理人履行相关程序后可办理基金份额的质押业务或其他基</w:t>
      </w:r>
      <w:bookmarkStart w:id="89" w:name="chapter_level1_11_59_section_7_end"/>
      <w:bookmarkEnd w:id="89"/>
      <w:r>
        <w:rPr>
          <w:rFonts w:hint="eastAsia"/>
          <w:sz w:val="21"/>
          <w:szCs w:val="21"/>
        </w:rPr>
        <w:t xml:space="preserve">金业务，基金管理人将制定和实施相应的业务规则。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90" w:name="_Toc31249"/>
      <w:bookmarkStart w:id="91" w:name="_Toc82437031"/>
      <w:bookmarkStart w:id="92" w:name="chapter_level1_13_60"/>
      <w:r>
        <w:rPr>
          <w:rFonts w:hint="eastAsia" w:ascii="宋体" w:hAnsi="宋体" w:eastAsia="宋体"/>
          <w:sz w:val="30"/>
        </w:rPr>
        <w:t>第九部分  基金的投资</w:t>
      </w:r>
      <w:bookmarkEnd w:id="90"/>
      <w:bookmarkEnd w:id="91"/>
      <w:bookmarkEnd w:id="92"/>
    </w:p>
    <w:p>
      <w:pPr>
        <w:pStyle w:val="8"/>
        <w:spacing w:before="0" w:beforeAutospacing="0" w:after="0" w:afterAutospacing="0" w:line="360" w:lineRule="auto"/>
        <w:ind w:firstLine="420"/>
        <w:rPr>
          <w:sz w:val="21"/>
          <w:szCs w:val="21"/>
        </w:rPr>
      </w:pPr>
      <w:bookmarkStart w:id="93" w:name="chapter_level1_13_60_section_1"/>
      <w:bookmarkEnd w:id="93"/>
      <w:r>
        <w:rPr>
          <w:rStyle w:val="13"/>
          <w:rFonts w:hint="eastAsia"/>
          <w:sz w:val="21"/>
          <w:szCs w:val="21"/>
        </w:rPr>
        <w:t>一、投资目标</w:t>
      </w:r>
    </w:p>
    <w:p>
      <w:pPr>
        <w:pStyle w:val="8"/>
        <w:spacing w:before="0" w:beforeAutospacing="0" w:after="0" w:afterAutospacing="0" w:line="360" w:lineRule="auto"/>
        <w:ind w:firstLine="420"/>
        <w:rPr>
          <w:sz w:val="21"/>
          <w:szCs w:val="21"/>
        </w:rPr>
      </w:pPr>
      <w:bookmarkStart w:id="94" w:name="field_60_investmenttarget_1_start"/>
      <w:bookmarkEnd w:id="94"/>
      <w:r>
        <w:rPr>
          <w:rFonts w:hint="eastAsia"/>
          <w:sz w:val="21"/>
          <w:szCs w:val="21"/>
        </w:rPr>
        <w:t>在严格控制风险的前提下，追求超越业绩比较基准的投资回报，力争实现基金资产的长期稳健增值。 </w:t>
      </w:r>
      <w:bookmarkStart w:id="95" w:name="field_60_investmenttarget_1_end"/>
      <w:bookmarkEnd w:id="95"/>
      <w:r>
        <w:rPr>
          <w:rFonts w:hint="eastAsia"/>
          <w:sz w:val="21"/>
          <w:szCs w:val="21"/>
        </w:rPr>
        <w:t xml:space="preserve">  </w:t>
      </w:r>
    </w:p>
    <w:p>
      <w:pPr>
        <w:pStyle w:val="8"/>
        <w:spacing w:before="0" w:beforeAutospacing="0" w:after="0" w:afterAutospacing="0" w:line="360" w:lineRule="auto"/>
        <w:ind w:firstLine="420"/>
        <w:rPr>
          <w:sz w:val="21"/>
          <w:szCs w:val="21"/>
        </w:rPr>
      </w:pPr>
      <w:r>
        <w:rPr>
          <w:rStyle w:val="13"/>
          <w:rFonts w:hint="eastAsia"/>
          <w:sz w:val="21"/>
          <w:szCs w:val="21"/>
        </w:rPr>
        <w:t>二、投资范围</w:t>
      </w:r>
    </w:p>
    <w:p>
      <w:pPr>
        <w:pStyle w:val="8"/>
        <w:spacing w:before="0" w:beforeAutospacing="0" w:after="0" w:afterAutospacing="0" w:line="360" w:lineRule="auto"/>
        <w:ind w:firstLine="420"/>
        <w:rPr>
          <w:sz w:val="21"/>
          <w:szCs w:val="21"/>
        </w:rPr>
      </w:pPr>
      <w:bookmarkStart w:id="96" w:name="field_60_investmentrange_1_start"/>
      <w:bookmarkEnd w:id="96"/>
      <w:r>
        <w:rPr>
          <w:rFonts w:hint="eastAsia"/>
          <w:sz w:val="21"/>
          <w:szCs w:val="21"/>
        </w:rPr>
        <w:t xml:space="preserve">本基金的投资范围包括国内依法发行上市的股票（含中小板、创业板、科创板及其他经中国证监会核准上市的股票、存托凭证）、内地与香港股票市场互联互通机制下允许买卖的香港证券市场股票（以下简称“港股通标的股票”）、债券（国债、金融债、企业债、公司债、央行票据、中期票据、短期融资券、超短期融资券、可转换债券（含可分离交易可转换债券）、可交换债、次级债等）、股指期货、国债期货、债券回购、同业存单、银行存款（包含协议存款、定期存款及其他银行存款）、货币市场工具、现金以及法律法规或中国证监会允许基金投资的其他金融工具（但须符合中国证监会相关规定）。  </w:t>
      </w:r>
    </w:p>
    <w:p>
      <w:pPr>
        <w:pStyle w:val="8"/>
        <w:spacing w:before="0" w:beforeAutospacing="0" w:after="0" w:afterAutospacing="0" w:line="360" w:lineRule="auto"/>
        <w:ind w:firstLine="420"/>
        <w:rPr>
          <w:sz w:val="21"/>
          <w:szCs w:val="21"/>
        </w:rPr>
      </w:pPr>
      <w:r>
        <w:rPr>
          <w:rFonts w:hint="eastAsia"/>
          <w:sz w:val="21"/>
          <w:szCs w:val="21"/>
        </w:rPr>
        <w:t xml:space="preserve">在封闭运作期内，投资股票资产（含存托凭证）占基金资产的比例为0%—100%，港股通标的股票的投资比例为股票资产的0%-50%，其中，投资于本基金界定的科创主题相关证券的比例不低于非现金基金资产的80%。每个交易日日终在扣除国债期货和股指期货合约需缴纳的交易保证金后，应当保持不低于交易保证金一倍的现金，其中现金不包括结算备付金、存出保证金、应收申购款等。股票投资部分可以以战略配售的方式进行投资。 </w:t>
      </w:r>
    </w:p>
    <w:p>
      <w:pPr>
        <w:pStyle w:val="8"/>
        <w:spacing w:before="0" w:beforeAutospacing="0" w:after="0" w:afterAutospacing="0" w:line="360" w:lineRule="auto"/>
        <w:ind w:firstLine="420"/>
        <w:rPr>
          <w:sz w:val="21"/>
          <w:szCs w:val="21"/>
        </w:rPr>
      </w:pPr>
      <w:r>
        <w:rPr>
          <w:rFonts w:hint="eastAsia"/>
          <w:sz w:val="21"/>
          <w:szCs w:val="21"/>
        </w:rPr>
        <w:t>如法律法规或监管机构以后允许基金投资其他品种，基金管理人在履行适当程序后，可以将其纳入投资范围。 </w:t>
      </w:r>
      <w:bookmarkStart w:id="97" w:name="field_60_investmentrange_1_end"/>
      <w:bookmarkEnd w:id="97"/>
      <w:r>
        <w:rPr>
          <w:rFonts w:hint="eastAsia"/>
          <w:sz w:val="21"/>
          <w:szCs w:val="21"/>
        </w:rPr>
        <w:t xml:space="preserve">  </w:t>
      </w:r>
    </w:p>
    <w:p>
      <w:pPr>
        <w:pStyle w:val="8"/>
        <w:spacing w:before="0" w:beforeAutospacing="0" w:after="0" w:afterAutospacing="0" w:line="360" w:lineRule="auto"/>
        <w:ind w:firstLine="420"/>
        <w:rPr>
          <w:sz w:val="21"/>
          <w:szCs w:val="21"/>
        </w:rPr>
      </w:pPr>
      <w:r>
        <w:rPr>
          <w:rStyle w:val="13"/>
          <w:rFonts w:hint="eastAsia"/>
          <w:sz w:val="21"/>
          <w:szCs w:val="21"/>
        </w:rPr>
        <w:t>三、投资策略</w:t>
      </w:r>
    </w:p>
    <w:p>
      <w:pPr>
        <w:pStyle w:val="8"/>
        <w:spacing w:before="0" w:beforeAutospacing="0" w:after="0" w:afterAutospacing="0" w:line="360" w:lineRule="auto"/>
        <w:ind w:firstLine="420"/>
        <w:rPr>
          <w:sz w:val="21"/>
          <w:szCs w:val="21"/>
        </w:rPr>
      </w:pPr>
      <w:bookmarkStart w:id="98" w:name="field_60_investmentstrategy_1_start"/>
      <w:bookmarkEnd w:id="98"/>
      <w:r>
        <w:rPr>
          <w:rFonts w:hint="eastAsia"/>
          <w:sz w:val="21"/>
          <w:szCs w:val="21"/>
        </w:rPr>
        <w:t xml:space="preserve">本基金以科创主题战略配售股票投资策略为主，并辅以科创主题相关股票一、二级市场投资策略和固定收益投资策略。本基金所界定的科技创新企业主要是指坚持面向世界科技前沿、面向经济主战场、面向国家重大需求，主要服务于符合国家战略、突破关键核心技术、市场认可度高的科技创新企业。重点支持新一代信息技术、高端装备、新材料、新能源、节能环保以及生物医药等高新技术产业和战略性新兴产业。主要来自于下列领域： </w:t>
      </w:r>
    </w:p>
    <w:p>
      <w:pPr>
        <w:pStyle w:val="8"/>
        <w:spacing w:before="0" w:beforeAutospacing="0" w:after="0" w:afterAutospacing="0" w:line="360" w:lineRule="auto"/>
        <w:ind w:firstLine="420"/>
        <w:rPr>
          <w:sz w:val="21"/>
          <w:szCs w:val="21"/>
        </w:rPr>
      </w:pPr>
      <w:r>
        <w:rPr>
          <w:rFonts w:hint="eastAsia"/>
          <w:sz w:val="21"/>
          <w:szCs w:val="21"/>
        </w:rPr>
        <w:t xml:space="preserve">（1）新一代信息技术领域，主要包括半导体和集成电路、电子信息、下一代信息网络、人工智能、大数据、云计算、新兴软件、互联网、物联网和智能硬件等； </w:t>
      </w:r>
    </w:p>
    <w:p>
      <w:pPr>
        <w:pStyle w:val="8"/>
        <w:spacing w:before="0" w:beforeAutospacing="0" w:after="0" w:afterAutospacing="0" w:line="360" w:lineRule="auto"/>
        <w:ind w:firstLine="420"/>
        <w:rPr>
          <w:sz w:val="21"/>
          <w:szCs w:val="21"/>
        </w:rPr>
      </w:pPr>
      <w:r>
        <w:rPr>
          <w:rFonts w:hint="eastAsia"/>
          <w:sz w:val="21"/>
          <w:szCs w:val="21"/>
        </w:rPr>
        <w:t xml:space="preserve">（2）高端装备领域，主要包括智能制造、航空航天、先进轨道交通、海洋工程装备及相关技术服务等； </w:t>
      </w:r>
    </w:p>
    <w:p>
      <w:pPr>
        <w:pStyle w:val="8"/>
        <w:spacing w:before="0" w:beforeAutospacing="0" w:after="0" w:afterAutospacing="0" w:line="360" w:lineRule="auto"/>
        <w:ind w:firstLine="420"/>
        <w:rPr>
          <w:sz w:val="21"/>
          <w:szCs w:val="21"/>
        </w:rPr>
      </w:pPr>
      <w:r>
        <w:rPr>
          <w:rFonts w:hint="eastAsia"/>
          <w:sz w:val="21"/>
          <w:szCs w:val="21"/>
        </w:rPr>
        <w:t xml:space="preserve">（3）新材料领域，主要包括先进钢铁材料、先进有色金属材料、先进石化化工新材料、先进无机非金属材料、高性能复合材料、前沿新材料及相关技术服务等； </w:t>
      </w:r>
    </w:p>
    <w:p>
      <w:pPr>
        <w:pStyle w:val="8"/>
        <w:spacing w:before="0" w:beforeAutospacing="0" w:after="0" w:afterAutospacing="0" w:line="360" w:lineRule="auto"/>
        <w:ind w:firstLine="420"/>
        <w:rPr>
          <w:sz w:val="21"/>
          <w:szCs w:val="21"/>
        </w:rPr>
      </w:pPr>
      <w:r>
        <w:rPr>
          <w:rFonts w:hint="eastAsia"/>
          <w:sz w:val="21"/>
          <w:szCs w:val="21"/>
        </w:rPr>
        <w:t xml:space="preserve">（4）新能源领域，主要包括先进核电、大型风电、高效光电光热、高效储能及相关技术服务等； </w:t>
      </w:r>
    </w:p>
    <w:p>
      <w:pPr>
        <w:pStyle w:val="8"/>
        <w:spacing w:before="0" w:beforeAutospacing="0" w:after="0" w:afterAutospacing="0" w:line="360" w:lineRule="auto"/>
        <w:ind w:firstLine="420"/>
        <w:rPr>
          <w:sz w:val="21"/>
          <w:szCs w:val="21"/>
        </w:rPr>
      </w:pPr>
      <w:r>
        <w:rPr>
          <w:rFonts w:hint="eastAsia"/>
          <w:sz w:val="21"/>
          <w:szCs w:val="21"/>
        </w:rPr>
        <w:t xml:space="preserve">（5）节能环保领域，主要包括高效节能产品及设备、先进环保技术装备、先进环保产品、资源循环利用、新能源汽车整车、新能源汽车关键零部件、动力电池及相关技术服务等； </w:t>
      </w:r>
    </w:p>
    <w:p>
      <w:pPr>
        <w:pStyle w:val="8"/>
        <w:spacing w:before="0" w:beforeAutospacing="0" w:after="0" w:afterAutospacing="0" w:line="360" w:lineRule="auto"/>
        <w:ind w:firstLine="420"/>
        <w:rPr>
          <w:sz w:val="21"/>
          <w:szCs w:val="21"/>
        </w:rPr>
      </w:pPr>
      <w:r>
        <w:rPr>
          <w:rFonts w:hint="eastAsia"/>
          <w:sz w:val="21"/>
          <w:szCs w:val="21"/>
        </w:rPr>
        <w:t xml:space="preserve">（6）生物医药领域，主要包括生物制品、高端化学药、高端医疗设备与器械及相关技术服务等； </w:t>
      </w:r>
    </w:p>
    <w:p>
      <w:pPr>
        <w:pStyle w:val="8"/>
        <w:spacing w:before="0" w:beforeAutospacing="0" w:after="0" w:afterAutospacing="0" w:line="360" w:lineRule="auto"/>
        <w:ind w:firstLine="420"/>
        <w:rPr>
          <w:sz w:val="21"/>
          <w:szCs w:val="21"/>
        </w:rPr>
      </w:pPr>
      <w:r>
        <w:rPr>
          <w:rFonts w:hint="eastAsia"/>
          <w:sz w:val="21"/>
          <w:szCs w:val="21"/>
        </w:rPr>
        <w:t xml:space="preserve">（7）符合科创板定位的其他领域。 </w:t>
      </w:r>
    </w:p>
    <w:p>
      <w:pPr>
        <w:pStyle w:val="8"/>
        <w:spacing w:before="0" w:beforeAutospacing="0" w:after="0" w:afterAutospacing="0" w:line="360" w:lineRule="auto"/>
        <w:ind w:firstLine="420"/>
        <w:rPr>
          <w:sz w:val="21"/>
          <w:szCs w:val="21"/>
        </w:rPr>
      </w:pPr>
      <w:r>
        <w:rPr>
          <w:rFonts w:hint="eastAsia"/>
          <w:sz w:val="21"/>
          <w:szCs w:val="21"/>
        </w:rPr>
        <w:t xml:space="preserve">本基金将通过系统和深入的基本面研究，密切关注科技创新主题相关行业及公司，分享中国经济增长模式转变带来的投资机会。 </w:t>
      </w:r>
    </w:p>
    <w:p>
      <w:pPr>
        <w:pStyle w:val="8"/>
        <w:spacing w:before="0" w:beforeAutospacing="0" w:after="0" w:afterAutospacing="0" w:line="360" w:lineRule="auto"/>
        <w:ind w:firstLine="420"/>
        <w:rPr>
          <w:sz w:val="21"/>
          <w:szCs w:val="21"/>
        </w:rPr>
      </w:pPr>
      <w:r>
        <w:rPr>
          <w:rFonts w:hint="eastAsia"/>
          <w:sz w:val="21"/>
          <w:szCs w:val="21"/>
        </w:rPr>
        <w:t xml:space="preserve">未来如果基金管理人认为有更适当的科创主题划分标准，经履行适当程序后，基金管理人有权对科创主题的界定方法进行变更，并在招募说明书更新中公告。 </w:t>
      </w:r>
    </w:p>
    <w:p>
      <w:pPr>
        <w:pStyle w:val="8"/>
        <w:spacing w:before="0" w:beforeAutospacing="0" w:after="0" w:afterAutospacing="0" w:line="360" w:lineRule="auto"/>
        <w:ind w:firstLine="420"/>
        <w:rPr>
          <w:sz w:val="21"/>
          <w:szCs w:val="21"/>
        </w:rPr>
      </w:pPr>
      <w:r>
        <w:rPr>
          <w:rFonts w:hint="eastAsia"/>
          <w:sz w:val="21"/>
          <w:szCs w:val="21"/>
        </w:rPr>
        <w:t xml:space="preserve">本基金由于前三年为封闭运作期、并以科创类公司战略配售为主要投资策略，考虑到战略配售股票锁定期不少于12个月的特点，相应的投资策略包括：大类资产配置策略、股票资产的灵活配置策略、股票投资策略、固定收益投资策略和股指期货、国债期货投资策略。 </w:t>
      </w:r>
    </w:p>
    <w:p>
      <w:pPr>
        <w:pStyle w:val="8"/>
        <w:spacing w:before="0" w:beforeAutospacing="0" w:after="0" w:afterAutospacing="0" w:line="360" w:lineRule="auto"/>
        <w:ind w:firstLine="420"/>
        <w:rPr>
          <w:sz w:val="21"/>
          <w:szCs w:val="21"/>
        </w:rPr>
      </w:pPr>
      <w:r>
        <w:rPr>
          <w:rFonts w:hint="eastAsia"/>
          <w:sz w:val="21"/>
          <w:szCs w:val="21"/>
        </w:rPr>
        <w:t xml:space="preserve">（一）大类资产配置策略 </w:t>
      </w:r>
    </w:p>
    <w:p>
      <w:pPr>
        <w:pStyle w:val="8"/>
        <w:spacing w:before="0" w:beforeAutospacing="0" w:after="0" w:afterAutospacing="0" w:line="360" w:lineRule="auto"/>
        <w:ind w:firstLine="420"/>
        <w:rPr>
          <w:sz w:val="21"/>
          <w:szCs w:val="21"/>
        </w:rPr>
      </w:pPr>
      <w:r>
        <w:rPr>
          <w:rFonts w:hint="eastAsia"/>
          <w:sz w:val="21"/>
          <w:szCs w:val="21"/>
        </w:rPr>
        <w:t xml:space="preserve">本基金通过跟踪考量宏观经济变量（包括GDP增长率、CPI走势、M2的绝对水平和增长率、利率水平与走势、外汇占款等）及国家财政、税收、货币、汇率各项政策，判断经济周期当前所处的位置及未来发展方向，并通过监测重要行业的产能利用与经济景气轮动研究，调整股票资产和固定收益资产的配置比例。 </w:t>
      </w:r>
    </w:p>
    <w:p>
      <w:pPr>
        <w:pStyle w:val="8"/>
        <w:spacing w:before="0" w:beforeAutospacing="0" w:after="0" w:afterAutospacing="0" w:line="360" w:lineRule="auto"/>
        <w:ind w:firstLine="420"/>
        <w:rPr>
          <w:sz w:val="21"/>
          <w:szCs w:val="21"/>
        </w:rPr>
      </w:pPr>
      <w:r>
        <w:rPr>
          <w:rFonts w:hint="eastAsia"/>
          <w:sz w:val="21"/>
          <w:szCs w:val="21"/>
        </w:rPr>
        <w:t xml:space="preserve">（二）股票资产的灵活配置策略 </w:t>
      </w:r>
    </w:p>
    <w:p>
      <w:pPr>
        <w:pStyle w:val="8"/>
        <w:spacing w:before="0" w:beforeAutospacing="0" w:after="0" w:afterAutospacing="0" w:line="360" w:lineRule="auto"/>
        <w:ind w:firstLine="420"/>
        <w:rPr>
          <w:sz w:val="21"/>
          <w:szCs w:val="21"/>
        </w:rPr>
      </w:pPr>
      <w:r>
        <w:rPr>
          <w:rFonts w:hint="eastAsia"/>
          <w:sz w:val="21"/>
          <w:szCs w:val="21"/>
        </w:rPr>
        <w:t xml:space="preserve">本基金通过分析国内外宏观经济趋势和评估证券市场投资风险，确定市场当期的系统性风险收益比，对各大类资产的预期风险和预期收益率进行分析评估，并据此制定基金在股票、债券、现金类资产之间的配置比例、调整原则和调整范围。在总体风险预算相对稳定的基础上，持续地进行定期与不定期的资产配置风险评估，适时地做出相应的调整，力求实现基金组合的稳定增值。具体而言，本基金主要采用定性与定量相结合的方法决定股票资产配置比例，通过纵向和横向相对估值法决定市场风格导向，并确定最终科创主题股票资产配置比例。 </w:t>
      </w:r>
    </w:p>
    <w:p>
      <w:pPr>
        <w:pStyle w:val="8"/>
        <w:spacing w:before="0" w:beforeAutospacing="0" w:after="0" w:afterAutospacing="0" w:line="360" w:lineRule="auto"/>
        <w:ind w:firstLine="420"/>
        <w:rPr>
          <w:sz w:val="21"/>
          <w:szCs w:val="21"/>
        </w:rPr>
      </w:pPr>
      <w:r>
        <w:rPr>
          <w:rFonts w:hint="eastAsia"/>
          <w:sz w:val="21"/>
          <w:szCs w:val="21"/>
        </w:rPr>
        <w:t xml:space="preserve">（1）定性分析 </w:t>
      </w:r>
    </w:p>
    <w:p>
      <w:pPr>
        <w:pStyle w:val="8"/>
        <w:spacing w:before="0" w:beforeAutospacing="0" w:after="0" w:afterAutospacing="0" w:line="360" w:lineRule="auto"/>
        <w:ind w:firstLine="420"/>
        <w:rPr>
          <w:sz w:val="21"/>
          <w:szCs w:val="21"/>
        </w:rPr>
      </w:pPr>
      <w:r>
        <w:rPr>
          <w:rFonts w:hint="eastAsia"/>
          <w:sz w:val="21"/>
          <w:szCs w:val="21"/>
        </w:rPr>
        <w:t xml:space="preserve">主要跟踪全球主要经济体OECD综合领先指标、PMI指数、主要国家汇率和利率趋势、国债收益率期限结构和信用利差情况，分析各个国家最新经济周期情况和潜在的地缘政治风险因素，依据沪深300指数市净率（P/B值）历史分位情况，初步确定基金在股票、债券、现金类大类资产配置比例。其次，依据创业板指数市净率（P/B值）历史分位情况，评估科创类股票的相对估值吸引力，确定科创类股票资产配置比例。最后，通过纵向对比科创主题主要上市公司相比其在上市前历次融资时的估值水平，确定科创主题上市公司估值走廊，合理判断当期估值吸引力，最终确定科创主题股票资产配置比例。 </w:t>
      </w:r>
    </w:p>
    <w:p>
      <w:pPr>
        <w:pStyle w:val="8"/>
        <w:spacing w:before="0" w:beforeAutospacing="0" w:after="0" w:afterAutospacing="0" w:line="360" w:lineRule="auto"/>
        <w:ind w:firstLine="420"/>
        <w:rPr>
          <w:sz w:val="21"/>
          <w:szCs w:val="21"/>
        </w:rPr>
      </w:pPr>
      <w:r>
        <w:rPr>
          <w:rFonts w:hint="eastAsia"/>
          <w:sz w:val="21"/>
          <w:szCs w:val="21"/>
        </w:rPr>
        <w:t xml:space="preserve">（2）定量分析 </w:t>
      </w:r>
    </w:p>
    <w:p>
      <w:pPr>
        <w:pStyle w:val="8"/>
        <w:spacing w:before="0" w:beforeAutospacing="0" w:after="0" w:afterAutospacing="0" w:line="360" w:lineRule="auto"/>
        <w:ind w:firstLine="420"/>
        <w:rPr>
          <w:sz w:val="21"/>
          <w:szCs w:val="21"/>
        </w:rPr>
      </w:pPr>
      <w:r>
        <w:rPr>
          <w:rFonts w:hint="eastAsia"/>
          <w:sz w:val="21"/>
          <w:szCs w:val="21"/>
        </w:rPr>
        <w:t xml:space="preserve">一般而言，本基金主要采用两个核心指标进行定量分析，用于指导科创类股票资产的配置比例：沪深300指数市净率历史分位，创业板指数市净率的历史百分位数据。 </w:t>
      </w:r>
    </w:p>
    <w:p>
      <w:pPr>
        <w:pStyle w:val="8"/>
        <w:spacing w:before="0" w:beforeAutospacing="0" w:after="0" w:afterAutospacing="0" w:line="360" w:lineRule="auto"/>
        <w:ind w:firstLine="420"/>
        <w:rPr>
          <w:sz w:val="21"/>
          <w:szCs w:val="21"/>
        </w:rPr>
      </w:pPr>
      <w:r>
        <w:rPr>
          <w:rFonts w:hint="eastAsia"/>
          <w:sz w:val="21"/>
          <w:szCs w:val="21"/>
        </w:rPr>
        <w:t xml:space="preserve">1）  当过去5年以来沪深300指数市净率、创业板指数市净率的区间均值均处于历史的后20%分位时，表明当前A股整体、科创类股票均处于相对低估状态，我们将提升科创类股票资产配置，方式包括参与战略配售和二级市场买入，提升股票占基金资产的比例到60%-100%。基金管理人应自上述条件触发之日起的10个交易日内调整完成以满足上述比例限制。 </w:t>
      </w:r>
    </w:p>
    <w:p>
      <w:pPr>
        <w:pStyle w:val="8"/>
        <w:spacing w:before="0" w:beforeAutospacing="0" w:after="0" w:afterAutospacing="0" w:line="360" w:lineRule="auto"/>
        <w:ind w:firstLine="420"/>
        <w:rPr>
          <w:sz w:val="21"/>
          <w:szCs w:val="21"/>
        </w:rPr>
      </w:pPr>
      <w:r>
        <w:rPr>
          <w:rFonts w:hint="eastAsia"/>
          <w:sz w:val="21"/>
          <w:szCs w:val="21"/>
        </w:rPr>
        <w:t xml:space="preserve">2）  当过去5年以来沪深300指数市净率、创业板指数市净率的区间均值均处于历史的前20%分位时，表明当前A股整体、科创类股票均处于相对高估状态，我们将降低科创类股票资产配置，方式包括停止参与战略配售、以及二级市场卖出，降低股票占基金资产的比例到0-40%。基金管理人应自上述条件触发之日起的10个交易日内调整完成以满足上述比例限制。 </w:t>
      </w:r>
    </w:p>
    <w:p>
      <w:pPr>
        <w:pStyle w:val="8"/>
        <w:spacing w:before="0" w:beforeAutospacing="0" w:after="0" w:afterAutospacing="0" w:line="360" w:lineRule="auto"/>
        <w:ind w:firstLine="420"/>
        <w:rPr>
          <w:sz w:val="21"/>
          <w:szCs w:val="21"/>
        </w:rPr>
      </w:pPr>
      <w:r>
        <w:rPr>
          <w:rFonts w:hint="eastAsia"/>
          <w:sz w:val="21"/>
          <w:szCs w:val="21"/>
        </w:rPr>
        <w:t xml:space="preserve">3）  除上述两种情况以外，本基金股票资产占基金资产的比例为35%-80%，股票资产配置的重点是行业配置和个股选择，通过战略配售、新股申购、二级市场交易分享企业价值增长红利。我们将遵循优势企业的选择标准，寻找估值合理、盈利趋势向好的公司进行参与。基金管理人应自上述条件触发之日起的10个交易日内调整完成以满足上述比例限制。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5"/>
        <w:gridCol w:w="3270"/>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pPr>
            <w:r>
              <w:rPr>
                <w:rFonts w:hint="eastAsia"/>
              </w:rPr>
              <w:t xml:space="preserve">过去5年以来沪深300指数P/B的区间均值处于 </w:t>
            </w:r>
          </w:p>
        </w:tc>
        <w:tc>
          <w:tcPr>
            <w:tcW w:w="0" w:type="auto"/>
            <w:shd w:val="clear" w:color="auto" w:fill="auto"/>
          </w:tcPr>
          <w:p>
            <w:pPr>
              <w:pStyle w:val="8"/>
            </w:pPr>
            <w:r>
              <w:rPr>
                <w:rFonts w:hint="eastAsia"/>
              </w:rPr>
              <w:t xml:space="preserve">过去5年以来创业板指数P/B的区间均值处于 </w:t>
            </w:r>
          </w:p>
        </w:tc>
        <w:tc>
          <w:tcPr>
            <w:tcW w:w="0" w:type="auto"/>
            <w:shd w:val="clear" w:color="auto" w:fill="auto"/>
          </w:tcPr>
          <w:p>
            <w:pPr>
              <w:pStyle w:val="8"/>
            </w:pPr>
            <w:r>
              <w:rPr>
                <w:rFonts w:hint="eastAsia"/>
              </w:rPr>
              <w:t xml:space="preserve">股票类资产比例(S)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pPr>
            <w:r>
              <w:rPr>
                <w:rFonts w:hint="eastAsia"/>
              </w:rPr>
              <w:t xml:space="preserve">历史的后20%分位 </w:t>
            </w:r>
          </w:p>
        </w:tc>
        <w:tc>
          <w:tcPr>
            <w:tcW w:w="0" w:type="auto"/>
            <w:shd w:val="clear" w:color="auto" w:fill="auto"/>
          </w:tcPr>
          <w:p>
            <w:pPr>
              <w:pStyle w:val="8"/>
            </w:pPr>
            <w:r>
              <w:rPr>
                <w:rFonts w:hint="eastAsia"/>
              </w:rPr>
              <w:t xml:space="preserve">历史的后20%分位 </w:t>
            </w:r>
          </w:p>
        </w:tc>
        <w:tc>
          <w:tcPr>
            <w:tcW w:w="0" w:type="auto"/>
            <w:shd w:val="clear" w:color="auto" w:fill="auto"/>
          </w:tcPr>
          <w:p>
            <w:pPr>
              <w:pStyle w:val="8"/>
            </w:pPr>
            <w:r>
              <w:rPr>
                <w:rFonts w:hint="eastAsia"/>
              </w:rPr>
              <w:t xml:space="preserve">60%~100%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pPr>
            <w:r>
              <w:rPr>
                <w:rFonts w:hint="eastAsia"/>
              </w:rPr>
              <w:t xml:space="preserve">历史的前20%分位 </w:t>
            </w:r>
          </w:p>
        </w:tc>
        <w:tc>
          <w:tcPr>
            <w:tcW w:w="0" w:type="auto"/>
            <w:shd w:val="clear" w:color="auto" w:fill="auto"/>
          </w:tcPr>
          <w:p>
            <w:pPr>
              <w:pStyle w:val="8"/>
            </w:pPr>
            <w:r>
              <w:rPr>
                <w:rFonts w:hint="eastAsia"/>
              </w:rPr>
              <w:t xml:space="preserve">历史的前20%分位 </w:t>
            </w:r>
          </w:p>
        </w:tc>
        <w:tc>
          <w:tcPr>
            <w:tcW w:w="0" w:type="auto"/>
            <w:shd w:val="clear" w:color="auto" w:fill="auto"/>
          </w:tcPr>
          <w:p>
            <w:pPr>
              <w:pStyle w:val="8"/>
            </w:pPr>
            <w:r>
              <w:rPr>
                <w:rFonts w:hint="eastAsia"/>
              </w:rPr>
              <w:t xml:space="preserve">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shd w:val="clear" w:color="auto" w:fill="auto"/>
          </w:tcPr>
          <w:p>
            <w:pPr>
              <w:pStyle w:val="8"/>
            </w:pPr>
            <w:r>
              <w:rPr>
                <w:rFonts w:hint="eastAsia"/>
              </w:rPr>
              <w:t xml:space="preserve">未触发上述条件的其他情形 </w:t>
            </w:r>
          </w:p>
        </w:tc>
        <w:tc>
          <w:tcPr>
            <w:tcW w:w="0" w:type="auto"/>
            <w:shd w:val="clear" w:color="auto" w:fill="auto"/>
          </w:tcPr>
          <w:p>
            <w:pPr>
              <w:pStyle w:val="8"/>
            </w:pPr>
            <w:r>
              <w:rPr>
                <w:rFonts w:hint="eastAsia"/>
              </w:rPr>
              <w:t xml:space="preserve">35%~80% </w:t>
            </w:r>
          </w:p>
        </w:tc>
      </w:tr>
    </w:tbl>
    <w:p>
      <w:pPr>
        <w:pStyle w:val="8"/>
        <w:spacing w:before="0" w:beforeAutospacing="0" w:after="0" w:afterAutospacing="0" w:line="360" w:lineRule="auto"/>
        <w:ind w:firstLine="420"/>
        <w:rPr>
          <w:sz w:val="21"/>
          <w:szCs w:val="21"/>
        </w:rPr>
      </w:pPr>
      <w:r>
        <w:rPr>
          <w:rFonts w:hint="eastAsia"/>
          <w:sz w:val="21"/>
          <w:szCs w:val="21"/>
        </w:rPr>
        <w:t xml:space="preserve">（三）股票投资策略 </w:t>
      </w:r>
    </w:p>
    <w:p>
      <w:pPr>
        <w:pStyle w:val="8"/>
        <w:spacing w:before="0" w:beforeAutospacing="0" w:after="0" w:afterAutospacing="0" w:line="360" w:lineRule="auto"/>
        <w:ind w:firstLine="420"/>
        <w:rPr>
          <w:sz w:val="21"/>
          <w:szCs w:val="21"/>
        </w:rPr>
      </w:pPr>
      <w:r>
        <w:rPr>
          <w:rFonts w:hint="eastAsia"/>
          <w:sz w:val="21"/>
          <w:szCs w:val="21"/>
        </w:rPr>
        <w:t>本基金的股票投资策略包括科创板股票战略配售投资策略</w:t>
      </w:r>
      <w:r>
        <w:rPr>
          <w:sz w:val="21"/>
          <w:szCs w:val="21"/>
        </w:rPr>
        <w:t>、</w:t>
      </w:r>
      <w:r>
        <w:rPr>
          <w:rFonts w:hint="eastAsia"/>
          <w:sz w:val="21"/>
          <w:szCs w:val="21"/>
        </w:rPr>
        <w:t>科创主题二级市场投资策略和存托凭证投资策略。</w:t>
      </w:r>
    </w:p>
    <w:p>
      <w:pPr>
        <w:pStyle w:val="8"/>
        <w:spacing w:before="0" w:beforeAutospacing="0" w:after="0" w:afterAutospacing="0" w:line="360" w:lineRule="auto"/>
        <w:ind w:firstLine="420"/>
        <w:rPr>
          <w:sz w:val="21"/>
          <w:szCs w:val="21"/>
        </w:rPr>
      </w:pPr>
      <w:r>
        <w:rPr>
          <w:rFonts w:hint="eastAsia"/>
          <w:sz w:val="21"/>
          <w:szCs w:val="21"/>
        </w:rPr>
        <w:t xml:space="preserve">1、科创板股票战略配售投资策略 </w:t>
      </w:r>
    </w:p>
    <w:p>
      <w:pPr>
        <w:pStyle w:val="8"/>
        <w:spacing w:before="0" w:beforeAutospacing="0" w:after="0" w:afterAutospacing="0" w:line="360" w:lineRule="auto"/>
        <w:ind w:firstLine="420"/>
        <w:rPr>
          <w:sz w:val="21"/>
          <w:szCs w:val="21"/>
        </w:rPr>
      </w:pPr>
      <w:r>
        <w:rPr>
          <w:rFonts w:hint="eastAsia"/>
          <w:sz w:val="21"/>
          <w:szCs w:val="21"/>
        </w:rPr>
        <w:t xml:space="preserve">本基金将深入分析并论证科创板股票战略配售的投资机会，综合分析宏观经济环境、行业竞争格局、公司基本面等多方面因素，结合未来市场走势判断，精选科创板战略配售股票。我们将区分上市公司所处的成长阶段，按照初期成长和稳定成长阶段采用不同的估值和定价策略进行价值评估。此外由于战略配售有一定的锁定期，因此在战略配售报价时需要考虑一定折价。我们将通过纵向对比和横向对比估值，确定战略配售参与合理报价水平，确保与战略配售锁定期相匹配的折价率。战略配售股票锁定期结束后，本基金可对股票的投资价值做出判断，结合市场环境及资产配置策略，在有效识别和防范风险的前提下，选择适当的退出时机，力争获取较高的投资回报。本基金的剩余封闭期应长于获配股票的剩余锁定期和减持期。 </w:t>
      </w:r>
    </w:p>
    <w:p>
      <w:pPr>
        <w:pStyle w:val="8"/>
        <w:spacing w:before="0" w:beforeAutospacing="0" w:after="0" w:afterAutospacing="0" w:line="360" w:lineRule="auto"/>
        <w:ind w:firstLine="420"/>
        <w:rPr>
          <w:sz w:val="21"/>
          <w:szCs w:val="21"/>
        </w:rPr>
      </w:pPr>
      <w:r>
        <w:rPr>
          <w:rFonts w:hint="eastAsia"/>
          <w:sz w:val="21"/>
          <w:szCs w:val="21"/>
        </w:rPr>
        <w:t xml:space="preserve">2、科创主题相关股票一级市场投资策略 </w:t>
      </w:r>
    </w:p>
    <w:p>
      <w:pPr>
        <w:pStyle w:val="8"/>
        <w:spacing w:before="0" w:beforeAutospacing="0" w:after="0" w:afterAutospacing="0" w:line="360" w:lineRule="auto"/>
        <w:ind w:firstLine="420"/>
        <w:rPr>
          <w:sz w:val="21"/>
          <w:szCs w:val="21"/>
        </w:rPr>
      </w:pPr>
      <w:r>
        <w:rPr>
          <w:rFonts w:hint="eastAsia"/>
          <w:sz w:val="21"/>
          <w:szCs w:val="21"/>
        </w:rPr>
        <w:t xml:space="preserve">本基金可参与科创主题上市公司相关股票（包括但不限于科创板公司股票）的一级市场网下/网上新股申购。 </w:t>
      </w:r>
    </w:p>
    <w:p>
      <w:pPr>
        <w:pStyle w:val="8"/>
        <w:spacing w:before="0" w:beforeAutospacing="0" w:after="0" w:afterAutospacing="0" w:line="360" w:lineRule="auto"/>
        <w:ind w:firstLine="420"/>
        <w:rPr>
          <w:sz w:val="21"/>
          <w:szCs w:val="21"/>
        </w:rPr>
      </w:pPr>
      <w:r>
        <w:rPr>
          <w:rFonts w:hint="eastAsia"/>
          <w:sz w:val="21"/>
          <w:szCs w:val="21"/>
        </w:rPr>
        <w:t xml:space="preserve">3、科创主题相关股票二级市场投资策略 </w:t>
      </w:r>
    </w:p>
    <w:p>
      <w:pPr>
        <w:pStyle w:val="8"/>
        <w:spacing w:before="0" w:beforeAutospacing="0" w:after="0" w:afterAutospacing="0" w:line="360" w:lineRule="auto"/>
        <w:ind w:firstLine="420"/>
        <w:rPr>
          <w:sz w:val="21"/>
          <w:szCs w:val="21"/>
        </w:rPr>
      </w:pPr>
      <w:r>
        <w:rPr>
          <w:rFonts w:hint="eastAsia"/>
          <w:sz w:val="21"/>
          <w:szCs w:val="21"/>
        </w:rPr>
        <w:t xml:space="preserve">本基金通过持续跟踪中国科技创新政策和产业路径，结合科创主题产业分析比较、上市公司战略规划及国际竞争力分析等方法，从产业竞争和上下游多角度挖掘科创范畴的投资主题及相关股票（包括但不限于科创板公司股票），精选具有估值优势的个股，作为重点进行投资。股票投资采用定量和定性分析相结合的策略： </w:t>
      </w:r>
    </w:p>
    <w:p>
      <w:pPr>
        <w:pStyle w:val="8"/>
        <w:spacing w:before="0" w:beforeAutospacing="0" w:after="0" w:afterAutospacing="0" w:line="360" w:lineRule="auto"/>
        <w:ind w:firstLine="420"/>
        <w:rPr>
          <w:sz w:val="21"/>
          <w:szCs w:val="21"/>
        </w:rPr>
      </w:pPr>
      <w:r>
        <w:rPr>
          <w:rFonts w:hint="eastAsia"/>
          <w:sz w:val="21"/>
          <w:szCs w:val="21"/>
        </w:rPr>
        <w:t xml:space="preserve">1）定性分析 </w:t>
      </w:r>
    </w:p>
    <w:p>
      <w:pPr>
        <w:pStyle w:val="8"/>
        <w:spacing w:before="0" w:beforeAutospacing="0" w:after="0" w:afterAutospacing="0" w:line="360" w:lineRule="auto"/>
        <w:ind w:firstLine="420"/>
        <w:rPr>
          <w:sz w:val="21"/>
          <w:szCs w:val="21"/>
        </w:rPr>
      </w:pPr>
      <w:r>
        <w:rPr>
          <w:rFonts w:hint="eastAsia"/>
          <w:sz w:val="21"/>
          <w:szCs w:val="21"/>
        </w:rPr>
        <w:t xml:space="preserve">本基金采用定性分析的主要目的是，识别出全部或部分具备以下特征的科创主题上市公司： </w:t>
      </w:r>
    </w:p>
    <w:p>
      <w:pPr>
        <w:pStyle w:val="8"/>
        <w:spacing w:before="0" w:beforeAutospacing="0" w:after="0" w:afterAutospacing="0" w:line="360" w:lineRule="auto"/>
        <w:ind w:firstLine="420"/>
        <w:rPr>
          <w:sz w:val="21"/>
          <w:szCs w:val="21"/>
        </w:rPr>
      </w:pPr>
      <w:r>
        <w:rPr>
          <w:rFonts w:hint="eastAsia"/>
          <w:sz w:val="21"/>
          <w:szCs w:val="21"/>
        </w:rPr>
        <w:t xml:space="preserve">A.上市公司所处行业为国家产业政策鼓励，或者是限制国内相关产业发展、亟需补齐短板的紧缺产业； </w:t>
      </w:r>
    </w:p>
    <w:p>
      <w:pPr>
        <w:pStyle w:val="8"/>
        <w:spacing w:before="0" w:beforeAutospacing="0" w:after="0" w:afterAutospacing="0" w:line="360" w:lineRule="auto"/>
        <w:ind w:firstLine="420"/>
        <w:rPr>
          <w:sz w:val="21"/>
          <w:szCs w:val="21"/>
        </w:rPr>
      </w:pPr>
      <w:r>
        <w:rPr>
          <w:rFonts w:hint="eastAsia"/>
          <w:sz w:val="21"/>
          <w:szCs w:val="21"/>
        </w:rPr>
        <w:t xml:space="preserve">B.上市公司在行业中掌握核心技术优势，具有自主知识产权，具备一定竞争壁垒的核心竞争力； </w:t>
      </w:r>
    </w:p>
    <w:p>
      <w:pPr>
        <w:pStyle w:val="8"/>
        <w:spacing w:before="0" w:beforeAutospacing="0" w:after="0" w:afterAutospacing="0" w:line="360" w:lineRule="auto"/>
        <w:ind w:firstLine="420"/>
        <w:rPr>
          <w:sz w:val="21"/>
          <w:szCs w:val="21"/>
        </w:rPr>
      </w:pPr>
      <w:r>
        <w:rPr>
          <w:rFonts w:hint="eastAsia"/>
          <w:sz w:val="21"/>
          <w:szCs w:val="21"/>
        </w:rPr>
        <w:t xml:space="preserve">C.上市公司持续保持高强度的技术研发投入，并具备将研发成果转化为实用产品的能力 </w:t>
      </w:r>
    </w:p>
    <w:p>
      <w:pPr>
        <w:pStyle w:val="8"/>
        <w:spacing w:before="0" w:beforeAutospacing="0" w:after="0" w:afterAutospacing="0" w:line="360" w:lineRule="auto"/>
        <w:ind w:firstLine="420"/>
        <w:rPr>
          <w:sz w:val="21"/>
          <w:szCs w:val="21"/>
        </w:rPr>
      </w:pPr>
      <w:r>
        <w:rPr>
          <w:rFonts w:hint="eastAsia"/>
          <w:sz w:val="21"/>
          <w:szCs w:val="21"/>
        </w:rPr>
        <w:t xml:space="preserve">D.上市公司具有良好的公司治理结构和社会责任历史，从公司控制人、管理层和中层技术人员均有完善的激励机制，企业信息披露公开透明； </w:t>
      </w:r>
    </w:p>
    <w:p>
      <w:pPr>
        <w:pStyle w:val="8"/>
        <w:spacing w:before="0" w:beforeAutospacing="0" w:after="0" w:afterAutospacing="0" w:line="360" w:lineRule="auto"/>
        <w:ind w:firstLine="420"/>
        <w:rPr>
          <w:sz w:val="21"/>
          <w:szCs w:val="21"/>
        </w:rPr>
      </w:pPr>
      <w:r>
        <w:rPr>
          <w:rFonts w:hint="eastAsia"/>
          <w:sz w:val="21"/>
          <w:szCs w:val="21"/>
        </w:rPr>
        <w:t xml:space="preserve">2）定量分析 </w:t>
      </w:r>
    </w:p>
    <w:p>
      <w:pPr>
        <w:pStyle w:val="8"/>
        <w:spacing w:before="0" w:beforeAutospacing="0" w:after="0" w:afterAutospacing="0" w:line="360" w:lineRule="auto"/>
        <w:ind w:firstLine="420"/>
        <w:rPr>
          <w:sz w:val="21"/>
          <w:szCs w:val="21"/>
        </w:rPr>
      </w:pPr>
      <w:r>
        <w:rPr>
          <w:rFonts w:hint="eastAsia"/>
          <w:sz w:val="21"/>
          <w:szCs w:val="21"/>
        </w:rPr>
        <w:t xml:space="preserve">由于科创主题上市公司的特殊性，本基金将公司分为两类，并采用相应的定量分析方法，以识别具备潜在盈利弹性或持续成长能力的个股进行投资。 </w:t>
      </w:r>
    </w:p>
    <w:p>
      <w:pPr>
        <w:pStyle w:val="8"/>
        <w:spacing w:before="0" w:beforeAutospacing="0" w:after="0" w:afterAutospacing="0" w:line="360" w:lineRule="auto"/>
        <w:ind w:firstLine="420"/>
        <w:rPr>
          <w:sz w:val="21"/>
          <w:szCs w:val="21"/>
        </w:rPr>
      </w:pPr>
      <w:r>
        <w:rPr>
          <w:rFonts w:hint="eastAsia"/>
          <w:sz w:val="21"/>
          <w:szCs w:val="21"/>
        </w:rPr>
        <w:t xml:space="preserve">A.初期成长阶段：上市公司具备核心技术优势和产品转化能力，但由于处于行业成长初期，企业利润尚未体现。对这类公司，我们需要选取如下指标进行定量分析，识别相应投资价值。 </w:t>
      </w:r>
    </w:p>
    <w:p>
      <w:pPr>
        <w:pStyle w:val="8"/>
        <w:spacing w:before="0" w:beforeAutospacing="0" w:after="0" w:afterAutospacing="0" w:line="360" w:lineRule="auto"/>
        <w:ind w:firstLine="420"/>
        <w:rPr>
          <w:sz w:val="21"/>
          <w:szCs w:val="21"/>
        </w:rPr>
      </w:pPr>
      <w:r>
        <w:rPr>
          <w:rFonts w:hint="eastAsia"/>
          <w:sz w:val="21"/>
          <w:szCs w:val="21"/>
        </w:rPr>
        <w:t xml:space="preserve">成长性指标：行业增速和潜在市场空间，产业潜在空间/公司市值比，收入增长率，息税折旧前利润（EBITDA）增长率，经营性活动现金流入增长率，自由现金流增长率； </w:t>
      </w:r>
    </w:p>
    <w:p>
      <w:pPr>
        <w:pStyle w:val="8"/>
        <w:spacing w:before="0" w:beforeAutospacing="0" w:after="0" w:afterAutospacing="0" w:line="360" w:lineRule="auto"/>
        <w:ind w:firstLine="420"/>
        <w:rPr>
          <w:sz w:val="21"/>
          <w:szCs w:val="21"/>
        </w:rPr>
      </w:pPr>
      <w:r>
        <w:rPr>
          <w:rFonts w:hint="eastAsia"/>
          <w:sz w:val="21"/>
          <w:szCs w:val="21"/>
        </w:rPr>
        <w:t xml:space="preserve">财务指标：毛利率、营业利润率、净资产收益率、投入资本回报率、经营性活动现金净流量、自由现金流净额、研发费用/收入比，息税折旧前利润/收入比， </w:t>
      </w:r>
    </w:p>
    <w:p>
      <w:pPr>
        <w:pStyle w:val="8"/>
        <w:spacing w:before="0" w:beforeAutospacing="0" w:after="0" w:afterAutospacing="0" w:line="360" w:lineRule="auto"/>
        <w:ind w:firstLine="420"/>
        <w:rPr>
          <w:sz w:val="21"/>
          <w:szCs w:val="21"/>
        </w:rPr>
      </w:pPr>
      <w:r>
        <w:rPr>
          <w:rFonts w:hint="eastAsia"/>
          <w:sz w:val="21"/>
          <w:szCs w:val="21"/>
        </w:rPr>
        <w:t xml:space="preserve">估值指标：市销率（P/S），市净率（P/B）、市现率（P/CF）和总市值； </w:t>
      </w:r>
    </w:p>
    <w:p>
      <w:pPr>
        <w:pStyle w:val="8"/>
        <w:spacing w:before="0" w:beforeAutospacing="0" w:after="0" w:afterAutospacing="0" w:line="360" w:lineRule="auto"/>
        <w:ind w:firstLine="420"/>
        <w:rPr>
          <w:sz w:val="21"/>
          <w:szCs w:val="21"/>
        </w:rPr>
      </w:pPr>
      <w:r>
        <w:rPr>
          <w:rFonts w:hint="eastAsia"/>
          <w:sz w:val="21"/>
          <w:szCs w:val="21"/>
        </w:rPr>
        <w:t xml:space="preserve">B.稳定成长阶段：上市公司的产品已经形成稳定销售，行业竞争格局开始趋于稳定，企业利润开始逐步体现。对这类公司，我们需要选取如下指标进行定量分析，判断公司合理价值。 </w:t>
      </w:r>
    </w:p>
    <w:p>
      <w:pPr>
        <w:pStyle w:val="8"/>
        <w:spacing w:before="0" w:beforeAutospacing="0" w:after="0" w:afterAutospacing="0" w:line="360" w:lineRule="auto"/>
        <w:ind w:firstLine="420"/>
        <w:rPr>
          <w:sz w:val="21"/>
          <w:szCs w:val="21"/>
        </w:rPr>
      </w:pPr>
      <w:r>
        <w:rPr>
          <w:rFonts w:hint="eastAsia"/>
          <w:sz w:val="21"/>
          <w:szCs w:val="21"/>
        </w:rPr>
        <w:t xml:space="preserve">成长性指标：营业利润增长率、净利润增长率、收入增长率、经营性活动现金流入增长率； </w:t>
      </w:r>
    </w:p>
    <w:p>
      <w:pPr>
        <w:pStyle w:val="8"/>
        <w:spacing w:before="0" w:beforeAutospacing="0" w:after="0" w:afterAutospacing="0" w:line="360" w:lineRule="auto"/>
        <w:ind w:firstLine="420"/>
        <w:rPr>
          <w:sz w:val="21"/>
          <w:szCs w:val="21"/>
        </w:rPr>
      </w:pPr>
      <w:r>
        <w:rPr>
          <w:rFonts w:hint="eastAsia"/>
          <w:sz w:val="21"/>
          <w:szCs w:val="21"/>
        </w:rPr>
        <w:t xml:space="preserve">财务指标：毛利率、营业利润率、净资产收益率、净利率、经营性活动现金净流入/利润总额等； </w:t>
      </w:r>
    </w:p>
    <w:p>
      <w:pPr>
        <w:pStyle w:val="8"/>
        <w:spacing w:before="0" w:beforeAutospacing="0" w:after="0" w:afterAutospacing="0" w:line="360" w:lineRule="auto"/>
        <w:ind w:firstLine="420"/>
        <w:rPr>
          <w:sz w:val="21"/>
          <w:szCs w:val="21"/>
        </w:rPr>
      </w:pPr>
      <w:r>
        <w:rPr>
          <w:rFonts w:hint="eastAsia"/>
          <w:sz w:val="21"/>
          <w:szCs w:val="21"/>
        </w:rPr>
        <w:t xml:space="preserve">估值指标：市盈率（P/E）、市盈率相对盈利增长比率（PEG）、市净率（P/B）、市销率（PS）和总市值； </w:t>
      </w:r>
    </w:p>
    <w:p>
      <w:pPr>
        <w:pStyle w:val="8"/>
        <w:spacing w:before="0" w:beforeAutospacing="0" w:after="0" w:afterAutospacing="0" w:line="360" w:lineRule="auto"/>
        <w:ind w:firstLine="420"/>
        <w:rPr>
          <w:sz w:val="21"/>
          <w:szCs w:val="21"/>
        </w:rPr>
      </w:pPr>
      <w:r>
        <w:rPr>
          <w:rFonts w:hint="eastAsia"/>
          <w:sz w:val="21"/>
          <w:szCs w:val="21"/>
        </w:rPr>
        <w:t xml:space="preserve">3）组合股票的投资吸引力评估分析 </w:t>
      </w:r>
    </w:p>
    <w:p>
      <w:pPr>
        <w:pStyle w:val="8"/>
        <w:spacing w:before="0" w:beforeAutospacing="0" w:after="0" w:afterAutospacing="0" w:line="360" w:lineRule="auto"/>
        <w:ind w:firstLine="420"/>
        <w:rPr>
          <w:sz w:val="21"/>
          <w:szCs w:val="21"/>
        </w:rPr>
      </w:pPr>
      <w:r>
        <w:rPr>
          <w:rFonts w:hint="eastAsia"/>
          <w:sz w:val="21"/>
          <w:szCs w:val="21"/>
        </w:rPr>
        <w:t xml:space="preserve">本基金紧密对组合中股票进行动态评估，使用相对价值评估方法，形成最终股票组合进行投资。相对估值主要包括两个方面： </w:t>
      </w:r>
    </w:p>
    <w:p>
      <w:pPr>
        <w:pStyle w:val="8"/>
        <w:spacing w:before="0" w:beforeAutospacing="0" w:after="0" w:afterAutospacing="0" w:line="360" w:lineRule="auto"/>
        <w:ind w:firstLine="420"/>
        <w:rPr>
          <w:sz w:val="21"/>
          <w:szCs w:val="21"/>
        </w:rPr>
      </w:pPr>
      <w:r>
        <w:rPr>
          <w:rFonts w:hint="eastAsia"/>
          <w:sz w:val="21"/>
          <w:szCs w:val="21"/>
        </w:rPr>
        <w:t xml:space="preserve">A.纵向对比：采用专业估值模型，合理使用市盈率、市净率和市销率指标，评估并确定科创主题公司上市前历次融资中的估值走廊，确定二级市场公司估值中枢。 </w:t>
      </w:r>
    </w:p>
    <w:p>
      <w:pPr>
        <w:pStyle w:val="8"/>
        <w:spacing w:before="0" w:beforeAutospacing="0" w:after="0" w:afterAutospacing="0" w:line="360" w:lineRule="auto"/>
        <w:ind w:firstLine="420"/>
        <w:rPr>
          <w:sz w:val="21"/>
          <w:szCs w:val="21"/>
        </w:rPr>
      </w:pPr>
      <w:r>
        <w:rPr>
          <w:rFonts w:hint="eastAsia"/>
          <w:sz w:val="21"/>
          <w:szCs w:val="21"/>
        </w:rPr>
        <w:t xml:space="preserve">B.横向对比：运用国际化视野，合理使用上述估值指标，评估并比较科创主题公司相对沪深市场/海外市场中类似业务公司的估值指标，选择其中价值被低估的公司。 </w:t>
      </w:r>
    </w:p>
    <w:p>
      <w:pPr>
        <w:pStyle w:val="8"/>
        <w:spacing w:before="0" w:beforeAutospacing="0" w:after="0" w:afterAutospacing="0" w:line="360" w:lineRule="auto"/>
        <w:ind w:firstLine="420"/>
        <w:rPr>
          <w:sz w:val="21"/>
          <w:szCs w:val="21"/>
        </w:rPr>
      </w:pPr>
      <w:r>
        <w:rPr>
          <w:rFonts w:hint="eastAsia"/>
          <w:sz w:val="21"/>
          <w:szCs w:val="21"/>
        </w:rPr>
        <w:t xml:space="preserve">本基金采用包括自由现金流贴现模型、股息贴现模型、市盈率法、市净率法、PEG、EV/EBITDA、P/S、产业潜在空间/公司市值比等估值方法，选择最具投资价值的股票构建投资组合。 </w:t>
      </w:r>
    </w:p>
    <w:p>
      <w:pPr>
        <w:pStyle w:val="8"/>
        <w:spacing w:before="0" w:beforeAutospacing="0" w:after="0" w:afterAutospacing="0" w:line="360" w:lineRule="auto"/>
        <w:ind w:firstLine="420"/>
        <w:rPr>
          <w:sz w:val="21"/>
          <w:szCs w:val="21"/>
        </w:rPr>
      </w:pPr>
      <w:r>
        <w:rPr>
          <w:rFonts w:hint="eastAsia"/>
          <w:sz w:val="21"/>
          <w:szCs w:val="21"/>
        </w:rPr>
        <w:t xml:space="preserve">4）投资组合构建与优化 </w:t>
      </w:r>
    </w:p>
    <w:p>
      <w:pPr>
        <w:pStyle w:val="8"/>
        <w:spacing w:before="0" w:beforeAutospacing="0" w:after="0" w:afterAutospacing="0" w:line="360" w:lineRule="auto"/>
        <w:ind w:firstLine="420"/>
        <w:rPr>
          <w:sz w:val="21"/>
          <w:szCs w:val="21"/>
        </w:rPr>
      </w:pPr>
      <w:r>
        <w:rPr>
          <w:rFonts w:hint="eastAsia"/>
          <w:sz w:val="21"/>
          <w:szCs w:val="21"/>
        </w:rPr>
        <w:t xml:space="preserve">分别按照初期成长/稳定成长阶段的标准划分，定期动态评估基金组合中单个证券的预期收益及风险特性，对组合持仓进行动态优化，在合理风险水平下追求基金收益最大化。同时监控组合中证券的估值水平和企业社会责任履行情况，在市场价格明显高于其内在合理价值、或者公司治理/企业社会责任出现重大风险时卖出证券。 </w:t>
      </w:r>
    </w:p>
    <w:p>
      <w:pPr>
        <w:pStyle w:val="8"/>
        <w:spacing w:before="0" w:beforeAutospacing="0" w:after="0" w:afterAutospacing="0" w:line="360" w:lineRule="auto"/>
        <w:ind w:firstLine="420"/>
        <w:rPr>
          <w:sz w:val="21"/>
          <w:szCs w:val="21"/>
        </w:rPr>
      </w:pPr>
      <w:r>
        <w:rPr>
          <w:rFonts w:hint="eastAsia"/>
          <w:sz w:val="21"/>
          <w:szCs w:val="21"/>
        </w:rPr>
        <w:t xml:space="preserve">5）港股通标的股票投资策略 </w:t>
      </w:r>
    </w:p>
    <w:p>
      <w:pPr>
        <w:pStyle w:val="8"/>
        <w:spacing w:before="0" w:beforeAutospacing="0" w:after="0" w:afterAutospacing="0" w:line="360" w:lineRule="auto"/>
        <w:ind w:firstLine="420"/>
        <w:rPr>
          <w:sz w:val="21"/>
          <w:szCs w:val="21"/>
        </w:rPr>
      </w:pPr>
      <w:r>
        <w:rPr>
          <w:rFonts w:hint="eastAsia"/>
          <w:sz w:val="21"/>
          <w:szCs w:val="21"/>
        </w:rPr>
        <w:t xml:space="preserve">本基金基金资产通过港股通投资于港股，将重点关注以下几类港股通股票： </w:t>
      </w:r>
    </w:p>
    <w:p>
      <w:pPr>
        <w:pStyle w:val="8"/>
        <w:spacing w:before="0" w:beforeAutospacing="0" w:after="0" w:afterAutospacing="0" w:line="360" w:lineRule="auto"/>
        <w:ind w:firstLine="420"/>
        <w:rPr>
          <w:sz w:val="21"/>
          <w:szCs w:val="21"/>
        </w:rPr>
      </w:pPr>
      <w:r>
        <w:rPr>
          <w:rFonts w:hint="eastAsia"/>
          <w:sz w:val="21"/>
          <w:szCs w:val="21"/>
        </w:rPr>
        <w:t xml:space="preserve">A.在港股市场上市，行业中居于龙头地位，在技术或产品、市场竞争力强的代表性中资企业； </w:t>
      </w:r>
    </w:p>
    <w:p>
      <w:pPr>
        <w:pStyle w:val="8"/>
        <w:spacing w:before="0" w:beforeAutospacing="0" w:after="0" w:afterAutospacing="0" w:line="360" w:lineRule="auto"/>
        <w:ind w:firstLine="420"/>
        <w:rPr>
          <w:sz w:val="21"/>
          <w:szCs w:val="21"/>
        </w:rPr>
      </w:pPr>
      <w:r>
        <w:rPr>
          <w:rFonts w:hint="eastAsia"/>
          <w:sz w:val="21"/>
          <w:szCs w:val="21"/>
        </w:rPr>
        <w:t xml:space="preserve">B.所处行业为国家鼓励的科技行业、公司掌握核心技术优势、在我国境内有业务布局的香港本地和外资公司； </w:t>
      </w:r>
    </w:p>
    <w:p>
      <w:pPr>
        <w:pStyle w:val="8"/>
        <w:spacing w:before="0" w:beforeAutospacing="0" w:after="0" w:afterAutospacing="0" w:line="360" w:lineRule="auto"/>
        <w:ind w:firstLine="420"/>
        <w:rPr>
          <w:sz w:val="21"/>
          <w:szCs w:val="21"/>
        </w:rPr>
      </w:pPr>
      <w:r>
        <w:rPr>
          <w:rFonts w:hint="eastAsia"/>
          <w:sz w:val="21"/>
          <w:szCs w:val="21"/>
        </w:rPr>
        <w:t xml:space="preserve">C.港股市场在行业竞争结构、估值、AH股折溢价、股息率等方面具有吸引力的投资标的。 </w:t>
      </w:r>
    </w:p>
    <w:p>
      <w:pPr>
        <w:pStyle w:val="8"/>
        <w:spacing w:before="0" w:beforeAutospacing="0" w:after="0" w:afterAutospacing="0" w:line="360" w:lineRule="auto"/>
        <w:ind w:firstLine="420"/>
        <w:rPr>
          <w:sz w:val="21"/>
          <w:szCs w:val="21"/>
        </w:rPr>
      </w:pPr>
      <w:r>
        <w:rPr>
          <w:rFonts w:hint="eastAsia"/>
          <w:sz w:val="21"/>
          <w:szCs w:val="21"/>
        </w:rPr>
        <w:t>4、存托凭证投资策略</w:t>
      </w:r>
    </w:p>
    <w:p>
      <w:pPr>
        <w:pStyle w:val="8"/>
        <w:spacing w:before="0" w:beforeAutospacing="0" w:after="0" w:afterAutospacing="0" w:line="360" w:lineRule="auto"/>
        <w:ind w:firstLine="420"/>
        <w:rPr>
          <w:sz w:val="21"/>
          <w:szCs w:val="21"/>
        </w:rPr>
      </w:pPr>
      <w:r>
        <w:rPr>
          <w:rFonts w:hint="eastAsia"/>
          <w:sz w:val="21"/>
          <w:szCs w:val="21"/>
        </w:rPr>
        <w:t>本基金将根据本基金的投资目标和股票投资策略，基于对基础证券投资价值的深入研究判断，进行存托凭证的投资。</w:t>
      </w:r>
    </w:p>
    <w:p>
      <w:pPr>
        <w:pStyle w:val="8"/>
        <w:spacing w:before="0" w:beforeAutospacing="0" w:after="0" w:afterAutospacing="0" w:line="360" w:lineRule="auto"/>
        <w:ind w:firstLine="420"/>
        <w:rPr>
          <w:sz w:val="21"/>
          <w:szCs w:val="21"/>
        </w:rPr>
      </w:pPr>
      <w:r>
        <w:rPr>
          <w:rFonts w:hint="eastAsia"/>
          <w:sz w:val="21"/>
          <w:szCs w:val="21"/>
        </w:rPr>
        <w:t xml:space="preserve">（四）固定收益投资策略 </w:t>
      </w:r>
    </w:p>
    <w:p>
      <w:pPr>
        <w:pStyle w:val="8"/>
        <w:spacing w:before="0" w:beforeAutospacing="0" w:after="0" w:afterAutospacing="0" w:line="360" w:lineRule="auto"/>
        <w:ind w:firstLine="420"/>
        <w:rPr>
          <w:sz w:val="21"/>
          <w:szCs w:val="21"/>
        </w:rPr>
      </w:pPr>
      <w:r>
        <w:rPr>
          <w:rFonts w:hint="eastAsia"/>
          <w:sz w:val="21"/>
          <w:szCs w:val="21"/>
        </w:rPr>
        <w:t xml:space="preserve">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 </w:t>
      </w:r>
    </w:p>
    <w:p>
      <w:pPr>
        <w:pStyle w:val="8"/>
        <w:spacing w:before="0" w:beforeAutospacing="0" w:after="0" w:afterAutospacing="0" w:line="360" w:lineRule="auto"/>
        <w:ind w:firstLine="420"/>
        <w:rPr>
          <w:sz w:val="21"/>
          <w:szCs w:val="21"/>
        </w:rPr>
      </w:pPr>
      <w:r>
        <w:rPr>
          <w:rFonts w:hint="eastAsia"/>
          <w:sz w:val="21"/>
          <w:szCs w:val="21"/>
        </w:rPr>
        <w:t xml:space="preserve">（五）股指期货、国债期货投资策略 </w:t>
      </w:r>
    </w:p>
    <w:p>
      <w:pPr>
        <w:pStyle w:val="8"/>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本基金将根据风险管理的原则，以套期保值为目的，在风险可控的前提下，本着谨慎原则，参与股指期货、国债期货的投资，以管理投资组合的系统性风险，改善组合的风险收益特性。 </w:t>
      </w:r>
    </w:p>
    <w:p>
      <w:pPr>
        <w:pStyle w:val="8"/>
        <w:spacing w:before="0" w:beforeAutospacing="0" w:after="0" w:afterAutospacing="0" w:line="360" w:lineRule="auto"/>
        <w:ind w:firstLine="420"/>
        <w:rPr>
          <w:sz w:val="21"/>
          <w:szCs w:val="21"/>
        </w:rPr>
      </w:pPr>
      <w:r>
        <w:rPr>
          <w:rFonts w:hint="eastAsia"/>
          <w:sz w:val="21"/>
          <w:szCs w:val="21"/>
        </w:rPr>
        <w:t xml:space="preserve">（六）为了更好地实现投资目标，在综合考虑预期风险、收益、流动性等因素的基础上，本基金可参与融资业务。 </w:t>
      </w:r>
    </w:p>
    <w:p>
      <w:pPr>
        <w:pStyle w:val="8"/>
        <w:spacing w:before="0" w:beforeAutospacing="0" w:after="0" w:afterAutospacing="0" w:line="360" w:lineRule="auto"/>
        <w:ind w:firstLine="420"/>
        <w:rPr>
          <w:sz w:val="21"/>
          <w:szCs w:val="21"/>
        </w:rPr>
      </w:pPr>
      <w:r>
        <w:rPr>
          <w:rFonts w:hint="eastAsia"/>
          <w:sz w:val="21"/>
          <w:szCs w:val="21"/>
        </w:rPr>
        <w:t xml:space="preserve">在条件许可的情况下，基金管理人可根据相关法律法规，参与融券业务和转融通证券出借业务。 </w:t>
      </w:r>
    </w:p>
    <w:p>
      <w:pPr>
        <w:pStyle w:val="8"/>
        <w:spacing w:before="0" w:beforeAutospacing="0" w:after="0" w:afterAutospacing="0" w:line="360" w:lineRule="auto"/>
        <w:ind w:firstLine="420"/>
        <w:rPr>
          <w:sz w:val="21"/>
          <w:szCs w:val="21"/>
        </w:rPr>
      </w:pPr>
      <w:r>
        <w:rPr>
          <w:rFonts w:hint="eastAsia"/>
          <w:sz w:val="21"/>
          <w:szCs w:val="21"/>
        </w:rPr>
        <w:t>今后，随着证券市场的发展、金融工具的丰富和交易方式的创新等，基金还将积极寻求其他投资机会，如法律法规或监管机构以后允许基金投资其他品种，本基金将在履行适当程</w:t>
      </w:r>
      <w:bookmarkStart w:id="99" w:name="chapter_level1_13_60_section_1_end"/>
      <w:bookmarkEnd w:id="99"/>
      <w:r>
        <w:rPr>
          <w:rFonts w:hint="eastAsia"/>
          <w:sz w:val="21"/>
          <w:szCs w:val="21"/>
        </w:rPr>
        <w:t>序后，将其纳入投资范围以丰富组合投资策略。 </w:t>
      </w:r>
      <w:bookmarkStart w:id="100" w:name="field_60_investmentstrategy_1_end"/>
      <w:bookmarkEnd w:id="100"/>
      <w:r>
        <w:rPr>
          <w:rFonts w:hint="eastAsia"/>
          <w:sz w:val="21"/>
          <w:szCs w:val="21"/>
        </w:rPr>
        <w:t xml:space="preserve">  </w:t>
      </w:r>
    </w:p>
    <w:p>
      <w:pPr>
        <w:pStyle w:val="8"/>
        <w:spacing w:before="0" w:beforeAutospacing="0" w:after="0" w:afterAutospacing="0" w:line="360" w:lineRule="auto"/>
        <w:ind w:firstLine="420"/>
        <w:rPr>
          <w:sz w:val="21"/>
          <w:szCs w:val="21"/>
        </w:rPr>
      </w:pPr>
      <w:bookmarkStart w:id="101" w:name="chapter_level1_13_60_section_2"/>
      <w:bookmarkEnd w:id="101"/>
      <w:r>
        <w:rPr>
          <w:rStyle w:val="13"/>
          <w:rFonts w:hint="eastAsia"/>
          <w:sz w:val="21"/>
          <w:szCs w:val="21"/>
        </w:rPr>
        <w:t>四、投资限制</w:t>
      </w:r>
    </w:p>
    <w:p>
      <w:pPr>
        <w:pStyle w:val="8"/>
        <w:spacing w:before="0" w:beforeAutospacing="0" w:after="0" w:afterAutospacing="0" w:line="360" w:lineRule="auto"/>
        <w:ind w:firstLine="420"/>
        <w:rPr>
          <w:sz w:val="21"/>
          <w:szCs w:val="21"/>
        </w:rPr>
      </w:pPr>
      <w:r>
        <w:rPr>
          <w:rFonts w:hint="eastAsia"/>
          <w:sz w:val="21"/>
          <w:szCs w:val="21"/>
        </w:rPr>
        <w:t xml:space="preserve">1、组合限制 </w:t>
      </w:r>
    </w:p>
    <w:p>
      <w:pPr>
        <w:pStyle w:val="8"/>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8"/>
        <w:spacing w:before="0" w:beforeAutospacing="0" w:after="0" w:afterAutospacing="0" w:line="360" w:lineRule="auto"/>
        <w:ind w:firstLine="420"/>
        <w:rPr>
          <w:sz w:val="21"/>
          <w:szCs w:val="21"/>
        </w:rPr>
      </w:pPr>
      <w:r>
        <w:rPr>
          <w:rFonts w:hint="eastAsia"/>
          <w:sz w:val="21"/>
          <w:szCs w:val="21"/>
        </w:rPr>
        <w:t xml:space="preserve">（1）封闭运作期内，本基金投资股票（含存托凭证）资产占基金资产的比例为0%—100%，其中，投资于本基金界定的科创主题相关证券的比例不低于非现金基金资产的80%，港股通标的股票的投资比例为股票资产的0%-50%；  </w:t>
      </w:r>
    </w:p>
    <w:p>
      <w:pPr>
        <w:pStyle w:val="8"/>
        <w:spacing w:before="0" w:beforeAutospacing="0" w:after="0" w:afterAutospacing="0" w:line="360" w:lineRule="auto"/>
        <w:ind w:firstLine="420"/>
        <w:rPr>
          <w:sz w:val="21"/>
          <w:szCs w:val="21"/>
        </w:rPr>
      </w:pPr>
      <w:r>
        <w:rPr>
          <w:rFonts w:hint="eastAsia"/>
          <w:sz w:val="21"/>
          <w:szCs w:val="21"/>
        </w:rPr>
        <w:t xml:space="preserve">（2）本基金持有一家公司发行的证券（含存托凭证），其市值（若同时持有一家公司发行的A股和H股，则为A股与H股合计市值）不超过基金资产净值的10％；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（3）本基金管理人管理的全部基金持有一家公司发行的证券（含存托凭证），不超过该证券（若同时持有一家公司发行的A股和H股，则为A股与H股合计市值）的10％； </w:t>
      </w:r>
    </w:p>
    <w:p>
      <w:pPr>
        <w:pStyle w:val="8"/>
        <w:spacing w:before="0" w:beforeAutospacing="0" w:after="0" w:afterAutospacing="0" w:line="360" w:lineRule="auto"/>
        <w:ind w:firstLine="420"/>
        <w:rPr>
          <w:sz w:val="21"/>
          <w:szCs w:val="21"/>
        </w:rPr>
      </w:pPr>
      <w:r>
        <w:rPr>
          <w:rFonts w:hint="eastAsia"/>
          <w:sz w:val="21"/>
          <w:szCs w:val="21"/>
        </w:rPr>
        <w:t xml:space="preserve">（4）基金财产参与股票发行申购，本基金所申报的金额不超过本基金的总资产，本基金所申报的股票数量不超过拟发行股票公司本次发行股票的总量； </w:t>
      </w:r>
    </w:p>
    <w:p>
      <w:pPr>
        <w:pStyle w:val="8"/>
        <w:spacing w:before="0" w:beforeAutospacing="0" w:after="0" w:afterAutospacing="0" w:line="360" w:lineRule="auto"/>
        <w:ind w:firstLine="420"/>
        <w:rPr>
          <w:sz w:val="21"/>
          <w:szCs w:val="21"/>
        </w:rPr>
      </w:pPr>
      <w:r>
        <w:rPr>
          <w:rFonts w:hint="eastAsia"/>
          <w:sz w:val="21"/>
          <w:szCs w:val="21"/>
        </w:rPr>
        <w:t xml:space="preserve">（5）本基金进入全国银行间同业市场进行债券回购的资金余额不得超过基金资产净值的40%，债券回购最长期限为1年，债券回购到期后不得展期； </w:t>
      </w:r>
    </w:p>
    <w:p>
      <w:pPr>
        <w:pStyle w:val="8"/>
        <w:spacing w:before="0" w:beforeAutospacing="0" w:after="0" w:afterAutospacing="0" w:line="360" w:lineRule="auto"/>
        <w:ind w:firstLine="420"/>
        <w:rPr>
          <w:sz w:val="21"/>
          <w:szCs w:val="21"/>
        </w:rPr>
      </w:pPr>
      <w:r>
        <w:rPr>
          <w:rFonts w:hint="eastAsia"/>
          <w:sz w:val="21"/>
          <w:szCs w:val="21"/>
        </w:rPr>
        <w:t xml:space="preserve">（6）本基金在封闭运作期内总资产不得超过基金净资产的200%； </w:t>
      </w:r>
    </w:p>
    <w:p>
      <w:pPr>
        <w:pStyle w:val="8"/>
        <w:spacing w:before="0" w:beforeAutospacing="0" w:after="0" w:afterAutospacing="0" w:line="360" w:lineRule="auto"/>
        <w:ind w:firstLine="420"/>
        <w:rPr>
          <w:sz w:val="21"/>
          <w:szCs w:val="21"/>
        </w:rPr>
      </w:pPr>
      <w:r>
        <w:rPr>
          <w:rFonts w:hint="eastAsia"/>
          <w:sz w:val="21"/>
          <w:szCs w:val="21"/>
        </w:rPr>
        <w:t xml:space="preserve">（7）本基金参与股指期货、国债期货投资的，应遵循下列限制： </w:t>
      </w:r>
    </w:p>
    <w:p>
      <w:pPr>
        <w:pStyle w:val="8"/>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2）在任何交易日日终，本基金持有的买入股指期货和国债期货合约价值和有价证券市值之和，不得超过基金资产净值的100%；其中，有价证券指股票、债券（不含到期日在一年以内的政府债券）、资产支持证券、买入返售金融资产（不含质押式回购）等； </w:t>
      </w:r>
    </w:p>
    <w:p>
      <w:pPr>
        <w:pStyle w:val="8"/>
        <w:spacing w:before="0" w:beforeAutospacing="0" w:after="0" w:afterAutospacing="0" w:line="360" w:lineRule="auto"/>
        <w:ind w:firstLine="420"/>
        <w:rPr>
          <w:sz w:val="21"/>
          <w:szCs w:val="21"/>
        </w:rPr>
      </w:pPr>
      <w:r>
        <w:rPr>
          <w:rFonts w:hint="eastAsia"/>
          <w:sz w:val="21"/>
          <w:szCs w:val="21"/>
        </w:rPr>
        <w:t xml:space="preserve">3）本基金在任何交易日日终，持有的卖出股指期货合约价值不得超过基金持有的股票总市值的20%； </w:t>
      </w:r>
    </w:p>
    <w:p>
      <w:pPr>
        <w:pStyle w:val="8"/>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8"/>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8"/>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pPr>
        <w:pStyle w:val="8"/>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pPr>
        <w:pStyle w:val="8"/>
        <w:spacing w:before="0" w:beforeAutospacing="0" w:after="0" w:afterAutospacing="0" w:line="360" w:lineRule="auto"/>
        <w:ind w:firstLine="420"/>
        <w:rPr>
          <w:sz w:val="21"/>
          <w:szCs w:val="21"/>
        </w:rPr>
      </w:pPr>
      <w:r>
        <w:rPr>
          <w:rFonts w:hint="eastAsia"/>
          <w:sz w:val="21"/>
          <w:szCs w:val="21"/>
        </w:rPr>
        <w:t xml:space="preserve">8）本基金在任何交易日内交易（不包括平仓）的国债期货合约的成交金额不得超过上一交易日基金资产净值的30%； </w:t>
      </w:r>
    </w:p>
    <w:p>
      <w:pPr>
        <w:pStyle w:val="8"/>
        <w:spacing w:before="0" w:beforeAutospacing="0" w:after="0" w:afterAutospacing="0" w:line="360" w:lineRule="auto"/>
        <w:ind w:firstLine="420"/>
        <w:rPr>
          <w:sz w:val="21"/>
          <w:szCs w:val="21"/>
        </w:rPr>
      </w:pPr>
      <w:r>
        <w:rPr>
          <w:rFonts w:hint="eastAsia"/>
          <w:sz w:val="21"/>
          <w:szCs w:val="21"/>
        </w:rPr>
        <w:t xml:space="preserve">9）本基金所持有的债券（不含到期日在一年以内的政府债券）市值和买入、卖出国债期货合约价值，合计（轧差计算）应当符合基金合同关于债券投资比例的有关约定； </w:t>
      </w:r>
    </w:p>
    <w:p>
      <w:pPr>
        <w:pStyle w:val="8"/>
        <w:spacing w:before="0" w:beforeAutospacing="0" w:after="0" w:afterAutospacing="0" w:line="360" w:lineRule="auto"/>
        <w:ind w:firstLine="420"/>
        <w:rPr>
          <w:sz w:val="21"/>
          <w:szCs w:val="21"/>
        </w:rPr>
      </w:pPr>
      <w:r>
        <w:rPr>
          <w:rFonts w:hint="eastAsia"/>
          <w:sz w:val="21"/>
          <w:szCs w:val="21"/>
        </w:rPr>
        <w:t xml:space="preserve">（8）每个交易日日终在扣除股指期货、国债期货合约需缴纳的交易保证金后，应当保持不低于交易保证金一倍的现金。其中，现金不包括结算备付金、存出保证金、应收申购款等； </w:t>
      </w:r>
    </w:p>
    <w:p>
      <w:pPr>
        <w:pStyle w:val="8"/>
        <w:spacing w:before="0" w:beforeAutospacing="0" w:after="0" w:afterAutospacing="0" w:line="360" w:lineRule="auto"/>
        <w:ind w:firstLine="420"/>
        <w:rPr>
          <w:sz w:val="21"/>
          <w:szCs w:val="21"/>
        </w:rPr>
      </w:pPr>
      <w:r>
        <w:rPr>
          <w:rFonts w:hint="eastAsia"/>
          <w:sz w:val="21"/>
          <w:szCs w:val="21"/>
        </w:rPr>
        <w:t xml:space="preserve">（9）基金参与融资业务后，在任何交易日日终，持有的融资买入股票与其他有价证券市值之和，不得超过基金资产净值的95%； </w:t>
      </w:r>
    </w:p>
    <w:p>
      <w:pPr>
        <w:pStyle w:val="8"/>
        <w:spacing w:before="0" w:beforeAutospacing="0" w:after="0" w:afterAutospacing="0" w:line="360" w:lineRule="auto"/>
        <w:ind w:firstLine="420"/>
        <w:rPr>
          <w:sz w:val="21"/>
          <w:szCs w:val="21"/>
        </w:rPr>
      </w:pPr>
      <w:r>
        <w:rPr>
          <w:rFonts w:hint="eastAsia"/>
          <w:sz w:val="21"/>
          <w:szCs w:val="21"/>
        </w:rPr>
        <w:t xml:space="preserve">（10）法律法规及中国证监会规定的和《基金合同》约定的其他投资限制。 </w:t>
      </w:r>
    </w:p>
    <w:p>
      <w:pPr>
        <w:pStyle w:val="8"/>
        <w:spacing w:before="0" w:beforeAutospacing="0" w:after="0" w:afterAutospacing="0" w:line="360" w:lineRule="auto"/>
        <w:ind w:firstLine="420"/>
        <w:rPr>
          <w:sz w:val="21"/>
          <w:szCs w:val="21"/>
        </w:rPr>
      </w:pPr>
      <w:r>
        <w:rPr>
          <w:rFonts w:hint="eastAsia"/>
          <w:sz w:val="21"/>
          <w:szCs w:val="21"/>
        </w:rPr>
        <w:t xml:space="preserve">除上述第（8）条情形之外，因证券、期货市场波动、证券发行人合并或基金规模变动等基金管理人之外的因素致使基金投资比例不符合上述规定投资比例的，基金管理人应当在10个交易日内进行调整，但中国证监会规定的特殊情形除外。 </w:t>
      </w:r>
    </w:p>
    <w:p>
      <w:pPr>
        <w:pStyle w:val="8"/>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8"/>
        <w:spacing w:before="0" w:beforeAutospacing="0" w:after="0" w:afterAutospacing="0" w:line="360" w:lineRule="auto"/>
        <w:ind w:firstLine="420"/>
        <w:rPr>
          <w:sz w:val="21"/>
          <w:szCs w:val="21"/>
        </w:rPr>
      </w:pPr>
      <w:r>
        <w:rPr>
          <w:rFonts w:hint="eastAsia"/>
          <w:sz w:val="21"/>
          <w:szCs w:val="21"/>
        </w:rPr>
        <w:t xml:space="preserve">如果法律法规或监管部门对上述投资组合比例限制进行变更的，以变更后的规定为准。法律法规或监管部门取消上述限制，如适用于本基金，基金管理人在履行适当程序后，则本基金投资不再受相关限制。 </w:t>
      </w:r>
    </w:p>
    <w:p>
      <w:pPr>
        <w:pStyle w:val="8"/>
        <w:spacing w:before="0" w:beforeAutospacing="0" w:after="0" w:afterAutospacing="0" w:line="360" w:lineRule="auto"/>
        <w:ind w:firstLine="420"/>
        <w:rPr>
          <w:sz w:val="21"/>
          <w:szCs w:val="21"/>
        </w:rPr>
      </w:pPr>
      <w:r>
        <w:rPr>
          <w:rFonts w:hint="eastAsia"/>
          <w:sz w:val="21"/>
          <w:szCs w:val="21"/>
        </w:rPr>
        <w:t xml:space="preserve">2、禁止行为 </w:t>
      </w:r>
    </w:p>
    <w:p>
      <w:pPr>
        <w:pStyle w:val="8"/>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8"/>
        <w:spacing w:before="0" w:beforeAutospacing="0" w:after="0" w:afterAutospacing="0" w:line="360" w:lineRule="auto"/>
        <w:ind w:firstLine="420"/>
        <w:rPr>
          <w:sz w:val="21"/>
          <w:szCs w:val="21"/>
        </w:rPr>
      </w:pPr>
      <w:r>
        <w:rPr>
          <w:rFonts w:hint="eastAsia"/>
          <w:sz w:val="21"/>
          <w:szCs w:val="21"/>
        </w:rPr>
        <w:t xml:space="preserve">（1）承销证券； </w:t>
      </w:r>
    </w:p>
    <w:p>
      <w:pPr>
        <w:pStyle w:val="8"/>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8"/>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8"/>
        <w:spacing w:before="0" w:beforeAutospacing="0" w:after="0" w:afterAutospacing="0" w:line="360" w:lineRule="auto"/>
        <w:ind w:firstLine="420"/>
        <w:rPr>
          <w:sz w:val="21"/>
          <w:szCs w:val="21"/>
        </w:rPr>
      </w:pPr>
      <w:r>
        <w:rPr>
          <w:rFonts w:hint="eastAsia"/>
          <w:sz w:val="21"/>
          <w:szCs w:val="21"/>
        </w:rPr>
        <w:t xml:space="preserve">（4）买卖其他基金份额，但法律法规或中国证监会另有规定的除外； </w:t>
      </w:r>
    </w:p>
    <w:p>
      <w:pPr>
        <w:pStyle w:val="8"/>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8"/>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8"/>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8"/>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8"/>
        <w:spacing w:before="0" w:beforeAutospacing="0" w:after="0" w:afterAutospacing="0" w:line="360" w:lineRule="auto"/>
        <w:ind w:firstLine="420"/>
        <w:rPr>
          <w:sz w:val="21"/>
          <w:szCs w:val="21"/>
        </w:rPr>
      </w:pPr>
      <w:r>
        <w:rPr>
          <w:rFonts w:hint="eastAsia"/>
          <w:sz w:val="21"/>
          <w:szCs w:val="21"/>
        </w:rPr>
        <w:t xml:space="preserve">如法律、行政法规或监管部门取消或变更上述限制，如适用于本基金，则本基金投资不再受相关限制或按变更后的规定执行。 </w:t>
      </w:r>
    </w:p>
    <w:p>
      <w:pPr>
        <w:pStyle w:val="8"/>
        <w:spacing w:before="0" w:beforeAutospacing="0" w:after="0" w:afterAutospacing="0" w:line="360" w:lineRule="auto"/>
        <w:ind w:firstLine="420"/>
        <w:rPr>
          <w:sz w:val="21"/>
          <w:szCs w:val="21"/>
        </w:rPr>
      </w:pPr>
      <w:bookmarkStart w:id="102" w:name="chapter_level1_13_60_section_2_end"/>
      <w:bookmarkEnd w:id="102"/>
      <w:r>
        <w:rPr>
          <w:rStyle w:val="13"/>
          <w:rFonts w:hint="eastAsia"/>
          <w:sz w:val="21"/>
          <w:szCs w:val="21"/>
        </w:rPr>
        <w:t>五、业绩比较基准</w:t>
      </w:r>
    </w:p>
    <w:p>
      <w:pPr>
        <w:pStyle w:val="8"/>
        <w:spacing w:before="0" w:beforeAutospacing="0" w:after="0" w:afterAutospacing="0" w:line="360" w:lineRule="auto"/>
        <w:ind w:firstLine="420"/>
        <w:rPr>
          <w:sz w:val="21"/>
          <w:szCs w:val="21"/>
        </w:rPr>
      </w:pPr>
      <w:bookmarkStart w:id="103" w:name="chapter_level1_13_60_section_3"/>
      <w:bookmarkEnd w:id="103"/>
      <w:r>
        <w:rPr>
          <w:rFonts w:hint="eastAsia"/>
          <w:sz w:val="21"/>
          <w:szCs w:val="21"/>
        </w:rPr>
        <w:t>本基金的业绩比较基准为：</w:t>
      </w:r>
      <w:bookmarkStart w:id="104" w:name="field_60_benchmark_1_start"/>
      <w:bookmarkEnd w:id="104"/>
      <w:r>
        <w:rPr>
          <w:rFonts w:hint="eastAsia"/>
          <w:sz w:val="21"/>
          <w:szCs w:val="21"/>
        </w:rPr>
        <w:t>中国战略新兴产业成份指数收益率×50%＋中证港股通综合指数（人民币）×20%＋中债综合财富（总值）指数收益率×30%。 </w:t>
      </w:r>
      <w:bookmarkStart w:id="105" w:name="field_60_benchmark_1_end"/>
      <w:bookmarkEnd w:id="105"/>
      <w:r>
        <w:rPr>
          <w:rFonts w:hint="eastAsia"/>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 xml:space="preserve">中国战略新兴产业成份指数选取节能环保产业、新一代信息技术产业、生物产业、高端装备制造产业、新能源产业、新材料产业、新能源汽车产业、数字创意产业、高技术服务业等领域具有代表性的100家上市公司，采用自由流通股本加权方式，以反映中国战略新兴产业上市公司的整体走势。科创主题上市企业所属领域集中于电子信息半导体、计算机通信、节能环保、先进制造装备、医药生物等主要行业。中国战略新兴产业成份指数的行业分布与科创主题拟上市公司结构最为接近，上述五大行业在中国战略新兴产业成份指数中的权重占比超过50%。因此选取中国战略新兴产业成份指数作为科创主题上市公司指数基准具备合理性。中证港股通综合指数（人民币）可以较好地代表港股市场业绩表现，适合作为本基金港股股票组合的业绩比较基准。中债综合财富（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 </w:t>
      </w:r>
    </w:p>
    <w:p>
      <w:pPr>
        <w:pStyle w:val="8"/>
        <w:spacing w:before="0" w:beforeAutospacing="0" w:after="0" w:afterAutospacing="0" w:line="360" w:lineRule="auto"/>
        <w:ind w:firstLine="420"/>
        <w:rPr>
          <w:sz w:val="21"/>
          <w:szCs w:val="21"/>
        </w:rPr>
      </w:pPr>
      <w:r>
        <w:rPr>
          <w:rFonts w:hint="eastAsia"/>
          <w:sz w:val="21"/>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w:t>
      </w:r>
      <w:bookmarkStart w:id="106" w:name="chapter_level1_13_60_section_3_end"/>
      <w:bookmarkEnd w:id="106"/>
      <w:r>
        <w:rPr>
          <w:rFonts w:hint="eastAsia"/>
          <w:sz w:val="21"/>
          <w:szCs w:val="21"/>
        </w:rPr>
        <w:t xml:space="preserve">的或可替代的指数作为业绩比较基准的参照指数，而无需召开基金份额持有人大会。 </w:t>
      </w:r>
    </w:p>
    <w:p>
      <w:pPr>
        <w:pStyle w:val="8"/>
        <w:spacing w:before="0" w:beforeAutospacing="0" w:after="0" w:afterAutospacing="0" w:line="360" w:lineRule="auto"/>
        <w:ind w:firstLine="420"/>
        <w:rPr>
          <w:sz w:val="21"/>
          <w:szCs w:val="21"/>
        </w:rPr>
      </w:pPr>
      <w:bookmarkStart w:id="107" w:name="chapter_level1_13_60_section_4"/>
      <w:bookmarkEnd w:id="107"/>
      <w:r>
        <w:rPr>
          <w:rStyle w:val="13"/>
          <w:rFonts w:hint="eastAsia"/>
          <w:sz w:val="21"/>
          <w:szCs w:val="21"/>
        </w:rPr>
        <w:t>六、风险收益特征</w:t>
      </w:r>
    </w:p>
    <w:p>
      <w:pPr>
        <w:pStyle w:val="8"/>
        <w:spacing w:before="0" w:beforeAutospacing="0" w:after="0" w:afterAutospacing="0" w:line="360" w:lineRule="auto"/>
        <w:ind w:firstLine="420"/>
        <w:rPr>
          <w:sz w:val="21"/>
          <w:szCs w:val="21"/>
        </w:rPr>
      </w:pPr>
      <w:bookmarkStart w:id="108" w:name="field_60_riskyield_1_start"/>
      <w:bookmarkEnd w:id="108"/>
      <w:r>
        <w:rPr>
          <w:rFonts w:hint="eastAsia"/>
          <w:sz w:val="21"/>
          <w:szCs w:val="21"/>
        </w:rPr>
        <w:t>本基金为混合型证券投资基金，其预期风险收益水平高于债券型基金与货币市场型基金，低于股票型基金。本基金以投资科创主题战略配售股票为主要投资策略，由此产生的投资风险与价格波动由投资者自行承担。 </w:t>
      </w:r>
      <w:bookmarkStart w:id="109" w:name="field_60_riskyield_1_end"/>
      <w:bookmarkEnd w:id="109"/>
      <w:r>
        <w:rPr>
          <w:rFonts w:hint="eastAsia"/>
          <w:sz w:val="21"/>
          <w:szCs w:val="21"/>
        </w:rPr>
        <w:t xml:space="preserve">  </w:t>
      </w:r>
    </w:p>
    <w:p>
      <w:pPr>
        <w:pStyle w:val="8"/>
        <w:spacing w:before="0" w:beforeAutospacing="0" w:after="0" w:afterAutospacing="0" w:line="360" w:lineRule="auto"/>
        <w:ind w:firstLine="420"/>
        <w:rPr>
          <w:sz w:val="21"/>
          <w:szCs w:val="21"/>
        </w:rPr>
      </w:pPr>
      <w:r>
        <w:rPr>
          <w:rStyle w:val="13"/>
          <w:rFonts w:hint="eastAsia"/>
          <w:sz w:val="21"/>
          <w:szCs w:val="21"/>
        </w:rPr>
        <w:t>七、封闭运作期届满转为“博时科创主题灵活配置混合型证券投资基金</w:t>
      </w:r>
      <w:r>
        <w:rPr>
          <w:rFonts w:hint="eastAsia"/>
          <w:sz w:val="21"/>
          <w:szCs w:val="21"/>
        </w:rPr>
        <w:t>（LOF）</w:t>
      </w:r>
      <w:r>
        <w:rPr>
          <w:rStyle w:val="13"/>
          <w:rFonts w:hint="eastAsia"/>
          <w:sz w:val="21"/>
          <w:szCs w:val="21"/>
        </w:rPr>
        <w:t>”后的投资目标、范围、策略等</w:t>
      </w:r>
    </w:p>
    <w:p>
      <w:pPr>
        <w:pStyle w:val="8"/>
        <w:spacing w:before="0" w:beforeAutospacing="0" w:after="0" w:afterAutospacing="0" w:line="360" w:lineRule="auto"/>
        <w:ind w:firstLine="420"/>
        <w:rPr>
          <w:sz w:val="21"/>
          <w:szCs w:val="21"/>
        </w:rPr>
      </w:pPr>
      <w:r>
        <w:rPr>
          <w:rFonts w:hint="eastAsia"/>
          <w:sz w:val="21"/>
          <w:szCs w:val="21"/>
        </w:rPr>
        <w:t xml:space="preserve">封闭运作期届满后，本基金的基金名称变更为“博时科创主题灵活配置混合型证券投资基金（LOF）”。 </w:t>
      </w:r>
    </w:p>
    <w:p>
      <w:pPr>
        <w:pStyle w:val="8"/>
        <w:spacing w:before="0" w:beforeAutospacing="0" w:after="0" w:afterAutospacing="0" w:line="360" w:lineRule="auto"/>
        <w:ind w:firstLine="420"/>
        <w:rPr>
          <w:sz w:val="21"/>
          <w:szCs w:val="21"/>
        </w:rPr>
      </w:pPr>
      <w:r>
        <w:rPr>
          <w:rFonts w:hint="eastAsia"/>
          <w:sz w:val="21"/>
          <w:szCs w:val="21"/>
        </w:rPr>
        <w:t xml:space="preserve">（一）投资目标 </w:t>
      </w:r>
    </w:p>
    <w:p>
      <w:pPr>
        <w:pStyle w:val="8"/>
        <w:spacing w:before="0" w:beforeAutospacing="0" w:after="0" w:afterAutospacing="0" w:line="360" w:lineRule="auto"/>
        <w:ind w:firstLine="420"/>
        <w:rPr>
          <w:sz w:val="21"/>
          <w:szCs w:val="21"/>
        </w:rPr>
      </w:pPr>
      <w:r>
        <w:rPr>
          <w:rFonts w:hint="eastAsia"/>
          <w:sz w:val="21"/>
          <w:szCs w:val="21"/>
        </w:rPr>
        <w:t xml:space="preserve">在严格控制风险的前提下，追求超越业绩比较基准的投资回报，力争实现基金资产的长期稳健增值。 </w:t>
      </w:r>
    </w:p>
    <w:p>
      <w:pPr>
        <w:pStyle w:val="8"/>
        <w:spacing w:before="0" w:beforeAutospacing="0" w:after="0" w:afterAutospacing="0" w:line="360" w:lineRule="auto"/>
        <w:ind w:firstLine="420"/>
        <w:rPr>
          <w:sz w:val="21"/>
          <w:szCs w:val="21"/>
        </w:rPr>
      </w:pPr>
      <w:r>
        <w:rPr>
          <w:rFonts w:hint="eastAsia"/>
          <w:sz w:val="21"/>
          <w:szCs w:val="21"/>
        </w:rPr>
        <w:t xml:space="preserve">（二）投资范围 </w:t>
      </w:r>
    </w:p>
    <w:p>
      <w:pPr>
        <w:pStyle w:val="8"/>
        <w:spacing w:before="0" w:beforeAutospacing="0" w:after="0" w:afterAutospacing="0" w:line="360" w:lineRule="auto"/>
        <w:ind w:firstLine="420"/>
        <w:rPr>
          <w:sz w:val="21"/>
          <w:szCs w:val="21"/>
        </w:rPr>
      </w:pPr>
      <w:r>
        <w:rPr>
          <w:rFonts w:hint="eastAsia"/>
          <w:sz w:val="21"/>
          <w:szCs w:val="21"/>
        </w:rPr>
        <w:t xml:space="preserve">本基金投资于国内依法发行上市的股票（包括中小板、创业板、科创板及其他经中国证监会核准上市的股票、存托凭证）、内地与香港股票市场互联互通机制下允许买卖的香港证券市场股票（以下简称“港股通标的股票”）、债券（国债、金融债、企业债、公司债、央行票据、中期票据、短期融资券、超短期融资券、可转换债券（含可分离交易可转换债券）、可交换债、次级债等）、货币市场工具、同业存单、资产支持证券、债券回购、银行存款、股指期货、国债期货、现金以及法律法规或中国证监会允许基金投资的其他金融工具(但须符合中国证监会的相关规定)。 </w:t>
      </w:r>
    </w:p>
    <w:p>
      <w:pPr>
        <w:pStyle w:val="8"/>
        <w:spacing w:before="0" w:beforeAutospacing="0" w:after="0" w:afterAutospacing="0" w:line="360" w:lineRule="auto"/>
        <w:ind w:firstLine="420"/>
        <w:rPr>
          <w:sz w:val="21"/>
          <w:szCs w:val="21"/>
        </w:rPr>
      </w:pPr>
      <w:r>
        <w:rPr>
          <w:rFonts w:hint="eastAsia"/>
          <w:sz w:val="21"/>
          <w:szCs w:val="21"/>
        </w:rPr>
        <w:t xml:space="preserve">本基金的投资组合比例为：股票（含存托凭证）投资比例为基金资产的0％-95％；投资于科创主题相关证券的比例不低于非现金基金资产的80%；港股通标的股票的投资比例为股票资产的0%-50%；每个交易日日终，在扣除国债期货和股指期货合约需缴纳的交易保证金后，应当保持不低于基金资产净值5%的现金或到期日在一年以内的政府债券，其中现金不包括结算备付金、存出保证金、应收申购款等。 </w:t>
      </w:r>
    </w:p>
    <w:p>
      <w:pPr>
        <w:pStyle w:val="8"/>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p>
    <w:p>
      <w:pPr>
        <w:pStyle w:val="8"/>
        <w:spacing w:before="0" w:beforeAutospacing="0" w:after="0" w:afterAutospacing="0" w:line="360" w:lineRule="auto"/>
        <w:ind w:firstLine="420"/>
        <w:rPr>
          <w:sz w:val="21"/>
          <w:szCs w:val="21"/>
        </w:rPr>
      </w:pPr>
    </w:p>
    <w:p>
      <w:pPr>
        <w:pStyle w:val="8"/>
        <w:spacing w:before="0" w:beforeAutospacing="0" w:after="0" w:afterAutospacing="0" w:line="360" w:lineRule="auto"/>
        <w:ind w:firstLine="420"/>
        <w:rPr>
          <w:sz w:val="21"/>
          <w:szCs w:val="21"/>
        </w:rPr>
      </w:pPr>
      <w:r>
        <w:rPr>
          <w:rFonts w:hint="eastAsia"/>
          <w:sz w:val="21"/>
          <w:szCs w:val="21"/>
        </w:rPr>
        <w:t xml:space="preserve">（三）投资策略 </w:t>
      </w:r>
    </w:p>
    <w:p>
      <w:pPr>
        <w:pStyle w:val="8"/>
        <w:spacing w:before="0" w:beforeAutospacing="0" w:after="0" w:afterAutospacing="0" w:line="360" w:lineRule="auto"/>
        <w:ind w:firstLine="420"/>
        <w:rPr>
          <w:sz w:val="21"/>
          <w:szCs w:val="21"/>
        </w:rPr>
      </w:pPr>
      <w:r>
        <w:rPr>
          <w:rFonts w:hint="eastAsia"/>
          <w:sz w:val="21"/>
          <w:szCs w:val="21"/>
        </w:rPr>
        <w:t xml:space="preserve">本基金立足于投资从事科技创新的先锋或龙头企业发行的股票。本基金的投资策略主要包括：资产配置策略、股票灵活配置策略、股票投资策略、债券投资策略、股指期货投资策略、国债期货投资策略、资产支持证券投资策略、可转债可交债投资策略。 </w:t>
      </w:r>
    </w:p>
    <w:p>
      <w:pPr>
        <w:pStyle w:val="8"/>
        <w:spacing w:before="0" w:beforeAutospacing="0" w:after="0" w:afterAutospacing="0" w:line="360" w:lineRule="auto"/>
        <w:ind w:firstLine="420"/>
        <w:rPr>
          <w:sz w:val="21"/>
          <w:szCs w:val="21"/>
        </w:rPr>
      </w:pPr>
      <w:r>
        <w:rPr>
          <w:rFonts w:hint="eastAsia"/>
          <w:sz w:val="21"/>
          <w:szCs w:val="21"/>
        </w:rPr>
        <w:t xml:space="preserve">1、资产配置策略 </w:t>
      </w:r>
    </w:p>
    <w:p>
      <w:pPr>
        <w:pStyle w:val="8"/>
        <w:spacing w:before="0" w:beforeAutospacing="0" w:after="0" w:afterAutospacing="0" w:line="360" w:lineRule="auto"/>
        <w:ind w:firstLine="420"/>
        <w:rPr>
          <w:sz w:val="21"/>
          <w:szCs w:val="21"/>
        </w:rPr>
      </w:pPr>
      <w:r>
        <w:rPr>
          <w:rFonts w:hint="eastAsia"/>
          <w:sz w:val="21"/>
          <w:szCs w:val="21"/>
        </w:rPr>
        <w:t xml:space="preserve">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 </w:t>
      </w:r>
    </w:p>
    <w:p>
      <w:pPr>
        <w:pStyle w:val="8"/>
        <w:spacing w:before="0" w:beforeAutospacing="0" w:after="0" w:afterAutospacing="0" w:line="360" w:lineRule="auto"/>
        <w:ind w:firstLine="420"/>
        <w:rPr>
          <w:sz w:val="21"/>
          <w:szCs w:val="21"/>
        </w:rPr>
      </w:pPr>
      <w:r>
        <w:rPr>
          <w:rFonts w:hint="eastAsia"/>
          <w:sz w:val="21"/>
          <w:szCs w:val="21"/>
        </w:rPr>
        <w:t xml:space="preserve">2、股票灵活配置策略 </w:t>
      </w:r>
    </w:p>
    <w:p>
      <w:pPr>
        <w:pStyle w:val="8"/>
        <w:spacing w:before="0" w:beforeAutospacing="0" w:after="0" w:afterAutospacing="0" w:line="360" w:lineRule="auto"/>
        <w:ind w:firstLine="420"/>
        <w:rPr>
          <w:sz w:val="21"/>
          <w:szCs w:val="21"/>
        </w:rPr>
      </w:pPr>
      <w:r>
        <w:rPr>
          <w:rFonts w:hint="eastAsia"/>
          <w:sz w:val="21"/>
          <w:szCs w:val="21"/>
        </w:rPr>
        <w:t xml:space="preserve">本基金通过分析国内外宏观经济趋势和评估证券市场投资风险，确定市场当期的系统性风险收益比，对各大类资产的预期风险和预期收益率进行分析评估，并据此制定基金在股票、债券、现金类资产之间的配置比例、调整原则和调整范围。在总体风险预算相对稳定的基础上，持续地进行定期与不定期的资产配置风险评估，适时地做出相应的调整，力求实现基金组合的稳定增值。具体而言，本基金主要采用定性与定量相结合的方法决定股票资产配置比例，通过纵向和横向相对估值法决定市场风格导向，并确定最终科创主题股票资产配置比例。 </w:t>
      </w:r>
    </w:p>
    <w:p>
      <w:pPr>
        <w:pStyle w:val="8"/>
        <w:spacing w:before="0" w:beforeAutospacing="0" w:after="0" w:afterAutospacing="0" w:line="360" w:lineRule="auto"/>
        <w:ind w:firstLine="420"/>
        <w:rPr>
          <w:sz w:val="21"/>
          <w:szCs w:val="21"/>
        </w:rPr>
      </w:pPr>
      <w:r>
        <w:rPr>
          <w:rFonts w:hint="eastAsia"/>
          <w:sz w:val="21"/>
          <w:szCs w:val="21"/>
        </w:rPr>
        <w:t xml:space="preserve">（1）定性分析 </w:t>
      </w:r>
    </w:p>
    <w:p>
      <w:pPr>
        <w:pStyle w:val="8"/>
        <w:spacing w:before="0" w:beforeAutospacing="0" w:after="0" w:afterAutospacing="0" w:line="360" w:lineRule="auto"/>
        <w:ind w:firstLine="420"/>
        <w:rPr>
          <w:sz w:val="21"/>
          <w:szCs w:val="21"/>
        </w:rPr>
      </w:pPr>
      <w:r>
        <w:rPr>
          <w:rFonts w:hint="eastAsia"/>
          <w:sz w:val="21"/>
          <w:szCs w:val="21"/>
        </w:rPr>
        <w:t xml:space="preserve">主要跟踪全球主要经济体OECD综合领先指标、PMI指数、主要国家汇率和利率趋势、国债收益率期限结构和信用利差情况，分析各个国家最新经济周期情况和潜在的地缘政治风险因素，依据沪深300指数市净率（P/B值）历史分位情况，初步确定基金在股票、债券、现金类大类资产配置比例。其次，依据创业板指数市净率（P/B值）历史分位情况，评估科创类股票的相对估值吸引力，确定科创类股票资产配置比例。最后，通过纵向对比科创主题主要上市公司相比其在上市前历次融资时的估值水平，确定科创主题主要上市公司估值走廊，合理判断当期估值吸引力，最终确定科创主题股票资产配置比例。 </w:t>
      </w:r>
    </w:p>
    <w:p>
      <w:pPr>
        <w:pStyle w:val="8"/>
        <w:spacing w:before="0" w:beforeAutospacing="0" w:after="0" w:afterAutospacing="0" w:line="360" w:lineRule="auto"/>
        <w:ind w:firstLine="420"/>
        <w:rPr>
          <w:sz w:val="21"/>
          <w:szCs w:val="21"/>
        </w:rPr>
      </w:pPr>
      <w:r>
        <w:rPr>
          <w:rFonts w:hint="eastAsia"/>
          <w:sz w:val="21"/>
          <w:szCs w:val="21"/>
        </w:rPr>
        <w:t xml:space="preserve">（2）定量分析 </w:t>
      </w:r>
    </w:p>
    <w:p>
      <w:pPr>
        <w:pStyle w:val="8"/>
        <w:spacing w:before="0" w:beforeAutospacing="0" w:after="0" w:afterAutospacing="0" w:line="360" w:lineRule="auto"/>
        <w:ind w:firstLine="420"/>
        <w:rPr>
          <w:sz w:val="21"/>
          <w:szCs w:val="21"/>
        </w:rPr>
      </w:pPr>
      <w:r>
        <w:rPr>
          <w:rFonts w:hint="eastAsia"/>
          <w:sz w:val="21"/>
          <w:szCs w:val="21"/>
        </w:rPr>
        <w:t xml:space="preserve">主要采用两个核心指标进行定量分析，用于指导科创类股票资产的配置比例：沪深300指数市净率历史分位，创业板指数市净率的历史百分位数据。 </w:t>
      </w:r>
    </w:p>
    <w:p>
      <w:pPr>
        <w:pStyle w:val="8"/>
        <w:spacing w:before="0" w:beforeAutospacing="0" w:after="0" w:afterAutospacing="0" w:line="360" w:lineRule="auto"/>
        <w:ind w:firstLine="420"/>
        <w:rPr>
          <w:sz w:val="21"/>
          <w:szCs w:val="21"/>
        </w:rPr>
      </w:pPr>
      <w:r>
        <w:rPr>
          <w:rFonts w:hint="eastAsia"/>
          <w:sz w:val="21"/>
          <w:szCs w:val="21"/>
        </w:rPr>
        <w:t xml:space="preserve">1）  当过去5年以来沪深300指数市净率、创业板指数市净率的区间均值均处于历史的后20%分位时，表明当前A股整体、科创类股票均处于相对低估状态，我们将提升科创类股票资产配置，方式包括一级市场新股申购和二级市场买入，提升股票占基金资产的比例到60%-95%。基金管理人应自上述条件触发之日起的10个交易日内调整完成以满足上述比例限制。 </w:t>
      </w:r>
    </w:p>
    <w:p>
      <w:pPr>
        <w:pStyle w:val="8"/>
        <w:spacing w:before="0" w:beforeAutospacing="0" w:after="0" w:afterAutospacing="0" w:line="360" w:lineRule="auto"/>
        <w:ind w:firstLine="420"/>
        <w:rPr>
          <w:sz w:val="21"/>
          <w:szCs w:val="21"/>
        </w:rPr>
      </w:pPr>
      <w:r>
        <w:rPr>
          <w:rFonts w:hint="eastAsia"/>
          <w:sz w:val="21"/>
          <w:szCs w:val="21"/>
        </w:rPr>
        <w:t xml:space="preserve">2）  当过去5年以来沪深300指数市净率、创业板指数市净率的区间均值均处于历史的前20%分位时，表明当前A股整体、科创类股票均处于相对高估状态，我们将降低科创类股票资产配置，方式包括停止参与一级市场新股申购和二级市场卖出，降低股票占基金资产的比例到0-40%。基金管理人应自上述条件触发之日起的10个交易日内调整完成以满足上述比例限制。 </w:t>
      </w:r>
    </w:p>
    <w:p>
      <w:pPr>
        <w:pStyle w:val="8"/>
        <w:spacing w:before="0" w:beforeAutospacing="0" w:after="0" w:afterAutospacing="0" w:line="360" w:lineRule="auto"/>
        <w:ind w:firstLine="420"/>
        <w:rPr>
          <w:sz w:val="21"/>
          <w:szCs w:val="21"/>
        </w:rPr>
      </w:pPr>
      <w:r>
        <w:rPr>
          <w:rFonts w:hint="eastAsia"/>
          <w:sz w:val="21"/>
          <w:szCs w:val="21"/>
        </w:rPr>
        <w:t xml:space="preserve">3）  除上述两种情况以外，本基金股票资产占基金资产的比例为35%-80%，股票资产配置的重点是行业配置和个股选择，通过新股申购、二级市场交易分享企业价值增长红利。我们将遵循优势企业的选择标准，寻找估值合理、盈利趋势向好的公司进行参与。基金管理人应自上述条件触发之日起的10个交易日内调整完成以满足上述比例限制。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7"/>
        <w:gridCol w:w="329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pPr>
            <w:r>
              <w:rPr>
                <w:rFonts w:hint="eastAsia"/>
              </w:rPr>
              <w:t xml:space="preserve">过去5年以来沪深300指数P/B的区间均值处于 </w:t>
            </w:r>
          </w:p>
        </w:tc>
        <w:tc>
          <w:tcPr>
            <w:tcW w:w="0" w:type="auto"/>
            <w:shd w:val="clear" w:color="auto" w:fill="auto"/>
          </w:tcPr>
          <w:p>
            <w:pPr>
              <w:pStyle w:val="8"/>
            </w:pPr>
            <w:r>
              <w:rPr>
                <w:rFonts w:hint="eastAsia"/>
              </w:rPr>
              <w:t xml:space="preserve">过去5年以来创业板指数P/B的区间均值处于 </w:t>
            </w:r>
          </w:p>
        </w:tc>
        <w:tc>
          <w:tcPr>
            <w:tcW w:w="0" w:type="auto"/>
            <w:shd w:val="clear" w:color="auto" w:fill="auto"/>
          </w:tcPr>
          <w:p>
            <w:pPr>
              <w:pStyle w:val="8"/>
            </w:pPr>
            <w:r>
              <w:rPr>
                <w:rFonts w:hint="eastAsia"/>
              </w:rPr>
              <w:t xml:space="preserve">股票类资产比例(S)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pPr>
            <w:r>
              <w:rPr>
                <w:rFonts w:hint="eastAsia"/>
              </w:rPr>
              <w:t xml:space="preserve">历史的后20%分位 </w:t>
            </w:r>
          </w:p>
        </w:tc>
        <w:tc>
          <w:tcPr>
            <w:tcW w:w="0" w:type="auto"/>
            <w:shd w:val="clear" w:color="auto" w:fill="auto"/>
          </w:tcPr>
          <w:p>
            <w:pPr>
              <w:pStyle w:val="8"/>
            </w:pPr>
            <w:r>
              <w:rPr>
                <w:rFonts w:hint="eastAsia"/>
              </w:rPr>
              <w:t xml:space="preserve">历史的后20%分位 </w:t>
            </w:r>
          </w:p>
        </w:tc>
        <w:tc>
          <w:tcPr>
            <w:tcW w:w="0" w:type="auto"/>
            <w:shd w:val="clear" w:color="auto" w:fill="auto"/>
          </w:tcPr>
          <w:p>
            <w:pPr>
              <w:pStyle w:val="8"/>
            </w:pPr>
            <w:r>
              <w:rPr>
                <w:rFonts w:hint="eastAsia"/>
              </w:rPr>
              <w:t xml:space="preserve">60%~95%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8"/>
            </w:pPr>
            <w:r>
              <w:rPr>
                <w:rFonts w:hint="eastAsia"/>
              </w:rPr>
              <w:t xml:space="preserve">历史的前20%分位 </w:t>
            </w:r>
          </w:p>
        </w:tc>
        <w:tc>
          <w:tcPr>
            <w:tcW w:w="0" w:type="auto"/>
            <w:shd w:val="clear" w:color="auto" w:fill="auto"/>
          </w:tcPr>
          <w:p>
            <w:pPr>
              <w:pStyle w:val="8"/>
            </w:pPr>
            <w:r>
              <w:rPr>
                <w:rFonts w:hint="eastAsia"/>
              </w:rPr>
              <w:t xml:space="preserve">历史的前20%分位 </w:t>
            </w:r>
          </w:p>
        </w:tc>
        <w:tc>
          <w:tcPr>
            <w:tcW w:w="0" w:type="auto"/>
            <w:shd w:val="clear" w:color="auto" w:fill="auto"/>
          </w:tcPr>
          <w:p>
            <w:pPr>
              <w:pStyle w:val="8"/>
            </w:pPr>
            <w:r>
              <w:rPr>
                <w:rFonts w:hint="eastAsia"/>
              </w:rPr>
              <w:t xml:space="preserve">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shd w:val="clear" w:color="auto" w:fill="auto"/>
          </w:tcPr>
          <w:p>
            <w:pPr>
              <w:pStyle w:val="8"/>
            </w:pPr>
            <w:r>
              <w:rPr>
                <w:rFonts w:hint="eastAsia"/>
              </w:rPr>
              <w:t xml:space="preserve">未触发上述条件的其他情形 </w:t>
            </w:r>
          </w:p>
        </w:tc>
        <w:tc>
          <w:tcPr>
            <w:tcW w:w="0" w:type="auto"/>
            <w:shd w:val="clear" w:color="auto" w:fill="auto"/>
          </w:tcPr>
          <w:p>
            <w:pPr>
              <w:pStyle w:val="8"/>
            </w:pPr>
            <w:r>
              <w:rPr>
                <w:rFonts w:hint="eastAsia"/>
              </w:rPr>
              <w:t xml:space="preserve">35%~80% </w:t>
            </w:r>
          </w:p>
        </w:tc>
      </w:tr>
    </w:tbl>
    <w:p>
      <w:pPr>
        <w:pStyle w:val="8"/>
        <w:spacing w:before="0" w:beforeAutospacing="0" w:after="0" w:afterAutospacing="0" w:line="360" w:lineRule="auto"/>
        <w:ind w:firstLine="420"/>
        <w:rPr>
          <w:sz w:val="21"/>
          <w:szCs w:val="21"/>
        </w:rPr>
      </w:pPr>
      <w:r>
        <w:rPr>
          <w:rFonts w:hint="eastAsia"/>
          <w:sz w:val="21"/>
          <w:szCs w:val="21"/>
        </w:rPr>
        <w:t xml:space="preserve">3、股票投资策略 </w:t>
      </w:r>
    </w:p>
    <w:p>
      <w:pPr>
        <w:pStyle w:val="8"/>
        <w:spacing w:before="0" w:beforeAutospacing="0" w:after="0" w:afterAutospacing="0" w:line="360" w:lineRule="auto"/>
        <w:ind w:firstLine="420"/>
        <w:rPr>
          <w:sz w:val="21"/>
          <w:szCs w:val="21"/>
        </w:rPr>
      </w:pPr>
      <w:r>
        <w:rPr>
          <w:rFonts w:hint="eastAsia"/>
          <w:sz w:val="21"/>
          <w:szCs w:val="21"/>
        </w:rPr>
        <w:t xml:space="preserve">本基金的股票投资策略主要包括科创主题投资策略、科创板股票投资策略和存托凭证投资策略，具体包括一级市场新股申购和二级市场股票投资。 </w:t>
      </w:r>
    </w:p>
    <w:p>
      <w:pPr>
        <w:pStyle w:val="8"/>
        <w:spacing w:before="0" w:beforeAutospacing="0" w:after="0" w:afterAutospacing="0" w:line="360" w:lineRule="auto"/>
        <w:ind w:firstLine="420"/>
        <w:rPr>
          <w:sz w:val="21"/>
          <w:szCs w:val="21"/>
        </w:rPr>
      </w:pPr>
      <w:r>
        <w:rPr>
          <w:rFonts w:hint="eastAsia"/>
          <w:sz w:val="21"/>
          <w:szCs w:val="21"/>
        </w:rPr>
        <w:t xml:space="preserve">（1）科创主题投资策略 </w:t>
      </w:r>
    </w:p>
    <w:p>
      <w:pPr>
        <w:pStyle w:val="8"/>
        <w:spacing w:before="0" w:beforeAutospacing="0" w:after="0" w:afterAutospacing="0" w:line="360" w:lineRule="auto"/>
        <w:ind w:firstLine="420"/>
        <w:rPr>
          <w:sz w:val="21"/>
          <w:szCs w:val="21"/>
        </w:rPr>
      </w:pPr>
      <w:r>
        <w:rPr>
          <w:rFonts w:hint="eastAsia"/>
          <w:sz w:val="21"/>
          <w:szCs w:val="21"/>
        </w:rPr>
        <w:t xml:space="preserve">本基金采用主题投资策略，通过持续跟踪中国科技创新政策和产业路径，结合科技创新产业分析比较、上市公司战略规划及国际竞争力分析等方法，挖掘属于科技创新范畴的投资主题及相关股票（包括但不限于科创板公司股票），精选具有估值优势的个股，作为重点进行投资。 </w:t>
      </w:r>
    </w:p>
    <w:p>
      <w:pPr>
        <w:pStyle w:val="8"/>
        <w:spacing w:before="0" w:beforeAutospacing="0" w:after="0" w:afterAutospacing="0" w:line="360" w:lineRule="auto"/>
        <w:ind w:firstLine="420"/>
        <w:rPr>
          <w:sz w:val="21"/>
          <w:szCs w:val="21"/>
        </w:rPr>
      </w:pPr>
      <w:r>
        <w:rPr>
          <w:rFonts w:hint="eastAsia"/>
          <w:sz w:val="21"/>
          <w:szCs w:val="21"/>
        </w:rPr>
        <w:t xml:space="preserve">本基金对科创主题企业的界定参见本章上文“三、投资策略”。 </w:t>
      </w:r>
    </w:p>
    <w:p>
      <w:pPr>
        <w:pStyle w:val="8"/>
        <w:spacing w:before="0" w:beforeAutospacing="0" w:after="0" w:afterAutospacing="0" w:line="360" w:lineRule="auto"/>
        <w:ind w:firstLine="420"/>
        <w:rPr>
          <w:sz w:val="21"/>
          <w:szCs w:val="21"/>
        </w:rPr>
      </w:pPr>
      <w:r>
        <w:rPr>
          <w:rFonts w:hint="eastAsia"/>
          <w:sz w:val="21"/>
          <w:szCs w:val="21"/>
        </w:rPr>
        <w:t xml:space="preserve">未来如果基金管理人认为有更适当的科技创新主题划分标准，经履行适当程序后，基金管理人有权对科技创新主题的界定方法进行变更，并在招募说明书更新中公告。 </w:t>
      </w:r>
    </w:p>
    <w:p>
      <w:pPr>
        <w:pStyle w:val="8"/>
        <w:spacing w:before="0" w:beforeAutospacing="0" w:after="0" w:afterAutospacing="0" w:line="360" w:lineRule="auto"/>
        <w:ind w:firstLine="420"/>
        <w:rPr>
          <w:sz w:val="21"/>
          <w:szCs w:val="21"/>
        </w:rPr>
      </w:pPr>
      <w:r>
        <w:rPr>
          <w:rFonts w:hint="eastAsia"/>
          <w:sz w:val="21"/>
          <w:szCs w:val="21"/>
        </w:rPr>
        <w:t xml:space="preserve">（2）科创板股票投资策略 </w:t>
      </w:r>
    </w:p>
    <w:p>
      <w:pPr>
        <w:pStyle w:val="8"/>
        <w:spacing w:before="0" w:beforeAutospacing="0" w:after="0" w:afterAutospacing="0" w:line="360" w:lineRule="auto"/>
        <w:ind w:firstLine="420"/>
        <w:rPr>
          <w:sz w:val="21"/>
          <w:szCs w:val="21"/>
        </w:rPr>
      </w:pPr>
      <w:r>
        <w:rPr>
          <w:rFonts w:hint="eastAsia"/>
          <w:sz w:val="21"/>
          <w:szCs w:val="21"/>
        </w:rPr>
        <w:t xml:space="preserve">本基金依托于基金管理的投资研究平台，跟踪并深入研究海外及国内科技创新行业的技术趋势、行业成长和市场格局，努力寻找并投资于所处市场空间广阔、具备技术产品优势和市场先导优势的科技企业，分享中国科技企业成长红利。科创板股票投资采用定量和定性分析相结合的策略： </w:t>
      </w:r>
    </w:p>
    <w:p>
      <w:pPr>
        <w:pStyle w:val="8"/>
        <w:spacing w:before="0" w:beforeAutospacing="0" w:after="0" w:afterAutospacing="0" w:line="360" w:lineRule="auto"/>
        <w:ind w:firstLine="420"/>
        <w:rPr>
          <w:sz w:val="21"/>
          <w:szCs w:val="21"/>
        </w:rPr>
      </w:pPr>
      <w:r>
        <w:rPr>
          <w:rFonts w:hint="eastAsia"/>
          <w:sz w:val="21"/>
          <w:szCs w:val="21"/>
        </w:rPr>
        <w:t xml:space="preserve">1）定性分析 </w:t>
      </w:r>
    </w:p>
    <w:p>
      <w:pPr>
        <w:pStyle w:val="8"/>
        <w:spacing w:before="0" w:beforeAutospacing="0" w:after="0" w:afterAutospacing="0" w:line="360" w:lineRule="auto"/>
        <w:ind w:firstLine="420"/>
        <w:rPr>
          <w:sz w:val="21"/>
          <w:szCs w:val="21"/>
        </w:rPr>
      </w:pPr>
      <w:r>
        <w:rPr>
          <w:rFonts w:hint="eastAsia"/>
          <w:sz w:val="21"/>
          <w:szCs w:val="21"/>
        </w:rPr>
        <w:t xml:space="preserve">本基金采用定性分析的主要目的是，识别出全部或部分具备以下特征的科创板上市公司： </w:t>
      </w:r>
    </w:p>
    <w:p>
      <w:pPr>
        <w:pStyle w:val="8"/>
        <w:spacing w:before="0" w:beforeAutospacing="0" w:after="0" w:afterAutospacing="0" w:line="360" w:lineRule="auto"/>
        <w:ind w:firstLine="420"/>
        <w:rPr>
          <w:sz w:val="21"/>
          <w:szCs w:val="21"/>
        </w:rPr>
      </w:pPr>
      <w:r>
        <w:rPr>
          <w:rFonts w:hint="eastAsia"/>
          <w:sz w:val="21"/>
          <w:szCs w:val="21"/>
        </w:rPr>
        <w:t xml:space="preserve">A.上市公司所处行业为国家产业政策鼓励，或者是限制国内相关产业发展、亟需补齐短板的紧缺产业； </w:t>
      </w:r>
    </w:p>
    <w:p>
      <w:pPr>
        <w:pStyle w:val="8"/>
        <w:spacing w:before="0" w:beforeAutospacing="0" w:after="0" w:afterAutospacing="0" w:line="360" w:lineRule="auto"/>
        <w:ind w:firstLine="420"/>
        <w:rPr>
          <w:sz w:val="21"/>
          <w:szCs w:val="21"/>
        </w:rPr>
      </w:pPr>
      <w:r>
        <w:rPr>
          <w:rFonts w:hint="eastAsia"/>
          <w:sz w:val="21"/>
          <w:szCs w:val="21"/>
        </w:rPr>
        <w:t xml:space="preserve">B.上市公司在行业中掌握核心技术优势，具有自主知识产权，具备一定竞争壁垒的核心竞争力； </w:t>
      </w:r>
    </w:p>
    <w:p>
      <w:pPr>
        <w:pStyle w:val="8"/>
        <w:spacing w:before="0" w:beforeAutospacing="0" w:after="0" w:afterAutospacing="0" w:line="360" w:lineRule="auto"/>
        <w:ind w:firstLine="420"/>
        <w:rPr>
          <w:sz w:val="21"/>
          <w:szCs w:val="21"/>
        </w:rPr>
      </w:pPr>
      <w:r>
        <w:rPr>
          <w:rFonts w:hint="eastAsia"/>
          <w:sz w:val="21"/>
          <w:szCs w:val="21"/>
        </w:rPr>
        <w:t xml:space="preserve">C.上市公司持续保持高强度的技术研发投入，并具备将研发成果转化为实用产品的能力 </w:t>
      </w:r>
    </w:p>
    <w:p>
      <w:pPr>
        <w:pStyle w:val="8"/>
        <w:spacing w:before="0" w:beforeAutospacing="0" w:after="0" w:afterAutospacing="0" w:line="360" w:lineRule="auto"/>
        <w:ind w:firstLine="420"/>
        <w:rPr>
          <w:sz w:val="21"/>
          <w:szCs w:val="21"/>
        </w:rPr>
      </w:pPr>
      <w:r>
        <w:rPr>
          <w:rFonts w:hint="eastAsia"/>
          <w:sz w:val="21"/>
          <w:szCs w:val="21"/>
        </w:rPr>
        <w:t xml:space="preserve">D.上市公司具有良好的公司治理结构和社会责任历史，从公司控制人、管理层和中层技术人员均有完善的激励机制，企业信息披露公开透明； </w:t>
      </w:r>
    </w:p>
    <w:p>
      <w:pPr>
        <w:pStyle w:val="8"/>
        <w:spacing w:before="0" w:beforeAutospacing="0" w:after="0" w:afterAutospacing="0" w:line="360" w:lineRule="auto"/>
        <w:ind w:firstLine="420"/>
        <w:rPr>
          <w:sz w:val="21"/>
          <w:szCs w:val="21"/>
        </w:rPr>
      </w:pPr>
      <w:r>
        <w:rPr>
          <w:rFonts w:hint="eastAsia"/>
          <w:sz w:val="21"/>
          <w:szCs w:val="21"/>
        </w:rPr>
        <w:t xml:space="preserve">2）定量分析 </w:t>
      </w:r>
    </w:p>
    <w:p>
      <w:pPr>
        <w:pStyle w:val="8"/>
        <w:spacing w:before="0" w:beforeAutospacing="0" w:after="0" w:afterAutospacing="0" w:line="360" w:lineRule="auto"/>
        <w:ind w:firstLine="420"/>
        <w:rPr>
          <w:sz w:val="21"/>
          <w:szCs w:val="21"/>
        </w:rPr>
      </w:pPr>
      <w:r>
        <w:rPr>
          <w:rFonts w:hint="eastAsia"/>
          <w:sz w:val="21"/>
          <w:szCs w:val="21"/>
        </w:rPr>
        <w:t xml:space="preserve">由于科创板上市公司的特殊性，本基金将公司分为两类，并采用相应的定量分析方法，以识别具备潜在盈利弹性或持续成长能力的个股进行投资。 </w:t>
      </w:r>
    </w:p>
    <w:p>
      <w:pPr>
        <w:pStyle w:val="8"/>
        <w:spacing w:before="0" w:beforeAutospacing="0" w:after="0" w:afterAutospacing="0" w:line="360" w:lineRule="auto"/>
        <w:ind w:firstLine="420"/>
        <w:rPr>
          <w:sz w:val="21"/>
          <w:szCs w:val="21"/>
        </w:rPr>
      </w:pPr>
      <w:r>
        <w:rPr>
          <w:rFonts w:hint="eastAsia"/>
          <w:sz w:val="21"/>
          <w:szCs w:val="21"/>
        </w:rPr>
        <w:t xml:space="preserve">A.初期成长阶段：上市公司具备核心技术优势和产品转化能力，但由于处于行业成长初期，企业利润尚未体现。对这类公司，我们需要选取如下指标进行定量分析，识别相应投资价值。 </w:t>
      </w:r>
    </w:p>
    <w:p>
      <w:pPr>
        <w:pStyle w:val="8"/>
        <w:spacing w:before="0" w:beforeAutospacing="0" w:after="0" w:afterAutospacing="0" w:line="360" w:lineRule="auto"/>
        <w:ind w:firstLine="420"/>
        <w:rPr>
          <w:sz w:val="21"/>
          <w:szCs w:val="21"/>
        </w:rPr>
      </w:pPr>
      <w:r>
        <w:rPr>
          <w:rFonts w:hint="eastAsia"/>
          <w:sz w:val="21"/>
          <w:szCs w:val="21"/>
        </w:rPr>
        <w:t xml:space="preserve">成长性指标：行业增速和潜在市场空间，产业潜在空间/公司市值比，收入增长率，息税折旧前利润（EBITDA）增长率，经营性活动现金流入增长率，自由现金流增长率； </w:t>
      </w:r>
    </w:p>
    <w:p>
      <w:pPr>
        <w:pStyle w:val="8"/>
        <w:spacing w:before="0" w:beforeAutospacing="0" w:after="0" w:afterAutospacing="0" w:line="360" w:lineRule="auto"/>
        <w:ind w:firstLine="420"/>
        <w:rPr>
          <w:sz w:val="21"/>
          <w:szCs w:val="21"/>
        </w:rPr>
      </w:pPr>
      <w:r>
        <w:rPr>
          <w:rFonts w:hint="eastAsia"/>
          <w:sz w:val="21"/>
          <w:szCs w:val="21"/>
        </w:rPr>
        <w:t xml:space="preserve">财务指标：毛利率、营业利润率、净资产收益率、投入资本回报率、经营性活动现金净流量、自由现金流净额、研发费用/收入比，息税折旧前利润/收入比， </w:t>
      </w:r>
    </w:p>
    <w:p>
      <w:pPr>
        <w:pStyle w:val="8"/>
        <w:spacing w:before="0" w:beforeAutospacing="0" w:after="0" w:afterAutospacing="0" w:line="360" w:lineRule="auto"/>
        <w:ind w:firstLine="420"/>
        <w:rPr>
          <w:sz w:val="21"/>
          <w:szCs w:val="21"/>
        </w:rPr>
      </w:pPr>
      <w:r>
        <w:rPr>
          <w:rFonts w:hint="eastAsia"/>
          <w:sz w:val="21"/>
          <w:szCs w:val="21"/>
        </w:rPr>
        <w:t xml:space="preserve">估值指标：市销率（P/S），市净率（P/B）、市现率（P/CF）和总市值； </w:t>
      </w:r>
    </w:p>
    <w:p>
      <w:pPr>
        <w:pStyle w:val="8"/>
        <w:spacing w:before="0" w:beforeAutospacing="0" w:after="0" w:afterAutospacing="0" w:line="360" w:lineRule="auto"/>
        <w:ind w:firstLine="420"/>
        <w:rPr>
          <w:sz w:val="21"/>
          <w:szCs w:val="21"/>
        </w:rPr>
      </w:pPr>
      <w:r>
        <w:rPr>
          <w:rFonts w:hint="eastAsia"/>
          <w:sz w:val="21"/>
          <w:szCs w:val="21"/>
        </w:rPr>
        <w:t xml:space="preserve">B.稳定成长阶段：上市公司的产品已经形成稳定销售，行业竞争格局开始趋于稳定，企业利润开始逐步体现。对这类公司，我们需要选取如下指标进行定量分析，判断公司合理价值。 </w:t>
      </w:r>
    </w:p>
    <w:p>
      <w:pPr>
        <w:pStyle w:val="8"/>
        <w:spacing w:before="0" w:beforeAutospacing="0" w:after="0" w:afterAutospacing="0" w:line="360" w:lineRule="auto"/>
        <w:ind w:firstLine="420"/>
        <w:rPr>
          <w:sz w:val="21"/>
          <w:szCs w:val="21"/>
        </w:rPr>
      </w:pPr>
      <w:r>
        <w:rPr>
          <w:rFonts w:hint="eastAsia"/>
          <w:sz w:val="21"/>
          <w:szCs w:val="21"/>
        </w:rPr>
        <w:t xml:space="preserve">成长性指标：营业利润增长率、净利润增长率、收入增长率、经营性活动现金流入增长率； </w:t>
      </w:r>
    </w:p>
    <w:p>
      <w:pPr>
        <w:pStyle w:val="8"/>
        <w:spacing w:before="0" w:beforeAutospacing="0" w:after="0" w:afterAutospacing="0" w:line="360" w:lineRule="auto"/>
        <w:ind w:firstLine="420"/>
        <w:rPr>
          <w:sz w:val="21"/>
          <w:szCs w:val="21"/>
        </w:rPr>
      </w:pPr>
      <w:r>
        <w:rPr>
          <w:rFonts w:hint="eastAsia"/>
          <w:sz w:val="21"/>
          <w:szCs w:val="21"/>
        </w:rPr>
        <w:t xml:space="preserve">财务指标：毛利率、营业利润率、净资产收益率、净利率、经营性活动现金净流入/利润总额等； </w:t>
      </w:r>
    </w:p>
    <w:p>
      <w:pPr>
        <w:pStyle w:val="8"/>
        <w:spacing w:before="0" w:beforeAutospacing="0" w:after="0" w:afterAutospacing="0" w:line="360" w:lineRule="auto"/>
        <w:ind w:firstLine="420"/>
        <w:rPr>
          <w:sz w:val="21"/>
          <w:szCs w:val="21"/>
        </w:rPr>
      </w:pPr>
      <w:r>
        <w:rPr>
          <w:rFonts w:hint="eastAsia"/>
          <w:sz w:val="21"/>
          <w:szCs w:val="21"/>
        </w:rPr>
        <w:t xml:space="preserve">估值指标：市盈率（P/E）、市盈率相对盈利增长比率（PEG）、市净率（P/B）、市销率（PS）和总市值； </w:t>
      </w:r>
    </w:p>
    <w:p>
      <w:pPr>
        <w:pStyle w:val="8"/>
        <w:spacing w:before="0" w:beforeAutospacing="0" w:after="0" w:afterAutospacing="0" w:line="360" w:lineRule="auto"/>
        <w:ind w:firstLine="420"/>
        <w:rPr>
          <w:sz w:val="21"/>
          <w:szCs w:val="21"/>
        </w:rPr>
      </w:pPr>
      <w:r>
        <w:rPr>
          <w:rFonts w:hint="eastAsia"/>
          <w:sz w:val="21"/>
          <w:szCs w:val="21"/>
        </w:rPr>
        <w:t xml:space="preserve">3）组合股票的投资吸引力评估分析 </w:t>
      </w:r>
    </w:p>
    <w:p>
      <w:pPr>
        <w:pStyle w:val="8"/>
        <w:spacing w:before="0" w:beforeAutospacing="0" w:after="0" w:afterAutospacing="0" w:line="360" w:lineRule="auto"/>
        <w:ind w:firstLine="420"/>
        <w:rPr>
          <w:sz w:val="21"/>
          <w:szCs w:val="21"/>
        </w:rPr>
      </w:pPr>
      <w:r>
        <w:rPr>
          <w:rFonts w:hint="eastAsia"/>
          <w:sz w:val="21"/>
          <w:szCs w:val="21"/>
        </w:rPr>
        <w:t xml:space="preserve">本基金紧密对组合中股票进行动态评估，使用相对价值评估方法，形成最终股票组合进行投资。相对估值主要包括两个方面： </w:t>
      </w:r>
    </w:p>
    <w:p>
      <w:pPr>
        <w:pStyle w:val="8"/>
        <w:spacing w:before="0" w:beforeAutospacing="0" w:after="0" w:afterAutospacing="0" w:line="360" w:lineRule="auto"/>
        <w:ind w:firstLine="420"/>
        <w:rPr>
          <w:sz w:val="21"/>
          <w:szCs w:val="21"/>
        </w:rPr>
      </w:pPr>
      <w:r>
        <w:rPr>
          <w:rFonts w:hint="eastAsia"/>
          <w:sz w:val="21"/>
          <w:szCs w:val="21"/>
        </w:rPr>
        <w:t xml:space="preserve">A.纵向对比：采用专业估值模型，合理使用市盈率、市净率和市销率指标，评估并确定科创板公司上市前历次融资中的估值走廊，确定二级市场公司估值中枢。 </w:t>
      </w:r>
    </w:p>
    <w:p>
      <w:pPr>
        <w:pStyle w:val="8"/>
        <w:spacing w:before="0" w:beforeAutospacing="0" w:after="0" w:afterAutospacing="0" w:line="360" w:lineRule="auto"/>
        <w:ind w:firstLine="420"/>
        <w:rPr>
          <w:sz w:val="21"/>
          <w:szCs w:val="21"/>
        </w:rPr>
      </w:pPr>
      <w:r>
        <w:rPr>
          <w:rFonts w:hint="eastAsia"/>
          <w:sz w:val="21"/>
          <w:szCs w:val="21"/>
        </w:rPr>
        <w:t xml:space="preserve">B.横向对比：运用国际化视野，合理使用上述估值指标，评估并比较科创板公司相对沪深市场/海外市场中类似业务公司的估值指标，选择其中价值被低估的公司。 </w:t>
      </w:r>
    </w:p>
    <w:p>
      <w:pPr>
        <w:pStyle w:val="8"/>
        <w:spacing w:before="0" w:beforeAutospacing="0" w:after="0" w:afterAutospacing="0" w:line="360" w:lineRule="auto"/>
        <w:ind w:firstLine="420"/>
        <w:rPr>
          <w:sz w:val="21"/>
          <w:szCs w:val="21"/>
        </w:rPr>
      </w:pPr>
      <w:r>
        <w:rPr>
          <w:rFonts w:hint="eastAsia"/>
          <w:sz w:val="21"/>
          <w:szCs w:val="21"/>
        </w:rPr>
        <w:t xml:space="preserve">本基金采用包括自由现金流贴现模型、股息贴现模型、市盈率法、市净率法、PEG、EV/EBITDA、P/S、产业潜在空间/公司市值比等估值方法，选择最具投资价值的股票构建投资组合。 </w:t>
      </w:r>
    </w:p>
    <w:p>
      <w:pPr>
        <w:pStyle w:val="8"/>
        <w:spacing w:before="0" w:beforeAutospacing="0" w:after="0" w:afterAutospacing="0" w:line="360" w:lineRule="auto"/>
        <w:ind w:firstLine="420"/>
        <w:rPr>
          <w:sz w:val="21"/>
          <w:szCs w:val="21"/>
        </w:rPr>
      </w:pPr>
      <w:r>
        <w:rPr>
          <w:rFonts w:hint="eastAsia"/>
          <w:sz w:val="21"/>
          <w:szCs w:val="21"/>
        </w:rPr>
        <w:t xml:space="preserve">4）投资组合构建与优化 </w:t>
      </w:r>
    </w:p>
    <w:p>
      <w:pPr>
        <w:pStyle w:val="8"/>
        <w:spacing w:before="0" w:beforeAutospacing="0" w:after="0" w:afterAutospacing="0" w:line="360" w:lineRule="auto"/>
        <w:ind w:firstLine="420"/>
        <w:rPr>
          <w:sz w:val="21"/>
          <w:szCs w:val="21"/>
        </w:rPr>
      </w:pPr>
      <w:r>
        <w:rPr>
          <w:rFonts w:hint="eastAsia"/>
          <w:sz w:val="21"/>
          <w:szCs w:val="21"/>
        </w:rPr>
        <w:t xml:space="preserve">分别按照初期成长/稳定成长阶段的标准划分，定期动态评估基金组合中单个证券的预期收益及风险特性，对组合持仓进行动态优化，在合理风险水平下追求基金收益最大化。同时监控组合中证券的估值水平和企业社会责任履行情况，在市场价格明显高于其内在合理价值、或者公司治理/企业社会责任出现重大风险时卖出证券。 </w:t>
      </w:r>
    </w:p>
    <w:p>
      <w:pPr>
        <w:pStyle w:val="8"/>
        <w:spacing w:before="0" w:beforeAutospacing="0" w:after="0" w:afterAutospacing="0" w:line="360" w:lineRule="auto"/>
        <w:ind w:firstLine="420"/>
        <w:rPr>
          <w:sz w:val="21"/>
          <w:szCs w:val="21"/>
        </w:rPr>
      </w:pPr>
      <w:r>
        <w:rPr>
          <w:rFonts w:hint="eastAsia"/>
          <w:sz w:val="21"/>
          <w:szCs w:val="21"/>
        </w:rPr>
        <w:t xml:space="preserve">5）港股通标的股票投资策略 </w:t>
      </w:r>
    </w:p>
    <w:p>
      <w:pPr>
        <w:pStyle w:val="8"/>
        <w:spacing w:before="0" w:beforeAutospacing="0" w:after="0" w:afterAutospacing="0" w:line="360" w:lineRule="auto"/>
        <w:ind w:firstLine="420"/>
        <w:rPr>
          <w:sz w:val="21"/>
          <w:szCs w:val="21"/>
        </w:rPr>
      </w:pPr>
      <w:r>
        <w:rPr>
          <w:rFonts w:hint="eastAsia"/>
          <w:sz w:val="21"/>
          <w:szCs w:val="21"/>
        </w:rPr>
        <w:t xml:space="preserve">本基金基金资产通过港股通投资于港股，将重点关注以下几类港股通股票： </w:t>
      </w:r>
    </w:p>
    <w:p>
      <w:pPr>
        <w:pStyle w:val="8"/>
        <w:spacing w:before="0" w:beforeAutospacing="0" w:after="0" w:afterAutospacing="0" w:line="360" w:lineRule="auto"/>
        <w:ind w:firstLine="420"/>
        <w:rPr>
          <w:sz w:val="21"/>
          <w:szCs w:val="21"/>
        </w:rPr>
      </w:pPr>
      <w:r>
        <w:rPr>
          <w:rFonts w:hint="eastAsia"/>
          <w:sz w:val="21"/>
          <w:szCs w:val="21"/>
        </w:rPr>
        <w:t xml:space="preserve">A.在港股市场上市，行业中居于龙头地位，在技术或产品、市场竞争力强的代表性中资企业； </w:t>
      </w:r>
    </w:p>
    <w:p>
      <w:pPr>
        <w:pStyle w:val="8"/>
        <w:spacing w:before="0" w:beforeAutospacing="0" w:after="0" w:afterAutospacing="0" w:line="360" w:lineRule="auto"/>
        <w:ind w:firstLine="420"/>
        <w:rPr>
          <w:sz w:val="21"/>
          <w:szCs w:val="21"/>
        </w:rPr>
      </w:pPr>
      <w:r>
        <w:rPr>
          <w:rFonts w:hint="eastAsia"/>
          <w:sz w:val="21"/>
          <w:szCs w:val="21"/>
        </w:rPr>
        <w:t xml:space="preserve">B.所处行业为国家鼓励的科技行业、公司掌握核心技术优势、在我国境内有业务布局的香港本地和外资公司； </w:t>
      </w:r>
    </w:p>
    <w:p>
      <w:pPr>
        <w:pStyle w:val="8"/>
        <w:spacing w:before="0" w:beforeAutospacing="0" w:after="0" w:afterAutospacing="0" w:line="360" w:lineRule="auto"/>
        <w:ind w:firstLine="420"/>
        <w:rPr>
          <w:sz w:val="21"/>
          <w:szCs w:val="21"/>
        </w:rPr>
      </w:pPr>
      <w:r>
        <w:rPr>
          <w:rFonts w:hint="eastAsia"/>
          <w:sz w:val="21"/>
          <w:szCs w:val="21"/>
        </w:rPr>
        <w:t xml:space="preserve">C.港股市场在行业竞争结构、估值、AH股折溢价、股息率等方面具有吸引力的投资标的。 </w:t>
      </w:r>
    </w:p>
    <w:p>
      <w:pPr>
        <w:pStyle w:val="8"/>
        <w:spacing w:before="0" w:beforeAutospacing="0" w:after="0" w:afterAutospacing="0" w:line="360" w:lineRule="auto"/>
        <w:ind w:firstLine="420"/>
        <w:rPr>
          <w:sz w:val="21"/>
          <w:szCs w:val="21"/>
        </w:rPr>
      </w:pPr>
      <w:r>
        <w:rPr>
          <w:rFonts w:hint="eastAsia"/>
          <w:sz w:val="21"/>
          <w:szCs w:val="21"/>
        </w:rPr>
        <w:t xml:space="preserve">（3）存托凭证投资策略  </w:t>
      </w:r>
    </w:p>
    <w:p>
      <w:pPr>
        <w:pStyle w:val="8"/>
        <w:spacing w:before="0" w:beforeAutospacing="0" w:after="0" w:afterAutospacing="0" w:line="360" w:lineRule="auto"/>
        <w:ind w:firstLine="420"/>
        <w:rPr>
          <w:sz w:val="21"/>
          <w:szCs w:val="21"/>
        </w:rPr>
      </w:pPr>
      <w:r>
        <w:rPr>
          <w:rFonts w:hint="eastAsia"/>
          <w:sz w:val="21"/>
          <w:szCs w:val="21"/>
        </w:rPr>
        <w:t>本基金将根据本基金的投资目标和股票投资策略，基于对基础证券投资价值的深入研究判断，进行存托凭证的投资。 </w:t>
      </w:r>
    </w:p>
    <w:p>
      <w:pPr>
        <w:pStyle w:val="8"/>
        <w:spacing w:before="0" w:beforeAutospacing="0" w:after="0" w:afterAutospacing="0" w:line="360" w:lineRule="auto"/>
        <w:ind w:firstLine="420"/>
        <w:rPr>
          <w:sz w:val="21"/>
          <w:szCs w:val="21"/>
        </w:rPr>
      </w:pPr>
      <w:r>
        <w:rPr>
          <w:rFonts w:hint="eastAsia"/>
          <w:sz w:val="21"/>
          <w:szCs w:val="21"/>
        </w:rPr>
        <w:t xml:space="preserve">4、债券投资策略 </w:t>
      </w:r>
    </w:p>
    <w:p>
      <w:pPr>
        <w:pStyle w:val="8"/>
        <w:spacing w:before="0" w:beforeAutospacing="0" w:after="0" w:afterAutospacing="0" w:line="360" w:lineRule="auto"/>
        <w:ind w:firstLine="420"/>
        <w:rPr>
          <w:sz w:val="21"/>
          <w:szCs w:val="21"/>
        </w:rPr>
      </w:pPr>
      <w:r>
        <w:rPr>
          <w:rFonts w:hint="eastAsia"/>
          <w:sz w:val="21"/>
          <w:szCs w:val="21"/>
        </w:rPr>
        <w:t xml:space="preserve">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 </w:t>
      </w:r>
    </w:p>
    <w:p>
      <w:pPr>
        <w:pStyle w:val="8"/>
        <w:spacing w:before="0" w:beforeAutospacing="0" w:after="0" w:afterAutospacing="0" w:line="360" w:lineRule="auto"/>
        <w:ind w:firstLine="420"/>
        <w:rPr>
          <w:sz w:val="21"/>
          <w:szCs w:val="21"/>
        </w:rPr>
      </w:pPr>
      <w:r>
        <w:rPr>
          <w:rFonts w:hint="eastAsia"/>
          <w:sz w:val="21"/>
          <w:szCs w:val="21"/>
        </w:rPr>
        <w:t xml:space="preserve">5、股指期货投资策略 </w:t>
      </w:r>
    </w:p>
    <w:p>
      <w:pPr>
        <w:pStyle w:val="8"/>
        <w:spacing w:before="0" w:beforeAutospacing="0" w:after="0" w:afterAutospacing="0" w:line="360" w:lineRule="auto"/>
        <w:ind w:firstLine="420"/>
        <w:rPr>
          <w:sz w:val="21"/>
          <w:szCs w:val="21"/>
        </w:rPr>
      </w:pPr>
      <w:r>
        <w:rPr>
          <w:rFonts w:hint="eastAsia"/>
          <w:sz w:val="21"/>
          <w:szCs w:val="21"/>
        </w:rPr>
        <w:t xml:space="preserve">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 </w:t>
      </w:r>
    </w:p>
    <w:p>
      <w:pPr>
        <w:pStyle w:val="8"/>
        <w:spacing w:before="0" w:beforeAutospacing="0" w:after="0" w:afterAutospacing="0" w:line="360" w:lineRule="auto"/>
        <w:ind w:firstLine="420"/>
        <w:rPr>
          <w:sz w:val="21"/>
          <w:szCs w:val="21"/>
        </w:rPr>
      </w:pPr>
      <w:r>
        <w:rPr>
          <w:rFonts w:hint="eastAsia"/>
          <w:sz w:val="21"/>
          <w:szCs w:val="21"/>
        </w:rPr>
        <w:t xml:space="preserve">6、国债期货投资策略 </w:t>
      </w:r>
    </w:p>
    <w:p>
      <w:pPr>
        <w:pStyle w:val="8"/>
        <w:spacing w:before="0" w:beforeAutospacing="0" w:after="0" w:afterAutospacing="0" w:line="360" w:lineRule="auto"/>
        <w:ind w:firstLine="420"/>
        <w:rPr>
          <w:sz w:val="21"/>
          <w:szCs w:val="21"/>
        </w:rPr>
      </w:pPr>
      <w:r>
        <w:rPr>
          <w:rFonts w:hint="eastAsia"/>
          <w:sz w:val="21"/>
          <w:szCs w:val="21"/>
        </w:rPr>
        <w:t xml:space="preserve">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 </w:t>
      </w:r>
    </w:p>
    <w:p>
      <w:pPr>
        <w:pStyle w:val="8"/>
        <w:spacing w:before="0" w:beforeAutospacing="0" w:after="0" w:afterAutospacing="0" w:line="360" w:lineRule="auto"/>
        <w:ind w:firstLine="420"/>
        <w:rPr>
          <w:sz w:val="21"/>
          <w:szCs w:val="21"/>
        </w:rPr>
      </w:pPr>
      <w:r>
        <w:rPr>
          <w:rFonts w:hint="eastAsia"/>
          <w:sz w:val="21"/>
          <w:szCs w:val="21"/>
        </w:rPr>
        <w:t xml:space="preserve">7、资产支持证券投资策略 </w:t>
      </w:r>
    </w:p>
    <w:p>
      <w:pPr>
        <w:pStyle w:val="8"/>
        <w:spacing w:before="0" w:beforeAutospacing="0" w:after="0" w:afterAutospacing="0" w:line="360" w:lineRule="auto"/>
        <w:ind w:firstLine="420"/>
        <w:rPr>
          <w:sz w:val="21"/>
          <w:szCs w:val="21"/>
        </w:rPr>
      </w:pPr>
      <w:r>
        <w:rPr>
          <w:rFonts w:hint="eastAsia"/>
          <w:sz w:val="21"/>
          <w:szCs w:val="21"/>
        </w:rPr>
        <w:t xml:space="preserve">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 </w:t>
      </w:r>
    </w:p>
    <w:p>
      <w:pPr>
        <w:pStyle w:val="8"/>
        <w:spacing w:before="0" w:beforeAutospacing="0" w:after="0" w:afterAutospacing="0" w:line="360" w:lineRule="auto"/>
        <w:ind w:firstLine="420"/>
        <w:rPr>
          <w:sz w:val="21"/>
          <w:szCs w:val="21"/>
        </w:rPr>
      </w:pPr>
      <w:r>
        <w:rPr>
          <w:rFonts w:hint="eastAsia"/>
          <w:sz w:val="21"/>
          <w:szCs w:val="21"/>
        </w:rPr>
        <w:t xml:space="preserve">8、可转债可交债投资策略 </w:t>
      </w:r>
    </w:p>
    <w:p>
      <w:pPr>
        <w:pStyle w:val="8"/>
        <w:spacing w:before="0" w:beforeAutospacing="0" w:after="0" w:afterAutospacing="0" w:line="360" w:lineRule="auto"/>
        <w:ind w:firstLine="420"/>
        <w:rPr>
          <w:sz w:val="21"/>
          <w:szCs w:val="21"/>
        </w:rPr>
      </w:pPr>
      <w:r>
        <w:rPr>
          <w:rFonts w:hint="eastAsia"/>
          <w:sz w:val="21"/>
          <w:szCs w:val="21"/>
        </w:rPr>
        <w:t xml:space="preserve">本基金利用宏观经济变化和上市公司的盈利变化，判断市场的变化趋势，选择不同的行业，再根据可转债、可交债的特性选择各行业不同的券种。本基金利用可转换债券的债券底价和到期收益率来判断转债的债性，增强本金投资的相对安全性；利用可转换债券溢价率来判断转债的股性，在市场出现投资机会时，优先选择股性强的品种，获取超额收益。 </w:t>
      </w:r>
    </w:p>
    <w:p>
      <w:pPr>
        <w:pStyle w:val="8"/>
        <w:spacing w:before="0" w:beforeAutospacing="0" w:after="0" w:afterAutospacing="0" w:line="360" w:lineRule="auto"/>
        <w:ind w:firstLine="420"/>
        <w:rPr>
          <w:sz w:val="21"/>
          <w:szCs w:val="21"/>
        </w:rPr>
      </w:pPr>
      <w:r>
        <w:rPr>
          <w:rFonts w:hint="eastAsia"/>
          <w:sz w:val="21"/>
          <w:szCs w:val="21"/>
        </w:rPr>
        <w:t xml:space="preserve">9、为了更好地实现投资目标，在综合考虑预期风险、收益、流动性等因素的基础上，本基金可参与融资业务。 </w:t>
      </w:r>
    </w:p>
    <w:p>
      <w:pPr>
        <w:pStyle w:val="8"/>
        <w:spacing w:before="0" w:beforeAutospacing="0" w:after="0" w:afterAutospacing="0" w:line="360" w:lineRule="auto"/>
        <w:ind w:firstLine="420"/>
        <w:rPr>
          <w:sz w:val="21"/>
          <w:szCs w:val="21"/>
        </w:rPr>
      </w:pPr>
      <w:r>
        <w:rPr>
          <w:rFonts w:hint="eastAsia"/>
          <w:sz w:val="21"/>
          <w:szCs w:val="21"/>
        </w:rPr>
        <w:t xml:space="preserve">在条件许可的情况下，基金管理人可根据相关法律法规，参与融券业务和转融通证券出借业务。 </w:t>
      </w:r>
    </w:p>
    <w:p>
      <w:pPr>
        <w:pStyle w:val="8"/>
        <w:spacing w:before="0" w:beforeAutospacing="0" w:after="0" w:afterAutospacing="0" w:line="360" w:lineRule="auto"/>
        <w:ind w:firstLine="420"/>
        <w:rPr>
          <w:sz w:val="21"/>
          <w:szCs w:val="21"/>
        </w:rPr>
      </w:pPr>
      <w:r>
        <w:rPr>
          <w:rFonts w:hint="eastAsia"/>
          <w:sz w:val="21"/>
          <w:szCs w:val="21"/>
        </w:rPr>
        <w:t xml:space="preserve">今后，随着证券市场的发展、金融工具的丰富和交易方式的创新等，基金还将积极寻求其他投资机会，如法律法规或监管机构以后允许基金投资其他品种，本基金将在履行适当程序后，将其纳入投资范围以丰富组合投资策略。 </w:t>
      </w:r>
    </w:p>
    <w:p>
      <w:pPr>
        <w:pStyle w:val="8"/>
        <w:spacing w:before="0" w:beforeAutospacing="0" w:after="0" w:afterAutospacing="0" w:line="360" w:lineRule="auto"/>
        <w:ind w:firstLine="420"/>
        <w:rPr>
          <w:sz w:val="21"/>
          <w:szCs w:val="21"/>
        </w:rPr>
      </w:pPr>
      <w:r>
        <w:rPr>
          <w:rFonts w:hint="eastAsia"/>
          <w:sz w:val="21"/>
          <w:szCs w:val="21"/>
        </w:rPr>
        <w:t xml:space="preserve">（四）投资限制 </w:t>
      </w:r>
    </w:p>
    <w:p>
      <w:pPr>
        <w:pStyle w:val="8"/>
        <w:spacing w:before="0" w:beforeAutospacing="0" w:after="0" w:afterAutospacing="0" w:line="360" w:lineRule="auto"/>
        <w:ind w:firstLine="420"/>
        <w:rPr>
          <w:sz w:val="21"/>
          <w:szCs w:val="21"/>
        </w:rPr>
      </w:pPr>
      <w:r>
        <w:rPr>
          <w:rFonts w:hint="eastAsia"/>
          <w:sz w:val="21"/>
          <w:szCs w:val="21"/>
        </w:rPr>
        <w:t xml:space="preserve">1、组合限制 </w:t>
      </w:r>
    </w:p>
    <w:p>
      <w:pPr>
        <w:pStyle w:val="8"/>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8"/>
        <w:spacing w:before="0" w:beforeAutospacing="0" w:after="0" w:afterAutospacing="0" w:line="360" w:lineRule="auto"/>
        <w:ind w:firstLine="420"/>
        <w:rPr>
          <w:sz w:val="21"/>
          <w:szCs w:val="21"/>
        </w:rPr>
      </w:pPr>
      <w:r>
        <w:rPr>
          <w:rFonts w:hint="eastAsia"/>
          <w:sz w:val="21"/>
          <w:szCs w:val="21"/>
        </w:rPr>
        <w:t xml:space="preserve">（1）本基金股票资产（含存托凭证）投资比例为基金资产的0%—95%，投资于科创主题相关证券的比例不低于非现金基金资产的80%，港股通标的股票的投资比例为股票资产的0%-50%； </w:t>
      </w:r>
    </w:p>
    <w:p>
      <w:pPr>
        <w:pStyle w:val="8"/>
        <w:spacing w:before="0" w:beforeAutospacing="0" w:after="0" w:afterAutospacing="0" w:line="360" w:lineRule="auto"/>
        <w:ind w:firstLine="420"/>
        <w:rPr>
          <w:sz w:val="21"/>
          <w:szCs w:val="21"/>
        </w:rPr>
      </w:pPr>
      <w:r>
        <w:rPr>
          <w:rFonts w:hint="eastAsia"/>
          <w:sz w:val="21"/>
          <w:szCs w:val="21"/>
        </w:rPr>
        <w:t xml:space="preserve">（2）每个交易日日终在扣除国债期货和股指期货合约需缴纳的交易保证金后，本基金保留的现金或到期日在一年以内的政府债券的比例合计不低于基金资产净值的5%，其中，现金不包括结算备付金、存出保证金、应收申购款等； </w:t>
      </w:r>
    </w:p>
    <w:p>
      <w:pPr>
        <w:pStyle w:val="8"/>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（3）本基金持有一家公司发行的证券（含存托凭证），其市值（若同时持有一家公司发行的A股和H股，则为A股与H股合计市值）不超过基金资产净值的10％；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（4）本基金管理人管理的全部基金持有一家公司发行的证券（含存托凭证），不超过该证券（若同时持有一家公司发行的A股和H股，则为A股与H股合计市值）的10％； </w:t>
      </w:r>
    </w:p>
    <w:p>
      <w:pPr>
        <w:pStyle w:val="8"/>
        <w:spacing w:before="0" w:beforeAutospacing="0" w:after="0" w:afterAutospacing="0" w:line="360" w:lineRule="auto"/>
        <w:ind w:firstLine="420"/>
        <w:rPr>
          <w:sz w:val="21"/>
          <w:szCs w:val="21"/>
        </w:rPr>
      </w:pPr>
      <w:r>
        <w:rPr>
          <w:rFonts w:hint="eastAsia"/>
          <w:sz w:val="21"/>
          <w:szCs w:val="21"/>
        </w:rPr>
        <w:t xml:space="preserve">（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8"/>
        <w:spacing w:before="0" w:beforeAutospacing="0" w:after="0" w:afterAutospacing="0" w:line="360" w:lineRule="auto"/>
        <w:ind w:firstLine="420"/>
        <w:rPr>
          <w:sz w:val="21"/>
          <w:szCs w:val="21"/>
        </w:rPr>
      </w:pPr>
      <w:r>
        <w:rPr>
          <w:rFonts w:hint="eastAsia"/>
          <w:sz w:val="21"/>
          <w:szCs w:val="21"/>
        </w:rPr>
        <w:t xml:space="preserve">（6）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pPr>
        <w:pStyle w:val="8"/>
        <w:spacing w:before="0" w:beforeAutospacing="0" w:after="0" w:afterAutospacing="0" w:line="360" w:lineRule="auto"/>
        <w:ind w:firstLine="420"/>
        <w:rPr>
          <w:sz w:val="21"/>
          <w:szCs w:val="21"/>
        </w:rPr>
      </w:pPr>
      <w:r>
        <w:rPr>
          <w:rFonts w:hint="eastAsia"/>
          <w:sz w:val="21"/>
          <w:szCs w:val="21"/>
        </w:rPr>
        <w:t xml:space="preserve">（7）本基金与私募类证券资管产品及中国证监会认定的其他主体为交易对手开展逆回购交易的，可接受质押品的资质要求应当与基金合同约定的投资范围保持一致； </w:t>
      </w:r>
    </w:p>
    <w:p>
      <w:pPr>
        <w:pStyle w:val="8"/>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pPr>
        <w:pStyle w:val="8"/>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8"/>
        <w:spacing w:before="0" w:beforeAutospacing="0" w:after="0" w:afterAutospacing="0" w:line="360" w:lineRule="auto"/>
        <w:ind w:firstLine="420"/>
        <w:rPr>
          <w:sz w:val="21"/>
          <w:szCs w:val="21"/>
        </w:rPr>
      </w:pPr>
      <w:r>
        <w:rPr>
          <w:rFonts w:hint="eastAsia"/>
          <w:sz w:val="21"/>
          <w:szCs w:val="21"/>
        </w:rPr>
        <w:t xml:space="preserve">（11）本基金管理人管理的全部基金投资于同一原始权益人的各类资产支持证券，不得超过其各类资产支持证券合计规模的10％； </w:t>
      </w:r>
    </w:p>
    <w:p>
      <w:pPr>
        <w:pStyle w:val="8"/>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pPr>
        <w:pStyle w:val="8"/>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pPr>
        <w:pStyle w:val="8"/>
        <w:spacing w:before="0" w:beforeAutospacing="0" w:after="0" w:afterAutospacing="0" w:line="360" w:lineRule="auto"/>
        <w:ind w:firstLine="420"/>
        <w:rPr>
          <w:sz w:val="21"/>
          <w:szCs w:val="21"/>
        </w:rPr>
      </w:pPr>
      <w:r>
        <w:rPr>
          <w:rFonts w:hint="eastAsia"/>
          <w:sz w:val="21"/>
          <w:szCs w:val="21"/>
        </w:rPr>
        <w:t xml:space="preserve">（14）本基金进入全国银行间同业市场进行债券回购的资金余额不得超过基金资产净值的40%，债券回购最长期限为1年，债券回购到期后不得展期； </w:t>
      </w:r>
    </w:p>
    <w:p>
      <w:pPr>
        <w:pStyle w:val="8"/>
        <w:spacing w:before="0" w:beforeAutospacing="0" w:after="0" w:afterAutospacing="0" w:line="360" w:lineRule="auto"/>
        <w:ind w:firstLine="420"/>
        <w:rPr>
          <w:sz w:val="21"/>
          <w:szCs w:val="21"/>
        </w:rPr>
      </w:pPr>
      <w:r>
        <w:rPr>
          <w:rFonts w:hint="eastAsia"/>
          <w:sz w:val="21"/>
          <w:szCs w:val="21"/>
        </w:rPr>
        <w:t xml:space="preserve">（15）本基金参与股指期货、国债期货投资的，应遵循下列限制： </w:t>
      </w:r>
    </w:p>
    <w:p>
      <w:pPr>
        <w:pStyle w:val="8"/>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2）在任何交易日日终，本基金持有的买入股指期货和国债期货合约价值和有价证券市值之和，不得超过基金资产净值的95%；其中，有价证券指股票、债券（不含到期日在一年以内的政府债券）、资产支持证券、买入返售金融资产（不含质押式回购）等； </w:t>
      </w:r>
    </w:p>
    <w:p>
      <w:pPr>
        <w:pStyle w:val="8"/>
        <w:spacing w:before="0" w:beforeAutospacing="0" w:after="0" w:afterAutospacing="0" w:line="360" w:lineRule="auto"/>
        <w:ind w:firstLine="420"/>
        <w:rPr>
          <w:sz w:val="21"/>
          <w:szCs w:val="21"/>
        </w:rPr>
      </w:pPr>
      <w:r>
        <w:rPr>
          <w:rFonts w:hint="eastAsia"/>
          <w:sz w:val="21"/>
          <w:szCs w:val="21"/>
        </w:rPr>
        <w:t xml:space="preserve">3）本基金在任何交易日日终，持有的卖出股指期货合约价值不得超过基金持有的股票总市值的20%； </w:t>
      </w:r>
    </w:p>
    <w:p>
      <w:pPr>
        <w:pStyle w:val="8"/>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8"/>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8"/>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pPr>
        <w:pStyle w:val="8"/>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pPr>
        <w:pStyle w:val="8"/>
        <w:spacing w:before="0" w:beforeAutospacing="0" w:after="0" w:afterAutospacing="0" w:line="360" w:lineRule="auto"/>
        <w:ind w:firstLine="420"/>
        <w:rPr>
          <w:sz w:val="21"/>
          <w:szCs w:val="21"/>
        </w:rPr>
      </w:pPr>
      <w:r>
        <w:rPr>
          <w:rFonts w:hint="eastAsia"/>
          <w:sz w:val="21"/>
          <w:szCs w:val="21"/>
        </w:rPr>
        <w:t xml:space="preserve">8）本基金在任何交易日内交易（不包括平仓）的国债期货合约的成交金额不得超过上一交易日基金资产净值的30%； </w:t>
      </w:r>
    </w:p>
    <w:p>
      <w:pPr>
        <w:pStyle w:val="8"/>
        <w:spacing w:before="0" w:beforeAutospacing="0" w:after="0" w:afterAutospacing="0" w:line="360" w:lineRule="auto"/>
        <w:ind w:firstLine="420"/>
        <w:rPr>
          <w:sz w:val="21"/>
          <w:szCs w:val="21"/>
        </w:rPr>
      </w:pPr>
      <w:r>
        <w:rPr>
          <w:rFonts w:hint="eastAsia"/>
          <w:sz w:val="21"/>
          <w:szCs w:val="21"/>
        </w:rPr>
        <w:t xml:space="preserve">9）本基金所持有的债券（不含到期日在一年以内的政府债券）市值和买入、卖出国债期货合约价值，合计（轧差计算）应当符合基金合同关于债券投资比例的有关约定； </w:t>
      </w:r>
    </w:p>
    <w:p>
      <w:pPr>
        <w:pStyle w:val="8"/>
        <w:spacing w:before="0" w:beforeAutospacing="0" w:after="0" w:afterAutospacing="0" w:line="360" w:lineRule="auto"/>
        <w:ind w:firstLine="420"/>
        <w:rPr>
          <w:sz w:val="21"/>
          <w:szCs w:val="21"/>
        </w:rPr>
      </w:pPr>
      <w:r>
        <w:rPr>
          <w:rFonts w:hint="eastAsia"/>
          <w:sz w:val="21"/>
          <w:szCs w:val="21"/>
        </w:rPr>
        <w:t xml:space="preserve">（16）本基金在总资产不得超过基金净资产的140%； </w:t>
      </w:r>
    </w:p>
    <w:p>
      <w:pPr>
        <w:pStyle w:val="8"/>
        <w:spacing w:before="0" w:beforeAutospacing="0" w:after="0" w:afterAutospacing="0" w:line="360" w:lineRule="auto"/>
        <w:ind w:firstLine="420"/>
        <w:rPr>
          <w:sz w:val="21"/>
          <w:szCs w:val="21"/>
        </w:rPr>
      </w:pPr>
      <w:r>
        <w:rPr>
          <w:rFonts w:hint="eastAsia"/>
          <w:sz w:val="21"/>
          <w:szCs w:val="21"/>
        </w:rPr>
        <w:t xml:space="preserve">（17）基金参与融资业务后，在任何交易日日终，持有的融资买入股票与其他有价证券市值之和，不得超过基金资产净值的95%； </w:t>
      </w:r>
    </w:p>
    <w:p>
      <w:pPr>
        <w:pStyle w:val="8"/>
        <w:spacing w:before="0" w:beforeAutospacing="0" w:after="0" w:afterAutospacing="0" w:line="360" w:lineRule="auto"/>
        <w:ind w:firstLine="420"/>
        <w:rPr>
          <w:sz w:val="21"/>
          <w:szCs w:val="21"/>
        </w:rPr>
      </w:pPr>
      <w:r>
        <w:rPr>
          <w:rFonts w:hint="eastAsia"/>
          <w:sz w:val="21"/>
          <w:szCs w:val="21"/>
        </w:rPr>
        <w:t xml:space="preserve">（18）法律法规及中国证监会规定的和《基金合同》约定的其他投资限制。 </w:t>
      </w:r>
    </w:p>
    <w:p>
      <w:pPr>
        <w:pStyle w:val="8"/>
        <w:spacing w:before="0" w:beforeAutospacing="0" w:after="0" w:afterAutospacing="0" w:line="360" w:lineRule="auto"/>
        <w:ind w:firstLine="420"/>
        <w:rPr>
          <w:sz w:val="21"/>
          <w:szCs w:val="21"/>
        </w:rPr>
      </w:pPr>
      <w:r>
        <w:rPr>
          <w:rFonts w:hint="eastAsia"/>
          <w:sz w:val="21"/>
          <w:szCs w:val="21"/>
        </w:rPr>
        <w:t xml:space="preserve">除上述第（2）、（6）、（7）、（12）项另有约定外，因证券/期货市场波动、证券发行人合并或基金规模变动等基金管理人之外的因素致使基金投资比例不符合上述规定投资比例的，基金管理人应当在10个交易日内进行调整，但中国证监会规定的特殊情形除外。 </w:t>
      </w:r>
    </w:p>
    <w:p>
      <w:pPr>
        <w:pStyle w:val="8"/>
        <w:spacing w:before="0" w:beforeAutospacing="0" w:after="0" w:afterAutospacing="0" w:line="360" w:lineRule="auto"/>
        <w:ind w:firstLine="420"/>
        <w:rPr>
          <w:sz w:val="21"/>
          <w:szCs w:val="21"/>
        </w:rPr>
      </w:pPr>
      <w:r>
        <w:rPr>
          <w:rFonts w:hint="eastAsia"/>
          <w:sz w:val="21"/>
          <w:szCs w:val="21"/>
        </w:rPr>
        <w:t xml:space="preserve">基金管理人应当自封闭运作期届满转为上市开放式基金（LOF）之日起6个月内使基金的投资组合比例符合基金合同的有关约定。在上述期间内，本基金的投资范围、投资策略应当符合基金合同的约定。 </w:t>
      </w:r>
    </w:p>
    <w:p>
      <w:pPr>
        <w:pStyle w:val="8"/>
        <w:spacing w:before="0" w:beforeAutospacing="0" w:after="0" w:afterAutospacing="0" w:line="360" w:lineRule="auto"/>
        <w:ind w:firstLine="420"/>
        <w:rPr>
          <w:sz w:val="21"/>
          <w:szCs w:val="21"/>
        </w:rPr>
      </w:pPr>
      <w:r>
        <w:rPr>
          <w:rFonts w:hint="eastAsia"/>
          <w:sz w:val="21"/>
          <w:szCs w:val="21"/>
        </w:rPr>
        <w:t xml:space="preserve">如果法律法规或监管部门对上述投资组合比例限制进行变更的，以变更后的规定为准。法律法规或监管部门取消上述限制，如适用于本基金，基金管理人在履行适当程序后，则本基金投资不再受相关限制。 </w:t>
      </w:r>
    </w:p>
    <w:p>
      <w:pPr>
        <w:pStyle w:val="8"/>
        <w:spacing w:before="0" w:beforeAutospacing="0" w:after="0" w:afterAutospacing="0" w:line="360" w:lineRule="auto"/>
        <w:ind w:firstLine="420"/>
        <w:rPr>
          <w:sz w:val="21"/>
          <w:szCs w:val="21"/>
        </w:rPr>
      </w:pPr>
      <w:r>
        <w:rPr>
          <w:rFonts w:hint="eastAsia"/>
          <w:sz w:val="21"/>
          <w:szCs w:val="21"/>
        </w:rPr>
        <w:t xml:space="preserve">2、禁止行为 </w:t>
      </w:r>
    </w:p>
    <w:p>
      <w:pPr>
        <w:pStyle w:val="8"/>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8"/>
        <w:spacing w:before="0" w:beforeAutospacing="0" w:after="0" w:afterAutospacing="0" w:line="360" w:lineRule="auto"/>
        <w:ind w:firstLine="420"/>
        <w:rPr>
          <w:sz w:val="21"/>
          <w:szCs w:val="21"/>
        </w:rPr>
      </w:pPr>
      <w:r>
        <w:rPr>
          <w:rFonts w:hint="eastAsia"/>
          <w:sz w:val="21"/>
          <w:szCs w:val="21"/>
        </w:rPr>
        <w:t xml:space="preserve">（1）承销证券； </w:t>
      </w:r>
    </w:p>
    <w:p>
      <w:pPr>
        <w:pStyle w:val="8"/>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8"/>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8"/>
        <w:spacing w:before="0" w:beforeAutospacing="0" w:after="0" w:afterAutospacing="0" w:line="360" w:lineRule="auto"/>
        <w:ind w:firstLine="420"/>
        <w:rPr>
          <w:sz w:val="21"/>
          <w:szCs w:val="21"/>
        </w:rPr>
      </w:pPr>
      <w:r>
        <w:rPr>
          <w:rFonts w:hint="eastAsia"/>
          <w:sz w:val="21"/>
          <w:szCs w:val="21"/>
        </w:rPr>
        <w:t xml:space="preserve">（4）买卖其他基金份额，但法律法规或中国证监会另有规定的除外； </w:t>
      </w:r>
    </w:p>
    <w:p>
      <w:pPr>
        <w:pStyle w:val="8"/>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8"/>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8"/>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8"/>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8"/>
        <w:spacing w:before="0" w:beforeAutospacing="0" w:after="0" w:afterAutospacing="0" w:line="360" w:lineRule="auto"/>
        <w:ind w:firstLine="420"/>
        <w:rPr>
          <w:sz w:val="21"/>
          <w:szCs w:val="21"/>
        </w:rPr>
      </w:pPr>
      <w:r>
        <w:rPr>
          <w:rFonts w:hint="eastAsia"/>
          <w:sz w:val="21"/>
          <w:szCs w:val="21"/>
        </w:rPr>
        <w:t xml:space="preserve">如法律、行政法规或监管部门取消或变更上述限制，如适用于本基金，则本基金投资不再受相关限制或按变更后的规定执行。 </w:t>
      </w:r>
    </w:p>
    <w:p>
      <w:pPr>
        <w:pStyle w:val="8"/>
        <w:spacing w:before="0" w:beforeAutospacing="0" w:after="0" w:afterAutospacing="0" w:line="360" w:lineRule="auto"/>
        <w:ind w:firstLine="420"/>
        <w:rPr>
          <w:sz w:val="21"/>
          <w:szCs w:val="21"/>
        </w:rPr>
      </w:pPr>
    </w:p>
    <w:p>
      <w:pPr>
        <w:pStyle w:val="8"/>
        <w:spacing w:before="0" w:beforeAutospacing="0" w:after="0" w:afterAutospacing="0" w:line="360" w:lineRule="auto"/>
        <w:ind w:firstLine="420"/>
        <w:rPr>
          <w:sz w:val="21"/>
          <w:szCs w:val="21"/>
        </w:rPr>
      </w:pPr>
      <w:r>
        <w:rPr>
          <w:rFonts w:hint="eastAsia"/>
          <w:sz w:val="21"/>
          <w:szCs w:val="21"/>
        </w:rPr>
        <w:t xml:space="preserve">（五）业绩比较基准 </w:t>
      </w:r>
    </w:p>
    <w:p>
      <w:pPr>
        <w:pStyle w:val="8"/>
        <w:spacing w:before="0" w:beforeAutospacing="0" w:after="0" w:afterAutospacing="0" w:line="360" w:lineRule="auto"/>
        <w:ind w:firstLine="420"/>
        <w:rPr>
          <w:sz w:val="21"/>
          <w:szCs w:val="21"/>
        </w:rPr>
      </w:pPr>
      <w:r>
        <w:rPr>
          <w:rFonts w:hint="eastAsia"/>
          <w:sz w:val="21"/>
          <w:szCs w:val="21"/>
        </w:rPr>
        <w:t xml:space="preserve">本基金的业绩比较基准为：中国战略新兴产业成份指数收益率×50%＋中证港股通综合指数（人民币）×20%＋中债综合财富（总值）指数收益率×30%。 </w:t>
      </w:r>
    </w:p>
    <w:p>
      <w:pPr>
        <w:pStyle w:val="8"/>
        <w:spacing w:before="0" w:beforeAutospacing="0" w:after="0" w:afterAutospacing="0" w:line="360" w:lineRule="auto"/>
        <w:ind w:firstLine="420"/>
        <w:rPr>
          <w:sz w:val="21"/>
          <w:szCs w:val="21"/>
        </w:rPr>
      </w:pPr>
      <w:r>
        <w:rPr>
          <w:rFonts w:hint="eastAsia"/>
          <w:sz w:val="21"/>
          <w:szCs w:val="21"/>
        </w:rPr>
        <w:t xml:space="preserve">中国战略新兴产业成份指数选取节能环保产业、新一代信息技术产业、生物产业、高端装备制造产业、新能源产业、新材料产业、新能源汽车产业、数字创意产业、高技术服务业等领域具有代表性的100家上市公司，采用自由流通股本加权方式，以反映中国战略新兴产业上市公司的整体走势。科创主题上市企业所属领域集中于电子信息半导体、计算机通信、节能环保、先进制造装备、医药生物等主要行业。中国战略新兴产业成份指数的行业分布与科创主题拟上市公司结构最为接近，上述五大行业在中国战略新兴产业成份指数中的权重占比超过50%。因此选取中国战略新兴产业成份指数作为科创主题上市公司指数基准具备合理性。中证港股通综合指数（人民币）可以较好地代表港股市场业绩表现，适合作为本基金港股股票组合的业绩比较基准。中债综合财富（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 </w:t>
      </w:r>
    </w:p>
    <w:p>
      <w:pPr>
        <w:pStyle w:val="8"/>
        <w:spacing w:before="0" w:beforeAutospacing="0" w:after="0" w:afterAutospacing="0" w:line="360" w:lineRule="auto"/>
        <w:ind w:firstLine="420"/>
        <w:rPr>
          <w:sz w:val="21"/>
          <w:szCs w:val="21"/>
        </w:rPr>
      </w:pPr>
      <w:r>
        <w:rPr>
          <w:rFonts w:hint="eastAsia"/>
          <w:sz w:val="21"/>
          <w:szCs w:val="21"/>
        </w:rPr>
        <w:t xml:space="preserve">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（六）风险收益特征 </w:t>
      </w:r>
    </w:p>
    <w:p>
      <w:pPr>
        <w:pStyle w:val="8"/>
        <w:spacing w:before="0" w:beforeAutospacing="0" w:after="0" w:afterAutospacing="0" w:line="360" w:lineRule="auto"/>
        <w:ind w:firstLine="420"/>
        <w:rPr>
          <w:sz w:val="21"/>
          <w:szCs w:val="21"/>
        </w:rPr>
      </w:pPr>
      <w:r>
        <w:rPr>
          <w:rFonts w:hint="eastAsia"/>
          <w:sz w:val="21"/>
          <w:szCs w:val="21"/>
        </w:rPr>
        <w:t xml:space="preserve">本基金为混合型基金，一般而言，其预期风险收益水平高于债券基金与货币市场型基金，低于股票型基金。本基金可投资港股通标的股票，除了需要承担与境内证券投资基金类似的市场波动风险等一般投资风险之外，本基金还面临汇率风险、香港市场风险等境外证券市场投资所面临的特别投资风险。 </w:t>
      </w:r>
    </w:p>
    <w:p>
      <w:pPr>
        <w:pStyle w:val="8"/>
        <w:spacing w:before="0" w:beforeAutospacing="0" w:after="0" w:afterAutospacing="0" w:line="360" w:lineRule="auto"/>
        <w:ind w:firstLine="420"/>
        <w:rPr>
          <w:sz w:val="21"/>
          <w:szCs w:val="21"/>
        </w:rPr>
      </w:pPr>
      <w:r>
        <w:rPr>
          <w:rStyle w:val="13"/>
          <w:rFonts w:hint="eastAsia"/>
          <w:sz w:val="21"/>
          <w:szCs w:val="21"/>
        </w:rPr>
        <w:t>八、基金管理人代表基金行使股东或债权人权利的处理原则及方法</w:t>
      </w:r>
    </w:p>
    <w:p>
      <w:pPr>
        <w:pStyle w:val="8"/>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1、基金管理人按照国家有关规定代表基金独立行使股东或债权人权利，保护基金份额持有人的利益； </w:t>
      </w:r>
    </w:p>
    <w:p>
      <w:pPr>
        <w:pStyle w:val="8"/>
        <w:spacing w:before="0" w:beforeAutospacing="0" w:after="0" w:afterAutospacing="0" w:line="360" w:lineRule="auto"/>
        <w:ind w:firstLine="420"/>
        <w:rPr>
          <w:sz w:val="21"/>
          <w:szCs w:val="21"/>
        </w:rPr>
      </w:pPr>
      <w:r>
        <w:rPr>
          <w:rFonts w:hint="eastAsia"/>
          <w:sz w:val="21"/>
          <w:szCs w:val="21"/>
        </w:rPr>
        <w:t xml:space="preserve">2、不谋求对上市公司的控股； </w:t>
      </w:r>
    </w:p>
    <w:p>
      <w:pPr>
        <w:pStyle w:val="8"/>
        <w:spacing w:before="0" w:beforeAutospacing="0" w:after="0" w:afterAutospacing="0" w:line="360" w:lineRule="auto"/>
        <w:ind w:firstLine="420"/>
        <w:rPr>
          <w:sz w:val="21"/>
          <w:szCs w:val="21"/>
        </w:rPr>
      </w:pPr>
      <w:r>
        <w:rPr>
          <w:rFonts w:hint="eastAsia"/>
          <w:sz w:val="21"/>
          <w:szCs w:val="21"/>
        </w:rPr>
        <w:t xml:space="preserve">3、有利于基金财产的安全与增值； </w:t>
      </w:r>
    </w:p>
    <w:p>
      <w:pPr>
        <w:pStyle w:val="8"/>
        <w:spacing w:before="0" w:beforeAutospacing="0" w:after="0" w:afterAutospacing="0" w:line="360" w:lineRule="auto"/>
        <w:ind w:firstLine="420"/>
        <w:rPr>
          <w:sz w:val="21"/>
          <w:szCs w:val="21"/>
        </w:rPr>
      </w:pPr>
      <w:r>
        <w:rPr>
          <w:rFonts w:hint="eastAsia"/>
          <w:sz w:val="21"/>
          <w:szCs w:val="21"/>
        </w:rPr>
        <w:t>4、不通过关联交易为自身、雇员、授权代理人或任何存在利害关系的第三人牟取任何</w:t>
      </w:r>
      <w:bookmarkStart w:id="110" w:name="chapter_level1_13_60_section_4_end"/>
      <w:bookmarkEnd w:id="110"/>
      <w:r>
        <w:rPr>
          <w:rFonts w:hint="eastAsia"/>
          <w:sz w:val="21"/>
          <w:szCs w:val="21"/>
        </w:rPr>
        <w:t xml:space="preserve">不当利益。 </w:t>
      </w:r>
    </w:p>
    <w:p>
      <w:pPr>
        <w:pStyle w:val="8"/>
        <w:spacing w:before="0" w:beforeAutospacing="0" w:after="0" w:afterAutospacing="0" w:line="360" w:lineRule="auto"/>
        <w:ind w:firstLine="420"/>
        <w:rPr>
          <w:sz w:val="21"/>
          <w:szCs w:val="21"/>
        </w:rPr>
      </w:pPr>
      <w:bookmarkStart w:id="111" w:name="chapter_level1_13_60_section_5_end"/>
      <w:bookmarkEnd w:id="111"/>
      <w:bookmarkStart w:id="112" w:name="chapter_level1_13_60_section_5"/>
      <w:bookmarkEnd w:id="112"/>
      <w:r>
        <w:rPr>
          <w:rStyle w:val="13"/>
          <w:rFonts w:hint="eastAsia"/>
          <w:sz w:val="21"/>
          <w:szCs w:val="21"/>
        </w:rPr>
        <w:t>九、基金投资组合报告</w:t>
      </w:r>
    </w:p>
    <w:p>
      <w:pPr>
        <w:pStyle w:val="8"/>
        <w:spacing w:before="0" w:beforeAutospacing="0" w:after="0" w:afterAutospacing="0" w:line="360" w:lineRule="auto"/>
        <w:ind w:firstLine="420"/>
        <w:rPr>
          <w:sz w:val="21"/>
          <w:szCs w:val="21"/>
        </w:rPr>
      </w:pPr>
      <w:bookmarkStart w:id="113" w:name="chapter_level1_13_60_section_6"/>
      <w:bookmarkEnd w:id="113"/>
      <w:r>
        <w:rPr>
          <w:rFonts w:hint="eastAsia"/>
          <w:sz w:val="21"/>
          <w:szCs w:val="21"/>
        </w:rPr>
        <w:t xml:space="preserve">基金管理人的董事会及董事保证本报告所载资料不存在虚假记载、误导性陈述或重大遗漏，并对其内容的真实性、准确性和完整性承担个别及连带责任。 </w:t>
      </w:r>
    </w:p>
    <w:p>
      <w:pPr>
        <w:pStyle w:val="8"/>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8"/>
        <w:spacing w:before="0" w:beforeAutospacing="0" w:after="0" w:afterAutospacing="0" w:line="360" w:lineRule="auto"/>
        <w:ind w:firstLine="420"/>
        <w:rPr>
          <w:sz w:val="21"/>
          <w:szCs w:val="21"/>
        </w:rPr>
      </w:pPr>
      <w:r>
        <w:rPr>
          <w:rFonts w:hint="eastAsia"/>
          <w:sz w:val="21"/>
          <w:szCs w:val="21"/>
        </w:rPr>
        <w:t>本投资组合报告所载数据截至</w:t>
      </w:r>
      <w:bookmarkStart w:id="114" w:name="field_2343_financeendday_2"/>
      <w:r>
        <w:rPr>
          <w:sz w:val="21"/>
          <w:szCs w:val="21"/>
        </w:rPr>
        <w:t>2021年06月30日</w:t>
      </w:r>
      <w:bookmarkEnd w:id="114"/>
      <w:r>
        <w:rPr>
          <w:rFonts w:hint="eastAsia"/>
          <w:sz w:val="21"/>
          <w:szCs w:val="21"/>
        </w:rPr>
        <w:t xml:space="preserve">，本报告中所列财务数据未经审计。 </w:t>
      </w:r>
    </w:p>
    <w:p>
      <w:pPr>
        <w:pStyle w:val="8"/>
        <w:spacing w:before="0" w:beforeAutospacing="0" w:after="0" w:afterAutospacing="0" w:line="360" w:lineRule="auto"/>
        <w:ind w:firstLine="420"/>
        <w:rPr>
          <w:sz w:val="21"/>
          <w:szCs w:val="21"/>
        </w:rPr>
      </w:pPr>
      <w:r>
        <w:rPr>
          <w:rFonts w:hint="eastAsia"/>
          <w:sz w:val="21"/>
          <w:szCs w:val="21"/>
        </w:rPr>
        <w:t xml:space="preserve">1 报告期末基金资产组合情况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3411"/>
        <w:gridCol w:w="2206"/>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8"/>
              <w:jc w:val="center"/>
            </w:pPr>
            <w:r>
              <w:rPr>
                <w:rFonts w:hint="eastAsia"/>
              </w:rPr>
              <w:t xml:space="preserve">序号 </w:t>
            </w:r>
          </w:p>
        </w:tc>
        <w:tc>
          <w:tcPr>
            <w:tcW w:w="3870" w:type="dxa"/>
            <w:shd w:val="clear" w:color="auto" w:fill="auto"/>
          </w:tcPr>
          <w:p>
            <w:pPr>
              <w:pStyle w:val="8"/>
              <w:jc w:val="center"/>
            </w:pPr>
            <w:r>
              <w:rPr>
                <w:rFonts w:hint="eastAsia"/>
              </w:rPr>
              <w:t xml:space="preserve">项目 </w:t>
            </w:r>
          </w:p>
        </w:tc>
        <w:tc>
          <w:tcPr>
            <w:tcW w:w="2220" w:type="dxa"/>
            <w:shd w:val="clear" w:color="auto" w:fill="auto"/>
          </w:tcPr>
          <w:p>
            <w:pPr>
              <w:pStyle w:val="8"/>
              <w:jc w:val="center"/>
            </w:pPr>
            <w:r>
              <w:rPr>
                <w:rFonts w:hint="eastAsia"/>
              </w:rPr>
              <w:t xml:space="preserve">金额(元) </w:t>
            </w:r>
          </w:p>
        </w:tc>
        <w:tc>
          <w:tcPr>
            <w:tcW w:w="2445" w:type="dxa"/>
            <w:shd w:val="clear" w:color="auto" w:fill="auto"/>
          </w:tcPr>
          <w:p>
            <w:pPr>
              <w:pStyle w:val="8"/>
              <w:jc w:val="center"/>
            </w:pPr>
            <w:r>
              <w:rPr>
                <w:rFonts w:hint="eastAsia"/>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8"/>
              <w:jc w:val="center"/>
            </w:pPr>
            <w:r>
              <w:rPr>
                <w:rFonts w:hint="eastAsia"/>
              </w:rPr>
              <w:t xml:space="preserve">1 </w:t>
            </w:r>
          </w:p>
        </w:tc>
        <w:tc>
          <w:tcPr>
            <w:tcW w:w="3870" w:type="dxa"/>
            <w:shd w:val="clear" w:color="auto" w:fill="auto"/>
          </w:tcPr>
          <w:p>
            <w:pPr>
              <w:pStyle w:val="8"/>
            </w:pPr>
            <w:r>
              <w:rPr>
                <w:rFonts w:hint="eastAsia"/>
              </w:rPr>
              <w:t xml:space="preserve">权益投资 </w:t>
            </w:r>
          </w:p>
        </w:tc>
        <w:tc>
          <w:tcPr>
            <w:tcW w:w="2220" w:type="dxa"/>
            <w:shd w:val="clear" w:color="auto" w:fill="auto"/>
          </w:tcPr>
          <w:p>
            <w:pPr>
              <w:pStyle w:val="8"/>
              <w:jc w:val="right"/>
            </w:pPr>
            <w:r>
              <w:rPr>
                <w:rFonts w:hint="eastAsia"/>
              </w:rPr>
              <w:t xml:space="preserve">2,224,422,123.27 </w:t>
            </w:r>
          </w:p>
        </w:tc>
        <w:tc>
          <w:tcPr>
            <w:tcW w:w="2445" w:type="dxa"/>
            <w:shd w:val="clear" w:color="auto" w:fill="auto"/>
          </w:tcPr>
          <w:p>
            <w:pPr>
              <w:pStyle w:val="8"/>
              <w:jc w:val="right"/>
            </w:pPr>
            <w:r>
              <w:rPr>
                <w:rFonts w:hint="eastAsia"/>
              </w:rPr>
              <w:t xml:space="preserve">96.79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rPr>
                <w:rFonts w:ascii="宋体" w:hAnsi="宋体" w:eastAsia="宋体" w:cs="宋体"/>
                <w:sz w:val="24"/>
                <w:szCs w:val="24"/>
              </w:rPr>
            </w:pPr>
          </w:p>
        </w:tc>
        <w:tc>
          <w:tcPr>
            <w:tcW w:w="3870" w:type="dxa"/>
            <w:shd w:val="clear" w:color="auto" w:fill="auto"/>
          </w:tcPr>
          <w:p>
            <w:pPr>
              <w:pStyle w:val="8"/>
            </w:pPr>
            <w:r>
              <w:rPr>
                <w:rFonts w:hint="eastAsia"/>
              </w:rPr>
              <w:t xml:space="preserve">其中：股票 </w:t>
            </w:r>
          </w:p>
        </w:tc>
        <w:tc>
          <w:tcPr>
            <w:tcW w:w="2220" w:type="dxa"/>
            <w:shd w:val="clear" w:color="auto" w:fill="auto"/>
          </w:tcPr>
          <w:p>
            <w:pPr>
              <w:pStyle w:val="8"/>
              <w:jc w:val="right"/>
            </w:pPr>
            <w:r>
              <w:rPr>
                <w:rFonts w:hint="eastAsia"/>
              </w:rPr>
              <w:t xml:space="preserve">2,224,422,123.27 </w:t>
            </w:r>
          </w:p>
        </w:tc>
        <w:tc>
          <w:tcPr>
            <w:tcW w:w="2445" w:type="dxa"/>
            <w:shd w:val="clear" w:color="auto" w:fill="auto"/>
          </w:tcPr>
          <w:p>
            <w:pPr>
              <w:pStyle w:val="8"/>
              <w:jc w:val="right"/>
            </w:pPr>
            <w:r>
              <w:rPr>
                <w:rFonts w:hint="eastAsia"/>
              </w:rPr>
              <w:t xml:space="preserve">96.79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8"/>
              <w:jc w:val="center"/>
            </w:pPr>
            <w:r>
              <w:rPr>
                <w:rFonts w:hint="eastAsia"/>
              </w:rPr>
              <w:t xml:space="preserve">2 </w:t>
            </w:r>
          </w:p>
        </w:tc>
        <w:tc>
          <w:tcPr>
            <w:tcW w:w="3870" w:type="dxa"/>
            <w:shd w:val="clear" w:color="auto" w:fill="auto"/>
          </w:tcPr>
          <w:p>
            <w:pPr>
              <w:pStyle w:val="8"/>
            </w:pPr>
            <w:r>
              <w:rPr>
                <w:rFonts w:hint="eastAsia"/>
              </w:rPr>
              <w:t xml:space="preserve">基金投资 </w:t>
            </w:r>
          </w:p>
        </w:tc>
        <w:tc>
          <w:tcPr>
            <w:tcW w:w="2220" w:type="dxa"/>
            <w:shd w:val="clear" w:color="auto" w:fill="auto"/>
          </w:tcPr>
          <w:p>
            <w:pPr>
              <w:pStyle w:val="8"/>
              <w:jc w:val="right"/>
            </w:pPr>
            <w:r>
              <w:rPr>
                <w:rFonts w:hint="eastAsia"/>
              </w:rPr>
              <w:t xml:space="preserve">- </w:t>
            </w:r>
          </w:p>
        </w:tc>
        <w:tc>
          <w:tcPr>
            <w:tcW w:w="244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8"/>
              <w:jc w:val="center"/>
            </w:pPr>
            <w:r>
              <w:rPr>
                <w:rFonts w:hint="eastAsia"/>
              </w:rPr>
              <w:t xml:space="preserve">3 </w:t>
            </w:r>
          </w:p>
        </w:tc>
        <w:tc>
          <w:tcPr>
            <w:tcW w:w="3870" w:type="dxa"/>
            <w:shd w:val="clear" w:color="auto" w:fill="auto"/>
          </w:tcPr>
          <w:p>
            <w:pPr>
              <w:pStyle w:val="8"/>
            </w:pPr>
            <w:r>
              <w:rPr>
                <w:rFonts w:hint="eastAsia"/>
              </w:rPr>
              <w:t xml:space="preserve">固定收益投资 </w:t>
            </w:r>
          </w:p>
        </w:tc>
        <w:tc>
          <w:tcPr>
            <w:tcW w:w="2220" w:type="dxa"/>
            <w:shd w:val="clear" w:color="auto" w:fill="auto"/>
          </w:tcPr>
          <w:p>
            <w:pPr>
              <w:pStyle w:val="8"/>
              <w:jc w:val="right"/>
            </w:pPr>
            <w:r>
              <w:rPr>
                <w:rFonts w:hint="eastAsia"/>
              </w:rPr>
              <w:t xml:space="preserve">235,000.00 </w:t>
            </w:r>
          </w:p>
        </w:tc>
        <w:tc>
          <w:tcPr>
            <w:tcW w:w="2445" w:type="dxa"/>
            <w:shd w:val="clear" w:color="auto" w:fill="auto"/>
          </w:tcPr>
          <w:p>
            <w:pPr>
              <w:pStyle w:val="8"/>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rPr>
                <w:rFonts w:ascii="宋体" w:hAnsi="宋体" w:eastAsia="宋体" w:cs="宋体"/>
                <w:sz w:val="24"/>
                <w:szCs w:val="24"/>
              </w:rPr>
            </w:pPr>
          </w:p>
        </w:tc>
        <w:tc>
          <w:tcPr>
            <w:tcW w:w="3870" w:type="dxa"/>
            <w:shd w:val="clear" w:color="auto" w:fill="auto"/>
          </w:tcPr>
          <w:p>
            <w:pPr>
              <w:pStyle w:val="8"/>
            </w:pPr>
            <w:r>
              <w:rPr>
                <w:rFonts w:hint="eastAsia"/>
              </w:rPr>
              <w:t xml:space="preserve">其中：债券 </w:t>
            </w:r>
          </w:p>
        </w:tc>
        <w:tc>
          <w:tcPr>
            <w:tcW w:w="2220" w:type="dxa"/>
            <w:shd w:val="clear" w:color="auto" w:fill="auto"/>
          </w:tcPr>
          <w:p>
            <w:pPr>
              <w:pStyle w:val="8"/>
              <w:jc w:val="right"/>
            </w:pPr>
            <w:r>
              <w:rPr>
                <w:rFonts w:hint="eastAsia"/>
              </w:rPr>
              <w:t xml:space="preserve">235,000.00 </w:t>
            </w:r>
          </w:p>
        </w:tc>
        <w:tc>
          <w:tcPr>
            <w:tcW w:w="2445" w:type="dxa"/>
            <w:shd w:val="clear" w:color="auto" w:fill="auto"/>
          </w:tcPr>
          <w:p>
            <w:pPr>
              <w:pStyle w:val="8"/>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rPr>
                <w:rFonts w:ascii="宋体" w:hAnsi="宋体" w:eastAsia="宋体" w:cs="宋体"/>
                <w:sz w:val="24"/>
                <w:szCs w:val="24"/>
              </w:rPr>
            </w:pPr>
          </w:p>
        </w:tc>
        <w:tc>
          <w:tcPr>
            <w:tcW w:w="3870" w:type="dxa"/>
            <w:shd w:val="clear" w:color="auto" w:fill="auto"/>
          </w:tcPr>
          <w:p>
            <w:pPr>
              <w:pStyle w:val="8"/>
              <w:ind w:firstLine="626"/>
            </w:pPr>
            <w:r>
              <w:rPr>
                <w:rFonts w:hint="eastAsia"/>
              </w:rPr>
              <w:t xml:space="preserve">资产支持证券 </w:t>
            </w:r>
          </w:p>
        </w:tc>
        <w:tc>
          <w:tcPr>
            <w:tcW w:w="2220" w:type="dxa"/>
            <w:shd w:val="clear" w:color="auto" w:fill="auto"/>
          </w:tcPr>
          <w:p>
            <w:pPr>
              <w:pStyle w:val="8"/>
              <w:jc w:val="right"/>
            </w:pPr>
            <w:r>
              <w:rPr>
                <w:rFonts w:hint="eastAsia"/>
              </w:rPr>
              <w:t xml:space="preserve">- </w:t>
            </w:r>
          </w:p>
        </w:tc>
        <w:tc>
          <w:tcPr>
            <w:tcW w:w="244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8"/>
              <w:jc w:val="center"/>
            </w:pPr>
            <w:r>
              <w:rPr>
                <w:rFonts w:hint="eastAsia"/>
              </w:rPr>
              <w:t xml:space="preserve">4 </w:t>
            </w:r>
          </w:p>
        </w:tc>
        <w:tc>
          <w:tcPr>
            <w:tcW w:w="3870" w:type="dxa"/>
            <w:shd w:val="clear" w:color="auto" w:fill="auto"/>
          </w:tcPr>
          <w:p>
            <w:pPr>
              <w:pStyle w:val="8"/>
            </w:pPr>
            <w:r>
              <w:rPr>
                <w:rFonts w:hint="eastAsia"/>
              </w:rPr>
              <w:t xml:space="preserve">贵金属投资 </w:t>
            </w:r>
          </w:p>
        </w:tc>
        <w:tc>
          <w:tcPr>
            <w:tcW w:w="2220" w:type="dxa"/>
            <w:shd w:val="clear" w:color="auto" w:fill="auto"/>
          </w:tcPr>
          <w:p>
            <w:pPr>
              <w:pStyle w:val="8"/>
              <w:jc w:val="right"/>
            </w:pPr>
            <w:r>
              <w:rPr>
                <w:rFonts w:hint="eastAsia"/>
              </w:rPr>
              <w:t xml:space="preserve">- </w:t>
            </w:r>
          </w:p>
        </w:tc>
        <w:tc>
          <w:tcPr>
            <w:tcW w:w="244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8"/>
              <w:jc w:val="center"/>
            </w:pPr>
            <w:r>
              <w:rPr>
                <w:rFonts w:hint="eastAsia"/>
              </w:rPr>
              <w:t xml:space="preserve">5 </w:t>
            </w:r>
          </w:p>
        </w:tc>
        <w:tc>
          <w:tcPr>
            <w:tcW w:w="3870" w:type="dxa"/>
            <w:shd w:val="clear" w:color="auto" w:fill="auto"/>
          </w:tcPr>
          <w:p>
            <w:pPr>
              <w:pStyle w:val="8"/>
            </w:pPr>
            <w:r>
              <w:rPr>
                <w:rFonts w:hint="eastAsia"/>
              </w:rPr>
              <w:t xml:space="preserve">金融衍生品投资 </w:t>
            </w:r>
          </w:p>
        </w:tc>
        <w:tc>
          <w:tcPr>
            <w:tcW w:w="2220" w:type="dxa"/>
            <w:shd w:val="clear" w:color="auto" w:fill="auto"/>
          </w:tcPr>
          <w:p>
            <w:pPr>
              <w:pStyle w:val="8"/>
              <w:jc w:val="right"/>
            </w:pPr>
            <w:r>
              <w:rPr>
                <w:rFonts w:hint="eastAsia"/>
              </w:rPr>
              <w:t xml:space="preserve">- </w:t>
            </w:r>
          </w:p>
        </w:tc>
        <w:tc>
          <w:tcPr>
            <w:tcW w:w="244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8"/>
              <w:jc w:val="center"/>
            </w:pPr>
            <w:r>
              <w:rPr>
                <w:rFonts w:hint="eastAsia"/>
              </w:rPr>
              <w:t xml:space="preserve">6 </w:t>
            </w:r>
          </w:p>
        </w:tc>
        <w:tc>
          <w:tcPr>
            <w:tcW w:w="3870" w:type="dxa"/>
            <w:shd w:val="clear" w:color="auto" w:fill="auto"/>
          </w:tcPr>
          <w:p>
            <w:pPr>
              <w:pStyle w:val="8"/>
            </w:pPr>
            <w:r>
              <w:rPr>
                <w:rFonts w:hint="eastAsia"/>
              </w:rPr>
              <w:t xml:space="preserve">买入返售金融资产 </w:t>
            </w:r>
          </w:p>
        </w:tc>
        <w:tc>
          <w:tcPr>
            <w:tcW w:w="2220" w:type="dxa"/>
            <w:shd w:val="clear" w:color="auto" w:fill="auto"/>
          </w:tcPr>
          <w:p>
            <w:pPr>
              <w:pStyle w:val="8"/>
              <w:jc w:val="right"/>
            </w:pPr>
            <w:r>
              <w:rPr>
                <w:rFonts w:hint="eastAsia"/>
              </w:rPr>
              <w:t xml:space="preserve">- </w:t>
            </w:r>
          </w:p>
        </w:tc>
        <w:tc>
          <w:tcPr>
            <w:tcW w:w="244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rPr>
                <w:rFonts w:ascii="宋体" w:hAnsi="宋体" w:eastAsia="宋体" w:cs="宋体"/>
                <w:sz w:val="24"/>
                <w:szCs w:val="24"/>
              </w:rPr>
            </w:pPr>
          </w:p>
        </w:tc>
        <w:tc>
          <w:tcPr>
            <w:tcW w:w="3870" w:type="dxa"/>
            <w:shd w:val="clear" w:color="auto" w:fill="auto"/>
          </w:tcPr>
          <w:p>
            <w:pPr>
              <w:pStyle w:val="8"/>
            </w:pPr>
            <w:r>
              <w:rPr>
                <w:rFonts w:hint="eastAsia"/>
              </w:rPr>
              <w:t xml:space="preserve">其中：买断式回购的买入返售金融资产 </w:t>
            </w:r>
          </w:p>
        </w:tc>
        <w:tc>
          <w:tcPr>
            <w:tcW w:w="2220" w:type="dxa"/>
            <w:shd w:val="clear" w:color="auto" w:fill="auto"/>
          </w:tcPr>
          <w:p>
            <w:pPr>
              <w:pStyle w:val="8"/>
              <w:jc w:val="right"/>
            </w:pPr>
            <w:r>
              <w:rPr>
                <w:rFonts w:hint="eastAsia"/>
              </w:rPr>
              <w:t xml:space="preserve">- </w:t>
            </w:r>
          </w:p>
        </w:tc>
        <w:tc>
          <w:tcPr>
            <w:tcW w:w="244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8"/>
              <w:jc w:val="center"/>
            </w:pPr>
            <w:r>
              <w:rPr>
                <w:rFonts w:hint="eastAsia"/>
              </w:rPr>
              <w:t xml:space="preserve">7 </w:t>
            </w:r>
          </w:p>
        </w:tc>
        <w:tc>
          <w:tcPr>
            <w:tcW w:w="3870" w:type="dxa"/>
            <w:shd w:val="clear" w:color="auto" w:fill="auto"/>
          </w:tcPr>
          <w:p>
            <w:pPr>
              <w:pStyle w:val="8"/>
            </w:pPr>
            <w:r>
              <w:rPr>
                <w:rFonts w:hint="eastAsia"/>
              </w:rPr>
              <w:t xml:space="preserve">银行存款和结算备付金合计 </w:t>
            </w:r>
          </w:p>
        </w:tc>
        <w:tc>
          <w:tcPr>
            <w:tcW w:w="2220" w:type="dxa"/>
            <w:shd w:val="clear" w:color="auto" w:fill="auto"/>
          </w:tcPr>
          <w:p>
            <w:pPr>
              <w:pStyle w:val="8"/>
              <w:jc w:val="right"/>
            </w:pPr>
            <w:r>
              <w:rPr>
                <w:rFonts w:hint="eastAsia"/>
              </w:rPr>
              <w:t xml:space="preserve">58,914,708.71 </w:t>
            </w:r>
          </w:p>
        </w:tc>
        <w:tc>
          <w:tcPr>
            <w:tcW w:w="2445" w:type="dxa"/>
            <w:shd w:val="clear" w:color="auto" w:fill="auto"/>
          </w:tcPr>
          <w:p>
            <w:pPr>
              <w:pStyle w:val="8"/>
              <w:jc w:val="right"/>
            </w:pPr>
            <w:r>
              <w:rPr>
                <w:rFonts w:hint="eastAsia"/>
              </w:rPr>
              <w:t xml:space="preserve">2.56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8"/>
              <w:jc w:val="center"/>
            </w:pPr>
            <w:r>
              <w:rPr>
                <w:rFonts w:hint="eastAsia"/>
              </w:rPr>
              <w:t xml:space="preserve">8 </w:t>
            </w:r>
          </w:p>
        </w:tc>
        <w:tc>
          <w:tcPr>
            <w:tcW w:w="3870" w:type="dxa"/>
            <w:shd w:val="clear" w:color="auto" w:fill="auto"/>
          </w:tcPr>
          <w:p>
            <w:pPr>
              <w:pStyle w:val="8"/>
            </w:pPr>
            <w:r>
              <w:rPr>
                <w:rFonts w:hint="eastAsia"/>
              </w:rPr>
              <w:t xml:space="preserve">其他各项资产 </w:t>
            </w:r>
          </w:p>
        </w:tc>
        <w:tc>
          <w:tcPr>
            <w:tcW w:w="2220" w:type="dxa"/>
            <w:shd w:val="clear" w:color="auto" w:fill="auto"/>
          </w:tcPr>
          <w:p>
            <w:pPr>
              <w:pStyle w:val="8"/>
              <w:jc w:val="right"/>
            </w:pPr>
            <w:r>
              <w:rPr>
                <w:rFonts w:hint="eastAsia"/>
              </w:rPr>
              <w:t xml:space="preserve">14,650,839.26 </w:t>
            </w:r>
          </w:p>
        </w:tc>
        <w:tc>
          <w:tcPr>
            <w:tcW w:w="2445" w:type="dxa"/>
            <w:shd w:val="clear" w:color="auto" w:fill="auto"/>
          </w:tcPr>
          <w:p>
            <w:pPr>
              <w:pStyle w:val="8"/>
              <w:jc w:val="right"/>
            </w:pPr>
            <w:r>
              <w:rPr>
                <w:rFonts w:hint="eastAsia"/>
              </w:rPr>
              <w:t xml:space="preserve">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8"/>
              <w:jc w:val="center"/>
            </w:pPr>
            <w:r>
              <w:rPr>
                <w:rFonts w:hint="eastAsia"/>
              </w:rPr>
              <w:t xml:space="preserve">9 </w:t>
            </w:r>
          </w:p>
        </w:tc>
        <w:tc>
          <w:tcPr>
            <w:tcW w:w="3870" w:type="dxa"/>
            <w:shd w:val="clear" w:color="auto" w:fill="auto"/>
          </w:tcPr>
          <w:p>
            <w:pPr>
              <w:pStyle w:val="8"/>
            </w:pPr>
            <w:r>
              <w:rPr>
                <w:rFonts w:hint="eastAsia"/>
              </w:rPr>
              <w:t xml:space="preserve">合计 </w:t>
            </w:r>
          </w:p>
        </w:tc>
        <w:tc>
          <w:tcPr>
            <w:tcW w:w="2220" w:type="dxa"/>
            <w:shd w:val="clear" w:color="auto" w:fill="auto"/>
          </w:tcPr>
          <w:p>
            <w:pPr>
              <w:pStyle w:val="8"/>
              <w:jc w:val="right"/>
            </w:pPr>
            <w:r>
              <w:rPr>
                <w:rFonts w:hint="eastAsia"/>
              </w:rPr>
              <w:t xml:space="preserve">2,298,222,671.24 </w:t>
            </w:r>
          </w:p>
        </w:tc>
        <w:tc>
          <w:tcPr>
            <w:tcW w:w="2445" w:type="dxa"/>
            <w:shd w:val="clear" w:color="auto" w:fill="auto"/>
          </w:tcPr>
          <w:p>
            <w:pPr>
              <w:pStyle w:val="8"/>
              <w:jc w:val="right"/>
            </w:pPr>
            <w:r>
              <w:rPr>
                <w:rFonts w:hint="eastAsia"/>
              </w:rPr>
              <w:t xml:space="preserve">100.00 </w:t>
            </w:r>
          </w:p>
        </w:tc>
      </w:tr>
    </w:tbl>
    <w:p>
      <w:pPr>
        <w:pStyle w:val="8"/>
        <w:spacing w:before="0" w:beforeAutospacing="0" w:after="0" w:afterAutospacing="0" w:line="360" w:lineRule="auto"/>
        <w:ind w:firstLine="420"/>
        <w:rPr>
          <w:sz w:val="21"/>
          <w:szCs w:val="21"/>
        </w:rPr>
      </w:pPr>
      <w:r>
        <w:rPr>
          <w:rFonts w:hint="eastAsia"/>
          <w:sz w:val="21"/>
          <w:szCs w:val="21"/>
        </w:rPr>
        <w:t xml:space="preserve">注：权益投资中通过港股通机制投资香港股票金额249,303,817.29元，净值占比10.87%。 </w:t>
      </w:r>
    </w:p>
    <w:p>
      <w:pPr>
        <w:pStyle w:val="8"/>
        <w:spacing w:before="0" w:beforeAutospacing="0" w:after="0" w:afterAutospacing="0" w:line="360" w:lineRule="auto"/>
        <w:ind w:firstLine="420"/>
        <w:rPr>
          <w:sz w:val="21"/>
          <w:szCs w:val="21"/>
        </w:rPr>
      </w:pPr>
      <w:r>
        <w:rPr>
          <w:rFonts w:hint="eastAsia"/>
          <w:sz w:val="21"/>
          <w:szCs w:val="21"/>
        </w:rPr>
        <w:t xml:space="preserve">2 报告期末按行业分类的股票投资组合 </w:t>
      </w:r>
    </w:p>
    <w:p>
      <w:pPr>
        <w:pStyle w:val="8"/>
        <w:spacing w:before="0" w:beforeAutospacing="0" w:after="0" w:afterAutospacing="0" w:line="360" w:lineRule="auto"/>
        <w:ind w:firstLine="420"/>
        <w:rPr>
          <w:sz w:val="21"/>
          <w:szCs w:val="21"/>
        </w:rPr>
      </w:pPr>
      <w:r>
        <w:rPr>
          <w:rFonts w:hint="eastAsia"/>
          <w:sz w:val="21"/>
          <w:szCs w:val="21"/>
        </w:rPr>
        <w:t xml:space="preserve">2.1 报告期末按行业分类的境内股票投资组合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3276"/>
        <w:gridCol w:w="2474"/>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代码 </w:t>
            </w:r>
          </w:p>
        </w:tc>
        <w:tc>
          <w:tcPr>
            <w:tcW w:w="3615" w:type="dxa"/>
            <w:shd w:val="clear" w:color="auto" w:fill="auto"/>
          </w:tcPr>
          <w:p>
            <w:pPr>
              <w:pStyle w:val="8"/>
              <w:jc w:val="center"/>
            </w:pPr>
            <w:r>
              <w:rPr>
                <w:rFonts w:hint="eastAsia"/>
              </w:rPr>
              <w:t xml:space="preserve">行业类别 </w:t>
            </w:r>
          </w:p>
        </w:tc>
        <w:tc>
          <w:tcPr>
            <w:tcW w:w="2520" w:type="dxa"/>
            <w:shd w:val="clear" w:color="auto" w:fill="auto"/>
          </w:tcPr>
          <w:p>
            <w:pPr>
              <w:pStyle w:val="8"/>
              <w:jc w:val="center"/>
            </w:pPr>
            <w:r>
              <w:rPr>
                <w:rFonts w:hint="eastAsia"/>
              </w:rPr>
              <w:t xml:space="preserve">公允价值（元） </w:t>
            </w:r>
          </w:p>
        </w:tc>
        <w:tc>
          <w:tcPr>
            <w:tcW w:w="2355" w:type="dxa"/>
            <w:shd w:val="clear" w:color="auto" w:fill="auto"/>
          </w:tcPr>
          <w:p>
            <w:pPr>
              <w:pStyle w:val="8"/>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A </w:t>
            </w:r>
          </w:p>
        </w:tc>
        <w:tc>
          <w:tcPr>
            <w:tcW w:w="3615" w:type="dxa"/>
            <w:shd w:val="clear" w:color="auto" w:fill="auto"/>
          </w:tcPr>
          <w:p>
            <w:pPr>
              <w:pStyle w:val="8"/>
              <w:ind w:left="105"/>
            </w:pPr>
            <w:r>
              <w:rPr>
                <w:rFonts w:hint="eastAsia"/>
              </w:rPr>
              <w:t xml:space="preserve">农、林、牧、渔业 </w:t>
            </w:r>
          </w:p>
        </w:tc>
        <w:tc>
          <w:tcPr>
            <w:tcW w:w="2520" w:type="dxa"/>
            <w:shd w:val="clear" w:color="auto" w:fill="auto"/>
          </w:tcPr>
          <w:p>
            <w:pPr>
              <w:pStyle w:val="8"/>
              <w:jc w:val="right"/>
            </w:pPr>
            <w:r>
              <w:rPr>
                <w:rFonts w:hint="eastAsia"/>
              </w:rPr>
              <w:t xml:space="preserve">11,290.28 </w:t>
            </w:r>
          </w:p>
        </w:tc>
        <w:tc>
          <w:tcPr>
            <w:tcW w:w="2355" w:type="dxa"/>
            <w:shd w:val="clear" w:color="auto" w:fill="auto"/>
          </w:tcPr>
          <w:p>
            <w:pPr>
              <w:pStyle w:val="8"/>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B </w:t>
            </w:r>
          </w:p>
        </w:tc>
        <w:tc>
          <w:tcPr>
            <w:tcW w:w="3615" w:type="dxa"/>
            <w:shd w:val="clear" w:color="auto" w:fill="auto"/>
          </w:tcPr>
          <w:p>
            <w:pPr>
              <w:pStyle w:val="8"/>
              <w:ind w:left="105"/>
            </w:pPr>
            <w:r>
              <w:rPr>
                <w:rFonts w:hint="eastAsia"/>
              </w:rPr>
              <w:t xml:space="preserve">采矿业 </w:t>
            </w:r>
          </w:p>
        </w:tc>
        <w:tc>
          <w:tcPr>
            <w:tcW w:w="2520" w:type="dxa"/>
            <w:shd w:val="clear" w:color="auto" w:fill="auto"/>
          </w:tcPr>
          <w:p>
            <w:pPr>
              <w:pStyle w:val="8"/>
              <w:jc w:val="right"/>
            </w:pPr>
            <w:r>
              <w:rPr>
                <w:rFonts w:hint="eastAsia"/>
              </w:rPr>
              <w:t xml:space="preserve">- </w:t>
            </w:r>
          </w:p>
        </w:tc>
        <w:tc>
          <w:tcPr>
            <w:tcW w:w="235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C </w:t>
            </w:r>
          </w:p>
        </w:tc>
        <w:tc>
          <w:tcPr>
            <w:tcW w:w="3615" w:type="dxa"/>
            <w:shd w:val="clear" w:color="auto" w:fill="auto"/>
          </w:tcPr>
          <w:p>
            <w:pPr>
              <w:pStyle w:val="8"/>
              <w:ind w:left="105"/>
            </w:pPr>
            <w:r>
              <w:rPr>
                <w:rFonts w:hint="eastAsia"/>
              </w:rPr>
              <w:t xml:space="preserve">制造业 </w:t>
            </w:r>
          </w:p>
        </w:tc>
        <w:tc>
          <w:tcPr>
            <w:tcW w:w="2520" w:type="dxa"/>
            <w:shd w:val="clear" w:color="auto" w:fill="auto"/>
          </w:tcPr>
          <w:p>
            <w:pPr>
              <w:pStyle w:val="8"/>
              <w:jc w:val="right"/>
            </w:pPr>
            <w:r>
              <w:rPr>
                <w:rFonts w:hint="eastAsia"/>
              </w:rPr>
              <w:t xml:space="preserve">1,654,580,274.18 </w:t>
            </w:r>
          </w:p>
        </w:tc>
        <w:tc>
          <w:tcPr>
            <w:tcW w:w="2355" w:type="dxa"/>
            <w:shd w:val="clear" w:color="auto" w:fill="auto"/>
          </w:tcPr>
          <w:p>
            <w:pPr>
              <w:pStyle w:val="8"/>
              <w:jc w:val="right"/>
            </w:pPr>
            <w:r>
              <w:rPr>
                <w:rFonts w:hint="eastAsia"/>
              </w:rPr>
              <w:t xml:space="preserve">72.13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D </w:t>
            </w:r>
          </w:p>
        </w:tc>
        <w:tc>
          <w:tcPr>
            <w:tcW w:w="3615" w:type="dxa"/>
            <w:shd w:val="clear" w:color="auto" w:fill="auto"/>
          </w:tcPr>
          <w:p>
            <w:pPr>
              <w:pStyle w:val="8"/>
              <w:ind w:left="105"/>
            </w:pPr>
            <w:r>
              <w:rPr>
                <w:rFonts w:hint="eastAsia"/>
              </w:rPr>
              <w:t xml:space="preserve">电力、热力、燃气及水生产和供应业 </w:t>
            </w:r>
          </w:p>
        </w:tc>
        <w:tc>
          <w:tcPr>
            <w:tcW w:w="2520" w:type="dxa"/>
            <w:shd w:val="clear" w:color="auto" w:fill="auto"/>
          </w:tcPr>
          <w:p>
            <w:pPr>
              <w:pStyle w:val="8"/>
              <w:jc w:val="right"/>
            </w:pPr>
            <w:r>
              <w:rPr>
                <w:rFonts w:hint="eastAsia"/>
              </w:rPr>
              <w:t xml:space="preserve">5,195,363.50 </w:t>
            </w:r>
          </w:p>
        </w:tc>
        <w:tc>
          <w:tcPr>
            <w:tcW w:w="2355" w:type="dxa"/>
            <w:shd w:val="clear" w:color="auto" w:fill="auto"/>
          </w:tcPr>
          <w:p>
            <w:pPr>
              <w:pStyle w:val="8"/>
              <w:jc w:val="right"/>
            </w:pPr>
            <w:r>
              <w:rPr>
                <w:rFonts w:hint="eastAsia"/>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E </w:t>
            </w:r>
          </w:p>
        </w:tc>
        <w:tc>
          <w:tcPr>
            <w:tcW w:w="3615" w:type="dxa"/>
            <w:shd w:val="clear" w:color="auto" w:fill="auto"/>
          </w:tcPr>
          <w:p>
            <w:pPr>
              <w:pStyle w:val="8"/>
              <w:ind w:left="105"/>
            </w:pPr>
            <w:r>
              <w:rPr>
                <w:rFonts w:hint="eastAsia"/>
              </w:rPr>
              <w:t xml:space="preserve">建筑业 </w:t>
            </w:r>
          </w:p>
        </w:tc>
        <w:tc>
          <w:tcPr>
            <w:tcW w:w="2520" w:type="dxa"/>
            <w:shd w:val="clear" w:color="auto" w:fill="auto"/>
          </w:tcPr>
          <w:p>
            <w:pPr>
              <w:pStyle w:val="8"/>
              <w:jc w:val="right"/>
            </w:pPr>
            <w:r>
              <w:rPr>
                <w:rFonts w:hint="eastAsia"/>
              </w:rPr>
              <w:t xml:space="preserve">25,371.37 </w:t>
            </w:r>
          </w:p>
        </w:tc>
        <w:tc>
          <w:tcPr>
            <w:tcW w:w="2355" w:type="dxa"/>
            <w:shd w:val="clear" w:color="auto" w:fill="auto"/>
          </w:tcPr>
          <w:p>
            <w:pPr>
              <w:pStyle w:val="8"/>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F </w:t>
            </w:r>
          </w:p>
        </w:tc>
        <w:tc>
          <w:tcPr>
            <w:tcW w:w="3615" w:type="dxa"/>
            <w:shd w:val="clear" w:color="auto" w:fill="auto"/>
          </w:tcPr>
          <w:p>
            <w:pPr>
              <w:pStyle w:val="8"/>
              <w:ind w:left="105"/>
            </w:pPr>
            <w:r>
              <w:rPr>
                <w:rFonts w:hint="eastAsia"/>
              </w:rPr>
              <w:t xml:space="preserve">批发和零售业 </w:t>
            </w:r>
          </w:p>
        </w:tc>
        <w:tc>
          <w:tcPr>
            <w:tcW w:w="2520" w:type="dxa"/>
            <w:shd w:val="clear" w:color="auto" w:fill="auto"/>
          </w:tcPr>
          <w:p>
            <w:pPr>
              <w:pStyle w:val="8"/>
              <w:jc w:val="right"/>
            </w:pPr>
            <w:r>
              <w:rPr>
                <w:rFonts w:hint="eastAsia"/>
              </w:rPr>
              <w:t xml:space="preserve">279,580.90 </w:t>
            </w:r>
          </w:p>
        </w:tc>
        <w:tc>
          <w:tcPr>
            <w:tcW w:w="2355" w:type="dxa"/>
            <w:shd w:val="clear" w:color="auto" w:fill="auto"/>
          </w:tcPr>
          <w:p>
            <w:pPr>
              <w:pStyle w:val="8"/>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G </w:t>
            </w:r>
          </w:p>
        </w:tc>
        <w:tc>
          <w:tcPr>
            <w:tcW w:w="3615" w:type="dxa"/>
            <w:shd w:val="clear" w:color="auto" w:fill="auto"/>
          </w:tcPr>
          <w:p>
            <w:pPr>
              <w:pStyle w:val="8"/>
              <w:ind w:left="105"/>
            </w:pPr>
            <w:r>
              <w:rPr>
                <w:rFonts w:hint="eastAsia"/>
              </w:rPr>
              <w:t xml:space="preserve">交通运输、仓储和邮政业 </w:t>
            </w:r>
          </w:p>
        </w:tc>
        <w:tc>
          <w:tcPr>
            <w:tcW w:w="2520" w:type="dxa"/>
            <w:shd w:val="clear" w:color="auto" w:fill="auto"/>
          </w:tcPr>
          <w:p>
            <w:pPr>
              <w:pStyle w:val="8"/>
              <w:jc w:val="right"/>
            </w:pPr>
            <w:r>
              <w:rPr>
                <w:rFonts w:hint="eastAsia"/>
              </w:rPr>
              <w:t xml:space="preserve">- </w:t>
            </w:r>
          </w:p>
        </w:tc>
        <w:tc>
          <w:tcPr>
            <w:tcW w:w="235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shd w:val="clear" w:color="auto" w:fill="auto"/>
          </w:tcPr>
          <w:p>
            <w:pPr>
              <w:pStyle w:val="8"/>
              <w:jc w:val="center"/>
            </w:pPr>
            <w:r>
              <w:rPr>
                <w:rFonts w:hint="eastAsia"/>
              </w:rPr>
              <w:t xml:space="preserve">H </w:t>
            </w:r>
          </w:p>
        </w:tc>
        <w:tc>
          <w:tcPr>
            <w:tcW w:w="3615" w:type="dxa"/>
            <w:shd w:val="clear" w:color="auto" w:fill="auto"/>
          </w:tcPr>
          <w:p>
            <w:pPr>
              <w:pStyle w:val="8"/>
              <w:ind w:left="105"/>
            </w:pPr>
            <w:r>
              <w:rPr>
                <w:rFonts w:hint="eastAsia"/>
              </w:rPr>
              <w:t xml:space="preserve">住宿和餐饮业 </w:t>
            </w:r>
          </w:p>
        </w:tc>
        <w:tc>
          <w:tcPr>
            <w:tcW w:w="2520" w:type="dxa"/>
            <w:shd w:val="clear" w:color="auto" w:fill="auto"/>
          </w:tcPr>
          <w:p>
            <w:pPr>
              <w:pStyle w:val="8"/>
              <w:jc w:val="right"/>
            </w:pPr>
            <w:r>
              <w:rPr>
                <w:rFonts w:hint="eastAsia"/>
              </w:rPr>
              <w:t xml:space="preserve">- </w:t>
            </w:r>
          </w:p>
        </w:tc>
        <w:tc>
          <w:tcPr>
            <w:tcW w:w="235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I </w:t>
            </w:r>
          </w:p>
        </w:tc>
        <w:tc>
          <w:tcPr>
            <w:tcW w:w="3615" w:type="dxa"/>
            <w:shd w:val="clear" w:color="auto" w:fill="auto"/>
          </w:tcPr>
          <w:p>
            <w:pPr>
              <w:pStyle w:val="8"/>
              <w:ind w:left="105"/>
            </w:pPr>
            <w:r>
              <w:rPr>
                <w:rFonts w:hint="eastAsia"/>
              </w:rPr>
              <w:t xml:space="preserve">信息传输、软件和信息技术服务业 </w:t>
            </w:r>
          </w:p>
        </w:tc>
        <w:tc>
          <w:tcPr>
            <w:tcW w:w="2520" w:type="dxa"/>
            <w:shd w:val="clear" w:color="auto" w:fill="auto"/>
          </w:tcPr>
          <w:p>
            <w:pPr>
              <w:pStyle w:val="8"/>
              <w:jc w:val="right"/>
            </w:pPr>
            <w:r>
              <w:rPr>
                <w:rFonts w:hint="eastAsia"/>
              </w:rPr>
              <w:t xml:space="preserve">234,711,459.36 </w:t>
            </w:r>
          </w:p>
        </w:tc>
        <w:tc>
          <w:tcPr>
            <w:tcW w:w="2355" w:type="dxa"/>
            <w:shd w:val="clear" w:color="auto" w:fill="auto"/>
          </w:tcPr>
          <w:p>
            <w:pPr>
              <w:pStyle w:val="8"/>
              <w:jc w:val="right"/>
            </w:pPr>
            <w:r>
              <w:rPr>
                <w:rFonts w:hint="eastAsia"/>
              </w:rPr>
              <w:t xml:space="preserve">10.23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J </w:t>
            </w:r>
          </w:p>
        </w:tc>
        <w:tc>
          <w:tcPr>
            <w:tcW w:w="3615" w:type="dxa"/>
            <w:shd w:val="clear" w:color="auto" w:fill="auto"/>
          </w:tcPr>
          <w:p>
            <w:pPr>
              <w:pStyle w:val="8"/>
              <w:ind w:left="105"/>
            </w:pPr>
            <w:r>
              <w:rPr>
                <w:rFonts w:hint="eastAsia"/>
              </w:rPr>
              <w:t xml:space="preserve">金融业 </w:t>
            </w:r>
          </w:p>
        </w:tc>
        <w:tc>
          <w:tcPr>
            <w:tcW w:w="2520" w:type="dxa"/>
            <w:shd w:val="clear" w:color="auto" w:fill="auto"/>
          </w:tcPr>
          <w:p>
            <w:pPr>
              <w:pStyle w:val="8"/>
              <w:jc w:val="right"/>
            </w:pPr>
            <w:r>
              <w:rPr>
                <w:rFonts w:hint="eastAsia"/>
              </w:rPr>
              <w:t xml:space="preserve">34,721.10 </w:t>
            </w:r>
          </w:p>
        </w:tc>
        <w:tc>
          <w:tcPr>
            <w:tcW w:w="2355" w:type="dxa"/>
            <w:shd w:val="clear" w:color="auto" w:fill="auto"/>
          </w:tcPr>
          <w:p>
            <w:pPr>
              <w:pStyle w:val="8"/>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K </w:t>
            </w:r>
          </w:p>
        </w:tc>
        <w:tc>
          <w:tcPr>
            <w:tcW w:w="3615" w:type="dxa"/>
            <w:shd w:val="clear" w:color="auto" w:fill="auto"/>
          </w:tcPr>
          <w:p>
            <w:pPr>
              <w:pStyle w:val="8"/>
              <w:ind w:left="105"/>
            </w:pPr>
            <w:r>
              <w:rPr>
                <w:rFonts w:hint="eastAsia"/>
              </w:rPr>
              <w:t xml:space="preserve">房地产业 </w:t>
            </w:r>
          </w:p>
        </w:tc>
        <w:tc>
          <w:tcPr>
            <w:tcW w:w="2520" w:type="dxa"/>
            <w:shd w:val="clear" w:color="auto" w:fill="auto"/>
          </w:tcPr>
          <w:p>
            <w:pPr>
              <w:pStyle w:val="8"/>
              <w:jc w:val="right"/>
            </w:pPr>
            <w:r>
              <w:rPr>
                <w:rFonts w:hint="eastAsia"/>
              </w:rPr>
              <w:t xml:space="preserve">- </w:t>
            </w:r>
          </w:p>
        </w:tc>
        <w:tc>
          <w:tcPr>
            <w:tcW w:w="235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shd w:val="clear" w:color="auto" w:fill="auto"/>
          </w:tcPr>
          <w:p>
            <w:pPr>
              <w:pStyle w:val="8"/>
              <w:jc w:val="center"/>
            </w:pPr>
            <w:r>
              <w:rPr>
                <w:rFonts w:hint="eastAsia"/>
              </w:rPr>
              <w:t xml:space="preserve">L </w:t>
            </w:r>
          </w:p>
        </w:tc>
        <w:tc>
          <w:tcPr>
            <w:tcW w:w="3615" w:type="dxa"/>
            <w:shd w:val="clear" w:color="auto" w:fill="auto"/>
          </w:tcPr>
          <w:p>
            <w:pPr>
              <w:pStyle w:val="8"/>
              <w:ind w:left="105"/>
            </w:pPr>
            <w:r>
              <w:rPr>
                <w:rFonts w:hint="eastAsia"/>
              </w:rPr>
              <w:t xml:space="preserve">租赁和商务服务业 </w:t>
            </w:r>
          </w:p>
        </w:tc>
        <w:tc>
          <w:tcPr>
            <w:tcW w:w="2520" w:type="dxa"/>
            <w:shd w:val="clear" w:color="auto" w:fill="auto"/>
          </w:tcPr>
          <w:p>
            <w:pPr>
              <w:pStyle w:val="8"/>
              <w:jc w:val="right"/>
            </w:pPr>
            <w:r>
              <w:rPr>
                <w:rFonts w:hint="eastAsia"/>
              </w:rPr>
              <w:t xml:space="preserve">50,691,345.30 </w:t>
            </w:r>
          </w:p>
        </w:tc>
        <w:tc>
          <w:tcPr>
            <w:tcW w:w="2355" w:type="dxa"/>
            <w:shd w:val="clear" w:color="auto" w:fill="auto"/>
          </w:tcPr>
          <w:p>
            <w:pPr>
              <w:pStyle w:val="8"/>
              <w:jc w:val="right"/>
            </w:pPr>
            <w:r>
              <w:rPr>
                <w:rFonts w:hint="eastAsia"/>
              </w:rPr>
              <w:t xml:space="preserve">2.21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M </w:t>
            </w:r>
          </w:p>
        </w:tc>
        <w:tc>
          <w:tcPr>
            <w:tcW w:w="3615" w:type="dxa"/>
            <w:shd w:val="clear" w:color="auto" w:fill="auto"/>
          </w:tcPr>
          <w:p>
            <w:pPr>
              <w:pStyle w:val="8"/>
              <w:ind w:left="105"/>
            </w:pPr>
            <w:r>
              <w:rPr>
                <w:rFonts w:hint="eastAsia"/>
              </w:rPr>
              <w:t xml:space="preserve">科学研究和技术服务业 </w:t>
            </w:r>
          </w:p>
        </w:tc>
        <w:tc>
          <w:tcPr>
            <w:tcW w:w="2520" w:type="dxa"/>
            <w:shd w:val="clear" w:color="auto" w:fill="auto"/>
          </w:tcPr>
          <w:p>
            <w:pPr>
              <w:pStyle w:val="8"/>
              <w:jc w:val="right"/>
            </w:pPr>
            <w:r>
              <w:rPr>
                <w:rFonts w:hint="eastAsia"/>
              </w:rPr>
              <w:t xml:space="preserve">29,544,461.66 </w:t>
            </w:r>
          </w:p>
        </w:tc>
        <w:tc>
          <w:tcPr>
            <w:tcW w:w="2355" w:type="dxa"/>
            <w:shd w:val="clear" w:color="auto" w:fill="auto"/>
          </w:tcPr>
          <w:p>
            <w:pPr>
              <w:pStyle w:val="8"/>
              <w:jc w:val="right"/>
            </w:pPr>
            <w:r>
              <w:rPr>
                <w:rFonts w:hint="eastAsia"/>
              </w:rPr>
              <w:t xml:space="preserve">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N </w:t>
            </w:r>
          </w:p>
        </w:tc>
        <w:tc>
          <w:tcPr>
            <w:tcW w:w="3615" w:type="dxa"/>
            <w:shd w:val="clear" w:color="auto" w:fill="auto"/>
          </w:tcPr>
          <w:p>
            <w:pPr>
              <w:pStyle w:val="8"/>
              <w:ind w:left="105"/>
            </w:pPr>
            <w:r>
              <w:rPr>
                <w:rFonts w:hint="eastAsia"/>
              </w:rPr>
              <w:t xml:space="preserve">水利、环境和公共设施管理业 </w:t>
            </w:r>
          </w:p>
        </w:tc>
        <w:tc>
          <w:tcPr>
            <w:tcW w:w="2520" w:type="dxa"/>
            <w:shd w:val="clear" w:color="auto" w:fill="auto"/>
          </w:tcPr>
          <w:p>
            <w:pPr>
              <w:pStyle w:val="8"/>
              <w:jc w:val="right"/>
            </w:pPr>
            <w:r>
              <w:rPr>
                <w:rFonts w:hint="eastAsia"/>
              </w:rPr>
              <w:t xml:space="preserve">44,438.33 </w:t>
            </w:r>
          </w:p>
        </w:tc>
        <w:tc>
          <w:tcPr>
            <w:tcW w:w="2355" w:type="dxa"/>
            <w:shd w:val="clear" w:color="auto" w:fill="auto"/>
          </w:tcPr>
          <w:p>
            <w:pPr>
              <w:pStyle w:val="8"/>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shd w:val="clear" w:color="auto" w:fill="auto"/>
          </w:tcPr>
          <w:p>
            <w:pPr>
              <w:pStyle w:val="8"/>
              <w:jc w:val="center"/>
            </w:pPr>
            <w:r>
              <w:rPr>
                <w:rFonts w:hint="eastAsia"/>
              </w:rPr>
              <w:t xml:space="preserve">O </w:t>
            </w:r>
          </w:p>
        </w:tc>
        <w:tc>
          <w:tcPr>
            <w:tcW w:w="3615" w:type="dxa"/>
            <w:shd w:val="clear" w:color="auto" w:fill="auto"/>
          </w:tcPr>
          <w:p>
            <w:pPr>
              <w:pStyle w:val="8"/>
              <w:ind w:left="105"/>
            </w:pPr>
            <w:r>
              <w:rPr>
                <w:rFonts w:hint="eastAsia"/>
              </w:rPr>
              <w:t xml:space="preserve">居民服务、修理和其他服务业 </w:t>
            </w:r>
          </w:p>
        </w:tc>
        <w:tc>
          <w:tcPr>
            <w:tcW w:w="2520" w:type="dxa"/>
            <w:shd w:val="clear" w:color="auto" w:fill="auto"/>
          </w:tcPr>
          <w:p>
            <w:pPr>
              <w:pStyle w:val="8"/>
              <w:jc w:val="right"/>
            </w:pPr>
            <w:r>
              <w:rPr>
                <w:rFonts w:hint="eastAsia"/>
              </w:rPr>
              <w:t xml:space="preserve">- </w:t>
            </w:r>
          </w:p>
        </w:tc>
        <w:tc>
          <w:tcPr>
            <w:tcW w:w="235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P </w:t>
            </w:r>
          </w:p>
        </w:tc>
        <w:tc>
          <w:tcPr>
            <w:tcW w:w="3615" w:type="dxa"/>
            <w:shd w:val="clear" w:color="auto" w:fill="auto"/>
          </w:tcPr>
          <w:p>
            <w:pPr>
              <w:pStyle w:val="8"/>
              <w:ind w:left="105"/>
            </w:pPr>
            <w:r>
              <w:rPr>
                <w:rFonts w:hint="eastAsia"/>
              </w:rPr>
              <w:t xml:space="preserve">教育 </w:t>
            </w:r>
          </w:p>
        </w:tc>
        <w:tc>
          <w:tcPr>
            <w:tcW w:w="2520" w:type="dxa"/>
            <w:shd w:val="clear" w:color="auto" w:fill="auto"/>
          </w:tcPr>
          <w:p>
            <w:pPr>
              <w:pStyle w:val="8"/>
              <w:jc w:val="right"/>
            </w:pPr>
            <w:r>
              <w:rPr>
                <w:rFonts w:hint="eastAsia"/>
              </w:rPr>
              <w:t xml:space="preserve">- </w:t>
            </w:r>
          </w:p>
        </w:tc>
        <w:tc>
          <w:tcPr>
            <w:tcW w:w="235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Q </w:t>
            </w:r>
          </w:p>
        </w:tc>
        <w:tc>
          <w:tcPr>
            <w:tcW w:w="3615" w:type="dxa"/>
            <w:shd w:val="clear" w:color="auto" w:fill="auto"/>
          </w:tcPr>
          <w:p>
            <w:pPr>
              <w:pStyle w:val="8"/>
              <w:ind w:left="105"/>
            </w:pPr>
            <w:r>
              <w:rPr>
                <w:rFonts w:hint="eastAsia"/>
              </w:rPr>
              <w:t xml:space="preserve">卫生和社会工作 </w:t>
            </w:r>
          </w:p>
        </w:tc>
        <w:tc>
          <w:tcPr>
            <w:tcW w:w="2520" w:type="dxa"/>
            <w:shd w:val="clear" w:color="auto" w:fill="auto"/>
          </w:tcPr>
          <w:p>
            <w:pPr>
              <w:pStyle w:val="8"/>
              <w:jc w:val="right"/>
            </w:pPr>
            <w:r>
              <w:rPr>
                <w:rFonts w:hint="eastAsia"/>
              </w:rPr>
              <w:t xml:space="preserve">- </w:t>
            </w:r>
          </w:p>
        </w:tc>
        <w:tc>
          <w:tcPr>
            <w:tcW w:w="235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R </w:t>
            </w:r>
          </w:p>
        </w:tc>
        <w:tc>
          <w:tcPr>
            <w:tcW w:w="3615" w:type="dxa"/>
            <w:shd w:val="clear" w:color="auto" w:fill="auto"/>
          </w:tcPr>
          <w:p>
            <w:pPr>
              <w:pStyle w:val="8"/>
              <w:ind w:left="105"/>
            </w:pPr>
            <w:r>
              <w:rPr>
                <w:rFonts w:hint="eastAsia"/>
              </w:rPr>
              <w:t xml:space="preserve">文化、体育和娱乐业 </w:t>
            </w:r>
          </w:p>
        </w:tc>
        <w:tc>
          <w:tcPr>
            <w:tcW w:w="2520" w:type="dxa"/>
            <w:shd w:val="clear" w:color="auto" w:fill="auto"/>
          </w:tcPr>
          <w:p>
            <w:pPr>
              <w:pStyle w:val="8"/>
              <w:jc w:val="right"/>
            </w:pPr>
            <w:r>
              <w:rPr>
                <w:rFonts w:hint="eastAsia"/>
              </w:rPr>
              <w:t xml:space="preserve">- </w:t>
            </w:r>
          </w:p>
        </w:tc>
        <w:tc>
          <w:tcPr>
            <w:tcW w:w="235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pStyle w:val="8"/>
              <w:jc w:val="center"/>
            </w:pPr>
            <w:r>
              <w:rPr>
                <w:rFonts w:hint="eastAsia"/>
              </w:rPr>
              <w:t xml:space="preserve">S </w:t>
            </w:r>
          </w:p>
        </w:tc>
        <w:tc>
          <w:tcPr>
            <w:tcW w:w="3615" w:type="dxa"/>
            <w:shd w:val="clear" w:color="auto" w:fill="auto"/>
          </w:tcPr>
          <w:p>
            <w:pPr>
              <w:pStyle w:val="8"/>
              <w:ind w:left="105"/>
            </w:pPr>
            <w:r>
              <w:rPr>
                <w:rFonts w:hint="eastAsia"/>
              </w:rPr>
              <w:t xml:space="preserve">综合 </w:t>
            </w:r>
          </w:p>
        </w:tc>
        <w:tc>
          <w:tcPr>
            <w:tcW w:w="2520" w:type="dxa"/>
            <w:shd w:val="clear" w:color="auto" w:fill="auto"/>
          </w:tcPr>
          <w:p>
            <w:pPr>
              <w:pStyle w:val="8"/>
              <w:jc w:val="right"/>
            </w:pPr>
            <w:r>
              <w:rPr>
                <w:rFonts w:hint="eastAsia"/>
              </w:rPr>
              <w:t xml:space="preserve">- </w:t>
            </w:r>
          </w:p>
        </w:tc>
        <w:tc>
          <w:tcPr>
            <w:tcW w:w="235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shd w:val="clear" w:color="auto" w:fill="auto"/>
          </w:tcPr>
          <w:p>
            <w:pPr>
              <w:rPr>
                <w:rFonts w:ascii="宋体" w:hAnsi="宋体" w:eastAsia="宋体" w:cs="宋体"/>
                <w:sz w:val="24"/>
                <w:szCs w:val="24"/>
              </w:rPr>
            </w:pPr>
          </w:p>
        </w:tc>
        <w:tc>
          <w:tcPr>
            <w:tcW w:w="3615" w:type="dxa"/>
            <w:shd w:val="clear" w:color="auto" w:fill="auto"/>
          </w:tcPr>
          <w:p>
            <w:pPr>
              <w:pStyle w:val="8"/>
              <w:ind w:left="105"/>
            </w:pPr>
            <w:r>
              <w:rPr>
                <w:rFonts w:hint="eastAsia"/>
              </w:rPr>
              <w:t xml:space="preserve">合计 </w:t>
            </w:r>
          </w:p>
        </w:tc>
        <w:tc>
          <w:tcPr>
            <w:tcW w:w="2520" w:type="dxa"/>
            <w:shd w:val="clear" w:color="auto" w:fill="auto"/>
          </w:tcPr>
          <w:p>
            <w:pPr>
              <w:pStyle w:val="8"/>
              <w:jc w:val="right"/>
            </w:pPr>
            <w:r>
              <w:rPr>
                <w:rFonts w:hint="eastAsia"/>
              </w:rPr>
              <w:t xml:space="preserve">1,975,118,305.98 </w:t>
            </w:r>
          </w:p>
        </w:tc>
        <w:tc>
          <w:tcPr>
            <w:tcW w:w="2355" w:type="dxa"/>
            <w:shd w:val="clear" w:color="auto" w:fill="auto"/>
          </w:tcPr>
          <w:p>
            <w:pPr>
              <w:pStyle w:val="8"/>
              <w:jc w:val="right"/>
            </w:pPr>
            <w:r>
              <w:rPr>
                <w:rFonts w:hint="eastAsia"/>
              </w:rPr>
              <w:t xml:space="preserve">86.10 </w:t>
            </w:r>
          </w:p>
        </w:tc>
      </w:tr>
    </w:tbl>
    <w:p>
      <w:pPr>
        <w:pStyle w:val="8"/>
        <w:spacing w:before="0" w:beforeAutospacing="0" w:after="0" w:afterAutospacing="0" w:line="360" w:lineRule="auto"/>
        <w:ind w:firstLine="420"/>
        <w:rPr>
          <w:sz w:val="21"/>
          <w:szCs w:val="21"/>
        </w:rPr>
      </w:pPr>
      <w:r>
        <w:rPr>
          <w:rFonts w:hint="eastAsia"/>
          <w:sz w:val="21"/>
          <w:szCs w:val="21"/>
        </w:rPr>
        <w:t xml:space="preserve">2.2 报告期末按行业分类的港股通投资股票投资组合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2"/>
        <w:gridCol w:w="3016"/>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0" w:type="dxa"/>
            <w:shd w:val="clear" w:color="auto" w:fill="auto"/>
          </w:tcPr>
          <w:p>
            <w:pPr>
              <w:pStyle w:val="8"/>
              <w:jc w:val="center"/>
            </w:pPr>
            <w:r>
              <w:rPr>
                <w:rFonts w:hint="eastAsia"/>
              </w:rPr>
              <w:t xml:space="preserve">行业类别 </w:t>
            </w:r>
          </w:p>
        </w:tc>
        <w:tc>
          <w:tcPr>
            <w:tcW w:w="3090" w:type="dxa"/>
            <w:shd w:val="clear" w:color="auto" w:fill="auto"/>
          </w:tcPr>
          <w:p>
            <w:pPr>
              <w:pStyle w:val="8"/>
              <w:jc w:val="center"/>
            </w:pPr>
            <w:r>
              <w:rPr>
                <w:rFonts w:hint="eastAsia"/>
              </w:rPr>
              <w:t xml:space="preserve">公允价值（人民币） </w:t>
            </w:r>
          </w:p>
        </w:tc>
        <w:tc>
          <w:tcPr>
            <w:tcW w:w="3090" w:type="dxa"/>
            <w:shd w:val="clear" w:color="auto" w:fill="auto"/>
          </w:tcPr>
          <w:p>
            <w:pPr>
              <w:pStyle w:val="8"/>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5" w:type="dxa"/>
            <w:shd w:val="clear" w:color="auto" w:fill="auto"/>
          </w:tcPr>
          <w:p>
            <w:pPr>
              <w:pStyle w:val="8"/>
            </w:pPr>
            <w:r>
              <w:rPr>
                <w:rFonts w:hint="eastAsia"/>
              </w:rPr>
              <w:t xml:space="preserve">电信业务 </w:t>
            </w:r>
          </w:p>
        </w:tc>
        <w:tc>
          <w:tcPr>
            <w:tcW w:w="3315" w:type="dxa"/>
            <w:shd w:val="clear" w:color="auto" w:fill="auto"/>
          </w:tcPr>
          <w:p>
            <w:pPr>
              <w:pStyle w:val="8"/>
              <w:jc w:val="right"/>
            </w:pPr>
            <w:r>
              <w:rPr>
                <w:rFonts w:hint="eastAsia"/>
              </w:rPr>
              <w:t xml:space="preserve">144,274,018.37 </w:t>
            </w:r>
          </w:p>
        </w:tc>
        <w:tc>
          <w:tcPr>
            <w:tcW w:w="3315" w:type="dxa"/>
            <w:shd w:val="clear" w:color="auto" w:fill="auto"/>
          </w:tcPr>
          <w:p>
            <w:pPr>
              <w:pStyle w:val="8"/>
              <w:jc w:val="right"/>
            </w:pPr>
            <w:r>
              <w:rPr>
                <w:rFonts w:hint="eastAsia"/>
              </w:rPr>
              <w:t xml:space="preserve">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5" w:type="dxa"/>
            <w:shd w:val="clear" w:color="auto" w:fill="auto"/>
          </w:tcPr>
          <w:p>
            <w:pPr>
              <w:pStyle w:val="8"/>
            </w:pPr>
            <w:r>
              <w:rPr>
                <w:rFonts w:hint="eastAsia"/>
              </w:rPr>
              <w:t xml:space="preserve">非日常生活消费品 </w:t>
            </w:r>
          </w:p>
        </w:tc>
        <w:tc>
          <w:tcPr>
            <w:tcW w:w="3315" w:type="dxa"/>
            <w:shd w:val="clear" w:color="auto" w:fill="auto"/>
          </w:tcPr>
          <w:p>
            <w:pPr>
              <w:pStyle w:val="8"/>
              <w:jc w:val="right"/>
            </w:pPr>
            <w:r>
              <w:rPr>
                <w:rFonts w:hint="eastAsia"/>
              </w:rPr>
              <w:t xml:space="preserve">34,749,033.74 </w:t>
            </w:r>
          </w:p>
        </w:tc>
        <w:tc>
          <w:tcPr>
            <w:tcW w:w="3315" w:type="dxa"/>
            <w:shd w:val="clear" w:color="auto" w:fill="auto"/>
          </w:tcPr>
          <w:p>
            <w:pPr>
              <w:pStyle w:val="8"/>
              <w:jc w:val="right"/>
            </w:pPr>
            <w:r>
              <w:rPr>
                <w:rFonts w:hint="eastAsia"/>
              </w:rPr>
              <w:t xml:space="preserve">1.51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5" w:type="dxa"/>
            <w:shd w:val="clear" w:color="auto" w:fill="auto"/>
          </w:tcPr>
          <w:p>
            <w:pPr>
              <w:pStyle w:val="8"/>
            </w:pPr>
            <w:r>
              <w:rPr>
                <w:rFonts w:hint="eastAsia"/>
              </w:rPr>
              <w:t xml:space="preserve">信息技术 </w:t>
            </w:r>
          </w:p>
        </w:tc>
        <w:tc>
          <w:tcPr>
            <w:tcW w:w="3315" w:type="dxa"/>
            <w:shd w:val="clear" w:color="auto" w:fill="auto"/>
          </w:tcPr>
          <w:p>
            <w:pPr>
              <w:pStyle w:val="8"/>
              <w:jc w:val="right"/>
            </w:pPr>
            <w:r>
              <w:rPr>
                <w:rFonts w:hint="eastAsia"/>
              </w:rPr>
              <w:t xml:space="preserve">63,546,548.70 </w:t>
            </w:r>
          </w:p>
        </w:tc>
        <w:tc>
          <w:tcPr>
            <w:tcW w:w="3315" w:type="dxa"/>
            <w:shd w:val="clear" w:color="auto" w:fill="auto"/>
          </w:tcPr>
          <w:p>
            <w:pPr>
              <w:pStyle w:val="8"/>
              <w:jc w:val="right"/>
            </w:pPr>
            <w:r>
              <w:rPr>
                <w:rFonts w:hint="eastAsia"/>
              </w:rPr>
              <w:t xml:space="preserve">2.77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5" w:type="dxa"/>
            <w:shd w:val="clear" w:color="auto" w:fill="auto"/>
          </w:tcPr>
          <w:p>
            <w:pPr>
              <w:pStyle w:val="8"/>
            </w:pPr>
            <w:r>
              <w:rPr>
                <w:rFonts w:hint="eastAsia"/>
              </w:rPr>
              <w:t xml:space="preserve">医疗保健 </w:t>
            </w:r>
          </w:p>
        </w:tc>
        <w:tc>
          <w:tcPr>
            <w:tcW w:w="3315" w:type="dxa"/>
            <w:shd w:val="clear" w:color="auto" w:fill="auto"/>
          </w:tcPr>
          <w:p>
            <w:pPr>
              <w:pStyle w:val="8"/>
              <w:jc w:val="right"/>
            </w:pPr>
            <w:r>
              <w:rPr>
                <w:rFonts w:hint="eastAsia"/>
              </w:rPr>
              <w:t xml:space="preserve">6,734,216.48 </w:t>
            </w:r>
          </w:p>
        </w:tc>
        <w:tc>
          <w:tcPr>
            <w:tcW w:w="3315" w:type="dxa"/>
            <w:shd w:val="clear" w:color="auto" w:fill="auto"/>
          </w:tcPr>
          <w:p>
            <w:pPr>
              <w:pStyle w:val="8"/>
              <w:jc w:val="right"/>
            </w:pPr>
            <w:r>
              <w:rPr>
                <w:rFonts w:hint="eastAsia"/>
              </w:rPr>
              <w:t xml:space="preserve">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0" w:type="dxa"/>
            <w:shd w:val="clear" w:color="auto" w:fill="auto"/>
          </w:tcPr>
          <w:p>
            <w:pPr>
              <w:pStyle w:val="8"/>
            </w:pPr>
            <w:r>
              <w:rPr>
                <w:rFonts w:hint="eastAsia"/>
              </w:rPr>
              <w:t xml:space="preserve">合计 </w:t>
            </w:r>
          </w:p>
        </w:tc>
        <w:tc>
          <w:tcPr>
            <w:tcW w:w="3090" w:type="dxa"/>
            <w:shd w:val="clear" w:color="auto" w:fill="auto"/>
          </w:tcPr>
          <w:p>
            <w:pPr>
              <w:pStyle w:val="8"/>
              <w:jc w:val="right"/>
            </w:pPr>
            <w:r>
              <w:rPr>
                <w:rFonts w:hint="eastAsia"/>
              </w:rPr>
              <w:t xml:space="preserve">249,303,817.29 </w:t>
            </w:r>
          </w:p>
        </w:tc>
        <w:tc>
          <w:tcPr>
            <w:tcW w:w="3090" w:type="dxa"/>
            <w:shd w:val="clear" w:color="auto" w:fill="auto"/>
          </w:tcPr>
          <w:p>
            <w:pPr>
              <w:pStyle w:val="8"/>
              <w:jc w:val="right"/>
            </w:pPr>
            <w:r>
              <w:rPr>
                <w:rFonts w:hint="eastAsia"/>
              </w:rPr>
              <w:t xml:space="preserve">10.87 </w:t>
            </w:r>
          </w:p>
        </w:tc>
      </w:tr>
    </w:tbl>
    <w:p>
      <w:pPr>
        <w:pStyle w:val="8"/>
        <w:spacing w:before="0" w:beforeAutospacing="0" w:after="0" w:afterAutospacing="0" w:line="360" w:lineRule="auto"/>
        <w:ind w:firstLine="420"/>
        <w:rPr>
          <w:sz w:val="21"/>
          <w:szCs w:val="21"/>
        </w:rPr>
      </w:pPr>
      <w:r>
        <w:rPr>
          <w:rFonts w:hint="eastAsia"/>
          <w:sz w:val="21"/>
          <w:szCs w:val="21"/>
        </w:rPr>
        <w:t xml:space="preserve">注：以上分类采用彭博提供的国际通用行业分类标准。 </w:t>
      </w:r>
    </w:p>
    <w:p>
      <w:pPr>
        <w:pStyle w:val="8"/>
        <w:spacing w:before="0" w:beforeAutospacing="0" w:after="0" w:afterAutospacing="0" w:line="360" w:lineRule="auto"/>
        <w:ind w:firstLine="420"/>
        <w:rPr>
          <w:sz w:val="21"/>
          <w:szCs w:val="21"/>
        </w:rPr>
      </w:pPr>
      <w:r>
        <w:rPr>
          <w:rFonts w:hint="eastAsia"/>
          <w:sz w:val="21"/>
          <w:szCs w:val="21"/>
        </w:rPr>
        <w:t xml:space="preserve">3期末按公允价值占基金资产净值比例大小排序的股票投资明细 </w:t>
      </w:r>
    </w:p>
    <w:p>
      <w:pPr>
        <w:pStyle w:val="8"/>
        <w:spacing w:before="0" w:beforeAutospacing="0" w:after="0" w:afterAutospacing="0" w:line="360" w:lineRule="auto"/>
        <w:ind w:firstLine="420"/>
        <w:rPr>
          <w:sz w:val="21"/>
          <w:szCs w:val="21"/>
        </w:rPr>
      </w:pPr>
      <w:r>
        <w:rPr>
          <w:rFonts w:hint="eastAsia"/>
          <w:sz w:val="21"/>
          <w:szCs w:val="21"/>
        </w:rPr>
        <w:t xml:space="preserve">3.1报告期末按公允价值占基金资产净值比例大小排序的前十名股票投资明细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228"/>
        <w:gridCol w:w="1084"/>
        <w:gridCol w:w="1628"/>
        <w:gridCol w:w="1912"/>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8"/>
              <w:jc w:val="center"/>
            </w:pPr>
            <w:r>
              <w:rPr>
                <w:rFonts w:hint="eastAsia"/>
              </w:rPr>
              <w:t xml:space="preserve">序号 </w:t>
            </w:r>
          </w:p>
        </w:tc>
        <w:tc>
          <w:tcPr>
            <w:tcW w:w="1290" w:type="dxa"/>
            <w:shd w:val="clear" w:color="auto" w:fill="auto"/>
          </w:tcPr>
          <w:p>
            <w:pPr>
              <w:pStyle w:val="8"/>
              <w:jc w:val="center"/>
            </w:pPr>
            <w:r>
              <w:rPr>
                <w:rFonts w:hint="eastAsia"/>
              </w:rPr>
              <w:t xml:space="preserve">股票代码 </w:t>
            </w:r>
          </w:p>
        </w:tc>
        <w:tc>
          <w:tcPr>
            <w:tcW w:w="1320" w:type="dxa"/>
            <w:shd w:val="clear" w:color="auto" w:fill="auto"/>
          </w:tcPr>
          <w:p>
            <w:pPr>
              <w:pStyle w:val="8"/>
              <w:jc w:val="center"/>
            </w:pPr>
            <w:r>
              <w:rPr>
                <w:rFonts w:hint="eastAsia"/>
              </w:rPr>
              <w:t xml:space="preserve">股票名称 </w:t>
            </w:r>
          </w:p>
        </w:tc>
        <w:tc>
          <w:tcPr>
            <w:tcW w:w="1680" w:type="dxa"/>
            <w:shd w:val="clear" w:color="auto" w:fill="auto"/>
          </w:tcPr>
          <w:p>
            <w:pPr>
              <w:pStyle w:val="8"/>
              <w:jc w:val="center"/>
            </w:pPr>
            <w:r>
              <w:rPr>
                <w:rFonts w:hint="eastAsia"/>
              </w:rPr>
              <w:t xml:space="preserve">数量(股) </w:t>
            </w:r>
          </w:p>
        </w:tc>
        <w:tc>
          <w:tcPr>
            <w:tcW w:w="1785" w:type="dxa"/>
            <w:shd w:val="clear" w:color="auto" w:fill="auto"/>
          </w:tcPr>
          <w:p>
            <w:pPr>
              <w:pStyle w:val="8"/>
              <w:jc w:val="center"/>
            </w:pPr>
            <w:r>
              <w:rPr>
                <w:rFonts w:hint="eastAsia"/>
              </w:rPr>
              <w:t xml:space="preserve">公允价值(元) </w:t>
            </w:r>
          </w:p>
        </w:tc>
        <w:tc>
          <w:tcPr>
            <w:tcW w:w="2490" w:type="dxa"/>
            <w:shd w:val="clear" w:color="auto" w:fill="auto"/>
          </w:tcPr>
          <w:p>
            <w:pPr>
              <w:pStyle w:val="8"/>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8"/>
              <w:jc w:val="center"/>
            </w:pPr>
            <w:r>
              <w:rPr>
                <w:rFonts w:hint="eastAsia"/>
              </w:rPr>
              <w:t xml:space="preserve">1 </w:t>
            </w:r>
          </w:p>
        </w:tc>
        <w:tc>
          <w:tcPr>
            <w:tcW w:w="1380" w:type="dxa"/>
            <w:shd w:val="clear" w:color="auto" w:fill="auto"/>
          </w:tcPr>
          <w:p>
            <w:pPr>
              <w:pStyle w:val="8"/>
              <w:jc w:val="center"/>
            </w:pPr>
            <w:r>
              <w:rPr>
                <w:rFonts w:hint="eastAsia"/>
              </w:rPr>
              <w:t xml:space="preserve">300750 </w:t>
            </w:r>
          </w:p>
        </w:tc>
        <w:tc>
          <w:tcPr>
            <w:tcW w:w="1410" w:type="dxa"/>
            <w:shd w:val="clear" w:color="auto" w:fill="auto"/>
          </w:tcPr>
          <w:p>
            <w:pPr>
              <w:pStyle w:val="8"/>
              <w:jc w:val="center"/>
            </w:pPr>
            <w:r>
              <w:rPr>
                <w:rFonts w:hint="eastAsia"/>
              </w:rPr>
              <w:t xml:space="preserve">宁德时代 </w:t>
            </w:r>
          </w:p>
        </w:tc>
        <w:tc>
          <w:tcPr>
            <w:tcW w:w="1800" w:type="dxa"/>
            <w:shd w:val="clear" w:color="auto" w:fill="auto"/>
          </w:tcPr>
          <w:p>
            <w:pPr>
              <w:pStyle w:val="8"/>
              <w:jc w:val="right"/>
            </w:pPr>
            <w:r>
              <w:rPr>
                <w:rFonts w:hint="eastAsia"/>
              </w:rPr>
              <w:t xml:space="preserve">323,388 </w:t>
            </w:r>
          </w:p>
        </w:tc>
        <w:tc>
          <w:tcPr>
            <w:tcW w:w="1920" w:type="dxa"/>
            <w:shd w:val="clear" w:color="auto" w:fill="auto"/>
          </w:tcPr>
          <w:p>
            <w:pPr>
              <w:pStyle w:val="8"/>
              <w:jc w:val="right"/>
            </w:pPr>
            <w:r>
              <w:rPr>
                <w:rFonts w:hint="eastAsia"/>
              </w:rPr>
              <w:t xml:space="preserve">172,947,902.40 </w:t>
            </w:r>
          </w:p>
        </w:tc>
        <w:tc>
          <w:tcPr>
            <w:tcW w:w="2670" w:type="dxa"/>
            <w:shd w:val="clear" w:color="auto" w:fill="auto"/>
          </w:tcPr>
          <w:p>
            <w:pPr>
              <w:pStyle w:val="8"/>
              <w:jc w:val="right"/>
            </w:pPr>
            <w:r>
              <w:rPr>
                <w:rFonts w:hint="eastAsia"/>
              </w:rPr>
              <w:t xml:space="preserve">7.54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8"/>
              <w:jc w:val="center"/>
            </w:pPr>
            <w:r>
              <w:rPr>
                <w:rFonts w:hint="eastAsia"/>
              </w:rPr>
              <w:t xml:space="preserve">2 </w:t>
            </w:r>
          </w:p>
        </w:tc>
        <w:tc>
          <w:tcPr>
            <w:tcW w:w="1380" w:type="dxa"/>
            <w:shd w:val="clear" w:color="auto" w:fill="auto"/>
          </w:tcPr>
          <w:p>
            <w:pPr>
              <w:pStyle w:val="8"/>
              <w:jc w:val="center"/>
            </w:pPr>
            <w:r>
              <w:rPr>
                <w:rFonts w:hint="eastAsia"/>
              </w:rPr>
              <w:t xml:space="preserve">300782 </w:t>
            </w:r>
          </w:p>
        </w:tc>
        <w:tc>
          <w:tcPr>
            <w:tcW w:w="1410" w:type="dxa"/>
            <w:shd w:val="clear" w:color="auto" w:fill="auto"/>
          </w:tcPr>
          <w:p>
            <w:pPr>
              <w:pStyle w:val="8"/>
              <w:jc w:val="center"/>
            </w:pPr>
            <w:r>
              <w:rPr>
                <w:rFonts w:hint="eastAsia"/>
              </w:rPr>
              <w:t xml:space="preserve">卓胜微 </w:t>
            </w:r>
          </w:p>
        </w:tc>
        <w:tc>
          <w:tcPr>
            <w:tcW w:w="1800" w:type="dxa"/>
            <w:shd w:val="clear" w:color="auto" w:fill="auto"/>
          </w:tcPr>
          <w:p>
            <w:pPr>
              <w:pStyle w:val="8"/>
              <w:jc w:val="right"/>
            </w:pPr>
            <w:r>
              <w:rPr>
                <w:rFonts w:hint="eastAsia"/>
              </w:rPr>
              <w:t xml:space="preserve">291,120 </w:t>
            </w:r>
          </w:p>
        </w:tc>
        <w:tc>
          <w:tcPr>
            <w:tcW w:w="1920" w:type="dxa"/>
            <w:shd w:val="clear" w:color="auto" w:fill="auto"/>
          </w:tcPr>
          <w:p>
            <w:pPr>
              <w:pStyle w:val="8"/>
              <w:jc w:val="right"/>
            </w:pPr>
            <w:r>
              <w:rPr>
                <w:rFonts w:hint="eastAsia"/>
              </w:rPr>
              <w:t xml:space="preserve">156,477,000.00 </w:t>
            </w:r>
          </w:p>
        </w:tc>
        <w:tc>
          <w:tcPr>
            <w:tcW w:w="2670" w:type="dxa"/>
            <w:shd w:val="clear" w:color="auto" w:fill="auto"/>
          </w:tcPr>
          <w:p>
            <w:pPr>
              <w:pStyle w:val="8"/>
              <w:jc w:val="right"/>
            </w:pPr>
            <w:r>
              <w:rPr>
                <w:rFonts w:hint="eastAsia"/>
              </w:rPr>
              <w:t xml:space="preserve">6.82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8"/>
              <w:jc w:val="center"/>
            </w:pPr>
            <w:r>
              <w:rPr>
                <w:rFonts w:hint="eastAsia"/>
              </w:rPr>
              <w:t xml:space="preserve">3 </w:t>
            </w:r>
          </w:p>
        </w:tc>
        <w:tc>
          <w:tcPr>
            <w:tcW w:w="1380" w:type="dxa"/>
            <w:shd w:val="clear" w:color="auto" w:fill="auto"/>
          </w:tcPr>
          <w:p>
            <w:pPr>
              <w:pStyle w:val="8"/>
              <w:jc w:val="center"/>
            </w:pPr>
            <w:r>
              <w:rPr>
                <w:rFonts w:hint="eastAsia"/>
              </w:rPr>
              <w:t xml:space="preserve">688180 </w:t>
            </w:r>
          </w:p>
        </w:tc>
        <w:tc>
          <w:tcPr>
            <w:tcW w:w="1410" w:type="dxa"/>
            <w:shd w:val="clear" w:color="auto" w:fill="auto"/>
          </w:tcPr>
          <w:p>
            <w:pPr>
              <w:pStyle w:val="8"/>
              <w:jc w:val="center"/>
            </w:pPr>
            <w:r>
              <w:rPr>
                <w:rFonts w:hint="eastAsia"/>
              </w:rPr>
              <w:t xml:space="preserve">君实生物 </w:t>
            </w:r>
          </w:p>
        </w:tc>
        <w:tc>
          <w:tcPr>
            <w:tcW w:w="1800" w:type="dxa"/>
            <w:shd w:val="clear" w:color="auto" w:fill="auto"/>
          </w:tcPr>
          <w:p>
            <w:pPr>
              <w:pStyle w:val="8"/>
              <w:jc w:val="right"/>
            </w:pPr>
            <w:r>
              <w:rPr>
                <w:rFonts w:hint="eastAsia"/>
              </w:rPr>
              <w:t xml:space="preserve">1,801,801 </w:t>
            </w:r>
          </w:p>
        </w:tc>
        <w:tc>
          <w:tcPr>
            <w:tcW w:w="1920" w:type="dxa"/>
            <w:shd w:val="clear" w:color="auto" w:fill="auto"/>
          </w:tcPr>
          <w:p>
            <w:pPr>
              <w:pStyle w:val="8"/>
              <w:jc w:val="right"/>
            </w:pPr>
            <w:r>
              <w:rPr>
                <w:rFonts w:hint="eastAsia"/>
              </w:rPr>
              <w:t xml:space="preserve">144,738,674.33 </w:t>
            </w:r>
          </w:p>
        </w:tc>
        <w:tc>
          <w:tcPr>
            <w:tcW w:w="2670" w:type="dxa"/>
            <w:shd w:val="clear" w:color="auto" w:fill="auto"/>
          </w:tcPr>
          <w:p>
            <w:pPr>
              <w:pStyle w:val="8"/>
              <w:jc w:val="right"/>
            </w:pPr>
            <w:r>
              <w:rPr>
                <w:rFonts w:hint="eastAsia"/>
              </w:rPr>
              <w:t xml:space="preserve">6.31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8"/>
              <w:jc w:val="center"/>
            </w:pPr>
            <w:r>
              <w:rPr>
                <w:rFonts w:hint="eastAsia"/>
              </w:rPr>
              <w:t xml:space="preserve">4 </w:t>
            </w:r>
          </w:p>
        </w:tc>
        <w:tc>
          <w:tcPr>
            <w:tcW w:w="1380" w:type="dxa"/>
            <w:shd w:val="clear" w:color="auto" w:fill="auto"/>
          </w:tcPr>
          <w:p>
            <w:pPr>
              <w:pStyle w:val="8"/>
              <w:jc w:val="center"/>
            </w:pPr>
            <w:r>
              <w:rPr>
                <w:rFonts w:hint="eastAsia"/>
              </w:rPr>
              <w:t xml:space="preserve">0700 </w:t>
            </w:r>
          </w:p>
        </w:tc>
        <w:tc>
          <w:tcPr>
            <w:tcW w:w="1410" w:type="dxa"/>
            <w:shd w:val="clear" w:color="auto" w:fill="auto"/>
          </w:tcPr>
          <w:p>
            <w:pPr>
              <w:pStyle w:val="8"/>
              <w:jc w:val="center"/>
            </w:pPr>
            <w:r>
              <w:rPr>
                <w:rFonts w:hint="eastAsia"/>
              </w:rPr>
              <w:t xml:space="preserve">腾讯控股 </w:t>
            </w:r>
          </w:p>
        </w:tc>
        <w:tc>
          <w:tcPr>
            <w:tcW w:w="1800" w:type="dxa"/>
            <w:shd w:val="clear" w:color="auto" w:fill="auto"/>
          </w:tcPr>
          <w:p>
            <w:pPr>
              <w:pStyle w:val="8"/>
              <w:jc w:val="right"/>
            </w:pPr>
            <w:r>
              <w:rPr>
                <w:rFonts w:hint="eastAsia"/>
              </w:rPr>
              <w:t xml:space="preserve">296,900 </w:t>
            </w:r>
          </w:p>
        </w:tc>
        <w:tc>
          <w:tcPr>
            <w:tcW w:w="1920" w:type="dxa"/>
            <w:shd w:val="clear" w:color="auto" w:fill="auto"/>
          </w:tcPr>
          <w:p>
            <w:pPr>
              <w:pStyle w:val="8"/>
              <w:jc w:val="right"/>
            </w:pPr>
            <w:r>
              <w:rPr>
                <w:rFonts w:hint="eastAsia"/>
              </w:rPr>
              <w:t xml:space="preserve">144,274,018.37 </w:t>
            </w:r>
          </w:p>
        </w:tc>
        <w:tc>
          <w:tcPr>
            <w:tcW w:w="2670" w:type="dxa"/>
            <w:shd w:val="clear" w:color="auto" w:fill="auto"/>
          </w:tcPr>
          <w:p>
            <w:pPr>
              <w:pStyle w:val="8"/>
              <w:jc w:val="right"/>
            </w:pPr>
            <w:r>
              <w:rPr>
                <w:rFonts w:hint="eastAsia"/>
              </w:rPr>
              <w:t xml:space="preserve">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8"/>
              <w:jc w:val="center"/>
            </w:pPr>
            <w:r>
              <w:rPr>
                <w:rFonts w:hint="eastAsia"/>
              </w:rPr>
              <w:t xml:space="preserve">5 </w:t>
            </w:r>
          </w:p>
        </w:tc>
        <w:tc>
          <w:tcPr>
            <w:tcW w:w="1380" w:type="dxa"/>
            <w:shd w:val="clear" w:color="auto" w:fill="auto"/>
          </w:tcPr>
          <w:p>
            <w:pPr>
              <w:pStyle w:val="8"/>
              <w:jc w:val="center"/>
            </w:pPr>
            <w:r>
              <w:rPr>
                <w:rFonts w:hint="eastAsia"/>
              </w:rPr>
              <w:t xml:space="preserve">002415 </w:t>
            </w:r>
          </w:p>
        </w:tc>
        <w:tc>
          <w:tcPr>
            <w:tcW w:w="1410" w:type="dxa"/>
            <w:shd w:val="clear" w:color="auto" w:fill="auto"/>
          </w:tcPr>
          <w:p>
            <w:pPr>
              <w:pStyle w:val="8"/>
              <w:jc w:val="center"/>
            </w:pPr>
            <w:r>
              <w:rPr>
                <w:rFonts w:hint="eastAsia"/>
              </w:rPr>
              <w:t xml:space="preserve">海康威视 </w:t>
            </w:r>
          </w:p>
        </w:tc>
        <w:tc>
          <w:tcPr>
            <w:tcW w:w="1800" w:type="dxa"/>
            <w:shd w:val="clear" w:color="auto" w:fill="auto"/>
          </w:tcPr>
          <w:p>
            <w:pPr>
              <w:pStyle w:val="8"/>
              <w:jc w:val="right"/>
            </w:pPr>
            <w:r>
              <w:rPr>
                <w:rFonts w:hint="eastAsia"/>
              </w:rPr>
              <w:t xml:space="preserve">1,700,817 </w:t>
            </w:r>
          </w:p>
        </w:tc>
        <w:tc>
          <w:tcPr>
            <w:tcW w:w="1920" w:type="dxa"/>
            <w:shd w:val="clear" w:color="auto" w:fill="auto"/>
          </w:tcPr>
          <w:p>
            <w:pPr>
              <w:pStyle w:val="8"/>
              <w:jc w:val="right"/>
            </w:pPr>
            <w:r>
              <w:rPr>
                <w:rFonts w:hint="eastAsia"/>
              </w:rPr>
              <w:t xml:space="preserve">109,702,696.50 </w:t>
            </w:r>
          </w:p>
        </w:tc>
        <w:tc>
          <w:tcPr>
            <w:tcW w:w="2670" w:type="dxa"/>
            <w:shd w:val="clear" w:color="auto" w:fill="auto"/>
          </w:tcPr>
          <w:p>
            <w:pPr>
              <w:pStyle w:val="8"/>
              <w:jc w:val="right"/>
            </w:pPr>
            <w:r>
              <w:rPr>
                <w:rFonts w:hint="eastAsia"/>
              </w:rPr>
              <w:t xml:space="preserve">4.78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8"/>
              <w:jc w:val="center"/>
            </w:pPr>
            <w:r>
              <w:rPr>
                <w:rFonts w:hint="eastAsia"/>
              </w:rPr>
              <w:t xml:space="preserve">6 </w:t>
            </w:r>
          </w:p>
        </w:tc>
        <w:tc>
          <w:tcPr>
            <w:tcW w:w="1380" w:type="dxa"/>
            <w:shd w:val="clear" w:color="auto" w:fill="auto"/>
          </w:tcPr>
          <w:p>
            <w:pPr>
              <w:pStyle w:val="8"/>
              <w:jc w:val="center"/>
            </w:pPr>
            <w:r>
              <w:rPr>
                <w:rFonts w:hint="eastAsia"/>
              </w:rPr>
              <w:t xml:space="preserve">688699 </w:t>
            </w:r>
          </w:p>
        </w:tc>
        <w:tc>
          <w:tcPr>
            <w:tcW w:w="1410" w:type="dxa"/>
            <w:shd w:val="clear" w:color="auto" w:fill="auto"/>
          </w:tcPr>
          <w:p>
            <w:pPr>
              <w:pStyle w:val="8"/>
              <w:jc w:val="center"/>
            </w:pPr>
            <w:r>
              <w:rPr>
                <w:rFonts w:hint="eastAsia"/>
              </w:rPr>
              <w:t xml:space="preserve">明微电子 </w:t>
            </w:r>
          </w:p>
        </w:tc>
        <w:tc>
          <w:tcPr>
            <w:tcW w:w="1800" w:type="dxa"/>
            <w:shd w:val="clear" w:color="auto" w:fill="auto"/>
          </w:tcPr>
          <w:p>
            <w:pPr>
              <w:pStyle w:val="8"/>
              <w:jc w:val="right"/>
            </w:pPr>
            <w:r>
              <w:rPr>
                <w:rFonts w:hint="eastAsia"/>
              </w:rPr>
              <w:t xml:space="preserve">284,521 </w:t>
            </w:r>
          </w:p>
        </w:tc>
        <w:tc>
          <w:tcPr>
            <w:tcW w:w="1920" w:type="dxa"/>
            <w:shd w:val="clear" w:color="auto" w:fill="auto"/>
          </w:tcPr>
          <w:p>
            <w:pPr>
              <w:pStyle w:val="8"/>
              <w:jc w:val="right"/>
            </w:pPr>
            <w:r>
              <w:rPr>
                <w:rFonts w:hint="eastAsia"/>
              </w:rPr>
              <w:t xml:space="preserve">81,179,531.72 </w:t>
            </w:r>
          </w:p>
        </w:tc>
        <w:tc>
          <w:tcPr>
            <w:tcW w:w="2670" w:type="dxa"/>
            <w:shd w:val="clear" w:color="auto" w:fill="auto"/>
          </w:tcPr>
          <w:p>
            <w:pPr>
              <w:pStyle w:val="8"/>
              <w:jc w:val="right"/>
            </w:pPr>
            <w:r>
              <w:rPr>
                <w:rFonts w:hint="eastAsia"/>
              </w:rPr>
              <w:t xml:space="preserve">3.54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8"/>
              <w:jc w:val="center"/>
            </w:pPr>
            <w:r>
              <w:rPr>
                <w:rFonts w:hint="eastAsia"/>
              </w:rPr>
              <w:t xml:space="preserve">7 </w:t>
            </w:r>
          </w:p>
        </w:tc>
        <w:tc>
          <w:tcPr>
            <w:tcW w:w="1380" w:type="dxa"/>
            <w:shd w:val="clear" w:color="auto" w:fill="auto"/>
          </w:tcPr>
          <w:p>
            <w:pPr>
              <w:pStyle w:val="8"/>
              <w:jc w:val="center"/>
            </w:pPr>
            <w:r>
              <w:rPr>
                <w:rFonts w:hint="eastAsia"/>
              </w:rPr>
              <w:t xml:space="preserve">300760 </w:t>
            </w:r>
          </w:p>
        </w:tc>
        <w:tc>
          <w:tcPr>
            <w:tcW w:w="1410" w:type="dxa"/>
            <w:shd w:val="clear" w:color="auto" w:fill="auto"/>
          </w:tcPr>
          <w:p>
            <w:pPr>
              <w:pStyle w:val="8"/>
              <w:jc w:val="center"/>
            </w:pPr>
            <w:r>
              <w:rPr>
                <w:rFonts w:hint="eastAsia"/>
              </w:rPr>
              <w:t xml:space="preserve">迈瑞医疗 </w:t>
            </w:r>
          </w:p>
        </w:tc>
        <w:tc>
          <w:tcPr>
            <w:tcW w:w="1800" w:type="dxa"/>
            <w:shd w:val="clear" w:color="auto" w:fill="auto"/>
          </w:tcPr>
          <w:p>
            <w:pPr>
              <w:pStyle w:val="8"/>
              <w:jc w:val="right"/>
            </w:pPr>
            <w:r>
              <w:rPr>
                <w:rFonts w:hint="eastAsia"/>
              </w:rPr>
              <w:t xml:space="preserve">166,213 </w:t>
            </w:r>
          </w:p>
        </w:tc>
        <w:tc>
          <w:tcPr>
            <w:tcW w:w="1920" w:type="dxa"/>
            <w:shd w:val="clear" w:color="auto" w:fill="auto"/>
          </w:tcPr>
          <w:p>
            <w:pPr>
              <w:pStyle w:val="8"/>
              <w:jc w:val="right"/>
            </w:pPr>
            <w:r>
              <w:rPr>
                <w:rFonts w:hint="eastAsia"/>
              </w:rPr>
              <w:t xml:space="preserve">79,790,550.65 </w:t>
            </w:r>
          </w:p>
        </w:tc>
        <w:tc>
          <w:tcPr>
            <w:tcW w:w="2670" w:type="dxa"/>
            <w:shd w:val="clear" w:color="auto" w:fill="auto"/>
          </w:tcPr>
          <w:p>
            <w:pPr>
              <w:pStyle w:val="8"/>
              <w:jc w:val="right"/>
            </w:pPr>
            <w:r>
              <w:rPr>
                <w:rFonts w:hint="eastAsia"/>
              </w:rPr>
              <w:t xml:space="preserve">3.48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8"/>
              <w:jc w:val="center"/>
            </w:pPr>
            <w:r>
              <w:rPr>
                <w:rFonts w:hint="eastAsia"/>
              </w:rPr>
              <w:t xml:space="preserve">8 </w:t>
            </w:r>
          </w:p>
        </w:tc>
        <w:tc>
          <w:tcPr>
            <w:tcW w:w="1380" w:type="dxa"/>
            <w:shd w:val="clear" w:color="auto" w:fill="auto"/>
          </w:tcPr>
          <w:p>
            <w:pPr>
              <w:pStyle w:val="8"/>
              <w:jc w:val="center"/>
            </w:pPr>
            <w:r>
              <w:rPr>
                <w:rFonts w:hint="eastAsia"/>
              </w:rPr>
              <w:t xml:space="preserve">002475 </w:t>
            </w:r>
          </w:p>
        </w:tc>
        <w:tc>
          <w:tcPr>
            <w:tcW w:w="1410" w:type="dxa"/>
            <w:shd w:val="clear" w:color="auto" w:fill="auto"/>
          </w:tcPr>
          <w:p>
            <w:pPr>
              <w:pStyle w:val="8"/>
              <w:jc w:val="center"/>
            </w:pPr>
            <w:r>
              <w:rPr>
                <w:rFonts w:hint="eastAsia"/>
              </w:rPr>
              <w:t xml:space="preserve">立讯精密 </w:t>
            </w:r>
          </w:p>
        </w:tc>
        <w:tc>
          <w:tcPr>
            <w:tcW w:w="1800" w:type="dxa"/>
            <w:shd w:val="clear" w:color="auto" w:fill="auto"/>
          </w:tcPr>
          <w:p>
            <w:pPr>
              <w:pStyle w:val="8"/>
              <w:jc w:val="right"/>
            </w:pPr>
            <w:r>
              <w:rPr>
                <w:rFonts w:hint="eastAsia"/>
              </w:rPr>
              <w:t xml:space="preserve">1,717,727 </w:t>
            </w:r>
          </w:p>
        </w:tc>
        <w:tc>
          <w:tcPr>
            <w:tcW w:w="1920" w:type="dxa"/>
            <w:shd w:val="clear" w:color="auto" w:fill="auto"/>
          </w:tcPr>
          <w:p>
            <w:pPr>
              <w:pStyle w:val="8"/>
              <w:jc w:val="right"/>
            </w:pPr>
            <w:r>
              <w:rPr>
                <w:rFonts w:hint="eastAsia"/>
              </w:rPr>
              <w:t xml:space="preserve">79,015,442.00 </w:t>
            </w:r>
          </w:p>
        </w:tc>
        <w:tc>
          <w:tcPr>
            <w:tcW w:w="2670" w:type="dxa"/>
            <w:shd w:val="clear" w:color="auto" w:fill="auto"/>
          </w:tcPr>
          <w:p>
            <w:pPr>
              <w:pStyle w:val="8"/>
              <w:jc w:val="right"/>
            </w:pPr>
            <w:r>
              <w:rPr>
                <w:rFonts w:hint="eastAsia"/>
              </w:rPr>
              <w:t xml:space="preserve">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8"/>
              <w:jc w:val="center"/>
            </w:pPr>
            <w:r>
              <w:rPr>
                <w:rFonts w:hint="eastAsia"/>
              </w:rPr>
              <w:t xml:space="preserve">9 </w:t>
            </w:r>
          </w:p>
        </w:tc>
        <w:tc>
          <w:tcPr>
            <w:tcW w:w="1380" w:type="dxa"/>
            <w:shd w:val="clear" w:color="auto" w:fill="auto"/>
          </w:tcPr>
          <w:p>
            <w:pPr>
              <w:pStyle w:val="8"/>
              <w:jc w:val="center"/>
            </w:pPr>
            <w:r>
              <w:rPr>
                <w:rFonts w:hint="eastAsia"/>
              </w:rPr>
              <w:t xml:space="preserve">601012 </w:t>
            </w:r>
          </w:p>
        </w:tc>
        <w:tc>
          <w:tcPr>
            <w:tcW w:w="1410" w:type="dxa"/>
            <w:shd w:val="clear" w:color="auto" w:fill="auto"/>
          </w:tcPr>
          <w:p>
            <w:pPr>
              <w:pStyle w:val="8"/>
              <w:jc w:val="center"/>
            </w:pPr>
            <w:r>
              <w:rPr>
                <w:rFonts w:hint="eastAsia"/>
              </w:rPr>
              <w:t xml:space="preserve">隆基股份 </w:t>
            </w:r>
          </w:p>
        </w:tc>
        <w:tc>
          <w:tcPr>
            <w:tcW w:w="1800" w:type="dxa"/>
            <w:shd w:val="clear" w:color="auto" w:fill="auto"/>
          </w:tcPr>
          <w:p>
            <w:pPr>
              <w:pStyle w:val="8"/>
              <w:jc w:val="right"/>
            </w:pPr>
            <w:r>
              <w:rPr>
                <w:rFonts w:hint="eastAsia"/>
              </w:rPr>
              <w:t xml:space="preserve">861,140 </w:t>
            </w:r>
          </w:p>
        </w:tc>
        <w:tc>
          <w:tcPr>
            <w:tcW w:w="1920" w:type="dxa"/>
            <w:shd w:val="clear" w:color="auto" w:fill="auto"/>
          </w:tcPr>
          <w:p>
            <w:pPr>
              <w:pStyle w:val="8"/>
              <w:jc w:val="right"/>
            </w:pPr>
            <w:r>
              <w:rPr>
                <w:rFonts w:hint="eastAsia"/>
              </w:rPr>
              <w:t xml:space="preserve">76,503,677.60 </w:t>
            </w:r>
          </w:p>
        </w:tc>
        <w:tc>
          <w:tcPr>
            <w:tcW w:w="2670" w:type="dxa"/>
            <w:shd w:val="clear" w:color="auto" w:fill="auto"/>
          </w:tcPr>
          <w:p>
            <w:pPr>
              <w:pStyle w:val="8"/>
              <w:jc w:val="right"/>
            </w:pPr>
            <w:r>
              <w:rPr>
                <w:rFonts w:hint="eastAsia"/>
              </w:rPr>
              <w:t xml:space="preserve">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8"/>
              <w:jc w:val="center"/>
            </w:pPr>
            <w:r>
              <w:rPr>
                <w:rFonts w:hint="eastAsia"/>
              </w:rPr>
              <w:t xml:space="preserve">10 </w:t>
            </w:r>
          </w:p>
        </w:tc>
        <w:tc>
          <w:tcPr>
            <w:tcW w:w="1380" w:type="dxa"/>
            <w:shd w:val="clear" w:color="auto" w:fill="auto"/>
          </w:tcPr>
          <w:p>
            <w:pPr>
              <w:pStyle w:val="8"/>
              <w:jc w:val="center"/>
            </w:pPr>
            <w:r>
              <w:rPr>
                <w:rFonts w:hint="eastAsia"/>
              </w:rPr>
              <w:t xml:space="preserve">300454 </w:t>
            </w:r>
          </w:p>
        </w:tc>
        <w:tc>
          <w:tcPr>
            <w:tcW w:w="1410" w:type="dxa"/>
            <w:shd w:val="clear" w:color="auto" w:fill="auto"/>
          </w:tcPr>
          <w:p>
            <w:pPr>
              <w:pStyle w:val="8"/>
              <w:jc w:val="center"/>
            </w:pPr>
            <w:r>
              <w:rPr>
                <w:rFonts w:hint="eastAsia"/>
              </w:rPr>
              <w:t xml:space="preserve">深信服 </w:t>
            </w:r>
          </w:p>
        </w:tc>
        <w:tc>
          <w:tcPr>
            <w:tcW w:w="1800" w:type="dxa"/>
            <w:shd w:val="clear" w:color="auto" w:fill="auto"/>
          </w:tcPr>
          <w:p>
            <w:pPr>
              <w:pStyle w:val="8"/>
              <w:jc w:val="right"/>
            </w:pPr>
            <w:r>
              <w:rPr>
                <w:rFonts w:hint="eastAsia"/>
              </w:rPr>
              <w:t xml:space="preserve">284,900 </w:t>
            </w:r>
          </w:p>
        </w:tc>
        <w:tc>
          <w:tcPr>
            <w:tcW w:w="1920" w:type="dxa"/>
            <w:shd w:val="clear" w:color="auto" w:fill="auto"/>
          </w:tcPr>
          <w:p>
            <w:pPr>
              <w:pStyle w:val="8"/>
              <w:jc w:val="right"/>
            </w:pPr>
            <w:r>
              <w:rPr>
                <w:rFonts w:hint="eastAsia"/>
              </w:rPr>
              <w:t xml:space="preserve">73,925,852.00 </w:t>
            </w:r>
          </w:p>
        </w:tc>
        <w:tc>
          <w:tcPr>
            <w:tcW w:w="2670" w:type="dxa"/>
            <w:shd w:val="clear" w:color="auto" w:fill="auto"/>
          </w:tcPr>
          <w:p>
            <w:pPr>
              <w:pStyle w:val="8"/>
              <w:jc w:val="right"/>
            </w:pPr>
            <w:r>
              <w:rPr>
                <w:rFonts w:hint="eastAsia"/>
              </w:rPr>
              <w:t xml:space="preserve">3.22 </w:t>
            </w:r>
          </w:p>
        </w:tc>
      </w:tr>
    </w:tbl>
    <w:p>
      <w:pPr>
        <w:pStyle w:val="8"/>
        <w:spacing w:before="0" w:beforeAutospacing="0" w:after="0" w:afterAutospacing="0" w:line="360" w:lineRule="auto"/>
        <w:ind w:firstLine="420"/>
        <w:rPr>
          <w:sz w:val="21"/>
          <w:szCs w:val="21"/>
        </w:rPr>
      </w:pPr>
      <w:r>
        <w:rPr>
          <w:rFonts w:hint="eastAsia"/>
          <w:sz w:val="21"/>
          <w:szCs w:val="21"/>
        </w:rPr>
        <w:t xml:space="preserve">4 报告期末按债券品种分类的债券投资组合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470"/>
        <w:gridCol w:w="3086"/>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shd w:val="clear" w:color="auto" w:fill="auto"/>
          </w:tcPr>
          <w:p>
            <w:pPr>
              <w:pStyle w:val="8"/>
              <w:jc w:val="center"/>
            </w:pPr>
            <w:r>
              <w:rPr>
                <w:rFonts w:hint="eastAsia"/>
              </w:rPr>
              <w:t xml:space="preserve">序号 </w:t>
            </w:r>
          </w:p>
        </w:tc>
        <w:tc>
          <w:tcPr>
            <w:tcW w:w="2730" w:type="dxa"/>
            <w:shd w:val="clear" w:color="auto" w:fill="auto"/>
          </w:tcPr>
          <w:p>
            <w:pPr>
              <w:pStyle w:val="8"/>
              <w:jc w:val="center"/>
            </w:pPr>
            <w:r>
              <w:rPr>
                <w:rFonts w:hint="eastAsia"/>
              </w:rPr>
              <w:t xml:space="preserve">债券品种 </w:t>
            </w:r>
          </w:p>
        </w:tc>
        <w:tc>
          <w:tcPr>
            <w:tcW w:w="3330" w:type="dxa"/>
            <w:shd w:val="clear" w:color="auto" w:fill="auto"/>
          </w:tcPr>
          <w:p>
            <w:pPr>
              <w:pStyle w:val="8"/>
              <w:jc w:val="center"/>
            </w:pPr>
            <w:r>
              <w:rPr>
                <w:rFonts w:hint="eastAsia"/>
              </w:rPr>
              <w:t xml:space="preserve">公允价值(元) </w:t>
            </w:r>
          </w:p>
        </w:tc>
        <w:tc>
          <w:tcPr>
            <w:tcW w:w="2535" w:type="dxa"/>
            <w:shd w:val="clear" w:color="auto" w:fill="auto"/>
          </w:tcPr>
          <w:p>
            <w:pPr>
              <w:pStyle w:val="8"/>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1 </w:t>
            </w:r>
          </w:p>
        </w:tc>
        <w:tc>
          <w:tcPr>
            <w:tcW w:w="2730" w:type="dxa"/>
            <w:shd w:val="clear" w:color="auto" w:fill="auto"/>
          </w:tcPr>
          <w:p>
            <w:pPr>
              <w:pStyle w:val="8"/>
            </w:pPr>
            <w:r>
              <w:rPr>
                <w:rFonts w:hint="eastAsia"/>
              </w:rPr>
              <w:t xml:space="preserve">国家债券 </w:t>
            </w:r>
          </w:p>
        </w:tc>
        <w:tc>
          <w:tcPr>
            <w:tcW w:w="3330" w:type="dxa"/>
            <w:shd w:val="clear" w:color="auto" w:fill="auto"/>
          </w:tcPr>
          <w:p>
            <w:pPr>
              <w:pStyle w:val="8"/>
              <w:jc w:val="right"/>
            </w:pPr>
            <w:r>
              <w:rPr>
                <w:rFonts w:hint="eastAsia"/>
              </w:rPr>
              <w:t xml:space="preserve">- </w:t>
            </w:r>
          </w:p>
        </w:tc>
        <w:tc>
          <w:tcPr>
            <w:tcW w:w="253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2 </w:t>
            </w:r>
          </w:p>
        </w:tc>
        <w:tc>
          <w:tcPr>
            <w:tcW w:w="2730" w:type="dxa"/>
            <w:shd w:val="clear" w:color="auto" w:fill="auto"/>
          </w:tcPr>
          <w:p>
            <w:pPr>
              <w:pStyle w:val="8"/>
            </w:pPr>
            <w:r>
              <w:rPr>
                <w:rFonts w:hint="eastAsia"/>
              </w:rPr>
              <w:t xml:space="preserve">央行票据 </w:t>
            </w:r>
          </w:p>
        </w:tc>
        <w:tc>
          <w:tcPr>
            <w:tcW w:w="3330" w:type="dxa"/>
            <w:shd w:val="clear" w:color="auto" w:fill="auto"/>
          </w:tcPr>
          <w:p>
            <w:pPr>
              <w:pStyle w:val="8"/>
              <w:jc w:val="right"/>
            </w:pPr>
            <w:r>
              <w:rPr>
                <w:rFonts w:hint="eastAsia"/>
              </w:rPr>
              <w:t xml:space="preserve">- </w:t>
            </w:r>
          </w:p>
        </w:tc>
        <w:tc>
          <w:tcPr>
            <w:tcW w:w="253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shd w:val="clear" w:color="auto" w:fill="auto"/>
          </w:tcPr>
          <w:p>
            <w:pPr>
              <w:pStyle w:val="8"/>
              <w:jc w:val="center"/>
            </w:pPr>
            <w:r>
              <w:rPr>
                <w:rFonts w:hint="eastAsia"/>
              </w:rPr>
              <w:t xml:space="preserve">3 </w:t>
            </w:r>
          </w:p>
        </w:tc>
        <w:tc>
          <w:tcPr>
            <w:tcW w:w="2730" w:type="dxa"/>
            <w:shd w:val="clear" w:color="auto" w:fill="auto"/>
          </w:tcPr>
          <w:p>
            <w:pPr>
              <w:pStyle w:val="8"/>
            </w:pPr>
            <w:r>
              <w:rPr>
                <w:rFonts w:hint="eastAsia"/>
              </w:rPr>
              <w:t xml:space="preserve">金融债券 </w:t>
            </w:r>
          </w:p>
        </w:tc>
        <w:tc>
          <w:tcPr>
            <w:tcW w:w="3330" w:type="dxa"/>
            <w:shd w:val="clear" w:color="auto" w:fill="auto"/>
          </w:tcPr>
          <w:p>
            <w:pPr>
              <w:pStyle w:val="8"/>
              <w:jc w:val="right"/>
            </w:pPr>
            <w:r>
              <w:rPr>
                <w:rFonts w:hint="eastAsia"/>
              </w:rPr>
              <w:t xml:space="preserve">- </w:t>
            </w:r>
          </w:p>
        </w:tc>
        <w:tc>
          <w:tcPr>
            <w:tcW w:w="253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rPr>
                <w:rFonts w:ascii="宋体" w:hAnsi="宋体" w:eastAsia="宋体" w:cs="宋体"/>
                <w:sz w:val="24"/>
                <w:szCs w:val="24"/>
              </w:rPr>
            </w:pPr>
          </w:p>
        </w:tc>
        <w:tc>
          <w:tcPr>
            <w:tcW w:w="2730" w:type="dxa"/>
            <w:shd w:val="clear" w:color="auto" w:fill="auto"/>
          </w:tcPr>
          <w:p>
            <w:pPr>
              <w:pStyle w:val="8"/>
            </w:pPr>
            <w:r>
              <w:rPr>
                <w:rFonts w:hint="eastAsia"/>
              </w:rPr>
              <w:t xml:space="preserve">其中：政策性金融债 </w:t>
            </w:r>
          </w:p>
        </w:tc>
        <w:tc>
          <w:tcPr>
            <w:tcW w:w="3330" w:type="dxa"/>
            <w:shd w:val="clear" w:color="auto" w:fill="auto"/>
          </w:tcPr>
          <w:p>
            <w:pPr>
              <w:pStyle w:val="8"/>
              <w:jc w:val="right"/>
            </w:pPr>
            <w:r>
              <w:rPr>
                <w:rFonts w:hint="eastAsia"/>
              </w:rPr>
              <w:t xml:space="preserve">- </w:t>
            </w:r>
          </w:p>
        </w:tc>
        <w:tc>
          <w:tcPr>
            <w:tcW w:w="253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4 </w:t>
            </w:r>
          </w:p>
        </w:tc>
        <w:tc>
          <w:tcPr>
            <w:tcW w:w="2730" w:type="dxa"/>
            <w:shd w:val="clear" w:color="auto" w:fill="auto"/>
          </w:tcPr>
          <w:p>
            <w:pPr>
              <w:pStyle w:val="8"/>
            </w:pPr>
            <w:r>
              <w:rPr>
                <w:rFonts w:hint="eastAsia"/>
              </w:rPr>
              <w:t xml:space="preserve">企业债券 </w:t>
            </w:r>
          </w:p>
        </w:tc>
        <w:tc>
          <w:tcPr>
            <w:tcW w:w="3330" w:type="dxa"/>
            <w:shd w:val="clear" w:color="auto" w:fill="auto"/>
          </w:tcPr>
          <w:p>
            <w:pPr>
              <w:pStyle w:val="8"/>
              <w:jc w:val="right"/>
            </w:pPr>
            <w:r>
              <w:rPr>
                <w:rFonts w:hint="eastAsia"/>
              </w:rPr>
              <w:t xml:space="preserve">- </w:t>
            </w:r>
          </w:p>
        </w:tc>
        <w:tc>
          <w:tcPr>
            <w:tcW w:w="253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5 </w:t>
            </w:r>
          </w:p>
        </w:tc>
        <w:tc>
          <w:tcPr>
            <w:tcW w:w="2730" w:type="dxa"/>
            <w:shd w:val="clear" w:color="auto" w:fill="auto"/>
          </w:tcPr>
          <w:p>
            <w:pPr>
              <w:pStyle w:val="8"/>
            </w:pPr>
            <w:r>
              <w:rPr>
                <w:rFonts w:hint="eastAsia"/>
              </w:rPr>
              <w:t xml:space="preserve">企业短期融资券 </w:t>
            </w:r>
          </w:p>
        </w:tc>
        <w:tc>
          <w:tcPr>
            <w:tcW w:w="3330" w:type="dxa"/>
            <w:shd w:val="clear" w:color="auto" w:fill="auto"/>
          </w:tcPr>
          <w:p>
            <w:pPr>
              <w:pStyle w:val="8"/>
              <w:jc w:val="right"/>
            </w:pPr>
            <w:r>
              <w:rPr>
                <w:rFonts w:hint="eastAsia"/>
              </w:rPr>
              <w:t xml:space="preserve">- </w:t>
            </w:r>
          </w:p>
        </w:tc>
        <w:tc>
          <w:tcPr>
            <w:tcW w:w="253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6 </w:t>
            </w:r>
          </w:p>
        </w:tc>
        <w:tc>
          <w:tcPr>
            <w:tcW w:w="2730" w:type="dxa"/>
            <w:shd w:val="clear" w:color="auto" w:fill="auto"/>
          </w:tcPr>
          <w:p>
            <w:pPr>
              <w:pStyle w:val="8"/>
            </w:pPr>
            <w:r>
              <w:rPr>
                <w:rFonts w:hint="eastAsia"/>
              </w:rPr>
              <w:t xml:space="preserve">中期票据 </w:t>
            </w:r>
          </w:p>
        </w:tc>
        <w:tc>
          <w:tcPr>
            <w:tcW w:w="3330" w:type="dxa"/>
            <w:shd w:val="clear" w:color="auto" w:fill="auto"/>
          </w:tcPr>
          <w:p>
            <w:pPr>
              <w:pStyle w:val="8"/>
              <w:jc w:val="right"/>
            </w:pPr>
            <w:r>
              <w:rPr>
                <w:rFonts w:hint="eastAsia"/>
              </w:rPr>
              <w:t xml:space="preserve">- </w:t>
            </w:r>
          </w:p>
        </w:tc>
        <w:tc>
          <w:tcPr>
            <w:tcW w:w="253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7 </w:t>
            </w:r>
          </w:p>
        </w:tc>
        <w:tc>
          <w:tcPr>
            <w:tcW w:w="2730" w:type="dxa"/>
            <w:shd w:val="clear" w:color="auto" w:fill="auto"/>
          </w:tcPr>
          <w:p>
            <w:pPr>
              <w:pStyle w:val="8"/>
            </w:pPr>
            <w:r>
              <w:rPr>
                <w:rFonts w:hint="eastAsia"/>
              </w:rPr>
              <w:t xml:space="preserve">可转债（可交换债） </w:t>
            </w:r>
          </w:p>
        </w:tc>
        <w:tc>
          <w:tcPr>
            <w:tcW w:w="3330" w:type="dxa"/>
            <w:shd w:val="clear" w:color="auto" w:fill="auto"/>
          </w:tcPr>
          <w:p>
            <w:pPr>
              <w:pStyle w:val="8"/>
              <w:jc w:val="right"/>
            </w:pPr>
            <w:r>
              <w:rPr>
                <w:rFonts w:hint="eastAsia"/>
              </w:rPr>
              <w:t xml:space="preserve">235,000.00 </w:t>
            </w:r>
          </w:p>
        </w:tc>
        <w:tc>
          <w:tcPr>
            <w:tcW w:w="2535" w:type="dxa"/>
            <w:shd w:val="clear" w:color="auto" w:fill="auto"/>
          </w:tcPr>
          <w:p>
            <w:pPr>
              <w:pStyle w:val="8"/>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8 </w:t>
            </w:r>
          </w:p>
        </w:tc>
        <w:tc>
          <w:tcPr>
            <w:tcW w:w="2730" w:type="dxa"/>
            <w:shd w:val="clear" w:color="auto" w:fill="auto"/>
          </w:tcPr>
          <w:p>
            <w:pPr>
              <w:pStyle w:val="8"/>
            </w:pPr>
            <w:r>
              <w:rPr>
                <w:rFonts w:hint="eastAsia"/>
              </w:rPr>
              <w:t xml:space="preserve">同业存单 </w:t>
            </w:r>
          </w:p>
        </w:tc>
        <w:tc>
          <w:tcPr>
            <w:tcW w:w="3330" w:type="dxa"/>
            <w:shd w:val="clear" w:color="auto" w:fill="auto"/>
          </w:tcPr>
          <w:p>
            <w:pPr>
              <w:pStyle w:val="8"/>
              <w:jc w:val="right"/>
            </w:pPr>
            <w:r>
              <w:rPr>
                <w:rFonts w:hint="eastAsia"/>
              </w:rPr>
              <w:t xml:space="preserve">- </w:t>
            </w:r>
          </w:p>
        </w:tc>
        <w:tc>
          <w:tcPr>
            <w:tcW w:w="253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shd w:val="clear" w:color="auto" w:fill="auto"/>
          </w:tcPr>
          <w:p>
            <w:pPr>
              <w:pStyle w:val="8"/>
              <w:jc w:val="center"/>
            </w:pPr>
            <w:r>
              <w:rPr>
                <w:rFonts w:hint="eastAsia"/>
              </w:rPr>
              <w:t xml:space="preserve">9 </w:t>
            </w:r>
          </w:p>
        </w:tc>
        <w:tc>
          <w:tcPr>
            <w:tcW w:w="2730" w:type="dxa"/>
            <w:shd w:val="clear" w:color="auto" w:fill="auto"/>
          </w:tcPr>
          <w:p>
            <w:pPr>
              <w:pStyle w:val="8"/>
            </w:pPr>
            <w:r>
              <w:rPr>
                <w:rFonts w:hint="eastAsia"/>
              </w:rPr>
              <w:t xml:space="preserve">其他 </w:t>
            </w:r>
          </w:p>
        </w:tc>
        <w:tc>
          <w:tcPr>
            <w:tcW w:w="3330" w:type="dxa"/>
            <w:shd w:val="clear" w:color="auto" w:fill="auto"/>
          </w:tcPr>
          <w:p>
            <w:pPr>
              <w:pStyle w:val="8"/>
              <w:jc w:val="right"/>
            </w:pPr>
            <w:r>
              <w:rPr>
                <w:rFonts w:hint="eastAsia"/>
              </w:rPr>
              <w:t xml:space="preserve">- </w:t>
            </w:r>
          </w:p>
        </w:tc>
        <w:tc>
          <w:tcPr>
            <w:tcW w:w="2535"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10 </w:t>
            </w:r>
          </w:p>
        </w:tc>
        <w:tc>
          <w:tcPr>
            <w:tcW w:w="2730" w:type="dxa"/>
            <w:shd w:val="clear" w:color="auto" w:fill="auto"/>
          </w:tcPr>
          <w:p>
            <w:pPr>
              <w:pStyle w:val="8"/>
            </w:pPr>
            <w:r>
              <w:rPr>
                <w:rFonts w:hint="eastAsia"/>
              </w:rPr>
              <w:t xml:space="preserve">合计 </w:t>
            </w:r>
          </w:p>
        </w:tc>
        <w:tc>
          <w:tcPr>
            <w:tcW w:w="3330" w:type="dxa"/>
            <w:shd w:val="clear" w:color="auto" w:fill="auto"/>
          </w:tcPr>
          <w:p>
            <w:pPr>
              <w:pStyle w:val="8"/>
              <w:jc w:val="right"/>
            </w:pPr>
            <w:r>
              <w:rPr>
                <w:rFonts w:hint="eastAsia"/>
              </w:rPr>
              <w:t xml:space="preserve">235,000.00 </w:t>
            </w:r>
          </w:p>
        </w:tc>
        <w:tc>
          <w:tcPr>
            <w:tcW w:w="2535" w:type="dxa"/>
            <w:shd w:val="clear" w:color="auto" w:fill="auto"/>
          </w:tcPr>
          <w:p>
            <w:pPr>
              <w:pStyle w:val="8"/>
              <w:jc w:val="right"/>
            </w:pPr>
            <w:r>
              <w:rPr>
                <w:rFonts w:hint="eastAsia"/>
              </w:rPr>
              <w:t xml:space="preserve">0.01 </w:t>
            </w:r>
          </w:p>
        </w:tc>
      </w:tr>
    </w:tbl>
    <w:p>
      <w:pPr>
        <w:pStyle w:val="8"/>
        <w:spacing w:before="0" w:beforeAutospacing="0" w:after="0" w:afterAutospacing="0" w:line="360" w:lineRule="auto"/>
        <w:ind w:firstLine="420"/>
        <w:rPr>
          <w:sz w:val="21"/>
          <w:szCs w:val="21"/>
        </w:rPr>
      </w:pPr>
      <w:r>
        <w:rPr>
          <w:rFonts w:hint="eastAsia"/>
          <w:sz w:val="21"/>
          <w:szCs w:val="21"/>
        </w:rPr>
        <w:t xml:space="preserve">5 报告期末按公允价值占基金资产净值比例大小排序的前五名债券投资明细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1397"/>
        <w:gridCol w:w="1610"/>
        <w:gridCol w:w="1580"/>
        <w:gridCol w:w="1899"/>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序号 </w:t>
            </w:r>
          </w:p>
        </w:tc>
        <w:tc>
          <w:tcPr>
            <w:tcW w:w="1470" w:type="dxa"/>
            <w:shd w:val="clear" w:color="auto" w:fill="auto"/>
          </w:tcPr>
          <w:p>
            <w:pPr>
              <w:pStyle w:val="8"/>
              <w:jc w:val="center"/>
            </w:pPr>
            <w:r>
              <w:rPr>
                <w:rFonts w:hint="eastAsia"/>
              </w:rPr>
              <w:t xml:space="preserve">债券代码 </w:t>
            </w:r>
          </w:p>
        </w:tc>
        <w:tc>
          <w:tcPr>
            <w:tcW w:w="1920" w:type="dxa"/>
            <w:shd w:val="clear" w:color="auto" w:fill="auto"/>
          </w:tcPr>
          <w:p>
            <w:pPr>
              <w:pStyle w:val="8"/>
              <w:jc w:val="center"/>
            </w:pPr>
            <w:r>
              <w:rPr>
                <w:rFonts w:hint="eastAsia"/>
              </w:rPr>
              <w:t xml:space="preserve">债券名称 </w:t>
            </w:r>
          </w:p>
        </w:tc>
        <w:tc>
          <w:tcPr>
            <w:tcW w:w="1755" w:type="dxa"/>
            <w:shd w:val="clear" w:color="auto" w:fill="auto"/>
          </w:tcPr>
          <w:p>
            <w:pPr>
              <w:pStyle w:val="8"/>
              <w:jc w:val="center"/>
            </w:pPr>
            <w:r>
              <w:rPr>
                <w:rFonts w:hint="eastAsia"/>
              </w:rPr>
              <w:t xml:space="preserve">数量(张) </w:t>
            </w:r>
          </w:p>
        </w:tc>
        <w:tc>
          <w:tcPr>
            <w:tcW w:w="1950" w:type="dxa"/>
            <w:shd w:val="clear" w:color="auto" w:fill="auto"/>
          </w:tcPr>
          <w:p>
            <w:pPr>
              <w:pStyle w:val="8"/>
              <w:jc w:val="center"/>
            </w:pPr>
            <w:r>
              <w:rPr>
                <w:rFonts w:hint="eastAsia"/>
              </w:rPr>
              <w:t xml:space="preserve">公允价值(元) </w:t>
            </w:r>
          </w:p>
        </w:tc>
        <w:tc>
          <w:tcPr>
            <w:tcW w:w="1500" w:type="dxa"/>
            <w:shd w:val="clear" w:color="auto" w:fill="auto"/>
          </w:tcPr>
          <w:p>
            <w:pPr>
              <w:pStyle w:val="8"/>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8"/>
              <w:jc w:val="center"/>
            </w:pPr>
            <w:r>
              <w:rPr>
                <w:rFonts w:hint="eastAsia"/>
              </w:rPr>
              <w:t xml:space="preserve">1 </w:t>
            </w:r>
          </w:p>
        </w:tc>
        <w:tc>
          <w:tcPr>
            <w:tcW w:w="1575" w:type="dxa"/>
            <w:shd w:val="clear" w:color="auto" w:fill="auto"/>
          </w:tcPr>
          <w:p>
            <w:pPr>
              <w:pStyle w:val="8"/>
              <w:jc w:val="center"/>
            </w:pPr>
            <w:r>
              <w:rPr>
                <w:rFonts w:hint="eastAsia"/>
              </w:rPr>
              <w:t xml:space="preserve">113049 </w:t>
            </w:r>
          </w:p>
        </w:tc>
        <w:tc>
          <w:tcPr>
            <w:tcW w:w="2055" w:type="dxa"/>
            <w:shd w:val="clear" w:color="auto" w:fill="auto"/>
          </w:tcPr>
          <w:p>
            <w:pPr>
              <w:pStyle w:val="8"/>
              <w:jc w:val="center"/>
            </w:pPr>
            <w:r>
              <w:rPr>
                <w:rFonts w:hint="eastAsia"/>
              </w:rPr>
              <w:t xml:space="preserve">长汽转债 </w:t>
            </w:r>
          </w:p>
        </w:tc>
        <w:tc>
          <w:tcPr>
            <w:tcW w:w="1875" w:type="dxa"/>
            <w:shd w:val="clear" w:color="auto" w:fill="auto"/>
          </w:tcPr>
          <w:p>
            <w:pPr>
              <w:pStyle w:val="8"/>
              <w:jc w:val="right"/>
            </w:pPr>
            <w:r>
              <w:rPr>
                <w:rFonts w:hint="eastAsia"/>
              </w:rPr>
              <w:t xml:space="preserve">2,350 </w:t>
            </w:r>
          </w:p>
        </w:tc>
        <w:tc>
          <w:tcPr>
            <w:tcW w:w="2085" w:type="dxa"/>
            <w:shd w:val="clear" w:color="auto" w:fill="auto"/>
          </w:tcPr>
          <w:p>
            <w:pPr>
              <w:pStyle w:val="8"/>
              <w:jc w:val="right"/>
            </w:pPr>
            <w:r>
              <w:rPr>
                <w:rFonts w:hint="eastAsia"/>
              </w:rPr>
              <w:t xml:space="preserve">235,000.00 </w:t>
            </w:r>
          </w:p>
        </w:tc>
        <w:tc>
          <w:tcPr>
            <w:tcW w:w="1620" w:type="dxa"/>
            <w:shd w:val="clear" w:color="auto" w:fill="auto"/>
          </w:tcPr>
          <w:p>
            <w:pPr>
              <w:pStyle w:val="8"/>
              <w:jc w:val="right"/>
            </w:pPr>
            <w:r>
              <w:rPr>
                <w:rFonts w:hint="eastAsia"/>
              </w:rPr>
              <w:t xml:space="preserve">0.01 </w:t>
            </w:r>
          </w:p>
        </w:tc>
      </w:tr>
    </w:tbl>
    <w:p>
      <w:pPr>
        <w:pStyle w:val="8"/>
        <w:spacing w:before="0" w:beforeAutospacing="0" w:after="0" w:afterAutospacing="0" w:line="360" w:lineRule="auto"/>
        <w:ind w:firstLine="420"/>
        <w:rPr>
          <w:sz w:val="21"/>
          <w:szCs w:val="21"/>
        </w:rPr>
      </w:pPr>
      <w:r>
        <w:rPr>
          <w:rFonts w:hint="eastAsia"/>
          <w:sz w:val="21"/>
          <w:szCs w:val="21"/>
        </w:rPr>
        <w:t xml:space="preserve">6 报告期末按公允价值占基金资产净值比例大小排序的前十名资产支持证券投资明细 </w:t>
      </w:r>
    </w:p>
    <w:p>
      <w:pPr>
        <w:pStyle w:val="8"/>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8"/>
        <w:spacing w:before="0" w:beforeAutospacing="0" w:after="0" w:afterAutospacing="0" w:line="360" w:lineRule="auto"/>
        <w:ind w:firstLine="420"/>
        <w:rPr>
          <w:sz w:val="21"/>
          <w:szCs w:val="21"/>
        </w:rPr>
      </w:pPr>
      <w:r>
        <w:rPr>
          <w:rFonts w:hint="eastAsia"/>
          <w:sz w:val="21"/>
          <w:szCs w:val="21"/>
        </w:rPr>
        <w:t xml:space="preserve">7 报告期末按公允价值占基金资产净值比例大小排序的前五名贵金属投资明细 </w:t>
      </w:r>
    </w:p>
    <w:p>
      <w:pPr>
        <w:pStyle w:val="8"/>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8"/>
        <w:spacing w:before="0" w:beforeAutospacing="0" w:after="0" w:afterAutospacing="0" w:line="360" w:lineRule="auto"/>
        <w:ind w:firstLine="420"/>
        <w:rPr>
          <w:sz w:val="21"/>
          <w:szCs w:val="21"/>
        </w:rPr>
      </w:pPr>
      <w:r>
        <w:rPr>
          <w:rFonts w:hint="eastAsia"/>
          <w:sz w:val="21"/>
          <w:szCs w:val="21"/>
        </w:rPr>
        <w:t xml:space="preserve">8报告期末按公允价值占基金资产净值比例大小排序的前五名权证投资明细 </w:t>
      </w:r>
    </w:p>
    <w:p>
      <w:pPr>
        <w:pStyle w:val="8"/>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8"/>
        <w:spacing w:before="0" w:beforeAutospacing="0" w:after="0" w:afterAutospacing="0" w:line="360" w:lineRule="auto"/>
        <w:ind w:firstLine="420"/>
        <w:rPr>
          <w:sz w:val="21"/>
          <w:szCs w:val="21"/>
        </w:rPr>
      </w:pPr>
      <w:r>
        <w:rPr>
          <w:rFonts w:hint="eastAsia"/>
          <w:sz w:val="21"/>
          <w:szCs w:val="21"/>
        </w:rPr>
        <w:t xml:space="preserve">9报告期末本基金投资的股指期货交易情况说明 </w:t>
      </w:r>
    </w:p>
    <w:p>
      <w:pPr>
        <w:pStyle w:val="8"/>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8"/>
        <w:spacing w:before="0" w:beforeAutospacing="0" w:after="0" w:afterAutospacing="0" w:line="360" w:lineRule="auto"/>
        <w:ind w:firstLine="420"/>
        <w:rPr>
          <w:sz w:val="21"/>
          <w:szCs w:val="21"/>
        </w:rPr>
      </w:pPr>
      <w:r>
        <w:rPr>
          <w:rFonts w:hint="eastAsia"/>
          <w:sz w:val="21"/>
          <w:szCs w:val="21"/>
        </w:rPr>
        <w:t xml:space="preserve">10报告期末本基金投资的国债期货交易情况说明 </w:t>
      </w:r>
    </w:p>
    <w:p>
      <w:pPr>
        <w:pStyle w:val="8"/>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8"/>
        <w:spacing w:before="0" w:beforeAutospacing="0" w:after="0" w:afterAutospacing="0" w:line="360" w:lineRule="auto"/>
        <w:ind w:firstLine="420"/>
        <w:rPr>
          <w:sz w:val="21"/>
          <w:szCs w:val="21"/>
        </w:rPr>
      </w:pPr>
      <w:r>
        <w:rPr>
          <w:rFonts w:hint="eastAsia"/>
          <w:sz w:val="21"/>
          <w:szCs w:val="21"/>
        </w:rPr>
        <w:t xml:space="preserve">11投资组合报告附注 </w:t>
      </w:r>
    </w:p>
    <w:p>
      <w:pPr>
        <w:pStyle w:val="8"/>
        <w:spacing w:before="0" w:beforeAutospacing="0" w:after="0" w:afterAutospacing="0" w:line="360" w:lineRule="auto"/>
        <w:ind w:firstLine="420"/>
        <w:rPr>
          <w:sz w:val="21"/>
          <w:szCs w:val="21"/>
        </w:rPr>
      </w:pPr>
      <w:r>
        <w:rPr>
          <w:rFonts w:hint="eastAsia"/>
          <w:sz w:val="21"/>
          <w:szCs w:val="21"/>
        </w:rPr>
        <w:t xml:space="preserve">11.1本报告期内，本基金投资的前十名证券中除腾讯控股(0700)的发行主体外，没有出现被监管部门立案调查，或在报告编制日前一年内受到公开谴责、处罚的情形。 </w:t>
      </w:r>
    </w:p>
    <w:p>
      <w:pPr>
        <w:pStyle w:val="8"/>
        <w:spacing w:before="0" w:beforeAutospacing="0" w:after="0" w:afterAutospacing="0" w:line="360" w:lineRule="auto"/>
        <w:ind w:firstLine="420"/>
        <w:rPr>
          <w:sz w:val="21"/>
          <w:szCs w:val="21"/>
        </w:rPr>
      </w:pPr>
      <w:r>
        <w:rPr>
          <w:rFonts w:hint="eastAsia"/>
          <w:sz w:val="21"/>
          <w:szCs w:val="21"/>
        </w:rPr>
        <w:t xml:space="preserve">主要违规事实：2021年3月12日，因存在腾讯控股有限公司收购猿辅导股权案构成未依法申报违法实施的经营者集中，且本案不具有排除、限制竞争的效果的违规行为，国家市场监督管理总局对腾讯控股有限公司处以罚款的公开处罚。 </w:t>
      </w:r>
    </w:p>
    <w:p>
      <w:pPr>
        <w:pStyle w:val="8"/>
        <w:spacing w:before="0" w:beforeAutospacing="0" w:after="0" w:afterAutospacing="0" w:line="360" w:lineRule="auto"/>
        <w:ind w:firstLine="420"/>
        <w:rPr>
          <w:sz w:val="21"/>
          <w:szCs w:val="21"/>
        </w:rPr>
      </w:pPr>
      <w:r>
        <w:rPr>
          <w:rFonts w:hint="eastAsia"/>
          <w:sz w:val="21"/>
          <w:szCs w:val="21"/>
        </w:rPr>
        <w:t xml:space="preserve">对该证券投资决策程序的说明：根据我司的基金投资管理相关制度，以相应的研究报告为基础，结合其未来增长前景，由基金经理决定具体投资行为。 </w:t>
      </w:r>
    </w:p>
    <w:p>
      <w:pPr>
        <w:pStyle w:val="8"/>
        <w:spacing w:before="0" w:beforeAutospacing="0" w:after="0" w:afterAutospacing="0" w:line="360" w:lineRule="auto"/>
        <w:ind w:firstLine="420"/>
        <w:rPr>
          <w:sz w:val="21"/>
          <w:szCs w:val="21"/>
        </w:rPr>
      </w:pPr>
      <w:r>
        <w:rPr>
          <w:rFonts w:hint="eastAsia"/>
          <w:sz w:val="21"/>
          <w:szCs w:val="21"/>
        </w:rPr>
        <w:t xml:space="preserve">11.2报告期内基金投资的前十名股票中，没有投资超出基金合同规定备选股票库之外的股票。 </w:t>
      </w:r>
    </w:p>
    <w:p>
      <w:pPr>
        <w:pStyle w:val="8"/>
        <w:spacing w:before="0" w:beforeAutospacing="0" w:after="0" w:afterAutospacing="0" w:line="360" w:lineRule="auto"/>
        <w:ind w:firstLine="420"/>
        <w:rPr>
          <w:sz w:val="21"/>
          <w:szCs w:val="21"/>
        </w:rPr>
      </w:pPr>
      <w:r>
        <w:rPr>
          <w:rFonts w:hint="eastAsia"/>
          <w:sz w:val="21"/>
          <w:szCs w:val="21"/>
        </w:rPr>
        <w:t xml:space="preserve">11.3其他资产构成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3851"/>
        <w:gridCol w:w="4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序号 </w:t>
            </w:r>
          </w:p>
        </w:tc>
        <w:tc>
          <w:tcPr>
            <w:tcW w:w="4290" w:type="dxa"/>
            <w:shd w:val="clear" w:color="auto" w:fill="auto"/>
          </w:tcPr>
          <w:p>
            <w:pPr>
              <w:pStyle w:val="8"/>
              <w:jc w:val="center"/>
            </w:pPr>
            <w:r>
              <w:rPr>
                <w:rFonts w:hint="eastAsia"/>
              </w:rPr>
              <w:t xml:space="preserve">名称 </w:t>
            </w:r>
          </w:p>
        </w:tc>
        <w:tc>
          <w:tcPr>
            <w:tcW w:w="4290" w:type="dxa"/>
            <w:shd w:val="clear" w:color="auto" w:fill="auto"/>
          </w:tcPr>
          <w:p>
            <w:pPr>
              <w:pStyle w:val="8"/>
              <w:jc w:val="center"/>
            </w:pPr>
            <w:r>
              <w:rPr>
                <w:rFonts w:hint="eastAsia"/>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1 </w:t>
            </w:r>
          </w:p>
        </w:tc>
        <w:tc>
          <w:tcPr>
            <w:tcW w:w="4290" w:type="dxa"/>
            <w:shd w:val="clear" w:color="auto" w:fill="auto"/>
          </w:tcPr>
          <w:p>
            <w:pPr>
              <w:pStyle w:val="8"/>
            </w:pPr>
            <w:r>
              <w:rPr>
                <w:rFonts w:hint="eastAsia"/>
              </w:rPr>
              <w:t xml:space="preserve">存出保证金 </w:t>
            </w:r>
          </w:p>
        </w:tc>
        <w:tc>
          <w:tcPr>
            <w:tcW w:w="4290" w:type="dxa"/>
            <w:shd w:val="clear" w:color="auto" w:fill="auto"/>
          </w:tcPr>
          <w:p>
            <w:pPr>
              <w:pStyle w:val="8"/>
              <w:jc w:val="right"/>
            </w:pPr>
            <w:r>
              <w:rPr>
                <w:rFonts w:hint="eastAsia"/>
              </w:rPr>
              <w:t xml:space="preserve">534,651.18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2 </w:t>
            </w:r>
          </w:p>
        </w:tc>
        <w:tc>
          <w:tcPr>
            <w:tcW w:w="4290" w:type="dxa"/>
            <w:shd w:val="clear" w:color="auto" w:fill="auto"/>
          </w:tcPr>
          <w:p>
            <w:pPr>
              <w:pStyle w:val="8"/>
            </w:pPr>
            <w:r>
              <w:rPr>
                <w:rFonts w:hint="eastAsia"/>
              </w:rPr>
              <w:t xml:space="preserve">应收证券清算款 </w:t>
            </w:r>
          </w:p>
        </w:tc>
        <w:tc>
          <w:tcPr>
            <w:tcW w:w="4290" w:type="dxa"/>
            <w:shd w:val="clear" w:color="auto" w:fill="auto"/>
          </w:tcPr>
          <w:p>
            <w:pPr>
              <w:pStyle w:val="8"/>
              <w:jc w:val="right"/>
            </w:pPr>
            <w:r>
              <w:rPr>
                <w:rFonts w:hint="eastAsia"/>
              </w:rPr>
              <w:t xml:space="preserve">14,071,568.45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3 </w:t>
            </w:r>
          </w:p>
        </w:tc>
        <w:tc>
          <w:tcPr>
            <w:tcW w:w="4290" w:type="dxa"/>
            <w:shd w:val="clear" w:color="auto" w:fill="auto"/>
          </w:tcPr>
          <w:p>
            <w:pPr>
              <w:pStyle w:val="8"/>
            </w:pPr>
            <w:r>
              <w:rPr>
                <w:rFonts w:hint="eastAsia"/>
              </w:rPr>
              <w:t xml:space="preserve">应收股利 </w:t>
            </w:r>
          </w:p>
        </w:tc>
        <w:tc>
          <w:tcPr>
            <w:tcW w:w="4290" w:type="dxa"/>
            <w:shd w:val="clear" w:color="auto" w:fill="auto"/>
          </w:tcPr>
          <w:p>
            <w:pPr>
              <w:pStyle w:val="8"/>
              <w:jc w:val="right"/>
            </w:pPr>
            <w:r>
              <w:rPr>
                <w:rFonts w:hint="eastAsia"/>
              </w:rPr>
              <w:t xml:space="preserve">35,940.34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4 </w:t>
            </w:r>
          </w:p>
        </w:tc>
        <w:tc>
          <w:tcPr>
            <w:tcW w:w="4290" w:type="dxa"/>
            <w:shd w:val="clear" w:color="auto" w:fill="auto"/>
          </w:tcPr>
          <w:p>
            <w:pPr>
              <w:pStyle w:val="8"/>
            </w:pPr>
            <w:r>
              <w:rPr>
                <w:rFonts w:hint="eastAsia"/>
              </w:rPr>
              <w:t xml:space="preserve">应收利息 </w:t>
            </w:r>
          </w:p>
        </w:tc>
        <w:tc>
          <w:tcPr>
            <w:tcW w:w="4290" w:type="dxa"/>
            <w:shd w:val="clear" w:color="auto" w:fill="auto"/>
          </w:tcPr>
          <w:p>
            <w:pPr>
              <w:pStyle w:val="8"/>
              <w:jc w:val="right"/>
            </w:pPr>
            <w:r>
              <w:rPr>
                <w:rFonts w:hint="eastAsia"/>
              </w:rPr>
              <w:t xml:space="preserve">8,679.29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5 </w:t>
            </w:r>
          </w:p>
        </w:tc>
        <w:tc>
          <w:tcPr>
            <w:tcW w:w="4290" w:type="dxa"/>
            <w:shd w:val="clear" w:color="auto" w:fill="auto"/>
          </w:tcPr>
          <w:p>
            <w:pPr>
              <w:pStyle w:val="8"/>
            </w:pPr>
            <w:r>
              <w:rPr>
                <w:rFonts w:hint="eastAsia"/>
              </w:rPr>
              <w:t xml:space="preserve">应收申购款 </w:t>
            </w:r>
          </w:p>
        </w:tc>
        <w:tc>
          <w:tcPr>
            <w:tcW w:w="4290"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6 </w:t>
            </w:r>
          </w:p>
        </w:tc>
        <w:tc>
          <w:tcPr>
            <w:tcW w:w="4290" w:type="dxa"/>
            <w:shd w:val="clear" w:color="auto" w:fill="auto"/>
          </w:tcPr>
          <w:p>
            <w:pPr>
              <w:pStyle w:val="8"/>
            </w:pPr>
            <w:r>
              <w:rPr>
                <w:rFonts w:hint="eastAsia"/>
              </w:rPr>
              <w:t xml:space="preserve">其他应收款 </w:t>
            </w:r>
          </w:p>
        </w:tc>
        <w:tc>
          <w:tcPr>
            <w:tcW w:w="4290"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7 </w:t>
            </w:r>
          </w:p>
        </w:tc>
        <w:tc>
          <w:tcPr>
            <w:tcW w:w="4290" w:type="dxa"/>
            <w:shd w:val="clear" w:color="auto" w:fill="auto"/>
          </w:tcPr>
          <w:p>
            <w:pPr>
              <w:pStyle w:val="8"/>
            </w:pPr>
            <w:r>
              <w:rPr>
                <w:rFonts w:hint="eastAsia"/>
              </w:rPr>
              <w:t xml:space="preserve">待摊费用 </w:t>
            </w:r>
          </w:p>
        </w:tc>
        <w:tc>
          <w:tcPr>
            <w:tcW w:w="4290"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8 </w:t>
            </w:r>
          </w:p>
        </w:tc>
        <w:tc>
          <w:tcPr>
            <w:tcW w:w="4290" w:type="dxa"/>
            <w:shd w:val="clear" w:color="auto" w:fill="auto"/>
          </w:tcPr>
          <w:p>
            <w:pPr>
              <w:pStyle w:val="8"/>
            </w:pPr>
            <w:r>
              <w:rPr>
                <w:rFonts w:hint="eastAsia"/>
              </w:rPr>
              <w:t xml:space="preserve">其他 </w:t>
            </w:r>
          </w:p>
        </w:tc>
        <w:tc>
          <w:tcPr>
            <w:tcW w:w="4290" w:type="dxa"/>
            <w:shd w:val="clear" w:color="auto" w:fill="auto"/>
          </w:tcPr>
          <w:p>
            <w:pPr>
              <w:pStyle w:val="8"/>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9 </w:t>
            </w:r>
          </w:p>
        </w:tc>
        <w:tc>
          <w:tcPr>
            <w:tcW w:w="4290" w:type="dxa"/>
            <w:shd w:val="clear" w:color="auto" w:fill="auto"/>
          </w:tcPr>
          <w:p>
            <w:pPr>
              <w:pStyle w:val="8"/>
            </w:pPr>
            <w:r>
              <w:rPr>
                <w:rFonts w:hint="eastAsia"/>
              </w:rPr>
              <w:t xml:space="preserve">合计 </w:t>
            </w:r>
          </w:p>
        </w:tc>
        <w:tc>
          <w:tcPr>
            <w:tcW w:w="4290" w:type="dxa"/>
            <w:shd w:val="clear" w:color="auto" w:fill="auto"/>
          </w:tcPr>
          <w:p>
            <w:pPr>
              <w:pStyle w:val="8"/>
              <w:jc w:val="right"/>
            </w:pPr>
            <w:r>
              <w:rPr>
                <w:rFonts w:hint="eastAsia"/>
              </w:rPr>
              <w:t xml:space="preserve">14,650,839.26 </w:t>
            </w:r>
          </w:p>
        </w:tc>
      </w:tr>
    </w:tbl>
    <w:p>
      <w:pPr>
        <w:pStyle w:val="8"/>
        <w:spacing w:before="0" w:beforeAutospacing="0" w:after="0" w:afterAutospacing="0" w:line="360" w:lineRule="auto"/>
        <w:ind w:firstLine="420"/>
        <w:rPr>
          <w:sz w:val="21"/>
          <w:szCs w:val="21"/>
        </w:rPr>
      </w:pPr>
      <w:r>
        <w:rPr>
          <w:rFonts w:hint="eastAsia"/>
          <w:sz w:val="21"/>
          <w:szCs w:val="21"/>
        </w:rPr>
        <w:t xml:space="preserve">11.4报告期末持有的处于转股期的可转换债券明细 </w:t>
      </w:r>
    </w:p>
    <w:p>
      <w:pPr>
        <w:pStyle w:val="8"/>
        <w:spacing w:before="0" w:beforeAutospacing="0" w:after="0" w:afterAutospacing="0" w:line="360" w:lineRule="auto"/>
        <w:ind w:firstLine="420"/>
        <w:rPr>
          <w:sz w:val="21"/>
          <w:szCs w:val="21"/>
        </w:rPr>
      </w:pPr>
      <w:r>
        <w:rPr>
          <w:rFonts w:hint="eastAsia"/>
          <w:sz w:val="21"/>
          <w:szCs w:val="21"/>
        </w:rPr>
        <w:t xml:space="preserve">本基金本报告期末未持有处于转股期的可转换债券。 </w:t>
      </w:r>
    </w:p>
    <w:p>
      <w:pPr>
        <w:pStyle w:val="8"/>
        <w:spacing w:before="0" w:beforeAutospacing="0" w:after="0" w:afterAutospacing="0" w:line="360" w:lineRule="auto"/>
        <w:ind w:firstLine="420"/>
        <w:rPr>
          <w:sz w:val="21"/>
          <w:szCs w:val="21"/>
        </w:rPr>
      </w:pPr>
      <w:r>
        <w:rPr>
          <w:rFonts w:hint="eastAsia"/>
          <w:sz w:val="21"/>
          <w:szCs w:val="21"/>
        </w:rPr>
        <w:t xml:space="preserve">11.5报告期末前十名股票中存在流通受限情况的说明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425"/>
        <w:gridCol w:w="1245"/>
        <w:gridCol w:w="2267"/>
        <w:gridCol w:w="1550"/>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pPr>
            <w:r>
              <w:rPr>
                <w:rFonts w:hint="eastAsia"/>
              </w:rPr>
              <w:t xml:space="preserve">序号 </w:t>
            </w:r>
          </w:p>
        </w:tc>
        <w:tc>
          <w:tcPr>
            <w:tcW w:w="1515" w:type="dxa"/>
            <w:shd w:val="clear" w:color="auto" w:fill="auto"/>
          </w:tcPr>
          <w:p>
            <w:pPr>
              <w:pStyle w:val="8"/>
              <w:jc w:val="center"/>
            </w:pPr>
            <w:r>
              <w:rPr>
                <w:rFonts w:hint="eastAsia"/>
              </w:rPr>
              <w:t xml:space="preserve">股票代码 </w:t>
            </w:r>
          </w:p>
        </w:tc>
        <w:tc>
          <w:tcPr>
            <w:tcW w:w="1455" w:type="dxa"/>
            <w:shd w:val="clear" w:color="auto" w:fill="auto"/>
          </w:tcPr>
          <w:p>
            <w:pPr>
              <w:pStyle w:val="8"/>
              <w:jc w:val="center"/>
            </w:pPr>
            <w:r>
              <w:rPr>
                <w:rFonts w:hint="eastAsia"/>
              </w:rPr>
              <w:t xml:space="preserve">股票名称 </w:t>
            </w:r>
          </w:p>
        </w:tc>
        <w:tc>
          <w:tcPr>
            <w:tcW w:w="2250" w:type="dxa"/>
            <w:shd w:val="clear" w:color="auto" w:fill="auto"/>
          </w:tcPr>
          <w:p>
            <w:pPr>
              <w:pStyle w:val="8"/>
              <w:jc w:val="center"/>
            </w:pPr>
            <w:r>
              <w:rPr>
                <w:rFonts w:hint="eastAsia"/>
              </w:rPr>
              <w:t xml:space="preserve">流通受限部分的公允价值(元) </w:t>
            </w:r>
          </w:p>
        </w:tc>
        <w:tc>
          <w:tcPr>
            <w:tcW w:w="1770" w:type="dxa"/>
            <w:shd w:val="clear" w:color="auto" w:fill="auto"/>
          </w:tcPr>
          <w:p>
            <w:pPr>
              <w:pStyle w:val="8"/>
              <w:jc w:val="center"/>
            </w:pPr>
            <w:r>
              <w:rPr>
                <w:rFonts w:hint="eastAsia"/>
              </w:rPr>
              <w:t xml:space="preserve">占基金资产净值比例(%) </w:t>
            </w:r>
          </w:p>
        </w:tc>
        <w:tc>
          <w:tcPr>
            <w:tcW w:w="1605" w:type="dxa"/>
            <w:shd w:val="clear" w:color="auto" w:fill="auto"/>
          </w:tcPr>
          <w:p>
            <w:pPr>
              <w:pStyle w:val="8"/>
              <w:jc w:val="center"/>
            </w:pPr>
            <w:r>
              <w:rPr>
                <w:rFonts w:hint="eastAsia"/>
              </w:rPr>
              <w:t xml:space="preserve">流通受限情况说明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8"/>
              <w:jc w:val="center"/>
            </w:pPr>
            <w:r>
              <w:rPr>
                <w:rFonts w:hint="eastAsia"/>
              </w:rPr>
              <w:t xml:space="preserve">1 </w:t>
            </w:r>
          </w:p>
        </w:tc>
        <w:tc>
          <w:tcPr>
            <w:tcW w:w="1620" w:type="dxa"/>
            <w:shd w:val="clear" w:color="auto" w:fill="auto"/>
          </w:tcPr>
          <w:p>
            <w:pPr>
              <w:pStyle w:val="8"/>
              <w:jc w:val="center"/>
            </w:pPr>
            <w:r>
              <w:rPr>
                <w:rFonts w:hint="eastAsia"/>
              </w:rPr>
              <w:t xml:space="preserve">688180 </w:t>
            </w:r>
          </w:p>
        </w:tc>
        <w:tc>
          <w:tcPr>
            <w:tcW w:w="1560" w:type="dxa"/>
            <w:shd w:val="clear" w:color="auto" w:fill="auto"/>
          </w:tcPr>
          <w:p>
            <w:pPr>
              <w:pStyle w:val="8"/>
              <w:jc w:val="center"/>
            </w:pPr>
            <w:r>
              <w:rPr>
                <w:rFonts w:hint="eastAsia"/>
              </w:rPr>
              <w:t xml:space="preserve">君实生物 </w:t>
            </w:r>
          </w:p>
        </w:tc>
        <w:tc>
          <w:tcPr>
            <w:tcW w:w="2415" w:type="dxa"/>
            <w:shd w:val="clear" w:color="auto" w:fill="auto"/>
          </w:tcPr>
          <w:p>
            <w:pPr>
              <w:pStyle w:val="8"/>
              <w:jc w:val="right"/>
            </w:pPr>
            <w:r>
              <w:rPr>
                <w:rFonts w:hint="eastAsia"/>
              </w:rPr>
              <w:t xml:space="preserve">144,738,674.33 </w:t>
            </w:r>
          </w:p>
        </w:tc>
        <w:tc>
          <w:tcPr>
            <w:tcW w:w="1890" w:type="dxa"/>
            <w:shd w:val="clear" w:color="auto" w:fill="auto"/>
          </w:tcPr>
          <w:p>
            <w:pPr>
              <w:pStyle w:val="8"/>
              <w:jc w:val="right"/>
            </w:pPr>
            <w:r>
              <w:rPr>
                <w:rFonts w:hint="eastAsia"/>
              </w:rPr>
              <w:t xml:space="preserve">6.31 </w:t>
            </w:r>
          </w:p>
        </w:tc>
        <w:tc>
          <w:tcPr>
            <w:tcW w:w="1725" w:type="dxa"/>
            <w:shd w:val="clear" w:color="auto" w:fill="auto"/>
          </w:tcPr>
          <w:p>
            <w:pPr>
              <w:pStyle w:val="8"/>
              <w:jc w:val="right"/>
            </w:pPr>
            <w:r>
              <w:rPr>
                <w:rFonts w:hint="eastAsia"/>
              </w:rPr>
              <w:t xml:space="preserve">首次公开发行限售 </w:t>
            </w:r>
          </w:p>
        </w:tc>
      </w:tr>
    </w:tbl>
    <w:p>
      <w:pPr>
        <w:pStyle w:val="8"/>
        <w:spacing w:before="0" w:beforeAutospacing="0" w:after="0" w:afterAutospacing="0" w:line="360" w:lineRule="auto"/>
        <w:ind w:firstLine="420"/>
        <w:rPr>
          <w:sz w:val="21"/>
          <w:szCs w:val="21"/>
        </w:rPr>
      </w:pPr>
      <w:r>
        <w:rPr>
          <w:rFonts w:hint="eastAsia"/>
          <w:sz w:val="21"/>
          <w:szCs w:val="21"/>
        </w:rPr>
        <w:t xml:space="preserve">11.6投资组合报告附注的其他文字描述部分 </w:t>
      </w:r>
    </w:p>
    <w:p>
      <w:pPr>
        <w:pStyle w:val="8"/>
        <w:spacing w:before="0" w:beforeAutospacing="0" w:after="0" w:afterAutospacing="0" w:line="360" w:lineRule="auto"/>
        <w:ind w:firstLine="420"/>
      </w:pPr>
      <w:r>
        <w:rPr>
          <w:sz w:val="21"/>
          <w:szCs w:val="21"/>
        </w:rPr>
        <w:t>由于四舍五入的原因，分项之和与合计项之间可能存在尾差。</w:t>
      </w:r>
      <w:r>
        <w:t xml:space="preserve"> </w:t>
      </w:r>
    </w:p>
    <w:p>
      <w:pPr>
        <w:pStyle w:val="8"/>
        <w:spacing w:before="0" w:beforeAutospacing="0" w:after="0" w:afterAutospacing="0" w:line="360" w:lineRule="auto"/>
        <w:ind w:firstLine="420"/>
        <w:rPr>
          <w:sz w:val="21"/>
          <w:szCs w:val="21"/>
        </w:rPr>
      </w:pPr>
    </w:p>
    <w:p>
      <w:pPr>
        <w:widowControl/>
        <w:jc w:val="left"/>
        <w:rPr>
          <w:rFonts w:ascii="宋体" w:hAnsi="宋体" w:eastAsia="宋体"/>
        </w:rPr>
      </w:pPr>
      <w:bookmarkStart w:id="115" w:name="chapter_level1_13_60_section_6_end"/>
      <w:bookmarkEnd w:id="115"/>
      <w:r>
        <w:rPr>
          <w:rFonts w:ascii="宋体" w:hAnsi="宋体" w:eastAsia="宋体"/>
        </w:rPr>
        <w:br w:type="page"/>
      </w:r>
    </w:p>
    <w:p>
      <w:pPr>
        <w:pStyle w:val="2"/>
        <w:jc w:val="center"/>
        <w:rPr>
          <w:rFonts w:ascii="宋体" w:hAnsi="宋体" w:eastAsia="宋体"/>
          <w:sz w:val="30"/>
        </w:rPr>
      </w:pPr>
      <w:bookmarkStart w:id="116" w:name="_Toc20980"/>
      <w:bookmarkStart w:id="117" w:name="chapter_level1_14_3500"/>
      <w:bookmarkStart w:id="118" w:name="_Toc82437032"/>
      <w:r>
        <w:rPr>
          <w:rFonts w:hint="eastAsia" w:ascii="宋体" w:hAnsi="宋体" w:eastAsia="宋体"/>
          <w:sz w:val="30"/>
        </w:rPr>
        <w:t>第十部分 基金的业绩</w:t>
      </w:r>
      <w:bookmarkEnd w:id="116"/>
      <w:bookmarkEnd w:id="117"/>
      <w:bookmarkEnd w:id="118"/>
    </w:p>
    <w:p>
      <w:pPr>
        <w:pStyle w:val="8"/>
        <w:spacing w:before="0" w:beforeAutospacing="0" w:after="0" w:afterAutospacing="0" w:line="360" w:lineRule="auto"/>
        <w:ind w:firstLine="420"/>
        <w:rPr>
          <w:sz w:val="21"/>
          <w:szCs w:val="21"/>
        </w:rPr>
      </w:pPr>
      <w:bookmarkStart w:id="119" w:name="chapter_level1_14_3500_section_1"/>
      <w:bookmarkEnd w:id="119"/>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8"/>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bookmarkStart w:id="120" w:name="field_0_indatatable_1_start"/>
      <w:bookmarkEnd w:id="120"/>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67"/>
        <w:gridCol w:w="1042"/>
        <w:gridCol w:w="1171"/>
        <w:gridCol w:w="1228"/>
        <w:gridCol w:w="846"/>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期间</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①净值增长率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②净值增长率标准差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③业绩比较基准收益率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④业绩比较基准收益率标准差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①-③</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2019.06.27-2019.12.31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13.81%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10.76%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3.05%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2020.01.01-2020.12.31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68.68%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33.62%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35.06%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2021.01.01-2021.06.30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19.88%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8.11%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11.77%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2019.06.27-2021.06.30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130.14%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60.00%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70.14%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0.66%</w:t>
            </w:r>
          </w:p>
        </w:tc>
      </w:tr>
    </w:tbl>
    <w:p>
      <w:pPr>
        <w:pStyle w:val="8"/>
        <w:spacing w:before="0" w:beforeAutospacing="0" w:after="0" w:afterAutospacing="0" w:line="360" w:lineRule="auto"/>
        <w:ind w:firstLine="420"/>
        <w:rPr>
          <w:sz w:val="21"/>
          <w:szCs w:val="21"/>
        </w:rPr>
      </w:pPr>
      <w:bookmarkStart w:id="121" w:name="chapter_level1_14_3500_section_1_end"/>
      <w:bookmarkEnd w:id="121"/>
      <w:bookmarkStart w:id="122" w:name="field_0_indatatable_1_end"/>
      <w:bookmarkEnd w:id="122"/>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3" w:name="_Toc3475"/>
      <w:bookmarkStart w:id="124" w:name="_Toc82437033"/>
      <w:bookmarkStart w:id="125" w:name="chapter_level1_15_62"/>
      <w:r>
        <w:rPr>
          <w:rFonts w:hint="eastAsia" w:ascii="宋体" w:hAnsi="宋体" w:eastAsia="宋体"/>
          <w:sz w:val="30"/>
        </w:rPr>
        <w:t>第十一部分  基金的财产</w:t>
      </w:r>
      <w:bookmarkEnd w:id="123"/>
      <w:bookmarkEnd w:id="124"/>
      <w:bookmarkEnd w:id="125"/>
    </w:p>
    <w:p>
      <w:pPr>
        <w:pStyle w:val="8"/>
        <w:spacing w:before="0" w:beforeAutospacing="0" w:after="0" w:afterAutospacing="0" w:line="360" w:lineRule="auto"/>
        <w:ind w:firstLine="420"/>
        <w:rPr>
          <w:sz w:val="21"/>
          <w:szCs w:val="21"/>
        </w:rPr>
      </w:pPr>
      <w:bookmarkStart w:id="126" w:name="chapter_level1_15_62_section_1"/>
      <w:bookmarkEnd w:id="126"/>
      <w:r>
        <w:rPr>
          <w:rStyle w:val="13"/>
          <w:rFonts w:hint="eastAsia"/>
          <w:sz w:val="21"/>
          <w:szCs w:val="21"/>
        </w:rPr>
        <w:t>一、基金资产总值</w:t>
      </w:r>
    </w:p>
    <w:p>
      <w:pPr>
        <w:pStyle w:val="8"/>
        <w:spacing w:before="0" w:beforeAutospacing="0" w:after="0" w:afterAutospacing="0" w:line="360" w:lineRule="auto"/>
        <w:ind w:firstLine="420"/>
        <w:rPr>
          <w:sz w:val="21"/>
          <w:szCs w:val="21"/>
        </w:rPr>
      </w:pPr>
      <w:r>
        <w:rPr>
          <w:rFonts w:hint="eastAsia"/>
          <w:sz w:val="21"/>
          <w:szCs w:val="21"/>
        </w:rPr>
        <w:t xml:space="preserve">基金资产总值是指基金拥有的各类证券、银行存款本息和基金应收款项以及其他投资所形成的价值总和。 </w:t>
      </w:r>
    </w:p>
    <w:p>
      <w:pPr>
        <w:pStyle w:val="8"/>
        <w:spacing w:before="0" w:beforeAutospacing="0" w:after="0" w:afterAutospacing="0" w:line="360" w:lineRule="auto"/>
        <w:ind w:firstLine="420"/>
        <w:rPr>
          <w:sz w:val="21"/>
          <w:szCs w:val="21"/>
        </w:rPr>
      </w:pPr>
      <w:r>
        <w:rPr>
          <w:rStyle w:val="13"/>
          <w:rFonts w:hint="eastAsia"/>
          <w:sz w:val="21"/>
          <w:szCs w:val="21"/>
        </w:rPr>
        <w:t>二、基金资产净值</w:t>
      </w:r>
    </w:p>
    <w:p>
      <w:pPr>
        <w:pStyle w:val="8"/>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8"/>
        <w:spacing w:before="0" w:beforeAutospacing="0" w:after="0" w:afterAutospacing="0" w:line="360" w:lineRule="auto"/>
        <w:ind w:firstLine="420"/>
        <w:rPr>
          <w:sz w:val="21"/>
          <w:szCs w:val="21"/>
        </w:rPr>
      </w:pPr>
      <w:r>
        <w:rPr>
          <w:rStyle w:val="13"/>
          <w:rFonts w:hint="eastAsia"/>
          <w:sz w:val="21"/>
          <w:szCs w:val="21"/>
        </w:rPr>
        <w:t>三、基金财产的账户</w:t>
      </w:r>
    </w:p>
    <w:p>
      <w:pPr>
        <w:pStyle w:val="8"/>
        <w:spacing w:before="0" w:beforeAutospacing="0" w:after="0" w:afterAutospacing="0" w:line="360" w:lineRule="auto"/>
        <w:ind w:firstLine="420"/>
        <w:rPr>
          <w:sz w:val="21"/>
          <w:szCs w:val="21"/>
        </w:rPr>
      </w:pPr>
      <w:r>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pPr>
        <w:pStyle w:val="8"/>
        <w:spacing w:before="0" w:beforeAutospacing="0" w:after="0" w:afterAutospacing="0" w:line="360" w:lineRule="auto"/>
        <w:ind w:firstLine="420"/>
        <w:rPr>
          <w:sz w:val="21"/>
          <w:szCs w:val="21"/>
        </w:rPr>
      </w:pPr>
      <w:r>
        <w:rPr>
          <w:rStyle w:val="13"/>
          <w:rFonts w:hint="eastAsia"/>
          <w:sz w:val="21"/>
          <w:szCs w:val="21"/>
        </w:rPr>
        <w:t>四、基金财产的保管和处分</w:t>
      </w:r>
    </w:p>
    <w:p>
      <w:pPr>
        <w:pStyle w:val="8"/>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pPr>
        <w:pStyle w:val="8"/>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27" w:name="chapter_level1_15_62_section_1_end"/>
      <w:bookmarkEnd w:id="127"/>
      <w:r>
        <w:rPr>
          <w:rFonts w:hint="eastAsia"/>
          <w:sz w:val="21"/>
          <w:szCs w:val="21"/>
        </w:rPr>
        <w:t xml:space="preserve">得相互抵销。非因基金财产本身承担的债务，不得对基金财产强制执行。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8" w:name="_Toc82437034"/>
      <w:bookmarkStart w:id="129" w:name="chapter_level1_16_63"/>
      <w:bookmarkStart w:id="130" w:name="_Toc26517"/>
      <w:r>
        <w:rPr>
          <w:rFonts w:hint="eastAsia" w:ascii="宋体" w:hAnsi="宋体" w:eastAsia="宋体"/>
          <w:sz w:val="30"/>
        </w:rPr>
        <w:t>第十二部分  基金资产的估值</w:t>
      </w:r>
      <w:bookmarkEnd w:id="128"/>
      <w:bookmarkEnd w:id="129"/>
      <w:bookmarkEnd w:id="130"/>
    </w:p>
    <w:p>
      <w:pPr>
        <w:pStyle w:val="8"/>
        <w:spacing w:before="0" w:beforeAutospacing="0" w:after="0" w:afterAutospacing="0" w:line="360" w:lineRule="auto"/>
        <w:ind w:firstLine="420"/>
        <w:rPr>
          <w:sz w:val="21"/>
          <w:szCs w:val="21"/>
        </w:rPr>
      </w:pPr>
      <w:bookmarkStart w:id="131" w:name="chapter_level1_16_63_section_1"/>
      <w:bookmarkEnd w:id="131"/>
      <w:r>
        <w:rPr>
          <w:rStyle w:val="13"/>
          <w:rFonts w:hint="eastAsia"/>
          <w:sz w:val="21"/>
          <w:szCs w:val="21"/>
        </w:rPr>
        <w:t>一、估值日</w:t>
      </w:r>
    </w:p>
    <w:p>
      <w:pPr>
        <w:pStyle w:val="8"/>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pPr>
        <w:pStyle w:val="8"/>
        <w:spacing w:before="0" w:beforeAutospacing="0" w:after="0" w:afterAutospacing="0" w:line="360" w:lineRule="auto"/>
        <w:ind w:firstLine="420"/>
        <w:rPr>
          <w:sz w:val="21"/>
          <w:szCs w:val="21"/>
        </w:rPr>
      </w:pPr>
      <w:r>
        <w:rPr>
          <w:rStyle w:val="13"/>
          <w:rFonts w:hint="eastAsia"/>
          <w:sz w:val="21"/>
          <w:szCs w:val="21"/>
        </w:rPr>
        <w:t>二、估值对象</w:t>
      </w:r>
    </w:p>
    <w:p>
      <w:pPr>
        <w:pStyle w:val="8"/>
        <w:spacing w:before="0" w:beforeAutospacing="0" w:after="0" w:afterAutospacing="0" w:line="360" w:lineRule="auto"/>
        <w:ind w:firstLine="420"/>
        <w:rPr>
          <w:sz w:val="21"/>
          <w:szCs w:val="21"/>
        </w:rPr>
      </w:pPr>
      <w:r>
        <w:rPr>
          <w:rFonts w:hint="eastAsia"/>
          <w:sz w:val="21"/>
          <w:szCs w:val="21"/>
        </w:rPr>
        <w:t xml:space="preserve">基金所拥有的股票、债券、衍生工具和其他投资等持续以公允价值计量的金融资产及负债。 </w:t>
      </w:r>
    </w:p>
    <w:p>
      <w:pPr>
        <w:pStyle w:val="8"/>
        <w:spacing w:before="0" w:beforeAutospacing="0" w:after="0" w:afterAutospacing="0" w:line="360" w:lineRule="auto"/>
        <w:ind w:firstLine="420"/>
        <w:rPr>
          <w:sz w:val="21"/>
          <w:szCs w:val="21"/>
        </w:rPr>
      </w:pPr>
      <w:r>
        <w:rPr>
          <w:rStyle w:val="13"/>
          <w:rFonts w:hint="eastAsia"/>
          <w:sz w:val="21"/>
          <w:szCs w:val="21"/>
        </w:rPr>
        <w:t>三、估值原则</w:t>
      </w:r>
    </w:p>
    <w:p>
      <w:pPr>
        <w:pStyle w:val="8"/>
        <w:spacing w:before="0" w:beforeAutospacing="0" w:after="0" w:afterAutospacing="0" w:line="360" w:lineRule="auto"/>
        <w:ind w:firstLine="420"/>
        <w:rPr>
          <w:sz w:val="21"/>
          <w:szCs w:val="21"/>
        </w:rPr>
      </w:pPr>
      <w:r>
        <w:rPr>
          <w:rFonts w:hint="eastAsia"/>
          <w:sz w:val="21"/>
          <w:szCs w:val="21"/>
        </w:rPr>
        <w:t xml:space="preserve">基金管理人在确定相关金融资产和金融负债的公允价值时，应符合《企业会计准则》、监管部门有关规定。 </w:t>
      </w:r>
    </w:p>
    <w:p>
      <w:pPr>
        <w:pStyle w:val="8"/>
        <w:spacing w:before="0" w:beforeAutospacing="0" w:after="0" w:afterAutospacing="0" w:line="360" w:lineRule="auto"/>
        <w:ind w:firstLine="420"/>
        <w:rPr>
          <w:sz w:val="21"/>
          <w:szCs w:val="21"/>
        </w:rPr>
      </w:pPr>
      <w:r>
        <w:rPr>
          <w:rFonts w:hint="eastAsia"/>
          <w:sz w:val="21"/>
          <w:szCs w:val="21"/>
        </w:rPr>
        <w:t xml:space="preserve">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 </w:t>
      </w:r>
    </w:p>
    <w:p>
      <w:pPr>
        <w:pStyle w:val="8"/>
        <w:spacing w:before="0" w:beforeAutospacing="0" w:after="0" w:afterAutospacing="0" w:line="360" w:lineRule="auto"/>
        <w:ind w:firstLine="420"/>
        <w:rPr>
          <w:sz w:val="21"/>
          <w:szCs w:val="21"/>
        </w:rPr>
      </w:pPr>
      <w:r>
        <w:rPr>
          <w:rFonts w:hint="eastAsia"/>
          <w:sz w:val="21"/>
          <w:szCs w:val="21"/>
        </w:rPr>
        <w:t xml:space="preserve">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 </w:t>
      </w:r>
    </w:p>
    <w:p>
      <w:pPr>
        <w:pStyle w:val="8"/>
        <w:spacing w:before="0" w:beforeAutospacing="0" w:after="0" w:afterAutospacing="0" w:line="360" w:lineRule="auto"/>
        <w:ind w:firstLine="420"/>
        <w:rPr>
          <w:sz w:val="21"/>
          <w:szCs w:val="21"/>
        </w:rPr>
      </w:pPr>
      <w:r>
        <w:rPr>
          <w:rFonts w:hint="eastAsia"/>
          <w:sz w:val="21"/>
          <w:szCs w:val="21"/>
        </w:rPr>
        <w:t xml:space="preserve">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 </w:t>
      </w:r>
    </w:p>
    <w:p>
      <w:pPr>
        <w:pStyle w:val="8"/>
        <w:spacing w:before="0" w:beforeAutospacing="0" w:after="0" w:afterAutospacing="0" w:line="360" w:lineRule="auto"/>
        <w:ind w:firstLine="420"/>
        <w:rPr>
          <w:sz w:val="21"/>
          <w:szCs w:val="21"/>
        </w:rPr>
      </w:pPr>
      <w:r>
        <w:rPr>
          <w:rFonts w:hint="eastAsia"/>
          <w:sz w:val="21"/>
          <w:szCs w:val="21"/>
        </w:rPr>
        <w:t>3、如经济环境发生重大变化或证券发行人发生影响证券价格的重大事件，使潜在估值调整对前一估值日的基金资产净值的影响在0.25%以上的，应对估值进行调整并确定公允价</w:t>
      </w:r>
      <w:bookmarkStart w:id="132" w:name="chapter_level1_16_63_section_1_end"/>
      <w:bookmarkEnd w:id="132"/>
      <w:r>
        <w:rPr>
          <w:rFonts w:hint="eastAsia"/>
          <w:sz w:val="21"/>
          <w:szCs w:val="21"/>
        </w:rPr>
        <w:t xml:space="preserve">值。 </w:t>
      </w:r>
    </w:p>
    <w:p>
      <w:pPr>
        <w:pStyle w:val="8"/>
        <w:spacing w:before="0" w:beforeAutospacing="0" w:after="0" w:afterAutospacing="0" w:line="360" w:lineRule="auto"/>
        <w:ind w:firstLine="420"/>
        <w:rPr>
          <w:sz w:val="21"/>
          <w:szCs w:val="21"/>
        </w:rPr>
      </w:pPr>
      <w:bookmarkStart w:id="133" w:name="chapter_level1_16_63_section_2"/>
      <w:bookmarkEnd w:id="133"/>
      <w:r>
        <w:rPr>
          <w:rStyle w:val="13"/>
          <w:rFonts w:hint="eastAsia"/>
          <w:sz w:val="21"/>
          <w:szCs w:val="21"/>
        </w:rPr>
        <w:t>四、估值方法</w:t>
      </w:r>
    </w:p>
    <w:p>
      <w:pPr>
        <w:pStyle w:val="8"/>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8"/>
        <w:spacing w:before="0" w:beforeAutospacing="0" w:after="0" w:afterAutospacing="0" w:line="360" w:lineRule="auto"/>
        <w:ind w:firstLine="420"/>
        <w:rPr>
          <w:sz w:val="21"/>
          <w:szCs w:val="21"/>
        </w:rPr>
      </w:pPr>
      <w:r>
        <w:rPr>
          <w:rFonts w:hint="eastAsia"/>
          <w:sz w:val="21"/>
          <w:szCs w:val="21"/>
        </w:rPr>
        <w:t xml:space="preserve">（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8"/>
        <w:spacing w:before="0" w:beforeAutospacing="0" w:after="0" w:afterAutospacing="0" w:line="360" w:lineRule="auto"/>
        <w:ind w:firstLine="420"/>
        <w:rPr>
          <w:sz w:val="21"/>
          <w:szCs w:val="21"/>
        </w:rPr>
      </w:pPr>
      <w:r>
        <w:rPr>
          <w:rFonts w:hint="eastAsia"/>
          <w:sz w:val="21"/>
          <w:szCs w:val="21"/>
        </w:rPr>
        <w:t xml:space="preserve">（2）交易所市场上市交易或挂牌转让的固定收益品种（基金合同另有约定的除外），选取估值日第三方估值机构提供的相应品种对应的估值净价估值，具体估值机构由基金管理人与基金托管人共同确定； </w:t>
      </w:r>
    </w:p>
    <w:p>
      <w:pPr>
        <w:pStyle w:val="8"/>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交易所上市实行全价交易的债券（可转债除外），选取第三方估值机构提供的估值全价减去估值全价中所含的债券（税后）应收利息得到的净价进行估值。 </w:t>
      </w:r>
    </w:p>
    <w:p>
      <w:pPr>
        <w:pStyle w:val="8"/>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8"/>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8"/>
        <w:spacing w:before="0" w:beforeAutospacing="0" w:after="0" w:afterAutospacing="0" w:line="360" w:lineRule="auto"/>
        <w:ind w:firstLine="420"/>
        <w:rPr>
          <w:sz w:val="21"/>
          <w:szCs w:val="21"/>
        </w:rPr>
      </w:pPr>
      <w:r>
        <w:rPr>
          <w:rFonts w:hint="eastAsia"/>
          <w:sz w:val="21"/>
          <w:szCs w:val="21"/>
        </w:rPr>
        <w:t xml:space="preserve">（1）送股、转增股、配股和公开增发的股票，按估值日在证券交易所挂牌的同一股票的估值方法估值；该日无交易的，以最近一日的市价（收盘价）估值； </w:t>
      </w:r>
    </w:p>
    <w:p>
      <w:pPr>
        <w:pStyle w:val="8"/>
        <w:spacing w:before="0" w:beforeAutospacing="0" w:after="0" w:afterAutospacing="0" w:line="360" w:lineRule="auto"/>
        <w:ind w:firstLine="420"/>
        <w:rPr>
          <w:sz w:val="21"/>
          <w:szCs w:val="21"/>
        </w:rPr>
      </w:pPr>
      <w:r>
        <w:rPr>
          <w:rFonts w:hint="eastAsia"/>
          <w:sz w:val="21"/>
          <w:szCs w:val="21"/>
        </w:rPr>
        <w:t xml:space="preserve">（2）首次公开发行未上市或未挂牌转让的股票、债券，采用估值技术确定公允价值，在估值技术难以可靠计量公允价值的情况下，按成本估值； </w:t>
      </w:r>
    </w:p>
    <w:p>
      <w:pPr>
        <w:pStyle w:val="8"/>
        <w:spacing w:before="0" w:beforeAutospacing="0" w:after="0" w:afterAutospacing="0" w:line="360" w:lineRule="auto"/>
        <w:ind w:firstLine="420"/>
        <w:rPr>
          <w:sz w:val="21"/>
          <w:szCs w:val="21"/>
        </w:rPr>
      </w:pPr>
      <w:r>
        <w:rPr>
          <w:rFonts w:hint="eastAsia"/>
          <w:sz w:val="21"/>
          <w:szCs w:val="21"/>
        </w:rPr>
        <w:t xml:space="preserve">（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pPr>
        <w:pStyle w:val="8"/>
        <w:spacing w:before="0" w:beforeAutospacing="0" w:after="0" w:afterAutospacing="0" w:line="360" w:lineRule="auto"/>
        <w:ind w:firstLine="420"/>
        <w:rPr>
          <w:sz w:val="21"/>
          <w:szCs w:val="21"/>
        </w:rPr>
      </w:pPr>
      <w:r>
        <w:rPr>
          <w:rFonts w:hint="eastAsia"/>
          <w:sz w:val="21"/>
          <w:szCs w:val="21"/>
        </w:rPr>
        <w:t xml:space="preserve">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pPr>
        <w:pStyle w:val="8"/>
        <w:spacing w:before="0" w:beforeAutospacing="0" w:after="0" w:afterAutospacing="0" w:line="360" w:lineRule="auto"/>
        <w:ind w:firstLine="420"/>
        <w:rPr>
          <w:sz w:val="21"/>
          <w:szCs w:val="21"/>
        </w:rPr>
      </w:pPr>
      <w:r>
        <w:rPr>
          <w:rFonts w:hint="eastAsia"/>
          <w:sz w:val="21"/>
          <w:szCs w:val="21"/>
        </w:rPr>
        <w:t xml:space="preserve">4、同一证券同时在两个或两个以上市场交易的，按证券所处的市场分别估值。 </w:t>
      </w:r>
    </w:p>
    <w:p>
      <w:pPr>
        <w:pStyle w:val="8"/>
        <w:spacing w:before="0" w:beforeAutospacing="0" w:after="0" w:afterAutospacing="0" w:line="360" w:lineRule="auto"/>
        <w:ind w:firstLine="420"/>
        <w:rPr>
          <w:sz w:val="21"/>
          <w:szCs w:val="21"/>
        </w:rPr>
      </w:pPr>
      <w:r>
        <w:rPr>
          <w:rFonts w:hint="eastAsia"/>
          <w:sz w:val="21"/>
          <w:szCs w:val="21"/>
        </w:rPr>
        <w:t xml:space="preserve">5、本基金投资股指期货合约、国债期货合约，按估值当日结算价进行估值，估值当日无结算价的，且最近交易日后经济环境未发生重大变化的，采用最近交易日结算价估值。 </w:t>
      </w:r>
    </w:p>
    <w:p>
      <w:pPr>
        <w:pStyle w:val="8"/>
        <w:spacing w:before="0" w:beforeAutospacing="0" w:after="0" w:afterAutospacing="0" w:line="360" w:lineRule="auto"/>
        <w:ind w:firstLine="420"/>
        <w:rPr>
          <w:sz w:val="21"/>
          <w:szCs w:val="21"/>
        </w:rPr>
      </w:pPr>
      <w:r>
        <w:rPr>
          <w:rFonts w:hint="eastAsia"/>
          <w:sz w:val="21"/>
          <w:szCs w:val="21"/>
        </w:rPr>
        <w:t xml:space="preserve">6、汇率：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 </w:t>
      </w:r>
    </w:p>
    <w:p>
      <w:pPr>
        <w:pStyle w:val="8"/>
        <w:spacing w:before="0" w:beforeAutospacing="0" w:after="0" w:afterAutospacing="0" w:line="360" w:lineRule="auto"/>
        <w:ind w:firstLine="420"/>
        <w:rPr>
          <w:sz w:val="21"/>
          <w:szCs w:val="21"/>
        </w:rPr>
      </w:pPr>
      <w:r>
        <w:rPr>
          <w:rFonts w:hint="eastAsia"/>
          <w:sz w:val="21"/>
          <w:szCs w:val="21"/>
        </w:rPr>
        <w:t xml:space="preserve">7、当基金发生大额申购或赎回情形时，基金管理人可以采用摆动定价机制，以确保基金估值的公平性。 </w:t>
      </w:r>
    </w:p>
    <w:p>
      <w:pPr>
        <w:pStyle w:val="8"/>
        <w:spacing w:before="0" w:beforeAutospacing="0" w:after="0" w:afterAutospacing="0" w:line="360" w:lineRule="auto"/>
        <w:ind w:firstLine="420"/>
        <w:rPr>
          <w:sz w:val="21"/>
          <w:szCs w:val="21"/>
        </w:rPr>
      </w:pPr>
      <w:r>
        <w:rPr>
          <w:rFonts w:hint="eastAsia"/>
          <w:sz w:val="21"/>
          <w:szCs w:val="21"/>
        </w:rPr>
        <w:t xml:space="preserve">8、如有确凿证据表明按原有方法进行估值不能客观反映上述资产或负债公允价值的，基金管理人可根据具体情况与基金托管人商定后，按最能反映公允价值的方法估值。 </w:t>
      </w:r>
    </w:p>
    <w:p>
      <w:pPr>
        <w:pStyle w:val="8"/>
        <w:spacing w:before="0" w:beforeAutospacing="0" w:after="0" w:afterAutospacing="0" w:line="360" w:lineRule="auto"/>
        <w:ind w:firstLine="420"/>
        <w:rPr>
          <w:sz w:val="21"/>
          <w:szCs w:val="21"/>
        </w:rPr>
      </w:pPr>
      <w:r>
        <w:rPr>
          <w:rFonts w:hint="eastAsia"/>
          <w:sz w:val="21"/>
          <w:szCs w:val="21"/>
        </w:rPr>
        <w:t xml:space="preserve">9、相关法律法规以及监管部门、自律规则另有规定的，从其规定。如有新增事项，按国家最新规定估值。 </w:t>
      </w:r>
    </w:p>
    <w:p>
      <w:pPr>
        <w:pStyle w:val="8"/>
        <w:spacing w:before="0" w:beforeAutospacing="0" w:after="0" w:afterAutospacing="0" w:line="360" w:lineRule="auto"/>
        <w:ind w:firstLine="420"/>
        <w:rPr>
          <w:sz w:val="21"/>
          <w:szCs w:val="21"/>
        </w:rPr>
      </w:pPr>
      <w:r>
        <w:rPr>
          <w:rFonts w:hint="eastAsia"/>
          <w:sz w:val="21"/>
          <w:szCs w:val="21"/>
        </w:rPr>
        <w:t xml:space="preserve">如本基金转为“博时科创主题灵活配置混合型证券投资基金（LOF）”，投资品种新增事项的估值方法遵照相关法律法规以及监管部门的规定，并相应更新。 </w:t>
      </w:r>
    </w:p>
    <w:p>
      <w:pPr>
        <w:pStyle w:val="8"/>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8"/>
        <w:spacing w:before="0" w:beforeAutospacing="0" w:after="0" w:afterAutospacing="0" w:line="360" w:lineRule="auto"/>
        <w:ind w:firstLine="420"/>
        <w:rPr>
          <w:sz w:val="21"/>
          <w:szCs w:val="21"/>
        </w:rPr>
      </w:pPr>
      <w:r>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pPr>
        <w:pStyle w:val="8"/>
        <w:spacing w:before="0" w:beforeAutospacing="0" w:after="0" w:afterAutospacing="0" w:line="360" w:lineRule="auto"/>
        <w:ind w:firstLine="420"/>
        <w:rPr>
          <w:sz w:val="21"/>
          <w:szCs w:val="21"/>
        </w:rPr>
      </w:pPr>
      <w:r>
        <w:rPr>
          <w:rStyle w:val="13"/>
          <w:rFonts w:hint="eastAsia"/>
          <w:sz w:val="21"/>
          <w:szCs w:val="21"/>
        </w:rPr>
        <w:t>五、估值程序</w:t>
      </w:r>
    </w:p>
    <w:p>
      <w:pPr>
        <w:pStyle w:val="8"/>
        <w:spacing w:before="0" w:beforeAutospacing="0" w:after="0" w:afterAutospacing="0" w:line="360" w:lineRule="auto"/>
        <w:ind w:firstLine="420"/>
        <w:rPr>
          <w:sz w:val="21"/>
          <w:szCs w:val="21"/>
        </w:rPr>
      </w:pPr>
      <w:r>
        <w:rPr>
          <w:rFonts w:hint="eastAsia"/>
          <w:sz w:val="21"/>
          <w:szCs w:val="21"/>
        </w:rPr>
        <w:t>1、任一类基金份额净值是按照每个工作日闭市后，基金资产净值除以当日该类基金份额的余额数量计算，精确到</w:t>
      </w:r>
      <w:bookmarkStart w:id="134" w:name="field_63_netdecimalvalue_1"/>
      <w:r>
        <w:rPr>
          <w:sz w:val="21"/>
          <w:szCs w:val="21"/>
        </w:rPr>
        <w:t>0.0001</w:t>
      </w:r>
      <w:bookmarkEnd w:id="134"/>
      <w:r>
        <w:rPr>
          <w:rFonts w:hint="eastAsia"/>
          <w:sz w:val="21"/>
          <w:szCs w:val="21"/>
        </w:rPr>
        <w:t>元，小数点后第</w:t>
      </w:r>
      <w:bookmarkStart w:id="135" w:name="field_0_netdecimaladd1_1"/>
      <w:r>
        <w:rPr>
          <w:sz w:val="21"/>
          <w:szCs w:val="21"/>
        </w:rPr>
        <w:t>5</w:t>
      </w:r>
      <w:bookmarkEnd w:id="135"/>
      <w:r>
        <w:rPr>
          <w:rFonts w:hint="eastAsia"/>
          <w:sz w:val="21"/>
          <w:szCs w:val="21"/>
        </w:rPr>
        <w:t xml:space="preserve">位四舍五入。基金管理人可以设立大额赎回情形下的净值精度应急调整机制。国家另有规定的，从其规定。 </w:t>
      </w:r>
    </w:p>
    <w:p>
      <w:pPr>
        <w:pStyle w:val="8"/>
        <w:spacing w:before="0" w:beforeAutospacing="0" w:after="0" w:afterAutospacing="0" w:line="360" w:lineRule="auto"/>
        <w:ind w:firstLine="420"/>
        <w:rPr>
          <w:sz w:val="21"/>
          <w:szCs w:val="21"/>
        </w:rPr>
      </w:pPr>
      <w:r>
        <w:rPr>
          <w:rFonts w:hint="eastAsia"/>
          <w:sz w:val="21"/>
          <w:szCs w:val="21"/>
        </w:rPr>
        <w:t xml:space="preserve">基金管理人应每个工作日计算基金资产净值及各类基金份额净值，并按规定公告。 </w:t>
      </w:r>
    </w:p>
    <w:p>
      <w:pPr>
        <w:pStyle w:val="8"/>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对外公布。 </w:t>
      </w:r>
    </w:p>
    <w:p>
      <w:pPr>
        <w:pStyle w:val="8"/>
        <w:spacing w:before="0" w:beforeAutospacing="0" w:after="0" w:afterAutospacing="0" w:line="360" w:lineRule="auto"/>
        <w:ind w:firstLine="420"/>
        <w:rPr>
          <w:sz w:val="21"/>
          <w:szCs w:val="21"/>
        </w:rPr>
      </w:pPr>
      <w:r>
        <w:rPr>
          <w:rStyle w:val="13"/>
          <w:rFonts w:hint="eastAsia"/>
          <w:sz w:val="21"/>
          <w:szCs w:val="21"/>
        </w:rPr>
        <w:t>六、估值错误的处理</w:t>
      </w:r>
    </w:p>
    <w:p>
      <w:pPr>
        <w:pStyle w:val="8"/>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基金管理人和基金托管人将采取必要、适当、合理的措施确保基金资产估值的准确性、及时性。当任一类基金份额净值小数点后</w:t>
      </w:r>
      <w:bookmarkStart w:id="136" w:name="field_63_netdecimal_1"/>
      <w:r>
        <w:rPr>
          <w:sz w:val="21"/>
          <w:szCs w:val="21"/>
        </w:rPr>
        <w:t>4</w:t>
      </w:r>
      <w:bookmarkEnd w:id="136"/>
      <w:r>
        <w:rPr>
          <w:rFonts w:hint="eastAsia"/>
          <w:sz w:val="21"/>
          <w:szCs w:val="21"/>
        </w:rPr>
        <w:t>位以内(含第</w:t>
      </w:r>
      <w:bookmarkStart w:id="137" w:name="field_63_netdecimal_2"/>
      <w:r>
        <w:rPr>
          <w:sz w:val="21"/>
          <w:szCs w:val="21"/>
        </w:rPr>
        <w:t>4</w:t>
      </w:r>
      <w:bookmarkEnd w:id="137"/>
      <w:r>
        <w:rPr>
          <w:rFonts w:hint="eastAsia"/>
          <w:sz w:val="21"/>
          <w:szCs w:val="21"/>
        </w:rPr>
        <w:t xml:space="preserve">位)发生估值错误时，视为该类基金份额净值错误。 </w:t>
      </w:r>
    </w:p>
    <w:p>
      <w:pPr>
        <w:pStyle w:val="8"/>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8"/>
        <w:spacing w:before="0" w:beforeAutospacing="0" w:after="0" w:afterAutospacing="0" w:line="360" w:lineRule="auto"/>
        <w:ind w:firstLine="420"/>
        <w:rPr>
          <w:sz w:val="21"/>
          <w:szCs w:val="21"/>
        </w:rPr>
      </w:pPr>
      <w:r>
        <w:rPr>
          <w:rFonts w:hint="eastAsia"/>
          <w:sz w:val="21"/>
          <w:szCs w:val="21"/>
        </w:rPr>
        <w:t xml:space="preserve">1、估值错误类型 </w:t>
      </w:r>
    </w:p>
    <w:p>
      <w:pPr>
        <w:pStyle w:val="8"/>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8"/>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pPr>
        <w:pStyle w:val="8"/>
        <w:spacing w:before="0" w:beforeAutospacing="0" w:after="0" w:afterAutospacing="0" w:line="360" w:lineRule="auto"/>
        <w:ind w:firstLine="420"/>
        <w:rPr>
          <w:sz w:val="21"/>
          <w:szCs w:val="21"/>
        </w:rPr>
      </w:pPr>
      <w:r>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pPr>
        <w:pStyle w:val="8"/>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8"/>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8"/>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8"/>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8"/>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8"/>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8"/>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8"/>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8"/>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8"/>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8"/>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8"/>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8"/>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8"/>
        <w:spacing w:before="0" w:beforeAutospacing="0" w:after="0" w:afterAutospacing="0" w:line="360" w:lineRule="auto"/>
        <w:ind w:firstLine="420"/>
        <w:rPr>
          <w:sz w:val="21"/>
          <w:szCs w:val="21"/>
        </w:rPr>
      </w:pPr>
      <w:r>
        <w:rPr>
          <w:rFonts w:hint="eastAsia"/>
          <w:sz w:val="21"/>
          <w:szCs w:val="21"/>
        </w:rPr>
        <w:t xml:space="preserve">（2）错误偏差达到基金份额净值的0.25%时，基金管理人应当通报基金托管人并报中国证监会备案；错误偏差达到基金份额净值的0.5%时，基金管理人应当公告，并报中国证监会备案。 </w:t>
      </w:r>
    </w:p>
    <w:p>
      <w:pPr>
        <w:pStyle w:val="8"/>
        <w:spacing w:before="0" w:beforeAutospacing="0" w:after="0" w:afterAutospacing="0" w:line="360" w:lineRule="auto"/>
        <w:ind w:firstLine="420"/>
        <w:rPr>
          <w:sz w:val="21"/>
          <w:szCs w:val="21"/>
        </w:rPr>
      </w:pPr>
      <w:r>
        <w:rPr>
          <w:rFonts w:hint="eastAsia"/>
          <w:sz w:val="21"/>
          <w:szCs w:val="21"/>
        </w:rPr>
        <w:t xml:space="preserve">（3）前述内容如法律法规或监管机关另有规定的，从其规定处理。如果行业另有通行做法，基金管理人、基金托管人应本着平等和保护基金份额持有人利益的原则进行协商。 </w:t>
      </w:r>
    </w:p>
    <w:p>
      <w:pPr>
        <w:pStyle w:val="8"/>
        <w:spacing w:before="0" w:beforeAutospacing="0" w:after="0" w:afterAutospacing="0" w:line="360" w:lineRule="auto"/>
        <w:ind w:firstLine="420"/>
        <w:rPr>
          <w:sz w:val="21"/>
          <w:szCs w:val="21"/>
        </w:rPr>
      </w:pPr>
      <w:r>
        <w:rPr>
          <w:rStyle w:val="13"/>
          <w:rFonts w:hint="eastAsia"/>
          <w:sz w:val="21"/>
          <w:szCs w:val="21"/>
        </w:rPr>
        <w:t>七、暂停估值的情形</w:t>
      </w:r>
    </w:p>
    <w:p>
      <w:pPr>
        <w:pStyle w:val="8"/>
        <w:spacing w:before="0" w:beforeAutospacing="0" w:after="0" w:afterAutospacing="0" w:line="360" w:lineRule="auto"/>
        <w:ind w:firstLine="420"/>
        <w:rPr>
          <w:sz w:val="21"/>
          <w:szCs w:val="21"/>
        </w:rPr>
      </w:pPr>
      <w:r>
        <w:rPr>
          <w:rFonts w:hint="eastAsia"/>
          <w:sz w:val="21"/>
          <w:szCs w:val="21"/>
        </w:rPr>
        <w:t xml:space="preserve">1、基金投资所涉及的证券/期货交易市场遇法定节假日或因其他原因暂停营业时； </w:t>
      </w:r>
    </w:p>
    <w:p>
      <w:pPr>
        <w:pStyle w:val="8"/>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8"/>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3、当前一估值日基金资产净值50%以上的资产出现无可参考的活跃市场价格且采用估值技术仍导致公允价值存在重大不确定性时，经与基金托管人协商确认后，基金应当暂停估值； </w:t>
      </w:r>
    </w:p>
    <w:p>
      <w:pPr>
        <w:pStyle w:val="8"/>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4、法律法规规定、中国证监会和基金合同认定的其它情形。 </w:t>
      </w:r>
    </w:p>
    <w:p>
      <w:pPr>
        <w:pStyle w:val="8"/>
        <w:spacing w:before="0" w:beforeAutospacing="0" w:after="0" w:afterAutospacing="0" w:line="360" w:lineRule="auto"/>
        <w:ind w:firstLine="420"/>
        <w:rPr>
          <w:sz w:val="21"/>
          <w:szCs w:val="21"/>
        </w:rPr>
      </w:pPr>
      <w:r>
        <w:rPr>
          <w:rStyle w:val="13"/>
          <w:rFonts w:hint="eastAsia"/>
          <w:sz w:val="21"/>
          <w:szCs w:val="21"/>
        </w:rPr>
        <w:t>八、基金净值的确认</w:t>
      </w:r>
    </w:p>
    <w:p>
      <w:pPr>
        <w:pStyle w:val="8"/>
        <w:spacing w:before="0" w:beforeAutospacing="0" w:after="0" w:afterAutospacing="0" w:line="360" w:lineRule="auto"/>
        <w:ind w:firstLine="420"/>
        <w:rPr>
          <w:sz w:val="21"/>
          <w:szCs w:val="21"/>
        </w:rPr>
      </w:pPr>
      <w:r>
        <w:rPr>
          <w:rFonts w:hint="eastAsia"/>
          <w:sz w:val="21"/>
          <w:szCs w:val="21"/>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按规定予以公布。 </w:t>
      </w:r>
    </w:p>
    <w:p>
      <w:pPr>
        <w:pStyle w:val="8"/>
        <w:spacing w:before="0" w:beforeAutospacing="0" w:after="0" w:afterAutospacing="0" w:line="360" w:lineRule="auto"/>
        <w:ind w:firstLine="420"/>
        <w:rPr>
          <w:sz w:val="21"/>
          <w:szCs w:val="21"/>
        </w:rPr>
      </w:pPr>
      <w:r>
        <w:rPr>
          <w:rStyle w:val="13"/>
          <w:rFonts w:hint="eastAsia"/>
          <w:sz w:val="21"/>
          <w:szCs w:val="21"/>
        </w:rPr>
        <w:t>九、特殊情况的处理</w:t>
      </w:r>
    </w:p>
    <w:p>
      <w:pPr>
        <w:pStyle w:val="8"/>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1、基金管理人或基金托管人按估值方法的第8项进行估值时，所造成的误差不作为基金资产估值错误处理。 </w:t>
      </w:r>
    </w:p>
    <w:p>
      <w:pPr>
        <w:pStyle w:val="8"/>
        <w:spacing w:before="0" w:beforeAutospacing="0" w:after="0" w:afterAutospacing="0" w:line="360" w:lineRule="auto"/>
        <w:ind w:firstLine="420"/>
        <w:rPr>
          <w:sz w:val="21"/>
          <w:szCs w:val="21"/>
        </w:rPr>
      </w:pPr>
      <w:r>
        <w:rPr>
          <w:rFonts w:hint="eastAsia"/>
          <w:sz w:val="21"/>
          <w:szCs w:val="21"/>
        </w:rPr>
        <w:t>2、由于不可抗力原因，或由于证券交易所、期货交易所、指数编制机构及登记结算公司等机构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w:t>
      </w:r>
      <w:bookmarkStart w:id="138" w:name="chapter_level1_16_63_section_2_end"/>
      <w:bookmarkEnd w:id="138"/>
      <w:r>
        <w:rPr>
          <w:rFonts w:hint="eastAsia"/>
          <w:sz w:val="21"/>
          <w:szCs w:val="21"/>
        </w:rPr>
        <w:t xml:space="preserve">采取必要的措施减轻或消除由此造成的影响。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9" w:name="_Toc28388"/>
      <w:bookmarkStart w:id="140" w:name="chapter_level1_17_64"/>
      <w:bookmarkStart w:id="141" w:name="_Toc82437035"/>
      <w:r>
        <w:rPr>
          <w:rFonts w:hint="eastAsia" w:ascii="宋体" w:hAnsi="宋体" w:eastAsia="宋体"/>
          <w:sz w:val="30"/>
        </w:rPr>
        <w:t>第十三部分  基金的收益分配</w:t>
      </w:r>
      <w:bookmarkEnd w:id="139"/>
      <w:bookmarkEnd w:id="140"/>
      <w:bookmarkEnd w:id="141"/>
    </w:p>
    <w:p>
      <w:pPr>
        <w:pStyle w:val="8"/>
        <w:spacing w:before="0" w:beforeAutospacing="0" w:after="0" w:afterAutospacing="0" w:line="360" w:lineRule="auto"/>
        <w:ind w:firstLine="420"/>
        <w:rPr>
          <w:sz w:val="21"/>
          <w:szCs w:val="21"/>
        </w:rPr>
      </w:pPr>
      <w:bookmarkStart w:id="142" w:name="chapter_level1_17_64_section_1"/>
      <w:bookmarkEnd w:id="142"/>
      <w:r>
        <w:rPr>
          <w:rStyle w:val="13"/>
          <w:rFonts w:hint="eastAsia"/>
          <w:sz w:val="21"/>
          <w:szCs w:val="21"/>
        </w:rPr>
        <w:t>一、基金利润的构成</w:t>
      </w:r>
    </w:p>
    <w:p>
      <w:pPr>
        <w:pStyle w:val="8"/>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8"/>
        <w:spacing w:before="0" w:beforeAutospacing="0" w:after="0" w:afterAutospacing="0" w:line="360" w:lineRule="auto"/>
        <w:ind w:firstLine="420"/>
        <w:rPr>
          <w:sz w:val="21"/>
          <w:szCs w:val="21"/>
        </w:rPr>
      </w:pPr>
      <w:r>
        <w:rPr>
          <w:rStyle w:val="13"/>
          <w:rFonts w:hint="eastAsia"/>
          <w:sz w:val="21"/>
          <w:szCs w:val="21"/>
        </w:rPr>
        <w:t>二、基金可供分配利润</w:t>
      </w:r>
    </w:p>
    <w:p>
      <w:pPr>
        <w:pStyle w:val="8"/>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8"/>
        <w:spacing w:before="0" w:beforeAutospacing="0" w:after="0" w:afterAutospacing="0" w:line="360" w:lineRule="auto"/>
        <w:ind w:firstLine="420"/>
        <w:rPr>
          <w:sz w:val="21"/>
          <w:szCs w:val="21"/>
        </w:rPr>
      </w:pPr>
      <w:r>
        <w:rPr>
          <w:rStyle w:val="13"/>
          <w:rFonts w:hint="eastAsia"/>
          <w:sz w:val="21"/>
          <w:szCs w:val="21"/>
        </w:rPr>
        <w:t>三、基金收益分配原则</w:t>
      </w:r>
    </w:p>
    <w:p>
      <w:pPr>
        <w:pStyle w:val="8"/>
        <w:spacing w:before="0" w:beforeAutospacing="0" w:after="0" w:afterAutospacing="0" w:line="360" w:lineRule="auto"/>
        <w:ind w:firstLine="420"/>
        <w:rPr>
          <w:sz w:val="21"/>
          <w:szCs w:val="21"/>
        </w:rPr>
      </w:pPr>
      <w:r>
        <w:rPr>
          <w:rFonts w:hint="eastAsia"/>
          <w:sz w:val="21"/>
          <w:szCs w:val="21"/>
        </w:rPr>
        <w:t xml:space="preserve">1、本基金收益分配方式分两种：现金分红与红利再投资，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 </w:t>
      </w:r>
    </w:p>
    <w:p>
      <w:pPr>
        <w:pStyle w:val="8"/>
        <w:spacing w:before="0" w:beforeAutospacing="0" w:after="0" w:afterAutospacing="0" w:line="360" w:lineRule="auto"/>
        <w:ind w:firstLine="420"/>
        <w:rPr>
          <w:sz w:val="21"/>
          <w:szCs w:val="21"/>
        </w:rPr>
      </w:pPr>
      <w:r>
        <w:rPr>
          <w:rFonts w:hint="eastAsia"/>
          <w:sz w:val="21"/>
          <w:szCs w:val="21"/>
        </w:rPr>
        <w:t xml:space="preserve">2、基金收益分配后基金份额净值不能低于面值，即基金收益分配基准日的基金份额净值减去每单位基金份额收益分配金额后不能低于面值； </w:t>
      </w:r>
    </w:p>
    <w:p>
      <w:pPr>
        <w:pStyle w:val="8"/>
        <w:spacing w:before="0" w:beforeAutospacing="0" w:after="0" w:afterAutospacing="0" w:line="360" w:lineRule="auto"/>
        <w:ind w:firstLine="420"/>
        <w:rPr>
          <w:sz w:val="21"/>
          <w:szCs w:val="21"/>
        </w:rPr>
      </w:pPr>
      <w:r>
        <w:rPr>
          <w:rFonts w:hint="eastAsia"/>
          <w:sz w:val="21"/>
          <w:szCs w:val="21"/>
        </w:rPr>
        <w:t xml:space="preserve">3、由于本基金A类基金份额不收取销售服务费，而C类基金份额收取销售服务费，各基金份额类别对应的可供分配利润将有所不同，本基金同一类别的每一基金份额享有同等分配权； </w:t>
      </w:r>
    </w:p>
    <w:p>
      <w:pPr>
        <w:pStyle w:val="8"/>
        <w:spacing w:before="0" w:beforeAutospacing="0" w:after="0" w:afterAutospacing="0" w:line="360" w:lineRule="auto"/>
        <w:ind w:firstLine="420"/>
        <w:rPr>
          <w:sz w:val="21"/>
          <w:szCs w:val="21"/>
        </w:rPr>
      </w:pPr>
      <w:r>
        <w:rPr>
          <w:rFonts w:hint="eastAsia"/>
          <w:sz w:val="21"/>
          <w:szCs w:val="21"/>
        </w:rPr>
        <w:t xml:space="preserve">4、法律法规或监管机关另有规定的，从其规定。 </w:t>
      </w:r>
    </w:p>
    <w:p>
      <w:pPr>
        <w:pStyle w:val="8"/>
        <w:spacing w:before="0" w:beforeAutospacing="0" w:after="0" w:afterAutospacing="0" w:line="360" w:lineRule="auto"/>
        <w:ind w:firstLine="420"/>
        <w:rPr>
          <w:sz w:val="21"/>
          <w:szCs w:val="21"/>
        </w:rPr>
      </w:pPr>
      <w:r>
        <w:rPr>
          <w:rFonts w:hint="eastAsia"/>
          <w:sz w:val="21"/>
          <w:szCs w:val="21"/>
        </w:rPr>
        <w:t>在不违反法律法规、基金合同的约定以及对基金份额持有人利益无实质不利影响的前提下，基金管理人可在与基金托管人协商一致，并按照监管部门要求履行适当程序后对基金收益分配原则和支付方式进行调整，不需召开基金份额持有人大会，但应于变更实施日在指定</w:t>
      </w:r>
      <w:bookmarkStart w:id="143" w:name="chapter_level1_17_64_section_1_end"/>
      <w:bookmarkEnd w:id="143"/>
      <w:r>
        <w:rPr>
          <w:rFonts w:hint="eastAsia"/>
          <w:sz w:val="21"/>
          <w:szCs w:val="21"/>
        </w:rPr>
        <w:t xml:space="preserve">媒介公告。 </w:t>
      </w:r>
    </w:p>
    <w:p>
      <w:pPr>
        <w:pStyle w:val="8"/>
        <w:spacing w:before="0" w:beforeAutospacing="0" w:after="0" w:afterAutospacing="0" w:line="360" w:lineRule="auto"/>
        <w:ind w:firstLine="420"/>
        <w:rPr>
          <w:sz w:val="21"/>
          <w:szCs w:val="21"/>
        </w:rPr>
      </w:pPr>
      <w:bookmarkStart w:id="144" w:name="chapter_level1_17_64_section_2"/>
      <w:bookmarkEnd w:id="144"/>
      <w:r>
        <w:rPr>
          <w:rStyle w:val="13"/>
          <w:rFonts w:hint="eastAsia"/>
          <w:sz w:val="21"/>
          <w:szCs w:val="21"/>
        </w:rPr>
        <w:t>四、收益分配方案</w:t>
      </w:r>
    </w:p>
    <w:p>
      <w:pPr>
        <w:pStyle w:val="8"/>
        <w:spacing w:before="0" w:beforeAutospacing="0" w:after="0" w:afterAutospacing="0" w:line="360" w:lineRule="auto"/>
        <w:ind w:firstLine="420"/>
        <w:rPr>
          <w:sz w:val="21"/>
          <w:szCs w:val="21"/>
        </w:rPr>
      </w:pPr>
      <w:r>
        <w:rPr>
          <w:rFonts w:hint="eastAsia"/>
          <w:sz w:val="21"/>
          <w:szCs w:val="21"/>
        </w:rPr>
        <w:t xml:space="preserve">基金收益分配方案中应载明截止收益分配基准日的可供分配利润、基金收益分配对象、分配时间、分配数额及比例、分配方式等内容。 </w:t>
      </w:r>
    </w:p>
    <w:p>
      <w:pPr>
        <w:pStyle w:val="8"/>
        <w:spacing w:before="0" w:beforeAutospacing="0" w:after="0" w:afterAutospacing="0" w:line="360" w:lineRule="auto"/>
        <w:ind w:firstLine="420"/>
        <w:rPr>
          <w:sz w:val="21"/>
          <w:szCs w:val="21"/>
        </w:rPr>
      </w:pPr>
      <w:r>
        <w:rPr>
          <w:rStyle w:val="13"/>
          <w:rFonts w:hint="eastAsia"/>
          <w:sz w:val="21"/>
          <w:szCs w:val="21"/>
        </w:rPr>
        <w:t>五、收益分配方案的确定、公告与实施</w:t>
      </w:r>
    </w:p>
    <w:p>
      <w:pPr>
        <w:pStyle w:val="8"/>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本基金收益分配方案由基金管理人拟定，并由基金托管人复核，按规定在指定媒介公告。 </w:t>
      </w:r>
    </w:p>
    <w:p>
      <w:pPr>
        <w:pStyle w:val="8"/>
        <w:spacing w:before="0" w:beforeAutospacing="0" w:after="0" w:afterAutospacing="0" w:line="360" w:lineRule="auto"/>
        <w:ind w:firstLine="420"/>
        <w:rPr>
          <w:sz w:val="21"/>
          <w:szCs w:val="21"/>
        </w:rPr>
      </w:pPr>
      <w:r>
        <w:rPr>
          <w:rStyle w:val="13"/>
          <w:rFonts w:hint="eastAsia"/>
          <w:sz w:val="21"/>
          <w:szCs w:val="21"/>
        </w:rPr>
        <w:t>六、基金收益分配中发生的费用</w:t>
      </w:r>
    </w:p>
    <w:p>
      <w:pPr>
        <w:pStyle w:val="8"/>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人自行承担。当投资者的现金红利小于一定金额，不足以支付银行转账或其他手续费用时，基金登记机构可将基金份额持有人的现金红利自动转为相应类别的基金份额。红利再投资的计算方法，依照《业务规则》执行。对于</w:t>
      </w:r>
      <w:bookmarkStart w:id="145" w:name="chapter_level1_17_64_section_2_end"/>
      <w:bookmarkEnd w:id="145"/>
      <w:r>
        <w:rPr>
          <w:rFonts w:hint="eastAsia"/>
          <w:sz w:val="21"/>
          <w:szCs w:val="21"/>
        </w:rPr>
        <w:t xml:space="preserve">场内份额，遵循上海证券交易所及中国证券登记结算有限责任公司的相关规定。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6" w:name="chapter_level1_18_65"/>
      <w:bookmarkStart w:id="147" w:name="_Toc82437036"/>
      <w:bookmarkStart w:id="148" w:name="_Toc9509"/>
      <w:r>
        <w:rPr>
          <w:rFonts w:hint="eastAsia" w:ascii="宋体" w:hAnsi="宋体" w:eastAsia="宋体"/>
          <w:sz w:val="30"/>
        </w:rPr>
        <w:t>第十四部分  基金的费用与税收</w:t>
      </w:r>
      <w:bookmarkEnd w:id="146"/>
      <w:bookmarkEnd w:id="147"/>
      <w:bookmarkEnd w:id="148"/>
    </w:p>
    <w:p>
      <w:pPr>
        <w:pStyle w:val="8"/>
        <w:spacing w:before="0" w:beforeAutospacing="0" w:after="0" w:afterAutospacing="0" w:line="360" w:lineRule="auto"/>
        <w:ind w:firstLine="420"/>
        <w:rPr>
          <w:sz w:val="21"/>
          <w:szCs w:val="21"/>
        </w:rPr>
      </w:pPr>
      <w:bookmarkStart w:id="149" w:name="chapter_level1_18_65_section_1"/>
      <w:bookmarkEnd w:id="149"/>
      <w:r>
        <w:rPr>
          <w:rStyle w:val="13"/>
          <w:rFonts w:hint="eastAsia"/>
          <w:sz w:val="21"/>
          <w:szCs w:val="21"/>
        </w:rPr>
        <w:t>一、基金费用的种类</w:t>
      </w:r>
    </w:p>
    <w:p>
      <w:pPr>
        <w:pStyle w:val="8"/>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8"/>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8"/>
        <w:spacing w:before="0" w:beforeAutospacing="0" w:after="0" w:afterAutospacing="0" w:line="360" w:lineRule="auto"/>
        <w:ind w:firstLine="420"/>
        <w:rPr>
          <w:sz w:val="21"/>
          <w:szCs w:val="21"/>
        </w:rPr>
      </w:pPr>
      <w:r>
        <w:rPr>
          <w:rFonts w:hint="eastAsia"/>
          <w:sz w:val="21"/>
          <w:szCs w:val="21"/>
        </w:rPr>
        <w:t>3、C类基金份额的销售服务费；</w:t>
      </w:r>
    </w:p>
    <w:p>
      <w:pPr>
        <w:pStyle w:val="8"/>
        <w:spacing w:before="0" w:beforeAutospacing="0" w:after="0" w:afterAutospacing="0" w:line="360" w:lineRule="auto"/>
        <w:ind w:firstLine="420"/>
        <w:rPr>
          <w:sz w:val="21"/>
          <w:szCs w:val="21"/>
        </w:rPr>
      </w:pPr>
      <w:r>
        <w:rPr>
          <w:sz w:val="21"/>
          <w:szCs w:val="21"/>
        </w:rPr>
        <w:t>4</w:t>
      </w:r>
      <w:r>
        <w:rPr>
          <w:rFonts w:hint="eastAsia"/>
          <w:sz w:val="21"/>
          <w:szCs w:val="21"/>
        </w:rPr>
        <w:t xml:space="preserve">、基金上市费用及年费； </w:t>
      </w:r>
    </w:p>
    <w:p>
      <w:pPr>
        <w:pStyle w:val="8"/>
        <w:spacing w:before="0" w:beforeAutospacing="0" w:after="0" w:afterAutospacing="0" w:line="360" w:lineRule="auto"/>
        <w:ind w:firstLine="420"/>
        <w:rPr>
          <w:sz w:val="21"/>
          <w:szCs w:val="21"/>
        </w:rPr>
      </w:pPr>
      <w:r>
        <w:rPr>
          <w:sz w:val="21"/>
          <w:szCs w:val="21"/>
        </w:rPr>
        <w:t>5</w:t>
      </w:r>
      <w:r>
        <w:rPr>
          <w:rFonts w:hint="eastAsia"/>
          <w:sz w:val="21"/>
          <w:szCs w:val="21"/>
        </w:rPr>
        <w:t xml:space="preserve">、《基金合同》生效后与基金相关的信息披露费用，法律法规、中国证监会另有规定的除外； </w:t>
      </w:r>
    </w:p>
    <w:p>
      <w:pPr>
        <w:pStyle w:val="8"/>
        <w:spacing w:before="0" w:beforeAutospacing="0" w:after="0" w:afterAutospacing="0" w:line="360" w:lineRule="auto"/>
        <w:ind w:firstLine="420"/>
        <w:rPr>
          <w:sz w:val="21"/>
          <w:szCs w:val="21"/>
        </w:rPr>
      </w:pPr>
      <w:r>
        <w:rPr>
          <w:sz w:val="21"/>
          <w:szCs w:val="21"/>
        </w:rPr>
        <w:t>6</w:t>
      </w:r>
      <w:r>
        <w:rPr>
          <w:rFonts w:hint="eastAsia"/>
          <w:sz w:val="21"/>
          <w:szCs w:val="21"/>
        </w:rPr>
        <w:t xml:space="preserve">、《基金合同》生效后与基金相关的会计师费、律师费、审计费、诉讼费和仲裁费； </w:t>
      </w:r>
    </w:p>
    <w:p>
      <w:pPr>
        <w:pStyle w:val="8"/>
        <w:spacing w:before="0" w:beforeAutospacing="0" w:after="0" w:afterAutospacing="0" w:line="360" w:lineRule="auto"/>
        <w:ind w:firstLine="420"/>
        <w:rPr>
          <w:sz w:val="21"/>
          <w:szCs w:val="21"/>
        </w:rPr>
      </w:pPr>
      <w:r>
        <w:rPr>
          <w:sz w:val="21"/>
          <w:szCs w:val="21"/>
        </w:rPr>
        <w:t>7</w:t>
      </w:r>
      <w:r>
        <w:rPr>
          <w:rFonts w:hint="eastAsia"/>
          <w:sz w:val="21"/>
          <w:szCs w:val="21"/>
        </w:rPr>
        <w:t xml:space="preserve">、基金份额持有人大会费用； </w:t>
      </w:r>
    </w:p>
    <w:p>
      <w:pPr>
        <w:pStyle w:val="8"/>
        <w:spacing w:before="0" w:beforeAutospacing="0" w:after="0" w:afterAutospacing="0" w:line="360" w:lineRule="auto"/>
        <w:ind w:firstLine="420"/>
        <w:rPr>
          <w:sz w:val="21"/>
          <w:szCs w:val="21"/>
        </w:rPr>
      </w:pPr>
      <w:r>
        <w:rPr>
          <w:sz w:val="21"/>
          <w:szCs w:val="21"/>
        </w:rPr>
        <w:t>8</w:t>
      </w:r>
      <w:r>
        <w:rPr>
          <w:rFonts w:hint="eastAsia"/>
          <w:sz w:val="21"/>
          <w:szCs w:val="21"/>
        </w:rPr>
        <w:t xml:space="preserve">、基金的证券/期货交易费用； </w:t>
      </w:r>
    </w:p>
    <w:p>
      <w:pPr>
        <w:pStyle w:val="8"/>
        <w:spacing w:before="0" w:beforeAutospacing="0" w:after="0" w:afterAutospacing="0" w:line="360" w:lineRule="auto"/>
        <w:ind w:firstLine="420"/>
        <w:rPr>
          <w:sz w:val="21"/>
          <w:szCs w:val="21"/>
        </w:rPr>
      </w:pPr>
      <w:r>
        <w:rPr>
          <w:sz w:val="21"/>
          <w:szCs w:val="21"/>
        </w:rPr>
        <w:t>9</w:t>
      </w:r>
      <w:r>
        <w:rPr>
          <w:rFonts w:hint="eastAsia"/>
          <w:sz w:val="21"/>
          <w:szCs w:val="21"/>
        </w:rPr>
        <w:t xml:space="preserve">、基金的银行汇划费用； </w:t>
      </w:r>
    </w:p>
    <w:p>
      <w:pPr>
        <w:pStyle w:val="8"/>
        <w:spacing w:before="0" w:beforeAutospacing="0" w:after="0" w:afterAutospacing="0" w:line="360" w:lineRule="auto"/>
        <w:ind w:firstLine="420"/>
        <w:rPr>
          <w:sz w:val="21"/>
          <w:szCs w:val="21"/>
        </w:rPr>
      </w:pPr>
      <w:r>
        <w:rPr>
          <w:sz w:val="21"/>
          <w:szCs w:val="21"/>
        </w:rPr>
        <w:t>10</w:t>
      </w:r>
      <w:r>
        <w:rPr>
          <w:rFonts w:hint="eastAsia"/>
          <w:sz w:val="21"/>
          <w:szCs w:val="21"/>
        </w:rPr>
        <w:t xml:space="preserve">、基金相关账户的开户及维护费用； </w:t>
      </w:r>
    </w:p>
    <w:p>
      <w:pPr>
        <w:pStyle w:val="8"/>
        <w:spacing w:before="0" w:beforeAutospacing="0" w:after="0" w:afterAutospacing="0" w:line="360" w:lineRule="auto"/>
        <w:ind w:firstLine="420"/>
        <w:rPr>
          <w:sz w:val="21"/>
          <w:szCs w:val="21"/>
        </w:rPr>
      </w:pPr>
      <w:r>
        <w:rPr>
          <w:rFonts w:hint="eastAsia"/>
          <w:sz w:val="21"/>
          <w:szCs w:val="21"/>
        </w:rPr>
        <w:t>1</w:t>
      </w:r>
      <w:r>
        <w:rPr>
          <w:sz w:val="21"/>
          <w:szCs w:val="21"/>
        </w:rPr>
        <w:t>1</w:t>
      </w:r>
      <w:r>
        <w:rPr>
          <w:rFonts w:hint="eastAsia"/>
          <w:sz w:val="21"/>
          <w:szCs w:val="21"/>
        </w:rPr>
        <w:t xml:space="preserve">、因投资港股通标的股票而产生的各项合理费用； </w:t>
      </w:r>
    </w:p>
    <w:p>
      <w:pPr>
        <w:pStyle w:val="8"/>
        <w:spacing w:before="0" w:beforeAutospacing="0" w:after="0" w:afterAutospacing="0" w:line="360" w:lineRule="auto"/>
        <w:ind w:firstLine="420"/>
        <w:rPr>
          <w:sz w:val="21"/>
          <w:szCs w:val="21"/>
        </w:rPr>
      </w:pPr>
      <w:r>
        <w:rPr>
          <w:rFonts w:hint="eastAsia"/>
          <w:sz w:val="21"/>
          <w:szCs w:val="21"/>
        </w:rPr>
        <w:t>1</w:t>
      </w:r>
      <w:r>
        <w:rPr>
          <w:sz w:val="21"/>
          <w:szCs w:val="21"/>
        </w:rPr>
        <w:t>2</w:t>
      </w:r>
      <w:r>
        <w:rPr>
          <w:rFonts w:hint="eastAsia"/>
          <w:sz w:val="21"/>
          <w:szCs w:val="21"/>
        </w:rPr>
        <w:t xml:space="preserve">、按照国家有关规定和《基金合同》约定，可以在基金财产中列支的其他费用。 </w:t>
      </w:r>
    </w:p>
    <w:p>
      <w:pPr>
        <w:pStyle w:val="8"/>
        <w:spacing w:before="0" w:beforeAutospacing="0" w:after="0" w:afterAutospacing="0" w:line="360" w:lineRule="auto"/>
        <w:ind w:firstLine="420"/>
        <w:rPr>
          <w:sz w:val="21"/>
          <w:szCs w:val="21"/>
        </w:rPr>
      </w:pPr>
      <w:r>
        <w:rPr>
          <w:rStyle w:val="13"/>
          <w:rFonts w:hint="eastAsia"/>
          <w:sz w:val="21"/>
          <w:szCs w:val="21"/>
        </w:rPr>
        <w:t>二、封闭运作期内基金费用计提方法、计提标准和支付方式</w:t>
      </w:r>
    </w:p>
    <w:p>
      <w:pPr>
        <w:pStyle w:val="8"/>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8"/>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50" w:name="field_0_managementrate_1"/>
      <w:r>
        <w:rPr>
          <w:sz w:val="21"/>
          <w:szCs w:val="21"/>
        </w:rPr>
        <w:t>1.00</w:t>
      </w:r>
      <w:bookmarkEnd w:id="150"/>
      <w:r>
        <w:rPr>
          <w:rFonts w:hint="eastAsia"/>
          <w:sz w:val="21"/>
          <w:szCs w:val="21"/>
        </w:rPr>
        <w:t xml:space="preserve">%年费率计提。管理费的计算方法如下： </w:t>
      </w:r>
    </w:p>
    <w:p>
      <w:pPr>
        <w:pStyle w:val="8"/>
        <w:spacing w:before="0" w:beforeAutospacing="0" w:after="0" w:afterAutospacing="0" w:line="360" w:lineRule="auto"/>
        <w:ind w:firstLine="420"/>
        <w:rPr>
          <w:sz w:val="21"/>
          <w:szCs w:val="21"/>
        </w:rPr>
      </w:pPr>
      <w:r>
        <w:rPr>
          <w:rFonts w:hint="eastAsia"/>
          <w:sz w:val="21"/>
          <w:szCs w:val="21"/>
        </w:rPr>
        <w:t>H＝E×</w:t>
      </w:r>
      <w:bookmarkStart w:id="151" w:name="field_0_managementrate_2"/>
      <w:r>
        <w:rPr>
          <w:sz w:val="21"/>
          <w:szCs w:val="21"/>
        </w:rPr>
        <w:t>1.00</w:t>
      </w:r>
      <w:bookmarkEnd w:id="151"/>
      <w:r>
        <w:rPr>
          <w:rFonts w:hint="eastAsia"/>
          <w:sz w:val="21"/>
          <w:szCs w:val="21"/>
        </w:rPr>
        <w:t xml:space="preserve">%÷当年天数 </w:t>
      </w:r>
    </w:p>
    <w:p>
      <w:pPr>
        <w:pStyle w:val="8"/>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8"/>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8"/>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基金托管行人按照与基金管理人核对一致的数据，通过与基金管理人协商一致的方式自动于次月前3个工作日内从基金财产中一次性支付给基金管理人。若遇法定节假日、公休日等，支付日期顺延。 </w:t>
      </w:r>
    </w:p>
    <w:p>
      <w:pPr>
        <w:pStyle w:val="8"/>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8"/>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52" w:name="field_0_trusteerate_1"/>
      <w:r>
        <w:rPr>
          <w:sz w:val="21"/>
          <w:szCs w:val="21"/>
        </w:rPr>
        <w:t>0.15</w:t>
      </w:r>
      <w:bookmarkEnd w:id="152"/>
      <w:r>
        <w:rPr>
          <w:rFonts w:hint="eastAsia"/>
          <w:sz w:val="21"/>
          <w:szCs w:val="21"/>
        </w:rPr>
        <w:t xml:space="preserve">%的年费率计提。托管费的计算方法如下： </w:t>
      </w:r>
    </w:p>
    <w:p>
      <w:pPr>
        <w:pStyle w:val="8"/>
        <w:spacing w:before="0" w:beforeAutospacing="0" w:after="0" w:afterAutospacing="0" w:line="360" w:lineRule="auto"/>
        <w:ind w:firstLine="420"/>
        <w:rPr>
          <w:sz w:val="21"/>
          <w:szCs w:val="21"/>
        </w:rPr>
      </w:pPr>
      <w:r>
        <w:rPr>
          <w:rFonts w:hint="eastAsia"/>
          <w:sz w:val="21"/>
          <w:szCs w:val="21"/>
        </w:rPr>
        <w:t>H＝E×</w:t>
      </w:r>
      <w:bookmarkStart w:id="153" w:name="field_0_trusteerate_2"/>
      <w:r>
        <w:rPr>
          <w:sz w:val="21"/>
          <w:szCs w:val="21"/>
        </w:rPr>
        <w:t>0.15</w:t>
      </w:r>
      <w:bookmarkEnd w:id="153"/>
      <w:r>
        <w:rPr>
          <w:rFonts w:hint="eastAsia"/>
          <w:sz w:val="21"/>
          <w:szCs w:val="21"/>
        </w:rPr>
        <w:t xml:space="preserve">%÷当年天数 </w:t>
      </w:r>
    </w:p>
    <w:p>
      <w:pPr>
        <w:pStyle w:val="8"/>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8"/>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8"/>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基金托管行人按照与基金管理人核对一致的数据，通过与基金管理人协商一致的方式自动于次月前3个工作日内从基金财产中一次性支取。若遇法定节假日、公休日等，支付日期顺延。 </w:t>
      </w:r>
    </w:p>
    <w:p>
      <w:pPr>
        <w:pStyle w:val="8"/>
        <w:spacing w:before="0" w:beforeAutospacing="0" w:after="0" w:afterAutospacing="0" w:line="360" w:lineRule="auto"/>
        <w:ind w:firstLine="420"/>
        <w:rPr>
          <w:sz w:val="21"/>
          <w:szCs w:val="21"/>
        </w:rPr>
      </w:pPr>
      <w:r>
        <w:rPr>
          <w:rFonts w:hint="eastAsia"/>
          <w:sz w:val="21"/>
          <w:szCs w:val="21"/>
        </w:rPr>
        <w:t xml:space="preserve">上述“一、基金费用的种类中第4－12项费用”，根据有关法规及相应协议规定，按费用实际支出金额列入当期费用，由基金托管人从基金财产中支付。 </w:t>
      </w:r>
    </w:p>
    <w:p>
      <w:pPr>
        <w:pStyle w:val="8"/>
        <w:spacing w:before="0" w:beforeAutospacing="0" w:after="0" w:afterAutospacing="0" w:line="360" w:lineRule="auto"/>
        <w:ind w:firstLine="420"/>
        <w:rPr>
          <w:sz w:val="21"/>
          <w:szCs w:val="21"/>
        </w:rPr>
      </w:pPr>
      <w:r>
        <w:rPr>
          <w:rStyle w:val="13"/>
          <w:rFonts w:hint="eastAsia"/>
          <w:sz w:val="21"/>
          <w:szCs w:val="21"/>
        </w:rPr>
        <w:t>三、封闭运作期届满转为上市开放式基金（LOF）后的基金费用计提方法、计提标准和支付方式</w:t>
      </w:r>
    </w:p>
    <w:p>
      <w:pPr>
        <w:pStyle w:val="8"/>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8"/>
        <w:spacing w:before="0" w:beforeAutospacing="0" w:after="0" w:afterAutospacing="0" w:line="360" w:lineRule="auto"/>
        <w:ind w:firstLine="420"/>
        <w:rPr>
          <w:sz w:val="21"/>
          <w:szCs w:val="21"/>
        </w:rPr>
      </w:pPr>
      <w:r>
        <w:rPr>
          <w:rFonts w:hint="eastAsia"/>
          <w:sz w:val="21"/>
          <w:szCs w:val="21"/>
        </w:rPr>
        <w:t xml:space="preserve">本基金的管理费按前一日基金资产净值的1.50%年费率计提。管理费的计算方法如下： </w:t>
      </w:r>
    </w:p>
    <w:p>
      <w:pPr>
        <w:pStyle w:val="8"/>
        <w:spacing w:before="0" w:beforeAutospacing="0" w:after="0" w:afterAutospacing="0" w:line="360" w:lineRule="auto"/>
        <w:ind w:firstLine="420"/>
        <w:rPr>
          <w:sz w:val="21"/>
          <w:szCs w:val="21"/>
        </w:rPr>
      </w:pPr>
      <w:r>
        <w:rPr>
          <w:rFonts w:hint="eastAsia"/>
          <w:sz w:val="21"/>
          <w:szCs w:val="21"/>
        </w:rPr>
        <w:t xml:space="preserve">H＝E×1.50%÷当年天数 </w:t>
      </w:r>
    </w:p>
    <w:p>
      <w:pPr>
        <w:pStyle w:val="8"/>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8"/>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8"/>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基金托管行人按照与基金管理人核对一致的数据，通过与基金管理人协商一致的方式自动于次月前3个工作日内从基金财产中一次性支付给基金管理人。若遇法定节假日、公休日等，支付日期顺延。 </w:t>
      </w:r>
    </w:p>
    <w:p>
      <w:pPr>
        <w:pStyle w:val="8"/>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8"/>
        <w:spacing w:before="0" w:beforeAutospacing="0" w:after="0" w:afterAutospacing="0" w:line="360" w:lineRule="auto"/>
        <w:ind w:firstLine="420"/>
        <w:rPr>
          <w:sz w:val="21"/>
          <w:szCs w:val="21"/>
        </w:rPr>
      </w:pPr>
      <w:r>
        <w:rPr>
          <w:rFonts w:hint="eastAsia"/>
          <w:sz w:val="21"/>
          <w:szCs w:val="21"/>
        </w:rPr>
        <w:t xml:space="preserve">本基金的托管费按前一日基金资产净值的0.25%的年费率计提。托管费的计算方法如下： </w:t>
      </w:r>
    </w:p>
    <w:p>
      <w:pPr>
        <w:pStyle w:val="8"/>
        <w:spacing w:before="0" w:beforeAutospacing="0" w:after="0" w:afterAutospacing="0" w:line="360" w:lineRule="auto"/>
        <w:ind w:firstLine="420"/>
        <w:rPr>
          <w:sz w:val="21"/>
          <w:szCs w:val="21"/>
        </w:rPr>
      </w:pPr>
      <w:r>
        <w:rPr>
          <w:rFonts w:hint="eastAsia"/>
          <w:sz w:val="21"/>
          <w:szCs w:val="21"/>
        </w:rPr>
        <w:t xml:space="preserve">H＝E×0.25%÷当年天数 </w:t>
      </w:r>
    </w:p>
    <w:p>
      <w:pPr>
        <w:pStyle w:val="8"/>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8"/>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8"/>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基金托管行人按照与基金管理人核对一致的数据，通过与基金管理人协商一致的方式自动于次月前3个工作日内从基金财产中一次性支取。若遇法定节假日、公休日等，支付日期顺延。 </w:t>
      </w:r>
    </w:p>
    <w:p>
      <w:pPr>
        <w:adjustRightInd w:val="0"/>
        <w:snapToGrid w:val="0"/>
        <w:spacing w:line="360" w:lineRule="auto"/>
        <w:ind w:firstLine="420"/>
        <w:rPr>
          <w:rFonts w:ascii="宋体" w:hAnsi="宋体" w:eastAsia="宋体" w:cs="Times New Roman"/>
          <w:szCs w:val="21"/>
        </w:rPr>
      </w:pPr>
      <w:r>
        <w:rPr>
          <w:rFonts w:hint="eastAsia" w:ascii="宋体" w:hAnsi="宋体" w:eastAsia="宋体" w:cs="Times New Roman"/>
          <w:szCs w:val="21"/>
        </w:rPr>
        <w:t>3、销售服务费</w:t>
      </w:r>
    </w:p>
    <w:p>
      <w:pPr>
        <w:adjustRightInd w:val="0"/>
        <w:snapToGrid w:val="0"/>
        <w:spacing w:line="360" w:lineRule="auto"/>
        <w:ind w:firstLine="420"/>
        <w:rPr>
          <w:rFonts w:ascii="宋体" w:hAnsi="宋体" w:eastAsia="宋体" w:cs="Times New Roman"/>
          <w:szCs w:val="21"/>
        </w:rPr>
      </w:pPr>
      <w:r>
        <w:rPr>
          <w:rFonts w:hint="eastAsia" w:ascii="宋体" w:hAnsi="宋体" w:eastAsia="宋体" w:cs="Times New Roman"/>
          <w:szCs w:val="21"/>
        </w:rPr>
        <w:t>本基金A类基金份额不收取销售服务费，C类基金份额的销售服务费年费率为0.40%。</w:t>
      </w:r>
    </w:p>
    <w:p>
      <w:pPr>
        <w:adjustRightInd w:val="0"/>
        <w:snapToGrid w:val="0"/>
        <w:spacing w:line="360" w:lineRule="auto"/>
        <w:ind w:firstLine="420"/>
        <w:rPr>
          <w:rFonts w:ascii="宋体" w:hAnsi="宋体" w:eastAsia="宋体" w:cs="Times New Roman"/>
          <w:szCs w:val="21"/>
        </w:rPr>
      </w:pPr>
      <w:r>
        <w:rPr>
          <w:rFonts w:hint="eastAsia" w:ascii="宋体" w:hAnsi="宋体" w:eastAsia="宋体" w:cs="Times New Roman"/>
          <w:szCs w:val="21"/>
        </w:rPr>
        <w:t xml:space="preserve">本基金销售服务费按前一日C类基金份额的基金资产净值的0.40%年费率计提。 计算方法如下： </w:t>
      </w:r>
    </w:p>
    <w:p>
      <w:pPr>
        <w:adjustRightInd w:val="0"/>
        <w:snapToGrid w:val="0"/>
        <w:spacing w:line="360" w:lineRule="auto"/>
        <w:ind w:firstLine="420"/>
        <w:rPr>
          <w:rFonts w:ascii="宋体" w:hAnsi="宋体" w:eastAsia="宋体" w:cs="Times New Roman"/>
          <w:szCs w:val="21"/>
        </w:rPr>
      </w:pPr>
      <w:r>
        <w:rPr>
          <w:rFonts w:hint="eastAsia" w:ascii="宋体" w:hAnsi="宋体" w:eastAsia="宋体" w:cs="Times New Roman"/>
          <w:szCs w:val="21"/>
        </w:rPr>
        <w:t>H=E×0.40%÷当年天数</w:t>
      </w:r>
    </w:p>
    <w:p>
      <w:pPr>
        <w:adjustRightInd w:val="0"/>
        <w:snapToGrid w:val="0"/>
        <w:spacing w:line="360" w:lineRule="auto"/>
        <w:ind w:firstLine="420"/>
        <w:rPr>
          <w:rFonts w:ascii="宋体" w:hAnsi="宋体" w:eastAsia="宋体" w:cs="Times New Roman"/>
          <w:szCs w:val="21"/>
        </w:rPr>
      </w:pPr>
      <w:r>
        <w:rPr>
          <w:rFonts w:hint="eastAsia" w:ascii="宋体" w:hAnsi="宋体" w:eastAsia="宋体" w:cs="Times New Roman"/>
          <w:szCs w:val="21"/>
        </w:rPr>
        <w:t>H为C类基金份额每日应计提的销售服务费</w:t>
      </w:r>
    </w:p>
    <w:p>
      <w:pPr>
        <w:adjustRightInd w:val="0"/>
        <w:snapToGrid w:val="0"/>
        <w:spacing w:line="360" w:lineRule="auto"/>
        <w:ind w:firstLine="420"/>
        <w:rPr>
          <w:rFonts w:ascii="宋体" w:hAnsi="宋体" w:eastAsia="宋体" w:cs="Times New Roman"/>
          <w:szCs w:val="21"/>
        </w:rPr>
      </w:pPr>
      <w:r>
        <w:rPr>
          <w:rFonts w:hint="eastAsia" w:ascii="宋体" w:hAnsi="宋体" w:eastAsia="宋体" w:cs="Times New Roman"/>
          <w:szCs w:val="21"/>
        </w:rPr>
        <w:t>E为C类基金份额前一日基金资产净值</w:t>
      </w:r>
    </w:p>
    <w:p>
      <w:pPr>
        <w:adjustRightInd w:val="0"/>
        <w:snapToGrid w:val="0"/>
        <w:spacing w:line="360" w:lineRule="auto"/>
        <w:ind w:firstLine="420"/>
        <w:rPr>
          <w:rFonts w:ascii="宋体" w:hAnsi="宋体" w:eastAsia="宋体" w:cs="Times New Roman"/>
          <w:szCs w:val="21"/>
        </w:rPr>
      </w:pPr>
      <w:r>
        <w:rPr>
          <w:rFonts w:hint="eastAsia" w:ascii="宋体" w:hAnsi="宋体" w:eastAsia="宋体" w:cs="Times New Roman"/>
          <w:szCs w:val="21"/>
        </w:rPr>
        <w:t>销售服务费每日计算，逐日累计至每月月末，按月支付。由基金托管人根据与基金管理人核对一致的财务数据，通过与基金管理人协商一致的方式自动于次月前3个工作日内从基金财产中一次性支付给登记机构，由登记机构代收支付给销售机构。若遇法定节假日、公休日等，支付日期顺延。</w:t>
      </w:r>
    </w:p>
    <w:p>
      <w:pPr>
        <w:adjustRightInd w:val="0"/>
        <w:snapToGrid w:val="0"/>
        <w:spacing w:line="360" w:lineRule="auto"/>
        <w:ind w:firstLine="420"/>
        <w:rPr>
          <w:rFonts w:cs="Times New Roman"/>
          <w:szCs w:val="21"/>
        </w:rPr>
      </w:pPr>
      <w:r>
        <w:rPr>
          <w:rFonts w:hint="eastAsia" w:ascii="宋体" w:hAnsi="宋体" w:eastAsia="宋体" w:cs="Times New Roman"/>
          <w:szCs w:val="21"/>
        </w:rPr>
        <w:t>销售服务费主要用于本基金持续销售以及基金份额持有人服务等各项费用。</w:t>
      </w:r>
    </w:p>
    <w:p>
      <w:pPr>
        <w:pStyle w:val="8"/>
        <w:spacing w:before="0" w:beforeAutospacing="0" w:after="0" w:afterAutospacing="0" w:line="360" w:lineRule="auto"/>
        <w:ind w:firstLine="420"/>
        <w:rPr>
          <w:sz w:val="21"/>
          <w:szCs w:val="21"/>
        </w:rPr>
      </w:pPr>
      <w:r>
        <w:rPr>
          <w:rFonts w:hint="eastAsia"/>
          <w:sz w:val="21"/>
          <w:szCs w:val="21"/>
        </w:rPr>
        <w:t>上述“一、基金费用的种类中第</w:t>
      </w:r>
      <w:r>
        <w:rPr>
          <w:sz w:val="21"/>
          <w:szCs w:val="21"/>
        </w:rPr>
        <w:t>4</w:t>
      </w:r>
      <w:r>
        <w:rPr>
          <w:rFonts w:hint="eastAsia"/>
          <w:sz w:val="21"/>
          <w:szCs w:val="21"/>
        </w:rPr>
        <w:t>－1</w:t>
      </w:r>
      <w:r>
        <w:rPr>
          <w:sz w:val="21"/>
          <w:szCs w:val="21"/>
        </w:rPr>
        <w:t>2</w:t>
      </w:r>
      <w:r>
        <w:rPr>
          <w:rFonts w:hint="eastAsia"/>
          <w:sz w:val="21"/>
          <w:szCs w:val="21"/>
        </w:rPr>
        <w:t xml:space="preserve">项费用”，根据有关法规及相应协议规定，按费用实际支出金额列入当期费用，由基金托管人从基金财产中支付。 </w:t>
      </w:r>
    </w:p>
    <w:p>
      <w:pPr>
        <w:pStyle w:val="8"/>
        <w:spacing w:before="0" w:beforeAutospacing="0" w:after="0" w:afterAutospacing="0" w:line="360" w:lineRule="auto"/>
        <w:ind w:firstLine="420"/>
        <w:rPr>
          <w:sz w:val="21"/>
          <w:szCs w:val="21"/>
        </w:rPr>
      </w:pPr>
      <w:r>
        <w:rPr>
          <w:rStyle w:val="13"/>
          <w:rFonts w:hint="eastAsia"/>
          <w:sz w:val="21"/>
          <w:szCs w:val="21"/>
        </w:rPr>
        <w:t>四、不列入基金费用的项目</w:t>
      </w:r>
    </w:p>
    <w:p>
      <w:pPr>
        <w:pStyle w:val="8"/>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8"/>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8"/>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8"/>
        <w:spacing w:before="0" w:beforeAutospacing="0" w:after="0" w:afterAutospacing="0" w:line="360" w:lineRule="auto"/>
        <w:ind w:firstLine="420"/>
        <w:rPr>
          <w:sz w:val="21"/>
          <w:szCs w:val="21"/>
        </w:rPr>
      </w:pPr>
      <w:r>
        <w:rPr>
          <w:rFonts w:hint="eastAsia"/>
          <w:sz w:val="21"/>
          <w:szCs w:val="21"/>
        </w:rPr>
        <w:t xml:space="preserve">3、《基金合同》生效前的相关费用； </w:t>
      </w:r>
    </w:p>
    <w:p>
      <w:pPr>
        <w:pStyle w:val="8"/>
        <w:spacing w:before="0" w:beforeAutospacing="0" w:after="0" w:afterAutospacing="0" w:line="360" w:lineRule="auto"/>
        <w:ind w:firstLine="420"/>
        <w:rPr>
          <w:sz w:val="21"/>
          <w:szCs w:val="21"/>
        </w:rPr>
      </w:pPr>
      <w:r>
        <w:rPr>
          <w:rFonts w:hint="eastAsia"/>
          <w:sz w:val="21"/>
          <w:szCs w:val="21"/>
        </w:rPr>
        <w:t xml:space="preserve">4、其他根据相关法律法规及中国证监会的有关规定不得列入基金费用的项目。 </w:t>
      </w:r>
    </w:p>
    <w:p>
      <w:pPr>
        <w:pStyle w:val="8"/>
        <w:spacing w:before="0" w:beforeAutospacing="0" w:after="0" w:afterAutospacing="0" w:line="360" w:lineRule="auto"/>
        <w:ind w:firstLine="420"/>
        <w:rPr>
          <w:sz w:val="21"/>
          <w:szCs w:val="21"/>
        </w:rPr>
      </w:pPr>
      <w:r>
        <w:rPr>
          <w:rStyle w:val="13"/>
          <w:rFonts w:hint="eastAsia"/>
          <w:sz w:val="21"/>
          <w:szCs w:val="21"/>
        </w:rPr>
        <w:t>五、基金税收</w:t>
      </w:r>
    </w:p>
    <w:p>
      <w:pPr>
        <w:pStyle w:val="8"/>
        <w:spacing w:before="0" w:beforeAutospacing="0" w:after="0" w:afterAutospacing="0" w:line="360" w:lineRule="auto"/>
        <w:ind w:firstLine="420"/>
        <w:rPr>
          <w:sz w:val="21"/>
          <w:szCs w:val="21"/>
        </w:rPr>
      </w:pPr>
      <w:r>
        <w:rPr>
          <w:rFonts w:hint="eastAsia"/>
          <w:sz w:val="21"/>
          <w:szCs w:val="21"/>
        </w:rPr>
        <w:t xml:space="preserve">本基金运作过程中涉及的各纳税主体，其纳税义务按国家税收法律、法规执行。 </w:t>
      </w:r>
    </w:p>
    <w:p>
      <w:pPr>
        <w:pStyle w:val="8"/>
        <w:spacing w:before="0" w:beforeAutospacing="0" w:after="0" w:afterAutospacing="0" w:line="360" w:lineRule="auto"/>
        <w:ind w:firstLine="420"/>
        <w:rPr>
          <w:sz w:val="21"/>
          <w:szCs w:val="21"/>
        </w:rPr>
      </w:pPr>
      <w:r>
        <w:rPr>
          <w:rFonts w:hint="eastAsia"/>
          <w:sz w:val="21"/>
          <w:szCs w:val="21"/>
        </w:rPr>
        <w:t>基金财产投资的相关税收，由基金份额持有人承担，基金管理人或者其他扣缴义务人按</w:t>
      </w:r>
      <w:bookmarkStart w:id="154" w:name="chapter_level1_18_65_section_1_end"/>
      <w:bookmarkEnd w:id="154"/>
      <w:r>
        <w:rPr>
          <w:rFonts w:hint="eastAsia"/>
          <w:sz w:val="21"/>
          <w:szCs w:val="21"/>
        </w:rPr>
        <w:t xml:space="preserve">照国家有关税收征收的规定代扣代缴。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5" w:name="chapter_level1_19_66"/>
      <w:bookmarkStart w:id="156" w:name="_Toc14658"/>
      <w:bookmarkStart w:id="157" w:name="_Toc82437037"/>
      <w:r>
        <w:rPr>
          <w:rFonts w:hint="eastAsia" w:ascii="宋体" w:hAnsi="宋体" w:eastAsia="宋体"/>
          <w:sz w:val="30"/>
        </w:rPr>
        <w:t>第十五部分  基金的会计与审计</w:t>
      </w:r>
      <w:bookmarkEnd w:id="155"/>
      <w:bookmarkEnd w:id="156"/>
      <w:bookmarkEnd w:id="157"/>
    </w:p>
    <w:p>
      <w:pPr>
        <w:pStyle w:val="8"/>
        <w:spacing w:before="0" w:beforeAutospacing="0" w:after="0" w:afterAutospacing="0" w:line="360" w:lineRule="auto"/>
        <w:ind w:firstLine="420"/>
        <w:rPr>
          <w:sz w:val="21"/>
          <w:szCs w:val="21"/>
        </w:rPr>
      </w:pPr>
      <w:bookmarkStart w:id="158" w:name="chapter_level1_19_66_section_1"/>
      <w:bookmarkEnd w:id="158"/>
      <w:r>
        <w:rPr>
          <w:rStyle w:val="13"/>
          <w:rFonts w:hint="eastAsia"/>
          <w:sz w:val="21"/>
          <w:szCs w:val="21"/>
        </w:rPr>
        <w:t>一、基金会计政策</w:t>
      </w:r>
    </w:p>
    <w:p>
      <w:pPr>
        <w:pStyle w:val="8"/>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8"/>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2、基金的会计年度为公历年度的1月1日至12月31日；基金首次募集的会计年度按如下原则：如果《基金合同》生效少于2个月，可以并入下一个会计年度披露； </w:t>
      </w:r>
    </w:p>
    <w:p>
      <w:pPr>
        <w:pStyle w:val="8"/>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8"/>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8"/>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8"/>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8"/>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8"/>
        <w:spacing w:before="0" w:beforeAutospacing="0" w:after="0" w:afterAutospacing="0" w:line="360" w:lineRule="auto"/>
        <w:ind w:firstLine="420"/>
        <w:rPr>
          <w:sz w:val="21"/>
          <w:szCs w:val="21"/>
        </w:rPr>
      </w:pPr>
      <w:r>
        <w:rPr>
          <w:rStyle w:val="13"/>
          <w:rFonts w:hint="eastAsia"/>
          <w:sz w:val="21"/>
          <w:szCs w:val="21"/>
        </w:rPr>
        <w:t>二、基金的年度审计</w:t>
      </w:r>
    </w:p>
    <w:p>
      <w:pPr>
        <w:pStyle w:val="8"/>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pPr>
        <w:pStyle w:val="8"/>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8"/>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w:t>
      </w:r>
      <w:bookmarkStart w:id="159" w:name="chapter_level1_19_66_section_1_end"/>
      <w:bookmarkEnd w:id="159"/>
      <w:r>
        <w:rPr>
          <w:rFonts w:hint="eastAsia"/>
          <w:sz w:val="21"/>
          <w:szCs w:val="21"/>
        </w:rPr>
        <w:t xml:space="preserve">务所需按规定在指定媒介公告。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0" w:name="_Toc17917"/>
      <w:bookmarkStart w:id="161" w:name="_Toc82437038"/>
      <w:bookmarkStart w:id="162" w:name="chapter_level1_20_67"/>
      <w:r>
        <w:rPr>
          <w:rFonts w:hint="eastAsia" w:ascii="宋体" w:hAnsi="宋体" w:eastAsia="宋体"/>
          <w:sz w:val="30"/>
        </w:rPr>
        <w:t>第十六部分  基金的信息披露</w:t>
      </w:r>
      <w:bookmarkEnd w:id="160"/>
      <w:bookmarkEnd w:id="161"/>
      <w:bookmarkEnd w:id="162"/>
    </w:p>
    <w:p>
      <w:pPr>
        <w:pStyle w:val="8"/>
        <w:spacing w:before="0" w:beforeAutospacing="0" w:after="0" w:afterAutospacing="0" w:line="360" w:lineRule="auto"/>
        <w:ind w:firstLine="420"/>
        <w:rPr>
          <w:sz w:val="21"/>
          <w:szCs w:val="21"/>
        </w:rPr>
      </w:pPr>
      <w:bookmarkStart w:id="163" w:name="chapter_level1_20_67_section_1"/>
      <w:bookmarkEnd w:id="163"/>
      <w:r>
        <w:rPr>
          <w:rStyle w:val="13"/>
          <w:rFonts w:hint="eastAsia"/>
          <w:sz w:val="21"/>
          <w:szCs w:val="21"/>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pPr>
        <w:pStyle w:val="8"/>
        <w:spacing w:before="0" w:beforeAutospacing="0" w:after="0" w:afterAutospacing="0" w:line="360" w:lineRule="auto"/>
        <w:ind w:firstLine="420"/>
        <w:rPr>
          <w:sz w:val="21"/>
          <w:szCs w:val="21"/>
        </w:rPr>
      </w:pPr>
      <w:r>
        <w:rPr>
          <w:rStyle w:val="13"/>
          <w:rFonts w:hint="eastAsia"/>
          <w:sz w:val="21"/>
          <w:szCs w:val="21"/>
        </w:rPr>
        <w:t>二、信息披露义务人 </w:t>
      </w:r>
    </w:p>
    <w:p>
      <w:pPr>
        <w:pStyle w:val="8"/>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8"/>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8"/>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本基金信息披露义务人应当在中国证监会规定时间内，将应予披露的基金信息通过中国证监会指定媒介披露，并保证基金投资人能够按照《基金合同》约定的时间和方式查阅或者复制公开披露的信息资料。 </w:t>
      </w:r>
    </w:p>
    <w:p>
      <w:pPr>
        <w:pStyle w:val="8"/>
        <w:spacing w:before="0" w:beforeAutospacing="0" w:after="0" w:afterAutospacing="0" w:line="360" w:lineRule="auto"/>
        <w:ind w:firstLine="420"/>
        <w:rPr>
          <w:sz w:val="21"/>
          <w:szCs w:val="21"/>
        </w:rPr>
      </w:pPr>
      <w:r>
        <w:rPr>
          <w:rStyle w:val="13"/>
          <w:rFonts w:hint="eastAsia"/>
          <w:sz w:val="21"/>
          <w:szCs w:val="21"/>
        </w:rPr>
        <w:t>三、本基金信息披露义务人承诺公开披露的基金信息，不得有下列行为： </w:t>
      </w:r>
    </w:p>
    <w:p>
      <w:pPr>
        <w:pStyle w:val="8"/>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8"/>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8"/>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8"/>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pPr>
        <w:pStyle w:val="8"/>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pPr>
        <w:pStyle w:val="8"/>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8"/>
        <w:spacing w:before="0" w:beforeAutospacing="0" w:after="0" w:afterAutospacing="0" w:line="360" w:lineRule="auto"/>
        <w:ind w:firstLine="420"/>
        <w:rPr>
          <w:sz w:val="21"/>
          <w:szCs w:val="21"/>
        </w:rPr>
      </w:pPr>
      <w:r>
        <w:rPr>
          <w:rStyle w:val="13"/>
          <w:rFonts w:hint="eastAsia"/>
          <w:sz w:val="21"/>
          <w:szCs w:val="21"/>
        </w:rPr>
        <w:t>四、本基金公开披露的信息应采用中文文本。如同时采用外文文本的，基金信息披露义务人应保证不同文本的内容一致。不同文本之间发生歧义的，以中文文本为准。</w:t>
      </w:r>
    </w:p>
    <w:p>
      <w:pPr>
        <w:pStyle w:val="8"/>
        <w:spacing w:before="0" w:beforeAutospacing="0" w:after="0" w:afterAutospacing="0" w:line="360" w:lineRule="auto"/>
        <w:ind w:firstLine="420"/>
        <w:rPr>
          <w:sz w:val="21"/>
          <w:szCs w:val="21"/>
        </w:rPr>
      </w:pPr>
      <w:bookmarkStart w:id="164" w:name="chapter_level1_20_67_section_1_end"/>
      <w:bookmarkEnd w:id="164"/>
      <w:r>
        <w:rPr>
          <w:rFonts w:hint="eastAsia"/>
          <w:sz w:val="21"/>
          <w:szCs w:val="21"/>
        </w:rPr>
        <w:t xml:space="preserve">本基金公开披露的信息采用阿拉伯数字；除特别说明外，货币单位为人民币元。 </w:t>
      </w:r>
    </w:p>
    <w:p>
      <w:pPr>
        <w:pStyle w:val="8"/>
        <w:spacing w:before="0" w:beforeAutospacing="0" w:after="0" w:afterAutospacing="0" w:line="360" w:lineRule="auto"/>
        <w:ind w:firstLine="420"/>
        <w:rPr>
          <w:sz w:val="21"/>
          <w:szCs w:val="21"/>
        </w:rPr>
      </w:pPr>
      <w:bookmarkStart w:id="165" w:name="chapter_level1_20_67_section_2"/>
      <w:bookmarkEnd w:id="165"/>
      <w:r>
        <w:rPr>
          <w:rStyle w:val="13"/>
          <w:rFonts w:hint="eastAsia"/>
          <w:sz w:val="21"/>
          <w:szCs w:val="21"/>
        </w:rPr>
        <w:t>五、公开披露的基金信息 </w:t>
      </w:r>
    </w:p>
    <w:p>
      <w:pPr>
        <w:pStyle w:val="8"/>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8"/>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pPr>
        <w:pStyle w:val="8"/>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1、《基金合同》是界定《基金合同》当事人的各项权利、义务关系，明确基金份额持有人大会召开的规则及具体程序，说明基金产品的特性等涉及基金投资人重大利益的事项的法律文件。 </w:t>
      </w:r>
    </w:p>
    <w:p>
      <w:pPr>
        <w:pStyle w:val="8"/>
        <w:spacing w:before="0" w:beforeAutospacing="0" w:after="0" w:afterAutospacing="0" w:line="360" w:lineRule="auto"/>
        <w:ind w:firstLine="420"/>
        <w:rPr>
          <w:sz w:val="21"/>
          <w:szCs w:val="21"/>
        </w:rPr>
      </w:pPr>
      <w:r>
        <w:rPr>
          <w:rFonts w:hint="eastAsia"/>
          <w:sz w:val="21"/>
          <w:szCs w:val="21"/>
        </w:rPr>
        <w:t xml:space="preserve">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8"/>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pPr>
        <w:pStyle w:val="8"/>
        <w:spacing w:before="0" w:beforeAutospacing="0" w:after="0" w:afterAutospacing="0" w:line="360" w:lineRule="auto"/>
        <w:ind w:firstLine="420"/>
        <w:rPr>
          <w:sz w:val="21"/>
          <w:szCs w:val="21"/>
        </w:rPr>
      </w:pPr>
      <w:r>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8"/>
        <w:spacing w:before="0" w:beforeAutospacing="0" w:after="0" w:afterAutospacing="0" w:line="360" w:lineRule="auto"/>
        <w:ind w:firstLine="420"/>
        <w:rPr>
          <w:sz w:val="21"/>
          <w:szCs w:val="21"/>
        </w:rPr>
      </w:pPr>
      <w:r>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各自网站上。 </w:t>
      </w:r>
    </w:p>
    <w:p>
      <w:pPr>
        <w:pStyle w:val="8"/>
        <w:spacing w:before="0" w:beforeAutospacing="0" w:after="0" w:afterAutospacing="0" w:line="360" w:lineRule="auto"/>
        <w:ind w:firstLine="420"/>
        <w:rPr>
          <w:sz w:val="21"/>
          <w:szCs w:val="21"/>
        </w:rPr>
      </w:pPr>
      <w:r>
        <w:rPr>
          <w:rFonts w:hint="eastAsia"/>
          <w:sz w:val="21"/>
          <w:szCs w:val="21"/>
        </w:rPr>
        <w:t xml:space="preserve">（二）基金份额发售公告 </w:t>
      </w:r>
    </w:p>
    <w:p>
      <w:pPr>
        <w:pStyle w:val="8"/>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基金管理人应当就基金份额发售的具体事宜编制基金份额发售公告，并在披露招募说明书的当日登载于指定媒介上。 </w:t>
      </w:r>
    </w:p>
    <w:p>
      <w:pPr>
        <w:pStyle w:val="8"/>
        <w:spacing w:before="0" w:beforeAutospacing="0" w:after="0" w:afterAutospacing="0" w:line="360" w:lineRule="auto"/>
        <w:ind w:firstLine="420"/>
        <w:rPr>
          <w:sz w:val="21"/>
          <w:szCs w:val="21"/>
        </w:rPr>
      </w:pPr>
      <w:r>
        <w:rPr>
          <w:rFonts w:hint="eastAsia"/>
          <w:sz w:val="21"/>
          <w:szCs w:val="21"/>
        </w:rPr>
        <w:t xml:space="preserve">（三）《基金合同》生效公告 </w:t>
      </w:r>
    </w:p>
    <w:p>
      <w:pPr>
        <w:pStyle w:val="8"/>
        <w:spacing w:before="0" w:beforeAutospacing="0" w:after="0" w:afterAutospacing="0" w:line="360" w:lineRule="auto"/>
        <w:ind w:firstLine="420"/>
        <w:rPr>
          <w:sz w:val="21"/>
          <w:szCs w:val="21"/>
        </w:rPr>
      </w:pPr>
      <w:r>
        <w:rPr>
          <w:rFonts w:hint="eastAsia"/>
          <w:sz w:val="21"/>
          <w:szCs w:val="21"/>
        </w:rPr>
        <w:t xml:space="preserve">基金管理人应当在收到中国证监会确认文件的次日在指定媒介上登载《基金合同》生效公告。 </w:t>
      </w:r>
    </w:p>
    <w:p>
      <w:pPr>
        <w:pStyle w:val="8"/>
        <w:spacing w:before="0" w:beforeAutospacing="0" w:after="0" w:afterAutospacing="0" w:line="360" w:lineRule="auto"/>
        <w:ind w:firstLine="420"/>
        <w:rPr>
          <w:sz w:val="21"/>
          <w:szCs w:val="21"/>
        </w:rPr>
      </w:pPr>
      <w:r>
        <w:rPr>
          <w:rFonts w:hint="eastAsia"/>
          <w:sz w:val="21"/>
          <w:szCs w:val="21"/>
        </w:rPr>
        <w:t xml:space="preserve">（四）基金份额上市交易公告书 </w:t>
      </w:r>
    </w:p>
    <w:p>
      <w:pPr>
        <w:pStyle w:val="8"/>
        <w:spacing w:before="0" w:beforeAutospacing="0" w:after="0" w:afterAutospacing="0" w:line="360" w:lineRule="auto"/>
        <w:ind w:firstLine="420"/>
        <w:rPr>
          <w:sz w:val="21"/>
          <w:szCs w:val="21"/>
        </w:rPr>
      </w:pPr>
      <w:r>
        <w:rPr>
          <w:rFonts w:hint="eastAsia"/>
          <w:sz w:val="21"/>
          <w:szCs w:val="21"/>
        </w:rPr>
        <w:t xml:space="preserve">基金份额获准在证券交易所上市交易的，基金管理人应当在基金份额上市交易的3个工作日前，将基金份额上市交易公告书登载在指定网站上，并将上市交易公告书提示性公告登载在指定报刊上。 </w:t>
      </w:r>
    </w:p>
    <w:p>
      <w:pPr>
        <w:pStyle w:val="8"/>
        <w:spacing w:before="0" w:beforeAutospacing="0" w:after="0" w:afterAutospacing="0" w:line="360" w:lineRule="auto"/>
        <w:ind w:firstLine="420"/>
        <w:rPr>
          <w:sz w:val="21"/>
          <w:szCs w:val="21"/>
        </w:rPr>
      </w:pPr>
      <w:r>
        <w:rPr>
          <w:rFonts w:hint="eastAsia"/>
          <w:sz w:val="21"/>
          <w:szCs w:val="21"/>
        </w:rPr>
        <w:t xml:space="preserve">（五）基金净值信息 </w:t>
      </w:r>
    </w:p>
    <w:p>
      <w:pPr>
        <w:pStyle w:val="8"/>
        <w:spacing w:before="0" w:beforeAutospacing="0" w:after="0" w:afterAutospacing="0" w:line="360" w:lineRule="auto"/>
        <w:ind w:firstLine="420"/>
        <w:rPr>
          <w:sz w:val="21"/>
          <w:szCs w:val="21"/>
        </w:rPr>
      </w:pPr>
      <w:r>
        <w:rPr>
          <w:rFonts w:hint="eastAsia"/>
          <w:sz w:val="21"/>
          <w:szCs w:val="21"/>
        </w:rPr>
        <w:t xml:space="preserve">1、本基金封闭运作期内，在开始办理基金上市交易前，基金管理人应当至少每周在指定网站披露一次基金份额净值和基金份额累计净值。 </w:t>
      </w:r>
    </w:p>
    <w:p>
      <w:pPr>
        <w:pStyle w:val="8"/>
        <w:spacing w:before="0" w:beforeAutospacing="0" w:after="0" w:afterAutospacing="0" w:line="360" w:lineRule="auto"/>
        <w:ind w:firstLine="420"/>
        <w:rPr>
          <w:sz w:val="21"/>
          <w:szCs w:val="21"/>
        </w:rPr>
      </w:pPr>
      <w:r>
        <w:rPr>
          <w:rFonts w:hint="eastAsia"/>
          <w:sz w:val="21"/>
          <w:szCs w:val="21"/>
        </w:rPr>
        <w:t xml:space="preserve">在本基金基金份额上市交易后，基金管理人应当在不晚于每个开放日的次日，通过指定网站、基金销售机构网站或者营业网点披露开放日的基金份额净值和基金份额累计净值。 </w:t>
      </w:r>
    </w:p>
    <w:p>
      <w:pPr>
        <w:pStyle w:val="8"/>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基金管理人应当在不晚于半年度和年度最后一日的次日，在指定网站披露半年度和年度最后一日的基金份额净值和基金份额累计净值。 </w:t>
      </w:r>
    </w:p>
    <w:p>
      <w:pPr>
        <w:pStyle w:val="8"/>
        <w:spacing w:before="0" w:beforeAutospacing="0" w:after="0" w:afterAutospacing="0" w:line="360" w:lineRule="auto"/>
        <w:ind w:firstLine="420"/>
        <w:rPr>
          <w:sz w:val="21"/>
          <w:szCs w:val="21"/>
        </w:rPr>
      </w:pPr>
      <w:r>
        <w:rPr>
          <w:rFonts w:hint="eastAsia"/>
          <w:sz w:val="21"/>
          <w:szCs w:val="21"/>
        </w:rPr>
        <w:t xml:space="preserve">2、转为上市开放式基金（LOF），在开始办理基金份额申购或者赎回前，基金管理人应当至少每周在指定网站披露一次各类基金份额净值和各类基金份额累计净值，在开始办理基金份额申购或者赎回后，基金管理人应当在不晚于每个开放日的次日，通过指定网站、基金销售机构网站或者营业网点披露开放日的各类基金份额净值和各类基金份额累计净值。 </w:t>
      </w:r>
    </w:p>
    <w:p>
      <w:pPr>
        <w:pStyle w:val="8"/>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基金管理人应当在不晚于半年度和年度最后一日的次日，在指定网站披露半年度和年度最后一日的各类基金份额净值和各类基金份额累计净值。 </w:t>
      </w:r>
    </w:p>
    <w:p>
      <w:pPr>
        <w:pStyle w:val="8"/>
        <w:spacing w:before="0" w:beforeAutospacing="0" w:after="0" w:afterAutospacing="0" w:line="360" w:lineRule="auto"/>
        <w:ind w:firstLine="420"/>
        <w:rPr>
          <w:sz w:val="21"/>
          <w:szCs w:val="21"/>
        </w:rPr>
      </w:pPr>
      <w:r>
        <w:rPr>
          <w:rFonts w:hint="eastAsia"/>
          <w:sz w:val="21"/>
          <w:szCs w:val="21"/>
        </w:rPr>
        <w:t xml:space="preserve">（六）基金份额申购、赎回价格 </w:t>
      </w:r>
    </w:p>
    <w:p>
      <w:pPr>
        <w:pStyle w:val="8"/>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基金管理人应当在《基金合同》、招募说明书等信息披露文件上载明基金份额申购、赎回价格的计算方式及有关申购、赎回费率，并保证投资人能够在基金销售机构网站或营业网点查阅或者复制前述信息资料。 </w:t>
      </w:r>
    </w:p>
    <w:p>
      <w:pPr>
        <w:pStyle w:val="8"/>
        <w:spacing w:before="0" w:beforeAutospacing="0" w:after="0" w:afterAutospacing="0" w:line="360" w:lineRule="auto"/>
        <w:ind w:firstLine="420"/>
        <w:rPr>
          <w:sz w:val="21"/>
          <w:szCs w:val="21"/>
        </w:rPr>
      </w:pPr>
      <w:r>
        <w:rPr>
          <w:rFonts w:hint="eastAsia"/>
          <w:sz w:val="21"/>
          <w:szCs w:val="21"/>
        </w:rPr>
        <w:t xml:space="preserve">（七）基金定期报告，包括基金年度报告、基金中期报告和基金季度报告 </w:t>
      </w:r>
    </w:p>
    <w:p>
      <w:pPr>
        <w:pStyle w:val="8"/>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8"/>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基金管理人应当在上半年结束之日起两个月内，编制完成基金中期报告，将中期报告登载在指定网站上，并将中期报告提示性公告登载在指定报刊上。 </w:t>
      </w:r>
    </w:p>
    <w:p>
      <w:pPr>
        <w:pStyle w:val="8"/>
        <w:spacing w:before="0" w:beforeAutospacing="0" w:after="0" w:afterAutospacing="0" w:line="360" w:lineRule="auto"/>
        <w:ind w:firstLine="420"/>
        <w:rPr>
          <w:sz w:val="21"/>
          <w:szCs w:val="21"/>
        </w:rPr>
      </w:pPr>
      <w:r>
        <w:rPr>
          <w:rFonts w:hint="eastAsia"/>
          <w:sz w:val="21"/>
          <w:szCs w:val="21"/>
        </w:rPr>
        <w:t xml:space="preserve">基金管理人应当在季度结束之日起15个工作日内，编制完成基金季度报告，将季度报告登载在指定网站上，并将季度报告提示性公告登载在指定报刊上。 </w:t>
      </w:r>
    </w:p>
    <w:p>
      <w:pPr>
        <w:pStyle w:val="8"/>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8"/>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 </w:t>
      </w:r>
    </w:p>
    <w:p>
      <w:pPr>
        <w:pStyle w:val="8"/>
        <w:spacing w:before="0" w:beforeAutospacing="0" w:after="0" w:afterAutospacing="0" w:line="360" w:lineRule="auto"/>
        <w:ind w:firstLine="420"/>
        <w:rPr>
          <w:sz w:val="21"/>
          <w:szCs w:val="21"/>
        </w:rPr>
      </w:pPr>
      <w:r>
        <w:rPr>
          <w:rFonts w:hint="eastAsia"/>
          <w:sz w:val="21"/>
          <w:szCs w:val="21"/>
        </w:rPr>
        <w:t xml:space="preserve">基金管理人应当在基金年度报告和中期报告中披露基金组合资产情况及其流动性风险分析等。 </w:t>
      </w:r>
    </w:p>
    <w:p>
      <w:pPr>
        <w:pStyle w:val="8"/>
        <w:spacing w:before="0" w:beforeAutospacing="0" w:after="0" w:afterAutospacing="0" w:line="360" w:lineRule="auto"/>
        <w:ind w:firstLine="420"/>
        <w:rPr>
          <w:sz w:val="21"/>
          <w:szCs w:val="21"/>
        </w:rPr>
      </w:pPr>
      <w:r>
        <w:rPr>
          <w:rFonts w:hint="eastAsia"/>
          <w:sz w:val="21"/>
          <w:szCs w:val="21"/>
        </w:rPr>
        <w:t xml:space="preserve">（八）临时报告 </w:t>
      </w:r>
    </w:p>
    <w:p>
      <w:pPr>
        <w:pStyle w:val="8"/>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本基金发生重大事件，有关信息披露义务人应当按规定编制临时报告书，并登载在指定报刊和指定网站上。 </w:t>
      </w:r>
    </w:p>
    <w:p>
      <w:pPr>
        <w:pStyle w:val="8"/>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8"/>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8"/>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8"/>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8"/>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8"/>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8"/>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8"/>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8"/>
        <w:spacing w:before="0" w:beforeAutospacing="0" w:after="0" w:afterAutospacing="0" w:line="360" w:lineRule="auto"/>
        <w:ind w:firstLine="420"/>
        <w:rPr>
          <w:sz w:val="21"/>
          <w:szCs w:val="21"/>
        </w:rPr>
      </w:pPr>
      <w:r>
        <w:rPr>
          <w:rFonts w:hint="eastAsia"/>
          <w:sz w:val="21"/>
          <w:szCs w:val="21"/>
        </w:rPr>
        <w:t xml:space="preserve">8、基金募集期延长； </w:t>
      </w:r>
    </w:p>
    <w:p>
      <w:pPr>
        <w:pStyle w:val="8"/>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8"/>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pPr>
        <w:pStyle w:val="8"/>
        <w:spacing w:before="0" w:beforeAutospacing="0" w:after="0" w:afterAutospacing="0" w:line="360" w:lineRule="auto"/>
        <w:ind w:firstLine="420"/>
        <w:rPr>
          <w:sz w:val="21"/>
          <w:szCs w:val="21"/>
        </w:rPr>
      </w:pPr>
      <w:r>
        <w:rPr>
          <w:rFonts w:hint="eastAsia"/>
          <w:sz w:val="21"/>
          <w:szCs w:val="21"/>
        </w:rPr>
        <w:t xml:space="preserve">11、涉及基金财产、基金管理业务、基金托管业务的诉讼或仲裁； </w:t>
      </w:r>
    </w:p>
    <w:p>
      <w:pPr>
        <w:pStyle w:val="8"/>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8"/>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pPr>
        <w:pStyle w:val="8"/>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8"/>
        <w:spacing w:before="0" w:beforeAutospacing="0" w:after="0" w:afterAutospacing="0" w:line="360" w:lineRule="auto"/>
        <w:ind w:firstLine="420"/>
        <w:rPr>
          <w:sz w:val="21"/>
          <w:szCs w:val="21"/>
        </w:rPr>
      </w:pPr>
      <w:r>
        <w:rPr>
          <w:rFonts w:hint="eastAsia"/>
          <w:sz w:val="21"/>
          <w:szCs w:val="21"/>
        </w:rPr>
        <w:t xml:space="preserve">15、管理费、托管费、销售服务费、申购费、赎回费等费用计提标准、计提方式和费率发生变更； </w:t>
      </w:r>
    </w:p>
    <w:p>
      <w:pPr>
        <w:pStyle w:val="8"/>
        <w:spacing w:before="0" w:beforeAutospacing="0" w:after="0" w:afterAutospacing="0" w:line="360" w:lineRule="auto"/>
        <w:ind w:firstLine="420"/>
        <w:rPr>
          <w:sz w:val="21"/>
          <w:szCs w:val="21"/>
        </w:rPr>
      </w:pPr>
      <w:r>
        <w:rPr>
          <w:rFonts w:hint="eastAsia"/>
          <w:sz w:val="21"/>
          <w:szCs w:val="21"/>
        </w:rPr>
        <w:t xml:space="preserve">16、某类基金份额净值计价错误达该类基金份额净值百分之零点五； </w:t>
      </w:r>
    </w:p>
    <w:p>
      <w:pPr>
        <w:pStyle w:val="8"/>
        <w:spacing w:before="0" w:beforeAutospacing="0" w:after="0" w:afterAutospacing="0" w:line="360" w:lineRule="auto"/>
        <w:ind w:firstLine="420"/>
        <w:rPr>
          <w:sz w:val="21"/>
          <w:szCs w:val="21"/>
        </w:rPr>
      </w:pPr>
      <w:r>
        <w:rPr>
          <w:rFonts w:hint="eastAsia"/>
          <w:sz w:val="21"/>
          <w:szCs w:val="21"/>
        </w:rPr>
        <w:t xml:space="preserve">17、本基金开始办理申购、赎回； </w:t>
      </w:r>
    </w:p>
    <w:p>
      <w:pPr>
        <w:pStyle w:val="8"/>
        <w:spacing w:before="0" w:beforeAutospacing="0" w:after="0" w:afterAutospacing="0" w:line="360" w:lineRule="auto"/>
        <w:ind w:firstLine="420"/>
        <w:rPr>
          <w:sz w:val="21"/>
          <w:szCs w:val="21"/>
        </w:rPr>
      </w:pPr>
      <w:r>
        <w:rPr>
          <w:rFonts w:hint="eastAsia"/>
          <w:sz w:val="21"/>
          <w:szCs w:val="21"/>
        </w:rPr>
        <w:t xml:space="preserve">18、本基金发生巨额赎回并延期办理； </w:t>
      </w:r>
    </w:p>
    <w:p>
      <w:pPr>
        <w:pStyle w:val="8"/>
        <w:spacing w:before="0" w:beforeAutospacing="0" w:after="0" w:afterAutospacing="0" w:line="360" w:lineRule="auto"/>
        <w:ind w:firstLine="420"/>
        <w:rPr>
          <w:sz w:val="21"/>
          <w:szCs w:val="21"/>
        </w:rPr>
      </w:pPr>
      <w:r>
        <w:rPr>
          <w:rFonts w:hint="eastAsia"/>
          <w:sz w:val="21"/>
          <w:szCs w:val="21"/>
        </w:rPr>
        <w:t xml:space="preserve">19、本基金连续发生巨额赎回并暂停接受赎回申请或延缓支付赎回款项； </w:t>
      </w:r>
    </w:p>
    <w:p>
      <w:pPr>
        <w:pStyle w:val="8"/>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pPr>
        <w:pStyle w:val="8"/>
        <w:spacing w:before="0" w:beforeAutospacing="0" w:after="0" w:afterAutospacing="0" w:line="360" w:lineRule="auto"/>
        <w:ind w:firstLine="420"/>
        <w:rPr>
          <w:sz w:val="21"/>
          <w:szCs w:val="21"/>
        </w:rPr>
      </w:pPr>
      <w:r>
        <w:rPr>
          <w:rFonts w:hint="eastAsia"/>
          <w:sz w:val="21"/>
          <w:szCs w:val="21"/>
        </w:rPr>
        <w:t xml:space="preserve">21、在发生涉及基金申购、赎回事项调整或潜在影响投资者赎回等重大事项时； </w:t>
      </w:r>
    </w:p>
    <w:p>
      <w:pPr>
        <w:pStyle w:val="8"/>
        <w:spacing w:before="0" w:beforeAutospacing="0" w:after="0" w:afterAutospacing="0" w:line="360" w:lineRule="auto"/>
        <w:ind w:firstLine="420"/>
        <w:rPr>
          <w:sz w:val="21"/>
          <w:szCs w:val="21"/>
        </w:rPr>
      </w:pPr>
      <w:r>
        <w:rPr>
          <w:rFonts w:hint="eastAsia"/>
          <w:sz w:val="21"/>
          <w:szCs w:val="21"/>
        </w:rPr>
        <w:t xml:space="preserve">22、基金管理人采用摆动定价机制进行估值； </w:t>
      </w:r>
    </w:p>
    <w:p>
      <w:pPr>
        <w:pStyle w:val="8"/>
        <w:spacing w:before="0" w:beforeAutospacing="0" w:after="0" w:afterAutospacing="0" w:line="360" w:lineRule="auto"/>
        <w:ind w:firstLine="420"/>
        <w:rPr>
          <w:sz w:val="21"/>
          <w:szCs w:val="21"/>
        </w:rPr>
      </w:pPr>
      <w:r>
        <w:rPr>
          <w:rFonts w:hint="eastAsia"/>
          <w:sz w:val="21"/>
          <w:szCs w:val="21"/>
        </w:rPr>
        <w:t xml:space="preserve">23、本基金转为上市开放式基金（LOF）； </w:t>
      </w:r>
    </w:p>
    <w:p>
      <w:pPr>
        <w:pStyle w:val="8"/>
        <w:spacing w:before="0" w:beforeAutospacing="0" w:after="0" w:afterAutospacing="0" w:line="360" w:lineRule="auto"/>
        <w:ind w:firstLine="420"/>
        <w:rPr>
          <w:sz w:val="21"/>
          <w:szCs w:val="21"/>
        </w:rPr>
      </w:pPr>
      <w:r>
        <w:rPr>
          <w:rFonts w:hint="eastAsia"/>
          <w:sz w:val="21"/>
          <w:szCs w:val="21"/>
        </w:rPr>
        <w:t xml:space="preserve">24、基金份额停复牌、暂停上市、恢复上市或终止上市； </w:t>
      </w:r>
    </w:p>
    <w:p>
      <w:pPr>
        <w:pStyle w:val="8"/>
        <w:spacing w:before="0" w:beforeAutospacing="0" w:after="0" w:afterAutospacing="0" w:line="360" w:lineRule="auto"/>
        <w:ind w:firstLine="420"/>
        <w:rPr>
          <w:sz w:val="21"/>
          <w:szCs w:val="21"/>
        </w:rPr>
      </w:pPr>
      <w:r>
        <w:rPr>
          <w:rFonts w:hint="eastAsia"/>
          <w:sz w:val="21"/>
          <w:szCs w:val="21"/>
        </w:rPr>
        <w:t>25、调整基金份额类别的设置；</w:t>
      </w:r>
    </w:p>
    <w:p>
      <w:pPr>
        <w:pStyle w:val="8"/>
        <w:spacing w:before="0" w:beforeAutospacing="0" w:after="0" w:afterAutospacing="0" w:line="360" w:lineRule="auto"/>
        <w:ind w:firstLine="420"/>
        <w:rPr>
          <w:sz w:val="21"/>
          <w:szCs w:val="21"/>
        </w:rPr>
      </w:pPr>
      <w:r>
        <w:rPr>
          <w:rFonts w:hint="eastAsia"/>
          <w:sz w:val="21"/>
          <w:szCs w:val="21"/>
        </w:rPr>
        <w:t>2</w:t>
      </w:r>
      <w:r>
        <w:rPr>
          <w:sz w:val="21"/>
          <w:szCs w:val="21"/>
        </w:rPr>
        <w:t>6</w:t>
      </w:r>
      <w:r>
        <w:rPr>
          <w:rFonts w:hint="eastAsia"/>
          <w:sz w:val="21"/>
          <w:szCs w:val="21"/>
        </w:rPr>
        <w:t xml:space="preserve">、基金信息披露义务人认为可能对基金份额持有人权益或者基金份额的价格产生重大影响的其他事项或中国证监会规定和基金合同约定的其他事项。 </w:t>
      </w:r>
    </w:p>
    <w:p>
      <w:pPr>
        <w:pStyle w:val="8"/>
        <w:spacing w:before="0" w:beforeAutospacing="0" w:after="0" w:afterAutospacing="0" w:line="360" w:lineRule="auto"/>
        <w:ind w:firstLine="420"/>
        <w:rPr>
          <w:sz w:val="21"/>
          <w:szCs w:val="21"/>
        </w:rPr>
      </w:pPr>
      <w:r>
        <w:rPr>
          <w:rFonts w:hint="eastAsia"/>
          <w:sz w:val="21"/>
          <w:szCs w:val="21"/>
        </w:rPr>
        <w:t xml:space="preserve">（九）澄清公告 </w:t>
      </w:r>
    </w:p>
    <w:p>
      <w:pPr>
        <w:pStyle w:val="8"/>
        <w:spacing w:before="0" w:beforeAutospacing="0" w:after="0" w:afterAutospacing="0" w:line="360" w:lineRule="auto"/>
        <w:ind w:firstLine="420"/>
        <w:rPr>
          <w:sz w:val="21"/>
          <w:szCs w:val="21"/>
        </w:rPr>
      </w:pPr>
      <w:r>
        <w:rPr>
          <w:rFonts w:hint="eastAsia"/>
          <w:sz w:val="21"/>
          <w:szCs w:val="21"/>
        </w:rPr>
        <w:t xml:space="preserve">在《基金合同》存续期限内，任何公共媒介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和基金上市交易的证券交易所。 </w:t>
      </w:r>
    </w:p>
    <w:p>
      <w:pPr>
        <w:pStyle w:val="8"/>
        <w:spacing w:before="0" w:beforeAutospacing="0" w:after="0" w:afterAutospacing="0" w:line="360" w:lineRule="auto"/>
        <w:ind w:firstLine="420"/>
        <w:rPr>
          <w:sz w:val="21"/>
          <w:szCs w:val="21"/>
        </w:rPr>
      </w:pPr>
      <w:r>
        <w:rPr>
          <w:rFonts w:hint="eastAsia"/>
          <w:sz w:val="21"/>
          <w:szCs w:val="21"/>
        </w:rPr>
        <w:t xml:space="preserve">（十）基金份额持有人大会决议 </w:t>
      </w:r>
    </w:p>
    <w:p>
      <w:pPr>
        <w:pStyle w:val="8"/>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8"/>
        <w:spacing w:before="0" w:beforeAutospacing="0" w:after="0" w:afterAutospacing="0" w:line="360" w:lineRule="auto"/>
        <w:ind w:firstLine="420"/>
        <w:rPr>
          <w:sz w:val="21"/>
          <w:szCs w:val="21"/>
        </w:rPr>
      </w:pPr>
      <w:r>
        <w:rPr>
          <w:rFonts w:hint="eastAsia"/>
          <w:sz w:val="21"/>
          <w:szCs w:val="21"/>
        </w:rPr>
        <w:t xml:space="preserve">（十一）清算报告 </w:t>
      </w:r>
    </w:p>
    <w:p>
      <w:pPr>
        <w:pStyle w:val="8"/>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8"/>
        <w:spacing w:before="0" w:beforeAutospacing="0" w:after="0" w:afterAutospacing="0" w:line="360" w:lineRule="auto"/>
        <w:ind w:firstLine="420"/>
        <w:rPr>
          <w:sz w:val="21"/>
          <w:szCs w:val="21"/>
        </w:rPr>
      </w:pPr>
      <w:r>
        <w:rPr>
          <w:rFonts w:hint="eastAsia"/>
          <w:sz w:val="21"/>
          <w:szCs w:val="21"/>
        </w:rPr>
        <w:t xml:space="preserve">（十二）中国证监会规定的其他信息。 </w:t>
      </w:r>
    </w:p>
    <w:p>
      <w:pPr>
        <w:pStyle w:val="8"/>
        <w:spacing w:before="0" w:beforeAutospacing="0" w:after="0" w:afterAutospacing="0" w:line="360" w:lineRule="auto"/>
        <w:ind w:firstLine="420"/>
        <w:rPr>
          <w:sz w:val="21"/>
          <w:szCs w:val="21"/>
        </w:rPr>
      </w:pPr>
      <w:r>
        <w:rPr>
          <w:rFonts w:hint="eastAsia"/>
          <w:sz w:val="21"/>
          <w:szCs w:val="21"/>
        </w:rPr>
        <w:t xml:space="preserve">在季度报告、中期报告、年度报告等定期报告和招募说明书（更新）等文件中披露参与港股通交易的相关情况。若中国证监会对公开募集证券投资基金通过内地与香港股票市场交易互联互通机制投资香港股票市场的信息披露另有规定的，从其规定。 </w:t>
      </w:r>
    </w:p>
    <w:p>
      <w:pPr>
        <w:pStyle w:val="8"/>
        <w:spacing w:before="0" w:beforeAutospacing="0" w:after="0" w:afterAutospacing="0" w:line="360" w:lineRule="auto"/>
        <w:ind w:firstLine="420"/>
        <w:rPr>
          <w:sz w:val="21"/>
          <w:szCs w:val="21"/>
        </w:rPr>
      </w:pPr>
      <w:r>
        <w:rPr>
          <w:rFonts w:hint="eastAsia"/>
          <w:sz w:val="21"/>
          <w:szCs w:val="21"/>
        </w:rPr>
        <w:t xml:space="preserve">本基金在招募说明书（更新）等文件中披露国债期货和股指期货交易情况，包括投资政策、持仓情况、损益情况、风险指标等，并充分揭示国债期货和股指期货交易对基金总体风险的影响以及是否符合既定的投资政策和投资目标。 </w:t>
      </w:r>
    </w:p>
    <w:p>
      <w:pPr>
        <w:pStyle w:val="8"/>
        <w:spacing w:before="0" w:beforeAutospacing="0" w:after="0" w:afterAutospacing="0" w:line="360" w:lineRule="auto"/>
        <w:ind w:firstLine="420"/>
        <w:rPr>
          <w:sz w:val="21"/>
          <w:szCs w:val="21"/>
        </w:rPr>
      </w:pPr>
      <w:r>
        <w:rPr>
          <w:rFonts w:hint="eastAsia"/>
          <w:sz w:val="21"/>
          <w:szCs w:val="21"/>
        </w:rPr>
        <w:t xml:space="preserve">封闭运作期届满转为上市开放式基金（LOF）后，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 </w:t>
      </w:r>
    </w:p>
    <w:p>
      <w:pPr>
        <w:pStyle w:val="8"/>
        <w:spacing w:before="0" w:beforeAutospacing="0" w:after="0" w:afterAutospacing="0" w:line="360" w:lineRule="auto"/>
        <w:ind w:firstLine="420"/>
        <w:rPr>
          <w:sz w:val="21"/>
          <w:szCs w:val="21"/>
        </w:rPr>
      </w:pPr>
      <w:bookmarkStart w:id="166" w:name="chapter_level1_20_67_section_3"/>
      <w:bookmarkEnd w:id="166"/>
      <w:bookmarkStart w:id="167" w:name="chapter_level1_20_67_section_2_end"/>
      <w:bookmarkEnd w:id="167"/>
      <w:r>
        <w:rPr>
          <w:rStyle w:val="13"/>
          <w:rFonts w:hint="eastAsia"/>
          <w:sz w:val="21"/>
          <w:szCs w:val="21"/>
        </w:rPr>
        <w:t>六、信息披露事务管理</w:t>
      </w:r>
    </w:p>
    <w:p>
      <w:pPr>
        <w:pStyle w:val="8"/>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8"/>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基金信息披露义务人公开披露基金信息，应当符合中国证监会相关基金信息披露内容与格式准则等法规以及证券交易所的自律管理规则的规定。 </w:t>
      </w:r>
    </w:p>
    <w:p>
      <w:pPr>
        <w:pStyle w:val="8"/>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pPr>
        <w:pStyle w:val="8"/>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pPr>
        <w:pStyle w:val="8"/>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和基金上市的证券交易所网站披露信息，并且在不同媒介上披露同一信息的内容应当一致。 </w:t>
      </w:r>
    </w:p>
    <w:p>
      <w:pPr>
        <w:pStyle w:val="8"/>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8"/>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8"/>
        <w:spacing w:before="0" w:beforeAutospacing="0" w:after="0" w:afterAutospacing="0" w:line="360" w:lineRule="auto"/>
        <w:ind w:firstLine="420"/>
        <w:rPr>
          <w:sz w:val="21"/>
          <w:szCs w:val="21"/>
        </w:rPr>
      </w:pPr>
      <w:r>
        <w:rPr>
          <w:rStyle w:val="13"/>
          <w:rFonts w:hint="eastAsia"/>
          <w:sz w:val="21"/>
          <w:szCs w:val="21"/>
        </w:rPr>
        <w:t>七、信息披露文件的存放与查阅 </w:t>
      </w:r>
    </w:p>
    <w:p>
      <w:pPr>
        <w:pStyle w:val="8"/>
        <w:spacing w:before="0" w:beforeAutospacing="0" w:after="0" w:afterAutospacing="0" w:line="360" w:lineRule="auto"/>
        <w:ind w:firstLine="420"/>
        <w:rPr>
          <w:sz w:val="21"/>
          <w:szCs w:val="21"/>
        </w:rPr>
      </w:pPr>
      <w:r>
        <w:rPr>
          <w:rFonts w:hint="eastAsia"/>
          <w:sz w:val="21"/>
          <w:szCs w:val="21"/>
        </w:rPr>
        <w:t xml:space="preserve">依法必须披露的信息发布后，基金管理人、基金托管人应当按照相关法律法规规定将信息置备于各自住所、基金上市交易的证券交易所，供社会公众查阅、复制。 </w:t>
      </w:r>
    </w:p>
    <w:p>
      <w:pPr>
        <w:pStyle w:val="8"/>
        <w:spacing w:before="0" w:beforeAutospacing="0" w:after="0" w:afterAutospacing="0" w:line="360" w:lineRule="auto"/>
        <w:ind w:firstLine="420"/>
        <w:rPr>
          <w:sz w:val="21"/>
          <w:szCs w:val="21"/>
        </w:rPr>
      </w:pPr>
      <w:r>
        <w:rPr>
          <w:rStyle w:val="13"/>
          <w:rFonts w:hint="eastAsia"/>
          <w:sz w:val="21"/>
          <w:szCs w:val="21"/>
        </w:rPr>
        <w:t>八、暂停或延迟披露基金相关信息的情形</w:t>
      </w:r>
    </w:p>
    <w:p>
      <w:pPr>
        <w:pStyle w:val="8"/>
        <w:spacing w:before="0" w:beforeAutospacing="0" w:after="0" w:afterAutospacing="0" w:line="360" w:lineRule="auto"/>
        <w:ind w:firstLine="420"/>
        <w:rPr>
          <w:sz w:val="21"/>
          <w:szCs w:val="21"/>
        </w:rPr>
      </w:pPr>
      <w:r>
        <w:rPr>
          <w:rFonts w:hint="eastAsia"/>
          <w:sz w:val="21"/>
          <w:szCs w:val="21"/>
        </w:rPr>
        <w:t xml:space="preserve">当出现下述情况时，基金管理人和基金托管人可暂停或延迟披露基金相关信息： </w:t>
      </w:r>
    </w:p>
    <w:p>
      <w:pPr>
        <w:pStyle w:val="8"/>
        <w:spacing w:before="0" w:beforeAutospacing="0" w:after="0" w:afterAutospacing="0" w:line="360" w:lineRule="auto"/>
        <w:ind w:firstLine="420"/>
        <w:rPr>
          <w:sz w:val="21"/>
          <w:szCs w:val="21"/>
        </w:rPr>
      </w:pPr>
      <w:r>
        <w:rPr>
          <w:rFonts w:hint="eastAsia"/>
          <w:sz w:val="21"/>
          <w:szCs w:val="21"/>
        </w:rPr>
        <w:t xml:space="preserve">1、基金投资所涉及的证券、期货交易所遇法定节假日或因其他原因暂停营业时； </w:t>
      </w:r>
    </w:p>
    <w:p>
      <w:pPr>
        <w:pStyle w:val="8"/>
        <w:spacing w:before="0" w:beforeAutospacing="0" w:after="0" w:afterAutospacing="0" w:line="360" w:lineRule="auto"/>
        <w:ind w:firstLine="420"/>
        <w:rPr>
          <w:sz w:val="21"/>
          <w:szCs w:val="21"/>
        </w:rPr>
      </w:pPr>
      <w:r>
        <w:rPr>
          <w:rFonts w:hint="eastAsia"/>
          <w:sz w:val="21"/>
          <w:szCs w:val="21"/>
        </w:rPr>
        <w:t xml:space="preserve">2、不可抗力； </w:t>
      </w:r>
    </w:p>
    <w:p>
      <w:pPr>
        <w:pStyle w:val="8"/>
        <w:spacing w:before="0" w:beforeAutospacing="0" w:after="0" w:afterAutospacing="0" w:line="360" w:lineRule="auto"/>
        <w:ind w:firstLine="420"/>
        <w:rPr>
          <w:sz w:val="21"/>
          <w:szCs w:val="21"/>
        </w:rPr>
      </w:pPr>
      <w:bookmarkStart w:id="168" w:name="chapter_level1_20_67_section_3_end"/>
      <w:bookmarkEnd w:id="168"/>
      <w:r>
        <w:rPr>
          <w:rFonts w:hint="eastAsia"/>
          <w:sz w:val="21"/>
          <w:szCs w:val="21"/>
        </w:rPr>
        <w:t xml:space="preserve">3、法律法规规定、中国证监会或《基金合同》认定的其他情形。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9" w:name="chapter_level1_21_68"/>
      <w:bookmarkStart w:id="170" w:name="_Toc82437039"/>
      <w:bookmarkStart w:id="171" w:name="_Toc15241"/>
      <w:r>
        <w:rPr>
          <w:rFonts w:hint="eastAsia" w:ascii="宋体" w:hAnsi="宋体" w:eastAsia="宋体"/>
          <w:sz w:val="30"/>
        </w:rPr>
        <w:t>第十七部分  风险揭示</w:t>
      </w:r>
      <w:bookmarkEnd w:id="169"/>
      <w:bookmarkEnd w:id="170"/>
      <w:bookmarkEnd w:id="171"/>
    </w:p>
    <w:p>
      <w:pPr>
        <w:pStyle w:val="8"/>
        <w:spacing w:before="0" w:beforeAutospacing="0" w:after="0" w:afterAutospacing="0" w:line="360" w:lineRule="auto"/>
        <w:ind w:firstLine="420"/>
        <w:rPr>
          <w:sz w:val="21"/>
          <w:szCs w:val="21"/>
        </w:rPr>
      </w:pPr>
      <w:bookmarkStart w:id="172" w:name="chapter_level1_21_68_section_1"/>
      <w:bookmarkEnd w:id="172"/>
      <w:r>
        <w:rPr>
          <w:rStyle w:val="13"/>
          <w:rFonts w:hint="eastAsia"/>
          <w:sz w:val="21"/>
          <w:szCs w:val="21"/>
        </w:rPr>
        <w:t>一、市场风险</w:t>
      </w:r>
    </w:p>
    <w:p>
      <w:pPr>
        <w:pStyle w:val="8"/>
        <w:spacing w:before="0" w:beforeAutospacing="0" w:after="0" w:afterAutospacing="0" w:line="360" w:lineRule="auto"/>
        <w:ind w:firstLine="420"/>
        <w:rPr>
          <w:sz w:val="21"/>
          <w:szCs w:val="21"/>
        </w:rPr>
      </w:pPr>
      <w:r>
        <w:rPr>
          <w:rFonts w:hint="eastAsia"/>
          <w:sz w:val="21"/>
          <w:szCs w:val="21"/>
        </w:rPr>
        <w:t xml:space="preserve">证券市场价格受到经济因素、政治因素、投资心理和交易制度等各种因素的影响，导致基金收益水平变化，产生风险，主要包括： </w:t>
      </w:r>
    </w:p>
    <w:p>
      <w:pPr>
        <w:pStyle w:val="8"/>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8"/>
        <w:spacing w:before="0" w:beforeAutospacing="0" w:after="0" w:afterAutospacing="0" w:line="360" w:lineRule="auto"/>
        <w:ind w:firstLine="420"/>
        <w:rPr>
          <w:sz w:val="21"/>
          <w:szCs w:val="21"/>
        </w:rPr>
      </w:pPr>
      <w:r>
        <w:rPr>
          <w:rFonts w:hint="eastAsia"/>
          <w:sz w:val="21"/>
          <w:szCs w:val="21"/>
        </w:rPr>
        <w:t xml:space="preserve">2、经济周期风险。随经济运行的周期性变化，证券市场的收益水平也呈周期性变化。基金投资于国债与上市公司的股票，收益水平也会随之变化，从而产生风险； </w:t>
      </w:r>
    </w:p>
    <w:p>
      <w:pPr>
        <w:pStyle w:val="8"/>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3、利率风险。金融市场利率的波动会导致证券市场价格和收益率的变动。利率直接影响着国债的价格和收益率，影响着企业的融资成本和利润。基金投资于国债和股票，其收益水平会受到利率变化的影响； </w:t>
      </w:r>
    </w:p>
    <w:p>
      <w:pPr>
        <w:pStyle w:val="8"/>
        <w:spacing w:before="0" w:beforeAutospacing="0" w:after="0" w:afterAutospacing="0" w:line="360" w:lineRule="auto"/>
        <w:ind w:firstLine="420"/>
        <w:rPr>
          <w:sz w:val="21"/>
          <w:szCs w:val="21"/>
        </w:rPr>
      </w:pPr>
      <w:r>
        <w:rPr>
          <w:rFonts w:hint="eastAsia"/>
          <w:sz w:val="21"/>
          <w:szCs w:val="21"/>
        </w:rPr>
        <w:t xml:space="preserve">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 </w:t>
      </w:r>
    </w:p>
    <w:p>
      <w:pPr>
        <w:pStyle w:val="8"/>
        <w:spacing w:before="0" w:beforeAutospacing="0" w:after="0" w:afterAutospacing="0" w:line="360" w:lineRule="auto"/>
        <w:ind w:firstLine="420"/>
        <w:rPr>
          <w:sz w:val="21"/>
          <w:szCs w:val="21"/>
        </w:rPr>
      </w:pPr>
      <w:r>
        <w:rPr>
          <w:rFonts w:hint="eastAsia"/>
          <w:sz w:val="21"/>
          <w:szCs w:val="21"/>
        </w:rPr>
        <w:t xml:space="preserve">5、购买力风险。基金的利润将主要通过现金形式来分配，而现金可能因为通货膨胀的影响而导致购买力下降，从而使基金的实际收益下降； </w:t>
      </w:r>
    </w:p>
    <w:p>
      <w:pPr>
        <w:pStyle w:val="8"/>
        <w:spacing w:before="0" w:beforeAutospacing="0" w:after="0" w:afterAutospacing="0" w:line="360" w:lineRule="auto"/>
        <w:ind w:firstLine="420"/>
        <w:rPr>
          <w:sz w:val="21"/>
          <w:szCs w:val="21"/>
        </w:rPr>
      </w:pPr>
      <w:r>
        <w:rPr>
          <w:rFonts w:hint="eastAsia"/>
          <w:sz w:val="21"/>
          <w:szCs w:val="21"/>
        </w:rPr>
        <w:t xml:space="preserve">6、信用风险。主要是指债务人的违约风险，若债务人经营不善，资不抵债，债权人可能会损失掉大部分的投资，这主要体现在企业债中； </w:t>
      </w:r>
    </w:p>
    <w:p>
      <w:pPr>
        <w:pStyle w:val="8"/>
        <w:spacing w:before="0" w:beforeAutospacing="0" w:after="0" w:afterAutospacing="0" w:line="360" w:lineRule="auto"/>
        <w:ind w:firstLine="420"/>
        <w:rPr>
          <w:sz w:val="21"/>
          <w:szCs w:val="21"/>
        </w:rPr>
      </w:pPr>
      <w:r>
        <w:rPr>
          <w:rFonts w:hint="eastAsia"/>
          <w:sz w:val="21"/>
          <w:szCs w:val="21"/>
        </w:rPr>
        <w:t xml:space="preserve">7、债券收益率曲线变动风险。债券收益率曲线变动风险是指与收益率曲线非平行移动有关的风险，单一的久期指标并不能充分反映这一风险的存在； </w:t>
      </w:r>
    </w:p>
    <w:p>
      <w:pPr>
        <w:pStyle w:val="8"/>
        <w:spacing w:before="0" w:beforeAutospacing="0" w:after="0" w:afterAutospacing="0" w:line="360" w:lineRule="auto"/>
        <w:ind w:firstLine="420"/>
        <w:rPr>
          <w:sz w:val="21"/>
          <w:szCs w:val="21"/>
        </w:rPr>
      </w:pPr>
      <w:r>
        <w:rPr>
          <w:rFonts w:hint="eastAsia"/>
          <w:sz w:val="21"/>
          <w:szCs w:val="21"/>
        </w:rPr>
        <w:t xml:space="preserve">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 </w:t>
      </w:r>
    </w:p>
    <w:p>
      <w:pPr>
        <w:pStyle w:val="8"/>
        <w:spacing w:before="0" w:beforeAutospacing="0" w:after="0" w:afterAutospacing="0" w:line="360" w:lineRule="auto"/>
        <w:ind w:firstLine="420"/>
        <w:rPr>
          <w:sz w:val="21"/>
          <w:szCs w:val="21"/>
        </w:rPr>
      </w:pPr>
      <w:r>
        <w:rPr>
          <w:rStyle w:val="13"/>
          <w:rFonts w:hint="eastAsia"/>
          <w:sz w:val="21"/>
          <w:szCs w:val="21"/>
        </w:rPr>
        <w:t>二、管理风险</w:t>
      </w:r>
    </w:p>
    <w:p>
      <w:pPr>
        <w:pStyle w:val="8"/>
        <w:spacing w:before="0" w:beforeAutospacing="0" w:after="0" w:afterAutospacing="0" w:line="360" w:lineRule="auto"/>
        <w:ind w:firstLine="420"/>
        <w:rPr>
          <w:sz w:val="21"/>
          <w:szCs w:val="21"/>
        </w:rPr>
      </w:pPr>
      <w:r>
        <w:rPr>
          <w:rFonts w:hint="eastAsia"/>
          <w:sz w:val="21"/>
          <w:szCs w:val="21"/>
        </w:rPr>
        <w:t xml:space="preserve">在基金管理运作过程中基金管理人的知识、经验、判断、决策、技能等，会影响其对信息的占有和对经济形势、证券价格走势的判断，从而影响基金收益水平，造成管理风险。 </w:t>
      </w:r>
    </w:p>
    <w:p>
      <w:pPr>
        <w:pStyle w:val="8"/>
        <w:spacing w:before="0" w:beforeAutospacing="0" w:after="0" w:afterAutospacing="0" w:line="360" w:lineRule="auto"/>
        <w:ind w:firstLine="420"/>
        <w:rPr>
          <w:sz w:val="21"/>
          <w:szCs w:val="21"/>
        </w:rPr>
      </w:pPr>
      <w:r>
        <w:rPr>
          <w:rStyle w:val="13"/>
          <w:rFonts w:hint="eastAsia"/>
          <w:sz w:val="21"/>
          <w:szCs w:val="21"/>
        </w:rPr>
        <w:t>三、流动性风险</w:t>
      </w:r>
    </w:p>
    <w:p>
      <w:pPr>
        <w:pStyle w:val="8"/>
        <w:spacing w:before="0" w:beforeAutospacing="0" w:after="0" w:afterAutospacing="0" w:line="360" w:lineRule="auto"/>
        <w:ind w:firstLine="420"/>
        <w:rPr>
          <w:sz w:val="21"/>
          <w:szCs w:val="21"/>
        </w:rPr>
      </w:pPr>
      <w:r>
        <w:rPr>
          <w:rFonts w:hint="eastAsia"/>
          <w:sz w:val="21"/>
          <w:szCs w:val="21"/>
        </w:rPr>
        <w:t xml:space="preserve">1、本基金的申购、赎回安排 </w:t>
      </w:r>
    </w:p>
    <w:p>
      <w:pPr>
        <w:pStyle w:val="8"/>
        <w:spacing w:before="0" w:beforeAutospacing="0" w:after="0" w:afterAutospacing="0" w:line="360" w:lineRule="auto"/>
        <w:ind w:firstLine="420"/>
        <w:rPr>
          <w:sz w:val="21"/>
          <w:szCs w:val="21"/>
        </w:rPr>
      </w:pPr>
      <w:r>
        <w:rPr>
          <w:rFonts w:hint="eastAsia"/>
          <w:sz w:val="21"/>
          <w:szCs w:val="21"/>
        </w:rPr>
        <w:t xml:space="preserve">基金合同生效后的前三年为封闭运作期。在封闭运作期内，本基金不办理申购和赎回业务。 </w:t>
      </w:r>
    </w:p>
    <w:p>
      <w:pPr>
        <w:pStyle w:val="8"/>
        <w:spacing w:before="0" w:beforeAutospacing="0" w:after="0" w:afterAutospacing="0" w:line="360" w:lineRule="auto"/>
        <w:ind w:firstLine="420"/>
        <w:rPr>
          <w:sz w:val="21"/>
          <w:szCs w:val="21"/>
        </w:rPr>
      </w:pPr>
      <w:r>
        <w:rPr>
          <w:rFonts w:hint="eastAsia"/>
          <w:sz w:val="21"/>
          <w:szCs w:val="21"/>
        </w:rPr>
        <w:t xml:space="preserve">本基金在封闭运作期内不接受申购和赎回。封闭运作期内基金上市交易后，投资者可将在其持有的场外基金份额通过办理跨系统转托管业务转至场内后上市交易。封闭运作期届满后，本基金转为上市开放式基金（LOF），基金名称调整为“博时科创主题灵活配置混合型证券投资基金（LOF）”，并接受场外、场内申购赎回。 </w:t>
      </w:r>
    </w:p>
    <w:p>
      <w:pPr>
        <w:pStyle w:val="8"/>
        <w:spacing w:before="0" w:beforeAutospacing="0" w:after="0" w:afterAutospacing="0" w:line="360" w:lineRule="auto"/>
        <w:ind w:firstLine="420"/>
        <w:rPr>
          <w:sz w:val="21"/>
          <w:szCs w:val="21"/>
        </w:rPr>
      </w:pPr>
      <w:r>
        <w:rPr>
          <w:rFonts w:hint="eastAsia"/>
          <w:sz w:val="21"/>
          <w:szCs w:val="21"/>
        </w:rPr>
        <w:t xml:space="preserve">2、投资市场、行业及资产的流动性风险评估 </w:t>
      </w:r>
    </w:p>
    <w:p>
      <w:pPr>
        <w:pStyle w:val="8"/>
        <w:spacing w:before="0" w:beforeAutospacing="0" w:after="0" w:afterAutospacing="0" w:line="360" w:lineRule="auto"/>
        <w:ind w:firstLine="420"/>
        <w:rPr>
          <w:sz w:val="21"/>
          <w:szCs w:val="21"/>
        </w:rPr>
      </w:pPr>
      <w:r>
        <w:rPr>
          <w:rFonts w:hint="eastAsia"/>
          <w:sz w:val="21"/>
          <w:szCs w:val="21"/>
        </w:rPr>
        <w:t xml:space="preserve">本基金的投资标的均在证监会及相关法律法规规定的合法范围之内。本基金的投资范围的设定合理、明确，操作性较强。封闭运作期内，不接受申购和赎回申请，股票资产（含存托凭证）投资比例为基金资产的0%—100%，封闭运作期届满后，股票资产（含存托凭证）投资比例为0%-95%，每个交易日日终在扣除国债期货和股指期货合约需缴纳的交易保证金后，本基金保留的现金或到期日在一年以内的政府债券的比例合计不低于基金资产净值的5%，其中现金不包括结算备付金、存出保证金、应收申购款等。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 </w:t>
      </w:r>
    </w:p>
    <w:p>
      <w:pPr>
        <w:pStyle w:val="8"/>
        <w:spacing w:before="0" w:beforeAutospacing="0" w:after="0" w:afterAutospacing="0" w:line="360" w:lineRule="auto"/>
        <w:ind w:firstLine="420"/>
        <w:rPr>
          <w:sz w:val="21"/>
          <w:szCs w:val="21"/>
        </w:rPr>
      </w:pPr>
      <w:r>
        <w:rPr>
          <w:rFonts w:hint="eastAsia"/>
          <w:sz w:val="21"/>
          <w:szCs w:val="21"/>
        </w:rPr>
        <w:t xml:space="preserve">3、封闭运作期届满后巨额赎回情形下的流动性风险管理措施 </w:t>
      </w:r>
    </w:p>
    <w:p>
      <w:pPr>
        <w:pStyle w:val="8"/>
        <w:spacing w:before="0" w:beforeAutospacing="0" w:after="0" w:afterAutospacing="0" w:line="360" w:lineRule="auto"/>
        <w:ind w:firstLine="420"/>
        <w:rPr>
          <w:sz w:val="21"/>
          <w:szCs w:val="21"/>
        </w:rPr>
      </w:pPr>
      <w:r>
        <w:rPr>
          <w:rFonts w:hint="eastAsia"/>
          <w:sz w:val="21"/>
          <w:szCs w:val="21"/>
        </w:rPr>
        <w:t xml:space="preserve">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 </w:t>
      </w:r>
    </w:p>
    <w:p>
      <w:pPr>
        <w:pStyle w:val="8"/>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8"/>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8"/>
        <w:spacing w:before="0" w:beforeAutospacing="0" w:after="0" w:afterAutospacing="0" w:line="360" w:lineRule="auto"/>
        <w:ind w:firstLine="420"/>
        <w:rPr>
          <w:sz w:val="21"/>
          <w:szCs w:val="21"/>
        </w:rPr>
      </w:pPr>
      <w:r>
        <w:rPr>
          <w:rFonts w:hint="eastAsia"/>
          <w:sz w:val="21"/>
          <w:szCs w:val="21"/>
        </w:rPr>
        <w:t xml:space="preserve">（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别基金份额净值为基础计算赎回金额，以此类推，直到全部赎回为止。如投资人在提交赎回申请时未作明确选择，投资人未能赎回部分作自动延期赎回处理。部分延期赎回不受单笔赎回最低份额的限制。 </w:t>
      </w:r>
    </w:p>
    <w:p>
      <w:pPr>
        <w:pStyle w:val="8"/>
        <w:spacing w:before="0" w:beforeAutospacing="0" w:after="0" w:afterAutospacing="0" w:line="360" w:lineRule="auto"/>
        <w:ind w:firstLine="420"/>
        <w:rPr>
          <w:sz w:val="21"/>
          <w:szCs w:val="21"/>
        </w:rPr>
      </w:pPr>
      <w:r>
        <w:rPr>
          <w:rFonts w:hint="eastAsia"/>
          <w:sz w:val="21"/>
          <w:szCs w:val="21"/>
        </w:rPr>
        <w:t xml:space="preserve">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对单个基金份额持有人超过基金总份额30%以上的赎回申请延期赎回。延期的赎回申请与下一开放日赎回申请一并处理，无优先权并以下一开放日的该类别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 </w:t>
      </w:r>
    </w:p>
    <w:p>
      <w:pPr>
        <w:pStyle w:val="8"/>
        <w:spacing w:before="0" w:beforeAutospacing="0" w:after="0" w:afterAutospacing="0" w:line="360" w:lineRule="auto"/>
        <w:ind w:firstLine="420"/>
        <w:rPr>
          <w:sz w:val="21"/>
          <w:szCs w:val="21"/>
        </w:rPr>
      </w:pPr>
      <w:r>
        <w:rPr>
          <w:rFonts w:hint="eastAsia"/>
          <w:sz w:val="21"/>
          <w:szCs w:val="21"/>
        </w:rPr>
        <w:t xml:space="preserve">（3）暂停赎回：连续2个开放日以上(含本数)发生巨额赎回，如基金管理人认为有必要，可暂停接受基金的赎回申请；已经接受的赎回申请可以延缓支付赎回款项，但不得超过20个工作日，并应当在指定媒介上进行公告。 </w:t>
      </w:r>
    </w:p>
    <w:p>
      <w:pPr>
        <w:pStyle w:val="8"/>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4、实施备用的流动性风险管理工具的情形、程序及对投资者的潜在影响本基金在面临大规模赎回的情况下有可能因为无法变现造成流动性风险。 </w:t>
      </w:r>
    </w:p>
    <w:p>
      <w:pPr>
        <w:pStyle w:val="8"/>
        <w:spacing w:before="0" w:beforeAutospacing="0" w:after="0" w:afterAutospacing="0" w:line="360" w:lineRule="auto"/>
        <w:ind w:firstLine="420"/>
        <w:rPr>
          <w:sz w:val="21"/>
          <w:szCs w:val="21"/>
        </w:rPr>
      </w:pPr>
      <w:r>
        <w:rPr>
          <w:rFonts w:hint="eastAsia"/>
          <w:sz w:val="21"/>
          <w:szCs w:val="21"/>
        </w:rPr>
        <w:t xml:space="preserve">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 </w:t>
      </w:r>
    </w:p>
    <w:p>
      <w:pPr>
        <w:pStyle w:val="8"/>
        <w:spacing w:before="0" w:beforeAutospacing="0" w:after="0" w:afterAutospacing="0" w:line="360" w:lineRule="auto"/>
        <w:ind w:firstLine="420"/>
        <w:rPr>
          <w:sz w:val="21"/>
          <w:szCs w:val="21"/>
        </w:rPr>
      </w:pPr>
      <w:r>
        <w:rPr>
          <w:rStyle w:val="13"/>
          <w:rFonts w:hint="eastAsia"/>
          <w:sz w:val="21"/>
          <w:szCs w:val="21"/>
        </w:rPr>
        <w:t>四、其他风险</w:t>
      </w:r>
    </w:p>
    <w:p>
      <w:pPr>
        <w:pStyle w:val="8"/>
        <w:spacing w:before="0" w:beforeAutospacing="0" w:after="0" w:afterAutospacing="0" w:line="360" w:lineRule="auto"/>
        <w:ind w:firstLine="420"/>
        <w:rPr>
          <w:sz w:val="21"/>
          <w:szCs w:val="21"/>
        </w:rPr>
      </w:pPr>
      <w:r>
        <w:rPr>
          <w:rFonts w:hint="eastAsia"/>
          <w:sz w:val="21"/>
          <w:szCs w:val="21"/>
        </w:rPr>
        <w:t xml:space="preserve">1、因技术因素而产生的风险，如电脑系统不可靠产生的风险； </w:t>
      </w:r>
    </w:p>
    <w:p>
      <w:pPr>
        <w:pStyle w:val="8"/>
        <w:spacing w:before="0" w:beforeAutospacing="0" w:after="0" w:afterAutospacing="0" w:line="360" w:lineRule="auto"/>
        <w:ind w:firstLine="420"/>
        <w:rPr>
          <w:sz w:val="21"/>
          <w:szCs w:val="21"/>
        </w:rPr>
      </w:pPr>
      <w:r>
        <w:rPr>
          <w:rFonts w:hint="eastAsia"/>
          <w:sz w:val="21"/>
          <w:szCs w:val="21"/>
        </w:rPr>
        <w:t xml:space="preserve">2、因业务快速发展而在制度建设、人员配备、内控制度建立等不完善而产生的风险； </w:t>
      </w:r>
    </w:p>
    <w:p>
      <w:pPr>
        <w:pStyle w:val="8"/>
        <w:spacing w:before="0" w:beforeAutospacing="0" w:after="0" w:afterAutospacing="0" w:line="360" w:lineRule="auto"/>
        <w:ind w:firstLine="420"/>
        <w:rPr>
          <w:sz w:val="21"/>
          <w:szCs w:val="21"/>
        </w:rPr>
      </w:pPr>
      <w:r>
        <w:rPr>
          <w:rFonts w:hint="eastAsia"/>
          <w:sz w:val="21"/>
          <w:szCs w:val="21"/>
        </w:rPr>
        <w:t xml:space="preserve">3、因人为因素而产生的风险、如内幕交易、欺诈行为等产生的风险； </w:t>
      </w:r>
    </w:p>
    <w:p>
      <w:pPr>
        <w:pStyle w:val="8"/>
        <w:spacing w:before="0" w:beforeAutospacing="0" w:after="0" w:afterAutospacing="0" w:line="360" w:lineRule="auto"/>
        <w:ind w:firstLine="420"/>
        <w:rPr>
          <w:sz w:val="21"/>
          <w:szCs w:val="21"/>
        </w:rPr>
      </w:pPr>
      <w:r>
        <w:rPr>
          <w:rFonts w:hint="eastAsia"/>
          <w:sz w:val="21"/>
          <w:szCs w:val="21"/>
        </w:rPr>
        <w:t xml:space="preserve">4、对主要业务人员如基金经理的依赖而可能产生的风险； </w:t>
      </w:r>
    </w:p>
    <w:p>
      <w:pPr>
        <w:pStyle w:val="8"/>
        <w:spacing w:before="0" w:beforeAutospacing="0" w:after="0" w:afterAutospacing="0" w:line="360" w:lineRule="auto"/>
        <w:ind w:firstLine="420"/>
        <w:rPr>
          <w:sz w:val="21"/>
          <w:szCs w:val="21"/>
        </w:rPr>
      </w:pPr>
      <w:r>
        <w:rPr>
          <w:rFonts w:hint="eastAsia"/>
          <w:sz w:val="21"/>
          <w:szCs w:val="21"/>
        </w:rPr>
        <w:t xml:space="preserve">5、因业务竞争压力可能产生的风险； </w:t>
      </w:r>
    </w:p>
    <w:p>
      <w:pPr>
        <w:pStyle w:val="8"/>
        <w:spacing w:before="0" w:beforeAutospacing="0" w:after="0" w:afterAutospacing="0" w:line="360" w:lineRule="auto"/>
        <w:ind w:firstLine="420"/>
        <w:rPr>
          <w:sz w:val="21"/>
          <w:szCs w:val="21"/>
        </w:rPr>
      </w:pPr>
      <w:r>
        <w:rPr>
          <w:rFonts w:hint="eastAsia"/>
          <w:sz w:val="21"/>
          <w:szCs w:val="21"/>
        </w:rPr>
        <w:t xml:space="preserve">6、不可抗力可能导致基金资产的损失，影响基金收益水平，从而带来风险； </w:t>
      </w:r>
    </w:p>
    <w:p>
      <w:pPr>
        <w:pStyle w:val="8"/>
        <w:spacing w:before="0" w:beforeAutospacing="0" w:after="0" w:afterAutospacing="0" w:line="360" w:lineRule="auto"/>
        <w:ind w:firstLine="420"/>
        <w:rPr>
          <w:sz w:val="21"/>
          <w:szCs w:val="21"/>
        </w:rPr>
      </w:pPr>
      <w:r>
        <w:rPr>
          <w:rFonts w:hint="eastAsia"/>
          <w:sz w:val="21"/>
          <w:szCs w:val="21"/>
        </w:rPr>
        <w:t xml:space="preserve">7、其他意外导致的风险。 </w:t>
      </w:r>
    </w:p>
    <w:p>
      <w:pPr>
        <w:pStyle w:val="8"/>
        <w:spacing w:before="0" w:beforeAutospacing="0" w:after="0" w:afterAutospacing="0" w:line="360" w:lineRule="auto"/>
        <w:ind w:firstLine="420"/>
        <w:rPr>
          <w:sz w:val="21"/>
          <w:szCs w:val="21"/>
        </w:rPr>
      </w:pPr>
      <w:r>
        <w:rPr>
          <w:rStyle w:val="13"/>
          <w:rFonts w:hint="eastAsia"/>
          <w:sz w:val="21"/>
          <w:szCs w:val="21"/>
        </w:rPr>
        <w:t>五、本基金特有的风险</w:t>
      </w:r>
    </w:p>
    <w:p>
      <w:pPr>
        <w:pStyle w:val="8"/>
        <w:spacing w:before="0" w:beforeAutospacing="0" w:after="0" w:afterAutospacing="0" w:line="360" w:lineRule="auto"/>
        <w:ind w:firstLine="420"/>
        <w:rPr>
          <w:sz w:val="21"/>
          <w:szCs w:val="21"/>
        </w:rPr>
      </w:pPr>
      <w:r>
        <w:rPr>
          <w:rFonts w:hint="eastAsia"/>
          <w:sz w:val="21"/>
          <w:szCs w:val="21"/>
        </w:rPr>
        <w:t xml:space="preserve">1、本基金为混合型基金，封闭运作期内，股票资产投资比例为基金资产的0%—100%；因此，国内股票市场和债券市场的变化均会影响到基金业绩表现，基金净值表现因此可能受到影响。本基金管理人将发挥专业研究优势，加强对市场、上市公司基本面和固定收益类产品的深入研究，持续优化组合配置，以控制特定风险。 </w:t>
      </w:r>
    </w:p>
    <w:p>
      <w:pPr>
        <w:pStyle w:val="8"/>
        <w:spacing w:before="0" w:beforeAutospacing="0" w:after="0" w:afterAutospacing="0" w:line="360" w:lineRule="auto"/>
        <w:ind w:firstLine="420"/>
        <w:rPr>
          <w:sz w:val="21"/>
          <w:szCs w:val="21"/>
        </w:rPr>
      </w:pPr>
      <w:r>
        <w:rPr>
          <w:rFonts w:hint="eastAsia"/>
          <w:sz w:val="21"/>
          <w:szCs w:val="21"/>
        </w:rPr>
        <w:t xml:space="preserve">2、参与科创板战略配售的风险 </w:t>
      </w:r>
    </w:p>
    <w:p>
      <w:pPr>
        <w:pStyle w:val="8"/>
        <w:spacing w:before="0" w:beforeAutospacing="0" w:after="0" w:afterAutospacing="0" w:line="360" w:lineRule="auto"/>
        <w:ind w:firstLine="420"/>
        <w:rPr>
          <w:sz w:val="21"/>
          <w:szCs w:val="21"/>
        </w:rPr>
      </w:pPr>
      <w:r>
        <w:rPr>
          <w:rFonts w:hint="eastAsia"/>
          <w:sz w:val="21"/>
          <w:szCs w:val="21"/>
        </w:rPr>
        <w:t xml:space="preserve">本基金以参与投资科创板股票战略配售为主要投资策略，由于科创板股票的配售政策、配售比例以及中签率的不确定性，因此参与的每个项目均存在最终未获配售的风险。 </w:t>
      </w:r>
    </w:p>
    <w:p>
      <w:pPr>
        <w:pStyle w:val="8"/>
        <w:spacing w:before="0" w:beforeAutospacing="0" w:after="0" w:afterAutospacing="0" w:line="360" w:lineRule="auto"/>
        <w:ind w:firstLine="420"/>
        <w:rPr>
          <w:sz w:val="21"/>
          <w:szCs w:val="21"/>
        </w:rPr>
      </w:pPr>
      <w:r>
        <w:rPr>
          <w:rFonts w:hint="eastAsia"/>
          <w:sz w:val="21"/>
          <w:szCs w:val="21"/>
        </w:rPr>
        <w:t xml:space="preserve">3、投资于科创板战略配售相关股票的风险 </w:t>
      </w:r>
    </w:p>
    <w:p>
      <w:pPr>
        <w:pStyle w:val="8"/>
        <w:spacing w:before="0" w:beforeAutospacing="0" w:after="0" w:afterAutospacing="0" w:line="360" w:lineRule="auto"/>
        <w:ind w:firstLine="420"/>
        <w:rPr>
          <w:sz w:val="21"/>
          <w:szCs w:val="21"/>
        </w:rPr>
      </w:pPr>
      <w:r>
        <w:rPr>
          <w:rFonts w:hint="eastAsia"/>
          <w:sz w:val="21"/>
          <w:szCs w:val="21"/>
        </w:rPr>
        <w:t xml:space="preserve">本基金以投资科创板战略配售股票为主要投资策略，需参与并接受发行人战略配售股票，由此产生的投资风险与价格波动由投资者自行承担。科创板战略配售股票有可能出现股价波动较大的情况，投资者有可能面临战略配售股票价格大幅波动的风险。 </w:t>
      </w:r>
    </w:p>
    <w:p>
      <w:pPr>
        <w:pStyle w:val="8"/>
        <w:spacing w:before="0" w:beforeAutospacing="0" w:after="0" w:afterAutospacing="0" w:line="360" w:lineRule="auto"/>
        <w:ind w:firstLine="420"/>
        <w:rPr>
          <w:sz w:val="21"/>
          <w:szCs w:val="21"/>
        </w:rPr>
      </w:pPr>
      <w:r>
        <w:rPr>
          <w:rFonts w:hint="eastAsia"/>
          <w:sz w:val="21"/>
          <w:szCs w:val="21"/>
        </w:rPr>
        <w:t xml:space="preserve">4、投资科创板股票的特有风险 </w:t>
      </w:r>
    </w:p>
    <w:p>
      <w:pPr>
        <w:pStyle w:val="8"/>
        <w:spacing w:before="0" w:beforeAutospacing="0" w:after="0" w:afterAutospacing="0" w:line="360" w:lineRule="auto"/>
        <w:ind w:firstLine="420"/>
        <w:rPr>
          <w:sz w:val="21"/>
          <w:szCs w:val="21"/>
        </w:rPr>
      </w:pPr>
      <w:r>
        <w:rPr>
          <w:rFonts w:hint="eastAsia"/>
          <w:sz w:val="21"/>
          <w:szCs w:val="21"/>
        </w:rPr>
        <w:t xml:space="preserve">1）科创板流动性相比主板较弱。科创板对投资者进行适当性管理，以机构投资者为主，个人投资者需满足一定的日均资产及交易经验要求。在特殊市场环境下，可能导致市场存在一致预期，大幅减持科创板股票导致市场流动性进一步下降的情况。 </w:t>
      </w:r>
    </w:p>
    <w:p>
      <w:pPr>
        <w:pStyle w:val="8"/>
        <w:spacing w:before="0" w:beforeAutospacing="0" w:after="0" w:afterAutospacing="0" w:line="360" w:lineRule="auto"/>
        <w:ind w:firstLine="420"/>
        <w:rPr>
          <w:sz w:val="21"/>
          <w:szCs w:val="21"/>
        </w:rPr>
      </w:pPr>
      <w:r>
        <w:rPr>
          <w:rFonts w:hint="eastAsia"/>
          <w:sz w:val="21"/>
          <w:szCs w:val="21"/>
        </w:rPr>
        <w:t xml:space="preserve">2）科创板退市制度较主板更为严格，退市风险更大。具体体现在退市情景更多、退市时间更短，退市速度更快等方面。 </w:t>
      </w:r>
    </w:p>
    <w:p>
      <w:pPr>
        <w:pStyle w:val="8"/>
        <w:spacing w:before="0" w:beforeAutospacing="0" w:after="0" w:afterAutospacing="0" w:line="360" w:lineRule="auto"/>
        <w:ind w:firstLine="420"/>
        <w:rPr>
          <w:sz w:val="21"/>
          <w:szCs w:val="21"/>
        </w:rPr>
      </w:pPr>
      <w:r>
        <w:rPr>
          <w:rFonts w:hint="eastAsia"/>
          <w:sz w:val="21"/>
          <w:szCs w:val="21"/>
        </w:rPr>
        <w:t xml:space="preserve">退市情景方面，具体包括：存在欺诈发行、重大信息披露违法或者其他严重损害证券市场秩序的重大违法行为，且严重影响上市地位；存在涉及国家安全、公共安全、生态安全、生产安全和公众健康安全等领域的违法行为，情节恶劣，严重损害国家利益、社会公共利益，或者严重影响上市地位；交易量、股价、市值等、股东数量交易指标触及终止上市标准；公司丧失持续经营能力、财务指标触及上市标准等情景。情景较主板更多，且新增交易类指标低于规定标准、上市公司信息披露或者规范运作存在重大缺陷等退市的情形。 </w:t>
      </w:r>
    </w:p>
    <w:p>
      <w:pPr>
        <w:pStyle w:val="8"/>
        <w:spacing w:before="0" w:beforeAutospacing="0" w:after="0" w:afterAutospacing="0" w:line="360" w:lineRule="auto"/>
        <w:ind w:firstLine="420"/>
        <w:rPr>
          <w:sz w:val="21"/>
          <w:szCs w:val="21"/>
        </w:rPr>
      </w:pPr>
      <w:r>
        <w:rPr>
          <w:rFonts w:hint="eastAsia"/>
          <w:sz w:val="21"/>
          <w:szCs w:val="21"/>
        </w:rPr>
        <w:t xml:space="preserve">退市时间和退市速度方面，科创公司触及终止上市标准的，股票直接终止上市，不再适用暂停上市、恢复上市、重新上市程序。退市速度较主板更快。 </w:t>
      </w:r>
    </w:p>
    <w:p>
      <w:pPr>
        <w:pStyle w:val="8"/>
        <w:spacing w:before="0" w:beforeAutospacing="0" w:after="0" w:afterAutospacing="0" w:line="360" w:lineRule="auto"/>
        <w:ind w:firstLine="420"/>
        <w:rPr>
          <w:sz w:val="21"/>
          <w:szCs w:val="21"/>
        </w:rPr>
      </w:pPr>
      <w:r>
        <w:rPr>
          <w:rFonts w:hint="eastAsia"/>
          <w:sz w:val="21"/>
          <w:szCs w:val="21"/>
        </w:rPr>
        <w:t xml:space="preserve">3）科创板股票特征相似，科创板基金投资科创主题股票集中度较高，难以通过分散投资进行风险分散。科创板股票聚焦科技型和创新型中小企业，重点面向尚未进入成熟期但具有成长潜力、且满足有关规范性及科技型创新型特征中小企业，包括但不限于电子、医药、通信、计算机、军工、机械、新能源等创新方向。由于科创板公司大多数处于初创期，上市标准相对宽松，具有研发投入大、经营风险高、业绩不稳定等特点，整体风险较高。 </w:t>
      </w:r>
    </w:p>
    <w:p>
      <w:pPr>
        <w:pStyle w:val="8"/>
        <w:spacing w:before="0" w:beforeAutospacing="0" w:after="0" w:afterAutospacing="0" w:line="360" w:lineRule="auto"/>
        <w:ind w:firstLine="420"/>
        <w:rPr>
          <w:sz w:val="21"/>
          <w:szCs w:val="21"/>
        </w:rPr>
      </w:pPr>
      <w:r>
        <w:rPr>
          <w:rFonts w:hint="eastAsia"/>
          <w:sz w:val="21"/>
          <w:szCs w:val="21"/>
        </w:rPr>
        <w:t xml:space="preserve">5、二级市场折溢价风险 </w:t>
      </w:r>
    </w:p>
    <w:p>
      <w:pPr>
        <w:pStyle w:val="8"/>
        <w:spacing w:before="0" w:beforeAutospacing="0" w:after="0" w:afterAutospacing="0" w:line="360" w:lineRule="auto"/>
        <w:ind w:firstLine="420"/>
        <w:rPr>
          <w:sz w:val="21"/>
          <w:szCs w:val="21"/>
        </w:rPr>
      </w:pPr>
      <w:r>
        <w:rPr>
          <w:rFonts w:hint="eastAsia"/>
          <w:sz w:val="21"/>
          <w:szCs w:val="21"/>
        </w:rPr>
        <w:t xml:space="preserve">本基金基金合同生效后进入三年的封闭运作期，封闭运作期间投资者不能赎回基金份额。本基金在封闭运作期间，基金份额可上市交易，投资者可在二级市场买卖基金份额。受市场供需关系等各种因素的影响，投资者买卖基金份额有可能面临相应的折溢价风险。 </w:t>
      </w:r>
    </w:p>
    <w:p>
      <w:pPr>
        <w:pStyle w:val="8"/>
        <w:spacing w:before="0" w:beforeAutospacing="0" w:after="0" w:afterAutospacing="0" w:line="360" w:lineRule="auto"/>
        <w:ind w:firstLine="420"/>
        <w:rPr>
          <w:sz w:val="21"/>
          <w:szCs w:val="21"/>
        </w:rPr>
      </w:pPr>
      <w:r>
        <w:rPr>
          <w:rFonts w:hint="eastAsia"/>
          <w:sz w:val="21"/>
          <w:szCs w:val="21"/>
        </w:rPr>
        <w:t xml:space="preserve">6、封闭运作期内无法赎回的风险 </w:t>
      </w:r>
    </w:p>
    <w:p>
      <w:pPr>
        <w:pStyle w:val="8"/>
        <w:spacing w:before="0" w:beforeAutospacing="0" w:after="0" w:afterAutospacing="0" w:line="360" w:lineRule="auto"/>
        <w:ind w:firstLine="420"/>
        <w:rPr>
          <w:sz w:val="21"/>
          <w:szCs w:val="21"/>
        </w:rPr>
      </w:pPr>
      <w:r>
        <w:rPr>
          <w:rFonts w:hint="eastAsia"/>
          <w:sz w:val="21"/>
          <w:szCs w:val="21"/>
        </w:rPr>
        <w:t xml:space="preserve">本基金封闭运作期内不开放赎回，投资者无法在封闭运作期内赎回，除可能通过二级市场上市交易外，只能在封闭运作期届满后才能提交赎回。 </w:t>
      </w:r>
    </w:p>
    <w:p>
      <w:pPr>
        <w:pStyle w:val="8"/>
        <w:spacing w:before="0" w:beforeAutospacing="0" w:after="0" w:afterAutospacing="0" w:line="360" w:lineRule="auto"/>
        <w:ind w:firstLine="420"/>
        <w:rPr>
          <w:sz w:val="21"/>
          <w:szCs w:val="21"/>
        </w:rPr>
      </w:pPr>
      <w:r>
        <w:rPr>
          <w:rFonts w:hint="eastAsia"/>
          <w:sz w:val="21"/>
          <w:szCs w:val="21"/>
        </w:rPr>
        <w:t xml:space="preserve">7、本基金认购或申购的比例确认风险 </w:t>
      </w:r>
    </w:p>
    <w:p>
      <w:pPr>
        <w:pStyle w:val="8"/>
        <w:spacing w:before="0" w:beforeAutospacing="0" w:after="0" w:afterAutospacing="0" w:line="360" w:lineRule="auto"/>
        <w:ind w:firstLine="420"/>
        <w:rPr>
          <w:sz w:val="21"/>
          <w:szCs w:val="21"/>
        </w:rPr>
      </w:pPr>
      <w:r>
        <w:rPr>
          <w:rFonts w:hint="eastAsia"/>
          <w:sz w:val="21"/>
          <w:szCs w:val="21"/>
        </w:rPr>
        <w:t xml:space="preserve">本基金管理人在募集期内实行限量销售，设定规模上限并采用末日比例确认的方式。若当日本基金达到规模上限，则该日投资人的认购或申购申请存在部分确认的情况。 </w:t>
      </w:r>
    </w:p>
    <w:p>
      <w:pPr>
        <w:pStyle w:val="8"/>
        <w:spacing w:before="0" w:beforeAutospacing="0" w:after="0" w:afterAutospacing="0" w:line="360" w:lineRule="auto"/>
        <w:ind w:firstLine="420"/>
        <w:rPr>
          <w:sz w:val="21"/>
          <w:szCs w:val="21"/>
        </w:rPr>
      </w:pPr>
      <w:r>
        <w:rPr>
          <w:rFonts w:hint="eastAsia"/>
          <w:sz w:val="21"/>
          <w:szCs w:val="21"/>
        </w:rPr>
        <w:t xml:space="preserve">8、本基金投资股指期货的风险 </w:t>
      </w:r>
    </w:p>
    <w:p>
      <w:pPr>
        <w:pStyle w:val="8"/>
        <w:spacing w:before="0" w:beforeAutospacing="0" w:after="0" w:afterAutospacing="0" w:line="360" w:lineRule="auto"/>
        <w:ind w:firstLine="420"/>
        <w:rPr>
          <w:sz w:val="21"/>
          <w:szCs w:val="21"/>
        </w:rPr>
      </w:pPr>
      <w:r>
        <w:rPr>
          <w:rFonts w:hint="eastAsia"/>
          <w:sz w:val="21"/>
          <w:szCs w:val="21"/>
        </w:rPr>
        <w:t xml:space="preserve">本基金可投资于股指期货，股指期货作为一种金融衍生品，主要存在以下风险： </w:t>
      </w:r>
    </w:p>
    <w:p>
      <w:pPr>
        <w:pStyle w:val="8"/>
        <w:spacing w:before="0" w:beforeAutospacing="0" w:after="0" w:afterAutospacing="0" w:line="360" w:lineRule="auto"/>
        <w:ind w:firstLine="420"/>
        <w:rPr>
          <w:sz w:val="21"/>
          <w:szCs w:val="21"/>
        </w:rPr>
      </w:pPr>
      <w:r>
        <w:rPr>
          <w:rFonts w:hint="eastAsia"/>
          <w:sz w:val="21"/>
          <w:szCs w:val="21"/>
        </w:rPr>
        <w:t xml:space="preserve">（1）市场风险：是指由于股指期货价格变动而给投资者带来的风险。 </w:t>
      </w:r>
    </w:p>
    <w:p>
      <w:pPr>
        <w:pStyle w:val="8"/>
        <w:spacing w:before="0" w:beforeAutospacing="0" w:after="0" w:afterAutospacing="0" w:line="360" w:lineRule="auto"/>
        <w:ind w:firstLine="420"/>
        <w:rPr>
          <w:sz w:val="21"/>
          <w:szCs w:val="21"/>
        </w:rPr>
      </w:pPr>
      <w:r>
        <w:rPr>
          <w:rFonts w:hint="eastAsia"/>
          <w:sz w:val="21"/>
          <w:szCs w:val="21"/>
        </w:rPr>
        <w:t xml:space="preserve">（2）流动性风险：是指由于股指期货合约无法及时变现所带来的风险。 </w:t>
      </w:r>
    </w:p>
    <w:p>
      <w:pPr>
        <w:pStyle w:val="8"/>
        <w:spacing w:before="0" w:beforeAutospacing="0" w:after="0" w:afterAutospacing="0" w:line="360" w:lineRule="auto"/>
        <w:ind w:firstLine="420"/>
        <w:rPr>
          <w:sz w:val="21"/>
          <w:szCs w:val="21"/>
        </w:rPr>
      </w:pPr>
      <w:r>
        <w:rPr>
          <w:rFonts w:hint="eastAsia"/>
          <w:sz w:val="21"/>
          <w:szCs w:val="21"/>
        </w:rPr>
        <w:t xml:space="preserve">（3）基差风险：是指股指期货合约价格和标的指数价格之间的价格差的波动所造成的风险。 </w:t>
      </w:r>
    </w:p>
    <w:p>
      <w:pPr>
        <w:pStyle w:val="8"/>
        <w:spacing w:before="0" w:beforeAutospacing="0" w:after="0" w:afterAutospacing="0" w:line="360" w:lineRule="auto"/>
        <w:ind w:firstLine="420"/>
        <w:rPr>
          <w:sz w:val="21"/>
          <w:szCs w:val="21"/>
        </w:rPr>
      </w:pPr>
      <w:r>
        <w:rPr>
          <w:rFonts w:hint="eastAsia"/>
          <w:sz w:val="21"/>
          <w:szCs w:val="21"/>
        </w:rPr>
        <w:t xml:space="preserve">（4）保证金风险：是指由于无法及时筹措资金满足建立或者维持股指期货合约头寸所要求的保证金而带来的风险。 </w:t>
      </w:r>
    </w:p>
    <w:p>
      <w:pPr>
        <w:pStyle w:val="8"/>
        <w:spacing w:before="0" w:beforeAutospacing="0" w:after="0" w:afterAutospacing="0" w:line="360" w:lineRule="auto"/>
        <w:ind w:firstLine="420"/>
        <w:rPr>
          <w:sz w:val="21"/>
          <w:szCs w:val="21"/>
        </w:rPr>
      </w:pPr>
      <w:r>
        <w:rPr>
          <w:rFonts w:hint="eastAsia"/>
          <w:sz w:val="21"/>
          <w:szCs w:val="21"/>
        </w:rPr>
        <w:t xml:space="preserve">（5）杠杆风险：因股指期货采用保证金交易而存在杠杆，基金财产可能因此产生更大的收益波动。 </w:t>
      </w:r>
    </w:p>
    <w:p>
      <w:pPr>
        <w:pStyle w:val="8"/>
        <w:spacing w:before="0" w:beforeAutospacing="0" w:after="0" w:afterAutospacing="0" w:line="360" w:lineRule="auto"/>
        <w:ind w:firstLine="420"/>
        <w:rPr>
          <w:sz w:val="21"/>
          <w:szCs w:val="21"/>
        </w:rPr>
      </w:pPr>
      <w:r>
        <w:rPr>
          <w:rFonts w:hint="eastAsia"/>
          <w:sz w:val="21"/>
          <w:szCs w:val="21"/>
        </w:rPr>
        <w:t xml:space="preserve">（6）信用风险：是指期货经纪公司违约而产生损失的风险。 </w:t>
      </w:r>
    </w:p>
    <w:p>
      <w:pPr>
        <w:pStyle w:val="8"/>
        <w:spacing w:before="0" w:beforeAutospacing="0" w:after="0" w:afterAutospacing="0" w:line="360" w:lineRule="auto"/>
        <w:ind w:firstLine="420"/>
        <w:rPr>
          <w:sz w:val="21"/>
          <w:szCs w:val="21"/>
        </w:rPr>
      </w:pPr>
      <w:r>
        <w:rPr>
          <w:rFonts w:hint="eastAsia"/>
          <w:sz w:val="21"/>
          <w:szCs w:val="21"/>
        </w:rPr>
        <w:t xml:space="preserve">（7）操作风险：是指由于内部流程的不完善，业务人员出现差错或者疏漏，或者系统出现故障等原因造成损失的风险。 </w:t>
      </w:r>
    </w:p>
    <w:p>
      <w:pPr>
        <w:pStyle w:val="8"/>
        <w:spacing w:before="0" w:beforeAutospacing="0" w:after="0" w:afterAutospacing="0" w:line="360" w:lineRule="auto"/>
        <w:ind w:firstLine="420"/>
        <w:rPr>
          <w:sz w:val="21"/>
          <w:szCs w:val="21"/>
        </w:rPr>
      </w:pPr>
      <w:r>
        <w:rPr>
          <w:rFonts w:hint="eastAsia"/>
          <w:sz w:val="21"/>
          <w:szCs w:val="21"/>
        </w:rPr>
        <w:t xml:space="preserve">9、本基金投资范围包括国债期货，可能给本基金带来额外风险，包括杠杆风险、期货价格与基金投资品种价格的相关度降低带来的风险等，由此可能增加本基金净值的波动性。 </w:t>
      </w:r>
    </w:p>
    <w:p>
      <w:pPr>
        <w:pStyle w:val="8"/>
        <w:spacing w:before="0" w:beforeAutospacing="0" w:after="0" w:afterAutospacing="0" w:line="360" w:lineRule="auto"/>
        <w:ind w:firstLine="420"/>
        <w:rPr>
          <w:sz w:val="21"/>
          <w:szCs w:val="21"/>
        </w:rPr>
      </w:pPr>
      <w:r>
        <w:rPr>
          <w:rFonts w:hint="eastAsia"/>
          <w:sz w:val="21"/>
          <w:szCs w:val="21"/>
        </w:rPr>
        <w:t xml:space="preserve">10、资产支持证券（ABS）的风险 </w:t>
      </w:r>
    </w:p>
    <w:p>
      <w:pPr>
        <w:pStyle w:val="8"/>
        <w:spacing w:before="0" w:beforeAutospacing="0" w:after="0" w:afterAutospacing="0" w:line="360" w:lineRule="auto"/>
        <w:ind w:firstLine="420"/>
        <w:rPr>
          <w:sz w:val="21"/>
          <w:szCs w:val="21"/>
        </w:rPr>
      </w:pPr>
      <w:r>
        <w:rPr>
          <w:rFonts w:hint="eastAsia"/>
          <w:sz w:val="21"/>
          <w:szCs w:val="21"/>
        </w:rPr>
        <w:t xml:space="preserve">封闭运作期届满转为上市开放式基金（LOF）后，基金可以投资资产支持证券。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pStyle w:val="8"/>
        <w:spacing w:before="0" w:beforeAutospacing="0" w:after="0" w:afterAutospacing="0" w:line="360" w:lineRule="auto"/>
        <w:ind w:firstLine="420"/>
        <w:rPr>
          <w:sz w:val="21"/>
          <w:szCs w:val="21"/>
        </w:rPr>
      </w:pPr>
      <w:r>
        <w:rPr>
          <w:rFonts w:hint="eastAsia"/>
          <w:sz w:val="21"/>
          <w:szCs w:val="21"/>
        </w:rPr>
        <w:t xml:space="preserve">11、本基金封闭运作期内基金总资产可不超过基金净资产的200%，可能造成本基金资产净值波动大于普通开放式基金的风险。 </w:t>
      </w:r>
    </w:p>
    <w:p>
      <w:pPr>
        <w:pStyle w:val="8"/>
        <w:spacing w:before="0" w:beforeAutospacing="0" w:after="0" w:afterAutospacing="0" w:line="360" w:lineRule="auto"/>
        <w:ind w:firstLine="420"/>
        <w:rPr>
          <w:sz w:val="21"/>
          <w:szCs w:val="21"/>
        </w:rPr>
      </w:pPr>
      <w:r>
        <w:rPr>
          <w:rFonts w:hint="eastAsia"/>
          <w:sz w:val="21"/>
          <w:szCs w:val="21"/>
        </w:rPr>
        <w:t xml:space="preserve">12、投资港股通股票的风险 </w:t>
      </w:r>
    </w:p>
    <w:p>
      <w:pPr>
        <w:pStyle w:val="8"/>
        <w:spacing w:before="0" w:beforeAutospacing="0" w:after="0" w:afterAutospacing="0" w:line="360" w:lineRule="auto"/>
        <w:ind w:firstLine="420"/>
        <w:rPr>
          <w:sz w:val="21"/>
          <w:szCs w:val="21"/>
        </w:rPr>
      </w:pPr>
      <w:r>
        <w:rPr>
          <w:rFonts w:hint="eastAsia"/>
          <w:sz w:val="21"/>
          <w:szCs w:val="21"/>
        </w:rPr>
        <w:t xml:space="preserve">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 </w:t>
      </w:r>
    </w:p>
    <w:p>
      <w:pPr>
        <w:pStyle w:val="8"/>
        <w:spacing w:before="0" w:beforeAutospacing="0" w:after="0" w:afterAutospacing="0" w:line="360" w:lineRule="auto"/>
        <w:ind w:firstLine="420"/>
        <w:rPr>
          <w:sz w:val="21"/>
          <w:szCs w:val="21"/>
        </w:rPr>
      </w:pPr>
      <w:r>
        <w:rPr>
          <w:rFonts w:hint="eastAsia"/>
          <w:sz w:val="21"/>
          <w:szCs w:val="21"/>
        </w:rPr>
        <w:t xml:space="preserve">（1）汇率风险 </w:t>
      </w:r>
    </w:p>
    <w:p>
      <w:pPr>
        <w:pStyle w:val="8"/>
        <w:spacing w:before="0" w:beforeAutospacing="0" w:after="0" w:afterAutospacing="0" w:line="360" w:lineRule="auto"/>
        <w:ind w:firstLine="420"/>
        <w:rPr>
          <w:sz w:val="21"/>
          <w:szCs w:val="21"/>
        </w:rPr>
      </w:pPr>
      <w:r>
        <w:rPr>
          <w:rFonts w:hint="eastAsia"/>
          <w:sz w:val="21"/>
          <w:szCs w:val="21"/>
        </w:rPr>
        <w:t xml:space="preserve">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 </w:t>
      </w:r>
    </w:p>
    <w:p>
      <w:pPr>
        <w:pStyle w:val="8"/>
        <w:spacing w:before="0" w:beforeAutospacing="0" w:after="0" w:afterAutospacing="0" w:line="360" w:lineRule="auto"/>
        <w:ind w:firstLine="420"/>
        <w:rPr>
          <w:sz w:val="21"/>
          <w:szCs w:val="21"/>
        </w:rPr>
      </w:pPr>
      <w:r>
        <w:rPr>
          <w:rFonts w:hint="eastAsia"/>
          <w:sz w:val="21"/>
          <w:szCs w:val="21"/>
        </w:rPr>
        <w:t xml:space="preserve">（2）香港市场风险 </w:t>
      </w:r>
    </w:p>
    <w:p>
      <w:pPr>
        <w:pStyle w:val="8"/>
        <w:spacing w:before="0" w:beforeAutospacing="0" w:after="0" w:afterAutospacing="0" w:line="360" w:lineRule="auto"/>
        <w:ind w:firstLine="420"/>
        <w:rPr>
          <w:sz w:val="21"/>
          <w:szCs w:val="21"/>
        </w:rPr>
      </w:pPr>
      <w:r>
        <w:rPr>
          <w:rFonts w:hint="eastAsia"/>
          <w:sz w:val="21"/>
          <w:szCs w:val="21"/>
        </w:rPr>
        <w:t xml:space="preserve">与内地A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股更为剧烈的股价波动。 </w:t>
      </w:r>
    </w:p>
    <w:p>
      <w:pPr>
        <w:pStyle w:val="8"/>
        <w:spacing w:before="0" w:beforeAutospacing="0" w:after="0" w:afterAutospacing="0" w:line="360" w:lineRule="auto"/>
        <w:ind w:firstLine="420"/>
        <w:rPr>
          <w:sz w:val="21"/>
          <w:szCs w:val="21"/>
        </w:rPr>
      </w:pPr>
      <w:r>
        <w:rPr>
          <w:rFonts w:hint="eastAsia"/>
          <w:sz w:val="21"/>
          <w:szCs w:val="21"/>
        </w:rPr>
        <w:t xml:space="preserve">（3）香港交易市场制度或规则不同带来的风险 </w:t>
      </w:r>
    </w:p>
    <w:p>
      <w:pPr>
        <w:pStyle w:val="8"/>
        <w:spacing w:before="0" w:beforeAutospacing="0" w:after="0" w:afterAutospacing="0" w:line="360" w:lineRule="auto"/>
        <w:ind w:firstLine="420"/>
        <w:rPr>
          <w:sz w:val="21"/>
          <w:szCs w:val="21"/>
        </w:rPr>
      </w:pPr>
      <w:r>
        <w:rPr>
          <w:rFonts w:hint="eastAsia"/>
          <w:sz w:val="21"/>
          <w:szCs w:val="21"/>
        </w:rPr>
        <w:t xml:space="preserve">香港市场交易规则有别于内地A股市场规则，在“内地与香港股票市场交易互联互通机制”下参与香港股票投资还将面临包括但不限于如下特殊风险： </w:t>
      </w:r>
    </w:p>
    <w:p>
      <w:pPr>
        <w:pStyle w:val="8"/>
        <w:spacing w:before="0" w:beforeAutospacing="0" w:after="0" w:afterAutospacing="0" w:line="360" w:lineRule="auto"/>
        <w:ind w:firstLine="420"/>
        <w:rPr>
          <w:sz w:val="21"/>
          <w:szCs w:val="21"/>
        </w:rPr>
      </w:pPr>
      <w:r>
        <w:rPr>
          <w:rFonts w:hint="eastAsia"/>
          <w:sz w:val="21"/>
          <w:szCs w:val="21"/>
        </w:rPr>
        <w:t xml:space="preserve">①港股市场实行T+0回转交易机制（即当日买入的股票，在交收前可以于当日卖出），同时对个股不设涨跌幅限制，因此每日涨跌幅空间相对较大； </w:t>
      </w:r>
    </w:p>
    <w:p>
      <w:pPr>
        <w:pStyle w:val="8"/>
        <w:spacing w:before="0" w:beforeAutospacing="0" w:after="0" w:afterAutospacing="0" w:line="360" w:lineRule="auto"/>
        <w:ind w:firstLine="420"/>
        <w:rPr>
          <w:sz w:val="21"/>
          <w:szCs w:val="21"/>
        </w:rPr>
      </w:pPr>
      <w:r>
        <w:rPr>
          <w:rFonts w:hint="eastAsia"/>
          <w:sz w:val="21"/>
          <w:szCs w:val="21"/>
        </w:rPr>
        <w:t xml:space="preserve">②只有内地与香港均为交易日且能够满足结算安排的交易日才为港股通交易日； </w:t>
      </w:r>
    </w:p>
    <w:p>
      <w:pPr>
        <w:pStyle w:val="8"/>
        <w:spacing w:before="0" w:beforeAutospacing="0" w:after="0" w:afterAutospacing="0" w:line="360" w:lineRule="auto"/>
        <w:ind w:firstLine="420"/>
        <w:rPr>
          <w:sz w:val="21"/>
          <w:szCs w:val="21"/>
        </w:rPr>
      </w:pPr>
      <w:r>
        <w:rPr>
          <w:rFonts w:hint="eastAsia"/>
          <w:sz w:val="21"/>
          <w:szCs w:val="21"/>
        </w:rPr>
        <w:t xml:space="preserve">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 </w:t>
      </w:r>
    </w:p>
    <w:p>
      <w:pPr>
        <w:pStyle w:val="8"/>
        <w:spacing w:before="0" w:beforeAutospacing="0" w:after="0" w:afterAutospacing="0" w:line="360" w:lineRule="auto"/>
        <w:ind w:firstLine="420"/>
        <w:rPr>
          <w:sz w:val="21"/>
          <w:szCs w:val="21"/>
        </w:rPr>
      </w:pPr>
      <w:r>
        <w:rPr>
          <w:rFonts w:hint="eastAsia"/>
          <w:sz w:val="21"/>
          <w:szCs w:val="21"/>
        </w:rPr>
        <w:t xml:space="preserve">④交收制度带来的基金流动性风险 </w:t>
      </w:r>
    </w:p>
    <w:p>
      <w:pPr>
        <w:pStyle w:val="8"/>
        <w:spacing w:before="0" w:beforeAutospacing="0" w:after="0" w:afterAutospacing="0" w:line="360" w:lineRule="auto"/>
        <w:ind w:firstLine="420"/>
        <w:rPr>
          <w:sz w:val="21"/>
          <w:szCs w:val="21"/>
        </w:rPr>
      </w:pPr>
      <w:r>
        <w:rPr>
          <w:rFonts w:hint="eastAsia"/>
          <w:sz w:val="21"/>
          <w:szCs w:val="21"/>
        </w:rPr>
        <w:t xml:space="preserve">由于香港市场实行T+2日（T日买卖股票，资金和股票在T+2日才进行交收）的交收安排，本基金在T日（港股通交易日）卖出股票，T+2日（港股通交易日，即为卖出当日之后第二个港股通交易日）才能在香港市场完成清算交收，卖出的资金在T+3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 </w:t>
      </w:r>
    </w:p>
    <w:p>
      <w:pPr>
        <w:pStyle w:val="8"/>
        <w:spacing w:before="0" w:beforeAutospacing="0" w:after="0" w:afterAutospacing="0" w:line="360" w:lineRule="auto"/>
        <w:ind w:firstLine="420"/>
        <w:rPr>
          <w:sz w:val="21"/>
          <w:szCs w:val="21"/>
        </w:rPr>
      </w:pPr>
      <w:r>
        <w:rPr>
          <w:rFonts w:hint="eastAsia"/>
          <w:sz w:val="21"/>
          <w:szCs w:val="21"/>
        </w:rPr>
        <w:t xml:space="preserve">⑤香港联合交易所停牌、退市等制度性差异带来的风险 </w:t>
      </w:r>
    </w:p>
    <w:p>
      <w:pPr>
        <w:pStyle w:val="8"/>
        <w:spacing w:before="0" w:beforeAutospacing="0" w:after="0" w:afterAutospacing="0" w:line="360" w:lineRule="auto"/>
        <w:ind w:firstLine="420"/>
        <w:rPr>
          <w:sz w:val="21"/>
          <w:szCs w:val="21"/>
        </w:rPr>
      </w:pPr>
      <w:r>
        <w:rPr>
          <w:rFonts w:hint="eastAsia"/>
          <w:sz w:val="21"/>
          <w:szCs w:val="21"/>
        </w:rPr>
        <w:t xml:space="preserve">香港联合交易所规定，在交易所认为所要求的停牌合理而且必要时，上市公司方可采取停牌措施。此外，不同于内地A股市场的停牌制度，香港联合交易所对停牌的具体时长并没有量化规定，只是确定了“尽量缩短停牌时间”的原则；同时与A股市场对存在退市可能的上市公司根据其财务状况在证券简称前加入相应标记（例如，ST及*ST等标记）以警示投资者风险的做法不同，在香港联合交易所市场没有风险警示板，香港联合交易所采用非量化的退市标准且在上市公司退市过程中拥有相对较大的主导权，使得香港联合交易所上市公司的退市情形较A股市场相对复杂。 </w:t>
      </w:r>
    </w:p>
    <w:p>
      <w:pPr>
        <w:pStyle w:val="8"/>
        <w:spacing w:before="0" w:beforeAutospacing="0" w:after="0" w:afterAutospacing="0" w:line="360" w:lineRule="auto"/>
        <w:ind w:firstLine="420"/>
        <w:rPr>
          <w:sz w:val="21"/>
          <w:szCs w:val="21"/>
        </w:rPr>
      </w:pPr>
      <w:r>
        <w:rPr>
          <w:rFonts w:hint="eastAsia"/>
          <w:sz w:val="21"/>
          <w:szCs w:val="21"/>
        </w:rPr>
        <w:t xml:space="preserve">因该等制度性差异，本基金可能存在因所持个股遭遇非预期性的停牌甚至退市而给基金带来损失的风险。 </w:t>
      </w:r>
    </w:p>
    <w:p>
      <w:pPr>
        <w:pStyle w:val="8"/>
        <w:spacing w:before="0" w:beforeAutospacing="0" w:after="0" w:afterAutospacing="0" w:line="360" w:lineRule="auto"/>
        <w:ind w:firstLine="420"/>
        <w:rPr>
          <w:sz w:val="21"/>
          <w:szCs w:val="21"/>
        </w:rPr>
      </w:pPr>
      <w:r>
        <w:rPr>
          <w:rFonts w:hint="eastAsia"/>
          <w:sz w:val="21"/>
          <w:szCs w:val="21"/>
        </w:rPr>
        <w:t xml:space="preserve">（4）港股通制度限制或调整带来的风险 </w:t>
      </w:r>
    </w:p>
    <w:p>
      <w:pPr>
        <w:pStyle w:val="8"/>
        <w:spacing w:before="0" w:beforeAutospacing="0" w:after="0" w:afterAutospacing="0" w:line="360" w:lineRule="auto"/>
        <w:ind w:firstLine="420"/>
        <w:rPr>
          <w:sz w:val="21"/>
          <w:szCs w:val="21"/>
        </w:rPr>
      </w:pPr>
      <w:r>
        <w:rPr>
          <w:rFonts w:hint="eastAsia"/>
          <w:sz w:val="21"/>
          <w:szCs w:val="21"/>
        </w:rPr>
        <w:t xml:space="preserve">①港股通额度限制 </w:t>
      </w:r>
    </w:p>
    <w:p>
      <w:pPr>
        <w:pStyle w:val="8"/>
        <w:spacing w:before="0" w:beforeAutospacing="0" w:after="0" w:afterAutospacing="0" w:line="360" w:lineRule="auto"/>
        <w:ind w:firstLine="420"/>
        <w:rPr>
          <w:sz w:val="21"/>
          <w:szCs w:val="21"/>
        </w:rPr>
      </w:pPr>
      <w:r>
        <w:rPr>
          <w:rFonts w:hint="eastAsia"/>
          <w:sz w:val="21"/>
          <w:szCs w:val="21"/>
        </w:rPr>
        <w:t xml:space="preserve">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 </w:t>
      </w:r>
    </w:p>
    <w:p>
      <w:pPr>
        <w:pStyle w:val="8"/>
        <w:spacing w:before="0" w:beforeAutospacing="0" w:after="0" w:afterAutospacing="0" w:line="360" w:lineRule="auto"/>
        <w:ind w:firstLine="420"/>
        <w:rPr>
          <w:sz w:val="21"/>
          <w:szCs w:val="21"/>
        </w:rPr>
      </w:pPr>
      <w:r>
        <w:rPr>
          <w:rFonts w:hint="eastAsia"/>
          <w:sz w:val="21"/>
          <w:szCs w:val="21"/>
        </w:rPr>
        <w:t xml:space="preserve">②港股通可投资标的范围调整带来的风险 </w:t>
      </w:r>
    </w:p>
    <w:p>
      <w:pPr>
        <w:pStyle w:val="8"/>
        <w:spacing w:before="0" w:beforeAutospacing="0" w:after="0" w:afterAutospacing="0" w:line="360" w:lineRule="auto"/>
        <w:ind w:firstLine="420"/>
        <w:rPr>
          <w:sz w:val="21"/>
          <w:szCs w:val="21"/>
        </w:rPr>
      </w:pPr>
      <w:r>
        <w:rPr>
          <w:rFonts w:hint="eastAsia"/>
          <w:sz w:val="21"/>
          <w:szCs w:val="21"/>
        </w:rPr>
        <w:t xml:space="preserve">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 </w:t>
      </w:r>
    </w:p>
    <w:p>
      <w:pPr>
        <w:pStyle w:val="8"/>
        <w:spacing w:before="0" w:beforeAutospacing="0" w:after="0" w:afterAutospacing="0" w:line="360" w:lineRule="auto"/>
        <w:ind w:firstLine="420"/>
        <w:rPr>
          <w:sz w:val="21"/>
          <w:szCs w:val="21"/>
        </w:rPr>
      </w:pPr>
      <w:r>
        <w:rPr>
          <w:rFonts w:hint="eastAsia"/>
          <w:sz w:val="21"/>
          <w:szCs w:val="21"/>
        </w:rPr>
        <w:t xml:space="preserve">③港股通交易日设定的风险 </w:t>
      </w:r>
    </w:p>
    <w:p>
      <w:pPr>
        <w:pStyle w:val="8"/>
        <w:spacing w:before="0" w:beforeAutospacing="0" w:after="0" w:afterAutospacing="0" w:line="360" w:lineRule="auto"/>
        <w:ind w:firstLine="420"/>
        <w:rPr>
          <w:sz w:val="21"/>
          <w:szCs w:val="21"/>
        </w:rPr>
      </w:pPr>
      <w:r>
        <w:rPr>
          <w:rFonts w:hint="eastAsia"/>
          <w:sz w:val="21"/>
          <w:szCs w:val="21"/>
        </w:rPr>
        <w:t xml:space="preserve">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 </w:t>
      </w:r>
    </w:p>
    <w:p>
      <w:pPr>
        <w:pStyle w:val="8"/>
        <w:spacing w:before="0" w:beforeAutospacing="0" w:after="0" w:afterAutospacing="0" w:line="360" w:lineRule="auto"/>
        <w:ind w:firstLine="420"/>
        <w:rPr>
          <w:sz w:val="21"/>
          <w:szCs w:val="21"/>
        </w:rPr>
      </w:pPr>
      <w:r>
        <w:rPr>
          <w:rFonts w:hint="eastAsia"/>
          <w:sz w:val="21"/>
          <w:szCs w:val="21"/>
        </w:rPr>
        <w:t xml:space="preserve">④港股通下对公司行为的处理规则带来的风险 </w:t>
      </w:r>
    </w:p>
    <w:p>
      <w:pPr>
        <w:pStyle w:val="8"/>
        <w:spacing w:before="0" w:beforeAutospacing="0" w:after="0" w:afterAutospacing="0" w:line="360" w:lineRule="auto"/>
        <w:ind w:firstLine="420"/>
        <w:rPr>
          <w:sz w:val="21"/>
          <w:szCs w:val="21"/>
        </w:rPr>
      </w:pPr>
      <w:r>
        <w:rPr>
          <w:rFonts w:hint="eastAsia"/>
          <w:sz w:val="21"/>
          <w:szCs w:val="21"/>
        </w:rPr>
        <w:t xml:space="preserve">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 </w:t>
      </w:r>
    </w:p>
    <w:p>
      <w:pPr>
        <w:pStyle w:val="8"/>
        <w:spacing w:before="0" w:beforeAutospacing="0" w:after="0" w:afterAutospacing="0" w:line="360" w:lineRule="auto"/>
        <w:ind w:firstLine="420"/>
        <w:rPr>
          <w:sz w:val="21"/>
          <w:szCs w:val="21"/>
        </w:rPr>
      </w:pPr>
      <w:r>
        <w:rPr>
          <w:rFonts w:hint="eastAsia"/>
          <w:sz w:val="21"/>
          <w:szCs w:val="21"/>
        </w:rPr>
        <w:t xml:space="preserve">⑤代理投票 </w:t>
      </w:r>
    </w:p>
    <w:p>
      <w:pPr>
        <w:pStyle w:val="8"/>
        <w:spacing w:before="0" w:beforeAutospacing="0" w:after="0" w:afterAutospacing="0" w:line="360" w:lineRule="auto"/>
        <w:ind w:firstLine="420"/>
        <w:rPr>
          <w:sz w:val="21"/>
          <w:szCs w:val="21"/>
        </w:rPr>
      </w:pPr>
      <w:r>
        <w:rPr>
          <w:rFonts w:hint="eastAsia"/>
          <w:sz w:val="21"/>
          <w:szCs w:val="21"/>
        </w:rPr>
        <w:t xml:space="preserve">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 </w:t>
      </w:r>
    </w:p>
    <w:p>
      <w:pPr>
        <w:pStyle w:val="8"/>
        <w:spacing w:before="0" w:beforeAutospacing="0" w:after="0" w:afterAutospacing="0" w:line="360" w:lineRule="auto"/>
        <w:ind w:firstLine="420"/>
        <w:rPr>
          <w:sz w:val="21"/>
          <w:szCs w:val="21"/>
        </w:rPr>
      </w:pPr>
      <w:r>
        <w:rPr>
          <w:rFonts w:hint="eastAsia"/>
          <w:sz w:val="21"/>
          <w:szCs w:val="21"/>
        </w:rPr>
        <w:t xml:space="preserve">（5）法律和政治风险 </w:t>
      </w:r>
    </w:p>
    <w:p>
      <w:pPr>
        <w:pStyle w:val="8"/>
        <w:spacing w:before="0" w:beforeAutospacing="0" w:after="0" w:afterAutospacing="0" w:line="360" w:lineRule="auto"/>
        <w:ind w:firstLine="420"/>
        <w:rPr>
          <w:sz w:val="21"/>
          <w:szCs w:val="21"/>
        </w:rPr>
      </w:pPr>
      <w:r>
        <w:rPr>
          <w:rFonts w:hint="eastAsia"/>
          <w:sz w:val="21"/>
          <w:szCs w:val="21"/>
        </w:rPr>
        <w:t xml:space="preserve">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 </w:t>
      </w:r>
    </w:p>
    <w:p>
      <w:pPr>
        <w:pStyle w:val="8"/>
        <w:spacing w:before="0" w:beforeAutospacing="0" w:after="0" w:afterAutospacing="0" w:line="360" w:lineRule="auto"/>
        <w:ind w:firstLine="420"/>
        <w:rPr>
          <w:sz w:val="21"/>
          <w:szCs w:val="21"/>
        </w:rPr>
      </w:pPr>
      <w:r>
        <w:rPr>
          <w:rFonts w:hint="eastAsia"/>
          <w:sz w:val="21"/>
          <w:szCs w:val="21"/>
        </w:rPr>
        <w:t xml:space="preserve">（6）会计制度风险 </w:t>
      </w:r>
    </w:p>
    <w:p>
      <w:pPr>
        <w:pStyle w:val="8"/>
        <w:spacing w:before="0" w:beforeAutospacing="0" w:after="0" w:afterAutospacing="0" w:line="360" w:lineRule="auto"/>
        <w:ind w:firstLine="420"/>
        <w:rPr>
          <w:sz w:val="21"/>
          <w:szCs w:val="21"/>
        </w:rPr>
      </w:pPr>
      <w:r>
        <w:rPr>
          <w:rFonts w:hint="eastAsia"/>
          <w:sz w:val="21"/>
          <w:szCs w:val="21"/>
        </w:rPr>
        <w:t xml:space="preserve">香港市场对上市公司日常经营活动的会计处理、财务报表披露等会计核算标准的规定可能与境内存在一定差异，可能导致基金经理对公司盈利能力、投资价值的判断产生偏差，从而给本基金投资带来潜在风险。 </w:t>
      </w:r>
    </w:p>
    <w:p>
      <w:pPr>
        <w:pStyle w:val="8"/>
        <w:spacing w:before="0" w:beforeAutospacing="0" w:after="0" w:afterAutospacing="0" w:line="360" w:lineRule="auto"/>
        <w:ind w:firstLine="420"/>
        <w:rPr>
          <w:sz w:val="21"/>
          <w:szCs w:val="21"/>
        </w:rPr>
      </w:pPr>
      <w:r>
        <w:rPr>
          <w:rFonts w:hint="eastAsia"/>
          <w:sz w:val="21"/>
          <w:szCs w:val="21"/>
        </w:rPr>
        <w:t xml:space="preserve">（7）税务风险 </w:t>
      </w:r>
    </w:p>
    <w:p>
      <w:pPr>
        <w:pStyle w:val="8"/>
        <w:spacing w:before="0" w:beforeAutospacing="0" w:after="0" w:afterAutospacing="0" w:line="360" w:lineRule="auto"/>
        <w:ind w:firstLine="420"/>
        <w:rPr>
          <w:sz w:val="21"/>
          <w:szCs w:val="21"/>
        </w:rPr>
      </w:pPr>
      <w:r>
        <w:rPr>
          <w:rFonts w:hint="eastAsia"/>
          <w:sz w:val="21"/>
          <w:szCs w:val="21"/>
        </w:rPr>
        <w:t xml:space="preserve">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 </w:t>
      </w:r>
    </w:p>
    <w:p>
      <w:pPr>
        <w:pStyle w:val="8"/>
        <w:spacing w:before="0" w:beforeAutospacing="0" w:after="0" w:afterAutospacing="0" w:line="360" w:lineRule="auto"/>
        <w:ind w:firstLine="420"/>
        <w:rPr>
          <w:sz w:val="21"/>
          <w:szCs w:val="21"/>
        </w:rPr>
      </w:pPr>
      <w:r>
        <w:rPr>
          <w:rFonts w:hint="eastAsia"/>
          <w:sz w:val="21"/>
          <w:szCs w:val="21"/>
        </w:rPr>
        <w:t xml:space="preserve">13、投资于存托凭证的风险 </w:t>
      </w:r>
    </w:p>
    <w:p>
      <w:pPr>
        <w:pStyle w:val="8"/>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8"/>
        <w:spacing w:before="0" w:beforeAutospacing="0" w:after="0" w:afterAutospacing="0" w:line="360" w:lineRule="auto"/>
        <w:ind w:firstLine="420"/>
        <w:rPr>
          <w:sz w:val="21"/>
          <w:szCs w:val="21"/>
        </w:rPr>
      </w:pPr>
      <w:r>
        <w:rPr>
          <w:rStyle w:val="13"/>
          <w:rFonts w:hint="eastAsia"/>
          <w:sz w:val="21"/>
          <w:szCs w:val="21"/>
        </w:rPr>
        <w:t>六、本基金法律文件风险收益特征表述与销售机构基金风险评价可能不一致的风险</w:t>
      </w:r>
    </w:p>
    <w:p>
      <w:pPr>
        <w:pStyle w:val="8"/>
        <w:spacing w:before="0" w:beforeAutospacing="0" w:after="0" w:afterAutospacing="0" w:line="360" w:lineRule="auto"/>
        <w:ind w:firstLine="420"/>
        <w:rPr>
          <w:sz w:val="21"/>
          <w:szCs w:val="21"/>
        </w:rPr>
      </w:pPr>
      <w:r>
        <w:rPr>
          <w:rFonts w:hint="eastAsia"/>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w:t>
      </w:r>
      <w:bookmarkStart w:id="173" w:name="chapter_level1_21_68_section_1_end"/>
      <w:bookmarkEnd w:id="173"/>
      <w:r>
        <w:rPr>
          <w:rFonts w:hint="eastAsia"/>
          <w:sz w:val="21"/>
          <w:szCs w:val="21"/>
        </w:rPr>
        <w:t xml:space="preserve">受能力与产品风险之间的匹配检验。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4" w:name="_Toc82437040"/>
      <w:bookmarkStart w:id="175" w:name="chapter_level1_22_69"/>
      <w:bookmarkStart w:id="176" w:name="_Toc25308"/>
      <w:r>
        <w:rPr>
          <w:rFonts w:hint="eastAsia" w:ascii="宋体" w:hAnsi="宋体" w:eastAsia="宋体"/>
          <w:sz w:val="30"/>
        </w:rPr>
        <w:t>第十八部分  基金合同的变更、终止与基金财产的清算</w:t>
      </w:r>
      <w:bookmarkEnd w:id="174"/>
      <w:bookmarkEnd w:id="175"/>
      <w:bookmarkEnd w:id="176"/>
    </w:p>
    <w:p>
      <w:pPr>
        <w:pStyle w:val="8"/>
        <w:spacing w:before="0" w:beforeAutospacing="0" w:after="0" w:afterAutospacing="0" w:line="360" w:lineRule="auto"/>
        <w:ind w:firstLine="420"/>
        <w:rPr>
          <w:sz w:val="21"/>
          <w:szCs w:val="21"/>
        </w:rPr>
      </w:pPr>
      <w:bookmarkStart w:id="177" w:name="chapter_level1_22_69_section_1"/>
      <w:bookmarkEnd w:id="177"/>
      <w:r>
        <w:rPr>
          <w:rStyle w:val="13"/>
          <w:rFonts w:hint="eastAsia"/>
          <w:sz w:val="21"/>
          <w:szCs w:val="21"/>
        </w:rPr>
        <w:t>一、《基金合同》的变更 </w:t>
      </w:r>
    </w:p>
    <w:p>
      <w:pPr>
        <w:pStyle w:val="8"/>
        <w:spacing w:before="0" w:beforeAutospacing="0" w:after="0" w:afterAutospacing="0" w:line="360" w:lineRule="auto"/>
        <w:ind w:firstLine="420"/>
        <w:rPr>
          <w:sz w:val="21"/>
          <w:szCs w:val="21"/>
        </w:rPr>
      </w:pPr>
      <w:r>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pPr>
        <w:pStyle w:val="8"/>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2、关于《基金合同》变更的基金份额持有人大会决议自生效后方可执行，并自决议生效后按规定在指定媒介公告。 </w:t>
      </w:r>
    </w:p>
    <w:p>
      <w:pPr>
        <w:pStyle w:val="8"/>
        <w:spacing w:before="0" w:beforeAutospacing="0" w:after="0" w:afterAutospacing="0" w:line="360" w:lineRule="auto"/>
        <w:ind w:firstLine="420"/>
        <w:rPr>
          <w:sz w:val="21"/>
          <w:szCs w:val="21"/>
        </w:rPr>
      </w:pPr>
      <w:r>
        <w:rPr>
          <w:rStyle w:val="13"/>
          <w:rFonts w:hint="eastAsia"/>
          <w:sz w:val="21"/>
          <w:szCs w:val="21"/>
        </w:rPr>
        <w:t>二、《基金合同》的终止事由</w:t>
      </w:r>
    </w:p>
    <w:p>
      <w:pPr>
        <w:pStyle w:val="8"/>
        <w:spacing w:before="0" w:beforeAutospacing="0" w:after="0" w:afterAutospacing="0" w:line="360" w:lineRule="auto"/>
        <w:ind w:firstLine="420"/>
        <w:rPr>
          <w:sz w:val="21"/>
          <w:szCs w:val="21"/>
        </w:rPr>
      </w:pPr>
      <w:r>
        <w:rPr>
          <w:rFonts w:hint="eastAsia"/>
          <w:sz w:val="21"/>
          <w:szCs w:val="21"/>
        </w:rPr>
        <w:t xml:space="preserve">有下列情形之一的，经履行相关程序后，《基金合同》应当终止： </w:t>
      </w:r>
    </w:p>
    <w:p>
      <w:pPr>
        <w:pStyle w:val="8"/>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8"/>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8"/>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8"/>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8"/>
        <w:spacing w:before="0" w:beforeAutospacing="0" w:after="0" w:afterAutospacing="0" w:line="360" w:lineRule="auto"/>
        <w:ind w:firstLine="420"/>
        <w:rPr>
          <w:sz w:val="21"/>
          <w:szCs w:val="21"/>
        </w:rPr>
      </w:pPr>
      <w:r>
        <w:rPr>
          <w:rStyle w:val="13"/>
          <w:rFonts w:hint="eastAsia"/>
          <w:sz w:val="21"/>
          <w:szCs w:val="21"/>
        </w:rPr>
        <w:t>三、基金财产的清算</w:t>
      </w:r>
    </w:p>
    <w:p>
      <w:pPr>
        <w:pStyle w:val="8"/>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8"/>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2、在基金财产清算小组接管基金财产之前，基金管理人和基金托管人应按照《基金合同》和托管协议的规定继续履行保护基金财产安全的职责。 </w:t>
      </w:r>
    </w:p>
    <w:p>
      <w:pPr>
        <w:pStyle w:val="8"/>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8"/>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pPr>
        <w:pStyle w:val="8"/>
        <w:spacing w:before="0" w:beforeAutospacing="0" w:after="0" w:afterAutospacing="0" w:line="360" w:lineRule="auto"/>
        <w:ind w:firstLine="420"/>
        <w:rPr>
          <w:sz w:val="21"/>
          <w:szCs w:val="21"/>
        </w:rPr>
      </w:pPr>
      <w:r>
        <w:rPr>
          <w:rFonts w:hint="eastAsia"/>
          <w:sz w:val="21"/>
          <w:szCs w:val="21"/>
        </w:rPr>
        <w:t xml:space="preserve">5、基金财产清算程序： </w:t>
      </w:r>
    </w:p>
    <w:p>
      <w:pPr>
        <w:pStyle w:val="8"/>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8"/>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8"/>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8"/>
        <w:spacing w:before="0" w:beforeAutospacing="0" w:after="0" w:afterAutospacing="0" w:line="360" w:lineRule="auto"/>
        <w:ind w:firstLine="420"/>
        <w:rPr>
          <w:sz w:val="21"/>
          <w:szCs w:val="21"/>
        </w:rPr>
      </w:pPr>
      <w:r>
        <w:rPr>
          <w:rFonts w:hint="eastAsia"/>
          <w:sz w:val="21"/>
          <w:szCs w:val="21"/>
        </w:rPr>
        <w:t xml:space="preserve">（4）制作清算报告； </w:t>
      </w:r>
    </w:p>
    <w:p>
      <w:pPr>
        <w:pStyle w:val="8"/>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8"/>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8"/>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8"/>
        <w:spacing w:before="0" w:beforeAutospacing="0" w:after="0" w:afterAutospacing="0" w:line="360" w:lineRule="auto"/>
        <w:ind w:firstLine="420"/>
        <w:rPr>
          <w:sz w:val="21"/>
          <w:szCs w:val="21"/>
        </w:rPr>
      </w:pPr>
      <w:r>
        <w:rPr>
          <w:rFonts w:hint="eastAsia"/>
          <w:sz w:val="21"/>
          <w:szCs w:val="21"/>
        </w:rPr>
        <w:t xml:space="preserve">6、基金财产清算的期限为6个月，但因本基金所持证券的流动性受到限制而不能及时变现的，清算期限可相应顺延。 </w:t>
      </w:r>
    </w:p>
    <w:p>
      <w:pPr>
        <w:pStyle w:val="8"/>
        <w:spacing w:before="0" w:beforeAutospacing="0" w:after="0" w:afterAutospacing="0" w:line="360" w:lineRule="auto"/>
        <w:ind w:firstLine="420"/>
        <w:rPr>
          <w:sz w:val="21"/>
          <w:szCs w:val="21"/>
        </w:rPr>
      </w:pPr>
      <w:r>
        <w:rPr>
          <w:rStyle w:val="13"/>
          <w:rFonts w:hint="eastAsia"/>
          <w:sz w:val="21"/>
          <w:szCs w:val="21"/>
        </w:rPr>
        <w:t>四、清算费用</w:t>
      </w:r>
    </w:p>
    <w:p>
      <w:pPr>
        <w:pStyle w:val="8"/>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8"/>
        <w:spacing w:before="0" w:beforeAutospacing="0" w:after="0" w:afterAutospacing="0" w:line="360" w:lineRule="auto"/>
        <w:ind w:firstLine="420"/>
        <w:rPr>
          <w:sz w:val="21"/>
          <w:szCs w:val="21"/>
        </w:rPr>
      </w:pPr>
      <w:r>
        <w:rPr>
          <w:rStyle w:val="13"/>
          <w:rFonts w:hint="eastAsia"/>
          <w:sz w:val="21"/>
          <w:szCs w:val="21"/>
        </w:rPr>
        <w:t>五、基金财产清算剩余资产的分配 </w:t>
      </w:r>
    </w:p>
    <w:p>
      <w:pPr>
        <w:pStyle w:val="8"/>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8"/>
        <w:spacing w:before="0" w:beforeAutospacing="0" w:after="0" w:afterAutospacing="0" w:line="360" w:lineRule="auto"/>
        <w:ind w:firstLine="420"/>
        <w:rPr>
          <w:sz w:val="21"/>
          <w:szCs w:val="21"/>
        </w:rPr>
      </w:pPr>
      <w:r>
        <w:rPr>
          <w:rStyle w:val="13"/>
          <w:rFonts w:hint="eastAsia"/>
          <w:sz w:val="21"/>
          <w:szCs w:val="21"/>
        </w:rPr>
        <w:t>六、基金财产清算的公告</w:t>
      </w:r>
    </w:p>
    <w:p>
      <w:pPr>
        <w:pStyle w:val="8"/>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8"/>
        <w:spacing w:before="0" w:beforeAutospacing="0" w:after="0" w:afterAutospacing="0" w:line="360" w:lineRule="auto"/>
        <w:ind w:firstLine="420"/>
        <w:rPr>
          <w:sz w:val="21"/>
          <w:szCs w:val="21"/>
        </w:rPr>
      </w:pPr>
      <w:r>
        <w:rPr>
          <w:rStyle w:val="13"/>
          <w:rFonts w:hint="eastAsia"/>
          <w:sz w:val="21"/>
          <w:szCs w:val="21"/>
        </w:rPr>
        <w:t>七、基金财产清算账册及文件的保存</w:t>
      </w:r>
    </w:p>
    <w:p>
      <w:pPr>
        <w:pStyle w:val="8"/>
        <w:spacing w:before="0" w:beforeAutospacing="0" w:after="0" w:afterAutospacing="0" w:line="360" w:lineRule="auto"/>
        <w:ind w:firstLine="420"/>
        <w:rPr>
          <w:sz w:val="21"/>
          <w:szCs w:val="21"/>
        </w:rPr>
      </w:pPr>
      <w:bookmarkStart w:id="178" w:name="chapter_level1_22_69_section_1_end"/>
      <w:bookmarkEnd w:id="178"/>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9" w:name="_Toc872"/>
      <w:bookmarkStart w:id="180" w:name="_Toc82437041"/>
      <w:bookmarkStart w:id="181" w:name="chapter_level1_23_71"/>
      <w:r>
        <w:rPr>
          <w:rFonts w:hint="eastAsia" w:ascii="宋体" w:hAnsi="宋体" w:eastAsia="宋体"/>
          <w:sz w:val="30"/>
        </w:rPr>
        <w:t>第十九部分  基金合同的内容摘要</w:t>
      </w:r>
      <w:bookmarkEnd w:id="179"/>
      <w:bookmarkEnd w:id="180"/>
      <w:bookmarkEnd w:id="181"/>
    </w:p>
    <w:p>
      <w:pPr>
        <w:pStyle w:val="8"/>
        <w:spacing w:before="0" w:beforeAutospacing="0" w:after="0" w:afterAutospacing="0" w:line="360" w:lineRule="auto"/>
        <w:ind w:firstLine="420"/>
        <w:rPr>
          <w:sz w:val="21"/>
          <w:szCs w:val="21"/>
        </w:rPr>
      </w:pPr>
      <w:bookmarkStart w:id="182" w:name="chapter_level1_23_71_section_1"/>
      <w:bookmarkEnd w:id="182"/>
      <w:r>
        <w:rPr>
          <w:rStyle w:val="13"/>
          <w:rFonts w:hint="eastAsia"/>
          <w:sz w:val="21"/>
          <w:szCs w:val="21"/>
        </w:rPr>
        <w:t>一、基金合同当事人的权利、义务</w:t>
      </w:r>
    </w:p>
    <w:p>
      <w:pPr>
        <w:pStyle w:val="8"/>
        <w:spacing w:before="0" w:beforeAutospacing="0" w:after="0" w:afterAutospacing="0" w:line="360" w:lineRule="auto"/>
        <w:ind w:firstLine="420"/>
        <w:rPr>
          <w:sz w:val="21"/>
          <w:szCs w:val="21"/>
        </w:rPr>
      </w:pPr>
      <w:r>
        <w:rPr>
          <w:rFonts w:hint="eastAsia"/>
          <w:sz w:val="21"/>
          <w:szCs w:val="21"/>
        </w:rPr>
        <w:t xml:space="preserve">（一）基金份额持有人的权利与义务 </w:t>
      </w:r>
    </w:p>
    <w:p>
      <w:pPr>
        <w:pStyle w:val="8"/>
        <w:spacing w:before="0" w:beforeAutospacing="0" w:after="0" w:afterAutospacing="0" w:line="360" w:lineRule="auto"/>
        <w:ind w:firstLine="420"/>
        <w:rPr>
          <w:sz w:val="21"/>
          <w:szCs w:val="21"/>
        </w:rPr>
      </w:pPr>
      <w:r>
        <w:rPr>
          <w:rFonts w:hint="eastAsia"/>
          <w:sz w:val="21"/>
          <w:szCs w:val="21"/>
        </w:rPr>
        <w:t xml:space="preserve">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 </w:t>
      </w:r>
    </w:p>
    <w:p>
      <w:pPr>
        <w:pStyle w:val="8"/>
        <w:spacing w:before="0" w:beforeAutospacing="0" w:after="0" w:afterAutospacing="0" w:line="360" w:lineRule="auto"/>
        <w:ind w:firstLine="420"/>
        <w:rPr>
          <w:sz w:val="21"/>
          <w:szCs w:val="21"/>
        </w:rPr>
      </w:pPr>
      <w:r>
        <w:rPr>
          <w:rFonts w:hint="eastAsia"/>
          <w:sz w:val="21"/>
          <w:szCs w:val="21"/>
        </w:rPr>
        <w:t xml:space="preserve">每份基金份额具有同等的合法权益。 </w:t>
      </w:r>
    </w:p>
    <w:p>
      <w:pPr>
        <w:pStyle w:val="8"/>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8"/>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8"/>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8"/>
        <w:spacing w:before="0" w:beforeAutospacing="0" w:after="0" w:afterAutospacing="0" w:line="360" w:lineRule="auto"/>
        <w:ind w:firstLine="420"/>
        <w:rPr>
          <w:sz w:val="21"/>
          <w:szCs w:val="21"/>
        </w:rPr>
      </w:pPr>
      <w:r>
        <w:rPr>
          <w:rFonts w:hint="eastAsia"/>
          <w:sz w:val="21"/>
          <w:szCs w:val="21"/>
        </w:rPr>
        <w:t xml:space="preserve">（3）依法转让或者申请赎回其持有的基金份额； </w:t>
      </w:r>
    </w:p>
    <w:p>
      <w:pPr>
        <w:pStyle w:val="8"/>
        <w:spacing w:before="0" w:beforeAutospacing="0" w:after="0" w:afterAutospacing="0" w:line="360" w:lineRule="auto"/>
        <w:ind w:firstLine="420"/>
        <w:rPr>
          <w:sz w:val="21"/>
          <w:szCs w:val="21"/>
        </w:rPr>
      </w:pPr>
      <w:r>
        <w:rPr>
          <w:rFonts w:hint="eastAsia"/>
          <w:sz w:val="21"/>
          <w:szCs w:val="21"/>
        </w:rPr>
        <w:t xml:space="preserve">（4）按照规定要求召开基金份额持有人大会或者召集基金份额持有人大会；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8"/>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8"/>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8"/>
        <w:spacing w:before="0" w:beforeAutospacing="0" w:after="0" w:afterAutospacing="0" w:line="360" w:lineRule="auto"/>
        <w:ind w:firstLine="420"/>
        <w:rPr>
          <w:sz w:val="21"/>
          <w:szCs w:val="21"/>
        </w:rPr>
      </w:pPr>
      <w:r>
        <w:rPr>
          <w:rFonts w:hint="eastAsia"/>
          <w:sz w:val="21"/>
          <w:szCs w:val="21"/>
        </w:rPr>
        <w:t xml:space="preserve">（8）对基金管理人、基金托管人、基金服务机构损害其合法权益的行为依法提起诉讼或仲裁； </w:t>
      </w:r>
    </w:p>
    <w:p>
      <w:pPr>
        <w:pStyle w:val="8"/>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（9）法律法规及中国证监会规定的和《基金合同》约定的其他权利。 </w:t>
      </w:r>
    </w:p>
    <w:p>
      <w:pPr>
        <w:pStyle w:val="8"/>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8"/>
        <w:spacing w:before="0" w:beforeAutospacing="0" w:after="0" w:afterAutospacing="0" w:line="360" w:lineRule="auto"/>
        <w:ind w:firstLine="420"/>
        <w:rPr>
          <w:sz w:val="21"/>
          <w:szCs w:val="21"/>
        </w:rPr>
      </w:pPr>
      <w:r>
        <w:rPr>
          <w:rFonts w:hint="eastAsia"/>
          <w:sz w:val="21"/>
          <w:szCs w:val="21"/>
        </w:rPr>
        <w:t xml:space="preserve">（1）认真阅读并遵守《基金合同》、招募说明书等信息披露文件； </w:t>
      </w:r>
    </w:p>
    <w:p>
      <w:pPr>
        <w:pStyle w:val="8"/>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（2）了解所投资基金产品，了解自身风险承受能力，自主判断基金的投资价值，自主做出投资决策，自行承担投资风险； </w:t>
      </w:r>
    </w:p>
    <w:p>
      <w:pPr>
        <w:pStyle w:val="8"/>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pPr>
        <w:pStyle w:val="8"/>
        <w:spacing w:before="0" w:beforeAutospacing="0" w:after="0" w:afterAutospacing="0" w:line="360" w:lineRule="auto"/>
        <w:ind w:firstLine="420"/>
        <w:rPr>
          <w:sz w:val="21"/>
          <w:szCs w:val="21"/>
        </w:rPr>
      </w:pPr>
      <w:r>
        <w:rPr>
          <w:rFonts w:hint="eastAsia"/>
          <w:sz w:val="21"/>
          <w:szCs w:val="21"/>
        </w:rPr>
        <w:t xml:space="preserve">（4）交纳基金认购、申购款项及法律法规和《基金合同》所规定的费用； </w:t>
      </w:r>
    </w:p>
    <w:p>
      <w:pPr>
        <w:pStyle w:val="8"/>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pPr>
        <w:pStyle w:val="8"/>
        <w:spacing w:before="0" w:beforeAutospacing="0" w:after="0" w:afterAutospacing="0" w:line="360" w:lineRule="auto"/>
        <w:ind w:firstLine="420"/>
        <w:rPr>
          <w:sz w:val="21"/>
          <w:szCs w:val="21"/>
        </w:rPr>
      </w:pPr>
      <w:r>
        <w:rPr>
          <w:rFonts w:hint="eastAsia"/>
          <w:sz w:val="21"/>
          <w:szCs w:val="21"/>
        </w:rPr>
        <w:t xml:space="preserve">（6）不从事任何有损基金及其他《基金合同》当事人合法权益的活动； </w:t>
      </w:r>
    </w:p>
    <w:p>
      <w:pPr>
        <w:pStyle w:val="8"/>
        <w:spacing w:before="0" w:beforeAutospacing="0" w:after="0" w:afterAutospacing="0" w:line="360" w:lineRule="auto"/>
        <w:ind w:firstLine="420"/>
        <w:rPr>
          <w:sz w:val="21"/>
          <w:szCs w:val="21"/>
        </w:rPr>
      </w:pPr>
      <w:r>
        <w:rPr>
          <w:rFonts w:hint="eastAsia"/>
          <w:sz w:val="21"/>
          <w:szCs w:val="21"/>
        </w:rPr>
        <w:t xml:space="preserve">（7）执行生效的基金份额持有人大会的决议； </w:t>
      </w:r>
    </w:p>
    <w:p>
      <w:pPr>
        <w:pStyle w:val="8"/>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pPr>
        <w:pStyle w:val="8"/>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pPr>
        <w:pStyle w:val="8"/>
        <w:spacing w:before="0" w:beforeAutospacing="0" w:after="0" w:afterAutospacing="0" w:line="360" w:lineRule="auto"/>
        <w:ind w:firstLine="420"/>
        <w:rPr>
          <w:sz w:val="21"/>
          <w:szCs w:val="21"/>
        </w:rPr>
      </w:pPr>
      <w:r>
        <w:rPr>
          <w:rFonts w:hint="eastAsia"/>
          <w:sz w:val="21"/>
          <w:szCs w:val="21"/>
        </w:rPr>
        <w:t xml:space="preserve">（二）基金管理人的权利与义务 </w:t>
      </w:r>
    </w:p>
    <w:p>
      <w:pPr>
        <w:pStyle w:val="8"/>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8"/>
        <w:spacing w:before="0" w:beforeAutospacing="0" w:after="0" w:afterAutospacing="0" w:line="360" w:lineRule="auto"/>
        <w:ind w:firstLine="420"/>
        <w:rPr>
          <w:sz w:val="21"/>
          <w:szCs w:val="21"/>
        </w:rPr>
      </w:pPr>
      <w:r>
        <w:rPr>
          <w:rFonts w:hint="eastAsia"/>
          <w:sz w:val="21"/>
          <w:szCs w:val="21"/>
        </w:rPr>
        <w:t xml:space="preserve">（1）依法募集资金； </w:t>
      </w:r>
    </w:p>
    <w:p>
      <w:pPr>
        <w:pStyle w:val="8"/>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pPr>
        <w:pStyle w:val="8"/>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pPr>
        <w:pStyle w:val="8"/>
        <w:spacing w:before="0" w:beforeAutospacing="0" w:after="0" w:afterAutospacing="0" w:line="360" w:lineRule="auto"/>
        <w:ind w:firstLine="420"/>
        <w:rPr>
          <w:sz w:val="21"/>
          <w:szCs w:val="21"/>
        </w:rPr>
      </w:pPr>
      <w:r>
        <w:rPr>
          <w:rFonts w:hint="eastAsia"/>
          <w:sz w:val="21"/>
          <w:szCs w:val="21"/>
        </w:rPr>
        <w:t xml:space="preserve">（4）销售基金份额； </w:t>
      </w:r>
    </w:p>
    <w:p>
      <w:pPr>
        <w:pStyle w:val="8"/>
        <w:spacing w:before="0" w:beforeAutospacing="0" w:after="0" w:afterAutospacing="0" w:line="360" w:lineRule="auto"/>
        <w:ind w:firstLine="420"/>
        <w:rPr>
          <w:sz w:val="21"/>
          <w:szCs w:val="21"/>
        </w:rPr>
      </w:pPr>
      <w:r>
        <w:rPr>
          <w:rFonts w:hint="eastAsia"/>
          <w:sz w:val="21"/>
          <w:szCs w:val="21"/>
        </w:rPr>
        <w:t xml:space="preserve">（5）按照规定召集基金份额持有人大会；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（6）依据《基金合同》及有关法律规定监督基金托管人，如认为基金托管人违反了《基金合同》及国家有关法律规定，应呈报中国证监会和其他监管部门，并采取必要措施保护基金投资人的利益； </w:t>
      </w:r>
    </w:p>
    <w:p>
      <w:pPr>
        <w:pStyle w:val="8"/>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pPr>
        <w:pStyle w:val="8"/>
        <w:spacing w:before="0" w:beforeAutospacing="0" w:after="0" w:afterAutospacing="0" w:line="360" w:lineRule="auto"/>
        <w:ind w:firstLine="420"/>
        <w:rPr>
          <w:sz w:val="21"/>
          <w:szCs w:val="21"/>
        </w:rPr>
      </w:pPr>
      <w:r>
        <w:rPr>
          <w:rFonts w:hint="eastAsia"/>
          <w:sz w:val="21"/>
          <w:szCs w:val="21"/>
        </w:rPr>
        <w:t xml:space="preserve">（8）选择、更换基金销售机构，对基金销售机构的相关行为进行监督和处理； </w:t>
      </w:r>
    </w:p>
    <w:p>
      <w:pPr>
        <w:pStyle w:val="8"/>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（9）担任或委托其他符合条件的机构担任基金登记机构办理基金登记业务并获得《基金合同》规定的费用； </w:t>
      </w:r>
    </w:p>
    <w:p>
      <w:pPr>
        <w:pStyle w:val="8"/>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pPr>
        <w:pStyle w:val="8"/>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（11）在《基金合同》约定的范围内，拒绝或暂停受理申购、赎回与转换申请； </w:t>
      </w:r>
    </w:p>
    <w:p>
      <w:pPr>
        <w:pStyle w:val="8"/>
        <w:spacing w:before="0" w:beforeAutospacing="0" w:after="0" w:afterAutospacing="0" w:line="360" w:lineRule="auto"/>
        <w:ind w:firstLine="420"/>
        <w:rPr>
          <w:sz w:val="21"/>
          <w:szCs w:val="21"/>
        </w:rPr>
      </w:pPr>
      <w:r>
        <w:rPr>
          <w:rFonts w:hint="eastAsia"/>
          <w:sz w:val="21"/>
          <w:szCs w:val="21"/>
        </w:rPr>
        <w:t xml:space="preserve">（12）依照法律法规为基金的利益对被投资公司行使股东权利，为基金的利益行使因基金财产投资于证券所产生的权利；     </w:t>
      </w:r>
    </w:p>
    <w:p>
      <w:pPr>
        <w:pStyle w:val="8"/>
        <w:spacing w:before="0" w:beforeAutospacing="0" w:after="0" w:afterAutospacing="0" w:line="360" w:lineRule="auto"/>
        <w:ind w:firstLine="420"/>
        <w:rPr>
          <w:sz w:val="21"/>
          <w:szCs w:val="21"/>
        </w:rPr>
      </w:pPr>
      <w:r>
        <w:rPr>
          <w:rFonts w:hint="eastAsia"/>
          <w:sz w:val="21"/>
          <w:szCs w:val="21"/>
        </w:rPr>
        <w:t xml:space="preserve">（13）在法律法规允许的前提下，为基金的利益依法为基金进行融资； </w:t>
      </w:r>
    </w:p>
    <w:p>
      <w:pPr>
        <w:pStyle w:val="8"/>
        <w:spacing w:before="0" w:beforeAutospacing="0" w:after="0" w:afterAutospacing="0" w:line="360" w:lineRule="auto"/>
        <w:ind w:firstLine="420"/>
        <w:rPr>
          <w:sz w:val="21"/>
          <w:szCs w:val="21"/>
        </w:rPr>
      </w:pPr>
      <w:r>
        <w:rPr>
          <w:rFonts w:hint="eastAsia"/>
          <w:sz w:val="21"/>
          <w:szCs w:val="21"/>
        </w:rPr>
        <w:t xml:space="preserve">（14）以基金管理人的名义，代表基金份额持有人的利益行使诉讼权利或者实施其他法律行为；     </w:t>
      </w:r>
    </w:p>
    <w:p>
      <w:pPr>
        <w:pStyle w:val="8"/>
        <w:spacing w:before="0" w:beforeAutospacing="0" w:after="0" w:afterAutospacing="0" w:line="360" w:lineRule="auto"/>
        <w:ind w:firstLine="420"/>
        <w:rPr>
          <w:sz w:val="21"/>
          <w:szCs w:val="21"/>
        </w:rPr>
      </w:pPr>
      <w:r>
        <w:rPr>
          <w:rFonts w:hint="eastAsia"/>
          <w:sz w:val="21"/>
          <w:szCs w:val="21"/>
        </w:rPr>
        <w:t xml:space="preserve">（15）选择、更换律师事务所、会计师事务所、证券/期货经纪商或其他为基金提供服务的外部机构；    </w:t>
      </w:r>
    </w:p>
    <w:p>
      <w:pPr>
        <w:pStyle w:val="8"/>
        <w:spacing w:before="0" w:beforeAutospacing="0" w:after="0" w:afterAutospacing="0" w:line="360" w:lineRule="auto"/>
        <w:ind w:firstLine="420"/>
        <w:rPr>
          <w:sz w:val="21"/>
          <w:szCs w:val="21"/>
        </w:rPr>
      </w:pPr>
      <w:r>
        <w:rPr>
          <w:rFonts w:hint="eastAsia"/>
          <w:sz w:val="21"/>
          <w:szCs w:val="21"/>
        </w:rPr>
        <w:t xml:space="preserve">（16）在符合有关法律、法规的前提下，制订和调整有关基金认购、申购、赎回、转换、非交易过户和定期定额投资等业务规则； </w:t>
      </w:r>
    </w:p>
    <w:p>
      <w:pPr>
        <w:pStyle w:val="8"/>
        <w:spacing w:before="0" w:beforeAutospacing="0" w:after="0" w:afterAutospacing="0" w:line="360" w:lineRule="auto"/>
        <w:ind w:firstLine="420"/>
        <w:rPr>
          <w:sz w:val="21"/>
          <w:szCs w:val="21"/>
        </w:rPr>
      </w:pPr>
      <w:r>
        <w:rPr>
          <w:rFonts w:hint="eastAsia"/>
          <w:sz w:val="21"/>
          <w:szCs w:val="21"/>
        </w:rPr>
        <w:t xml:space="preserve">（17）法律法规及中国证监会规定的和《基金合同》约定的其他权利。 </w:t>
      </w:r>
    </w:p>
    <w:p>
      <w:pPr>
        <w:pStyle w:val="8"/>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pPr>
        <w:pStyle w:val="8"/>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8"/>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8"/>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8"/>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8"/>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8"/>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8"/>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8"/>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8"/>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8"/>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8"/>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8"/>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法律法规或监管机构另有规定或要求外，在基金信息公开披露前应予保密，不向他人泄露，但向监管机构、司法机构或因审计、法律等外部专业顾问提供服务而向其提供的情况除外； </w:t>
      </w:r>
    </w:p>
    <w:p>
      <w:pPr>
        <w:pStyle w:val="8"/>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8"/>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8"/>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8"/>
        <w:spacing w:before="0" w:beforeAutospacing="0" w:after="0" w:afterAutospacing="0" w:line="360" w:lineRule="auto"/>
        <w:ind w:firstLine="420"/>
        <w:rPr>
          <w:sz w:val="21"/>
          <w:szCs w:val="21"/>
        </w:rPr>
      </w:pPr>
      <w:r>
        <w:rPr>
          <w:rFonts w:hint="eastAsia"/>
          <w:sz w:val="21"/>
          <w:szCs w:val="21"/>
        </w:rPr>
        <w:t xml:space="preserve">（17）确保需要向基金投资人提供的各项文件或资料在规定时间发出，并且保证投资人能够按照《基金合同》规定的时间和方式，随时查阅到与基金有关的公开资料，并在支付合理成本的条件下得到有关资料的复印件； </w:t>
      </w:r>
    </w:p>
    <w:p>
      <w:pPr>
        <w:pStyle w:val="8"/>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8"/>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8"/>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8"/>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8"/>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8"/>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（24）基金管理人在募集期间未能达到基金的备案条件，《基金合同》不能生效，基金管理人承担全部募集费用，将已募集资金并加计银行同期活期存款利息在基金募集期结束后30日内退还基金认购人； </w:t>
      </w:r>
    </w:p>
    <w:p>
      <w:pPr>
        <w:pStyle w:val="8"/>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8"/>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8"/>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8"/>
        <w:spacing w:before="0" w:beforeAutospacing="0" w:after="0" w:afterAutospacing="0" w:line="360" w:lineRule="auto"/>
        <w:ind w:firstLine="420"/>
        <w:rPr>
          <w:sz w:val="21"/>
          <w:szCs w:val="21"/>
        </w:rPr>
      </w:pPr>
      <w:r>
        <w:rPr>
          <w:rFonts w:hint="eastAsia"/>
          <w:sz w:val="21"/>
          <w:szCs w:val="21"/>
        </w:rPr>
        <w:t xml:space="preserve">（三）基金托管人的权利与义务 </w:t>
      </w:r>
    </w:p>
    <w:p>
      <w:pPr>
        <w:pStyle w:val="8"/>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8"/>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pPr>
        <w:pStyle w:val="8"/>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pPr>
        <w:pStyle w:val="8"/>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人的利益； </w:t>
      </w:r>
    </w:p>
    <w:p>
      <w:pPr>
        <w:pStyle w:val="8"/>
        <w:spacing w:before="0" w:beforeAutospacing="0" w:after="0" w:afterAutospacing="0" w:line="360" w:lineRule="auto"/>
        <w:ind w:firstLine="420"/>
        <w:rPr>
          <w:sz w:val="21"/>
          <w:szCs w:val="21"/>
        </w:rPr>
      </w:pPr>
      <w:r>
        <w:rPr>
          <w:rFonts w:hint="eastAsia"/>
          <w:sz w:val="21"/>
          <w:szCs w:val="21"/>
        </w:rPr>
        <w:t xml:space="preserve">（4）根据相关市场规则，为基金开设证券/期货账户等投资所需账户、为基金办理证券/期货交易资金清算。 </w:t>
      </w:r>
    </w:p>
    <w:p>
      <w:pPr>
        <w:pStyle w:val="8"/>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pPr>
        <w:pStyle w:val="8"/>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pPr>
        <w:pStyle w:val="8"/>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8"/>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8"/>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8"/>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pPr>
        <w:pStyle w:val="8"/>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8"/>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8"/>
        <w:spacing w:before="0" w:beforeAutospacing="0" w:after="0" w:afterAutospacing="0" w:line="360" w:lineRule="auto"/>
        <w:ind w:firstLine="420"/>
        <w:rPr>
          <w:sz w:val="21"/>
          <w:szCs w:val="21"/>
        </w:rPr>
      </w:pPr>
      <w:r>
        <w:rPr>
          <w:rFonts w:hint="eastAsia"/>
          <w:sz w:val="21"/>
          <w:szCs w:val="21"/>
        </w:rPr>
        <w:t xml:space="preserve">（6）按规定开设基金财产的资金账户和证券/期货账户等投资所需账户,按照《基金合同》的约定，根据基金管理人的投资指令，及时办理清算、交割事宜； </w:t>
      </w:r>
    </w:p>
    <w:p>
      <w:pPr>
        <w:pStyle w:val="8"/>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法律法规或监管机构另有规定或要求外，在基金信息公开披露前予以保密，不得向他人泄露，但向监管机构、司法机关或因审计、法律等外部专业顾问提供服务而向其提供的情况除外； </w:t>
      </w:r>
    </w:p>
    <w:p>
      <w:pPr>
        <w:pStyle w:val="8"/>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（8）复核、审查基金管理人计算的基金资产净值、基金份额净值、基金份额申购、赎回价格； </w:t>
      </w:r>
    </w:p>
    <w:p>
      <w:pPr>
        <w:pStyle w:val="8"/>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8"/>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8"/>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8"/>
        <w:spacing w:before="0" w:beforeAutospacing="0" w:after="0" w:afterAutospacing="0" w:line="360" w:lineRule="auto"/>
        <w:ind w:firstLine="420"/>
        <w:rPr>
          <w:sz w:val="21"/>
          <w:szCs w:val="21"/>
        </w:rPr>
      </w:pPr>
      <w:r>
        <w:rPr>
          <w:rFonts w:hint="eastAsia"/>
          <w:sz w:val="21"/>
          <w:szCs w:val="21"/>
        </w:rPr>
        <w:t xml:space="preserve">（12）保存基金份额持有人名册； </w:t>
      </w:r>
    </w:p>
    <w:p>
      <w:pPr>
        <w:pStyle w:val="8"/>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8"/>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8"/>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（15）依据《基金法》、《基金合同》及其他有关规定，召集基金份额持有人大会或配合基金管理人、基金份额持有人依法召集基金份额持有人大会；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8"/>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8"/>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8"/>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8"/>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pPr>
        <w:pStyle w:val="8"/>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8"/>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8"/>
        <w:spacing w:before="0" w:beforeAutospacing="0" w:after="0" w:afterAutospacing="0" w:line="360" w:lineRule="auto"/>
        <w:ind w:firstLine="420"/>
        <w:rPr>
          <w:sz w:val="21"/>
          <w:szCs w:val="21"/>
        </w:rPr>
      </w:pPr>
      <w:r>
        <w:rPr>
          <w:rStyle w:val="13"/>
          <w:rFonts w:hint="eastAsia"/>
          <w:sz w:val="21"/>
          <w:szCs w:val="21"/>
        </w:rPr>
        <w:t>二、基金份额持有人大会召集、议事及表决的程序和规则</w:t>
      </w:r>
    </w:p>
    <w:p>
      <w:pPr>
        <w:pStyle w:val="8"/>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pPr>
        <w:pStyle w:val="8"/>
        <w:spacing w:before="0" w:beforeAutospacing="0" w:after="0" w:afterAutospacing="0" w:line="360" w:lineRule="auto"/>
        <w:ind w:firstLine="420"/>
        <w:rPr>
          <w:sz w:val="21"/>
          <w:szCs w:val="21"/>
        </w:rPr>
      </w:pPr>
      <w:r>
        <w:rPr>
          <w:rFonts w:hint="eastAsia"/>
          <w:sz w:val="21"/>
          <w:szCs w:val="21"/>
        </w:rPr>
        <w:t xml:space="preserve">本基金份额持有人大会不设日常机构。若将来法律法规对基金份额持有人大会另有规定的，以届时有效的法律法规为准。 </w:t>
      </w:r>
    </w:p>
    <w:p>
      <w:pPr>
        <w:pStyle w:val="8"/>
        <w:spacing w:before="0" w:beforeAutospacing="0" w:after="0" w:afterAutospacing="0" w:line="360" w:lineRule="auto"/>
        <w:ind w:firstLine="420"/>
        <w:rPr>
          <w:sz w:val="21"/>
          <w:szCs w:val="21"/>
        </w:rPr>
      </w:pPr>
      <w:r>
        <w:rPr>
          <w:rFonts w:hint="eastAsia"/>
          <w:sz w:val="21"/>
          <w:szCs w:val="21"/>
        </w:rPr>
        <w:t xml:space="preserve">（一）召开事由 </w:t>
      </w:r>
    </w:p>
    <w:p>
      <w:pPr>
        <w:pStyle w:val="8"/>
        <w:spacing w:before="0" w:beforeAutospacing="0" w:after="0" w:afterAutospacing="0" w:line="360" w:lineRule="auto"/>
        <w:ind w:firstLine="420"/>
        <w:rPr>
          <w:sz w:val="21"/>
          <w:szCs w:val="21"/>
        </w:rPr>
      </w:pPr>
      <w:r>
        <w:rPr>
          <w:rFonts w:hint="eastAsia"/>
          <w:sz w:val="21"/>
          <w:szCs w:val="21"/>
        </w:rPr>
        <w:t xml:space="preserve">1、当出现或需要决定下列事由之一的，应当召开基金份额持有人大会，但法律法规、中国证监会另有规定或基金合同另有约定的除外： </w:t>
      </w:r>
    </w:p>
    <w:p>
      <w:pPr>
        <w:pStyle w:val="8"/>
        <w:spacing w:before="0" w:beforeAutospacing="0" w:after="0" w:afterAutospacing="0" w:line="360" w:lineRule="auto"/>
        <w:ind w:firstLine="420"/>
        <w:rPr>
          <w:sz w:val="21"/>
          <w:szCs w:val="21"/>
        </w:rPr>
      </w:pPr>
      <w:r>
        <w:rPr>
          <w:rFonts w:hint="eastAsia"/>
          <w:sz w:val="21"/>
          <w:szCs w:val="21"/>
        </w:rPr>
        <w:t xml:space="preserve">（1）终止《基金合同》； </w:t>
      </w:r>
    </w:p>
    <w:p>
      <w:pPr>
        <w:pStyle w:val="8"/>
        <w:spacing w:before="0" w:beforeAutospacing="0" w:after="0" w:afterAutospacing="0" w:line="360" w:lineRule="auto"/>
        <w:ind w:firstLine="420"/>
        <w:rPr>
          <w:sz w:val="21"/>
          <w:szCs w:val="21"/>
        </w:rPr>
      </w:pPr>
      <w:r>
        <w:rPr>
          <w:rFonts w:hint="eastAsia"/>
          <w:sz w:val="21"/>
          <w:szCs w:val="21"/>
        </w:rPr>
        <w:t xml:space="preserve">（2）更换基金管理人； </w:t>
      </w:r>
    </w:p>
    <w:p>
      <w:pPr>
        <w:pStyle w:val="8"/>
        <w:spacing w:before="0" w:beforeAutospacing="0" w:after="0" w:afterAutospacing="0" w:line="360" w:lineRule="auto"/>
        <w:ind w:firstLine="420"/>
        <w:rPr>
          <w:sz w:val="21"/>
          <w:szCs w:val="21"/>
        </w:rPr>
      </w:pPr>
      <w:r>
        <w:rPr>
          <w:rFonts w:hint="eastAsia"/>
          <w:sz w:val="21"/>
          <w:szCs w:val="21"/>
        </w:rPr>
        <w:t xml:space="preserve">（3）更换基金托管人； </w:t>
      </w:r>
    </w:p>
    <w:p>
      <w:pPr>
        <w:pStyle w:val="8"/>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8"/>
        <w:spacing w:before="0" w:beforeAutospacing="0" w:after="0" w:afterAutospacing="0" w:line="360" w:lineRule="auto"/>
        <w:ind w:firstLine="420"/>
        <w:rPr>
          <w:sz w:val="21"/>
          <w:szCs w:val="21"/>
        </w:rPr>
      </w:pPr>
      <w:r>
        <w:rPr>
          <w:rFonts w:hint="eastAsia"/>
          <w:sz w:val="21"/>
          <w:szCs w:val="21"/>
        </w:rPr>
        <w:t xml:space="preserve">（5）调整基金管理人、基金托管人的报酬标准或提高销售服务费； </w:t>
      </w:r>
    </w:p>
    <w:p>
      <w:pPr>
        <w:pStyle w:val="8"/>
        <w:spacing w:before="0" w:beforeAutospacing="0" w:after="0" w:afterAutospacing="0" w:line="360" w:lineRule="auto"/>
        <w:ind w:firstLine="420"/>
        <w:rPr>
          <w:sz w:val="21"/>
          <w:szCs w:val="21"/>
        </w:rPr>
      </w:pPr>
      <w:r>
        <w:rPr>
          <w:rFonts w:hint="eastAsia"/>
          <w:sz w:val="21"/>
          <w:szCs w:val="21"/>
        </w:rPr>
        <w:t xml:space="preserve">（6）变更基金类别； </w:t>
      </w:r>
    </w:p>
    <w:p>
      <w:pPr>
        <w:pStyle w:val="8"/>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8"/>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8"/>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8"/>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（11）终止基金上市，但因基金不再具备上市条件而被上海证券交易所终止上市的除外； </w:t>
      </w:r>
    </w:p>
    <w:p>
      <w:pPr>
        <w:pStyle w:val="8"/>
        <w:spacing w:before="0" w:beforeAutospacing="0" w:after="0" w:afterAutospacing="0" w:line="360" w:lineRule="auto"/>
        <w:ind w:firstLine="420"/>
        <w:rPr>
          <w:sz w:val="21"/>
          <w:szCs w:val="21"/>
        </w:rPr>
      </w:pPr>
      <w:r>
        <w:rPr>
          <w:rFonts w:hint="eastAsia"/>
          <w:sz w:val="21"/>
          <w:szCs w:val="21"/>
        </w:rPr>
        <w:t xml:space="preserve">（12）单独或合计持有本基金总份额10%以上（含10%）基金份额的基金份额持有人（以基金管理人收到提议当日的基金份额计算，下同）就同一事项书面要求召开基金份额持有人大会；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（13）对基金合同当事人权利和义务产生重大影响的其他事项； </w:t>
      </w:r>
    </w:p>
    <w:p>
      <w:pPr>
        <w:pStyle w:val="8"/>
        <w:spacing w:before="0" w:beforeAutospacing="0" w:after="0" w:afterAutospacing="0" w:line="360" w:lineRule="auto"/>
        <w:ind w:firstLine="420"/>
        <w:rPr>
          <w:sz w:val="21"/>
          <w:szCs w:val="21"/>
        </w:rPr>
      </w:pPr>
      <w:r>
        <w:rPr>
          <w:rFonts w:hint="eastAsia"/>
          <w:sz w:val="21"/>
          <w:szCs w:val="21"/>
        </w:rPr>
        <w:t xml:space="preserve">（14）法律法规、《基金合同》或中国证监会规定的其他应当召开基金份额持有人大会的事项。 </w:t>
      </w:r>
    </w:p>
    <w:p>
      <w:pPr>
        <w:pStyle w:val="8"/>
        <w:spacing w:before="0" w:beforeAutospacing="0" w:after="0" w:afterAutospacing="0" w:line="360" w:lineRule="auto"/>
        <w:ind w:firstLine="420"/>
        <w:rPr>
          <w:sz w:val="21"/>
          <w:szCs w:val="21"/>
        </w:rPr>
      </w:pPr>
      <w:r>
        <w:rPr>
          <w:rFonts w:hint="eastAsia"/>
          <w:sz w:val="21"/>
          <w:szCs w:val="21"/>
        </w:rPr>
        <w:t xml:space="preserve">2、在法律法规规定和《基金合同》约定的范围内且对基金份额持有人利益无实质性不利影响的前提下，以下情况可由基金管理人和基金托管人协商后修改，不需召开基金份额持有人大会：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（1）法律法规要求增加的基金费用的收取和其他应由基金承担的费用； </w:t>
      </w:r>
    </w:p>
    <w:p>
      <w:pPr>
        <w:pStyle w:val="8"/>
        <w:spacing w:before="0" w:beforeAutospacing="0" w:after="0" w:afterAutospacing="0" w:line="360" w:lineRule="auto"/>
        <w:ind w:firstLine="420"/>
        <w:rPr>
          <w:sz w:val="21"/>
          <w:szCs w:val="21"/>
        </w:rPr>
      </w:pPr>
      <w:r>
        <w:rPr>
          <w:rFonts w:hint="eastAsia"/>
          <w:sz w:val="21"/>
          <w:szCs w:val="21"/>
        </w:rPr>
        <w:t xml:space="preserve">（2）调整本基金的申购费率、调低赎回费率、调低销售服务费或变更收费方式； </w:t>
      </w:r>
    </w:p>
    <w:p>
      <w:pPr>
        <w:pStyle w:val="8"/>
        <w:spacing w:before="0" w:beforeAutospacing="0" w:after="0" w:afterAutospacing="0" w:line="360" w:lineRule="auto"/>
        <w:ind w:firstLine="420"/>
        <w:rPr>
          <w:sz w:val="21"/>
          <w:szCs w:val="21"/>
        </w:rPr>
      </w:pPr>
      <w:r>
        <w:rPr>
          <w:rFonts w:hint="eastAsia"/>
          <w:sz w:val="21"/>
          <w:szCs w:val="21"/>
        </w:rPr>
        <w:t xml:space="preserve">（3）调整有关基金认购、申购、赎回、转换、基金交易、非交易过户、转托管等业务的规则； </w:t>
      </w:r>
    </w:p>
    <w:p>
      <w:pPr>
        <w:pStyle w:val="8"/>
        <w:spacing w:before="0" w:beforeAutospacing="0" w:after="0" w:afterAutospacing="0" w:line="360" w:lineRule="auto"/>
        <w:ind w:firstLine="420"/>
        <w:rPr>
          <w:sz w:val="21"/>
          <w:szCs w:val="21"/>
        </w:rPr>
      </w:pPr>
      <w:r>
        <w:rPr>
          <w:rFonts w:hint="eastAsia"/>
          <w:sz w:val="21"/>
          <w:szCs w:val="21"/>
        </w:rPr>
        <w:t xml:space="preserve">（4）增加、减少或调整基金份额类别设置及对基金份额分类办法、规则进行调整； </w:t>
      </w:r>
    </w:p>
    <w:p>
      <w:pPr>
        <w:pStyle w:val="8"/>
        <w:spacing w:before="0" w:beforeAutospacing="0" w:after="0" w:afterAutospacing="0" w:line="360" w:lineRule="auto"/>
        <w:ind w:firstLine="420"/>
        <w:rPr>
          <w:sz w:val="21"/>
          <w:szCs w:val="21"/>
        </w:rPr>
      </w:pPr>
      <w:r>
        <w:rPr>
          <w:rFonts w:hint="eastAsia"/>
          <w:sz w:val="21"/>
          <w:szCs w:val="21"/>
        </w:rPr>
        <w:t xml:space="preserve">（5）因相应的法律法规发生变动而应当对《基金合同》进行修改； </w:t>
      </w:r>
    </w:p>
    <w:p>
      <w:pPr>
        <w:pStyle w:val="8"/>
        <w:spacing w:before="0" w:beforeAutospacing="0" w:after="0" w:afterAutospacing="0" w:line="360" w:lineRule="auto"/>
        <w:ind w:firstLine="420"/>
        <w:rPr>
          <w:sz w:val="21"/>
          <w:szCs w:val="21"/>
        </w:rPr>
      </w:pPr>
      <w:r>
        <w:rPr>
          <w:rFonts w:hint="eastAsia"/>
          <w:sz w:val="21"/>
          <w:szCs w:val="21"/>
        </w:rPr>
        <w:t xml:space="preserve">（6）因相应的法律法规、上海证券交易所或登记机构的相关业务规则发生变动而应当对《基金合同》进行修改； </w:t>
      </w:r>
    </w:p>
    <w:p>
      <w:pPr>
        <w:pStyle w:val="8"/>
        <w:spacing w:before="0" w:beforeAutospacing="0" w:after="0" w:afterAutospacing="0" w:line="360" w:lineRule="auto"/>
        <w:ind w:firstLine="420"/>
        <w:rPr>
          <w:sz w:val="21"/>
          <w:szCs w:val="21"/>
        </w:rPr>
      </w:pPr>
      <w:r>
        <w:rPr>
          <w:rFonts w:hint="eastAsia"/>
          <w:sz w:val="21"/>
          <w:szCs w:val="21"/>
        </w:rPr>
        <w:t xml:space="preserve">（7）对《基金合同》的修改对基金份额持有人利益无实质性不利影响或修改不涉及《基金合同》当事人权利义务关系发生重大变化； </w:t>
      </w:r>
    </w:p>
    <w:p>
      <w:pPr>
        <w:pStyle w:val="8"/>
        <w:spacing w:before="0" w:beforeAutospacing="0" w:after="0" w:afterAutospacing="0" w:line="360" w:lineRule="auto"/>
        <w:ind w:firstLine="420"/>
        <w:rPr>
          <w:sz w:val="21"/>
          <w:szCs w:val="21"/>
        </w:rPr>
      </w:pPr>
      <w:r>
        <w:rPr>
          <w:rFonts w:hint="eastAsia"/>
          <w:sz w:val="21"/>
          <w:szCs w:val="21"/>
        </w:rPr>
        <w:t xml:space="preserve">（8）履行相关程序后，基金推出新业务或服务； </w:t>
      </w:r>
    </w:p>
    <w:p>
      <w:pPr>
        <w:pStyle w:val="8"/>
        <w:spacing w:before="0" w:beforeAutospacing="0" w:after="0" w:afterAutospacing="0" w:line="360" w:lineRule="auto"/>
        <w:ind w:firstLine="420"/>
        <w:rPr>
          <w:sz w:val="21"/>
          <w:szCs w:val="21"/>
        </w:rPr>
      </w:pPr>
      <w:r>
        <w:rPr>
          <w:rFonts w:hint="eastAsia"/>
          <w:sz w:val="21"/>
          <w:szCs w:val="21"/>
        </w:rPr>
        <w:t xml:space="preserve">（9）按照法律法规和《基金合同》规定不需召开基金份额持有人大会的其他情形。 </w:t>
      </w:r>
    </w:p>
    <w:p>
      <w:pPr>
        <w:pStyle w:val="8"/>
        <w:spacing w:before="0" w:beforeAutospacing="0" w:after="0" w:afterAutospacing="0" w:line="360" w:lineRule="auto"/>
        <w:ind w:firstLine="420"/>
        <w:rPr>
          <w:sz w:val="21"/>
          <w:szCs w:val="21"/>
        </w:rPr>
      </w:pPr>
      <w:r>
        <w:rPr>
          <w:rFonts w:hint="eastAsia"/>
          <w:sz w:val="21"/>
          <w:szCs w:val="21"/>
        </w:rPr>
        <w:t xml:space="preserve">（二）会议召集人及召集方式 </w:t>
      </w:r>
    </w:p>
    <w:p>
      <w:pPr>
        <w:pStyle w:val="8"/>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8"/>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pPr>
        <w:pStyle w:val="8"/>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pPr>
        <w:pStyle w:val="8"/>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pPr>
        <w:pStyle w:val="8"/>
        <w:spacing w:before="0" w:beforeAutospacing="0" w:after="0" w:afterAutospacing="0" w:line="360" w:lineRule="auto"/>
        <w:ind w:firstLine="420"/>
        <w:rPr>
          <w:sz w:val="21"/>
          <w:szCs w:val="21"/>
        </w:rPr>
      </w:pPr>
      <w:r>
        <w:rPr>
          <w:rFonts w:hint="eastAsia"/>
          <w:sz w:val="21"/>
          <w:szCs w:val="21"/>
        </w:rPr>
        <w:t xml:space="preserve">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pPr>
        <w:pStyle w:val="8"/>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pPr>
        <w:pStyle w:val="8"/>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pPr>
        <w:pStyle w:val="8"/>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1、召开基金份额持有人大会，召集人应于会议召开前30日，在指定媒介公告。基金份额持有人大会通知应至少载明以下内容： </w:t>
      </w:r>
    </w:p>
    <w:p>
      <w:pPr>
        <w:pStyle w:val="8"/>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pPr>
        <w:pStyle w:val="8"/>
        <w:spacing w:before="0" w:beforeAutospacing="0" w:after="0" w:afterAutospacing="0" w:line="360" w:lineRule="auto"/>
        <w:ind w:firstLine="420"/>
        <w:rPr>
          <w:sz w:val="21"/>
          <w:szCs w:val="21"/>
        </w:rPr>
      </w:pPr>
      <w:r>
        <w:rPr>
          <w:rFonts w:hint="eastAsia"/>
          <w:sz w:val="21"/>
          <w:szCs w:val="21"/>
        </w:rPr>
        <w:t xml:space="preserve">（2）会议拟审议的事项、议事程序和表决方式； </w:t>
      </w:r>
    </w:p>
    <w:p>
      <w:pPr>
        <w:pStyle w:val="8"/>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8"/>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（4）授权委托证明的内容要求（包括但不限于代理人身份，代理权限和代理有效期限等）、送达时间和地点； </w:t>
      </w:r>
    </w:p>
    <w:p>
      <w:pPr>
        <w:pStyle w:val="8"/>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8"/>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pPr>
        <w:pStyle w:val="8"/>
        <w:spacing w:before="0" w:beforeAutospacing="0" w:after="0" w:afterAutospacing="0" w:line="360" w:lineRule="auto"/>
        <w:ind w:firstLine="420"/>
        <w:rPr>
          <w:sz w:val="21"/>
          <w:szCs w:val="21"/>
        </w:rPr>
      </w:pPr>
      <w:r>
        <w:rPr>
          <w:rFonts w:hint="eastAsia"/>
          <w:sz w:val="21"/>
          <w:szCs w:val="21"/>
        </w:rPr>
        <w:t xml:space="preserve">（7）召集人需要通知的其他事项。 </w:t>
      </w:r>
    </w:p>
    <w:p>
      <w:pPr>
        <w:pStyle w:val="8"/>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pPr>
        <w:pStyle w:val="8"/>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pPr>
        <w:pStyle w:val="8"/>
        <w:spacing w:before="0" w:beforeAutospacing="0" w:after="0" w:afterAutospacing="0" w:line="360" w:lineRule="auto"/>
        <w:ind w:firstLine="420"/>
        <w:rPr>
          <w:sz w:val="21"/>
          <w:szCs w:val="21"/>
        </w:rPr>
      </w:pPr>
      <w:r>
        <w:rPr>
          <w:rFonts w:hint="eastAsia"/>
          <w:sz w:val="21"/>
          <w:szCs w:val="21"/>
        </w:rPr>
        <w:t xml:space="preserve">（四）基金份额持有人出席会议的方式 </w:t>
      </w:r>
    </w:p>
    <w:p>
      <w:pPr>
        <w:pStyle w:val="8"/>
        <w:spacing w:before="0" w:beforeAutospacing="0" w:after="0" w:afterAutospacing="0" w:line="360" w:lineRule="auto"/>
        <w:ind w:firstLine="420"/>
        <w:rPr>
          <w:sz w:val="21"/>
          <w:szCs w:val="21"/>
        </w:rPr>
      </w:pPr>
      <w:r>
        <w:rPr>
          <w:rFonts w:hint="eastAsia"/>
          <w:sz w:val="21"/>
          <w:szCs w:val="21"/>
        </w:rPr>
        <w:t xml:space="preserve">基金份额持有人大会可通过现场开会方式、通讯开会方式或法律法规和监管机关允许的其他方式召开，会议的召开方式由会议召集人确定。 </w:t>
      </w:r>
    </w:p>
    <w:p>
      <w:pPr>
        <w:pStyle w:val="8"/>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pPr>
        <w:pStyle w:val="8"/>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pPr>
        <w:pStyle w:val="8"/>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pPr>
        <w:pStyle w:val="8"/>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方式或大会公告载明的其他方式在表决截止日以前送达至召集人指定的地址。通讯开会应以书面方式或大会公告载明的其他方式进行表决。 </w:t>
      </w:r>
    </w:p>
    <w:p>
      <w:pPr>
        <w:pStyle w:val="8"/>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8"/>
        <w:spacing w:before="0" w:beforeAutospacing="0" w:after="0" w:afterAutospacing="0" w:line="360" w:lineRule="auto"/>
        <w:ind w:firstLine="420"/>
        <w:rPr>
          <w:sz w:val="21"/>
          <w:szCs w:val="21"/>
        </w:rPr>
      </w:pPr>
      <w:r>
        <w:rPr>
          <w:rFonts w:hint="eastAsia"/>
          <w:sz w:val="21"/>
          <w:szCs w:val="21"/>
        </w:rPr>
        <w:t xml:space="preserve">（1）会议召集人按《基金合同》约定公布会议通知后，在2个工作日内连续公布相关提示性公告； </w:t>
      </w:r>
    </w:p>
    <w:p>
      <w:pPr>
        <w:pStyle w:val="8"/>
        <w:spacing w:before="0" w:beforeAutospacing="0" w:after="0" w:afterAutospacing="0" w:line="360" w:lineRule="auto"/>
        <w:ind w:firstLine="420"/>
        <w:rPr>
          <w:sz w:val="21"/>
          <w:szCs w:val="21"/>
        </w:rPr>
      </w:pPr>
      <w:r>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pPr>
        <w:pStyle w:val="8"/>
        <w:spacing w:before="0" w:beforeAutospacing="0" w:after="0" w:afterAutospacing="0" w:line="360" w:lineRule="auto"/>
        <w:ind w:firstLine="420"/>
        <w:rPr>
          <w:sz w:val="21"/>
          <w:szCs w:val="21"/>
        </w:rPr>
      </w:pPr>
      <w:r>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pPr>
        <w:pStyle w:val="8"/>
        <w:spacing w:before="0" w:beforeAutospacing="0" w:after="0" w:afterAutospacing="0" w:line="360" w:lineRule="auto"/>
        <w:ind w:firstLine="420"/>
        <w:rPr>
          <w:sz w:val="21"/>
          <w:szCs w:val="21"/>
        </w:rPr>
      </w:pPr>
      <w:r>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pPr>
        <w:pStyle w:val="8"/>
        <w:spacing w:before="0" w:beforeAutospacing="0" w:after="0" w:afterAutospacing="0" w:line="360" w:lineRule="auto"/>
        <w:ind w:firstLine="420"/>
        <w:rPr>
          <w:sz w:val="21"/>
          <w:szCs w:val="21"/>
        </w:rPr>
      </w:pPr>
      <w:r>
        <w:rPr>
          <w:rFonts w:hint="eastAsia"/>
          <w:sz w:val="21"/>
          <w:szCs w:val="21"/>
        </w:rPr>
        <w:t xml:space="preserve">3、在不与法律法规冲突的前提下，基金份额持有人大会可通过网络、电话或其他方式召开，基金份额持有人可以采用书面、网络、电话、短信或其他方式进行表决，具体方式由会议召集人确定并在会议通知中列明。 </w:t>
      </w:r>
    </w:p>
    <w:p>
      <w:pPr>
        <w:pStyle w:val="8"/>
        <w:spacing w:before="0" w:beforeAutospacing="0" w:after="0" w:afterAutospacing="0" w:line="360" w:lineRule="auto"/>
        <w:ind w:firstLine="420"/>
        <w:rPr>
          <w:sz w:val="21"/>
          <w:szCs w:val="21"/>
        </w:rPr>
      </w:pPr>
      <w:r>
        <w:rPr>
          <w:rFonts w:hint="eastAsia"/>
          <w:sz w:val="21"/>
          <w:szCs w:val="21"/>
        </w:rPr>
        <w:t xml:space="preserve">4、在不与法律法规冲突的前提下，基金份额持有人授权他人代为出席会议并表决的，授权方式可以采用书面、网络、电话、短信或其他方式，具体方式在会议通知中列明。 </w:t>
      </w:r>
    </w:p>
    <w:p>
      <w:pPr>
        <w:pStyle w:val="8"/>
        <w:spacing w:before="0" w:beforeAutospacing="0" w:after="0" w:afterAutospacing="0" w:line="360" w:lineRule="auto"/>
        <w:ind w:firstLine="420"/>
        <w:rPr>
          <w:sz w:val="21"/>
          <w:szCs w:val="21"/>
        </w:rPr>
      </w:pPr>
      <w:r>
        <w:rPr>
          <w:rFonts w:hint="eastAsia"/>
          <w:sz w:val="21"/>
          <w:szCs w:val="21"/>
        </w:rPr>
        <w:t xml:space="preserve">（五）议事内容与程序 </w:t>
      </w:r>
    </w:p>
    <w:p>
      <w:pPr>
        <w:pStyle w:val="8"/>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8"/>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8"/>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pPr>
        <w:pStyle w:val="8"/>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8"/>
        <w:spacing w:before="0" w:beforeAutospacing="0" w:after="0" w:afterAutospacing="0" w:line="360" w:lineRule="auto"/>
        <w:ind w:firstLine="420"/>
        <w:rPr>
          <w:sz w:val="21"/>
          <w:szCs w:val="21"/>
        </w:rPr>
      </w:pPr>
      <w:r>
        <w:rPr>
          <w:rFonts w:hint="eastAsia"/>
          <w:sz w:val="21"/>
          <w:szCs w:val="21"/>
        </w:rPr>
        <w:t xml:space="preserve">2、议事程序 </w:t>
      </w:r>
    </w:p>
    <w:p>
      <w:pPr>
        <w:pStyle w:val="8"/>
        <w:spacing w:before="0" w:beforeAutospacing="0" w:after="0" w:afterAutospacing="0" w:line="360" w:lineRule="auto"/>
        <w:ind w:firstLine="420"/>
        <w:rPr>
          <w:sz w:val="21"/>
          <w:szCs w:val="21"/>
        </w:rPr>
      </w:pPr>
      <w:r>
        <w:rPr>
          <w:rFonts w:hint="eastAsia"/>
          <w:sz w:val="21"/>
          <w:szCs w:val="21"/>
        </w:rPr>
        <w:t xml:space="preserve">（1）现场开会 </w:t>
      </w:r>
    </w:p>
    <w:p>
      <w:pPr>
        <w:pStyle w:val="8"/>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pPr>
        <w:pStyle w:val="8"/>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pPr>
        <w:pStyle w:val="8"/>
        <w:spacing w:before="0" w:beforeAutospacing="0" w:after="0" w:afterAutospacing="0" w:line="360" w:lineRule="auto"/>
        <w:ind w:firstLine="420"/>
        <w:rPr>
          <w:sz w:val="21"/>
          <w:szCs w:val="21"/>
        </w:rPr>
      </w:pPr>
      <w:r>
        <w:rPr>
          <w:rFonts w:hint="eastAsia"/>
          <w:sz w:val="21"/>
          <w:szCs w:val="21"/>
        </w:rPr>
        <w:t xml:space="preserve">（2）通讯开会 </w:t>
      </w:r>
    </w:p>
    <w:p>
      <w:pPr>
        <w:pStyle w:val="8"/>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pPr>
        <w:pStyle w:val="8"/>
        <w:spacing w:before="0" w:beforeAutospacing="0" w:after="0" w:afterAutospacing="0" w:line="360" w:lineRule="auto"/>
        <w:ind w:firstLine="420"/>
        <w:rPr>
          <w:sz w:val="21"/>
          <w:szCs w:val="21"/>
        </w:rPr>
      </w:pPr>
      <w:r>
        <w:rPr>
          <w:rFonts w:hint="eastAsia"/>
          <w:sz w:val="21"/>
          <w:szCs w:val="21"/>
        </w:rPr>
        <w:t xml:space="preserve">（六）表决 </w:t>
      </w:r>
    </w:p>
    <w:p>
      <w:pPr>
        <w:pStyle w:val="8"/>
        <w:spacing w:before="0" w:beforeAutospacing="0" w:after="0" w:afterAutospacing="0" w:line="360" w:lineRule="auto"/>
        <w:ind w:firstLine="420"/>
        <w:rPr>
          <w:sz w:val="21"/>
          <w:szCs w:val="21"/>
        </w:rPr>
      </w:pPr>
      <w:r>
        <w:rPr>
          <w:rFonts w:hint="eastAsia"/>
          <w:sz w:val="21"/>
          <w:szCs w:val="21"/>
        </w:rPr>
        <w:t xml:space="preserve">基金份额持有人所持每份基金份额有同等表决权。 </w:t>
      </w:r>
    </w:p>
    <w:p>
      <w:pPr>
        <w:pStyle w:val="8"/>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8"/>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pPr>
        <w:pStyle w:val="8"/>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除法律法规、监管机构另有规定或基金合同另有约定外，转换基金运作方式、本基金与其他基金合并、更换基金管理人或者基金托管人、终止《基金合同》以特别决议通过方为有效。 </w:t>
      </w:r>
    </w:p>
    <w:p>
      <w:pPr>
        <w:pStyle w:val="8"/>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8"/>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 </w:t>
      </w:r>
    </w:p>
    <w:p>
      <w:pPr>
        <w:pStyle w:val="8"/>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8"/>
        <w:spacing w:before="0" w:beforeAutospacing="0" w:after="0" w:afterAutospacing="0" w:line="360" w:lineRule="auto"/>
        <w:ind w:firstLine="420"/>
        <w:rPr>
          <w:sz w:val="21"/>
          <w:szCs w:val="21"/>
        </w:rPr>
      </w:pPr>
      <w:r>
        <w:rPr>
          <w:rFonts w:hint="eastAsia"/>
          <w:sz w:val="21"/>
          <w:szCs w:val="21"/>
        </w:rPr>
        <w:t xml:space="preserve">（七）计票 </w:t>
      </w:r>
    </w:p>
    <w:p>
      <w:pPr>
        <w:pStyle w:val="8"/>
        <w:spacing w:before="0" w:beforeAutospacing="0" w:after="0" w:afterAutospacing="0" w:line="360" w:lineRule="auto"/>
        <w:ind w:firstLine="420"/>
        <w:rPr>
          <w:sz w:val="21"/>
          <w:szCs w:val="21"/>
        </w:rPr>
      </w:pPr>
      <w:r>
        <w:rPr>
          <w:rFonts w:hint="eastAsia"/>
          <w:sz w:val="21"/>
          <w:szCs w:val="21"/>
        </w:rPr>
        <w:t xml:space="preserve">1、现场开会 </w:t>
      </w:r>
    </w:p>
    <w:p>
      <w:pPr>
        <w:pStyle w:val="8"/>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pPr>
        <w:pStyle w:val="8"/>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8"/>
        <w:spacing w:before="0" w:beforeAutospacing="0" w:after="0" w:afterAutospacing="0" w:line="360" w:lineRule="auto"/>
        <w:ind w:firstLine="420"/>
        <w:rPr>
          <w:sz w:val="21"/>
          <w:szCs w:val="21"/>
        </w:rPr>
      </w:pPr>
      <w:r>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pPr>
        <w:pStyle w:val="8"/>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pPr>
        <w:pStyle w:val="8"/>
        <w:spacing w:before="0" w:beforeAutospacing="0" w:after="0" w:afterAutospacing="0" w:line="360" w:lineRule="auto"/>
        <w:ind w:firstLine="420"/>
        <w:rPr>
          <w:sz w:val="21"/>
          <w:szCs w:val="21"/>
        </w:rPr>
      </w:pPr>
      <w:r>
        <w:rPr>
          <w:rFonts w:hint="eastAsia"/>
          <w:sz w:val="21"/>
          <w:szCs w:val="21"/>
        </w:rPr>
        <w:t xml:space="preserve">2、通讯开会 </w:t>
      </w:r>
    </w:p>
    <w:p>
      <w:pPr>
        <w:pStyle w:val="8"/>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pPr>
        <w:pStyle w:val="8"/>
        <w:spacing w:before="0" w:beforeAutospacing="0" w:after="0" w:afterAutospacing="0" w:line="360" w:lineRule="auto"/>
        <w:ind w:firstLine="420"/>
        <w:rPr>
          <w:sz w:val="21"/>
          <w:szCs w:val="21"/>
        </w:rPr>
      </w:pPr>
      <w:r>
        <w:rPr>
          <w:rFonts w:hint="eastAsia"/>
          <w:sz w:val="21"/>
          <w:szCs w:val="21"/>
        </w:rPr>
        <w:t xml:space="preserve">（八）生效与公告 </w:t>
      </w:r>
    </w:p>
    <w:p>
      <w:pPr>
        <w:pStyle w:val="8"/>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基金份额持有人大会的决议，召集人应当自通过之日起5日内报中国证监会备案。 </w:t>
      </w:r>
    </w:p>
    <w:p>
      <w:pPr>
        <w:pStyle w:val="8"/>
        <w:spacing w:before="0" w:beforeAutospacing="0" w:after="0" w:afterAutospacing="0" w:line="360" w:lineRule="auto"/>
        <w:ind w:firstLine="420"/>
        <w:rPr>
          <w:sz w:val="21"/>
          <w:szCs w:val="21"/>
        </w:rPr>
      </w:pPr>
      <w:r>
        <w:rPr>
          <w:rFonts w:hint="eastAsia"/>
          <w:sz w:val="21"/>
          <w:szCs w:val="21"/>
        </w:rPr>
        <w:t xml:space="preserve">基金份额持有人大会的决议自表决通过之日起生效。 </w:t>
      </w:r>
    </w:p>
    <w:p>
      <w:pPr>
        <w:pStyle w:val="8"/>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pPr>
        <w:pStyle w:val="8"/>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pPr>
        <w:pStyle w:val="8"/>
        <w:spacing w:before="0" w:beforeAutospacing="0" w:after="0" w:afterAutospacing="0" w:line="360" w:lineRule="auto"/>
        <w:ind w:firstLine="420"/>
        <w:rPr>
          <w:sz w:val="21"/>
          <w:szCs w:val="21"/>
        </w:rPr>
      </w:pPr>
      <w:r>
        <w:rPr>
          <w:rFonts w:hint="eastAsia"/>
          <w:sz w:val="21"/>
          <w:szCs w:val="21"/>
        </w:rPr>
        <w:t xml:space="preserve">（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 </w:t>
      </w:r>
    </w:p>
    <w:p>
      <w:pPr>
        <w:pStyle w:val="8"/>
        <w:spacing w:before="0" w:beforeAutospacing="0" w:after="0" w:afterAutospacing="0" w:line="360" w:lineRule="auto"/>
        <w:ind w:firstLine="420"/>
        <w:rPr>
          <w:sz w:val="21"/>
          <w:szCs w:val="21"/>
        </w:rPr>
      </w:pPr>
      <w:r>
        <w:rPr>
          <w:rStyle w:val="13"/>
          <w:rFonts w:hint="eastAsia"/>
          <w:sz w:val="21"/>
          <w:szCs w:val="21"/>
        </w:rPr>
        <w:t>三、基金收益分配原则、执行方式 </w:t>
      </w:r>
    </w:p>
    <w:p>
      <w:pPr>
        <w:pStyle w:val="8"/>
        <w:spacing w:before="0" w:beforeAutospacing="0" w:after="0" w:afterAutospacing="0" w:line="360" w:lineRule="auto"/>
        <w:ind w:firstLine="420"/>
        <w:rPr>
          <w:sz w:val="21"/>
          <w:szCs w:val="21"/>
        </w:rPr>
      </w:pPr>
      <w:r>
        <w:rPr>
          <w:rFonts w:hint="eastAsia"/>
          <w:sz w:val="21"/>
          <w:szCs w:val="21"/>
        </w:rPr>
        <w:t xml:space="preserve">（一）基金利润的构成 </w:t>
      </w:r>
    </w:p>
    <w:p>
      <w:pPr>
        <w:pStyle w:val="8"/>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8"/>
        <w:spacing w:before="0" w:beforeAutospacing="0" w:after="0" w:afterAutospacing="0" w:line="360" w:lineRule="auto"/>
        <w:ind w:firstLine="420"/>
        <w:rPr>
          <w:sz w:val="21"/>
          <w:szCs w:val="21"/>
        </w:rPr>
      </w:pPr>
      <w:r>
        <w:rPr>
          <w:rFonts w:hint="eastAsia"/>
          <w:sz w:val="21"/>
          <w:szCs w:val="21"/>
        </w:rPr>
        <w:t xml:space="preserve">（二）基金可供分配利润 </w:t>
      </w:r>
    </w:p>
    <w:p>
      <w:pPr>
        <w:pStyle w:val="8"/>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8"/>
        <w:spacing w:before="0" w:beforeAutospacing="0" w:after="0" w:afterAutospacing="0" w:line="360" w:lineRule="auto"/>
        <w:ind w:firstLine="420"/>
        <w:rPr>
          <w:sz w:val="21"/>
          <w:szCs w:val="21"/>
        </w:rPr>
      </w:pPr>
      <w:r>
        <w:rPr>
          <w:rFonts w:hint="eastAsia"/>
          <w:sz w:val="21"/>
          <w:szCs w:val="21"/>
        </w:rPr>
        <w:t xml:space="preserve">（三）基金收益分配原则 </w:t>
      </w:r>
    </w:p>
    <w:p>
      <w:pPr>
        <w:pStyle w:val="8"/>
        <w:spacing w:before="0" w:beforeAutospacing="0" w:after="0" w:afterAutospacing="0" w:line="360" w:lineRule="auto"/>
        <w:ind w:firstLine="420"/>
        <w:rPr>
          <w:sz w:val="21"/>
          <w:szCs w:val="21"/>
        </w:rPr>
      </w:pPr>
      <w:r>
        <w:rPr>
          <w:rFonts w:hint="eastAsia"/>
          <w:sz w:val="21"/>
          <w:szCs w:val="21"/>
        </w:rPr>
        <w:t xml:space="preserve">1、本基金收益分配方式分两种：现金分红与红利再投资，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 </w:t>
      </w:r>
    </w:p>
    <w:p>
      <w:pPr>
        <w:pStyle w:val="8"/>
        <w:spacing w:before="0" w:beforeAutospacing="0" w:after="0" w:afterAutospacing="0" w:line="360" w:lineRule="auto"/>
        <w:ind w:firstLine="420"/>
        <w:rPr>
          <w:sz w:val="21"/>
          <w:szCs w:val="21"/>
        </w:rPr>
      </w:pPr>
      <w:r>
        <w:rPr>
          <w:rFonts w:hint="eastAsia"/>
          <w:sz w:val="21"/>
          <w:szCs w:val="21"/>
        </w:rPr>
        <w:t xml:space="preserve">2、基金收益分配后基金份额净值不能低于面值，即基金收益分配基准日的基金份额净值减去每单位基金份额收益分配金额后不能低于面值； </w:t>
      </w:r>
    </w:p>
    <w:p>
      <w:pPr>
        <w:pStyle w:val="8"/>
        <w:spacing w:before="0" w:beforeAutospacing="0" w:after="0" w:afterAutospacing="0" w:line="360" w:lineRule="auto"/>
        <w:ind w:firstLine="420"/>
        <w:rPr>
          <w:sz w:val="21"/>
          <w:szCs w:val="21"/>
        </w:rPr>
      </w:pPr>
      <w:r>
        <w:rPr>
          <w:rFonts w:hint="eastAsia"/>
          <w:sz w:val="21"/>
          <w:szCs w:val="21"/>
        </w:rPr>
        <w:t xml:space="preserve">3、由于本基金A类基金份额不收取销售服务费，而C类基金份额收取销售服务费，各基金份额类别对应的可供分配利润将有所不同，本基金同一类别的每一基金份额享有同等分配权； </w:t>
      </w:r>
    </w:p>
    <w:p>
      <w:pPr>
        <w:pStyle w:val="8"/>
        <w:spacing w:before="0" w:beforeAutospacing="0" w:after="0" w:afterAutospacing="0" w:line="360" w:lineRule="auto"/>
        <w:ind w:firstLine="420"/>
        <w:rPr>
          <w:sz w:val="21"/>
          <w:szCs w:val="21"/>
        </w:rPr>
      </w:pPr>
      <w:r>
        <w:rPr>
          <w:rFonts w:hint="eastAsia"/>
          <w:sz w:val="21"/>
          <w:szCs w:val="21"/>
        </w:rPr>
        <w:t xml:space="preserve">4、法律法规或监管机关另有规定的，从其规定。 </w:t>
      </w:r>
    </w:p>
    <w:p>
      <w:pPr>
        <w:pStyle w:val="8"/>
        <w:spacing w:before="0" w:beforeAutospacing="0" w:after="0" w:afterAutospacing="0" w:line="360" w:lineRule="auto"/>
        <w:ind w:firstLine="420"/>
        <w:rPr>
          <w:sz w:val="21"/>
          <w:szCs w:val="21"/>
        </w:rPr>
      </w:pPr>
      <w:r>
        <w:rPr>
          <w:rFonts w:hint="eastAsia"/>
          <w:sz w:val="21"/>
          <w:szCs w:val="21"/>
        </w:rPr>
        <w:t xml:space="preserve">在不违反法律法规、基金合同的约定以及对基金份额持有人利益无实质不利影响的前提下，基金管理人可在与基金托管人协商一致，并按照监管部门要求履行适当程序后对基金收益分配原则和支付方式进行调整，不需召开基金份额持有人大会，但应于变更实施日在指定媒介公告。 </w:t>
      </w:r>
    </w:p>
    <w:p>
      <w:pPr>
        <w:pStyle w:val="8"/>
        <w:spacing w:before="0" w:beforeAutospacing="0" w:after="0" w:afterAutospacing="0" w:line="360" w:lineRule="auto"/>
        <w:ind w:firstLine="420"/>
        <w:rPr>
          <w:sz w:val="21"/>
          <w:szCs w:val="21"/>
        </w:rPr>
      </w:pPr>
      <w:r>
        <w:rPr>
          <w:rFonts w:hint="eastAsia"/>
          <w:sz w:val="21"/>
          <w:szCs w:val="21"/>
        </w:rPr>
        <w:t xml:space="preserve">（四）收益分配方案 </w:t>
      </w:r>
    </w:p>
    <w:p>
      <w:pPr>
        <w:pStyle w:val="8"/>
        <w:spacing w:before="0" w:beforeAutospacing="0" w:after="0" w:afterAutospacing="0" w:line="360" w:lineRule="auto"/>
        <w:ind w:firstLine="420"/>
        <w:rPr>
          <w:sz w:val="21"/>
          <w:szCs w:val="21"/>
        </w:rPr>
      </w:pPr>
      <w:r>
        <w:rPr>
          <w:rFonts w:hint="eastAsia"/>
          <w:sz w:val="21"/>
          <w:szCs w:val="21"/>
        </w:rPr>
        <w:t xml:space="preserve">基金收益分配方案中应载明截止收益分配基准日的可供分配利润、基金收益分配对象、分配时间、分配数额及比例、分配方式等内容。 </w:t>
      </w:r>
    </w:p>
    <w:p>
      <w:pPr>
        <w:pStyle w:val="8"/>
        <w:spacing w:before="0" w:beforeAutospacing="0" w:after="0" w:afterAutospacing="0" w:line="360" w:lineRule="auto"/>
        <w:ind w:firstLine="420"/>
        <w:rPr>
          <w:sz w:val="21"/>
          <w:szCs w:val="21"/>
        </w:rPr>
      </w:pPr>
      <w:r>
        <w:rPr>
          <w:rFonts w:hint="eastAsia"/>
          <w:sz w:val="21"/>
          <w:szCs w:val="21"/>
        </w:rPr>
        <w:t xml:space="preserve">（五）收益分配方案的确定、公告与实施 </w:t>
      </w:r>
    </w:p>
    <w:p>
      <w:pPr>
        <w:pStyle w:val="8"/>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本基金收益分配方案由基金管理人拟定，并由基金托管人复核，按规定在指定媒介公告。 </w:t>
      </w:r>
    </w:p>
    <w:p>
      <w:pPr>
        <w:pStyle w:val="8"/>
        <w:spacing w:before="0" w:beforeAutospacing="0" w:after="0" w:afterAutospacing="0" w:line="360" w:lineRule="auto"/>
        <w:ind w:firstLine="420"/>
        <w:rPr>
          <w:sz w:val="21"/>
          <w:szCs w:val="21"/>
        </w:rPr>
      </w:pPr>
      <w:r>
        <w:rPr>
          <w:rFonts w:hint="eastAsia"/>
          <w:sz w:val="21"/>
          <w:szCs w:val="21"/>
        </w:rPr>
        <w:t xml:space="preserve">（六）基金收益分配中发生的费用 </w:t>
      </w:r>
    </w:p>
    <w:p>
      <w:pPr>
        <w:pStyle w:val="8"/>
        <w:spacing w:before="0" w:beforeAutospacing="0" w:after="0" w:afterAutospacing="0" w:line="360" w:lineRule="auto"/>
        <w:ind w:firstLine="420"/>
        <w:rPr>
          <w:sz w:val="21"/>
          <w:szCs w:val="21"/>
        </w:rPr>
      </w:pPr>
      <w:r>
        <w:rPr>
          <w:rFonts w:hint="eastAsia"/>
          <w:sz w:val="21"/>
          <w:szCs w:val="21"/>
        </w:rPr>
        <w:t xml:space="preserve">基金收益分配时所发生的银行转账或其他手续费用由投资人自行承担。当投资者的现金红利小于一定金额，不足以支付银行转账或其他手续费用时，基金登记机构可将基金份额持有人的现金红利自动转为相应类别的基金份额。红利再投资的计算方法，依照《业务规则》执行。对于场内份额，遵循上海证券交易所及中国证券登记结算有限责任公司的相关规定。 </w:t>
      </w:r>
    </w:p>
    <w:p>
      <w:pPr>
        <w:pStyle w:val="8"/>
        <w:spacing w:before="0" w:beforeAutospacing="0" w:after="0" w:afterAutospacing="0" w:line="360" w:lineRule="auto"/>
        <w:ind w:firstLine="420"/>
        <w:rPr>
          <w:sz w:val="21"/>
          <w:szCs w:val="21"/>
        </w:rPr>
      </w:pPr>
      <w:r>
        <w:rPr>
          <w:rStyle w:val="13"/>
          <w:rFonts w:hint="eastAsia"/>
          <w:sz w:val="21"/>
          <w:szCs w:val="21"/>
        </w:rPr>
        <w:t>四、基金费用与税收 </w:t>
      </w:r>
    </w:p>
    <w:p>
      <w:pPr>
        <w:pStyle w:val="8"/>
        <w:spacing w:before="0" w:beforeAutospacing="0" w:after="0" w:afterAutospacing="0" w:line="360" w:lineRule="auto"/>
        <w:ind w:firstLine="420"/>
        <w:rPr>
          <w:sz w:val="21"/>
          <w:szCs w:val="21"/>
        </w:rPr>
      </w:pPr>
      <w:r>
        <w:rPr>
          <w:rFonts w:hint="eastAsia"/>
          <w:sz w:val="21"/>
          <w:szCs w:val="21"/>
        </w:rPr>
        <w:t xml:space="preserve">（一）基金费用的种类 </w:t>
      </w:r>
    </w:p>
    <w:p>
      <w:pPr>
        <w:pStyle w:val="8"/>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8"/>
        <w:spacing w:before="0" w:beforeAutospacing="0" w:after="0" w:afterAutospacing="0" w:line="360" w:lineRule="auto"/>
        <w:ind w:firstLine="420"/>
        <w:rPr>
          <w:sz w:val="21"/>
          <w:szCs w:val="21"/>
        </w:rPr>
      </w:pPr>
      <w:r>
        <w:rPr>
          <w:rFonts w:hint="eastAsia"/>
          <w:sz w:val="21"/>
          <w:szCs w:val="21"/>
        </w:rPr>
        <w:t>2、基金托管人的托管费；</w:t>
      </w:r>
    </w:p>
    <w:p>
      <w:pPr>
        <w:pStyle w:val="8"/>
        <w:spacing w:before="0" w:beforeAutospacing="0" w:after="0" w:afterAutospacing="0" w:line="360" w:lineRule="auto"/>
        <w:ind w:firstLine="420"/>
        <w:rPr>
          <w:sz w:val="21"/>
          <w:szCs w:val="21"/>
        </w:rPr>
      </w:pPr>
      <w:r>
        <w:rPr>
          <w:rFonts w:hint="eastAsia"/>
          <w:sz w:val="21"/>
          <w:szCs w:val="21"/>
        </w:rPr>
        <w:t xml:space="preserve">3、C类基金份额的销售服务费； </w:t>
      </w:r>
    </w:p>
    <w:p>
      <w:pPr>
        <w:pStyle w:val="8"/>
        <w:spacing w:before="0" w:beforeAutospacing="0" w:after="0" w:afterAutospacing="0" w:line="360" w:lineRule="auto"/>
        <w:ind w:firstLine="420"/>
        <w:rPr>
          <w:sz w:val="21"/>
          <w:szCs w:val="21"/>
        </w:rPr>
      </w:pPr>
      <w:r>
        <w:rPr>
          <w:rFonts w:hint="eastAsia"/>
          <w:sz w:val="21"/>
          <w:szCs w:val="21"/>
        </w:rPr>
        <w:t xml:space="preserve">4、基金上市费用及年费； </w:t>
      </w:r>
    </w:p>
    <w:p>
      <w:pPr>
        <w:pStyle w:val="8"/>
        <w:spacing w:before="0" w:beforeAutospacing="0" w:after="0" w:afterAutospacing="0" w:line="360" w:lineRule="auto"/>
        <w:ind w:firstLine="420"/>
        <w:rPr>
          <w:sz w:val="21"/>
          <w:szCs w:val="21"/>
        </w:rPr>
      </w:pPr>
      <w:r>
        <w:rPr>
          <w:rFonts w:hint="eastAsia"/>
          <w:sz w:val="21"/>
          <w:szCs w:val="21"/>
        </w:rPr>
        <w:t xml:space="preserve">5、《基金合同》生效后与基金相关的信息披露费用，法律法规、中国证监会另有规定的除外； </w:t>
      </w:r>
    </w:p>
    <w:p>
      <w:pPr>
        <w:pStyle w:val="8"/>
        <w:spacing w:before="0" w:beforeAutospacing="0" w:after="0" w:afterAutospacing="0" w:line="360" w:lineRule="auto"/>
        <w:ind w:firstLine="420"/>
        <w:rPr>
          <w:sz w:val="21"/>
          <w:szCs w:val="21"/>
        </w:rPr>
      </w:pPr>
      <w:r>
        <w:rPr>
          <w:rFonts w:hint="eastAsia"/>
          <w:sz w:val="21"/>
          <w:szCs w:val="21"/>
        </w:rPr>
        <w:t xml:space="preserve">6、《基金合同》生效后与基金相关的会计师费、律师费、审计费、诉讼费和仲裁费； </w:t>
      </w:r>
    </w:p>
    <w:p>
      <w:pPr>
        <w:pStyle w:val="8"/>
        <w:spacing w:before="0" w:beforeAutospacing="0" w:after="0" w:afterAutospacing="0" w:line="360" w:lineRule="auto"/>
        <w:ind w:firstLine="420"/>
        <w:rPr>
          <w:sz w:val="21"/>
          <w:szCs w:val="21"/>
        </w:rPr>
      </w:pPr>
      <w:r>
        <w:rPr>
          <w:rFonts w:hint="eastAsia"/>
          <w:sz w:val="21"/>
          <w:szCs w:val="21"/>
        </w:rPr>
        <w:t xml:space="preserve">7、基金份额持有人大会费用； </w:t>
      </w:r>
    </w:p>
    <w:p>
      <w:pPr>
        <w:pStyle w:val="8"/>
        <w:spacing w:before="0" w:beforeAutospacing="0" w:after="0" w:afterAutospacing="0" w:line="360" w:lineRule="auto"/>
        <w:ind w:firstLine="420"/>
        <w:rPr>
          <w:sz w:val="21"/>
          <w:szCs w:val="21"/>
        </w:rPr>
      </w:pPr>
      <w:r>
        <w:rPr>
          <w:rFonts w:hint="eastAsia"/>
          <w:sz w:val="21"/>
          <w:szCs w:val="21"/>
        </w:rPr>
        <w:t xml:space="preserve">8、基金的证券/期货交易费用； </w:t>
      </w:r>
    </w:p>
    <w:p>
      <w:pPr>
        <w:pStyle w:val="8"/>
        <w:spacing w:before="0" w:beforeAutospacing="0" w:after="0" w:afterAutospacing="0" w:line="360" w:lineRule="auto"/>
        <w:ind w:firstLine="420"/>
        <w:rPr>
          <w:sz w:val="21"/>
          <w:szCs w:val="21"/>
        </w:rPr>
      </w:pPr>
      <w:r>
        <w:rPr>
          <w:rFonts w:hint="eastAsia"/>
          <w:sz w:val="21"/>
          <w:szCs w:val="21"/>
        </w:rPr>
        <w:t xml:space="preserve">9、基金的银行汇划费用； </w:t>
      </w:r>
    </w:p>
    <w:p>
      <w:pPr>
        <w:pStyle w:val="8"/>
        <w:spacing w:before="0" w:beforeAutospacing="0" w:after="0" w:afterAutospacing="0" w:line="360" w:lineRule="auto"/>
        <w:ind w:firstLine="420"/>
        <w:rPr>
          <w:sz w:val="21"/>
          <w:szCs w:val="21"/>
        </w:rPr>
      </w:pPr>
      <w:r>
        <w:rPr>
          <w:rFonts w:hint="eastAsia"/>
          <w:sz w:val="21"/>
          <w:szCs w:val="21"/>
        </w:rPr>
        <w:t xml:space="preserve">10、基金相关账户的开户及维护费用； </w:t>
      </w:r>
    </w:p>
    <w:p>
      <w:pPr>
        <w:pStyle w:val="8"/>
        <w:spacing w:before="0" w:beforeAutospacing="0" w:after="0" w:afterAutospacing="0" w:line="360" w:lineRule="auto"/>
        <w:ind w:firstLine="420"/>
        <w:rPr>
          <w:sz w:val="21"/>
          <w:szCs w:val="21"/>
        </w:rPr>
      </w:pPr>
      <w:r>
        <w:rPr>
          <w:rFonts w:hint="eastAsia"/>
          <w:sz w:val="21"/>
          <w:szCs w:val="21"/>
        </w:rPr>
        <w:t xml:space="preserve">11、因投资港股通标的股票而产生的各项合理费用； </w:t>
      </w:r>
    </w:p>
    <w:p>
      <w:pPr>
        <w:pStyle w:val="8"/>
        <w:spacing w:before="0" w:beforeAutospacing="0" w:after="0" w:afterAutospacing="0" w:line="360" w:lineRule="auto"/>
        <w:ind w:firstLine="420"/>
        <w:rPr>
          <w:sz w:val="21"/>
          <w:szCs w:val="21"/>
        </w:rPr>
      </w:pPr>
      <w:r>
        <w:rPr>
          <w:rFonts w:hint="eastAsia"/>
          <w:sz w:val="21"/>
          <w:szCs w:val="21"/>
        </w:rPr>
        <w:t xml:space="preserve">12、按照国家有关规定和《基金合同》约定，可以在基金财产中列支的其他费用。 </w:t>
      </w:r>
    </w:p>
    <w:p>
      <w:pPr>
        <w:pStyle w:val="8"/>
        <w:spacing w:before="0" w:beforeAutospacing="0" w:after="0" w:afterAutospacing="0" w:line="360" w:lineRule="auto"/>
        <w:ind w:firstLine="420"/>
        <w:rPr>
          <w:sz w:val="21"/>
          <w:szCs w:val="21"/>
        </w:rPr>
      </w:pPr>
      <w:r>
        <w:rPr>
          <w:rFonts w:hint="eastAsia"/>
          <w:sz w:val="21"/>
          <w:szCs w:val="21"/>
        </w:rPr>
        <w:t xml:space="preserve">（二）封闭运作期内基金费用计提方法、计提标准和支付方式 </w:t>
      </w:r>
    </w:p>
    <w:p>
      <w:pPr>
        <w:pStyle w:val="8"/>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8"/>
        <w:spacing w:before="0" w:beforeAutospacing="0" w:after="0" w:afterAutospacing="0" w:line="360" w:lineRule="auto"/>
        <w:ind w:firstLine="420"/>
        <w:rPr>
          <w:sz w:val="21"/>
          <w:szCs w:val="21"/>
        </w:rPr>
      </w:pPr>
      <w:r>
        <w:rPr>
          <w:rFonts w:hint="eastAsia"/>
          <w:sz w:val="21"/>
          <w:szCs w:val="21"/>
        </w:rPr>
        <w:t xml:space="preserve">本基金的管理费按前一日基金资产净值的1.00%年费率计提。管理费的计算方法如下： </w:t>
      </w:r>
    </w:p>
    <w:p>
      <w:pPr>
        <w:pStyle w:val="8"/>
        <w:spacing w:before="0" w:beforeAutospacing="0" w:after="0" w:afterAutospacing="0" w:line="360" w:lineRule="auto"/>
        <w:ind w:firstLine="420"/>
        <w:rPr>
          <w:sz w:val="21"/>
          <w:szCs w:val="21"/>
        </w:rPr>
      </w:pPr>
      <w:r>
        <w:rPr>
          <w:rFonts w:hint="eastAsia"/>
          <w:sz w:val="21"/>
          <w:szCs w:val="21"/>
        </w:rPr>
        <w:t xml:space="preserve">H＝E×1.00%÷当年天数 </w:t>
      </w:r>
    </w:p>
    <w:p>
      <w:pPr>
        <w:pStyle w:val="8"/>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8"/>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8"/>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基金托管行人按照与基金管理人核对一致的数据，通过与基金管理人协商一致的方式自动于次月前3个工作日内从基金财产中一次性支付给基金管理人。若遇法定节假日、公休日等，支付日期顺延。 </w:t>
      </w:r>
    </w:p>
    <w:p>
      <w:pPr>
        <w:pStyle w:val="8"/>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8"/>
        <w:spacing w:before="0" w:beforeAutospacing="0" w:after="0" w:afterAutospacing="0" w:line="360" w:lineRule="auto"/>
        <w:ind w:firstLine="420"/>
        <w:rPr>
          <w:sz w:val="21"/>
          <w:szCs w:val="21"/>
        </w:rPr>
      </w:pPr>
      <w:r>
        <w:rPr>
          <w:rFonts w:hint="eastAsia"/>
          <w:sz w:val="21"/>
          <w:szCs w:val="21"/>
        </w:rPr>
        <w:t xml:space="preserve">本基金的托管费按前一日基金资产净值的0.15%的年费率计提。托管费的计算方法如下： </w:t>
      </w:r>
    </w:p>
    <w:p>
      <w:pPr>
        <w:pStyle w:val="8"/>
        <w:spacing w:before="0" w:beforeAutospacing="0" w:after="0" w:afterAutospacing="0" w:line="360" w:lineRule="auto"/>
        <w:ind w:firstLine="420"/>
        <w:rPr>
          <w:sz w:val="21"/>
          <w:szCs w:val="21"/>
        </w:rPr>
      </w:pPr>
      <w:r>
        <w:rPr>
          <w:rFonts w:hint="eastAsia"/>
          <w:sz w:val="21"/>
          <w:szCs w:val="21"/>
        </w:rPr>
        <w:t xml:space="preserve">H＝E×0.15%÷当年天数 </w:t>
      </w:r>
    </w:p>
    <w:p>
      <w:pPr>
        <w:pStyle w:val="8"/>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8"/>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8"/>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基金托管行人按照与基金管理人核对一致的数据，通过与基金管理人协商一致的方式自动于次月前3个工作日内从基金财产中一次性支取。若遇法定节假日、公休日等，支付日期顺延。 </w:t>
      </w:r>
    </w:p>
    <w:p>
      <w:pPr>
        <w:pStyle w:val="8"/>
        <w:spacing w:before="0" w:beforeAutospacing="0" w:after="0" w:afterAutospacing="0" w:line="360" w:lineRule="auto"/>
        <w:ind w:firstLine="420"/>
        <w:rPr>
          <w:sz w:val="21"/>
          <w:szCs w:val="21"/>
        </w:rPr>
      </w:pPr>
      <w:r>
        <w:rPr>
          <w:rFonts w:hint="eastAsia"/>
          <w:sz w:val="21"/>
          <w:szCs w:val="21"/>
        </w:rPr>
        <w:t xml:space="preserve">上述“（一）基金费用的种类中第4－12项费用”，根据有关法规及相应协议规定，按费用实际支出金额列入当期费用，由基金托管人从基金财产中支付。 </w:t>
      </w:r>
    </w:p>
    <w:p>
      <w:pPr>
        <w:pStyle w:val="8"/>
        <w:spacing w:before="0" w:beforeAutospacing="0" w:after="0" w:afterAutospacing="0" w:line="360" w:lineRule="auto"/>
        <w:ind w:firstLine="420"/>
        <w:rPr>
          <w:sz w:val="21"/>
          <w:szCs w:val="21"/>
        </w:rPr>
      </w:pPr>
      <w:r>
        <w:rPr>
          <w:rFonts w:hint="eastAsia"/>
          <w:sz w:val="21"/>
          <w:szCs w:val="21"/>
        </w:rPr>
        <w:t xml:space="preserve">（三）封闭运作期届满转为上市开放式基金（LOF）后的基金费用计提方法、计提标准和支付方式 </w:t>
      </w:r>
    </w:p>
    <w:p>
      <w:pPr>
        <w:pStyle w:val="8"/>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8"/>
        <w:spacing w:before="0" w:beforeAutospacing="0" w:after="0" w:afterAutospacing="0" w:line="360" w:lineRule="auto"/>
        <w:ind w:firstLine="420"/>
        <w:rPr>
          <w:sz w:val="21"/>
          <w:szCs w:val="21"/>
        </w:rPr>
      </w:pPr>
      <w:r>
        <w:rPr>
          <w:rFonts w:hint="eastAsia"/>
          <w:sz w:val="21"/>
          <w:szCs w:val="21"/>
        </w:rPr>
        <w:t xml:space="preserve">本基金的管理费按前一日基金资产净值的1.50%年费率计提。管理费的计算方法如下： </w:t>
      </w:r>
    </w:p>
    <w:p>
      <w:pPr>
        <w:pStyle w:val="8"/>
        <w:spacing w:before="0" w:beforeAutospacing="0" w:after="0" w:afterAutospacing="0" w:line="360" w:lineRule="auto"/>
        <w:ind w:firstLine="420"/>
        <w:rPr>
          <w:sz w:val="21"/>
          <w:szCs w:val="21"/>
        </w:rPr>
      </w:pPr>
      <w:r>
        <w:rPr>
          <w:rFonts w:hint="eastAsia"/>
          <w:sz w:val="21"/>
          <w:szCs w:val="21"/>
        </w:rPr>
        <w:t xml:space="preserve">H＝E×1.50%÷当年天数 </w:t>
      </w:r>
    </w:p>
    <w:p>
      <w:pPr>
        <w:pStyle w:val="8"/>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8"/>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8"/>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基金托管行人按照与基金管理人核对一致的数据，通过与基金管理人协商一致的方式自动于次月前3个工作日内从基金财产中一次性支付给基金管理人。若遇法定节假日、公休日等，支付日期顺延。 </w:t>
      </w:r>
    </w:p>
    <w:p>
      <w:pPr>
        <w:pStyle w:val="8"/>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8"/>
        <w:spacing w:before="0" w:beforeAutospacing="0" w:after="0" w:afterAutospacing="0" w:line="360" w:lineRule="auto"/>
        <w:ind w:firstLine="420"/>
        <w:rPr>
          <w:sz w:val="21"/>
          <w:szCs w:val="21"/>
        </w:rPr>
      </w:pPr>
      <w:r>
        <w:rPr>
          <w:rFonts w:hint="eastAsia"/>
          <w:sz w:val="21"/>
          <w:szCs w:val="21"/>
        </w:rPr>
        <w:t xml:space="preserve">本基金的托管费按前一日基金资产净值的0.25%的年费率计提。托管费的计算方法如下： </w:t>
      </w:r>
    </w:p>
    <w:p>
      <w:pPr>
        <w:pStyle w:val="8"/>
        <w:spacing w:before="0" w:beforeAutospacing="0" w:after="0" w:afterAutospacing="0" w:line="360" w:lineRule="auto"/>
        <w:ind w:firstLine="420"/>
        <w:rPr>
          <w:sz w:val="21"/>
          <w:szCs w:val="21"/>
        </w:rPr>
      </w:pPr>
      <w:r>
        <w:rPr>
          <w:rFonts w:hint="eastAsia"/>
          <w:sz w:val="21"/>
          <w:szCs w:val="21"/>
        </w:rPr>
        <w:t xml:space="preserve">H＝E×0.25%÷当年天数 </w:t>
      </w:r>
    </w:p>
    <w:p>
      <w:pPr>
        <w:pStyle w:val="8"/>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8"/>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8"/>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基金托管行人按照与基金管理人核对一致的数据，通过与基金管理人协商一致的方式自动于次月前3个工作日内从基金财产中一次性支取。若遇法定节假日、公休日等，支付日期顺延。 </w:t>
      </w:r>
    </w:p>
    <w:p>
      <w:pPr>
        <w:pStyle w:val="8"/>
        <w:spacing w:before="0" w:beforeAutospacing="0" w:after="0" w:afterAutospacing="0" w:line="360" w:lineRule="auto"/>
        <w:ind w:firstLine="420"/>
        <w:rPr>
          <w:sz w:val="21"/>
          <w:szCs w:val="21"/>
        </w:rPr>
      </w:pPr>
      <w:r>
        <w:rPr>
          <w:rFonts w:hint="eastAsia"/>
          <w:sz w:val="21"/>
          <w:szCs w:val="21"/>
        </w:rPr>
        <w:t>3、销售服务费</w:t>
      </w:r>
    </w:p>
    <w:p>
      <w:pPr>
        <w:pStyle w:val="8"/>
        <w:spacing w:before="0" w:beforeAutospacing="0" w:after="0" w:afterAutospacing="0" w:line="360" w:lineRule="auto"/>
        <w:ind w:firstLine="420"/>
        <w:rPr>
          <w:sz w:val="21"/>
          <w:szCs w:val="21"/>
        </w:rPr>
      </w:pPr>
      <w:r>
        <w:rPr>
          <w:rFonts w:hint="eastAsia"/>
          <w:sz w:val="21"/>
          <w:szCs w:val="21"/>
        </w:rPr>
        <w:t>本基金A类基金份额不收取销售服务费，C类基金份额的销售服务费年费率为0.40%。</w:t>
      </w:r>
    </w:p>
    <w:p>
      <w:pPr>
        <w:pStyle w:val="8"/>
        <w:spacing w:before="0" w:beforeAutospacing="0" w:after="0" w:afterAutospacing="0" w:line="360" w:lineRule="auto"/>
        <w:ind w:firstLine="420"/>
        <w:rPr>
          <w:sz w:val="21"/>
          <w:szCs w:val="21"/>
        </w:rPr>
      </w:pPr>
      <w:r>
        <w:rPr>
          <w:rFonts w:hint="eastAsia"/>
          <w:sz w:val="21"/>
          <w:szCs w:val="21"/>
        </w:rPr>
        <w:t xml:space="preserve">本基金销售服务费按前一日C类基金份额的基金资产净值的0.40%年费率计提。 计算方法如下： </w:t>
      </w:r>
    </w:p>
    <w:p>
      <w:pPr>
        <w:pStyle w:val="8"/>
        <w:spacing w:before="0" w:beforeAutospacing="0" w:after="0" w:afterAutospacing="0" w:line="360" w:lineRule="auto"/>
        <w:ind w:firstLine="420"/>
        <w:rPr>
          <w:sz w:val="21"/>
          <w:szCs w:val="21"/>
        </w:rPr>
      </w:pPr>
      <w:r>
        <w:rPr>
          <w:rFonts w:hint="eastAsia"/>
          <w:sz w:val="21"/>
          <w:szCs w:val="21"/>
        </w:rPr>
        <w:t>H=E×0.40%÷当年天数</w:t>
      </w:r>
    </w:p>
    <w:p>
      <w:pPr>
        <w:pStyle w:val="8"/>
        <w:spacing w:before="0" w:beforeAutospacing="0" w:after="0" w:afterAutospacing="0" w:line="360" w:lineRule="auto"/>
        <w:ind w:firstLine="420"/>
        <w:rPr>
          <w:sz w:val="21"/>
          <w:szCs w:val="21"/>
        </w:rPr>
      </w:pPr>
      <w:r>
        <w:rPr>
          <w:rFonts w:hint="eastAsia"/>
          <w:sz w:val="21"/>
          <w:szCs w:val="21"/>
        </w:rPr>
        <w:t>H为C类基金份额每日应计提的销售服务费</w:t>
      </w:r>
    </w:p>
    <w:p>
      <w:pPr>
        <w:pStyle w:val="8"/>
        <w:spacing w:before="0" w:beforeAutospacing="0" w:after="0" w:afterAutospacing="0" w:line="360" w:lineRule="auto"/>
        <w:ind w:firstLine="420"/>
        <w:rPr>
          <w:sz w:val="21"/>
          <w:szCs w:val="21"/>
        </w:rPr>
      </w:pPr>
      <w:r>
        <w:rPr>
          <w:rFonts w:hint="eastAsia"/>
          <w:sz w:val="21"/>
          <w:szCs w:val="21"/>
        </w:rPr>
        <w:t>E为C类基金份额前一日基金资产净值</w:t>
      </w:r>
    </w:p>
    <w:p>
      <w:pPr>
        <w:pStyle w:val="8"/>
        <w:spacing w:before="0" w:beforeAutospacing="0" w:after="0" w:afterAutospacing="0" w:line="360" w:lineRule="auto"/>
        <w:ind w:firstLine="420"/>
        <w:rPr>
          <w:sz w:val="21"/>
          <w:szCs w:val="21"/>
        </w:rPr>
      </w:pPr>
      <w:r>
        <w:rPr>
          <w:rFonts w:hint="eastAsia"/>
          <w:sz w:val="21"/>
          <w:szCs w:val="21"/>
        </w:rPr>
        <w:t>销售服务费每日计算，逐日累计至每月月末，按月支付。由基金托管人根据与基金管理人核对一致的财务数据，通过与基金管理人协商一致的方式自动于次月前3个工作日内从基金财产中一次性支付给登记机构，由登记机构代收支付给销售机构。若遇法定节假日、公休日等，支付日期顺延。</w:t>
      </w:r>
    </w:p>
    <w:p>
      <w:pPr>
        <w:pStyle w:val="8"/>
        <w:spacing w:before="0" w:beforeAutospacing="0" w:after="0" w:afterAutospacing="0" w:line="360" w:lineRule="auto"/>
        <w:ind w:firstLine="420"/>
        <w:rPr>
          <w:sz w:val="21"/>
          <w:szCs w:val="21"/>
        </w:rPr>
      </w:pPr>
      <w:r>
        <w:rPr>
          <w:rFonts w:hint="eastAsia"/>
          <w:sz w:val="21"/>
          <w:szCs w:val="21"/>
        </w:rPr>
        <w:t>销售服务费主要用于本基金持续销售以及基金份额持有人服务等各项费用。</w:t>
      </w:r>
    </w:p>
    <w:p>
      <w:pPr>
        <w:pStyle w:val="8"/>
        <w:spacing w:before="0" w:beforeAutospacing="0" w:after="0" w:afterAutospacing="0" w:line="360" w:lineRule="auto"/>
        <w:ind w:firstLine="420"/>
        <w:rPr>
          <w:sz w:val="21"/>
          <w:szCs w:val="21"/>
        </w:rPr>
      </w:pPr>
      <w:r>
        <w:rPr>
          <w:rFonts w:hint="eastAsia"/>
          <w:sz w:val="21"/>
          <w:szCs w:val="21"/>
        </w:rPr>
        <w:t>上述“（一）基金费用的种类中第4－1</w:t>
      </w:r>
      <w:r>
        <w:rPr>
          <w:sz w:val="21"/>
          <w:szCs w:val="21"/>
        </w:rPr>
        <w:t>2</w:t>
      </w:r>
      <w:r>
        <w:rPr>
          <w:rFonts w:hint="eastAsia"/>
          <w:sz w:val="21"/>
          <w:szCs w:val="21"/>
        </w:rPr>
        <w:t xml:space="preserve">项费用”，根据有关法规及相应协议规定，按费用实际支出金额列入当期费用，由基金托管人从基金财产中支付。 </w:t>
      </w:r>
    </w:p>
    <w:p>
      <w:pPr>
        <w:pStyle w:val="8"/>
        <w:spacing w:before="0" w:beforeAutospacing="0" w:after="0" w:afterAutospacing="0" w:line="360" w:lineRule="auto"/>
        <w:ind w:firstLine="420"/>
        <w:rPr>
          <w:sz w:val="21"/>
          <w:szCs w:val="21"/>
        </w:rPr>
      </w:pPr>
      <w:r>
        <w:rPr>
          <w:rFonts w:hint="eastAsia"/>
          <w:sz w:val="21"/>
          <w:szCs w:val="21"/>
        </w:rPr>
        <w:t xml:space="preserve">（四）不列入基金费用的项目 </w:t>
      </w:r>
    </w:p>
    <w:p>
      <w:pPr>
        <w:pStyle w:val="8"/>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8"/>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8"/>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8"/>
        <w:spacing w:before="0" w:beforeAutospacing="0" w:after="0" w:afterAutospacing="0" w:line="360" w:lineRule="auto"/>
        <w:ind w:firstLine="420"/>
        <w:rPr>
          <w:sz w:val="21"/>
          <w:szCs w:val="21"/>
        </w:rPr>
      </w:pPr>
      <w:r>
        <w:rPr>
          <w:rFonts w:hint="eastAsia"/>
          <w:sz w:val="21"/>
          <w:szCs w:val="21"/>
        </w:rPr>
        <w:t xml:space="preserve">3、《基金合同》生效前的相关费用； </w:t>
      </w:r>
    </w:p>
    <w:p>
      <w:pPr>
        <w:pStyle w:val="8"/>
        <w:spacing w:before="0" w:beforeAutospacing="0" w:after="0" w:afterAutospacing="0" w:line="360" w:lineRule="auto"/>
        <w:ind w:firstLine="420"/>
        <w:rPr>
          <w:sz w:val="21"/>
          <w:szCs w:val="21"/>
        </w:rPr>
      </w:pPr>
      <w:r>
        <w:rPr>
          <w:rFonts w:hint="eastAsia"/>
          <w:sz w:val="21"/>
          <w:szCs w:val="21"/>
        </w:rPr>
        <w:t xml:space="preserve">4、其他根据相关法律法规及中国证监会的有关规定不得列入基金费用的项目。 </w:t>
      </w:r>
    </w:p>
    <w:p>
      <w:pPr>
        <w:pStyle w:val="8"/>
        <w:spacing w:before="0" w:beforeAutospacing="0" w:after="0" w:afterAutospacing="0" w:line="360" w:lineRule="auto"/>
        <w:ind w:firstLine="420"/>
        <w:rPr>
          <w:sz w:val="21"/>
          <w:szCs w:val="21"/>
        </w:rPr>
      </w:pPr>
      <w:r>
        <w:rPr>
          <w:rFonts w:hint="eastAsia"/>
          <w:sz w:val="21"/>
          <w:szCs w:val="21"/>
        </w:rPr>
        <w:t xml:space="preserve">（五）基金税收 </w:t>
      </w:r>
    </w:p>
    <w:p>
      <w:pPr>
        <w:pStyle w:val="8"/>
        <w:spacing w:before="0" w:beforeAutospacing="0" w:after="0" w:afterAutospacing="0" w:line="360" w:lineRule="auto"/>
        <w:ind w:firstLine="420"/>
        <w:rPr>
          <w:sz w:val="21"/>
          <w:szCs w:val="21"/>
        </w:rPr>
      </w:pPr>
      <w:r>
        <w:rPr>
          <w:rFonts w:hint="eastAsia"/>
          <w:sz w:val="21"/>
          <w:szCs w:val="21"/>
        </w:rPr>
        <w:t xml:space="preserve">本基金运作过程中涉及的各纳税主体，其纳税义务按国家税收法律、法规执行。 </w:t>
      </w:r>
    </w:p>
    <w:p>
      <w:pPr>
        <w:pStyle w:val="8"/>
        <w:spacing w:before="0" w:beforeAutospacing="0" w:after="0" w:afterAutospacing="0" w:line="360" w:lineRule="auto"/>
        <w:ind w:firstLine="420"/>
        <w:rPr>
          <w:sz w:val="21"/>
          <w:szCs w:val="21"/>
        </w:rPr>
      </w:pPr>
      <w:r>
        <w:rPr>
          <w:rFonts w:hint="eastAsia"/>
          <w:sz w:val="21"/>
          <w:szCs w:val="21"/>
        </w:rPr>
        <w:t xml:space="preserve">基金财产投资的相关税收，由基金份额持有人承担，基金管理人或者其他扣缴义务人按照国家有关税收征收的规定代扣代缴。 </w:t>
      </w:r>
    </w:p>
    <w:p>
      <w:pPr>
        <w:pStyle w:val="8"/>
        <w:spacing w:before="0" w:beforeAutospacing="0" w:after="0" w:afterAutospacing="0" w:line="360" w:lineRule="auto"/>
        <w:ind w:firstLine="420"/>
        <w:rPr>
          <w:sz w:val="21"/>
          <w:szCs w:val="21"/>
        </w:rPr>
      </w:pPr>
      <w:r>
        <w:rPr>
          <w:rStyle w:val="13"/>
          <w:rFonts w:hint="eastAsia"/>
          <w:sz w:val="21"/>
          <w:szCs w:val="21"/>
        </w:rPr>
        <w:t>五、基金财产的投资范围和投资限制 </w:t>
      </w:r>
    </w:p>
    <w:p>
      <w:pPr>
        <w:pStyle w:val="8"/>
        <w:spacing w:before="0" w:beforeAutospacing="0" w:after="0" w:afterAutospacing="0" w:line="360" w:lineRule="auto"/>
        <w:ind w:firstLine="420"/>
        <w:rPr>
          <w:sz w:val="21"/>
          <w:szCs w:val="21"/>
        </w:rPr>
      </w:pPr>
      <w:r>
        <w:rPr>
          <w:rFonts w:hint="eastAsia"/>
          <w:sz w:val="21"/>
          <w:szCs w:val="21"/>
        </w:rPr>
        <w:t xml:space="preserve">（一）封闭运作期内的投资范围 </w:t>
      </w:r>
    </w:p>
    <w:p>
      <w:pPr>
        <w:pStyle w:val="8"/>
        <w:spacing w:before="0" w:beforeAutospacing="0" w:after="0" w:afterAutospacing="0" w:line="360" w:lineRule="auto"/>
        <w:ind w:firstLine="420"/>
        <w:rPr>
          <w:sz w:val="21"/>
          <w:szCs w:val="21"/>
        </w:rPr>
      </w:pPr>
      <w:r>
        <w:rPr>
          <w:rFonts w:hint="eastAsia"/>
          <w:sz w:val="21"/>
          <w:szCs w:val="21"/>
        </w:rPr>
        <w:t xml:space="preserve">本基金的投资范围包括国内依法发行上市的股票（含中小板、创业板、科创板及其他经中国证监会核准上市的股票）、内地与香港股票市场互联互通机制下允许买卖的香港证券市场股票（以下简称“港股通标的股票”）、债券（国债、金融债、企业债、公司债、央行票据、中期票据、短期融资券、超短期融资券、可转换债券（含可分离交易可转换债券）、可交换债、次级债等）、股指期货、国债期货、债券回购、同业存单、银行存款（包含协议存款、定期存款及其他银行存款）、货币市场工具、现金以及法律法规或中国证监会允许基金投资的其他金融工具（但须符合中国证监会相关规定）。   </w:t>
      </w:r>
    </w:p>
    <w:p>
      <w:pPr>
        <w:pStyle w:val="8"/>
        <w:spacing w:before="0" w:beforeAutospacing="0" w:after="0" w:afterAutospacing="0" w:line="360" w:lineRule="auto"/>
        <w:ind w:firstLine="420"/>
        <w:rPr>
          <w:sz w:val="21"/>
          <w:szCs w:val="21"/>
        </w:rPr>
      </w:pPr>
      <w:r>
        <w:rPr>
          <w:rFonts w:hint="eastAsia"/>
          <w:sz w:val="21"/>
          <w:szCs w:val="21"/>
        </w:rPr>
        <w:t xml:space="preserve">在封闭运作期内，投资股票资产占基金资产的比例为0%—100%，港股通标的股票的投资比例为股票资产的0%-50%，其中，投资于本基金界定的科创主题相关证券的比例不低于非现金基金资产的80%。每个交易日日终在扣除国债期货和股指期货合约需缴纳的交易保证金后，应当保持不低于交易保证金一倍的现金，其中现金不包括结算备付金、存出保证金、应收申购款等。股票投资部分可以以战略配售的方式进行投资。 </w:t>
      </w:r>
    </w:p>
    <w:p>
      <w:pPr>
        <w:pStyle w:val="8"/>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p>
    <w:p>
      <w:pPr>
        <w:pStyle w:val="8"/>
        <w:spacing w:before="0" w:beforeAutospacing="0" w:after="0" w:afterAutospacing="0" w:line="360" w:lineRule="auto"/>
        <w:ind w:firstLine="420"/>
        <w:rPr>
          <w:sz w:val="21"/>
          <w:szCs w:val="21"/>
        </w:rPr>
      </w:pPr>
      <w:r>
        <w:rPr>
          <w:rFonts w:hint="eastAsia"/>
          <w:sz w:val="21"/>
          <w:szCs w:val="21"/>
        </w:rPr>
        <w:t xml:space="preserve">（二）封闭运作期内的投资限制 </w:t>
      </w:r>
    </w:p>
    <w:p>
      <w:pPr>
        <w:pStyle w:val="8"/>
        <w:spacing w:before="0" w:beforeAutospacing="0" w:after="0" w:afterAutospacing="0" w:line="360" w:lineRule="auto"/>
        <w:ind w:firstLine="420"/>
        <w:rPr>
          <w:sz w:val="21"/>
          <w:szCs w:val="21"/>
        </w:rPr>
      </w:pPr>
      <w:r>
        <w:rPr>
          <w:rFonts w:hint="eastAsia"/>
          <w:sz w:val="21"/>
          <w:szCs w:val="21"/>
        </w:rPr>
        <w:t xml:space="preserve">1、组合限制 </w:t>
      </w:r>
    </w:p>
    <w:p>
      <w:pPr>
        <w:pStyle w:val="8"/>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8"/>
        <w:spacing w:before="0" w:beforeAutospacing="0" w:after="0" w:afterAutospacing="0" w:line="360" w:lineRule="auto"/>
        <w:ind w:firstLine="420"/>
        <w:rPr>
          <w:sz w:val="21"/>
          <w:szCs w:val="21"/>
        </w:rPr>
      </w:pPr>
      <w:r>
        <w:rPr>
          <w:rFonts w:hint="eastAsia"/>
          <w:sz w:val="21"/>
          <w:szCs w:val="21"/>
        </w:rPr>
        <w:t xml:space="preserve">（1）封闭运作期内，本基金投资股票资产占基金资产的比例为0%—100%，其中，投资于本基金界定的科创主题相关证券的比例不低于非现金基金资产的80%，港股通标的股票的投资比例为股票资产的0%-50%；； </w:t>
      </w:r>
    </w:p>
    <w:p>
      <w:pPr>
        <w:pStyle w:val="8"/>
        <w:spacing w:before="0" w:beforeAutospacing="0" w:after="0" w:afterAutospacing="0" w:line="360" w:lineRule="auto"/>
        <w:ind w:firstLine="420"/>
        <w:rPr>
          <w:sz w:val="21"/>
          <w:szCs w:val="21"/>
        </w:rPr>
      </w:pPr>
      <w:r>
        <w:rPr>
          <w:rFonts w:hint="eastAsia"/>
          <w:sz w:val="21"/>
          <w:szCs w:val="21"/>
        </w:rPr>
        <w:t xml:space="preserve">（2）本基金持有一家公司发行的证券，其市值（若同时持有一家公司发行的A股和H股，则为A股与H股合计市值）不超过基金资产净值的10％；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（3）本基金管理人管理的全部基金持有一家公司发行的证券，不超过该证券（若同时持有一家公司发行的A股和H股，则为A股与H股合计市值）的10％； </w:t>
      </w:r>
    </w:p>
    <w:p>
      <w:pPr>
        <w:pStyle w:val="8"/>
        <w:spacing w:before="0" w:beforeAutospacing="0" w:after="0" w:afterAutospacing="0" w:line="360" w:lineRule="auto"/>
        <w:ind w:firstLine="420"/>
        <w:rPr>
          <w:sz w:val="21"/>
          <w:szCs w:val="21"/>
        </w:rPr>
      </w:pPr>
      <w:r>
        <w:rPr>
          <w:rFonts w:hint="eastAsia"/>
          <w:sz w:val="21"/>
          <w:szCs w:val="21"/>
        </w:rPr>
        <w:t xml:space="preserve">（4）基金财产参与股票发行申购，本基金所申报的金额不超过本基金的总资产，本基金所申报的股票数量不超过拟发行股票公司本次发行股票的总量； </w:t>
      </w:r>
    </w:p>
    <w:p>
      <w:pPr>
        <w:pStyle w:val="8"/>
        <w:spacing w:before="0" w:beforeAutospacing="0" w:after="0" w:afterAutospacing="0" w:line="360" w:lineRule="auto"/>
        <w:ind w:firstLine="420"/>
        <w:rPr>
          <w:sz w:val="21"/>
          <w:szCs w:val="21"/>
        </w:rPr>
      </w:pPr>
      <w:r>
        <w:rPr>
          <w:rFonts w:hint="eastAsia"/>
          <w:sz w:val="21"/>
          <w:szCs w:val="21"/>
        </w:rPr>
        <w:t xml:space="preserve">（5）本基金进入全国银行间同业市场进行债券回购的资金余额不得超过基金资产净值的40%，债券回购最长期限为1年，债券回购到期后不得展期； </w:t>
      </w:r>
    </w:p>
    <w:p>
      <w:pPr>
        <w:pStyle w:val="8"/>
        <w:spacing w:before="0" w:beforeAutospacing="0" w:after="0" w:afterAutospacing="0" w:line="360" w:lineRule="auto"/>
        <w:ind w:firstLine="420"/>
        <w:rPr>
          <w:sz w:val="21"/>
          <w:szCs w:val="21"/>
        </w:rPr>
      </w:pPr>
      <w:r>
        <w:rPr>
          <w:rFonts w:hint="eastAsia"/>
          <w:sz w:val="21"/>
          <w:szCs w:val="21"/>
        </w:rPr>
        <w:t xml:space="preserve">（6）本基金在封闭运作期内总资产不得超过基金净资产的200%； </w:t>
      </w:r>
    </w:p>
    <w:p>
      <w:pPr>
        <w:pStyle w:val="8"/>
        <w:spacing w:before="0" w:beforeAutospacing="0" w:after="0" w:afterAutospacing="0" w:line="360" w:lineRule="auto"/>
        <w:ind w:firstLine="420"/>
        <w:rPr>
          <w:sz w:val="21"/>
          <w:szCs w:val="21"/>
        </w:rPr>
      </w:pPr>
      <w:r>
        <w:rPr>
          <w:rFonts w:hint="eastAsia"/>
          <w:sz w:val="21"/>
          <w:szCs w:val="21"/>
        </w:rPr>
        <w:t xml:space="preserve">（7）本基金参与股指期货、国债期货投资的，应遵循下列限制： </w:t>
      </w:r>
    </w:p>
    <w:p>
      <w:pPr>
        <w:pStyle w:val="8"/>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2）在任何交易日日终，本基金持有的买入股指期货和国债期货合约价值和有价证券市值之和，不得超过基金资产净值的100%；其中，有价证券指股票、债券（不含到期日在一年以内的政府债券）、资产支持证券、买入返售金融资产（不含质押式回购）等； </w:t>
      </w:r>
    </w:p>
    <w:p>
      <w:pPr>
        <w:pStyle w:val="8"/>
        <w:spacing w:before="0" w:beforeAutospacing="0" w:after="0" w:afterAutospacing="0" w:line="360" w:lineRule="auto"/>
        <w:ind w:firstLine="420"/>
        <w:rPr>
          <w:sz w:val="21"/>
          <w:szCs w:val="21"/>
        </w:rPr>
      </w:pPr>
      <w:r>
        <w:rPr>
          <w:rFonts w:hint="eastAsia"/>
          <w:sz w:val="21"/>
          <w:szCs w:val="21"/>
        </w:rPr>
        <w:t xml:space="preserve">3）本基金在任何交易日日终，持有的卖出股指期货合约价值不得超过基金持有的股票总市值的20%； </w:t>
      </w:r>
    </w:p>
    <w:p>
      <w:pPr>
        <w:pStyle w:val="8"/>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8"/>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5）本基金所持有的股票市值和买入、卖出股指期货合约价值，合计（轧差计算）应当符合本基金合同关于股票投资比例的有关规定； </w:t>
      </w:r>
    </w:p>
    <w:p>
      <w:pPr>
        <w:pStyle w:val="8"/>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pPr>
        <w:pStyle w:val="8"/>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pPr>
        <w:pStyle w:val="8"/>
        <w:spacing w:before="0" w:beforeAutospacing="0" w:after="0" w:afterAutospacing="0" w:line="360" w:lineRule="auto"/>
        <w:ind w:firstLine="420"/>
        <w:rPr>
          <w:sz w:val="21"/>
          <w:szCs w:val="21"/>
        </w:rPr>
      </w:pPr>
      <w:r>
        <w:rPr>
          <w:rFonts w:hint="eastAsia"/>
          <w:sz w:val="21"/>
          <w:szCs w:val="21"/>
        </w:rPr>
        <w:t xml:space="preserve">8）本基金在任何交易日内交易（不包括平仓）的国债期货合约的成交金额不得超过上一交易日基金资产净值的30%； </w:t>
      </w:r>
    </w:p>
    <w:p>
      <w:pPr>
        <w:pStyle w:val="8"/>
        <w:spacing w:before="0" w:beforeAutospacing="0" w:after="0" w:afterAutospacing="0" w:line="360" w:lineRule="auto"/>
        <w:ind w:firstLine="420"/>
        <w:rPr>
          <w:sz w:val="21"/>
          <w:szCs w:val="21"/>
        </w:rPr>
      </w:pPr>
      <w:r>
        <w:rPr>
          <w:rFonts w:hint="eastAsia"/>
          <w:sz w:val="21"/>
          <w:szCs w:val="21"/>
        </w:rPr>
        <w:t xml:space="preserve">9）本基金所持有的债券（不含到期日在一年以内的政府债券）市值和买入、卖出国债期货合约价值，合计（轧差计算）应当符合基金合同关于债券投资比例的有关约定； </w:t>
      </w:r>
    </w:p>
    <w:p>
      <w:pPr>
        <w:pStyle w:val="8"/>
        <w:spacing w:before="0" w:beforeAutospacing="0" w:after="0" w:afterAutospacing="0" w:line="360" w:lineRule="auto"/>
        <w:ind w:firstLine="420"/>
        <w:rPr>
          <w:sz w:val="21"/>
          <w:szCs w:val="21"/>
        </w:rPr>
      </w:pPr>
      <w:r>
        <w:rPr>
          <w:rFonts w:hint="eastAsia"/>
          <w:sz w:val="21"/>
          <w:szCs w:val="21"/>
        </w:rPr>
        <w:t xml:space="preserve">（8）每个交易日日终在扣除股指期货、国债期货合约需缴纳的交易保证金后，应当保持不低于交易保证金一倍的现金。其中，现金不包括结算备付金、存出保证金、应收申购款等； </w:t>
      </w:r>
    </w:p>
    <w:p>
      <w:pPr>
        <w:pStyle w:val="8"/>
        <w:spacing w:before="0" w:beforeAutospacing="0" w:after="0" w:afterAutospacing="0" w:line="360" w:lineRule="auto"/>
        <w:ind w:firstLine="420"/>
        <w:rPr>
          <w:sz w:val="21"/>
          <w:szCs w:val="21"/>
        </w:rPr>
      </w:pPr>
      <w:r>
        <w:rPr>
          <w:rFonts w:hint="eastAsia"/>
          <w:sz w:val="21"/>
          <w:szCs w:val="21"/>
        </w:rPr>
        <w:t xml:space="preserve">（9）基金参与融资业务后，在任何交易日日终，持有的融资买入股票与其他有价证券市值之和，不得超过基金资产净值的95%； </w:t>
      </w:r>
    </w:p>
    <w:p>
      <w:pPr>
        <w:pStyle w:val="8"/>
        <w:spacing w:before="0" w:beforeAutospacing="0" w:after="0" w:afterAutospacing="0" w:line="360" w:lineRule="auto"/>
        <w:ind w:firstLine="420"/>
        <w:rPr>
          <w:sz w:val="21"/>
          <w:szCs w:val="21"/>
        </w:rPr>
      </w:pPr>
      <w:r>
        <w:rPr>
          <w:rFonts w:hint="eastAsia"/>
          <w:sz w:val="21"/>
          <w:szCs w:val="21"/>
        </w:rPr>
        <w:t xml:space="preserve">（10）法律法规及中国证监会规定的和《基金合同》约定的其他投资限制。 </w:t>
      </w:r>
    </w:p>
    <w:p>
      <w:pPr>
        <w:pStyle w:val="8"/>
        <w:spacing w:before="0" w:beforeAutospacing="0" w:after="0" w:afterAutospacing="0" w:line="360" w:lineRule="auto"/>
        <w:ind w:firstLine="420"/>
        <w:rPr>
          <w:sz w:val="21"/>
          <w:szCs w:val="21"/>
        </w:rPr>
      </w:pPr>
      <w:r>
        <w:rPr>
          <w:rFonts w:hint="eastAsia"/>
          <w:sz w:val="21"/>
          <w:szCs w:val="21"/>
        </w:rPr>
        <w:t xml:space="preserve">除上述第（8）条情形之外，因证券、期货市场波动、证券发行人合并或基金规模变动等基金管理人之外的因素致使基金投资比例不符合上述规定投资比例的，基金管理人应当在10个交易日内进行调整，但中国证监会规定的特殊情形除外。 </w:t>
      </w:r>
    </w:p>
    <w:p>
      <w:pPr>
        <w:pStyle w:val="8"/>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 </w:t>
      </w:r>
    </w:p>
    <w:p>
      <w:pPr>
        <w:pStyle w:val="8"/>
        <w:spacing w:before="0" w:beforeAutospacing="0" w:after="0" w:afterAutospacing="0" w:line="360" w:lineRule="auto"/>
        <w:ind w:firstLine="420"/>
        <w:rPr>
          <w:sz w:val="21"/>
          <w:szCs w:val="21"/>
        </w:rPr>
      </w:pPr>
      <w:r>
        <w:rPr>
          <w:rFonts w:hint="eastAsia"/>
          <w:sz w:val="21"/>
          <w:szCs w:val="21"/>
        </w:rPr>
        <w:t xml:space="preserve">如果法律法规或监管部门对上述投资组合比例限制进行变更的，以变更后的规定为准。法律法规或监管部门取消上述限制，如适用于本基金，基金管理人在履行适当程序后，则本基金投资不再受相关限制。 </w:t>
      </w:r>
    </w:p>
    <w:p>
      <w:pPr>
        <w:pStyle w:val="8"/>
        <w:spacing w:before="0" w:beforeAutospacing="0" w:after="0" w:afterAutospacing="0" w:line="360" w:lineRule="auto"/>
        <w:ind w:firstLine="420"/>
        <w:rPr>
          <w:sz w:val="21"/>
          <w:szCs w:val="21"/>
        </w:rPr>
      </w:pPr>
      <w:r>
        <w:rPr>
          <w:rFonts w:hint="eastAsia"/>
          <w:sz w:val="21"/>
          <w:szCs w:val="21"/>
        </w:rPr>
        <w:t xml:space="preserve">2、禁止行为 </w:t>
      </w:r>
    </w:p>
    <w:p>
      <w:pPr>
        <w:pStyle w:val="8"/>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8"/>
        <w:spacing w:before="0" w:beforeAutospacing="0" w:after="0" w:afterAutospacing="0" w:line="360" w:lineRule="auto"/>
        <w:ind w:firstLine="420"/>
        <w:rPr>
          <w:sz w:val="21"/>
          <w:szCs w:val="21"/>
        </w:rPr>
      </w:pPr>
      <w:r>
        <w:rPr>
          <w:rFonts w:hint="eastAsia"/>
          <w:sz w:val="21"/>
          <w:szCs w:val="21"/>
        </w:rPr>
        <w:t xml:space="preserve">（1）承销证券； </w:t>
      </w:r>
    </w:p>
    <w:p>
      <w:pPr>
        <w:pStyle w:val="8"/>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8"/>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8"/>
        <w:spacing w:before="0" w:beforeAutospacing="0" w:after="0" w:afterAutospacing="0" w:line="360" w:lineRule="auto"/>
        <w:ind w:firstLine="420"/>
        <w:rPr>
          <w:sz w:val="21"/>
          <w:szCs w:val="21"/>
        </w:rPr>
      </w:pPr>
      <w:r>
        <w:rPr>
          <w:rFonts w:hint="eastAsia"/>
          <w:sz w:val="21"/>
          <w:szCs w:val="21"/>
        </w:rPr>
        <w:t xml:space="preserve">（4）买卖其他基金份额，但法律法规或中国证监会另有规定的除外； </w:t>
      </w:r>
    </w:p>
    <w:p>
      <w:pPr>
        <w:pStyle w:val="8"/>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8"/>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8"/>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8"/>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8"/>
        <w:spacing w:before="0" w:beforeAutospacing="0" w:after="0" w:afterAutospacing="0" w:line="360" w:lineRule="auto"/>
        <w:ind w:firstLine="420"/>
        <w:rPr>
          <w:sz w:val="21"/>
          <w:szCs w:val="21"/>
        </w:rPr>
      </w:pPr>
      <w:r>
        <w:rPr>
          <w:rFonts w:hint="eastAsia"/>
          <w:sz w:val="21"/>
          <w:szCs w:val="21"/>
        </w:rPr>
        <w:t xml:space="preserve">如法律、行政法规或监管部门取消或变更上述限制，如适用于本基金，则本基金投资不再受相关限制或按变更后的规定执行。 </w:t>
      </w:r>
    </w:p>
    <w:p>
      <w:pPr>
        <w:pStyle w:val="8"/>
        <w:spacing w:before="0" w:beforeAutospacing="0" w:after="0" w:afterAutospacing="0" w:line="360" w:lineRule="auto"/>
        <w:ind w:firstLine="420"/>
        <w:rPr>
          <w:sz w:val="21"/>
          <w:szCs w:val="21"/>
        </w:rPr>
      </w:pPr>
      <w:r>
        <w:rPr>
          <w:rFonts w:hint="eastAsia"/>
          <w:sz w:val="21"/>
          <w:szCs w:val="21"/>
        </w:rPr>
        <w:t xml:space="preserve">（三）封闭运作期届满后，本基金转为“博时科创主题灵活配置混合型证券投资基金（LOF）”，基金的投资详见《基金合同》“基金的投资”章节的第七部分。 </w:t>
      </w:r>
    </w:p>
    <w:p>
      <w:pPr>
        <w:pStyle w:val="8"/>
        <w:spacing w:before="0" w:beforeAutospacing="0" w:after="0" w:afterAutospacing="0" w:line="360" w:lineRule="auto"/>
        <w:ind w:firstLine="420"/>
        <w:rPr>
          <w:sz w:val="21"/>
          <w:szCs w:val="21"/>
        </w:rPr>
      </w:pPr>
      <w:r>
        <w:rPr>
          <w:rStyle w:val="13"/>
          <w:rFonts w:hint="eastAsia"/>
          <w:sz w:val="21"/>
          <w:szCs w:val="21"/>
        </w:rPr>
        <w:t>六、基金资产估值</w:t>
      </w:r>
    </w:p>
    <w:p>
      <w:pPr>
        <w:pStyle w:val="8"/>
        <w:spacing w:before="0" w:beforeAutospacing="0" w:after="0" w:afterAutospacing="0" w:line="360" w:lineRule="auto"/>
        <w:ind w:firstLine="420"/>
        <w:rPr>
          <w:sz w:val="21"/>
          <w:szCs w:val="21"/>
        </w:rPr>
      </w:pPr>
      <w:r>
        <w:rPr>
          <w:rFonts w:hint="eastAsia"/>
          <w:sz w:val="21"/>
          <w:szCs w:val="21"/>
        </w:rPr>
        <w:t xml:space="preserve">（一）估值日 </w:t>
      </w:r>
    </w:p>
    <w:p>
      <w:pPr>
        <w:pStyle w:val="8"/>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pPr>
        <w:pStyle w:val="8"/>
        <w:spacing w:before="0" w:beforeAutospacing="0" w:after="0" w:afterAutospacing="0" w:line="360" w:lineRule="auto"/>
        <w:ind w:firstLine="420"/>
        <w:rPr>
          <w:sz w:val="21"/>
          <w:szCs w:val="21"/>
        </w:rPr>
      </w:pPr>
      <w:r>
        <w:rPr>
          <w:rFonts w:hint="eastAsia"/>
          <w:sz w:val="21"/>
          <w:szCs w:val="21"/>
        </w:rPr>
        <w:t xml:space="preserve">（二）估值对象 </w:t>
      </w:r>
    </w:p>
    <w:p>
      <w:pPr>
        <w:pStyle w:val="8"/>
        <w:spacing w:before="0" w:beforeAutospacing="0" w:after="0" w:afterAutospacing="0" w:line="360" w:lineRule="auto"/>
        <w:ind w:firstLine="420"/>
        <w:rPr>
          <w:sz w:val="21"/>
          <w:szCs w:val="21"/>
        </w:rPr>
      </w:pPr>
      <w:r>
        <w:rPr>
          <w:rFonts w:hint="eastAsia"/>
          <w:sz w:val="21"/>
          <w:szCs w:val="21"/>
        </w:rPr>
        <w:t xml:space="preserve">基金所拥有的股票、债券、衍生工具和其他投资等持续以公允价值计量的金融资产及负债。 </w:t>
      </w:r>
    </w:p>
    <w:p>
      <w:pPr>
        <w:pStyle w:val="8"/>
        <w:spacing w:before="0" w:beforeAutospacing="0" w:after="0" w:afterAutospacing="0" w:line="360" w:lineRule="auto"/>
        <w:ind w:firstLine="420"/>
        <w:rPr>
          <w:sz w:val="21"/>
          <w:szCs w:val="21"/>
        </w:rPr>
      </w:pPr>
      <w:r>
        <w:rPr>
          <w:rFonts w:hint="eastAsia"/>
          <w:sz w:val="21"/>
          <w:szCs w:val="21"/>
        </w:rPr>
        <w:t xml:space="preserve">（三）估值方法 </w:t>
      </w:r>
    </w:p>
    <w:p>
      <w:pPr>
        <w:pStyle w:val="8"/>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8"/>
        <w:spacing w:before="0" w:beforeAutospacing="0" w:after="0" w:afterAutospacing="0" w:line="360" w:lineRule="auto"/>
        <w:ind w:firstLine="420"/>
        <w:rPr>
          <w:sz w:val="21"/>
          <w:szCs w:val="21"/>
        </w:rPr>
      </w:pPr>
      <w:r>
        <w:rPr>
          <w:rFonts w:hint="eastAsia"/>
          <w:sz w:val="21"/>
          <w:szCs w:val="21"/>
        </w:rPr>
        <w:t xml:space="preserve">（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8"/>
        <w:spacing w:before="0" w:beforeAutospacing="0" w:after="0" w:afterAutospacing="0" w:line="360" w:lineRule="auto"/>
        <w:ind w:firstLine="420"/>
        <w:rPr>
          <w:sz w:val="21"/>
          <w:szCs w:val="21"/>
        </w:rPr>
      </w:pPr>
      <w:r>
        <w:rPr>
          <w:rFonts w:hint="eastAsia"/>
          <w:sz w:val="21"/>
          <w:szCs w:val="21"/>
        </w:rPr>
        <w:t xml:space="preserve">（2）交易所市场上市交易或挂牌转让的固定收益品种（本合同另有约定的除外），选取估值日第三方估值机构提供的相应品种对应的估值净价估值，具体估值机构由基金管理人与基金托管人共同确定； </w:t>
      </w:r>
    </w:p>
    <w:p>
      <w:pPr>
        <w:pStyle w:val="8"/>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交易所上市实行全价交易的债券（可转债除外），选取第三方估值机构提供的估值全价减去估值全价中所含的债券（税后）应收利息得到的净价进行估值。 </w:t>
      </w:r>
    </w:p>
    <w:p>
      <w:pPr>
        <w:pStyle w:val="8"/>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8"/>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8"/>
        <w:spacing w:before="0" w:beforeAutospacing="0" w:after="0" w:afterAutospacing="0" w:line="360" w:lineRule="auto"/>
        <w:ind w:firstLine="420"/>
        <w:rPr>
          <w:sz w:val="21"/>
          <w:szCs w:val="21"/>
        </w:rPr>
      </w:pPr>
      <w:r>
        <w:rPr>
          <w:rFonts w:hint="eastAsia"/>
          <w:sz w:val="21"/>
          <w:szCs w:val="21"/>
        </w:rPr>
        <w:t xml:space="preserve">（1）送股、转增股、配股和公开增发的股票，按估值日在证券交易所挂牌的同一股票的估值方法估值；该日无交易的，以最近一日的市价（收盘价）估值； </w:t>
      </w:r>
    </w:p>
    <w:p>
      <w:pPr>
        <w:pStyle w:val="8"/>
        <w:spacing w:before="0" w:beforeAutospacing="0" w:after="0" w:afterAutospacing="0" w:line="360" w:lineRule="auto"/>
        <w:ind w:firstLine="420"/>
        <w:rPr>
          <w:sz w:val="21"/>
          <w:szCs w:val="21"/>
        </w:rPr>
      </w:pPr>
      <w:r>
        <w:rPr>
          <w:rFonts w:hint="eastAsia"/>
          <w:sz w:val="21"/>
          <w:szCs w:val="21"/>
        </w:rPr>
        <w:t xml:space="preserve">（2）首次公开发行未上市或未挂牌转让的股票、债券，采用估值技术确定公允价值，在估值技术难以可靠计量公允价值的情况下，按成本估值； </w:t>
      </w:r>
    </w:p>
    <w:p>
      <w:pPr>
        <w:pStyle w:val="8"/>
        <w:spacing w:before="0" w:beforeAutospacing="0" w:after="0" w:afterAutospacing="0" w:line="360" w:lineRule="auto"/>
        <w:ind w:firstLine="420"/>
        <w:rPr>
          <w:sz w:val="21"/>
          <w:szCs w:val="21"/>
        </w:rPr>
      </w:pPr>
      <w:r>
        <w:rPr>
          <w:rFonts w:hint="eastAsia"/>
          <w:sz w:val="21"/>
          <w:szCs w:val="21"/>
        </w:rPr>
        <w:t xml:space="preserve">（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pPr>
        <w:pStyle w:val="8"/>
        <w:spacing w:before="0" w:beforeAutospacing="0" w:after="0" w:afterAutospacing="0" w:line="360" w:lineRule="auto"/>
        <w:ind w:firstLine="420"/>
        <w:rPr>
          <w:sz w:val="21"/>
          <w:szCs w:val="21"/>
        </w:rPr>
      </w:pPr>
      <w:r>
        <w:rPr>
          <w:rFonts w:hint="eastAsia"/>
          <w:sz w:val="21"/>
          <w:szCs w:val="21"/>
        </w:rPr>
        <w:t xml:space="preserve">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pPr>
        <w:pStyle w:val="8"/>
        <w:spacing w:before="0" w:beforeAutospacing="0" w:after="0" w:afterAutospacing="0" w:line="360" w:lineRule="auto"/>
        <w:ind w:firstLine="420"/>
        <w:rPr>
          <w:sz w:val="21"/>
          <w:szCs w:val="21"/>
        </w:rPr>
      </w:pPr>
      <w:r>
        <w:rPr>
          <w:rFonts w:hint="eastAsia"/>
          <w:sz w:val="21"/>
          <w:szCs w:val="21"/>
        </w:rPr>
        <w:t xml:space="preserve">4、同一证券同时在两个或两个以上市场交易的，按证券所处的市场分别估值。 </w:t>
      </w:r>
    </w:p>
    <w:p>
      <w:pPr>
        <w:pStyle w:val="8"/>
        <w:spacing w:before="0" w:beforeAutospacing="0" w:after="0" w:afterAutospacing="0" w:line="360" w:lineRule="auto"/>
        <w:ind w:firstLine="420"/>
        <w:rPr>
          <w:sz w:val="21"/>
          <w:szCs w:val="21"/>
        </w:rPr>
      </w:pPr>
      <w:r>
        <w:rPr>
          <w:rFonts w:hint="eastAsia"/>
          <w:sz w:val="21"/>
          <w:szCs w:val="21"/>
        </w:rPr>
        <w:t xml:space="preserve">5、本基金投资股指期货合约、国债期货合约，按估值当日结算价进行估值，估值当日无结算价的，且最近交易日后经济环境未发生重大变化的，采用最近交易日结算价估值。 </w:t>
      </w:r>
    </w:p>
    <w:p>
      <w:pPr>
        <w:pStyle w:val="8"/>
        <w:spacing w:before="0" w:beforeAutospacing="0" w:after="0" w:afterAutospacing="0" w:line="360" w:lineRule="auto"/>
        <w:ind w:firstLine="420"/>
        <w:rPr>
          <w:sz w:val="21"/>
          <w:szCs w:val="21"/>
        </w:rPr>
      </w:pPr>
      <w:r>
        <w:rPr>
          <w:rFonts w:hint="eastAsia"/>
          <w:sz w:val="21"/>
          <w:szCs w:val="21"/>
        </w:rPr>
        <w:t xml:space="preserve">6、汇率：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 </w:t>
      </w:r>
    </w:p>
    <w:p>
      <w:pPr>
        <w:pStyle w:val="8"/>
        <w:spacing w:before="0" w:beforeAutospacing="0" w:after="0" w:afterAutospacing="0" w:line="360" w:lineRule="auto"/>
        <w:ind w:firstLine="420"/>
        <w:rPr>
          <w:sz w:val="21"/>
          <w:szCs w:val="21"/>
        </w:rPr>
      </w:pPr>
      <w:r>
        <w:rPr>
          <w:rFonts w:hint="eastAsia"/>
          <w:sz w:val="21"/>
          <w:szCs w:val="21"/>
        </w:rPr>
        <w:t xml:space="preserve">7、当基金发生大额申购或赎回情形时，基金管理人可以采用摆动定价机制，以确保基金估值的公平性。 </w:t>
      </w:r>
    </w:p>
    <w:p>
      <w:pPr>
        <w:pStyle w:val="8"/>
        <w:spacing w:before="0" w:beforeAutospacing="0" w:after="0" w:afterAutospacing="0" w:line="360" w:lineRule="auto"/>
        <w:ind w:firstLine="420"/>
        <w:rPr>
          <w:sz w:val="21"/>
          <w:szCs w:val="21"/>
        </w:rPr>
      </w:pPr>
      <w:r>
        <w:rPr>
          <w:rFonts w:hint="eastAsia"/>
          <w:sz w:val="21"/>
          <w:szCs w:val="21"/>
        </w:rPr>
        <w:t xml:space="preserve">8、如有确凿证据表明按原有方法进行估值不能客观反映上述资产或负债公允价值的，基金管理人可根据具体情况与基金托管人商定后，按最能反映公允价值的方法估值。 </w:t>
      </w:r>
    </w:p>
    <w:p>
      <w:pPr>
        <w:pStyle w:val="8"/>
        <w:spacing w:before="0" w:beforeAutospacing="0" w:after="0" w:afterAutospacing="0" w:line="360" w:lineRule="auto"/>
        <w:ind w:firstLine="420"/>
        <w:rPr>
          <w:sz w:val="21"/>
          <w:szCs w:val="21"/>
        </w:rPr>
      </w:pPr>
      <w:r>
        <w:rPr>
          <w:rFonts w:hint="eastAsia"/>
          <w:sz w:val="21"/>
          <w:szCs w:val="21"/>
        </w:rPr>
        <w:t xml:space="preserve">9、相关法律法规以及监管部门、自律规则另有规定的，从其规定。如有新增事项，按国家最新规定估值。 </w:t>
      </w:r>
    </w:p>
    <w:p>
      <w:pPr>
        <w:pStyle w:val="8"/>
        <w:spacing w:before="0" w:beforeAutospacing="0" w:after="0" w:afterAutospacing="0" w:line="360" w:lineRule="auto"/>
        <w:ind w:firstLine="420"/>
        <w:rPr>
          <w:sz w:val="21"/>
          <w:szCs w:val="21"/>
        </w:rPr>
      </w:pPr>
      <w:r>
        <w:rPr>
          <w:rFonts w:hint="eastAsia"/>
          <w:sz w:val="21"/>
          <w:szCs w:val="21"/>
        </w:rPr>
        <w:t xml:space="preserve">如本基金转为“博时科创主题灵活配置混合型证券投资基金（LOF）”，投资品种新增事项的估值方法遵照相关法律法规以及监管部门的规定，并相应更新。 </w:t>
      </w:r>
    </w:p>
    <w:p>
      <w:pPr>
        <w:pStyle w:val="8"/>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8"/>
        <w:spacing w:before="0" w:beforeAutospacing="0" w:after="0" w:afterAutospacing="0" w:line="360" w:lineRule="auto"/>
        <w:ind w:firstLine="420"/>
        <w:rPr>
          <w:sz w:val="21"/>
          <w:szCs w:val="21"/>
        </w:rPr>
      </w:pPr>
      <w:r>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pPr>
        <w:pStyle w:val="8"/>
        <w:spacing w:before="0" w:beforeAutospacing="0" w:after="0" w:afterAutospacing="0" w:line="360" w:lineRule="auto"/>
        <w:ind w:firstLine="420"/>
        <w:rPr>
          <w:sz w:val="21"/>
          <w:szCs w:val="21"/>
        </w:rPr>
      </w:pPr>
      <w:r>
        <w:rPr>
          <w:rFonts w:hint="eastAsia"/>
          <w:sz w:val="21"/>
          <w:szCs w:val="21"/>
        </w:rPr>
        <w:t xml:space="preserve">（四）估值程序 </w:t>
      </w:r>
    </w:p>
    <w:p>
      <w:pPr>
        <w:pStyle w:val="8"/>
        <w:spacing w:before="0" w:beforeAutospacing="0" w:after="0" w:afterAutospacing="0" w:line="360" w:lineRule="auto"/>
        <w:ind w:firstLine="420"/>
        <w:rPr>
          <w:sz w:val="21"/>
          <w:szCs w:val="21"/>
        </w:rPr>
      </w:pPr>
      <w:r>
        <w:rPr>
          <w:rFonts w:hint="eastAsia"/>
          <w:sz w:val="21"/>
          <w:szCs w:val="21"/>
        </w:rPr>
        <w:t xml:space="preserve">1、各类基金份额净值是按照每个工作日闭市后，基金资产净值除以当日该类基金份额的余额数量计算，精确到0.0001元，小数点后第5位四舍五入。基金管理人可以设立大额赎回情形下的净值精度应急调整机制。国家另有规定的，从其规定。 </w:t>
      </w:r>
    </w:p>
    <w:p>
      <w:pPr>
        <w:pStyle w:val="8"/>
        <w:spacing w:before="0" w:beforeAutospacing="0" w:after="0" w:afterAutospacing="0" w:line="360" w:lineRule="auto"/>
        <w:ind w:firstLine="420"/>
        <w:rPr>
          <w:sz w:val="21"/>
          <w:szCs w:val="21"/>
        </w:rPr>
      </w:pPr>
      <w:r>
        <w:rPr>
          <w:rFonts w:hint="eastAsia"/>
          <w:sz w:val="21"/>
          <w:szCs w:val="21"/>
        </w:rPr>
        <w:t xml:space="preserve">基金管理人应每个工作日计算基金资产净值及各类基金份额净值，并按规定公告。 </w:t>
      </w:r>
    </w:p>
    <w:p>
      <w:pPr>
        <w:pStyle w:val="8"/>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 </w:t>
      </w:r>
    </w:p>
    <w:p>
      <w:pPr>
        <w:pStyle w:val="8"/>
        <w:spacing w:before="0" w:beforeAutospacing="0" w:after="0" w:afterAutospacing="0" w:line="360" w:lineRule="auto"/>
        <w:ind w:firstLine="420"/>
        <w:rPr>
          <w:sz w:val="21"/>
          <w:szCs w:val="21"/>
        </w:rPr>
      </w:pPr>
      <w:r>
        <w:rPr>
          <w:rFonts w:hint="eastAsia"/>
          <w:sz w:val="21"/>
          <w:szCs w:val="21"/>
        </w:rPr>
        <w:t xml:space="preserve">（五）估值错误的处理 </w:t>
      </w:r>
    </w:p>
    <w:p>
      <w:pPr>
        <w:pStyle w:val="8"/>
        <w:spacing w:before="0" w:beforeAutospacing="0" w:after="0" w:afterAutospacing="0" w:line="360" w:lineRule="auto"/>
        <w:ind w:firstLine="420"/>
        <w:rPr>
          <w:sz w:val="21"/>
          <w:szCs w:val="21"/>
        </w:rPr>
      </w:pPr>
      <w:r>
        <w:rPr>
          <w:rFonts w:hint="eastAsia"/>
          <w:sz w:val="21"/>
          <w:szCs w:val="21"/>
        </w:rPr>
        <w:t xml:space="preserve">基金管理人和基金托管人将采取必要、适当、合理的措施确保基金资产估值的准确性、及时性。当任一类基金份额净值小数点后4位以内(含第4位)发生估值错误时，视为该类基金份额净值错误。 </w:t>
      </w:r>
    </w:p>
    <w:p>
      <w:pPr>
        <w:pStyle w:val="8"/>
        <w:spacing w:before="0" w:beforeAutospacing="0" w:after="0" w:afterAutospacing="0" w:line="360" w:lineRule="auto"/>
        <w:ind w:firstLine="420"/>
        <w:rPr>
          <w:sz w:val="21"/>
          <w:szCs w:val="21"/>
        </w:rPr>
      </w:pPr>
      <w:r>
        <w:rPr>
          <w:rFonts w:hint="eastAsia"/>
          <w:sz w:val="21"/>
          <w:szCs w:val="21"/>
        </w:rPr>
        <w:t xml:space="preserve">本基金合同的当事人应按照以下约定处理： </w:t>
      </w:r>
    </w:p>
    <w:p>
      <w:pPr>
        <w:pStyle w:val="8"/>
        <w:spacing w:before="0" w:beforeAutospacing="0" w:after="0" w:afterAutospacing="0" w:line="360" w:lineRule="auto"/>
        <w:ind w:firstLine="420"/>
        <w:rPr>
          <w:sz w:val="21"/>
          <w:szCs w:val="21"/>
        </w:rPr>
      </w:pPr>
      <w:r>
        <w:rPr>
          <w:rFonts w:hint="eastAsia"/>
          <w:sz w:val="21"/>
          <w:szCs w:val="21"/>
        </w:rPr>
        <w:t xml:space="preserve">1、估值错误类型 </w:t>
      </w:r>
    </w:p>
    <w:p>
      <w:pPr>
        <w:pStyle w:val="8"/>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8"/>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pPr>
        <w:pStyle w:val="8"/>
        <w:spacing w:before="0" w:beforeAutospacing="0" w:after="0" w:afterAutospacing="0" w:line="360" w:lineRule="auto"/>
        <w:ind w:firstLine="420"/>
        <w:rPr>
          <w:sz w:val="21"/>
          <w:szCs w:val="21"/>
        </w:rPr>
      </w:pPr>
      <w:r>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pPr>
        <w:pStyle w:val="8"/>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8"/>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8"/>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8"/>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8"/>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8"/>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8"/>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8"/>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8"/>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8"/>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8"/>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8"/>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8"/>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8"/>
        <w:spacing w:before="0" w:beforeAutospacing="0" w:after="0" w:afterAutospacing="0" w:line="360" w:lineRule="auto"/>
        <w:ind w:firstLine="420"/>
        <w:rPr>
          <w:sz w:val="21"/>
          <w:szCs w:val="21"/>
        </w:rPr>
      </w:pPr>
      <w:r>
        <w:rPr>
          <w:rFonts w:hint="eastAsia"/>
          <w:sz w:val="21"/>
          <w:szCs w:val="21"/>
        </w:rPr>
        <w:t xml:space="preserve">（2）错误偏差达到基金份额净值的0.25%时，基金管理人应当通报基金托管人并报中国证监会备案；错误偏差达到基金份额净值的0.5%时，基金管理人应当公告，并报中国证监会备案。 </w:t>
      </w:r>
    </w:p>
    <w:p>
      <w:pPr>
        <w:pStyle w:val="8"/>
        <w:spacing w:before="0" w:beforeAutospacing="0" w:after="0" w:afterAutospacing="0" w:line="360" w:lineRule="auto"/>
        <w:ind w:firstLine="420"/>
        <w:rPr>
          <w:sz w:val="21"/>
          <w:szCs w:val="21"/>
        </w:rPr>
      </w:pPr>
      <w:r>
        <w:rPr>
          <w:rFonts w:hint="eastAsia"/>
          <w:sz w:val="21"/>
          <w:szCs w:val="21"/>
        </w:rPr>
        <w:t xml:space="preserve">（3）前述内容如法律法规或监管机关另有规定的，从其规定处理。如果行业另有通行做法，基金管理人、基金托管人应本着平等和保护基金份额持有人利益的原则进行协商。 </w:t>
      </w:r>
    </w:p>
    <w:p>
      <w:pPr>
        <w:pStyle w:val="8"/>
        <w:spacing w:before="0" w:beforeAutospacing="0" w:after="0" w:afterAutospacing="0" w:line="360" w:lineRule="auto"/>
        <w:ind w:firstLine="420"/>
        <w:rPr>
          <w:sz w:val="21"/>
          <w:szCs w:val="21"/>
        </w:rPr>
      </w:pPr>
      <w:r>
        <w:rPr>
          <w:rFonts w:hint="eastAsia"/>
          <w:sz w:val="21"/>
          <w:szCs w:val="21"/>
        </w:rPr>
        <w:t xml:space="preserve">（六）暂停估值的情形 </w:t>
      </w:r>
    </w:p>
    <w:p>
      <w:pPr>
        <w:pStyle w:val="8"/>
        <w:spacing w:before="0" w:beforeAutospacing="0" w:after="0" w:afterAutospacing="0" w:line="360" w:lineRule="auto"/>
        <w:ind w:firstLine="420"/>
        <w:rPr>
          <w:sz w:val="21"/>
          <w:szCs w:val="21"/>
        </w:rPr>
      </w:pPr>
      <w:r>
        <w:rPr>
          <w:rFonts w:hint="eastAsia"/>
          <w:sz w:val="21"/>
          <w:szCs w:val="21"/>
        </w:rPr>
        <w:t xml:space="preserve">1、基金投资所涉及的证券/期货交易市场遇法定节假日或因其他原因暂停营业时； </w:t>
      </w:r>
    </w:p>
    <w:p>
      <w:pPr>
        <w:pStyle w:val="8"/>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8"/>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3、当前一估值日基金资产净值50%以上的资产出现无可参考的活跃市场价格且采用估值技术仍导致公允价值存在重大不确定性时，经与基金托管人协商确认后，基金应当暂停估值； </w:t>
      </w:r>
    </w:p>
    <w:p>
      <w:pPr>
        <w:pStyle w:val="8"/>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4、法律法规规定、中国证监会和基金合同认定的其它情形。 </w:t>
      </w:r>
    </w:p>
    <w:p>
      <w:pPr>
        <w:pStyle w:val="8"/>
        <w:spacing w:before="0" w:beforeAutospacing="0" w:after="0" w:afterAutospacing="0" w:line="360" w:lineRule="auto"/>
        <w:ind w:firstLine="420"/>
        <w:rPr>
          <w:sz w:val="21"/>
          <w:szCs w:val="21"/>
        </w:rPr>
      </w:pPr>
      <w:r>
        <w:rPr>
          <w:rFonts w:hint="eastAsia"/>
          <w:sz w:val="21"/>
          <w:szCs w:val="21"/>
        </w:rPr>
        <w:t xml:space="preserve">（七）基金净值的确认 </w:t>
      </w:r>
    </w:p>
    <w:p>
      <w:pPr>
        <w:pStyle w:val="8"/>
        <w:spacing w:before="0" w:beforeAutospacing="0" w:after="0" w:afterAutospacing="0" w:line="360" w:lineRule="auto"/>
        <w:ind w:firstLine="420"/>
        <w:rPr>
          <w:sz w:val="21"/>
          <w:szCs w:val="21"/>
        </w:rPr>
      </w:pPr>
      <w:r>
        <w:rPr>
          <w:rFonts w:hint="eastAsia"/>
          <w:sz w:val="21"/>
          <w:szCs w:val="21"/>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按规定予以公布。 </w:t>
      </w:r>
    </w:p>
    <w:p>
      <w:pPr>
        <w:pStyle w:val="8"/>
        <w:spacing w:before="0" w:beforeAutospacing="0" w:after="0" w:afterAutospacing="0" w:line="360" w:lineRule="auto"/>
        <w:ind w:firstLine="420"/>
        <w:rPr>
          <w:sz w:val="21"/>
          <w:szCs w:val="21"/>
        </w:rPr>
      </w:pPr>
      <w:r>
        <w:rPr>
          <w:rFonts w:hint="eastAsia"/>
          <w:sz w:val="21"/>
          <w:szCs w:val="21"/>
        </w:rPr>
        <w:t xml:space="preserve">（八）特殊情况的处理 </w:t>
      </w:r>
    </w:p>
    <w:p>
      <w:pPr>
        <w:pStyle w:val="8"/>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1、基金管理人或基金托管人按估值方法的第8项进行估值时，所造成的误差不作为基金资产估值错误处理。 </w:t>
      </w:r>
    </w:p>
    <w:p>
      <w:pPr>
        <w:pStyle w:val="8"/>
        <w:spacing w:before="0" w:beforeAutospacing="0" w:after="0" w:afterAutospacing="0" w:line="360" w:lineRule="auto"/>
        <w:ind w:firstLine="420"/>
        <w:rPr>
          <w:sz w:val="21"/>
          <w:szCs w:val="21"/>
        </w:rPr>
      </w:pPr>
      <w:r>
        <w:rPr>
          <w:rFonts w:hint="eastAsia"/>
          <w:sz w:val="21"/>
          <w:szCs w:val="21"/>
        </w:rPr>
        <w:t xml:space="preserve">2、由于不可抗力原因，或由于证券交易所、期货交易所、指数编制机构及登记结算公司等机构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 </w:t>
      </w:r>
    </w:p>
    <w:p>
      <w:pPr>
        <w:pStyle w:val="8"/>
        <w:spacing w:before="0" w:beforeAutospacing="0" w:after="0" w:afterAutospacing="0" w:line="360" w:lineRule="auto"/>
        <w:ind w:firstLine="420"/>
        <w:rPr>
          <w:sz w:val="21"/>
          <w:szCs w:val="21"/>
        </w:rPr>
      </w:pPr>
      <w:r>
        <w:rPr>
          <w:rStyle w:val="13"/>
          <w:rFonts w:hint="eastAsia"/>
          <w:sz w:val="21"/>
          <w:szCs w:val="21"/>
        </w:rPr>
        <w:t>七、基金合同变更、终止与基金财产的清算 </w:t>
      </w:r>
    </w:p>
    <w:p>
      <w:pPr>
        <w:pStyle w:val="8"/>
        <w:spacing w:before="0" w:beforeAutospacing="0" w:after="0" w:afterAutospacing="0" w:line="360" w:lineRule="auto"/>
        <w:ind w:firstLine="420"/>
        <w:rPr>
          <w:sz w:val="21"/>
          <w:szCs w:val="21"/>
        </w:rPr>
      </w:pPr>
      <w:r>
        <w:rPr>
          <w:rFonts w:hint="eastAsia"/>
          <w:sz w:val="21"/>
          <w:szCs w:val="21"/>
        </w:rPr>
        <w:t xml:space="preserve">（一）《基金合同》的变更 </w:t>
      </w:r>
    </w:p>
    <w:p>
      <w:pPr>
        <w:pStyle w:val="8"/>
        <w:spacing w:before="0" w:beforeAutospacing="0" w:after="0" w:afterAutospacing="0" w:line="360" w:lineRule="auto"/>
        <w:ind w:firstLine="420"/>
        <w:rPr>
          <w:sz w:val="21"/>
          <w:szCs w:val="21"/>
        </w:rPr>
      </w:pPr>
      <w:r>
        <w:rPr>
          <w:rFonts w:hint="eastAsia"/>
          <w:sz w:val="21"/>
          <w:szCs w:val="21"/>
        </w:rPr>
        <w:t xml:space="preserve">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pPr>
        <w:pStyle w:val="8"/>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2、关于《基金合同》变更的基金份额持有人大会决议自生效后方可执行，并自决议生效后按规定在指定媒介公告。 </w:t>
      </w:r>
    </w:p>
    <w:p>
      <w:pPr>
        <w:pStyle w:val="8"/>
        <w:spacing w:before="0" w:beforeAutospacing="0" w:after="0" w:afterAutospacing="0" w:line="360" w:lineRule="auto"/>
        <w:ind w:firstLine="420"/>
        <w:rPr>
          <w:sz w:val="21"/>
          <w:szCs w:val="21"/>
        </w:rPr>
      </w:pPr>
      <w:r>
        <w:rPr>
          <w:rFonts w:hint="eastAsia"/>
          <w:sz w:val="21"/>
          <w:szCs w:val="21"/>
        </w:rPr>
        <w:t xml:space="preserve">（二）《基金合同》的终止事由 </w:t>
      </w:r>
    </w:p>
    <w:p>
      <w:pPr>
        <w:pStyle w:val="8"/>
        <w:spacing w:before="0" w:beforeAutospacing="0" w:after="0" w:afterAutospacing="0" w:line="360" w:lineRule="auto"/>
        <w:ind w:firstLine="420"/>
        <w:rPr>
          <w:sz w:val="21"/>
          <w:szCs w:val="21"/>
        </w:rPr>
      </w:pPr>
      <w:r>
        <w:rPr>
          <w:rFonts w:hint="eastAsia"/>
          <w:sz w:val="21"/>
          <w:szCs w:val="21"/>
        </w:rPr>
        <w:t xml:space="preserve">有下列情形之一的，经履行相关程序后，《基金合同》应当终止： </w:t>
      </w:r>
    </w:p>
    <w:p>
      <w:pPr>
        <w:pStyle w:val="8"/>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8"/>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8"/>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8"/>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8"/>
        <w:spacing w:before="0" w:beforeAutospacing="0" w:after="0" w:afterAutospacing="0" w:line="360" w:lineRule="auto"/>
        <w:ind w:firstLine="420"/>
        <w:rPr>
          <w:sz w:val="21"/>
          <w:szCs w:val="21"/>
        </w:rPr>
      </w:pPr>
      <w:r>
        <w:rPr>
          <w:rFonts w:hint="eastAsia"/>
          <w:sz w:val="21"/>
          <w:szCs w:val="21"/>
        </w:rPr>
        <w:t xml:space="preserve">（三）基金财产的清算 </w:t>
      </w:r>
    </w:p>
    <w:p>
      <w:pPr>
        <w:pStyle w:val="8"/>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8"/>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2、在基金财产清算小组接管基金财产之前，基金管理人和基金托管人应按照《基金合同》和托管协议的规定继续履行保护基金财产安全的职责。 </w:t>
      </w:r>
    </w:p>
    <w:p>
      <w:pPr>
        <w:pStyle w:val="8"/>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8"/>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pPr>
        <w:pStyle w:val="8"/>
        <w:spacing w:before="0" w:beforeAutospacing="0" w:after="0" w:afterAutospacing="0" w:line="360" w:lineRule="auto"/>
        <w:ind w:firstLine="420"/>
        <w:rPr>
          <w:sz w:val="21"/>
          <w:szCs w:val="21"/>
        </w:rPr>
      </w:pPr>
      <w:r>
        <w:rPr>
          <w:rFonts w:hint="eastAsia"/>
          <w:sz w:val="21"/>
          <w:szCs w:val="21"/>
        </w:rPr>
        <w:t xml:space="preserve">5、基金财产清算程序： </w:t>
      </w:r>
    </w:p>
    <w:p>
      <w:pPr>
        <w:pStyle w:val="8"/>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8"/>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8"/>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8"/>
        <w:spacing w:before="0" w:beforeAutospacing="0" w:after="0" w:afterAutospacing="0" w:line="360" w:lineRule="auto"/>
        <w:ind w:firstLine="420"/>
        <w:rPr>
          <w:sz w:val="21"/>
          <w:szCs w:val="21"/>
        </w:rPr>
      </w:pPr>
      <w:r>
        <w:rPr>
          <w:rFonts w:hint="eastAsia"/>
          <w:sz w:val="21"/>
          <w:szCs w:val="21"/>
        </w:rPr>
        <w:t xml:space="preserve">（4）制作清算报告； </w:t>
      </w:r>
    </w:p>
    <w:p>
      <w:pPr>
        <w:pStyle w:val="8"/>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8"/>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8"/>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8"/>
        <w:spacing w:before="0" w:beforeAutospacing="0" w:after="0" w:afterAutospacing="0" w:line="360" w:lineRule="auto"/>
        <w:ind w:firstLine="420"/>
        <w:rPr>
          <w:sz w:val="21"/>
          <w:szCs w:val="21"/>
        </w:rPr>
      </w:pPr>
      <w:r>
        <w:rPr>
          <w:rFonts w:hint="eastAsia"/>
          <w:sz w:val="21"/>
          <w:szCs w:val="21"/>
        </w:rPr>
        <w:t xml:space="preserve">6、基金财产清算的期限为6个月，但因本基金所持证券的流动性受到限制而不能及时变现的，清算期限可相应顺延。 </w:t>
      </w:r>
    </w:p>
    <w:p>
      <w:pPr>
        <w:pStyle w:val="8"/>
        <w:spacing w:before="0" w:beforeAutospacing="0" w:after="0" w:afterAutospacing="0" w:line="360" w:lineRule="auto"/>
        <w:ind w:firstLine="420"/>
        <w:rPr>
          <w:sz w:val="21"/>
          <w:szCs w:val="21"/>
        </w:rPr>
      </w:pPr>
      <w:r>
        <w:rPr>
          <w:rFonts w:hint="eastAsia"/>
          <w:sz w:val="21"/>
          <w:szCs w:val="21"/>
        </w:rPr>
        <w:t xml:space="preserve">（四）清算费用 </w:t>
      </w:r>
    </w:p>
    <w:p>
      <w:pPr>
        <w:pStyle w:val="8"/>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8"/>
        <w:spacing w:before="0" w:beforeAutospacing="0" w:after="0" w:afterAutospacing="0" w:line="360" w:lineRule="auto"/>
        <w:ind w:firstLine="420"/>
        <w:rPr>
          <w:sz w:val="21"/>
          <w:szCs w:val="21"/>
        </w:rPr>
      </w:pPr>
      <w:r>
        <w:rPr>
          <w:rFonts w:hint="eastAsia"/>
          <w:sz w:val="21"/>
          <w:szCs w:val="21"/>
        </w:rPr>
        <w:t xml:space="preserve">（五）基金财产清算剩余资产的分配 </w:t>
      </w:r>
    </w:p>
    <w:p>
      <w:pPr>
        <w:pStyle w:val="8"/>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8"/>
        <w:spacing w:before="0" w:beforeAutospacing="0" w:after="0" w:afterAutospacing="0" w:line="360" w:lineRule="auto"/>
        <w:ind w:firstLine="420"/>
        <w:rPr>
          <w:sz w:val="21"/>
          <w:szCs w:val="21"/>
        </w:rPr>
      </w:pPr>
      <w:r>
        <w:rPr>
          <w:rFonts w:hint="eastAsia"/>
          <w:sz w:val="21"/>
          <w:szCs w:val="21"/>
        </w:rPr>
        <w:t xml:space="preserve">（六）基金财产清算的公告 </w:t>
      </w:r>
    </w:p>
    <w:p>
      <w:pPr>
        <w:pStyle w:val="8"/>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8"/>
        <w:spacing w:before="0" w:beforeAutospacing="0" w:after="0" w:afterAutospacing="0" w:line="360" w:lineRule="auto"/>
        <w:ind w:firstLine="420"/>
        <w:rPr>
          <w:sz w:val="21"/>
          <w:szCs w:val="21"/>
        </w:rPr>
      </w:pPr>
      <w:r>
        <w:rPr>
          <w:rFonts w:hint="eastAsia"/>
          <w:sz w:val="21"/>
          <w:szCs w:val="21"/>
        </w:rPr>
        <w:t xml:space="preserve">（七）基金财产清算账册及文件的保存 </w:t>
      </w:r>
    </w:p>
    <w:p>
      <w:pPr>
        <w:pStyle w:val="8"/>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8"/>
        <w:spacing w:before="0" w:beforeAutospacing="0" w:after="0" w:afterAutospacing="0" w:line="360" w:lineRule="auto"/>
        <w:ind w:firstLine="420"/>
        <w:rPr>
          <w:sz w:val="21"/>
          <w:szCs w:val="21"/>
        </w:rPr>
      </w:pPr>
      <w:r>
        <w:rPr>
          <w:rStyle w:val="13"/>
          <w:rFonts w:hint="eastAsia"/>
          <w:sz w:val="21"/>
          <w:szCs w:val="21"/>
        </w:rPr>
        <w:t>八、争议解决方式</w:t>
      </w:r>
    </w:p>
    <w:p>
      <w:pPr>
        <w:pStyle w:val="8"/>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 </w:t>
      </w:r>
    </w:p>
    <w:p>
      <w:pPr>
        <w:pStyle w:val="8"/>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pPr>
        <w:pStyle w:val="8"/>
        <w:spacing w:before="0" w:beforeAutospacing="0" w:after="0" w:afterAutospacing="0" w:line="360" w:lineRule="auto"/>
        <w:ind w:firstLine="420"/>
        <w:rPr>
          <w:sz w:val="21"/>
          <w:szCs w:val="21"/>
        </w:rPr>
      </w:pPr>
      <w:r>
        <w:rPr>
          <w:rFonts w:hint="eastAsia"/>
          <w:sz w:val="21"/>
          <w:szCs w:val="21"/>
        </w:rPr>
        <w:t xml:space="preserve">《基金合同》受中国法律管辖。 </w:t>
      </w:r>
    </w:p>
    <w:p>
      <w:pPr>
        <w:pStyle w:val="8"/>
        <w:spacing w:before="0" w:beforeAutospacing="0" w:after="0" w:afterAutospacing="0" w:line="360" w:lineRule="auto"/>
        <w:ind w:firstLine="420"/>
        <w:rPr>
          <w:sz w:val="21"/>
          <w:szCs w:val="21"/>
        </w:rPr>
      </w:pPr>
      <w:r>
        <w:rPr>
          <w:rStyle w:val="13"/>
          <w:rFonts w:hint="eastAsia"/>
          <w:sz w:val="21"/>
          <w:szCs w:val="21"/>
        </w:rPr>
        <w:t>九、基金合同的效力</w:t>
      </w:r>
    </w:p>
    <w:p>
      <w:pPr>
        <w:pStyle w:val="8"/>
        <w:spacing w:before="0" w:beforeAutospacing="0" w:after="0" w:afterAutospacing="0" w:line="360" w:lineRule="auto"/>
        <w:ind w:firstLine="420"/>
        <w:rPr>
          <w:sz w:val="21"/>
          <w:szCs w:val="21"/>
        </w:rPr>
      </w:pPr>
      <w:r>
        <w:rPr>
          <w:rFonts w:hint="eastAsia"/>
          <w:sz w:val="21"/>
          <w:szCs w:val="21"/>
        </w:rPr>
        <w:t xml:space="preserve">《基金合同》是约定基金合同当事人之间权利义务关系的法律文件。 </w:t>
      </w:r>
    </w:p>
    <w:p>
      <w:pPr>
        <w:pStyle w:val="8"/>
        <w:spacing w:before="0" w:beforeAutospacing="0" w:after="0" w:afterAutospacing="0" w:line="360" w:lineRule="auto"/>
        <w:ind w:firstLine="420"/>
        <w:rPr>
          <w:sz w:val="21"/>
          <w:szCs w:val="21"/>
        </w:rPr>
      </w:pPr>
      <w:r>
        <w:rPr>
          <w:rFonts w:hint="eastAsia"/>
          <w:sz w:val="21"/>
          <w:szCs w:val="21"/>
        </w:rPr>
        <w:t xml:space="preserve">1、《基金合同》经基金管理人、基金托管人双方盖章以及双方法定代表人或授权代表签字并在募集结束后经基金管理人向中国证监会办理基金备案手续，并经中国证监会书面确认后生效。 </w:t>
      </w:r>
    </w:p>
    <w:p>
      <w:pPr>
        <w:pStyle w:val="8"/>
        <w:spacing w:before="0" w:beforeAutospacing="0" w:after="0" w:afterAutospacing="0" w:line="360" w:lineRule="auto"/>
        <w:ind w:firstLine="420"/>
        <w:rPr>
          <w:sz w:val="21"/>
          <w:szCs w:val="21"/>
        </w:rPr>
      </w:pPr>
      <w:r>
        <w:rPr>
          <w:rFonts w:hint="eastAsia"/>
          <w:sz w:val="21"/>
          <w:szCs w:val="21"/>
        </w:rPr>
        <w:t xml:space="preserve">2、《基金合同》的有效期自其生效之日起至基金财产清算结果报中国证监会备案并公告之日止。 </w:t>
      </w:r>
    </w:p>
    <w:p>
      <w:pPr>
        <w:pStyle w:val="8"/>
        <w:spacing w:before="0" w:beforeAutospacing="0" w:after="0" w:afterAutospacing="0" w:line="360" w:lineRule="auto"/>
        <w:ind w:firstLine="420"/>
        <w:rPr>
          <w:sz w:val="21"/>
          <w:szCs w:val="21"/>
        </w:rPr>
      </w:pPr>
      <w:r>
        <w:rPr>
          <w:rFonts w:hint="eastAsia"/>
          <w:sz w:val="21"/>
          <w:szCs w:val="21"/>
        </w:rPr>
        <w:t xml:space="preserve">3、《基金合同》自生效之日起对包括基金管理人、基金托管人和基金份额持有人在内的《基金合同》各方当事人具有同等的法律约束力。 </w:t>
      </w:r>
    </w:p>
    <w:p>
      <w:pPr>
        <w:pStyle w:val="8"/>
        <w:spacing w:before="0" w:beforeAutospacing="0" w:after="0" w:afterAutospacing="0" w:line="360" w:lineRule="auto"/>
        <w:ind w:firstLine="420"/>
        <w:rPr>
          <w:sz w:val="21"/>
          <w:szCs w:val="21"/>
        </w:rPr>
      </w:pPr>
      <w:r>
        <w:rPr>
          <w:rFonts w:hint="eastAsia"/>
          <w:sz w:val="21"/>
          <w:szCs w:val="21"/>
        </w:rPr>
        <w:t xml:space="preserve">4、《基金合同》正本一式六份，除上报有关监管机构一式二份外，基金管理人、基金托管人各持有二份，每份具有同等的法律效力。 </w:t>
      </w:r>
    </w:p>
    <w:p>
      <w:pPr>
        <w:pStyle w:val="8"/>
        <w:spacing w:before="0" w:beforeAutospacing="0" w:after="0" w:afterAutospacing="0" w:line="360" w:lineRule="auto"/>
        <w:ind w:firstLine="420"/>
        <w:rPr>
          <w:sz w:val="21"/>
          <w:szCs w:val="21"/>
        </w:rPr>
      </w:pPr>
      <w:r>
        <w:rPr>
          <w:rFonts w:hint="eastAsia"/>
          <w:sz w:val="21"/>
          <w:szCs w:val="21"/>
        </w:rPr>
        <w:t>5、《基金合同》可印制成册，供投资人在基金管理人、基金托管人、销售机构的办公</w:t>
      </w:r>
      <w:bookmarkStart w:id="183" w:name="chapter_level1_23_71_section_1_end"/>
      <w:bookmarkEnd w:id="183"/>
      <w:r>
        <w:rPr>
          <w:rFonts w:hint="eastAsia"/>
          <w:sz w:val="21"/>
          <w:szCs w:val="21"/>
        </w:rPr>
        <w:t xml:space="preserve">场所和营业场所查阅。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4" w:name="_Toc4836"/>
      <w:bookmarkStart w:id="185" w:name="_Toc82437042"/>
      <w:bookmarkStart w:id="186" w:name="chapter_level1_24_72"/>
      <w:r>
        <w:rPr>
          <w:rFonts w:hint="eastAsia" w:ascii="宋体" w:hAnsi="宋体" w:eastAsia="宋体"/>
          <w:sz w:val="30"/>
        </w:rPr>
        <w:t>第二十部分  基金托管协议的内容摘要</w:t>
      </w:r>
      <w:bookmarkEnd w:id="184"/>
      <w:bookmarkEnd w:id="185"/>
      <w:bookmarkEnd w:id="186"/>
    </w:p>
    <w:p>
      <w:pPr>
        <w:pStyle w:val="8"/>
        <w:spacing w:before="0" w:beforeAutospacing="0" w:after="0" w:afterAutospacing="0" w:line="360" w:lineRule="auto"/>
        <w:ind w:firstLine="420"/>
        <w:rPr>
          <w:sz w:val="21"/>
          <w:szCs w:val="21"/>
        </w:rPr>
      </w:pPr>
      <w:bookmarkStart w:id="187" w:name="chapter_level1_24_72_section_1"/>
      <w:bookmarkEnd w:id="187"/>
      <w:r>
        <w:rPr>
          <w:rStyle w:val="13"/>
          <w:rFonts w:hint="eastAsia"/>
          <w:sz w:val="21"/>
          <w:szCs w:val="21"/>
        </w:rPr>
        <w:t>一、托管协议当事人</w:t>
      </w:r>
    </w:p>
    <w:p>
      <w:pPr>
        <w:pStyle w:val="8"/>
        <w:spacing w:before="0" w:beforeAutospacing="0" w:after="0" w:afterAutospacing="0" w:line="360" w:lineRule="auto"/>
        <w:ind w:firstLine="420"/>
        <w:rPr>
          <w:sz w:val="21"/>
          <w:szCs w:val="21"/>
        </w:rPr>
      </w:pPr>
      <w:r>
        <w:rPr>
          <w:rFonts w:hint="eastAsia"/>
          <w:sz w:val="21"/>
          <w:szCs w:val="21"/>
        </w:rPr>
        <w:t xml:space="preserve">（一）基金管理人 </w:t>
      </w:r>
    </w:p>
    <w:p>
      <w:pPr>
        <w:pStyle w:val="8"/>
        <w:spacing w:before="0" w:beforeAutospacing="0" w:after="0" w:afterAutospacing="0" w:line="360" w:lineRule="auto"/>
        <w:ind w:firstLine="420"/>
        <w:rPr>
          <w:sz w:val="21"/>
          <w:szCs w:val="21"/>
        </w:rPr>
      </w:pPr>
      <w:r>
        <w:rPr>
          <w:rFonts w:hint="eastAsia"/>
          <w:sz w:val="21"/>
          <w:szCs w:val="21"/>
        </w:rPr>
        <w:t>名称：</w:t>
      </w:r>
      <w:bookmarkStart w:id="188" w:name="field_0_managerorgfullname_4"/>
      <w:r>
        <w:rPr>
          <w:rFonts w:hint="eastAsia"/>
          <w:sz w:val="21"/>
          <w:szCs w:val="21"/>
        </w:rPr>
        <w:t>博时基金管理有限公司</w:t>
      </w:r>
      <w:bookmarkEnd w:id="188"/>
      <w:r>
        <w:rPr>
          <w:rFonts w:hint="eastAsia"/>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8"/>
        <w:spacing w:before="0" w:beforeAutospacing="0" w:after="0" w:afterAutospacing="0" w:line="360" w:lineRule="auto"/>
        <w:ind w:firstLine="420"/>
        <w:rPr>
          <w:sz w:val="21"/>
          <w:szCs w:val="21"/>
        </w:rPr>
      </w:pPr>
      <w:r>
        <w:rPr>
          <w:rFonts w:hint="eastAsia"/>
          <w:sz w:val="21"/>
          <w:szCs w:val="21"/>
        </w:rPr>
        <w:t xml:space="preserve">办公地址：广东省深圳市福田区益田路5999号基金大厦21层 </w:t>
      </w:r>
    </w:p>
    <w:p>
      <w:pPr>
        <w:pStyle w:val="8"/>
        <w:spacing w:before="0" w:beforeAutospacing="0" w:after="0" w:afterAutospacing="0" w:line="360" w:lineRule="auto"/>
        <w:ind w:firstLine="420"/>
        <w:rPr>
          <w:sz w:val="21"/>
          <w:szCs w:val="21"/>
        </w:rPr>
      </w:pPr>
      <w:r>
        <w:rPr>
          <w:rFonts w:hint="eastAsia"/>
          <w:sz w:val="21"/>
          <w:szCs w:val="21"/>
        </w:rPr>
        <w:t xml:space="preserve">邮政编码：518017 </w:t>
      </w:r>
    </w:p>
    <w:p>
      <w:pPr>
        <w:pStyle w:val="8"/>
        <w:spacing w:before="0" w:beforeAutospacing="0" w:after="0" w:afterAutospacing="0" w:line="360" w:lineRule="auto"/>
        <w:ind w:firstLine="420"/>
        <w:rPr>
          <w:sz w:val="21"/>
          <w:szCs w:val="21"/>
        </w:rPr>
      </w:pPr>
      <w:r>
        <w:rPr>
          <w:rFonts w:hint="eastAsia"/>
          <w:sz w:val="21"/>
          <w:szCs w:val="21"/>
        </w:rPr>
        <w:t xml:space="preserve">法定代表人：江向阳  </w:t>
      </w:r>
    </w:p>
    <w:p>
      <w:pPr>
        <w:pStyle w:val="8"/>
        <w:spacing w:before="0" w:beforeAutospacing="0" w:after="0" w:afterAutospacing="0" w:line="360" w:lineRule="auto"/>
        <w:ind w:firstLine="420"/>
        <w:rPr>
          <w:sz w:val="21"/>
          <w:szCs w:val="21"/>
        </w:rPr>
      </w:pPr>
      <w:r>
        <w:rPr>
          <w:rFonts w:hint="eastAsia"/>
          <w:sz w:val="21"/>
          <w:szCs w:val="21"/>
        </w:rPr>
        <w:t xml:space="preserve">设立日期：1998年7月13日 </w:t>
      </w:r>
    </w:p>
    <w:p>
      <w:pPr>
        <w:pStyle w:val="8"/>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8"/>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8"/>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8"/>
        <w:spacing w:before="0" w:beforeAutospacing="0" w:after="0" w:afterAutospacing="0" w:line="360" w:lineRule="auto"/>
        <w:ind w:firstLine="420"/>
        <w:rPr>
          <w:sz w:val="21"/>
          <w:szCs w:val="21"/>
        </w:rPr>
      </w:pPr>
      <w:r>
        <w:rPr>
          <w:rFonts w:hint="eastAsia"/>
          <w:sz w:val="21"/>
          <w:szCs w:val="21"/>
        </w:rPr>
        <w:t xml:space="preserve">存续期限：持续经营 </w:t>
      </w:r>
    </w:p>
    <w:p>
      <w:pPr>
        <w:pStyle w:val="8"/>
        <w:spacing w:before="0" w:beforeAutospacing="0" w:after="0" w:afterAutospacing="0" w:line="360" w:lineRule="auto"/>
        <w:ind w:firstLine="420"/>
        <w:rPr>
          <w:sz w:val="21"/>
          <w:szCs w:val="21"/>
        </w:rPr>
      </w:pPr>
      <w:r>
        <w:rPr>
          <w:rFonts w:hint="eastAsia"/>
          <w:sz w:val="21"/>
          <w:szCs w:val="21"/>
        </w:rPr>
        <w:t xml:space="preserve">（二）基金托管人 </w:t>
      </w:r>
    </w:p>
    <w:p>
      <w:pPr>
        <w:pStyle w:val="8"/>
        <w:spacing w:before="0" w:beforeAutospacing="0" w:after="0" w:afterAutospacing="0" w:line="360" w:lineRule="auto"/>
        <w:ind w:firstLine="420"/>
        <w:rPr>
          <w:sz w:val="21"/>
          <w:szCs w:val="21"/>
        </w:rPr>
      </w:pPr>
      <w:r>
        <w:rPr>
          <w:rFonts w:hint="eastAsia"/>
          <w:sz w:val="21"/>
          <w:szCs w:val="21"/>
        </w:rPr>
        <w:t>名称：</w:t>
      </w:r>
      <w:bookmarkStart w:id="189" w:name="field_0_trustorgfullname_2"/>
      <w:r>
        <w:rPr>
          <w:rFonts w:hint="eastAsia"/>
          <w:sz w:val="21"/>
          <w:szCs w:val="21"/>
        </w:rPr>
        <w:t>中国工商银行股份有限公司</w:t>
      </w:r>
      <w:bookmarkEnd w:id="189"/>
      <w:r>
        <w:rPr>
          <w:rFonts w:hint="eastAsia"/>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 xml:space="preserve">住所：北京市西城区复兴门内大街55号（100032） </w:t>
      </w:r>
    </w:p>
    <w:p>
      <w:pPr>
        <w:pStyle w:val="8"/>
        <w:spacing w:before="0" w:beforeAutospacing="0" w:after="0" w:afterAutospacing="0" w:line="360" w:lineRule="auto"/>
        <w:ind w:firstLine="420"/>
        <w:rPr>
          <w:sz w:val="21"/>
          <w:szCs w:val="21"/>
        </w:rPr>
      </w:pPr>
      <w:r>
        <w:rPr>
          <w:rFonts w:hint="eastAsia"/>
          <w:sz w:val="21"/>
          <w:szCs w:val="21"/>
        </w:rPr>
        <w:t xml:space="preserve">法定代表人：陈四清 </w:t>
      </w:r>
    </w:p>
    <w:p>
      <w:pPr>
        <w:pStyle w:val="8"/>
        <w:spacing w:before="0" w:beforeAutospacing="0" w:after="0" w:afterAutospacing="0" w:line="360" w:lineRule="auto"/>
        <w:ind w:firstLine="420"/>
        <w:rPr>
          <w:sz w:val="21"/>
          <w:szCs w:val="21"/>
        </w:rPr>
      </w:pPr>
      <w:r>
        <w:rPr>
          <w:rFonts w:hint="eastAsia"/>
          <w:sz w:val="21"/>
          <w:szCs w:val="21"/>
        </w:rPr>
        <w:t xml:space="preserve">电话：（010）66105799 </w:t>
      </w:r>
    </w:p>
    <w:p>
      <w:pPr>
        <w:pStyle w:val="8"/>
        <w:spacing w:before="0" w:beforeAutospacing="0" w:after="0" w:afterAutospacing="0" w:line="360" w:lineRule="auto"/>
        <w:ind w:firstLine="420"/>
        <w:rPr>
          <w:sz w:val="21"/>
          <w:szCs w:val="21"/>
        </w:rPr>
      </w:pPr>
      <w:r>
        <w:rPr>
          <w:rFonts w:hint="eastAsia"/>
          <w:sz w:val="21"/>
          <w:szCs w:val="21"/>
        </w:rPr>
        <w:t xml:space="preserve">传真：（010）66105798 </w:t>
      </w:r>
    </w:p>
    <w:p>
      <w:pPr>
        <w:pStyle w:val="8"/>
        <w:spacing w:before="0" w:beforeAutospacing="0" w:after="0" w:afterAutospacing="0" w:line="360" w:lineRule="auto"/>
        <w:ind w:firstLine="420"/>
        <w:rPr>
          <w:sz w:val="21"/>
          <w:szCs w:val="21"/>
        </w:rPr>
      </w:pPr>
      <w:r>
        <w:rPr>
          <w:rFonts w:hint="eastAsia"/>
          <w:sz w:val="21"/>
          <w:szCs w:val="21"/>
        </w:rPr>
        <w:t xml:space="preserve">联系人：郭明      </w:t>
      </w:r>
    </w:p>
    <w:p>
      <w:pPr>
        <w:pStyle w:val="8"/>
        <w:spacing w:before="0" w:beforeAutospacing="0" w:after="0" w:afterAutospacing="0" w:line="360" w:lineRule="auto"/>
        <w:ind w:firstLine="420"/>
        <w:rPr>
          <w:sz w:val="21"/>
          <w:szCs w:val="21"/>
        </w:rPr>
      </w:pPr>
      <w:r>
        <w:rPr>
          <w:rFonts w:hint="eastAsia"/>
          <w:sz w:val="21"/>
          <w:szCs w:val="21"/>
        </w:rPr>
        <w:t xml:space="preserve">成立时间：1984年1月1日 </w:t>
      </w:r>
    </w:p>
    <w:p>
      <w:pPr>
        <w:pStyle w:val="8"/>
        <w:spacing w:before="0" w:beforeAutospacing="0" w:after="0" w:afterAutospacing="0" w:line="360" w:lineRule="auto"/>
        <w:ind w:firstLine="420"/>
        <w:rPr>
          <w:sz w:val="21"/>
          <w:szCs w:val="21"/>
        </w:rPr>
      </w:pPr>
      <w:r>
        <w:rPr>
          <w:rFonts w:hint="eastAsia"/>
          <w:sz w:val="21"/>
          <w:szCs w:val="21"/>
        </w:rPr>
        <w:t xml:space="preserve">基金托管资格批文及文号：中国证监会和中国人民银行证监基字【1998】3号 </w:t>
      </w:r>
    </w:p>
    <w:p>
      <w:pPr>
        <w:pStyle w:val="8"/>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8"/>
        <w:spacing w:before="0" w:beforeAutospacing="0" w:after="0" w:afterAutospacing="0" w:line="360" w:lineRule="auto"/>
        <w:ind w:firstLine="420"/>
        <w:rPr>
          <w:sz w:val="21"/>
          <w:szCs w:val="21"/>
        </w:rPr>
      </w:pPr>
      <w:r>
        <w:rPr>
          <w:rFonts w:hint="eastAsia"/>
          <w:sz w:val="21"/>
          <w:szCs w:val="21"/>
        </w:rPr>
        <w:t xml:space="preserve">注册资本：人民币35,640,625.7089万元 </w:t>
      </w:r>
    </w:p>
    <w:p>
      <w:pPr>
        <w:pStyle w:val="8"/>
        <w:spacing w:before="0" w:beforeAutospacing="0" w:after="0" w:afterAutospacing="0" w:line="360" w:lineRule="auto"/>
        <w:ind w:firstLine="420"/>
        <w:rPr>
          <w:sz w:val="21"/>
          <w:szCs w:val="21"/>
        </w:rPr>
      </w:pPr>
      <w:r>
        <w:rPr>
          <w:rFonts w:hint="eastAsia"/>
          <w:sz w:val="21"/>
          <w:szCs w:val="21"/>
        </w:rPr>
        <w:t xml:space="preserve">批准设立机关和设立文号：国务院《关于中国人民银行专门行使中央银行职能的决定》（国发[1983]146号） </w:t>
      </w:r>
    </w:p>
    <w:p>
      <w:pPr>
        <w:pStyle w:val="8"/>
        <w:spacing w:before="0" w:beforeAutospacing="0" w:after="0" w:afterAutospacing="0" w:line="360" w:lineRule="auto"/>
        <w:ind w:firstLine="420"/>
        <w:rPr>
          <w:sz w:val="21"/>
          <w:szCs w:val="21"/>
        </w:rPr>
      </w:pPr>
      <w:r>
        <w:rPr>
          <w:rFonts w:hint="eastAsia"/>
          <w:sz w:val="21"/>
          <w:szCs w:val="21"/>
        </w:rPr>
        <w:t xml:space="preserve">存续期间：持续经营 </w:t>
      </w:r>
    </w:p>
    <w:p>
      <w:pPr>
        <w:pStyle w:val="8"/>
        <w:spacing w:before="0" w:beforeAutospacing="0" w:after="0" w:afterAutospacing="0" w:line="360" w:lineRule="auto"/>
        <w:ind w:firstLine="420"/>
        <w:rPr>
          <w:sz w:val="21"/>
          <w:szCs w:val="21"/>
        </w:rPr>
      </w:pPr>
      <w:r>
        <w:rPr>
          <w:rFonts w:hint="eastAsia"/>
          <w:sz w:val="21"/>
          <w:szCs w:val="21"/>
        </w:rPr>
        <w:t xml:space="preserve">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 </w:t>
      </w:r>
    </w:p>
    <w:p>
      <w:pPr>
        <w:pStyle w:val="8"/>
        <w:spacing w:before="0" w:beforeAutospacing="0" w:after="0" w:afterAutospacing="0" w:line="360" w:lineRule="auto"/>
        <w:ind w:firstLine="420"/>
        <w:rPr>
          <w:sz w:val="21"/>
          <w:szCs w:val="21"/>
        </w:rPr>
      </w:pPr>
      <w:r>
        <w:rPr>
          <w:rStyle w:val="13"/>
          <w:rFonts w:hint="eastAsia"/>
          <w:sz w:val="21"/>
          <w:szCs w:val="21"/>
        </w:rPr>
        <w:t>二、基金托管人对基金管理人的业务监督和核查</w:t>
      </w:r>
    </w:p>
    <w:p>
      <w:pPr>
        <w:pStyle w:val="8"/>
        <w:spacing w:before="0" w:beforeAutospacing="0" w:after="0" w:afterAutospacing="0" w:line="360" w:lineRule="auto"/>
        <w:ind w:firstLine="420"/>
        <w:rPr>
          <w:sz w:val="21"/>
          <w:szCs w:val="21"/>
        </w:rPr>
      </w:pPr>
      <w:r>
        <w:rPr>
          <w:rFonts w:hint="eastAsia"/>
          <w:sz w:val="21"/>
          <w:szCs w:val="21"/>
        </w:rPr>
        <w:t xml:space="preserve">（一）基金托管人对基金管理人的投资行为行使监督权 </w:t>
      </w:r>
    </w:p>
    <w:p>
      <w:pPr>
        <w:pStyle w:val="8"/>
        <w:spacing w:before="0" w:beforeAutospacing="0" w:after="0" w:afterAutospacing="0" w:line="360" w:lineRule="auto"/>
        <w:ind w:firstLine="420"/>
        <w:rPr>
          <w:sz w:val="21"/>
          <w:szCs w:val="21"/>
        </w:rPr>
      </w:pPr>
      <w:r>
        <w:rPr>
          <w:rFonts w:hint="eastAsia"/>
          <w:sz w:val="21"/>
          <w:szCs w:val="21"/>
        </w:rPr>
        <w:t xml:space="preserve">1、基金托管人根据有关法律法规的规定和《基金合同》的约定，对下述基金投资范围、投资对象进行监督。 </w:t>
      </w:r>
    </w:p>
    <w:p>
      <w:pPr>
        <w:pStyle w:val="8"/>
        <w:spacing w:before="0" w:beforeAutospacing="0" w:after="0" w:afterAutospacing="0" w:line="360" w:lineRule="auto"/>
        <w:ind w:firstLine="420"/>
        <w:rPr>
          <w:sz w:val="21"/>
          <w:szCs w:val="21"/>
        </w:rPr>
      </w:pPr>
      <w:r>
        <w:rPr>
          <w:rFonts w:hint="eastAsia"/>
          <w:sz w:val="21"/>
          <w:szCs w:val="21"/>
        </w:rPr>
        <w:t>A．封闭运作期届满前“</w:t>
      </w:r>
      <w:bookmarkStart w:id="190" w:name="field_0_productfullname_9"/>
      <w:r>
        <w:rPr>
          <w:rFonts w:hint="eastAsia"/>
          <w:sz w:val="21"/>
          <w:szCs w:val="21"/>
        </w:rPr>
        <w:t>博时科创主题</w:t>
      </w:r>
      <w:r>
        <w:rPr>
          <w:sz w:val="21"/>
          <w:szCs w:val="21"/>
        </w:rPr>
        <w:t>3年封闭运作灵活配置混合型证券投资基金</w:t>
      </w:r>
      <w:bookmarkEnd w:id="190"/>
      <w:r>
        <w:rPr>
          <w:rFonts w:hint="eastAsia"/>
          <w:sz w:val="21"/>
          <w:szCs w:val="21"/>
        </w:rPr>
        <w:t xml:space="preserve">”的投资范围： </w:t>
      </w:r>
    </w:p>
    <w:p>
      <w:pPr>
        <w:pStyle w:val="8"/>
        <w:spacing w:before="0" w:beforeAutospacing="0" w:after="0" w:afterAutospacing="0" w:line="360" w:lineRule="auto"/>
        <w:ind w:firstLine="420"/>
        <w:rPr>
          <w:sz w:val="21"/>
          <w:szCs w:val="21"/>
        </w:rPr>
      </w:pPr>
      <w:r>
        <w:rPr>
          <w:rFonts w:hint="eastAsia"/>
          <w:sz w:val="21"/>
          <w:szCs w:val="21"/>
        </w:rPr>
        <w:t xml:space="preserve">本基金的投资范围包括国内依法发行上市的股票（含中小板、创业板、科创板及其他经中国证监会核准上市的股票、存托凭证）、内地与香港股票市场互联互通机制下允许买卖的香港证券市场股票（以下简称“港股通标的股票”）、债券（国债、金融债、企业债、公司债、央行票据、中期票据、短期融资券、超短期融资券、可转换债券（含可分离交易可转换债券）、可交换债、次级债等）、股指期货、国债期货、债券回购、同业存单、银行存款（包含协议存款、定期存款及其他银行存款）、货币市场工具、现金以及法律法规或中国证监会允许基金投资的其他金融工具（但须符合中国证监会相关规定）。 </w:t>
      </w:r>
    </w:p>
    <w:p>
      <w:pPr>
        <w:pStyle w:val="8"/>
        <w:spacing w:before="0" w:beforeAutospacing="0" w:after="0" w:afterAutospacing="0" w:line="360" w:lineRule="auto"/>
        <w:ind w:firstLine="420"/>
        <w:rPr>
          <w:sz w:val="21"/>
          <w:szCs w:val="21"/>
        </w:rPr>
      </w:pPr>
      <w:r>
        <w:rPr>
          <w:rFonts w:hint="eastAsia"/>
          <w:sz w:val="21"/>
          <w:szCs w:val="21"/>
        </w:rPr>
        <w:t xml:space="preserve">基金的投资组合比例为：投资股票资产（含存托凭证）占基金资产的比例为0%—100%，港股通标的股票的投资比例为股票资产的0%-50%，其中，投资于本基金界定的科创主题相关证券的比例不低于非现金基金资产的80%。每个交易日日终在扣除国债期货和股指期货合约需缴纳的交易保证金后，应当保持不低于交易保证金一倍的现金，其中现金不包括结算备付金、存出保证金、应收申购款等。股票投资部分可以以战略配售的方式进行投资。 </w:t>
      </w:r>
    </w:p>
    <w:p>
      <w:pPr>
        <w:pStyle w:val="8"/>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p>
    <w:p>
      <w:pPr>
        <w:pStyle w:val="8"/>
        <w:spacing w:before="0" w:beforeAutospacing="0" w:after="0" w:afterAutospacing="0" w:line="360" w:lineRule="auto"/>
        <w:ind w:firstLine="420"/>
        <w:rPr>
          <w:sz w:val="21"/>
          <w:szCs w:val="21"/>
        </w:rPr>
      </w:pPr>
      <w:r>
        <w:rPr>
          <w:rFonts w:hint="eastAsia"/>
          <w:sz w:val="21"/>
          <w:szCs w:val="21"/>
        </w:rPr>
        <w:t xml:space="preserve">本基金不得投资于相关法律、法规、部门规章及《基金合同》禁止投资的投资工具。 </w:t>
      </w:r>
    </w:p>
    <w:p>
      <w:pPr>
        <w:pStyle w:val="8"/>
        <w:spacing w:before="0" w:beforeAutospacing="0" w:after="0" w:afterAutospacing="0" w:line="360" w:lineRule="auto"/>
        <w:ind w:firstLine="420"/>
        <w:rPr>
          <w:sz w:val="21"/>
          <w:szCs w:val="21"/>
        </w:rPr>
      </w:pPr>
      <w:r>
        <w:rPr>
          <w:rFonts w:hint="eastAsia"/>
          <w:sz w:val="21"/>
          <w:szCs w:val="21"/>
        </w:rPr>
        <w:t xml:space="preserve">B．封闭运作期届满转为“博时科创主题灵活配置混合型证券投资基金（LOF）”后的投资范围： </w:t>
      </w:r>
    </w:p>
    <w:p>
      <w:pPr>
        <w:pStyle w:val="8"/>
        <w:spacing w:before="0" w:beforeAutospacing="0" w:after="0" w:afterAutospacing="0" w:line="360" w:lineRule="auto"/>
        <w:ind w:firstLine="420"/>
        <w:rPr>
          <w:sz w:val="21"/>
          <w:szCs w:val="21"/>
        </w:rPr>
      </w:pPr>
      <w:r>
        <w:rPr>
          <w:rFonts w:hint="eastAsia"/>
          <w:sz w:val="21"/>
          <w:szCs w:val="21"/>
        </w:rPr>
        <w:t xml:space="preserve">本基金投资于国内依法发行上市的股票（包括中小板、创业板、科创板及其他经中国证监会核准上市的股票、存托凭证）、内地与香港股票市场互联互通机制下允许买卖的香港证券市场股票（以下简称“港股通标的股票”）、债券（国债、金融债、企业债、公司债、央行票据、中期票据、短期融资券、超短期融资券、可转换债券（含可分离交易可转换债券）、可交换债、次级债等）、货币市场工具、同业存单、资产支持证券、债券回购、银行存款、股指期货、国债期货、现金以及法律法规或中国证监会允许基金投资的其他金融工具(但须符合中国证监会的相关规定)。 </w:t>
      </w:r>
    </w:p>
    <w:p>
      <w:pPr>
        <w:pStyle w:val="8"/>
        <w:spacing w:before="0" w:beforeAutospacing="0" w:after="0" w:afterAutospacing="0" w:line="360" w:lineRule="auto"/>
        <w:ind w:firstLine="420"/>
        <w:rPr>
          <w:sz w:val="21"/>
          <w:szCs w:val="21"/>
        </w:rPr>
      </w:pPr>
      <w:r>
        <w:rPr>
          <w:rFonts w:hint="eastAsia"/>
          <w:sz w:val="21"/>
          <w:szCs w:val="21"/>
        </w:rPr>
        <w:t xml:space="preserve">基金的投资组合比例为：股票（含存托凭证）投资比例为基金资产的0％-95％；投资于科创主题相关证券的比例不低于非现金基金资产的80%；港股通标的股票的投资比例为股票资产的0%-50%；每个交易日日终，在扣除国债期货和股指期货合约需缴纳的交易保证金后，应当保持不低于基金资产净值5%的现金或到期日在一年以内的政府债券，其中现金不包括结算备付金、存出保证金、应收申购款等。 </w:t>
      </w:r>
    </w:p>
    <w:p>
      <w:pPr>
        <w:pStyle w:val="8"/>
        <w:spacing w:before="0" w:beforeAutospacing="0" w:after="0" w:afterAutospacing="0" w:line="360" w:lineRule="auto"/>
        <w:ind w:firstLine="420"/>
        <w:rPr>
          <w:sz w:val="21"/>
          <w:szCs w:val="21"/>
        </w:rPr>
      </w:pPr>
      <w:r>
        <w:rPr>
          <w:rFonts w:hint="eastAsia"/>
          <w:sz w:val="21"/>
          <w:szCs w:val="21"/>
        </w:rPr>
        <w:t xml:space="preserve">本基金可根据投资策略需要或不同配置地市场环境的变化，选择将部分基金资产投资于港股或选择不将基金资产投资于港股，基金资产并非必然投资港股。 </w:t>
      </w:r>
    </w:p>
    <w:p>
      <w:pPr>
        <w:pStyle w:val="8"/>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p>
    <w:p>
      <w:pPr>
        <w:pStyle w:val="8"/>
        <w:spacing w:before="0" w:beforeAutospacing="0" w:after="0" w:afterAutospacing="0" w:line="360" w:lineRule="auto"/>
        <w:ind w:firstLine="420"/>
        <w:rPr>
          <w:sz w:val="21"/>
          <w:szCs w:val="21"/>
        </w:rPr>
      </w:pPr>
      <w:r>
        <w:rPr>
          <w:rFonts w:hint="eastAsia"/>
          <w:sz w:val="21"/>
          <w:szCs w:val="21"/>
        </w:rPr>
        <w:t xml:space="preserve">本基金不得投资于相关法律、法规、部门规章及《基金合同》禁止投资的投资工具。 </w:t>
      </w:r>
    </w:p>
    <w:p>
      <w:pPr>
        <w:pStyle w:val="8"/>
        <w:spacing w:before="0" w:beforeAutospacing="0" w:after="0" w:afterAutospacing="0" w:line="360" w:lineRule="auto"/>
        <w:ind w:firstLine="420"/>
        <w:rPr>
          <w:sz w:val="21"/>
          <w:szCs w:val="21"/>
        </w:rPr>
      </w:pPr>
      <w:r>
        <w:rPr>
          <w:rFonts w:hint="eastAsia"/>
          <w:sz w:val="21"/>
          <w:szCs w:val="21"/>
        </w:rPr>
        <w:t xml:space="preserve">2、基金托管人根据有关法律法规的规定及《基金合同》的约定对下述基金投融资比例进行监督： </w:t>
      </w:r>
    </w:p>
    <w:p>
      <w:pPr>
        <w:pStyle w:val="8"/>
        <w:spacing w:before="0" w:beforeAutospacing="0" w:after="0" w:afterAutospacing="0" w:line="360" w:lineRule="auto"/>
        <w:ind w:firstLine="420"/>
        <w:rPr>
          <w:sz w:val="21"/>
          <w:szCs w:val="21"/>
        </w:rPr>
      </w:pPr>
      <w:r>
        <w:rPr>
          <w:rFonts w:hint="eastAsia"/>
          <w:sz w:val="21"/>
          <w:szCs w:val="21"/>
        </w:rPr>
        <w:t>A．封闭运作期届满前“</w:t>
      </w:r>
      <w:bookmarkStart w:id="191" w:name="field_0_productfullname_10"/>
      <w:r>
        <w:rPr>
          <w:rFonts w:hint="eastAsia"/>
          <w:sz w:val="21"/>
          <w:szCs w:val="21"/>
        </w:rPr>
        <w:t>博时科创主题</w:t>
      </w:r>
      <w:r>
        <w:rPr>
          <w:sz w:val="21"/>
          <w:szCs w:val="21"/>
        </w:rPr>
        <w:t>3年封闭运作灵活配置混合型证券投资基金</w:t>
      </w:r>
      <w:bookmarkEnd w:id="191"/>
      <w:r>
        <w:rPr>
          <w:rFonts w:hint="eastAsia"/>
          <w:sz w:val="21"/>
          <w:szCs w:val="21"/>
        </w:rPr>
        <w:t xml:space="preserve">”的投资限制： </w:t>
      </w:r>
    </w:p>
    <w:p>
      <w:pPr>
        <w:pStyle w:val="8"/>
        <w:spacing w:before="0" w:beforeAutospacing="0" w:after="0" w:afterAutospacing="0" w:line="360" w:lineRule="auto"/>
        <w:ind w:firstLine="420"/>
        <w:rPr>
          <w:sz w:val="21"/>
          <w:szCs w:val="21"/>
        </w:rPr>
      </w:pPr>
      <w:r>
        <w:rPr>
          <w:rFonts w:hint="eastAsia"/>
          <w:sz w:val="21"/>
          <w:szCs w:val="21"/>
        </w:rPr>
        <w:t xml:space="preserve">（1）在封闭运作期内，投资股票资产（含存托凭证）占基金资产的比例为0%—100%，其中，投资于本基金界定的科创主题相关证券的比例不低于非现金基金资产的80%，港股通标的股票的投资比例为股票资产的0%-50%； </w:t>
      </w:r>
    </w:p>
    <w:p>
      <w:pPr>
        <w:pStyle w:val="8"/>
        <w:spacing w:before="0" w:beforeAutospacing="0" w:after="0" w:afterAutospacing="0" w:line="360" w:lineRule="auto"/>
        <w:ind w:firstLine="420"/>
        <w:rPr>
          <w:sz w:val="21"/>
          <w:szCs w:val="21"/>
        </w:rPr>
      </w:pPr>
      <w:r>
        <w:rPr>
          <w:rFonts w:hint="eastAsia"/>
          <w:sz w:val="21"/>
          <w:szCs w:val="21"/>
        </w:rPr>
        <w:t xml:space="preserve">（2）本基金持有一家公司发行的证券（含存托凭证），其市值（若同时持有一家公司发行的A股和H股，则为A股与H股合计市值）不超过基金资产净值的10％；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（3）本基金管理人管理的全部基金持有一家公司发行的证券（含存托凭证），不超过该证券（若同时持有一家公司发行的A股和H股，则为A股与H股合计市值）的10％； </w:t>
      </w:r>
    </w:p>
    <w:p>
      <w:pPr>
        <w:pStyle w:val="8"/>
        <w:spacing w:before="0" w:beforeAutospacing="0" w:after="0" w:afterAutospacing="0" w:line="360" w:lineRule="auto"/>
        <w:ind w:firstLine="420"/>
        <w:rPr>
          <w:sz w:val="21"/>
          <w:szCs w:val="21"/>
        </w:rPr>
      </w:pPr>
      <w:r>
        <w:rPr>
          <w:rFonts w:hint="eastAsia"/>
          <w:sz w:val="21"/>
          <w:szCs w:val="21"/>
        </w:rPr>
        <w:t xml:space="preserve">（4）基金财产参与股票发行申购，本基金所申报的金额不超过本基金的总资产，本基金所申报的股票数量不超过拟发行股票公司本次发行股票的总量； </w:t>
      </w:r>
    </w:p>
    <w:p>
      <w:pPr>
        <w:pStyle w:val="8"/>
        <w:spacing w:before="0" w:beforeAutospacing="0" w:after="0" w:afterAutospacing="0" w:line="360" w:lineRule="auto"/>
        <w:ind w:firstLine="420"/>
        <w:rPr>
          <w:sz w:val="21"/>
          <w:szCs w:val="21"/>
        </w:rPr>
      </w:pPr>
      <w:r>
        <w:rPr>
          <w:rFonts w:hint="eastAsia"/>
          <w:sz w:val="21"/>
          <w:szCs w:val="21"/>
        </w:rPr>
        <w:t xml:space="preserve">（5）本基金进入全国银行间同业市场进行债券回购的资金余额不得超过基金资产净值的40%，债券回购最长期限为1年，债券回购到期后不得展期； </w:t>
      </w:r>
    </w:p>
    <w:p>
      <w:pPr>
        <w:pStyle w:val="8"/>
        <w:spacing w:before="0" w:beforeAutospacing="0" w:after="0" w:afterAutospacing="0" w:line="360" w:lineRule="auto"/>
        <w:ind w:firstLine="420"/>
        <w:rPr>
          <w:sz w:val="21"/>
          <w:szCs w:val="21"/>
        </w:rPr>
      </w:pPr>
      <w:r>
        <w:rPr>
          <w:rFonts w:hint="eastAsia"/>
          <w:sz w:val="21"/>
          <w:szCs w:val="21"/>
        </w:rPr>
        <w:t xml:space="preserve">（6）本基金在封闭运作期内总资产不得超过基金净资产的200%； </w:t>
      </w:r>
    </w:p>
    <w:p>
      <w:pPr>
        <w:pStyle w:val="8"/>
        <w:spacing w:before="0" w:beforeAutospacing="0" w:after="0" w:afterAutospacing="0" w:line="360" w:lineRule="auto"/>
        <w:ind w:firstLine="420"/>
        <w:rPr>
          <w:sz w:val="21"/>
          <w:szCs w:val="21"/>
        </w:rPr>
      </w:pPr>
      <w:r>
        <w:rPr>
          <w:rFonts w:hint="eastAsia"/>
          <w:sz w:val="21"/>
          <w:szCs w:val="21"/>
        </w:rPr>
        <w:t xml:space="preserve">（7）本基金参与股指期货、国债期货投资的，应遵循下列限制： </w:t>
      </w:r>
    </w:p>
    <w:p>
      <w:pPr>
        <w:pStyle w:val="8"/>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2）在任何交易日日终，本基金持有的买入股指期货和国债期货合约价值和有价证券市值之和，不得超过基金资产净值的100%；其中，有价证券指股票、债券（不含到期日在一年以内的政府债券）、资产支持证券、买入返售金融资产（不含质押式回购）等； </w:t>
      </w:r>
    </w:p>
    <w:p>
      <w:pPr>
        <w:pStyle w:val="8"/>
        <w:spacing w:before="0" w:beforeAutospacing="0" w:after="0" w:afterAutospacing="0" w:line="360" w:lineRule="auto"/>
        <w:ind w:firstLine="420"/>
        <w:rPr>
          <w:sz w:val="21"/>
          <w:szCs w:val="21"/>
        </w:rPr>
      </w:pPr>
      <w:r>
        <w:rPr>
          <w:rFonts w:hint="eastAsia"/>
          <w:sz w:val="21"/>
          <w:szCs w:val="21"/>
        </w:rPr>
        <w:t xml:space="preserve">3）本基金在任何交易日日终，持有的卖出股指期货合约价值不得超过基金持有的股票总市值的20%； </w:t>
      </w:r>
    </w:p>
    <w:p>
      <w:pPr>
        <w:pStyle w:val="8"/>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8"/>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8"/>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pPr>
        <w:pStyle w:val="8"/>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pPr>
        <w:pStyle w:val="8"/>
        <w:spacing w:before="0" w:beforeAutospacing="0" w:after="0" w:afterAutospacing="0" w:line="360" w:lineRule="auto"/>
        <w:ind w:firstLine="420"/>
        <w:rPr>
          <w:sz w:val="21"/>
          <w:szCs w:val="21"/>
        </w:rPr>
      </w:pPr>
      <w:r>
        <w:rPr>
          <w:rFonts w:hint="eastAsia"/>
          <w:sz w:val="21"/>
          <w:szCs w:val="21"/>
        </w:rPr>
        <w:t xml:space="preserve">8）本基金在任何交易日内交易（不包括平仓）的国债期货合约的成交金额不得超过上一交易日基金资产净值的30%； </w:t>
      </w:r>
    </w:p>
    <w:p>
      <w:pPr>
        <w:pStyle w:val="8"/>
        <w:spacing w:before="0" w:beforeAutospacing="0" w:after="0" w:afterAutospacing="0" w:line="360" w:lineRule="auto"/>
        <w:ind w:firstLine="420"/>
        <w:rPr>
          <w:sz w:val="21"/>
          <w:szCs w:val="21"/>
        </w:rPr>
      </w:pPr>
      <w:r>
        <w:rPr>
          <w:rFonts w:hint="eastAsia"/>
          <w:sz w:val="21"/>
          <w:szCs w:val="21"/>
        </w:rPr>
        <w:t xml:space="preserve">9）本基金所持有的债券（不含到期日在一年以内的政府债券）市值和买入、卖出国债期货合约价值，合计（轧差计算）应当符合基金合同关于债券投资比例的有关约定； </w:t>
      </w:r>
    </w:p>
    <w:p>
      <w:pPr>
        <w:pStyle w:val="8"/>
        <w:spacing w:before="0" w:beforeAutospacing="0" w:after="0" w:afterAutospacing="0" w:line="360" w:lineRule="auto"/>
        <w:ind w:firstLine="420"/>
        <w:rPr>
          <w:sz w:val="21"/>
          <w:szCs w:val="21"/>
        </w:rPr>
      </w:pPr>
      <w:r>
        <w:rPr>
          <w:rFonts w:hint="eastAsia"/>
          <w:sz w:val="21"/>
          <w:szCs w:val="21"/>
        </w:rPr>
        <w:t xml:space="preserve">（8）每个交易日日终在扣除股指期货、国债期货合约需缴纳的交易保证金后，应当保持不低于交易保证金一倍的现金。其中，现金不包括结算备付金、存出保证金、应收申购款等； </w:t>
      </w:r>
    </w:p>
    <w:p>
      <w:pPr>
        <w:pStyle w:val="8"/>
        <w:spacing w:before="0" w:beforeAutospacing="0" w:after="0" w:afterAutospacing="0" w:line="360" w:lineRule="auto"/>
        <w:ind w:firstLine="420"/>
        <w:rPr>
          <w:sz w:val="21"/>
          <w:szCs w:val="21"/>
        </w:rPr>
      </w:pPr>
      <w:r>
        <w:rPr>
          <w:rFonts w:hint="eastAsia"/>
          <w:sz w:val="21"/>
          <w:szCs w:val="21"/>
        </w:rPr>
        <w:t xml:space="preserve">（9）基金参与融资业务后，在任何交易日日终，持有的融资买入股票与其他有价证券市值之和，不得超过基金资产净值的95%； </w:t>
      </w:r>
    </w:p>
    <w:p>
      <w:pPr>
        <w:pStyle w:val="8"/>
        <w:spacing w:before="0" w:beforeAutospacing="0" w:after="0" w:afterAutospacing="0" w:line="360" w:lineRule="auto"/>
        <w:ind w:firstLine="420"/>
        <w:rPr>
          <w:sz w:val="21"/>
          <w:szCs w:val="21"/>
        </w:rPr>
      </w:pPr>
      <w:r>
        <w:rPr>
          <w:rFonts w:hint="eastAsia"/>
          <w:sz w:val="21"/>
          <w:szCs w:val="21"/>
        </w:rPr>
        <w:t xml:space="preserve">（10）法律法规及中国证监会规定的和《基金合同》约定的其他投资限制。 </w:t>
      </w:r>
    </w:p>
    <w:p>
      <w:pPr>
        <w:pStyle w:val="8"/>
        <w:spacing w:before="0" w:beforeAutospacing="0" w:after="0" w:afterAutospacing="0" w:line="360" w:lineRule="auto"/>
        <w:ind w:firstLine="420"/>
        <w:rPr>
          <w:sz w:val="21"/>
          <w:szCs w:val="21"/>
        </w:rPr>
      </w:pPr>
      <w:r>
        <w:rPr>
          <w:rFonts w:hint="eastAsia"/>
          <w:sz w:val="21"/>
          <w:szCs w:val="21"/>
        </w:rPr>
        <w:t xml:space="preserve">除上述第（8）条情形之外，因证券、期货市场波动、证券发行人合并或基金规模变动等基金管理人之外的因素致使基金投资比例不符合上述规定投资比例的，基金管理人应当在10个交易日内进行调整，但中国证监会规定的特殊情形除外。 </w:t>
      </w:r>
    </w:p>
    <w:p>
      <w:pPr>
        <w:pStyle w:val="8"/>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8"/>
        <w:spacing w:before="0" w:beforeAutospacing="0" w:after="0" w:afterAutospacing="0" w:line="360" w:lineRule="auto"/>
        <w:ind w:firstLine="420"/>
        <w:rPr>
          <w:sz w:val="21"/>
          <w:szCs w:val="21"/>
        </w:rPr>
      </w:pPr>
      <w:r>
        <w:rPr>
          <w:rFonts w:hint="eastAsia"/>
          <w:sz w:val="21"/>
          <w:szCs w:val="21"/>
        </w:rPr>
        <w:t xml:space="preserve">如果法律法规或监管部门对上述投资组合比例限制进行变更的，以变更后的规定为准。法律法规或监管部门取消上述限制，如适用于本基金，基金管理人在履行适当程序后，则本基金投资不再受相关限制。 </w:t>
      </w:r>
    </w:p>
    <w:p>
      <w:pPr>
        <w:pStyle w:val="8"/>
        <w:spacing w:before="0" w:beforeAutospacing="0" w:after="0" w:afterAutospacing="0" w:line="360" w:lineRule="auto"/>
        <w:ind w:firstLine="420"/>
        <w:rPr>
          <w:sz w:val="21"/>
          <w:szCs w:val="21"/>
        </w:rPr>
      </w:pPr>
      <w:r>
        <w:rPr>
          <w:rFonts w:hint="eastAsia"/>
          <w:sz w:val="21"/>
          <w:szCs w:val="21"/>
        </w:rPr>
        <w:t xml:space="preserve">基金管理人应在出现可预见资产规模大幅变动的情况下，至少提前2个工作日正式向基金托管人发函说明基金可能变动规模和公司应对措施，便于托管人实施交易监督。 </w:t>
      </w:r>
    </w:p>
    <w:p>
      <w:pPr>
        <w:pStyle w:val="8"/>
        <w:spacing w:before="0" w:beforeAutospacing="0" w:after="0" w:afterAutospacing="0" w:line="360" w:lineRule="auto"/>
        <w:ind w:firstLine="420"/>
        <w:rPr>
          <w:sz w:val="21"/>
          <w:szCs w:val="21"/>
        </w:rPr>
      </w:pPr>
      <w:r>
        <w:rPr>
          <w:rFonts w:hint="eastAsia"/>
          <w:sz w:val="21"/>
          <w:szCs w:val="21"/>
        </w:rPr>
        <w:t xml:space="preserve">对于因法律法规变化导致本基金投资范围及投资限制调整的，基金管理人应提前通知基金托管人，经基金托管人书面同意后方可纳入投资监督范围。基金管理人知晓基金托管人投资监督职责的履行受外部数据来源或系统开发等因素影响，基金管理人应为托管人系统调整预留所需的合理必要时间。 </w:t>
      </w:r>
    </w:p>
    <w:p>
      <w:pPr>
        <w:pStyle w:val="8"/>
        <w:spacing w:before="0" w:beforeAutospacing="0" w:after="0" w:afterAutospacing="0" w:line="360" w:lineRule="auto"/>
        <w:ind w:firstLine="420"/>
        <w:rPr>
          <w:sz w:val="21"/>
          <w:szCs w:val="21"/>
        </w:rPr>
      </w:pPr>
      <w:r>
        <w:rPr>
          <w:rFonts w:hint="eastAsia"/>
          <w:sz w:val="21"/>
          <w:szCs w:val="21"/>
        </w:rPr>
        <w:t xml:space="preserve">B．封闭运作期届满转为“博时科创主题灵活配置混合型证券投资基金（LOF）”后的投资限制： </w:t>
      </w:r>
    </w:p>
    <w:p>
      <w:pPr>
        <w:pStyle w:val="8"/>
        <w:spacing w:before="0" w:beforeAutospacing="0" w:after="0" w:afterAutospacing="0" w:line="360" w:lineRule="auto"/>
        <w:ind w:firstLine="420"/>
        <w:rPr>
          <w:sz w:val="21"/>
          <w:szCs w:val="21"/>
        </w:rPr>
      </w:pPr>
      <w:r>
        <w:rPr>
          <w:rFonts w:hint="eastAsia"/>
          <w:sz w:val="21"/>
          <w:szCs w:val="21"/>
        </w:rPr>
        <w:t xml:space="preserve">（1）本基金股票（含存托凭证）资产投资比例为基金资产的0%—95%，投资于科创主题相关证券的比例不低于非现金基金资产的80%，港股通标的股票的投资比例为股票资产的0%-50%； </w:t>
      </w:r>
    </w:p>
    <w:p>
      <w:pPr>
        <w:pStyle w:val="8"/>
        <w:spacing w:before="0" w:beforeAutospacing="0" w:after="0" w:afterAutospacing="0" w:line="360" w:lineRule="auto"/>
        <w:ind w:firstLine="420"/>
        <w:rPr>
          <w:sz w:val="21"/>
          <w:szCs w:val="21"/>
        </w:rPr>
      </w:pPr>
      <w:r>
        <w:rPr>
          <w:rFonts w:hint="eastAsia"/>
          <w:sz w:val="21"/>
          <w:szCs w:val="21"/>
        </w:rPr>
        <w:t xml:space="preserve">（2）每个交易日日终在扣除国债期货和股指期货合约需缴纳的交易保证金后，本基金保留的现金或到期日在一年以内的政府债券的比例合计不低于基金资产净值的5%，其中，现金不包括结算备付金、存出保证金、应收申购款等； </w:t>
      </w:r>
    </w:p>
    <w:p>
      <w:pPr>
        <w:pStyle w:val="8"/>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（3）本基金持有一家公司发行的证券（含存托凭证），其市值（若同时持有一家公司发行的A股和H股，则为A股与H股合计市值）不超过基金资产净值的10％；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（4）本基金管理人管理的全部基金持有一家公司发行的证券（含存托凭证），不超过该证券（若同时持有一家公司发行的A股和H股，则为A股与H股合计市值）的10％； </w:t>
      </w:r>
    </w:p>
    <w:p>
      <w:pPr>
        <w:pStyle w:val="8"/>
        <w:spacing w:before="0" w:beforeAutospacing="0" w:after="0" w:afterAutospacing="0" w:line="360" w:lineRule="auto"/>
        <w:ind w:firstLine="420"/>
        <w:rPr>
          <w:sz w:val="21"/>
          <w:szCs w:val="21"/>
        </w:rPr>
      </w:pPr>
      <w:r>
        <w:rPr>
          <w:rFonts w:hint="eastAsia"/>
          <w:sz w:val="21"/>
          <w:szCs w:val="21"/>
        </w:rPr>
        <w:t xml:space="preserve">（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8"/>
        <w:spacing w:before="0" w:beforeAutospacing="0" w:after="0" w:afterAutospacing="0" w:line="360" w:lineRule="auto"/>
        <w:ind w:firstLine="420"/>
        <w:rPr>
          <w:sz w:val="21"/>
          <w:szCs w:val="21"/>
        </w:rPr>
      </w:pPr>
      <w:r>
        <w:rPr>
          <w:rFonts w:hint="eastAsia"/>
          <w:sz w:val="21"/>
          <w:szCs w:val="21"/>
        </w:rPr>
        <w:t xml:space="preserve">（6）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pPr>
        <w:pStyle w:val="8"/>
        <w:spacing w:before="0" w:beforeAutospacing="0" w:after="0" w:afterAutospacing="0" w:line="360" w:lineRule="auto"/>
        <w:ind w:firstLine="420"/>
        <w:rPr>
          <w:sz w:val="21"/>
          <w:szCs w:val="21"/>
        </w:rPr>
      </w:pPr>
      <w:r>
        <w:rPr>
          <w:rFonts w:hint="eastAsia"/>
          <w:sz w:val="21"/>
          <w:szCs w:val="21"/>
        </w:rPr>
        <w:t xml:space="preserve">（7）本基金与私募类证券资管产品及中国证监会认定的其他主体为交易对手开展逆回购交易的，可接受质押品的资质要求应当与基金合同约定的投资范围保持一致； </w:t>
      </w:r>
    </w:p>
    <w:p>
      <w:pPr>
        <w:pStyle w:val="8"/>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pPr>
        <w:pStyle w:val="8"/>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8"/>
        <w:spacing w:before="0" w:beforeAutospacing="0" w:after="0" w:afterAutospacing="0" w:line="360" w:lineRule="auto"/>
        <w:ind w:firstLine="420"/>
        <w:rPr>
          <w:sz w:val="21"/>
          <w:szCs w:val="21"/>
        </w:rPr>
      </w:pPr>
      <w:r>
        <w:rPr>
          <w:rFonts w:hint="eastAsia"/>
          <w:sz w:val="21"/>
          <w:szCs w:val="21"/>
        </w:rPr>
        <w:t xml:space="preserve">（11）本基金管理人管理的全部基金投资于同一原始权益人的各类资产支持证券，不得超过其各类资产支持证券合计规模的10％； </w:t>
      </w:r>
    </w:p>
    <w:p>
      <w:pPr>
        <w:pStyle w:val="8"/>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pPr>
        <w:pStyle w:val="8"/>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pPr>
        <w:pStyle w:val="8"/>
        <w:spacing w:before="0" w:beforeAutospacing="0" w:after="0" w:afterAutospacing="0" w:line="360" w:lineRule="auto"/>
        <w:ind w:firstLine="420"/>
        <w:rPr>
          <w:sz w:val="21"/>
          <w:szCs w:val="21"/>
        </w:rPr>
      </w:pPr>
      <w:r>
        <w:rPr>
          <w:rFonts w:hint="eastAsia"/>
          <w:sz w:val="21"/>
          <w:szCs w:val="21"/>
        </w:rPr>
        <w:t xml:space="preserve">（14）本基金进入全国银行间同业市场进行债券回购的资金余额不得超过基金资产净值的40%，债券回购最长期限为1年，债券回购到期后不得展期； </w:t>
      </w:r>
    </w:p>
    <w:p>
      <w:pPr>
        <w:pStyle w:val="8"/>
        <w:spacing w:before="0" w:beforeAutospacing="0" w:after="0" w:afterAutospacing="0" w:line="360" w:lineRule="auto"/>
        <w:ind w:firstLine="420"/>
        <w:rPr>
          <w:sz w:val="21"/>
          <w:szCs w:val="21"/>
        </w:rPr>
      </w:pPr>
      <w:r>
        <w:rPr>
          <w:rFonts w:hint="eastAsia"/>
          <w:sz w:val="21"/>
          <w:szCs w:val="21"/>
        </w:rPr>
        <w:t xml:space="preserve">（15）本基金参与股指期货、国债期货投资的，应遵循下列限制： </w:t>
      </w:r>
    </w:p>
    <w:p>
      <w:pPr>
        <w:pStyle w:val="8"/>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2）在任何交易日日终，本基金持有的买入股指期货和国债期货合约价值和有价证券市值之和，不得超过基金资产净值的95%；其中，有价证券指股票、债券（不含到期日在一年以内的政府债券）、资产支持证券、买入返售金融资产（不含质押式回购）等； </w:t>
      </w:r>
    </w:p>
    <w:p>
      <w:pPr>
        <w:pStyle w:val="8"/>
        <w:spacing w:before="0" w:beforeAutospacing="0" w:after="0" w:afterAutospacing="0" w:line="360" w:lineRule="auto"/>
        <w:ind w:firstLine="420"/>
        <w:rPr>
          <w:sz w:val="21"/>
          <w:szCs w:val="21"/>
        </w:rPr>
      </w:pPr>
      <w:r>
        <w:rPr>
          <w:rFonts w:hint="eastAsia"/>
          <w:sz w:val="21"/>
          <w:szCs w:val="21"/>
        </w:rPr>
        <w:t xml:space="preserve">3）本基金在任何交易日日终，持有的卖出股指期货合约价值不得超过基金持有的股票总市值的20%； </w:t>
      </w:r>
    </w:p>
    <w:p>
      <w:pPr>
        <w:pStyle w:val="8"/>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8"/>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8"/>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pPr>
        <w:pStyle w:val="8"/>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pPr>
        <w:pStyle w:val="8"/>
        <w:spacing w:before="0" w:beforeAutospacing="0" w:after="0" w:afterAutospacing="0" w:line="360" w:lineRule="auto"/>
        <w:ind w:firstLine="420"/>
        <w:rPr>
          <w:sz w:val="21"/>
          <w:szCs w:val="21"/>
        </w:rPr>
      </w:pPr>
      <w:r>
        <w:rPr>
          <w:rFonts w:hint="eastAsia"/>
          <w:sz w:val="21"/>
          <w:szCs w:val="21"/>
        </w:rPr>
        <w:t xml:space="preserve">8）本基金在任何交易日内交易（不包括平仓）的国债期货合约的成交金额不得超过上一交易日基金资产净值的30%； </w:t>
      </w:r>
    </w:p>
    <w:p>
      <w:pPr>
        <w:pStyle w:val="8"/>
        <w:spacing w:before="0" w:beforeAutospacing="0" w:after="0" w:afterAutospacing="0" w:line="360" w:lineRule="auto"/>
        <w:ind w:firstLine="420"/>
        <w:rPr>
          <w:sz w:val="21"/>
          <w:szCs w:val="21"/>
        </w:rPr>
      </w:pPr>
      <w:r>
        <w:rPr>
          <w:rFonts w:hint="eastAsia"/>
          <w:sz w:val="21"/>
          <w:szCs w:val="21"/>
        </w:rPr>
        <w:t xml:space="preserve">9）本基金所持有的债券（不含到期日在一年以内的政府债券）市值和买入、卖出国债期货合约价值，合计（轧差计算）应当符合基金合同关于债券投资比例的有关约定； </w:t>
      </w:r>
    </w:p>
    <w:p>
      <w:pPr>
        <w:pStyle w:val="8"/>
        <w:spacing w:before="0" w:beforeAutospacing="0" w:after="0" w:afterAutospacing="0" w:line="360" w:lineRule="auto"/>
        <w:ind w:firstLine="420"/>
        <w:rPr>
          <w:sz w:val="21"/>
          <w:szCs w:val="21"/>
        </w:rPr>
      </w:pPr>
      <w:r>
        <w:rPr>
          <w:rFonts w:hint="eastAsia"/>
          <w:sz w:val="21"/>
          <w:szCs w:val="21"/>
        </w:rPr>
        <w:t xml:space="preserve">（16）本基金在总资产不得超过基金净资产的140%； </w:t>
      </w:r>
    </w:p>
    <w:p>
      <w:pPr>
        <w:pStyle w:val="8"/>
        <w:spacing w:before="0" w:beforeAutospacing="0" w:after="0" w:afterAutospacing="0" w:line="360" w:lineRule="auto"/>
        <w:ind w:firstLine="420"/>
        <w:rPr>
          <w:sz w:val="21"/>
          <w:szCs w:val="21"/>
        </w:rPr>
      </w:pPr>
      <w:r>
        <w:rPr>
          <w:rFonts w:hint="eastAsia"/>
          <w:sz w:val="21"/>
          <w:szCs w:val="21"/>
        </w:rPr>
        <w:t xml:space="preserve">（17）基金参与融资业务后，在任何交易日日终，持有的融资买入股票与其他有价证券市值之和，不得超过基金资产净值的95%； </w:t>
      </w:r>
    </w:p>
    <w:p>
      <w:pPr>
        <w:pStyle w:val="8"/>
        <w:spacing w:before="0" w:beforeAutospacing="0" w:after="0" w:afterAutospacing="0" w:line="360" w:lineRule="auto"/>
        <w:ind w:firstLine="420"/>
        <w:rPr>
          <w:sz w:val="21"/>
          <w:szCs w:val="21"/>
        </w:rPr>
      </w:pPr>
      <w:r>
        <w:rPr>
          <w:rFonts w:hint="eastAsia"/>
          <w:sz w:val="21"/>
          <w:szCs w:val="21"/>
        </w:rPr>
        <w:t xml:space="preserve">（18）法律法规及中国证监会规定的和《基金合同》约定的其他投资限制。 </w:t>
      </w:r>
    </w:p>
    <w:p>
      <w:pPr>
        <w:pStyle w:val="8"/>
        <w:spacing w:before="0" w:beforeAutospacing="0" w:after="0" w:afterAutospacing="0" w:line="360" w:lineRule="auto"/>
        <w:ind w:firstLine="420"/>
        <w:rPr>
          <w:sz w:val="21"/>
          <w:szCs w:val="21"/>
        </w:rPr>
      </w:pPr>
      <w:r>
        <w:rPr>
          <w:rFonts w:hint="eastAsia"/>
          <w:sz w:val="21"/>
          <w:szCs w:val="21"/>
        </w:rPr>
        <w:t xml:space="preserve">除上述第（2）、（6）、（7）、（12）项另有约定外，因证券/期货市场波动、证券发行人合并或基金规模变动等基金管理人之外的因素致使基金投资比例不符合上述规定投资比例的，基金管理人应当在10个交易日内进行调整，但中国证监会规定的特殊情形除外。 </w:t>
      </w:r>
    </w:p>
    <w:p>
      <w:pPr>
        <w:pStyle w:val="8"/>
        <w:spacing w:before="0" w:beforeAutospacing="0" w:after="0" w:afterAutospacing="0" w:line="360" w:lineRule="auto"/>
        <w:ind w:firstLine="420"/>
        <w:rPr>
          <w:sz w:val="21"/>
          <w:szCs w:val="21"/>
        </w:rPr>
      </w:pPr>
      <w:r>
        <w:rPr>
          <w:rFonts w:hint="eastAsia"/>
          <w:sz w:val="21"/>
          <w:szCs w:val="21"/>
        </w:rPr>
        <w:t xml:space="preserve">基金管理人应当自封闭运作期届满转为上市开放式基金（LOF）之日起6个月内使基金的投资组合比例符合基金合同的有关约定。在上述期间内，本基金的投资范围、投资策略应当符合基金合同的约定。 </w:t>
      </w:r>
    </w:p>
    <w:p>
      <w:pPr>
        <w:pStyle w:val="8"/>
        <w:spacing w:before="0" w:beforeAutospacing="0" w:after="0" w:afterAutospacing="0" w:line="360" w:lineRule="auto"/>
        <w:ind w:firstLine="420"/>
        <w:rPr>
          <w:sz w:val="21"/>
          <w:szCs w:val="21"/>
        </w:rPr>
      </w:pPr>
      <w:r>
        <w:rPr>
          <w:rFonts w:hint="eastAsia"/>
          <w:sz w:val="21"/>
          <w:szCs w:val="21"/>
        </w:rPr>
        <w:t xml:space="preserve">如果法律法规或监管部门对上述投资组合比例限制进行变更的，以变更后的规定为准。法律法规或监管部门取消上述限制，如适用于本基金，基金管理人在履行适当程序后，则本基金投资不再受相关限制。 </w:t>
      </w:r>
    </w:p>
    <w:p>
      <w:pPr>
        <w:pStyle w:val="8"/>
        <w:spacing w:before="0" w:beforeAutospacing="0" w:after="0" w:afterAutospacing="0" w:line="360" w:lineRule="auto"/>
        <w:ind w:firstLine="420"/>
        <w:rPr>
          <w:sz w:val="21"/>
          <w:szCs w:val="21"/>
        </w:rPr>
      </w:pPr>
      <w:r>
        <w:rPr>
          <w:rFonts w:hint="eastAsia"/>
          <w:sz w:val="21"/>
          <w:szCs w:val="21"/>
        </w:rPr>
        <w:t xml:space="preserve">基金管理人应在出现可预见资产规模大幅变动的情况下，至少提前2个工作日正式向基金托管人发函说明基金可能变动规模和公司应对措施，便于托管人实施交易监督。 </w:t>
      </w:r>
    </w:p>
    <w:p>
      <w:pPr>
        <w:pStyle w:val="8"/>
        <w:spacing w:before="0" w:beforeAutospacing="0" w:after="0" w:afterAutospacing="0" w:line="360" w:lineRule="auto"/>
        <w:ind w:firstLine="420"/>
        <w:rPr>
          <w:sz w:val="21"/>
          <w:szCs w:val="21"/>
        </w:rPr>
      </w:pPr>
      <w:r>
        <w:rPr>
          <w:rFonts w:hint="eastAsia"/>
          <w:sz w:val="21"/>
          <w:szCs w:val="21"/>
        </w:rPr>
        <w:t xml:space="preserve">对于因法律法规变化导致本基金投资范围及投资限制调整的，基金管理人应提前通知基金托管人，经基金托管人书面同意后方可纳入投资监督范围。基金管理人知晓基金托管人投资监督职责的履行受外部数据来源或系统开发等因素影响，基金管理人应为托管人系统调整预留所需的合理必要时间。 </w:t>
      </w:r>
    </w:p>
    <w:p>
      <w:pPr>
        <w:pStyle w:val="8"/>
        <w:spacing w:before="0" w:beforeAutospacing="0" w:after="0" w:afterAutospacing="0" w:line="360" w:lineRule="auto"/>
        <w:ind w:firstLine="420"/>
        <w:rPr>
          <w:sz w:val="21"/>
          <w:szCs w:val="21"/>
        </w:rPr>
      </w:pPr>
      <w:r>
        <w:rPr>
          <w:rFonts w:hint="eastAsia"/>
          <w:sz w:val="21"/>
          <w:szCs w:val="21"/>
        </w:rPr>
        <w:t xml:space="preserve">3、基金托管人根据有关法律法规的规定及《基金合同》的约定对下述基金投资禁止行为进行监督： </w:t>
      </w:r>
    </w:p>
    <w:p>
      <w:pPr>
        <w:pStyle w:val="8"/>
        <w:spacing w:before="0" w:beforeAutospacing="0" w:after="0" w:afterAutospacing="0" w:line="360" w:lineRule="auto"/>
        <w:ind w:firstLine="420"/>
        <w:rPr>
          <w:sz w:val="21"/>
          <w:szCs w:val="21"/>
        </w:rPr>
      </w:pPr>
      <w:r>
        <w:rPr>
          <w:rFonts w:hint="eastAsia"/>
          <w:sz w:val="21"/>
          <w:szCs w:val="21"/>
        </w:rPr>
        <w:t xml:space="preserve">根据法律法规的规定及《基金合同》的约定，本基金禁止从事下列行为： </w:t>
      </w:r>
    </w:p>
    <w:p>
      <w:pPr>
        <w:pStyle w:val="8"/>
        <w:spacing w:before="0" w:beforeAutospacing="0" w:after="0" w:afterAutospacing="0" w:line="360" w:lineRule="auto"/>
        <w:ind w:firstLine="420"/>
        <w:rPr>
          <w:sz w:val="21"/>
          <w:szCs w:val="21"/>
        </w:rPr>
      </w:pPr>
      <w:r>
        <w:rPr>
          <w:rFonts w:hint="eastAsia"/>
          <w:sz w:val="21"/>
          <w:szCs w:val="21"/>
        </w:rPr>
        <w:t xml:space="preserve">（1）承销证券； </w:t>
      </w:r>
    </w:p>
    <w:p>
      <w:pPr>
        <w:pStyle w:val="8"/>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8"/>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8"/>
        <w:spacing w:before="0" w:beforeAutospacing="0" w:after="0" w:afterAutospacing="0" w:line="360" w:lineRule="auto"/>
        <w:ind w:firstLine="420"/>
        <w:rPr>
          <w:sz w:val="21"/>
          <w:szCs w:val="21"/>
        </w:rPr>
      </w:pPr>
      <w:r>
        <w:rPr>
          <w:rFonts w:hint="eastAsia"/>
          <w:sz w:val="21"/>
          <w:szCs w:val="21"/>
        </w:rPr>
        <w:t xml:space="preserve">（4）买卖其他基金份额，但法律法规或中国证监会另有规定的除外； </w:t>
      </w:r>
    </w:p>
    <w:p>
      <w:pPr>
        <w:pStyle w:val="8"/>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8"/>
        <w:spacing w:before="0" w:beforeAutospacing="0" w:after="0" w:afterAutospacing="0" w:line="360" w:lineRule="auto"/>
        <w:ind w:firstLine="420"/>
        <w:rPr>
          <w:sz w:val="21"/>
          <w:szCs w:val="21"/>
        </w:rPr>
      </w:pPr>
      <w:r>
        <w:rPr>
          <w:rFonts w:hint="eastAsia"/>
          <w:sz w:val="21"/>
          <w:szCs w:val="21"/>
        </w:rPr>
        <w:t xml:space="preserve">法律法规或监管部门取消或变更上述禁止性规定，如适用于本基金，基金管理人在履行适当程序后，则本基金投资可不受上述规定的限制或按变更后的规定执行。 </w:t>
      </w:r>
    </w:p>
    <w:p>
      <w:pPr>
        <w:pStyle w:val="8"/>
        <w:spacing w:before="0" w:beforeAutospacing="0" w:after="0" w:afterAutospacing="0" w:line="360" w:lineRule="auto"/>
        <w:ind w:firstLine="420"/>
        <w:rPr>
          <w:sz w:val="21"/>
          <w:szCs w:val="21"/>
        </w:rPr>
      </w:pPr>
      <w:r>
        <w:rPr>
          <w:rFonts w:hint="eastAsia"/>
          <w:sz w:val="21"/>
          <w:szCs w:val="21"/>
        </w:rPr>
        <w:t xml:space="preserve">4、基金托管人依据以下约定对基金管理人参与银行间债券市场投资进行监督。 </w:t>
      </w:r>
    </w:p>
    <w:p>
      <w:pPr>
        <w:pStyle w:val="8"/>
        <w:spacing w:before="0" w:beforeAutospacing="0" w:after="0" w:afterAutospacing="0" w:line="360" w:lineRule="auto"/>
        <w:ind w:firstLine="420"/>
        <w:rPr>
          <w:sz w:val="21"/>
          <w:szCs w:val="21"/>
        </w:rPr>
      </w:pPr>
      <w:r>
        <w:rPr>
          <w:rFonts w:hint="eastAsia"/>
          <w:sz w:val="21"/>
          <w:szCs w:val="21"/>
        </w:rPr>
        <w:t xml:space="preserve">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 </w:t>
      </w:r>
    </w:p>
    <w:p>
      <w:pPr>
        <w:pStyle w:val="8"/>
        <w:spacing w:before="0" w:beforeAutospacing="0" w:after="0" w:afterAutospacing="0" w:line="360" w:lineRule="auto"/>
        <w:ind w:firstLine="420"/>
        <w:rPr>
          <w:sz w:val="21"/>
          <w:szCs w:val="21"/>
        </w:rPr>
      </w:pPr>
      <w:r>
        <w:rPr>
          <w:rFonts w:hint="eastAsia"/>
          <w:sz w:val="21"/>
          <w:szCs w:val="21"/>
        </w:rPr>
        <w:t xml:space="preserve">基金管理人在银行间市场进行现券买卖和回购交易时，以DVP(券款兑付)的交易结算方式进行交易。 </w:t>
      </w:r>
    </w:p>
    <w:p>
      <w:pPr>
        <w:pStyle w:val="8"/>
        <w:spacing w:before="0" w:beforeAutospacing="0" w:after="0" w:afterAutospacing="0" w:line="360" w:lineRule="auto"/>
        <w:ind w:firstLine="420"/>
        <w:rPr>
          <w:sz w:val="21"/>
          <w:szCs w:val="21"/>
        </w:rPr>
      </w:pPr>
      <w:r>
        <w:rPr>
          <w:rFonts w:hint="eastAsia"/>
          <w:sz w:val="21"/>
          <w:szCs w:val="21"/>
        </w:rPr>
        <w:t xml:space="preserve">5、关于银行存款投资。 </w:t>
      </w:r>
    </w:p>
    <w:p>
      <w:pPr>
        <w:pStyle w:val="8"/>
        <w:spacing w:before="0" w:beforeAutospacing="0" w:after="0" w:afterAutospacing="0" w:line="360" w:lineRule="auto"/>
        <w:ind w:firstLine="420"/>
        <w:rPr>
          <w:sz w:val="21"/>
          <w:szCs w:val="21"/>
        </w:rPr>
      </w:pPr>
      <w:r>
        <w:rPr>
          <w:rFonts w:hint="eastAsia"/>
          <w:sz w:val="21"/>
          <w:szCs w:val="21"/>
        </w:rPr>
        <w:t xml:space="preserve">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 </w:t>
      </w:r>
    </w:p>
    <w:p>
      <w:pPr>
        <w:pStyle w:val="8"/>
        <w:spacing w:before="0" w:beforeAutospacing="0" w:after="0" w:afterAutospacing="0" w:line="360" w:lineRule="auto"/>
        <w:ind w:firstLine="420"/>
        <w:rPr>
          <w:sz w:val="21"/>
          <w:szCs w:val="21"/>
        </w:rPr>
      </w:pPr>
      <w:r>
        <w:rPr>
          <w:rFonts w:hint="eastAsia"/>
          <w:sz w:val="21"/>
          <w:szCs w:val="21"/>
        </w:rPr>
        <w:t xml:space="preserve">6、基金托管人对基金投资流通受限证券的监督 </w:t>
      </w:r>
    </w:p>
    <w:p>
      <w:pPr>
        <w:pStyle w:val="8"/>
        <w:spacing w:before="0" w:beforeAutospacing="0" w:after="0" w:afterAutospacing="0" w:line="360" w:lineRule="auto"/>
        <w:ind w:firstLine="420"/>
        <w:rPr>
          <w:sz w:val="21"/>
          <w:szCs w:val="21"/>
        </w:rPr>
      </w:pPr>
      <w:r>
        <w:rPr>
          <w:rFonts w:hint="eastAsia"/>
          <w:sz w:val="21"/>
          <w:szCs w:val="21"/>
        </w:rPr>
        <w:t xml:space="preserve">（1）基金投资流通受限证券，应遵守《关于基金投资非公开发行股票等流通受限证券有关问题的通知》等有关法律法规规定。 </w:t>
      </w:r>
    </w:p>
    <w:p>
      <w:pPr>
        <w:pStyle w:val="8"/>
        <w:spacing w:before="0" w:beforeAutospacing="0" w:after="0" w:afterAutospacing="0" w:line="360" w:lineRule="auto"/>
        <w:ind w:firstLine="420"/>
        <w:rPr>
          <w:sz w:val="21"/>
          <w:szCs w:val="21"/>
        </w:rPr>
      </w:pPr>
      <w:r>
        <w:rPr>
          <w:rFonts w:hint="eastAsia"/>
          <w:sz w:val="21"/>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pPr>
        <w:pStyle w:val="8"/>
        <w:spacing w:before="0" w:beforeAutospacing="0" w:after="0" w:afterAutospacing="0" w:line="360" w:lineRule="auto"/>
        <w:ind w:firstLine="420"/>
        <w:rPr>
          <w:sz w:val="21"/>
          <w:szCs w:val="21"/>
        </w:rPr>
      </w:pPr>
      <w:r>
        <w:rPr>
          <w:rFonts w:hint="eastAsia"/>
          <w:sz w:val="21"/>
          <w:szCs w:val="21"/>
        </w:rPr>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pPr>
        <w:pStyle w:val="8"/>
        <w:spacing w:before="0" w:beforeAutospacing="0" w:after="0" w:afterAutospacing="0" w:line="360" w:lineRule="auto"/>
        <w:ind w:firstLine="420"/>
        <w:rPr>
          <w:sz w:val="21"/>
          <w:szCs w:val="21"/>
        </w:rPr>
      </w:pPr>
      <w:r>
        <w:rPr>
          <w:rFonts w:hint="eastAsia"/>
          <w:sz w:val="21"/>
          <w:szCs w:val="21"/>
        </w:rPr>
        <w:t xml:space="preserve">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pPr>
        <w:pStyle w:val="8"/>
        <w:spacing w:before="0" w:beforeAutospacing="0" w:after="0" w:afterAutospacing="0" w:line="360" w:lineRule="auto"/>
        <w:ind w:firstLine="420"/>
        <w:rPr>
          <w:sz w:val="21"/>
          <w:szCs w:val="21"/>
        </w:rPr>
      </w:pPr>
      <w:r>
        <w:rPr>
          <w:rFonts w:hint="eastAsia"/>
          <w:sz w:val="21"/>
          <w:szCs w:val="21"/>
        </w:rPr>
        <w:t xml:space="preserve">（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 </w:t>
      </w:r>
    </w:p>
    <w:p>
      <w:pPr>
        <w:pStyle w:val="8"/>
        <w:spacing w:before="0" w:beforeAutospacing="0" w:after="0" w:afterAutospacing="0" w:line="360" w:lineRule="auto"/>
        <w:ind w:firstLine="420"/>
        <w:rPr>
          <w:sz w:val="21"/>
          <w:szCs w:val="21"/>
        </w:rPr>
      </w:pPr>
      <w:r>
        <w:rPr>
          <w:rFonts w:hint="eastAsia"/>
          <w:sz w:val="21"/>
          <w:szCs w:val="21"/>
        </w:rPr>
        <w:t xml:space="preserve">（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pPr>
        <w:pStyle w:val="8"/>
        <w:spacing w:before="0" w:beforeAutospacing="0" w:after="0" w:afterAutospacing="0" w:line="360" w:lineRule="auto"/>
        <w:ind w:firstLine="420"/>
        <w:rPr>
          <w:sz w:val="21"/>
          <w:szCs w:val="21"/>
        </w:rPr>
      </w:pPr>
      <w:r>
        <w:rPr>
          <w:rFonts w:hint="eastAsia"/>
          <w:sz w:val="21"/>
          <w:szCs w:val="21"/>
        </w:rPr>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pPr>
        <w:pStyle w:val="8"/>
        <w:spacing w:before="0" w:beforeAutospacing="0" w:after="0" w:afterAutospacing="0" w:line="360" w:lineRule="auto"/>
        <w:ind w:firstLine="420"/>
        <w:rPr>
          <w:sz w:val="21"/>
          <w:szCs w:val="21"/>
        </w:rPr>
      </w:pPr>
      <w:r>
        <w:rPr>
          <w:rFonts w:hint="eastAsia"/>
          <w:sz w:val="21"/>
          <w:szCs w:val="21"/>
        </w:rPr>
        <w:t xml:space="preserve">（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pPr>
        <w:pStyle w:val="8"/>
        <w:spacing w:before="0" w:beforeAutospacing="0" w:after="0" w:afterAutospacing="0" w:line="360" w:lineRule="auto"/>
        <w:ind w:firstLine="420"/>
        <w:rPr>
          <w:sz w:val="21"/>
          <w:szCs w:val="21"/>
        </w:rPr>
      </w:pPr>
      <w:r>
        <w:rPr>
          <w:rFonts w:hint="eastAsia"/>
          <w:sz w:val="21"/>
          <w:szCs w:val="21"/>
        </w:rPr>
        <w:t xml:space="preserve">（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 </w:t>
      </w:r>
    </w:p>
    <w:p>
      <w:pPr>
        <w:pStyle w:val="8"/>
        <w:spacing w:before="0" w:beforeAutospacing="0" w:after="0" w:afterAutospacing="0" w:line="360" w:lineRule="auto"/>
        <w:ind w:firstLine="420"/>
        <w:rPr>
          <w:sz w:val="21"/>
          <w:szCs w:val="21"/>
        </w:rPr>
      </w:pPr>
      <w:r>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pPr>
        <w:pStyle w:val="8"/>
        <w:spacing w:before="0" w:beforeAutospacing="0" w:after="0" w:afterAutospacing="0" w:line="360" w:lineRule="auto"/>
        <w:ind w:firstLine="420"/>
        <w:rPr>
          <w:sz w:val="21"/>
          <w:szCs w:val="21"/>
        </w:rPr>
      </w:pPr>
      <w:r>
        <w:rPr>
          <w:rFonts w:hint="eastAsia"/>
          <w:sz w:val="21"/>
          <w:szCs w:val="21"/>
        </w:rPr>
        <w:t xml:space="preserve">对于依据交易程序尚未成交的且基金托管人在交易前能够监控的投资指令，基金托管人发现该投资指令违反有关法律法规规定或者违反《基金合同》约定的，应当拒绝执行，立即通知基金管理人，并向中国证监会报告。 </w:t>
      </w:r>
    </w:p>
    <w:p>
      <w:pPr>
        <w:pStyle w:val="8"/>
        <w:spacing w:before="0" w:beforeAutospacing="0" w:after="0" w:afterAutospacing="0" w:line="360" w:lineRule="auto"/>
        <w:ind w:firstLine="420"/>
        <w:rPr>
          <w:sz w:val="21"/>
          <w:szCs w:val="21"/>
        </w:rPr>
      </w:pPr>
      <w:r>
        <w:rPr>
          <w:rFonts w:hint="eastAsia"/>
          <w:sz w:val="21"/>
          <w:szCs w:val="21"/>
        </w:rPr>
        <w:t xml:space="preserve">对于必须于估值完成后方可获知的监控指标或依据交易程序已经成交的投资指令，基金托管人发现该投资指令违反法律法规或者违反《基金合同》约定的，应当立即通知基金管理人，并报告中国证监会。 </w:t>
      </w:r>
    </w:p>
    <w:p>
      <w:pPr>
        <w:pStyle w:val="8"/>
        <w:spacing w:before="0" w:beforeAutospacing="0" w:after="0" w:afterAutospacing="0" w:line="360" w:lineRule="auto"/>
        <w:ind w:firstLine="420"/>
        <w:rPr>
          <w:sz w:val="21"/>
          <w:szCs w:val="21"/>
        </w:rPr>
      </w:pPr>
      <w:r>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pPr>
        <w:pStyle w:val="8"/>
        <w:spacing w:before="0" w:beforeAutospacing="0" w:after="0" w:afterAutospacing="0" w:line="360" w:lineRule="auto"/>
        <w:ind w:firstLine="420"/>
        <w:rPr>
          <w:sz w:val="21"/>
          <w:szCs w:val="21"/>
        </w:rPr>
      </w:pPr>
      <w:r>
        <w:rPr>
          <w:rFonts w:hint="eastAsia"/>
          <w:sz w:val="21"/>
          <w:szCs w:val="21"/>
        </w:rPr>
        <w:t xml:space="preserve">基金托管人发现基金管理人有重大违规行为，应立即报告中国证监会，同时通知基金管理人限期纠正。 </w:t>
      </w:r>
    </w:p>
    <w:p>
      <w:pPr>
        <w:pStyle w:val="8"/>
        <w:spacing w:before="0" w:beforeAutospacing="0" w:after="0" w:afterAutospacing="0" w:line="360" w:lineRule="auto"/>
        <w:ind w:firstLine="420"/>
        <w:rPr>
          <w:sz w:val="21"/>
          <w:szCs w:val="21"/>
        </w:rPr>
      </w:pPr>
      <w:r>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pPr>
        <w:pStyle w:val="8"/>
        <w:spacing w:before="0" w:beforeAutospacing="0" w:after="0" w:afterAutospacing="0" w:line="360" w:lineRule="auto"/>
        <w:ind w:firstLine="420"/>
        <w:rPr>
          <w:sz w:val="21"/>
          <w:szCs w:val="21"/>
        </w:rPr>
      </w:pPr>
      <w:r>
        <w:rPr>
          <w:rStyle w:val="13"/>
          <w:rFonts w:hint="eastAsia"/>
          <w:sz w:val="21"/>
          <w:szCs w:val="21"/>
        </w:rPr>
        <w:t>三、基金管理人对基金托管人的业务核查</w:t>
      </w:r>
    </w:p>
    <w:p>
      <w:pPr>
        <w:pStyle w:val="8"/>
        <w:spacing w:before="0" w:beforeAutospacing="0" w:after="0" w:afterAutospacing="0" w:line="360" w:lineRule="auto"/>
        <w:ind w:firstLine="420"/>
        <w:rPr>
          <w:sz w:val="21"/>
          <w:szCs w:val="21"/>
        </w:rPr>
      </w:pPr>
      <w:r>
        <w:rPr>
          <w:rFonts w:hint="eastAsia"/>
          <w:sz w:val="21"/>
          <w:szCs w:val="21"/>
        </w:rPr>
        <w:t xml:space="preserve">基金管理人对基金托管人履行托管职责情况进行核查，核查事项包括但不限于基金托管人安全保管基金财产、开设基金财产的资金账户、证券账户等投资所需账户、复核基金管理人计算的基金资产净值和各类基金份额净值、根据基金管理人指令办理清算交收、相关信息披露和监督基金投资运作等行为。 </w:t>
      </w:r>
    </w:p>
    <w:p>
      <w:pPr>
        <w:pStyle w:val="8"/>
        <w:spacing w:before="0" w:beforeAutospacing="0" w:after="0" w:afterAutospacing="0" w:line="360" w:lineRule="auto"/>
        <w:ind w:firstLine="420"/>
        <w:rPr>
          <w:sz w:val="21"/>
          <w:szCs w:val="21"/>
        </w:rPr>
      </w:pPr>
      <w:r>
        <w:rPr>
          <w:rFonts w:hint="eastAsia"/>
          <w:sz w:val="21"/>
          <w:szCs w:val="21"/>
        </w:rPr>
        <w:t xml:space="preserve">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pPr>
        <w:pStyle w:val="8"/>
        <w:spacing w:before="0" w:beforeAutospacing="0" w:after="0" w:afterAutospacing="0" w:line="360" w:lineRule="auto"/>
        <w:ind w:firstLine="420"/>
        <w:rPr>
          <w:sz w:val="21"/>
          <w:szCs w:val="21"/>
        </w:rPr>
      </w:pPr>
      <w:r>
        <w:rPr>
          <w:rFonts w:hint="eastAsia"/>
          <w:sz w:val="21"/>
          <w:szCs w:val="21"/>
        </w:rPr>
        <w:t xml:space="preserve">基金管理人发现基金托管人有重大违规行为，应立即报告中国证监会和银行业监督管理机构，同时通知基金托管人限期纠正。 </w:t>
      </w:r>
    </w:p>
    <w:p>
      <w:pPr>
        <w:pStyle w:val="8"/>
        <w:spacing w:before="0" w:beforeAutospacing="0" w:after="0" w:afterAutospacing="0" w:line="360" w:lineRule="auto"/>
        <w:ind w:firstLine="420"/>
        <w:rPr>
          <w:sz w:val="21"/>
          <w:szCs w:val="21"/>
        </w:rPr>
      </w:pPr>
      <w:r>
        <w:rPr>
          <w:rFonts w:hint="eastAsia"/>
          <w:sz w:val="21"/>
          <w:szCs w:val="21"/>
        </w:rPr>
        <w:t xml:space="preserve">基金托管人应积极配合基金管理人的核查行为，包括但不限于：提交相关资料以供基金管理人核查托管财产的完整性和真实性，在规定时间内答复基金管理人并改正。 </w:t>
      </w:r>
    </w:p>
    <w:p>
      <w:pPr>
        <w:pStyle w:val="8"/>
        <w:spacing w:before="0" w:beforeAutospacing="0" w:after="0" w:afterAutospacing="0" w:line="360" w:lineRule="auto"/>
        <w:ind w:firstLine="420"/>
        <w:rPr>
          <w:sz w:val="21"/>
          <w:szCs w:val="21"/>
        </w:rPr>
      </w:pPr>
      <w:r>
        <w:rPr>
          <w:rFonts w:hint="eastAsia"/>
          <w:sz w:val="21"/>
          <w:szCs w:val="21"/>
        </w:rPr>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pPr>
        <w:pStyle w:val="8"/>
        <w:spacing w:before="0" w:beforeAutospacing="0" w:after="0" w:afterAutospacing="0" w:line="360" w:lineRule="auto"/>
        <w:ind w:firstLine="420"/>
        <w:rPr>
          <w:sz w:val="21"/>
          <w:szCs w:val="21"/>
        </w:rPr>
      </w:pPr>
      <w:r>
        <w:rPr>
          <w:rStyle w:val="13"/>
          <w:rFonts w:hint="eastAsia"/>
          <w:sz w:val="21"/>
          <w:szCs w:val="21"/>
        </w:rPr>
        <w:t>四、基金财产保管</w:t>
      </w:r>
    </w:p>
    <w:p>
      <w:pPr>
        <w:pStyle w:val="8"/>
        <w:spacing w:before="0" w:beforeAutospacing="0" w:after="0" w:afterAutospacing="0" w:line="360" w:lineRule="auto"/>
        <w:ind w:firstLine="420"/>
        <w:rPr>
          <w:sz w:val="21"/>
          <w:szCs w:val="21"/>
        </w:rPr>
      </w:pPr>
      <w:r>
        <w:rPr>
          <w:rFonts w:hint="eastAsia"/>
          <w:sz w:val="21"/>
          <w:szCs w:val="21"/>
        </w:rPr>
        <w:t xml:space="preserve">（一）基金财产保管的原则 </w:t>
      </w:r>
    </w:p>
    <w:p>
      <w:pPr>
        <w:pStyle w:val="8"/>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8"/>
        <w:spacing w:before="0" w:beforeAutospacing="0" w:after="0" w:afterAutospacing="0" w:line="360" w:lineRule="auto"/>
        <w:ind w:firstLine="420"/>
        <w:rPr>
          <w:sz w:val="21"/>
          <w:szCs w:val="21"/>
        </w:rPr>
      </w:pPr>
      <w:r>
        <w:rPr>
          <w:rFonts w:hint="eastAsia"/>
          <w:sz w:val="21"/>
          <w:szCs w:val="21"/>
        </w:rPr>
        <w:t xml:space="preserve">2、基金托管人应安全保管基金财产。未经基金管理人的正当指令，不得自行运用、处分、分配基金的任何财产。 </w:t>
      </w:r>
    </w:p>
    <w:p>
      <w:pPr>
        <w:pStyle w:val="8"/>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3、基金托管人按照规定开设基金财产的资金账户、证券账户、期货账户等投资所需账户。 </w:t>
      </w:r>
    </w:p>
    <w:p>
      <w:pPr>
        <w:pStyle w:val="8"/>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pPr>
        <w:pStyle w:val="8"/>
        <w:spacing w:before="0" w:beforeAutospacing="0" w:after="0" w:afterAutospacing="0" w:line="360" w:lineRule="auto"/>
        <w:ind w:firstLine="420"/>
        <w:rPr>
          <w:sz w:val="21"/>
          <w:szCs w:val="21"/>
        </w:rPr>
      </w:pPr>
      <w:r>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予以必要的协助配合，但对此不承担责任。 </w:t>
      </w:r>
    </w:p>
    <w:p>
      <w:pPr>
        <w:pStyle w:val="8"/>
        <w:spacing w:before="0" w:beforeAutospacing="0" w:after="0" w:afterAutospacing="0" w:line="360" w:lineRule="auto"/>
        <w:ind w:firstLine="420"/>
        <w:rPr>
          <w:sz w:val="21"/>
          <w:szCs w:val="21"/>
        </w:rPr>
      </w:pPr>
      <w:r>
        <w:rPr>
          <w:rFonts w:hint="eastAsia"/>
          <w:sz w:val="21"/>
          <w:szCs w:val="21"/>
        </w:rPr>
        <w:t xml:space="preserve">（二）募集资金的验证 </w:t>
      </w:r>
    </w:p>
    <w:p>
      <w:pPr>
        <w:pStyle w:val="8"/>
        <w:spacing w:before="0" w:beforeAutospacing="0" w:after="0" w:afterAutospacing="0" w:line="360" w:lineRule="auto"/>
        <w:ind w:firstLine="420"/>
        <w:rPr>
          <w:sz w:val="21"/>
          <w:szCs w:val="21"/>
        </w:rPr>
      </w:pPr>
      <w:r>
        <w:rPr>
          <w:rFonts w:hint="eastAsia"/>
          <w:sz w:val="21"/>
          <w:szCs w:val="21"/>
        </w:rPr>
        <w:t>募集期内销售机构按销售与服务代理协议的约定，将认购资金划入基金管理人在具有托管资格的商业银行开设的</w:t>
      </w:r>
      <w:bookmarkStart w:id="192" w:name="field_0_managerorgfullname_5"/>
      <w:r>
        <w:rPr>
          <w:rFonts w:hint="eastAsia"/>
          <w:sz w:val="21"/>
          <w:szCs w:val="21"/>
        </w:rPr>
        <w:t>博时基金管理有限公司</w:t>
      </w:r>
      <w:bookmarkEnd w:id="192"/>
      <w:r>
        <w:rPr>
          <w:rFonts w:hint="eastAsia"/>
          <w:sz w:val="21"/>
          <w:szCs w:val="21"/>
        </w:rPr>
        <w:t xml:space="preserve">基金认购专户。该账户由基金管理人开立并管理。基金募集期满或停止募集时，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 </w:t>
      </w:r>
    </w:p>
    <w:p>
      <w:pPr>
        <w:pStyle w:val="8"/>
        <w:spacing w:before="0" w:beforeAutospacing="0" w:after="0" w:afterAutospacing="0" w:line="360" w:lineRule="auto"/>
        <w:ind w:firstLine="420"/>
        <w:rPr>
          <w:sz w:val="21"/>
          <w:szCs w:val="21"/>
        </w:rPr>
      </w:pPr>
      <w:r>
        <w:rPr>
          <w:rFonts w:hint="eastAsia"/>
          <w:sz w:val="21"/>
          <w:szCs w:val="21"/>
        </w:rPr>
        <w:t xml:space="preserve">若基金募集期限届满，未能达到《基金合同》生效的条件，由基金管理人按规定办理退款事宜。 </w:t>
      </w:r>
    </w:p>
    <w:p>
      <w:pPr>
        <w:pStyle w:val="8"/>
        <w:spacing w:before="0" w:beforeAutospacing="0" w:after="0" w:afterAutospacing="0" w:line="360" w:lineRule="auto"/>
        <w:ind w:firstLine="420"/>
        <w:rPr>
          <w:sz w:val="21"/>
          <w:szCs w:val="21"/>
        </w:rPr>
      </w:pPr>
      <w:r>
        <w:rPr>
          <w:rFonts w:hint="eastAsia"/>
          <w:sz w:val="21"/>
          <w:szCs w:val="21"/>
        </w:rPr>
        <w:t xml:space="preserve">（三）基金的银行账户的开立和管理 </w:t>
      </w:r>
    </w:p>
    <w:p>
      <w:pPr>
        <w:pStyle w:val="8"/>
        <w:spacing w:before="0" w:beforeAutospacing="0" w:after="0" w:afterAutospacing="0" w:line="360" w:lineRule="auto"/>
        <w:ind w:firstLine="420"/>
        <w:rPr>
          <w:sz w:val="21"/>
          <w:szCs w:val="21"/>
        </w:rPr>
      </w:pPr>
      <w:r>
        <w:rPr>
          <w:rFonts w:hint="eastAsia"/>
          <w:sz w:val="21"/>
          <w:szCs w:val="21"/>
        </w:rPr>
        <w:t xml:space="preserve">基金托管人以基金托管人的名义在其营业机构开设资产托管专户，保管基金的银行存款。该账户的开设和管理由基金托管人承担。本基金的一切货币收支活动，均需通过基金托管人的资产托管专户进行。 </w:t>
      </w:r>
    </w:p>
    <w:p>
      <w:pPr>
        <w:pStyle w:val="8"/>
        <w:spacing w:before="0" w:beforeAutospacing="0" w:after="0" w:afterAutospacing="0" w:line="360" w:lineRule="auto"/>
        <w:ind w:firstLine="420"/>
        <w:rPr>
          <w:sz w:val="21"/>
          <w:szCs w:val="21"/>
        </w:rPr>
      </w:pPr>
      <w:r>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pPr>
        <w:pStyle w:val="8"/>
        <w:spacing w:before="0" w:beforeAutospacing="0" w:after="0" w:afterAutospacing="0" w:line="360" w:lineRule="auto"/>
        <w:ind w:firstLine="420"/>
        <w:rPr>
          <w:sz w:val="21"/>
          <w:szCs w:val="21"/>
        </w:rPr>
      </w:pPr>
      <w:r>
        <w:rPr>
          <w:rFonts w:hint="eastAsia"/>
          <w:sz w:val="21"/>
          <w:szCs w:val="21"/>
        </w:rPr>
        <w:t xml:space="preserve">资产托管专户的管理应符合《人民币银行结算账户管理办法》、《现金管理暂行条例》、《人民币利率管理规定》、《利率管理暂行规定》、《支付结算办法》以及银行业监督管理机构的其他规定。 </w:t>
      </w:r>
    </w:p>
    <w:p>
      <w:pPr>
        <w:pStyle w:val="8"/>
        <w:spacing w:before="0" w:beforeAutospacing="0" w:after="0" w:afterAutospacing="0" w:line="360" w:lineRule="auto"/>
        <w:ind w:firstLine="420"/>
        <w:rPr>
          <w:sz w:val="21"/>
          <w:szCs w:val="21"/>
        </w:rPr>
      </w:pPr>
      <w:r>
        <w:rPr>
          <w:rFonts w:hint="eastAsia"/>
          <w:sz w:val="21"/>
          <w:szCs w:val="21"/>
        </w:rPr>
        <w:t xml:space="preserve">（四）基金证券账户与证券交易资金账户的开设和管理 </w:t>
      </w:r>
    </w:p>
    <w:p>
      <w:pPr>
        <w:pStyle w:val="8"/>
        <w:spacing w:before="0" w:beforeAutospacing="0" w:after="0" w:afterAutospacing="0" w:line="360" w:lineRule="auto"/>
        <w:ind w:firstLine="420"/>
        <w:rPr>
          <w:sz w:val="21"/>
          <w:szCs w:val="21"/>
        </w:rPr>
      </w:pPr>
      <w:r>
        <w:rPr>
          <w:rFonts w:hint="eastAsia"/>
          <w:sz w:val="21"/>
          <w:szCs w:val="21"/>
        </w:rPr>
        <w:t xml:space="preserve">基金托管人以基金托管人和本基金联名的方式在中国证券登记结算有限责任公司上海分公司/深圳分公司开设证券账户。 </w:t>
      </w:r>
    </w:p>
    <w:p>
      <w:pPr>
        <w:pStyle w:val="8"/>
        <w:spacing w:before="0" w:beforeAutospacing="0" w:after="0" w:afterAutospacing="0" w:line="360" w:lineRule="auto"/>
        <w:ind w:firstLine="420"/>
        <w:rPr>
          <w:sz w:val="21"/>
          <w:szCs w:val="21"/>
        </w:rPr>
      </w:pPr>
      <w:r>
        <w:rPr>
          <w:rFonts w:hint="eastAsia"/>
          <w:sz w:val="21"/>
          <w:szCs w:val="21"/>
        </w:rPr>
        <w:t xml:space="preserve">基金托管人以基金托管人的名义在中国证券登记结算有限责任公司上海分公司/深圳分公司开立基金证券交易资金账户，用于证券清算。 </w:t>
      </w:r>
    </w:p>
    <w:p>
      <w:pPr>
        <w:pStyle w:val="8"/>
        <w:spacing w:before="0" w:beforeAutospacing="0" w:after="0" w:afterAutospacing="0" w:line="360" w:lineRule="auto"/>
        <w:ind w:firstLine="420"/>
        <w:rPr>
          <w:sz w:val="21"/>
          <w:szCs w:val="21"/>
        </w:rPr>
      </w:pPr>
      <w:r>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pPr>
        <w:pStyle w:val="8"/>
        <w:spacing w:before="0" w:beforeAutospacing="0" w:after="0" w:afterAutospacing="0" w:line="360" w:lineRule="auto"/>
        <w:ind w:firstLine="420"/>
        <w:rPr>
          <w:sz w:val="21"/>
          <w:szCs w:val="21"/>
        </w:rPr>
      </w:pPr>
      <w:r>
        <w:rPr>
          <w:rFonts w:hint="eastAsia"/>
          <w:sz w:val="21"/>
          <w:szCs w:val="21"/>
        </w:rPr>
        <w:t xml:space="preserve">（五）债券托管账户的开立和管理 </w:t>
      </w:r>
    </w:p>
    <w:p>
      <w:pPr>
        <w:pStyle w:val="8"/>
        <w:spacing w:before="0" w:beforeAutospacing="0" w:after="0" w:afterAutospacing="0" w:line="360" w:lineRule="auto"/>
        <w:ind w:firstLine="420"/>
        <w:rPr>
          <w:sz w:val="21"/>
          <w:szCs w:val="21"/>
        </w:rPr>
      </w:pPr>
      <w:r>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 </w:t>
      </w:r>
    </w:p>
    <w:p>
      <w:pPr>
        <w:pStyle w:val="8"/>
        <w:spacing w:before="0" w:beforeAutospacing="0" w:after="0" w:afterAutospacing="0" w:line="360" w:lineRule="auto"/>
        <w:ind w:firstLine="420"/>
        <w:rPr>
          <w:sz w:val="21"/>
          <w:szCs w:val="21"/>
        </w:rPr>
      </w:pPr>
      <w:r>
        <w:rPr>
          <w:rFonts w:hint="eastAsia"/>
          <w:sz w:val="21"/>
          <w:szCs w:val="21"/>
        </w:rPr>
        <w:t xml:space="preserve">2、基金管理人和基金托管人应一起负责为基金对外签订全国银行间债券市场回购主协议，正本由基金托管人保管，基金管理人保存副本。 </w:t>
      </w:r>
    </w:p>
    <w:p>
      <w:pPr>
        <w:pStyle w:val="8"/>
        <w:spacing w:before="0" w:beforeAutospacing="0" w:after="0" w:afterAutospacing="0" w:line="360" w:lineRule="auto"/>
        <w:ind w:firstLine="420"/>
        <w:rPr>
          <w:sz w:val="21"/>
          <w:szCs w:val="21"/>
        </w:rPr>
      </w:pPr>
      <w:r>
        <w:rPr>
          <w:rFonts w:hint="eastAsia"/>
          <w:sz w:val="21"/>
          <w:szCs w:val="21"/>
        </w:rPr>
        <w:t xml:space="preserve">（六）其他账户的开设和管理 </w:t>
      </w:r>
    </w:p>
    <w:p>
      <w:pPr>
        <w:pStyle w:val="8"/>
        <w:spacing w:before="0" w:beforeAutospacing="0" w:after="0" w:afterAutospacing="0" w:line="360" w:lineRule="auto"/>
        <w:ind w:firstLine="420"/>
        <w:rPr>
          <w:sz w:val="21"/>
          <w:szCs w:val="21"/>
        </w:rPr>
      </w:pPr>
      <w:r>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pPr>
        <w:pStyle w:val="8"/>
        <w:spacing w:before="0" w:beforeAutospacing="0" w:after="0" w:afterAutospacing="0" w:line="360" w:lineRule="auto"/>
        <w:ind w:firstLine="420"/>
        <w:rPr>
          <w:sz w:val="21"/>
          <w:szCs w:val="21"/>
        </w:rPr>
      </w:pPr>
      <w:r>
        <w:rPr>
          <w:rFonts w:hint="eastAsia"/>
          <w:sz w:val="21"/>
          <w:szCs w:val="21"/>
        </w:rPr>
        <w:t xml:space="preserve">（七）基金财产投资的有关实物证券、银行定期存款存单等有价凭证的保管 </w:t>
      </w:r>
    </w:p>
    <w:p>
      <w:pPr>
        <w:pStyle w:val="8"/>
        <w:spacing w:before="0" w:beforeAutospacing="0" w:after="0" w:afterAutospacing="0" w:line="360" w:lineRule="auto"/>
        <w:ind w:firstLine="420"/>
        <w:rPr>
          <w:sz w:val="21"/>
          <w:szCs w:val="21"/>
        </w:rPr>
      </w:pPr>
      <w:r>
        <w:rPr>
          <w:rFonts w:hint="eastAsia"/>
          <w:sz w:val="21"/>
          <w:szCs w:val="21"/>
        </w:rPr>
        <w:t xml:space="preserve">基金财产投资的有关实物证券由基金托管人存放于基金托管人的保管库；其中实物证券也可存入中央国债登记结算有限责任公司或银行间市场清算所股份有限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 </w:t>
      </w:r>
    </w:p>
    <w:p>
      <w:pPr>
        <w:pStyle w:val="8"/>
        <w:spacing w:before="0" w:beforeAutospacing="0" w:after="0" w:afterAutospacing="0" w:line="360" w:lineRule="auto"/>
        <w:ind w:firstLine="420"/>
        <w:rPr>
          <w:sz w:val="21"/>
          <w:szCs w:val="21"/>
        </w:rPr>
      </w:pPr>
      <w:r>
        <w:rPr>
          <w:rFonts w:hint="eastAsia"/>
          <w:sz w:val="21"/>
          <w:szCs w:val="21"/>
        </w:rPr>
        <w:t xml:space="preserve">（八）与基金财产有关的重大合同的保管 </w:t>
      </w:r>
    </w:p>
    <w:p>
      <w:pPr>
        <w:pStyle w:val="8"/>
        <w:spacing w:before="0" w:beforeAutospacing="0" w:after="0" w:afterAutospacing="0" w:line="360" w:lineRule="auto"/>
        <w:ind w:firstLine="420"/>
        <w:rPr>
          <w:sz w:val="21"/>
          <w:szCs w:val="21"/>
        </w:rPr>
      </w:pPr>
      <w:r>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pPr>
        <w:pStyle w:val="8"/>
        <w:spacing w:before="0" w:beforeAutospacing="0" w:after="0" w:afterAutospacing="0" w:line="360" w:lineRule="auto"/>
        <w:ind w:firstLine="420"/>
        <w:rPr>
          <w:sz w:val="21"/>
          <w:szCs w:val="21"/>
        </w:rPr>
      </w:pPr>
      <w:r>
        <w:rPr>
          <w:rFonts w:hint="eastAsia"/>
          <w:sz w:val="21"/>
          <w:szCs w:val="21"/>
        </w:rPr>
        <w:t xml:space="preserve">对于无法取得二份以上的正本的，基金管理人应向基金托管人提供加盖授权业务章的合同传真件或复印件，未经双方协商或未在合同约定范围内，合同原件不得转移。 </w:t>
      </w:r>
    </w:p>
    <w:p>
      <w:pPr>
        <w:pStyle w:val="8"/>
        <w:spacing w:before="0" w:beforeAutospacing="0" w:after="0" w:afterAutospacing="0" w:line="360" w:lineRule="auto"/>
        <w:ind w:firstLine="420"/>
        <w:rPr>
          <w:sz w:val="21"/>
          <w:szCs w:val="21"/>
        </w:rPr>
      </w:pPr>
      <w:r>
        <w:rPr>
          <w:rStyle w:val="13"/>
          <w:rFonts w:hint="eastAsia"/>
          <w:sz w:val="21"/>
          <w:szCs w:val="21"/>
        </w:rPr>
        <w:t>五、基金资产净值计算和会计核算</w:t>
      </w:r>
    </w:p>
    <w:p>
      <w:pPr>
        <w:pStyle w:val="8"/>
        <w:spacing w:before="0" w:beforeAutospacing="0" w:after="0" w:afterAutospacing="0" w:line="360" w:lineRule="auto"/>
        <w:ind w:firstLine="420"/>
        <w:rPr>
          <w:sz w:val="21"/>
          <w:szCs w:val="21"/>
        </w:rPr>
      </w:pPr>
      <w:r>
        <w:rPr>
          <w:rFonts w:hint="eastAsia"/>
          <w:sz w:val="21"/>
          <w:szCs w:val="21"/>
        </w:rPr>
        <w:t xml:space="preserve">（一）基金资产净值的计算 </w:t>
      </w:r>
    </w:p>
    <w:p>
      <w:pPr>
        <w:pStyle w:val="8"/>
        <w:spacing w:before="0" w:beforeAutospacing="0" w:after="0" w:afterAutospacing="0" w:line="360" w:lineRule="auto"/>
        <w:ind w:firstLine="420"/>
        <w:rPr>
          <w:sz w:val="21"/>
          <w:szCs w:val="21"/>
        </w:rPr>
      </w:pPr>
      <w:r>
        <w:rPr>
          <w:rFonts w:hint="eastAsia"/>
          <w:sz w:val="21"/>
          <w:szCs w:val="21"/>
        </w:rPr>
        <w:t xml:space="preserve">1、基金资产净值的计算、复核的时间和程序 </w:t>
      </w:r>
    </w:p>
    <w:p>
      <w:pPr>
        <w:pStyle w:val="8"/>
        <w:spacing w:before="0" w:beforeAutospacing="0" w:after="0" w:afterAutospacing="0" w:line="360" w:lineRule="auto"/>
        <w:ind w:firstLine="420"/>
        <w:rPr>
          <w:sz w:val="21"/>
          <w:szCs w:val="21"/>
        </w:rPr>
      </w:pPr>
      <w:r>
        <w:rPr>
          <w:rFonts w:hint="eastAsia"/>
          <w:sz w:val="21"/>
          <w:szCs w:val="21"/>
        </w:rPr>
        <w:t>基金资产净值是指基金资产总值减去负债后的价值。基金份额净值是指计算日各类基金资产净值除以该计算日该类基金份额总份额后的数值。任一类基金份额净值的计算保留到小数点后4位，小数点后第5位四舍五入，由此产生的误差计入基金财产。基金管理人可以设立大额赎回情形下的净值精度应急调整机制。</w:t>
      </w:r>
    </w:p>
    <w:p>
      <w:pPr>
        <w:pStyle w:val="8"/>
        <w:spacing w:before="0" w:beforeAutospacing="0" w:after="0" w:afterAutospacing="0" w:line="360" w:lineRule="auto"/>
        <w:ind w:firstLine="420"/>
        <w:rPr>
          <w:sz w:val="21"/>
          <w:szCs w:val="21"/>
        </w:rPr>
      </w:pPr>
      <w:r>
        <w:rPr>
          <w:rFonts w:hint="eastAsia"/>
          <w:sz w:val="21"/>
          <w:szCs w:val="21"/>
        </w:rPr>
        <w:t>基金管理人应每个工作日对基金资产估值，但基金管理人根据法律法规或基金合同的规定暂停估值时除外。估值原则应符合《基金合同》、《证券投资基金会计核算业务指引》及其他法律、法规的规定。基金资产净值和基金份额净值由基金管理人负责计算，基金托管人复核。基金管理人应于每个工作日交易结束后计算当日的基金资产净值、各类基金份额净值并以双方认可的方式发送给基金托管人。基金托管人对净值计算结果复核后以双方认可的方式发送给基金管理人，由基金管理人对基金净值予以公布。</w:t>
      </w:r>
    </w:p>
    <w:p>
      <w:pPr>
        <w:pStyle w:val="8"/>
        <w:spacing w:before="0" w:beforeAutospacing="0" w:after="0" w:afterAutospacing="0" w:line="360" w:lineRule="auto"/>
        <w:ind w:firstLine="420"/>
        <w:rPr>
          <w:sz w:val="21"/>
          <w:szCs w:val="21"/>
        </w:rPr>
      </w:pPr>
      <w:r>
        <w:rPr>
          <w:rFonts w:hint="eastAsia"/>
          <w:sz w:val="21"/>
          <w:szCs w:val="21"/>
        </w:rPr>
        <w:t xml:space="preserve">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 </w:t>
      </w:r>
    </w:p>
    <w:p>
      <w:pPr>
        <w:pStyle w:val="8"/>
        <w:spacing w:before="0" w:beforeAutospacing="0" w:after="0" w:afterAutospacing="0" w:line="360" w:lineRule="auto"/>
        <w:ind w:firstLine="420"/>
        <w:rPr>
          <w:sz w:val="21"/>
          <w:szCs w:val="21"/>
        </w:rPr>
      </w:pPr>
      <w:r>
        <w:rPr>
          <w:rFonts w:hint="eastAsia"/>
          <w:sz w:val="21"/>
          <w:szCs w:val="21"/>
        </w:rPr>
        <w:t xml:space="preserve">（二）基金资产估值方法 </w:t>
      </w:r>
    </w:p>
    <w:p>
      <w:pPr>
        <w:pStyle w:val="8"/>
        <w:spacing w:before="0" w:beforeAutospacing="0" w:after="0" w:afterAutospacing="0" w:line="360" w:lineRule="auto"/>
        <w:ind w:firstLine="420"/>
        <w:rPr>
          <w:sz w:val="21"/>
          <w:szCs w:val="21"/>
        </w:rPr>
      </w:pPr>
      <w:r>
        <w:rPr>
          <w:rFonts w:hint="eastAsia"/>
          <w:sz w:val="21"/>
          <w:szCs w:val="21"/>
        </w:rPr>
        <w:t xml:space="preserve">1、估值对象 </w:t>
      </w:r>
    </w:p>
    <w:p>
      <w:pPr>
        <w:pStyle w:val="8"/>
        <w:spacing w:before="0" w:beforeAutospacing="0" w:after="0" w:afterAutospacing="0" w:line="360" w:lineRule="auto"/>
        <w:ind w:firstLine="420"/>
        <w:rPr>
          <w:sz w:val="21"/>
          <w:szCs w:val="21"/>
        </w:rPr>
      </w:pPr>
      <w:r>
        <w:rPr>
          <w:rFonts w:hint="eastAsia"/>
          <w:sz w:val="21"/>
          <w:szCs w:val="21"/>
        </w:rPr>
        <w:t xml:space="preserve">基金所拥有的股票、债券、衍生工具和其他投资等持续以公允价值计量的金融资产及负债。 </w:t>
      </w:r>
    </w:p>
    <w:p>
      <w:pPr>
        <w:pStyle w:val="8"/>
        <w:spacing w:before="0" w:beforeAutospacing="0" w:after="0" w:afterAutospacing="0" w:line="360" w:lineRule="auto"/>
        <w:ind w:firstLine="420"/>
        <w:rPr>
          <w:sz w:val="21"/>
          <w:szCs w:val="21"/>
        </w:rPr>
      </w:pPr>
      <w:r>
        <w:rPr>
          <w:rFonts w:hint="eastAsia"/>
          <w:sz w:val="21"/>
          <w:szCs w:val="21"/>
        </w:rPr>
        <w:t xml:space="preserve">2、估值方法 </w:t>
      </w:r>
    </w:p>
    <w:p>
      <w:pPr>
        <w:pStyle w:val="8"/>
        <w:spacing w:before="0" w:beforeAutospacing="0" w:after="0" w:afterAutospacing="0" w:line="360" w:lineRule="auto"/>
        <w:ind w:firstLine="420"/>
        <w:rPr>
          <w:sz w:val="21"/>
          <w:szCs w:val="21"/>
        </w:rPr>
      </w:pPr>
      <w:r>
        <w:rPr>
          <w:rFonts w:hint="eastAsia"/>
          <w:sz w:val="21"/>
          <w:szCs w:val="21"/>
        </w:rPr>
        <w:t xml:space="preserve">本基金的估值方法为： </w:t>
      </w:r>
    </w:p>
    <w:p>
      <w:pPr>
        <w:pStyle w:val="8"/>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8"/>
        <w:spacing w:before="0" w:beforeAutospacing="0" w:after="0" w:afterAutospacing="0" w:line="360" w:lineRule="auto"/>
        <w:ind w:firstLine="420"/>
        <w:rPr>
          <w:sz w:val="21"/>
          <w:szCs w:val="21"/>
        </w:rPr>
      </w:pPr>
      <w:r>
        <w:rPr>
          <w:rFonts w:hint="eastAsia"/>
          <w:sz w:val="21"/>
          <w:szCs w:val="21"/>
        </w:rPr>
        <w:t xml:space="preserve">A.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8"/>
        <w:spacing w:before="0" w:beforeAutospacing="0" w:after="0" w:afterAutospacing="0" w:line="360" w:lineRule="auto"/>
        <w:ind w:firstLine="420"/>
        <w:rPr>
          <w:sz w:val="21"/>
          <w:szCs w:val="21"/>
        </w:rPr>
      </w:pPr>
      <w:r>
        <w:rPr>
          <w:rFonts w:hint="eastAsia"/>
          <w:sz w:val="21"/>
          <w:szCs w:val="21"/>
        </w:rPr>
        <w:t xml:space="preserve">B.交易所市场上市交易或挂牌转让的固定收益品种（基金合同另有约定的除外），选取估值日第三方估值机构提供的相应品种对应的估值净价估值，具体估值机构由基金管理人与基金托管人共同确定； </w:t>
      </w:r>
    </w:p>
    <w:p>
      <w:pPr>
        <w:pStyle w:val="8"/>
        <w:spacing w:before="0" w:beforeAutospacing="0" w:after="0" w:afterAutospacing="0" w:line="360" w:lineRule="auto"/>
        <w:ind w:firstLine="420"/>
        <w:rPr>
          <w:sz w:val="21"/>
          <w:szCs w:val="21"/>
        </w:rPr>
      </w:pPr>
      <w:r>
        <w:rPr>
          <w:rFonts w:hint="eastAsia"/>
          <w:sz w:val="21"/>
          <w:szCs w:val="21"/>
        </w:rPr>
        <w:t xml:space="preserve">C.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交易所上市实行全价交易的债券（可转债除外），选取第三方估值机构提供的估值全价减去估值全价中所含的债券（税后）应收利息得到的净价进行估值。 </w:t>
      </w:r>
    </w:p>
    <w:p>
      <w:pPr>
        <w:pStyle w:val="8"/>
        <w:spacing w:before="0" w:beforeAutospacing="0" w:after="0" w:afterAutospacing="0" w:line="360" w:lineRule="auto"/>
        <w:ind w:firstLine="420"/>
        <w:rPr>
          <w:sz w:val="21"/>
          <w:szCs w:val="21"/>
        </w:rPr>
      </w:pPr>
      <w:r>
        <w:rPr>
          <w:rFonts w:hint="eastAsia"/>
          <w:sz w:val="21"/>
          <w:szCs w:val="21"/>
        </w:rPr>
        <w:t xml:space="preserve">D.交易所上市不存在活跃市场的有价证券，采用估值技术确定公允价值。交易所上市的资产支持证券，采用估值技术确定公允价值，在估值技术难以可靠计量公允价值的情况下，按成本估值。 </w:t>
      </w:r>
    </w:p>
    <w:p>
      <w:pPr>
        <w:pStyle w:val="8"/>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8"/>
        <w:spacing w:before="0" w:beforeAutospacing="0" w:after="0" w:afterAutospacing="0" w:line="360" w:lineRule="auto"/>
        <w:ind w:firstLine="420"/>
        <w:rPr>
          <w:sz w:val="21"/>
          <w:szCs w:val="21"/>
        </w:rPr>
      </w:pPr>
      <w:r>
        <w:rPr>
          <w:rFonts w:hint="eastAsia"/>
          <w:sz w:val="21"/>
          <w:szCs w:val="21"/>
        </w:rPr>
        <w:t xml:space="preserve">A.送股、转增股、配股和公开增发的股票，按估值日在证券交易所挂牌的同一股票的估值方法估值；该日无交易的，以最近一日的市价（收盘价）估值； </w:t>
      </w:r>
    </w:p>
    <w:p>
      <w:pPr>
        <w:pStyle w:val="8"/>
        <w:spacing w:before="0" w:beforeAutospacing="0" w:after="0" w:afterAutospacing="0" w:line="360" w:lineRule="auto"/>
        <w:ind w:firstLine="420"/>
        <w:rPr>
          <w:sz w:val="21"/>
          <w:szCs w:val="21"/>
        </w:rPr>
      </w:pPr>
      <w:r>
        <w:rPr>
          <w:rFonts w:hint="eastAsia"/>
          <w:sz w:val="21"/>
          <w:szCs w:val="21"/>
        </w:rPr>
        <w:t xml:space="preserve">B.首次公开发行未上市或未挂牌转让的股票、债券，采用估值技术确定公允价值，在估值技术难以可靠计量公允价值的情况下，按成本估值； </w:t>
      </w:r>
    </w:p>
    <w:p>
      <w:pPr>
        <w:pStyle w:val="8"/>
        <w:spacing w:before="0" w:beforeAutospacing="0" w:after="0" w:afterAutospacing="0" w:line="360" w:lineRule="auto"/>
        <w:ind w:firstLine="420"/>
        <w:rPr>
          <w:sz w:val="21"/>
          <w:szCs w:val="21"/>
        </w:rPr>
      </w:pPr>
      <w:r>
        <w:rPr>
          <w:rFonts w:hint="eastAsia"/>
          <w:sz w:val="21"/>
          <w:szCs w:val="21"/>
        </w:rPr>
        <w:t xml:space="preserve">C.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pPr>
        <w:pStyle w:val="8"/>
        <w:spacing w:before="0" w:beforeAutospacing="0" w:after="0" w:afterAutospacing="0" w:line="360" w:lineRule="auto"/>
        <w:ind w:firstLine="420"/>
        <w:rPr>
          <w:sz w:val="21"/>
          <w:szCs w:val="21"/>
        </w:rPr>
      </w:pPr>
      <w:r>
        <w:rPr>
          <w:rFonts w:hint="eastAsia"/>
          <w:sz w:val="21"/>
          <w:szCs w:val="21"/>
        </w:rPr>
        <w:t xml:space="preserve">(3)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pPr>
        <w:pStyle w:val="8"/>
        <w:spacing w:before="0" w:beforeAutospacing="0" w:after="0" w:afterAutospacing="0" w:line="360" w:lineRule="auto"/>
        <w:ind w:firstLine="420"/>
        <w:rPr>
          <w:sz w:val="21"/>
          <w:szCs w:val="21"/>
        </w:rPr>
      </w:pPr>
      <w:r>
        <w:rPr>
          <w:rFonts w:hint="eastAsia"/>
          <w:sz w:val="21"/>
          <w:szCs w:val="21"/>
        </w:rPr>
        <w:t xml:space="preserve">(4)同一证券同时在两个或两个以上市场交易的，按证券所处的市场分别估值。 </w:t>
      </w:r>
    </w:p>
    <w:p>
      <w:pPr>
        <w:pStyle w:val="8"/>
        <w:spacing w:before="0" w:beforeAutospacing="0" w:after="0" w:afterAutospacing="0" w:line="360" w:lineRule="auto"/>
        <w:ind w:firstLine="420"/>
        <w:rPr>
          <w:sz w:val="21"/>
          <w:szCs w:val="21"/>
        </w:rPr>
      </w:pPr>
      <w:r>
        <w:rPr>
          <w:rFonts w:hint="eastAsia"/>
          <w:sz w:val="21"/>
          <w:szCs w:val="21"/>
        </w:rPr>
        <w:t xml:space="preserve">(5)本基金投资股指期货合约、国债期货合约，按估值当日结算价进行估值，估值当日无结算价的，且最近交易日后经济环境未发生重大变化的，采用最近交易日结算价估值。 </w:t>
      </w:r>
    </w:p>
    <w:p>
      <w:pPr>
        <w:pStyle w:val="8"/>
        <w:spacing w:before="0" w:beforeAutospacing="0" w:after="0" w:afterAutospacing="0" w:line="360" w:lineRule="auto"/>
        <w:ind w:firstLine="420"/>
        <w:rPr>
          <w:sz w:val="21"/>
          <w:szCs w:val="21"/>
        </w:rPr>
      </w:pPr>
      <w:r>
        <w:rPr>
          <w:rFonts w:hint="eastAsia"/>
          <w:sz w:val="21"/>
          <w:szCs w:val="21"/>
        </w:rPr>
        <w:t xml:space="preserve">(6)当基金发生大额申购或赎回情形时，基金管理人可以采用摆动定价机制，以确保基金估值的公平性。 </w:t>
      </w:r>
    </w:p>
    <w:p>
      <w:pPr>
        <w:pStyle w:val="8"/>
        <w:spacing w:before="0" w:beforeAutospacing="0" w:after="0" w:afterAutospacing="0" w:line="360" w:lineRule="auto"/>
        <w:ind w:firstLine="420"/>
        <w:rPr>
          <w:sz w:val="21"/>
          <w:szCs w:val="21"/>
        </w:rPr>
      </w:pPr>
      <w:r>
        <w:rPr>
          <w:rFonts w:hint="eastAsia"/>
          <w:sz w:val="21"/>
          <w:szCs w:val="21"/>
        </w:rPr>
        <w:t xml:space="preserve">(7)汇率：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 </w:t>
      </w:r>
    </w:p>
    <w:p>
      <w:pPr>
        <w:pStyle w:val="8"/>
        <w:spacing w:before="0" w:beforeAutospacing="0" w:after="0" w:afterAutospacing="0" w:line="360" w:lineRule="auto"/>
        <w:ind w:firstLine="420"/>
        <w:rPr>
          <w:sz w:val="21"/>
          <w:szCs w:val="21"/>
        </w:rPr>
      </w:pPr>
      <w:r>
        <w:rPr>
          <w:rFonts w:hint="eastAsia"/>
          <w:sz w:val="21"/>
          <w:szCs w:val="21"/>
        </w:rPr>
        <w:t xml:space="preserve">(8)如有确凿证据表明按原有方法进行估值不能客观反映上述资产或负债公允价值的，基金管理人可根据具体情况与基金托管人商定后，按最能反映公允价值的方法估值。 </w:t>
      </w:r>
    </w:p>
    <w:p>
      <w:pPr>
        <w:pStyle w:val="8"/>
        <w:spacing w:before="0" w:beforeAutospacing="0" w:after="0" w:afterAutospacing="0" w:line="360" w:lineRule="auto"/>
        <w:ind w:firstLine="420"/>
        <w:rPr>
          <w:sz w:val="21"/>
          <w:szCs w:val="21"/>
        </w:rPr>
      </w:pPr>
      <w:r>
        <w:rPr>
          <w:rFonts w:hint="eastAsia"/>
          <w:sz w:val="21"/>
          <w:szCs w:val="21"/>
        </w:rPr>
        <w:t xml:space="preserve">(9)相关法律法规以及监管部门、自律规则另有规定的，从其规定。如有新增事项，按国家最新规定估值。 </w:t>
      </w:r>
    </w:p>
    <w:p>
      <w:pPr>
        <w:pStyle w:val="8"/>
        <w:spacing w:before="0" w:beforeAutospacing="0" w:after="0" w:afterAutospacing="0" w:line="360" w:lineRule="auto"/>
        <w:ind w:firstLine="420"/>
        <w:rPr>
          <w:sz w:val="21"/>
          <w:szCs w:val="21"/>
        </w:rPr>
      </w:pPr>
      <w:r>
        <w:rPr>
          <w:rFonts w:hint="eastAsia"/>
          <w:sz w:val="21"/>
          <w:szCs w:val="21"/>
        </w:rPr>
        <w:t xml:space="preserve">如本基金转为“博时科创主题灵活配置混合型证券投资基金（LOF）”，投资品种新增事项的估值方法遵照相关法律法规以及监管部门的规定，并相应更新。 </w:t>
      </w:r>
    </w:p>
    <w:p>
      <w:pPr>
        <w:pStyle w:val="8"/>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8"/>
        <w:spacing w:before="0" w:beforeAutospacing="0" w:after="0" w:afterAutospacing="0" w:line="360" w:lineRule="auto"/>
        <w:ind w:firstLine="420"/>
        <w:rPr>
          <w:sz w:val="21"/>
          <w:szCs w:val="21"/>
        </w:rPr>
      </w:pPr>
      <w:r>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pPr>
        <w:pStyle w:val="8"/>
        <w:spacing w:before="0" w:beforeAutospacing="0" w:after="0" w:afterAutospacing="0" w:line="360" w:lineRule="auto"/>
        <w:ind w:firstLine="420"/>
        <w:rPr>
          <w:sz w:val="21"/>
          <w:szCs w:val="21"/>
        </w:rPr>
      </w:pPr>
      <w:r>
        <w:rPr>
          <w:rFonts w:hint="eastAsia"/>
          <w:sz w:val="21"/>
          <w:szCs w:val="21"/>
        </w:rPr>
        <w:t xml:space="preserve">（三）估值差错处理 </w:t>
      </w:r>
    </w:p>
    <w:p>
      <w:pPr>
        <w:pStyle w:val="8"/>
        <w:spacing w:before="0" w:beforeAutospacing="0" w:after="0" w:afterAutospacing="0" w:line="360" w:lineRule="auto"/>
        <w:ind w:firstLine="420"/>
        <w:rPr>
          <w:sz w:val="21"/>
          <w:szCs w:val="21"/>
        </w:rPr>
      </w:pPr>
      <w:r>
        <w:rPr>
          <w:rFonts w:hint="eastAsia"/>
          <w:sz w:val="21"/>
          <w:szCs w:val="21"/>
        </w:rPr>
        <w:t xml:space="preserve">因基金估值错误给投资者造成损失的应先由基金管理人承担，基金管理人对不应由其承担的责任，有权向过错人追偿。 </w:t>
      </w:r>
    </w:p>
    <w:p>
      <w:pPr>
        <w:pStyle w:val="8"/>
        <w:spacing w:before="0" w:beforeAutospacing="0" w:after="0" w:afterAutospacing="0" w:line="360" w:lineRule="auto"/>
        <w:ind w:firstLine="420"/>
        <w:rPr>
          <w:sz w:val="21"/>
          <w:szCs w:val="21"/>
        </w:rPr>
      </w:pPr>
      <w:r>
        <w:rPr>
          <w:rFonts w:hint="eastAsia"/>
          <w:sz w:val="21"/>
          <w:szCs w:val="21"/>
        </w:rPr>
        <w:t xml:space="preserve">当基金管理人计算的基金净值信息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 </w:t>
      </w:r>
    </w:p>
    <w:p>
      <w:pPr>
        <w:pStyle w:val="8"/>
        <w:spacing w:before="0" w:beforeAutospacing="0" w:after="0" w:afterAutospacing="0" w:line="360" w:lineRule="auto"/>
        <w:ind w:firstLine="420"/>
        <w:rPr>
          <w:sz w:val="21"/>
          <w:szCs w:val="21"/>
        </w:rPr>
      </w:pPr>
      <w:r>
        <w:rPr>
          <w:rFonts w:hint="eastAsia"/>
          <w:sz w:val="21"/>
          <w:szCs w:val="21"/>
        </w:rPr>
        <w:t xml:space="preserve">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 </w:t>
      </w:r>
    </w:p>
    <w:p>
      <w:pPr>
        <w:pStyle w:val="8"/>
        <w:spacing w:before="0" w:beforeAutospacing="0" w:after="0" w:afterAutospacing="0" w:line="360" w:lineRule="auto"/>
        <w:ind w:firstLine="420"/>
        <w:rPr>
          <w:sz w:val="21"/>
          <w:szCs w:val="21"/>
        </w:rPr>
      </w:pPr>
      <w:r>
        <w:rPr>
          <w:rFonts w:hint="eastAsia"/>
          <w:sz w:val="21"/>
          <w:szCs w:val="21"/>
        </w:rPr>
        <w:t xml:space="preserve">由于不可抗力原因，或由于证券交易所、期货交易所、指数编制机构或登记结算公司等机构发送的数据错误，或国家会计政策变更、市场规则变更等原因，基金管理人和基金托管人虽然已经采取必要、适当、合理的措施进行检查，但是未能发现该错误的，由此造成的基金资产估值错误，基金管理人和基金托管人应当免除赔偿责任。但基金管理人和基金托管人应当积极采取必要的措施消除或减轻由此造成的影响。 </w:t>
      </w:r>
    </w:p>
    <w:p>
      <w:pPr>
        <w:pStyle w:val="8"/>
        <w:spacing w:before="0" w:beforeAutospacing="0" w:after="0" w:afterAutospacing="0" w:line="360" w:lineRule="auto"/>
        <w:ind w:firstLine="420"/>
        <w:rPr>
          <w:sz w:val="21"/>
          <w:szCs w:val="21"/>
        </w:rPr>
      </w:pPr>
      <w:r>
        <w:rPr>
          <w:rFonts w:hint="eastAsia"/>
          <w:sz w:val="21"/>
          <w:szCs w:val="21"/>
        </w:rPr>
        <w:t xml:space="preserve">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 </w:t>
      </w:r>
    </w:p>
    <w:p>
      <w:pPr>
        <w:pStyle w:val="8"/>
        <w:spacing w:before="0" w:beforeAutospacing="0" w:after="0" w:afterAutospacing="0" w:line="360" w:lineRule="auto"/>
        <w:ind w:firstLine="420"/>
        <w:rPr>
          <w:sz w:val="21"/>
          <w:szCs w:val="21"/>
        </w:rPr>
      </w:pPr>
      <w:r>
        <w:rPr>
          <w:rFonts w:hint="eastAsia"/>
          <w:sz w:val="21"/>
          <w:szCs w:val="21"/>
        </w:rPr>
        <w:t xml:space="preserve">（四）基金账册的建立 </w:t>
      </w:r>
    </w:p>
    <w:p>
      <w:pPr>
        <w:pStyle w:val="8"/>
        <w:spacing w:before="0" w:beforeAutospacing="0" w:after="0" w:afterAutospacing="0" w:line="360" w:lineRule="auto"/>
        <w:ind w:firstLine="420"/>
        <w:rPr>
          <w:sz w:val="21"/>
          <w:szCs w:val="21"/>
        </w:rPr>
      </w:pPr>
      <w:r>
        <w:rPr>
          <w:rFonts w:hint="eastAsia"/>
          <w:sz w:val="21"/>
          <w:szCs w:val="21"/>
        </w:rPr>
        <w:t xml:space="preserve">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pPr>
        <w:pStyle w:val="8"/>
        <w:spacing w:before="0" w:beforeAutospacing="0" w:after="0" w:afterAutospacing="0" w:line="360" w:lineRule="auto"/>
        <w:ind w:firstLine="420"/>
        <w:rPr>
          <w:sz w:val="21"/>
          <w:szCs w:val="21"/>
        </w:rPr>
      </w:pPr>
      <w:r>
        <w:rPr>
          <w:rFonts w:hint="eastAsia"/>
          <w:sz w:val="21"/>
          <w:szCs w:val="21"/>
        </w:rPr>
        <w:t xml:space="preserve">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pPr>
        <w:pStyle w:val="8"/>
        <w:spacing w:before="0" w:beforeAutospacing="0" w:after="0" w:afterAutospacing="0" w:line="360" w:lineRule="auto"/>
        <w:ind w:firstLine="420"/>
        <w:rPr>
          <w:sz w:val="21"/>
          <w:szCs w:val="21"/>
        </w:rPr>
      </w:pPr>
      <w:r>
        <w:rPr>
          <w:rFonts w:hint="eastAsia"/>
          <w:sz w:val="21"/>
          <w:szCs w:val="21"/>
        </w:rPr>
        <w:t xml:space="preserve">（五）基金定期报告的编制和复核 </w:t>
      </w:r>
    </w:p>
    <w:p>
      <w:pPr>
        <w:pStyle w:val="8"/>
        <w:spacing w:before="0" w:beforeAutospacing="0" w:after="0" w:afterAutospacing="0" w:line="360" w:lineRule="auto"/>
        <w:ind w:firstLine="420"/>
        <w:rPr>
          <w:sz w:val="21"/>
          <w:szCs w:val="21"/>
        </w:rPr>
      </w:pPr>
      <w:r>
        <w:rPr>
          <w:rFonts w:hint="eastAsia"/>
          <w:sz w:val="21"/>
          <w:szCs w:val="21"/>
        </w:rPr>
        <w:t xml:space="preserve">基金财务报表由基金管理人和基金托管人每月分别独立编制。月度报表的编制，应于每月终了后5个工作日内完成。 </w:t>
      </w:r>
    </w:p>
    <w:p>
      <w:pPr>
        <w:pStyle w:val="8"/>
        <w:spacing w:before="0" w:beforeAutospacing="0" w:after="0" w:afterAutospacing="0" w:line="360" w:lineRule="auto"/>
        <w:ind w:firstLine="420"/>
        <w:rPr>
          <w:sz w:val="21"/>
          <w:szCs w:val="21"/>
        </w:rPr>
      </w:pPr>
      <w:r>
        <w:rPr>
          <w:rFonts w:hint="eastAsia"/>
          <w:sz w:val="21"/>
          <w:szCs w:val="21"/>
        </w:rPr>
        <w:t xml:space="preserve">《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招募说明书、基金产品资料概要。基金管理人在每个季度结束之日起15个工作日内完成季度报告编制并公告；在会计年度半年终了后两个月内完成中期报告编制并公告；在会计年度结束后三个月内完成年度报告编制并公告。 </w:t>
      </w:r>
    </w:p>
    <w:p>
      <w:pPr>
        <w:pStyle w:val="8"/>
        <w:spacing w:before="0" w:beforeAutospacing="0" w:after="0" w:afterAutospacing="0" w:line="360" w:lineRule="auto"/>
        <w:ind w:firstLine="420"/>
        <w:rPr>
          <w:sz w:val="21"/>
          <w:szCs w:val="21"/>
        </w:rPr>
      </w:pPr>
      <w:r>
        <w:rPr>
          <w:rFonts w:hint="eastAsia"/>
          <w:sz w:val="21"/>
          <w:szCs w:val="21"/>
        </w:rPr>
        <w:t xml:space="preserve">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 </w:t>
      </w:r>
    </w:p>
    <w:p>
      <w:pPr>
        <w:pStyle w:val="8"/>
        <w:spacing w:before="0" w:beforeAutospacing="0" w:after="0" w:afterAutospacing="0" w:line="360" w:lineRule="auto"/>
        <w:ind w:firstLine="420"/>
        <w:rPr>
          <w:sz w:val="21"/>
          <w:szCs w:val="21"/>
        </w:rPr>
      </w:pPr>
      <w:r>
        <w:rPr>
          <w:rFonts w:hint="eastAsia"/>
          <w:sz w:val="21"/>
          <w:szCs w:val="21"/>
        </w:rPr>
        <w:t xml:space="preserve">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 </w:t>
      </w:r>
    </w:p>
    <w:p>
      <w:pPr>
        <w:pStyle w:val="8"/>
        <w:spacing w:before="0" w:beforeAutospacing="0" w:after="0" w:afterAutospacing="0" w:line="360" w:lineRule="auto"/>
        <w:ind w:firstLine="420"/>
        <w:rPr>
          <w:sz w:val="21"/>
          <w:szCs w:val="21"/>
        </w:rPr>
      </w:pPr>
      <w:r>
        <w:rPr>
          <w:rFonts w:hint="eastAsia"/>
          <w:sz w:val="21"/>
          <w:szCs w:val="21"/>
        </w:rPr>
        <w:t xml:space="preserve">基金托管人在对财务会计报告、季度报告、中期报告或年度报告复核完毕后，需盖章确认或出具相应的复核确认书，以备有权机构对相关文件审核时提示。 </w:t>
      </w:r>
    </w:p>
    <w:p>
      <w:pPr>
        <w:pStyle w:val="8"/>
        <w:spacing w:before="0" w:beforeAutospacing="0" w:after="0" w:afterAutospacing="0" w:line="360" w:lineRule="auto"/>
        <w:ind w:firstLine="420"/>
        <w:rPr>
          <w:sz w:val="21"/>
          <w:szCs w:val="21"/>
        </w:rPr>
      </w:pPr>
      <w:r>
        <w:rPr>
          <w:rStyle w:val="13"/>
          <w:rFonts w:hint="eastAsia"/>
          <w:sz w:val="21"/>
          <w:szCs w:val="21"/>
        </w:rPr>
        <w:t>六、基金份额持有人名册的保管</w:t>
      </w:r>
    </w:p>
    <w:p>
      <w:pPr>
        <w:pStyle w:val="8"/>
        <w:spacing w:before="0" w:beforeAutospacing="0" w:after="0" w:afterAutospacing="0" w:line="360" w:lineRule="auto"/>
        <w:ind w:firstLine="420"/>
        <w:rPr>
          <w:sz w:val="21"/>
          <w:szCs w:val="21"/>
        </w:rPr>
      </w:pPr>
      <w:r>
        <w:rPr>
          <w:rFonts w:hint="eastAsia"/>
          <w:sz w:val="21"/>
          <w:szCs w:val="21"/>
        </w:rPr>
        <w:t xml:space="preserve">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 </w:t>
      </w:r>
    </w:p>
    <w:p>
      <w:pPr>
        <w:pStyle w:val="8"/>
        <w:spacing w:before="0" w:beforeAutospacing="0" w:after="0" w:afterAutospacing="0" w:line="360" w:lineRule="auto"/>
        <w:ind w:firstLine="420"/>
        <w:rPr>
          <w:sz w:val="21"/>
          <w:szCs w:val="21"/>
        </w:rPr>
      </w:pPr>
      <w:r>
        <w:rPr>
          <w:rFonts w:hint="eastAsia"/>
          <w:sz w:val="21"/>
          <w:szCs w:val="21"/>
        </w:rPr>
        <w:t xml:space="preserve">基金份额持有人名册由基金的基金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法律法规或监管部门另有规定的除外。 </w:t>
      </w:r>
    </w:p>
    <w:p>
      <w:pPr>
        <w:pStyle w:val="8"/>
        <w:spacing w:before="0" w:beforeAutospacing="0" w:after="0" w:afterAutospacing="0" w:line="360" w:lineRule="auto"/>
        <w:ind w:firstLine="420"/>
        <w:rPr>
          <w:sz w:val="21"/>
          <w:szCs w:val="21"/>
        </w:rPr>
      </w:pPr>
      <w:r>
        <w:rPr>
          <w:rFonts w:hint="eastAsia"/>
          <w:sz w:val="21"/>
          <w:szCs w:val="21"/>
        </w:rPr>
        <w:t xml:space="preserve">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pPr>
        <w:pStyle w:val="8"/>
        <w:spacing w:before="0" w:beforeAutospacing="0" w:after="0" w:afterAutospacing="0" w:line="360" w:lineRule="auto"/>
        <w:ind w:firstLine="420"/>
        <w:rPr>
          <w:sz w:val="21"/>
          <w:szCs w:val="21"/>
        </w:rPr>
      </w:pPr>
      <w:r>
        <w:rPr>
          <w:rFonts w:hint="eastAsia"/>
          <w:sz w:val="21"/>
          <w:szCs w:val="21"/>
        </w:rPr>
        <w:t xml:space="preserve">基金托管人以电子版形式妥善保管基金份额持有人名册，并定期刻成光盘备份，保存期限为15年，法律法规或监管部门另有规定的除外。基金托管人不得将所保管的基金份额持有人名册用于基金托管业务以外的其他用途，并应遵守保密义务。 </w:t>
      </w:r>
    </w:p>
    <w:p>
      <w:pPr>
        <w:pStyle w:val="8"/>
        <w:spacing w:before="0" w:beforeAutospacing="0" w:after="0" w:afterAutospacing="0" w:line="360" w:lineRule="auto"/>
        <w:ind w:firstLine="420"/>
        <w:rPr>
          <w:sz w:val="21"/>
          <w:szCs w:val="21"/>
        </w:rPr>
      </w:pPr>
      <w:r>
        <w:rPr>
          <w:rFonts w:hint="eastAsia"/>
          <w:sz w:val="21"/>
          <w:szCs w:val="21"/>
        </w:rPr>
        <w:t xml:space="preserve">若基金管理人或基金托管人由于自身原因无法妥善保管基金份额持有人名册，应按有关法规规定各自承担相应的责任。  </w:t>
      </w:r>
    </w:p>
    <w:p>
      <w:pPr>
        <w:pStyle w:val="8"/>
        <w:spacing w:before="0" w:beforeAutospacing="0" w:after="0" w:afterAutospacing="0" w:line="360" w:lineRule="auto"/>
        <w:ind w:firstLine="420"/>
        <w:rPr>
          <w:sz w:val="21"/>
          <w:szCs w:val="21"/>
        </w:rPr>
      </w:pPr>
      <w:r>
        <w:rPr>
          <w:rStyle w:val="13"/>
          <w:rFonts w:hint="eastAsia"/>
          <w:sz w:val="21"/>
          <w:szCs w:val="21"/>
        </w:rPr>
        <w:t>七、争议解决方式</w:t>
      </w:r>
    </w:p>
    <w:p>
      <w:pPr>
        <w:pStyle w:val="8"/>
        <w:spacing w:before="0" w:beforeAutospacing="0" w:after="0" w:afterAutospacing="0" w:line="360" w:lineRule="auto"/>
        <w:ind w:firstLine="420"/>
        <w:rPr>
          <w:sz w:val="21"/>
          <w:szCs w:val="21"/>
        </w:rPr>
      </w:pPr>
      <w:r>
        <w:rPr>
          <w:rFonts w:hint="eastAsia"/>
          <w:sz w:val="21"/>
          <w:szCs w:val="21"/>
        </w:rPr>
        <w:t xml:space="preserve">双方当事人同意，因本协议而产生的或与本协议有关的一切争议，除经友好协商可以解决的，应提交中国国际经济贸易仲裁委员会根据该会届时有效的仲裁规则进行仲裁，仲裁的地点在北京市，仲裁裁决是终局性的并对相关各方均有约束力。除非仲裁裁决另有规定，仲裁费用由败诉方承担。 </w:t>
      </w:r>
    </w:p>
    <w:p>
      <w:pPr>
        <w:pStyle w:val="8"/>
        <w:spacing w:before="0" w:beforeAutospacing="0" w:after="0" w:afterAutospacing="0" w:line="360" w:lineRule="auto"/>
        <w:ind w:firstLine="420"/>
        <w:rPr>
          <w:sz w:val="21"/>
          <w:szCs w:val="21"/>
        </w:rPr>
      </w:pPr>
      <w:r>
        <w:rPr>
          <w:rFonts w:hint="eastAsia"/>
          <w:sz w:val="21"/>
          <w:szCs w:val="21"/>
        </w:rPr>
        <w:t xml:space="preserve">争议处理期间，双方当事人应恪守基金管理人和基金托管人职责，继续忠实、勤勉、尽责地履行《基金合同》和托管协议规定的义务，维护基金份额持有人的合法权益。 </w:t>
      </w:r>
    </w:p>
    <w:p>
      <w:pPr>
        <w:pStyle w:val="8"/>
        <w:spacing w:before="0" w:beforeAutospacing="0" w:after="0" w:afterAutospacing="0" w:line="360" w:lineRule="auto"/>
        <w:ind w:firstLine="420"/>
        <w:rPr>
          <w:sz w:val="21"/>
          <w:szCs w:val="21"/>
        </w:rPr>
      </w:pPr>
      <w:r>
        <w:rPr>
          <w:rFonts w:hint="eastAsia"/>
          <w:sz w:val="21"/>
          <w:szCs w:val="21"/>
        </w:rPr>
        <w:t xml:space="preserve">本协议受中国法律（为本协议之目的，在此不包括香港、澳门特别行政区和台湾地区法律）管辖。 </w:t>
      </w:r>
    </w:p>
    <w:p>
      <w:pPr>
        <w:pStyle w:val="8"/>
        <w:spacing w:before="0" w:beforeAutospacing="0" w:after="0" w:afterAutospacing="0" w:line="360" w:lineRule="auto"/>
        <w:ind w:firstLine="420"/>
        <w:rPr>
          <w:sz w:val="21"/>
          <w:szCs w:val="21"/>
        </w:rPr>
      </w:pPr>
      <w:r>
        <w:rPr>
          <w:rStyle w:val="13"/>
          <w:rFonts w:hint="eastAsia"/>
          <w:sz w:val="21"/>
          <w:szCs w:val="21"/>
        </w:rPr>
        <w:t>八、托管协议的变更、终止与基金财产的清算 </w:t>
      </w:r>
    </w:p>
    <w:p>
      <w:pPr>
        <w:pStyle w:val="8"/>
        <w:spacing w:before="0" w:beforeAutospacing="0" w:after="0" w:afterAutospacing="0" w:line="360" w:lineRule="auto"/>
        <w:ind w:firstLine="420"/>
        <w:rPr>
          <w:sz w:val="21"/>
          <w:szCs w:val="21"/>
        </w:rPr>
      </w:pPr>
      <w:r>
        <w:rPr>
          <w:rFonts w:hint="eastAsia"/>
          <w:sz w:val="21"/>
          <w:szCs w:val="21"/>
        </w:rPr>
        <w:t xml:space="preserve">（一）托管协议的变更与终止 </w:t>
      </w:r>
    </w:p>
    <w:p>
      <w:pPr>
        <w:pStyle w:val="8"/>
        <w:spacing w:before="0" w:beforeAutospacing="0" w:after="0" w:afterAutospacing="0" w:line="360" w:lineRule="auto"/>
        <w:ind w:firstLine="420"/>
        <w:rPr>
          <w:sz w:val="21"/>
          <w:szCs w:val="21"/>
        </w:rPr>
      </w:pPr>
      <w:r>
        <w:rPr>
          <w:rFonts w:hint="eastAsia"/>
          <w:sz w:val="21"/>
          <w:szCs w:val="21"/>
        </w:rPr>
        <w:t xml:space="preserve">1、托管协议的变更程序 </w:t>
      </w:r>
    </w:p>
    <w:p>
      <w:pPr>
        <w:pStyle w:val="8"/>
        <w:spacing w:before="0" w:beforeAutospacing="0" w:after="0" w:afterAutospacing="0" w:line="360" w:lineRule="auto"/>
        <w:ind w:firstLine="420"/>
        <w:rPr>
          <w:sz w:val="21"/>
          <w:szCs w:val="21"/>
        </w:rPr>
      </w:pPr>
      <w:r>
        <w:rPr>
          <w:rFonts w:hint="eastAsia"/>
          <w:sz w:val="21"/>
          <w:szCs w:val="21"/>
        </w:rPr>
        <w:t xml:space="preserve">本协议双方当事人经协商一致，可以对协议的内容进行变更。变更后的托管协议，其内容不得与《基金合同》的规定有任何冲突。基金托管协议的变更须报中国证监会备案。 </w:t>
      </w:r>
    </w:p>
    <w:p>
      <w:pPr>
        <w:pStyle w:val="8"/>
        <w:spacing w:before="0" w:beforeAutospacing="0" w:after="0" w:afterAutospacing="0" w:line="360" w:lineRule="auto"/>
        <w:ind w:firstLine="420"/>
        <w:rPr>
          <w:sz w:val="21"/>
          <w:szCs w:val="21"/>
        </w:rPr>
      </w:pPr>
      <w:r>
        <w:rPr>
          <w:rFonts w:hint="eastAsia"/>
          <w:sz w:val="21"/>
          <w:szCs w:val="21"/>
        </w:rPr>
        <w:t xml:space="preserve">2、基金托管协议终止的情形 </w:t>
      </w:r>
    </w:p>
    <w:p>
      <w:pPr>
        <w:pStyle w:val="8"/>
        <w:spacing w:before="0" w:beforeAutospacing="0" w:after="0" w:afterAutospacing="0" w:line="360" w:lineRule="auto"/>
        <w:ind w:firstLine="420"/>
        <w:rPr>
          <w:sz w:val="21"/>
          <w:szCs w:val="21"/>
        </w:rPr>
      </w:pPr>
      <w:r>
        <w:rPr>
          <w:rFonts w:hint="eastAsia"/>
          <w:sz w:val="21"/>
          <w:szCs w:val="21"/>
        </w:rPr>
        <w:t xml:space="preserve">发生以下情况，本托管协议终止： </w:t>
      </w:r>
    </w:p>
    <w:p>
      <w:pPr>
        <w:pStyle w:val="8"/>
        <w:spacing w:before="0" w:beforeAutospacing="0" w:after="0" w:afterAutospacing="0" w:line="360" w:lineRule="auto"/>
        <w:ind w:firstLine="420"/>
        <w:rPr>
          <w:sz w:val="21"/>
          <w:szCs w:val="21"/>
        </w:rPr>
      </w:pPr>
      <w:r>
        <w:rPr>
          <w:rFonts w:hint="eastAsia"/>
          <w:sz w:val="21"/>
          <w:szCs w:val="21"/>
        </w:rPr>
        <w:t xml:space="preserve">（1）《基金合同》终止； </w:t>
      </w:r>
    </w:p>
    <w:p>
      <w:pPr>
        <w:pStyle w:val="8"/>
        <w:spacing w:before="0" w:beforeAutospacing="0" w:after="0" w:afterAutospacing="0" w:line="360" w:lineRule="auto"/>
        <w:ind w:firstLine="420"/>
        <w:rPr>
          <w:sz w:val="21"/>
          <w:szCs w:val="21"/>
        </w:rPr>
      </w:pPr>
      <w:r>
        <w:rPr>
          <w:rFonts w:hint="eastAsia"/>
          <w:sz w:val="21"/>
          <w:szCs w:val="21"/>
        </w:rPr>
        <w:t xml:space="preserve">（2）基金托管人解散、依法被撤销、破产或有其他基金托管人接管基金资产； </w:t>
      </w:r>
    </w:p>
    <w:p>
      <w:pPr>
        <w:pStyle w:val="8"/>
        <w:spacing w:before="0" w:beforeAutospacing="0" w:after="0" w:afterAutospacing="0" w:line="360" w:lineRule="auto"/>
        <w:ind w:firstLine="420"/>
        <w:rPr>
          <w:sz w:val="21"/>
          <w:szCs w:val="21"/>
        </w:rPr>
      </w:pPr>
      <w:r>
        <w:rPr>
          <w:rFonts w:hint="eastAsia"/>
          <w:sz w:val="21"/>
          <w:szCs w:val="21"/>
        </w:rPr>
        <w:t xml:space="preserve">（3）基金管理人解散、依法被撤销、破产或有其他基金管理人接管基金管理权； </w:t>
      </w:r>
    </w:p>
    <w:p>
      <w:pPr>
        <w:pStyle w:val="8"/>
        <w:spacing w:before="0" w:beforeAutospacing="0" w:after="0" w:afterAutospacing="0" w:line="360" w:lineRule="auto"/>
        <w:ind w:firstLine="420"/>
        <w:rPr>
          <w:sz w:val="21"/>
          <w:szCs w:val="21"/>
        </w:rPr>
      </w:pPr>
      <w:r>
        <w:rPr>
          <w:rFonts w:hint="eastAsia"/>
          <w:sz w:val="21"/>
          <w:szCs w:val="21"/>
        </w:rPr>
        <w:t xml:space="preserve">（4）发生法律法规或《基金合同》规定的终止事项。 </w:t>
      </w:r>
    </w:p>
    <w:p>
      <w:pPr>
        <w:pStyle w:val="8"/>
        <w:spacing w:before="0" w:beforeAutospacing="0" w:after="0" w:afterAutospacing="0" w:line="360" w:lineRule="auto"/>
        <w:ind w:firstLine="420"/>
        <w:rPr>
          <w:sz w:val="21"/>
          <w:szCs w:val="21"/>
        </w:rPr>
      </w:pPr>
      <w:r>
        <w:rPr>
          <w:rFonts w:hint="eastAsia"/>
          <w:sz w:val="21"/>
          <w:szCs w:val="21"/>
        </w:rPr>
        <w:t xml:space="preserve">（二）基金财产的清算 </w:t>
      </w:r>
    </w:p>
    <w:p>
      <w:pPr>
        <w:pStyle w:val="8"/>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8"/>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2、在基金财产清算小组接管基金财产之前，基金管理人和基金托管人应按照《基金合同》和本托管协议的规定继续履行保护基金财产安全的职责。 </w:t>
      </w:r>
    </w:p>
    <w:p>
      <w:pPr>
        <w:pStyle w:val="8"/>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8"/>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pPr>
        <w:pStyle w:val="8"/>
        <w:spacing w:before="0" w:beforeAutospacing="0" w:after="0" w:afterAutospacing="0" w:line="360" w:lineRule="auto"/>
        <w:ind w:firstLine="420"/>
        <w:rPr>
          <w:sz w:val="21"/>
          <w:szCs w:val="21"/>
        </w:rPr>
      </w:pPr>
      <w:r>
        <w:rPr>
          <w:rFonts w:hint="eastAsia"/>
          <w:sz w:val="21"/>
          <w:szCs w:val="21"/>
        </w:rPr>
        <w:t xml:space="preserve">5、基金财产清算程序：    </w:t>
      </w:r>
    </w:p>
    <w:p>
      <w:pPr>
        <w:pStyle w:val="8"/>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8"/>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8"/>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8"/>
        <w:spacing w:before="0" w:beforeAutospacing="0" w:after="0" w:afterAutospacing="0" w:line="360" w:lineRule="auto"/>
        <w:ind w:firstLine="420"/>
        <w:rPr>
          <w:sz w:val="21"/>
          <w:szCs w:val="21"/>
        </w:rPr>
      </w:pPr>
      <w:r>
        <w:rPr>
          <w:rFonts w:hint="eastAsia"/>
          <w:sz w:val="21"/>
          <w:szCs w:val="21"/>
        </w:rPr>
        <w:t xml:space="preserve">（4）制作清算报告； </w:t>
      </w:r>
    </w:p>
    <w:p>
      <w:pPr>
        <w:pStyle w:val="8"/>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8"/>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8"/>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8"/>
        <w:spacing w:before="0" w:beforeAutospacing="0" w:after="0" w:afterAutospacing="0" w:line="360" w:lineRule="auto"/>
        <w:ind w:firstLine="420"/>
        <w:rPr>
          <w:sz w:val="21"/>
          <w:szCs w:val="21"/>
        </w:rPr>
      </w:pPr>
      <w:r>
        <w:rPr>
          <w:rFonts w:hint="eastAsia"/>
          <w:sz w:val="21"/>
          <w:szCs w:val="21"/>
        </w:rPr>
        <w:t xml:space="preserve">基金财产清算的期限为6个月，但因本基金所持证券的流动性受到限制而不能及时变现的，清算期限相应顺延。 </w:t>
      </w:r>
    </w:p>
    <w:p>
      <w:pPr>
        <w:pStyle w:val="8"/>
        <w:spacing w:before="0" w:beforeAutospacing="0" w:after="0" w:afterAutospacing="0" w:line="360" w:lineRule="auto"/>
        <w:ind w:firstLine="420"/>
        <w:rPr>
          <w:sz w:val="21"/>
          <w:szCs w:val="21"/>
        </w:rPr>
      </w:pPr>
      <w:r>
        <w:rPr>
          <w:rFonts w:hint="eastAsia"/>
          <w:sz w:val="21"/>
          <w:szCs w:val="21"/>
        </w:rPr>
        <w:t xml:space="preserve">6、清算费用 </w:t>
      </w:r>
    </w:p>
    <w:p>
      <w:pPr>
        <w:pStyle w:val="8"/>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8"/>
        <w:spacing w:before="0" w:beforeAutospacing="0" w:after="0" w:afterAutospacing="0" w:line="360" w:lineRule="auto"/>
        <w:ind w:firstLine="420"/>
        <w:rPr>
          <w:sz w:val="21"/>
          <w:szCs w:val="21"/>
        </w:rPr>
      </w:pPr>
      <w:r>
        <w:rPr>
          <w:rFonts w:hint="eastAsia"/>
          <w:sz w:val="21"/>
          <w:szCs w:val="21"/>
        </w:rPr>
        <w:t xml:space="preserve">7、基金财产按下列顺序清偿： </w:t>
      </w:r>
    </w:p>
    <w:p>
      <w:pPr>
        <w:pStyle w:val="8"/>
        <w:spacing w:before="0" w:beforeAutospacing="0" w:after="0" w:afterAutospacing="0" w:line="360" w:lineRule="auto"/>
        <w:ind w:firstLine="420"/>
        <w:rPr>
          <w:sz w:val="21"/>
          <w:szCs w:val="21"/>
        </w:rPr>
      </w:pPr>
      <w:r>
        <w:rPr>
          <w:rFonts w:hint="eastAsia"/>
          <w:sz w:val="21"/>
          <w:szCs w:val="21"/>
        </w:rPr>
        <w:t xml:space="preserve">(1)支付清算费用； </w:t>
      </w:r>
    </w:p>
    <w:p>
      <w:pPr>
        <w:pStyle w:val="8"/>
        <w:spacing w:before="0" w:beforeAutospacing="0" w:after="0" w:afterAutospacing="0" w:line="360" w:lineRule="auto"/>
        <w:ind w:firstLine="420"/>
        <w:rPr>
          <w:sz w:val="21"/>
          <w:szCs w:val="21"/>
        </w:rPr>
      </w:pPr>
      <w:r>
        <w:rPr>
          <w:rFonts w:hint="eastAsia"/>
          <w:sz w:val="21"/>
          <w:szCs w:val="21"/>
        </w:rPr>
        <w:t xml:space="preserve">(2)交纳所欠税款； </w:t>
      </w:r>
    </w:p>
    <w:p>
      <w:pPr>
        <w:pStyle w:val="8"/>
        <w:spacing w:before="0" w:beforeAutospacing="0" w:after="0" w:afterAutospacing="0" w:line="360" w:lineRule="auto"/>
        <w:ind w:firstLine="420"/>
        <w:rPr>
          <w:sz w:val="21"/>
          <w:szCs w:val="21"/>
        </w:rPr>
      </w:pPr>
      <w:r>
        <w:rPr>
          <w:rFonts w:hint="eastAsia"/>
          <w:sz w:val="21"/>
          <w:szCs w:val="21"/>
        </w:rPr>
        <w:t xml:space="preserve">(3)清偿基金债务； </w:t>
      </w:r>
    </w:p>
    <w:p>
      <w:pPr>
        <w:pStyle w:val="8"/>
        <w:spacing w:before="0" w:beforeAutospacing="0" w:after="0" w:afterAutospacing="0" w:line="360" w:lineRule="auto"/>
        <w:ind w:firstLine="420"/>
        <w:rPr>
          <w:sz w:val="21"/>
          <w:szCs w:val="21"/>
        </w:rPr>
      </w:pPr>
      <w:r>
        <w:rPr>
          <w:rFonts w:hint="eastAsia"/>
          <w:sz w:val="21"/>
          <w:szCs w:val="21"/>
        </w:rPr>
        <w:t xml:space="preserve">(4)按基金份额持有人持有的基金份额比例进行分配。 </w:t>
      </w:r>
    </w:p>
    <w:p>
      <w:pPr>
        <w:pStyle w:val="8"/>
        <w:spacing w:before="0" w:beforeAutospacing="0" w:after="0" w:afterAutospacing="0" w:line="360" w:lineRule="auto"/>
        <w:ind w:firstLine="420"/>
        <w:rPr>
          <w:sz w:val="21"/>
          <w:szCs w:val="21"/>
        </w:rPr>
      </w:pPr>
      <w:r>
        <w:rPr>
          <w:rFonts w:hint="eastAsia"/>
          <w:sz w:val="21"/>
          <w:szCs w:val="21"/>
        </w:rPr>
        <w:t xml:space="preserve">基金财产未按前款(1)－(3)项规定清偿前，不分配给基金份额持有人。 </w:t>
      </w:r>
    </w:p>
    <w:p>
      <w:pPr>
        <w:pStyle w:val="8"/>
        <w:spacing w:before="0" w:beforeAutospacing="0" w:after="0" w:afterAutospacing="0" w:line="360" w:lineRule="auto"/>
        <w:ind w:firstLine="420"/>
        <w:rPr>
          <w:sz w:val="21"/>
          <w:szCs w:val="21"/>
        </w:rPr>
      </w:pPr>
      <w:r>
        <w:rPr>
          <w:rFonts w:hint="eastAsia"/>
          <w:sz w:val="21"/>
          <w:szCs w:val="21"/>
        </w:rPr>
        <w:t xml:space="preserve">（三）基金财产清算的公告 </w:t>
      </w:r>
    </w:p>
    <w:p>
      <w:pPr>
        <w:pStyle w:val="8"/>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8"/>
        <w:spacing w:before="0" w:beforeAutospacing="0" w:after="0" w:afterAutospacing="0" w:line="360" w:lineRule="auto"/>
        <w:ind w:firstLine="420"/>
        <w:rPr>
          <w:sz w:val="21"/>
          <w:szCs w:val="21"/>
        </w:rPr>
      </w:pPr>
      <w:r>
        <w:rPr>
          <w:rFonts w:hint="eastAsia"/>
          <w:sz w:val="21"/>
          <w:szCs w:val="21"/>
        </w:rPr>
        <w:t xml:space="preserve">（四）基金财产清算账册及文件的保存 </w:t>
      </w:r>
    </w:p>
    <w:p>
      <w:pPr>
        <w:pStyle w:val="8"/>
        <w:spacing w:before="0" w:beforeAutospacing="0" w:after="0" w:afterAutospacing="0" w:line="360" w:lineRule="auto"/>
        <w:ind w:firstLine="420"/>
        <w:rPr>
          <w:sz w:val="21"/>
          <w:szCs w:val="21"/>
        </w:rPr>
      </w:pPr>
      <w:bookmarkStart w:id="193" w:name="chapter_level1_24_72_section_1_end"/>
      <w:bookmarkEnd w:id="193"/>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4" w:name="_Toc82437043"/>
      <w:bookmarkStart w:id="195" w:name="_Toc13057"/>
      <w:bookmarkStart w:id="196" w:name="chapter_level1_25_75"/>
      <w:r>
        <w:rPr>
          <w:rFonts w:hint="eastAsia" w:ascii="宋体" w:hAnsi="宋体" w:eastAsia="宋体"/>
          <w:sz w:val="30"/>
        </w:rPr>
        <w:t>第二十一部分  对基金份额持有人的服务</w:t>
      </w:r>
      <w:bookmarkEnd w:id="194"/>
      <w:bookmarkEnd w:id="195"/>
      <w:bookmarkEnd w:id="196"/>
    </w:p>
    <w:p>
      <w:pPr>
        <w:pStyle w:val="8"/>
        <w:spacing w:before="0" w:beforeAutospacing="0" w:after="0" w:afterAutospacing="0" w:line="360" w:lineRule="auto"/>
        <w:ind w:firstLine="420"/>
        <w:rPr>
          <w:sz w:val="21"/>
          <w:szCs w:val="21"/>
        </w:rPr>
      </w:pPr>
      <w:bookmarkStart w:id="197" w:name="chapter_level1_25_75_section_1"/>
      <w:bookmarkEnd w:id="197"/>
      <w:r>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pPr>
        <w:pStyle w:val="8"/>
        <w:spacing w:before="0" w:beforeAutospacing="0" w:after="0" w:afterAutospacing="0" w:line="360" w:lineRule="auto"/>
        <w:ind w:firstLine="420"/>
        <w:rPr>
          <w:sz w:val="21"/>
          <w:szCs w:val="21"/>
        </w:rPr>
      </w:pPr>
      <w:r>
        <w:rPr>
          <w:rStyle w:val="13"/>
          <w:rFonts w:hint="eastAsia"/>
          <w:sz w:val="21"/>
          <w:szCs w:val="21"/>
        </w:rPr>
        <w:t>一、持有人交易资料的寄送服务</w:t>
      </w:r>
    </w:p>
    <w:p>
      <w:pPr>
        <w:pStyle w:val="8"/>
        <w:spacing w:before="0" w:beforeAutospacing="0" w:after="0" w:afterAutospacing="0" w:line="360" w:lineRule="auto"/>
        <w:ind w:firstLine="420"/>
        <w:rPr>
          <w:sz w:val="21"/>
          <w:szCs w:val="21"/>
        </w:rPr>
      </w:pPr>
      <w:r>
        <w:rPr>
          <w:rFonts w:hint="eastAsia"/>
          <w:sz w:val="21"/>
          <w:szCs w:val="21"/>
        </w:rPr>
        <w:t xml:space="preserve">1、交易确认单 </w:t>
      </w:r>
    </w:p>
    <w:p>
      <w:pPr>
        <w:pStyle w:val="8"/>
        <w:spacing w:before="0" w:beforeAutospacing="0" w:after="0" w:afterAutospacing="0" w:line="360" w:lineRule="auto"/>
        <w:ind w:firstLine="420"/>
        <w:rPr>
          <w:sz w:val="21"/>
          <w:szCs w:val="21"/>
        </w:rPr>
      </w:pPr>
      <w:r>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pPr>
        <w:pStyle w:val="8"/>
        <w:spacing w:before="0" w:beforeAutospacing="0" w:after="0" w:afterAutospacing="0" w:line="360" w:lineRule="auto"/>
        <w:ind w:firstLine="420"/>
        <w:rPr>
          <w:sz w:val="21"/>
          <w:szCs w:val="21"/>
        </w:rPr>
      </w:pPr>
      <w:r>
        <w:rPr>
          <w:rFonts w:hint="eastAsia"/>
          <w:sz w:val="21"/>
          <w:szCs w:val="21"/>
        </w:rPr>
        <w:t xml:space="preserve">2、电子对账单 </w:t>
      </w:r>
    </w:p>
    <w:p>
      <w:pPr>
        <w:pStyle w:val="8"/>
        <w:spacing w:before="0" w:beforeAutospacing="0" w:after="0" w:afterAutospacing="0" w:line="360" w:lineRule="auto"/>
        <w:ind w:firstLine="420"/>
        <w:rPr>
          <w:sz w:val="21"/>
          <w:szCs w:val="21"/>
        </w:rPr>
      </w:pPr>
      <w:r>
        <w:rPr>
          <w:rFonts w:hint="eastAsia"/>
          <w:sz w:val="21"/>
          <w:szCs w:val="21"/>
        </w:rPr>
        <w:t xml:space="preserve">每月结束后，基金管理人向所有订阅电子邮件对账单的投资者发送电子邮件对账单。 </w:t>
      </w:r>
    </w:p>
    <w:p>
      <w:pPr>
        <w:pStyle w:val="8"/>
        <w:spacing w:before="0" w:beforeAutospacing="0" w:after="0" w:afterAutospacing="0" w:line="360" w:lineRule="auto"/>
        <w:ind w:firstLine="420"/>
        <w:rPr>
          <w:sz w:val="21"/>
          <w:szCs w:val="21"/>
        </w:rPr>
      </w:pPr>
      <w:r>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pPr>
        <w:pStyle w:val="8"/>
        <w:spacing w:before="0" w:beforeAutospacing="0" w:after="0" w:afterAutospacing="0" w:line="360" w:lineRule="auto"/>
        <w:ind w:firstLine="420"/>
        <w:rPr>
          <w:sz w:val="21"/>
          <w:szCs w:val="21"/>
        </w:rPr>
      </w:pPr>
      <w:r>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pPr>
        <w:pStyle w:val="8"/>
        <w:spacing w:before="0" w:beforeAutospacing="0" w:after="0" w:afterAutospacing="0" w:line="360" w:lineRule="auto"/>
        <w:ind w:firstLine="420"/>
        <w:rPr>
          <w:sz w:val="21"/>
          <w:szCs w:val="21"/>
        </w:rPr>
      </w:pPr>
      <w:r>
        <w:rPr>
          <w:rStyle w:val="13"/>
          <w:rFonts w:hint="eastAsia"/>
          <w:sz w:val="21"/>
          <w:szCs w:val="21"/>
        </w:rPr>
        <w:t>二、网上理财服务</w:t>
      </w:r>
    </w:p>
    <w:p>
      <w:pPr>
        <w:pStyle w:val="8"/>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8"/>
        <w:spacing w:before="0" w:beforeAutospacing="0" w:after="0" w:afterAutospacing="0" w:line="360" w:lineRule="auto"/>
        <w:ind w:firstLine="420"/>
        <w:rPr>
          <w:sz w:val="21"/>
          <w:szCs w:val="21"/>
        </w:rPr>
      </w:pPr>
      <w:r>
        <w:rPr>
          <w:rFonts w:hint="eastAsia"/>
          <w:sz w:val="21"/>
          <w:szCs w:val="21"/>
        </w:rPr>
        <w:t xml:space="preserve">1、自助开户交易 </w:t>
      </w:r>
    </w:p>
    <w:p>
      <w:pPr>
        <w:pStyle w:val="8"/>
        <w:spacing w:before="0" w:beforeAutospacing="0" w:after="0" w:afterAutospacing="0" w:line="360" w:lineRule="auto"/>
        <w:ind w:firstLine="420"/>
        <w:rPr>
          <w:sz w:val="21"/>
          <w:szCs w:val="21"/>
        </w:rPr>
      </w:pPr>
      <w:r>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pPr>
        <w:pStyle w:val="8"/>
        <w:spacing w:before="0" w:beforeAutospacing="0" w:after="0" w:afterAutospacing="0" w:line="360" w:lineRule="auto"/>
        <w:ind w:firstLine="420"/>
        <w:rPr>
          <w:sz w:val="21"/>
          <w:szCs w:val="21"/>
        </w:rPr>
      </w:pPr>
      <w:r>
        <w:rPr>
          <w:rFonts w:hint="eastAsia"/>
          <w:sz w:val="21"/>
          <w:szCs w:val="21"/>
        </w:rPr>
        <w:t xml:space="preserve">2、查询服务 </w:t>
      </w:r>
    </w:p>
    <w:p>
      <w:pPr>
        <w:pStyle w:val="8"/>
        <w:spacing w:before="0" w:beforeAutospacing="0" w:after="0" w:afterAutospacing="0" w:line="360" w:lineRule="auto"/>
        <w:ind w:firstLine="420"/>
        <w:rPr>
          <w:sz w:val="21"/>
          <w:szCs w:val="21"/>
        </w:rPr>
      </w:pPr>
      <w:r>
        <w:rPr>
          <w:rFonts w:hint="eastAsia"/>
          <w:sz w:val="21"/>
          <w:szCs w:val="21"/>
        </w:rPr>
        <w:t xml:space="preserve">投资者可以通过基金管理人网站查询所持有基金的基金份额、交易记录等信息，同时可以修改基金账户信息等基本资料。 </w:t>
      </w:r>
    </w:p>
    <w:p>
      <w:pPr>
        <w:pStyle w:val="8"/>
        <w:spacing w:before="0" w:beforeAutospacing="0" w:after="0" w:afterAutospacing="0" w:line="360" w:lineRule="auto"/>
        <w:ind w:firstLine="420"/>
        <w:rPr>
          <w:sz w:val="21"/>
          <w:szCs w:val="21"/>
        </w:rPr>
      </w:pPr>
      <w:r>
        <w:rPr>
          <w:rFonts w:hint="eastAsia"/>
          <w:sz w:val="21"/>
          <w:szCs w:val="21"/>
        </w:rPr>
        <w:t xml:space="preserve">3、信息资讯服务 </w:t>
      </w:r>
    </w:p>
    <w:p>
      <w:pPr>
        <w:pStyle w:val="8"/>
        <w:spacing w:before="0" w:beforeAutospacing="0" w:after="0" w:afterAutospacing="0" w:line="360" w:lineRule="auto"/>
        <w:ind w:firstLine="420"/>
        <w:rPr>
          <w:sz w:val="21"/>
          <w:szCs w:val="21"/>
        </w:rPr>
      </w:pPr>
      <w:r>
        <w:rPr>
          <w:rFonts w:hint="eastAsia"/>
          <w:sz w:val="21"/>
          <w:szCs w:val="21"/>
        </w:rPr>
        <w:t xml:space="preserve">投资者可以利用基金管理人网站获取基金和基金管理人各类信息，包括基金法律文件、基金管理人最新动态、热点问题等。 </w:t>
      </w:r>
    </w:p>
    <w:p>
      <w:pPr>
        <w:pStyle w:val="8"/>
        <w:spacing w:before="0" w:beforeAutospacing="0" w:after="0" w:afterAutospacing="0" w:line="360" w:lineRule="auto"/>
        <w:ind w:firstLine="420"/>
        <w:rPr>
          <w:sz w:val="21"/>
          <w:szCs w:val="21"/>
        </w:rPr>
      </w:pPr>
      <w:r>
        <w:rPr>
          <w:rFonts w:hint="eastAsia"/>
          <w:sz w:val="21"/>
          <w:szCs w:val="21"/>
        </w:rPr>
        <w:t xml:space="preserve">4、在线客服 </w:t>
      </w:r>
    </w:p>
    <w:p>
      <w:pPr>
        <w:pStyle w:val="8"/>
        <w:spacing w:before="0" w:beforeAutospacing="0" w:after="0" w:afterAutospacing="0" w:line="360" w:lineRule="auto"/>
        <w:ind w:firstLine="420"/>
        <w:rPr>
          <w:sz w:val="21"/>
          <w:szCs w:val="21"/>
        </w:rPr>
      </w:pPr>
      <w:r>
        <w:rPr>
          <w:rFonts w:hint="eastAsia"/>
          <w:sz w:val="21"/>
          <w:szCs w:val="21"/>
        </w:rPr>
        <w:t xml:space="preserve">投资者可以通过基金管理人网站首页“在线客服”功能进行在线咨询。也可以在“您问我答”栏目中，直接提出有关本基金的问题和建议。 </w:t>
      </w:r>
    </w:p>
    <w:p>
      <w:pPr>
        <w:pStyle w:val="8"/>
        <w:spacing w:before="0" w:beforeAutospacing="0" w:after="0" w:afterAutospacing="0" w:line="360" w:lineRule="auto"/>
        <w:ind w:firstLine="420"/>
        <w:rPr>
          <w:sz w:val="21"/>
          <w:szCs w:val="21"/>
        </w:rPr>
      </w:pPr>
      <w:r>
        <w:rPr>
          <w:rStyle w:val="13"/>
          <w:rFonts w:hint="eastAsia"/>
          <w:sz w:val="21"/>
          <w:szCs w:val="21"/>
        </w:rPr>
        <w:t>三、短信服务</w:t>
      </w:r>
    </w:p>
    <w:p>
      <w:pPr>
        <w:pStyle w:val="8"/>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8"/>
        <w:spacing w:before="0" w:beforeAutospacing="0" w:after="0" w:afterAutospacing="0" w:line="360" w:lineRule="auto"/>
        <w:ind w:firstLine="420"/>
        <w:rPr>
          <w:sz w:val="21"/>
          <w:szCs w:val="21"/>
        </w:rPr>
      </w:pPr>
      <w:r>
        <w:rPr>
          <w:rStyle w:val="13"/>
          <w:rFonts w:hint="eastAsia"/>
          <w:sz w:val="21"/>
          <w:szCs w:val="21"/>
        </w:rPr>
        <w:t>四、电子邮件服务</w:t>
      </w:r>
    </w:p>
    <w:p>
      <w:pPr>
        <w:pStyle w:val="8"/>
        <w:spacing w:before="0" w:beforeAutospacing="0" w:after="0" w:afterAutospacing="0" w:line="360" w:lineRule="auto"/>
        <w:ind w:firstLine="420"/>
        <w:rPr>
          <w:sz w:val="21"/>
          <w:szCs w:val="21"/>
        </w:rPr>
      </w:pPr>
      <w:bookmarkStart w:id="198" w:name="chapter_level1_25_75_section_1_end"/>
      <w:bookmarkEnd w:id="198"/>
      <w:r>
        <w:rPr>
          <w:rFonts w:hint="eastAsia"/>
          <w:sz w:val="21"/>
          <w:szCs w:val="21"/>
        </w:rPr>
        <w:t xml:space="preserve">基金管理人为投资者提供电子邮件方式的业务咨询、投诉受理、基金份额净值等服务。 </w:t>
      </w:r>
    </w:p>
    <w:p>
      <w:pPr>
        <w:pStyle w:val="8"/>
        <w:spacing w:before="0" w:beforeAutospacing="0" w:after="0" w:afterAutospacing="0" w:line="360" w:lineRule="auto"/>
        <w:ind w:firstLine="420"/>
        <w:rPr>
          <w:sz w:val="21"/>
          <w:szCs w:val="21"/>
        </w:rPr>
      </w:pPr>
      <w:bookmarkStart w:id="199" w:name="chapter_level1_25_75_section_2"/>
      <w:bookmarkEnd w:id="199"/>
      <w:r>
        <w:rPr>
          <w:rStyle w:val="13"/>
          <w:rFonts w:hint="eastAsia"/>
          <w:sz w:val="21"/>
          <w:szCs w:val="21"/>
        </w:rPr>
        <w:t>五、手机理财服务</w:t>
      </w:r>
    </w:p>
    <w:p>
      <w:pPr>
        <w:pStyle w:val="8"/>
        <w:spacing w:before="0" w:beforeAutospacing="0" w:after="0" w:afterAutospacing="0" w:line="360" w:lineRule="auto"/>
        <w:ind w:firstLine="420"/>
        <w:rPr>
          <w:sz w:val="21"/>
          <w:szCs w:val="21"/>
        </w:rPr>
      </w:pPr>
      <w:r>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pPr>
        <w:pStyle w:val="8"/>
        <w:spacing w:before="0" w:beforeAutospacing="0" w:after="0" w:afterAutospacing="0" w:line="360" w:lineRule="auto"/>
        <w:ind w:firstLine="420"/>
        <w:rPr>
          <w:sz w:val="21"/>
          <w:szCs w:val="21"/>
        </w:rPr>
      </w:pPr>
      <w:r>
        <w:rPr>
          <w:rStyle w:val="13"/>
          <w:rFonts w:hint="eastAsia"/>
          <w:sz w:val="21"/>
          <w:szCs w:val="21"/>
        </w:rPr>
        <w:t>六、信息订阅服务</w:t>
      </w:r>
    </w:p>
    <w:p>
      <w:pPr>
        <w:pStyle w:val="8"/>
        <w:spacing w:before="0" w:beforeAutospacing="0" w:after="0" w:afterAutospacing="0" w:line="360" w:lineRule="auto"/>
        <w:ind w:firstLine="420"/>
        <w:rPr>
          <w:sz w:val="21"/>
          <w:szCs w:val="21"/>
        </w:rPr>
      </w:pPr>
      <w:r>
        <w:rPr>
          <w:rFonts w:hint="eastAsia"/>
          <w:sz w:val="21"/>
          <w:szCs w:val="21"/>
        </w:rPr>
        <w:t xml:space="preserve">投资者可以通过基金管理人网站、客服中心提交信息订制的申请，基金管理人将以电子邮件、手机短信的形式定期为投资者发送所订制的信息。 </w:t>
      </w:r>
    </w:p>
    <w:p>
      <w:pPr>
        <w:pStyle w:val="8"/>
        <w:spacing w:before="0" w:beforeAutospacing="0" w:after="0" w:afterAutospacing="0" w:line="360" w:lineRule="auto"/>
        <w:ind w:firstLine="420"/>
        <w:rPr>
          <w:sz w:val="21"/>
          <w:szCs w:val="21"/>
        </w:rPr>
      </w:pPr>
      <w:r>
        <w:rPr>
          <w:rStyle w:val="13"/>
          <w:rFonts w:hint="eastAsia"/>
          <w:sz w:val="21"/>
          <w:szCs w:val="21"/>
        </w:rPr>
        <w:t>七、电话理财服务</w:t>
      </w:r>
    </w:p>
    <w:p>
      <w:pPr>
        <w:pStyle w:val="8"/>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8"/>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8"/>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2、电话交易服务：本公司直销投资者可通过博时一线通电话交易平台在线办理基金的赎回、变更分红方式、撤单等直销交易业务。 </w:t>
      </w:r>
    </w:p>
    <w:p>
      <w:pPr>
        <w:pStyle w:val="8"/>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pPr>
        <w:pStyle w:val="8"/>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8"/>
        <w:spacing w:before="0" w:beforeAutospacing="0" w:after="0" w:afterAutospacing="0" w:line="360" w:lineRule="auto"/>
        <w:ind w:firstLine="420"/>
        <w:rPr>
          <w:sz w:val="21"/>
          <w:szCs w:val="21"/>
        </w:rPr>
      </w:pPr>
      <w:r>
        <w:rPr>
          <w:rStyle w:val="13"/>
          <w:rFonts w:hint="eastAsia"/>
          <w:sz w:val="21"/>
          <w:szCs w:val="21"/>
        </w:rPr>
        <w:t>八、基金管理人联系方式</w:t>
      </w:r>
    </w:p>
    <w:p>
      <w:pPr>
        <w:pStyle w:val="8"/>
        <w:spacing w:before="0" w:beforeAutospacing="0" w:after="0" w:afterAutospacing="0" w:line="360" w:lineRule="auto"/>
        <w:ind w:firstLine="420"/>
        <w:rPr>
          <w:sz w:val="21"/>
          <w:szCs w:val="21"/>
        </w:rPr>
      </w:pPr>
      <w:r>
        <w:rPr>
          <w:rFonts w:hint="eastAsia"/>
          <w:sz w:val="21"/>
          <w:szCs w:val="21"/>
        </w:rPr>
        <w:t xml:space="preserve">公司网址：www.bosera.com </w:t>
      </w:r>
    </w:p>
    <w:p>
      <w:pPr>
        <w:pStyle w:val="8"/>
        <w:spacing w:before="0" w:beforeAutospacing="0" w:after="0" w:afterAutospacing="0" w:line="360" w:lineRule="auto"/>
        <w:ind w:firstLine="420"/>
        <w:rPr>
          <w:sz w:val="21"/>
          <w:szCs w:val="21"/>
        </w:rPr>
      </w:pPr>
      <w:r>
        <w:rPr>
          <w:rFonts w:hint="eastAsia"/>
          <w:sz w:val="21"/>
          <w:szCs w:val="21"/>
        </w:rPr>
        <w:t>电子信箱：</w:t>
      </w:r>
      <w:r>
        <w:fldChar w:fldCharType="begin"/>
      </w:r>
      <w:r>
        <w:instrText xml:space="preserve"> HYPERLINK "mailto:service@bosera.com" </w:instrText>
      </w:r>
      <w:r>
        <w:fldChar w:fldCharType="separate"/>
      </w:r>
      <w:r>
        <w:rPr>
          <w:rStyle w:val="14"/>
          <w:rFonts w:hint="eastAsia"/>
          <w:sz w:val="21"/>
          <w:szCs w:val="21"/>
        </w:rPr>
        <w:t>service@bosera.com</w:t>
      </w:r>
      <w:r>
        <w:rPr>
          <w:rStyle w:val="14"/>
          <w:rFonts w:hint="eastAsia"/>
          <w:sz w:val="21"/>
          <w:szCs w:val="21"/>
        </w:rPr>
        <w:fldChar w:fldCharType="end"/>
      </w:r>
    </w:p>
    <w:p>
      <w:pPr>
        <w:pStyle w:val="8"/>
        <w:spacing w:before="0" w:beforeAutospacing="0" w:after="0" w:afterAutospacing="0" w:line="360" w:lineRule="auto"/>
        <w:ind w:firstLine="420"/>
        <w:rPr>
          <w:sz w:val="21"/>
          <w:szCs w:val="21"/>
        </w:rPr>
      </w:pPr>
      <w:r>
        <w:rPr>
          <w:rFonts w:hint="eastAsia"/>
          <w:sz w:val="21"/>
          <w:szCs w:val="21"/>
        </w:rPr>
        <w:t xml:space="preserve">博时一线通客服电话：95105568（免长途话费） </w:t>
      </w:r>
    </w:p>
    <w:p>
      <w:pPr>
        <w:pStyle w:val="8"/>
        <w:spacing w:before="0" w:beforeAutospacing="0" w:after="0" w:afterAutospacing="0" w:line="360" w:lineRule="auto"/>
        <w:ind w:firstLine="420"/>
        <w:rPr>
          <w:sz w:val="21"/>
          <w:szCs w:val="21"/>
        </w:rPr>
      </w:pPr>
      <w:r>
        <w:rPr>
          <w:rStyle w:val="13"/>
          <w:rFonts w:hint="eastAsia"/>
          <w:sz w:val="21"/>
          <w:szCs w:val="21"/>
        </w:rPr>
        <w:t>九、如本招募说明书存在任何您/贵机构无法理解的内容，请通过上述方式联系基金管</w:t>
      </w:r>
      <w:bookmarkStart w:id="200" w:name="chapter_level1_25_75_section_2_end"/>
      <w:bookmarkEnd w:id="200"/>
      <w:r>
        <w:rPr>
          <w:rStyle w:val="13"/>
          <w:rFonts w:hint="eastAsia"/>
          <w:sz w:val="21"/>
          <w:szCs w:val="21"/>
        </w:rPr>
        <w:t>理人。请确保投资前，您/贵机构已经全面理解了本招募说明书。</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1" w:name="_Toc82437044"/>
      <w:bookmarkStart w:id="202" w:name="chapter_level1_26_3499"/>
      <w:bookmarkStart w:id="203" w:name="_Toc16680"/>
      <w:r>
        <w:rPr>
          <w:rFonts w:hint="eastAsia" w:ascii="宋体" w:hAnsi="宋体" w:eastAsia="宋体"/>
          <w:sz w:val="30"/>
        </w:rPr>
        <w:t>第二十二部分 其他应披露的事项</w:t>
      </w:r>
      <w:bookmarkEnd w:id="201"/>
      <w:bookmarkEnd w:id="202"/>
      <w:bookmarkEnd w:id="203"/>
      <w:bookmarkStart w:id="220" w:name="_GoBack"/>
      <w:bookmarkEnd w:id="220"/>
    </w:p>
    <w:p>
      <w:pPr>
        <w:pStyle w:val="8"/>
        <w:spacing w:before="0" w:beforeAutospacing="0" w:after="0" w:afterAutospacing="0" w:line="360" w:lineRule="auto"/>
        <w:ind w:firstLine="420"/>
        <w:rPr>
          <w:sz w:val="21"/>
          <w:szCs w:val="21"/>
        </w:rPr>
      </w:pPr>
      <w:bookmarkStart w:id="204" w:name="chapter_level1_26_3499_section_1"/>
      <w:bookmarkEnd w:id="204"/>
      <w:bookmarkStart w:id="205" w:name="field_0_bsrevealinfo_1_start"/>
      <w:bookmarkEnd w:id="205"/>
      <w:r>
        <w:rPr>
          <w:rFonts w:hint="eastAsia"/>
          <w:sz w:val="21"/>
          <w:szCs w:val="21"/>
        </w:rPr>
        <w:t>（一）、 2021年08月31日，我公司公告了《博时科创主题3年封闭运作灵活配置混合型证券投资基金2021年中期报告》；</w:t>
      </w:r>
    </w:p>
    <w:p>
      <w:pPr>
        <w:pStyle w:val="8"/>
        <w:spacing w:before="0" w:beforeAutospacing="0" w:after="0" w:afterAutospacing="0" w:line="360" w:lineRule="auto"/>
        <w:ind w:firstLine="420"/>
        <w:rPr>
          <w:sz w:val="21"/>
          <w:szCs w:val="21"/>
        </w:rPr>
      </w:pPr>
      <w:r>
        <w:rPr>
          <w:rFonts w:hint="eastAsia"/>
          <w:sz w:val="21"/>
          <w:szCs w:val="21"/>
        </w:rPr>
        <w:t>（二）、 2021年08月25日，我公司公告了《博时科创主题3年封闭运作灵活配置混合型证券投资基金基金产品资料概要更新》；</w:t>
      </w:r>
    </w:p>
    <w:p>
      <w:pPr>
        <w:pStyle w:val="8"/>
        <w:spacing w:before="0" w:beforeAutospacing="0" w:after="0" w:afterAutospacing="0" w:line="360" w:lineRule="auto"/>
        <w:ind w:firstLine="420"/>
        <w:rPr>
          <w:sz w:val="21"/>
          <w:szCs w:val="21"/>
        </w:rPr>
      </w:pPr>
      <w:r>
        <w:rPr>
          <w:rFonts w:hint="eastAsia"/>
          <w:sz w:val="21"/>
          <w:szCs w:val="21"/>
        </w:rPr>
        <w:t>（三）、 2021年07月21日，我公司公告了《博时科创主题3年封闭运作灵活配置混合型证券投资基金2021年第2季度报告》；</w:t>
      </w:r>
    </w:p>
    <w:p>
      <w:pPr>
        <w:pStyle w:val="8"/>
        <w:spacing w:before="0" w:beforeAutospacing="0" w:after="0" w:afterAutospacing="0" w:line="360" w:lineRule="auto"/>
        <w:ind w:firstLine="420"/>
        <w:rPr>
          <w:sz w:val="21"/>
          <w:szCs w:val="21"/>
        </w:rPr>
      </w:pPr>
      <w:r>
        <w:rPr>
          <w:rFonts w:hint="eastAsia"/>
          <w:sz w:val="21"/>
          <w:szCs w:val="21"/>
        </w:rPr>
        <w:t>（四）、 2021年07月01日，我公司公告了《博时基金管理有限公司关于对投资者在直销网上交易申购、认购及定投基金实施费率优惠的公告》；</w:t>
      </w:r>
    </w:p>
    <w:p>
      <w:pPr>
        <w:pStyle w:val="8"/>
        <w:spacing w:before="0" w:beforeAutospacing="0" w:after="0" w:afterAutospacing="0" w:line="360" w:lineRule="auto"/>
        <w:ind w:firstLine="420"/>
        <w:rPr>
          <w:sz w:val="21"/>
          <w:szCs w:val="21"/>
        </w:rPr>
      </w:pPr>
      <w:r>
        <w:rPr>
          <w:rFonts w:hint="eastAsia"/>
          <w:sz w:val="21"/>
          <w:szCs w:val="21"/>
        </w:rPr>
        <w:t>（五）、 2021年05月29日，我公司公告了《博时基金管理有限公司关于直销网上交易开通邮储银行快捷开户和支付服务及费率优惠的公告》；</w:t>
      </w:r>
    </w:p>
    <w:p>
      <w:pPr>
        <w:pStyle w:val="8"/>
        <w:spacing w:before="0" w:beforeAutospacing="0" w:after="0" w:afterAutospacing="0" w:line="360" w:lineRule="auto"/>
        <w:ind w:firstLine="420"/>
        <w:rPr>
          <w:sz w:val="21"/>
          <w:szCs w:val="21"/>
        </w:rPr>
      </w:pPr>
      <w:r>
        <w:rPr>
          <w:rFonts w:hint="eastAsia"/>
          <w:sz w:val="21"/>
          <w:szCs w:val="21"/>
        </w:rPr>
        <w:t>（六）、 2021年05月26日，我公司公告了《博时基金管理有限公司关于与上海银联电子支付服务有限公司合作开通华夏银行借记卡直销网上交易和费率优惠的公告》；</w:t>
      </w:r>
    </w:p>
    <w:p>
      <w:pPr>
        <w:pStyle w:val="8"/>
        <w:spacing w:before="0" w:beforeAutospacing="0" w:after="0" w:afterAutospacing="0" w:line="360" w:lineRule="auto"/>
        <w:ind w:firstLine="420"/>
        <w:rPr>
          <w:sz w:val="21"/>
          <w:szCs w:val="21"/>
        </w:rPr>
      </w:pPr>
      <w:r>
        <w:rPr>
          <w:rFonts w:hint="eastAsia"/>
          <w:sz w:val="21"/>
          <w:szCs w:val="21"/>
        </w:rPr>
        <w:t>（七）、 2021年04月28日，我公司公告了《博时基金管理有限公司关于暂停使用通联支付提供的交通银行、平安银行支付通道办理直销网上交易部分业务的公告》；</w:t>
      </w:r>
    </w:p>
    <w:p>
      <w:pPr>
        <w:pStyle w:val="8"/>
        <w:spacing w:before="0" w:beforeAutospacing="0" w:after="0" w:afterAutospacing="0" w:line="360" w:lineRule="auto"/>
        <w:ind w:firstLine="420"/>
        <w:rPr>
          <w:sz w:val="21"/>
          <w:szCs w:val="21"/>
        </w:rPr>
      </w:pPr>
      <w:r>
        <w:rPr>
          <w:rFonts w:hint="eastAsia"/>
          <w:sz w:val="21"/>
          <w:szCs w:val="21"/>
        </w:rPr>
        <w:t>（八）、 2021年04月24日，我公司公告了《博时基金管理有限公司关于暂停使用上海银联支付提供的兴业银行、广发银行支付通道办理直销网上交易部分业务的公告》；</w:t>
      </w:r>
    </w:p>
    <w:p>
      <w:pPr>
        <w:pStyle w:val="8"/>
        <w:spacing w:before="0" w:beforeAutospacing="0" w:after="0" w:afterAutospacing="0" w:line="360" w:lineRule="auto"/>
        <w:ind w:firstLine="420"/>
        <w:rPr>
          <w:sz w:val="21"/>
          <w:szCs w:val="21"/>
        </w:rPr>
      </w:pPr>
      <w:r>
        <w:rPr>
          <w:rFonts w:hint="eastAsia"/>
          <w:sz w:val="21"/>
          <w:szCs w:val="21"/>
        </w:rPr>
        <w:t>（九）、 2021年04月22日，我公司公告了《博时科创主题3年封闭运作灵活配置混合型证券投资基金2021年第1季度报告》；</w:t>
      </w:r>
    </w:p>
    <w:p>
      <w:pPr>
        <w:pStyle w:val="8"/>
        <w:spacing w:before="0" w:beforeAutospacing="0" w:after="0" w:afterAutospacing="0" w:line="360" w:lineRule="auto"/>
        <w:ind w:firstLine="420"/>
        <w:rPr>
          <w:sz w:val="21"/>
          <w:szCs w:val="21"/>
        </w:rPr>
      </w:pPr>
      <w:r>
        <w:rPr>
          <w:rFonts w:hint="eastAsia"/>
          <w:sz w:val="21"/>
          <w:szCs w:val="21"/>
        </w:rPr>
        <w:t>（十）、 2021年03月31日，我公司公告了《博时科创主题3年封闭运作灵活配置混合型证券投资基金2020年年度报告》；</w:t>
      </w:r>
    </w:p>
    <w:p>
      <w:pPr>
        <w:pStyle w:val="8"/>
        <w:spacing w:before="0" w:beforeAutospacing="0" w:after="0" w:afterAutospacing="0" w:line="360" w:lineRule="auto"/>
        <w:ind w:firstLine="420"/>
        <w:rPr>
          <w:sz w:val="21"/>
          <w:szCs w:val="21"/>
        </w:rPr>
      </w:pPr>
      <w:r>
        <w:rPr>
          <w:rFonts w:hint="eastAsia"/>
          <w:sz w:val="21"/>
          <w:szCs w:val="21"/>
        </w:rPr>
        <w:t>（十一）、 2021年03月30日，我公司公告了《博时基金管理有限公司关于对投资者在直销网上交易申购、认购及定投基金实施费率优惠的公告》；</w:t>
      </w:r>
    </w:p>
    <w:p>
      <w:pPr>
        <w:pStyle w:val="8"/>
        <w:spacing w:before="0" w:beforeAutospacing="0" w:after="0" w:afterAutospacing="0" w:line="360" w:lineRule="auto"/>
        <w:ind w:firstLine="420"/>
        <w:rPr>
          <w:sz w:val="21"/>
          <w:szCs w:val="21"/>
        </w:rPr>
      </w:pPr>
      <w:r>
        <w:rPr>
          <w:rFonts w:hint="eastAsia"/>
          <w:sz w:val="21"/>
          <w:szCs w:val="21"/>
        </w:rPr>
        <w:t>（十二）、 2021年03月20日，我公司公告了《博时基金管理有限公司关于暂停使用富友支付提供的交通银行快捷支付通道办理直销网上交易部分业务的公告》；</w:t>
      </w:r>
    </w:p>
    <w:p>
      <w:pPr>
        <w:pStyle w:val="8"/>
        <w:spacing w:before="0" w:beforeAutospacing="0" w:after="0" w:afterAutospacing="0" w:line="360" w:lineRule="auto"/>
        <w:ind w:firstLine="420"/>
        <w:rPr>
          <w:sz w:val="21"/>
          <w:szCs w:val="21"/>
        </w:rPr>
      </w:pPr>
      <w:r>
        <w:rPr>
          <w:rFonts w:hint="eastAsia"/>
          <w:sz w:val="21"/>
          <w:szCs w:val="21"/>
        </w:rPr>
        <w:t>（十三）、 2021年03月10日，我公司公告了《博时基金管理有限公司关于旗下基金持有的长期停牌股票调整估值方法的公告-20210310》；</w:t>
      </w:r>
    </w:p>
    <w:p>
      <w:pPr>
        <w:pStyle w:val="8"/>
        <w:spacing w:before="0" w:beforeAutospacing="0" w:after="0" w:afterAutospacing="0" w:line="360" w:lineRule="auto"/>
        <w:ind w:firstLine="420"/>
        <w:rPr>
          <w:sz w:val="21"/>
          <w:szCs w:val="21"/>
        </w:rPr>
      </w:pPr>
      <w:r>
        <w:rPr>
          <w:rFonts w:hint="eastAsia"/>
          <w:sz w:val="21"/>
          <w:szCs w:val="21"/>
        </w:rPr>
        <w:t>（十四）、 2021年02月20日，我公司公告了《博时基金管理有限公司关于旗下基金持有的长期停牌股票调整估值方法的公告-20210220》；</w:t>
      </w:r>
    </w:p>
    <w:p>
      <w:pPr>
        <w:pStyle w:val="8"/>
        <w:spacing w:before="0" w:beforeAutospacing="0" w:after="0" w:afterAutospacing="0" w:line="360" w:lineRule="auto"/>
        <w:ind w:firstLine="420"/>
        <w:rPr>
          <w:sz w:val="21"/>
          <w:szCs w:val="21"/>
        </w:rPr>
      </w:pPr>
      <w:r>
        <w:rPr>
          <w:rFonts w:hint="eastAsia"/>
          <w:sz w:val="21"/>
          <w:szCs w:val="21"/>
        </w:rPr>
        <w:t>（十五）、 2021年02月06日，我公司公告了《博时基金管理有限公司关于高级管理人员变更的公告》；</w:t>
      </w:r>
    </w:p>
    <w:p>
      <w:pPr>
        <w:pStyle w:val="8"/>
        <w:spacing w:before="0" w:beforeAutospacing="0" w:after="0" w:afterAutospacing="0" w:line="360" w:lineRule="auto"/>
        <w:ind w:firstLine="420"/>
        <w:rPr>
          <w:sz w:val="21"/>
          <w:szCs w:val="21"/>
        </w:rPr>
      </w:pPr>
      <w:r>
        <w:rPr>
          <w:rFonts w:hint="eastAsia"/>
          <w:sz w:val="21"/>
          <w:szCs w:val="21"/>
        </w:rPr>
        <w:t>（十六）、 2021年01月22日，我公司公告了《博时科创主题3年封闭运作灵活配置混合型证券投资基金2020年第4季度报告》；</w:t>
      </w:r>
    </w:p>
    <w:p>
      <w:pPr>
        <w:pStyle w:val="8"/>
        <w:spacing w:before="0" w:beforeAutospacing="0" w:after="0" w:afterAutospacing="0" w:line="360" w:lineRule="auto"/>
        <w:ind w:firstLine="420"/>
        <w:rPr>
          <w:sz w:val="21"/>
          <w:szCs w:val="21"/>
        </w:rPr>
      </w:pPr>
      <w:r>
        <w:rPr>
          <w:rFonts w:hint="eastAsia"/>
          <w:sz w:val="21"/>
          <w:szCs w:val="21"/>
        </w:rPr>
        <w:t>（十七）、 2020年12月28日，我公司公告了《博时基金管理有限公司关于对投资者在直销网上交易申购、认购及定投基金实施费率优惠的公告》；</w:t>
      </w:r>
    </w:p>
    <w:p>
      <w:pPr>
        <w:pStyle w:val="8"/>
        <w:spacing w:before="0" w:beforeAutospacing="0" w:after="0" w:afterAutospacing="0" w:line="360" w:lineRule="auto"/>
        <w:ind w:firstLine="420"/>
        <w:rPr>
          <w:sz w:val="21"/>
          <w:szCs w:val="21"/>
        </w:rPr>
      </w:pPr>
      <w:r>
        <w:rPr>
          <w:rFonts w:hint="eastAsia"/>
          <w:sz w:val="21"/>
          <w:szCs w:val="21"/>
        </w:rPr>
        <w:t>（十八）、 2020年12月22日，我公司公告了《博时基金管理有限公司关于暂停使用通联支付提供的上海银行快捷支付通道办理直销网上交易部分业务的公告》；</w:t>
      </w:r>
    </w:p>
    <w:p>
      <w:pPr>
        <w:pStyle w:val="8"/>
        <w:spacing w:before="0" w:beforeAutospacing="0" w:after="0" w:afterAutospacing="0" w:line="360" w:lineRule="auto"/>
        <w:ind w:firstLine="420"/>
        <w:rPr>
          <w:sz w:val="21"/>
          <w:szCs w:val="21"/>
        </w:rPr>
      </w:pPr>
      <w:r>
        <w:rPr>
          <w:rFonts w:hint="eastAsia"/>
          <w:sz w:val="21"/>
          <w:szCs w:val="21"/>
        </w:rPr>
        <w:t>（十九）、 2020年12月10日，我公司公告了《博时基金管理有限公司关于董事会成员变更的公告》；</w:t>
      </w:r>
    </w:p>
    <w:p>
      <w:pPr>
        <w:pStyle w:val="8"/>
        <w:spacing w:before="0" w:beforeAutospacing="0" w:after="0" w:afterAutospacing="0" w:line="360" w:lineRule="auto"/>
        <w:ind w:firstLine="420"/>
        <w:rPr>
          <w:sz w:val="21"/>
          <w:szCs w:val="21"/>
        </w:rPr>
      </w:pPr>
      <w:r>
        <w:rPr>
          <w:rFonts w:hint="eastAsia"/>
          <w:sz w:val="21"/>
          <w:szCs w:val="21"/>
        </w:rPr>
        <w:t>（二十）、 2020年11月06日，我公司公告了《博时基金管理有限公司关于博时科创主题3年封闭运作灵活配置混合型证券投资基金的基金经理变更的公告》、《博时科创主题3年封闭运作灵活配置混合型证券投资基金更新招募说明书》、《博时科创主题3年封闭运作灵活配置混合型证券投资基金基金产品资料概要更新》；</w:t>
      </w:r>
    </w:p>
    <w:p>
      <w:pPr>
        <w:pStyle w:val="8"/>
        <w:spacing w:before="0" w:beforeAutospacing="0" w:after="0" w:afterAutospacing="0" w:line="360" w:lineRule="auto"/>
        <w:ind w:firstLine="420"/>
        <w:rPr>
          <w:sz w:val="21"/>
          <w:szCs w:val="21"/>
        </w:rPr>
      </w:pPr>
      <w:r>
        <w:rPr>
          <w:rFonts w:hint="eastAsia"/>
          <w:sz w:val="21"/>
          <w:szCs w:val="21"/>
        </w:rPr>
        <w:t>（二十一）、 2020年11月03日，我公司公告了《博时基金管理有限公司关于旗下基金持有的债券调整估值的公告20201103》；</w:t>
      </w:r>
    </w:p>
    <w:p>
      <w:pPr>
        <w:pStyle w:val="8"/>
        <w:spacing w:before="0" w:beforeAutospacing="0" w:after="0" w:afterAutospacing="0" w:line="360" w:lineRule="auto"/>
        <w:ind w:firstLine="420"/>
        <w:rPr>
          <w:sz w:val="21"/>
          <w:szCs w:val="21"/>
        </w:rPr>
      </w:pPr>
      <w:r>
        <w:rPr>
          <w:rFonts w:hint="eastAsia"/>
          <w:sz w:val="21"/>
          <w:szCs w:val="21"/>
        </w:rPr>
        <w:t>（二十二）、 2020年10月28日，我公司公告了《博时科创主题3年封闭运作灵活配置混合型证券投资基金2020年第3季度报告》；</w:t>
      </w:r>
    </w:p>
    <w:p>
      <w:pPr>
        <w:pStyle w:val="8"/>
        <w:spacing w:before="0" w:beforeAutospacing="0" w:after="0" w:afterAutospacing="0" w:line="360" w:lineRule="auto"/>
        <w:ind w:firstLine="420"/>
        <w:rPr>
          <w:sz w:val="21"/>
          <w:szCs w:val="21"/>
        </w:rPr>
      </w:pPr>
      <w:r>
        <w:rPr>
          <w:rFonts w:hint="eastAsia"/>
          <w:sz w:val="21"/>
          <w:szCs w:val="21"/>
        </w:rPr>
        <w:t>（二十三）、 2020年10月19日，我公司公告了《博时科创主题3年封闭运作灵活配置混合型证券投资基金基金产品资料概要更新》；</w:t>
      </w:r>
    </w:p>
    <w:p>
      <w:pPr>
        <w:pStyle w:val="8"/>
        <w:spacing w:before="0" w:beforeAutospacing="0" w:after="0" w:afterAutospacing="0" w:line="360" w:lineRule="auto"/>
        <w:ind w:firstLine="420"/>
        <w:rPr>
          <w:sz w:val="21"/>
          <w:szCs w:val="21"/>
        </w:rPr>
      </w:pPr>
      <w:r>
        <w:rPr>
          <w:rFonts w:hint="eastAsia"/>
          <w:sz w:val="21"/>
          <w:szCs w:val="21"/>
        </w:rPr>
        <w:t>（二十四）、 2020年10月16日，我公司公告了《博时基金管理有限公司关于高级管理人员变更的公告》；</w:t>
      </w:r>
    </w:p>
    <w:p>
      <w:pPr>
        <w:pStyle w:val="8"/>
        <w:spacing w:before="0" w:beforeAutospacing="0" w:after="0" w:afterAutospacing="0" w:line="360" w:lineRule="auto"/>
        <w:ind w:firstLine="420"/>
        <w:rPr>
          <w:sz w:val="21"/>
          <w:szCs w:val="21"/>
        </w:rPr>
      </w:pPr>
      <w:r>
        <w:rPr>
          <w:rFonts w:hint="eastAsia"/>
          <w:sz w:val="21"/>
          <w:szCs w:val="21"/>
        </w:rPr>
        <w:t>（二十五）、 2020年10月14日，我公司公告了《博时科创主题3年封闭运作灵活配置混合型证券投资基金托管协议》、《博时科创主题3年封闭运作灵活配置混合型证券投资基金基金合同》、《博时科创主题3年封闭运作灵活配置混合型证券投资基金更新招募说明书》、《博时基金管理有限公司关于调整旗下部分基金投资范围并相应修改法律文件的公告》；</w:t>
      </w:r>
    </w:p>
    <w:p>
      <w:pPr>
        <w:pStyle w:val="8"/>
        <w:spacing w:before="0" w:beforeAutospacing="0" w:after="0" w:afterAutospacing="0" w:line="360" w:lineRule="auto"/>
        <w:ind w:firstLine="420"/>
        <w:rPr>
          <w:sz w:val="21"/>
          <w:szCs w:val="21"/>
        </w:rPr>
      </w:pPr>
      <w:r>
        <w:rPr>
          <w:rFonts w:hint="eastAsia"/>
          <w:sz w:val="21"/>
          <w:szCs w:val="21"/>
        </w:rPr>
        <w:t>（二十六）、 2020年10月12日，我公司公告了《博时基金管理有限公司关于直销网上交易开通中信银行快捷开户和支付服务及费率优惠的公告》；</w:t>
      </w:r>
    </w:p>
    <w:p>
      <w:pPr>
        <w:pStyle w:val="8"/>
        <w:spacing w:before="0" w:beforeAutospacing="0" w:after="0" w:afterAutospacing="0" w:line="360" w:lineRule="auto"/>
        <w:ind w:firstLine="420"/>
        <w:rPr>
          <w:sz w:val="21"/>
          <w:szCs w:val="21"/>
        </w:rPr>
      </w:pPr>
      <w:r>
        <w:rPr>
          <w:rFonts w:hint="eastAsia"/>
          <w:sz w:val="21"/>
          <w:szCs w:val="21"/>
        </w:rPr>
        <w:t>（二十七）、 2020年09月30日，我公司公告了《博时科创主题3年封闭运作灵活配置混合型证券投资基金更新招募说明书》；</w:t>
      </w:r>
    </w:p>
    <w:p>
      <w:pPr>
        <w:pStyle w:val="8"/>
        <w:spacing w:before="0" w:beforeAutospacing="0" w:after="0" w:afterAutospacing="0" w:line="360" w:lineRule="auto"/>
        <w:ind w:firstLine="420"/>
        <w:rPr>
          <w:sz w:val="21"/>
          <w:szCs w:val="21"/>
        </w:rPr>
      </w:pPr>
      <w:r>
        <w:rPr>
          <w:rFonts w:hint="eastAsia"/>
          <w:sz w:val="21"/>
          <w:szCs w:val="21"/>
        </w:rPr>
        <w:t>（二十八）、 2020年09月25日，我公司公告了《博时基金管理有限公司关于对投资者在直销网上交易申购、认购及定投基金实施费率优惠的公告》；</w:t>
      </w:r>
    </w:p>
    <w:p>
      <w:pPr>
        <w:pStyle w:val="8"/>
        <w:spacing w:before="0" w:beforeAutospacing="0" w:after="0" w:afterAutospacing="0" w:line="360" w:lineRule="auto"/>
        <w:ind w:firstLine="420"/>
        <w:rPr>
          <w:sz w:val="21"/>
          <w:szCs w:val="21"/>
        </w:rPr>
      </w:pPr>
      <w:r>
        <w:rPr>
          <w:rFonts w:hint="eastAsia"/>
          <w:sz w:val="21"/>
          <w:szCs w:val="21"/>
        </w:rPr>
        <w:t>（二十九）、 2020年09月01日，我公司公告了《博时基金管理有限公司关于旗下基金持有的债券调整估值的公告20200901》；</w:t>
      </w:r>
    </w:p>
    <w:p>
      <w:pPr>
        <w:pStyle w:val="8"/>
        <w:spacing w:before="0" w:beforeAutospacing="0" w:after="0" w:afterAutospacing="0" w:line="360" w:lineRule="auto"/>
        <w:ind w:firstLine="420"/>
        <w:rPr>
          <w:sz w:val="21"/>
          <w:szCs w:val="21"/>
        </w:rPr>
      </w:pPr>
      <w:r>
        <w:rPr>
          <w:rFonts w:hint="eastAsia"/>
          <w:sz w:val="21"/>
          <w:szCs w:val="21"/>
        </w:rPr>
        <w:t>（三十）、 2020年08月31日，我公司公告了《博时科创主题3年封闭运作灵活配置混合型证券投资基金2020年中期报告》。</w:t>
      </w:r>
      <w:bookmarkStart w:id="206" w:name="field_0_bsrevealinfo_1_end"/>
      <w:bookmarkEnd w:id="206"/>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7" w:name="_Toc82437045"/>
      <w:bookmarkStart w:id="208" w:name="chapter_level1_27_77"/>
      <w:bookmarkStart w:id="209" w:name="_Toc31915"/>
      <w:r>
        <w:rPr>
          <w:rFonts w:hint="eastAsia" w:ascii="宋体" w:hAnsi="宋体" w:eastAsia="宋体"/>
          <w:sz w:val="30"/>
        </w:rPr>
        <w:t>第二十三部分  招募说明书存放及查阅方式</w:t>
      </w:r>
      <w:bookmarkEnd w:id="207"/>
      <w:bookmarkEnd w:id="208"/>
      <w:bookmarkEnd w:id="209"/>
    </w:p>
    <w:p>
      <w:pPr>
        <w:pStyle w:val="8"/>
        <w:spacing w:before="0" w:beforeAutospacing="0" w:after="0" w:afterAutospacing="0" w:line="360" w:lineRule="auto"/>
        <w:ind w:firstLine="420"/>
        <w:rPr>
          <w:sz w:val="21"/>
          <w:szCs w:val="21"/>
        </w:rPr>
      </w:pPr>
      <w:bookmarkStart w:id="210" w:name="chapter_level1_27_77_section_1"/>
      <w:bookmarkEnd w:id="210"/>
      <w:r>
        <w:rPr>
          <w:rFonts w:hint="eastAsia"/>
          <w:sz w:val="21"/>
          <w:szCs w:val="21"/>
        </w:rPr>
        <w:t xml:space="preserve">依法必须披露的信息发布后，基金管理人、基金托管人应当按照相关法律法规规定将信息置备于各自住所、基金上市交易的证券交易所，供社会公众查阅、复制。投资人也可按工本费购买本招募说明书复制件或复印件，但应以招募说明书正本为准。    </w:t>
      </w:r>
    </w:p>
    <w:p>
      <w:pPr>
        <w:pStyle w:val="8"/>
        <w:spacing w:before="0" w:beforeAutospacing="0" w:after="0" w:afterAutospacing="0" w:line="360" w:lineRule="auto"/>
        <w:ind w:firstLine="420"/>
        <w:rPr>
          <w:sz w:val="21"/>
          <w:szCs w:val="21"/>
        </w:rPr>
      </w:pPr>
      <w:bookmarkStart w:id="211" w:name="chapter_level1_27_77_section_1_end"/>
      <w:bookmarkEnd w:id="211"/>
      <w:r>
        <w:rPr>
          <w:rFonts w:hint="eastAsia"/>
          <w:sz w:val="21"/>
          <w:szCs w:val="21"/>
        </w:rPr>
        <w:t xml:space="preserve">基金管理人和基金托管人保证文本的内容与所公告的内容完全一致。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2" w:name="chapter_level1_28_332"/>
      <w:bookmarkStart w:id="213" w:name="_Toc82437046"/>
      <w:bookmarkStart w:id="214" w:name="_Toc17389"/>
      <w:r>
        <w:rPr>
          <w:rFonts w:hint="eastAsia" w:ascii="宋体" w:hAnsi="宋体" w:eastAsia="宋体"/>
          <w:sz w:val="30"/>
        </w:rPr>
        <w:t>第二十四部分  备查文件</w:t>
      </w:r>
      <w:bookmarkEnd w:id="212"/>
      <w:bookmarkEnd w:id="213"/>
      <w:bookmarkEnd w:id="214"/>
    </w:p>
    <w:p>
      <w:pPr>
        <w:pStyle w:val="8"/>
        <w:spacing w:before="0" w:beforeAutospacing="0" w:after="0" w:afterAutospacing="0" w:line="360" w:lineRule="auto"/>
        <w:ind w:firstLine="420"/>
        <w:rPr>
          <w:sz w:val="21"/>
          <w:szCs w:val="21"/>
        </w:rPr>
      </w:pPr>
      <w:bookmarkStart w:id="215" w:name="chapter_level1_28_332_section_1"/>
      <w:bookmarkEnd w:id="215"/>
      <w:r>
        <w:rPr>
          <w:rFonts w:hint="eastAsia"/>
          <w:sz w:val="21"/>
          <w:szCs w:val="21"/>
        </w:rPr>
        <w:t xml:space="preserve">1、中国证监会准予本基金募集注册的文件  </w:t>
      </w:r>
    </w:p>
    <w:p>
      <w:pPr>
        <w:pStyle w:val="8"/>
        <w:spacing w:before="0" w:beforeAutospacing="0" w:after="0" w:afterAutospacing="0" w:line="360" w:lineRule="auto"/>
        <w:ind w:firstLine="420"/>
        <w:rPr>
          <w:sz w:val="21"/>
          <w:szCs w:val="21"/>
        </w:rPr>
      </w:pPr>
      <w:r>
        <w:rPr>
          <w:rFonts w:hint="eastAsia"/>
          <w:sz w:val="21"/>
          <w:szCs w:val="21"/>
        </w:rPr>
        <w:t xml:space="preserve">2、《博时科创主题灵活配置混合型证券投资基金（LOF）基金合同》 </w:t>
      </w:r>
    </w:p>
    <w:p>
      <w:pPr>
        <w:pStyle w:val="8"/>
        <w:spacing w:before="0" w:beforeAutospacing="0" w:after="0" w:afterAutospacing="0" w:line="360" w:lineRule="auto"/>
        <w:ind w:firstLine="420"/>
        <w:rPr>
          <w:sz w:val="21"/>
          <w:szCs w:val="21"/>
        </w:rPr>
      </w:pPr>
      <w:r>
        <w:rPr>
          <w:rFonts w:hint="eastAsia"/>
          <w:sz w:val="21"/>
          <w:szCs w:val="21"/>
        </w:rPr>
        <w:t xml:space="preserve">3、《博时科创主题灵活配置混合型证券投资基金（LOF）托管协议》 </w:t>
      </w:r>
    </w:p>
    <w:p>
      <w:pPr>
        <w:pStyle w:val="8"/>
        <w:spacing w:before="0" w:beforeAutospacing="0" w:after="0" w:afterAutospacing="0" w:line="360" w:lineRule="auto"/>
        <w:ind w:firstLine="420"/>
        <w:rPr>
          <w:sz w:val="21"/>
          <w:szCs w:val="21"/>
        </w:rPr>
      </w:pPr>
      <w:r>
        <w:rPr>
          <w:rFonts w:hint="eastAsia"/>
          <w:sz w:val="21"/>
          <w:szCs w:val="21"/>
        </w:rPr>
        <w:t xml:space="preserve">4、注册登记协议 </w:t>
      </w:r>
    </w:p>
    <w:p>
      <w:pPr>
        <w:pStyle w:val="8"/>
        <w:spacing w:before="0" w:beforeAutospacing="0" w:after="0" w:afterAutospacing="0" w:line="360" w:lineRule="auto"/>
        <w:ind w:firstLine="420"/>
        <w:rPr>
          <w:sz w:val="21"/>
          <w:szCs w:val="21"/>
        </w:rPr>
      </w:pPr>
      <w:r>
        <w:rPr>
          <w:rFonts w:hint="eastAsia"/>
          <w:sz w:val="21"/>
          <w:szCs w:val="21"/>
        </w:rPr>
        <w:t xml:space="preserve">5、法律意见书 </w:t>
      </w:r>
    </w:p>
    <w:p>
      <w:pPr>
        <w:pStyle w:val="8"/>
        <w:spacing w:before="0" w:beforeAutospacing="0" w:after="0" w:afterAutospacing="0" w:line="360" w:lineRule="auto"/>
        <w:ind w:firstLine="420"/>
        <w:rPr>
          <w:sz w:val="21"/>
          <w:szCs w:val="21"/>
        </w:rPr>
      </w:pPr>
      <w:r>
        <w:rPr>
          <w:rFonts w:hint="eastAsia"/>
          <w:sz w:val="21"/>
          <w:szCs w:val="21"/>
        </w:rPr>
        <w:t xml:space="preserve">6、基金管理人业务资格批件、营业执照 </w:t>
      </w:r>
    </w:p>
    <w:p>
      <w:pPr>
        <w:pStyle w:val="8"/>
        <w:spacing w:before="0" w:beforeAutospacing="0" w:after="0" w:afterAutospacing="0" w:line="360" w:lineRule="auto"/>
        <w:ind w:firstLine="420"/>
        <w:rPr>
          <w:sz w:val="21"/>
          <w:szCs w:val="21"/>
        </w:rPr>
      </w:pPr>
      <w:r>
        <w:rPr>
          <w:rFonts w:hint="eastAsia"/>
          <w:sz w:val="21"/>
          <w:szCs w:val="21"/>
        </w:rPr>
        <w:t xml:space="preserve">7、基金托管人业务资格批件、营业执照 </w:t>
      </w:r>
    </w:p>
    <w:p>
      <w:pPr>
        <w:pStyle w:val="8"/>
        <w:spacing w:before="0" w:beforeAutospacing="0" w:after="0" w:afterAutospacing="0" w:line="360" w:lineRule="auto"/>
        <w:ind w:firstLine="420"/>
        <w:rPr>
          <w:sz w:val="21"/>
          <w:szCs w:val="21"/>
        </w:rPr>
      </w:pPr>
      <w:r>
        <w:rPr>
          <w:rFonts w:hint="eastAsia"/>
          <w:sz w:val="21"/>
          <w:szCs w:val="21"/>
        </w:rPr>
        <w:t xml:space="preserve">8、中国证监会要求的其他文件 </w:t>
      </w:r>
    </w:p>
    <w:p>
      <w:pPr>
        <w:pStyle w:val="8"/>
        <w:spacing w:before="0" w:beforeAutospacing="0" w:after="0" w:afterAutospacing="0" w:line="360" w:lineRule="auto"/>
        <w:ind w:firstLine="420"/>
        <w:rPr>
          <w:sz w:val="21"/>
          <w:szCs w:val="21"/>
        </w:rPr>
      </w:pPr>
    </w:p>
    <w:p>
      <w:pPr>
        <w:pStyle w:val="8"/>
        <w:spacing w:before="0" w:beforeAutospacing="0" w:after="0" w:afterAutospacing="0" w:line="360" w:lineRule="auto"/>
        <w:ind w:firstLine="420"/>
        <w:rPr>
          <w:sz w:val="21"/>
          <w:szCs w:val="21"/>
        </w:rPr>
      </w:pPr>
    </w:p>
    <w:p>
      <w:pPr>
        <w:pStyle w:val="8"/>
        <w:spacing w:before="0" w:beforeAutospacing="0" w:after="0" w:afterAutospacing="0" w:line="360" w:lineRule="auto"/>
        <w:ind w:firstLine="420"/>
        <w:jc w:val="right"/>
        <w:rPr>
          <w:sz w:val="21"/>
          <w:szCs w:val="21"/>
        </w:rPr>
      </w:pPr>
    </w:p>
    <w:p>
      <w:pPr>
        <w:pStyle w:val="8"/>
        <w:spacing w:before="0" w:beforeAutospacing="0" w:after="0" w:afterAutospacing="0" w:line="360" w:lineRule="auto"/>
        <w:ind w:firstLine="420"/>
        <w:jc w:val="right"/>
        <w:rPr>
          <w:sz w:val="21"/>
          <w:szCs w:val="21"/>
        </w:rPr>
      </w:pPr>
      <w:bookmarkStart w:id="216" w:name="field_0_managerorgfullname_6"/>
      <w:r>
        <w:rPr>
          <w:rFonts w:hint="eastAsia"/>
          <w:sz w:val="21"/>
          <w:szCs w:val="21"/>
        </w:rPr>
        <w:t>博时基金管理有限公司</w:t>
      </w:r>
      <w:bookmarkEnd w:id="216"/>
      <w:r>
        <w:rPr>
          <w:rFonts w:hint="eastAsia"/>
          <w:sz w:val="21"/>
          <w:szCs w:val="21"/>
        </w:rPr>
        <w:t xml:space="preserve">  </w:t>
      </w:r>
    </w:p>
    <w:p>
      <w:pPr>
        <w:pStyle w:val="8"/>
        <w:spacing w:before="0" w:beforeAutospacing="0" w:after="0" w:afterAutospacing="0" w:line="360" w:lineRule="auto"/>
        <w:ind w:firstLine="420"/>
        <w:jc w:val="right"/>
        <w:rPr>
          <w:sz w:val="21"/>
          <w:szCs w:val="21"/>
        </w:rPr>
      </w:pPr>
      <w:bookmarkStart w:id="217" w:name="field_0_commitmenttime_1"/>
      <w:r>
        <w:rPr>
          <w:sz w:val="21"/>
          <w:szCs w:val="21"/>
        </w:rPr>
        <w:t>202</w:t>
      </w:r>
      <w:r>
        <w:rPr>
          <w:rFonts w:hint="eastAsia"/>
          <w:sz w:val="21"/>
          <w:szCs w:val="21"/>
        </w:rPr>
        <w:t>2</w:t>
      </w:r>
      <w:r>
        <w:rPr>
          <w:sz w:val="21"/>
          <w:szCs w:val="21"/>
        </w:rPr>
        <w:t>年0</w:t>
      </w:r>
      <w:r>
        <w:rPr>
          <w:rFonts w:hint="eastAsia"/>
          <w:sz w:val="21"/>
          <w:szCs w:val="21"/>
        </w:rPr>
        <w:t>6</w:t>
      </w:r>
      <w:r>
        <w:rPr>
          <w:sz w:val="21"/>
          <w:szCs w:val="21"/>
        </w:rPr>
        <w:t>月</w:t>
      </w:r>
      <w:r>
        <w:rPr>
          <w:rFonts w:hint="eastAsia"/>
          <w:sz w:val="21"/>
          <w:szCs w:val="21"/>
        </w:rPr>
        <w:t>2</w:t>
      </w:r>
      <w:r>
        <w:rPr>
          <w:rFonts w:hint="eastAsia"/>
          <w:sz w:val="21"/>
          <w:szCs w:val="21"/>
          <w:lang w:val="en-US" w:eastAsia="zh-CN"/>
        </w:rPr>
        <w:t>2</w:t>
      </w:r>
      <w:r>
        <w:rPr>
          <w:sz w:val="21"/>
          <w:szCs w:val="21"/>
        </w:rPr>
        <w:t>日</w:t>
      </w:r>
      <w:bookmarkEnd w:id="217"/>
      <w:r>
        <w:rPr>
          <w:rFonts w:hint="eastAsia"/>
          <w:sz w:val="21"/>
          <w:szCs w:val="21"/>
        </w:rPr>
        <w:t xml:space="preserve">  </w:t>
      </w:r>
    </w:p>
    <w:p>
      <w:pPr>
        <w:pStyle w:val="8"/>
        <w:spacing w:before="0" w:beforeAutospacing="0" w:after="0" w:afterAutospacing="0" w:line="360" w:lineRule="auto"/>
        <w:ind w:firstLine="420"/>
        <w:rPr>
          <w:sz w:val="21"/>
          <w:szCs w:val="21"/>
        </w:rPr>
      </w:pPr>
      <w:bookmarkStart w:id="218" w:name="chapter_level1_28_332_section_1_end"/>
      <w:bookmarkEnd w:id="218"/>
    </w:p>
    <w:p>
      <w:pPr>
        <w:rPr>
          <w:rFonts w:ascii="宋体" w:hAnsi="宋体" w:eastAsia="宋体"/>
        </w:rPr>
      </w:pPr>
      <w:bookmarkStart w:id="219" w:name="end"/>
      <w:bookmarkEnd w:id="219"/>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28</w:t>
    </w:r>
    <w:r>
      <w:fldChar w:fldCharType="end"/>
    </w:r>
    <w:r>
      <w:rPr>
        <w:rFonts w:hint="eastAsia"/>
      </w:rPr>
      <w:t>页 共</w:t>
    </w:r>
    <w:r>
      <w:fldChar w:fldCharType="begin"/>
    </w:r>
    <w:r>
      <w:instrText xml:space="preserve"> NumPages \* MERGEFORMAT </w:instrText>
    </w:r>
    <w:r>
      <w:fldChar w:fldCharType="separate"/>
    </w:r>
    <w:r>
      <w:t>185</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6"/>
      <w:jc w:val="right"/>
    </w:pPr>
    <w:r>
      <w:rPr>
        <w:rFonts w:hint="eastAsia"/>
      </w:rPr>
      <w:t>博时科创主题灵活配置混合型证券投资基金（LOF）更新招募说明书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F24D2"/>
    <w:multiLevelType w:val="singleLevel"/>
    <w:tmpl w:val="E8AF24D2"/>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97"/>
    <w:rsid w:val="0002216D"/>
    <w:rsid w:val="000561D0"/>
    <w:rsid w:val="00075A2E"/>
    <w:rsid w:val="00092979"/>
    <w:rsid w:val="001A4A94"/>
    <w:rsid w:val="00270497"/>
    <w:rsid w:val="00294FC8"/>
    <w:rsid w:val="002B5F4E"/>
    <w:rsid w:val="002F41DD"/>
    <w:rsid w:val="003743F3"/>
    <w:rsid w:val="003807A0"/>
    <w:rsid w:val="003D7AC9"/>
    <w:rsid w:val="003E1CA7"/>
    <w:rsid w:val="00482505"/>
    <w:rsid w:val="004F1877"/>
    <w:rsid w:val="005149C3"/>
    <w:rsid w:val="00667618"/>
    <w:rsid w:val="00696EA6"/>
    <w:rsid w:val="00790B64"/>
    <w:rsid w:val="007D52CA"/>
    <w:rsid w:val="00805365"/>
    <w:rsid w:val="00820221"/>
    <w:rsid w:val="00903E6B"/>
    <w:rsid w:val="00967CEE"/>
    <w:rsid w:val="009D31BE"/>
    <w:rsid w:val="00A065D5"/>
    <w:rsid w:val="00A3349B"/>
    <w:rsid w:val="00A65385"/>
    <w:rsid w:val="00A76EE4"/>
    <w:rsid w:val="00AB5895"/>
    <w:rsid w:val="00B074D8"/>
    <w:rsid w:val="00B648D5"/>
    <w:rsid w:val="00B810C1"/>
    <w:rsid w:val="00C52ED4"/>
    <w:rsid w:val="00C834C1"/>
    <w:rsid w:val="00CA2D4F"/>
    <w:rsid w:val="00CB463D"/>
    <w:rsid w:val="00E67ABF"/>
    <w:rsid w:val="00E71D4C"/>
    <w:rsid w:val="00EA6BDD"/>
    <w:rsid w:val="00F009A8"/>
    <w:rsid w:val="00F71E52"/>
    <w:rsid w:val="00FB4DD8"/>
    <w:rsid w:val="00FC0AAD"/>
    <w:rsid w:val="00FF2D58"/>
    <w:rsid w:val="010F3772"/>
    <w:rsid w:val="01B04BE3"/>
    <w:rsid w:val="024E4262"/>
    <w:rsid w:val="037A4A80"/>
    <w:rsid w:val="03DA4AA2"/>
    <w:rsid w:val="04840693"/>
    <w:rsid w:val="04932873"/>
    <w:rsid w:val="04A60819"/>
    <w:rsid w:val="08855043"/>
    <w:rsid w:val="0ADC583A"/>
    <w:rsid w:val="0C2C1E17"/>
    <w:rsid w:val="0E1C42D9"/>
    <w:rsid w:val="10996F21"/>
    <w:rsid w:val="12F8424D"/>
    <w:rsid w:val="16210770"/>
    <w:rsid w:val="17F570CD"/>
    <w:rsid w:val="1C704D61"/>
    <w:rsid w:val="1E612B33"/>
    <w:rsid w:val="1ECE473C"/>
    <w:rsid w:val="20097EA6"/>
    <w:rsid w:val="20E75545"/>
    <w:rsid w:val="20F96525"/>
    <w:rsid w:val="22880E59"/>
    <w:rsid w:val="24395741"/>
    <w:rsid w:val="284D77EB"/>
    <w:rsid w:val="293D3683"/>
    <w:rsid w:val="2A152152"/>
    <w:rsid w:val="2A1F7604"/>
    <w:rsid w:val="2A4B1EEA"/>
    <w:rsid w:val="2A661DBC"/>
    <w:rsid w:val="2CA721C4"/>
    <w:rsid w:val="2CBD6261"/>
    <w:rsid w:val="2CCD2F5B"/>
    <w:rsid w:val="2F377F34"/>
    <w:rsid w:val="2F625EC5"/>
    <w:rsid w:val="32047640"/>
    <w:rsid w:val="3540131B"/>
    <w:rsid w:val="364C12C4"/>
    <w:rsid w:val="36A963B0"/>
    <w:rsid w:val="375504C2"/>
    <w:rsid w:val="3A763A47"/>
    <w:rsid w:val="3B972CEC"/>
    <w:rsid w:val="3BF35B7C"/>
    <w:rsid w:val="3C2C0948"/>
    <w:rsid w:val="3F9A112A"/>
    <w:rsid w:val="421B33AC"/>
    <w:rsid w:val="43983A20"/>
    <w:rsid w:val="441420B0"/>
    <w:rsid w:val="45A80142"/>
    <w:rsid w:val="463A4B79"/>
    <w:rsid w:val="487C14CA"/>
    <w:rsid w:val="4991673E"/>
    <w:rsid w:val="4B10159D"/>
    <w:rsid w:val="4B593420"/>
    <w:rsid w:val="4B6C4B39"/>
    <w:rsid w:val="4B770137"/>
    <w:rsid w:val="4BAC0940"/>
    <w:rsid w:val="4C523478"/>
    <w:rsid w:val="4CD35450"/>
    <w:rsid w:val="4E246D7A"/>
    <w:rsid w:val="4F3115E5"/>
    <w:rsid w:val="50222673"/>
    <w:rsid w:val="53B4548A"/>
    <w:rsid w:val="566B61FE"/>
    <w:rsid w:val="57673D33"/>
    <w:rsid w:val="57CE3095"/>
    <w:rsid w:val="589A52B5"/>
    <w:rsid w:val="59FA7211"/>
    <w:rsid w:val="5BB369BA"/>
    <w:rsid w:val="5C4F29F2"/>
    <w:rsid w:val="62681B1F"/>
    <w:rsid w:val="671B6C4E"/>
    <w:rsid w:val="68107948"/>
    <w:rsid w:val="6C7C562B"/>
    <w:rsid w:val="6E6B137D"/>
    <w:rsid w:val="6F1F6C3C"/>
    <w:rsid w:val="72222473"/>
    <w:rsid w:val="75E40349"/>
    <w:rsid w:val="78685228"/>
    <w:rsid w:val="78FE2A07"/>
    <w:rsid w:val="790F6C91"/>
    <w:rsid w:val="79D618C3"/>
    <w:rsid w:val="7AB6086A"/>
    <w:rsid w:val="7B8532D2"/>
    <w:rsid w:val="7C9E5DA3"/>
    <w:rsid w:val="7DB077DE"/>
    <w:rsid w:val="7EEC7ACD"/>
    <w:rsid w:val="7F197656"/>
    <w:rsid w:val="7FF2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unhideWhenUsed/>
    <w:qFormat/>
    <w:uiPriority w:val="39"/>
    <w:pPr>
      <w:ind w:left="420" w:leftChars="200"/>
    </w:p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1"/>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标题 2 Char"/>
    <w:basedOn w:val="12"/>
    <w:link w:val="2"/>
    <w:qFormat/>
    <w:uiPriority w:val="9"/>
    <w:rPr>
      <w:rFonts w:asciiTheme="majorHAnsi" w:hAnsiTheme="majorHAnsi" w:eastAsiaTheme="majorEastAsia" w:cstheme="majorBidi"/>
      <w:b/>
      <w:bCs/>
      <w:sz w:val="32"/>
      <w:szCs w:val="32"/>
    </w:rPr>
  </w:style>
  <w:style w:type="character" w:customStyle="1" w:styleId="17">
    <w:name w:val="页眉 Char"/>
    <w:basedOn w:val="12"/>
    <w:link w:val="6"/>
    <w:qFormat/>
    <w:uiPriority w:val="99"/>
    <w:rPr>
      <w:sz w:val="18"/>
      <w:szCs w:val="18"/>
    </w:rPr>
  </w:style>
  <w:style w:type="character" w:customStyle="1" w:styleId="18">
    <w:name w:val="页脚 Char"/>
    <w:basedOn w:val="12"/>
    <w:link w:val="5"/>
    <w:qFormat/>
    <w:uiPriority w:val="99"/>
    <w:rPr>
      <w:sz w:val="18"/>
      <w:szCs w:val="18"/>
    </w:rPr>
  </w:style>
  <w:style w:type="character" w:customStyle="1" w:styleId="19">
    <w:name w:val="批注框文本 Char"/>
    <w:basedOn w:val="12"/>
    <w:link w:val="4"/>
    <w:semiHidden/>
    <w:qFormat/>
    <w:uiPriority w:val="99"/>
    <w:rPr>
      <w:sz w:val="18"/>
      <w:szCs w:val="18"/>
    </w:rPr>
  </w:style>
  <w:style w:type="character" w:customStyle="1" w:styleId="20">
    <w:name w:val="批注文字 Char"/>
    <w:basedOn w:val="12"/>
    <w:link w:val="3"/>
    <w:semiHidden/>
    <w:qFormat/>
    <w:uiPriority w:val="99"/>
    <w:rPr>
      <w:kern w:val="2"/>
      <w:sz w:val="21"/>
      <w:szCs w:val="22"/>
    </w:rPr>
  </w:style>
  <w:style w:type="character" w:customStyle="1" w:styleId="21">
    <w:name w:val="批注主题 Char"/>
    <w:basedOn w:val="20"/>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mycompany</Company>
  <Pages>185</Pages>
  <Words>23569</Words>
  <Characters>134348</Characters>
  <Lines>1119</Lines>
  <Paragraphs>315</Paragraphs>
  <TotalTime>62</TotalTime>
  <ScaleCrop>false</ScaleCrop>
  <LinksUpToDate>false</LinksUpToDate>
  <CharactersWithSpaces>157602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2021-09-13T06:49:00Z</dcterms:created>
  <dc:creator>BSKMadminDev</dc:creator>
  <cp:lastModifiedBy>qianlx</cp:lastModifiedBy>
  <dcterms:modified xsi:type="dcterms:W3CDTF">2022-06-21T05:56:55Z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97146411B9EA4B02ABA5DC5D17D45AAA</vt:lpwstr>
  </property>
</Properties>
</file>