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eastAsia" w:ascii="宋体" w:hAnsi="宋体" w:eastAsia="宋体"/>
          <w:b/>
          <w:sz w:val="30"/>
        </w:rPr>
      </w:pPr>
      <w:r>
        <w:rPr>
          <w:rFonts w:hint="eastAsia" w:ascii="宋体" w:hAnsi="宋体" w:eastAsia="宋体"/>
          <w:b/>
          <w:sz w:val="30"/>
        </w:rPr>
        <w:t>博时科创主题灵活配置混合型证券投资基金（LOF）开放日常申购、赎回、定期定额投资业务的公告</w:t>
      </w:r>
    </w:p>
    <w:p>
      <w:pPr>
        <w:jc w:val="center"/>
        <w:rPr>
          <w:rFonts w:ascii="宋体" w:hAnsi="宋体" w:eastAsia="宋体"/>
          <w:b/>
          <w:sz w:val="24"/>
        </w:rPr>
      </w:pPr>
      <w:r>
        <w:rPr>
          <w:rFonts w:hint="eastAsia" w:ascii="宋体" w:hAnsi="宋体" w:eastAsia="宋体"/>
          <w:b/>
          <w:sz w:val="24"/>
        </w:rPr>
        <w:t>公告送出日期：</w:t>
      </w:r>
      <w:r>
        <w:rPr>
          <w:rFonts w:ascii="宋体" w:hAnsi="宋体" w:eastAsia="宋体"/>
          <w:b/>
          <w:sz w:val="24"/>
        </w:rPr>
        <w:t>2022年6月22日</w:t>
      </w:r>
    </w:p>
    <w:p>
      <w:pPr>
        <w:jc w:val="center"/>
        <w:rPr>
          <w:rFonts w:ascii="宋体" w:hAnsi="宋体" w:eastAsia="宋体"/>
          <w:b/>
          <w:sz w:val="24"/>
        </w:rPr>
      </w:pPr>
    </w:p>
    <w:p>
      <w:pPr>
        <w:pStyle w:val="2"/>
      </w:pPr>
      <w:r>
        <w:rPr>
          <w:rFonts w:ascii="宋体" w:hAnsi="宋体" w:eastAsia="宋体"/>
          <w:sz w:val="24"/>
        </w:rPr>
        <w:t>1、公告基本信息</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26"/>
        <w:gridCol w:w="2826"/>
        <w:gridCol w:w="2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2826" w:type="dxa"/>
            <w:vAlign w:val="center"/>
          </w:tcPr>
          <w:p>
            <w:pPr>
              <w:rPr>
                <w:rFonts w:ascii="宋体" w:hAnsi="宋体" w:eastAsia="宋体"/>
                <w:sz w:val="24"/>
              </w:rPr>
            </w:pPr>
            <w:r>
              <w:rPr>
                <w:rFonts w:hint="eastAsia" w:ascii="宋体" w:hAnsi="宋体" w:eastAsia="宋体"/>
                <w:sz w:val="24"/>
              </w:rPr>
              <w:t>基金名称</w:t>
            </w:r>
          </w:p>
        </w:tc>
        <w:tc>
          <w:tcPr>
            <w:tcW w:w="5653" w:type="dxa"/>
            <w:gridSpan w:val="2"/>
            <w:vAlign w:val="center"/>
          </w:tcPr>
          <w:p>
            <w:pPr>
              <w:rPr>
                <w:rFonts w:ascii="宋体" w:hAnsi="宋体" w:eastAsia="宋体"/>
                <w:sz w:val="24"/>
              </w:rPr>
            </w:pPr>
            <w:r>
              <w:rPr>
                <w:rFonts w:hint="eastAsia" w:ascii="宋体" w:hAnsi="宋体" w:eastAsia="宋体"/>
                <w:sz w:val="24"/>
              </w:rPr>
              <w:t>博时科创主题灵活配置混合型证券投资基金（</w:t>
            </w:r>
            <w:r>
              <w:rPr>
                <w:rFonts w:ascii="宋体" w:hAnsi="宋体" w:eastAsia="宋体"/>
                <w:sz w:val="24"/>
              </w:rPr>
              <w:t>LOF）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2826" w:type="dxa"/>
            <w:vAlign w:val="center"/>
          </w:tcPr>
          <w:p>
            <w:pPr>
              <w:rPr>
                <w:rFonts w:ascii="宋体" w:hAnsi="宋体" w:eastAsia="宋体"/>
                <w:sz w:val="24"/>
              </w:rPr>
            </w:pPr>
            <w:r>
              <w:rPr>
                <w:rFonts w:hint="eastAsia" w:ascii="宋体" w:hAnsi="宋体" w:eastAsia="宋体"/>
                <w:sz w:val="24"/>
              </w:rPr>
              <w:t>基金简称</w:t>
            </w:r>
          </w:p>
        </w:tc>
        <w:tc>
          <w:tcPr>
            <w:tcW w:w="5653" w:type="dxa"/>
            <w:gridSpan w:val="2"/>
            <w:vAlign w:val="center"/>
          </w:tcPr>
          <w:p>
            <w:pPr>
              <w:rPr>
                <w:rFonts w:ascii="宋体" w:hAnsi="宋体" w:eastAsia="宋体"/>
                <w:sz w:val="24"/>
              </w:rPr>
            </w:pPr>
            <w:r>
              <w:rPr>
                <w:rFonts w:hint="eastAsia" w:ascii="宋体" w:hAnsi="宋体" w:eastAsia="宋体"/>
                <w:sz w:val="24"/>
              </w:rPr>
              <w:t>博时科创主题混合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2826" w:type="dxa"/>
            <w:vAlign w:val="center"/>
          </w:tcPr>
          <w:p>
            <w:pPr>
              <w:rPr>
                <w:rFonts w:ascii="宋体" w:hAnsi="宋体" w:eastAsia="宋体"/>
                <w:sz w:val="24"/>
              </w:rPr>
            </w:pPr>
            <w:r>
              <w:rPr>
                <w:rFonts w:hint="eastAsia" w:ascii="宋体" w:hAnsi="宋体" w:eastAsia="宋体"/>
                <w:sz w:val="24"/>
              </w:rPr>
              <w:t>基金主代码</w:t>
            </w:r>
          </w:p>
        </w:tc>
        <w:tc>
          <w:tcPr>
            <w:tcW w:w="5653" w:type="dxa"/>
            <w:gridSpan w:val="2"/>
            <w:vAlign w:val="center"/>
          </w:tcPr>
          <w:p>
            <w:pPr>
              <w:rPr>
                <w:rFonts w:ascii="宋体" w:hAnsi="宋体" w:eastAsia="宋体"/>
                <w:sz w:val="24"/>
              </w:rPr>
            </w:pPr>
            <w:r>
              <w:rPr>
                <w:rFonts w:ascii="宋体" w:hAnsi="宋体" w:eastAsia="宋体"/>
                <w:sz w:val="24"/>
              </w:rPr>
              <w:t>501082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2826" w:type="dxa"/>
            <w:vAlign w:val="center"/>
          </w:tcPr>
          <w:p>
            <w:pPr>
              <w:rPr>
                <w:rFonts w:ascii="宋体" w:hAnsi="宋体" w:eastAsia="宋体"/>
                <w:sz w:val="24"/>
              </w:rPr>
            </w:pPr>
            <w:r>
              <w:rPr>
                <w:rFonts w:hint="eastAsia" w:ascii="宋体" w:hAnsi="宋体" w:eastAsia="宋体"/>
                <w:sz w:val="24"/>
              </w:rPr>
              <w:t>基金运作方式</w:t>
            </w:r>
          </w:p>
        </w:tc>
        <w:tc>
          <w:tcPr>
            <w:tcW w:w="5653" w:type="dxa"/>
            <w:gridSpan w:val="2"/>
            <w:vAlign w:val="center"/>
          </w:tcPr>
          <w:p>
            <w:pPr>
              <w:rPr>
                <w:rFonts w:ascii="宋体" w:hAnsi="宋体" w:eastAsia="宋体"/>
                <w:sz w:val="24"/>
              </w:rPr>
            </w:pPr>
            <w:r>
              <w:rPr>
                <w:rFonts w:hint="eastAsia" w:ascii="宋体" w:hAnsi="宋体" w:eastAsia="宋体"/>
                <w:sz w:val="24"/>
              </w:rPr>
              <w:t>契约型开放式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2826" w:type="dxa"/>
            <w:vAlign w:val="center"/>
          </w:tcPr>
          <w:p>
            <w:pPr>
              <w:rPr>
                <w:rFonts w:ascii="宋体" w:hAnsi="宋体" w:eastAsia="宋体"/>
                <w:sz w:val="24"/>
              </w:rPr>
            </w:pPr>
            <w:r>
              <w:rPr>
                <w:rFonts w:hint="eastAsia" w:ascii="宋体" w:hAnsi="宋体" w:eastAsia="宋体"/>
                <w:sz w:val="24"/>
              </w:rPr>
              <w:t>基金合同生效日</w:t>
            </w:r>
          </w:p>
        </w:tc>
        <w:tc>
          <w:tcPr>
            <w:tcW w:w="5653" w:type="dxa"/>
            <w:gridSpan w:val="2"/>
            <w:vAlign w:val="center"/>
          </w:tcPr>
          <w:p>
            <w:pPr>
              <w:rPr>
                <w:rFonts w:ascii="宋体" w:hAnsi="宋体" w:eastAsia="宋体"/>
                <w:sz w:val="24"/>
              </w:rPr>
            </w:pPr>
            <w:r>
              <w:rPr>
                <w:rFonts w:ascii="宋体" w:hAnsi="宋体" w:eastAsia="宋体"/>
                <w:sz w:val="24"/>
              </w:rPr>
              <w:t>2019年6月27日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2826" w:type="dxa"/>
            <w:vAlign w:val="center"/>
          </w:tcPr>
          <w:p>
            <w:pPr>
              <w:rPr>
                <w:rFonts w:ascii="宋体" w:hAnsi="宋体" w:eastAsia="宋体"/>
                <w:sz w:val="24"/>
              </w:rPr>
            </w:pPr>
            <w:r>
              <w:rPr>
                <w:rFonts w:hint="eastAsia" w:ascii="宋体" w:hAnsi="宋体" w:eastAsia="宋体"/>
                <w:sz w:val="24"/>
              </w:rPr>
              <w:t>基金管理人名称</w:t>
            </w:r>
          </w:p>
        </w:tc>
        <w:tc>
          <w:tcPr>
            <w:tcW w:w="5653" w:type="dxa"/>
            <w:gridSpan w:val="2"/>
            <w:vAlign w:val="center"/>
          </w:tcPr>
          <w:p>
            <w:pPr>
              <w:rPr>
                <w:rFonts w:ascii="宋体" w:hAnsi="宋体" w:eastAsia="宋体"/>
                <w:sz w:val="24"/>
              </w:rPr>
            </w:pPr>
            <w:r>
              <w:rPr>
                <w:rFonts w:hint="eastAsia" w:ascii="宋体" w:hAnsi="宋体" w:eastAsia="宋体"/>
                <w:sz w:val="24"/>
              </w:rPr>
              <w:t>博时基金管理有限公司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2826" w:type="dxa"/>
            <w:vAlign w:val="center"/>
          </w:tcPr>
          <w:p>
            <w:pPr>
              <w:rPr>
                <w:rFonts w:ascii="宋体" w:hAnsi="宋体" w:eastAsia="宋体"/>
                <w:sz w:val="24"/>
              </w:rPr>
            </w:pPr>
            <w:r>
              <w:rPr>
                <w:rFonts w:hint="eastAsia" w:ascii="宋体" w:hAnsi="宋体" w:eastAsia="宋体"/>
                <w:sz w:val="24"/>
              </w:rPr>
              <w:t>基金托管人名称</w:t>
            </w:r>
          </w:p>
        </w:tc>
        <w:tc>
          <w:tcPr>
            <w:tcW w:w="5653" w:type="dxa"/>
            <w:gridSpan w:val="2"/>
            <w:vAlign w:val="center"/>
          </w:tcPr>
          <w:p>
            <w:pPr>
              <w:rPr>
                <w:rFonts w:ascii="宋体" w:hAnsi="宋体" w:eastAsia="宋体"/>
                <w:sz w:val="21"/>
                <w:szCs w:val="21"/>
              </w:rPr>
            </w:pPr>
            <w:r>
              <w:rPr>
                <w:rFonts w:hint="eastAsia" w:ascii="宋体" w:hAnsi="宋体" w:eastAsia="宋体"/>
                <w:sz w:val="24"/>
              </w:rPr>
              <w:t>中国工商银行股份有限公司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2826" w:type="dxa"/>
            <w:vAlign w:val="center"/>
          </w:tcPr>
          <w:p>
            <w:pPr>
              <w:rPr>
                <w:rFonts w:ascii="宋体" w:hAnsi="宋体" w:eastAsia="宋体"/>
                <w:sz w:val="24"/>
              </w:rPr>
            </w:pPr>
            <w:r>
              <w:rPr>
                <w:rFonts w:hint="eastAsia" w:ascii="宋体" w:hAnsi="宋体" w:eastAsia="宋体"/>
                <w:sz w:val="24"/>
              </w:rPr>
              <w:t>基金注册登记机构名称</w:t>
            </w:r>
          </w:p>
        </w:tc>
        <w:tc>
          <w:tcPr>
            <w:tcW w:w="5653" w:type="dxa"/>
            <w:gridSpan w:val="2"/>
            <w:vAlign w:val="center"/>
          </w:tcPr>
          <w:p>
            <w:pPr>
              <w:rPr>
                <w:rFonts w:ascii="宋体" w:hAnsi="宋体" w:eastAsia="宋体"/>
                <w:sz w:val="24"/>
              </w:rPr>
            </w:pPr>
            <w:r>
              <w:rPr>
                <w:rFonts w:hint="eastAsia" w:ascii="宋体" w:hAnsi="宋体" w:eastAsia="宋体"/>
                <w:sz w:val="24"/>
              </w:rPr>
              <w:t>中国证券登记结算有限责任公司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2826" w:type="dxa"/>
            <w:vAlign w:val="center"/>
          </w:tcPr>
          <w:p>
            <w:pPr>
              <w:rPr>
                <w:rFonts w:ascii="宋体" w:hAnsi="宋体" w:eastAsia="宋体"/>
                <w:sz w:val="24"/>
              </w:rPr>
            </w:pPr>
            <w:r>
              <w:rPr>
                <w:rFonts w:hint="eastAsia" w:ascii="宋体" w:hAnsi="宋体" w:eastAsia="宋体"/>
                <w:sz w:val="24"/>
              </w:rPr>
              <w:t>公告依据</w:t>
            </w:r>
          </w:p>
        </w:tc>
        <w:tc>
          <w:tcPr>
            <w:tcW w:w="5653" w:type="dxa"/>
            <w:gridSpan w:val="2"/>
            <w:vAlign w:val="center"/>
          </w:tcPr>
          <w:p>
            <w:pPr>
              <w:rPr>
                <w:rFonts w:ascii="宋体" w:hAnsi="宋体" w:eastAsia="宋体"/>
                <w:sz w:val="24"/>
              </w:rPr>
            </w:pPr>
            <w:r>
              <w:rPr>
                <w:rFonts w:hint="eastAsia" w:ascii="宋体" w:hAnsi="宋体" w:eastAsia="宋体"/>
                <w:sz w:val="24"/>
              </w:rPr>
              <w:t>《博时科创主题灵活配置混合型证券投资基金（</w:t>
            </w:r>
            <w:r>
              <w:rPr>
                <w:rFonts w:ascii="宋体" w:hAnsi="宋体" w:eastAsia="宋体"/>
                <w:sz w:val="24"/>
              </w:rPr>
              <w:t>LOF）基金合同》、《博时科创主题灵活配置混合型证券投资基金（LOF）招募说明书》等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2826" w:type="dxa"/>
            <w:vAlign w:val="center"/>
          </w:tcPr>
          <w:p>
            <w:pPr>
              <w:rPr>
                <w:rFonts w:ascii="宋体" w:hAnsi="宋体" w:eastAsia="宋体"/>
                <w:sz w:val="24"/>
              </w:rPr>
            </w:pPr>
            <w:r>
              <w:rPr>
                <w:rFonts w:hint="eastAsia" w:ascii="宋体" w:hAnsi="宋体" w:eastAsia="宋体"/>
                <w:sz w:val="24"/>
              </w:rPr>
              <w:t>申购起始日</w:t>
            </w:r>
          </w:p>
        </w:tc>
        <w:tc>
          <w:tcPr>
            <w:tcW w:w="5653" w:type="dxa"/>
            <w:gridSpan w:val="2"/>
            <w:vAlign w:val="center"/>
          </w:tcPr>
          <w:p>
            <w:pPr>
              <w:rPr>
                <w:rFonts w:ascii="宋体" w:hAnsi="宋体" w:eastAsia="宋体"/>
                <w:sz w:val="24"/>
              </w:rPr>
            </w:pPr>
            <w:r>
              <w:rPr>
                <w:rFonts w:ascii="宋体" w:hAnsi="宋体" w:eastAsia="宋体"/>
                <w:sz w:val="24"/>
              </w:rPr>
              <w:t>2022年6月27日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2826" w:type="dxa"/>
            <w:vAlign w:val="center"/>
          </w:tcPr>
          <w:p>
            <w:pPr>
              <w:rPr>
                <w:rFonts w:ascii="宋体" w:hAnsi="宋体" w:eastAsia="宋体"/>
                <w:sz w:val="24"/>
              </w:rPr>
            </w:pPr>
            <w:r>
              <w:rPr>
                <w:rFonts w:hint="eastAsia" w:ascii="宋体" w:hAnsi="宋体" w:eastAsia="宋体"/>
                <w:sz w:val="24"/>
              </w:rPr>
              <w:t>赎回起始日</w:t>
            </w:r>
          </w:p>
        </w:tc>
        <w:tc>
          <w:tcPr>
            <w:tcW w:w="5653" w:type="dxa"/>
            <w:gridSpan w:val="2"/>
            <w:vAlign w:val="center"/>
          </w:tcPr>
          <w:p>
            <w:pPr>
              <w:rPr>
                <w:rFonts w:ascii="宋体" w:hAnsi="宋体" w:eastAsia="宋体"/>
                <w:sz w:val="24"/>
              </w:rPr>
            </w:pPr>
            <w:r>
              <w:rPr>
                <w:rFonts w:ascii="宋体" w:hAnsi="宋体" w:eastAsia="宋体"/>
                <w:sz w:val="24"/>
              </w:rPr>
              <w:t>2022年6月27日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2826" w:type="dxa"/>
            <w:vAlign w:val="center"/>
          </w:tcPr>
          <w:p>
            <w:pPr>
              <w:rPr>
                <w:rFonts w:ascii="宋体" w:hAnsi="宋体" w:eastAsia="宋体"/>
                <w:sz w:val="24"/>
              </w:rPr>
            </w:pPr>
            <w:r>
              <w:rPr>
                <w:rFonts w:hint="eastAsia" w:ascii="宋体" w:hAnsi="宋体" w:eastAsia="宋体"/>
                <w:sz w:val="24"/>
              </w:rPr>
              <w:t>定期定额投资起始日</w:t>
            </w:r>
          </w:p>
        </w:tc>
        <w:tc>
          <w:tcPr>
            <w:tcW w:w="5653" w:type="dxa"/>
            <w:gridSpan w:val="2"/>
            <w:vAlign w:val="center"/>
          </w:tcPr>
          <w:p>
            <w:pPr>
              <w:rPr>
                <w:rFonts w:ascii="宋体" w:hAnsi="宋体" w:eastAsia="宋体"/>
                <w:sz w:val="24"/>
              </w:rPr>
            </w:pPr>
            <w:r>
              <w:rPr>
                <w:rFonts w:ascii="宋体" w:hAnsi="宋体" w:eastAsia="宋体"/>
                <w:sz w:val="24"/>
              </w:rPr>
              <w:t>2022年6月27日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826" w:type="dxa"/>
            <w:vAlign w:val="center"/>
          </w:tcPr>
          <w:p>
            <w:pPr>
              <w:rPr>
                <w:rFonts w:ascii="宋体" w:hAnsi="宋体" w:eastAsia="宋体"/>
                <w:sz w:val="24"/>
              </w:rPr>
            </w:pPr>
            <w:r>
              <w:rPr>
                <w:rFonts w:hint="eastAsia" w:ascii="宋体" w:hAnsi="宋体" w:eastAsia="宋体"/>
                <w:sz w:val="24"/>
              </w:rPr>
              <w:t>下属基金份额的基金简称</w:t>
            </w:r>
          </w:p>
        </w:tc>
        <w:tc>
          <w:tcPr>
            <w:tcW w:w="2826" w:type="dxa"/>
            <w:vAlign w:val="center"/>
          </w:tcPr>
          <w:p>
            <w:pPr>
              <w:rPr>
                <w:rFonts w:ascii="宋体" w:hAnsi="宋体" w:eastAsia="宋体"/>
                <w:sz w:val="24"/>
              </w:rPr>
            </w:pPr>
            <w:r>
              <w:rPr>
                <w:rFonts w:hint="eastAsia" w:ascii="宋体" w:hAnsi="宋体" w:eastAsia="宋体" w:cs="宋体"/>
                <w:color w:val="000000"/>
                <w:kern w:val="0"/>
                <w:sz w:val="24"/>
              </w:rPr>
              <w:t>博时科创主题灵活配置混合A</w:t>
            </w:r>
          </w:p>
        </w:tc>
        <w:tc>
          <w:tcPr>
            <w:tcW w:w="2827" w:type="dxa"/>
            <w:vAlign w:val="center"/>
          </w:tcPr>
          <w:p>
            <w:pPr>
              <w:rPr>
                <w:rFonts w:ascii="宋体" w:hAnsi="宋体" w:eastAsia="宋体"/>
                <w:sz w:val="24"/>
              </w:rPr>
            </w:pPr>
            <w:r>
              <w:rPr>
                <w:rFonts w:hint="eastAsia" w:ascii="宋体" w:hAnsi="宋体" w:eastAsia="宋体" w:cs="宋体"/>
                <w:color w:val="000000"/>
                <w:kern w:val="0"/>
                <w:sz w:val="24"/>
              </w:rPr>
              <w:t>博时科创主题灵活配置混合</w:t>
            </w:r>
            <w:r>
              <w:rPr>
                <w:rFonts w:ascii="宋体" w:hAnsi="宋体" w:eastAsia="宋体"/>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826" w:type="dxa"/>
            <w:vAlign w:val="center"/>
          </w:tcPr>
          <w:p>
            <w:pPr>
              <w:rPr>
                <w:rFonts w:ascii="宋体" w:hAnsi="宋体" w:eastAsia="宋体"/>
                <w:sz w:val="24"/>
              </w:rPr>
            </w:pPr>
            <w:r>
              <w:rPr>
                <w:rFonts w:hint="eastAsia" w:ascii="宋体" w:hAnsi="宋体" w:eastAsia="宋体"/>
                <w:sz w:val="24"/>
              </w:rPr>
              <w:t>下属基金份额的交易代码</w:t>
            </w:r>
          </w:p>
        </w:tc>
        <w:tc>
          <w:tcPr>
            <w:tcW w:w="2826" w:type="dxa"/>
            <w:vAlign w:val="center"/>
          </w:tcPr>
          <w:p>
            <w:pPr>
              <w:rPr>
                <w:rFonts w:ascii="宋体" w:hAnsi="宋体" w:eastAsia="宋体"/>
                <w:sz w:val="24"/>
              </w:rPr>
            </w:pPr>
            <w:r>
              <w:rPr>
                <w:rFonts w:hint="eastAsia" w:ascii="宋体" w:hAnsi="宋体" w:eastAsia="宋体" w:cs="宋体"/>
                <w:sz w:val="24"/>
              </w:rPr>
              <w:t>501082</w:t>
            </w:r>
          </w:p>
        </w:tc>
        <w:tc>
          <w:tcPr>
            <w:tcW w:w="2827" w:type="dxa"/>
            <w:vAlign w:val="center"/>
          </w:tcPr>
          <w:p>
            <w:pPr>
              <w:rPr>
                <w:rFonts w:ascii="宋体" w:hAnsi="宋体" w:eastAsia="宋体"/>
                <w:sz w:val="24"/>
              </w:rPr>
            </w:pPr>
            <w:r>
              <w:rPr>
                <w:rFonts w:hint="eastAsia" w:ascii="宋体" w:hAnsi="宋体" w:eastAsia="宋体" w:cs="宋体"/>
                <w:sz w:val="24"/>
              </w:rPr>
              <w:t>015491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trPr>
        <w:tc>
          <w:tcPr>
            <w:tcW w:w="2826" w:type="dxa"/>
            <w:vAlign w:val="center"/>
          </w:tcPr>
          <w:p>
            <w:pPr>
              <w:rPr>
                <w:rFonts w:ascii="宋体" w:hAnsi="宋体" w:eastAsia="宋体"/>
                <w:sz w:val="24"/>
              </w:rPr>
            </w:pPr>
            <w:r>
              <w:rPr>
                <w:rFonts w:hint="eastAsia" w:ascii="宋体" w:hAnsi="宋体" w:eastAsia="宋体"/>
                <w:sz w:val="24"/>
              </w:rPr>
              <w:t>该类基金份额是否开放申购、赎回、定期定额投资业务</w:t>
            </w:r>
          </w:p>
        </w:tc>
        <w:tc>
          <w:tcPr>
            <w:tcW w:w="2826" w:type="dxa"/>
            <w:vAlign w:val="center"/>
          </w:tcPr>
          <w:p>
            <w:pPr>
              <w:rPr>
                <w:rFonts w:ascii="宋体" w:hAnsi="宋体" w:eastAsia="宋体"/>
                <w:sz w:val="24"/>
              </w:rPr>
            </w:pPr>
            <w:r>
              <w:rPr>
                <w:rFonts w:hint="eastAsia" w:ascii="宋体" w:hAnsi="宋体" w:eastAsia="宋体"/>
                <w:sz w:val="24"/>
              </w:rPr>
              <w:t>是</w:t>
            </w:r>
          </w:p>
        </w:tc>
        <w:tc>
          <w:tcPr>
            <w:tcW w:w="2827" w:type="dxa"/>
            <w:vAlign w:val="center"/>
          </w:tcPr>
          <w:p>
            <w:pPr>
              <w:rPr>
                <w:rFonts w:ascii="宋体" w:hAnsi="宋体" w:eastAsia="宋体"/>
                <w:sz w:val="24"/>
              </w:rPr>
            </w:pPr>
            <w:r>
              <w:rPr>
                <w:rFonts w:hint="eastAsia" w:ascii="宋体" w:hAnsi="宋体" w:eastAsia="宋体"/>
                <w:sz w:val="24"/>
              </w:rPr>
              <w:t>是</w:t>
            </w:r>
          </w:p>
        </w:tc>
      </w:tr>
    </w:tbl>
    <w:p>
      <w:pPr>
        <w:pStyle w:val="2"/>
        <w:spacing w:line="560" w:lineRule="exact"/>
        <w:rPr>
          <w:rFonts w:hint="eastAsia" w:ascii="宋体" w:hAnsi="宋体" w:eastAsia="宋体" w:cstheme="minorBidi"/>
          <w:b w:val="0"/>
          <w:bCs w:val="0"/>
          <w:kern w:val="2"/>
          <w:sz w:val="24"/>
          <w:szCs w:val="22"/>
          <w:lang w:val="en-US" w:eastAsia="zh-CN" w:bidi="ar-SA"/>
        </w:rPr>
      </w:pPr>
      <w:r>
        <w:rPr>
          <w:rFonts w:hint="eastAsia" w:ascii="宋体" w:hAnsi="宋体" w:eastAsia="宋体" w:cstheme="minorBidi"/>
          <w:b w:val="0"/>
          <w:bCs w:val="0"/>
          <w:kern w:val="2"/>
          <w:sz w:val="24"/>
          <w:szCs w:val="22"/>
          <w:lang w:val="en-US" w:eastAsia="zh-CN" w:bidi="ar-SA"/>
        </w:rPr>
        <w:t>注：博时科创主题3年封闭运作灵活配置混合型证券投资基金基金合同及招募说明书的约定，博时科创主题3年封闭运作灵活配置混合型证券投资基金的封闭期自2019年06月27日至2022年06月26日止，自2022年06月27日起转换为上市开放式基金（LOF），转换后将更名为“博时科创主题灵活配置混合型证券投资基金（LOF）”，场外简称变更为“博时科创主题灵活配置混合A”，场内简称、场内扩位简称与基金代码不变，场内简称为“科创投资”，场内扩位简称为“科创投资LOF”，基金代码为“501082”。</w:t>
      </w:r>
    </w:p>
    <w:p>
      <w:pPr>
        <w:pStyle w:val="2"/>
        <w:spacing w:line="560" w:lineRule="exact"/>
        <w:rPr>
          <w:rFonts w:hint="eastAsia" w:eastAsiaTheme="minorEastAsia"/>
          <w:lang w:eastAsia="zh-CN"/>
        </w:rPr>
      </w:pPr>
      <w:r>
        <w:rPr>
          <w:rFonts w:hint="eastAsia" w:ascii="宋体" w:hAnsi="宋体" w:eastAsia="宋体" w:cstheme="minorBidi"/>
          <w:b w:val="0"/>
          <w:bCs w:val="0"/>
          <w:kern w:val="2"/>
          <w:sz w:val="24"/>
          <w:szCs w:val="22"/>
          <w:lang w:val="en-US" w:eastAsia="zh-CN" w:bidi="ar-SA"/>
        </w:rPr>
        <w:t>本基金转为上市开放式基金（LOF）后仍继续运作A类基金份额，并开始销售C类基金份额，投资人可在基金的开放日办理申购和赎回业务，C类基金份额代码为：015491，C类基金份额简称为：博时科创主题灵活配置混合C。本基金仅有A类基金份额上市交易，C类基金份额仅在场外销售而不申请上市交易。</w:t>
      </w:r>
    </w:p>
    <w:p>
      <w:pPr>
        <w:pStyle w:val="2"/>
        <w:rPr>
          <w:rFonts w:hint="eastAsia" w:ascii="宋体" w:hAnsi="宋体" w:eastAsia="宋体"/>
          <w:sz w:val="24"/>
        </w:rPr>
      </w:pPr>
      <w:r>
        <w:rPr>
          <w:rFonts w:hint="eastAsia" w:ascii="宋体" w:hAnsi="宋体" w:eastAsia="宋体"/>
          <w:sz w:val="24"/>
        </w:rPr>
        <w:t>2、日常申购、赎回、定期定额投资业务的办理时间</w:t>
      </w:r>
    </w:p>
    <w:p>
      <w:pPr>
        <w:pStyle w:val="4"/>
        <w:spacing w:before="0" w:beforeAutospacing="0" w:after="0" w:afterAutospacing="0" w:line="360" w:lineRule="auto"/>
        <w:ind w:firstLine="420"/>
        <w:rPr>
          <w:rFonts w:hint="eastAsia"/>
        </w:rPr>
      </w:pPr>
      <w:r>
        <w:rPr>
          <w:rFonts w:hint="eastAsia"/>
        </w:rPr>
        <w:t xml:space="preserve">基金管理人在开放日办理基金份额的申购和赎回，具体办理时间为上海证券交易所、深圳证券交易所及相关期货交易所的正常交易日的交易时间（若本基金投资港股通标的股票且该工作日为非港股通交易日，则基金管理人可根据实际情况决定本基金是否开放申购、赎回或其他业务，具体以届时提前发布的公告为准），但基金管理人根据法律法规、中国证监会的要求或基金合同的规定公告暂停申购、赎回时除外。开放日的具体业务办理时间在招募说明书或相关公告中载明。 </w:t>
      </w:r>
    </w:p>
    <w:p>
      <w:pPr>
        <w:pStyle w:val="4"/>
        <w:spacing w:before="0" w:beforeAutospacing="0" w:after="0" w:afterAutospacing="0" w:line="360" w:lineRule="auto"/>
        <w:ind w:firstLine="420"/>
        <w:rPr>
          <w:rFonts w:hint="eastAsia"/>
        </w:rPr>
      </w:pPr>
      <w:r>
        <w:rPr>
          <w:rFonts w:hint="eastAsia"/>
        </w:rPr>
        <w:t xml:space="preserve">若出现新的证券/期货交易市场、证券/期货交易所交易时间变更或其他特殊情况，基金管理人将视情况对前述开放日及开放时间进行相应的调整，但应在实施日前依照《信息披露办法》的有关规定在指定媒介上公告。 </w:t>
      </w:r>
    </w:p>
    <w:p>
      <w:pPr>
        <w:pStyle w:val="2"/>
        <w:rPr>
          <w:rFonts w:ascii="宋体" w:hAnsi="宋体" w:eastAsia="宋体"/>
          <w:sz w:val="24"/>
        </w:rPr>
      </w:pPr>
      <w:r>
        <w:rPr>
          <w:rFonts w:ascii="宋体" w:hAnsi="宋体" w:eastAsia="宋体"/>
          <w:sz w:val="24"/>
        </w:rPr>
        <w:t>3、日常申购业务</w:t>
      </w:r>
    </w:p>
    <w:p>
      <w:pPr>
        <w:pStyle w:val="3"/>
        <w:rPr>
          <w:rFonts w:hint="eastAsia" w:ascii="宋体" w:hAnsi="宋体" w:eastAsia="宋体"/>
          <w:sz w:val="24"/>
        </w:rPr>
      </w:pPr>
      <w:r>
        <w:rPr>
          <w:rFonts w:hint="eastAsia" w:ascii="宋体" w:hAnsi="宋体" w:eastAsia="宋体"/>
          <w:sz w:val="24"/>
        </w:rPr>
        <w:t>3.1申购金额限制</w:t>
      </w:r>
    </w:p>
    <w:p>
      <w:pPr>
        <w:pStyle w:val="4"/>
        <w:spacing w:before="0" w:beforeAutospacing="0" w:after="0" w:afterAutospacing="0" w:line="360" w:lineRule="auto"/>
        <w:ind w:firstLine="420"/>
        <w:rPr>
          <w:rFonts w:hint="eastAsia"/>
        </w:rPr>
      </w:pPr>
      <w:r>
        <w:rPr>
          <w:rFonts w:hint="eastAsia"/>
        </w:rPr>
        <w:t>本基金场外首次申购和追加申购的最低金额均为1元（含申购费，下同），基金销售机构另有规定的，以基金销售机构的规定为准。本基金场内申购单笔最低申购金额为1000元，超过1000元的须为1元的整数倍；基金销售机构另有规定的，以基金销售机构的规定为准；本基金直销机构最低申购金额及最低赎回份额由基金管理人制定和调整。</w:t>
      </w:r>
    </w:p>
    <w:p>
      <w:pPr>
        <w:pStyle w:val="3"/>
        <w:rPr>
          <w:rFonts w:ascii="宋体" w:hAnsi="宋体" w:eastAsia="宋体"/>
          <w:sz w:val="24"/>
        </w:rPr>
      </w:pPr>
      <w:r>
        <w:rPr>
          <w:rFonts w:ascii="宋体" w:hAnsi="宋体" w:eastAsia="宋体"/>
          <w:sz w:val="24"/>
        </w:rPr>
        <w:t>3.2申购费率</w:t>
      </w:r>
    </w:p>
    <w:p>
      <w:pPr>
        <w:pStyle w:val="4"/>
        <w:spacing w:before="0" w:beforeAutospacing="0" w:after="0" w:afterAutospacing="0" w:line="360" w:lineRule="auto"/>
        <w:ind w:firstLine="420"/>
        <w:rPr>
          <w:rFonts w:hint="eastAsia"/>
        </w:rPr>
      </w:pPr>
      <w:r>
        <w:rPr>
          <w:rFonts w:hint="eastAsia"/>
        </w:rPr>
        <w:t xml:space="preserve">本基金的场外和场内申购费率最高不高于1.2%，且随申购金额的增加而递减，如下表所示 </w:t>
      </w:r>
    </w:p>
    <w:tbl>
      <w:tblPr>
        <w:tblStyle w:val="6"/>
        <w:tblW w:w="8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25"/>
        <w:gridCol w:w="2794"/>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
              <w:spacing w:before="0" w:beforeAutospacing="0" w:after="0" w:afterAutospacing="0" w:line="360" w:lineRule="auto"/>
              <w:ind w:firstLine="420"/>
              <w:rPr>
                <w:rFonts w:hint="eastAsia"/>
              </w:rPr>
            </w:pPr>
            <w:r>
              <w:rPr>
                <w:rFonts w:hint="eastAsia"/>
              </w:rPr>
              <w:t xml:space="preserve">申购金额（M），元 </w:t>
            </w:r>
          </w:p>
        </w:tc>
        <w:tc>
          <w:tcPr>
            <w:tcW w:w="0" w:type="auto"/>
            <w:shd w:val="clear" w:color="auto" w:fill="auto"/>
          </w:tcPr>
          <w:p>
            <w:pPr>
              <w:pStyle w:val="4"/>
              <w:spacing w:before="0" w:beforeAutospacing="0" w:after="0" w:afterAutospacing="0" w:line="360" w:lineRule="auto"/>
              <w:rPr>
                <w:rFonts w:hint="eastAsia"/>
              </w:rPr>
            </w:pPr>
            <w:r>
              <w:rPr>
                <w:rFonts w:hint="eastAsia"/>
              </w:rPr>
              <w:t xml:space="preserve">A类基金份额申购费率 </w:t>
            </w:r>
          </w:p>
        </w:tc>
        <w:tc>
          <w:tcPr>
            <w:tcW w:w="0" w:type="auto"/>
            <w:shd w:val="clear" w:color="auto" w:fill="auto"/>
          </w:tcPr>
          <w:p>
            <w:pPr>
              <w:pStyle w:val="4"/>
              <w:spacing w:before="0" w:beforeAutospacing="0" w:after="0" w:afterAutospacing="0" w:line="360" w:lineRule="auto"/>
              <w:rPr>
                <w:rFonts w:hint="eastAsia"/>
              </w:rPr>
            </w:pPr>
            <w:r>
              <w:rPr>
                <w:rFonts w:hint="eastAsia"/>
              </w:rPr>
              <w:t>C类基金份额申购费率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
              <w:spacing w:before="0" w:beforeAutospacing="0" w:after="0" w:afterAutospacing="0" w:line="360" w:lineRule="auto"/>
              <w:ind w:firstLine="420"/>
              <w:rPr>
                <w:rFonts w:hint="eastAsia"/>
              </w:rPr>
            </w:pPr>
            <w:r>
              <w:rPr>
                <w:rFonts w:hint="eastAsia"/>
              </w:rPr>
              <w:t xml:space="preserve">M＜100万 </w:t>
            </w:r>
          </w:p>
        </w:tc>
        <w:tc>
          <w:tcPr>
            <w:tcW w:w="0" w:type="auto"/>
            <w:shd w:val="clear" w:color="auto" w:fill="auto"/>
          </w:tcPr>
          <w:p>
            <w:pPr>
              <w:pStyle w:val="4"/>
              <w:spacing w:before="0" w:beforeAutospacing="0" w:after="0" w:afterAutospacing="0" w:line="360" w:lineRule="auto"/>
              <w:ind w:firstLine="420"/>
              <w:rPr>
                <w:rFonts w:hint="eastAsia"/>
              </w:rPr>
            </w:pPr>
            <w:r>
              <w:rPr>
                <w:rFonts w:hint="eastAsia"/>
              </w:rPr>
              <w:t xml:space="preserve">1.2% </w:t>
            </w:r>
          </w:p>
        </w:tc>
        <w:tc>
          <w:tcPr>
            <w:tcW w:w="0" w:type="auto"/>
            <w:vMerge w:val="restart"/>
            <w:shd w:val="clear" w:color="auto" w:fill="auto"/>
          </w:tcPr>
          <w:p>
            <w:pPr>
              <w:pStyle w:val="4"/>
              <w:spacing w:before="0" w:beforeAutospacing="0" w:after="0" w:afterAutospacing="0" w:line="360" w:lineRule="auto"/>
              <w:ind w:firstLine="420"/>
              <w:rPr>
                <w:rFonts w:hint="eastAsia"/>
              </w:rPr>
            </w:pPr>
            <w:r>
              <w:rPr>
                <w:rFonts w:hint="eastAsia"/>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
              <w:spacing w:before="0" w:beforeAutospacing="0" w:after="0" w:afterAutospacing="0" w:line="360" w:lineRule="auto"/>
              <w:ind w:firstLine="420"/>
              <w:rPr>
                <w:rFonts w:hint="eastAsia"/>
              </w:rPr>
            </w:pPr>
            <w:r>
              <w:rPr>
                <w:rFonts w:hint="eastAsia"/>
              </w:rPr>
              <w:t xml:space="preserve">100万≤M＜500万 </w:t>
            </w:r>
          </w:p>
        </w:tc>
        <w:tc>
          <w:tcPr>
            <w:tcW w:w="0" w:type="auto"/>
            <w:shd w:val="clear" w:color="auto" w:fill="auto"/>
          </w:tcPr>
          <w:p>
            <w:pPr>
              <w:pStyle w:val="4"/>
              <w:spacing w:before="0" w:beforeAutospacing="0" w:after="0" w:afterAutospacing="0" w:line="360" w:lineRule="auto"/>
              <w:ind w:firstLine="420"/>
              <w:rPr>
                <w:rFonts w:hint="eastAsia"/>
              </w:rPr>
            </w:pPr>
            <w:r>
              <w:rPr>
                <w:rFonts w:hint="eastAsia"/>
              </w:rPr>
              <w:t xml:space="preserve">0.8% </w:t>
            </w:r>
          </w:p>
        </w:tc>
        <w:tc>
          <w:tcPr>
            <w:tcW w:w="0" w:type="auto"/>
            <w:vMerge w:val="continue"/>
            <w:shd w:val="clear" w:color="auto" w:fill="auto"/>
          </w:tcPr>
          <w:p>
            <w:pPr>
              <w:pStyle w:val="4"/>
              <w:spacing w:before="0" w:beforeAutospacing="0" w:after="0" w:afterAutospacing="0" w:line="360" w:lineRule="auto"/>
              <w:ind w:firstLine="42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
              <w:spacing w:before="0" w:beforeAutospacing="0" w:after="0" w:afterAutospacing="0" w:line="360" w:lineRule="auto"/>
              <w:ind w:firstLine="420"/>
              <w:rPr>
                <w:rFonts w:hint="eastAsia"/>
              </w:rPr>
            </w:pPr>
            <w:r>
              <w:rPr>
                <w:rFonts w:hint="eastAsia"/>
              </w:rPr>
              <w:t xml:space="preserve">500万≤M＜1000万 </w:t>
            </w:r>
          </w:p>
        </w:tc>
        <w:tc>
          <w:tcPr>
            <w:tcW w:w="0" w:type="auto"/>
            <w:shd w:val="clear" w:color="auto" w:fill="auto"/>
          </w:tcPr>
          <w:p>
            <w:pPr>
              <w:pStyle w:val="4"/>
              <w:spacing w:before="0" w:beforeAutospacing="0" w:after="0" w:afterAutospacing="0" w:line="360" w:lineRule="auto"/>
              <w:ind w:firstLine="420"/>
              <w:rPr>
                <w:rFonts w:hint="eastAsia"/>
              </w:rPr>
            </w:pPr>
            <w:r>
              <w:rPr>
                <w:rFonts w:hint="eastAsia"/>
              </w:rPr>
              <w:t xml:space="preserve">0.2% </w:t>
            </w:r>
          </w:p>
        </w:tc>
        <w:tc>
          <w:tcPr>
            <w:tcW w:w="0" w:type="auto"/>
            <w:vMerge w:val="continue"/>
            <w:shd w:val="clear" w:color="auto" w:fill="auto"/>
          </w:tcPr>
          <w:p>
            <w:pPr>
              <w:pStyle w:val="4"/>
              <w:spacing w:before="0" w:beforeAutospacing="0" w:after="0" w:afterAutospacing="0" w:line="360" w:lineRule="auto"/>
              <w:ind w:firstLine="42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
              <w:spacing w:before="0" w:beforeAutospacing="0" w:after="0" w:afterAutospacing="0" w:line="360" w:lineRule="auto"/>
              <w:ind w:firstLine="420"/>
              <w:rPr>
                <w:rFonts w:hint="eastAsia"/>
              </w:rPr>
            </w:pPr>
            <w:r>
              <w:rPr>
                <w:rFonts w:hint="eastAsia"/>
              </w:rPr>
              <w:t xml:space="preserve">M≥1000万 </w:t>
            </w:r>
          </w:p>
        </w:tc>
        <w:tc>
          <w:tcPr>
            <w:tcW w:w="0" w:type="auto"/>
            <w:shd w:val="clear" w:color="auto" w:fill="auto"/>
          </w:tcPr>
          <w:p>
            <w:pPr>
              <w:pStyle w:val="4"/>
              <w:spacing w:before="0" w:beforeAutospacing="0" w:after="0" w:afterAutospacing="0" w:line="360" w:lineRule="auto"/>
              <w:ind w:firstLine="420"/>
              <w:rPr>
                <w:rFonts w:hint="eastAsia"/>
              </w:rPr>
            </w:pPr>
            <w:r>
              <w:rPr>
                <w:rFonts w:hint="eastAsia"/>
              </w:rPr>
              <w:t xml:space="preserve">每笔1000元 </w:t>
            </w:r>
          </w:p>
        </w:tc>
        <w:tc>
          <w:tcPr>
            <w:tcW w:w="0" w:type="auto"/>
            <w:vMerge w:val="continue"/>
            <w:shd w:val="clear" w:color="auto" w:fill="auto"/>
          </w:tcPr>
          <w:p>
            <w:pPr>
              <w:pStyle w:val="4"/>
              <w:spacing w:before="0" w:beforeAutospacing="0" w:after="0" w:afterAutospacing="0" w:line="360" w:lineRule="auto"/>
              <w:ind w:firstLine="420"/>
              <w:rPr>
                <w:rFonts w:hint="eastAsia"/>
              </w:rPr>
            </w:pPr>
          </w:p>
        </w:tc>
      </w:tr>
    </w:tbl>
    <w:p>
      <w:pPr>
        <w:pStyle w:val="3"/>
        <w:rPr>
          <w:rFonts w:hint="eastAsia" w:ascii="宋体" w:hAnsi="宋体" w:eastAsia="宋体"/>
          <w:sz w:val="24"/>
        </w:rPr>
      </w:pPr>
      <w:r>
        <w:rPr>
          <w:rFonts w:hint="eastAsia" w:ascii="宋体" w:hAnsi="宋体" w:eastAsia="宋体"/>
          <w:sz w:val="24"/>
        </w:rPr>
        <w:t>3.3其他与申购相关的事项</w:t>
      </w:r>
    </w:p>
    <w:p>
      <w:pPr>
        <w:pStyle w:val="4"/>
        <w:spacing w:before="0" w:beforeAutospacing="0" w:after="0" w:afterAutospacing="0" w:line="360" w:lineRule="auto"/>
        <w:ind w:firstLine="420"/>
      </w:pPr>
      <w:r>
        <w:rPr>
          <w:rFonts w:hint="eastAsia"/>
        </w:rPr>
        <w:t xml:space="preserve">（1）基金管理人可根据有关法律规定和市场情况，调整申购金额的数量限制，基金管理人必须最迟在调整前依照《信息披露办法》的有关规定在规定媒介上公告。 </w:t>
      </w:r>
    </w:p>
    <w:p>
      <w:pPr>
        <w:pStyle w:val="4"/>
        <w:spacing w:before="0" w:beforeAutospacing="0" w:after="0" w:afterAutospacing="0" w:line="360" w:lineRule="auto"/>
        <w:ind w:firstLine="420"/>
        <w:rPr>
          <w:rFonts w:hint="eastAsia"/>
        </w:rPr>
      </w:pPr>
      <w:r>
        <w:rPr>
          <w:rFonts w:hint="eastAsia"/>
        </w:rPr>
        <w:t xml:space="preserve">（2）基金管理人可以在法律法规和基金合同规定范围内调整申购费率。费率如发生变更，基金管理人应在调整前依照《信息披露办法》的有关规定在规定媒介上公告。 </w:t>
      </w:r>
    </w:p>
    <w:p>
      <w:pPr>
        <w:pStyle w:val="2"/>
        <w:rPr>
          <w:rFonts w:ascii="宋体" w:hAnsi="宋体" w:eastAsia="宋体"/>
          <w:sz w:val="24"/>
        </w:rPr>
      </w:pPr>
      <w:r>
        <w:rPr>
          <w:rFonts w:ascii="宋体" w:hAnsi="宋体" w:eastAsia="宋体"/>
          <w:sz w:val="24"/>
        </w:rPr>
        <w:t>4、日常赎回业务</w:t>
      </w:r>
    </w:p>
    <w:p>
      <w:pPr>
        <w:pStyle w:val="3"/>
        <w:rPr>
          <w:rFonts w:hint="eastAsia" w:ascii="宋体" w:hAnsi="宋体" w:eastAsia="宋体"/>
          <w:sz w:val="24"/>
        </w:rPr>
      </w:pPr>
      <w:r>
        <w:rPr>
          <w:rFonts w:hint="eastAsia" w:ascii="宋体" w:hAnsi="宋体" w:eastAsia="宋体"/>
          <w:sz w:val="24"/>
        </w:rPr>
        <w:t>4.1赎回份额限制</w:t>
      </w:r>
    </w:p>
    <w:p>
      <w:pPr>
        <w:pStyle w:val="4"/>
        <w:spacing w:before="0" w:beforeAutospacing="0" w:after="0" w:afterAutospacing="0" w:line="360" w:lineRule="auto"/>
        <w:ind w:firstLine="420"/>
        <w:rPr>
          <w:rFonts w:hint="eastAsia"/>
        </w:rPr>
      </w:pPr>
      <w:r>
        <w:rPr>
          <w:rFonts w:hint="eastAsia"/>
        </w:rPr>
        <w:t xml:space="preserve">本基金基金份额持有人通过场外销售机构赎回基金份额时，本基金单笔赎回申请不得低于1.00份，若投资者单个交易账户持有的基金份额余额不足1.00份，将不受此限制，但投资者在提交赎回申请时须全部赎回。各销售机构在符合上述规定的前提下，可根据自己的情况调整单笔赎回申请限制，具体以销售机构公布的为准，投资者需遵循销售机构的相关规定。 </w:t>
      </w:r>
    </w:p>
    <w:p>
      <w:pPr>
        <w:pStyle w:val="3"/>
        <w:rPr>
          <w:rFonts w:ascii="宋体" w:hAnsi="宋体" w:eastAsia="宋体"/>
          <w:sz w:val="24"/>
        </w:rPr>
      </w:pPr>
      <w:r>
        <w:rPr>
          <w:rFonts w:ascii="宋体" w:hAnsi="宋体" w:eastAsia="宋体"/>
          <w:sz w:val="24"/>
        </w:rPr>
        <w:t>4.2赎回费率</w:t>
      </w:r>
    </w:p>
    <w:p>
      <w:pPr>
        <w:pStyle w:val="4"/>
        <w:spacing w:before="0" w:beforeAutospacing="0" w:after="0" w:afterAutospacing="0" w:line="360" w:lineRule="auto"/>
        <w:ind w:firstLine="420"/>
        <w:rPr>
          <w:rFonts w:hint="eastAsia"/>
        </w:rPr>
      </w:pPr>
      <w:r>
        <w:rPr>
          <w:rFonts w:hint="eastAsia"/>
        </w:rPr>
        <w:t xml:space="preserve">本基金转型后的赎回费由赎回人承担，在投资者赎回基金份额时收取。 </w:t>
      </w:r>
    </w:p>
    <w:p>
      <w:pPr>
        <w:pStyle w:val="4"/>
        <w:spacing w:before="0" w:beforeAutospacing="0" w:after="0" w:afterAutospacing="0" w:line="360" w:lineRule="auto"/>
        <w:ind w:firstLine="420"/>
        <w:rPr>
          <w:rFonts w:hint="eastAsia"/>
        </w:rPr>
      </w:pPr>
      <w:r>
        <w:rPr>
          <w:rFonts w:hint="eastAsia"/>
        </w:rPr>
        <w:t xml:space="preserve">本基金场内和场外的赎回费率一致，随基金份额的持有期限的增加而递减，具体如下（其中1年指365天）： </w:t>
      </w:r>
    </w:p>
    <w:tbl>
      <w:tblPr>
        <w:tblStyle w:val="6"/>
        <w:tblW w:w="8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4"/>
        <w:gridCol w:w="3110"/>
        <w:gridCol w:w="3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
              <w:spacing w:before="0" w:beforeAutospacing="0" w:after="0" w:afterAutospacing="0" w:line="360" w:lineRule="auto"/>
              <w:ind w:firstLine="420"/>
              <w:rPr>
                <w:rFonts w:hint="eastAsia"/>
              </w:rPr>
            </w:pPr>
            <w:r>
              <w:rPr>
                <w:rFonts w:hint="eastAsia"/>
              </w:rPr>
              <w:t xml:space="preserve">持有期限 </w:t>
            </w:r>
          </w:p>
        </w:tc>
        <w:tc>
          <w:tcPr>
            <w:tcW w:w="0" w:type="auto"/>
            <w:shd w:val="clear" w:color="auto" w:fill="auto"/>
          </w:tcPr>
          <w:p>
            <w:pPr>
              <w:pStyle w:val="4"/>
              <w:spacing w:before="0" w:beforeAutospacing="0" w:after="0" w:afterAutospacing="0" w:line="360" w:lineRule="auto"/>
              <w:ind w:firstLine="420"/>
              <w:rPr>
                <w:rFonts w:hint="eastAsia"/>
              </w:rPr>
            </w:pPr>
            <w:r>
              <w:rPr>
                <w:rFonts w:hint="eastAsia"/>
              </w:rPr>
              <w:t xml:space="preserve">A类基金份额赎回费率 </w:t>
            </w:r>
          </w:p>
        </w:tc>
        <w:tc>
          <w:tcPr>
            <w:tcW w:w="0" w:type="auto"/>
            <w:shd w:val="clear" w:color="auto" w:fill="auto"/>
          </w:tcPr>
          <w:p>
            <w:pPr>
              <w:pStyle w:val="4"/>
              <w:spacing w:before="0" w:beforeAutospacing="0" w:after="0" w:afterAutospacing="0" w:line="360" w:lineRule="auto"/>
              <w:ind w:firstLine="420"/>
              <w:rPr>
                <w:rFonts w:hint="eastAsia"/>
              </w:rPr>
            </w:pPr>
            <w:r>
              <w:rPr>
                <w:rFonts w:hint="eastAsia"/>
              </w:rPr>
              <w:t xml:space="preserve">C类基金份额赎回费率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
              <w:spacing w:before="0" w:beforeAutospacing="0" w:after="0" w:afterAutospacing="0" w:line="360" w:lineRule="auto"/>
              <w:ind w:firstLine="420"/>
              <w:rPr>
                <w:rFonts w:hint="eastAsia"/>
              </w:rPr>
            </w:pPr>
            <w:r>
              <w:rPr>
                <w:rFonts w:hint="eastAsia"/>
              </w:rPr>
              <w:t xml:space="preserve">N＜7日 </w:t>
            </w:r>
          </w:p>
        </w:tc>
        <w:tc>
          <w:tcPr>
            <w:tcW w:w="0" w:type="auto"/>
            <w:shd w:val="clear" w:color="auto" w:fill="auto"/>
          </w:tcPr>
          <w:p>
            <w:pPr>
              <w:pStyle w:val="4"/>
              <w:spacing w:before="0" w:beforeAutospacing="0" w:after="0" w:afterAutospacing="0" w:line="360" w:lineRule="auto"/>
              <w:ind w:firstLine="420"/>
              <w:rPr>
                <w:rFonts w:hint="eastAsia"/>
              </w:rPr>
            </w:pPr>
            <w:r>
              <w:rPr>
                <w:rFonts w:hint="eastAsia"/>
              </w:rPr>
              <w:t>1.50%</w:t>
            </w:r>
          </w:p>
        </w:tc>
        <w:tc>
          <w:tcPr>
            <w:tcW w:w="0" w:type="auto"/>
            <w:shd w:val="clear" w:color="auto" w:fill="auto"/>
          </w:tcPr>
          <w:p>
            <w:pPr>
              <w:pStyle w:val="4"/>
              <w:spacing w:before="0" w:beforeAutospacing="0" w:after="0" w:afterAutospacing="0" w:line="360" w:lineRule="auto"/>
              <w:ind w:firstLine="420"/>
              <w:rPr>
                <w:rFonts w:hint="eastAsia"/>
              </w:rPr>
            </w:pPr>
            <w:r>
              <w:rPr>
                <w:rFonts w:hint="eastAsia"/>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
              <w:spacing w:before="0" w:beforeAutospacing="0" w:after="0" w:afterAutospacing="0" w:line="360" w:lineRule="auto"/>
              <w:ind w:firstLine="420"/>
              <w:rPr>
                <w:rFonts w:hint="eastAsia"/>
              </w:rPr>
            </w:pPr>
            <w:r>
              <w:rPr>
                <w:rFonts w:hint="eastAsia"/>
              </w:rPr>
              <w:t xml:space="preserve">7日≤N＜30日 </w:t>
            </w:r>
          </w:p>
        </w:tc>
        <w:tc>
          <w:tcPr>
            <w:tcW w:w="0" w:type="auto"/>
            <w:shd w:val="clear" w:color="auto" w:fill="auto"/>
          </w:tcPr>
          <w:p>
            <w:pPr>
              <w:pStyle w:val="4"/>
              <w:spacing w:before="0" w:beforeAutospacing="0" w:after="0" w:afterAutospacing="0" w:line="360" w:lineRule="auto"/>
              <w:ind w:firstLine="420"/>
              <w:rPr>
                <w:rFonts w:hint="eastAsia"/>
              </w:rPr>
            </w:pPr>
            <w:r>
              <w:rPr>
                <w:rFonts w:hint="eastAsia"/>
              </w:rPr>
              <w:t>0.75%</w:t>
            </w:r>
          </w:p>
        </w:tc>
        <w:tc>
          <w:tcPr>
            <w:tcW w:w="0" w:type="auto"/>
            <w:shd w:val="clear" w:color="auto" w:fill="auto"/>
          </w:tcPr>
          <w:p>
            <w:pPr>
              <w:pStyle w:val="4"/>
              <w:spacing w:before="0" w:beforeAutospacing="0" w:after="0" w:afterAutospacing="0" w:line="360" w:lineRule="auto"/>
              <w:ind w:firstLine="420"/>
              <w:rPr>
                <w:rFonts w:hint="eastAsia"/>
              </w:rPr>
            </w:pPr>
            <w:r>
              <w:rPr>
                <w:rFonts w:hint="eastAsia"/>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
              <w:spacing w:before="0" w:beforeAutospacing="0" w:after="0" w:afterAutospacing="0" w:line="360" w:lineRule="auto"/>
              <w:ind w:firstLine="420"/>
              <w:rPr>
                <w:rFonts w:hint="eastAsia"/>
              </w:rPr>
            </w:pPr>
            <w:r>
              <w:rPr>
                <w:rFonts w:hint="eastAsia"/>
              </w:rPr>
              <w:t xml:space="preserve">30日≤N＜1年 </w:t>
            </w:r>
          </w:p>
        </w:tc>
        <w:tc>
          <w:tcPr>
            <w:tcW w:w="0" w:type="auto"/>
            <w:shd w:val="clear" w:color="auto" w:fill="auto"/>
          </w:tcPr>
          <w:p>
            <w:pPr>
              <w:pStyle w:val="4"/>
              <w:spacing w:before="0" w:beforeAutospacing="0" w:after="0" w:afterAutospacing="0" w:line="360" w:lineRule="auto"/>
              <w:ind w:firstLine="420"/>
              <w:rPr>
                <w:rFonts w:hint="eastAsia"/>
              </w:rPr>
            </w:pPr>
            <w:r>
              <w:rPr>
                <w:rFonts w:hint="eastAsia"/>
              </w:rPr>
              <w:t>0.50%</w:t>
            </w:r>
          </w:p>
        </w:tc>
        <w:tc>
          <w:tcPr>
            <w:tcW w:w="0" w:type="auto"/>
            <w:vMerge w:val="restart"/>
            <w:shd w:val="clear" w:color="auto" w:fill="auto"/>
          </w:tcPr>
          <w:p>
            <w:pPr>
              <w:pStyle w:val="4"/>
              <w:spacing w:before="0" w:beforeAutospacing="0" w:after="0" w:afterAutospacing="0" w:line="360" w:lineRule="auto"/>
              <w:ind w:firstLine="420"/>
              <w:rPr>
                <w:rFonts w:hint="eastAsia"/>
              </w:rPr>
            </w:pPr>
            <w:r>
              <w:rPr>
                <w:rFonts w:hint="eastAsia"/>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
              <w:spacing w:before="0" w:beforeAutospacing="0" w:after="0" w:afterAutospacing="0" w:line="360" w:lineRule="auto"/>
              <w:ind w:firstLine="420"/>
              <w:rPr>
                <w:rFonts w:hint="eastAsia"/>
              </w:rPr>
            </w:pPr>
            <w:r>
              <w:rPr>
                <w:rFonts w:hint="eastAsia"/>
              </w:rPr>
              <w:t xml:space="preserve">1年≤N＜2年 </w:t>
            </w:r>
          </w:p>
        </w:tc>
        <w:tc>
          <w:tcPr>
            <w:tcW w:w="0" w:type="auto"/>
            <w:shd w:val="clear" w:color="auto" w:fill="auto"/>
          </w:tcPr>
          <w:p>
            <w:pPr>
              <w:pStyle w:val="4"/>
              <w:spacing w:before="0" w:beforeAutospacing="0" w:after="0" w:afterAutospacing="0" w:line="360" w:lineRule="auto"/>
              <w:ind w:firstLine="420"/>
              <w:rPr>
                <w:rFonts w:hint="eastAsia"/>
              </w:rPr>
            </w:pPr>
            <w:r>
              <w:rPr>
                <w:rFonts w:hint="eastAsia"/>
              </w:rPr>
              <w:t>0.30%</w:t>
            </w:r>
          </w:p>
        </w:tc>
        <w:tc>
          <w:tcPr>
            <w:tcW w:w="0" w:type="auto"/>
            <w:vMerge w:val="continue"/>
            <w:shd w:val="clear" w:color="auto" w:fill="auto"/>
          </w:tcPr>
          <w:p>
            <w:pPr>
              <w:pStyle w:val="4"/>
              <w:spacing w:before="0" w:beforeAutospacing="0" w:after="0" w:afterAutospacing="0" w:line="360" w:lineRule="auto"/>
              <w:ind w:firstLine="42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shd w:val="clear" w:color="auto" w:fill="auto"/>
          </w:tcPr>
          <w:p>
            <w:pPr>
              <w:pStyle w:val="4"/>
              <w:spacing w:before="0" w:beforeAutospacing="0" w:after="0" w:afterAutospacing="0" w:line="360" w:lineRule="auto"/>
              <w:ind w:firstLine="420"/>
              <w:rPr>
                <w:rFonts w:hint="eastAsia"/>
              </w:rPr>
            </w:pPr>
            <w:r>
              <w:rPr>
                <w:rFonts w:hint="eastAsia"/>
              </w:rPr>
              <w:t xml:space="preserve">N≥2年 </w:t>
            </w:r>
          </w:p>
        </w:tc>
        <w:tc>
          <w:tcPr>
            <w:tcW w:w="0" w:type="auto"/>
            <w:shd w:val="clear" w:color="auto" w:fill="auto"/>
          </w:tcPr>
          <w:p>
            <w:pPr>
              <w:pStyle w:val="4"/>
              <w:spacing w:before="0" w:beforeAutospacing="0" w:after="0" w:afterAutospacing="0" w:line="360" w:lineRule="auto"/>
              <w:ind w:firstLine="420"/>
              <w:rPr>
                <w:rFonts w:hint="eastAsia"/>
              </w:rPr>
            </w:pPr>
            <w:r>
              <w:rPr>
                <w:rFonts w:hint="eastAsia"/>
              </w:rPr>
              <w:t>0.00%</w:t>
            </w:r>
          </w:p>
        </w:tc>
        <w:tc>
          <w:tcPr>
            <w:tcW w:w="0" w:type="auto"/>
            <w:vMerge w:val="continue"/>
            <w:shd w:val="clear" w:color="auto" w:fill="auto"/>
          </w:tcPr>
          <w:p>
            <w:pPr>
              <w:pStyle w:val="4"/>
              <w:spacing w:before="0" w:beforeAutospacing="0" w:after="0" w:afterAutospacing="0" w:line="360" w:lineRule="auto"/>
              <w:ind w:firstLine="420"/>
              <w:rPr>
                <w:rFonts w:hint="eastAsia"/>
              </w:rPr>
            </w:pPr>
          </w:p>
        </w:tc>
      </w:tr>
    </w:tbl>
    <w:p>
      <w:pPr>
        <w:pStyle w:val="4"/>
        <w:spacing w:before="0" w:beforeAutospacing="0" w:after="0" w:afterAutospacing="0" w:line="360" w:lineRule="auto"/>
        <w:ind w:firstLine="420"/>
        <w:rPr>
          <w:rFonts w:hint="eastAsia"/>
        </w:rPr>
      </w:pPr>
      <w:r>
        <w:rPr>
          <w:rFonts w:hint="eastAsia"/>
        </w:rPr>
        <w:t>对于持有期少于30日的基金份额所收取的赎回费，赎回费用全额归入基金财产；对于持有期长于30日（含30日）但少于3个月的基金份额所收取的赎回费，赎回费用75%归入基金财产；对于持有期长于3个月（含3个月）但小于6个月的基金份额所收取的赎回费，赎回费用50%归入基金财产；对于持有期长于6个月（含6个月）的基金份额所收取的赎回费，赎回费用25%归入基金财产。 （注：1</w:t>
      </w:r>
      <w:r>
        <w:rPr>
          <w:rFonts w:hint="eastAsia"/>
          <w:lang w:eastAsia="zh-CN"/>
        </w:rPr>
        <w:t>年</w:t>
      </w:r>
      <w:r>
        <w:rPr>
          <w:rFonts w:hint="eastAsia"/>
        </w:rPr>
        <w:t>为3</w:t>
      </w:r>
      <w:r>
        <w:rPr>
          <w:rFonts w:hint="eastAsia"/>
          <w:lang w:val="en-US" w:eastAsia="zh-CN"/>
        </w:rPr>
        <w:t>65天</w:t>
      </w:r>
      <w:bookmarkStart w:id="0" w:name="_GoBack"/>
      <w:bookmarkEnd w:id="0"/>
      <w:r>
        <w:rPr>
          <w:rFonts w:hint="eastAsia"/>
        </w:rPr>
        <w:t>）</w:t>
      </w:r>
    </w:p>
    <w:p>
      <w:pPr>
        <w:pStyle w:val="3"/>
        <w:rPr>
          <w:rFonts w:hint="eastAsia" w:ascii="宋体" w:hAnsi="宋体" w:eastAsia="宋体"/>
          <w:sz w:val="24"/>
        </w:rPr>
      </w:pPr>
      <w:r>
        <w:rPr>
          <w:rFonts w:hint="eastAsia" w:ascii="宋体" w:hAnsi="宋体" w:eastAsia="宋体"/>
          <w:sz w:val="24"/>
        </w:rPr>
        <w:t>4.3其他与赎回相关的事项</w:t>
      </w:r>
    </w:p>
    <w:p>
      <w:pPr>
        <w:pStyle w:val="4"/>
        <w:spacing w:before="0" w:beforeAutospacing="0" w:after="0" w:afterAutospacing="0" w:line="360" w:lineRule="auto"/>
        <w:ind w:firstLine="420"/>
      </w:pPr>
      <w:r>
        <w:rPr>
          <w:rFonts w:hint="eastAsia"/>
        </w:rPr>
        <w:t xml:space="preserve">（1）基金管理人可根据有关法律规定和市场情况，调整赎回金额的数量限制，基金管理人必须最迟在调整前依照《信息披露办法》的有关规定在规定媒介上公告。 </w:t>
      </w:r>
    </w:p>
    <w:p>
      <w:pPr>
        <w:pStyle w:val="4"/>
        <w:spacing w:before="0" w:beforeAutospacing="0" w:after="0" w:afterAutospacing="0" w:line="360" w:lineRule="auto"/>
        <w:ind w:firstLine="420"/>
        <w:rPr>
          <w:rFonts w:hint="eastAsia"/>
        </w:rPr>
      </w:pPr>
      <w:r>
        <w:rPr>
          <w:rFonts w:hint="eastAsia"/>
        </w:rPr>
        <w:t xml:space="preserve">（2）基金管理人可以在法律法规和基金合同规定范围内调整赎回费率。费率如发生变更，基金管理人应在调整前依照《信息披露办法》的有关规定在规定媒介上公告。 </w:t>
      </w:r>
    </w:p>
    <w:p>
      <w:pPr>
        <w:pStyle w:val="2"/>
        <w:rPr>
          <w:rFonts w:ascii="宋体" w:hAnsi="宋体" w:eastAsia="宋体"/>
          <w:sz w:val="24"/>
        </w:rPr>
      </w:pPr>
      <w:r>
        <w:rPr>
          <w:rFonts w:ascii="宋体" w:hAnsi="宋体" w:eastAsia="宋体"/>
          <w:sz w:val="24"/>
        </w:rPr>
        <w:t>5、定期定额投资业务</w:t>
      </w:r>
    </w:p>
    <w:p>
      <w:pPr>
        <w:pStyle w:val="4"/>
        <w:spacing w:before="0" w:beforeAutospacing="0" w:after="0" w:afterAutospacing="0" w:line="360" w:lineRule="auto"/>
        <w:ind w:firstLine="420"/>
      </w:pPr>
      <w:r>
        <w:rPr>
          <w:rFonts w:hint="eastAsia"/>
        </w:rPr>
        <w:t xml:space="preserve">（1）适用投资者范围 </w:t>
      </w:r>
    </w:p>
    <w:p>
      <w:pPr>
        <w:pStyle w:val="4"/>
        <w:spacing w:before="0" w:beforeAutospacing="0" w:after="0" w:afterAutospacing="0" w:line="360" w:lineRule="auto"/>
        <w:ind w:firstLine="420"/>
        <w:rPr>
          <w:rFonts w:hint="eastAsia"/>
        </w:rPr>
      </w:pPr>
      <w:r>
        <w:rPr>
          <w:rFonts w:hint="eastAsia"/>
        </w:rPr>
        <w:t xml:space="preserve">个人投资者、机构投资者、合格境外机构投资者和人民币合格境外机构投资者以及法律法规或中国证监会规定允许购买证券投资基金的其他投资者。 </w:t>
      </w:r>
    </w:p>
    <w:p>
      <w:pPr>
        <w:pStyle w:val="4"/>
        <w:spacing w:before="0" w:beforeAutospacing="0" w:after="0" w:afterAutospacing="0" w:line="360" w:lineRule="auto"/>
        <w:ind w:firstLine="420"/>
        <w:rPr>
          <w:rFonts w:hint="eastAsia"/>
        </w:rPr>
      </w:pPr>
      <w:r>
        <w:rPr>
          <w:rFonts w:hint="eastAsia"/>
        </w:rPr>
        <w:t xml:space="preserve">（2）申购费率 </w:t>
      </w:r>
    </w:p>
    <w:p>
      <w:pPr>
        <w:pStyle w:val="4"/>
        <w:spacing w:before="0" w:beforeAutospacing="0" w:after="0" w:afterAutospacing="0" w:line="360" w:lineRule="auto"/>
        <w:ind w:firstLine="420"/>
        <w:rPr>
          <w:rFonts w:hint="eastAsia"/>
        </w:rPr>
      </w:pPr>
      <w:r>
        <w:rPr>
          <w:rFonts w:hint="eastAsia"/>
        </w:rPr>
        <w:t xml:space="preserve">本基金定期定额投资的申购费率与普通申购业务的费率相同，见上文。 </w:t>
      </w:r>
    </w:p>
    <w:p>
      <w:pPr>
        <w:pStyle w:val="4"/>
        <w:spacing w:before="0" w:beforeAutospacing="0" w:after="0" w:afterAutospacing="0" w:line="360" w:lineRule="auto"/>
        <w:ind w:firstLine="420"/>
        <w:rPr>
          <w:rFonts w:hint="eastAsia"/>
        </w:rPr>
      </w:pPr>
      <w:r>
        <w:rPr>
          <w:rFonts w:hint="eastAsia"/>
        </w:rPr>
        <w:t xml:space="preserve">（3）扣款日期和扣款金额 </w:t>
      </w:r>
    </w:p>
    <w:p>
      <w:pPr>
        <w:pStyle w:val="4"/>
        <w:spacing w:before="0" w:beforeAutospacing="0" w:after="0" w:afterAutospacing="0" w:line="360" w:lineRule="auto"/>
        <w:ind w:firstLine="420"/>
        <w:rPr>
          <w:rFonts w:hint="eastAsia"/>
        </w:rPr>
      </w:pPr>
      <w:r>
        <w:rPr>
          <w:rFonts w:hint="eastAsia"/>
        </w:rPr>
        <w:t>投资者须遵循各销售机构有关扣款日期的规定，定投金额A类基金份额每次不少于人民币</w:t>
      </w:r>
      <w:r>
        <w:rPr>
          <w:rFonts w:hint="eastAsia"/>
          <w:lang w:eastAsia="zh-CN"/>
        </w:rPr>
        <w:t>1</w:t>
      </w:r>
      <w:r>
        <w:rPr>
          <w:rFonts w:hint="eastAsia"/>
        </w:rPr>
        <w:t>元（含</w:t>
      </w:r>
      <w:r>
        <w:rPr>
          <w:rFonts w:hint="eastAsia"/>
          <w:lang w:eastAsia="zh-CN"/>
        </w:rPr>
        <w:t>1</w:t>
      </w:r>
      <w:r>
        <w:rPr>
          <w:rFonts w:hint="eastAsia"/>
        </w:rPr>
        <w:t>元），定投金额C类基金份额每次不少于人民币</w:t>
      </w:r>
      <w:r>
        <w:rPr>
          <w:rFonts w:hint="eastAsia"/>
          <w:lang w:eastAsia="zh-CN"/>
        </w:rPr>
        <w:t>1</w:t>
      </w:r>
      <w:r>
        <w:rPr>
          <w:rFonts w:hint="eastAsia"/>
        </w:rPr>
        <w:t>元（含</w:t>
      </w:r>
      <w:r>
        <w:rPr>
          <w:rFonts w:hint="eastAsia"/>
          <w:lang w:eastAsia="zh-CN"/>
        </w:rPr>
        <w:t>1</w:t>
      </w:r>
      <w:r>
        <w:rPr>
          <w:rFonts w:hint="eastAsia"/>
        </w:rPr>
        <w:t xml:space="preserve">元）。 </w:t>
      </w:r>
    </w:p>
    <w:p>
      <w:pPr>
        <w:pStyle w:val="4"/>
        <w:spacing w:before="0" w:beforeAutospacing="0" w:after="0" w:afterAutospacing="0" w:line="360" w:lineRule="auto"/>
        <w:ind w:firstLine="420"/>
        <w:rPr>
          <w:rFonts w:hint="eastAsia"/>
        </w:rPr>
      </w:pPr>
      <w:r>
        <w:rPr>
          <w:rFonts w:hint="eastAsia"/>
        </w:rPr>
        <w:t xml:space="preserve">（4）重要提示 </w:t>
      </w:r>
    </w:p>
    <w:p>
      <w:pPr>
        <w:pStyle w:val="4"/>
        <w:spacing w:before="0" w:beforeAutospacing="0" w:after="0" w:afterAutospacing="0" w:line="360" w:lineRule="auto"/>
        <w:ind w:firstLine="420"/>
        <w:rPr>
          <w:rFonts w:hint="eastAsia"/>
        </w:rPr>
      </w:pPr>
      <w:r>
        <w:rPr>
          <w:rFonts w:hint="eastAsia"/>
        </w:rPr>
        <w:t xml:space="preserve">1）凡申请办理本基金“定期定额投资计划”的投资者须首先开立本公司开放式基金基金账户。 </w:t>
      </w:r>
    </w:p>
    <w:p>
      <w:pPr>
        <w:pStyle w:val="4"/>
        <w:spacing w:before="0" w:beforeAutospacing="0" w:after="0" w:afterAutospacing="0" w:line="360" w:lineRule="auto"/>
        <w:ind w:firstLine="420"/>
        <w:rPr>
          <w:rFonts w:hint="eastAsia"/>
        </w:rPr>
      </w:pPr>
      <w:r>
        <w:rPr>
          <w:rFonts w:hint="eastAsia"/>
        </w:rPr>
        <w:t xml:space="preserve">2）本基金定期定额投资计划的每月实际扣款日即为基金申购申请日，并以该日（T日）的基金份额净值为基准计算申购份额。投资者可以从T+2日起通过本定期定额投资计划办理网点、致电本公司客服电话或登录本公司网站查询其每次申购申请的确认情况。申购份额将在确认成功后直接计入投资者的基金账户。 </w:t>
      </w:r>
    </w:p>
    <w:p>
      <w:pPr>
        <w:pStyle w:val="2"/>
        <w:rPr>
          <w:rFonts w:ascii="宋体" w:hAnsi="宋体" w:eastAsia="宋体"/>
          <w:sz w:val="24"/>
        </w:rPr>
      </w:pPr>
      <w:r>
        <w:rPr>
          <w:rFonts w:ascii="宋体" w:hAnsi="宋体" w:eastAsia="宋体"/>
          <w:sz w:val="24"/>
        </w:rPr>
        <w:t>6、基金销售机构</w:t>
      </w:r>
    </w:p>
    <w:p>
      <w:pPr>
        <w:pStyle w:val="3"/>
        <w:rPr>
          <w:rFonts w:hint="eastAsia" w:ascii="宋体" w:hAnsi="宋体" w:eastAsia="宋体"/>
          <w:sz w:val="24"/>
        </w:rPr>
      </w:pPr>
      <w:r>
        <w:rPr>
          <w:rFonts w:hint="eastAsia" w:ascii="宋体" w:hAnsi="宋体" w:eastAsia="宋体"/>
          <w:sz w:val="24"/>
        </w:rPr>
        <w:t>6.1场外销售机构</w:t>
      </w:r>
    </w:p>
    <w:p>
      <w:pPr>
        <w:pStyle w:val="3"/>
        <w:rPr>
          <w:rFonts w:hint="eastAsia" w:ascii="宋体" w:hAnsi="宋体" w:eastAsia="宋体"/>
          <w:sz w:val="24"/>
        </w:rPr>
      </w:pPr>
      <w:r>
        <w:rPr>
          <w:rFonts w:hint="eastAsia" w:ascii="宋体" w:hAnsi="宋体" w:eastAsia="宋体"/>
          <w:sz w:val="24"/>
        </w:rPr>
        <w:t>（1）直销机构</w:t>
      </w:r>
    </w:p>
    <w:p>
      <w:pPr>
        <w:pStyle w:val="4"/>
        <w:spacing w:before="0" w:beforeAutospacing="0" w:after="0" w:afterAutospacing="0" w:line="360" w:lineRule="auto"/>
        <w:ind w:firstLine="420"/>
      </w:pPr>
      <w:r>
        <w:rPr>
          <w:rFonts w:hint="eastAsia"/>
        </w:rPr>
        <w:t xml:space="preserve">博时基金管理有限公司直销机构（含直销中心及直销网上交易）。 </w:t>
      </w:r>
    </w:p>
    <w:p>
      <w:pPr>
        <w:pStyle w:val="4"/>
        <w:spacing w:before="0" w:beforeAutospacing="0" w:after="0" w:afterAutospacing="0" w:line="360" w:lineRule="auto"/>
        <w:ind w:firstLine="420"/>
        <w:rPr>
          <w:rFonts w:hint="eastAsia"/>
        </w:rPr>
      </w:pPr>
      <w:r>
        <w:rPr>
          <w:rFonts w:hint="eastAsia"/>
        </w:rPr>
        <w:t xml:space="preserve">投资者如需办理直销网上交易，可登录本公司网站www.bosera.com参阅《博时基金管理有限公司开放式基金业务规则》、《博时基金管理有限公司网上交易业务规则》、《博时基金管理有限公司直销定期投资业务规则》等办理相关开户、申购、赎回、转换和定期定额投资等业务。 </w:t>
      </w:r>
    </w:p>
    <w:p>
      <w:pPr>
        <w:pStyle w:val="3"/>
        <w:rPr>
          <w:rFonts w:ascii="宋体" w:hAnsi="宋体" w:eastAsia="宋体"/>
          <w:sz w:val="24"/>
        </w:rPr>
      </w:pPr>
      <w:r>
        <w:rPr>
          <w:rFonts w:hint="eastAsia" w:ascii="宋体" w:hAnsi="宋体" w:eastAsia="宋体"/>
          <w:sz w:val="24"/>
        </w:rPr>
        <w:t>（</w:t>
      </w:r>
      <w:r>
        <w:rPr>
          <w:rFonts w:ascii="宋体" w:hAnsi="宋体" w:eastAsia="宋体"/>
          <w:sz w:val="24"/>
        </w:rPr>
        <w:t>2）场外非直销机构</w:t>
      </w:r>
    </w:p>
    <w:p>
      <w:pPr>
        <w:pStyle w:val="4"/>
        <w:spacing w:before="0" w:beforeAutospacing="0" w:after="0" w:afterAutospacing="0" w:line="360" w:lineRule="auto"/>
        <w:ind w:firstLine="420"/>
      </w:pPr>
      <w:r>
        <w:rPr>
          <w:rFonts w:hint="eastAsia"/>
        </w:rPr>
        <w:t xml:space="preserve">中国工商银行股份有限公司、中国农业银行股份有限公司、中国银行股份有限公司、中国建设银行股份有限公司、交通银行股份有限公司、招商银行股份有限公司、中信银行股份有限公司、上海浦东发展银行股份有限公司、兴业银行股份有限公司、中国光大银行股份有限公司、中国民生银行股份有限公司、中国邮政储蓄银行股份有限公司、北京银行股份有限公司、上海银行股份有限公司、广发银行股份有限公司、平安银行股份有限公司、宁波银行股份有限公司、上海农村商业银行股份有限公司、青岛银行股份有限公司、东莞银行股份有限公司、南京银行股份有限公司、江苏银行股份有限公司、浙江民泰商业银行股份有限公司、东莞农村商业银行股份有限公司、苏州银行股份有限公司、深圳市新兰德证券投资咨询有限公司、上海挖财基金销售有限公司、腾安基金销售（深圳）有限公司、北京度小满基金销售有限公司、诺亚正行基金销售有限公司、深圳众禄基金销售股份有限公司、上海天天基金销售有限公司、上海好买基金销售有限公司、蚂蚁（杭州）基金销售有限公司、上海长量基金销售有限公司、浙江同花顺基金销售有限公司、上海利得基金销售有限公司、嘉实财富管理有限公司、宜信普泽（北京）基金销售有限公司、南京苏宁基金销售有限公司、浦领基金销售有限公司、北京增财基金销售有限公司、深圳腾元基金销售有限公司、北京中植基金销售有限公司、北京汇成基金销售有限公司、一路财富（北京）基金销售股份有限公司、海银基金销售有限公司、济安财富（北京）基金销售有限公司、上海万得基金销售有限公司、凤凰金信（海口）基金销售有限公司、上海联泰基金销售有限公司、上海基煜基金销售有限公司、上海凯石财富基金销售有限公司、北京虹点基金销售有限公司、上海陆金所基金销售有限公司、珠海盈米基金销售有限公司、奕丰基金销售有限公司、中证金牛（北京）基金销售有限公司、京东肯特瑞基金销售有限公司、深圳市金斧子基金销售有限公司、北京雪球基金销售有限公司、天津万家财富资产管理有限公司、中信期货有限公司、弘业期货股份有限公司、国泰君安证券股份有限公司、中信建投证券股份有限公司、国信证券股份有限公司、招商证券股份有限公司、广发证券股份有限公司、中信证券股份有限公司、中国银河证券股份有限公司、海通证券股份有限公司、申万宏源证券有限公司、长江证券股份有限公司、安信证券股份有限公司、西南证券股份有限公司、湘财证券股份有限公司、万联证券股份有限公司、民生证券股份有限公司、国元证券股份有限公司、渤海证券股份有限公司、华泰证券股份有限公司、中信证券（山东）有限责任公司、东兴证券股份有限公司、东吴证券股份有限公司、信达证券股份有限公司、方正证券股份有限公司、长城证券股份有限公司、光大证券股份有限公司、中信证券华南股份有限公司、东北证券股份有限公司、南京证券股份有限公司、上海证券有限责任公司、诚通证券股份有限公司、大同证券有限责任公司、国联证券股份有限公司、浙商证券股份有限公司、平安证券股份有限公司、华安证券股份有限公司、国都证券股份有限公司、东海证券股份有限公司、恒泰证券股份有限公司、国盛证券有限责任公司、华西证券股份有限公司、申万宏源西部证券有限公司、中泰证券股份有限公司、世纪证券有限责任公司、第一创业证券股份有限公司、德邦证券股份有限公司、西部证券股份有限公司、华龙证券股份有限公司、财通证券股份有限公司、华鑫证券有限责任公司、中山证券有限责任公司、粤开证券股份有限公司、国金证券股份有限公司、华宝证券股份有限公司、爱建证券有限责任公司、华融证券股份有限公司、天风证券股份有限公司、首创证券股份有限公司、开源证券股份有限公司、联储证券有限责任公司、中国人寿保险股份有限公司 </w:t>
      </w:r>
    </w:p>
    <w:p>
      <w:pPr>
        <w:pStyle w:val="4"/>
        <w:spacing w:before="0" w:beforeAutospacing="0" w:after="0" w:afterAutospacing="0" w:line="360" w:lineRule="auto"/>
        <w:ind w:firstLine="420"/>
        <w:rPr>
          <w:rFonts w:hint="eastAsia"/>
        </w:rPr>
      </w:pPr>
      <w:r>
        <w:rPr>
          <w:rFonts w:hint="eastAsia"/>
        </w:rPr>
        <w:t xml:space="preserve">除上述机构外，其他销售机构如以后开展上述业务，本公司可不再另行公告，以各销售机构为准。各代销机构可销售的基金份额类别、可办理的基金业务类型及其具体业务办理状况遵循其各自规定执行。 </w:t>
      </w:r>
    </w:p>
    <w:p>
      <w:pPr>
        <w:pStyle w:val="3"/>
        <w:rPr>
          <w:rFonts w:ascii="宋体" w:hAnsi="宋体" w:eastAsia="宋体"/>
          <w:sz w:val="24"/>
        </w:rPr>
      </w:pPr>
      <w:r>
        <w:rPr>
          <w:rFonts w:ascii="宋体" w:hAnsi="宋体" w:eastAsia="宋体"/>
          <w:sz w:val="24"/>
        </w:rPr>
        <w:t>6.2场内销售机构</w:t>
      </w:r>
    </w:p>
    <w:p>
      <w:pPr>
        <w:pStyle w:val="4"/>
        <w:spacing w:before="0" w:beforeAutospacing="0" w:after="0" w:afterAutospacing="0" w:line="360" w:lineRule="auto"/>
        <w:ind w:firstLine="420"/>
      </w:pPr>
      <w:r>
        <w:rPr>
          <w:rFonts w:hint="eastAsia"/>
        </w:rPr>
        <w:t xml:space="preserve">爱建证券、安信证券、渤海证券、财达证券、财通证券、财信证券、长城证券、长江证券、川财证券、大通证券、大同证券、德邦证券、第一创业、东北证券、东方财富、东方证券、东海证券、东莞证券、东吴证券、东兴证券、高华证券、方正证券、光大证券、广发证券、国都证券、国海证券、国金证券、国开证券、国联证券、国融证券、国盛证券、国泰君安、国信证券、国元证券、海通证券、恒泰证券、红塔证券、宏信证券、华安证券、华宝证券、华创证券、华福证券、华金证券、华林证券、华龙证券、华融证券、华泰证券、华西证券、华鑫证券、江海证券、金元证券、九州证券、开源证券、联储证券、民生证券、南京证券、平安证券、瑞银证券、山西证券、上海证券、申万宏源证券、申万宏源西部证券、世纪证券、首创证券、太平洋证券、天风证券、万和证券、万联证券、网信证券、五矿证券、西部证券、西南证券、长城国瑞、湘财证券、新时代证券、信达证券、兴业证券、银河证券、银泰证券、英大证券、甬兴证券、粤开证券、招商证券、浙商证券、中航证券、中金财富、中金公司、中山证券、中泰证券、中天证券、中信建投、中信山东、中信证券、中信证券华南、中银证券、中邮证券、中原证券。  </w:t>
      </w:r>
    </w:p>
    <w:p>
      <w:pPr>
        <w:pStyle w:val="4"/>
        <w:spacing w:before="0" w:beforeAutospacing="0" w:after="0" w:afterAutospacing="0" w:line="360" w:lineRule="auto"/>
        <w:ind w:firstLine="420"/>
        <w:rPr>
          <w:rFonts w:hint="eastAsia"/>
        </w:rPr>
      </w:pPr>
      <w:r>
        <w:rPr>
          <w:rFonts w:hint="eastAsia"/>
        </w:rPr>
        <w:t xml:space="preserve">如果会员单位有所增加或减少，请以深圳证券交易所的具体规定为准。  </w:t>
      </w:r>
    </w:p>
    <w:p>
      <w:pPr>
        <w:pStyle w:val="2"/>
        <w:rPr>
          <w:rFonts w:ascii="宋体" w:hAnsi="宋体" w:eastAsia="宋体"/>
          <w:sz w:val="24"/>
        </w:rPr>
      </w:pPr>
      <w:r>
        <w:rPr>
          <w:rFonts w:ascii="宋体" w:hAnsi="宋体" w:eastAsia="宋体"/>
          <w:sz w:val="24"/>
        </w:rPr>
        <w:t xml:space="preserve">7、基金份额净值公告/基金收益公告的披露安排 </w:t>
      </w:r>
    </w:p>
    <w:p>
      <w:pPr>
        <w:pStyle w:val="4"/>
        <w:spacing w:before="0" w:beforeAutospacing="0" w:after="0" w:afterAutospacing="0" w:line="360" w:lineRule="auto"/>
        <w:ind w:firstLine="420"/>
      </w:pPr>
      <w:r>
        <w:rPr>
          <w:rFonts w:hint="eastAsia"/>
        </w:rPr>
        <w:t xml:space="preserve">《基金合同》生效后，在开始办理基金份额申购或者赎回前，基金管理人应当至少每周在规定网站公告一次各类基金份额净值和各类基金份额累计净值。 </w:t>
      </w:r>
    </w:p>
    <w:p>
      <w:pPr>
        <w:pStyle w:val="4"/>
        <w:spacing w:before="0" w:beforeAutospacing="0" w:after="0" w:afterAutospacing="0" w:line="360" w:lineRule="auto"/>
        <w:ind w:firstLine="420"/>
        <w:rPr>
          <w:rFonts w:hint="eastAsia"/>
        </w:rPr>
      </w:pPr>
      <w:r>
        <w:rPr>
          <w:rFonts w:hint="eastAsia"/>
        </w:rPr>
        <w:t xml:space="preserve">在开始办理基金份额申购或者赎回后，基金管理人应当在不晚于每个开放日的次日，通过规定网站、基金销售机构网站或者营业网点披露开放日的各类基金份额净值和各类基金份额累计净值。 </w:t>
      </w:r>
    </w:p>
    <w:p>
      <w:pPr>
        <w:pStyle w:val="4"/>
        <w:spacing w:before="0" w:beforeAutospacing="0" w:after="0" w:afterAutospacing="0" w:line="360" w:lineRule="auto"/>
        <w:ind w:firstLine="420"/>
        <w:rPr>
          <w:rFonts w:hint="eastAsia"/>
        </w:rPr>
      </w:pPr>
      <w:r>
        <w:rPr>
          <w:rFonts w:hint="eastAsia"/>
        </w:rPr>
        <w:t xml:space="preserve">基金管理人应当在不晚于半年度和年度最后一日的次日，在规定网站公告半年度和年度最后一日各类基金份额净值和各类基金份额累计净值。 </w:t>
      </w:r>
    </w:p>
    <w:p>
      <w:pPr>
        <w:pStyle w:val="2"/>
        <w:rPr>
          <w:rFonts w:ascii="宋体" w:hAnsi="宋体" w:eastAsia="宋体"/>
          <w:sz w:val="24"/>
        </w:rPr>
      </w:pPr>
      <w:r>
        <w:rPr>
          <w:rFonts w:ascii="宋体" w:hAnsi="宋体" w:eastAsia="宋体"/>
          <w:sz w:val="24"/>
        </w:rPr>
        <w:t>8、其他需要提示的事项</w:t>
      </w:r>
    </w:p>
    <w:p>
      <w:pPr>
        <w:pStyle w:val="4"/>
        <w:spacing w:before="0" w:beforeAutospacing="0" w:after="0" w:afterAutospacing="0" w:line="360" w:lineRule="auto"/>
        <w:ind w:firstLine="420"/>
      </w:pPr>
      <w:r>
        <w:rPr>
          <w:rFonts w:hint="eastAsia"/>
        </w:rPr>
        <w:t xml:space="preserve">（1）上述销售机构业务受理具体情况以代销机构公告或代销系统规则为准。 </w:t>
      </w:r>
    </w:p>
    <w:p>
      <w:pPr>
        <w:pStyle w:val="4"/>
        <w:spacing w:before="0" w:beforeAutospacing="0" w:after="0" w:afterAutospacing="0" w:line="360" w:lineRule="auto"/>
        <w:ind w:firstLine="420"/>
        <w:rPr>
          <w:rFonts w:hint="eastAsia"/>
        </w:rPr>
      </w:pPr>
      <w:r>
        <w:rPr>
          <w:rFonts w:hint="eastAsia"/>
        </w:rPr>
        <w:t xml:space="preserve">（2）本公告仅对本基金日常申购、赎回、定期定额投资业务的有关事项和规定予以说明。投资者欲了解本基金的详细情况，请详细阅读发布在本公司网站[http://www.bosera.com/]和中国证监会基金电子披露网站（http://eid.csrc.gov.cn/fund）上的《博时科创主题灵活配置混合型证券投资基金（LOF）招募说明书》。 </w:t>
      </w:r>
    </w:p>
    <w:p>
      <w:pPr>
        <w:pStyle w:val="4"/>
        <w:spacing w:before="0" w:beforeAutospacing="0" w:after="0" w:afterAutospacing="0" w:line="360" w:lineRule="auto"/>
        <w:ind w:firstLine="420"/>
        <w:rPr>
          <w:rFonts w:hint="eastAsia"/>
        </w:rPr>
      </w:pPr>
    </w:p>
    <w:p>
      <w:pPr>
        <w:pStyle w:val="4"/>
        <w:spacing w:before="0" w:beforeAutospacing="0" w:after="0" w:afterAutospacing="0" w:line="360" w:lineRule="auto"/>
        <w:ind w:firstLine="420"/>
        <w:rPr>
          <w:rFonts w:hint="eastAsia"/>
        </w:rPr>
      </w:pPr>
      <w:r>
        <w:rPr>
          <w:rFonts w:hint="eastAsia"/>
        </w:rPr>
        <w:t xml:space="preserve">特此公告。 </w:t>
      </w:r>
    </w:p>
    <w:p>
      <w:pPr>
        <w:pStyle w:val="4"/>
        <w:spacing w:before="0" w:beforeAutospacing="0" w:after="0" w:afterAutospacing="0" w:line="360" w:lineRule="auto"/>
        <w:ind w:firstLine="420"/>
      </w:pPr>
    </w:p>
    <w:p>
      <w:pPr>
        <w:pStyle w:val="4"/>
        <w:spacing w:before="0" w:beforeAutospacing="0" w:after="0" w:afterAutospacing="0" w:line="360" w:lineRule="auto"/>
        <w:ind w:firstLine="420"/>
      </w:pPr>
    </w:p>
    <w:p>
      <w:pPr>
        <w:pStyle w:val="4"/>
        <w:spacing w:before="0" w:beforeAutospacing="0" w:after="0" w:afterAutospacing="0" w:line="360" w:lineRule="auto"/>
        <w:ind w:firstLine="420"/>
      </w:pPr>
    </w:p>
    <w:p>
      <w:pPr>
        <w:pStyle w:val="4"/>
        <w:spacing w:before="0" w:beforeAutospacing="0" w:after="0" w:afterAutospacing="0" w:line="360" w:lineRule="auto"/>
        <w:ind w:firstLine="420"/>
        <w:jc w:val="right"/>
        <w:rPr>
          <w:rFonts w:hint="eastAsia"/>
        </w:rPr>
      </w:pPr>
      <w:r>
        <w:rPr>
          <w:rFonts w:hint="eastAsia"/>
        </w:rPr>
        <w:t>博时基金管理有限公司</w:t>
      </w:r>
    </w:p>
    <w:p>
      <w:pPr>
        <w:pStyle w:val="4"/>
        <w:spacing w:before="0" w:beforeAutospacing="0" w:after="0" w:afterAutospacing="0" w:line="360" w:lineRule="auto"/>
        <w:ind w:firstLine="420"/>
        <w:jc w:val="right"/>
      </w:pPr>
      <w:r>
        <w:t>2022年6月22日</w:t>
      </w:r>
    </w:p>
    <w:p>
      <w:pPr>
        <w:pStyle w:val="4"/>
        <w:spacing w:before="0" w:beforeAutospacing="0" w:after="0" w:afterAutospacing="0" w:line="360" w:lineRule="auto"/>
        <w:ind w:firstLine="420"/>
        <w:jc w:val="righ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D41"/>
    <w:rsid w:val="000C119F"/>
    <w:rsid w:val="00A01D41"/>
    <w:rsid w:val="4B633785"/>
    <w:rsid w:val="7E490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9"/>
    <w:unhideWhenUsed/>
    <w:qFormat/>
    <w:uiPriority w:val="9"/>
    <w:pPr>
      <w:keepNext/>
      <w:keepLines/>
      <w:spacing w:before="260" w:after="260" w:line="416" w:lineRule="auto"/>
      <w:outlineLvl w:val="2"/>
    </w:pPr>
    <w:rPr>
      <w:b/>
      <w:bCs/>
      <w:sz w:val="32"/>
      <w:szCs w:val="32"/>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标题 2 Char"/>
    <w:basedOn w:val="7"/>
    <w:link w:val="2"/>
    <w:qFormat/>
    <w:uiPriority w:val="9"/>
    <w:rPr>
      <w:rFonts w:asciiTheme="majorHAnsi" w:hAnsiTheme="majorHAnsi" w:eastAsiaTheme="majorEastAsia" w:cstheme="majorBidi"/>
      <w:b/>
      <w:bCs/>
      <w:sz w:val="32"/>
      <w:szCs w:val="32"/>
    </w:rPr>
  </w:style>
  <w:style w:type="character" w:customStyle="1" w:styleId="9">
    <w:name w:val="标题 3 Char"/>
    <w:basedOn w:val="7"/>
    <w:link w:val="3"/>
    <w:qFormat/>
    <w:uiPriority w:val="9"/>
    <w:rPr>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mycompany</Company>
  <Pages>7</Pages>
  <Words>714</Words>
  <Characters>4076</Characters>
  <Lines>33</Lines>
  <Paragraphs>9</Paragraphs>
  <TotalTime>5</TotalTime>
  <ScaleCrop>false</ScaleCrop>
  <LinksUpToDate>false</LinksUpToDate>
  <CharactersWithSpaces>4781</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2022-06-20T05:21:00Z</dcterms:created>
  <dc:creator>BSKMadminDev</dc:creator>
  <cp:lastModifiedBy>panan</cp:lastModifiedBy>
  <dcterms:modified xsi:type="dcterms:W3CDTF">2022-06-20T06:33:47Z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FA96F516327946ABBD160345D5A7103C</vt:lpwstr>
  </property>
</Properties>
</file>