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F4D6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南方大数据</w:t>
      </w:r>
      <w:r>
        <w:rPr>
          <w:rFonts w:ascii="宋体" w:hAnsi="方正黑体简体" w:cs="方正黑体简体"/>
          <w:b/>
          <w:bCs/>
          <w:iCs/>
          <w:sz w:val="31"/>
          <w:szCs w:val="36"/>
        </w:rPr>
        <w:t>300指数证券投资基金（A类份额）基金产品资料概要更新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F4D65">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F4D65">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F4D65" w:rsidRDefault="00FF4D65" w:rsidP="00FF4D6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F4D65" w:rsidTr="00FF4D65">
        <w:tc>
          <w:tcPr>
            <w:tcW w:w="2076" w:type="dxa"/>
          </w:tcPr>
          <w:p w:rsidR="00FF4D65" w:rsidRDefault="00FF4D65" w:rsidP="00FF4D65">
            <w:pPr>
              <w:jc w:val="left"/>
            </w:pPr>
            <w:r>
              <w:rPr>
                <w:rFonts w:hint="eastAsia"/>
              </w:rPr>
              <w:t>基金简称</w:t>
            </w:r>
          </w:p>
        </w:tc>
        <w:tc>
          <w:tcPr>
            <w:tcW w:w="2076" w:type="dxa"/>
          </w:tcPr>
          <w:p w:rsidR="00FF4D65" w:rsidRDefault="00FF4D65" w:rsidP="00FF4D65">
            <w:pPr>
              <w:jc w:val="left"/>
            </w:pPr>
            <w:r>
              <w:rPr>
                <w:rFonts w:hint="eastAsia"/>
              </w:rPr>
              <w:t>南方大数据</w:t>
            </w:r>
            <w:r>
              <w:rPr>
                <w:rFonts w:hint="eastAsia"/>
              </w:rPr>
              <w:t>300</w:t>
            </w:r>
            <w:r>
              <w:rPr>
                <w:rFonts w:hint="eastAsia"/>
              </w:rPr>
              <w:t>指数</w:t>
            </w:r>
            <w:r>
              <w:rPr>
                <w:rFonts w:hint="eastAsia"/>
              </w:rPr>
              <w:t>A</w:t>
            </w:r>
          </w:p>
        </w:tc>
        <w:tc>
          <w:tcPr>
            <w:tcW w:w="2077" w:type="dxa"/>
          </w:tcPr>
          <w:p w:rsidR="00FF4D65" w:rsidRDefault="00FF4D65" w:rsidP="00FF4D65">
            <w:pPr>
              <w:jc w:val="left"/>
            </w:pPr>
            <w:r>
              <w:rPr>
                <w:rFonts w:hint="eastAsia"/>
              </w:rPr>
              <w:t>基金代码</w:t>
            </w:r>
          </w:p>
        </w:tc>
        <w:tc>
          <w:tcPr>
            <w:tcW w:w="2077" w:type="dxa"/>
          </w:tcPr>
          <w:p w:rsidR="00FF4D65" w:rsidRDefault="00FF4D65" w:rsidP="00FF4D65">
            <w:pPr>
              <w:jc w:val="left"/>
            </w:pPr>
            <w:r>
              <w:t>001420</w:t>
            </w:r>
          </w:p>
        </w:tc>
      </w:tr>
      <w:tr w:rsidR="00FF4D65" w:rsidTr="00FF4D65">
        <w:tc>
          <w:tcPr>
            <w:tcW w:w="2076" w:type="dxa"/>
          </w:tcPr>
          <w:p w:rsidR="00FF4D65" w:rsidRDefault="00FF4D65" w:rsidP="00FF4D65">
            <w:pPr>
              <w:jc w:val="left"/>
            </w:pPr>
            <w:r>
              <w:rPr>
                <w:rFonts w:hint="eastAsia"/>
              </w:rPr>
              <w:t>基金管理人</w:t>
            </w:r>
          </w:p>
        </w:tc>
        <w:tc>
          <w:tcPr>
            <w:tcW w:w="2076" w:type="dxa"/>
          </w:tcPr>
          <w:p w:rsidR="00FF4D65" w:rsidRDefault="00FF4D65" w:rsidP="00FF4D65">
            <w:pPr>
              <w:jc w:val="left"/>
            </w:pPr>
            <w:r>
              <w:rPr>
                <w:rFonts w:hint="eastAsia"/>
              </w:rPr>
              <w:t>南方基金管理股份有限公司</w:t>
            </w:r>
          </w:p>
        </w:tc>
        <w:tc>
          <w:tcPr>
            <w:tcW w:w="2077" w:type="dxa"/>
          </w:tcPr>
          <w:p w:rsidR="00FF4D65" w:rsidRDefault="00FF4D65" w:rsidP="00FF4D65">
            <w:pPr>
              <w:jc w:val="left"/>
            </w:pPr>
            <w:r>
              <w:rPr>
                <w:rFonts w:hint="eastAsia"/>
              </w:rPr>
              <w:t>基金托管人</w:t>
            </w:r>
          </w:p>
        </w:tc>
        <w:tc>
          <w:tcPr>
            <w:tcW w:w="2077" w:type="dxa"/>
          </w:tcPr>
          <w:p w:rsidR="00FF4D65" w:rsidRDefault="00FF4D65" w:rsidP="00FF4D65">
            <w:pPr>
              <w:jc w:val="left"/>
            </w:pPr>
            <w:r>
              <w:rPr>
                <w:rFonts w:hint="eastAsia"/>
              </w:rPr>
              <w:t>中国建设银行股份有限公司</w:t>
            </w:r>
          </w:p>
        </w:tc>
      </w:tr>
      <w:tr w:rsidR="00FF4D65" w:rsidTr="00CD2F26">
        <w:tc>
          <w:tcPr>
            <w:tcW w:w="2076" w:type="dxa"/>
          </w:tcPr>
          <w:p w:rsidR="00FF4D65" w:rsidRDefault="00FF4D65" w:rsidP="00FF4D65">
            <w:pPr>
              <w:jc w:val="left"/>
            </w:pPr>
            <w:r>
              <w:rPr>
                <w:rFonts w:hint="eastAsia"/>
              </w:rPr>
              <w:t>基金合同生效日</w:t>
            </w:r>
          </w:p>
        </w:tc>
        <w:tc>
          <w:tcPr>
            <w:tcW w:w="6230" w:type="dxa"/>
            <w:gridSpan w:val="3"/>
          </w:tcPr>
          <w:p w:rsidR="00FF4D65" w:rsidRDefault="00FF4D65" w:rsidP="00FF4D65">
            <w:pPr>
              <w:jc w:val="left"/>
            </w:pPr>
            <w:r>
              <w:rPr>
                <w:rFonts w:hint="eastAsia"/>
              </w:rPr>
              <w:t>2015</w:t>
            </w:r>
            <w:r>
              <w:rPr>
                <w:rFonts w:hint="eastAsia"/>
              </w:rPr>
              <w:t>年</w:t>
            </w:r>
            <w:r>
              <w:rPr>
                <w:rFonts w:hint="eastAsia"/>
              </w:rPr>
              <w:t>6</w:t>
            </w:r>
            <w:r>
              <w:rPr>
                <w:rFonts w:hint="eastAsia"/>
              </w:rPr>
              <w:t>月</w:t>
            </w:r>
            <w:r>
              <w:rPr>
                <w:rFonts w:hint="eastAsia"/>
              </w:rPr>
              <w:t>24</w:t>
            </w:r>
            <w:r>
              <w:rPr>
                <w:rFonts w:hint="eastAsia"/>
              </w:rPr>
              <w:t>日</w:t>
            </w:r>
          </w:p>
        </w:tc>
      </w:tr>
      <w:tr w:rsidR="00FF4D65" w:rsidTr="00FF4D65">
        <w:tc>
          <w:tcPr>
            <w:tcW w:w="2076" w:type="dxa"/>
          </w:tcPr>
          <w:p w:rsidR="00FF4D65" w:rsidRDefault="00FF4D65" w:rsidP="00FF4D65">
            <w:pPr>
              <w:jc w:val="left"/>
            </w:pPr>
            <w:r>
              <w:rPr>
                <w:rFonts w:hint="eastAsia"/>
              </w:rPr>
              <w:t>基金类型</w:t>
            </w:r>
          </w:p>
        </w:tc>
        <w:tc>
          <w:tcPr>
            <w:tcW w:w="2076" w:type="dxa"/>
          </w:tcPr>
          <w:p w:rsidR="00FF4D65" w:rsidRDefault="00FF4D65" w:rsidP="00FF4D65">
            <w:pPr>
              <w:jc w:val="left"/>
            </w:pPr>
            <w:r>
              <w:rPr>
                <w:rFonts w:hint="eastAsia"/>
              </w:rPr>
              <w:t>股票型</w:t>
            </w:r>
          </w:p>
        </w:tc>
        <w:tc>
          <w:tcPr>
            <w:tcW w:w="2077" w:type="dxa"/>
          </w:tcPr>
          <w:p w:rsidR="00FF4D65" w:rsidRDefault="00FF4D65" w:rsidP="00FF4D65">
            <w:pPr>
              <w:jc w:val="left"/>
            </w:pPr>
            <w:r>
              <w:rPr>
                <w:rFonts w:hint="eastAsia"/>
              </w:rPr>
              <w:t>交易币种</w:t>
            </w:r>
          </w:p>
        </w:tc>
        <w:tc>
          <w:tcPr>
            <w:tcW w:w="2077" w:type="dxa"/>
          </w:tcPr>
          <w:p w:rsidR="00FF4D65" w:rsidRDefault="00FF4D65" w:rsidP="00FF4D65">
            <w:pPr>
              <w:jc w:val="left"/>
            </w:pPr>
            <w:r>
              <w:rPr>
                <w:rFonts w:hint="eastAsia"/>
              </w:rPr>
              <w:t>人民币</w:t>
            </w:r>
          </w:p>
        </w:tc>
      </w:tr>
      <w:tr w:rsidR="00FF4D65" w:rsidTr="004C5C55">
        <w:tc>
          <w:tcPr>
            <w:tcW w:w="2076" w:type="dxa"/>
          </w:tcPr>
          <w:p w:rsidR="00FF4D65" w:rsidRDefault="00FF4D65" w:rsidP="00FF4D65">
            <w:pPr>
              <w:jc w:val="left"/>
            </w:pPr>
            <w:r>
              <w:rPr>
                <w:rFonts w:hint="eastAsia"/>
              </w:rPr>
              <w:t>运作方式</w:t>
            </w:r>
          </w:p>
        </w:tc>
        <w:tc>
          <w:tcPr>
            <w:tcW w:w="6230" w:type="dxa"/>
            <w:gridSpan w:val="3"/>
          </w:tcPr>
          <w:p w:rsidR="00FF4D65" w:rsidRDefault="00FF4D65" w:rsidP="00FF4D65">
            <w:pPr>
              <w:jc w:val="left"/>
            </w:pPr>
            <w:r>
              <w:rPr>
                <w:rFonts w:hint="eastAsia"/>
              </w:rPr>
              <w:t>普通开放式</w:t>
            </w:r>
          </w:p>
        </w:tc>
      </w:tr>
      <w:tr w:rsidR="00FF4D65" w:rsidTr="00FB20DE">
        <w:tc>
          <w:tcPr>
            <w:tcW w:w="2076" w:type="dxa"/>
          </w:tcPr>
          <w:p w:rsidR="00FF4D65" w:rsidRDefault="00FF4D65" w:rsidP="00FF4D65">
            <w:pPr>
              <w:jc w:val="left"/>
            </w:pPr>
            <w:r>
              <w:rPr>
                <w:rFonts w:hint="eastAsia"/>
              </w:rPr>
              <w:t>开放频率</w:t>
            </w:r>
          </w:p>
        </w:tc>
        <w:tc>
          <w:tcPr>
            <w:tcW w:w="6230" w:type="dxa"/>
            <w:gridSpan w:val="3"/>
          </w:tcPr>
          <w:p w:rsidR="00FF4D65" w:rsidRDefault="00FF4D65" w:rsidP="00FF4D65">
            <w:pPr>
              <w:jc w:val="left"/>
            </w:pPr>
            <w:r>
              <w:rPr>
                <w:rFonts w:hint="eastAsia"/>
              </w:rPr>
              <w:t>每个开放日</w:t>
            </w:r>
          </w:p>
        </w:tc>
      </w:tr>
      <w:tr w:rsidR="00FF4D65" w:rsidTr="00FF4D65">
        <w:tc>
          <w:tcPr>
            <w:tcW w:w="2076" w:type="dxa"/>
            <w:vMerge w:val="restart"/>
          </w:tcPr>
          <w:p w:rsidR="00FF4D65" w:rsidRDefault="00FF4D65" w:rsidP="00FF4D65">
            <w:pPr>
              <w:jc w:val="left"/>
            </w:pPr>
            <w:r>
              <w:rPr>
                <w:rFonts w:hint="eastAsia"/>
              </w:rPr>
              <w:t>基金经理</w:t>
            </w:r>
          </w:p>
        </w:tc>
        <w:tc>
          <w:tcPr>
            <w:tcW w:w="2076" w:type="dxa"/>
            <w:vMerge w:val="restart"/>
          </w:tcPr>
          <w:p w:rsidR="00FF4D65" w:rsidRDefault="00FF4D65" w:rsidP="00FF4D65">
            <w:pPr>
              <w:jc w:val="left"/>
            </w:pPr>
            <w:r>
              <w:rPr>
                <w:rFonts w:hint="eastAsia"/>
              </w:rPr>
              <w:t>解锐</w:t>
            </w:r>
          </w:p>
        </w:tc>
        <w:tc>
          <w:tcPr>
            <w:tcW w:w="2077" w:type="dxa"/>
          </w:tcPr>
          <w:p w:rsidR="00FF4D65" w:rsidRDefault="00FF4D65" w:rsidP="00FF4D65">
            <w:pPr>
              <w:jc w:val="left"/>
            </w:pPr>
            <w:r>
              <w:rPr>
                <w:rFonts w:hint="eastAsia"/>
              </w:rPr>
              <w:t>开始担任本基金基金经理的日期</w:t>
            </w:r>
          </w:p>
        </w:tc>
        <w:tc>
          <w:tcPr>
            <w:tcW w:w="2077" w:type="dxa"/>
          </w:tcPr>
          <w:p w:rsidR="00FF4D65" w:rsidRDefault="00FF4D65" w:rsidP="00FF4D65">
            <w:pPr>
              <w:jc w:val="left"/>
            </w:pPr>
            <w:r>
              <w:rPr>
                <w:rFonts w:hint="eastAsia"/>
              </w:rPr>
              <w:t>2022</w:t>
            </w:r>
            <w:r>
              <w:rPr>
                <w:rFonts w:hint="eastAsia"/>
              </w:rPr>
              <w:t>年</w:t>
            </w:r>
            <w:r>
              <w:rPr>
                <w:rFonts w:hint="eastAsia"/>
              </w:rPr>
              <w:t>2</w:t>
            </w:r>
            <w:r>
              <w:rPr>
                <w:rFonts w:hint="eastAsia"/>
              </w:rPr>
              <w:t>月</w:t>
            </w:r>
            <w:r>
              <w:rPr>
                <w:rFonts w:hint="eastAsia"/>
              </w:rPr>
              <w:t>18</w:t>
            </w:r>
            <w:r>
              <w:rPr>
                <w:rFonts w:hint="eastAsia"/>
              </w:rPr>
              <w:t>日</w:t>
            </w:r>
          </w:p>
        </w:tc>
      </w:tr>
      <w:tr w:rsidR="00FF4D65" w:rsidTr="00FF4D65">
        <w:tc>
          <w:tcPr>
            <w:tcW w:w="2076" w:type="dxa"/>
            <w:vMerge/>
          </w:tcPr>
          <w:p w:rsidR="00FF4D65" w:rsidRDefault="00FF4D65" w:rsidP="00FF4D65">
            <w:pPr>
              <w:jc w:val="left"/>
            </w:pPr>
          </w:p>
        </w:tc>
        <w:tc>
          <w:tcPr>
            <w:tcW w:w="2076" w:type="dxa"/>
            <w:vMerge/>
          </w:tcPr>
          <w:p w:rsidR="00FF4D65" w:rsidRDefault="00FF4D65" w:rsidP="00FF4D65">
            <w:pPr>
              <w:jc w:val="left"/>
            </w:pPr>
          </w:p>
        </w:tc>
        <w:tc>
          <w:tcPr>
            <w:tcW w:w="2077" w:type="dxa"/>
          </w:tcPr>
          <w:p w:rsidR="00FF4D65" w:rsidRDefault="00FF4D65" w:rsidP="00FF4D65">
            <w:pPr>
              <w:jc w:val="left"/>
            </w:pPr>
            <w:r>
              <w:rPr>
                <w:rFonts w:hint="eastAsia"/>
              </w:rPr>
              <w:t>证券从业日期</w:t>
            </w:r>
          </w:p>
        </w:tc>
        <w:tc>
          <w:tcPr>
            <w:tcW w:w="2077" w:type="dxa"/>
          </w:tcPr>
          <w:p w:rsidR="00FF4D65" w:rsidRDefault="00FF4D65" w:rsidP="00FF4D65">
            <w:pPr>
              <w:jc w:val="lef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tc>
      </w:tr>
      <w:tr w:rsidR="00FF4D65" w:rsidTr="00935FCA">
        <w:tc>
          <w:tcPr>
            <w:tcW w:w="2076" w:type="dxa"/>
          </w:tcPr>
          <w:p w:rsidR="00FF4D65" w:rsidRDefault="00FF4D65" w:rsidP="00FF4D65">
            <w:pPr>
              <w:jc w:val="left"/>
            </w:pPr>
            <w:r>
              <w:rPr>
                <w:rFonts w:hint="eastAsia"/>
              </w:rPr>
              <w:t>其他</w:t>
            </w:r>
          </w:p>
        </w:tc>
        <w:tc>
          <w:tcPr>
            <w:tcW w:w="6230" w:type="dxa"/>
            <w:gridSpan w:val="3"/>
          </w:tcPr>
          <w:p w:rsidR="00FF4D65" w:rsidRDefault="00FF4D65" w:rsidP="00FF4D65">
            <w:pPr>
              <w:jc w:val="left"/>
            </w:pPr>
            <w:r>
              <w:rPr>
                <w:rFonts w:hint="eastAsia"/>
              </w:rPr>
              <w:t>若将来基金管理人推出以大数据</w:t>
            </w:r>
            <w:r>
              <w:rPr>
                <w:rFonts w:hint="eastAsia"/>
              </w:rPr>
              <w:t>300</w:t>
            </w:r>
            <w:r>
              <w:rPr>
                <w:rFonts w:hint="eastAsia"/>
              </w:rPr>
              <w:t>指数为标的指数的交易型开放式指数基金（</w:t>
            </w:r>
            <w:r>
              <w:rPr>
                <w:rFonts w:hint="eastAsia"/>
              </w:rPr>
              <w:t>ETF</w:t>
            </w:r>
            <w:r>
              <w:rPr>
                <w:rFonts w:hint="eastAsia"/>
              </w:rPr>
              <w:t>），本基金由基金管理人和基金托管人协商一致后可相应调整为该交易型开放式指数基金（</w:t>
            </w:r>
            <w:r>
              <w:rPr>
                <w:rFonts w:hint="eastAsia"/>
              </w:rPr>
              <w:t>ETF</w:t>
            </w:r>
            <w:r>
              <w:rPr>
                <w:rFonts w:hint="eastAsia"/>
              </w:rPr>
              <w:t>）的联接基金模式并对投资运作等相关内容进行调整，届时无需召开基金份额持有人大会，但需报中国证监会变更注册或备案并提前公告。</w:t>
            </w:r>
          </w:p>
        </w:tc>
      </w:tr>
    </w:tbl>
    <w:p w:rsidR="00FF4D65" w:rsidRDefault="00FF4D65" w:rsidP="00FF4D65">
      <w:pPr>
        <w:pStyle w:val="-1"/>
        <w:spacing w:before="156" w:after="156"/>
        <w:rPr>
          <w:rFonts w:hint="eastAsia"/>
        </w:rPr>
      </w:pPr>
      <w:r>
        <w:rPr>
          <w:rFonts w:hint="eastAsia"/>
        </w:rPr>
        <w:t>二、基金投资与净值表现</w:t>
      </w:r>
    </w:p>
    <w:p w:rsidR="00FF4D65" w:rsidRDefault="00FF4D65" w:rsidP="00FF4D65">
      <w:pPr>
        <w:pStyle w:val="-2"/>
        <w:spacing w:before="156" w:after="156"/>
        <w:rPr>
          <w:rFonts w:hint="eastAsia"/>
        </w:rPr>
      </w:pPr>
      <w:r>
        <w:rPr>
          <w:rFonts w:hint="eastAsia"/>
        </w:rPr>
        <w:t>（一）</w:t>
      </w:r>
      <w:r>
        <w:rPr>
          <w:rFonts w:hint="eastAsia"/>
        </w:rPr>
        <w:t xml:space="preserve"> </w:t>
      </w:r>
      <w:r>
        <w:rPr>
          <w:rFonts w:hint="eastAsia"/>
        </w:rPr>
        <w:t>投资目标与投资策略</w:t>
      </w:r>
    </w:p>
    <w:p w:rsidR="00FF4D65" w:rsidRDefault="00FF4D65" w:rsidP="00FF4D65">
      <w:pPr>
        <w:pStyle w:val="-"/>
        <w:ind w:firstLine="420"/>
        <w:rPr>
          <w:rFonts w:hint="eastAsia"/>
        </w:rPr>
      </w:pPr>
      <w:r>
        <w:rPr>
          <w:rFonts w:hint="eastAsia"/>
        </w:rPr>
        <w:t>详见《南方大数据</w:t>
      </w:r>
      <w:r>
        <w:rPr>
          <w:rFonts w:hint="eastAsia"/>
        </w:rPr>
        <w:t>300</w:t>
      </w:r>
      <w:r>
        <w:rPr>
          <w:rFonts w:hint="eastAsia"/>
        </w:rPr>
        <w:t>指数证券投资基金招募说明书》第九部分“基金的投资”。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F4D65" w:rsidTr="00FF4D65">
        <w:tc>
          <w:tcPr>
            <w:tcW w:w="1701" w:type="dxa"/>
          </w:tcPr>
          <w:p w:rsidR="00FF4D65" w:rsidRDefault="00FF4D65" w:rsidP="00FF4D65">
            <w:pPr>
              <w:jc w:val="left"/>
            </w:pPr>
            <w:r>
              <w:rPr>
                <w:rFonts w:hint="eastAsia"/>
              </w:rPr>
              <w:t>投资目标</w:t>
            </w:r>
          </w:p>
        </w:tc>
        <w:tc>
          <w:tcPr>
            <w:tcW w:w="6804" w:type="dxa"/>
          </w:tcPr>
          <w:p w:rsidR="00FF4D65" w:rsidRDefault="00FF4D65" w:rsidP="00FF4D65">
            <w:pPr>
              <w:jc w:val="left"/>
            </w:pPr>
            <w:r>
              <w:rPr>
                <w:rFonts w:hint="eastAsia"/>
              </w:rPr>
              <w:t>本基金进行被动式指数化投资，紧密跟踪标的指数，追求与业绩比较基准相似的回报。</w:t>
            </w:r>
          </w:p>
        </w:tc>
      </w:tr>
      <w:tr w:rsidR="00FF4D65" w:rsidTr="00FF4D65">
        <w:tc>
          <w:tcPr>
            <w:tcW w:w="1701" w:type="dxa"/>
          </w:tcPr>
          <w:p w:rsidR="00FF4D65" w:rsidRDefault="00FF4D65" w:rsidP="00FF4D65">
            <w:pPr>
              <w:jc w:val="left"/>
            </w:pPr>
            <w:r>
              <w:rPr>
                <w:rFonts w:hint="eastAsia"/>
              </w:rPr>
              <w:t>投资范围</w:t>
            </w:r>
          </w:p>
        </w:tc>
        <w:tc>
          <w:tcPr>
            <w:tcW w:w="6804" w:type="dxa"/>
          </w:tcPr>
          <w:p w:rsidR="00FF4D65" w:rsidRDefault="00FF4D65" w:rsidP="00FF4D65">
            <w:pPr>
              <w:jc w:val="left"/>
              <w:rPr>
                <w:rFonts w:hint="eastAsia"/>
              </w:rPr>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本基金可投资存托凭证。</w:t>
            </w:r>
          </w:p>
          <w:p w:rsidR="00FF4D65" w:rsidRDefault="00FF4D65" w:rsidP="00FF4D65">
            <w:pPr>
              <w:jc w:val="left"/>
              <w:rPr>
                <w:rFonts w:hint="eastAsia"/>
              </w:rPr>
            </w:pPr>
            <w:r>
              <w:rPr>
                <w:rFonts w:hint="eastAsia"/>
              </w:rPr>
              <w:lastRenderedPageBreak/>
              <w:t>基金的投资组合比例为：本基金</w:t>
            </w:r>
            <w:r>
              <w:rPr>
                <w:rFonts w:hint="eastAsia"/>
              </w:rPr>
              <w:t>80%</w:t>
            </w:r>
            <w:r>
              <w:rPr>
                <w:rFonts w:hint="eastAsia"/>
              </w:rPr>
              <w:t>以上的基金资产投资于股票（含存托凭证）。本基金投资于标的指数成份股及其备选成份股的比例不低于基金资产净值的</w:t>
            </w:r>
            <w:r>
              <w:rPr>
                <w:rFonts w:hint="eastAsia"/>
              </w:rPr>
              <w:t>85%</w:t>
            </w:r>
            <w:r>
              <w:rPr>
                <w:rFonts w:hint="eastAsia"/>
              </w:rPr>
              <w:t>，且不低于非现金基金资产的</w:t>
            </w:r>
            <w:r>
              <w:rPr>
                <w:rFonts w:hint="eastAsia"/>
              </w:rPr>
              <w:t>80%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p w:rsidR="00FF4D65" w:rsidRDefault="00FF4D65" w:rsidP="00FF4D65">
            <w:pPr>
              <w:jc w:val="left"/>
            </w:pPr>
            <w:r>
              <w:rPr>
                <w:rFonts w:hint="eastAsia"/>
              </w:rPr>
              <w:t>本基金的标的指数为大数据</w:t>
            </w:r>
            <w:r>
              <w:rPr>
                <w:rFonts w:hint="eastAsia"/>
              </w:rPr>
              <w:t>300</w:t>
            </w:r>
            <w:r>
              <w:rPr>
                <w:rFonts w:hint="eastAsia"/>
              </w:rPr>
              <w:t>指数，及其未来可能发生的变更。</w:t>
            </w:r>
          </w:p>
        </w:tc>
      </w:tr>
      <w:tr w:rsidR="00FF4D65" w:rsidTr="00FF4D65">
        <w:tc>
          <w:tcPr>
            <w:tcW w:w="1701" w:type="dxa"/>
          </w:tcPr>
          <w:p w:rsidR="00FF4D65" w:rsidRDefault="00FF4D65" w:rsidP="00FF4D65">
            <w:pPr>
              <w:jc w:val="left"/>
            </w:pPr>
            <w:r>
              <w:rPr>
                <w:rFonts w:hint="eastAsia"/>
              </w:rPr>
              <w:lastRenderedPageBreak/>
              <w:t>主要投资策略</w:t>
            </w:r>
          </w:p>
        </w:tc>
        <w:tc>
          <w:tcPr>
            <w:tcW w:w="6804" w:type="dxa"/>
          </w:tcPr>
          <w:p w:rsidR="00FF4D65" w:rsidRDefault="00FF4D65" w:rsidP="00FF4D65">
            <w:pPr>
              <w:jc w:val="left"/>
            </w:pPr>
            <w:r>
              <w:rPr>
                <w:rFonts w:hint="eastAsia"/>
              </w:rPr>
              <w:t>本基金为被动式指数基金，原则上采用指数复制法，按照成份股在标的指数中的基准权重构建指数化投资组合，并根据标的指数成份股及其权重的变化进行相应调整。</w:t>
            </w:r>
            <w:r>
              <w:rPr>
                <w:rFonts w:hint="eastAsia"/>
              </w:rPr>
              <w:t xml:space="preserve"> </w:t>
            </w: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0.5%</w:t>
            </w:r>
            <w:r>
              <w:rPr>
                <w:rFonts w:hint="eastAsia"/>
              </w:rPr>
              <w:t>，年跟踪误差不超过</w:t>
            </w:r>
            <w:r>
              <w:rPr>
                <w:rFonts w:hint="eastAsia"/>
              </w:rPr>
              <w:t>6%</w:t>
            </w:r>
            <w:r>
              <w:rPr>
                <w:rFonts w:hint="eastAsia"/>
              </w:rPr>
              <w:t>。如因指数编制规则调整或其他因素导致跟踪偏离度和跟踪误差超过上述范围，基金管理人应采取合理措施避免跟踪偏离度、跟踪误差进一步扩大。</w:t>
            </w:r>
          </w:p>
        </w:tc>
      </w:tr>
      <w:tr w:rsidR="00FF4D65" w:rsidTr="00FF4D65">
        <w:tc>
          <w:tcPr>
            <w:tcW w:w="1701" w:type="dxa"/>
          </w:tcPr>
          <w:p w:rsidR="00FF4D65" w:rsidRDefault="00FF4D65" w:rsidP="00FF4D65">
            <w:pPr>
              <w:jc w:val="left"/>
            </w:pPr>
            <w:r>
              <w:rPr>
                <w:rFonts w:hint="eastAsia"/>
              </w:rPr>
              <w:t>业绩比较基准</w:t>
            </w:r>
          </w:p>
        </w:tc>
        <w:tc>
          <w:tcPr>
            <w:tcW w:w="6804" w:type="dxa"/>
          </w:tcPr>
          <w:p w:rsidR="00FF4D65" w:rsidRDefault="00FF4D65" w:rsidP="00FF4D65">
            <w:pPr>
              <w:jc w:val="left"/>
            </w:pPr>
            <w:r>
              <w:rPr>
                <w:rFonts w:hint="eastAsia"/>
              </w:rPr>
              <w:t>大数据</w:t>
            </w:r>
            <w:r>
              <w:rPr>
                <w:rFonts w:hint="eastAsia"/>
              </w:rPr>
              <w:t>300</w:t>
            </w:r>
            <w:r>
              <w:rPr>
                <w:rFonts w:hint="eastAsia"/>
              </w:rPr>
              <w:t>指数收益率×</w:t>
            </w:r>
            <w:r>
              <w:rPr>
                <w:rFonts w:hint="eastAsia"/>
              </w:rPr>
              <w:t>95%+</w:t>
            </w:r>
            <w:r>
              <w:rPr>
                <w:rFonts w:hint="eastAsia"/>
              </w:rPr>
              <w:t>银行人民币活期存款利率（税后）×</w:t>
            </w:r>
            <w:r>
              <w:rPr>
                <w:rFonts w:hint="eastAsia"/>
              </w:rPr>
              <w:t>5%</w:t>
            </w:r>
          </w:p>
        </w:tc>
      </w:tr>
      <w:tr w:rsidR="00FF4D65" w:rsidTr="00FF4D65">
        <w:tc>
          <w:tcPr>
            <w:tcW w:w="1701" w:type="dxa"/>
          </w:tcPr>
          <w:p w:rsidR="00FF4D65" w:rsidRDefault="00FF4D65" w:rsidP="00FF4D65">
            <w:pPr>
              <w:jc w:val="left"/>
            </w:pPr>
            <w:r>
              <w:rPr>
                <w:rFonts w:hint="eastAsia"/>
              </w:rPr>
              <w:t>风险收益特征</w:t>
            </w:r>
          </w:p>
        </w:tc>
        <w:tc>
          <w:tcPr>
            <w:tcW w:w="6804" w:type="dxa"/>
          </w:tcPr>
          <w:p w:rsidR="00FF4D65" w:rsidRDefault="00FF4D65" w:rsidP="00FF4D65">
            <w:pPr>
              <w:jc w:val="left"/>
            </w:pPr>
            <w:r>
              <w:rPr>
                <w:rFonts w:hint="eastAsia"/>
              </w:rPr>
              <w:t>本基金为股票型基金，其长期平均风险和预期收益水平高于混合型基金、债券型基金及货币市场基金。本基金为指数型基金，具有与标的指数相似的风险收益特征。</w:t>
            </w:r>
          </w:p>
        </w:tc>
      </w:tr>
    </w:tbl>
    <w:p w:rsidR="00FF4D65" w:rsidRDefault="00FF4D65" w:rsidP="00FF4D6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F4D65" w:rsidRDefault="00FF4D65" w:rsidP="00FF4D65">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FF4D65" w:rsidRDefault="00FF4D65" w:rsidP="00FF4D6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F4D65" w:rsidRDefault="00FF4D65" w:rsidP="00FF4D65">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FF4D65" w:rsidRDefault="00FF4D65" w:rsidP="00FF4D65">
      <w:pPr>
        <w:pStyle w:val="-1"/>
        <w:spacing w:before="156" w:after="156"/>
        <w:rPr>
          <w:rFonts w:hint="eastAsia"/>
        </w:rPr>
      </w:pPr>
      <w:r>
        <w:rPr>
          <w:rFonts w:hint="eastAsia"/>
        </w:rPr>
        <w:t>三、投资本基金涉及的费用</w:t>
      </w:r>
    </w:p>
    <w:p w:rsidR="00FF4D65" w:rsidRDefault="00FF4D65" w:rsidP="00FF4D6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F4D65" w:rsidTr="00FF4D65">
        <w:tc>
          <w:tcPr>
            <w:tcW w:w="2076" w:type="dxa"/>
          </w:tcPr>
          <w:p w:rsidR="00FF4D65" w:rsidRDefault="00FF4D65" w:rsidP="00FF4D65">
            <w:pPr>
              <w:jc w:val="center"/>
            </w:pPr>
            <w:r>
              <w:rPr>
                <w:rFonts w:hint="eastAsia"/>
              </w:rPr>
              <w:t>费用类型</w:t>
            </w:r>
          </w:p>
        </w:tc>
        <w:tc>
          <w:tcPr>
            <w:tcW w:w="2076" w:type="dxa"/>
          </w:tcPr>
          <w:p w:rsidR="00FF4D65" w:rsidRDefault="00FF4D65" w:rsidP="00FF4D6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F4D65" w:rsidRDefault="00FF4D65" w:rsidP="00FF4D65">
            <w:pPr>
              <w:jc w:val="center"/>
            </w:pPr>
            <w:r>
              <w:rPr>
                <w:rFonts w:hint="eastAsia"/>
              </w:rPr>
              <w:t>收费方式</w:t>
            </w:r>
            <w:r>
              <w:rPr>
                <w:rFonts w:hint="eastAsia"/>
              </w:rPr>
              <w:t>/</w:t>
            </w:r>
            <w:r>
              <w:rPr>
                <w:rFonts w:hint="eastAsia"/>
              </w:rPr>
              <w:t>费率</w:t>
            </w:r>
          </w:p>
        </w:tc>
        <w:tc>
          <w:tcPr>
            <w:tcW w:w="2077" w:type="dxa"/>
          </w:tcPr>
          <w:p w:rsidR="00FF4D65" w:rsidRDefault="00FF4D65" w:rsidP="00FF4D65">
            <w:pPr>
              <w:jc w:val="center"/>
            </w:pPr>
            <w:r>
              <w:rPr>
                <w:rFonts w:hint="eastAsia"/>
              </w:rPr>
              <w:t>备注</w:t>
            </w:r>
          </w:p>
        </w:tc>
      </w:tr>
      <w:tr w:rsidR="00FF4D65" w:rsidTr="00FF4D65">
        <w:tc>
          <w:tcPr>
            <w:tcW w:w="2076" w:type="dxa"/>
            <w:vMerge w:val="restart"/>
          </w:tcPr>
          <w:p w:rsidR="00FF4D65" w:rsidRDefault="00FF4D65" w:rsidP="00FF4D65">
            <w:pPr>
              <w:jc w:val="center"/>
            </w:pPr>
            <w:r>
              <w:rPr>
                <w:rFonts w:hint="eastAsia"/>
              </w:rPr>
              <w:t>认购费</w:t>
            </w:r>
          </w:p>
        </w:tc>
        <w:tc>
          <w:tcPr>
            <w:tcW w:w="2076" w:type="dxa"/>
          </w:tcPr>
          <w:p w:rsidR="00FF4D65" w:rsidRDefault="00FF4D65" w:rsidP="00FF4D65">
            <w:pPr>
              <w:jc w:val="left"/>
            </w:pPr>
            <w:r>
              <w:rPr>
                <w:rFonts w:hint="eastAsia"/>
              </w:rPr>
              <w:t>M&lt; 100</w:t>
            </w:r>
            <w:r>
              <w:rPr>
                <w:rFonts w:hint="eastAsia"/>
              </w:rPr>
              <w:t>万元</w:t>
            </w:r>
          </w:p>
        </w:tc>
        <w:tc>
          <w:tcPr>
            <w:tcW w:w="2077" w:type="dxa"/>
          </w:tcPr>
          <w:p w:rsidR="00FF4D65" w:rsidRDefault="00FF4D65" w:rsidP="00FF4D65">
            <w:pPr>
              <w:jc w:val="right"/>
            </w:pPr>
            <w:r>
              <w:t>1%</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100</w:t>
            </w:r>
            <w:r>
              <w:rPr>
                <w:rFonts w:hint="eastAsia"/>
              </w:rPr>
              <w:t>万元≤</w:t>
            </w:r>
            <w:r>
              <w:rPr>
                <w:rFonts w:hint="eastAsia"/>
              </w:rPr>
              <w:t>M&lt; 300</w:t>
            </w:r>
            <w:r>
              <w:rPr>
                <w:rFonts w:hint="eastAsia"/>
              </w:rPr>
              <w:t>万元</w:t>
            </w:r>
          </w:p>
        </w:tc>
        <w:tc>
          <w:tcPr>
            <w:tcW w:w="2077" w:type="dxa"/>
          </w:tcPr>
          <w:p w:rsidR="00FF4D65" w:rsidRDefault="00FF4D65" w:rsidP="00FF4D65">
            <w:pPr>
              <w:jc w:val="right"/>
            </w:pPr>
            <w:r>
              <w:t>0.6%</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300</w:t>
            </w:r>
            <w:r>
              <w:rPr>
                <w:rFonts w:hint="eastAsia"/>
              </w:rPr>
              <w:t>万元≤</w:t>
            </w:r>
            <w:r>
              <w:rPr>
                <w:rFonts w:hint="eastAsia"/>
              </w:rPr>
              <w:t>M&lt; 500</w:t>
            </w:r>
            <w:r>
              <w:rPr>
                <w:rFonts w:hint="eastAsia"/>
              </w:rPr>
              <w:t>万元</w:t>
            </w:r>
          </w:p>
        </w:tc>
        <w:tc>
          <w:tcPr>
            <w:tcW w:w="2077" w:type="dxa"/>
          </w:tcPr>
          <w:p w:rsidR="00FF4D65" w:rsidRDefault="00FF4D65" w:rsidP="00FF4D65">
            <w:pPr>
              <w:jc w:val="right"/>
            </w:pPr>
            <w:r>
              <w:t>0.3%</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500</w:t>
            </w:r>
            <w:r>
              <w:rPr>
                <w:rFonts w:hint="eastAsia"/>
              </w:rPr>
              <w:t>万元≤</w:t>
            </w:r>
            <w:r>
              <w:rPr>
                <w:rFonts w:hint="eastAsia"/>
              </w:rPr>
              <w:t>M</w:t>
            </w:r>
          </w:p>
        </w:tc>
        <w:tc>
          <w:tcPr>
            <w:tcW w:w="2077" w:type="dxa"/>
          </w:tcPr>
          <w:p w:rsidR="00FF4D65" w:rsidRDefault="00FF4D65" w:rsidP="00FF4D65">
            <w:pPr>
              <w:jc w:val="left"/>
            </w:pPr>
            <w:r>
              <w:rPr>
                <w:rFonts w:hint="eastAsia"/>
              </w:rPr>
              <w:t>每笔</w:t>
            </w:r>
            <w:r>
              <w:rPr>
                <w:rFonts w:hint="eastAsia"/>
              </w:rPr>
              <w:t>1000.00</w:t>
            </w:r>
            <w:r>
              <w:rPr>
                <w:rFonts w:hint="eastAsia"/>
              </w:rPr>
              <w:t>元</w:t>
            </w:r>
          </w:p>
        </w:tc>
        <w:tc>
          <w:tcPr>
            <w:tcW w:w="2077" w:type="dxa"/>
          </w:tcPr>
          <w:p w:rsidR="00FF4D65" w:rsidRDefault="00FF4D65" w:rsidP="00FF4D65">
            <w:pPr>
              <w:jc w:val="right"/>
            </w:pPr>
            <w:r>
              <w:t>-</w:t>
            </w:r>
          </w:p>
        </w:tc>
      </w:tr>
      <w:tr w:rsidR="00FF4D65" w:rsidTr="00FF4D65">
        <w:tc>
          <w:tcPr>
            <w:tcW w:w="2076" w:type="dxa"/>
            <w:vMerge w:val="restart"/>
          </w:tcPr>
          <w:p w:rsidR="00FF4D65" w:rsidRDefault="00FF4D65" w:rsidP="00FF4D65">
            <w:pPr>
              <w:jc w:val="center"/>
            </w:pPr>
            <w:r>
              <w:rPr>
                <w:rFonts w:hint="eastAsia"/>
              </w:rPr>
              <w:t>申购费（前收费）</w:t>
            </w:r>
          </w:p>
        </w:tc>
        <w:tc>
          <w:tcPr>
            <w:tcW w:w="2076" w:type="dxa"/>
          </w:tcPr>
          <w:p w:rsidR="00FF4D65" w:rsidRDefault="00FF4D65" w:rsidP="00FF4D65">
            <w:pPr>
              <w:jc w:val="left"/>
            </w:pPr>
            <w:r>
              <w:rPr>
                <w:rFonts w:hint="eastAsia"/>
              </w:rPr>
              <w:t>M&lt; 100</w:t>
            </w:r>
            <w:r>
              <w:rPr>
                <w:rFonts w:hint="eastAsia"/>
              </w:rPr>
              <w:t>万元</w:t>
            </w:r>
          </w:p>
        </w:tc>
        <w:tc>
          <w:tcPr>
            <w:tcW w:w="2077" w:type="dxa"/>
          </w:tcPr>
          <w:p w:rsidR="00FF4D65" w:rsidRDefault="00FF4D65" w:rsidP="00FF4D65">
            <w:pPr>
              <w:jc w:val="right"/>
            </w:pPr>
            <w:r>
              <w:t>1.2%</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100</w:t>
            </w:r>
            <w:r>
              <w:rPr>
                <w:rFonts w:hint="eastAsia"/>
              </w:rPr>
              <w:t>万元≤</w:t>
            </w:r>
            <w:r>
              <w:rPr>
                <w:rFonts w:hint="eastAsia"/>
              </w:rPr>
              <w:t>M&lt; 300</w:t>
            </w:r>
            <w:r>
              <w:rPr>
                <w:rFonts w:hint="eastAsia"/>
              </w:rPr>
              <w:t>万元</w:t>
            </w:r>
          </w:p>
        </w:tc>
        <w:tc>
          <w:tcPr>
            <w:tcW w:w="2077" w:type="dxa"/>
          </w:tcPr>
          <w:p w:rsidR="00FF4D65" w:rsidRDefault="00FF4D65" w:rsidP="00FF4D65">
            <w:pPr>
              <w:jc w:val="right"/>
            </w:pPr>
            <w:r>
              <w:t>0.8%</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300</w:t>
            </w:r>
            <w:r>
              <w:rPr>
                <w:rFonts w:hint="eastAsia"/>
              </w:rPr>
              <w:t>万元≤</w:t>
            </w:r>
            <w:r>
              <w:rPr>
                <w:rFonts w:hint="eastAsia"/>
              </w:rPr>
              <w:t>M&lt; 500</w:t>
            </w:r>
            <w:r>
              <w:rPr>
                <w:rFonts w:hint="eastAsia"/>
              </w:rPr>
              <w:t>万元</w:t>
            </w:r>
          </w:p>
        </w:tc>
        <w:tc>
          <w:tcPr>
            <w:tcW w:w="2077" w:type="dxa"/>
          </w:tcPr>
          <w:p w:rsidR="00FF4D65" w:rsidRDefault="00FF4D65" w:rsidP="00FF4D65">
            <w:pPr>
              <w:jc w:val="right"/>
            </w:pPr>
            <w:r>
              <w:t>0.4%</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500</w:t>
            </w:r>
            <w:r>
              <w:rPr>
                <w:rFonts w:hint="eastAsia"/>
              </w:rPr>
              <w:t>万元≤</w:t>
            </w:r>
            <w:r>
              <w:rPr>
                <w:rFonts w:hint="eastAsia"/>
              </w:rPr>
              <w:t>M</w:t>
            </w:r>
          </w:p>
        </w:tc>
        <w:tc>
          <w:tcPr>
            <w:tcW w:w="2077" w:type="dxa"/>
          </w:tcPr>
          <w:p w:rsidR="00FF4D65" w:rsidRDefault="00FF4D65" w:rsidP="00FF4D65">
            <w:pPr>
              <w:jc w:val="left"/>
            </w:pPr>
            <w:r>
              <w:rPr>
                <w:rFonts w:hint="eastAsia"/>
              </w:rPr>
              <w:t>每笔</w:t>
            </w:r>
            <w:r>
              <w:rPr>
                <w:rFonts w:hint="eastAsia"/>
              </w:rPr>
              <w:t>1000.00</w:t>
            </w:r>
            <w:r>
              <w:rPr>
                <w:rFonts w:hint="eastAsia"/>
              </w:rPr>
              <w:t>元</w:t>
            </w:r>
          </w:p>
        </w:tc>
        <w:tc>
          <w:tcPr>
            <w:tcW w:w="2077" w:type="dxa"/>
          </w:tcPr>
          <w:p w:rsidR="00FF4D65" w:rsidRDefault="00FF4D65" w:rsidP="00FF4D65">
            <w:pPr>
              <w:jc w:val="right"/>
            </w:pPr>
            <w:r>
              <w:t>-</w:t>
            </w:r>
          </w:p>
        </w:tc>
      </w:tr>
      <w:tr w:rsidR="00FF4D65" w:rsidTr="00FF4D65">
        <w:tc>
          <w:tcPr>
            <w:tcW w:w="2076" w:type="dxa"/>
            <w:vMerge w:val="restart"/>
          </w:tcPr>
          <w:p w:rsidR="00FF4D65" w:rsidRDefault="00FF4D65" w:rsidP="00FF4D65">
            <w:pPr>
              <w:jc w:val="center"/>
            </w:pPr>
            <w:r>
              <w:rPr>
                <w:rFonts w:hint="eastAsia"/>
              </w:rPr>
              <w:t>赎回费</w:t>
            </w:r>
          </w:p>
        </w:tc>
        <w:tc>
          <w:tcPr>
            <w:tcW w:w="2076" w:type="dxa"/>
          </w:tcPr>
          <w:p w:rsidR="00FF4D65" w:rsidRDefault="00FF4D65" w:rsidP="00FF4D65">
            <w:pPr>
              <w:jc w:val="left"/>
            </w:pPr>
            <w:r>
              <w:rPr>
                <w:rFonts w:hint="eastAsia"/>
              </w:rPr>
              <w:t>7</w:t>
            </w:r>
            <w:r>
              <w:rPr>
                <w:rFonts w:hint="eastAsia"/>
              </w:rPr>
              <w:t>天≤</w:t>
            </w:r>
            <w:r>
              <w:rPr>
                <w:rFonts w:hint="eastAsia"/>
              </w:rPr>
              <w:t xml:space="preserve"> N&lt; 365</w:t>
            </w:r>
            <w:r>
              <w:rPr>
                <w:rFonts w:hint="eastAsia"/>
              </w:rPr>
              <w:t>天</w:t>
            </w:r>
          </w:p>
        </w:tc>
        <w:tc>
          <w:tcPr>
            <w:tcW w:w="2077" w:type="dxa"/>
          </w:tcPr>
          <w:p w:rsidR="00FF4D65" w:rsidRDefault="00FF4D65" w:rsidP="00FF4D65">
            <w:pPr>
              <w:jc w:val="right"/>
            </w:pPr>
            <w:r>
              <w:t>0.5%</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FF4D65" w:rsidRDefault="00FF4D65" w:rsidP="00FF4D65">
            <w:pPr>
              <w:jc w:val="right"/>
            </w:pPr>
            <w:r>
              <w:t>0.25%</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2</w:t>
            </w:r>
            <w:r>
              <w:rPr>
                <w:rFonts w:hint="eastAsia"/>
              </w:rPr>
              <w:t>年≤</w:t>
            </w:r>
            <w:r>
              <w:rPr>
                <w:rFonts w:hint="eastAsia"/>
              </w:rPr>
              <w:t xml:space="preserve"> N</w:t>
            </w:r>
          </w:p>
        </w:tc>
        <w:tc>
          <w:tcPr>
            <w:tcW w:w="2077" w:type="dxa"/>
          </w:tcPr>
          <w:p w:rsidR="00FF4D65" w:rsidRDefault="00FF4D65" w:rsidP="00FF4D65">
            <w:pPr>
              <w:jc w:val="right"/>
            </w:pPr>
            <w:r>
              <w:t>0%</w:t>
            </w:r>
          </w:p>
        </w:tc>
        <w:tc>
          <w:tcPr>
            <w:tcW w:w="2077" w:type="dxa"/>
          </w:tcPr>
          <w:p w:rsidR="00FF4D65" w:rsidRDefault="00FF4D65" w:rsidP="00FF4D65">
            <w:pPr>
              <w:jc w:val="right"/>
            </w:pPr>
            <w:r>
              <w:t>-</w:t>
            </w:r>
          </w:p>
        </w:tc>
      </w:tr>
      <w:tr w:rsidR="00FF4D65" w:rsidTr="00FF4D65">
        <w:tc>
          <w:tcPr>
            <w:tcW w:w="2076" w:type="dxa"/>
            <w:vMerge/>
          </w:tcPr>
          <w:p w:rsidR="00FF4D65" w:rsidRDefault="00FF4D65" w:rsidP="00FF4D65">
            <w:pPr>
              <w:jc w:val="left"/>
            </w:pPr>
          </w:p>
        </w:tc>
        <w:tc>
          <w:tcPr>
            <w:tcW w:w="2076" w:type="dxa"/>
          </w:tcPr>
          <w:p w:rsidR="00FF4D65" w:rsidRDefault="00FF4D65" w:rsidP="00FF4D65">
            <w:pPr>
              <w:jc w:val="left"/>
            </w:pPr>
            <w:r>
              <w:rPr>
                <w:rFonts w:hint="eastAsia"/>
              </w:rPr>
              <w:t>N&lt; 7</w:t>
            </w:r>
            <w:r>
              <w:rPr>
                <w:rFonts w:hint="eastAsia"/>
              </w:rPr>
              <w:t>天</w:t>
            </w:r>
          </w:p>
        </w:tc>
        <w:tc>
          <w:tcPr>
            <w:tcW w:w="2077" w:type="dxa"/>
          </w:tcPr>
          <w:p w:rsidR="00FF4D65" w:rsidRDefault="00FF4D65" w:rsidP="00FF4D65">
            <w:pPr>
              <w:jc w:val="right"/>
            </w:pPr>
            <w:r>
              <w:t>1.5%</w:t>
            </w:r>
          </w:p>
        </w:tc>
        <w:tc>
          <w:tcPr>
            <w:tcW w:w="2077" w:type="dxa"/>
          </w:tcPr>
          <w:p w:rsidR="00FF4D65" w:rsidRDefault="00FF4D65" w:rsidP="00FF4D65">
            <w:pPr>
              <w:jc w:val="right"/>
            </w:pPr>
            <w:r>
              <w:t>-</w:t>
            </w:r>
          </w:p>
        </w:tc>
      </w:tr>
    </w:tbl>
    <w:p w:rsidR="00FF4D65" w:rsidRDefault="00FF4D65" w:rsidP="00FF4D65">
      <w:pPr>
        <w:pStyle w:val="-"/>
        <w:ind w:firstLine="420"/>
        <w:rPr>
          <w:rFonts w:hint="eastAsia"/>
        </w:rPr>
      </w:pPr>
      <w:r>
        <w:rPr>
          <w:rFonts w:hint="eastAsia"/>
        </w:rPr>
        <w:t>投资人重复申购，须按每次申购所对应的费率档次分别计费。</w:t>
      </w:r>
    </w:p>
    <w:p w:rsidR="00FF4D65" w:rsidRDefault="00FF4D65" w:rsidP="00FF4D65">
      <w:pPr>
        <w:pStyle w:val="-"/>
        <w:ind w:firstLine="420"/>
        <w:rPr>
          <w:rFonts w:hint="eastAsia"/>
        </w:rPr>
      </w:pPr>
      <w:r>
        <w:rPr>
          <w:rFonts w:hint="eastAsia"/>
        </w:rPr>
        <w:lastRenderedPageBreak/>
        <w:t>申购费用由投资人承担，不列入基金财产，主要用于本基金的市场推广、销售、登记等各项费用。</w:t>
      </w:r>
    </w:p>
    <w:p w:rsidR="00FF4D65" w:rsidRDefault="00FF4D65" w:rsidP="00FF4D6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F4D65" w:rsidTr="00FF4D65">
        <w:tc>
          <w:tcPr>
            <w:tcW w:w="2768" w:type="dxa"/>
          </w:tcPr>
          <w:p w:rsidR="00FF4D65" w:rsidRDefault="00FF4D65" w:rsidP="00FF4D65">
            <w:pPr>
              <w:jc w:val="left"/>
            </w:pPr>
            <w:r>
              <w:rPr>
                <w:rFonts w:hint="eastAsia"/>
              </w:rPr>
              <w:t>费用类别</w:t>
            </w:r>
          </w:p>
        </w:tc>
        <w:tc>
          <w:tcPr>
            <w:tcW w:w="2769" w:type="dxa"/>
          </w:tcPr>
          <w:p w:rsidR="00FF4D65" w:rsidRDefault="00FF4D65" w:rsidP="00FF4D65">
            <w:pPr>
              <w:jc w:val="left"/>
            </w:pPr>
            <w:r>
              <w:rPr>
                <w:rFonts w:hint="eastAsia"/>
              </w:rPr>
              <w:t>收费方式</w:t>
            </w:r>
          </w:p>
        </w:tc>
        <w:tc>
          <w:tcPr>
            <w:tcW w:w="2769" w:type="dxa"/>
          </w:tcPr>
          <w:p w:rsidR="00FF4D65" w:rsidRDefault="00FF4D65" w:rsidP="00FF4D65">
            <w:pPr>
              <w:jc w:val="left"/>
            </w:pPr>
            <w:r>
              <w:rPr>
                <w:rFonts w:hint="eastAsia"/>
              </w:rPr>
              <w:t>年费率</w:t>
            </w:r>
          </w:p>
        </w:tc>
      </w:tr>
      <w:tr w:rsidR="00FF4D65" w:rsidTr="00FF4D65">
        <w:tc>
          <w:tcPr>
            <w:tcW w:w="2768" w:type="dxa"/>
          </w:tcPr>
          <w:p w:rsidR="00FF4D65" w:rsidRDefault="00FF4D65" w:rsidP="00FF4D65">
            <w:pPr>
              <w:jc w:val="left"/>
            </w:pPr>
            <w:r>
              <w:rPr>
                <w:rFonts w:hint="eastAsia"/>
              </w:rPr>
              <w:t>管理费</w:t>
            </w:r>
          </w:p>
        </w:tc>
        <w:tc>
          <w:tcPr>
            <w:tcW w:w="2769" w:type="dxa"/>
          </w:tcPr>
          <w:p w:rsidR="00FF4D65" w:rsidRDefault="00FF4D65" w:rsidP="00FF4D65">
            <w:pPr>
              <w:jc w:val="right"/>
            </w:pPr>
            <w:r>
              <w:t>-</w:t>
            </w:r>
          </w:p>
        </w:tc>
        <w:tc>
          <w:tcPr>
            <w:tcW w:w="2769" w:type="dxa"/>
          </w:tcPr>
          <w:p w:rsidR="00FF4D65" w:rsidRDefault="00FF4D65" w:rsidP="00FF4D65">
            <w:pPr>
              <w:jc w:val="right"/>
            </w:pPr>
            <w:r>
              <w:t>0.50%</w:t>
            </w:r>
          </w:p>
        </w:tc>
      </w:tr>
      <w:tr w:rsidR="00FF4D65" w:rsidTr="00FF4D65">
        <w:tc>
          <w:tcPr>
            <w:tcW w:w="2768" w:type="dxa"/>
          </w:tcPr>
          <w:p w:rsidR="00FF4D65" w:rsidRDefault="00FF4D65" w:rsidP="00FF4D65">
            <w:pPr>
              <w:jc w:val="left"/>
            </w:pPr>
            <w:r>
              <w:rPr>
                <w:rFonts w:hint="eastAsia"/>
              </w:rPr>
              <w:t>托管费</w:t>
            </w:r>
          </w:p>
        </w:tc>
        <w:tc>
          <w:tcPr>
            <w:tcW w:w="2769" w:type="dxa"/>
          </w:tcPr>
          <w:p w:rsidR="00FF4D65" w:rsidRDefault="00FF4D65" w:rsidP="00FF4D65">
            <w:pPr>
              <w:jc w:val="right"/>
            </w:pPr>
            <w:r>
              <w:t>-</w:t>
            </w:r>
          </w:p>
        </w:tc>
        <w:tc>
          <w:tcPr>
            <w:tcW w:w="2769" w:type="dxa"/>
          </w:tcPr>
          <w:p w:rsidR="00FF4D65" w:rsidRDefault="00FF4D65" w:rsidP="00FF4D65">
            <w:pPr>
              <w:jc w:val="right"/>
            </w:pPr>
            <w:r>
              <w:t>0.15%</w:t>
            </w:r>
          </w:p>
        </w:tc>
      </w:tr>
      <w:tr w:rsidR="00FF4D65" w:rsidTr="00FF4D65">
        <w:tc>
          <w:tcPr>
            <w:tcW w:w="2768" w:type="dxa"/>
          </w:tcPr>
          <w:p w:rsidR="00FF4D65" w:rsidRDefault="00FF4D65" w:rsidP="00FF4D65">
            <w:pPr>
              <w:jc w:val="left"/>
            </w:pPr>
            <w:r>
              <w:rPr>
                <w:rFonts w:hint="eastAsia"/>
              </w:rPr>
              <w:t>销售服务费</w:t>
            </w:r>
          </w:p>
        </w:tc>
        <w:tc>
          <w:tcPr>
            <w:tcW w:w="2769" w:type="dxa"/>
          </w:tcPr>
          <w:p w:rsidR="00FF4D65" w:rsidRDefault="00FF4D65" w:rsidP="00FF4D65">
            <w:pPr>
              <w:jc w:val="right"/>
            </w:pPr>
            <w:r>
              <w:t>-</w:t>
            </w:r>
          </w:p>
        </w:tc>
        <w:tc>
          <w:tcPr>
            <w:tcW w:w="2769" w:type="dxa"/>
          </w:tcPr>
          <w:p w:rsidR="00FF4D65" w:rsidRDefault="00FF4D65" w:rsidP="00FF4D65">
            <w:pPr>
              <w:jc w:val="right"/>
            </w:pPr>
            <w:r>
              <w:t>-</w:t>
            </w:r>
          </w:p>
        </w:tc>
      </w:tr>
      <w:tr w:rsidR="00FF4D65" w:rsidTr="00F271C5">
        <w:tc>
          <w:tcPr>
            <w:tcW w:w="2768" w:type="dxa"/>
          </w:tcPr>
          <w:p w:rsidR="00FF4D65" w:rsidRDefault="00FF4D65" w:rsidP="00FF4D65">
            <w:pPr>
              <w:jc w:val="left"/>
            </w:pPr>
            <w:r>
              <w:rPr>
                <w:rFonts w:hint="eastAsia"/>
              </w:rPr>
              <w:t>其他费用</w:t>
            </w:r>
          </w:p>
        </w:tc>
        <w:tc>
          <w:tcPr>
            <w:tcW w:w="5538" w:type="dxa"/>
            <w:gridSpan w:val="2"/>
          </w:tcPr>
          <w:p w:rsidR="00FF4D65" w:rsidRDefault="00FF4D65" w:rsidP="00FF4D65">
            <w:pPr>
              <w:jc w:val="left"/>
            </w:pPr>
            <w:r>
              <w:rPr>
                <w:rFonts w:hint="eastAsia"/>
              </w:rPr>
              <w:t>基金管理人与标的指数供应商签订的相应指数许可协议约定的指数使用许可费，《基金合同》生效后与基金相关的信息披露费用，会计师费、律师费、审计费、诉讼费和仲裁费，基金份额持有人大会费用，基金的证券、期货交易费用，基金的银行汇划费用，按照国家有关规定和《基金合同》约定，可以在基金财产中列支的其他费用。</w:t>
            </w:r>
          </w:p>
        </w:tc>
      </w:tr>
    </w:tbl>
    <w:p w:rsidR="00FF4D65" w:rsidRDefault="00FF4D65" w:rsidP="00FF4D65">
      <w:pPr>
        <w:pStyle w:val="-7"/>
        <w:ind w:firstLine="420"/>
        <w:rPr>
          <w:rFonts w:hint="eastAsia"/>
        </w:rPr>
      </w:pPr>
      <w:r>
        <w:rPr>
          <w:rFonts w:hint="eastAsia"/>
        </w:rPr>
        <w:t>注：本基金交易证券、基金等产生的费用和税负，按实际发生额从基金资产扣除。</w:t>
      </w:r>
    </w:p>
    <w:p w:rsidR="00FF4D65" w:rsidRDefault="00FF4D65" w:rsidP="00FF4D65">
      <w:pPr>
        <w:pStyle w:val="-"/>
        <w:ind w:firstLine="420"/>
        <w:rPr>
          <w:rFonts w:hint="eastAsia"/>
        </w:rPr>
      </w:pPr>
      <w:r>
        <w:rPr>
          <w:rFonts w:hint="eastAsia"/>
        </w:rPr>
        <w:t>本基金指数使用许可费率为</w:t>
      </w:r>
      <w:r>
        <w:rPr>
          <w:rFonts w:hint="eastAsia"/>
        </w:rPr>
        <w:t>0.02%</w:t>
      </w:r>
      <w:r>
        <w:rPr>
          <w:rFonts w:hint="eastAsia"/>
        </w:rPr>
        <w:t>，指数使用许可费收取下限为每季度（自然季度）</w:t>
      </w:r>
      <w:r>
        <w:rPr>
          <w:rFonts w:hint="eastAsia"/>
        </w:rPr>
        <w:t>5</w:t>
      </w:r>
      <w:r>
        <w:rPr>
          <w:rFonts w:hint="eastAsia"/>
        </w:rPr>
        <w:t>万元。</w:t>
      </w:r>
    </w:p>
    <w:p w:rsidR="00FF4D65" w:rsidRDefault="00FF4D65" w:rsidP="00FF4D65">
      <w:pPr>
        <w:pStyle w:val="-1"/>
        <w:spacing w:before="156" w:after="156"/>
        <w:rPr>
          <w:rFonts w:hint="eastAsia"/>
        </w:rPr>
      </w:pPr>
      <w:r>
        <w:rPr>
          <w:rFonts w:hint="eastAsia"/>
        </w:rPr>
        <w:t>四、风险揭示与重要提示</w:t>
      </w:r>
    </w:p>
    <w:p w:rsidR="00FF4D65" w:rsidRDefault="00FF4D65" w:rsidP="00FF4D65">
      <w:pPr>
        <w:pStyle w:val="-2"/>
        <w:spacing w:before="156" w:after="156"/>
        <w:rPr>
          <w:rFonts w:hint="eastAsia"/>
        </w:rPr>
      </w:pPr>
      <w:r>
        <w:rPr>
          <w:rFonts w:hint="eastAsia"/>
        </w:rPr>
        <w:t>（一）</w:t>
      </w:r>
      <w:r>
        <w:rPr>
          <w:rFonts w:hint="eastAsia"/>
        </w:rPr>
        <w:t xml:space="preserve"> </w:t>
      </w:r>
      <w:r>
        <w:rPr>
          <w:rFonts w:hint="eastAsia"/>
        </w:rPr>
        <w:t>风险揭示</w:t>
      </w:r>
    </w:p>
    <w:p w:rsidR="00FF4D65" w:rsidRDefault="00FF4D65" w:rsidP="00FF4D65">
      <w:pPr>
        <w:pStyle w:val="-"/>
        <w:ind w:firstLine="420"/>
        <w:rPr>
          <w:rFonts w:hint="eastAsia"/>
        </w:rPr>
      </w:pPr>
      <w:r>
        <w:rPr>
          <w:rFonts w:hint="eastAsia"/>
        </w:rPr>
        <w:t>本基金不提供任何保证。投资者可能损失投资本金。</w:t>
      </w:r>
    </w:p>
    <w:p w:rsidR="00FF4D65" w:rsidRDefault="00FF4D65" w:rsidP="00FF4D65">
      <w:pPr>
        <w:pStyle w:val="-"/>
        <w:ind w:firstLine="420"/>
        <w:rPr>
          <w:rFonts w:hint="eastAsia"/>
        </w:rPr>
      </w:pPr>
      <w:r>
        <w:rPr>
          <w:rFonts w:hint="eastAsia"/>
        </w:rPr>
        <w:t>投资有风险，投资者购买基金时应认真阅读本基金的《招募说明书》等销售文件。</w:t>
      </w:r>
    </w:p>
    <w:p w:rsidR="00FF4D65" w:rsidRDefault="00FF4D65" w:rsidP="00FF4D65">
      <w:pPr>
        <w:pStyle w:val="-"/>
        <w:ind w:firstLine="420"/>
        <w:rPr>
          <w:rFonts w:hint="eastAsia"/>
        </w:rPr>
      </w:pPr>
      <w:r>
        <w:rPr>
          <w:rFonts w:hint="eastAsia"/>
        </w:rPr>
        <w:t>一、市场风险</w:t>
      </w:r>
    </w:p>
    <w:p w:rsidR="00FF4D65" w:rsidRDefault="00FF4D65" w:rsidP="00FF4D65">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FF4D65" w:rsidRDefault="00FF4D65" w:rsidP="00FF4D65">
      <w:pPr>
        <w:pStyle w:val="-"/>
        <w:ind w:firstLine="420"/>
        <w:rPr>
          <w:rFonts w:hint="eastAsia"/>
        </w:rPr>
      </w:pPr>
      <w:r>
        <w:rPr>
          <w:rFonts w:hint="eastAsia"/>
        </w:rPr>
        <w:t>二、管理风险</w:t>
      </w:r>
    </w:p>
    <w:p w:rsidR="00FF4D65" w:rsidRDefault="00FF4D65" w:rsidP="00FF4D6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FF4D65" w:rsidRDefault="00FF4D65" w:rsidP="00FF4D65">
      <w:pPr>
        <w:pStyle w:val="-"/>
        <w:ind w:firstLine="420"/>
        <w:rPr>
          <w:rFonts w:hint="eastAsia"/>
        </w:rPr>
      </w:pPr>
      <w:r>
        <w:rPr>
          <w:rFonts w:hint="eastAsia"/>
        </w:rPr>
        <w:t>三、流动性风险</w:t>
      </w:r>
    </w:p>
    <w:p w:rsidR="00FF4D65" w:rsidRDefault="00FF4D65" w:rsidP="00FF4D65">
      <w:pPr>
        <w:pStyle w:val="-"/>
        <w:ind w:firstLine="420"/>
        <w:rPr>
          <w:rFonts w:hint="eastAsia"/>
        </w:rPr>
      </w:pPr>
      <w:r>
        <w:rPr>
          <w:rFonts w:hint="eastAsia"/>
        </w:rPr>
        <w:t>1</w:t>
      </w:r>
      <w:r>
        <w:rPr>
          <w:rFonts w:hint="eastAsia"/>
        </w:rPr>
        <w:t>、本基金的申购、赎回安排</w:t>
      </w:r>
    </w:p>
    <w:p w:rsidR="00FF4D65" w:rsidRDefault="00FF4D65" w:rsidP="00FF4D65">
      <w:pPr>
        <w:pStyle w:val="-"/>
        <w:ind w:firstLine="420"/>
        <w:rPr>
          <w:rFonts w:hint="eastAsia"/>
        </w:rPr>
      </w:pPr>
      <w:r>
        <w:rPr>
          <w:rFonts w:hint="eastAsia"/>
        </w:rPr>
        <w:t>2</w:t>
      </w:r>
      <w:r>
        <w:rPr>
          <w:rFonts w:hint="eastAsia"/>
        </w:rPr>
        <w:t>、投资市场、行业及资产的流动性风险评估</w:t>
      </w:r>
    </w:p>
    <w:p w:rsidR="00FF4D65" w:rsidRDefault="00FF4D65" w:rsidP="00FF4D65">
      <w:pPr>
        <w:pStyle w:val="-"/>
        <w:ind w:firstLine="420"/>
        <w:rPr>
          <w:rFonts w:hint="eastAsia"/>
        </w:rPr>
      </w:pPr>
      <w:r>
        <w:rPr>
          <w:rFonts w:hint="eastAsia"/>
        </w:rPr>
        <w:t>3</w:t>
      </w:r>
      <w:r>
        <w:rPr>
          <w:rFonts w:hint="eastAsia"/>
        </w:rPr>
        <w:t>、巨额赎回情形下的流动性风险管理措施</w:t>
      </w:r>
    </w:p>
    <w:p w:rsidR="00FF4D65" w:rsidRDefault="00FF4D65" w:rsidP="00FF4D65">
      <w:pPr>
        <w:pStyle w:val="-"/>
        <w:ind w:firstLine="420"/>
        <w:rPr>
          <w:rFonts w:hint="eastAsia"/>
        </w:rPr>
      </w:pPr>
      <w:r>
        <w:rPr>
          <w:rFonts w:hint="eastAsia"/>
        </w:rPr>
        <w:t>4</w:t>
      </w:r>
      <w:r>
        <w:rPr>
          <w:rFonts w:hint="eastAsia"/>
        </w:rPr>
        <w:t>、实施备用的流动性风险管理工具的情形、程序及对投资者的潜在影响</w:t>
      </w:r>
    </w:p>
    <w:p w:rsidR="00FF4D65" w:rsidRDefault="00FF4D65" w:rsidP="00FF4D6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F4D65" w:rsidRDefault="00FF4D65" w:rsidP="00FF4D65">
      <w:pPr>
        <w:pStyle w:val="-"/>
        <w:ind w:firstLine="420"/>
        <w:rPr>
          <w:rFonts w:hint="eastAsia"/>
        </w:rPr>
      </w:pPr>
      <w:r>
        <w:rPr>
          <w:rFonts w:hint="eastAsia"/>
        </w:rPr>
        <w:t>四、其他风险</w:t>
      </w:r>
    </w:p>
    <w:p w:rsidR="00FF4D65" w:rsidRDefault="00FF4D65" w:rsidP="00FF4D65">
      <w:pPr>
        <w:pStyle w:val="-"/>
        <w:ind w:firstLine="420"/>
        <w:rPr>
          <w:rFonts w:hint="eastAsia"/>
        </w:rPr>
      </w:pPr>
      <w:r>
        <w:rPr>
          <w:rFonts w:hint="eastAsia"/>
        </w:rPr>
        <w:lastRenderedPageBreak/>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FF4D65" w:rsidRDefault="00FF4D65" w:rsidP="00FF4D65">
      <w:pPr>
        <w:pStyle w:val="-"/>
        <w:ind w:firstLine="420"/>
        <w:rPr>
          <w:rFonts w:hint="eastAsia"/>
        </w:rPr>
      </w:pPr>
      <w:r>
        <w:rPr>
          <w:rFonts w:hint="eastAsia"/>
        </w:rPr>
        <w:t>五、本基金特有的风险</w:t>
      </w:r>
    </w:p>
    <w:p w:rsidR="00FF4D65" w:rsidRDefault="00FF4D65" w:rsidP="00FF4D65">
      <w:pPr>
        <w:pStyle w:val="-"/>
        <w:ind w:firstLine="420"/>
        <w:rPr>
          <w:rFonts w:hint="eastAsia"/>
        </w:rPr>
      </w:pPr>
      <w:r>
        <w:rPr>
          <w:rFonts w:hint="eastAsia"/>
        </w:rPr>
        <w:t>（一）本基金与传统指数基金的主要差异</w:t>
      </w:r>
    </w:p>
    <w:p w:rsidR="00FF4D65" w:rsidRDefault="00FF4D65" w:rsidP="00FF4D65">
      <w:pPr>
        <w:pStyle w:val="-"/>
        <w:ind w:firstLine="420"/>
        <w:rPr>
          <w:rFonts w:hint="eastAsia"/>
        </w:rPr>
      </w:pPr>
      <w:r>
        <w:rPr>
          <w:rFonts w:hint="eastAsia"/>
        </w:rPr>
        <w:t>本基金与传统指数基金的主要差异是跟踪标的指数的不同。从编制方法的角度考虑，股票指数可以分为两大类：表征类指数和策略类指数。表征类指数主要目的是代表特定市场、市值规模、行业、风格或者主题股票的状况，刻画这一类市场的整体走势，流动性好的表征类指数也可以作为指数基金的投资标的。策略类指数不以刻画某一类市场的整体走势为目的，而是将投资策略引入指数编制方法，用指数的形式展示投资策略的效果。大数据指数是策略类指数的一个子类。表征类指数和策略类指数之间最显著的区别是选股依据的不同。表征类指数主要依据市值规模、行业类别、风格特征以及主题等不同方面的标准选定相应的成份股。以往市场上常见的策略类指数的选股依据一般包括两大类：财务指标和市场驱动指标。大数据</w:t>
      </w:r>
      <w:r>
        <w:rPr>
          <w:rFonts w:hint="eastAsia"/>
        </w:rPr>
        <w:t>300</w:t>
      </w:r>
      <w:r>
        <w:rPr>
          <w:rFonts w:hint="eastAsia"/>
        </w:rPr>
        <w:t>指数的选股标准与上述策略指数的主要区别是，不仅使用了财务指标和市场驱动指标，还通过大数据因子来量化市场情绪，共同形成选股机制。</w:t>
      </w:r>
    </w:p>
    <w:p w:rsidR="00FF4D65" w:rsidRDefault="00FF4D65" w:rsidP="00FF4D65">
      <w:pPr>
        <w:pStyle w:val="-"/>
        <w:ind w:firstLine="420"/>
        <w:rPr>
          <w:rFonts w:hint="eastAsia"/>
        </w:rPr>
      </w:pPr>
      <w:r>
        <w:rPr>
          <w:rFonts w:hint="eastAsia"/>
        </w:rPr>
        <w:t>（二）本基金特有的风险</w:t>
      </w:r>
    </w:p>
    <w:p w:rsidR="00FF4D65" w:rsidRDefault="00FF4D65" w:rsidP="00FF4D65">
      <w:pPr>
        <w:pStyle w:val="-"/>
        <w:ind w:firstLine="420"/>
        <w:rPr>
          <w:rFonts w:hint="eastAsia"/>
        </w:rPr>
      </w:pPr>
      <w:r>
        <w:rPr>
          <w:rFonts w:hint="eastAsia"/>
        </w:rPr>
        <w:t>本基金通过被动式指数化投资以实现跟踪标的指数，但由于基金费用、交易成本、指数成份股选取规则和基金估值方法之间的差异等因素，可能造成本基金实际收益率与指数收益率存在偏离。</w:t>
      </w:r>
    </w:p>
    <w:p w:rsidR="00FF4D65" w:rsidRDefault="00FF4D65" w:rsidP="00FF4D65">
      <w:pPr>
        <w:pStyle w:val="-"/>
        <w:ind w:firstLine="420"/>
        <w:rPr>
          <w:rFonts w:hint="eastAsia"/>
        </w:rPr>
      </w:pPr>
      <w:r>
        <w:rPr>
          <w:rFonts w:hint="eastAsia"/>
        </w:rPr>
        <w:t>作为一只指数型基金，本基金特有的风险主要表现在以下几方面：</w:t>
      </w:r>
    </w:p>
    <w:p w:rsidR="00FF4D65" w:rsidRDefault="00FF4D65" w:rsidP="00FF4D65">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F4D65" w:rsidRDefault="00FF4D65" w:rsidP="00FF4D65">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FF4D65" w:rsidRDefault="00FF4D65" w:rsidP="00FF4D65">
      <w:pPr>
        <w:pStyle w:val="-"/>
        <w:ind w:firstLine="420"/>
        <w:rPr>
          <w:rFonts w:hint="eastAsia"/>
        </w:rPr>
      </w:pPr>
      <w:r>
        <w:rPr>
          <w:rFonts w:hint="eastAsia"/>
        </w:rPr>
        <w:t>3</w:t>
      </w:r>
      <w:r>
        <w:rPr>
          <w:rFonts w:hint="eastAsia"/>
        </w:rPr>
        <w:t>、基金投资组合回报与标的指数回报偏离的风险及跟踪误差控制未达约定目标的风险：即基金在跟踪指数时由于各种原因导致基金的业绩表现与标的指数表现之间产生差异的不确定性，可能包括以下因素：</w:t>
      </w:r>
    </w:p>
    <w:p w:rsidR="00FF4D65" w:rsidRDefault="00FF4D65" w:rsidP="00FF4D65">
      <w:pPr>
        <w:pStyle w:val="-"/>
        <w:ind w:firstLine="420"/>
        <w:rPr>
          <w:rFonts w:hint="eastAsia"/>
        </w:rPr>
      </w:pPr>
      <w:r>
        <w:rPr>
          <w:rFonts w:hint="eastAsia"/>
        </w:rPr>
        <w:t>（</w:t>
      </w:r>
      <w:r>
        <w:rPr>
          <w:rFonts w:hint="eastAsia"/>
        </w:rPr>
        <w:t>1</w:t>
      </w:r>
      <w:r>
        <w:rPr>
          <w:rFonts w:hint="eastAsia"/>
        </w:rPr>
        <w:t>）标的指数成份股的配股、增发、分红等公司行为；</w:t>
      </w:r>
    </w:p>
    <w:p w:rsidR="00FF4D65" w:rsidRDefault="00FF4D65" w:rsidP="00FF4D65">
      <w:pPr>
        <w:pStyle w:val="-"/>
        <w:ind w:firstLine="420"/>
        <w:rPr>
          <w:rFonts w:hint="eastAsia"/>
        </w:rPr>
      </w:pPr>
      <w:r>
        <w:rPr>
          <w:rFonts w:hint="eastAsia"/>
        </w:rPr>
        <w:t>（</w:t>
      </w:r>
      <w:r>
        <w:rPr>
          <w:rFonts w:hint="eastAsia"/>
        </w:rPr>
        <w:t>2</w:t>
      </w:r>
      <w:r>
        <w:rPr>
          <w:rFonts w:hint="eastAsia"/>
        </w:rPr>
        <w:t>）标的指数成份股的调整；</w:t>
      </w:r>
    </w:p>
    <w:p w:rsidR="00FF4D65" w:rsidRDefault="00FF4D65" w:rsidP="00FF4D65">
      <w:pPr>
        <w:pStyle w:val="-"/>
        <w:ind w:firstLine="420"/>
        <w:rPr>
          <w:rFonts w:hint="eastAsia"/>
        </w:rPr>
      </w:pPr>
      <w:r>
        <w:rPr>
          <w:rFonts w:hint="eastAsia"/>
        </w:rPr>
        <w:t>（</w:t>
      </w:r>
      <w:r>
        <w:rPr>
          <w:rFonts w:hint="eastAsia"/>
        </w:rPr>
        <w:t>3</w:t>
      </w:r>
      <w:r>
        <w:rPr>
          <w:rFonts w:hint="eastAsia"/>
        </w:rPr>
        <w:t>）基金买卖股票时产生的交易成本和交易冲击；</w:t>
      </w:r>
    </w:p>
    <w:p w:rsidR="00FF4D65" w:rsidRDefault="00FF4D65" w:rsidP="00FF4D65">
      <w:pPr>
        <w:pStyle w:val="-"/>
        <w:ind w:firstLine="420"/>
        <w:rPr>
          <w:rFonts w:hint="eastAsia"/>
        </w:rPr>
      </w:pPr>
      <w:r>
        <w:rPr>
          <w:rFonts w:hint="eastAsia"/>
        </w:rPr>
        <w:t>（</w:t>
      </w:r>
      <w:r>
        <w:rPr>
          <w:rFonts w:hint="eastAsia"/>
        </w:rPr>
        <w:t>4</w:t>
      </w:r>
      <w:r>
        <w:rPr>
          <w:rFonts w:hint="eastAsia"/>
        </w:rPr>
        <w:t>）申购、赎回因素带来的跟踪误差；</w:t>
      </w:r>
    </w:p>
    <w:p w:rsidR="00FF4D65" w:rsidRDefault="00FF4D65" w:rsidP="00FF4D65">
      <w:pPr>
        <w:pStyle w:val="-"/>
        <w:ind w:firstLine="420"/>
        <w:rPr>
          <w:rFonts w:hint="eastAsia"/>
        </w:rPr>
      </w:pPr>
      <w:r>
        <w:rPr>
          <w:rFonts w:hint="eastAsia"/>
        </w:rPr>
        <w:t>（</w:t>
      </w:r>
      <w:r>
        <w:rPr>
          <w:rFonts w:hint="eastAsia"/>
        </w:rPr>
        <w:t>5</w:t>
      </w:r>
      <w:r>
        <w:rPr>
          <w:rFonts w:hint="eastAsia"/>
        </w:rPr>
        <w:t>）新股市值配售、新股认购带来的跟踪误差；</w:t>
      </w:r>
    </w:p>
    <w:p w:rsidR="00FF4D65" w:rsidRDefault="00FF4D65" w:rsidP="00FF4D65">
      <w:pPr>
        <w:pStyle w:val="-"/>
        <w:ind w:firstLine="420"/>
        <w:rPr>
          <w:rFonts w:hint="eastAsia"/>
        </w:rPr>
      </w:pPr>
      <w:r>
        <w:rPr>
          <w:rFonts w:hint="eastAsia"/>
        </w:rPr>
        <w:t>（</w:t>
      </w:r>
      <w:r>
        <w:rPr>
          <w:rFonts w:hint="eastAsia"/>
        </w:rPr>
        <w:t>6</w:t>
      </w:r>
      <w:r>
        <w:rPr>
          <w:rFonts w:hint="eastAsia"/>
        </w:rPr>
        <w:t>）基金现金资产的拖累；</w:t>
      </w:r>
    </w:p>
    <w:p w:rsidR="00FF4D65" w:rsidRDefault="00FF4D65" w:rsidP="00FF4D65">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FF4D65" w:rsidRDefault="00FF4D65" w:rsidP="00FF4D65">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FF4D65" w:rsidRDefault="00FF4D65" w:rsidP="00FF4D65">
      <w:pPr>
        <w:pStyle w:val="-"/>
        <w:ind w:firstLine="420"/>
        <w:rPr>
          <w:rFonts w:hint="eastAsia"/>
        </w:rPr>
      </w:pPr>
      <w:r>
        <w:rPr>
          <w:rFonts w:hint="eastAsia"/>
        </w:rPr>
        <w:t>（</w:t>
      </w:r>
      <w:r>
        <w:rPr>
          <w:rFonts w:hint="eastAsia"/>
        </w:rPr>
        <w:t>9</w:t>
      </w:r>
      <w:r>
        <w:rPr>
          <w:rFonts w:hint="eastAsia"/>
        </w:rPr>
        <w:t>）基金管理人的买入卖出时机选择；</w:t>
      </w:r>
    </w:p>
    <w:p w:rsidR="00FF4D65" w:rsidRDefault="00FF4D65" w:rsidP="00FF4D65">
      <w:pPr>
        <w:pStyle w:val="-"/>
        <w:ind w:firstLine="420"/>
        <w:rPr>
          <w:rFonts w:hint="eastAsia"/>
        </w:rPr>
      </w:pPr>
      <w:r>
        <w:rPr>
          <w:rFonts w:hint="eastAsia"/>
        </w:rPr>
        <w:t>（</w:t>
      </w:r>
      <w:r>
        <w:rPr>
          <w:rFonts w:hint="eastAsia"/>
        </w:rPr>
        <w:t>10</w:t>
      </w:r>
      <w:r>
        <w:rPr>
          <w:rFonts w:hint="eastAsia"/>
        </w:rPr>
        <w:t>）其他因素带来的偏差。</w:t>
      </w:r>
    </w:p>
    <w:p w:rsidR="00FF4D65" w:rsidRDefault="00FF4D65" w:rsidP="00FF4D65">
      <w:pPr>
        <w:pStyle w:val="-"/>
        <w:ind w:firstLine="420"/>
        <w:rPr>
          <w:rFonts w:hint="eastAsia"/>
        </w:rPr>
      </w:pPr>
      <w:r>
        <w:rPr>
          <w:rFonts w:hint="eastAsia"/>
        </w:rPr>
        <w:t>4</w:t>
      </w:r>
      <w:r>
        <w:rPr>
          <w:rFonts w:hint="eastAsia"/>
        </w:rPr>
        <w:t>、指数编制机构停止服务的风险</w:t>
      </w:r>
    </w:p>
    <w:p w:rsidR="00FF4D65" w:rsidRDefault="00FF4D65" w:rsidP="00FF4D6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w:t>
      </w:r>
      <w:r>
        <w:rPr>
          <w:rFonts w:hint="eastAsia"/>
        </w:rPr>
        <w:lastRenderedPageBreak/>
        <w:t>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FF4D65" w:rsidRDefault="00FF4D65" w:rsidP="00FF4D6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F4D65" w:rsidRDefault="00FF4D65" w:rsidP="00FF4D65">
      <w:pPr>
        <w:pStyle w:val="-"/>
        <w:ind w:firstLine="420"/>
        <w:rPr>
          <w:rFonts w:hint="eastAsia"/>
        </w:rPr>
      </w:pPr>
      <w:r>
        <w:rPr>
          <w:rFonts w:hint="eastAsia"/>
        </w:rPr>
        <w:t>5</w:t>
      </w:r>
      <w:r>
        <w:rPr>
          <w:rFonts w:hint="eastAsia"/>
        </w:rPr>
        <w:t>、成份股停牌、摘牌的风险</w:t>
      </w:r>
    </w:p>
    <w:p w:rsidR="00FF4D65" w:rsidRDefault="00FF4D65" w:rsidP="00FF4D6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F4D65" w:rsidRDefault="00FF4D65" w:rsidP="00FF4D65">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F4D65" w:rsidRDefault="00FF4D65" w:rsidP="00FF4D65">
      <w:pPr>
        <w:pStyle w:val="-"/>
        <w:ind w:firstLine="420"/>
        <w:rPr>
          <w:rFonts w:hint="eastAsia"/>
        </w:rPr>
      </w:pPr>
      <w:r>
        <w:rPr>
          <w:rFonts w:hint="eastAsia"/>
        </w:rPr>
        <w:t>6</w:t>
      </w:r>
      <w:r>
        <w:rPr>
          <w:rFonts w:hint="eastAsia"/>
        </w:rPr>
        <w:t>、标的指数变更的风险</w:t>
      </w:r>
    </w:p>
    <w:p w:rsidR="00FF4D65" w:rsidRDefault="00FF4D65" w:rsidP="00FF4D65">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F4D65" w:rsidRDefault="00FF4D65" w:rsidP="00FF4D65">
      <w:pPr>
        <w:pStyle w:val="-"/>
        <w:ind w:firstLine="420"/>
        <w:rPr>
          <w:rFonts w:hint="eastAsia"/>
        </w:rPr>
      </w:pPr>
      <w:r>
        <w:rPr>
          <w:rFonts w:hint="eastAsia"/>
        </w:rPr>
        <w:t>7</w:t>
      </w:r>
      <w:r>
        <w:rPr>
          <w:rFonts w:hint="eastAsia"/>
        </w:rPr>
        <w:t>、互联网公司未能及时、有效、准确提供数据的风险</w:t>
      </w:r>
    </w:p>
    <w:p w:rsidR="00FF4D65" w:rsidRDefault="00FF4D65" w:rsidP="00FF4D65">
      <w:pPr>
        <w:pStyle w:val="-"/>
        <w:ind w:firstLine="420"/>
        <w:rPr>
          <w:rFonts w:hint="eastAsia"/>
        </w:rPr>
      </w:pPr>
      <w:r>
        <w:rPr>
          <w:rFonts w:hint="eastAsia"/>
        </w:rPr>
        <w:t>大数据</w:t>
      </w:r>
      <w:r>
        <w:rPr>
          <w:rFonts w:hint="eastAsia"/>
        </w:rPr>
        <w:t>300</w:t>
      </w:r>
      <w:r>
        <w:rPr>
          <w:rFonts w:hint="eastAsia"/>
        </w:rPr>
        <w:t>指数由深圳证券信息有限公司与南方基金管理股份有限公司、北京新浪互联信息服务有限公司联合编制。互联网公司即北京新浪互联信息服务有限公司在大数据</w:t>
      </w:r>
      <w:r>
        <w:rPr>
          <w:rFonts w:hint="eastAsia"/>
        </w:rPr>
        <w:t>300</w:t>
      </w:r>
      <w:r>
        <w:rPr>
          <w:rFonts w:hint="eastAsia"/>
        </w:rPr>
        <w:t>指数的合作中负责大数据原始数据的提供。因此，本基金存在互联网公司未能及时、有效、准确提供数据的风险。若互联网公司未能及时、有效地提供相关原始数据，大数据</w:t>
      </w:r>
      <w:r>
        <w:rPr>
          <w:rFonts w:hint="eastAsia"/>
        </w:rPr>
        <w:t>300</w:t>
      </w:r>
      <w:r>
        <w:rPr>
          <w:rFonts w:hint="eastAsia"/>
        </w:rPr>
        <w:t>指数对市场情绪反应的时效性将可能受到影响，进而可能影响本基金的业绩表现；若互联网公司未能准确地提供相关原始数据，大数据</w:t>
      </w:r>
      <w:r>
        <w:rPr>
          <w:rFonts w:hint="eastAsia"/>
        </w:rPr>
        <w:t>300</w:t>
      </w:r>
      <w:r>
        <w:rPr>
          <w:rFonts w:hint="eastAsia"/>
        </w:rPr>
        <w:t>指数可能无法准确地反应市场情绪的变化，进而可能影响本基金的业绩表现。</w:t>
      </w:r>
    </w:p>
    <w:p w:rsidR="00FF4D65" w:rsidRDefault="00FF4D65" w:rsidP="00FF4D65">
      <w:pPr>
        <w:pStyle w:val="-"/>
        <w:ind w:firstLine="420"/>
        <w:rPr>
          <w:rFonts w:hint="eastAsia"/>
        </w:rPr>
      </w:pPr>
      <w:r>
        <w:rPr>
          <w:rFonts w:hint="eastAsia"/>
        </w:rPr>
        <w:t>8</w:t>
      </w:r>
      <w:r>
        <w:rPr>
          <w:rFonts w:hint="eastAsia"/>
        </w:rPr>
        <w:t>、基金管理人主动量化选股模型存在失效导致基金表现不佳的风险</w:t>
      </w:r>
    </w:p>
    <w:p w:rsidR="00FF4D65" w:rsidRDefault="00FF4D65" w:rsidP="00FF4D65">
      <w:pPr>
        <w:pStyle w:val="-"/>
        <w:ind w:firstLine="420"/>
        <w:rPr>
          <w:rFonts w:hint="eastAsia"/>
        </w:rPr>
      </w:pPr>
      <w:r>
        <w:rPr>
          <w:rFonts w:hint="eastAsia"/>
        </w:rPr>
        <w:t>本基金为策略指数基金，所跟踪的大数据</w:t>
      </w:r>
      <w:r>
        <w:rPr>
          <w:rFonts w:hint="eastAsia"/>
        </w:rPr>
        <w:t>300</w:t>
      </w:r>
      <w:r>
        <w:rPr>
          <w:rFonts w:hint="eastAsia"/>
        </w:rPr>
        <w:t>指数为策略指数。基金管理人通过主动量化选股模型确定指数编制策略。大数据</w:t>
      </w:r>
      <w:r>
        <w:rPr>
          <w:rFonts w:hint="eastAsia"/>
        </w:rPr>
        <w:t>300</w:t>
      </w:r>
      <w:r>
        <w:rPr>
          <w:rFonts w:hint="eastAsia"/>
        </w:rPr>
        <w:t>指数对样本空间的股票，通过对原始数据进行处理加工计算得到财务因子得分、市场驱动因子得分和大数据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指数和本基金未来的表现。</w:t>
      </w:r>
    </w:p>
    <w:p w:rsidR="00FF4D65" w:rsidRDefault="00FF4D65" w:rsidP="00FF4D65">
      <w:pPr>
        <w:pStyle w:val="-"/>
        <w:ind w:firstLine="420"/>
        <w:rPr>
          <w:rFonts w:hint="eastAsia"/>
        </w:rPr>
      </w:pPr>
      <w:r>
        <w:rPr>
          <w:rFonts w:hint="eastAsia"/>
        </w:rPr>
        <w:t>（三）投资于存托凭证的风险</w:t>
      </w:r>
    </w:p>
    <w:p w:rsidR="00FF4D65" w:rsidRDefault="00FF4D65" w:rsidP="00FF4D6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F4D65" w:rsidRDefault="00FF4D65" w:rsidP="00FF4D65">
      <w:pPr>
        <w:pStyle w:val="-"/>
        <w:ind w:firstLine="420"/>
        <w:rPr>
          <w:rFonts w:hint="eastAsia"/>
        </w:rPr>
      </w:pPr>
      <w:r>
        <w:rPr>
          <w:rFonts w:hint="eastAsia"/>
        </w:rPr>
        <w:t>六、本基金法律文件风险收益特征表述与销售机构基金风险评价可能不一致的风险</w:t>
      </w:r>
    </w:p>
    <w:p w:rsidR="00FF4D65" w:rsidRDefault="00FF4D65" w:rsidP="00FF4D6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FF4D65" w:rsidRDefault="00FF4D65" w:rsidP="00FF4D65">
      <w:pPr>
        <w:pStyle w:val="-2"/>
        <w:spacing w:before="156" w:after="156"/>
        <w:rPr>
          <w:rFonts w:hint="eastAsia"/>
        </w:rPr>
      </w:pPr>
      <w:r>
        <w:rPr>
          <w:rFonts w:hint="eastAsia"/>
        </w:rPr>
        <w:t>（二）</w:t>
      </w:r>
      <w:r>
        <w:rPr>
          <w:rFonts w:hint="eastAsia"/>
        </w:rPr>
        <w:t xml:space="preserve"> </w:t>
      </w:r>
      <w:r>
        <w:rPr>
          <w:rFonts w:hint="eastAsia"/>
        </w:rPr>
        <w:t>重要提示</w:t>
      </w:r>
    </w:p>
    <w:p w:rsidR="00FF4D65" w:rsidRDefault="00FF4D65" w:rsidP="00FF4D65">
      <w:pPr>
        <w:pStyle w:val="-"/>
        <w:ind w:firstLine="420"/>
        <w:rPr>
          <w:rFonts w:hint="eastAsia"/>
        </w:rPr>
      </w:pPr>
      <w:r>
        <w:rPr>
          <w:rFonts w:hint="eastAsia"/>
        </w:rPr>
        <w:t>南方大数据</w:t>
      </w:r>
      <w:r>
        <w:rPr>
          <w:rFonts w:hint="eastAsia"/>
        </w:rPr>
        <w:t>300</w:t>
      </w:r>
      <w:r>
        <w:rPr>
          <w:rFonts w:hint="eastAsia"/>
        </w:rPr>
        <w:t>指数证券投资基金（以下简称“本基金”）经中国证监会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27</w:t>
      </w:r>
      <w:r>
        <w:rPr>
          <w:rFonts w:hint="eastAsia"/>
        </w:rPr>
        <w:t>日证监许可</w:t>
      </w:r>
      <w:r>
        <w:rPr>
          <w:rFonts w:hint="eastAsia"/>
        </w:rPr>
        <w:t>[2015]1051</w:t>
      </w:r>
      <w:r>
        <w:rPr>
          <w:rFonts w:hint="eastAsia"/>
        </w:rPr>
        <w:t>号文注册募集。中国证监会对本基金募集的注册，并不表明其对本基金的价值和收益作出实质性判断或保证，也不表明投资于本基金没有风险。</w:t>
      </w:r>
    </w:p>
    <w:p w:rsidR="00FF4D65" w:rsidRDefault="00FF4D65" w:rsidP="00FF4D6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F4D65" w:rsidRDefault="00FF4D65" w:rsidP="00FF4D65">
      <w:pPr>
        <w:pStyle w:val="-"/>
        <w:ind w:firstLine="420"/>
        <w:rPr>
          <w:rFonts w:hint="eastAsia"/>
        </w:rPr>
      </w:pPr>
      <w:r>
        <w:rPr>
          <w:rFonts w:hint="eastAsia"/>
        </w:rPr>
        <w:t>基金投资者自依基金合同取得基金份额，即成为基金份额持有人和基金合同的当事人。</w:t>
      </w:r>
    </w:p>
    <w:p w:rsidR="00FF4D65" w:rsidRDefault="00FF4D65" w:rsidP="00FF4D6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F4D65" w:rsidRDefault="00FF4D65" w:rsidP="00FF4D6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F4D65" w:rsidRDefault="00FF4D65" w:rsidP="00FF4D6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F4D65" w:rsidRDefault="00FF4D65" w:rsidP="00FF4D65">
      <w:pPr>
        <w:pStyle w:val="-1"/>
        <w:spacing w:before="156" w:after="156"/>
        <w:rPr>
          <w:rFonts w:hint="eastAsia"/>
        </w:rPr>
      </w:pPr>
      <w:r>
        <w:rPr>
          <w:rFonts w:hint="eastAsia"/>
        </w:rPr>
        <w:t>五、其他资料查询方式</w:t>
      </w:r>
    </w:p>
    <w:p w:rsidR="00FF4D65" w:rsidRDefault="00FF4D65" w:rsidP="00FF4D6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F4D65" w:rsidRDefault="00FF4D65" w:rsidP="00FF4D65">
      <w:pPr>
        <w:pStyle w:val="-"/>
        <w:ind w:firstLine="420"/>
        <w:rPr>
          <w:rFonts w:hint="eastAsia"/>
        </w:rPr>
      </w:pPr>
      <w:r>
        <w:rPr>
          <w:rFonts w:hint="eastAsia"/>
        </w:rPr>
        <w:t>●《南方大数据</w:t>
      </w:r>
      <w:r>
        <w:rPr>
          <w:rFonts w:hint="eastAsia"/>
        </w:rPr>
        <w:t>300</w:t>
      </w:r>
      <w:r>
        <w:rPr>
          <w:rFonts w:hint="eastAsia"/>
        </w:rPr>
        <w:t>指数证券投资基金基金合同》、</w:t>
      </w:r>
    </w:p>
    <w:p w:rsidR="00FF4D65" w:rsidRDefault="00FF4D65" w:rsidP="00FF4D65">
      <w:pPr>
        <w:pStyle w:val="-"/>
        <w:ind w:firstLine="420"/>
        <w:rPr>
          <w:rFonts w:hint="eastAsia"/>
        </w:rPr>
      </w:pPr>
      <w:r>
        <w:rPr>
          <w:rFonts w:hint="eastAsia"/>
        </w:rPr>
        <w:t>《南方大数据</w:t>
      </w:r>
      <w:r>
        <w:rPr>
          <w:rFonts w:hint="eastAsia"/>
        </w:rPr>
        <w:t>300</w:t>
      </w:r>
      <w:r>
        <w:rPr>
          <w:rFonts w:hint="eastAsia"/>
        </w:rPr>
        <w:t>指数证券投资基金托管协议》、</w:t>
      </w:r>
    </w:p>
    <w:p w:rsidR="00FF4D65" w:rsidRDefault="00FF4D65" w:rsidP="00FF4D65">
      <w:pPr>
        <w:pStyle w:val="-"/>
        <w:ind w:firstLine="420"/>
        <w:rPr>
          <w:rFonts w:hint="eastAsia"/>
        </w:rPr>
      </w:pPr>
      <w:r>
        <w:rPr>
          <w:rFonts w:hint="eastAsia"/>
        </w:rPr>
        <w:t>《南方大数据</w:t>
      </w:r>
      <w:r>
        <w:rPr>
          <w:rFonts w:hint="eastAsia"/>
        </w:rPr>
        <w:t>300</w:t>
      </w:r>
      <w:r>
        <w:rPr>
          <w:rFonts w:hint="eastAsia"/>
        </w:rPr>
        <w:t>指数证券投资基金招募说明书》</w:t>
      </w:r>
    </w:p>
    <w:p w:rsidR="00FF4D65" w:rsidRDefault="00FF4D65" w:rsidP="00FF4D65">
      <w:pPr>
        <w:pStyle w:val="-"/>
        <w:ind w:firstLine="420"/>
        <w:rPr>
          <w:rFonts w:hint="eastAsia"/>
        </w:rPr>
      </w:pPr>
      <w:r>
        <w:rPr>
          <w:rFonts w:hint="eastAsia"/>
        </w:rPr>
        <w:t>●定期报告、包括基金季度报告、中期报告和年度报告</w:t>
      </w:r>
    </w:p>
    <w:p w:rsidR="00FF4D65" w:rsidRDefault="00FF4D65" w:rsidP="00FF4D65">
      <w:pPr>
        <w:pStyle w:val="-"/>
        <w:ind w:firstLine="420"/>
        <w:rPr>
          <w:rFonts w:hint="eastAsia"/>
        </w:rPr>
      </w:pPr>
      <w:r>
        <w:rPr>
          <w:rFonts w:hint="eastAsia"/>
        </w:rPr>
        <w:t>●基金份额净值</w:t>
      </w:r>
    </w:p>
    <w:p w:rsidR="00FF4D65" w:rsidRDefault="00FF4D65" w:rsidP="00FF4D65">
      <w:pPr>
        <w:pStyle w:val="-"/>
        <w:ind w:firstLine="420"/>
        <w:rPr>
          <w:rFonts w:hint="eastAsia"/>
        </w:rPr>
      </w:pPr>
      <w:r>
        <w:rPr>
          <w:rFonts w:hint="eastAsia"/>
        </w:rPr>
        <w:t>●基金销售机构及联系方式</w:t>
      </w:r>
    </w:p>
    <w:p w:rsidR="00FF4D65" w:rsidRDefault="00FF4D65" w:rsidP="00FF4D65">
      <w:pPr>
        <w:pStyle w:val="-"/>
        <w:ind w:firstLine="420"/>
        <w:rPr>
          <w:rFonts w:hint="eastAsia"/>
        </w:rPr>
      </w:pPr>
      <w:r>
        <w:rPr>
          <w:rFonts w:hint="eastAsia"/>
        </w:rPr>
        <w:t>●其他重要资料</w:t>
      </w:r>
    </w:p>
    <w:p w:rsidR="00FF4D65" w:rsidRDefault="00FF4D65" w:rsidP="00FF4D65">
      <w:pPr>
        <w:pStyle w:val="-1"/>
        <w:spacing w:before="156" w:after="156"/>
        <w:rPr>
          <w:rFonts w:hint="eastAsia"/>
        </w:rPr>
      </w:pPr>
      <w:r>
        <w:rPr>
          <w:rFonts w:hint="eastAsia"/>
        </w:rPr>
        <w:t>六、其他情况说明</w:t>
      </w:r>
    </w:p>
    <w:p w:rsidR="00FF4D65" w:rsidRDefault="00FF4D65" w:rsidP="00FF4D65">
      <w:pPr>
        <w:pStyle w:val="-"/>
        <w:ind w:firstLine="420"/>
        <w:rPr>
          <w:rFonts w:hint="eastAsia"/>
        </w:rPr>
      </w:pPr>
      <w:r>
        <w:rPr>
          <w:rFonts w:hint="eastAsia"/>
        </w:rPr>
        <w:t>暂无。</w:t>
      </w:r>
    </w:p>
    <w:p w:rsidR="00E67375" w:rsidRPr="00ED7F31" w:rsidRDefault="00FF4D65" w:rsidP="00FF4D6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65" w:rsidRDefault="00FF4D65" w:rsidP="00C06F04">
      <w:r>
        <w:separator/>
      </w:r>
    </w:p>
  </w:endnote>
  <w:endnote w:type="continuationSeparator" w:id="0">
    <w:p w:rsidR="00FF4D65" w:rsidRDefault="00FF4D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65" w:rsidRDefault="00FF4D6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F4D65" w:rsidRPr="00FF4D6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65" w:rsidRDefault="00FF4D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65" w:rsidRDefault="00FF4D65" w:rsidP="00C06F04">
      <w:r>
        <w:separator/>
      </w:r>
    </w:p>
  </w:footnote>
  <w:footnote w:type="continuationSeparator" w:id="0">
    <w:p w:rsidR="00FF4D65" w:rsidRDefault="00FF4D6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65" w:rsidRDefault="00FF4D6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F4D65" w:rsidP="00CE07B7">
    <w:pPr>
      <w:pStyle w:val="a7"/>
      <w:jc w:val="right"/>
    </w:pPr>
    <w:r>
      <w:rPr>
        <w:rFonts w:hint="eastAsia"/>
      </w:rPr>
      <w:t>南方大数据</w:t>
    </w:r>
    <w:r>
      <w:rPr>
        <w:rFonts w:hint="eastAsia"/>
      </w:rPr>
      <w:t>300</w:t>
    </w:r>
    <w:r>
      <w:rPr>
        <w:rFonts w:hint="eastAsia"/>
      </w:rPr>
      <w:t>指数证券投资基金（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65" w:rsidRDefault="00FF4D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 w:val="00FF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9A85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051B-4B6E-49A0-BF74-C3730BC9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5861</Characters>
  <Application>Microsoft Office Word</Application>
  <DocSecurity>0</DocSecurity>
  <Lines>48</Lines>
  <Paragraphs>13</Paragraphs>
  <ScaleCrop>false</ScaleCrop>
  <Company>MC SYSTEM</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2022-06-16T06:04:00Z</dcterms:created>
  <dcterms:modified xsi:type="dcterms:W3CDTF">2022-06-16T06:04:00Z</dcterms:modified>
</cp:coreProperties>
</file>