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P="00AC3CC5" w:rsidR="00893436" w:rsidRDefault="00893436" w:rsidRPr="005C57A1">
      <w:pPr>
        <w:widowControl/>
        <w:spacing w:line="360" w:lineRule="auto"/>
        <w:jc w:val="center"/>
        <w:rPr>
          <w:rFonts w:asciiTheme="minorEastAsia" w:cs="宋体" w:eastAsiaTheme="minorEastAsia" w:hAnsiTheme="minorEastAsia"/>
          <w:b/>
          <w:kern w:val="0"/>
          <w:sz w:val="30"/>
          <w:szCs w:val="30"/>
        </w:rPr>
      </w:pPr>
      <w:r w:rsidRPr="005C57A1">
        <w:rPr>
          <w:rFonts w:asciiTheme="minorEastAsia" w:cs="宋体" w:eastAsiaTheme="minorEastAsia" w:hAnsiTheme="minorEastAsia" w:hint="eastAsia"/>
          <w:b/>
          <w:kern w:val="0"/>
          <w:sz w:val="30"/>
          <w:szCs w:val="30"/>
        </w:rPr>
        <w:t>广发汇康定期开放债券型发起式证券投资基金分红公告</w:t>
      </w:r>
    </w:p>
    <w:p w:rsidP="00AC3CC5" w:rsidR="00893436" w:rsidRDefault="00893436" w:rsidRPr="002825C8">
      <w:pPr>
        <w:spacing w:line="360" w:lineRule="auto"/>
        <w:jc w:val="cente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公告送出日期：</w:t>
      </w:r>
      <w:r w:rsidRPr="002825C8">
        <w:rPr>
          <w:rFonts w:asciiTheme="minorEastAsia" w:eastAsiaTheme="minorEastAsia" w:hAnsiTheme="minorEastAsia"/>
          <w:bCs/>
          <w:sz w:val="24"/>
          <w:szCs w:val="24"/>
        </w:rPr>
        <w:t/>
      </w:r>
      <w:r w:rsidRPr="002825C8">
        <w:rPr>
          <w:rFonts w:asciiTheme="minorEastAsia" w:cs="宋体" w:eastAsiaTheme="minorEastAsia" w:hAnsiTheme="minorEastAsia" w:hint="eastAsia"/>
          <w:bCs/>
          <w:sz w:val="24"/>
          <w:szCs w:val="24"/>
        </w:rPr>
        <w:t/>
      </w:r>
      <w:r w:rsidRPr="002825C8">
        <w:rPr>
          <w:rFonts w:asciiTheme="minorEastAsia" w:cs="宋体" w:eastAsiaTheme="minorEastAsia" w:hAnsiTheme="minorEastAsia"/>
          <w:bCs/>
          <w:sz w:val="24"/>
          <w:szCs w:val="24"/>
        </w:rPr>
        <w:t>2022年6月22日</w:t>
      </w:r>
    </w:p>
    <w:p w:rsidP="00AC3CC5" w:rsidR="00893436" w:rsidRDefault="00893436" w:rsidRPr="002825C8">
      <w:pPr>
        <w:spacing w:line="360" w:lineRule="auto"/>
        <w:jc w:val="center"/>
        <w:rPr>
          <w:rFonts w:asciiTheme="minorEastAsia" w:eastAsiaTheme="minorEastAsia" w:hAnsiTheme="minorEastAsia"/>
          <w:color w:val="000000"/>
          <w:sz w:val="24"/>
          <w:szCs w:val="24"/>
        </w:rPr>
      </w:pPr>
    </w:p>
    <w:p w:rsidP="00AC3CC5" w:rsidR="00893436" w:rsidRDefault="00893436" w:rsidRPr="002825C8">
      <w:pPr>
        <w:pStyle w:val="2"/>
        <w:spacing w:line="360" w:lineRule="auto"/>
        <w:rPr>
          <w:rFonts w:asciiTheme="minorEastAsia" w:eastAsiaTheme="minorEastAsia" w:hAnsiTheme="minorEastAsia"/>
          <w:bCs w:val="0"/>
          <w:color w:val="000000"/>
          <w:sz w:val="24"/>
          <w:szCs w:val="24"/>
        </w:rPr>
      </w:pPr>
      <w:bookmarkStart w:id="0" w:name="_Toc275961418"/>
      <w:r w:rsidRPr="002825C8">
        <w:rPr>
          <w:rFonts w:asciiTheme="minorEastAsia" w:eastAsiaTheme="minorEastAsia" w:hAnsiTheme="minorEastAsia"/>
          <w:bCs w:val="0"/>
          <w:color w:val="000000"/>
          <w:sz w:val="24"/>
          <w:szCs w:val="24"/>
        </w:rPr>
        <w:t>1</w:t>
      </w:r>
      <w:r w:rsidR="00F15128">
        <w:rPr>
          <w:rFonts w:asciiTheme="minorEastAsia" w:eastAsiaTheme="minorEastAsia" w:hAnsiTheme="minorEastAsia" w:hint="eastAsia"/>
          <w:bCs w:val="0"/>
          <w:color w:val="000000"/>
          <w:sz w:val="24"/>
          <w:szCs w:val="24"/>
        </w:rPr>
        <w:t>.</w:t>
      </w:r>
      <w:r w:rsidRPr="002825C8">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4778"/>
        <w:gridCol w:w="4861"/>
      </w:tblGrid>
      <w:tr w:rsidR="0039192C" w:rsidRPr="002825C8" w:rsidTr="001E1256">
        <w:trPr>
          <w:jc w:val="center"/>
        </w:trPr>
        <w:tc>
          <w:tcPr>
            <w:tcW w:type="dxa" w:w="4778"/>
          </w:tcPr>
          <w:p w:rsidP="00AC3CC5" w:rsidR="0039192C" w:rsidRDefault="0039192C"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基金名称</w:t>
            </w:r>
          </w:p>
        </w:tc>
        <w:tc>
          <w:tcPr>
            <w:tcW w:type="dxa" w:w="4861"/>
            <w:vAlign w:val="center"/>
          </w:tcPr>
          <w:p w:rsidP="00AC3CC5" w:rsidR="0039192C" w:rsidRDefault="0039192C"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广发汇康定期开放债券型发起式证券投资基金</w:t>
            </w:r>
          </w:p>
        </w:tc>
      </w:tr>
      <w:tr w:rsidR="0039192C" w:rsidRPr="002825C8" w:rsidTr="001E1256">
        <w:trPr>
          <w:jc w:val="center"/>
        </w:trPr>
        <w:tc>
          <w:tcPr>
            <w:tcW w:type="dxa" w:w="4778"/>
          </w:tcPr>
          <w:p w:rsidP="00AC3CC5" w:rsidR="0039192C" w:rsidRDefault="0039192C"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基金简称</w:t>
            </w:r>
          </w:p>
        </w:tc>
        <w:tc>
          <w:tcPr>
            <w:tcW w:type="dxa" w:w="4861"/>
            <w:vAlign w:val="center"/>
          </w:tcPr>
          <w:p w:rsidP="00AC3CC5" w:rsidR="0039192C" w:rsidRDefault="0039192C"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广发汇康定期开放债券</w:t>
            </w:r>
          </w:p>
        </w:tc>
      </w:tr>
      <w:tr w:rsidR="0039192C" w:rsidRPr="002825C8" w:rsidTr="001E1256">
        <w:trPr>
          <w:jc w:val="center"/>
        </w:trPr>
        <w:tc>
          <w:tcPr>
            <w:tcW w:type="dxa" w:w="4778"/>
          </w:tcPr>
          <w:p w:rsidP="00AC3CC5" w:rsidR="0039192C" w:rsidRDefault="0039192C"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基金主代码</w:t>
            </w:r>
          </w:p>
        </w:tc>
        <w:tc>
          <w:tcPr>
            <w:tcW w:type="dxa" w:w="4861"/>
            <w:vAlign w:val="center"/>
          </w:tcPr>
          <w:p w:rsidP="00AC3CC5" w:rsidR="0039192C" w:rsidRDefault="0039192C"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005745</w:t>
            </w:r>
          </w:p>
        </w:tc>
      </w:tr>
      <w:tr w:rsidR="0039192C" w:rsidRPr="002825C8" w:rsidTr="001E1256">
        <w:trPr>
          <w:jc w:val="center"/>
        </w:trPr>
        <w:tc>
          <w:tcPr>
            <w:tcW w:type="dxa" w:w="4778"/>
            <w:vAlign w:val="center"/>
          </w:tcPr>
          <w:p w:rsidP="00AC3CC5" w:rsidR="0039192C" w:rsidRDefault="0039192C"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基金合同生效日</w:t>
            </w:r>
          </w:p>
        </w:tc>
        <w:tc>
          <w:tcPr>
            <w:tcW w:type="dxa" w:w="4861"/>
            <w:vAlign w:val="center"/>
          </w:tcPr>
          <w:p w:rsidP="00AC3CC5" w:rsidR="0039192C" w:rsidRDefault="003E51F2"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2018年4月16日</w:t>
            </w:r>
          </w:p>
        </w:tc>
      </w:tr>
      <w:tr w:rsidR="0039192C" w:rsidRPr="002825C8" w:rsidTr="001E1256">
        <w:trPr>
          <w:jc w:val="center"/>
        </w:trPr>
        <w:tc>
          <w:tcPr>
            <w:tcW w:type="dxa" w:w="4778"/>
          </w:tcPr>
          <w:p w:rsidP="00AC3CC5" w:rsidR="0039192C" w:rsidRDefault="0039192C"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基金管理人名称</w:t>
            </w:r>
          </w:p>
        </w:tc>
        <w:tc>
          <w:tcPr>
            <w:tcW w:type="dxa" w:w="4861"/>
            <w:vAlign w:val="center"/>
          </w:tcPr>
          <w:p w:rsidP="00AC3CC5" w:rsidR="0039192C" w:rsidRDefault="0039192C"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广发基金管理有限公司</w:t>
            </w:r>
          </w:p>
        </w:tc>
      </w:tr>
      <w:tr w:rsidR="0039192C" w:rsidRPr="002825C8" w:rsidTr="001E1256">
        <w:trPr>
          <w:jc w:val="center"/>
        </w:trPr>
        <w:tc>
          <w:tcPr>
            <w:tcW w:type="dxa" w:w="4778"/>
          </w:tcPr>
          <w:p w:rsidP="00AC3CC5" w:rsidR="0039192C" w:rsidRDefault="0039192C"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基金托管人名称</w:t>
            </w:r>
          </w:p>
        </w:tc>
        <w:tc>
          <w:tcPr>
            <w:tcW w:type="dxa" w:w="4861"/>
            <w:vAlign w:val="center"/>
          </w:tcPr>
          <w:p w:rsidP="00AC3CC5" w:rsidR="0039192C" w:rsidRDefault="0039192C"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兴业银行股份有限公司</w:t>
            </w:r>
          </w:p>
        </w:tc>
      </w:tr>
      <w:tr w:rsidR="0039192C" w:rsidRPr="002825C8" w:rsidTr="001E1256">
        <w:trPr>
          <w:jc w:val="center"/>
        </w:trPr>
        <w:tc>
          <w:tcPr>
            <w:tcW w:type="dxa" w:w="4778"/>
          </w:tcPr>
          <w:p w:rsidP="00AC3CC5" w:rsidR="0039192C" w:rsidRDefault="0039192C"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公告依据</w:t>
            </w:r>
          </w:p>
        </w:tc>
        <w:tc>
          <w:tcPr>
            <w:tcW w:type="dxa" w:w="4861"/>
            <w:vAlign w:val="center"/>
          </w:tcPr>
          <w:p w:rsidP="00AC3CC5" w:rsidR="0039192C" w:rsidRDefault="0039192C"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《中华人民共和国证券投资基金法》及其配套法规、《广发汇康定期开放债券型发起式证券投资基金基金合同》、《广发汇康定期开放债券型发起式证券投资基金招募说明书》</w:t>
            </w:r>
          </w:p>
        </w:tc>
      </w:tr>
      <w:tr w:rsidR="00893436" w:rsidRPr="002825C8" w:rsidTr="001E1256">
        <w:trPr>
          <w:jc w:val="center"/>
        </w:trPr>
        <w:tc>
          <w:tcPr>
            <w:tcW w:type="dxa" w:w="4778"/>
          </w:tcPr>
          <w:p w:rsidP="00AC3CC5" w:rsidR="00893436" w:rsidRDefault="00893436"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收益分配基准日</w:t>
            </w:r>
          </w:p>
        </w:tc>
        <w:tc>
          <w:tcPr>
            <w:tcW w:type="dxa" w:w="4861"/>
          </w:tcPr>
          <w:p w:rsidP="00AC3CC5" w:rsidR="00893436" w:rsidRDefault="0039192C"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
            </w:r>
            <w:r w:rsidR="008D1F66" w:rsidRPr="002825C8">
              <w:rPr>
                <w:rFonts w:asciiTheme="minorEastAsia" w:eastAsiaTheme="minorEastAsia" w:hAnsiTheme="minorEastAsia"/>
                <w:sz w:val="24"/>
                <w:szCs w:val="24"/>
              </w:rPr>
              <w:t/>
            </w:r>
            <w:r w:rsidRPr="002825C8">
              <w:rPr>
                <w:rFonts w:asciiTheme="minorEastAsia" w:eastAsiaTheme="minorEastAsia" w:hAnsiTheme="minorEastAsia"/>
                <w:sz w:val="24"/>
                <w:szCs w:val="24"/>
              </w:rPr>
              <w:t>2022年6月15日</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1648"/>
        <w:gridCol w:w="3130"/>
        <w:gridCol w:w="4861"/>
      </w:tblGrid>
      <w:tr w:rsidR="00B232B4" w:rsidRPr="0007182D" w:rsidTr="00252EA1">
        <w:trPr>
          <w:jc w:val="center"/>
        </w:trPr>
        <w:tc>
          <w:tcPr>
            <w:tcW w:type="dxa" w:w="1648"/>
            <w:vMerge w:val="restart"/>
            <w:vAlign w:val="center"/>
          </w:tcPr>
          <w:p w:rsidP="002F7561" w:rsidR="00B232B4" w:rsidRDefault="00B232B4" w:rsidRPr="002F7561">
            <w:pPr>
              <w:spacing w:line="360" w:lineRule="auto"/>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截止收益分配基准日的相关指标</w:t>
            </w:r>
          </w:p>
        </w:tc>
        <w:tc>
          <w:tcPr>
            <w:tcW w:type="dxa" w:w="3130"/>
          </w:tcPr>
          <w:p w:rsidP="002F7561" w:rsidR="00B232B4" w:rsidRDefault="00B232B4" w:rsidRPr="002F7561">
            <w:pPr>
              <w:spacing w:line="360" w:lineRule="auto"/>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基准日基金份额净值</w:t>
            </w:r>
            <w:r w:rsidRPr="002F7561">
              <w:rPr>
                <w:rFonts w:asciiTheme="minorEastAsia" w:eastAsiaTheme="minorEastAsia" w:hAnsiTheme="minorEastAsia" w:hint="eastAsia"/>
                <w:color w:val="000000"/>
                <w:sz w:val="24"/>
                <w:szCs w:val="24"/>
              </w:rPr>
              <w:t>（单位：</w:t>
            </w:r>
            <w:r w:rsidR="0064129A" w:rsidRPr="00163C8E">
              <w:rPr>
                <w:rFonts w:asciiTheme="minorEastAsia" w:eastAsiaTheme="minorEastAsia" w:hAnsiTheme="minorEastAsia" w:hint="eastAsia"/>
                <w:color w:val="000000"/>
                <w:kern w:val="0"/>
                <w:sz w:val="24"/>
                <w:szCs w:val="24"/>
              </w:rPr>
              <w:t>元</w:t>
            </w:r>
            <w:r w:rsidRPr="002F7561">
              <w:rPr>
                <w:rFonts w:asciiTheme="minorEastAsia" w:eastAsiaTheme="minorEastAsia" w:hAnsiTheme="minorEastAsia" w:hint="eastAsia"/>
                <w:color w:val="000000"/>
                <w:sz w:val="24"/>
                <w:szCs w:val="24"/>
              </w:rPr>
              <w:t>）</w:t>
            </w:r>
          </w:p>
        </w:tc>
        <w:tc>
          <w:tcPr>
            <w:tcW w:type="dxa" w:w="4861"/>
          </w:tcPr>
          <w:p w:rsidP="002F7561" w:rsidR="00B232B4" w:rsidRDefault="00B232B4" w:rsidRPr="002F7561">
            <w:pPr>
              <w:spacing w:line="360" w:lineRule="auto"/>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1.0113</w:t>
            </w:r>
          </w:p>
        </w:tc>
      </w:tr>
      <w:tr w:rsidR="00B232B4" w:rsidRPr="0007182D" w:rsidTr="00252EA1">
        <w:trPr>
          <w:jc w:val="center"/>
        </w:trPr>
        <w:tc>
          <w:tcPr>
            <w:tcW w:type="dxa" w:w="1648"/>
            <w:vMerge/>
          </w:tcPr>
          <w:p w:rsidP="002F7561" w:rsidR="00B232B4" w:rsidRDefault="00B232B4" w:rsidRPr="002F7561">
            <w:pPr>
              <w:spacing w:line="360" w:lineRule="auto"/>
              <w:rPr>
                <w:rFonts w:asciiTheme="minorEastAsia" w:eastAsiaTheme="minorEastAsia" w:hAnsiTheme="minorEastAsia"/>
                <w:color w:val="000000"/>
                <w:sz w:val="24"/>
                <w:szCs w:val="24"/>
              </w:rPr>
            </w:pPr>
          </w:p>
        </w:tc>
        <w:tc>
          <w:tcPr>
            <w:tcW w:type="dxa" w:w="3130"/>
          </w:tcPr>
          <w:p w:rsidP="002F7561" w:rsidR="00B232B4" w:rsidRDefault="00B232B4" w:rsidRPr="002F7561">
            <w:pPr>
              <w:spacing w:line="360" w:lineRule="auto"/>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基准日基金可供分配利润</w:t>
            </w:r>
            <w:r w:rsidRPr="002F7561">
              <w:rPr>
                <w:rFonts w:asciiTheme="minorEastAsia" w:eastAsiaTheme="minorEastAsia" w:hAnsiTheme="minorEastAsia" w:hint="eastAsia"/>
                <w:color w:val="000000"/>
                <w:sz w:val="24"/>
                <w:szCs w:val="24"/>
              </w:rPr>
              <w:t>（单位：</w:t>
            </w:r>
            <w:r w:rsidR="0064129A" w:rsidRPr="00163C8E">
              <w:rPr>
                <w:rFonts w:asciiTheme="minorEastAsia" w:eastAsiaTheme="minorEastAsia" w:hAnsiTheme="minorEastAsia" w:hint="eastAsia"/>
                <w:color w:val="000000"/>
                <w:kern w:val="0"/>
                <w:sz w:val="24"/>
                <w:szCs w:val="24"/>
              </w:rPr>
              <w:t>元</w:t>
            </w:r>
            <w:r w:rsidRPr="002F7561">
              <w:rPr>
                <w:rFonts w:asciiTheme="minorEastAsia" w:eastAsiaTheme="minorEastAsia" w:hAnsiTheme="minorEastAsia" w:hint="eastAsia"/>
                <w:color w:val="000000"/>
                <w:sz w:val="24"/>
                <w:szCs w:val="24"/>
              </w:rPr>
              <w:t>）</w:t>
            </w:r>
          </w:p>
        </w:tc>
        <w:tc>
          <w:tcPr>
            <w:tcW w:type="dxa" w:w="4861"/>
          </w:tcPr>
          <w:p w:rsidP="002F7561" w:rsidR="00B232B4" w:rsidRDefault="00B232B4" w:rsidRPr="002F7561">
            <w:pPr>
              <w:spacing w:line="360" w:lineRule="auto"/>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22,507,673.55</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4778"/>
        <w:gridCol w:w="4861"/>
      </w:tblGrid>
      <w:tr w:rsidR="00252EA1" w:rsidRPr="002825C8" w:rsidTr="002C68F9">
        <w:trPr>
          <w:jc w:val="center"/>
        </w:trPr>
        <w:tc>
          <w:tcPr>
            <w:tcW w:type="dxa" w:w="4778"/>
            <w:vAlign w:val="center"/>
          </w:tcPr>
          <w:p w:rsidP="002C68F9" w:rsidR="00252EA1" w:rsidRDefault="00252EA1" w:rsidRPr="002825C8">
            <w:pPr>
              <w:spacing w:line="360" w:lineRule="auto"/>
              <w:rPr>
                <w:rFonts w:asciiTheme="minorEastAsia" w:eastAsiaTheme="minorEastAsia" w:hAnsiTheme="minorEastAsia"/>
                <w:color w:val="000000"/>
                <w:sz w:val="24"/>
                <w:szCs w:val="24"/>
              </w:rPr>
            </w:pPr>
            <w:r w:rsidRPr="003C2C83">
              <w:rPr>
                <w:rFonts w:asciiTheme="minorEastAsia" w:eastAsiaTheme="minorEastAsia" w:hAnsiTheme="minorEastAsia"/>
                <w:sz w:val="24"/>
                <w:szCs w:val="24"/>
              </w:rPr>
              <w:t>本次分红方案（单位：元/10份基金份额）</w:t>
            </w:r>
          </w:p>
        </w:tc>
        <w:tc>
          <w:tcPr>
            <w:tcW w:type="dxa" w:w="4861"/>
            <w:vAlign w:val="center"/>
          </w:tcPr>
          <w:p w:rsidP="002C68F9" w:rsidR="00252EA1" w:rsidRDefault="00252EA1" w:rsidRPr="002825C8">
            <w:pPr>
              <w:spacing w:line="360" w:lineRule="auto"/>
              <w:rPr>
                <w:rFonts w:asciiTheme="minorEastAsia" w:eastAsiaTheme="minorEastAsia" w:hAnsiTheme="minorEastAsia"/>
                <w:sz w:val="24"/>
                <w:szCs w:val="24"/>
              </w:rPr>
            </w:pPr>
            <w:r w:rsidRPr="003C2C83">
              <w:rPr>
                <w:rFonts w:asciiTheme="minorEastAsia" w:eastAsiaTheme="minorEastAsia" w:hAnsiTheme="minorEastAsia"/>
                <w:sz w:val="24"/>
                <w:szCs w:val="24"/>
              </w:rPr>
              <w:t>0.080</w:t>
            </w:r>
          </w:p>
        </w:tc>
      </w:tr>
      <w:tr w:rsidR="00B232B4" w:rsidRPr="002825C8" w:rsidTr="002C68F9">
        <w:trPr>
          <w:jc w:val="center"/>
        </w:trPr>
        <w:tc>
          <w:tcPr>
            <w:tcW w:type="dxa" w:w="4778"/>
            <w:vAlign w:val="center"/>
          </w:tcPr>
          <w:p w:rsidP="002C68F9" w:rsidR="00B232B4" w:rsidRDefault="00B232B4"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lastRenderedPageBreak/>
              <w:t>有关年度分红次数的说明</w:t>
            </w:r>
          </w:p>
        </w:tc>
        <w:tc>
          <w:tcPr>
            <w:tcW w:type="dxa" w:w="4861"/>
            <w:vAlign w:val="center"/>
          </w:tcPr>
          <w:p w:rsidP="002C68F9" w:rsidR="00B232B4" w:rsidRDefault="00B232B4"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本次分红为2022年度的第2次分红</w:t>
            </w:r>
          </w:p>
        </w:tc>
      </w:tr>
    </w:tbl>
    <w:p w:rsidP="00AC3CC5" w:rsidR="00893436" w:rsidRDefault="00893436" w:rsidRPr="002825C8">
      <w:pPr>
        <w:pStyle w:val="2"/>
        <w:spacing w:line="360" w:lineRule="auto"/>
        <w:rPr>
          <w:rFonts w:asciiTheme="minorEastAsia" w:eastAsiaTheme="minorEastAsia" w:hAnsiTheme="minorEastAsia"/>
          <w:bCs w:val="0"/>
          <w:color w:val="000000"/>
          <w:sz w:val="24"/>
          <w:szCs w:val="24"/>
        </w:rPr>
      </w:pPr>
      <w:bookmarkStart w:id="1" w:name="_Toc275961419"/>
      <w:r w:rsidRPr="002825C8">
        <w:rPr>
          <w:rFonts w:asciiTheme="minorEastAsia" w:eastAsiaTheme="minorEastAsia" w:hAnsiTheme="minorEastAsia"/>
          <w:bCs w:val="0"/>
          <w:color w:val="000000"/>
          <w:sz w:val="24"/>
          <w:szCs w:val="24"/>
        </w:rPr>
        <w:t>2</w:t>
      </w:r>
      <w:r w:rsidR="00F15128">
        <w:rPr>
          <w:rFonts w:asciiTheme="minorEastAsia" w:eastAsiaTheme="minorEastAsia" w:hAnsiTheme="minorEastAsia" w:hint="eastAsia"/>
          <w:bCs w:val="0"/>
          <w:color w:val="000000"/>
          <w:sz w:val="24"/>
          <w:szCs w:val="24"/>
        </w:rPr>
        <w:t>.</w:t>
      </w:r>
      <w:r w:rsidRPr="002825C8">
        <w:rPr>
          <w:rFonts w:asciiTheme="minorEastAsia" w:eastAsiaTheme="minorEastAsia" w:hAnsiTheme="minorEastAsia"/>
          <w:bCs w:val="0"/>
          <w:color w:val="000000"/>
          <w:sz w:val="24"/>
          <w:szCs w:val="24"/>
        </w:rPr>
        <w:t xml:space="preserve"> 与分红相关的其他信息</w:t>
      </w:r>
      <w:bookmarkEnd w:id="1"/>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213"/>
        <w:gridCol w:w="3213"/>
        <w:gridCol w:w="3213"/>
      </w:tblGrid>
      <w:tr w:rsidR="00893436" w:rsidRPr="002825C8" w:rsidTr="007C142C">
        <w:trPr>
          <w:jc w:val="center"/>
        </w:trPr>
        <w:tc>
          <w:tcPr>
            <w:tcW w:type="dxa" w:w="4355"/>
          </w:tcPr>
          <w:p w:rsidP="00AC3CC5" w:rsidR="00893436" w:rsidRDefault="00893436"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权益登记日</w:t>
            </w:r>
          </w:p>
        </w:tc>
        <w:tc>
          <w:tcPr>
            <w:tcW w:type="dxa" w:w="4355"/>
            <w:gridSpan w:val="2"/>
          </w:tcPr>
          <w:p w:rsidP="00AC3CC5" w:rsidR="00893436" w:rsidRDefault="00362297"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
            </w:r>
            <w:r w:rsidR="005439EC" w:rsidRPr="002825C8">
              <w:rPr>
                <w:rFonts w:asciiTheme="minorEastAsia" w:eastAsiaTheme="minorEastAsia" w:hAnsiTheme="minorEastAsia"/>
                <w:sz w:val="24"/>
                <w:szCs w:val="24"/>
              </w:rPr>
              <w:t/>
            </w:r>
            <w:r w:rsidRPr="002825C8">
              <w:rPr>
                <w:rFonts w:asciiTheme="minorEastAsia" w:eastAsiaTheme="minorEastAsia" w:hAnsiTheme="minorEastAsia"/>
                <w:sz w:val="24"/>
                <w:szCs w:val="24"/>
              </w:rPr>
              <w:t>2022年6月23日</w:t>
            </w:r>
          </w:p>
        </w:tc>
      </w:tr>
      <w:tr w:rsidR="0009778C" w:rsidRPr="002825C8" w:rsidTr="007C142C">
        <w:trPr>
          <w:jc w:val="center"/>
        </w:trPr>
        <w:tc>
          <w:tcPr>
            <w:tcW w:type="dxa" w:w="4355"/>
          </w:tcPr>
          <w:p w:rsidP="00AC3CC5" w:rsidR="0009778C" w:rsidRDefault="0009778C"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除息日</w:t>
            </w:r>
          </w:p>
        </w:tc>
        <w:tc>
          <w:tcPr>
            <w:tcW w:type="dxa" w:w="4355"/>
            <w:hMerge w:val="restart"/>
          </w:tcPr>
          <w:p w:rsidP="00AC3CC5" w:rsidR="0009778C" w:rsidRDefault="00E16B6D"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2022年6月23日（场外）</w:t>
            </w:r>
          </w:p>
        </w:tc>
        <w:tc>
          <w:tcPr>
            <w:tcW w:type="dxa" w:w="4355"/>
            <w:hMerge/>
          </w:tcPr>
          <w:p w:rsidP="00D421E2" w:rsidR="0009778C" w:rsidRDefault="00D421E2" w:rsidRPr="002825C8">
            <w:pPr>
              <w:spacing w:line="360" w:lineRule="auto"/>
              <w:rPr>
                <w:rFonts w:asciiTheme="minorEastAsia" w:eastAsiaTheme="minorEastAsia" w:hAnsiTheme="minorEastAsia"/>
                <w:sz w:val="24"/>
                <w:szCs w:val="24"/>
              </w:rPr>
            </w:pPr>
            <w:r w:rsidRPr="00890BE3">
              <w:rPr>
                <w:rFonts w:asciiTheme="minorEastAsia" w:eastAsiaTheme="minorEastAsia" w:hAnsiTheme="minorEastAsia"/>
                <w:sz w:val="24"/>
                <w:szCs w:val="24"/>
              </w:rPr>
              <w:t/>
            </w:r>
            <w:r w:rsidRPr="00890BE3">
              <w:rPr>
                <w:rFonts w:asciiTheme="minorEastAsia" w:eastAsiaTheme="minorEastAsia" w:hAnsiTheme="minorEastAsia" w:hint="eastAsia"/>
                <w:sz w:val="24"/>
                <w:szCs w:val="24"/>
              </w:rPr>
              <w:t/>
            </w:r>
            <w:r w:rsidRPr="00890BE3">
              <w:rPr>
                <w:rFonts w:asciiTheme="minorEastAsia" w:eastAsiaTheme="minorEastAsia" w:hAnsiTheme="minorEastAsia"/>
                <w:sz w:val="24"/>
                <w:szCs w:val="24"/>
              </w:rPr>
              <w:t>2022年6月23日（场外）</w:t>
            </w:r>
          </w:p>
        </w:tc>
      </w:tr>
      <w:tr w:rsidR="00893436" w:rsidRPr="002825C8" w:rsidTr="007C142C">
        <w:trPr>
          <w:jc w:val="center"/>
        </w:trPr>
        <w:tc>
          <w:tcPr>
            <w:tcW w:type="dxa" w:w="4355"/>
          </w:tcPr>
          <w:p w:rsidP="00AC3CC5" w:rsidR="00893436" w:rsidRDefault="00893436"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现金红利发放日</w:t>
            </w:r>
          </w:p>
        </w:tc>
        <w:tc>
          <w:tcPr>
            <w:tcW w:type="dxa" w:w="4355"/>
            <w:gridSpan w:val="2"/>
          </w:tcPr>
          <w:p w:rsidP="00AC3CC5" w:rsidR="00893436" w:rsidRDefault="00BA7F58"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
            </w:r>
            <w:r w:rsidR="005439EC" w:rsidRPr="002825C8">
              <w:rPr>
                <w:rFonts w:asciiTheme="minorEastAsia" w:eastAsiaTheme="minorEastAsia" w:hAnsiTheme="minorEastAsia"/>
                <w:sz w:val="24"/>
                <w:szCs w:val="24"/>
              </w:rPr>
              <w:t/>
            </w:r>
            <w:r w:rsidRPr="002825C8">
              <w:rPr>
                <w:rFonts w:asciiTheme="minorEastAsia" w:eastAsiaTheme="minorEastAsia" w:hAnsiTheme="minorEastAsia"/>
                <w:sz w:val="24"/>
                <w:szCs w:val="24"/>
              </w:rPr>
              <w:t>2022年6月24日</w:t>
            </w:r>
          </w:p>
        </w:tc>
      </w:tr>
      <w:tr w:rsidR="00893436" w:rsidRPr="002825C8" w:rsidTr="007C142C">
        <w:trPr>
          <w:jc w:val="center"/>
        </w:trPr>
        <w:tc>
          <w:tcPr>
            <w:tcW w:type="dxa" w:w="4355"/>
          </w:tcPr>
          <w:p w:rsidP="00AC3CC5" w:rsidR="00893436" w:rsidRDefault="00893436"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分红对象</w:t>
            </w:r>
          </w:p>
        </w:tc>
        <w:tc>
          <w:tcPr>
            <w:tcW w:type="dxa" w:w="4355"/>
            <w:gridSpan w:val="2"/>
            <w:shd w:color="auto" w:fill="auto" w:val="clear"/>
          </w:tcPr>
          <w:p w:rsidP="00AC3CC5" w:rsidR="00893436" w:rsidRDefault="00BA7F58"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权益登记日在本公司登记在册的本基金份额的全体持有人</w:t>
            </w:r>
          </w:p>
        </w:tc>
      </w:tr>
      <w:tr w:rsidR="00893436" w:rsidRPr="002825C8" w:rsidTr="007C142C">
        <w:trPr>
          <w:jc w:val="center"/>
        </w:trPr>
        <w:tc>
          <w:tcPr>
            <w:tcW w:type="dxa" w:w="4355"/>
            <w:shd w:color="auto" w:fill="auto" w:val="clear"/>
            <w:vAlign w:val="center"/>
          </w:tcPr>
          <w:p w:rsidP="00AC3CC5" w:rsidR="00893436" w:rsidRDefault="00893436"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红利再投资相关事项的说明</w:t>
            </w:r>
          </w:p>
        </w:tc>
        <w:tc>
          <w:tcPr>
            <w:tcW w:type="dxa" w:w="4355"/>
            <w:gridSpan w:val="2"/>
            <w:shd w:color="auto" w:fill="auto" w:val="clear"/>
          </w:tcPr>
          <w:p w:rsidP="00AC3CC5" w:rsidR="00893436" w:rsidRDefault="00BA7F58"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选择红利再投资方式的投资者由红利转得的基金份额将以2022年6月23日的基金份额净值为计算基准确定。2022年6月27日起投资者可以查询。</w:t>
            </w:r>
          </w:p>
        </w:tc>
      </w:tr>
      <w:tr w:rsidR="00893436" w:rsidRPr="002825C8" w:rsidTr="007C142C">
        <w:trPr>
          <w:jc w:val="center"/>
        </w:trPr>
        <w:tc>
          <w:tcPr>
            <w:tcW w:type="dxa" w:w="4355"/>
          </w:tcPr>
          <w:p w:rsidP="00AC3CC5" w:rsidR="00893436" w:rsidRDefault="00893436"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税收相关事项的说明</w:t>
            </w:r>
          </w:p>
        </w:tc>
        <w:tc>
          <w:tcPr>
            <w:tcW w:type="dxa" w:w="4355"/>
            <w:gridSpan w:val="2"/>
            <w:shd w:color="auto" w:fill="auto" w:val="clear"/>
          </w:tcPr>
          <w:p w:rsidP="00AC3CC5" w:rsidR="00893436" w:rsidRDefault="00BA7F58"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根据相关法律法规规定，基金向投资者分配的基金收益，暂免征收所得税。</w:t>
            </w:r>
          </w:p>
        </w:tc>
      </w:tr>
      <w:tr w:rsidR="00893436" w:rsidRPr="002825C8" w:rsidTr="007C142C">
        <w:trPr>
          <w:jc w:val="center"/>
        </w:trPr>
        <w:tc>
          <w:tcPr>
            <w:tcW w:type="dxa" w:w="4355"/>
          </w:tcPr>
          <w:p w:rsidP="00AC3CC5" w:rsidR="00893436" w:rsidRDefault="00893436"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费用相关事项的说明</w:t>
            </w:r>
          </w:p>
        </w:tc>
        <w:tc>
          <w:tcPr>
            <w:tcW w:type="dxa" w:w="4355"/>
            <w:gridSpan w:val="2"/>
            <w:shd w:color="auto" w:fill="auto" w:val="clear"/>
          </w:tcPr>
          <w:p w:rsidP="00AC3CC5" w:rsidR="00893436" w:rsidRDefault="00BA7F58"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本基金本次分红免收分红手续费。</w:t>
            </w:r>
          </w:p>
        </w:tc>
      </w:tr>
    </w:tbl>
    <w:p w:rsidP="00AC3CC5" w:rsidR="00893436" w:rsidRDefault="00893436" w:rsidRPr="002825C8">
      <w:pPr>
        <w:pStyle w:val="2"/>
        <w:spacing w:line="360" w:lineRule="auto"/>
        <w:rPr>
          <w:rFonts w:asciiTheme="minorEastAsia" w:eastAsiaTheme="minorEastAsia" w:hAnsiTheme="minorEastAsia"/>
          <w:bCs w:val="0"/>
          <w:color w:val="000000"/>
          <w:sz w:val="24"/>
          <w:szCs w:val="24"/>
        </w:rPr>
      </w:pPr>
      <w:bookmarkStart w:id="2" w:name="_Toc275961420"/>
      <w:r w:rsidRPr="002825C8">
        <w:rPr>
          <w:rFonts w:asciiTheme="minorEastAsia" w:eastAsiaTheme="minorEastAsia" w:hAnsiTheme="minorEastAsia"/>
          <w:bCs w:val="0"/>
          <w:color w:val="000000"/>
          <w:sz w:val="24"/>
          <w:szCs w:val="24"/>
        </w:rPr>
        <w:t>3</w:t>
      </w:r>
      <w:r w:rsidR="00F15128">
        <w:rPr>
          <w:rFonts w:asciiTheme="minorEastAsia" w:eastAsiaTheme="minorEastAsia" w:hAnsiTheme="minorEastAsia"/>
          <w:bCs w:val="0"/>
          <w:color w:val="000000"/>
          <w:sz w:val="24"/>
          <w:szCs w:val="24"/>
        </w:rPr>
        <w:t>.</w:t>
      </w:r>
      <w:bookmarkStart w:id="3" w:name="_GoBack"/>
      <w:bookmarkEnd w:id="3"/>
      <w:r w:rsidRPr="002825C8">
        <w:rPr>
          <w:rFonts w:asciiTheme="minorEastAsia" w:eastAsiaTheme="minorEastAsia" w:hAnsiTheme="minorEastAsia"/>
          <w:bCs w:val="0"/>
          <w:color w:val="000000"/>
          <w:sz w:val="24"/>
          <w:szCs w:val="24"/>
        </w:rPr>
        <w:t xml:space="preserve"> 其他需要提示的事项</w:t>
      </w:r>
      <w:bookmarkEnd w:id="2"/>
    </w:p>
    <w:p>
      <w:pPr>
        <w:spacing w:line="360" w:lineRule="auto"/>
        <w:ind w:firstLine="480" w:firstLineChars="200"/>
        <w:rPr>
          <w:rFonts w:asciiTheme="minorEastAsia" w:eastAsiaTheme="minorEastAsia" w:hAnsiTheme="minorEastAsia"/>
          <w:sz w:val="24"/>
          <w:szCs w:val="24"/>
        </w:rPr>
      </w:pPr>
      <w:r>
        <w:rPr>
          <w:rFonts w:asciiTheme="minorEastAsia" w:eastAsiaTheme="minorEastAsia" w:hAnsiTheme="minorEastAsia"/>
          <w:sz w:val="24"/>
          <w:szCs w:val="24"/>
        </w:rPr>
        <w:t>（1）权益登记日申请申购的基金份额不享有本次分红权益，权益登记日申请赎回的基金份额享有本次分红权益。</w:t>
      </w:r>
    </w:p>
    <w:p>
      <w:pPr>
        <w:spacing w:line="360" w:lineRule="auto"/>
        <w:ind w:firstLine="480" w:firstLineChars="200"/>
        <w:rPr>
          <w:rFonts w:asciiTheme="minorEastAsia" w:eastAsiaTheme="minorEastAsia" w:hAnsiTheme="minorEastAsia"/>
          <w:sz w:val="24"/>
          <w:szCs w:val="24"/>
        </w:rPr>
      </w:pPr>
      <w:r>
        <w:rPr>
          <w:rFonts w:asciiTheme="minorEastAsia" w:eastAsiaTheme="minorEastAsia" w:hAnsiTheme="minorEastAsia"/>
          <w:sz w:val="24"/>
          <w:szCs w:val="24"/>
        </w:rPr>
        <w:t>（2）本基金的封闭期为自本基金《基金合同》生效之日起（包括该日）或自每一开放期结束之日次日起（包括该日）6个月的期间。本基金的第一个封闭期为自本基金《基金合同》生效之日起（包括该日）6个月的期间。第二个封闭期为自首个开放期结束之日次日起（包括该日）6个月的期间，以此类推。本基金封闭期结束前不办理申购与赎回业务。本基金办理申购与赎回业务的开放期为本基金每个封闭期结束之后第一个工作日起（含该日）不少于5个工作日且不超过20个工作日的期间。每个封闭期结束后，因不可抗力或其他情形致使本基金无法按时开放申购或赎回的，开放期为自不可抗力或其他情形影响因素消除之日的下一个工作日起（含该日）不少于5个工作日且不超过20个工作日的期间。本基金的开放日为在开放期内销售机构办理本基金份额申购、赎回等业务的工作日。</w:t>
      </w:r>
    </w:p>
    <w:p>
      <w:pPr>
        <w:spacing w:line="360" w:lineRule="auto"/>
        <w:ind w:firstLine="480" w:firstLineChars="200"/>
        <w:rPr>
          <w:rFonts w:asciiTheme="minorEastAsia" w:eastAsiaTheme="minorEastAsia" w:hAnsiTheme="minorEastAsia"/>
          <w:sz w:val="24"/>
          <w:szCs w:val="24"/>
        </w:rPr>
      </w:pPr>
      <w:r>
        <w:rPr>
          <w:rFonts w:asciiTheme="minorEastAsia" w:eastAsiaTheme="minorEastAsia" w:hAnsiTheme="minorEastAsia"/>
          <w:sz w:val="24"/>
          <w:szCs w:val="24"/>
        </w:rPr>
        <w:t>（3）对于未选择具体分红方式的投资者，本基金默认的分红方式为现金分红。</w:t>
      </w:r>
    </w:p>
    <w:p>
      <w:pPr>
        <w:spacing w:line="360" w:lineRule="auto"/>
        <w:ind w:firstLine="480" w:firstLineChars="200"/>
        <w:rPr>
          <w:rFonts w:asciiTheme="minorEastAsia" w:eastAsiaTheme="minorEastAsia" w:hAnsiTheme="minorEastAsia"/>
          <w:sz w:val="24"/>
          <w:szCs w:val="24"/>
        </w:rPr>
      </w:pPr>
      <w:r>
        <w:rPr>
          <w:rFonts w:asciiTheme="minorEastAsia" w:eastAsiaTheme="minorEastAsia" w:hAnsiTheme="minorEastAsia"/>
          <w:sz w:val="24"/>
          <w:szCs w:val="24"/>
        </w:rPr>
        <w:t>（4）投资者可以在工作日的交易时间内到销售网点修改分红方式，本次分红确认的方式将按照投资者在权益登记日之前（不含2022年6月23日）最后一次选择的分红方式为准。请投资者到销售网点或通过本公司客户服务电话95105828或020-83936999确认分红方式是否正确，如不正确或希望修改分红方式的，请务必在规定时间前到销售网点办理变更手续。</w:t>
      </w:r>
    </w:p>
    <w:p>
      <w:pPr>
        <w:spacing w:line="360" w:lineRule="auto"/>
        <w:ind w:firstLine="480" w:firstLineChars="200"/>
        <w:rPr>
          <w:rFonts w:asciiTheme="minorEastAsia" w:eastAsiaTheme="minorEastAsia" w:hAnsiTheme="minorEastAsia"/>
          <w:sz w:val="24"/>
          <w:szCs w:val="24"/>
        </w:rPr>
      </w:pPr>
      <w:r>
        <w:rPr>
          <w:rFonts w:asciiTheme="minorEastAsia" w:eastAsiaTheme="minorEastAsia" w:hAnsiTheme="minorEastAsia"/>
          <w:sz w:val="24"/>
          <w:szCs w:val="24"/>
        </w:rPr>
        <w:t>（5）建议基金份额持有人在修改分红方式后，在T+2日（申请修改分红方式之日为T日）后（含T+2日）向销售网点或本公司确认分红方式的修改是否成功。</w:t>
      </w:r>
    </w:p>
    <w:p>
      <w:pPr>
        <w:spacing w:line="360" w:lineRule="auto"/>
        <w:ind w:firstLine="480" w:firstLineChars="200"/>
        <w:rPr>
          <w:rFonts w:asciiTheme="minorEastAsia" w:eastAsiaTheme="minorEastAsia" w:hAnsiTheme="minorEastAsia"/>
          <w:sz w:val="24"/>
          <w:szCs w:val="24"/>
        </w:rPr>
      </w:pPr>
      <w:r>
        <w:rPr>
          <w:rFonts w:asciiTheme="minorEastAsia" w:eastAsiaTheme="minorEastAsia" w:hAnsiTheme="minorEastAsia"/>
          <w:sz w:val="24"/>
          <w:szCs w:val="24"/>
        </w:rPr>
        <w:t/>
      </w:r>
    </w:p>
    <w:p>
      <w:pPr>
        <w:spacing w:line="360" w:lineRule="auto"/>
        <w:ind w:firstLine="480" w:firstLineChars="200"/>
        <w:rPr>
          <w:rFonts w:asciiTheme="minorEastAsia" w:eastAsiaTheme="minorEastAsia" w:hAnsiTheme="minorEastAsia"/>
          <w:sz w:val="24"/>
          <w:szCs w:val="24"/>
        </w:rPr>
      </w:pPr>
      <w:r>
        <w:rPr>
          <w:rFonts w:asciiTheme="minorEastAsia" w:eastAsiaTheme="minorEastAsia" w:hAnsiTheme="minorEastAsia"/>
          <w:sz w:val="24"/>
          <w:szCs w:val="24"/>
        </w:rPr>
        <w:t>风险提示：本基金分红并不改变本基金的风险收益特征，也不会因此降低基金投资风险或提高基金投资收益。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投资者欲了解有关分红的情况，可到办理业务的当地销售网点查询，也可以登录本公司网站（www.gffunds.com.cn）或拨打本公司客户服务电话95105828或020-83936999咨询相关事宜。</w:t>
      </w:r>
    </w:p>
    <w:p w:rsidP="00A3175B" w:rsidR="00364C2A" w:rsidRDefault="00284B1B">
      <w:pPr>
        <w:spacing w:line="360" w:lineRule="auto"/>
        <w:ind w:firstLine="480" w:firstLineChars="200"/>
        <w:rPr>
          <w:rFonts w:asciiTheme="minorEastAsia" w:eastAsiaTheme="minorEastAsia" w:hAnsiTheme="minorEastAsia"/>
          <w:sz w:val="24"/>
          <w:szCs w:val="24"/>
        </w:rPr>
      </w:pPr>
      <w:r w:rsidRPr="002825C8">
        <w:rPr>
          <w:rFonts w:asciiTheme="minorEastAsia" w:eastAsiaTheme="minorEastAsia" w:hAnsiTheme="minorEastAsia"/>
          <w:sz w:val="24"/>
          <w:szCs w:val="24"/>
        </w:rPr>
        <w:t>特此公告。</w:t>
      </w:r>
    </w:p>
    <w:p w:rsidP="007C142C" w:rsidR="00971CCF" w:rsidRDefault="00971CCF">
      <w:pPr>
        <w:spacing w:line="360" w:lineRule="auto"/>
        <w:ind w:firstLine="480" w:firstLineChars="200"/>
        <w:rPr>
          <w:rFonts w:asciiTheme="minorEastAsia" w:eastAsiaTheme="minorEastAsia" w:hAnsiTheme="minorEastAsia"/>
          <w:sz w:val="24"/>
          <w:szCs w:val="24"/>
        </w:rPr>
      </w:pPr>
    </w:p>
    <w:p w:rsidP="007C142C" w:rsidR="00971CCF" w:rsidRDefault="00971CCF">
      <w:pPr>
        <w:spacing w:line="360" w:lineRule="auto"/>
        <w:ind w:firstLine="480" w:firstLineChars="200"/>
        <w:rPr>
          <w:rFonts w:asciiTheme="minorEastAsia" w:eastAsiaTheme="minorEastAsia" w:hAnsiTheme="minorEastAsia"/>
          <w:sz w:val="24"/>
          <w:szCs w:val="24"/>
        </w:rPr>
      </w:pPr>
    </w:p>
    <w:p w:rsidP="00971CCF" w:rsidR="00971CCF" w:rsidRDefault="00971CCF" w:rsidRPr="005F1BF7">
      <w:pPr>
        <w:spacing w:line="360" w:lineRule="auto"/>
        <w:jc w:val="right"/>
        <w:rPr>
          <w:rFonts w:asciiTheme="minorEastAsia" w:eastAsiaTheme="minorEastAsia" w:hAnsiTheme="minorEastAsia"/>
          <w:bCs/>
          <w:color w:themeColor="text1" w:val="000000"/>
          <w:sz w:val="24"/>
          <w:szCs w:val="24"/>
        </w:rPr>
      </w:pPr>
      <w:r w:rsidRPr="005F1BF7">
        <w:rPr>
          <w:rFonts w:asciiTheme="minorEastAsia" w:eastAsiaTheme="minorEastAsia" w:hAnsiTheme="minorEastAsia"/>
          <w:bCs/>
          <w:color w:themeColor="text1" w:val="000000"/>
          <w:sz w:val="24"/>
          <w:szCs w:val="24"/>
        </w:rPr>
        <w:t>广发基金管理有限公司</w:t>
      </w:r>
    </w:p>
    <w:p w:rsidP="00971CCF" w:rsidR="00971CCF" w:rsidRDefault="00971CCF" w:rsidRPr="005F1BF7">
      <w:pPr>
        <w:spacing w:line="360" w:lineRule="auto"/>
        <w:jc w:val="right"/>
        <w:rPr>
          <w:rFonts w:asciiTheme="minorEastAsia" w:eastAsiaTheme="minorEastAsia" w:hAnsiTheme="minorEastAsia"/>
          <w:color w:val="000000"/>
          <w:sz w:val="24"/>
          <w:szCs w:val="24"/>
        </w:rPr>
      </w:pPr>
      <w:r w:rsidRPr="005F1BF7">
        <w:rPr>
          <w:rFonts w:asciiTheme="minorEastAsia" w:eastAsiaTheme="minorEastAsia" w:hAnsiTheme="minorEastAsia"/>
          <w:bCs/>
          <w:color w:themeColor="text1" w:val="000000"/>
          <w:sz w:val="24"/>
          <w:szCs w:val="24"/>
        </w:rPr>
        <w:t>2022年6月22日</w:t>
      </w:r>
    </w:p>
    <w:sectPr w:rsidR="00971CCF" w:rsidRPr="005F1BF7" w:rsidSect="00111BD0">
      <w:pgSz w:h="16838" w:w="11906"/>
      <w:pgMar w:bottom="1440" w:footer="992" w:gutter="0" w:header="851" w:left="1800" w:right="1800"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386" w:rsidRDefault="003C2386" w:rsidP="00893436">
      <w:r>
        <w:separator/>
      </w:r>
    </w:p>
  </w:endnote>
  <w:endnote w:type="continuationSeparator" w:id="0">
    <w:p w:rsidR="003C2386" w:rsidRDefault="003C2386" w:rsidP="008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893436" w:rsidR="003C2386" w:rsidRDefault="003C2386">
      <w:r>
        <w:separator/>
      </w:r>
    </w:p>
  </w:footnote>
  <w:footnote w:id="0" w:type="continuationSeparator">
    <w:p w:rsidP="00893436" w:rsidR="003C2386" w:rsidRDefault="003C2386">
      <w:r>
        <w:continuationSeparator/>
      </w:r>
    </w:p>
  </w:footnote>
</w:footnote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bordersDoNotSurroundHeader/>
  <w:bordersDoNotSurroundFooter/>
  <w:defaultTabStop w:val="420"/>
  <w:drawingGridVerticalSpacing w:val="156"/>
  <w:displayHorizontalDrawingGridEvery w:val="0"/>
  <w:displayVerticalDrawingGridEvery w:val="2"/>
  <w:characterSpacingControl w:val="doNotCompress"/>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436"/>
    <w:rsid w:val="000300D5"/>
    <w:rsid w:val="00041353"/>
    <w:rsid w:val="00057AC1"/>
    <w:rsid w:val="00083B7C"/>
    <w:rsid w:val="00085F5C"/>
    <w:rsid w:val="0009778C"/>
    <w:rsid w:val="000A19B2"/>
    <w:rsid w:val="000C39F6"/>
    <w:rsid w:val="00111BD0"/>
    <w:rsid w:val="00135CA1"/>
    <w:rsid w:val="00141AEC"/>
    <w:rsid w:val="00171C1F"/>
    <w:rsid w:val="001B4A9D"/>
    <w:rsid w:val="001E1256"/>
    <w:rsid w:val="002068E1"/>
    <w:rsid w:val="00226206"/>
    <w:rsid w:val="00242E4D"/>
    <w:rsid w:val="00252EA1"/>
    <w:rsid w:val="002641B7"/>
    <w:rsid w:val="002744A0"/>
    <w:rsid w:val="002825C8"/>
    <w:rsid w:val="00284B1B"/>
    <w:rsid w:val="002A63B7"/>
    <w:rsid w:val="002B676D"/>
    <w:rsid w:val="002C08C5"/>
    <w:rsid w:val="002F7561"/>
    <w:rsid w:val="003023D8"/>
    <w:rsid w:val="0030796A"/>
    <w:rsid w:val="003160F8"/>
    <w:rsid w:val="00362297"/>
    <w:rsid w:val="00386931"/>
    <w:rsid w:val="0039192C"/>
    <w:rsid w:val="0039535C"/>
    <w:rsid w:val="003C2386"/>
    <w:rsid w:val="003E51F2"/>
    <w:rsid w:val="00410642"/>
    <w:rsid w:val="00411A38"/>
    <w:rsid w:val="00462525"/>
    <w:rsid w:val="00482539"/>
    <w:rsid w:val="00486934"/>
    <w:rsid w:val="004966BA"/>
    <w:rsid w:val="004C0AC4"/>
    <w:rsid w:val="00506E3A"/>
    <w:rsid w:val="005439EC"/>
    <w:rsid w:val="00552BD4"/>
    <w:rsid w:val="005624E5"/>
    <w:rsid w:val="005715B6"/>
    <w:rsid w:val="005A515B"/>
    <w:rsid w:val="005B087C"/>
    <w:rsid w:val="005B7CBF"/>
    <w:rsid w:val="005C57A1"/>
    <w:rsid w:val="005E3F2A"/>
    <w:rsid w:val="005F1BF7"/>
    <w:rsid w:val="00601001"/>
    <w:rsid w:val="00602C3F"/>
    <w:rsid w:val="0064129A"/>
    <w:rsid w:val="00646FDE"/>
    <w:rsid w:val="006A2E06"/>
    <w:rsid w:val="006E41A5"/>
    <w:rsid w:val="00721B55"/>
    <w:rsid w:val="00751BA5"/>
    <w:rsid w:val="007C142C"/>
    <w:rsid w:val="007D01E7"/>
    <w:rsid w:val="007F6075"/>
    <w:rsid w:val="00834BAE"/>
    <w:rsid w:val="00893436"/>
    <w:rsid w:val="008D1F66"/>
    <w:rsid w:val="00901C58"/>
    <w:rsid w:val="00903944"/>
    <w:rsid w:val="009117E2"/>
    <w:rsid w:val="009603BA"/>
    <w:rsid w:val="00971CCF"/>
    <w:rsid w:val="009732A4"/>
    <w:rsid w:val="00A3175B"/>
    <w:rsid w:val="00A81C93"/>
    <w:rsid w:val="00AA27A8"/>
    <w:rsid w:val="00AA7C92"/>
    <w:rsid w:val="00AB5DA4"/>
    <w:rsid w:val="00AB6B8A"/>
    <w:rsid w:val="00AC3CC5"/>
    <w:rsid w:val="00B232B4"/>
    <w:rsid w:val="00B44BBE"/>
    <w:rsid w:val="00B71DA2"/>
    <w:rsid w:val="00BA6FE9"/>
    <w:rsid w:val="00BA7F58"/>
    <w:rsid w:val="00BD7533"/>
    <w:rsid w:val="00BF5698"/>
    <w:rsid w:val="00C11CA3"/>
    <w:rsid w:val="00C25D5E"/>
    <w:rsid w:val="00C31B5B"/>
    <w:rsid w:val="00C33DDD"/>
    <w:rsid w:val="00CA643D"/>
    <w:rsid w:val="00CB3D18"/>
    <w:rsid w:val="00CC001C"/>
    <w:rsid w:val="00D05601"/>
    <w:rsid w:val="00D421E2"/>
    <w:rsid w:val="00DB7CD4"/>
    <w:rsid w:val="00DD0EC0"/>
    <w:rsid w:val="00DD2A30"/>
    <w:rsid w:val="00E05BEC"/>
    <w:rsid w:val="00E16B6D"/>
    <w:rsid w:val="00E24390"/>
    <w:rsid w:val="00E379B4"/>
    <w:rsid w:val="00EA12C9"/>
    <w:rsid w:val="00EF727C"/>
    <w:rsid w:val="00F0033B"/>
    <w:rsid w:val="00F0261D"/>
    <w:rsid w:val="00F15128"/>
    <w:rsid w:val="00F42CA6"/>
    <w:rsid w:val="00F45E48"/>
    <w:rsid w:val="00F645EE"/>
    <w:rsid w:val="00F75283"/>
    <w:rsid w:val="00FF0A9C"/>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3622F5D1"/>
  <w15:docId w15:val="{E2DAC74A-5A8E-4C7F-B842-493E8149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EastAsia" w:hAnsiTheme="minorHAnsi"/>
        <w:kern w:val="2"/>
        <w:sz w:val="21"/>
        <w:szCs w:val="22"/>
        <w:lang w:bidi="ar-SA" w:eastAsia="zh-CN" w:val="en-US"/>
      </w:rPr>
    </w:rPrDefault>
    <w:pPrDefault/>
  </w:docDefaults>
  <w:latentStyles w:count="371" w:defLockedState="0" w:defQFormat="0" w:defSemiHidden="0" w:defUIPriority="99" w:defUnhideWhenUsed="0">
    <w:lsdException w:name="Normal" w:qFormat="1" w:uiPriority="0"/>
    <w:lsdException w:name="heading 1" w:qFormat="1" w:uiPriority="0"/>
    <w:lsdException w:name="heading 2" w:qFormat="1" w:semiHidden="1" w:uiPriority="0"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893436"/>
    <w:pPr>
      <w:widowControl w:val="0"/>
      <w:jc w:val="both"/>
    </w:pPr>
    <w:rPr>
      <w:rFonts w:ascii="Times New Roman" w:cs="Times New Roman" w:eastAsia="方正仿宋简体" w:hAnsi="Times New Roman"/>
      <w:sz w:val="32"/>
      <w:szCs w:val="20"/>
    </w:rPr>
  </w:style>
  <w:style w:styleId="1" w:type="paragraph">
    <w:name w:val="heading 1"/>
    <w:basedOn w:val="a"/>
    <w:next w:val="a"/>
    <w:link w:val="10"/>
    <w:qFormat/>
    <w:rsid w:val="00893436"/>
    <w:pPr>
      <w:keepNext/>
      <w:keepLines/>
      <w:spacing w:after="330" w:before="340" w:line="578" w:lineRule="auto"/>
      <w:outlineLvl w:val="0"/>
    </w:pPr>
    <w:rPr>
      <w:rFonts w:eastAsia="宋体"/>
      <w:b/>
      <w:bCs/>
      <w:kern w:val="44"/>
      <w:sz w:val="44"/>
      <w:szCs w:val="44"/>
    </w:rPr>
  </w:style>
  <w:style w:styleId="2" w:type="paragraph">
    <w:name w:val="heading 2"/>
    <w:basedOn w:val="a"/>
    <w:next w:val="a"/>
    <w:link w:val="20"/>
    <w:qFormat/>
    <w:rsid w:val="00893436"/>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0" w:type="character">
    <w:name w:val="标题 1 字符"/>
    <w:basedOn w:val="a0"/>
    <w:link w:val="1"/>
    <w:rsid w:val="00893436"/>
    <w:rPr>
      <w:rFonts w:ascii="Times New Roman" w:cs="Times New Roman" w:eastAsia="宋体" w:hAnsi="Times New Roman"/>
      <w:b/>
      <w:bCs/>
      <w:kern w:val="44"/>
      <w:sz w:val="44"/>
      <w:szCs w:val="44"/>
    </w:rPr>
  </w:style>
  <w:style w:customStyle="1" w:styleId="20" w:type="character">
    <w:name w:val="标题 2 字符"/>
    <w:basedOn w:val="a0"/>
    <w:link w:val="2"/>
    <w:rsid w:val="00893436"/>
    <w:rPr>
      <w:rFonts w:ascii="Arial" w:cs="Times New Roman" w:eastAsia="黑体" w:hAnsi="Arial"/>
      <w:b/>
      <w:bCs/>
      <w:sz w:val="32"/>
      <w:szCs w:val="32"/>
    </w:rPr>
  </w:style>
  <w:style w:styleId="a3" w:type="character">
    <w:name w:val="footnote reference"/>
    <w:basedOn w:val="a0"/>
    <w:rsid w:val="00893436"/>
    <w:rPr>
      <w:vertAlign w:val="superscript"/>
    </w:rPr>
  </w:style>
  <w:style w:styleId="a4" w:type="paragraph">
    <w:name w:val="footnote text"/>
    <w:basedOn w:val="a"/>
    <w:link w:val="a5"/>
    <w:rsid w:val="00893436"/>
    <w:pPr>
      <w:snapToGrid w:val="0"/>
      <w:jc w:val="left"/>
    </w:pPr>
    <w:rPr>
      <w:rFonts w:eastAsia="宋体"/>
      <w:sz w:val="18"/>
    </w:rPr>
  </w:style>
  <w:style w:customStyle="1" w:styleId="a5" w:type="character">
    <w:name w:val="脚注文本 字符"/>
    <w:basedOn w:val="a0"/>
    <w:link w:val="a4"/>
    <w:rsid w:val="00893436"/>
    <w:rPr>
      <w:rFonts w:ascii="Times New Roman" w:cs="Times New Roman" w:eastAsia="宋体" w:hAnsi="Times New Roman"/>
      <w:sz w:val="18"/>
      <w:szCs w:val="20"/>
    </w:rPr>
  </w:style>
  <w:style w:styleId="a6" w:type="paragraph">
    <w:name w:val="Document Map"/>
    <w:basedOn w:val="a"/>
    <w:link w:val="a7"/>
    <w:uiPriority w:val="99"/>
    <w:semiHidden/>
    <w:unhideWhenUsed/>
    <w:rsid w:val="00893436"/>
    <w:rPr>
      <w:rFonts w:ascii="宋体" w:eastAsia="宋体"/>
      <w:sz w:val="18"/>
      <w:szCs w:val="18"/>
    </w:rPr>
  </w:style>
  <w:style w:customStyle="1" w:styleId="a7" w:type="character">
    <w:name w:val="文档结构图 字符"/>
    <w:basedOn w:val="a0"/>
    <w:link w:val="a6"/>
    <w:uiPriority w:val="99"/>
    <w:semiHidden/>
    <w:rsid w:val="00893436"/>
    <w:rPr>
      <w:rFonts w:ascii="宋体" w:cs="Times New Roman" w:eastAsia="宋体" w:hAnsi="Times New Roman"/>
      <w:sz w:val="18"/>
      <w:szCs w:val="18"/>
    </w:rPr>
  </w:style>
  <w:style w:styleId="a8" w:type="paragraph">
    <w:name w:val="header"/>
    <w:basedOn w:val="a"/>
    <w:link w:val="a9"/>
    <w:uiPriority w:val="99"/>
    <w:unhideWhenUsed/>
    <w:rsid w:val="003160F8"/>
    <w:pPr>
      <w:pBdr>
        <w:bottom w:color="auto" w:space="1" w:sz="6" w:val="single"/>
      </w:pBdr>
      <w:tabs>
        <w:tab w:pos="4153" w:val="center"/>
        <w:tab w:pos="8306" w:val="right"/>
      </w:tabs>
      <w:snapToGrid w:val="0"/>
      <w:jc w:val="center"/>
    </w:pPr>
    <w:rPr>
      <w:sz w:val="18"/>
      <w:szCs w:val="18"/>
    </w:rPr>
  </w:style>
  <w:style w:customStyle="1" w:styleId="a9" w:type="character">
    <w:name w:val="页眉 字符"/>
    <w:basedOn w:val="a0"/>
    <w:link w:val="a8"/>
    <w:uiPriority w:val="99"/>
    <w:rsid w:val="003160F8"/>
    <w:rPr>
      <w:rFonts w:ascii="Times New Roman" w:cs="Times New Roman" w:eastAsia="方正仿宋简体" w:hAnsi="Times New Roman"/>
      <w:sz w:val="18"/>
      <w:szCs w:val="18"/>
    </w:rPr>
  </w:style>
  <w:style w:styleId="aa" w:type="paragraph">
    <w:name w:val="footer"/>
    <w:basedOn w:val="a"/>
    <w:link w:val="ab"/>
    <w:uiPriority w:val="99"/>
    <w:unhideWhenUsed/>
    <w:rsid w:val="003160F8"/>
    <w:pPr>
      <w:tabs>
        <w:tab w:pos="4153" w:val="center"/>
        <w:tab w:pos="8306" w:val="right"/>
      </w:tabs>
      <w:snapToGrid w:val="0"/>
      <w:jc w:val="left"/>
    </w:pPr>
    <w:rPr>
      <w:sz w:val="18"/>
      <w:szCs w:val="18"/>
    </w:rPr>
  </w:style>
  <w:style w:customStyle="1" w:styleId="ab" w:type="character">
    <w:name w:val="页脚 字符"/>
    <w:basedOn w:val="a0"/>
    <w:link w:val="aa"/>
    <w:uiPriority w:val="99"/>
    <w:rsid w:val="003160F8"/>
    <w:rPr>
      <w:rFonts w:ascii="Times New Roman" w:cs="Times New Roman" w:eastAsia="方正仿宋简体" w:hAnsi="Times New Roman"/>
      <w:sz w:val="18"/>
      <w:szCs w:val="18"/>
    </w:rPr>
  </w:style>
  <w:style w:styleId="ac" w:type="paragraph">
    <w:name w:val="Balloon Text"/>
    <w:basedOn w:val="a"/>
    <w:link w:val="ad"/>
    <w:uiPriority w:val="99"/>
    <w:semiHidden/>
    <w:unhideWhenUsed/>
    <w:rsid w:val="00B44BBE"/>
    <w:rPr>
      <w:sz w:val="18"/>
      <w:szCs w:val="18"/>
    </w:rPr>
  </w:style>
  <w:style w:customStyle="1" w:styleId="ad" w:type="character">
    <w:name w:val="批注框文本 字符"/>
    <w:basedOn w:val="a0"/>
    <w:link w:val="ac"/>
    <w:uiPriority w:val="99"/>
    <w:semiHidden/>
    <w:rsid w:val="00B44BBE"/>
    <w:rPr>
      <w:rFonts w:ascii="Times New Roman" w:cs="Times New Roman" w:eastAsia="方正仿宋简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6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2</Pages>
  <Words>237</Words>
  <Characters>1352</Characters>
  <Application>Microsoft Office Word</Application>
  <DocSecurity>0</DocSecurity>
  <Lines>11</Lines>
  <Paragraphs>3</Paragraphs>
  <ScaleCrop>false</ScaleCrop>
  <Company>微软中国</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2013-07-24T09:25:00Z</dcterms:created>
  <dc:creator>User</dc:creator>
  <cp:lastModifiedBy>Windows 用户</cp:lastModifiedBy>
  <dcterms:modified xsi:type="dcterms:W3CDTF">2022-04-12T01:29:00Z</dcterms:modified>
  <cp:revision>59</cp:revision>
</cp:coreProperties>
</file>