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28"/>
        </w:rPr>
      </w:pPr>
      <w:r>
        <w:rPr>
          <w:rFonts w:hint="eastAsia" w:ascii="宋体" w:hAnsi="宋体" w:eastAsia="宋体"/>
          <w:b/>
          <w:sz w:val="28"/>
        </w:rPr>
        <w:t>博时安祺6个月定期开放债券型证券投资基金分红公告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2022年6月23日</w:t>
      </w:r>
    </w:p>
    <w:p>
      <w:pPr>
        <w:jc w:val="center"/>
        <w:rPr>
          <w:rFonts w:ascii="宋体" w:hAnsi="宋体" w:eastAsia="宋体"/>
          <w:b/>
          <w:sz w:val="24"/>
        </w:rPr>
      </w:pPr>
    </w:p>
    <w:p>
      <w:pPr>
        <w:pStyle w:val="2"/>
        <w:rPr>
          <w:rFonts w:ascii="宋体" w:hAnsi="宋体" w:eastAsia="宋体"/>
          <w:sz w:val="21"/>
        </w:rPr>
      </w:pPr>
      <w:r>
        <w:rPr>
          <w:rFonts w:ascii="宋体" w:hAnsi="宋体" w:eastAsia="宋体"/>
          <w:sz w:val="21"/>
        </w:rPr>
        <w:t>1 公告基本信息</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博时安祺</w:t>
            </w:r>
            <w:r>
              <w:rPr>
                <w:rFonts w:ascii="宋体" w:hAnsi="宋体" w:eastAsia="宋体"/>
              </w:rPr>
              <w:t>6个月定期开放债券型证券投资基金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博时安祺</w:t>
            </w:r>
            <w:r>
              <w:rPr>
                <w:rFonts w:ascii="宋体" w:hAnsi="宋体" w:eastAsia="宋体"/>
              </w:rPr>
              <w:t>6个月定开债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003239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2016年9月29日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平安银行股份有限公司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《中华人民共和国证券投资基金法》、《公开募集证券投资基金运作管理办法》、《博时安祺</w:t>
            </w:r>
            <w:r>
              <w:rPr>
                <w:rFonts w:ascii="宋体" w:hAnsi="宋体" w:eastAsia="宋体"/>
              </w:rPr>
              <w:t>6个月定期开放债券型证券投资基金基金合同》、《博时安祺6个月定期开放债券型证券投资基金招募说明书》等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收益分配基准日</w:t>
            </w:r>
          </w:p>
        </w:tc>
        <w:tc>
          <w:tcPr>
            <w:tcW w:w="5682" w:type="dxa"/>
            <w:gridSpan w:val="2"/>
            <w:vAlign w:val="center"/>
          </w:tcPr>
          <w:p>
            <w:pPr>
              <w:rPr>
                <w:rFonts w:ascii="宋体" w:hAnsi="宋体" w:eastAsia="宋体"/>
              </w:rPr>
            </w:pPr>
            <w:r>
              <w:rPr>
                <w:rFonts w:ascii="宋体" w:hAnsi="宋体" w:eastAsia="宋体"/>
              </w:rPr>
              <w:t>2022年6月20日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下属基金份额的基金简称</w:t>
            </w:r>
          </w:p>
        </w:tc>
        <w:tc>
          <w:tcPr>
            <w:tcW w:w="2841" w:type="dxa"/>
            <w:vAlign w:val="center"/>
          </w:tcPr>
          <w:p>
            <w:pPr>
              <w:rPr>
                <w:rFonts w:ascii="宋体" w:hAnsi="宋体" w:eastAsia="宋体"/>
              </w:rPr>
            </w:pPr>
            <w:r>
              <w:rPr>
                <w:rFonts w:hint="eastAsia" w:ascii="宋体" w:hAnsi="宋体" w:eastAsia="宋体"/>
              </w:rPr>
              <w:t>博时安祺</w:t>
            </w:r>
            <w:r>
              <w:rPr>
                <w:rFonts w:ascii="宋体" w:hAnsi="宋体" w:eastAsia="宋体"/>
              </w:rPr>
              <w:t>6个月定开债A</w:t>
            </w:r>
          </w:p>
        </w:tc>
        <w:tc>
          <w:tcPr>
            <w:tcW w:w="2841" w:type="dxa"/>
            <w:vAlign w:val="center"/>
          </w:tcPr>
          <w:p>
            <w:pPr>
              <w:rPr>
                <w:rFonts w:ascii="宋体" w:hAnsi="宋体" w:eastAsia="宋体"/>
              </w:rPr>
            </w:pPr>
            <w:r>
              <w:rPr>
                <w:rFonts w:hint="eastAsia" w:ascii="宋体" w:hAnsi="宋体" w:eastAsia="宋体"/>
              </w:rPr>
              <w:t>博时安祺</w:t>
            </w:r>
            <w:r>
              <w:rPr>
                <w:rFonts w:ascii="宋体" w:hAnsi="宋体" w:eastAsia="宋体"/>
              </w:rPr>
              <w:t>6个月定开债C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下属基金份额的交易代码</w:t>
            </w:r>
          </w:p>
        </w:tc>
        <w:tc>
          <w:tcPr>
            <w:tcW w:w="2841" w:type="dxa"/>
            <w:vAlign w:val="center"/>
          </w:tcPr>
          <w:p>
            <w:pPr>
              <w:rPr>
                <w:rFonts w:ascii="宋体" w:hAnsi="宋体" w:eastAsia="宋体"/>
              </w:rPr>
            </w:pPr>
            <w:r>
              <w:rPr>
                <w:rFonts w:ascii="宋体" w:hAnsi="宋体" w:eastAsia="宋体"/>
              </w:rPr>
              <w:t>003239</w:t>
            </w:r>
          </w:p>
        </w:tc>
        <w:tc>
          <w:tcPr>
            <w:tcW w:w="2841" w:type="dxa"/>
            <w:vAlign w:val="center"/>
          </w:tcPr>
          <w:p>
            <w:pPr>
              <w:rPr>
                <w:rFonts w:ascii="宋体" w:hAnsi="宋体" w:eastAsia="宋体"/>
              </w:rPr>
            </w:pPr>
            <w:r>
              <w:rPr>
                <w:rFonts w:ascii="宋体" w:hAnsi="宋体" w:eastAsia="宋体"/>
              </w:rPr>
              <w:t>003240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rPr>
                <w:rFonts w:ascii="宋体" w:hAnsi="宋体" w:eastAsia="宋体"/>
              </w:rPr>
            </w:pPr>
            <w:r>
              <w:rPr>
                <w:rFonts w:hint="eastAsia" w:ascii="宋体" w:hAnsi="宋体" w:eastAsia="宋体"/>
              </w:rPr>
              <w:t>截止基准日下属基金份额的相关指标</w:t>
            </w:r>
          </w:p>
        </w:tc>
        <w:tc>
          <w:tcPr>
            <w:tcW w:w="1420" w:type="dxa"/>
            <w:vAlign w:val="center"/>
          </w:tcPr>
          <w:p>
            <w:pPr>
              <w:rPr>
                <w:rFonts w:ascii="宋体" w:hAnsi="宋体" w:eastAsia="宋体"/>
              </w:rPr>
            </w:pPr>
            <w:r>
              <w:rPr>
                <w:rFonts w:hint="eastAsia" w:ascii="宋体" w:hAnsi="宋体" w:eastAsia="宋体"/>
              </w:rPr>
              <w:t>基准日下属基金份额份额净值（单位：元）</w:t>
            </w:r>
          </w:p>
        </w:tc>
        <w:tc>
          <w:tcPr>
            <w:tcW w:w="2841" w:type="dxa"/>
            <w:vAlign w:val="center"/>
          </w:tcPr>
          <w:p>
            <w:pPr>
              <w:rPr>
                <w:rFonts w:ascii="宋体" w:hAnsi="宋体" w:eastAsia="宋体"/>
              </w:rPr>
            </w:pPr>
            <w:r>
              <w:rPr>
                <w:rFonts w:ascii="宋体" w:hAnsi="宋体" w:eastAsia="宋体"/>
              </w:rPr>
              <w:t>1.0263</w:t>
            </w:r>
          </w:p>
        </w:tc>
        <w:tc>
          <w:tcPr>
            <w:tcW w:w="2841" w:type="dxa"/>
            <w:vAlign w:val="center"/>
          </w:tcPr>
          <w:p>
            <w:pPr>
              <w:rPr>
                <w:rFonts w:ascii="宋体" w:hAnsi="宋体" w:eastAsia="宋体"/>
              </w:rPr>
            </w:pPr>
            <w:r>
              <w:rPr>
                <w:rFonts w:ascii="宋体" w:hAnsi="宋体" w:eastAsia="宋体"/>
              </w:rPr>
              <w:t>1.0242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基准日下属基金份额可供分配利润（单位：元）</w:t>
            </w:r>
          </w:p>
        </w:tc>
        <w:tc>
          <w:tcPr>
            <w:tcW w:w="2841" w:type="dxa"/>
            <w:vAlign w:val="center"/>
          </w:tcPr>
          <w:p>
            <w:pPr>
              <w:rPr>
                <w:rFonts w:ascii="宋体" w:hAnsi="宋体" w:eastAsia="宋体"/>
              </w:rPr>
            </w:pPr>
            <w:r>
              <w:rPr>
                <w:rFonts w:ascii="宋体" w:hAnsi="宋体" w:eastAsia="宋体"/>
              </w:rPr>
              <w:t>18,173,611.39</w:t>
            </w:r>
          </w:p>
        </w:tc>
        <w:tc>
          <w:tcPr>
            <w:tcW w:w="2841" w:type="dxa"/>
            <w:vAlign w:val="center"/>
          </w:tcPr>
          <w:p>
            <w:pPr>
              <w:rPr>
                <w:rFonts w:ascii="宋体" w:hAnsi="宋体" w:eastAsia="宋体"/>
              </w:rPr>
            </w:pPr>
            <w:r>
              <w:rPr>
                <w:rFonts w:ascii="宋体" w:hAnsi="宋体" w:eastAsia="宋体"/>
              </w:rPr>
              <w:t>33,005.14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截止基准日按照基金合同约定的分红比例计算的应分配金额（单位：元）</w:t>
            </w:r>
          </w:p>
        </w:tc>
        <w:tc>
          <w:tcPr>
            <w:tcW w:w="2841" w:type="dxa"/>
            <w:vAlign w:val="center"/>
          </w:tcPr>
          <w:p>
            <w:pPr>
              <w:rPr>
                <w:rFonts w:ascii="宋体" w:hAnsi="宋体" w:eastAsia="宋体"/>
              </w:rPr>
            </w:pPr>
            <w:r>
              <w:rPr>
                <w:rFonts w:ascii="宋体" w:hAnsi="宋体" w:eastAsia="宋体"/>
              </w:rPr>
              <w:t>-</w:t>
            </w:r>
          </w:p>
        </w:tc>
        <w:tc>
          <w:tcPr>
            <w:tcW w:w="2841" w:type="dxa"/>
            <w:vAlign w:val="center"/>
          </w:tcPr>
          <w:p>
            <w:pPr>
              <w:rPr>
                <w:rFonts w:ascii="宋体" w:hAnsi="宋体" w:eastAsia="宋体"/>
              </w:rPr>
            </w:pPr>
            <w:r>
              <w:rPr>
                <w:rFonts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本次下属基金份额分红方案（单位：元</w:t>
            </w:r>
            <w:r>
              <w:rPr>
                <w:rFonts w:ascii="宋体" w:hAnsi="宋体" w:eastAsia="宋体"/>
              </w:rPr>
              <w:t>/10份基金份额）</w:t>
            </w:r>
          </w:p>
        </w:tc>
        <w:tc>
          <w:tcPr>
            <w:tcW w:w="2841" w:type="dxa"/>
            <w:vAlign w:val="center"/>
          </w:tcPr>
          <w:p>
            <w:pPr>
              <w:rPr>
                <w:rFonts w:ascii="宋体" w:hAnsi="宋体" w:eastAsia="宋体"/>
              </w:rPr>
            </w:pPr>
            <w:r>
              <w:rPr>
                <w:rFonts w:ascii="宋体" w:hAnsi="宋体" w:eastAsia="宋体"/>
              </w:rPr>
              <w:t>0.0580</w:t>
            </w:r>
          </w:p>
        </w:tc>
        <w:tc>
          <w:tcPr>
            <w:tcW w:w="2841" w:type="dxa"/>
            <w:vAlign w:val="center"/>
          </w:tcPr>
          <w:p>
            <w:pPr>
              <w:rPr>
                <w:rFonts w:ascii="宋体" w:hAnsi="宋体" w:eastAsia="宋体"/>
              </w:rPr>
            </w:pPr>
            <w:r>
              <w:rPr>
                <w:rFonts w:ascii="宋体" w:hAnsi="宋体" w:eastAsia="宋体"/>
              </w:rPr>
              <w:t>0.0540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有关年度分红次数的说明</w:t>
            </w:r>
          </w:p>
        </w:tc>
        <w:tc>
          <w:tcPr>
            <w:tcW w:w="5682" w:type="dxa"/>
            <w:gridSpan w:val="2"/>
            <w:vAlign w:val="center"/>
          </w:tcPr>
          <w:p>
            <w:pPr>
              <w:rPr>
                <w:rFonts w:ascii="宋体" w:hAnsi="宋体" w:eastAsia="宋体"/>
              </w:rPr>
            </w:pPr>
            <w:r>
              <w:rPr>
                <w:rFonts w:hint="eastAsia" w:ascii="宋体" w:hAnsi="宋体" w:eastAsia="宋体"/>
              </w:rPr>
              <w:t>本次分红为</w:t>
            </w:r>
            <w:r>
              <w:rPr>
                <w:rFonts w:ascii="宋体" w:hAnsi="宋体" w:eastAsia="宋体"/>
              </w:rPr>
              <w:t>2022年度的第1次分红</w:t>
            </w:r>
          </w:p>
        </w:tc>
      </w:tr>
    </w:tbl>
    <w:p/>
    <w:p>
      <w:pPr>
        <w:pStyle w:val="3"/>
        <w:spacing w:before="0" w:beforeAutospacing="0" w:after="0" w:afterAutospacing="0" w:line="360" w:lineRule="auto"/>
        <w:ind w:firstLine="420"/>
        <w:rPr>
          <w:rFonts w:hint="eastAsia"/>
          <w:sz w:val="21"/>
          <w:szCs w:val="21"/>
        </w:rPr>
      </w:pPr>
      <w:r>
        <w:rPr>
          <w:rFonts w:hint="eastAsia"/>
          <w:sz w:val="21"/>
        </w:rPr>
        <w:t>注：</w:t>
      </w:r>
      <w:r>
        <w:rPr>
          <w:rFonts w:hint="eastAsia"/>
          <w:sz w:val="21"/>
          <w:szCs w:val="21"/>
        </w:rPr>
        <w:t> 本基金A 类基金份额每10份基金份额发放红利0.0580元人民币，本基金C 类基金份额每10份基金份额发放红利0.0540元人民币。 </w:t>
      </w:r>
    </w:p>
    <w:p>
      <w:pPr>
        <w:pStyle w:val="2"/>
        <w:rPr>
          <w:rFonts w:ascii="宋体" w:hAnsi="宋体" w:eastAsia="宋体"/>
          <w:sz w:val="21"/>
        </w:rPr>
      </w:pPr>
      <w:r>
        <w:rPr>
          <w:rFonts w:ascii="宋体" w:hAnsi="宋体" w:eastAsia="宋体"/>
          <w:sz w:val="21"/>
        </w:rPr>
        <w:t>2 与分红相关的其他信息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权益登记日</w:t>
            </w:r>
          </w:p>
        </w:tc>
        <w:tc>
          <w:tcPr>
            <w:tcW w:w="5682" w:type="dxa"/>
            <w:vAlign w:val="center"/>
          </w:tcPr>
          <w:p>
            <w:pPr>
              <w:rPr>
                <w:rFonts w:ascii="宋体" w:hAnsi="宋体" w:eastAsia="宋体"/>
                <w:sz w:val="21"/>
                <w:szCs w:val="21"/>
              </w:rPr>
            </w:pPr>
            <w:r>
              <w:rPr>
                <w:rFonts w:ascii="宋体" w:hAnsi="宋体" w:eastAsia="宋体"/>
                <w:sz w:val="21"/>
                <w:szCs w:val="21"/>
              </w:rPr>
              <w:t>2022年6月27日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除息日</w:t>
            </w:r>
          </w:p>
        </w:tc>
        <w:tc>
          <w:tcPr>
            <w:tcW w:w="5682" w:type="dxa"/>
            <w:vAlign w:val="center"/>
          </w:tcPr>
          <w:p>
            <w:pPr>
              <w:rPr>
                <w:rFonts w:ascii="宋体" w:hAnsi="宋体" w:eastAsia="宋体"/>
                <w:sz w:val="21"/>
                <w:szCs w:val="21"/>
              </w:rPr>
            </w:pPr>
            <w:r>
              <w:rPr>
                <w:rFonts w:ascii="宋体" w:hAnsi="宋体" w:eastAsia="宋体"/>
                <w:sz w:val="21"/>
                <w:szCs w:val="21"/>
              </w:rPr>
              <w:t>2022年6月27日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现金红利发放日</w:t>
            </w:r>
          </w:p>
        </w:tc>
        <w:tc>
          <w:tcPr>
            <w:tcW w:w="5682" w:type="dxa"/>
            <w:vAlign w:val="center"/>
          </w:tcPr>
          <w:p>
            <w:pPr>
              <w:rPr>
                <w:rFonts w:ascii="宋体" w:hAnsi="宋体" w:eastAsia="宋体"/>
                <w:sz w:val="21"/>
                <w:szCs w:val="21"/>
              </w:rPr>
            </w:pPr>
            <w:r>
              <w:rPr>
                <w:rFonts w:ascii="宋体" w:hAnsi="宋体" w:eastAsia="宋体"/>
                <w:sz w:val="21"/>
                <w:szCs w:val="21"/>
              </w:rPr>
              <w:t>2022年6月29日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分红对象</w:t>
            </w:r>
          </w:p>
        </w:tc>
        <w:tc>
          <w:tcPr>
            <w:tcW w:w="5682" w:type="dxa"/>
            <w:vAlign w:val="center"/>
          </w:tcPr>
          <w:p>
            <w:pPr>
              <w:rPr>
                <w:rFonts w:ascii="宋体" w:hAnsi="宋体" w:eastAsia="宋体"/>
                <w:sz w:val="21"/>
                <w:szCs w:val="21"/>
              </w:rPr>
            </w:pPr>
            <w:r>
              <w:rPr>
                <w:rFonts w:hint="eastAsia" w:ascii="宋体" w:hAnsi="宋体" w:eastAsia="宋体"/>
                <w:sz w:val="21"/>
                <w:szCs w:val="21"/>
              </w:rPr>
              <w:t>权益登记日登记在册的本基金份额持有人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红利再投资相关事项的说明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选择红利再投资方式的投资者所转换的基金份额将以</w:t>
            </w:r>
            <w:r>
              <w:rPr>
                <w:rFonts w:ascii="宋体" w:hAnsi="宋体" w:eastAsia="宋体"/>
                <w:sz w:val="21"/>
                <w:szCs w:val="21"/>
              </w:rPr>
              <w:t>2022年6月27日的基金份额净值为计算基准确定再投资份额，红利再投资所转换的基金份额于2022年6月28日直接划入其基金账户，2022年6月29日起投资者可以查询、赎回。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税收相关事项的说明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根据财政部、国家税务总局的财税</w:t>
            </w:r>
            <w:r>
              <w:rPr>
                <w:rFonts w:ascii="宋体" w:hAnsi="宋体" w:eastAsia="宋体"/>
                <w:sz w:val="21"/>
                <w:szCs w:val="21"/>
              </w:rPr>
              <w:t>[2002]128号《财政部 国家税务总局关于开放式证券投资基金有关税收问题的通知》及财税[2008]1号《关于企业所得税若干优惠政策的通知》的规定，基金向投资者分配的基金利润，暂免征收所得税。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费用相关事项的说明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本基金本次分红免收分红手续费。选择红利再投资方式的投资者其红利所转换的基金份额免收申购费用。</w:t>
            </w:r>
          </w:p>
        </w:tc>
      </w:tr>
    </w:tbl>
    <w:p/>
    <w:p>
      <w:pPr>
        <w:pStyle w:val="2"/>
        <w:rPr>
          <w:rFonts w:hint="eastAsia" w:ascii="宋体" w:hAnsi="宋体" w:eastAsia="宋体"/>
          <w:sz w:val="21"/>
        </w:rPr>
      </w:pPr>
      <w:r>
        <w:rPr>
          <w:rFonts w:hint="eastAsia" w:ascii="宋体" w:hAnsi="宋体" w:eastAsia="宋体"/>
          <w:sz w:val="21"/>
        </w:rPr>
        <w:t>3 其他需要提示的事项</w:t>
      </w:r>
      <w:bookmarkStart w:id="0" w:name="_GoBack"/>
      <w:bookmarkEnd w:id="0"/>
    </w:p>
    <w:p>
      <w:pPr>
        <w:pStyle w:val="3"/>
        <w:spacing w:before="0" w:beforeAutospacing="0" w:after="0" w:afterAutospacing="0" w:line="360" w:lineRule="auto"/>
        <w:ind w:firstLine="420"/>
        <w:rPr>
          <w:sz w:val="21"/>
          <w:szCs w:val="21"/>
        </w:rPr>
      </w:pPr>
      <w:r>
        <w:rPr>
          <w:rFonts w:hint="eastAsia"/>
          <w:sz w:val="21"/>
          <w:szCs w:val="21"/>
        </w:rPr>
        <w:t xml:space="preserve">（1）权益登记日申购或转换转入的基金份额不享有本次分红权益，赎回或转换转出的基金份额享有本次分红权益。 </w:t>
      </w:r>
    </w:p>
    <w:p>
      <w:pPr>
        <w:pStyle w:val="3"/>
        <w:spacing w:before="0" w:beforeAutospacing="0" w:after="0" w:afterAutospacing="0" w:line="360" w:lineRule="auto"/>
        <w:ind w:firstLine="420"/>
        <w:rPr>
          <w:rFonts w:hint="eastAsia"/>
          <w:sz w:val="21"/>
          <w:szCs w:val="21"/>
        </w:rPr>
      </w:pPr>
      <w:r>
        <w:rPr>
          <w:rFonts w:hint="eastAsia"/>
          <w:sz w:val="21"/>
          <w:szCs w:val="21"/>
        </w:rPr>
        <w:t xml:space="preserve">（2）对于未选择本基金具体分红方式的投资者，本基金默认的分红方式为现金红利方式。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2022年6月27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pPr>
        <w:pStyle w:val="3"/>
        <w:spacing w:before="0" w:beforeAutospacing="0" w:after="0" w:afterAutospacing="0" w:line="360" w:lineRule="auto"/>
        <w:ind w:firstLine="420"/>
        <w:rPr>
          <w:rFonts w:hint="eastAsia"/>
          <w:sz w:val="21"/>
          <w:szCs w:val="21"/>
        </w:rPr>
      </w:pPr>
      <w:r>
        <w:rPr>
          <w:rFonts w:hint="eastAsia"/>
          <w:sz w:val="21"/>
          <w:szCs w:val="21"/>
        </w:rPr>
        <w:t xml:space="preserve">（4）若投资者选择红利再投资方式并在2022年6月27日申请赎回基金份额的，其账户余额（包括红利再投资份额）低于1份时，本基金将自动计算其分红收益，并与赎回款一起以现金形式支付。 </w:t>
      </w:r>
    </w:p>
    <w:p>
      <w:pPr>
        <w:pStyle w:val="3"/>
        <w:spacing w:before="0" w:beforeAutospacing="0" w:after="0" w:afterAutospacing="0" w:line="360" w:lineRule="auto"/>
        <w:ind w:firstLine="420"/>
        <w:rPr>
          <w:rFonts w:hint="eastAsia"/>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2022年6月23日</w:t>
      </w:r>
    </w:p>
    <w:p>
      <w:pPr>
        <w:pStyle w:val="3"/>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1E"/>
    <w:rsid w:val="003A7E1E"/>
    <w:rsid w:val="00614B88"/>
    <w:rsid w:val="430D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3 Char"/>
    <w:basedOn w:val="6"/>
    <w:link w:val="2"/>
    <w:qFormat/>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254</Words>
  <Characters>1454</Characters>
  <Lines>12</Lines>
  <Paragraphs>3</Paragraphs>
  <TotalTime>2</TotalTime>
  <ScaleCrop>false</ScaleCrop>
  <LinksUpToDate>false</LinksUpToDate>
  <CharactersWithSpaces>1705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2022-06-22T01:18:00Z</dcterms:created>
  <dc:creator>BSKMadminDev</dc:creator>
  <cp:lastModifiedBy>fuxj</cp:lastModifiedBy>
  <dcterms:modified xsi:type="dcterms:W3CDTF">2022-06-22T01:33:55Z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CF0888E0E05F4C5090DA40314B4601BB</vt:lpwstr>
  </property>
</Properties>
</file>