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AC3CC5" w:rsidR="00893436" w:rsidRDefault="00893436" w:rsidRPr="005C57A1">
      <w:pPr>
        <w:widowControl/>
        <w:spacing w:line="360" w:lineRule="auto"/>
        <w:jc w:val="center"/>
        <w:rPr>
          <w:rFonts w:asciiTheme="minorEastAsia" w:cs="宋体" w:eastAsiaTheme="minorEastAsia" w:hAnsiTheme="minorEastAsia"/>
          <w:b/>
          <w:kern w:val="0"/>
          <w:sz w:val="30"/>
          <w:szCs w:val="30"/>
        </w:rPr>
      </w:pPr>
      <w:r w:rsidRPr="005C57A1">
        <w:rPr>
          <w:rFonts w:asciiTheme="minorEastAsia" w:cs="宋体" w:eastAsiaTheme="minorEastAsia" w:hAnsiTheme="minorEastAsia" w:hint="eastAsia"/>
          <w:b/>
          <w:kern w:val="0"/>
          <w:sz w:val="30"/>
          <w:szCs w:val="30"/>
        </w:rPr>
        <w:t>广发汇兴3个月定期开放债券型发起式证券投资基金分红公告</w:t>
      </w:r>
    </w:p>
    <w:p w:rsidP="00AC3CC5" w:rsidR="00893436" w:rsidRDefault="00893436" w:rsidRPr="002825C8">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Pr="002825C8">
        <w:rPr>
          <w:rFonts w:asciiTheme="minorEastAsia" w:eastAsiaTheme="minorEastAsia" w:hAnsiTheme="minorEastAsia"/>
          <w:bCs/>
          <w:sz w:val="24"/>
          <w:szCs w:val="24"/>
        </w:rPr>
        <w:t/>
      </w:r>
      <w:r w:rsidRPr="002825C8">
        <w:rPr>
          <w:rFonts w:asciiTheme="minorEastAsia" w:cs="宋体" w:eastAsiaTheme="minorEastAsia" w:hAnsiTheme="minorEastAsia" w:hint="eastAsia"/>
          <w:bCs/>
          <w:sz w:val="24"/>
          <w:szCs w:val="24"/>
        </w:rPr>
        <w:t/>
      </w:r>
      <w:r w:rsidRPr="002825C8">
        <w:rPr>
          <w:rFonts w:asciiTheme="minorEastAsia" w:cs="宋体" w:eastAsiaTheme="minorEastAsia" w:hAnsiTheme="minorEastAsia"/>
          <w:bCs/>
          <w:sz w:val="24"/>
          <w:szCs w:val="24"/>
        </w:rPr>
        <w:t>2022年6月22日</w:t>
      </w:r>
    </w:p>
    <w:p w:rsidP="00AC3CC5" w:rsidR="00893436" w:rsidRDefault="00893436" w:rsidRPr="002825C8">
      <w:pPr>
        <w:spacing w:line="360" w:lineRule="auto"/>
        <w:jc w:val="center"/>
        <w:rPr>
          <w:rFonts w:asciiTheme="minorEastAsia" w:eastAsiaTheme="minorEastAsia" w:hAnsiTheme="minorEastAsia"/>
          <w:color w:val="000000"/>
          <w:sz w:val="24"/>
          <w:szCs w:val="24"/>
        </w:rPr>
      </w:pPr>
    </w:p>
    <w:p w:rsidP="00AC3CC5" w:rsidR="00893436" w:rsidRDefault="00893436" w:rsidRPr="002825C8">
      <w:pPr>
        <w:pStyle w:val="2"/>
        <w:spacing w:line="360" w:lineRule="auto"/>
        <w:rPr>
          <w:rFonts w:asciiTheme="minorEastAsia" w:eastAsiaTheme="minorEastAsia" w:hAnsiTheme="minorEastAsia"/>
          <w:bCs w:val="0"/>
          <w:color w:val="000000"/>
          <w:sz w:val="24"/>
          <w:szCs w:val="24"/>
        </w:rPr>
      </w:pPr>
      <w:bookmarkStart w:id="0" w:name="_Toc275961418"/>
      <w:r w:rsidRPr="002825C8">
        <w:rPr>
          <w:rFonts w:asciiTheme="minorEastAsia" w:eastAsiaTheme="minorEastAsia" w:hAnsiTheme="minorEastAsia"/>
          <w:bCs w:val="0"/>
          <w:color w:val="000000"/>
          <w:sz w:val="24"/>
          <w:szCs w:val="24"/>
        </w:rPr>
        <w:t>1</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4778"/>
        <w:gridCol w:w="4861"/>
      </w:tblGrid>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广发汇兴3个月定期开放债券型发起式证券投资基金</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广发汇兴3个月定期开放债券</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006552</w:t>
            </w:r>
          </w:p>
        </w:tc>
      </w:tr>
      <w:tr w:rsidR="0039192C" w:rsidRPr="002825C8" w:rsidTr="001E1256">
        <w:trPr>
          <w:jc w:val="center"/>
        </w:trPr>
        <w:tc>
          <w:tcPr>
            <w:tcW w:type="dxa" w:w="4778"/>
            <w:vAlign w:val="center"/>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type="dxa" w:w="4861"/>
            <w:vAlign w:val="center"/>
          </w:tcPr>
          <w:p w:rsidP="00AC3CC5" w:rsidR="0039192C" w:rsidRDefault="003E51F2"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2018年10月29日</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广发基金管理有限公司</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招商银行股份有限公司</w:t>
            </w:r>
          </w:p>
        </w:tc>
      </w:tr>
      <w:tr w:rsidR="0039192C" w:rsidRPr="002825C8" w:rsidTr="001E1256">
        <w:trPr>
          <w:jc w:val="center"/>
        </w:trPr>
        <w:tc>
          <w:tcPr>
            <w:tcW w:type="dxa" w:w="4778"/>
          </w:tcPr>
          <w:p w:rsidP="00AC3CC5" w:rsidR="0039192C" w:rsidRDefault="0039192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type="dxa" w:w="4861"/>
            <w:vAlign w:val="center"/>
          </w:tcPr>
          <w:p w:rsidP="00AC3CC5" w:rsidR="0039192C"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《中华人民共和国证券投资基金法》及其配套法规、《广发汇兴3个月定期开放债券型发起式证券投资基金基金合同》、《广发汇兴3个月定期开放债券型发起式证券投资基金招募说明书》</w:t>
            </w:r>
          </w:p>
        </w:tc>
      </w:tr>
      <w:tr w:rsidR="00893436" w:rsidRPr="002825C8" w:rsidTr="001E1256">
        <w:trPr>
          <w:jc w:val="center"/>
        </w:trPr>
        <w:tc>
          <w:tcPr>
            <w:tcW w:type="dxa" w:w="4778"/>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type="dxa" w:w="4861"/>
          </w:tcPr>
          <w:p w:rsidP="00AC3CC5" w:rsidR="00893436" w:rsidRDefault="0039192C"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
            </w:r>
            <w:r w:rsidR="008D1F66" w:rsidRPr="002825C8">
              <w:rPr>
                <w:rFonts w:asciiTheme="minorEastAsia" w:eastAsiaTheme="minorEastAsia" w:hAnsiTheme="minorEastAsia"/>
                <w:sz w:val="24"/>
                <w:szCs w:val="24"/>
              </w:rPr>
              <w:t/>
            </w:r>
            <w:r w:rsidRPr="002825C8">
              <w:rPr>
                <w:rFonts w:asciiTheme="minorEastAsia" w:eastAsiaTheme="minorEastAsia" w:hAnsiTheme="minorEastAsia"/>
                <w:sz w:val="24"/>
                <w:szCs w:val="24"/>
              </w:rPr>
              <w:t>2022年6月15日</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1648"/>
        <w:gridCol w:w="3130"/>
        <w:gridCol w:w="4861"/>
      </w:tblGrid>
      <w:tr w:rsidR="00B232B4" w:rsidRPr="0007182D" w:rsidTr="00252EA1">
        <w:trPr>
          <w:jc w:val="center"/>
        </w:trPr>
        <w:tc>
          <w:tcPr>
            <w:tcW w:type="dxa" w:w="1648"/>
            <w:vMerge w:val="restart"/>
            <w:vAlign w:val="center"/>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截止收益分配基准日的相关指标</w:t>
            </w:r>
          </w:p>
        </w:tc>
        <w:tc>
          <w:tcPr>
            <w:tcW w:type="dxa" w:w="3130"/>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基准日基金份额净值</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type="dxa" w:w="4861"/>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1.0107</w:t>
            </w:r>
          </w:p>
        </w:tc>
      </w:tr>
      <w:tr w:rsidR="00B232B4" w:rsidRPr="0007182D" w:rsidTr="00252EA1">
        <w:trPr>
          <w:jc w:val="center"/>
        </w:trPr>
        <w:tc>
          <w:tcPr>
            <w:tcW w:type="dxa" w:w="1648"/>
            <w:vMerge/>
          </w:tcPr>
          <w:p w:rsidP="002F7561" w:rsidR="00B232B4" w:rsidRDefault="00B232B4" w:rsidRPr="002F7561">
            <w:pPr>
              <w:spacing w:line="360" w:lineRule="auto"/>
              <w:rPr>
                <w:rFonts w:asciiTheme="minorEastAsia" w:eastAsiaTheme="minorEastAsia" w:hAnsiTheme="minorEastAsia"/>
                <w:color w:val="000000"/>
                <w:sz w:val="24"/>
                <w:szCs w:val="24"/>
              </w:rPr>
            </w:pPr>
          </w:p>
        </w:tc>
        <w:tc>
          <w:tcPr>
            <w:tcW w:type="dxa" w:w="3130"/>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基准日基金可供分配利润</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type="dxa" w:w="4861"/>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5,487,802.19</w:t>
            </w:r>
          </w:p>
        </w:tc>
      </w:tr>
      <w:tr w:rsidR="00B232B4" w:rsidRPr="0007182D" w:rsidTr="00252EA1">
        <w:trPr>
          <w:jc w:val="center"/>
        </w:trPr>
        <w:tc>
          <w:tcPr>
            <w:tcW w:type="dxa" w:w="1648"/>
            <w:vMerge/>
          </w:tcPr>
          <w:p w:rsidP="002F7561" w:rsidR="00B232B4" w:rsidRDefault="00B232B4" w:rsidRPr="002F7561">
            <w:pPr>
              <w:spacing w:line="360" w:lineRule="auto"/>
              <w:rPr>
                <w:rFonts w:asciiTheme="minorEastAsia" w:eastAsiaTheme="minorEastAsia" w:hAnsiTheme="minorEastAsia"/>
                <w:color w:val="000000"/>
                <w:sz w:val="24"/>
                <w:szCs w:val="24"/>
              </w:rPr>
            </w:pPr>
          </w:p>
        </w:tc>
        <w:tc>
          <w:tcPr>
            <w:tcW w:type="dxa" w:w="3130"/>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截止基准日按照基金合同约定的分红比例计算的应分配金额</w:t>
            </w:r>
            <w:r w:rsidRPr="002F7561">
              <w:rPr>
                <w:rFonts w:asciiTheme="minorEastAsia" w:eastAsiaTheme="minorEastAsia" w:hAnsiTheme="minorEastAsia" w:hint="eastAsia"/>
                <w:color w:val="000000"/>
                <w:sz w:val="24"/>
                <w:szCs w:val="24"/>
              </w:rPr>
              <w:t>（单位：</w:t>
            </w:r>
            <w:r w:rsidR="0064129A" w:rsidRPr="00163C8E">
              <w:rPr>
                <w:rFonts w:asciiTheme="minorEastAsia" w:eastAsiaTheme="minorEastAsia" w:hAnsiTheme="minorEastAsia" w:hint="eastAsia"/>
                <w:color w:val="000000"/>
                <w:kern w:val="0"/>
                <w:sz w:val="24"/>
                <w:szCs w:val="24"/>
              </w:rPr>
              <w:t>元</w:t>
            </w:r>
            <w:r w:rsidRPr="002F7561">
              <w:rPr>
                <w:rFonts w:asciiTheme="minorEastAsia" w:eastAsiaTheme="minorEastAsia" w:hAnsiTheme="minorEastAsia" w:hint="eastAsia"/>
                <w:color w:val="000000"/>
                <w:sz w:val="24"/>
                <w:szCs w:val="24"/>
              </w:rPr>
              <w:t>）</w:t>
            </w:r>
          </w:p>
        </w:tc>
        <w:tc>
          <w:tcPr>
            <w:tcW w:type="dxa" w:w="4861"/>
          </w:tcPr>
          <w:p w:rsidP="002F7561" w:rsidR="00B232B4" w:rsidRDefault="00B232B4" w:rsidRPr="002F7561">
            <w:pPr>
              <w:spacing w:line="360" w:lineRule="auto"/>
              <w:rPr>
                <w:rFonts w:asciiTheme="minorEastAsia" w:eastAsiaTheme="minorEastAsia" w:hAnsiTheme="minorEastAsia"/>
                <w:color w:val="000000"/>
                <w:sz w:val="24"/>
                <w:szCs w:val="24"/>
              </w:rPr>
            </w:pPr>
            <w:r w:rsidRPr="002F7561">
              <w:rPr>
                <w:rFonts w:asciiTheme="minorEastAsia" w:eastAsiaTheme="minorEastAsia" w:hAnsiTheme="minorEastAsia"/>
                <w:color w:val="000000"/>
                <w:sz w:val="24"/>
                <w:szCs w:val="24"/>
              </w:rPr>
              <w:t>1,646,340.66</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4778"/>
        <w:gridCol w:w="4861"/>
      </w:tblGrid>
      <w:tr w:rsidR="00252EA1" w:rsidRPr="002825C8" w:rsidTr="002C68F9">
        <w:trPr>
          <w:jc w:val="center"/>
        </w:trPr>
        <w:tc>
          <w:tcPr>
            <w:tcW w:type="dxa" w:w="4778"/>
            <w:vAlign w:val="center"/>
          </w:tcPr>
          <w:p w:rsidP="002C68F9" w:rsidR="00252EA1" w:rsidRDefault="00252EA1" w:rsidRPr="002825C8">
            <w:pPr>
              <w:spacing w:line="360" w:lineRule="auto"/>
              <w:rPr>
                <w:rFonts w:asciiTheme="minorEastAsia" w:eastAsiaTheme="minorEastAsia" w:hAnsiTheme="minorEastAsia"/>
                <w:color w:val="000000"/>
                <w:sz w:val="24"/>
                <w:szCs w:val="24"/>
              </w:rPr>
            </w:pPr>
            <w:r w:rsidRPr="003C2C83">
              <w:rPr>
                <w:rFonts w:asciiTheme="minorEastAsia" w:eastAsiaTheme="minorEastAsia" w:hAnsiTheme="minorEastAsia"/>
                <w:sz w:val="24"/>
                <w:szCs w:val="24"/>
              </w:rPr>
              <w:t>本次分红方案（单位：元/10份基金份额）</w:t>
            </w:r>
          </w:p>
        </w:tc>
        <w:tc>
          <w:tcPr>
            <w:tcW w:type="dxa" w:w="4861"/>
            <w:vAlign w:val="center"/>
          </w:tcPr>
          <w:p w:rsidP="002C68F9" w:rsidR="00252EA1" w:rsidRDefault="00252EA1" w:rsidRPr="002825C8">
            <w:pPr>
              <w:spacing w:line="360" w:lineRule="auto"/>
              <w:rPr>
                <w:rFonts w:asciiTheme="minorEastAsia" w:eastAsiaTheme="minorEastAsia" w:hAnsiTheme="minorEastAsia"/>
                <w:sz w:val="24"/>
                <w:szCs w:val="24"/>
              </w:rPr>
            </w:pPr>
            <w:r w:rsidRPr="003C2C83">
              <w:rPr>
                <w:rFonts w:asciiTheme="minorEastAsia" w:eastAsiaTheme="minorEastAsia" w:hAnsiTheme="minorEastAsia"/>
                <w:sz w:val="24"/>
                <w:szCs w:val="24"/>
              </w:rPr>
              <w:t>0.100</w:t>
            </w:r>
          </w:p>
        </w:tc>
      </w:tr>
      <w:tr w:rsidR="00B232B4" w:rsidRPr="002825C8" w:rsidTr="002C68F9">
        <w:trPr>
          <w:jc w:val="center"/>
        </w:trPr>
        <w:tc>
          <w:tcPr>
            <w:tcW w:type="dxa" w:w="4778"/>
            <w:vAlign w:val="center"/>
          </w:tcPr>
          <w:p w:rsidP="002C68F9" w:rsidR="00B232B4" w:rsidRDefault="00B232B4"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lastRenderedPageBreak/>
              <w:t>有关年度分红次数的说明</w:t>
            </w:r>
          </w:p>
        </w:tc>
        <w:tc>
          <w:tcPr>
            <w:tcW w:type="dxa" w:w="4861"/>
            <w:vAlign w:val="center"/>
          </w:tcPr>
          <w:p w:rsidP="002C68F9" w:rsidR="00B232B4" w:rsidRDefault="00B232B4"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本次分红为2022年度的第2次分红</w:t>
            </w:r>
          </w:p>
        </w:tc>
      </w:tr>
    </w:tbl>
    <w:p w:rsidP="001E1256" w:rsidR="00893436" w:rsidRDefault="00F45E4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hint="eastAsia"/>
          <w:sz w:val="24"/>
          <w:szCs w:val="24"/>
        </w:rPr>
        <w:t/>
      </w:r>
      <w:r w:rsidRPr="002825C8">
        <w:rPr>
          <w:rFonts w:asciiTheme="minorEastAsia" w:eastAsiaTheme="minorEastAsia" w:hAnsiTheme="minorEastAsia"/>
          <w:sz w:val="24"/>
          <w:szCs w:val="24"/>
        </w:rPr>
        <w:t>注：根据本基金合同约定，在符合有关基金分红条件的前提下,本基金收益每季度最少分配一次，本基金每年收益分配次数最多为12次，每次收益分配比例不得低于收益分配基准日可供分配利润的30%。</w:t>
      </w:r>
    </w:p>
    <w:p w:rsidP="00AC3CC5" w:rsidR="00893436" w:rsidRDefault="00893436" w:rsidRPr="002825C8">
      <w:pPr>
        <w:pStyle w:val="2"/>
        <w:spacing w:line="360" w:lineRule="auto"/>
        <w:rPr>
          <w:rFonts w:asciiTheme="minorEastAsia" w:eastAsiaTheme="minorEastAsia" w:hAnsiTheme="minorEastAsia"/>
          <w:bCs w:val="0"/>
          <w:color w:val="000000"/>
          <w:sz w:val="24"/>
          <w:szCs w:val="24"/>
        </w:rPr>
      </w:pPr>
      <w:bookmarkStart w:id="1" w:name="_Toc275961419"/>
      <w:r w:rsidRPr="002825C8">
        <w:rPr>
          <w:rFonts w:asciiTheme="minorEastAsia" w:eastAsiaTheme="minorEastAsia" w:hAnsiTheme="minorEastAsia"/>
          <w:bCs w:val="0"/>
          <w:color w:val="000000"/>
          <w:sz w:val="24"/>
          <w:szCs w:val="24"/>
        </w:rPr>
        <w:t>2</w:t>
      </w:r>
      <w:r w:rsidR="00F15128">
        <w:rPr>
          <w:rFonts w:asciiTheme="minorEastAsia" w:eastAsiaTheme="minorEastAsia" w:hAnsiTheme="minorEastAsia" w:hint="eastAsia"/>
          <w:bCs w:val="0"/>
          <w:color w:val="000000"/>
          <w:sz w:val="24"/>
          <w:szCs w:val="24"/>
        </w:rPr>
        <w:t>.</w:t>
      </w:r>
      <w:r w:rsidRPr="002825C8">
        <w:rPr>
          <w:rFonts w:asciiTheme="minorEastAsia" w:eastAsiaTheme="minorEastAsia" w:hAnsiTheme="minorEastAsia"/>
          <w:bCs w:val="0"/>
          <w:color w:val="000000"/>
          <w:sz w:val="24"/>
          <w:szCs w:val="24"/>
        </w:rPr>
        <w:t xml:space="preserve"> 与分红相关的其他信息</w:t>
      </w:r>
      <w:bookmarkEnd w:id="1"/>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213"/>
        <w:gridCol w:w="3213"/>
        <w:gridCol w:w="3213"/>
      </w:tblGrid>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type="dxa" w:w="4355"/>
            <w:gridSpan w:val="2"/>
          </w:tcPr>
          <w:p w:rsidP="00AC3CC5" w:rsidR="00893436" w:rsidRDefault="00362297"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
            </w:r>
            <w:r w:rsidR="005439EC" w:rsidRPr="002825C8">
              <w:rPr>
                <w:rFonts w:asciiTheme="minorEastAsia" w:eastAsiaTheme="minorEastAsia" w:hAnsiTheme="minorEastAsia"/>
                <w:sz w:val="24"/>
                <w:szCs w:val="24"/>
              </w:rPr>
              <w:t/>
            </w:r>
            <w:r w:rsidRPr="002825C8">
              <w:rPr>
                <w:rFonts w:asciiTheme="minorEastAsia" w:eastAsiaTheme="minorEastAsia" w:hAnsiTheme="minorEastAsia"/>
                <w:sz w:val="24"/>
                <w:szCs w:val="24"/>
              </w:rPr>
              <w:t>2022年6月23日</w:t>
            </w:r>
          </w:p>
        </w:tc>
      </w:tr>
      <w:tr w:rsidR="0009778C" w:rsidRPr="002825C8" w:rsidTr="007C142C">
        <w:trPr>
          <w:jc w:val="center"/>
        </w:trPr>
        <w:tc>
          <w:tcPr>
            <w:tcW w:type="dxa" w:w="4355"/>
          </w:tcPr>
          <w:p w:rsidP="00AC3CC5" w:rsidR="0009778C" w:rsidRDefault="0009778C"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type="dxa" w:w="4355"/>
            <w:hMerge w:val="restart"/>
          </w:tcPr>
          <w:p w:rsidP="00AC3CC5" w:rsidR="0009778C" w:rsidRDefault="00E16B6D"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2022年6月23日（场外）</w:t>
            </w:r>
          </w:p>
        </w:tc>
        <w:tc>
          <w:tcPr>
            <w:tcW w:type="dxa" w:w="4355"/>
            <w:hMerge/>
          </w:tcPr>
          <w:p w:rsidP="00D421E2" w:rsidR="0009778C" w:rsidRDefault="00D421E2" w:rsidRPr="002825C8">
            <w:pPr>
              <w:spacing w:line="360" w:lineRule="auto"/>
              <w:rPr>
                <w:rFonts w:asciiTheme="minorEastAsia" w:eastAsiaTheme="minorEastAsia" w:hAnsiTheme="minorEastAsia"/>
                <w:sz w:val="24"/>
                <w:szCs w:val="24"/>
              </w:rPr>
            </w:pPr>
            <w:r w:rsidRPr="00890BE3">
              <w:rPr>
                <w:rFonts w:asciiTheme="minorEastAsia" w:eastAsiaTheme="minorEastAsia" w:hAnsiTheme="minorEastAsia"/>
                <w:sz w:val="24"/>
                <w:szCs w:val="24"/>
              </w:rPr>
              <w:t/>
            </w:r>
            <w:r w:rsidRPr="00890BE3">
              <w:rPr>
                <w:rFonts w:asciiTheme="minorEastAsia" w:eastAsiaTheme="minorEastAsia" w:hAnsiTheme="minorEastAsia" w:hint="eastAsia"/>
                <w:sz w:val="24"/>
                <w:szCs w:val="24"/>
              </w:rPr>
              <w:t/>
            </w:r>
            <w:r w:rsidRPr="00890BE3">
              <w:rPr>
                <w:rFonts w:asciiTheme="minorEastAsia" w:eastAsiaTheme="minorEastAsia" w:hAnsiTheme="minorEastAsia"/>
                <w:sz w:val="24"/>
                <w:szCs w:val="24"/>
              </w:rPr>
              <w:t>2022年6月23日（场外）</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现金红利发放日</w:t>
            </w:r>
          </w:p>
        </w:tc>
        <w:tc>
          <w:tcPr>
            <w:tcW w:type="dxa" w:w="4355"/>
            <w:gridSpan w:val="2"/>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
            </w:r>
            <w:r w:rsidR="005439EC" w:rsidRPr="002825C8">
              <w:rPr>
                <w:rFonts w:asciiTheme="minorEastAsia" w:eastAsiaTheme="minorEastAsia" w:hAnsiTheme="minorEastAsia"/>
                <w:sz w:val="24"/>
                <w:szCs w:val="24"/>
              </w:rPr>
              <w:t/>
            </w:r>
            <w:r w:rsidRPr="002825C8">
              <w:rPr>
                <w:rFonts w:asciiTheme="minorEastAsia" w:eastAsiaTheme="minorEastAsia" w:hAnsiTheme="minorEastAsia"/>
                <w:sz w:val="24"/>
                <w:szCs w:val="24"/>
              </w:rPr>
              <w:t>2022年6月24日</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分红对象</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权益登记日在本公司登记在册的本基金份额的全体持有人</w:t>
            </w:r>
          </w:p>
        </w:tc>
      </w:tr>
      <w:tr w:rsidR="00893436" w:rsidRPr="002825C8" w:rsidTr="007C142C">
        <w:trPr>
          <w:jc w:val="center"/>
        </w:trPr>
        <w:tc>
          <w:tcPr>
            <w:tcW w:type="dxa" w:w="4355"/>
            <w:shd w:color="auto" w:fill="auto" w:val="clear"/>
            <w:vAlign w:val="center"/>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选择红利再投资方式的投资者由红利转得的基金份额将以2022年6月23日的基金份额净值为计算基准确定。2022年6月27日起投资者可以查询。</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根据相关法律法规规定，基金向投资者分配的基金收益，暂免征收所得税。</w:t>
            </w:r>
          </w:p>
        </w:tc>
      </w:tr>
      <w:tr w:rsidR="00893436" w:rsidRPr="002825C8" w:rsidTr="007C142C">
        <w:trPr>
          <w:jc w:val="center"/>
        </w:trPr>
        <w:tc>
          <w:tcPr>
            <w:tcW w:type="dxa" w:w="4355"/>
          </w:tcPr>
          <w:p w:rsidP="00AC3CC5" w:rsidR="00893436" w:rsidRDefault="00893436" w:rsidRPr="002825C8">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type="dxa" w:w="4355"/>
            <w:gridSpan w:val="2"/>
            <w:shd w:color="auto" w:fill="auto" w:val="clear"/>
          </w:tcPr>
          <w:p w:rsidP="00AC3CC5" w:rsidR="00893436" w:rsidRDefault="00BA7F58" w:rsidRPr="002825C8">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w:t>
            </w:r>
          </w:p>
        </w:tc>
      </w:tr>
    </w:tbl>
    <w:p w:rsidP="00AC3CC5" w:rsidR="00893436" w:rsidRDefault="00893436" w:rsidRPr="002825C8">
      <w:pPr>
        <w:pStyle w:val="2"/>
        <w:spacing w:line="360" w:lineRule="auto"/>
        <w:rPr>
          <w:rFonts w:asciiTheme="minorEastAsia" w:eastAsiaTheme="minorEastAsia" w:hAnsiTheme="minorEastAsia"/>
          <w:bCs w:val="0"/>
          <w:color w:val="000000"/>
          <w:sz w:val="24"/>
          <w:szCs w:val="24"/>
        </w:rPr>
      </w:pPr>
      <w:bookmarkStart w:id="2" w:name="_Toc275961420"/>
      <w:r w:rsidRPr="002825C8">
        <w:rPr>
          <w:rFonts w:asciiTheme="minorEastAsia" w:eastAsiaTheme="minorEastAsia" w:hAnsiTheme="minorEastAsia"/>
          <w:bCs w:val="0"/>
          <w:color w:val="000000"/>
          <w:sz w:val="24"/>
          <w:szCs w:val="24"/>
        </w:rPr>
        <w:t>3</w:t>
      </w:r>
      <w:r w:rsidR="00F15128">
        <w:rPr>
          <w:rFonts w:asciiTheme="minorEastAsia" w:eastAsiaTheme="minorEastAsia" w:hAnsiTheme="minorEastAsia"/>
          <w:bCs w:val="0"/>
          <w:color w:val="000000"/>
          <w:sz w:val="24"/>
          <w:szCs w:val="24"/>
        </w:rPr>
        <w:t>.</w:t>
      </w:r>
      <w:bookmarkStart w:id="3" w:name="_GoBack"/>
      <w:bookmarkEnd w:id="3"/>
      <w:r w:rsidRPr="002825C8">
        <w:rPr>
          <w:rFonts w:asciiTheme="minorEastAsia" w:eastAsiaTheme="minorEastAsia" w:hAnsiTheme="minorEastAsia"/>
          <w:bCs w:val="0"/>
          <w:color w:val="000000"/>
          <w:sz w:val="24"/>
          <w:szCs w:val="24"/>
        </w:rPr>
        <w:t xml:space="preserve"> 其他需要提示的事项</w:t>
      </w:r>
      <w:bookmarkEnd w:id="2"/>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（1）权益登记日申请申购的基金份额不享有本次分红权益，权益登记日申请赎回的基金份额享有本次分红权益。</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2）本基金以定期开放的方式运作。本基金的封闭期为自本基金《基金合同》生效之日起（包括该日）或自每一开放期结束之日次日起（包括该日）3个月的期间。本基金的第一个封闭期为自本基金《基金合同》生效之日起（包括该日）3个月的期间。第二个封闭期为自首个开放期结束之日次日起（包括该日）3个月的期间，以此类推。本基金封闭期结束前不办理申购与赎回业务。本基金办理申购与赎回业务的开放期为本基金每个封闭期结束之后第一个工作日起（含该日）不少于5个工作日且不超过20个工作日的期间。每个封闭期结束后，因不可抗力或其他情形致使本基金无法按时开放申购或赎回的，开放期为自不可抗力或其他情形影响因素消除之日的下一个工作日起（含该日）不少于5个工作日且不超过20个工作日的期间；如在开放期内发生不可抗力或需依据《基金合同》暂停申购与赎回业务的，基金管理人有权合理调整申购或赎回业务的办理期间并予以公告。</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（3）对于未选择具体分红方式的投资者，本基金默认的分红方式为现金分红。</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4）投资者可以在工作日的交易时间内到销售网点修改分红方式，本次分红确认的方式将按照投资者在权益登记日之前（不含2022年6月23日）最后一次选择的分红方式为准。请投资者到销售网点或通过本公司客户服务电话95105828或020-83936999确认分红方式是否正确，如不正确或希望修改分红方式的，请务必在规定时间前到销售网点办理变更手续。</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（5）建议基金份额持有人在修改分红方式后，在T+2日（申请修改分红方式之日为T日）后（含T+2日）向销售网点或本公司确认分红方式的修改是否成功。</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
      </w:r>
    </w:p>
    <w:p>
      <w:pPr>
        <w:spacing w:line="360" w:lineRule="auto"/>
        <w:ind w:firstLine="480" w:firstLineChars="200"/>
        <w:rPr>
          <w:rFonts w:asciiTheme="minorEastAsia" w:eastAsiaTheme="minorEastAsia" w:hAnsiTheme="minorEastAsia"/>
          <w:sz w:val="24"/>
          <w:szCs w:val="24"/>
        </w:rPr>
      </w:pPr>
      <w:r>
        <w:rPr>
          <w:rFonts w:asciiTheme="minorEastAsia" w:eastAsiaTheme="minorEastAsia" w:hAnsiTheme="minorEastAsia"/>
          <w:sz w:val="24"/>
          <w:szCs w:val="24"/>
        </w:rPr>
        <w:t>风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投资者欲了解有关分红的情况，可到办理业务的当地销售网点查询，也可以登录本公司网站（www.gffunds.com.cn）或拨打本公司客户服务电话95105828或020-83936999咨询相关事宜。</w:t>
      </w:r>
    </w:p>
    <w:p w:rsidP="00A3175B" w:rsidR="00364C2A" w:rsidRDefault="00284B1B">
      <w:pPr>
        <w:spacing w:line="360" w:lineRule="auto"/>
        <w:ind w:firstLine="480" w:firstLineChars="200"/>
        <w:rPr>
          <w:rFonts w:asciiTheme="minorEastAsia" w:eastAsiaTheme="minorEastAsia" w:hAnsiTheme="minorEastAsia"/>
          <w:sz w:val="24"/>
          <w:szCs w:val="24"/>
        </w:rPr>
      </w:pPr>
      <w:r w:rsidRPr="002825C8">
        <w:rPr>
          <w:rFonts w:asciiTheme="minorEastAsia" w:eastAsiaTheme="minorEastAsia" w:hAnsiTheme="minorEastAsia"/>
          <w:sz w:val="24"/>
          <w:szCs w:val="24"/>
        </w:rPr>
        <w:t>特此公告。</w:t>
      </w:r>
    </w:p>
    <w:p w:rsidP="007C142C" w:rsidR="00971CCF" w:rsidRDefault="00971CCF">
      <w:pPr>
        <w:spacing w:line="360" w:lineRule="auto"/>
        <w:ind w:firstLine="480" w:firstLineChars="200"/>
        <w:rPr>
          <w:rFonts w:asciiTheme="minorEastAsia" w:eastAsiaTheme="minorEastAsia" w:hAnsiTheme="minorEastAsia"/>
          <w:sz w:val="24"/>
          <w:szCs w:val="24"/>
        </w:rPr>
      </w:pPr>
    </w:p>
    <w:p w:rsidP="007C142C" w:rsidR="00971CCF" w:rsidRDefault="00971CCF">
      <w:pPr>
        <w:spacing w:line="360" w:lineRule="auto"/>
        <w:ind w:firstLine="480" w:firstLineChars="200"/>
        <w:rPr>
          <w:rFonts w:asciiTheme="minorEastAsia" w:eastAsiaTheme="minorEastAsia" w:hAnsiTheme="minorEastAsia"/>
          <w:sz w:val="24"/>
          <w:szCs w:val="24"/>
        </w:rPr>
      </w:pPr>
    </w:p>
    <w:p w:rsidP="00971CCF" w:rsidR="00971CCF" w:rsidRDefault="00971CCF" w:rsidRPr="005F1BF7">
      <w:pPr>
        <w:spacing w:line="360" w:lineRule="auto"/>
        <w:jc w:val="right"/>
        <w:rPr>
          <w:rFonts w:asciiTheme="minorEastAsia" w:eastAsiaTheme="minorEastAsia" w:hAnsiTheme="minorEastAsia"/>
          <w:bCs/>
          <w:color w:themeColor="text1" w:val="000000"/>
          <w:sz w:val="24"/>
          <w:szCs w:val="24"/>
        </w:rPr>
      </w:pPr>
      <w:r w:rsidRPr="005F1BF7">
        <w:rPr>
          <w:rFonts w:asciiTheme="minorEastAsia" w:eastAsiaTheme="minorEastAsia" w:hAnsiTheme="minorEastAsia"/>
          <w:bCs/>
          <w:color w:themeColor="text1" w:val="000000"/>
          <w:sz w:val="24"/>
          <w:szCs w:val="24"/>
        </w:rPr>
        <w:t>广发基金管理有限公司</w:t>
      </w:r>
    </w:p>
    <w:p w:rsidP="00971CCF" w:rsidR="00971CCF" w:rsidRDefault="00971CCF" w:rsidRPr="005F1BF7">
      <w:pPr>
        <w:spacing w:line="360" w:lineRule="auto"/>
        <w:jc w:val="right"/>
        <w:rPr>
          <w:rFonts w:asciiTheme="minorEastAsia" w:eastAsiaTheme="minorEastAsia" w:hAnsiTheme="minorEastAsia"/>
          <w:color w:val="000000"/>
          <w:sz w:val="24"/>
          <w:szCs w:val="24"/>
        </w:rPr>
      </w:pPr>
      <w:r w:rsidRPr="005F1BF7">
        <w:rPr>
          <w:rFonts w:asciiTheme="minorEastAsia" w:eastAsiaTheme="minorEastAsia" w:hAnsiTheme="minorEastAsia"/>
          <w:bCs/>
          <w:color w:themeColor="text1" w:val="000000"/>
          <w:sz w:val="24"/>
          <w:szCs w:val="24"/>
        </w:rPr>
        <w:t>2022年6月22日</w:t>
      </w:r>
    </w:p>
    <w:sectPr w:rsidR="00971CCF" w:rsidRPr="005F1BF7" w:rsidSect="00111BD0">
      <w:pgSz w:h="16838" w:w="11906"/>
      <w:pgMar w:bottom="1440" w:footer="992" w:gutter="0" w:header="851" w:left="1800" w:right="1800"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86" w:rsidRDefault="003C2386" w:rsidP="00893436">
      <w:r>
        <w:separator/>
      </w:r>
    </w:p>
  </w:endnote>
  <w:endnote w:type="continuationSeparator" w:id="0">
    <w:p w:rsidR="003C2386" w:rsidRDefault="003C2386"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893436" w:rsidR="003C2386" w:rsidRDefault="003C2386">
      <w:r>
        <w:separator/>
      </w:r>
    </w:p>
  </w:footnote>
  <w:footnote w:id="0" w:type="continuationSeparator">
    <w:p w:rsidP="00893436" w:rsidR="003C2386" w:rsidRDefault="003C2386">
      <w:r>
        <w:continuationSeparator/>
      </w:r>
    </w:p>
  </w:footnote>
</w:footnote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bordersDoNotSurroundHeader/>
  <w:bordersDoNotSurroundFooter/>
  <w:defaultTabStop w:val="420"/>
  <w:drawingGridVerticalSpacing w:val="156"/>
  <w:displayHorizontalDrawingGridEvery w:val="0"/>
  <w:displayVerticalDrawingGridEvery w:val="2"/>
  <w:characterSpacingControl w:val="doNotCompress"/>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300D5"/>
    <w:rsid w:val="00041353"/>
    <w:rsid w:val="00057AC1"/>
    <w:rsid w:val="00083B7C"/>
    <w:rsid w:val="00085F5C"/>
    <w:rsid w:val="0009778C"/>
    <w:rsid w:val="000A19B2"/>
    <w:rsid w:val="000C39F6"/>
    <w:rsid w:val="00111BD0"/>
    <w:rsid w:val="00135CA1"/>
    <w:rsid w:val="00141AEC"/>
    <w:rsid w:val="00171C1F"/>
    <w:rsid w:val="001B4A9D"/>
    <w:rsid w:val="001E1256"/>
    <w:rsid w:val="002068E1"/>
    <w:rsid w:val="00226206"/>
    <w:rsid w:val="00242E4D"/>
    <w:rsid w:val="00252EA1"/>
    <w:rsid w:val="002641B7"/>
    <w:rsid w:val="002744A0"/>
    <w:rsid w:val="002825C8"/>
    <w:rsid w:val="00284B1B"/>
    <w:rsid w:val="002A63B7"/>
    <w:rsid w:val="002B676D"/>
    <w:rsid w:val="002C08C5"/>
    <w:rsid w:val="002F7561"/>
    <w:rsid w:val="003023D8"/>
    <w:rsid w:val="0030796A"/>
    <w:rsid w:val="003160F8"/>
    <w:rsid w:val="00362297"/>
    <w:rsid w:val="00386931"/>
    <w:rsid w:val="0039192C"/>
    <w:rsid w:val="0039535C"/>
    <w:rsid w:val="003C2386"/>
    <w:rsid w:val="003E51F2"/>
    <w:rsid w:val="00410642"/>
    <w:rsid w:val="00411A38"/>
    <w:rsid w:val="00462525"/>
    <w:rsid w:val="00482539"/>
    <w:rsid w:val="00486934"/>
    <w:rsid w:val="004966BA"/>
    <w:rsid w:val="004C0AC4"/>
    <w:rsid w:val="00506E3A"/>
    <w:rsid w:val="005439EC"/>
    <w:rsid w:val="00552BD4"/>
    <w:rsid w:val="005624E5"/>
    <w:rsid w:val="005715B6"/>
    <w:rsid w:val="005A515B"/>
    <w:rsid w:val="005B087C"/>
    <w:rsid w:val="005B7CBF"/>
    <w:rsid w:val="005C57A1"/>
    <w:rsid w:val="005E3F2A"/>
    <w:rsid w:val="005F1BF7"/>
    <w:rsid w:val="00601001"/>
    <w:rsid w:val="00602C3F"/>
    <w:rsid w:val="0064129A"/>
    <w:rsid w:val="00646FDE"/>
    <w:rsid w:val="006A2E06"/>
    <w:rsid w:val="006E41A5"/>
    <w:rsid w:val="00721B55"/>
    <w:rsid w:val="00751BA5"/>
    <w:rsid w:val="007C142C"/>
    <w:rsid w:val="007D01E7"/>
    <w:rsid w:val="007F6075"/>
    <w:rsid w:val="00834BAE"/>
    <w:rsid w:val="00893436"/>
    <w:rsid w:val="008D1F66"/>
    <w:rsid w:val="00901C58"/>
    <w:rsid w:val="00903944"/>
    <w:rsid w:val="009117E2"/>
    <w:rsid w:val="009603BA"/>
    <w:rsid w:val="00971CCF"/>
    <w:rsid w:val="009732A4"/>
    <w:rsid w:val="00A3175B"/>
    <w:rsid w:val="00A81C93"/>
    <w:rsid w:val="00AA27A8"/>
    <w:rsid w:val="00AA7C92"/>
    <w:rsid w:val="00AB5DA4"/>
    <w:rsid w:val="00AB6B8A"/>
    <w:rsid w:val="00AC3CC5"/>
    <w:rsid w:val="00B232B4"/>
    <w:rsid w:val="00B44BBE"/>
    <w:rsid w:val="00B71DA2"/>
    <w:rsid w:val="00BA6FE9"/>
    <w:rsid w:val="00BA7F58"/>
    <w:rsid w:val="00BD7533"/>
    <w:rsid w:val="00BF5698"/>
    <w:rsid w:val="00C11CA3"/>
    <w:rsid w:val="00C25D5E"/>
    <w:rsid w:val="00C31B5B"/>
    <w:rsid w:val="00C33DDD"/>
    <w:rsid w:val="00CA643D"/>
    <w:rsid w:val="00CB3D18"/>
    <w:rsid w:val="00CC001C"/>
    <w:rsid w:val="00D05601"/>
    <w:rsid w:val="00D421E2"/>
    <w:rsid w:val="00DB7CD4"/>
    <w:rsid w:val="00DD0EC0"/>
    <w:rsid w:val="00DD2A30"/>
    <w:rsid w:val="00E05BEC"/>
    <w:rsid w:val="00E16B6D"/>
    <w:rsid w:val="00E24390"/>
    <w:rsid w:val="00E379B4"/>
    <w:rsid w:val="00EA12C9"/>
    <w:rsid w:val="00EF727C"/>
    <w:rsid w:val="00F0033B"/>
    <w:rsid w:val="00F0261D"/>
    <w:rsid w:val="00F15128"/>
    <w:rsid w:val="00F42CA6"/>
    <w:rsid w:val="00F45E48"/>
    <w:rsid w:val="00F645EE"/>
    <w:rsid w:val="00F75283"/>
    <w:rsid w:val="00FF0A9C"/>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3622F5D1"/>
  <w15:docId w15:val="{E2DAC74A-5A8E-4C7F-B842-493E8149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uiPriority="0"/>
    <w:lsdException w:name="heading 2" w:qFormat="1" w:semiHidden="1" w:uiPriority="0"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893436"/>
    <w:pPr>
      <w:widowControl w:val="0"/>
      <w:jc w:val="both"/>
    </w:pPr>
    <w:rPr>
      <w:rFonts w:ascii="Times New Roman" w:cs="Times New Roman" w:eastAsia="方正仿宋简体" w:hAnsi="Times New Roman"/>
      <w:sz w:val="32"/>
      <w:szCs w:val="20"/>
    </w:rPr>
  </w:style>
  <w:style w:styleId="1" w:type="paragraph">
    <w:name w:val="heading 1"/>
    <w:basedOn w:val="a"/>
    <w:next w:val="a"/>
    <w:link w:val="10"/>
    <w:qFormat/>
    <w:rsid w:val="00893436"/>
    <w:pPr>
      <w:keepNext/>
      <w:keepLines/>
      <w:spacing w:after="330" w:before="340" w:line="578" w:lineRule="auto"/>
      <w:outlineLvl w:val="0"/>
    </w:pPr>
    <w:rPr>
      <w:rFonts w:eastAsia="宋体"/>
      <w:b/>
      <w:bCs/>
      <w:kern w:val="44"/>
      <w:sz w:val="44"/>
      <w:szCs w:val="44"/>
    </w:rPr>
  </w:style>
  <w:style w:styleId="2" w:type="paragraph">
    <w:name w:val="heading 2"/>
    <w:basedOn w:val="a"/>
    <w:next w:val="a"/>
    <w:link w:val="20"/>
    <w:qFormat/>
    <w:rsid w:val="00893436"/>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0" w:type="character">
    <w:name w:val="标题 1 字符"/>
    <w:basedOn w:val="a0"/>
    <w:link w:val="1"/>
    <w:rsid w:val="00893436"/>
    <w:rPr>
      <w:rFonts w:ascii="Times New Roman" w:cs="Times New Roman" w:eastAsia="宋体" w:hAnsi="Times New Roman"/>
      <w:b/>
      <w:bCs/>
      <w:kern w:val="44"/>
      <w:sz w:val="44"/>
      <w:szCs w:val="44"/>
    </w:rPr>
  </w:style>
  <w:style w:customStyle="1" w:styleId="20" w:type="character">
    <w:name w:val="标题 2 字符"/>
    <w:basedOn w:val="a0"/>
    <w:link w:val="2"/>
    <w:rsid w:val="00893436"/>
    <w:rPr>
      <w:rFonts w:ascii="Arial" w:cs="Times New Roman" w:eastAsia="黑体" w:hAnsi="Arial"/>
      <w:b/>
      <w:bCs/>
      <w:sz w:val="32"/>
      <w:szCs w:val="32"/>
    </w:rPr>
  </w:style>
  <w:style w:styleId="a3" w:type="character">
    <w:name w:val="footnote reference"/>
    <w:basedOn w:val="a0"/>
    <w:rsid w:val="00893436"/>
    <w:rPr>
      <w:vertAlign w:val="superscript"/>
    </w:rPr>
  </w:style>
  <w:style w:styleId="a4" w:type="paragraph">
    <w:name w:val="footnote text"/>
    <w:basedOn w:val="a"/>
    <w:link w:val="a5"/>
    <w:rsid w:val="00893436"/>
    <w:pPr>
      <w:snapToGrid w:val="0"/>
      <w:jc w:val="left"/>
    </w:pPr>
    <w:rPr>
      <w:rFonts w:eastAsia="宋体"/>
      <w:sz w:val="18"/>
    </w:rPr>
  </w:style>
  <w:style w:customStyle="1" w:styleId="a5" w:type="character">
    <w:name w:val="脚注文本 字符"/>
    <w:basedOn w:val="a0"/>
    <w:link w:val="a4"/>
    <w:rsid w:val="00893436"/>
    <w:rPr>
      <w:rFonts w:ascii="Times New Roman" w:cs="Times New Roman" w:eastAsia="宋体" w:hAnsi="Times New Roman"/>
      <w:sz w:val="18"/>
      <w:szCs w:val="20"/>
    </w:rPr>
  </w:style>
  <w:style w:styleId="a6" w:type="paragraph">
    <w:name w:val="Document Map"/>
    <w:basedOn w:val="a"/>
    <w:link w:val="a7"/>
    <w:uiPriority w:val="99"/>
    <w:semiHidden/>
    <w:unhideWhenUsed/>
    <w:rsid w:val="00893436"/>
    <w:rPr>
      <w:rFonts w:ascii="宋体" w:eastAsia="宋体"/>
      <w:sz w:val="18"/>
      <w:szCs w:val="18"/>
    </w:rPr>
  </w:style>
  <w:style w:customStyle="1" w:styleId="a7" w:type="character">
    <w:name w:val="文档结构图 字符"/>
    <w:basedOn w:val="a0"/>
    <w:link w:val="a6"/>
    <w:uiPriority w:val="99"/>
    <w:semiHidden/>
    <w:rsid w:val="00893436"/>
    <w:rPr>
      <w:rFonts w:ascii="宋体" w:cs="Times New Roman" w:eastAsia="宋体" w:hAnsi="Times New Roman"/>
      <w:sz w:val="18"/>
      <w:szCs w:val="18"/>
    </w:rPr>
  </w:style>
  <w:style w:styleId="a8" w:type="paragraph">
    <w:name w:val="header"/>
    <w:basedOn w:val="a"/>
    <w:link w:val="a9"/>
    <w:uiPriority w:val="99"/>
    <w:unhideWhenUsed/>
    <w:rsid w:val="003160F8"/>
    <w:pPr>
      <w:pBdr>
        <w:bottom w:color="auto" w:space="1" w:sz="6" w:val="single"/>
      </w:pBdr>
      <w:tabs>
        <w:tab w:pos="4153" w:val="center"/>
        <w:tab w:pos="8306" w:val="right"/>
      </w:tabs>
      <w:snapToGrid w:val="0"/>
      <w:jc w:val="center"/>
    </w:pPr>
    <w:rPr>
      <w:sz w:val="18"/>
      <w:szCs w:val="18"/>
    </w:rPr>
  </w:style>
  <w:style w:customStyle="1" w:styleId="a9" w:type="character">
    <w:name w:val="页眉 字符"/>
    <w:basedOn w:val="a0"/>
    <w:link w:val="a8"/>
    <w:uiPriority w:val="99"/>
    <w:rsid w:val="003160F8"/>
    <w:rPr>
      <w:rFonts w:ascii="Times New Roman" w:cs="Times New Roman" w:eastAsia="方正仿宋简体" w:hAnsi="Times New Roman"/>
      <w:sz w:val="18"/>
      <w:szCs w:val="18"/>
    </w:rPr>
  </w:style>
  <w:style w:styleId="aa" w:type="paragraph">
    <w:name w:val="footer"/>
    <w:basedOn w:val="a"/>
    <w:link w:val="ab"/>
    <w:uiPriority w:val="99"/>
    <w:unhideWhenUsed/>
    <w:rsid w:val="003160F8"/>
    <w:pPr>
      <w:tabs>
        <w:tab w:pos="4153" w:val="center"/>
        <w:tab w:pos="8306" w:val="right"/>
      </w:tabs>
      <w:snapToGrid w:val="0"/>
      <w:jc w:val="left"/>
    </w:pPr>
    <w:rPr>
      <w:sz w:val="18"/>
      <w:szCs w:val="18"/>
    </w:rPr>
  </w:style>
  <w:style w:customStyle="1" w:styleId="ab" w:type="character">
    <w:name w:val="页脚 字符"/>
    <w:basedOn w:val="a0"/>
    <w:link w:val="aa"/>
    <w:uiPriority w:val="99"/>
    <w:rsid w:val="003160F8"/>
    <w:rPr>
      <w:rFonts w:ascii="Times New Roman" w:cs="Times New Roman" w:eastAsia="方正仿宋简体" w:hAnsi="Times New Roman"/>
      <w:sz w:val="18"/>
      <w:szCs w:val="18"/>
    </w:rPr>
  </w:style>
  <w:style w:styleId="ac" w:type="paragraph">
    <w:name w:val="Balloon Text"/>
    <w:basedOn w:val="a"/>
    <w:link w:val="ad"/>
    <w:uiPriority w:val="99"/>
    <w:semiHidden/>
    <w:unhideWhenUsed/>
    <w:rsid w:val="00B44BBE"/>
    <w:rPr>
      <w:sz w:val="18"/>
      <w:szCs w:val="18"/>
    </w:rPr>
  </w:style>
  <w:style w:customStyle="1" w:styleId="ad" w:type="character">
    <w:name w:val="批注框文本 字符"/>
    <w:basedOn w:val="a0"/>
    <w:link w:val="ac"/>
    <w:uiPriority w:val="99"/>
    <w:semiHidden/>
    <w:rsid w:val="00B44BBE"/>
    <w:rPr>
      <w:rFonts w:ascii="Times New Roman" w:cs="Times New Roman" w:eastAsia="方正仿宋简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237</Words>
  <Characters>1352</Characters>
  <Application>Microsoft Office Word</Application>
  <DocSecurity>0</DocSecurity>
  <Lines>11</Lines>
  <Paragraphs>3</Paragraphs>
  <ScaleCrop>false</ScaleCrop>
  <Company>微软中国</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2013-07-24T09:25:00Z</dcterms:created>
  <dc:creator>User</dc:creator>
  <cp:lastModifiedBy>Windows 用户</cp:lastModifiedBy>
  <dcterms:modified xsi:type="dcterms:W3CDTF">2022-04-12T01:29:00Z</dcterms:modified>
  <cp:revision>59</cp:revision>
</cp:coreProperties>
</file>