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F70FB9" w:rsidP="001D2FA9">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F70FB9" w:rsidP="001D2FA9">
      <w:pPr>
        <w:tabs>
          <w:tab w:val="left" w:pos="1890"/>
        </w:tabs>
        <w:rPr>
          <w:rFonts w:asciiTheme="minorEastAsia" w:eastAsiaTheme="minorEastAsia" w:hAnsiTheme="minorEastAsia"/>
          <w:i/>
          <w:iCs/>
          <w:color w:val="000000" w:themeColor="text1"/>
          <w:sz w:val="28"/>
          <w:szCs w:val="28"/>
        </w:rPr>
      </w:pPr>
    </w:p>
    <w:p w:rsidR="00BA4B87" w:rsidRPr="00F70FB9" w:rsidP="007025AF">
      <w:pPr>
        <w:spacing w:line="360" w:lineRule="auto"/>
        <w:jc w:val="center"/>
        <w:rPr>
          <w:rFonts w:asciiTheme="minorEastAsia" w:eastAsiaTheme="minorEastAsia" w:hAnsiTheme="minorEastAsia"/>
          <w:b/>
          <w:color w:val="000000" w:themeColor="text1"/>
          <w:sz w:val="44"/>
        </w:rPr>
      </w:pPr>
    </w:p>
    <w:p w:rsidR="00BA4B87" w:rsidRPr="00F70FB9" w:rsidP="007025AF">
      <w:pPr>
        <w:spacing w:line="360" w:lineRule="auto"/>
        <w:jc w:val="center"/>
        <w:rPr>
          <w:rFonts w:asciiTheme="minorEastAsia" w:eastAsiaTheme="minorEastAsia" w:hAnsiTheme="minorEastAsia"/>
          <w:b/>
          <w:color w:val="000000" w:themeColor="text1"/>
          <w:sz w:val="44"/>
        </w:rPr>
      </w:pPr>
    </w:p>
    <w:p w:rsidR="00BA4B87" w:rsidRPr="00F70FB9" w:rsidP="007025AF">
      <w:pPr>
        <w:spacing w:line="360" w:lineRule="auto"/>
        <w:jc w:val="center"/>
        <w:rPr>
          <w:rFonts w:asciiTheme="minorEastAsia" w:eastAsiaTheme="minorEastAsia" w:hAnsiTheme="minorEastAsia"/>
          <w:b/>
          <w:color w:val="000000" w:themeColor="text1"/>
          <w:sz w:val="44"/>
        </w:rPr>
      </w:pPr>
    </w:p>
    <w:p w:rsidR="00BA4B87" w:rsidRPr="00F70FB9" w:rsidP="007025AF">
      <w:pPr>
        <w:spacing w:line="360" w:lineRule="auto"/>
        <w:jc w:val="center"/>
        <w:rPr>
          <w:rFonts w:asciiTheme="minorEastAsia" w:eastAsiaTheme="minorEastAsia" w:hAnsiTheme="minorEastAsia"/>
          <w:b/>
          <w:color w:val="000000" w:themeColor="text1"/>
          <w:sz w:val="44"/>
        </w:rPr>
      </w:pPr>
    </w:p>
    <w:p w:rsidR="00047CE2" w:rsidRPr="00F70FB9" w:rsidP="001D2FA9">
      <w:pPr>
        <w:spacing w:line="360" w:lineRule="auto"/>
        <w:ind w:left="0" w:hanging="141" w:leftChars="-67" w:hangingChars="32"/>
        <w:jc w:val="center"/>
        <w:rPr>
          <w:rFonts w:asciiTheme="minorEastAsia" w:eastAsiaTheme="minorEastAsia" w:hAnsiTheme="minorEastAsia"/>
          <w:b/>
          <w:color w:val="000000" w:themeColor="text1"/>
          <w:sz w:val="44"/>
        </w:rPr>
      </w:pPr>
      <w:r w:rsidRPr="00F70FB9">
        <w:rPr>
          <w:rFonts w:asciiTheme="minorEastAsia" w:eastAsiaTheme="minorEastAsia" w:hAnsiTheme="minorEastAsia" w:hint="eastAsia"/>
          <w:b/>
          <w:color w:val="000000" w:themeColor="text1"/>
          <w:sz w:val="44"/>
        </w:rPr>
        <w:t>易方达</w:t>
      </w:r>
      <w:r w:rsidRPr="00F70FB9" w:rsidR="00D61B9E">
        <w:rPr>
          <w:rFonts w:asciiTheme="minorEastAsia" w:eastAsiaTheme="minorEastAsia" w:hAnsiTheme="minorEastAsia" w:hint="eastAsia"/>
          <w:b/>
          <w:color w:val="000000" w:themeColor="text1"/>
          <w:sz w:val="44"/>
        </w:rPr>
        <w:t>瑞程</w:t>
      </w:r>
      <w:r w:rsidRPr="00F70FB9">
        <w:rPr>
          <w:rFonts w:asciiTheme="minorEastAsia" w:eastAsiaTheme="minorEastAsia" w:hAnsiTheme="minorEastAsia" w:hint="eastAsia"/>
          <w:b/>
          <w:color w:val="000000" w:themeColor="text1"/>
          <w:sz w:val="44"/>
        </w:rPr>
        <w:t>灵活配置混合型证券</w:t>
      </w:r>
      <w:r w:rsidRPr="00F70FB9" w:rsidR="002221EE">
        <w:rPr>
          <w:rFonts w:asciiTheme="minorEastAsia" w:eastAsiaTheme="minorEastAsia" w:hAnsiTheme="minorEastAsia" w:hint="eastAsia"/>
          <w:b/>
          <w:color w:val="000000" w:themeColor="text1"/>
          <w:sz w:val="44"/>
        </w:rPr>
        <w:t>投资基金</w:t>
      </w:r>
    </w:p>
    <w:p w:rsidR="00BA4B87" w:rsidRPr="00F70FB9" w:rsidP="001D2FA9">
      <w:pPr>
        <w:spacing w:line="360" w:lineRule="auto"/>
        <w:jc w:val="center"/>
        <w:rPr>
          <w:rFonts w:asciiTheme="minorEastAsia" w:eastAsiaTheme="minorEastAsia" w:hAnsiTheme="minorEastAsia"/>
          <w:b/>
          <w:color w:val="000000" w:themeColor="text1"/>
          <w:sz w:val="44"/>
        </w:rPr>
      </w:pPr>
      <w:r w:rsidRPr="00F70FB9">
        <w:rPr>
          <w:rFonts w:asciiTheme="minorEastAsia" w:eastAsiaTheme="minorEastAsia" w:hAnsiTheme="minorEastAsia" w:hint="eastAsia"/>
          <w:b/>
          <w:color w:val="000000" w:themeColor="text1"/>
          <w:sz w:val="44"/>
        </w:rPr>
        <w:t>更新</w:t>
      </w:r>
      <w:r w:rsidRPr="00F70FB9">
        <w:rPr>
          <w:rFonts w:asciiTheme="minorEastAsia" w:eastAsiaTheme="minorEastAsia" w:hAnsiTheme="minorEastAsia"/>
          <w:b/>
          <w:color w:val="000000" w:themeColor="text1"/>
          <w:sz w:val="44"/>
        </w:rPr>
        <w:t>的</w:t>
      </w:r>
      <w:r w:rsidRPr="00F70FB9">
        <w:rPr>
          <w:rFonts w:asciiTheme="minorEastAsia" w:eastAsiaTheme="minorEastAsia" w:hAnsiTheme="minorEastAsia" w:hint="eastAsia"/>
          <w:b/>
          <w:color w:val="000000" w:themeColor="text1"/>
          <w:sz w:val="44"/>
        </w:rPr>
        <w:t>招募说明书</w:t>
      </w:r>
    </w:p>
    <w:p w:rsidR="00BA4B87" w:rsidRPr="00F70FB9" w:rsidP="007025AF">
      <w:pPr>
        <w:spacing w:line="360" w:lineRule="auto"/>
        <w:ind w:left="1680" w:leftChars="800"/>
        <w:rPr>
          <w:rFonts w:asciiTheme="minorEastAsia" w:eastAsiaTheme="minorEastAsia" w:hAnsiTheme="minorEastAsia"/>
          <w:color w:val="000000" w:themeColor="text1"/>
          <w:sz w:val="30"/>
          <w:szCs w:val="30"/>
        </w:rPr>
      </w:pPr>
    </w:p>
    <w:p w:rsidR="00992FE4" w:rsidRPr="00F70FB9" w:rsidP="007025AF">
      <w:pPr>
        <w:spacing w:line="360" w:lineRule="auto"/>
        <w:ind w:left="1680" w:leftChars="800"/>
        <w:rPr>
          <w:rFonts w:asciiTheme="minorEastAsia" w:eastAsiaTheme="minorEastAsia" w:hAnsiTheme="minorEastAsia"/>
          <w:color w:val="000000" w:themeColor="text1"/>
          <w:sz w:val="30"/>
          <w:szCs w:val="30"/>
        </w:rPr>
      </w:pPr>
    </w:p>
    <w:p w:rsidR="00BA4B87" w:rsidRPr="00F70FB9" w:rsidP="001D2FA9">
      <w:pPr>
        <w:spacing w:line="360" w:lineRule="auto"/>
        <w:ind w:left="1680" w:leftChars="800"/>
        <w:rPr>
          <w:rFonts w:asciiTheme="minorEastAsia" w:eastAsiaTheme="minorEastAsia" w:hAnsiTheme="minorEastAsia"/>
          <w:color w:val="000000" w:themeColor="text1"/>
          <w:sz w:val="30"/>
          <w:szCs w:val="30"/>
        </w:rPr>
      </w:pPr>
    </w:p>
    <w:p w:rsidR="00BA4B87" w:rsidRPr="00F70FB9" w:rsidP="001D2FA9">
      <w:pPr>
        <w:spacing w:line="360" w:lineRule="auto"/>
        <w:ind w:left="1680" w:leftChars="800"/>
        <w:rPr>
          <w:rFonts w:asciiTheme="minorEastAsia" w:eastAsiaTheme="minorEastAsia" w:hAnsiTheme="minorEastAsia"/>
          <w:color w:val="000000" w:themeColor="text1"/>
          <w:sz w:val="30"/>
          <w:szCs w:val="30"/>
        </w:rPr>
      </w:pPr>
    </w:p>
    <w:p w:rsidR="00BA4B87" w:rsidRPr="00F70FB9" w:rsidP="001D2FA9">
      <w:pPr>
        <w:spacing w:line="360" w:lineRule="auto"/>
        <w:ind w:left="1680" w:leftChars="800"/>
        <w:rPr>
          <w:rFonts w:asciiTheme="minorEastAsia" w:eastAsiaTheme="minorEastAsia" w:hAnsiTheme="minorEastAsia"/>
          <w:color w:val="000000" w:themeColor="text1"/>
          <w:sz w:val="30"/>
          <w:szCs w:val="30"/>
        </w:rPr>
      </w:pPr>
    </w:p>
    <w:p w:rsidR="00BA4B87" w:rsidRPr="00F70FB9">
      <w:pPr>
        <w:spacing w:line="360" w:lineRule="auto"/>
        <w:ind w:left="1680" w:leftChars="800"/>
        <w:rPr>
          <w:rFonts w:asciiTheme="minorEastAsia" w:eastAsiaTheme="minorEastAsia" w:hAnsiTheme="minorEastAsia"/>
          <w:color w:val="000000" w:themeColor="text1"/>
          <w:sz w:val="30"/>
          <w:szCs w:val="30"/>
        </w:rPr>
      </w:pPr>
    </w:p>
    <w:p w:rsidR="00BA4B87" w:rsidRPr="00F70FB9">
      <w:pPr>
        <w:spacing w:line="360" w:lineRule="auto"/>
        <w:ind w:left="1678" w:hanging="237" w:leftChars="686" w:hangingChars="74"/>
        <w:rPr>
          <w:rFonts w:asciiTheme="minorEastAsia" w:eastAsiaTheme="minorEastAsia" w:hAnsiTheme="minorEastAsia"/>
          <w:b/>
          <w:color w:val="000000" w:themeColor="text1"/>
          <w:sz w:val="32"/>
          <w:szCs w:val="32"/>
        </w:rPr>
      </w:pPr>
      <w:r w:rsidRPr="00F70FB9">
        <w:rPr>
          <w:rFonts w:asciiTheme="minorEastAsia" w:eastAsiaTheme="minorEastAsia" w:hAnsiTheme="minorEastAsia" w:hint="eastAsia"/>
          <w:b/>
          <w:color w:val="000000" w:themeColor="text1"/>
          <w:sz w:val="32"/>
          <w:szCs w:val="32"/>
        </w:rPr>
        <w:t>基金管理人：易方达基金管理有限公司</w:t>
      </w:r>
    </w:p>
    <w:p w:rsidR="00BA4B87" w:rsidRPr="00F70FB9">
      <w:pPr>
        <w:spacing w:line="360" w:lineRule="auto"/>
        <w:ind w:left="1438" w:leftChars="685"/>
        <w:rPr>
          <w:rFonts w:asciiTheme="minorEastAsia" w:eastAsiaTheme="minorEastAsia" w:hAnsiTheme="minorEastAsia"/>
          <w:b/>
          <w:color w:val="000000" w:themeColor="text1"/>
          <w:sz w:val="32"/>
          <w:szCs w:val="32"/>
        </w:rPr>
      </w:pPr>
      <w:r w:rsidRPr="00F70FB9">
        <w:rPr>
          <w:rFonts w:asciiTheme="minorEastAsia" w:eastAsiaTheme="minorEastAsia" w:hAnsiTheme="minorEastAsia" w:hint="eastAsia"/>
          <w:b/>
          <w:color w:val="000000" w:themeColor="text1"/>
          <w:sz w:val="32"/>
          <w:szCs w:val="32"/>
        </w:rPr>
        <w:t>基金托管人：</w:t>
      </w:r>
      <w:r w:rsidRPr="00F70FB9" w:rsidR="00251062">
        <w:rPr>
          <w:rFonts w:asciiTheme="minorEastAsia" w:eastAsiaTheme="minorEastAsia" w:hAnsiTheme="minorEastAsia" w:hint="eastAsia"/>
          <w:b/>
          <w:color w:val="000000" w:themeColor="text1"/>
          <w:sz w:val="32"/>
          <w:szCs w:val="32"/>
        </w:rPr>
        <w:t>上海浦东发展银行股份有限公司</w:t>
      </w:r>
    </w:p>
    <w:p w:rsidR="00BA4B87" w:rsidRPr="00F70FB9" w:rsidP="007025AF">
      <w:pPr>
        <w:spacing w:line="360" w:lineRule="auto"/>
        <w:rPr>
          <w:rFonts w:asciiTheme="minorEastAsia" w:eastAsiaTheme="minorEastAsia" w:hAnsiTheme="minorEastAsia"/>
          <w:b/>
          <w:color w:val="000000" w:themeColor="text1"/>
          <w:sz w:val="24"/>
        </w:rPr>
      </w:pPr>
    </w:p>
    <w:p w:rsidR="00660BE8" w:rsidRPr="00F70FB9" w:rsidP="001D2FA9">
      <w:pPr>
        <w:spacing w:line="288" w:lineRule="auto"/>
        <w:jc w:val="center"/>
        <w:rPr>
          <w:rFonts w:asciiTheme="minorEastAsia" w:eastAsiaTheme="minorEastAsia" w:hAnsiTheme="minorEastAsia"/>
          <w:b/>
          <w:color w:val="000000" w:themeColor="text1"/>
          <w:sz w:val="28"/>
          <w:szCs w:val="28"/>
        </w:rPr>
      </w:pPr>
      <w:r w:rsidRPr="00F70FB9">
        <w:rPr>
          <w:rFonts w:asciiTheme="minorEastAsia" w:eastAsiaTheme="minorEastAsia" w:hAnsiTheme="minorEastAsia"/>
          <w:b/>
          <w:color w:val="000000" w:themeColor="text1"/>
          <w:sz w:val="28"/>
        </w:rPr>
        <w:t>二〇二</w:t>
      </w:r>
      <w:r w:rsidRPr="00F70FB9" w:rsidR="007D1552">
        <w:rPr>
          <w:rFonts w:asciiTheme="minorEastAsia" w:eastAsiaTheme="minorEastAsia" w:hAnsiTheme="minorEastAsia" w:hint="eastAsia"/>
          <w:b/>
          <w:color w:val="000000" w:themeColor="text1"/>
          <w:sz w:val="28"/>
        </w:rPr>
        <w:t>二</w:t>
      </w:r>
      <w:r w:rsidRPr="00F70FB9">
        <w:rPr>
          <w:rFonts w:asciiTheme="minorEastAsia" w:eastAsiaTheme="minorEastAsia" w:hAnsiTheme="minorEastAsia"/>
          <w:b/>
          <w:color w:val="000000" w:themeColor="text1"/>
          <w:sz w:val="28"/>
        </w:rPr>
        <w:t>年</w:t>
      </w:r>
      <w:r w:rsidRPr="00F70FB9" w:rsidR="007D1552">
        <w:rPr>
          <w:rFonts w:asciiTheme="minorEastAsia" w:eastAsiaTheme="minorEastAsia" w:hAnsiTheme="minorEastAsia" w:hint="eastAsia"/>
          <w:b/>
          <w:color w:val="000000" w:themeColor="text1"/>
          <w:sz w:val="28"/>
        </w:rPr>
        <w:t>五</w:t>
      </w:r>
      <w:r w:rsidRPr="00F70FB9">
        <w:rPr>
          <w:rFonts w:asciiTheme="minorEastAsia" w:eastAsiaTheme="minorEastAsia" w:hAnsiTheme="minorEastAsia"/>
          <w:b/>
          <w:color w:val="000000" w:themeColor="text1"/>
          <w:sz w:val="28"/>
        </w:rPr>
        <w:t>月</w:t>
      </w:r>
    </w:p>
    <w:p w:rsidR="00DF4BBC" w:rsidRPr="00F70FB9" w:rsidP="001D2FA9">
      <w:pPr>
        <w:spacing w:line="288" w:lineRule="auto"/>
        <w:jc w:val="center"/>
        <w:rPr>
          <w:rFonts w:asciiTheme="minorEastAsia" w:eastAsiaTheme="minorEastAsia" w:hAnsiTheme="minorEastAsia"/>
          <w:b/>
          <w:color w:val="000000" w:themeColor="text1"/>
          <w:sz w:val="28"/>
          <w:szCs w:val="28"/>
        </w:rPr>
      </w:pPr>
    </w:p>
    <w:p w:rsidR="00DF4BBC" w:rsidRPr="00F70FB9" w:rsidP="001D2FA9">
      <w:pPr>
        <w:spacing w:line="288" w:lineRule="auto"/>
        <w:jc w:val="center"/>
        <w:rPr>
          <w:rFonts w:asciiTheme="minorEastAsia" w:eastAsiaTheme="minorEastAsia" w:hAnsiTheme="minorEastAsia"/>
          <w:b/>
          <w:color w:val="000000" w:themeColor="text1"/>
          <w:sz w:val="28"/>
          <w:szCs w:val="28"/>
        </w:rPr>
      </w:pPr>
    </w:p>
    <w:p w:rsidR="00DF4BBC" w:rsidRPr="00F70FB9">
      <w:pPr>
        <w:spacing w:line="288" w:lineRule="auto"/>
        <w:jc w:val="center"/>
        <w:rPr>
          <w:rFonts w:asciiTheme="minorEastAsia" w:eastAsiaTheme="minorEastAsia" w:hAnsiTheme="minorEastAsia"/>
          <w:b/>
          <w:color w:val="000000" w:themeColor="text1"/>
          <w:sz w:val="28"/>
          <w:szCs w:val="28"/>
        </w:rPr>
      </w:pPr>
    </w:p>
    <w:p w:rsidR="00DF4BBC" w:rsidRPr="00F70FB9">
      <w:pPr>
        <w:spacing w:line="288" w:lineRule="auto"/>
        <w:jc w:val="center"/>
        <w:rPr>
          <w:rFonts w:asciiTheme="minorEastAsia" w:eastAsiaTheme="minorEastAsia" w:hAnsiTheme="minorEastAsia"/>
          <w:b/>
          <w:color w:val="000000" w:themeColor="text1"/>
          <w:sz w:val="28"/>
          <w:szCs w:val="28"/>
        </w:rPr>
      </w:pPr>
    </w:p>
    <w:p w:rsidR="00BA4B87" w:rsidRPr="00F70FB9">
      <w:pPr>
        <w:spacing w:line="288" w:lineRule="auto"/>
        <w:jc w:val="center"/>
        <w:rPr>
          <w:rFonts w:asciiTheme="minorEastAsia" w:eastAsiaTheme="minorEastAsia" w:hAnsiTheme="minorEastAsia"/>
          <w:b/>
          <w:color w:val="000000" w:themeColor="text1"/>
          <w:sz w:val="28"/>
          <w:szCs w:val="28"/>
        </w:rPr>
      </w:pPr>
      <w:r w:rsidRPr="00F70FB9">
        <w:rPr>
          <w:rFonts w:asciiTheme="minorEastAsia" w:eastAsiaTheme="minorEastAsia" w:hAnsiTheme="minorEastAsia" w:hint="eastAsia"/>
          <w:b/>
          <w:color w:val="000000" w:themeColor="text1"/>
          <w:sz w:val="28"/>
          <w:szCs w:val="28"/>
        </w:rPr>
        <w:t>重要提示</w:t>
      </w:r>
    </w:p>
    <w:p w:rsidR="00074EE6" w:rsidRPr="00F70FB9" w:rsidP="00074EE6">
      <w:pPr>
        <w:snapToGrid w:val="0"/>
        <w:spacing w:line="360" w:lineRule="auto"/>
        <w:ind w:firstLine="420" w:firstLineChars="200"/>
        <w:rPr>
          <w:rFonts w:asciiTheme="minorEastAsia" w:eastAsiaTheme="minorEastAsia" w:hAnsiTheme="minorEastAsia"/>
          <w:b/>
          <w:color w:val="000000" w:themeColor="text1"/>
        </w:rPr>
      </w:pPr>
      <w:r w:rsidRPr="00F70FB9">
        <w:rPr>
          <w:rFonts w:asciiTheme="minorEastAsia" w:eastAsiaTheme="minorEastAsia" w:hAnsiTheme="minorEastAsia" w:hint="eastAsia"/>
          <w:b/>
          <w:color w:val="000000" w:themeColor="text1"/>
        </w:rPr>
        <w:t>1、本基金根据2016年11月24日中国证券监督管理委员会《关于准予易方达瑞程灵活配置混合型证券投资基金注册的批复》（证监许可[2016]2801号），进行募集。本基金基金合同于2016年12月15日正式生效。</w:t>
      </w:r>
    </w:p>
    <w:p w:rsidR="00074EE6" w:rsidRPr="00F70FB9" w:rsidP="00074EE6">
      <w:pPr>
        <w:snapToGrid w:val="0"/>
        <w:spacing w:line="360" w:lineRule="auto"/>
        <w:ind w:firstLine="420" w:firstLineChars="200"/>
        <w:rPr>
          <w:rFonts w:asciiTheme="minorEastAsia" w:eastAsiaTheme="minorEastAsia" w:hAnsiTheme="minorEastAsia"/>
          <w:b/>
          <w:color w:val="000000" w:themeColor="text1"/>
        </w:rPr>
      </w:pPr>
      <w:r w:rsidRPr="00F70FB9">
        <w:rPr>
          <w:rFonts w:asciiTheme="minorEastAsia" w:eastAsiaTheme="minorEastAsia" w:hAnsiTheme="minorEastAsia" w:hint="eastAsia"/>
          <w:b/>
          <w:color w:val="000000" w:themeColor="text1"/>
        </w:rPr>
        <w:t>2、基金管理人保证《招募说明书》的内容真实、准确、完整。本基金经中国证监会注册，但中国证监会对本基金募集的注册，并不表明其对本基金的投资价值、市场前景和收益作出实质性判断或保证，也不表明投资于本基金没有风险。</w:t>
      </w:r>
    </w:p>
    <w:p w:rsidR="00074EE6" w:rsidRPr="00F70FB9" w:rsidP="00074EE6">
      <w:pPr>
        <w:snapToGrid w:val="0"/>
        <w:spacing w:line="360" w:lineRule="auto"/>
        <w:ind w:firstLine="420" w:firstLineChars="200"/>
        <w:rPr>
          <w:rFonts w:asciiTheme="minorEastAsia" w:eastAsiaTheme="minorEastAsia" w:hAnsiTheme="minorEastAsia"/>
          <w:b/>
          <w:color w:val="000000" w:themeColor="text1"/>
        </w:rPr>
      </w:pPr>
      <w:r w:rsidRPr="00F70FB9">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074EE6" w:rsidRPr="00F70FB9" w:rsidP="00074EE6">
      <w:pPr>
        <w:snapToGrid w:val="0"/>
        <w:spacing w:line="360" w:lineRule="auto"/>
        <w:ind w:firstLine="420" w:firstLineChars="200"/>
        <w:rPr>
          <w:rFonts w:asciiTheme="minorEastAsia" w:eastAsiaTheme="minorEastAsia" w:hAnsiTheme="minorEastAsia"/>
          <w:b/>
          <w:color w:val="000000" w:themeColor="text1"/>
        </w:rPr>
      </w:pPr>
      <w:r w:rsidRPr="00F70FB9">
        <w:rPr>
          <w:rFonts w:asciiTheme="minorEastAsia" w:eastAsiaTheme="minorEastAsia" w:hAnsiTheme="minorEastAsia" w:hint="eastAsia"/>
          <w:b/>
          <w:color w:val="000000" w:themeColor="text1"/>
        </w:rPr>
        <w:t>3、本基金投资于证券市场，基金净值会因为证券市场波动等因素产生波动。投资有风险，投资者在投资本基金前，请认真阅读本基金的招募说明书、基金合同和基金产品资料概要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风险包括：证券市场整体环境引发的系统性风险；个别证券特有的非系统性风险；流动性风险；基金投资过程中产生的操作风险；因交收违约和投资债券引发的信用风险；基金投资回报可能低于业绩比较基准的风险；本基金的投资范围包括股指期货、国债期货等金融衍生品、科创板股票、证券公司短期公司债券、中小企业私募债、存托凭证等品种，可能给本基金带来额外风险；本基金法律文件中涉及基金风险特征的表述与销售机构对基金的风险评级可能不一致的风险等。本基金的具体运作特点详见基金合同和招募说明书的约定。本基金的一般风险及特有风险详见本招募说明书的“风险揭示”部分。</w:t>
      </w:r>
    </w:p>
    <w:p w:rsidR="00074EE6" w:rsidRPr="00F70FB9" w:rsidP="00074EE6">
      <w:pPr>
        <w:snapToGrid w:val="0"/>
        <w:spacing w:line="360" w:lineRule="auto"/>
        <w:ind w:firstLine="420" w:firstLineChars="200"/>
        <w:rPr>
          <w:rFonts w:asciiTheme="minorEastAsia" w:eastAsiaTheme="minorEastAsia" w:hAnsiTheme="minorEastAsia"/>
          <w:b/>
          <w:color w:val="000000" w:themeColor="text1"/>
        </w:rPr>
      </w:pPr>
      <w:r w:rsidRPr="00F70FB9">
        <w:rPr>
          <w:rFonts w:asciiTheme="minorEastAsia" w:eastAsiaTheme="minorEastAsia" w:hAnsiTheme="minorEastAsia" w:hint="eastAsia"/>
          <w:b/>
          <w:color w:val="000000" w:themeColor="text1"/>
        </w:rPr>
        <w:t>4、本基金为混合型基金，理论上其预期风险收益水平低于股票型基金，高于债券型基金和货币市场基金。</w:t>
      </w:r>
    </w:p>
    <w:p w:rsidR="00074EE6" w:rsidRPr="00F70FB9" w:rsidP="00074EE6">
      <w:pPr>
        <w:snapToGrid w:val="0"/>
        <w:spacing w:line="360" w:lineRule="auto"/>
        <w:ind w:firstLine="420" w:firstLineChars="200"/>
        <w:rPr>
          <w:rFonts w:asciiTheme="minorEastAsia" w:eastAsiaTheme="minorEastAsia" w:hAnsiTheme="minorEastAsia"/>
          <w:b/>
          <w:color w:val="000000" w:themeColor="text1"/>
        </w:rPr>
      </w:pPr>
      <w:r w:rsidRPr="00F70FB9">
        <w:rPr>
          <w:rFonts w:asciiTheme="minorEastAsia" w:eastAsiaTheme="minorEastAsia" w:hAnsiTheme="minorEastAsia" w:hint="eastAsia"/>
          <w:b/>
          <w:color w:val="000000" w:themeColor="text1"/>
        </w:rPr>
        <w:t>5、基金管理人提醒投资者基金投资的“买者自负”原则，在投资者作出投资决策后，基金运营状况与基金净值变化引致的投资风险，由投资者自行负责。此外，本基金以1元初始面值进行募集，在市场波动等因素的影响下，存在单位份额净值跌破1元初始面值的风险。</w:t>
      </w:r>
    </w:p>
    <w:p w:rsidR="00074EE6" w:rsidRPr="00F70FB9" w:rsidP="00074EE6">
      <w:pPr>
        <w:snapToGrid w:val="0"/>
        <w:spacing w:line="360" w:lineRule="auto"/>
        <w:ind w:firstLine="420" w:firstLineChars="200"/>
        <w:rPr>
          <w:rFonts w:asciiTheme="minorEastAsia" w:eastAsiaTheme="minorEastAsia" w:hAnsiTheme="minorEastAsia"/>
          <w:b/>
          <w:color w:val="000000" w:themeColor="text1"/>
        </w:rPr>
      </w:pPr>
      <w:r w:rsidRPr="00F70FB9">
        <w:rPr>
          <w:rFonts w:asciiTheme="minorEastAsia" w:eastAsiaTheme="minorEastAsia" w:hAnsiTheme="minorEastAsia" w:hint="eastAsia"/>
          <w:b/>
          <w:color w:val="000000" w:themeColor="text1"/>
        </w:rPr>
        <w:t>6、基金不同于银行储蓄，基金投资人有可能获得较高的收益，也有可能损失本金。投资有风险，投资人在进行投资决策前，请仔细阅读本基金的《招募说明书》及《基金合同》。</w:t>
      </w:r>
    </w:p>
    <w:p w:rsidR="001B7BA7" w:rsidRPr="00F70FB9" w:rsidP="00074EE6">
      <w:pPr>
        <w:snapToGrid w:val="0"/>
        <w:spacing w:line="360" w:lineRule="auto"/>
        <w:ind w:firstLine="420" w:firstLineChars="200"/>
        <w:rPr>
          <w:rFonts w:asciiTheme="minorEastAsia" w:eastAsiaTheme="minorEastAsia" w:hAnsiTheme="minorEastAsia"/>
          <w:b/>
          <w:color w:val="000000" w:themeColor="text1"/>
          <w:szCs w:val="21"/>
        </w:rPr>
      </w:pPr>
      <w:r w:rsidRPr="00F70FB9">
        <w:rPr>
          <w:rFonts w:asciiTheme="minorEastAsia" w:eastAsiaTheme="minorEastAsia" w:hAnsiTheme="minorEastAsia" w:hint="eastAsia"/>
          <w:b/>
          <w:color w:val="000000" w:themeColor="text1"/>
        </w:rPr>
        <w:t>7、基金的过往业绩并不预示其未来表现，基金管理人管理的其他基金的业绩并不构成对本基金表现的保证。</w:t>
      </w:r>
    </w:p>
    <w:p w:rsidR="004F2A7F" w:rsidRPr="00F70FB9">
      <w:pPr>
        <w:spacing w:line="360" w:lineRule="auto"/>
        <w:ind w:firstLine="420" w:firstLineChars="200"/>
        <w:rPr>
          <w:rFonts w:asciiTheme="minorEastAsia" w:eastAsiaTheme="minorEastAsia" w:hAnsiTheme="minorEastAsia"/>
          <w:b/>
          <w:color w:val="000000" w:themeColor="text1"/>
        </w:rPr>
        <w:sectPr w:rsidSect="00D01390">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r w:rsidRPr="00F70FB9">
        <w:rPr>
          <w:rFonts w:asciiTheme="minorEastAsia" w:eastAsiaTheme="minorEastAsia" w:hAnsiTheme="minorEastAsia" w:hint="eastAsia"/>
          <w:b/>
          <w:color w:val="000000" w:themeColor="text1"/>
        </w:rPr>
        <w:t>本基金本次更新招募说明书对基金经理及基金管理人章节相关信息进行更新，相关信息更新截止日为2022年5月7日。</w:t>
      </w:r>
      <w:r w:rsidRPr="00F70FB9" w:rsidR="00871490">
        <w:rPr>
          <w:rFonts w:asciiTheme="minorEastAsia" w:eastAsiaTheme="minorEastAsia" w:hAnsiTheme="minorEastAsia"/>
          <w:b/>
          <w:color w:val="000000" w:themeColor="text1"/>
        </w:rPr>
        <w:t>本基金有关财务数据截止日为2021年6月30日，净值</w:t>
      </w:r>
      <w:r w:rsidRPr="00F70FB9" w:rsidR="00871490">
        <w:rPr>
          <w:rFonts w:asciiTheme="minorEastAsia" w:eastAsiaTheme="minorEastAsia" w:hAnsiTheme="minorEastAsia"/>
          <w:b/>
          <w:color w:val="000000" w:themeColor="text1"/>
        </w:rPr>
        <w:t>表现截止日为2020年12月31日，除非另有说明，本招募说明书其他所载内容截止日为2021年8月16日。（本报告中财务数据未经审计）</w:t>
      </w:r>
    </w:p>
    <w:p w:rsidR="00BA4B87" w:rsidRPr="00F70FB9">
      <w:pPr>
        <w:adjustRightInd w:val="0"/>
        <w:snapToGrid w:val="0"/>
        <w:spacing w:before="100" w:after="100" w:line="360" w:lineRule="auto"/>
        <w:jc w:val="center"/>
        <w:rPr>
          <w:rFonts w:asciiTheme="minorEastAsia" w:eastAsiaTheme="minorEastAsia" w:hAnsiTheme="minorEastAsia"/>
          <w:color w:val="000000" w:themeColor="text1"/>
          <w:sz w:val="30"/>
        </w:rPr>
      </w:pPr>
      <w:r w:rsidRPr="00F70FB9">
        <w:rPr>
          <w:rFonts w:asciiTheme="minorEastAsia" w:eastAsiaTheme="minorEastAsia" w:hAnsiTheme="minorEastAsia" w:hint="eastAsia"/>
          <w:color w:val="000000" w:themeColor="text1"/>
          <w:sz w:val="30"/>
        </w:rPr>
        <w:t>目录</w:t>
      </w:r>
    </w:p>
    <w:p w:rsidR="00BA4B87" w:rsidRPr="00F70FB9" w:rsidP="007025AF">
      <w:pPr>
        <w:adjustRightInd w:val="0"/>
        <w:snapToGrid w:val="0"/>
        <w:spacing w:before="100" w:after="100" w:line="320" w:lineRule="exact"/>
        <w:jc w:val="center"/>
        <w:rPr>
          <w:rFonts w:asciiTheme="minorEastAsia" w:eastAsiaTheme="minorEastAsia" w:hAnsiTheme="minorEastAsia"/>
          <w:b/>
          <w:color w:val="000000" w:themeColor="text1"/>
          <w:szCs w:val="21"/>
        </w:rPr>
      </w:pPr>
    </w:p>
    <w:bookmarkStart w:id="0" w:name="_GoBack"/>
    <w:bookmarkEnd w:id="0"/>
    <w:p w:rsidR="00F70FB9">
      <w:pPr>
        <w:pStyle w:val="TOC1"/>
        <w:rPr>
          <w:rFonts w:asciiTheme="minorHAnsi" w:eastAsiaTheme="minorEastAsia" w:hAnsiTheme="minorHAnsi" w:cstheme="minorBidi"/>
          <w:caps w:val="0"/>
          <w:color w:val="auto"/>
          <w:sz w:val="21"/>
          <w:szCs w:val="22"/>
        </w:rPr>
      </w:pPr>
      <w:r w:rsidRPr="00F70FB9">
        <w:rPr>
          <w:rFonts w:asciiTheme="minorEastAsia" w:eastAsiaTheme="minorEastAsia" w:hAnsiTheme="minorEastAsia"/>
          <w:b/>
          <w:caps w:val="0"/>
          <w:color w:val="000000" w:themeColor="text1"/>
          <w:sz w:val="21"/>
          <w:szCs w:val="21"/>
        </w:rPr>
        <w:fldChar w:fldCharType="begin"/>
      </w:r>
      <w:r w:rsidRPr="00F70FB9" w:rsidR="00BA1E8F">
        <w:rPr>
          <w:rFonts w:asciiTheme="minorEastAsia" w:eastAsiaTheme="minorEastAsia" w:hAnsiTheme="minorEastAsia"/>
          <w:b/>
          <w:caps w:val="0"/>
          <w:color w:val="000000" w:themeColor="text1"/>
          <w:sz w:val="21"/>
          <w:szCs w:val="21"/>
        </w:rPr>
        <w:instrText xml:space="preserve"> TOC \o "1-1" \h \z \u </w:instrText>
      </w:r>
      <w:r w:rsidRPr="00F70FB9">
        <w:rPr>
          <w:rFonts w:asciiTheme="minorEastAsia" w:eastAsiaTheme="minorEastAsia" w:hAnsiTheme="minorEastAsia"/>
          <w:b/>
          <w:caps w:val="0"/>
          <w:color w:val="000000" w:themeColor="text1"/>
          <w:sz w:val="21"/>
          <w:szCs w:val="21"/>
        </w:rPr>
        <w:fldChar w:fldCharType="separate"/>
      </w:r>
      <w:hyperlink w:anchor="_Toc103006328" w:history="1">
        <w:r w:rsidRPr="00007B1E">
          <w:rPr>
            <w:rStyle w:val="Hyperlink"/>
            <w:rFonts w:asciiTheme="minorEastAsia" w:hAnsiTheme="minorEastAsia" w:hint="eastAsia"/>
          </w:rPr>
          <w:t>一、绪言</w:t>
        </w:r>
        <w:r>
          <w:rPr>
            <w:webHidden/>
          </w:rPr>
          <w:tab/>
        </w:r>
        <w:r>
          <w:rPr>
            <w:webHidden/>
          </w:rPr>
          <w:fldChar w:fldCharType="begin"/>
        </w:r>
        <w:r>
          <w:rPr>
            <w:webHidden/>
          </w:rPr>
          <w:instrText xml:space="preserve"> PAGEREF _Toc103006328 \h </w:instrText>
        </w:r>
        <w:r>
          <w:rPr>
            <w:webHidden/>
          </w:rPr>
          <w:fldChar w:fldCharType="separate"/>
        </w:r>
        <w:r>
          <w:rPr>
            <w:webHidden/>
          </w:rPr>
          <w:t>1</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29" w:history="1">
        <w:r w:rsidRPr="00007B1E">
          <w:rPr>
            <w:rStyle w:val="Hyperlink"/>
            <w:rFonts w:asciiTheme="minorEastAsia" w:hAnsiTheme="minorEastAsia" w:hint="eastAsia"/>
          </w:rPr>
          <w:t>二、释义</w:t>
        </w:r>
        <w:r>
          <w:rPr>
            <w:webHidden/>
          </w:rPr>
          <w:tab/>
        </w:r>
        <w:r>
          <w:rPr>
            <w:webHidden/>
          </w:rPr>
          <w:fldChar w:fldCharType="begin"/>
        </w:r>
        <w:r>
          <w:rPr>
            <w:webHidden/>
          </w:rPr>
          <w:instrText xml:space="preserve"> PAGEREF _Toc103006329 \h </w:instrText>
        </w:r>
        <w:r>
          <w:rPr>
            <w:webHidden/>
          </w:rPr>
          <w:fldChar w:fldCharType="separate"/>
        </w:r>
        <w:r>
          <w:rPr>
            <w:webHidden/>
          </w:rPr>
          <w:t>2</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0" w:history="1">
        <w:r w:rsidRPr="00007B1E">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_Toc103006330 \h </w:instrText>
        </w:r>
        <w:r>
          <w:rPr>
            <w:webHidden/>
          </w:rPr>
          <w:fldChar w:fldCharType="separate"/>
        </w:r>
        <w:r>
          <w:rPr>
            <w:webHidden/>
          </w:rPr>
          <w:t>6</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1" w:history="1">
        <w:r w:rsidRPr="00007B1E">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_Toc103006331 \h </w:instrText>
        </w:r>
        <w:r>
          <w:rPr>
            <w:webHidden/>
          </w:rPr>
          <w:fldChar w:fldCharType="separate"/>
        </w:r>
        <w:r>
          <w:rPr>
            <w:webHidden/>
          </w:rPr>
          <w:t>19</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2" w:history="1">
        <w:r w:rsidRPr="00007B1E">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_Toc103006332 \h </w:instrText>
        </w:r>
        <w:r>
          <w:rPr>
            <w:webHidden/>
          </w:rPr>
          <w:fldChar w:fldCharType="separate"/>
        </w:r>
        <w:r>
          <w:rPr>
            <w:webHidden/>
          </w:rPr>
          <w:t>28</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3" w:history="1">
        <w:r w:rsidRPr="00007B1E">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_Toc103006333 \h </w:instrText>
        </w:r>
        <w:r>
          <w:rPr>
            <w:webHidden/>
          </w:rPr>
          <w:fldChar w:fldCharType="separate"/>
        </w:r>
        <w:r>
          <w:rPr>
            <w:webHidden/>
          </w:rPr>
          <w:t>31</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4" w:history="1">
        <w:r w:rsidRPr="00007B1E">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_Toc103006334 \h </w:instrText>
        </w:r>
        <w:r>
          <w:rPr>
            <w:webHidden/>
          </w:rPr>
          <w:fldChar w:fldCharType="separate"/>
        </w:r>
        <w:r>
          <w:rPr>
            <w:webHidden/>
          </w:rPr>
          <w:t>32</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5" w:history="1">
        <w:r w:rsidRPr="00007B1E">
          <w:rPr>
            <w:rStyle w:val="Hyperlink"/>
            <w:rFonts w:asciiTheme="minorEastAsia" w:hAnsiTheme="minorEastAsia" w:hint="eastAsia"/>
          </w:rPr>
          <w:t>八、基金份额的申购、赎回</w:t>
        </w:r>
        <w:r>
          <w:rPr>
            <w:webHidden/>
          </w:rPr>
          <w:tab/>
        </w:r>
        <w:r>
          <w:rPr>
            <w:webHidden/>
          </w:rPr>
          <w:fldChar w:fldCharType="begin"/>
        </w:r>
        <w:r>
          <w:rPr>
            <w:webHidden/>
          </w:rPr>
          <w:instrText xml:space="preserve"> PAGEREF _Toc103006335 \h </w:instrText>
        </w:r>
        <w:r>
          <w:rPr>
            <w:webHidden/>
          </w:rPr>
          <w:fldChar w:fldCharType="separate"/>
        </w:r>
        <w:r>
          <w:rPr>
            <w:webHidden/>
          </w:rPr>
          <w:t>33</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6" w:history="1">
        <w:r w:rsidRPr="00007B1E">
          <w:rPr>
            <w:rStyle w:val="Hyperlink"/>
            <w:rFonts w:asciiTheme="minorEastAsia" w:hAnsiTheme="minorEastAsia" w:hint="eastAsia"/>
          </w:rPr>
          <w:t>九、基金转换、基金份额转让和定期定额投资计划</w:t>
        </w:r>
        <w:r>
          <w:rPr>
            <w:webHidden/>
          </w:rPr>
          <w:tab/>
        </w:r>
        <w:r>
          <w:rPr>
            <w:webHidden/>
          </w:rPr>
          <w:fldChar w:fldCharType="begin"/>
        </w:r>
        <w:r>
          <w:rPr>
            <w:webHidden/>
          </w:rPr>
          <w:instrText xml:space="preserve"> PAGEREF _Toc103006336 \h </w:instrText>
        </w:r>
        <w:r>
          <w:rPr>
            <w:webHidden/>
          </w:rPr>
          <w:fldChar w:fldCharType="separate"/>
        </w:r>
        <w:r>
          <w:rPr>
            <w:webHidden/>
          </w:rPr>
          <w:t>43</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7" w:history="1">
        <w:r w:rsidRPr="00007B1E">
          <w:rPr>
            <w:rStyle w:val="Hyperlink"/>
            <w:rFonts w:asciiTheme="minorEastAsia" w:hAnsiTheme="minorEastAsia" w:hint="eastAsia"/>
          </w:rPr>
          <w:t>十、基金的转托管、质押、非交易过户、冻结与解冻</w:t>
        </w:r>
        <w:r>
          <w:rPr>
            <w:webHidden/>
          </w:rPr>
          <w:tab/>
        </w:r>
        <w:r>
          <w:rPr>
            <w:webHidden/>
          </w:rPr>
          <w:fldChar w:fldCharType="begin"/>
        </w:r>
        <w:r>
          <w:rPr>
            <w:webHidden/>
          </w:rPr>
          <w:instrText xml:space="preserve"> PAGEREF _Toc103006337 \h </w:instrText>
        </w:r>
        <w:r>
          <w:rPr>
            <w:webHidden/>
          </w:rPr>
          <w:fldChar w:fldCharType="separate"/>
        </w:r>
        <w:r>
          <w:rPr>
            <w:webHidden/>
          </w:rPr>
          <w:t>48</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8" w:history="1">
        <w:r w:rsidRPr="00007B1E">
          <w:rPr>
            <w:rStyle w:val="Hyperlink"/>
            <w:rFonts w:asciiTheme="minorEastAsia" w:hAnsiTheme="minorEastAsia" w:hint="eastAsia"/>
          </w:rPr>
          <w:t>十一、基金的投资</w:t>
        </w:r>
        <w:r>
          <w:rPr>
            <w:webHidden/>
          </w:rPr>
          <w:tab/>
        </w:r>
        <w:r>
          <w:rPr>
            <w:webHidden/>
          </w:rPr>
          <w:fldChar w:fldCharType="begin"/>
        </w:r>
        <w:r>
          <w:rPr>
            <w:webHidden/>
          </w:rPr>
          <w:instrText xml:space="preserve"> PAGEREF _Toc103006338 \h </w:instrText>
        </w:r>
        <w:r>
          <w:rPr>
            <w:webHidden/>
          </w:rPr>
          <w:fldChar w:fldCharType="separate"/>
        </w:r>
        <w:r>
          <w:rPr>
            <w:webHidden/>
          </w:rPr>
          <w:t>49</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39" w:history="1">
        <w:r w:rsidRPr="00007B1E">
          <w:rPr>
            <w:rStyle w:val="Hyperlink"/>
            <w:rFonts w:asciiTheme="minorEastAsia" w:hAnsiTheme="minorEastAsia" w:hint="eastAsia"/>
          </w:rPr>
          <w:t>十二、基金的业绩</w:t>
        </w:r>
        <w:r>
          <w:rPr>
            <w:webHidden/>
          </w:rPr>
          <w:tab/>
        </w:r>
        <w:r>
          <w:rPr>
            <w:webHidden/>
          </w:rPr>
          <w:fldChar w:fldCharType="begin"/>
        </w:r>
        <w:r>
          <w:rPr>
            <w:webHidden/>
          </w:rPr>
          <w:instrText xml:space="preserve"> PAGEREF _Toc103006339 \h </w:instrText>
        </w:r>
        <w:r>
          <w:rPr>
            <w:webHidden/>
          </w:rPr>
          <w:fldChar w:fldCharType="separate"/>
        </w:r>
        <w:r>
          <w:rPr>
            <w:webHidden/>
          </w:rPr>
          <w:t>60</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0" w:history="1">
        <w:r w:rsidRPr="00007B1E">
          <w:rPr>
            <w:rStyle w:val="Hyperlink"/>
            <w:rFonts w:asciiTheme="minorEastAsia" w:hAnsiTheme="minorEastAsia" w:hint="eastAsia"/>
          </w:rPr>
          <w:t>十三、基金的财产</w:t>
        </w:r>
        <w:r>
          <w:rPr>
            <w:webHidden/>
          </w:rPr>
          <w:tab/>
        </w:r>
        <w:r>
          <w:rPr>
            <w:webHidden/>
          </w:rPr>
          <w:fldChar w:fldCharType="begin"/>
        </w:r>
        <w:r>
          <w:rPr>
            <w:webHidden/>
          </w:rPr>
          <w:instrText xml:space="preserve"> PAGEREF _Toc103006340 \h </w:instrText>
        </w:r>
        <w:r>
          <w:rPr>
            <w:webHidden/>
          </w:rPr>
          <w:fldChar w:fldCharType="separate"/>
        </w:r>
        <w:r>
          <w:rPr>
            <w:webHidden/>
          </w:rPr>
          <w:t>62</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1" w:history="1">
        <w:r w:rsidRPr="00007B1E">
          <w:rPr>
            <w:rStyle w:val="Hyperlink"/>
            <w:rFonts w:asciiTheme="minorEastAsia" w:hAnsiTheme="minorEastAsia" w:hint="eastAsia"/>
          </w:rPr>
          <w:t>十四、基金资产的估值</w:t>
        </w:r>
        <w:r>
          <w:rPr>
            <w:webHidden/>
          </w:rPr>
          <w:tab/>
        </w:r>
        <w:r>
          <w:rPr>
            <w:webHidden/>
          </w:rPr>
          <w:fldChar w:fldCharType="begin"/>
        </w:r>
        <w:r>
          <w:rPr>
            <w:webHidden/>
          </w:rPr>
          <w:instrText xml:space="preserve"> PAGEREF _Toc103006341 \h </w:instrText>
        </w:r>
        <w:r>
          <w:rPr>
            <w:webHidden/>
          </w:rPr>
          <w:fldChar w:fldCharType="separate"/>
        </w:r>
        <w:r>
          <w:rPr>
            <w:webHidden/>
          </w:rPr>
          <w:t>63</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2" w:history="1">
        <w:r w:rsidRPr="00007B1E">
          <w:rPr>
            <w:rStyle w:val="Hyperlink"/>
            <w:rFonts w:asciiTheme="minorEastAsia" w:hAnsiTheme="minorEastAsia" w:hint="eastAsia"/>
          </w:rPr>
          <w:t>十五、基金的收益分配</w:t>
        </w:r>
        <w:r>
          <w:rPr>
            <w:webHidden/>
          </w:rPr>
          <w:tab/>
        </w:r>
        <w:r>
          <w:rPr>
            <w:webHidden/>
          </w:rPr>
          <w:fldChar w:fldCharType="begin"/>
        </w:r>
        <w:r>
          <w:rPr>
            <w:webHidden/>
          </w:rPr>
          <w:instrText xml:space="preserve"> PAGEREF _Toc103006342 \h </w:instrText>
        </w:r>
        <w:r>
          <w:rPr>
            <w:webHidden/>
          </w:rPr>
          <w:fldChar w:fldCharType="separate"/>
        </w:r>
        <w:r>
          <w:rPr>
            <w:webHidden/>
          </w:rPr>
          <w:t>67</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3" w:history="1">
        <w:r w:rsidRPr="00007B1E">
          <w:rPr>
            <w:rStyle w:val="Hyperlink"/>
            <w:rFonts w:asciiTheme="minorEastAsia" w:hAnsiTheme="minorEastAsia" w:hint="eastAsia"/>
          </w:rPr>
          <w:t>十六、基金的费用与税收</w:t>
        </w:r>
        <w:r>
          <w:rPr>
            <w:webHidden/>
          </w:rPr>
          <w:tab/>
        </w:r>
        <w:r>
          <w:rPr>
            <w:webHidden/>
          </w:rPr>
          <w:fldChar w:fldCharType="begin"/>
        </w:r>
        <w:r>
          <w:rPr>
            <w:webHidden/>
          </w:rPr>
          <w:instrText xml:space="preserve"> PAGEREF _Toc103006343 \h </w:instrText>
        </w:r>
        <w:r>
          <w:rPr>
            <w:webHidden/>
          </w:rPr>
          <w:fldChar w:fldCharType="separate"/>
        </w:r>
        <w:r>
          <w:rPr>
            <w:webHidden/>
          </w:rPr>
          <w:t>69</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4" w:history="1">
        <w:r w:rsidRPr="00007B1E">
          <w:rPr>
            <w:rStyle w:val="Hyperlink"/>
            <w:rFonts w:asciiTheme="minorEastAsia" w:hAnsiTheme="minorEastAsia" w:hint="eastAsia"/>
          </w:rPr>
          <w:t>十七、基金的会计与审计</w:t>
        </w:r>
        <w:r>
          <w:rPr>
            <w:webHidden/>
          </w:rPr>
          <w:tab/>
        </w:r>
        <w:r>
          <w:rPr>
            <w:webHidden/>
          </w:rPr>
          <w:fldChar w:fldCharType="begin"/>
        </w:r>
        <w:r>
          <w:rPr>
            <w:webHidden/>
          </w:rPr>
          <w:instrText xml:space="preserve"> PAGEREF _Toc103006344 \h </w:instrText>
        </w:r>
        <w:r>
          <w:rPr>
            <w:webHidden/>
          </w:rPr>
          <w:fldChar w:fldCharType="separate"/>
        </w:r>
        <w:r>
          <w:rPr>
            <w:webHidden/>
          </w:rPr>
          <w:t>72</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5" w:history="1">
        <w:r w:rsidRPr="00007B1E">
          <w:rPr>
            <w:rStyle w:val="Hyperlink"/>
            <w:rFonts w:asciiTheme="minorEastAsia" w:hAnsiTheme="minorEastAsia" w:hint="eastAsia"/>
          </w:rPr>
          <w:t>十八、基金的信息披露</w:t>
        </w:r>
        <w:r>
          <w:rPr>
            <w:webHidden/>
          </w:rPr>
          <w:tab/>
        </w:r>
        <w:r>
          <w:rPr>
            <w:webHidden/>
          </w:rPr>
          <w:fldChar w:fldCharType="begin"/>
        </w:r>
        <w:r>
          <w:rPr>
            <w:webHidden/>
          </w:rPr>
          <w:instrText xml:space="preserve"> PAGEREF _Toc103006345 \h </w:instrText>
        </w:r>
        <w:r>
          <w:rPr>
            <w:webHidden/>
          </w:rPr>
          <w:fldChar w:fldCharType="separate"/>
        </w:r>
        <w:r>
          <w:rPr>
            <w:webHidden/>
          </w:rPr>
          <w:t>73</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6" w:history="1">
        <w:r w:rsidRPr="00007B1E">
          <w:rPr>
            <w:rStyle w:val="Hyperlink"/>
            <w:rFonts w:asciiTheme="minorEastAsia" w:hAnsiTheme="minorEastAsia" w:hint="eastAsia"/>
          </w:rPr>
          <w:t>十九、风险揭示</w:t>
        </w:r>
        <w:r>
          <w:rPr>
            <w:webHidden/>
          </w:rPr>
          <w:tab/>
        </w:r>
        <w:r>
          <w:rPr>
            <w:webHidden/>
          </w:rPr>
          <w:fldChar w:fldCharType="begin"/>
        </w:r>
        <w:r>
          <w:rPr>
            <w:webHidden/>
          </w:rPr>
          <w:instrText xml:space="preserve"> PAGEREF _Toc103006346 \h </w:instrText>
        </w:r>
        <w:r>
          <w:rPr>
            <w:webHidden/>
          </w:rPr>
          <w:fldChar w:fldCharType="separate"/>
        </w:r>
        <w:r>
          <w:rPr>
            <w:webHidden/>
          </w:rPr>
          <w:t>79</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7" w:history="1">
        <w:r w:rsidRPr="00007B1E">
          <w:rPr>
            <w:rStyle w:val="Hyperlink"/>
            <w:rFonts w:asciiTheme="minorEastAsia" w:hAnsiTheme="minorEastAsia" w:hint="eastAsia"/>
          </w:rPr>
          <w:t>二十、基金合同的变更、终止与基金财产的清算</w:t>
        </w:r>
        <w:r>
          <w:rPr>
            <w:webHidden/>
          </w:rPr>
          <w:tab/>
        </w:r>
        <w:r>
          <w:rPr>
            <w:webHidden/>
          </w:rPr>
          <w:fldChar w:fldCharType="begin"/>
        </w:r>
        <w:r>
          <w:rPr>
            <w:webHidden/>
          </w:rPr>
          <w:instrText xml:space="preserve"> PAGEREF _Toc103006347 \h </w:instrText>
        </w:r>
        <w:r>
          <w:rPr>
            <w:webHidden/>
          </w:rPr>
          <w:fldChar w:fldCharType="separate"/>
        </w:r>
        <w:r>
          <w:rPr>
            <w:webHidden/>
          </w:rPr>
          <w:t>84</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8" w:history="1">
        <w:r w:rsidRPr="00007B1E">
          <w:rPr>
            <w:rStyle w:val="Hyperlink"/>
            <w:rFonts w:asciiTheme="minorEastAsia" w:hAnsiTheme="minorEastAsia" w:hint="eastAsia"/>
          </w:rPr>
          <w:t>二十一、基金合同摘要</w:t>
        </w:r>
        <w:r>
          <w:rPr>
            <w:webHidden/>
          </w:rPr>
          <w:tab/>
        </w:r>
        <w:r>
          <w:rPr>
            <w:webHidden/>
          </w:rPr>
          <w:fldChar w:fldCharType="begin"/>
        </w:r>
        <w:r>
          <w:rPr>
            <w:webHidden/>
          </w:rPr>
          <w:instrText xml:space="preserve"> PAGEREF _Toc103006348 \h </w:instrText>
        </w:r>
        <w:r>
          <w:rPr>
            <w:webHidden/>
          </w:rPr>
          <w:fldChar w:fldCharType="separate"/>
        </w:r>
        <w:r>
          <w:rPr>
            <w:webHidden/>
          </w:rPr>
          <w:t>86</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49" w:history="1">
        <w:r w:rsidRPr="00007B1E">
          <w:rPr>
            <w:rStyle w:val="Hyperlink"/>
            <w:rFonts w:asciiTheme="minorEastAsia" w:hAnsiTheme="minorEastAsia" w:hint="eastAsia"/>
          </w:rPr>
          <w:t>二十二、基金托管协议摘要</w:t>
        </w:r>
        <w:r>
          <w:rPr>
            <w:webHidden/>
          </w:rPr>
          <w:tab/>
        </w:r>
        <w:r>
          <w:rPr>
            <w:webHidden/>
          </w:rPr>
          <w:fldChar w:fldCharType="begin"/>
        </w:r>
        <w:r>
          <w:rPr>
            <w:webHidden/>
          </w:rPr>
          <w:instrText xml:space="preserve"> PAGEREF _Toc103006349 \h </w:instrText>
        </w:r>
        <w:r>
          <w:rPr>
            <w:webHidden/>
          </w:rPr>
          <w:fldChar w:fldCharType="separate"/>
        </w:r>
        <w:r>
          <w:rPr>
            <w:webHidden/>
          </w:rPr>
          <w:t>107</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50" w:history="1">
        <w:r w:rsidRPr="00007B1E">
          <w:rPr>
            <w:rStyle w:val="Hyperlink"/>
            <w:rFonts w:asciiTheme="minorEastAsia" w:hAnsiTheme="minorEastAsia" w:hint="eastAsia"/>
          </w:rPr>
          <w:t>二十三、对基金份额持有人的服务</w:t>
        </w:r>
        <w:r>
          <w:rPr>
            <w:webHidden/>
          </w:rPr>
          <w:tab/>
        </w:r>
        <w:r>
          <w:rPr>
            <w:webHidden/>
          </w:rPr>
          <w:fldChar w:fldCharType="begin"/>
        </w:r>
        <w:r>
          <w:rPr>
            <w:webHidden/>
          </w:rPr>
          <w:instrText xml:space="preserve"> PAGEREF _Toc103006350 \h </w:instrText>
        </w:r>
        <w:r>
          <w:rPr>
            <w:webHidden/>
          </w:rPr>
          <w:fldChar w:fldCharType="separate"/>
        </w:r>
        <w:r>
          <w:rPr>
            <w:webHidden/>
          </w:rPr>
          <w:t>125</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51" w:history="1">
        <w:r w:rsidRPr="00007B1E">
          <w:rPr>
            <w:rStyle w:val="Hyperlink"/>
            <w:rFonts w:asciiTheme="minorEastAsia" w:hAnsiTheme="minorEastAsia" w:hint="eastAsia"/>
          </w:rPr>
          <w:t>二十四、其他应披露事项</w:t>
        </w:r>
        <w:r>
          <w:rPr>
            <w:webHidden/>
          </w:rPr>
          <w:tab/>
        </w:r>
        <w:r>
          <w:rPr>
            <w:webHidden/>
          </w:rPr>
          <w:fldChar w:fldCharType="begin"/>
        </w:r>
        <w:r>
          <w:rPr>
            <w:webHidden/>
          </w:rPr>
          <w:instrText xml:space="preserve"> PAGEREF _Toc103006351 \h </w:instrText>
        </w:r>
        <w:r>
          <w:rPr>
            <w:webHidden/>
          </w:rPr>
          <w:fldChar w:fldCharType="separate"/>
        </w:r>
        <w:r>
          <w:rPr>
            <w:webHidden/>
          </w:rPr>
          <w:t>127</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52" w:history="1">
        <w:r w:rsidRPr="00007B1E">
          <w:rPr>
            <w:rStyle w:val="Hyperlink"/>
            <w:rFonts w:asciiTheme="minorEastAsia" w:hAnsiTheme="minorEastAsia" w:hint="eastAsia"/>
          </w:rPr>
          <w:t>二十五、招募说明书的存放及查阅方式</w:t>
        </w:r>
        <w:r>
          <w:rPr>
            <w:webHidden/>
          </w:rPr>
          <w:tab/>
        </w:r>
        <w:r>
          <w:rPr>
            <w:webHidden/>
          </w:rPr>
          <w:fldChar w:fldCharType="begin"/>
        </w:r>
        <w:r>
          <w:rPr>
            <w:webHidden/>
          </w:rPr>
          <w:instrText xml:space="preserve"> PAGEREF _Toc103006352 \h </w:instrText>
        </w:r>
        <w:r>
          <w:rPr>
            <w:webHidden/>
          </w:rPr>
          <w:fldChar w:fldCharType="separate"/>
        </w:r>
        <w:r>
          <w:rPr>
            <w:webHidden/>
          </w:rPr>
          <w:t>128</w:t>
        </w:r>
        <w:r>
          <w:rPr>
            <w:webHidden/>
          </w:rPr>
          <w:fldChar w:fldCharType="end"/>
        </w:r>
      </w:hyperlink>
    </w:p>
    <w:p w:rsidR="00F70FB9">
      <w:pPr>
        <w:pStyle w:val="TOC1"/>
        <w:rPr>
          <w:rFonts w:asciiTheme="minorHAnsi" w:eastAsiaTheme="minorEastAsia" w:hAnsiTheme="minorHAnsi" w:cstheme="minorBidi"/>
          <w:caps w:val="0"/>
          <w:color w:val="auto"/>
          <w:sz w:val="21"/>
          <w:szCs w:val="22"/>
        </w:rPr>
      </w:pPr>
      <w:hyperlink w:anchor="_Toc103006353" w:history="1">
        <w:r w:rsidRPr="00007B1E">
          <w:rPr>
            <w:rStyle w:val="Hyperlink"/>
            <w:rFonts w:asciiTheme="minorEastAsia" w:hAnsiTheme="minorEastAsia" w:hint="eastAsia"/>
          </w:rPr>
          <w:t>二十六、备查文件</w:t>
        </w:r>
        <w:r>
          <w:rPr>
            <w:webHidden/>
          </w:rPr>
          <w:tab/>
        </w:r>
        <w:r>
          <w:rPr>
            <w:webHidden/>
          </w:rPr>
          <w:fldChar w:fldCharType="begin"/>
        </w:r>
        <w:r>
          <w:rPr>
            <w:webHidden/>
          </w:rPr>
          <w:instrText xml:space="preserve"> PAGEREF _Toc103006353 \h </w:instrText>
        </w:r>
        <w:r>
          <w:rPr>
            <w:webHidden/>
          </w:rPr>
          <w:fldChar w:fldCharType="separate"/>
        </w:r>
        <w:r>
          <w:rPr>
            <w:webHidden/>
          </w:rPr>
          <w:t>129</w:t>
        </w:r>
        <w:r>
          <w:rPr>
            <w:webHidden/>
          </w:rPr>
          <w:fldChar w:fldCharType="end"/>
        </w:r>
      </w:hyperlink>
    </w:p>
    <w:p w:rsidR="00BA4B87" w:rsidRPr="00F70FB9" w:rsidP="007025AF">
      <w:pPr>
        <w:jc w:val="center"/>
        <w:rPr>
          <w:rFonts w:asciiTheme="minorEastAsia" w:eastAsiaTheme="minorEastAsia" w:hAnsiTheme="minorEastAsia"/>
          <w:b/>
          <w:caps/>
          <w:noProof/>
          <w:color w:val="000000" w:themeColor="text1"/>
          <w:sz w:val="24"/>
          <w:szCs w:val="28"/>
        </w:rPr>
      </w:pPr>
      <w:r w:rsidRPr="00F70FB9">
        <w:rPr>
          <w:rFonts w:asciiTheme="minorEastAsia" w:eastAsiaTheme="minorEastAsia" w:hAnsiTheme="minorEastAsia"/>
          <w:b/>
          <w:caps/>
          <w:noProof/>
          <w:color w:val="000000" w:themeColor="text1"/>
          <w:szCs w:val="21"/>
        </w:rPr>
        <w:fldChar w:fldCharType="end"/>
      </w:r>
    </w:p>
    <w:p w:rsidR="00AE70B8" w:rsidRPr="00F70FB9" w:rsidP="007025AF">
      <w:pPr>
        <w:jc w:val="center"/>
        <w:rPr>
          <w:rFonts w:asciiTheme="minorEastAsia" w:eastAsiaTheme="minorEastAsia" w:hAnsiTheme="minorEastAsia"/>
          <w:b/>
          <w:caps/>
          <w:noProof/>
          <w:color w:val="000000" w:themeColor="text1"/>
          <w:sz w:val="24"/>
          <w:szCs w:val="28"/>
        </w:rPr>
        <w:sectPr w:rsidSect="00D01390">
          <w:footerReference w:type="default" r:id="rId11"/>
          <w:pgSz w:w="11906" w:h="16838" w:code="9"/>
          <w:pgMar w:top="1440" w:right="1800" w:bottom="1440" w:left="1800" w:header="851" w:footer="992" w:gutter="0"/>
          <w:pgNumType w:fmt="upperRoman" w:start="1"/>
          <w:cols w:space="720"/>
          <w:docGrid w:type="lines" w:linePitch="317"/>
        </w:sectPr>
      </w:pPr>
    </w:p>
    <w:p w:rsidR="00BA4B87" w:rsidRPr="00F70FB9" w:rsidP="000C7B46">
      <w:pPr>
        <w:pStyle w:val="1"/>
        <w:spacing w:before="317" w:after="317" w:line="320" w:lineRule="exact"/>
        <w:ind w:firstLine="600"/>
        <w:rPr>
          <w:rFonts w:asciiTheme="minorEastAsia" w:eastAsiaTheme="minorEastAsia" w:hAnsiTheme="minorEastAsia"/>
          <w:b w:val="0"/>
          <w:color w:val="000000" w:themeColor="text1"/>
          <w:sz w:val="30"/>
          <w:szCs w:val="30"/>
        </w:rPr>
      </w:pPr>
      <w:bookmarkStart w:id="1" w:name="_Toc332373444"/>
      <w:bookmarkStart w:id="2" w:name="_Toc103006328"/>
      <w:r w:rsidRPr="00F70FB9">
        <w:rPr>
          <w:rFonts w:asciiTheme="minorEastAsia" w:eastAsiaTheme="minorEastAsia" w:hAnsiTheme="minorEastAsia" w:hint="eastAsia"/>
          <w:b w:val="0"/>
          <w:color w:val="000000" w:themeColor="text1"/>
          <w:sz w:val="30"/>
          <w:szCs w:val="30"/>
        </w:rPr>
        <w:t>一、绪言</w:t>
      </w:r>
      <w:bookmarkEnd w:id="1"/>
      <w:bookmarkEnd w:id="2"/>
    </w:p>
    <w:p w:rsidR="00BA4B87" w:rsidRPr="00F70FB9" w:rsidP="001D2FA9">
      <w:pPr>
        <w:autoSpaceDE w:val="0"/>
        <w:autoSpaceDN w:val="0"/>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本招募说明书依据《中华人民共和国证券投资基金法》</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以下简称《基金法》</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w:t>
      </w:r>
      <w:r w:rsidRPr="00F70FB9" w:rsidR="00683327">
        <w:rPr>
          <w:rFonts w:asciiTheme="minorEastAsia" w:eastAsiaTheme="minorEastAsia" w:hAnsiTheme="minorEastAsia" w:hint="eastAsia"/>
          <w:color w:val="000000" w:themeColor="text1"/>
        </w:rPr>
        <w:t>公开募集</w:t>
      </w:r>
      <w:r w:rsidRPr="00F70FB9">
        <w:rPr>
          <w:rFonts w:asciiTheme="minorEastAsia" w:eastAsiaTheme="minorEastAsia" w:hAnsiTheme="minorEastAsia" w:hint="eastAsia"/>
          <w:color w:val="000000" w:themeColor="text1"/>
        </w:rPr>
        <w:t>证券投资基金运作管理办法》</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以下简称《运作办法》</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、《证券投资基金销售管理办法》</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以下简称《销售办法》</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w:t>
      </w:r>
      <w:r w:rsidRPr="00F70FB9" w:rsidR="00CD557D">
        <w:rPr>
          <w:rFonts w:asciiTheme="minorEastAsia" w:eastAsiaTheme="minorEastAsia" w:hAnsiTheme="minorEastAsia" w:hint="eastAsia"/>
          <w:bCs/>
          <w:color w:val="000000" w:themeColor="text1"/>
        </w:rPr>
        <w:t>公开募集</w:t>
      </w:r>
      <w:r w:rsidRPr="00F70FB9">
        <w:rPr>
          <w:rFonts w:asciiTheme="minorEastAsia" w:eastAsiaTheme="minorEastAsia" w:hAnsiTheme="minorEastAsia" w:hint="eastAsia"/>
          <w:color w:val="000000" w:themeColor="text1"/>
        </w:rPr>
        <w:t>证券投资基金信息披露管理办法》</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以下简称《信息披露办法》</w:t>
      </w:r>
      <w:r w:rsidRPr="00F70FB9" w:rsidR="002E1C38">
        <w:rPr>
          <w:rFonts w:asciiTheme="minorEastAsia" w:eastAsiaTheme="minorEastAsia" w:hAnsiTheme="minorEastAsia" w:hint="eastAsia"/>
          <w:color w:val="000000" w:themeColor="text1"/>
        </w:rPr>
        <w:t>）</w:t>
      </w:r>
      <w:r w:rsidRPr="00F70FB9" w:rsidR="00AC4E9A">
        <w:rPr>
          <w:rFonts w:asciiTheme="minorEastAsia" w:eastAsiaTheme="minorEastAsia" w:hAnsiTheme="minorEastAsia" w:hint="eastAsia"/>
          <w:color w:val="000000" w:themeColor="text1"/>
        </w:rPr>
        <w:t>、《公开募集开放式证券投资基金流动性风险管理规定》（以下简称《管理规定》）</w:t>
      </w:r>
      <w:r w:rsidRPr="00F70FB9">
        <w:rPr>
          <w:rFonts w:asciiTheme="minorEastAsia" w:eastAsiaTheme="minorEastAsia" w:hAnsiTheme="minorEastAsia" w:hint="eastAsia"/>
          <w:color w:val="000000" w:themeColor="text1"/>
        </w:rPr>
        <w:t>、《证券投资基金信息披露内容与格式准则第5号&lt;招募说明书的内容与格式&gt;》、《</w:t>
      </w:r>
      <w:r w:rsidRPr="00F70FB9" w:rsidR="00251062">
        <w:rPr>
          <w:rFonts w:asciiTheme="minorEastAsia" w:eastAsiaTheme="minorEastAsia" w:hAnsiTheme="minorEastAsia" w:hint="eastAsia"/>
          <w:color w:val="000000" w:themeColor="text1"/>
        </w:rPr>
        <w:t>易方达</w:t>
      </w:r>
      <w:r w:rsidRPr="00F70FB9" w:rsidR="00D61B9E">
        <w:rPr>
          <w:rFonts w:asciiTheme="minorEastAsia" w:eastAsiaTheme="minorEastAsia" w:hAnsiTheme="minorEastAsia" w:hint="eastAsia"/>
          <w:color w:val="000000" w:themeColor="text1"/>
        </w:rPr>
        <w:t>瑞程</w:t>
      </w:r>
      <w:r w:rsidRPr="00F70FB9" w:rsidR="00251062">
        <w:rPr>
          <w:rFonts w:asciiTheme="minorEastAsia" w:eastAsiaTheme="minorEastAsia" w:hAnsiTheme="minorEastAsia" w:hint="eastAsia"/>
          <w:color w:val="000000" w:themeColor="text1"/>
        </w:rPr>
        <w:t>灵活配置混合型证券</w:t>
      </w:r>
      <w:r w:rsidRPr="00F70FB9" w:rsidR="002221EE">
        <w:rPr>
          <w:rFonts w:asciiTheme="minorEastAsia" w:eastAsiaTheme="minorEastAsia" w:hAnsiTheme="minorEastAsia" w:hint="eastAsia"/>
          <w:color w:val="000000" w:themeColor="text1"/>
        </w:rPr>
        <w:t>投资基金</w:t>
      </w:r>
      <w:r w:rsidRPr="00F70FB9">
        <w:rPr>
          <w:rFonts w:asciiTheme="minorEastAsia" w:eastAsiaTheme="minorEastAsia" w:hAnsiTheme="minorEastAsia" w:hint="eastAsia"/>
          <w:color w:val="000000" w:themeColor="text1"/>
        </w:rPr>
        <w:t>基金合同》</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以下简称基金合同</w:t>
      </w:r>
      <w:r w:rsidRPr="00F70FB9" w:rsidR="002E1C38">
        <w:rPr>
          <w:rFonts w:asciiTheme="minorEastAsia" w:eastAsiaTheme="minorEastAsia" w:hAnsiTheme="minorEastAsia" w:hint="eastAsia"/>
          <w:color w:val="000000" w:themeColor="text1"/>
        </w:rPr>
        <w:t>）</w:t>
      </w:r>
      <w:r w:rsidRPr="00F70FB9">
        <w:rPr>
          <w:rFonts w:asciiTheme="minorEastAsia" w:eastAsiaTheme="minorEastAsia" w:hAnsiTheme="minorEastAsia" w:hint="eastAsia"/>
          <w:color w:val="000000" w:themeColor="text1"/>
        </w:rPr>
        <w:t>及其它有关规定等编写。</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本招募说明书根据本基金的基金合同编写，并经中国证监会</w:t>
      </w:r>
      <w:r w:rsidRPr="00F70FB9" w:rsidR="006F3D9F">
        <w:rPr>
          <w:rStyle w:val="da"/>
          <w:rFonts w:asciiTheme="minorEastAsia" w:eastAsiaTheme="minorEastAsia" w:hAnsiTheme="minorEastAsia" w:hint="eastAsia"/>
          <w:color w:val="000000" w:themeColor="text1"/>
        </w:rPr>
        <w:t>注册</w:t>
      </w:r>
      <w:r w:rsidRPr="00F70FB9">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7025AF">
      <w:pPr>
        <w:spacing w:line="320" w:lineRule="exact"/>
        <w:rPr>
          <w:rFonts w:asciiTheme="minorEastAsia" w:eastAsiaTheme="minorEastAsia" w:hAnsiTheme="minorEastAsia"/>
          <w:color w:val="000000" w:themeColor="text1"/>
        </w:rPr>
      </w:pPr>
    </w:p>
    <w:p w:rsidR="00BA4B87" w:rsidRPr="00F70FB9" w:rsidP="001D2FA9">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3" w:name="_Toc332373445"/>
      <w:bookmarkStart w:id="4" w:name="_Toc103006329"/>
      <w:r w:rsidRPr="00F70FB9">
        <w:rPr>
          <w:rFonts w:asciiTheme="minorEastAsia" w:eastAsiaTheme="minorEastAsia" w:hAnsiTheme="minorEastAsia" w:hint="eastAsia"/>
          <w:color w:val="000000" w:themeColor="text1"/>
          <w:sz w:val="30"/>
        </w:rPr>
        <w:t>二、释义</w:t>
      </w:r>
      <w:bookmarkEnd w:id="3"/>
      <w:bookmarkEnd w:id="4"/>
    </w:p>
    <w:p w:rsidR="00BA4B87" w:rsidRPr="00F70FB9" w:rsidP="001D2FA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本招募说明书中除非文意另有所指，下列词语有如下含义：</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1、基金或本基金：指易方达</w:t>
      </w:r>
      <w:r w:rsidRPr="00F70FB9" w:rsidR="00D61B9E">
        <w:rPr>
          <w:rStyle w:val="da"/>
          <w:rFonts w:asciiTheme="minorEastAsia" w:eastAsiaTheme="minorEastAsia" w:hAnsiTheme="minorEastAsia" w:hint="eastAsia"/>
          <w:color w:val="000000" w:themeColor="text1"/>
        </w:rPr>
        <w:t>瑞程</w:t>
      </w:r>
      <w:r w:rsidRPr="00F70FB9">
        <w:rPr>
          <w:rStyle w:val="da"/>
          <w:rFonts w:asciiTheme="minorEastAsia" w:eastAsiaTheme="minorEastAsia" w:hAnsiTheme="minorEastAsia" w:hint="eastAsia"/>
          <w:color w:val="000000" w:themeColor="text1"/>
        </w:rPr>
        <w:t>灵活配置混合型证券投资基金</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2、基金管理人：指易方达基金管理有限公司</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3、基金托管人：指上海浦东发展银行股份有限公司</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4、基金合同或本基金合同：指《易方达</w:t>
      </w:r>
      <w:r w:rsidRPr="00F70FB9" w:rsidR="00D61B9E">
        <w:rPr>
          <w:rStyle w:val="da"/>
          <w:rFonts w:asciiTheme="minorEastAsia" w:eastAsiaTheme="minorEastAsia" w:hAnsiTheme="minorEastAsia" w:hint="eastAsia"/>
          <w:color w:val="000000" w:themeColor="text1"/>
        </w:rPr>
        <w:t>瑞程</w:t>
      </w:r>
      <w:r w:rsidRPr="00F70FB9">
        <w:rPr>
          <w:rStyle w:val="da"/>
          <w:rFonts w:asciiTheme="minorEastAsia" w:eastAsiaTheme="minorEastAsia" w:hAnsiTheme="minorEastAsia" w:hint="eastAsia"/>
          <w:color w:val="000000" w:themeColor="text1"/>
        </w:rPr>
        <w:t>灵活配置混合型证券投资基金基金合同》及对基金合同的任何有效修订和补充</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5、托管协议：指基金管理人与基金托管人就本基金签订之《易方达</w:t>
      </w:r>
      <w:r w:rsidRPr="00F70FB9" w:rsidR="00D61B9E">
        <w:rPr>
          <w:rStyle w:val="da"/>
          <w:rFonts w:asciiTheme="minorEastAsia" w:eastAsiaTheme="minorEastAsia" w:hAnsiTheme="minorEastAsia" w:hint="eastAsia"/>
          <w:color w:val="000000" w:themeColor="text1"/>
        </w:rPr>
        <w:t>瑞程</w:t>
      </w:r>
      <w:r w:rsidRPr="00F70FB9">
        <w:rPr>
          <w:rStyle w:val="da"/>
          <w:rFonts w:asciiTheme="minorEastAsia" w:eastAsiaTheme="minorEastAsia" w:hAnsiTheme="minorEastAsia" w:hint="eastAsia"/>
          <w:color w:val="000000" w:themeColor="text1"/>
        </w:rPr>
        <w:t>灵活配置混合型证券投资基金托管协议》及对该托管协议的任何有效修订和补充</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6、招募说明书：指《易方达</w:t>
      </w:r>
      <w:r w:rsidRPr="00F70FB9" w:rsidR="00D61B9E">
        <w:rPr>
          <w:rStyle w:val="da"/>
          <w:rFonts w:asciiTheme="minorEastAsia" w:eastAsiaTheme="minorEastAsia" w:hAnsiTheme="minorEastAsia" w:hint="eastAsia"/>
          <w:color w:val="000000" w:themeColor="text1"/>
        </w:rPr>
        <w:t>瑞程</w:t>
      </w:r>
      <w:r w:rsidRPr="00F70FB9">
        <w:rPr>
          <w:rStyle w:val="da"/>
          <w:rFonts w:asciiTheme="minorEastAsia" w:eastAsiaTheme="minorEastAsia" w:hAnsiTheme="minorEastAsia" w:hint="eastAsia"/>
          <w:color w:val="000000" w:themeColor="text1"/>
        </w:rPr>
        <w:t>灵活配置混合型证券投资基金招募说明书》及其更新</w:t>
      </w:r>
    </w:p>
    <w:p w:rsidR="00550992" w:rsidRPr="00F70FB9">
      <w:pPr>
        <w:spacing w:line="360" w:lineRule="auto"/>
        <w:ind w:firstLine="420" w:firstLineChars="200"/>
        <w:rPr>
          <w:rFonts w:asciiTheme="minorEastAsia" w:eastAsiaTheme="minorEastAsia" w:hAnsiTheme="minorEastAsia"/>
          <w:bCs/>
          <w:color w:val="000000" w:themeColor="text1"/>
        </w:rPr>
      </w:pPr>
      <w:r w:rsidRPr="00F70FB9">
        <w:rPr>
          <w:rFonts w:asciiTheme="minorEastAsia" w:eastAsiaTheme="minorEastAsia" w:hAnsiTheme="minorEastAsia" w:hint="eastAsia"/>
          <w:bCs/>
          <w:color w:val="000000" w:themeColor="text1"/>
        </w:rPr>
        <w:t>7</w:t>
      </w:r>
      <w:r w:rsidRPr="00F70FB9">
        <w:rPr>
          <w:rFonts w:asciiTheme="minorEastAsia" w:eastAsiaTheme="minorEastAsia" w:hAnsiTheme="minorEastAsia"/>
          <w:bCs/>
          <w:color w:val="000000" w:themeColor="text1"/>
        </w:rPr>
        <w:t>、</w:t>
      </w:r>
      <w:r w:rsidRPr="00F70FB9">
        <w:rPr>
          <w:rFonts w:asciiTheme="minorEastAsia" w:eastAsiaTheme="minorEastAsia" w:hAnsiTheme="minorEastAsia" w:hint="eastAsia"/>
          <w:bCs/>
          <w:color w:val="000000" w:themeColor="text1"/>
        </w:rPr>
        <w:t>基金产品</w:t>
      </w:r>
      <w:r w:rsidRPr="00F70FB9">
        <w:rPr>
          <w:rFonts w:asciiTheme="minorEastAsia" w:eastAsiaTheme="minorEastAsia" w:hAnsiTheme="minorEastAsia"/>
          <w:bCs/>
          <w:color w:val="000000" w:themeColor="text1"/>
        </w:rPr>
        <w:t>资料概要：指</w:t>
      </w:r>
      <w:r w:rsidRPr="00F70FB9">
        <w:rPr>
          <w:rFonts w:asciiTheme="minorEastAsia" w:eastAsiaTheme="minorEastAsia" w:hAnsiTheme="minorEastAsia" w:hint="eastAsia"/>
          <w:bCs/>
          <w:color w:val="000000" w:themeColor="text1"/>
        </w:rPr>
        <w:t>《易方达瑞程灵活配置混合型证券投资基金</w:t>
      </w:r>
      <w:r w:rsidRPr="00F70FB9">
        <w:rPr>
          <w:rFonts w:asciiTheme="minorEastAsia" w:eastAsiaTheme="minorEastAsia" w:hAnsiTheme="minorEastAsia"/>
          <w:bCs/>
          <w:color w:val="000000" w:themeColor="text1"/>
        </w:rPr>
        <w:t>产品资料概要》</w:t>
      </w:r>
      <w:r w:rsidRPr="00F70FB9">
        <w:rPr>
          <w:rFonts w:asciiTheme="minorEastAsia" w:eastAsiaTheme="minorEastAsia" w:hAnsiTheme="minorEastAsia" w:hint="eastAsia"/>
          <w:bCs/>
          <w:color w:val="000000" w:themeColor="text1"/>
        </w:rPr>
        <w:t>及其</w:t>
      </w:r>
      <w:r w:rsidRPr="00F70FB9">
        <w:rPr>
          <w:rFonts w:asciiTheme="minorEastAsia" w:eastAsiaTheme="minorEastAsia" w:hAnsiTheme="minorEastAsia"/>
          <w:bCs/>
          <w:color w:val="000000" w:themeColor="text1"/>
        </w:rPr>
        <w:t>更新</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8、基金份额发售公告：指《易方达</w:t>
      </w:r>
      <w:r w:rsidRPr="00F70FB9" w:rsidR="00D61B9E">
        <w:rPr>
          <w:rStyle w:val="da"/>
          <w:rFonts w:asciiTheme="minorEastAsia" w:eastAsiaTheme="minorEastAsia" w:hAnsiTheme="minorEastAsia" w:hint="eastAsia"/>
          <w:color w:val="000000" w:themeColor="text1"/>
        </w:rPr>
        <w:t>瑞程</w:t>
      </w:r>
      <w:r w:rsidRPr="00F70FB9">
        <w:rPr>
          <w:rStyle w:val="da"/>
          <w:rFonts w:asciiTheme="minorEastAsia" w:eastAsiaTheme="minorEastAsia" w:hAnsiTheme="minorEastAsia" w:hint="eastAsia"/>
          <w:color w:val="000000" w:themeColor="text1"/>
        </w:rPr>
        <w:t>灵活配置混合型证券投资基金基金份额发售公告》</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9、法律法规：指中国现行有效并公布实施的法律、行政法规、规范性文件、司法解释、行政规章以及其他对基金合同当事人有约束力的决定、决议、通知等</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10、《基金法》：指2012年12月28日经第十一届全国人民代表大会常务委员会第三十次会议通过，自2013年6月1日起实施的《中华人民共和国证券投资基金法》及颁布机关对其不时做出的修订</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w:t>
      </w:r>
      <w:r w:rsidRPr="00F70FB9" w:rsidR="00550992">
        <w:rPr>
          <w:rStyle w:val="da"/>
          <w:rFonts w:asciiTheme="minorEastAsia" w:eastAsiaTheme="minorEastAsia" w:hAnsiTheme="minorEastAsia" w:hint="eastAsia"/>
          <w:color w:val="000000" w:themeColor="text1"/>
        </w:rPr>
        <w:t>1</w:t>
      </w:r>
      <w:r w:rsidRPr="00F70FB9">
        <w:rPr>
          <w:rStyle w:val="da"/>
          <w:rFonts w:asciiTheme="minorEastAsia" w:eastAsiaTheme="minorEastAsia" w:hAnsiTheme="minorEastAsia" w:hint="eastAsia"/>
          <w:color w:val="000000" w:themeColor="text1"/>
        </w:rPr>
        <w:t>、《销售办法》：指中国证监会2013年3月15日颁布、同年6月1日实施的《证券投资基金销售管理办法》及颁布机关对其不时做出的修订</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12、《信息披露办法》：</w:t>
      </w:r>
      <w:r w:rsidRPr="00F70FB9">
        <w:rPr>
          <w:rFonts w:asciiTheme="minorEastAsia" w:eastAsiaTheme="minorEastAsia" w:hAnsiTheme="minorEastAsia" w:hint="eastAsia"/>
          <w:bCs/>
          <w:color w:val="000000" w:themeColor="text1"/>
        </w:rPr>
        <w:t>指中国证监会</w:t>
      </w:r>
      <w:r w:rsidRPr="00F70FB9">
        <w:rPr>
          <w:rFonts w:asciiTheme="minorEastAsia" w:eastAsiaTheme="minorEastAsia" w:hAnsiTheme="minorEastAsia"/>
          <w:bCs/>
          <w:color w:val="000000" w:themeColor="text1"/>
        </w:rPr>
        <w:t>2019</w:t>
      </w:r>
      <w:r w:rsidRPr="00F70FB9">
        <w:rPr>
          <w:rFonts w:asciiTheme="minorEastAsia" w:eastAsiaTheme="minorEastAsia" w:hAnsiTheme="minorEastAsia" w:hint="eastAsia"/>
          <w:bCs/>
          <w:color w:val="000000" w:themeColor="text1"/>
        </w:rPr>
        <w:t>年</w:t>
      </w:r>
      <w:r w:rsidRPr="00F70FB9">
        <w:rPr>
          <w:rFonts w:asciiTheme="minorEastAsia" w:eastAsiaTheme="minorEastAsia" w:hAnsiTheme="minorEastAsia"/>
          <w:bCs/>
          <w:color w:val="000000" w:themeColor="text1"/>
        </w:rPr>
        <w:t>7</w:t>
      </w:r>
      <w:r w:rsidRPr="00F70FB9">
        <w:rPr>
          <w:rFonts w:asciiTheme="minorEastAsia" w:eastAsiaTheme="minorEastAsia" w:hAnsiTheme="minorEastAsia" w:hint="eastAsia"/>
          <w:bCs/>
          <w:color w:val="000000" w:themeColor="text1"/>
        </w:rPr>
        <w:t>月</w:t>
      </w:r>
      <w:r w:rsidRPr="00F70FB9">
        <w:rPr>
          <w:rFonts w:asciiTheme="minorEastAsia" w:eastAsiaTheme="minorEastAsia" w:hAnsiTheme="minorEastAsia"/>
          <w:bCs/>
          <w:color w:val="000000" w:themeColor="text1"/>
        </w:rPr>
        <w:t>26</w:t>
      </w:r>
      <w:r w:rsidRPr="00F70FB9">
        <w:rPr>
          <w:rFonts w:asciiTheme="minorEastAsia" w:eastAsiaTheme="minorEastAsia" w:hAnsiTheme="minorEastAsia" w:hint="eastAsia"/>
          <w:bCs/>
          <w:color w:val="000000" w:themeColor="text1"/>
        </w:rPr>
        <w:t>日颁布、同年</w:t>
      </w:r>
      <w:r w:rsidRPr="00F70FB9">
        <w:rPr>
          <w:rFonts w:asciiTheme="minorEastAsia" w:eastAsiaTheme="minorEastAsia" w:hAnsiTheme="minorEastAsia"/>
          <w:bCs/>
          <w:color w:val="000000" w:themeColor="text1"/>
        </w:rPr>
        <w:t>9</w:t>
      </w:r>
      <w:r w:rsidRPr="00F70FB9">
        <w:rPr>
          <w:rFonts w:asciiTheme="minorEastAsia" w:eastAsiaTheme="minorEastAsia" w:hAnsiTheme="minorEastAsia" w:hint="eastAsia"/>
          <w:bCs/>
          <w:color w:val="000000" w:themeColor="text1"/>
        </w:rPr>
        <w:t>月</w:t>
      </w:r>
      <w:r w:rsidRPr="00F70FB9">
        <w:rPr>
          <w:rFonts w:asciiTheme="minorEastAsia" w:eastAsiaTheme="minorEastAsia" w:hAnsiTheme="minorEastAsia"/>
          <w:bCs/>
          <w:color w:val="000000" w:themeColor="text1"/>
        </w:rPr>
        <w:t>1</w:t>
      </w:r>
      <w:r w:rsidRPr="00F70FB9">
        <w:rPr>
          <w:rFonts w:asciiTheme="minorEastAsia" w:eastAsiaTheme="minorEastAsia" w:hAnsiTheme="minorEastAsia" w:hint="eastAsia"/>
          <w:bCs/>
          <w:color w:val="000000" w:themeColor="text1"/>
        </w:rPr>
        <w:t>日实施的《公开募集证券投资基金信息披露管理办法》及颁布机关对其不时做出的修订</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w:t>
      </w:r>
      <w:r w:rsidRPr="00F70FB9" w:rsidR="00550992">
        <w:rPr>
          <w:rStyle w:val="da"/>
          <w:rFonts w:asciiTheme="minorEastAsia" w:eastAsiaTheme="minorEastAsia" w:hAnsiTheme="minorEastAsia" w:hint="eastAsia"/>
          <w:color w:val="000000" w:themeColor="text1"/>
        </w:rPr>
        <w:t>3</w:t>
      </w:r>
      <w:r w:rsidRPr="00F70FB9">
        <w:rPr>
          <w:rStyle w:val="da"/>
          <w:rFonts w:asciiTheme="minorEastAsia" w:eastAsiaTheme="minorEastAsia" w:hAnsiTheme="minorEastAsia" w:hint="eastAsia"/>
          <w:color w:val="000000" w:themeColor="text1"/>
        </w:rPr>
        <w:t>、《运作办法》：指中国证监会2014年7月7日颁布、同年8月8日实施的《公开募集证券投资基金运作管理办法》及颁布机关对其不时做出的修订</w:t>
      </w:r>
    </w:p>
    <w:p w:rsidR="00E83160"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1</w:t>
      </w:r>
      <w:r w:rsidRPr="00F70FB9" w:rsidR="00550992">
        <w:rPr>
          <w:rStyle w:val="da"/>
          <w:rFonts w:asciiTheme="minorEastAsia" w:eastAsiaTheme="minorEastAsia" w:hAnsiTheme="minorEastAsia" w:hint="eastAsia"/>
          <w:color w:val="000000" w:themeColor="text1"/>
        </w:rPr>
        <w:t>4</w:t>
      </w:r>
      <w:r w:rsidRPr="00F70FB9">
        <w:rPr>
          <w:rStyle w:val="da"/>
          <w:rFonts w:asciiTheme="minorEastAsia" w:eastAsiaTheme="minorEastAsia" w:hAnsiTheme="minorEastAsia" w:hint="eastAsia"/>
          <w:color w:val="000000" w:themeColor="text1"/>
        </w:rPr>
        <w:t>、《管理规定》：指中国证监会</w:t>
      </w:r>
      <w:r w:rsidRPr="00F70FB9">
        <w:rPr>
          <w:rStyle w:val="da"/>
          <w:rFonts w:asciiTheme="minorEastAsia" w:eastAsiaTheme="minorEastAsia" w:hAnsiTheme="minorEastAsia"/>
          <w:color w:val="000000" w:themeColor="text1"/>
        </w:rPr>
        <w:t>2017</w:t>
      </w:r>
      <w:r w:rsidRPr="00F70FB9">
        <w:rPr>
          <w:rStyle w:val="da"/>
          <w:rFonts w:asciiTheme="minorEastAsia" w:eastAsiaTheme="minorEastAsia" w:hAnsiTheme="minorEastAsia" w:hint="eastAsia"/>
          <w:color w:val="000000" w:themeColor="text1"/>
        </w:rPr>
        <w:t>年</w:t>
      </w:r>
      <w:r w:rsidRPr="00F70FB9">
        <w:rPr>
          <w:rStyle w:val="da"/>
          <w:rFonts w:asciiTheme="minorEastAsia" w:eastAsiaTheme="minorEastAsia" w:hAnsiTheme="minorEastAsia"/>
          <w:color w:val="000000" w:themeColor="text1"/>
        </w:rPr>
        <w:t>8</w:t>
      </w:r>
      <w:r w:rsidRPr="00F70FB9">
        <w:rPr>
          <w:rStyle w:val="da"/>
          <w:rFonts w:asciiTheme="minorEastAsia" w:eastAsiaTheme="minorEastAsia" w:hAnsiTheme="minorEastAsia" w:hint="eastAsia"/>
          <w:color w:val="000000" w:themeColor="text1"/>
        </w:rPr>
        <w:t>月</w:t>
      </w:r>
      <w:r w:rsidRPr="00F70FB9">
        <w:rPr>
          <w:rStyle w:val="da"/>
          <w:rFonts w:asciiTheme="minorEastAsia" w:eastAsiaTheme="minorEastAsia" w:hAnsiTheme="minorEastAsia"/>
          <w:color w:val="000000" w:themeColor="text1"/>
        </w:rPr>
        <w:t>31</w:t>
      </w:r>
      <w:r w:rsidRPr="00F70FB9">
        <w:rPr>
          <w:rStyle w:val="da"/>
          <w:rFonts w:asciiTheme="minorEastAsia" w:eastAsiaTheme="minorEastAsia" w:hAnsiTheme="minorEastAsia" w:hint="eastAsia"/>
          <w:color w:val="000000" w:themeColor="text1"/>
        </w:rPr>
        <w:t>日颁布、同年</w:t>
      </w:r>
      <w:r w:rsidRPr="00F70FB9">
        <w:rPr>
          <w:rStyle w:val="da"/>
          <w:rFonts w:asciiTheme="minorEastAsia" w:eastAsiaTheme="minorEastAsia" w:hAnsiTheme="minorEastAsia"/>
          <w:color w:val="000000" w:themeColor="text1"/>
        </w:rPr>
        <w:t>10</w:t>
      </w:r>
      <w:r w:rsidRPr="00F70FB9">
        <w:rPr>
          <w:rStyle w:val="da"/>
          <w:rFonts w:asciiTheme="minorEastAsia" w:eastAsiaTheme="minorEastAsia" w:hAnsiTheme="minorEastAsia" w:hint="eastAsia"/>
          <w:color w:val="000000" w:themeColor="text1"/>
        </w:rPr>
        <w:t>月</w:t>
      </w:r>
      <w:r w:rsidRPr="00F70FB9">
        <w:rPr>
          <w:rStyle w:val="da"/>
          <w:rFonts w:asciiTheme="minorEastAsia" w:eastAsiaTheme="minorEastAsia" w:hAnsiTheme="minorEastAsia"/>
          <w:color w:val="000000" w:themeColor="text1"/>
        </w:rPr>
        <w:t>1</w:t>
      </w:r>
      <w:r w:rsidRPr="00F70FB9">
        <w:rPr>
          <w:rStyle w:val="da"/>
          <w:rFonts w:asciiTheme="minorEastAsia" w:eastAsiaTheme="minorEastAsia" w:hAnsiTheme="minorEastAsia" w:hint="eastAsia"/>
          <w:color w:val="000000" w:themeColor="text1"/>
        </w:rPr>
        <w:t>日实施的《公开募集开放式证券投资基金流动性风险管理规定》及颁布机关对其不时做出的修订</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w:t>
      </w:r>
      <w:r w:rsidRPr="00F70FB9" w:rsidR="00550992">
        <w:rPr>
          <w:rStyle w:val="da"/>
          <w:rFonts w:asciiTheme="minorEastAsia" w:eastAsiaTheme="minorEastAsia" w:hAnsiTheme="minorEastAsia" w:hint="eastAsia"/>
          <w:color w:val="000000" w:themeColor="text1"/>
        </w:rPr>
        <w:t>5</w:t>
      </w:r>
      <w:r w:rsidRPr="00F70FB9">
        <w:rPr>
          <w:rStyle w:val="da"/>
          <w:rFonts w:asciiTheme="minorEastAsia" w:eastAsiaTheme="minorEastAsia" w:hAnsiTheme="minorEastAsia" w:hint="eastAsia"/>
          <w:color w:val="000000" w:themeColor="text1"/>
        </w:rPr>
        <w:t>、中国证监会：指中国证券监督管理委员会</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w:t>
      </w:r>
      <w:r w:rsidRPr="00F70FB9" w:rsidR="00550992">
        <w:rPr>
          <w:rStyle w:val="da"/>
          <w:rFonts w:asciiTheme="minorEastAsia" w:eastAsiaTheme="minorEastAsia" w:hAnsiTheme="minorEastAsia" w:hint="eastAsia"/>
          <w:color w:val="000000" w:themeColor="text1"/>
        </w:rPr>
        <w:t>6</w:t>
      </w:r>
      <w:r w:rsidRPr="00F70FB9">
        <w:rPr>
          <w:rStyle w:val="da"/>
          <w:rFonts w:asciiTheme="minorEastAsia" w:eastAsiaTheme="minorEastAsia" w:hAnsiTheme="minorEastAsia" w:hint="eastAsia"/>
          <w:color w:val="000000" w:themeColor="text1"/>
        </w:rPr>
        <w:t>、银行业监督管理机构：指中国人民银行和/或</w:t>
      </w:r>
      <w:r w:rsidRPr="00F70FB9" w:rsidR="00D6642E">
        <w:rPr>
          <w:rStyle w:val="da"/>
          <w:rFonts w:asciiTheme="minorEastAsia" w:eastAsiaTheme="minorEastAsia" w:hAnsiTheme="minorEastAsia" w:hint="eastAsia"/>
          <w:color w:val="000000" w:themeColor="text1"/>
        </w:rPr>
        <w:t>中国银行保险监督管理委员会</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w:t>
      </w:r>
      <w:r w:rsidRPr="00F70FB9" w:rsidR="00550992">
        <w:rPr>
          <w:rStyle w:val="da"/>
          <w:rFonts w:asciiTheme="minorEastAsia" w:eastAsiaTheme="minorEastAsia" w:hAnsiTheme="minorEastAsia" w:hint="eastAsia"/>
          <w:color w:val="000000" w:themeColor="text1"/>
        </w:rPr>
        <w:t>7</w:t>
      </w:r>
      <w:r w:rsidRPr="00F70FB9">
        <w:rPr>
          <w:rStyle w:val="da"/>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w:t>
      </w:r>
      <w:r w:rsidRPr="00F70FB9" w:rsidR="00550992">
        <w:rPr>
          <w:rStyle w:val="da"/>
          <w:rFonts w:asciiTheme="minorEastAsia" w:eastAsiaTheme="minorEastAsia" w:hAnsiTheme="minorEastAsia" w:hint="eastAsia"/>
          <w:color w:val="000000" w:themeColor="text1"/>
        </w:rPr>
        <w:t>8</w:t>
      </w:r>
      <w:r w:rsidRPr="00F70FB9">
        <w:rPr>
          <w:rStyle w:val="da"/>
          <w:rFonts w:asciiTheme="minorEastAsia" w:eastAsiaTheme="minorEastAsia" w:hAnsiTheme="minorEastAsia" w:hint="eastAsia"/>
          <w:color w:val="000000" w:themeColor="text1"/>
        </w:rPr>
        <w:t>、个人投资者：指依据有关法律法规规定可投资于证券投资基金的自然人</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w:t>
      </w:r>
      <w:r w:rsidRPr="00F70FB9" w:rsidR="00550992">
        <w:rPr>
          <w:rStyle w:val="da"/>
          <w:rFonts w:asciiTheme="minorEastAsia" w:eastAsiaTheme="minorEastAsia" w:hAnsiTheme="minorEastAsia" w:hint="eastAsia"/>
          <w:color w:val="000000" w:themeColor="text1"/>
        </w:rPr>
        <w:t>9</w:t>
      </w:r>
      <w:r w:rsidRPr="00F70FB9">
        <w:rPr>
          <w:rStyle w:val="da"/>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20、合格境外机构投资者：指符合相关法律法规规定可以投资于在中国境内依法募集的证券投资基金的中国境外的机构投资者</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2</w:t>
      </w:r>
      <w:r w:rsidRPr="00F70FB9" w:rsidR="00550992">
        <w:rPr>
          <w:rStyle w:val="da"/>
          <w:rFonts w:asciiTheme="minorEastAsia" w:eastAsiaTheme="minorEastAsia" w:hAnsiTheme="minorEastAsia" w:hint="eastAsia"/>
          <w:color w:val="000000" w:themeColor="text1"/>
        </w:rPr>
        <w:t>1</w:t>
      </w:r>
      <w:r w:rsidRPr="00F70FB9">
        <w:rPr>
          <w:rStyle w:val="da"/>
          <w:rFonts w:asciiTheme="minorEastAsia" w:eastAsiaTheme="minorEastAsia" w:hAnsiTheme="minorEastAsia" w:hint="eastAsia"/>
          <w:color w:val="000000" w:themeColor="text1"/>
        </w:rPr>
        <w:t>、投资人</w:t>
      </w:r>
      <w:r w:rsidRPr="00F70FB9" w:rsidR="007D383F">
        <w:rPr>
          <w:rStyle w:val="da"/>
          <w:rFonts w:asciiTheme="minorEastAsia" w:eastAsiaTheme="minorEastAsia" w:hAnsiTheme="minorEastAsia" w:hint="eastAsia"/>
          <w:color w:val="000000" w:themeColor="text1"/>
        </w:rPr>
        <w:t>、</w:t>
      </w:r>
      <w:r w:rsidRPr="00F70FB9" w:rsidR="007D383F">
        <w:rPr>
          <w:rStyle w:val="da"/>
          <w:rFonts w:asciiTheme="minorEastAsia" w:eastAsiaTheme="minorEastAsia" w:hAnsiTheme="minorEastAsia"/>
          <w:color w:val="000000" w:themeColor="text1"/>
        </w:rPr>
        <w:t>投资者</w:t>
      </w:r>
      <w:r w:rsidRPr="00F70FB9">
        <w:rPr>
          <w:rStyle w:val="da"/>
          <w:rFonts w:asciiTheme="minorEastAsia" w:eastAsiaTheme="minorEastAsia" w:hAnsiTheme="minorEastAsia" w:hint="eastAsia"/>
          <w:color w:val="000000" w:themeColor="text1"/>
        </w:rPr>
        <w:t>：指个人投资者、机构投资者和合格境外机构投资者以及法律法规或中国证监会允许购买证券投资基金的其他投资人的合称</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2</w:t>
      </w:r>
      <w:r w:rsidRPr="00F70FB9">
        <w:rPr>
          <w:rStyle w:val="da"/>
          <w:rFonts w:asciiTheme="minorEastAsia" w:eastAsiaTheme="minorEastAsia" w:hAnsiTheme="minorEastAsia" w:hint="eastAsia"/>
          <w:color w:val="000000" w:themeColor="text1"/>
        </w:rPr>
        <w:t>、基金份额持有人：指依基金合同和招募说明书合法取得基金份额的投资人</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3</w:t>
      </w:r>
      <w:r w:rsidRPr="00F70FB9">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4</w:t>
      </w:r>
      <w:r w:rsidRPr="00F70FB9">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5</w:t>
      </w:r>
      <w:r w:rsidRPr="00F70FB9">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6</w:t>
      </w:r>
      <w:r w:rsidRPr="00F70FB9">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7</w:t>
      </w:r>
      <w:r w:rsidRPr="00F70FB9">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8</w:t>
      </w:r>
      <w:r w:rsidRPr="00F70FB9">
        <w:rPr>
          <w:rStyle w:val="da"/>
          <w:rFonts w:asciiTheme="minorEastAsia" w:eastAsiaTheme="minorEastAsia" w:hAnsiTheme="minorEastAsia" w:hint="eastAsia"/>
          <w:color w:val="000000" w:themeColor="text1"/>
        </w:rPr>
        <w:t>、基金交易账户：指销售机构为投资人开立的、记录投资人通过该销售机构买卖基金的基金份额变动及结余情况的账户</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550992">
        <w:rPr>
          <w:rStyle w:val="da"/>
          <w:rFonts w:asciiTheme="minorEastAsia" w:eastAsiaTheme="minorEastAsia" w:hAnsiTheme="minorEastAsia" w:hint="eastAsia"/>
          <w:color w:val="000000" w:themeColor="text1"/>
        </w:rPr>
        <w:t>9</w:t>
      </w:r>
      <w:r w:rsidRPr="00F70FB9">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30、基金合同终止日：指基金合同规定的基金合同终止事由出现后，基金财产清算完毕，清算结果报中国证监会备案并予以公告的日期</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3</w:t>
      </w:r>
      <w:r w:rsidRPr="00F70FB9" w:rsidR="00550992">
        <w:rPr>
          <w:rStyle w:val="da"/>
          <w:rFonts w:asciiTheme="minorEastAsia" w:eastAsiaTheme="minorEastAsia" w:hAnsiTheme="minorEastAsia" w:hint="eastAsia"/>
          <w:color w:val="000000" w:themeColor="text1"/>
        </w:rPr>
        <w:t>1</w:t>
      </w:r>
      <w:r w:rsidRPr="00F70FB9">
        <w:rPr>
          <w:rStyle w:val="da"/>
          <w:rFonts w:asciiTheme="minorEastAsia" w:eastAsiaTheme="minorEastAsia" w:hAnsiTheme="minorEastAsia" w:hint="eastAsia"/>
          <w:color w:val="000000" w:themeColor="text1"/>
        </w:rPr>
        <w:t>、基金募集期：指自基金份额发售之日起至发售结束之日止的期间，最长不得超过3</w:t>
      </w:r>
      <w:r w:rsidRPr="00F70FB9">
        <w:rPr>
          <w:rStyle w:val="da"/>
          <w:rFonts w:asciiTheme="minorEastAsia" w:eastAsiaTheme="minorEastAsia" w:hAnsiTheme="minorEastAsia" w:hint="eastAsia"/>
          <w:color w:val="000000" w:themeColor="text1"/>
        </w:rPr>
        <w:t>个月</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550992">
        <w:rPr>
          <w:rStyle w:val="da"/>
          <w:rFonts w:asciiTheme="minorEastAsia" w:eastAsiaTheme="minorEastAsia" w:hAnsiTheme="minorEastAsia" w:hint="eastAsia"/>
          <w:color w:val="000000" w:themeColor="text1"/>
        </w:rPr>
        <w:t>2</w:t>
      </w:r>
      <w:r w:rsidRPr="00F70FB9">
        <w:rPr>
          <w:rStyle w:val="da"/>
          <w:rFonts w:asciiTheme="minorEastAsia" w:eastAsiaTheme="minorEastAsia" w:hAnsiTheme="minorEastAsia" w:hint="eastAsia"/>
          <w:color w:val="000000" w:themeColor="text1"/>
        </w:rPr>
        <w:t>、存续期：指基金合同生效日至终止日之间的不定期期限</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550992">
        <w:rPr>
          <w:rStyle w:val="da"/>
          <w:rFonts w:asciiTheme="minorEastAsia" w:eastAsiaTheme="minorEastAsia" w:hAnsiTheme="minorEastAsia" w:hint="eastAsia"/>
          <w:color w:val="000000" w:themeColor="text1"/>
        </w:rPr>
        <w:t>3</w:t>
      </w:r>
      <w:r w:rsidRPr="00F70FB9">
        <w:rPr>
          <w:rStyle w:val="da"/>
          <w:rFonts w:asciiTheme="minorEastAsia" w:eastAsiaTheme="minorEastAsia" w:hAnsiTheme="minorEastAsia" w:hint="eastAsia"/>
          <w:color w:val="000000" w:themeColor="text1"/>
        </w:rPr>
        <w:t>、工作日：指上海证券交易所、深圳证券交易所的交易日</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550992">
        <w:rPr>
          <w:rStyle w:val="da"/>
          <w:rFonts w:asciiTheme="minorEastAsia" w:eastAsiaTheme="minorEastAsia" w:hAnsiTheme="minorEastAsia" w:hint="eastAsia"/>
          <w:color w:val="000000" w:themeColor="text1"/>
        </w:rPr>
        <w:t>4</w:t>
      </w:r>
      <w:r w:rsidRPr="00F70FB9">
        <w:rPr>
          <w:rStyle w:val="da"/>
          <w:rFonts w:asciiTheme="minorEastAsia" w:eastAsiaTheme="minorEastAsia" w:hAnsiTheme="minorEastAsia" w:hint="eastAsia"/>
          <w:color w:val="000000" w:themeColor="text1"/>
        </w:rPr>
        <w:t>、T日：指销售机构在规定时间受理投资人申购、赎回或其他业务申请的开放日</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816DE0">
        <w:rPr>
          <w:rStyle w:val="da"/>
          <w:rFonts w:asciiTheme="minorEastAsia" w:eastAsiaTheme="minorEastAsia" w:hAnsiTheme="minorEastAsia" w:hint="eastAsia"/>
          <w:color w:val="000000" w:themeColor="text1"/>
        </w:rPr>
        <w:t>5</w:t>
      </w:r>
      <w:r w:rsidRPr="00F70FB9">
        <w:rPr>
          <w:rStyle w:val="da"/>
          <w:rFonts w:asciiTheme="minorEastAsia" w:eastAsiaTheme="minorEastAsia" w:hAnsiTheme="minorEastAsia" w:hint="eastAsia"/>
          <w:color w:val="000000" w:themeColor="text1"/>
        </w:rPr>
        <w:t>、T+n日：指自T日起第n个工作日(不包含T日)，n为自然数</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816DE0">
        <w:rPr>
          <w:rStyle w:val="da"/>
          <w:rFonts w:asciiTheme="minorEastAsia" w:eastAsiaTheme="minorEastAsia" w:hAnsiTheme="minorEastAsia" w:hint="eastAsia"/>
          <w:color w:val="000000" w:themeColor="text1"/>
        </w:rPr>
        <w:t>6</w:t>
      </w:r>
      <w:r w:rsidRPr="00F70FB9">
        <w:rPr>
          <w:rStyle w:val="da"/>
          <w:rFonts w:asciiTheme="minorEastAsia" w:eastAsiaTheme="minorEastAsia" w:hAnsiTheme="minorEastAsia" w:hint="eastAsia"/>
          <w:color w:val="000000" w:themeColor="text1"/>
        </w:rPr>
        <w:t>、开放日：指为投资人办理基金份额申购、赎回或其他业务的工作日</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816DE0">
        <w:rPr>
          <w:rStyle w:val="da"/>
          <w:rFonts w:asciiTheme="minorEastAsia" w:eastAsiaTheme="minorEastAsia" w:hAnsiTheme="minorEastAsia" w:hint="eastAsia"/>
          <w:color w:val="000000" w:themeColor="text1"/>
        </w:rPr>
        <w:t>7</w:t>
      </w:r>
      <w:r w:rsidRPr="00F70FB9">
        <w:rPr>
          <w:rStyle w:val="da"/>
          <w:rFonts w:asciiTheme="minorEastAsia" w:eastAsiaTheme="minorEastAsia" w:hAnsiTheme="minorEastAsia" w:hint="eastAsia"/>
          <w:color w:val="000000" w:themeColor="text1"/>
        </w:rPr>
        <w:t>、开放时间：指开放日基金接受申购、赎回或其他交易的时间段</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816DE0">
        <w:rPr>
          <w:rStyle w:val="da"/>
          <w:rFonts w:asciiTheme="minorEastAsia" w:eastAsiaTheme="minorEastAsia" w:hAnsiTheme="minorEastAsia" w:hint="eastAsia"/>
          <w:color w:val="000000" w:themeColor="text1"/>
        </w:rPr>
        <w:t>8</w:t>
      </w:r>
      <w:r w:rsidRPr="00F70FB9">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w:t>
      </w:r>
      <w:r w:rsidRPr="00F70FB9" w:rsidR="00816DE0">
        <w:rPr>
          <w:rStyle w:val="da"/>
          <w:rFonts w:asciiTheme="minorEastAsia" w:eastAsiaTheme="minorEastAsia" w:hAnsiTheme="minorEastAsia" w:hint="eastAsia"/>
          <w:color w:val="000000" w:themeColor="text1"/>
        </w:rPr>
        <w:t>9</w:t>
      </w:r>
      <w:r w:rsidRPr="00F70FB9">
        <w:rPr>
          <w:rStyle w:val="da"/>
          <w:rFonts w:asciiTheme="minorEastAsia" w:eastAsiaTheme="minorEastAsia" w:hAnsiTheme="minorEastAsia" w:hint="eastAsia"/>
          <w:color w:val="000000" w:themeColor="text1"/>
        </w:rPr>
        <w:t>、认购：指在基金募集期内，投资人申请购买基金份额的行为</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40、申购：指基金合同生效后，投资人根据基金合同和招募说明书的规定申请购买基金份额的行为</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4</w:t>
      </w:r>
      <w:r w:rsidRPr="00F70FB9" w:rsidR="00816DE0">
        <w:rPr>
          <w:rStyle w:val="da"/>
          <w:rFonts w:asciiTheme="minorEastAsia" w:eastAsiaTheme="minorEastAsia" w:hAnsiTheme="minorEastAsia" w:hint="eastAsia"/>
          <w:color w:val="000000" w:themeColor="text1"/>
        </w:rPr>
        <w:t>1</w:t>
      </w:r>
      <w:r w:rsidRPr="00F70FB9">
        <w:rPr>
          <w:rStyle w:val="da"/>
          <w:rFonts w:asciiTheme="minorEastAsia" w:eastAsiaTheme="minorEastAsia" w:hAnsiTheme="minorEastAsia" w:hint="eastAsia"/>
          <w:color w:val="000000" w:themeColor="text1"/>
        </w:rPr>
        <w:t>、赎回：指基金合同生效后，基金份额持有人按基金合同规定的条件要求将基金份额兑换为现金的行为</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816DE0">
        <w:rPr>
          <w:rStyle w:val="da"/>
          <w:rFonts w:asciiTheme="minorEastAsia" w:eastAsiaTheme="minorEastAsia" w:hAnsiTheme="minorEastAsia" w:hint="eastAsia"/>
          <w:color w:val="000000" w:themeColor="text1"/>
        </w:rPr>
        <w:t>2</w:t>
      </w:r>
      <w:r w:rsidRPr="00F70FB9">
        <w:rPr>
          <w:rStyle w:val="da"/>
          <w:rFonts w:asciiTheme="minorEastAsia" w:eastAsiaTheme="minorEastAsia" w:hAnsiTheme="minorEastAsia" w:hint="eastAsia"/>
          <w:color w:val="000000" w:themeColor="text1"/>
        </w:rPr>
        <w:t>、基金转换：指基金份额持有人按照本基金合同和基金管理人届时有效公告规定的条件，申请将其持有基金管理人管理的、某一基金的基金份额转换为基金管理人管理的其他基金基金份额的行为</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816DE0">
        <w:rPr>
          <w:rStyle w:val="da"/>
          <w:rFonts w:asciiTheme="minorEastAsia" w:eastAsiaTheme="minorEastAsia" w:hAnsiTheme="minorEastAsia" w:hint="eastAsia"/>
          <w:color w:val="000000" w:themeColor="text1"/>
        </w:rPr>
        <w:t>3</w:t>
      </w:r>
      <w:r w:rsidRPr="00F70FB9">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816DE0">
        <w:rPr>
          <w:rStyle w:val="da"/>
          <w:rFonts w:asciiTheme="minorEastAsia" w:eastAsiaTheme="minorEastAsia" w:hAnsiTheme="minorEastAsia" w:hint="eastAsia"/>
          <w:color w:val="000000" w:themeColor="text1"/>
        </w:rPr>
        <w:t>4</w:t>
      </w:r>
      <w:r w:rsidRPr="00F70FB9">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816DE0">
        <w:rPr>
          <w:rStyle w:val="da"/>
          <w:rFonts w:asciiTheme="minorEastAsia" w:eastAsiaTheme="minorEastAsia" w:hAnsiTheme="minorEastAsia" w:hint="eastAsia"/>
          <w:color w:val="000000" w:themeColor="text1"/>
        </w:rPr>
        <w:t>5</w:t>
      </w:r>
      <w:r w:rsidRPr="00F70FB9">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022AE1">
        <w:rPr>
          <w:rStyle w:val="da"/>
          <w:rFonts w:asciiTheme="minorEastAsia" w:eastAsiaTheme="minorEastAsia" w:hAnsiTheme="minorEastAsia" w:hint="eastAsia"/>
          <w:color w:val="000000" w:themeColor="text1"/>
        </w:rPr>
        <w:t>6</w:t>
      </w:r>
      <w:r w:rsidRPr="00F70FB9">
        <w:rPr>
          <w:rStyle w:val="da"/>
          <w:rFonts w:asciiTheme="minorEastAsia" w:eastAsiaTheme="minorEastAsia" w:hAnsiTheme="minorEastAsia" w:hint="eastAsia"/>
          <w:color w:val="000000" w:themeColor="text1"/>
        </w:rPr>
        <w:t>、元：指人民币元</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022AE1">
        <w:rPr>
          <w:rStyle w:val="da"/>
          <w:rFonts w:asciiTheme="minorEastAsia" w:eastAsiaTheme="minorEastAsia" w:hAnsiTheme="minorEastAsia" w:hint="eastAsia"/>
          <w:color w:val="000000" w:themeColor="text1"/>
        </w:rPr>
        <w:t>7</w:t>
      </w:r>
      <w:r w:rsidRPr="00F70FB9">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022AE1">
        <w:rPr>
          <w:rStyle w:val="da"/>
          <w:rFonts w:asciiTheme="minorEastAsia" w:eastAsiaTheme="minorEastAsia" w:hAnsiTheme="minorEastAsia" w:hint="eastAsia"/>
          <w:color w:val="000000" w:themeColor="text1"/>
        </w:rPr>
        <w:t>8</w:t>
      </w:r>
      <w:r w:rsidRPr="00F70FB9">
        <w:rPr>
          <w:rStyle w:val="da"/>
          <w:rFonts w:asciiTheme="minorEastAsia" w:eastAsiaTheme="minorEastAsia" w:hAnsiTheme="minorEastAsia" w:hint="eastAsia"/>
          <w:color w:val="000000" w:themeColor="text1"/>
        </w:rPr>
        <w:t>、基金资产总值：指基金拥有的各类有价证券、银行存款本息、基金应收申购款及其</w:t>
      </w:r>
      <w:r w:rsidRPr="00F70FB9">
        <w:rPr>
          <w:rStyle w:val="da"/>
          <w:rFonts w:asciiTheme="minorEastAsia" w:eastAsiaTheme="minorEastAsia" w:hAnsiTheme="minorEastAsia" w:hint="eastAsia"/>
          <w:color w:val="000000" w:themeColor="text1"/>
        </w:rPr>
        <w:t>他资产的价值总和</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w:t>
      </w:r>
      <w:r w:rsidRPr="00F70FB9" w:rsidR="00022AE1">
        <w:rPr>
          <w:rStyle w:val="da"/>
          <w:rFonts w:asciiTheme="minorEastAsia" w:eastAsiaTheme="minorEastAsia" w:hAnsiTheme="minorEastAsia" w:hint="eastAsia"/>
          <w:color w:val="000000" w:themeColor="text1"/>
        </w:rPr>
        <w:t>9</w:t>
      </w:r>
      <w:r w:rsidRPr="00F70FB9">
        <w:rPr>
          <w:rStyle w:val="da"/>
          <w:rFonts w:asciiTheme="minorEastAsia" w:eastAsiaTheme="minorEastAsia" w:hAnsiTheme="minorEastAsia" w:hint="eastAsia"/>
          <w:color w:val="000000" w:themeColor="text1"/>
        </w:rPr>
        <w:t>、基金资产净值：指基金资产总值减去基金负债后的价值</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50</w:t>
      </w:r>
      <w:r w:rsidRPr="00F70FB9">
        <w:rPr>
          <w:rStyle w:val="da"/>
          <w:rFonts w:asciiTheme="minorEastAsia" w:eastAsiaTheme="minorEastAsia" w:hAnsiTheme="minorEastAsia" w:hint="eastAsia"/>
          <w:color w:val="000000" w:themeColor="text1"/>
        </w:rPr>
        <w:t>、基金份额净值：指计算日基金资产净值除以计算日基金份额总数</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5</w:t>
      </w:r>
      <w:r w:rsidRPr="00F70FB9" w:rsidR="00022AE1">
        <w:rPr>
          <w:rStyle w:val="da"/>
          <w:rFonts w:asciiTheme="minorEastAsia" w:eastAsiaTheme="minorEastAsia" w:hAnsiTheme="minorEastAsia" w:hint="eastAsia"/>
          <w:color w:val="000000" w:themeColor="text1"/>
        </w:rPr>
        <w:t>1</w:t>
      </w:r>
      <w:r w:rsidRPr="00F70FB9">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6133AA" w:rsidRPr="00F70FB9">
      <w:pPr>
        <w:spacing w:line="360" w:lineRule="auto"/>
        <w:ind w:firstLine="420" w:firstLineChars="200"/>
        <w:rPr>
          <w:rFonts w:asciiTheme="minorEastAsia" w:eastAsiaTheme="minorEastAsia" w:hAnsiTheme="minorEastAsia"/>
          <w:bCs/>
          <w:color w:val="000000" w:themeColor="text1"/>
        </w:rPr>
      </w:pPr>
      <w:r w:rsidRPr="00F70FB9">
        <w:rPr>
          <w:rStyle w:val="da"/>
          <w:rFonts w:asciiTheme="minorEastAsia" w:eastAsiaTheme="minorEastAsia" w:hAnsiTheme="minorEastAsia" w:hint="eastAsia"/>
          <w:color w:val="000000" w:themeColor="text1"/>
        </w:rPr>
        <w:t>5</w:t>
      </w:r>
      <w:r w:rsidRPr="00F70FB9" w:rsidR="00022AE1">
        <w:rPr>
          <w:rStyle w:val="da"/>
          <w:rFonts w:asciiTheme="minorEastAsia" w:eastAsiaTheme="minorEastAsia" w:hAnsiTheme="minorEastAsia" w:hint="eastAsia"/>
          <w:color w:val="000000" w:themeColor="text1"/>
        </w:rPr>
        <w:t>2</w:t>
      </w:r>
      <w:r w:rsidRPr="00F70FB9" w:rsidR="00665F98">
        <w:rPr>
          <w:rStyle w:val="da"/>
          <w:rFonts w:asciiTheme="minorEastAsia" w:eastAsiaTheme="minorEastAsia" w:hAnsiTheme="minorEastAsia" w:hint="eastAsia"/>
          <w:color w:val="000000" w:themeColor="text1"/>
        </w:rPr>
        <w:t>、指定媒介：</w:t>
      </w:r>
      <w:r w:rsidRPr="00F70FB9">
        <w:rPr>
          <w:rFonts w:asciiTheme="minorEastAsia" w:eastAsiaTheme="minorEastAsia" w:hAnsiTheme="minorEastAsia" w:hint="eastAsia"/>
          <w:bCs/>
          <w:color w:val="000000" w:themeColor="text1"/>
        </w:rPr>
        <w:t>指中国证监会指定的用以进行信息披露的全国性报刊及指定互联网网站（包括基金管理人网站、基金托管人网站、中国证监会基金电子披露网站）等媒介</w:t>
      </w:r>
    </w:p>
    <w:p w:rsidR="00665F9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5</w:t>
      </w:r>
      <w:r w:rsidRPr="00F70FB9" w:rsidR="00022AE1">
        <w:rPr>
          <w:rStyle w:val="da"/>
          <w:rFonts w:asciiTheme="minorEastAsia" w:eastAsiaTheme="minorEastAsia" w:hAnsiTheme="minorEastAsia" w:hint="eastAsia"/>
          <w:color w:val="000000" w:themeColor="text1"/>
        </w:rPr>
        <w:t>3</w:t>
      </w:r>
      <w:r w:rsidRPr="00F70FB9">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29440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5</w:t>
      </w:r>
      <w:r w:rsidRPr="00F70FB9" w:rsidR="00022AE1">
        <w:rPr>
          <w:rStyle w:val="da"/>
          <w:rFonts w:asciiTheme="minorEastAsia" w:eastAsiaTheme="minorEastAsia" w:hAnsiTheme="minorEastAsia" w:hint="eastAsia"/>
          <w:color w:val="000000" w:themeColor="text1"/>
        </w:rPr>
        <w:t>4</w:t>
      </w:r>
      <w:r w:rsidRPr="00F70FB9" w:rsidR="00665F98">
        <w:rPr>
          <w:rStyle w:val="da"/>
          <w:rFonts w:asciiTheme="minorEastAsia" w:eastAsiaTheme="minorEastAsia" w:hAnsiTheme="minorEastAsia" w:hint="eastAsia"/>
          <w:color w:val="000000" w:themeColor="text1"/>
        </w:rPr>
        <w:t>、不可抗力：指合同当事人不能预见、不能避免且不能克服的客观事件</w:t>
      </w:r>
    </w:p>
    <w:p w:rsidR="00E83160"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5</w:t>
      </w:r>
      <w:r w:rsidRPr="00F70FB9" w:rsidR="00022AE1">
        <w:rPr>
          <w:rStyle w:val="da"/>
          <w:rFonts w:asciiTheme="minorEastAsia" w:eastAsiaTheme="minorEastAsia" w:hAnsiTheme="minorEastAsia" w:hint="eastAsia"/>
          <w:color w:val="000000" w:themeColor="text1"/>
        </w:rPr>
        <w:t>5</w:t>
      </w:r>
      <w:r w:rsidRPr="00F70FB9">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F70FB9">
        <w:rPr>
          <w:rStyle w:val="da"/>
          <w:rFonts w:asciiTheme="minorEastAsia" w:eastAsiaTheme="minorEastAsia" w:hAnsiTheme="minorEastAsia"/>
          <w:color w:val="000000" w:themeColor="text1"/>
        </w:rPr>
        <w:t>10</w:t>
      </w:r>
      <w:r w:rsidRPr="00F70FB9">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个交易日以上的逆回购与银行定期存款（含协议约定有条件提前支取的银行存款）、停牌股票、流通受限的新股及非公开发行股票、资产支持证券、因发行人债务违约无法进行转让或交易的债券等</w:t>
      </w:r>
    </w:p>
    <w:p w:rsidR="00224B5D" w:rsidRPr="00F70FB9">
      <w:pPr>
        <w:spacing w:line="360" w:lineRule="auto"/>
        <w:ind w:firstLine="420" w:firstLineChars="200"/>
        <w:rPr>
          <w:rStyle w:val="da"/>
          <w:rFonts w:asciiTheme="minorEastAsia" w:eastAsiaTheme="minorEastAsia" w:hAnsiTheme="minorEastAsia"/>
          <w:color w:val="000000" w:themeColor="text1"/>
        </w:rPr>
      </w:pPr>
    </w:p>
    <w:p w:rsidR="00BA4B87" w:rsidRPr="00F70FB9">
      <w:pPr>
        <w:pStyle w:val="111"/>
        <w:pageBreakBefore w:val="0"/>
        <w:spacing w:before="317" w:after="317" w:line="320" w:lineRule="exact"/>
        <w:ind w:firstLine="640"/>
        <w:rPr>
          <w:rFonts w:asciiTheme="minorEastAsia" w:eastAsiaTheme="minorEastAsia" w:hAnsiTheme="minorEastAsia"/>
          <w:color w:val="000000" w:themeColor="text1"/>
          <w:sz w:val="30"/>
        </w:rPr>
      </w:pPr>
      <w:r w:rsidRPr="00F70FB9">
        <w:rPr>
          <w:rFonts w:asciiTheme="minorEastAsia" w:eastAsiaTheme="minorEastAsia" w:hAnsiTheme="minorEastAsia" w:hint="eastAsia"/>
          <w:color w:val="000000" w:themeColor="text1"/>
          <w:kern w:val="0"/>
        </w:rPr>
        <w:br w:type="column"/>
      </w:r>
      <w:bookmarkStart w:id="5" w:name="_Toc332373446"/>
      <w:bookmarkStart w:id="6" w:name="_Toc103006330"/>
      <w:r w:rsidRPr="00F70FB9">
        <w:rPr>
          <w:rFonts w:asciiTheme="minorEastAsia" w:eastAsiaTheme="minorEastAsia" w:hAnsiTheme="minorEastAsia" w:hint="eastAsia"/>
          <w:color w:val="000000" w:themeColor="text1"/>
          <w:sz w:val="30"/>
        </w:rPr>
        <w:t>三、基金管理人</w:t>
      </w:r>
      <w:bookmarkEnd w:id="5"/>
      <w:bookmarkEnd w:id="6"/>
    </w:p>
    <w:p w:rsidR="00BA4B87" w:rsidRPr="00F70FB9">
      <w:pPr>
        <w:spacing w:line="360" w:lineRule="auto"/>
        <w:ind w:firstLine="420" w:firstLineChars="200"/>
        <w:rPr>
          <w:rFonts w:asciiTheme="minorEastAsia" w:eastAsiaTheme="minorEastAsia" w:hAnsiTheme="minorEastAsia"/>
          <w:color w:val="000000" w:themeColor="text1"/>
          <w:szCs w:val="21"/>
        </w:rPr>
      </w:pPr>
      <w:bookmarkStart w:id="7" w:name="_Toc332373447"/>
      <w:r w:rsidRPr="00F70FB9">
        <w:rPr>
          <w:rFonts w:asciiTheme="minorEastAsia" w:eastAsiaTheme="minorEastAsia" w:hAnsiTheme="minorEastAsia" w:hint="eastAsia"/>
          <w:color w:val="000000" w:themeColor="text1"/>
          <w:szCs w:val="21"/>
        </w:rPr>
        <w:t>（一）基金管理人基本情况</w:t>
      </w:r>
      <w:bookmarkEnd w:id="7"/>
    </w:p>
    <w:p w:rsidR="00AD6E7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1.基金管理人：易方达基金管理有限公司</w:t>
      </w:r>
    </w:p>
    <w:p w:rsidR="00AD6E70" w:rsidRPr="00F70FB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注册地址：</w:t>
      </w:r>
      <w:r w:rsidRPr="00F70FB9" w:rsidR="007D1552">
        <w:rPr>
          <w:rFonts w:asciiTheme="minorEastAsia" w:eastAsiaTheme="minorEastAsia" w:hAnsiTheme="minorEastAsia"/>
          <w:color w:val="000000" w:themeColor="text1"/>
        </w:rPr>
        <w:t>广东省珠海市横琴新区荣粤道188号6层</w:t>
      </w:r>
    </w:p>
    <w:p w:rsidR="00AD6E70" w:rsidRPr="00F70FB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办公地址：广州市天河区珠江新城珠江东路30号广州银行大厦40-43楼</w:t>
      </w:r>
    </w:p>
    <w:p w:rsidR="00AD6E70" w:rsidRPr="00F70FB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设立日期：</w:t>
      </w:r>
      <w:smartTag w:uri="urn:schemas-microsoft-com:office:smarttags" w:element="chsdate">
        <w:smartTagPr>
          <w:attr w:name="Day" w:val="17"/>
          <w:attr w:name="IsLunarDate" w:val="False"/>
          <w:attr w:name="IsROCDate" w:val="False"/>
          <w:attr w:name="Month" w:val="4"/>
          <w:attr w:name="Year" w:val="2001"/>
        </w:smartTagPr>
        <w:r w:rsidRPr="00F70FB9">
          <w:rPr>
            <w:rFonts w:asciiTheme="minorEastAsia" w:eastAsiaTheme="minorEastAsia" w:hAnsiTheme="minorEastAsia" w:hint="eastAsia"/>
            <w:color w:val="000000" w:themeColor="text1"/>
            <w:szCs w:val="21"/>
          </w:rPr>
          <w:t>2001年4月17日</w:t>
        </w:r>
      </w:smartTag>
    </w:p>
    <w:p w:rsidR="00AD6E70" w:rsidRPr="00F70FB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法定代表人：刘晓艳</w:t>
      </w:r>
    </w:p>
    <w:p w:rsidR="00AD6E70" w:rsidRPr="00F70FB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联系电话：4008818088</w:t>
      </w:r>
    </w:p>
    <w:p w:rsidR="00AD6E70" w:rsidRPr="00F70FB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联系人：李红枫</w:t>
      </w:r>
    </w:p>
    <w:p w:rsidR="00AD6E70" w:rsidRPr="00F70FB9">
      <w:pPr>
        <w:pStyle w:val="PlainText"/>
        <w:adjustRightInd w:val="0"/>
        <w:spacing w:line="348" w:lineRule="auto"/>
        <w:ind w:firstLine="420"/>
        <w:textAlignment w:val="baseline"/>
        <w:rPr>
          <w:rFonts w:asciiTheme="minorEastAsia" w:eastAsiaTheme="minorEastAsia" w:hAnsiTheme="minorEastAsia"/>
          <w:color w:val="000000" w:themeColor="text1"/>
          <w:sz w:val="21"/>
        </w:rPr>
      </w:pPr>
      <w:r w:rsidRPr="00F70FB9">
        <w:rPr>
          <w:rFonts w:asciiTheme="minorEastAsia" w:eastAsiaTheme="minorEastAsia" w:hAnsiTheme="minorEastAsia" w:hint="eastAsia"/>
          <w:color w:val="000000" w:themeColor="text1"/>
          <w:sz w:val="21"/>
        </w:rPr>
        <w:t>注册资本：13,244.2万元人民币</w:t>
      </w:r>
    </w:p>
    <w:p w:rsidR="00AD6E70" w:rsidRPr="00F70FB9">
      <w:pPr>
        <w:pStyle w:val="PlainText"/>
        <w:adjustRightInd w:val="0"/>
        <w:spacing w:line="348" w:lineRule="auto"/>
        <w:ind w:firstLine="420"/>
        <w:textAlignment w:val="baseline"/>
        <w:rPr>
          <w:rFonts w:asciiTheme="minorEastAsia" w:eastAsiaTheme="minorEastAsia" w:hAnsiTheme="minorEastAsia"/>
          <w:color w:val="000000" w:themeColor="text1"/>
          <w:sz w:val="21"/>
        </w:rPr>
      </w:pPr>
      <w:r w:rsidRPr="00F70FB9">
        <w:rPr>
          <w:rFonts w:asciiTheme="minorEastAsia" w:eastAsiaTheme="minorEastAsia" w:hAnsiTheme="minorEastAsia" w:hint="eastAsia"/>
          <w:color w:val="000000" w:themeColor="text1"/>
          <w:sz w:val="21"/>
        </w:rPr>
        <w:t>批准设立机关及文号：中国证券监督管理委员会，证监基金字[2001]4号</w:t>
      </w:r>
    </w:p>
    <w:p w:rsidR="00AD6E70" w:rsidRPr="00F70FB9" w:rsidP="003776AF">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经营范围：</w:t>
      </w:r>
      <w:r w:rsidRPr="00F70FB9" w:rsidR="00664ADD">
        <w:rPr>
          <w:rFonts w:asciiTheme="minorEastAsia" w:eastAsiaTheme="minorEastAsia" w:hAnsiTheme="minorEastAsia" w:hint="eastAsia"/>
          <w:color w:val="000000" w:themeColor="text1"/>
        </w:rPr>
        <w:t>公开募集证券投资基金管理、基金销售、特定客户资产管理</w:t>
      </w:r>
    </w:p>
    <w:p w:rsidR="00AD6E70"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rPr>
        <w:t>2.股权结构：</w:t>
      </w:r>
    </w:p>
    <w:tbl>
      <w:tblPr>
        <w:tblW w:w="3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6"/>
        <w:gridCol w:w="2054"/>
      </w:tblGrid>
      <w:tr w:rsidTr="00AD6E70">
        <w:tblPrEx>
          <w:tblW w:w="3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jc w:val="center"/>
        </w:trPr>
        <w:tc>
          <w:tcPr>
            <w:tcW w:w="3437" w:type="pct"/>
            <w:vAlign w:val="center"/>
          </w:tcPr>
          <w:p w:rsidR="00AD6E70" w:rsidRPr="00F70FB9" w:rsidP="001D2FA9">
            <w:pPr>
              <w:jc w:val="center"/>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股东名称</w:t>
            </w:r>
          </w:p>
        </w:tc>
        <w:tc>
          <w:tcPr>
            <w:tcW w:w="1563" w:type="pct"/>
            <w:vAlign w:val="center"/>
          </w:tcPr>
          <w:p w:rsidR="00AD6E70"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出资比例</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广东粤财信托有限公司</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22.6514％</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广发证券股份有限公司</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22.6514％</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盈峰集团有限公司</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22.6514％</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广东省广晟控股集团有限公司</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15.1010％</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广州市广永国有资产经营有限公司</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7.5505％</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珠海祺荣宝股权投资合伙企业（有限合伙）</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1.5087％</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珠海祺泰宝股权投资合伙企业（有限合伙）</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1.6205％</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珠海祺丰宝股权投资合伙企业（有限合伙）</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1.5309％</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珠海聚莱康股权投资合伙企业（有限合伙）</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1.7558％</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珠海聚宁康股权投资合伙企业（有限合伙）</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1.4396％</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珠海聚弘康股权投资合伙企业（有限合伙）</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1.5388％</w:t>
            </w:r>
          </w:p>
        </w:tc>
      </w:tr>
      <w:tr>
        <w:tblPrEx>
          <w:tblW w:w="3855" w:type="pct"/>
          <w:jc w:val="center"/>
          <w:tblLook w:val="0000"/>
        </w:tblPrEx>
        <w:trPr>
          <w:jc w:val="center"/>
        </w:trPr>
        <w:tc>
          <w:tcPr>
            <w:tcW w:w="451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总   计</w:t>
            </w:r>
          </w:p>
        </w:tc>
        <w:tc>
          <w:tcPr>
            <w:tcW w:w="205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100%</w:t>
            </w:r>
          </w:p>
        </w:tc>
      </w:tr>
    </w:tbl>
    <w:p w:rsidR="00AD6E70" w:rsidRPr="00F70FB9" w:rsidP="001D2FA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bookmarkStart w:id="8" w:name="_Toc209424036"/>
      <w:bookmarkStart w:id="9" w:name="_Toc423335530"/>
      <w:r w:rsidRPr="00F70FB9">
        <w:rPr>
          <w:rFonts w:asciiTheme="minorEastAsia" w:eastAsiaTheme="minorEastAsia" w:hAnsiTheme="minorEastAsia" w:hint="eastAsia"/>
          <w:color w:val="000000" w:themeColor="text1"/>
          <w:szCs w:val="21"/>
        </w:rPr>
        <w:t>（二）</w:t>
      </w:r>
      <w:r w:rsidRPr="00F70FB9">
        <w:rPr>
          <w:rFonts w:asciiTheme="minorEastAsia" w:eastAsiaTheme="minorEastAsia" w:hAnsiTheme="minorEastAsia"/>
          <w:color w:val="000000" w:themeColor="text1"/>
          <w:szCs w:val="21"/>
        </w:rPr>
        <w:t>主要人员情况</w:t>
      </w:r>
      <w:bookmarkEnd w:id="8"/>
      <w:bookmarkEnd w:id="9"/>
    </w:p>
    <w:p w:rsidR="00AD6E70" w:rsidRPr="00F70FB9">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1、董事、监事及高级管理人员</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w:t>
      </w:r>
      <w:r w:rsidRPr="00F70FB9">
        <w:rPr>
          <w:rFonts w:asciiTheme="minorEastAsia" w:eastAsiaTheme="minorEastAsia" w:hAnsiTheme="minorEastAsia" w:hint="eastAsia"/>
          <w:color w:val="000000" w:themeColor="text1"/>
        </w:rPr>
        <w:t>会保障基金理事会投资部资产配置处处长、投资部副主任、境外投资部主任、投资部主任、证券投资部主任。</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刘晓艳女士，经济学博士。现任易方达基金管理有限公司副董事长、总裁，易方达国际控股有限公司董事。曾任广发证券有限责任公司投资理财部副经理、基金经理、基金投资理财部副总经理，易方达基金管理有限公司督察员、监察部总经理、总裁助理、市场总监、副总裁、常务副总裁，易方达资产管理有限公司董事，易方达资产管理（香港）有限公司董事长。</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周泽群先生，高级管理人员工商管理硕士（</w:t>
      </w:r>
      <w:r w:rsidRPr="00F70FB9">
        <w:rPr>
          <w:rStyle w:val="da"/>
          <w:rFonts w:asciiTheme="minorEastAsia" w:eastAsiaTheme="minorEastAsia" w:hAnsiTheme="minorEastAsia"/>
          <w:color w:val="000000" w:themeColor="text1"/>
        </w:rPr>
        <w:t>EMBA</w:t>
      </w:r>
      <w:r w:rsidRPr="00F70FB9">
        <w:rPr>
          <w:rFonts w:asciiTheme="minorEastAsia" w:eastAsiaTheme="minorEastAsia" w:hAnsiTheme="minorEastAsia" w:hint="eastAsia"/>
          <w:color w:val="000000" w:themeColor="text1"/>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秦力先生，经济学博士。现任易方达基金管理有限公司董事，广发证券股份有限公司执行董事、公司总监</w:t>
      </w:r>
      <w:r w:rsidRPr="00F70FB9">
        <w:rPr>
          <w:rStyle w:val="da"/>
          <w:rFonts w:asciiTheme="minorEastAsia" w:eastAsiaTheme="minorEastAsia" w:hAnsiTheme="minorEastAsia"/>
          <w:color w:val="000000" w:themeColor="text1"/>
        </w:rPr>
        <w:t xml:space="preserve">, </w:t>
      </w:r>
      <w:r w:rsidRPr="00F70FB9">
        <w:rPr>
          <w:rFonts w:asciiTheme="minorEastAsia" w:eastAsiaTheme="minorEastAsia" w:hAnsiTheme="minorEastAsia" w:hint="eastAsia"/>
          <w:color w:val="000000" w:themeColor="text1"/>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潘文皓先生，经济学硕士。现任易方达基金管理有限公司董事，深圳市中金岭南有色金属股份有限公司常务副总裁兼财务负责人。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广东省广晟控股集团有限公司资本运营部副部长（主持工作），广东南粤银</w:t>
      </w:r>
      <w:r w:rsidRPr="00F70FB9">
        <w:rPr>
          <w:rFonts w:asciiTheme="minorEastAsia" w:eastAsiaTheme="minorEastAsia" w:hAnsiTheme="minorEastAsia" w:hint="eastAsia"/>
          <w:color w:val="000000" w:themeColor="text1"/>
        </w:rPr>
        <w:t>行股份有限公司董事，澳大利亚泛澳公司董事，广东省广晟财务有限公司董事。</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F70FB9">
        <w:rPr>
          <w:rStyle w:val="da"/>
          <w:rFonts w:asciiTheme="minorEastAsia" w:eastAsiaTheme="minorEastAsia" w:hAnsiTheme="minorEastAsia"/>
          <w:color w:val="000000" w:themeColor="text1"/>
        </w:rPr>
        <w:t>东</w:t>
      </w:r>
      <w:r w:rsidRPr="00F70FB9">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F70FB9">
        <w:rPr>
          <w:rStyle w:val="da"/>
          <w:rFonts w:asciiTheme="minorEastAsia" w:eastAsiaTheme="minorEastAsia" w:hAnsiTheme="minorEastAsia"/>
          <w:color w:val="000000" w:themeColor="text1"/>
        </w:rPr>
        <w:t>清华大学</w:t>
      </w:r>
      <w:r w:rsidRPr="00F70FB9">
        <w:rPr>
          <w:rFonts w:asciiTheme="minorEastAsia" w:eastAsiaTheme="minorEastAsia" w:hAnsiTheme="minorEastAsia" w:hint="eastAsia"/>
          <w:color w:val="000000" w:themeColor="text1"/>
        </w:rPr>
        <w:t>经济管理</w:t>
      </w:r>
      <w:r w:rsidRPr="00F70FB9">
        <w:rPr>
          <w:rStyle w:val="da"/>
          <w:rFonts w:asciiTheme="minorEastAsia" w:eastAsiaTheme="minorEastAsia" w:hAnsiTheme="minorEastAsia"/>
          <w:color w:val="000000" w:themeColor="text1"/>
        </w:rPr>
        <w:t>学院讲师、副教授、</w:t>
      </w:r>
      <w:r w:rsidRPr="00F70FB9">
        <w:rPr>
          <w:rFonts w:asciiTheme="minorEastAsia" w:eastAsiaTheme="minorEastAsia" w:hAnsiTheme="minorEastAsia" w:hint="eastAsia"/>
          <w:color w:val="000000" w:themeColor="text1"/>
        </w:rPr>
        <w:t>技术经济与管理系主任、创新创业与战略系主任、</w:t>
      </w:r>
      <w:r w:rsidRPr="00F70FB9">
        <w:rPr>
          <w:rStyle w:val="da"/>
          <w:rFonts w:asciiTheme="minorEastAsia" w:eastAsiaTheme="minorEastAsia" w:hAnsiTheme="minorEastAsia"/>
          <w:color w:val="000000" w:themeColor="text1"/>
        </w:rPr>
        <w:t>院长助理、副院长、党委书记</w:t>
      </w:r>
      <w:r w:rsidRPr="00F70FB9">
        <w:rPr>
          <w:rFonts w:asciiTheme="minorEastAsia" w:eastAsiaTheme="minorEastAsia" w:hAnsiTheme="minorEastAsia" w:hint="eastAsia"/>
          <w:color w:val="000000" w:themeColor="text1"/>
        </w:rPr>
        <w:t>，</w:t>
      </w:r>
      <w:r w:rsidRPr="00F70FB9">
        <w:rPr>
          <w:rStyle w:val="da"/>
          <w:rFonts w:asciiTheme="minorEastAsia" w:eastAsiaTheme="minorEastAsia" w:hAnsiTheme="minorEastAsia"/>
          <w:color w:val="000000" w:themeColor="text1"/>
        </w:rPr>
        <w:t>山东新北洋信息技术股份有限公司独立董事，</w:t>
      </w:r>
      <w:r w:rsidRPr="00F70FB9">
        <w:rPr>
          <w:rFonts w:asciiTheme="minorEastAsia" w:eastAsiaTheme="minorEastAsia" w:hAnsiTheme="minorEastAsia" w:hint="eastAsia"/>
          <w:color w:val="000000" w:themeColor="text1"/>
        </w:rPr>
        <w:t>中融人寿保险股份有限公司独立董事</w:t>
      </w:r>
      <w:r w:rsidRPr="00F70FB9">
        <w:rPr>
          <w:rStyle w:val="da"/>
          <w:rFonts w:asciiTheme="minorEastAsia" w:eastAsiaTheme="minorEastAsia" w:hAnsiTheme="minorEastAsia"/>
          <w:color w:val="000000" w:themeColor="text1"/>
        </w:rPr>
        <w:t>。</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F70FB9">
        <w:rPr>
          <w:rStyle w:val="da"/>
          <w:rFonts w:asciiTheme="minorEastAsia" w:eastAsiaTheme="minorEastAsia" w:hAnsiTheme="minorEastAsia"/>
          <w:color w:val="000000" w:themeColor="text1"/>
        </w:rPr>
        <w:t>DBA项目副院长、创创社区项目发起人兼副院长，云南白药集团股份有限公司独立董事，瑞士银行（中国）有限公司独立董事，秦川机床工具集团股份公司独立董事，浙江红蜻蜓鞋业股份有限公司独立董事。</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w:t>
      </w:r>
      <w:r w:rsidRPr="00F70FB9">
        <w:rPr>
          <w:rFonts w:asciiTheme="minorEastAsia" w:eastAsiaTheme="minorEastAsia" w:hAnsiTheme="minorEastAsia" w:hint="eastAsia"/>
          <w:color w:val="000000" w:themeColor="text1"/>
        </w:rPr>
        <w:t>司董事长，广州中大控股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刘炜先生，工商管理硕士（</w:t>
      </w:r>
      <w:r w:rsidRPr="00F70FB9">
        <w:rPr>
          <w:rStyle w:val="da"/>
          <w:rFonts w:asciiTheme="minorEastAsia" w:eastAsiaTheme="minorEastAsia" w:hAnsiTheme="minorEastAsia"/>
          <w:color w:val="000000" w:themeColor="text1"/>
        </w:rPr>
        <w:t>EMBA）、法学硕士。现任易方达基金管理有限公司监事、人力资源部总经理。曾任易方达基金管理有限公司监察部监察员、上海分公司销售经理、市场部总经理助理、人力资源部副总经理、综合管理部总经理。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马骏先生，工商管理硕士（</w:t>
      </w:r>
      <w:r w:rsidRPr="00F70FB9">
        <w:rPr>
          <w:rStyle w:val="da"/>
          <w:rFonts w:asciiTheme="minorEastAsia" w:eastAsiaTheme="minorEastAsia" w:hAnsiTheme="minorEastAsia"/>
          <w:color w:val="000000" w:themeColor="text1"/>
        </w:rPr>
        <w:t>EMBA）。现任易方达基金管理有限公司常务副总裁、固定收益投资决策委员会委员，易方达资产管理（香港）有限公司董事长、人民币合格境外投资者（RQFII</w:t>
      </w:r>
      <w:r w:rsidRPr="00F70FB9">
        <w:rPr>
          <w:rFonts w:asciiTheme="minorEastAsia" w:eastAsiaTheme="minorEastAsia" w:hAnsiTheme="minorEastAsia" w:hint="eastAsia"/>
          <w:color w:val="000000" w:themeColor="text1"/>
        </w:rPr>
        <w:t>）业务负责人、证券交易负责人员（</w:t>
      </w:r>
      <w:r w:rsidRPr="00F70FB9">
        <w:rPr>
          <w:rStyle w:val="da"/>
          <w:rFonts w:asciiTheme="minorEastAsia" w:eastAsiaTheme="minorEastAsia" w:hAnsiTheme="minorEastAsia"/>
          <w:color w:val="000000" w:themeColor="text1"/>
        </w:rPr>
        <w:t>RO</w:t>
      </w:r>
      <w:r w:rsidRPr="00F70FB9">
        <w:rPr>
          <w:rFonts w:asciiTheme="minorEastAsia" w:eastAsiaTheme="minorEastAsia" w:hAnsiTheme="minorEastAsia" w:hint="eastAsia"/>
          <w:color w:val="000000" w:themeColor="text1"/>
        </w:rPr>
        <w:t>）、就证券提供意见负责人员（</w:t>
      </w:r>
      <w:r w:rsidRPr="00F70FB9">
        <w:rPr>
          <w:rStyle w:val="da"/>
          <w:rFonts w:asciiTheme="minorEastAsia" w:eastAsiaTheme="minorEastAsia" w:hAnsiTheme="minorEastAsia"/>
          <w:color w:val="000000" w:themeColor="text1"/>
        </w:rPr>
        <w:t>RO</w:t>
      </w:r>
      <w:r w:rsidRPr="00F70FB9">
        <w:rPr>
          <w:rFonts w:asciiTheme="minorEastAsia" w:eastAsiaTheme="minorEastAsia" w:hAnsiTheme="minorEastAsia" w:hint="eastAsia"/>
          <w:color w:val="000000" w:themeColor="text1"/>
        </w:rPr>
        <w:t>）、提供资产管理负责人员（</w:t>
      </w:r>
      <w:r w:rsidRPr="00F70FB9">
        <w:rPr>
          <w:rStyle w:val="da"/>
          <w:rFonts w:asciiTheme="minorEastAsia" w:eastAsiaTheme="minorEastAsia" w:hAnsiTheme="minorEastAsia"/>
          <w:color w:val="000000" w:themeColor="text1"/>
        </w:rPr>
        <w:t>RO</w:t>
      </w:r>
      <w:r w:rsidRPr="00F70FB9">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娄利舟女士，工商管理硕士（</w:t>
      </w:r>
      <w:r w:rsidRPr="00F70FB9">
        <w:rPr>
          <w:rStyle w:val="da"/>
          <w:rFonts w:asciiTheme="minorEastAsia" w:eastAsiaTheme="minorEastAsia" w:hAnsiTheme="minorEastAsia"/>
          <w:color w:val="000000" w:themeColor="text1"/>
        </w:rPr>
        <w:t>EMBA）、经济学硕士。现任易方达基金管理有限公司常务</w:t>
      </w:r>
      <w:r w:rsidRPr="00F70FB9">
        <w:rPr>
          <w:rStyle w:val="da"/>
          <w:rFonts w:asciiTheme="minorEastAsia" w:eastAsiaTheme="minorEastAsia" w:hAnsiTheme="minorEastAsia"/>
          <w:color w:val="000000" w:themeColor="text1"/>
        </w:rPr>
        <w:t>副总裁、FOF</w:t>
      </w:r>
      <w:r w:rsidRPr="00F70FB9">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张南女士，经济学博士。现任易方达基金管理有限公司督察长。曾任广东省经济贸易委员会主任科员、副处长，易方达基金管理有限公司市场拓展部副总经理、监察部总经理。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范岳先生，工商管理硕士。现任易方达基金管理有限公司副总经理级高级管理人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高松凡先生，工商管理硕士（</w:t>
      </w:r>
      <w:r w:rsidRPr="00F70FB9">
        <w:rPr>
          <w:rStyle w:val="da"/>
          <w:rFonts w:asciiTheme="minorEastAsia" w:eastAsiaTheme="minorEastAsia" w:hAnsiTheme="minorEastAsia"/>
          <w:color w:val="000000" w:themeColor="text1"/>
        </w:rPr>
        <w:t>EMBA</w:t>
      </w:r>
      <w:r w:rsidRPr="00F70FB9">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w:t>
      </w:r>
      <w:r w:rsidRPr="00F70FB9">
        <w:rPr>
          <w:rStyle w:val="da"/>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F70FB9">
        <w:rPr>
          <w:rFonts w:asciiTheme="minorEastAsia" w:eastAsiaTheme="minorEastAsia" w:hAnsiTheme="minorEastAsia" w:hint="eastAsia"/>
          <w:color w:val="000000" w:themeColor="text1"/>
        </w:rPr>
        <w:t>董事总经理、大中华地区高级副总裁、中国区行长。</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w:t>
      </w:r>
      <w:r w:rsidRPr="00F70FB9">
        <w:rPr>
          <w:rFonts w:asciiTheme="minorEastAsia" w:eastAsiaTheme="minorEastAsia" w:hAnsiTheme="minorEastAsia" w:hint="eastAsia"/>
          <w:color w:val="000000" w:themeColor="text1"/>
        </w:rPr>
        <w:t>核算部总经理、投资风险管理部总经理、总裁助理、董事会秘书、公司财务中心主任。</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w:t>
      </w:r>
      <w:r w:rsidRPr="00F70FB9">
        <w:rPr>
          <w:rFonts w:asciiTheme="minorEastAsia" w:eastAsiaTheme="minorEastAsia" w:hAnsiTheme="minorEastAsia" w:hint="eastAsia"/>
          <w:color w:val="000000" w:themeColor="text1"/>
        </w:rPr>
        <w:t>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7D1552" w:rsidRPr="00F70FB9" w:rsidP="00F70FB9">
      <w:pPr>
        <w:spacing w:line="360" w:lineRule="auto"/>
        <w:ind w:firstLine="42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与数据服务总部总经理、投资风险管理部总经理。曾任易方达基金管理有限公司金融工程研究员、绩效与风险评估研究员、投资发展部总经理助理、投资风险管理部总经理助理、投资风险管理部副总经理。</w:t>
      </w:r>
    </w:p>
    <w:p w:rsidR="004A1B5F"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2、基金经理</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贾健先生，工学硕士，本基金的基金经理。现任易方达基金管理有限公司易方达创新驱动灵活配置混合型证券投资基金基金经理（自2021年5月29日起任职）、易方达瑞程灵活配置混合型证券投资基金基金经理（自2022年5月7日起任职）、行业研究员。</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张凯頔先生，经济学硕士，本基金的基金经理助理。现任易方达基金管理有限公司易方达双债增强债券型证券投资基金基金经理助理、易方达岁丰添利债券型证券投资基金基金经理助理、易方达投资级信用债债券型证券投资基金基金经理助理、易方达增强回报债券型证券投资基金基金经理助理、易方达中债1-3年国开行债券指数证券投资基金基金经理助理、易方达中债3-5年国开行债券指数证券投资基金基金经理助理、易方达中债1-3年政策性金融债指数证券投资基金基金经理助理、易方达中债3-5年政策性金融债指数证券投资基金基金经理助理、易方达恒安定期开放债券型发起式证券投资基金基金经理助理、易方达高等级信用债债券型证券投资基金基金经理助理、易方达裕景添利6个月定期开放债券型证券投资基金基金经理助理、易方达裕祥回报债券型证券投资基金基金经理助理、易方达瑞通灵活配置混合型证券投资基金基金经理助理、易方达瑞弘灵活配置混合型证券投资基金基金经理助理、易方达瑞程灵活配置混合型证券投资基金基金经理助理、易方达安心回馈混合型证券投资基金基金经理助理、易方达平稳增长证券投资基金基金经理助理、易方达科汇灵活配置混合型证券投资基金基金经理助理、易方达稳健增长混合型证券投资基金基金经理助理、易方达稳健回报一年封闭运作混合型证券投资基金基金经理助理、易方达稳健增利混合型证券投资基金基金经理助理、易方达稳健添利混合型证券投资基金基金经理助理。曾任工银瑞信基金管理有限公司债券交易员，易方达基金管理有限公司债券交易员、易方达保本一号混合型证券投资基金基金经理助理、易方达恒益定期开放债券型发起式证券投资基金基金经理助理、</w:t>
      </w:r>
      <w:r w:rsidRPr="00F70FB9">
        <w:rPr>
          <w:rFonts w:asciiTheme="minorEastAsia" w:eastAsiaTheme="minorEastAsia" w:hAnsiTheme="minorEastAsia" w:hint="eastAsia"/>
          <w:color w:val="000000" w:themeColor="text1"/>
        </w:rPr>
        <w:t>易方达裕鑫债券型证券投资基金基金经理助理。</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本基金历任基金经理情况：张清华，管理时间为2016年12月15日至2018年2月1日；林森，管理时间为2017年1月26日至2022年5月6日。</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3、固定收益投资决策委员会成员</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马骏先生，同上。</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胡剑先生，同上。</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张清华先生，同上。</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袁方女士，易方达基金管理有限公司多资产养老金投资部总经理、基金经理。</w:t>
      </w:r>
    </w:p>
    <w:p w:rsidR="00DC244B" w:rsidRPr="00F70FB9" w:rsidP="00DC244B">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刘朝阳女士，易方达基金管理有限公司现金管理部总经理、基金经理。</w:t>
      </w:r>
    </w:p>
    <w:p w:rsidR="00DC244B"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祁广东先生，易方达基金管理有限公司国际投资部总经理、基金经理，易方达资产管理（香港）有限公司副行政总裁兼首席投资官、就证券提供意见负责人员（RO）、提供资产管理负责人员（RO）、投资决策委员会委员。</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10" w:name="_Toc332373450"/>
      <w:r w:rsidRPr="00F70FB9">
        <w:rPr>
          <w:rFonts w:asciiTheme="minorEastAsia" w:eastAsiaTheme="minorEastAsia" w:hAnsiTheme="minorEastAsia" w:hint="eastAsia"/>
          <w:color w:val="000000" w:themeColor="text1"/>
        </w:rPr>
        <w:t>4、</w:t>
      </w:r>
      <w:bookmarkEnd w:id="10"/>
      <w:r w:rsidRPr="00F70FB9">
        <w:rPr>
          <w:rStyle w:val="da"/>
          <w:rFonts w:asciiTheme="minorEastAsia" w:eastAsiaTheme="minorEastAsia" w:hAnsiTheme="minorEastAsia" w:hint="eastAsia"/>
          <w:color w:val="000000" w:themeColor="text1"/>
        </w:rPr>
        <w:t>上述人员之间均不存在近亲属关系。</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11" w:name="_Toc332373451"/>
      <w:r w:rsidRPr="00F70FB9">
        <w:rPr>
          <w:rStyle w:val="da"/>
          <w:rFonts w:asciiTheme="minorEastAsia" w:eastAsiaTheme="minorEastAsia" w:hAnsiTheme="minorEastAsia" w:hint="eastAsia"/>
          <w:color w:val="000000" w:themeColor="text1"/>
        </w:rPr>
        <w:t>（三）基金管理人的职责</w:t>
      </w:r>
      <w:bookmarkEnd w:id="11"/>
    </w:p>
    <w:p w:rsidR="003059D7" w:rsidRPr="00F70FB9">
      <w:pPr>
        <w:spacing w:line="360" w:lineRule="auto"/>
        <w:ind w:firstLine="420" w:firstLineChars="200"/>
        <w:rPr>
          <w:rStyle w:val="da"/>
          <w:rFonts w:asciiTheme="minorEastAsia" w:eastAsiaTheme="minorEastAsia" w:hAnsiTheme="minorEastAsia"/>
          <w:color w:val="000000" w:themeColor="text1"/>
        </w:rPr>
      </w:pPr>
      <w:bookmarkStart w:id="12" w:name="_Toc332373455"/>
      <w:r w:rsidRPr="00F70FB9">
        <w:rPr>
          <w:rStyle w:val="da"/>
          <w:rFonts w:asciiTheme="minorEastAsia" w:eastAsiaTheme="minorEastAsia" w:hAnsiTheme="minorEastAsia"/>
          <w:color w:val="000000" w:themeColor="text1"/>
        </w:rPr>
        <w:t>1、依法募集资金，办理基金份额的发售和登记事宜；</w:t>
      </w:r>
    </w:p>
    <w:p w:rsidR="003059D7" w:rsidRPr="00F70FB9">
      <w:pPr>
        <w:spacing w:line="360" w:lineRule="auto"/>
        <w:ind w:firstLine="420" w:firstLineChars="200"/>
        <w:rPr>
          <w:rStyle w:val="da"/>
          <w:rFonts w:asciiTheme="minorEastAsia" w:eastAsiaTheme="minorEastAsia" w:hAnsiTheme="minorEastAsia"/>
          <w:color w:val="000000" w:themeColor="text1"/>
        </w:rPr>
      </w:pPr>
      <w:bookmarkStart w:id="13" w:name="_Toc332373452"/>
      <w:r w:rsidRPr="00F70FB9">
        <w:rPr>
          <w:rStyle w:val="da"/>
          <w:rFonts w:asciiTheme="minorEastAsia" w:eastAsiaTheme="minorEastAsia" w:hAnsiTheme="minorEastAsia"/>
          <w:color w:val="000000" w:themeColor="text1"/>
        </w:rPr>
        <w:t>2、办理基金备案手续；</w:t>
      </w:r>
      <w:bookmarkEnd w:id="13"/>
    </w:p>
    <w:p w:rsidR="003059D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3、对所管理的不同基金财产分别管理、分别记账，进行证券投资；</w:t>
      </w:r>
    </w:p>
    <w:p w:rsidR="003059D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4、按照基金合同的约定及时向基金份额持有人分配收益；</w:t>
      </w:r>
    </w:p>
    <w:p w:rsidR="003059D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5、进行基金会计核算并编制基金财务会计报告；</w:t>
      </w:r>
    </w:p>
    <w:p w:rsidR="00AF595D" w:rsidRPr="00F70FB9">
      <w:pPr>
        <w:snapToGrid w:val="0"/>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6、编制季度报告、中期报告和年度报告；</w:t>
      </w:r>
    </w:p>
    <w:p w:rsidR="00AF595D" w:rsidRPr="00F70FB9">
      <w:pPr>
        <w:snapToGrid w:val="0"/>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7、计算并公告基金净值信息，确定基金份额申购、赎回价格；</w:t>
      </w:r>
    </w:p>
    <w:p w:rsidR="003059D7" w:rsidRPr="00F70FB9">
      <w:pPr>
        <w:spacing w:line="360" w:lineRule="auto"/>
        <w:ind w:firstLine="420" w:firstLineChars="200"/>
        <w:rPr>
          <w:rStyle w:val="da"/>
          <w:rFonts w:asciiTheme="minorEastAsia" w:eastAsiaTheme="minorEastAsia" w:hAnsiTheme="minorEastAsia"/>
          <w:color w:val="000000" w:themeColor="text1"/>
        </w:rPr>
      </w:pPr>
      <w:bookmarkStart w:id="14" w:name="_Toc332373453"/>
      <w:r w:rsidRPr="00F70FB9">
        <w:rPr>
          <w:rStyle w:val="da"/>
          <w:rFonts w:asciiTheme="minorEastAsia" w:eastAsiaTheme="minorEastAsia" w:hAnsiTheme="minorEastAsia"/>
          <w:color w:val="000000" w:themeColor="text1"/>
        </w:rPr>
        <w:t>8、办理与基金财产管理业务活动有关的信息披露事项；</w:t>
      </w:r>
      <w:bookmarkEnd w:id="14"/>
    </w:p>
    <w:p w:rsidR="003059D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9、按照规定召集基金份额持有人大会；</w:t>
      </w:r>
    </w:p>
    <w:p w:rsidR="003059D7" w:rsidRPr="00F70FB9">
      <w:pPr>
        <w:spacing w:line="360" w:lineRule="auto"/>
        <w:ind w:firstLine="420" w:firstLineChars="200"/>
        <w:rPr>
          <w:rStyle w:val="da"/>
          <w:rFonts w:asciiTheme="minorEastAsia" w:eastAsiaTheme="minorEastAsia" w:hAnsiTheme="minorEastAsia"/>
          <w:color w:val="000000" w:themeColor="text1"/>
        </w:rPr>
      </w:pPr>
      <w:bookmarkStart w:id="15" w:name="_Toc332373454"/>
      <w:r w:rsidRPr="00F70FB9">
        <w:rPr>
          <w:rStyle w:val="da"/>
          <w:rFonts w:asciiTheme="minorEastAsia" w:eastAsiaTheme="minorEastAsia" w:hAnsiTheme="minorEastAsia"/>
          <w:color w:val="000000" w:themeColor="text1"/>
        </w:rPr>
        <w:t>10、保存基金财产管理业务活动的记录、账册、报表和其他相关资料；</w:t>
      </w:r>
      <w:bookmarkEnd w:id="15"/>
    </w:p>
    <w:p w:rsidR="003059D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11、以基金管理人名义，代表基金份额持有人利益行使诉讼权利或者实施其他法律行为；</w:t>
      </w:r>
    </w:p>
    <w:p w:rsidR="003059D7" w:rsidRPr="00F70FB9" w:rsidP="007025AF">
      <w:pPr>
        <w:spacing w:line="360" w:lineRule="auto"/>
        <w:rPr>
          <w:rFonts w:asciiTheme="minorEastAsia" w:eastAsiaTheme="minorEastAsia" w:hAnsiTheme="minorEastAsia"/>
          <w:color w:val="000000" w:themeColor="text1"/>
          <w:kern w:val="0"/>
        </w:rPr>
      </w:pPr>
      <w:r w:rsidRPr="00F70FB9">
        <w:rPr>
          <w:rStyle w:val="da"/>
          <w:rFonts w:asciiTheme="minorEastAsia" w:eastAsiaTheme="minorEastAsia" w:hAnsiTheme="minorEastAsia"/>
          <w:color w:val="000000" w:themeColor="text1"/>
        </w:rPr>
        <w:t>12、中国证监会规定的其他职责</w:t>
      </w:r>
      <w:r w:rsidRPr="00F70FB9">
        <w:rPr>
          <w:rFonts w:asciiTheme="minorEastAsia" w:eastAsiaTheme="minorEastAsia" w:hAnsiTheme="minorEastAsia"/>
          <w:color w:val="000000" w:themeColor="text1"/>
          <w:kern w:val="0"/>
        </w:rPr>
        <w:t>。</w:t>
      </w:r>
    </w:p>
    <w:p w:rsidR="00BA4B87" w:rsidRPr="00F70FB9" w:rsidP="001D2FA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（四）基金管理人的承诺</w:t>
      </w:r>
      <w:bookmarkEnd w:id="12"/>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16" w:name="_Toc332373456"/>
      <w:r w:rsidRPr="00F70FB9">
        <w:rPr>
          <w:rStyle w:val="da"/>
          <w:rFonts w:asciiTheme="minorEastAsia" w:eastAsiaTheme="minorEastAsia" w:hAnsiTheme="minorEastAsia" w:hint="eastAsia"/>
          <w:color w:val="000000" w:themeColor="text1"/>
        </w:rPr>
        <w:t>（</w:t>
      </w:r>
      <w:r w:rsidRPr="00F70FB9" w:rsidR="002F62DA">
        <w:rPr>
          <w:rStyle w:val="da"/>
          <w:rFonts w:asciiTheme="minorEastAsia" w:eastAsiaTheme="minorEastAsia" w:hAnsiTheme="minorEastAsia" w:hint="eastAsia"/>
          <w:color w:val="000000" w:themeColor="text1"/>
        </w:rPr>
        <w:t>1</w:t>
      </w:r>
      <w:r w:rsidRPr="00F70FB9">
        <w:rPr>
          <w:rStyle w:val="da"/>
          <w:rFonts w:asciiTheme="minorEastAsia" w:eastAsiaTheme="minorEastAsia" w:hAnsiTheme="minorEastAsia" w:hint="eastAsia"/>
          <w:color w:val="000000" w:themeColor="text1"/>
        </w:rPr>
        <w:t>）将其固有财产或者他人财产混同于基金财产从事证券投资；</w:t>
      </w:r>
      <w:bookmarkEnd w:id="16"/>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D55E50">
        <w:rPr>
          <w:rStyle w:val="da"/>
          <w:rFonts w:asciiTheme="minorEastAsia" w:eastAsiaTheme="minorEastAsia" w:hAnsiTheme="minorEastAsia" w:hint="eastAsia"/>
          <w:color w:val="000000" w:themeColor="text1"/>
        </w:rPr>
        <w:t>2</w:t>
      </w:r>
      <w:r w:rsidRPr="00F70FB9">
        <w:rPr>
          <w:rStyle w:val="da"/>
          <w:rFonts w:asciiTheme="minorEastAsia" w:eastAsiaTheme="minorEastAsia" w:hAnsiTheme="minorEastAsia" w:hint="eastAsia"/>
          <w:color w:val="000000" w:themeColor="text1"/>
        </w:rPr>
        <w:t>）不公平地对待其管理的不同基金财产；</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17" w:name="_Toc332373457"/>
      <w:r w:rsidRPr="00F70FB9">
        <w:rPr>
          <w:rStyle w:val="da"/>
          <w:rFonts w:asciiTheme="minorEastAsia" w:eastAsiaTheme="minorEastAsia" w:hAnsiTheme="minorEastAsia" w:hint="eastAsia"/>
          <w:color w:val="000000" w:themeColor="text1"/>
        </w:rPr>
        <w:t>（</w:t>
      </w:r>
      <w:r w:rsidRPr="00F70FB9" w:rsidR="00D55E50">
        <w:rPr>
          <w:rStyle w:val="da"/>
          <w:rFonts w:asciiTheme="minorEastAsia" w:eastAsiaTheme="minorEastAsia" w:hAnsiTheme="minorEastAsia" w:hint="eastAsia"/>
          <w:color w:val="000000" w:themeColor="text1"/>
        </w:rPr>
        <w:t>3</w:t>
      </w:r>
      <w:r w:rsidRPr="00F70FB9">
        <w:rPr>
          <w:rStyle w:val="da"/>
          <w:rFonts w:asciiTheme="minorEastAsia" w:eastAsiaTheme="minorEastAsia" w:hAnsiTheme="minorEastAsia" w:hint="eastAsia"/>
          <w:color w:val="000000" w:themeColor="text1"/>
        </w:rPr>
        <w:t>）利用基金财产为基金份额持有人以外的第三人谋取利益；</w:t>
      </w:r>
      <w:bookmarkEnd w:id="17"/>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D55E50">
        <w:rPr>
          <w:rStyle w:val="da"/>
          <w:rFonts w:asciiTheme="minorEastAsia" w:eastAsiaTheme="minorEastAsia" w:hAnsiTheme="minorEastAsia" w:hint="eastAsia"/>
          <w:color w:val="000000" w:themeColor="text1"/>
        </w:rPr>
        <w:t>4</w:t>
      </w:r>
      <w:r w:rsidRPr="00F70FB9">
        <w:rPr>
          <w:rStyle w:val="da"/>
          <w:rFonts w:asciiTheme="minorEastAsia" w:eastAsiaTheme="minorEastAsia" w:hAnsiTheme="minorEastAsia" w:hint="eastAsia"/>
          <w:color w:val="000000" w:themeColor="text1"/>
        </w:rPr>
        <w:t>）向基金份额持有人违规承诺收益或者承担损失；</w:t>
      </w:r>
    </w:p>
    <w:p w:rsidR="005D7F94"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（5）侵占、挪用基金财产；</w:t>
      </w:r>
    </w:p>
    <w:p w:rsidR="005D7F94"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（7）玩忽职守，不按照规定履行职责；</w:t>
      </w:r>
    </w:p>
    <w:p w:rsidR="00B918DA"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（8）法律、行政法规和中国证监会禁止的其他行为。</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1</w:t>
      </w:r>
      <w:r w:rsidRPr="00F70FB9">
        <w:rPr>
          <w:rStyle w:val="da"/>
          <w:rFonts w:asciiTheme="minorEastAsia" w:eastAsiaTheme="minorEastAsia" w:hAnsiTheme="minorEastAsia" w:hint="eastAsia"/>
          <w:color w:val="000000" w:themeColor="text1"/>
        </w:rPr>
        <w:t>）越权或违规经营；</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2</w:t>
      </w:r>
      <w:r w:rsidRPr="00F70FB9">
        <w:rPr>
          <w:rStyle w:val="da"/>
          <w:rFonts w:asciiTheme="minorEastAsia" w:eastAsiaTheme="minorEastAsia" w:hAnsiTheme="minorEastAsia" w:hint="eastAsia"/>
          <w:color w:val="000000" w:themeColor="text1"/>
        </w:rPr>
        <w:t>）违反基金合同或托管协议；</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3</w:t>
      </w:r>
      <w:r w:rsidRPr="00F70FB9">
        <w:rPr>
          <w:rStyle w:val="da"/>
          <w:rFonts w:asciiTheme="minorEastAsia" w:eastAsiaTheme="minorEastAsia" w:hAnsiTheme="minorEastAsia" w:hint="eastAsia"/>
          <w:color w:val="000000" w:themeColor="text1"/>
        </w:rPr>
        <w:t>）故意损害基金份额持有人或其他基金相关机构的合法利益；</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18" w:name="_Toc332373458"/>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4</w:t>
      </w:r>
      <w:r w:rsidRPr="00F70FB9">
        <w:rPr>
          <w:rStyle w:val="da"/>
          <w:rFonts w:asciiTheme="minorEastAsia" w:eastAsiaTheme="minorEastAsia" w:hAnsiTheme="minorEastAsia" w:hint="eastAsia"/>
          <w:color w:val="000000" w:themeColor="text1"/>
        </w:rPr>
        <w:t>）在向中国证监会报送的资料中弄虚作假；</w:t>
      </w:r>
      <w:bookmarkEnd w:id="18"/>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5</w:t>
      </w:r>
      <w:r w:rsidRPr="00F70FB9">
        <w:rPr>
          <w:rStyle w:val="da"/>
          <w:rFonts w:asciiTheme="minorEastAsia" w:eastAsiaTheme="minorEastAsia" w:hAnsiTheme="minorEastAsia" w:hint="eastAsia"/>
          <w:color w:val="000000" w:themeColor="text1"/>
        </w:rPr>
        <w:t>）拒绝、干扰、阻挠或严重影响中国证监会依法监管；</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19" w:name="_Toc332373459"/>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6</w:t>
      </w:r>
      <w:r w:rsidRPr="00F70FB9">
        <w:rPr>
          <w:rStyle w:val="da"/>
          <w:rFonts w:asciiTheme="minorEastAsia" w:eastAsiaTheme="minorEastAsia" w:hAnsiTheme="minorEastAsia" w:hint="eastAsia"/>
          <w:color w:val="000000" w:themeColor="text1"/>
        </w:rPr>
        <w:t>）玩忽职守、滥用职权；</w:t>
      </w:r>
      <w:bookmarkEnd w:id="19"/>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7</w:t>
      </w:r>
      <w:r w:rsidRPr="00F70FB9">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8</w:t>
      </w:r>
      <w:r w:rsidRPr="00F70FB9">
        <w:rPr>
          <w:rStyle w:val="da"/>
          <w:rFonts w:asciiTheme="minorEastAsia" w:eastAsiaTheme="minorEastAsia" w:hAnsiTheme="minorEastAsia" w:hint="eastAsia"/>
          <w:color w:val="000000" w:themeColor="text1"/>
        </w:rPr>
        <w:t>）违反证券交易场所业务规则，利用对敲、倒仓等手段操纵市场价格，扰乱市场秩</w:t>
      </w:r>
      <w:r w:rsidRPr="00F70FB9">
        <w:rPr>
          <w:rStyle w:val="da"/>
          <w:rFonts w:asciiTheme="minorEastAsia" w:eastAsiaTheme="minorEastAsia" w:hAnsiTheme="minorEastAsia" w:hint="eastAsia"/>
          <w:color w:val="000000" w:themeColor="text1"/>
        </w:rPr>
        <w:t>序；</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9</w:t>
      </w:r>
      <w:r w:rsidRPr="00F70FB9">
        <w:rPr>
          <w:rStyle w:val="da"/>
          <w:rFonts w:asciiTheme="minorEastAsia" w:eastAsiaTheme="minorEastAsia" w:hAnsiTheme="minorEastAsia" w:hint="eastAsia"/>
          <w:color w:val="000000" w:themeColor="text1"/>
        </w:rPr>
        <w:t>）贬损同行，以抬高自己；</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10</w:t>
      </w:r>
      <w:r w:rsidRPr="00F70FB9">
        <w:rPr>
          <w:rStyle w:val="da"/>
          <w:rFonts w:asciiTheme="minorEastAsia" w:eastAsiaTheme="minorEastAsia" w:hAnsiTheme="minorEastAsia" w:hint="eastAsia"/>
          <w:color w:val="000000" w:themeColor="text1"/>
        </w:rPr>
        <w:t>）以不正当手段谋求业务发展；</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11</w:t>
      </w:r>
      <w:r w:rsidRPr="00F70FB9">
        <w:rPr>
          <w:rStyle w:val="da"/>
          <w:rFonts w:asciiTheme="minorEastAsia" w:eastAsiaTheme="minorEastAsia" w:hAnsiTheme="minorEastAsia" w:hint="eastAsia"/>
          <w:color w:val="000000" w:themeColor="text1"/>
        </w:rPr>
        <w:t>）有悖社会公德，损害证券投资基金人员形象；</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12</w:t>
      </w:r>
      <w:r w:rsidRPr="00F70FB9">
        <w:rPr>
          <w:rStyle w:val="da"/>
          <w:rFonts w:asciiTheme="minorEastAsia" w:eastAsiaTheme="minorEastAsia" w:hAnsiTheme="minorEastAsia" w:hint="eastAsia"/>
          <w:color w:val="000000" w:themeColor="text1"/>
        </w:rPr>
        <w:t>）在公开信息披露和广告中故意含有虚假、误导、欺诈成分；</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A2578B">
        <w:rPr>
          <w:rStyle w:val="da"/>
          <w:rFonts w:asciiTheme="minorEastAsia" w:eastAsiaTheme="minorEastAsia" w:hAnsiTheme="minorEastAsia" w:hint="eastAsia"/>
          <w:color w:val="000000" w:themeColor="text1"/>
        </w:rPr>
        <w:t>13</w:t>
      </w:r>
      <w:r w:rsidRPr="00F70FB9">
        <w:rPr>
          <w:rStyle w:val="da"/>
          <w:rFonts w:asciiTheme="minorEastAsia" w:eastAsiaTheme="minorEastAsia" w:hAnsiTheme="minorEastAsia" w:hint="eastAsia"/>
          <w:color w:val="000000" w:themeColor="text1"/>
        </w:rPr>
        <w:t>）其他法律、行政法规以及中国证监会禁止的行为。</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20" w:name="_Toc332373460"/>
      <w:r w:rsidRPr="00F70FB9">
        <w:rPr>
          <w:rStyle w:val="da"/>
          <w:rFonts w:asciiTheme="minorEastAsia" w:eastAsiaTheme="minorEastAsia" w:hAnsiTheme="minorEastAsia" w:hint="eastAsia"/>
          <w:color w:val="000000" w:themeColor="text1"/>
        </w:rPr>
        <w:t>4、基金经理承诺</w:t>
      </w:r>
      <w:bookmarkEnd w:id="20"/>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21" w:name="_Toc332373461"/>
      <w:r w:rsidRPr="00F70FB9">
        <w:rPr>
          <w:rStyle w:val="da"/>
          <w:rFonts w:asciiTheme="minorEastAsia" w:eastAsiaTheme="minorEastAsia" w:hAnsiTheme="minorEastAsia" w:hint="eastAsia"/>
          <w:color w:val="000000" w:themeColor="text1"/>
        </w:rPr>
        <w:t>（2）不利用职务之便为自己及其代理人、受雇人或任何第三人谋取利益；</w:t>
      </w:r>
      <w:bookmarkEnd w:id="21"/>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22" w:name="_Toc332373462"/>
      <w:r w:rsidRPr="00F70FB9">
        <w:rPr>
          <w:rStyle w:val="da"/>
          <w:rFonts w:asciiTheme="minorEastAsia" w:eastAsiaTheme="minorEastAsia" w:hAnsiTheme="minorEastAsia" w:hint="eastAsia"/>
          <w:color w:val="000000" w:themeColor="text1"/>
        </w:rPr>
        <w:t>（五）基金管理人的内部控制制度</w:t>
      </w:r>
      <w:bookmarkEnd w:id="22"/>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1、公司内部控制的总体目标</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（1）保证公司经营管理活动的合法合规性；</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（2）保证各类基金份额持有人及委托人的合法权益不受侵犯；</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（4）督促公司全体员工恪守职业操守，正直诚信，廉洁自律，勤勉尽责；</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（5）维护公司的声誉，保持公司的良好形象。</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2、公司内部控制遵循的原则</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（2）有效性原则。通过科学的内控手段和方法，建立合理的内控程序，维护内控制度</w:t>
      </w:r>
      <w:r w:rsidRPr="00F70FB9">
        <w:rPr>
          <w:rFonts w:asciiTheme="minorEastAsia" w:eastAsiaTheme="minorEastAsia" w:hAnsiTheme="minorEastAsia"/>
          <w:color w:val="000000" w:themeColor="text1"/>
        </w:rPr>
        <w:t>的有效执行。</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（4）相互制约原则。公司内部部门和岗位的设置应当体现权责分明、相互制衡。</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3、内部控制的制度体系</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4、关于授权、研究、投资、交易等方面的控制点</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（1）授权制度</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（2）公司研究业务</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（3）基金投资业务</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基金投资应确立科学的投资理念，根据风险防范原则和效率性原则制定合理的决策程序；</w:t>
      </w:r>
      <w:r w:rsidRPr="00F70FB9">
        <w:rPr>
          <w:rFonts w:asciiTheme="minorEastAsia" w:eastAsiaTheme="minorEastAsia" w:hAnsiTheme="minorEastAsia"/>
          <w:color w:val="000000" w:themeColor="text1"/>
        </w:rPr>
        <w:t>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（4）交易业务</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（5）基金会计核算</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（6）信息披露</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（7）监察与合规管理</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5、基金管理人关于内部控制制度声明书</w:t>
      </w:r>
    </w:p>
    <w:p w:rsidR="00F66C1F" w:rsidRPr="00F70FB9">
      <w:pPr>
        <w:spacing w:line="360" w:lineRule="auto"/>
        <w:ind w:firstLine="42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（1）本公司承诺以上关于内部控制制度的披露真实、准确；</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052C9F">
        <w:rPr>
          <w:rStyle w:val="da"/>
          <w:rFonts w:asciiTheme="minorEastAsia" w:eastAsiaTheme="minorEastAsia" w:hAnsiTheme="minorEastAsia" w:hint="eastAsia"/>
          <w:color w:val="000000" w:themeColor="text1"/>
        </w:rPr>
        <w:t>2</w:t>
      </w:r>
      <w:r w:rsidRPr="00F70FB9">
        <w:rPr>
          <w:rStyle w:val="da"/>
          <w:rFonts w:asciiTheme="minorEastAsia" w:eastAsiaTheme="minorEastAsia" w:hAnsiTheme="minorEastAsia" w:hint="eastAsia"/>
          <w:color w:val="000000" w:themeColor="text1"/>
        </w:rPr>
        <w:t>）本公司承诺根据市场变化和公司业务发展不断完善内部控制制度。</w:t>
      </w:r>
    </w:p>
    <w:p w:rsidR="00BA4B87" w:rsidRPr="00F70FB9">
      <w:pPr>
        <w:pStyle w:val="Heading1"/>
        <w:spacing w:before="317" w:after="317" w:line="360" w:lineRule="auto"/>
        <w:ind w:firstLine="640"/>
        <w:rPr>
          <w:rFonts w:asciiTheme="minorEastAsia" w:eastAsiaTheme="minorEastAsia" w:hAnsiTheme="minorEastAsia"/>
          <w:color w:val="000000" w:themeColor="text1"/>
        </w:rPr>
      </w:pPr>
      <w:r w:rsidRPr="00F70FB9">
        <w:rPr>
          <w:rFonts w:asciiTheme="minorEastAsia" w:eastAsiaTheme="minorEastAsia" w:hAnsiTheme="minorEastAsia" w:hint="eastAsia"/>
          <w:bCs/>
          <w:color w:val="000000" w:themeColor="text1"/>
        </w:rPr>
        <w:br w:type="column"/>
      </w:r>
      <w:bookmarkStart w:id="23" w:name="_Toc332373471"/>
      <w:bookmarkStart w:id="24" w:name="_Toc103006331"/>
      <w:r w:rsidRPr="00F70FB9">
        <w:rPr>
          <w:rFonts w:asciiTheme="minorEastAsia" w:eastAsiaTheme="minorEastAsia" w:hAnsiTheme="minorEastAsia" w:hint="eastAsia"/>
          <w:color w:val="000000" w:themeColor="text1"/>
        </w:rPr>
        <w:t>四、基金托管人</w:t>
      </w:r>
      <w:bookmarkEnd w:id="23"/>
      <w:bookmarkEnd w:id="24"/>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（一）基金托管人概况</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本基金托管人为上海浦东发展银行股份有限公司，基本信息如下：</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名称： 上海浦东发展银行股份有限公司</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注册地址：上海市中山东一路12号</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办公地址：上海市中山东一路12号</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法定代表人：郑杨</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成立时间： 1992年10月19日</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组织形式： 股份有限公司</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 xml:space="preserve">注册资本： </w:t>
      </w:r>
      <w:r w:rsidRPr="00F70FB9">
        <w:rPr>
          <w:rStyle w:val="da"/>
          <w:rFonts w:asciiTheme="minorEastAsia" w:eastAsiaTheme="minorEastAsia" w:hAnsiTheme="minorEastAsia"/>
          <w:color w:val="000000" w:themeColor="text1"/>
        </w:rPr>
        <w:t>293.52</w:t>
      </w:r>
      <w:r w:rsidRPr="00F70FB9">
        <w:rPr>
          <w:rStyle w:val="da"/>
          <w:rFonts w:asciiTheme="minorEastAsia" w:eastAsiaTheme="minorEastAsia" w:hAnsiTheme="minorEastAsia" w:hint="eastAsia"/>
          <w:color w:val="000000" w:themeColor="text1"/>
        </w:rPr>
        <w:t>亿元人民币</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存续期间： 持续经营</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基金托管资格批文及文号：中国证监会证监基金字[2003]105号</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联系人：胡波</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联系电话：（021）61618888</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上海浦东发展银行总行于2003年设立基金托管部，2005年更名为资产托管部，2013年更名为资产托管与养老金业务部，2016年进行组织架构优化调整，并更名为资产托管部，</w:t>
      </w:r>
      <w:r w:rsidRPr="00F70FB9">
        <w:rPr>
          <w:rStyle w:val="da"/>
          <w:rFonts w:asciiTheme="minorEastAsia" w:eastAsiaTheme="minorEastAsia" w:hAnsiTheme="minorEastAsia" w:hint="eastAsia"/>
          <w:color w:val="000000" w:themeColor="text1"/>
        </w:rPr>
        <w:t>目前下设证券托管处、客户资产托管处、养老金业务处、内控管理处、业务保障处、总行资产托管运营中心（含合肥分中心）六个职能处室。</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（二）主要人员情况</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郑杨，男，1966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潘卫东，男，1966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孔建，男，1968年出生，博士研究生。历任工商银行山东省分行资金营运处副处长，上海浦东发展银行济南分行信管处总经理，上海浦东发展银行济南分行行长助理、副行长、党委书记、行长。现任上海浦东发展银行总行金融市场业务党委委员，资产托管部总经理。</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（三）基金托管业务经营情况</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截止2021年6月30日，上海浦东发展银行证券投资基金托管规模为11450.20亿元，比去年末增加8.52%。托管证券投资基金共三百零七支，分别为国泰金龙行业精选基金、国泰金龙债券基金、天治财富增长基金、广发小盘成长基金、汇添富货币基金、长信金利趋势基金、嘉实优质企业基金、国联安货币基金、长信利众债券基金（LOF）、博时安丰18个月</w:t>
      </w:r>
      <w:r w:rsidRPr="00F70FB9">
        <w:rPr>
          <w:rStyle w:val="da"/>
          <w:rFonts w:asciiTheme="minorEastAsia" w:eastAsiaTheme="minorEastAsia" w:hAnsiTheme="minorEastAsia" w:hint="eastAsia"/>
          <w:color w:val="000000" w:themeColor="text1"/>
        </w:rPr>
        <w:t>基金（LOF）、易方达裕丰回报基金、鹏华丰泰定期开放基金、汇添富双利增强债券基金、华富恒财定开债券基金、汇添富和聚宝货币基金、工银目标收益一年定开债券基金、北信瑞丰宜投宝货币基金、中海医药健康产业基金、华富国泰民安灵活配置混合基金、安信动态策略灵活配置基金、东方红稳健精选基金、国联安鑫享混合基金、长安鑫利优选混合基金、工银瑞信生态环境基金、天弘新价值混合基金、嘉实机构快线货币基金、鹏华REITs封闭式基金、华富健康文娱基金、金鹰改革红利基金、易方达裕祥回报债券基金、中银瑞利灵活配置混合基金、华夏新活力混合基金、鑫元汇利债券型基金、南方转型驱动灵活配置基金、银华远景债券基金、富安达长盈灵活配置混合型基金、中信建投睿溢混合型证券投资基金、工银瑞信恒享纯债基金、长信利发债券基金、博时景发纯债基金、鑫元得利债券型基金、东方红战略沪港深混合基金、博时富发纯债基金、博时利发纯债基金、银河君信混合基金、兴业启元一年定开债券基金、工银瑞信瑞盈18个月定开债券基金、中信建投稳裕定开债券基金、招商招怡纯债债券基金、中加丰享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300指数增强型证券投资基金、汇安丰恒混合基金、景顺长城中证500指数基金、鹏华丰康债券基金、兴业安润货币基金、兴业瑞丰6个月定开债券基金、兴业裕丰债券基金、易方达瑞弘混合基金、长安鑫富领先混合基金、万家现金增利货币基金、上银慧增利货币市场基金、易方达瑞富灵活配置证券投资基金、博时富腾纯债债券型证券投资基金、安信工业4.0主题沪港深精选混合基金、万家天添宝货币基金、中欧瑾泰债券型证券投资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弘泽债券型发起式证券投资基金、前海开源弘丰债券型发起式证券投资基金、中海沪港深多策略灵活配置混合型基金、中银证券祥瑞混合型证券投资基金、前海开源盛鑫灵活配置混合型证券投资基金、鑫元行业轮动灵活配置混合型证券投资基金、兴业3个月定期开放债券型发起式证</w:t>
      </w:r>
      <w:r w:rsidRPr="00F70FB9">
        <w:rPr>
          <w:rStyle w:val="da"/>
          <w:rFonts w:asciiTheme="minorEastAsia" w:eastAsiaTheme="minorEastAsia" w:hAnsiTheme="minorEastAsia" w:hint="eastAsia"/>
          <w:color w:val="000000" w:themeColor="text1"/>
        </w:rPr>
        <w:t>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3-5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东兴品牌精选灵活配置混合型证券投资基金、广发中债1-3年国开行债券指数证券投资基金、融通通捷债券型证券投资基金、华富恒盛纯债债券型证券投资基金、建信中证1000指数增强型发起式证券投资基金、汇安嘉鑫纯债债券型证券投资基金、国寿安保安丰纯债债券型证券投资基金、博时中债1-3年政策性金融债指数证券投资基金、银河家盈纯债债券型证券投资基金、博时富永纯债3个月定期开放债券型发起式证券投资基金、南方畅利定期开放债券型发起式证券投资基金、中加瑞利纯债债券型证券投资基金、华富中证5年恒定久期国开债指数型证券投资基金、永赢合益债券型证券投资基金、嘉实中债1-3年政策性金融债指数证券投资基金、广发港股通优质增长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资基金、工银瑞信添慧债券型证券投资基金、华富安鑫债券型证券投资基金、汇添富中债1-3年农发行债券指数证券投资基金、南方旭元债券型发起式证券投资基金、大成中债3-5年国开行债券指数基金、永赢众利债券型证券投资基金、华夏中债3-5年政策性金融债指数证券投资基金、中证长三角一体化发展主题交易型开放式指数证券投资基金、新疆前海联合科技先锋混合型证券投资基金、银华尊尚稳健养老目标一年持有期混合型发起式基金中基金（FOF）、博时颐泽平衡养老目标三年持有期混合型发起式基金中基金（FOF）、农银养老目标日期2035三年持有期混合型发起式基金中基金(FOF)、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39个月定期开放债券型证券投资基金、中融睿享86个月定期开放债券型基金、南方梦元短债债券型证券投资基金、鹏扬淳开债券型证券投资基</w:t>
      </w:r>
      <w:r w:rsidRPr="00F70FB9">
        <w:rPr>
          <w:rStyle w:val="da"/>
          <w:rFonts w:asciiTheme="minorEastAsia" w:eastAsiaTheme="minorEastAsia" w:hAnsiTheme="minorEastAsia" w:hint="eastAsia"/>
          <w:color w:val="000000" w:themeColor="text1"/>
        </w:rPr>
        <w:t>金、华宝宝惠纯债39个月定期开放债券型证券投资基金、建信MSCI中国A股指数增强型证券投资基金、农银汇理金益债券型证券投资基金、博时稳欣39个月定期开放债券型证券投资基金、同泰慧择混合型证券投资基金、招商中证红利交易型开放式指数证券投资基金、嘉实致禄3个月定期开放纯债债券型发起式证券投资基金、永赢久利债券型证券投资基金、嘉实安元39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100交易型开放式指数证券投资基金、鹏华0-5年利率债债券型发起式证券投资基金、景顺长城弘利39个月定期开放债券型证券投资基金、工银瑞信泰颐三年定期开放债券型证券投资基金、华安鑫浦87个月定期开放债券型证券投资基金、汇安嘉盛纯债债券型证券投资基金、东方红安鑫甄选一年持有期混合型证券投资基金、西藏东财中证通信技术主题指数型发起式证券投资基金、财通裕惠63个月定期开放债券型证券投资基金、南方尊利一年定期开放债券型发起式证券投资基金、国泰中证全指家用电器交易型开放式指数证券投资基金、鹏华尊裕一年定期开放债券型发起式证券投资基金、鹏扬淳悦一年定期开放债券型发起式证券投资基金、兴业鼎泰一年定期开放债券型发起式证券投资基金、安信丰泽39个月定期开放债券型证券投资基金、国泰中证新能源汽车交易型开放式指数证券投资基金、广发恒隆一年持有期混合型证券投资基金、国泰中证全指家用电器交易型开放式指数证券投资基金发起式联接基金、国泰中证新能源汽车交易型开放式指数证券投资基金发起式联接基金、海富通富泽混合型证券投资基金、华富中债-0-5年中高等级信用债收益平衡指数证券投资基金、汇添富稳健增益一年持有期混合型证券投资基金、南方誉慧一年持有期混合型证券投资基金、农银汇理永乐3个月持有期混合型基金中基金（FOF）、鹏扬景恒六个月持有期混合型证券投资基金、平安合兴1年定期开放债券型发起式证券投资基金、融通中债1-3年国开行债券指数基金、太平中债1-3年政策性金融债指数证券投资基金、天弘永裕稳健养老目标一年持有期混合型基金中基金（FOF）、中欧真益稳健一年持有期混合型证券投资基金、南华中证杭州湾区交易型开放式指数证券投资基金联接基金、金信核心竞争力灵活配置混合型证券投资基金、华泰紫金中债1-5年国开行债券指数证券投资基金、博时价值臻选两年持有期灵活配置混合型证券投资基金、东方红益丰纯债债券型证券投资基金、东方红鑫泰66个月定期开放债券型证券投资基金、东方红鼎元3个月定期开放混合型发起式证券投资基金、富国上海金交易型开放式证券投资基金、富国上海金交易型开放式证券投资基金联接基金、工</w:t>
      </w:r>
      <w:r w:rsidRPr="00F70FB9">
        <w:rPr>
          <w:rStyle w:val="da"/>
          <w:rFonts w:asciiTheme="minorEastAsia" w:eastAsiaTheme="minorEastAsia" w:hAnsiTheme="minorEastAsia" w:hint="eastAsia"/>
          <w:color w:val="000000" w:themeColor="text1"/>
        </w:rPr>
        <w:t>银瑞信深证100交易型开放式指数证券投资基金联接基金、广发汇浦三年定期开放债券型证券投资基金、国联安增泰一年定期开放纯债债券型发起式证券投资基金、海富通惠增多策略一年定期开放灵活配置混合型证券投资基金、华安中债1-5年国开行债券指数证券投资基金、华宝中债1-3年国开行债券指数证券投资基金、景顺长城安鑫回报一年持有期混合型证券投资基金、景顺长城电子信息产业股票型证券投资基金、景顺长城中债3-5年政策性金融债指数证券投资基金、民生加银瑞鑫一年定期开放债券型发起式证券投资基金、鹏华锦润86个月定期开放债券型证券投资基金、鹏华创新未来18个月封闭运作混合型证券投资基金、鹏扬淳安66个月定期开放债券型证券投资基金、融通通恒63个月定期开放债券型证券投资基金、上银聚远盈42个月定期开放债券型证券投资基金、新疆前海联合淳丰纯债87个月定期开放债券型证券投资基金、兴业稳泰66个月定期开放债券型证券投资基金、兴业睿进混合型证券投资基金、易方达悦享一年持有期混合型基金、易方达创新未来18个月封闭运作混合型基金、银华汇益一年持有期混合型基金、永赢瑞宁87个月定期开放债券型证券投资基金、长信浦瑞87个月定期开放债券型证券投资基金、招商添盛78个月定期开放债券型证券投资基金、中信建投稳丰63个月定期开放债券型证券投资基金、中信保诚景裕中短债债券型证券投资基金、泰达宏利中证申万绩优策略指数增强型证券投资基金、泰达宏利乐盈66个月定期开放债券型证券投资基金、创金合信泰博66个月定期开放债券型证券投资基金、淳厚安裕87个月定期开放债券型证券投资基金、西部利得尊泰86个月定期开放债券型证券投资基金、西部利得聚禾灵活配置混合型基金、德邦锐泽86个月定期开放债券型证券投资基金、德邦惠利混合型证券投资基金、光大保德信尊合87个月定期开放债券型证券投资基金、蜂巢添禧87个月定期开放债券型证券投资基金、国金惠丰39个月定期开放债券型证券投资基金、九泰科新优享灵活配置混合型证券投资基金、华泰保兴久盈63个月定期开放债券型证券投资基金、博时恒旭一年持有期混合型证券投资基金、大成卓享一年持有期混合型证券投资基金基金、东方红明鉴优选两年定期开放混合型证券投资基金、广发研究精选股票型证券投资基金、恒生前海恒颐五年定期开放债券型基金、华夏创新未来18个月封闭运作混合型证券投资基金、汇添富创新未来18个月封闭运作混合型证券投资基金、汇添富高质量成长精选2年持有期混合型证券投资基金、嘉实浦惠6个月持有期混合型证券投资基金、农银养老目标日期2045五年持有期混合型发起式基金中基金（FOF）、天弘睿新三个月定期开放混合型证券投资基金、鑫元乾利债券型证券投资基金、兴业研究精选混合型证券投资基金、中加瑞合纯债债券型证券投资基金、中欧创新未来18个月封闭运作混合型证券投资基</w:t>
      </w:r>
      <w:r w:rsidRPr="00F70FB9">
        <w:rPr>
          <w:rStyle w:val="da"/>
          <w:rFonts w:asciiTheme="minorEastAsia" w:eastAsiaTheme="minorEastAsia" w:hAnsiTheme="minorEastAsia" w:hint="eastAsia"/>
          <w:color w:val="000000" w:themeColor="text1"/>
        </w:rPr>
        <w:t>金、中欧价值成长混合型证券投资基金、创金合信医药消费股票型证券投资基金、新华安享惠融88个月定期开放债券型证券投资基金、申万菱信安泰广利63个月定期开放债券型证券投资基金、汇丰晋信惠安63个月定期开放债券型证券投资基金、中邮纯债丰利债券型证券投资基金、兴银汇泽87个月定期开放债券型证券投资基金、东方红启航三年持有期混合型证券投资基金、东方红启瑞三年持有期混合型证券投资基金、博时创新经济混合型证券投资基金、富国融泰三个月定期开放混合型发起式证券投资基金、国泰中证动漫游戏交易型开放式指数证券投资基金、汇添富健康生活一年持有期混合型证券投资基金、嘉实浦盈一年持有期混合型证券投资基金、景顺长城新能源产业股票型证券投资基金、农银汇理安瑞一年持有期混合型FOF基金、鹏华安裕5个月持有期混合型证券投资基金基金、银华稳健增长一年持有期混合型证券投资基金、招商添逸1年定期开放债券型发起式证券投资基金、中银顺泽回报一年持有期混合型证券投资基金、创金合信竞争优势混合型证券投资基金、兴全汇吉一年持有期混合型证券投资基金、华泰柏瑞中证物联网主题交易型开放式指数证券投资基金、富国高质量混合型证券投资基金、工银瑞信稳健回报60天持有期短债债券型发起式证券投资基金、广发恒鑫一年持有期混合型证券投资基金、国泰中证动漫游戏交易型开放式指数证券投资基金发起式联接基金、交银施罗德成长动力一年持有期混合型证券投资基金、南方誉浦一年持有期混合型证券投资基金、太平丰盈一年定期开放债券型发起式证券投资基金、易方达稳健回报一年封闭运作混合型证券投资基金、招商企业优选混合型证券投资基金、嘉合中债-1-3年政策性金融债指数证券投资基金、信达澳银领先智选混合型证券投资基金等。</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（四）基金托管人的内部控制制度</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本行内部控制目标为：确保经营活动中严格遵守国家有关法律法规、监管部门监管规则和本行规章制度，形成守法经营、规范运作的经营思想。确保经营业务的稳健运行，保证基金资产的安全和完整，确保业务活动信息的真实、准确、完整，保护基金份额持有人的合法权益。</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本行内部控制组织架构为：总行法律合规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3、内部控制制度及措施: 本行已建立完善的内部控制制度。内控制度贯穿资产托管业</w:t>
      </w:r>
      <w:r w:rsidRPr="00F70FB9">
        <w:rPr>
          <w:rStyle w:val="da"/>
          <w:rFonts w:asciiTheme="minorEastAsia" w:eastAsiaTheme="minorEastAsia" w:hAnsiTheme="minorEastAsia" w:hint="eastAsia"/>
          <w:color w:val="000000" w:themeColor="text1"/>
        </w:rPr>
        <w:t>务的决策、执行、监督全过程，渗透到各业务流程和各操作环节，覆盖到从事资产托管各级组织结构、岗位及人员。内部控制以防范风险、合规经营为出发点，各项业务流程体现“内控优先”要求。</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（五）托管人对管理人运作基金进行监督的方法和程序</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1、监督依据</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托管人严格按照有关政策法规、以及基金合同、托管协议等进行监督。监督依据具体包括：</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（1）《中华人民共和国证券法》；</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（2）《中华人民共和国证券投资基金法》；</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（3）《公开募集证券投资基金运作管理办法》；</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（4）《公开募集证券投资基金销售机构监督管理办法》；</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（5）《基金合同》、《基金托管协议》；</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（6）法律、法规、政策的其他规定。</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2、监督内容</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 xml:space="preserve">    我行根据基金合同及托管协议约定，对基金合同生效之后所托管基金的投资范围、投资比例、投资限制等进行严格监督，及时提示基金管理人违规风险。</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3、监督方法</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（1）资产托管部设置核算监督岗位，配备相应的业务人员，在授权范围内独立行使对基金管理人投资交易行为的监督职责，规范基金运作，维护基金投资人的合法权益，不受任何外界力量的干预；</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（2）在日常运作中，凡可量化的监督指标，由核算监督岗通过托管业务的自动处理程序进行监督，实现系统的自动跟踪和预警；</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（3）对非量化指标、投资指令、管理人提供的各种报表和报告等，采取人工监督的方法。</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4、监督结果的处理方式</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（1）基金托管人对基金管理人的投资运作监督结果，采取定期和不定期报告形式向基金管理人和中国证监会报告。定期报告包括基金监控周报等。不定期报告包括提示函、临时日报、其他临时报告等；</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rsidR="0025589C" w:rsidRPr="00F70FB9" w:rsidP="0025589C">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（3）针对中国证监会、中国人民银行对基金投资运作监督情况的检查，应及时提供有关情况和资料。</w:t>
      </w:r>
    </w:p>
    <w:p w:rsidR="0025589C" w:rsidRPr="00F70FB9">
      <w:pPr>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rPr>
        <w:t xml:space="preserve"> </w:t>
      </w:r>
      <w:r w:rsidRPr="00F70FB9">
        <w:rPr>
          <w:rFonts w:asciiTheme="minorEastAsia" w:eastAsiaTheme="minorEastAsia" w:hAnsiTheme="minorEastAsia"/>
          <w:color w:val="000000" w:themeColor="text1"/>
        </w:rPr>
        <w:br w:type="page"/>
      </w:r>
    </w:p>
    <w:p w:rsidR="00BA4B87" w:rsidRPr="00F70FB9">
      <w:pPr>
        <w:pStyle w:val="111"/>
        <w:spacing w:before="317" w:after="317" w:line="360" w:lineRule="auto"/>
        <w:ind w:firstLine="640"/>
        <w:rPr>
          <w:rFonts w:asciiTheme="minorEastAsia" w:eastAsiaTheme="minorEastAsia" w:hAnsiTheme="minorEastAsia"/>
          <w:color w:val="000000" w:themeColor="text1"/>
          <w:szCs w:val="32"/>
        </w:rPr>
      </w:pPr>
      <w:bookmarkStart w:id="25" w:name="_Toc103006332"/>
      <w:r w:rsidRPr="00F70FB9">
        <w:rPr>
          <w:rFonts w:asciiTheme="minorEastAsia" w:eastAsiaTheme="minorEastAsia" w:hAnsiTheme="minorEastAsia" w:hint="eastAsia"/>
          <w:color w:val="000000" w:themeColor="text1"/>
          <w:szCs w:val="21"/>
        </w:rPr>
        <w:t>五、相关服务机构</w:t>
      </w:r>
      <w:bookmarkEnd w:id="25"/>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26" w:name="_Toc332373482"/>
      <w:r w:rsidRPr="00F70FB9">
        <w:rPr>
          <w:rStyle w:val="da"/>
          <w:rFonts w:asciiTheme="minorEastAsia" w:eastAsiaTheme="minorEastAsia" w:hAnsiTheme="minorEastAsia" w:hint="eastAsia"/>
          <w:color w:val="000000" w:themeColor="text1"/>
        </w:rPr>
        <w:t>（一）基金份额</w:t>
      </w:r>
      <w:r w:rsidRPr="00F70FB9" w:rsidR="00CF639A">
        <w:rPr>
          <w:rStyle w:val="da"/>
          <w:rFonts w:asciiTheme="minorEastAsia" w:eastAsiaTheme="minorEastAsia" w:hAnsiTheme="minorEastAsia" w:hint="eastAsia"/>
          <w:color w:val="000000" w:themeColor="text1"/>
        </w:rPr>
        <w:t>销售</w:t>
      </w:r>
      <w:r w:rsidRPr="00F70FB9">
        <w:rPr>
          <w:rStyle w:val="da"/>
          <w:rFonts w:asciiTheme="minorEastAsia" w:eastAsiaTheme="minorEastAsia" w:hAnsiTheme="minorEastAsia" w:hint="eastAsia"/>
          <w:color w:val="000000" w:themeColor="text1"/>
        </w:rPr>
        <w:t>机构</w:t>
      </w:r>
      <w:bookmarkEnd w:id="26"/>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1、直销机构：易方达基金管理有限公司</w:t>
      </w:r>
    </w:p>
    <w:p w:rsidR="00C961FC"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注册地址：</w:t>
      </w:r>
      <w:r w:rsidRPr="00F70FB9" w:rsidR="007D1552">
        <w:rPr>
          <w:rFonts w:asciiTheme="minorEastAsia" w:eastAsiaTheme="minorEastAsia" w:hAnsiTheme="minorEastAsia"/>
          <w:color w:val="000000" w:themeColor="text1"/>
        </w:rPr>
        <w:t>广东省珠海市横琴新区荣粤道188号6层</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w:t>
      </w:r>
      <w:r w:rsidRPr="00F70FB9" w:rsidR="00E95B25">
        <w:rPr>
          <w:rStyle w:val="da"/>
          <w:rFonts w:asciiTheme="minorEastAsia" w:eastAsiaTheme="minorEastAsia" w:hAnsiTheme="minorEastAsia" w:hint="eastAsia"/>
          <w:color w:val="000000" w:themeColor="text1"/>
        </w:rPr>
        <w:t>广州市天河区珠江新城珠江东路30号广州银行大厦40-43楼</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法定代表人：</w:t>
      </w:r>
      <w:r w:rsidRPr="00F70FB9" w:rsidR="0018482F">
        <w:rPr>
          <w:rStyle w:val="da"/>
          <w:rFonts w:asciiTheme="minorEastAsia" w:eastAsiaTheme="minorEastAsia" w:hAnsiTheme="minorEastAsia" w:hint="eastAsia"/>
          <w:color w:val="000000" w:themeColor="text1"/>
        </w:rPr>
        <w:t>刘晓艳</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电话：020-85102506</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传真：4008818099</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联系人：梁美</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网址：</w:t>
      </w:r>
      <w:hyperlink r:id="rId12" w:history="1">
        <w:r w:rsidRPr="00F70FB9">
          <w:rPr>
            <w:rStyle w:val="da"/>
            <w:rFonts w:asciiTheme="minorEastAsia" w:eastAsiaTheme="minorEastAsia" w:hAnsiTheme="minorEastAsia" w:hint="eastAsia"/>
            <w:color w:val="000000" w:themeColor="text1"/>
          </w:rPr>
          <w:t>www.efunds.com.cn</w:t>
        </w:r>
      </w:hyperlink>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直销机构网点信息：</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（1）易方达基金管理有限公司广州直销中心</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办公地址：广州市天河区珠江新城珠江东路30号广州银行大厦40楼</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电话：020-85102506</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传真：4008818099</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联系人：梁美</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（2）易方达基金管理有限公司北京直销中心</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w:t>
      </w:r>
      <w:r w:rsidRPr="00F70FB9" w:rsidR="005C101C">
        <w:rPr>
          <w:rStyle w:val="da"/>
          <w:rFonts w:asciiTheme="minorEastAsia" w:eastAsiaTheme="minorEastAsia" w:hAnsiTheme="minorEastAsia" w:hint="eastAsia"/>
          <w:color w:val="000000" w:themeColor="text1"/>
        </w:rPr>
        <w:t>北京市西城区武定侯街2号泰康国际大厦18层</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电话：010-63213377</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传真：4008818099</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联系人：刘蕾</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（3）易方达基金管理有限公司上海直销中心</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w:t>
      </w:r>
      <w:r w:rsidRPr="00F70FB9" w:rsidR="00CF639A">
        <w:rPr>
          <w:rFonts w:asciiTheme="minorEastAsia" w:eastAsiaTheme="minorEastAsia" w:hAnsiTheme="minorEastAsia" w:hint="eastAsia"/>
          <w:color w:val="000000" w:themeColor="text1"/>
          <w:szCs w:val="21"/>
        </w:rPr>
        <w:t>上海市浦东新区世纪大道88号金茂大厦46楼</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电话：021-50476668</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传真：4008818099</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w:t>
      </w:r>
      <w:r w:rsidRPr="00F70FB9" w:rsidR="00F52250">
        <w:rPr>
          <w:rStyle w:val="da"/>
          <w:rFonts w:asciiTheme="minorEastAsia" w:eastAsiaTheme="minorEastAsia" w:hAnsiTheme="minorEastAsia" w:hint="eastAsia"/>
          <w:color w:val="000000" w:themeColor="text1"/>
        </w:rPr>
        <w:t>王程</w:t>
      </w:r>
    </w:p>
    <w:p w:rsidR="008A16B4" w:rsidRPr="00F70FB9">
      <w:pPr>
        <w:snapToGrid w:val="0"/>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（4）易方达基金管理有限公司网上交易系统</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网址：</w:t>
      </w:r>
      <w:hyperlink r:id="rId12" w:history="1">
        <w:r w:rsidRPr="00F70FB9">
          <w:rPr>
            <w:rStyle w:val="Hyperlink"/>
            <w:rFonts w:asciiTheme="minorEastAsia" w:eastAsiaTheme="minorEastAsia" w:hAnsiTheme="minorEastAsia" w:hint="eastAsia"/>
            <w:color w:val="000000" w:themeColor="text1"/>
            <w:u w:val="none"/>
          </w:rPr>
          <w:t>www.efunds.com.cn</w:t>
        </w:r>
      </w:hyperlink>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w:t>
      </w:r>
      <w:r w:rsidRPr="00F70FB9" w:rsidR="00CA069E">
        <w:rPr>
          <w:rStyle w:val="da"/>
          <w:rFonts w:asciiTheme="minorEastAsia" w:eastAsiaTheme="minorEastAsia" w:hAnsiTheme="minorEastAsia" w:hint="eastAsia"/>
          <w:color w:val="000000" w:themeColor="text1"/>
        </w:rPr>
        <w:t>非直销</w:t>
      </w:r>
      <w:r w:rsidRPr="00F70FB9" w:rsidR="007520A0">
        <w:rPr>
          <w:rStyle w:val="da"/>
          <w:rFonts w:asciiTheme="minorEastAsia" w:eastAsiaTheme="minorEastAsia" w:hAnsiTheme="minorEastAsia" w:hint="eastAsia"/>
          <w:color w:val="000000" w:themeColor="text1"/>
        </w:rPr>
        <w:t>销售</w:t>
      </w:r>
      <w:r w:rsidRPr="00F70FB9">
        <w:rPr>
          <w:rStyle w:val="da"/>
          <w:rFonts w:asciiTheme="minorEastAsia" w:eastAsiaTheme="minorEastAsia" w:hAnsiTheme="minorEastAsia" w:hint="eastAsia"/>
          <w:color w:val="000000" w:themeColor="text1"/>
        </w:rPr>
        <w:t>机构</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(1)基煜基金</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注册地址:上海市黄浦区广东路500号30层3001单元</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办公地址:上海市浦东新区银城中路488号太平金融大厦1503室</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法定代表人:王翔</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联系人:张巍婧</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联系电话:021-65370077</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客户服务电话:400-820-5369</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传真:021-55085991</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网址:https://www.jiyufund.com.cn/</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(2)蚂蚁基金</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注册地址:浙江省杭州市余杭区五常街道文一西路969号3幢5层599室</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办公地址:浙江省杭州市西湖区万塘路18号黄龙时代广场B座6F</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法定代表人:祖国明</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联系人:韩爱彬</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联系电话:0571-26888888</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客户服务电话:4000-766-123</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网址:http://www.fund123.cn/</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(3)腾安基金</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注册地址:深圳市前海深港合作区前湾一路1号A栋201室（入驻深圳市前海商务秘书有限公司）</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办公地址:深圳市南山区海天二路33号腾讯滨海大厦15楼</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法定代表人:刘明军</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联系人:谭广锋</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客户服务电话:95017（拨通后转1转8）</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网址:https://www.txfund.com/</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(4)天天基金</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注册地址:上海市徐汇区龙田路190号2号楼2层</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办公地址:上海市徐汇区宛平南路88号东方财富大厦</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法定代表人:其实</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联系人:屠彦洋</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联系电话:021-54509977</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客户服务电话:95021</w:t>
      </w:r>
    </w:p>
    <w:p w:rsidR="00B81EA7"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传真:021-64385308</w:t>
      </w:r>
    </w:p>
    <w:p w:rsidR="00660BE8"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网址:www.1234567.com.cn</w:t>
      </w:r>
    </w:p>
    <w:p w:rsidR="00FB790D" w:rsidRPr="00F70FB9" w:rsidP="00B81EA7">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基金管理人可根据情况变更或增减销售机构并在基金管理人网站公示</w:t>
      </w:r>
      <w:r w:rsidRPr="00F70FB9" w:rsidR="00067AF5">
        <w:rPr>
          <w:rStyle w:val="da"/>
          <w:rFonts w:asciiTheme="minorEastAsia" w:eastAsiaTheme="minorEastAsia" w:hAnsiTheme="minorEastAsia" w:hint="eastAsia"/>
          <w:color w:val="000000" w:themeColor="text1"/>
        </w:rPr>
        <w:t>。</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27" w:name="_Toc332373483"/>
      <w:r w:rsidRPr="00F70FB9">
        <w:rPr>
          <w:rStyle w:val="da"/>
          <w:rFonts w:asciiTheme="minorEastAsia" w:eastAsiaTheme="minorEastAsia" w:hAnsiTheme="minorEastAsia" w:hint="eastAsia"/>
          <w:color w:val="000000" w:themeColor="text1"/>
        </w:rPr>
        <w:t>（二）基金</w:t>
      </w:r>
      <w:bookmarkEnd w:id="27"/>
      <w:r w:rsidRPr="00F70FB9" w:rsidR="006F2DCE">
        <w:rPr>
          <w:rStyle w:val="da"/>
          <w:rFonts w:asciiTheme="minorEastAsia" w:eastAsiaTheme="minorEastAsia" w:hAnsiTheme="minorEastAsia" w:hint="eastAsia"/>
          <w:color w:val="000000" w:themeColor="text1"/>
        </w:rPr>
        <w:t>登记机构</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名称：易方达基金管理有限公司</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注册地址：</w:t>
      </w:r>
      <w:r w:rsidRPr="00F70FB9" w:rsidR="007D1552">
        <w:rPr>
          <w:rFonts w:asciiTheme="minorEastAsia" w:eastAsiaTheme="minorEastAsia" w:hAnsiTheme="minorEastAsia"/>
          <w:color w:val="000000" w:themeColor="text1"/>
        </w:rPr>
        <w:t>广东省珠海市横琴新区荣粤道188号6层</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color w:val="000000" w:themeColor="text1"/>
        </w:rPr>
        <w:t>办公</w:t>
      </w:r>
      <w:r w:rsidRPr="00F70FB9">
        <w:rPr>
          <w:rStyle w:val="da"/>
          <w:rFonts w:asciiTheme="minorEastAsia" w:eastAsiaTheme="minorEastAsia" w:hAnsiTheme="minorEastAsia" w:hint="eastAsia"/>
          <w:color w:val="000000" w:themeColor="text1"/>
        </w:rPr>
        <w:t>地址：</w:t>
      </w:r>
      <w:r w:rsidRPr="00F70FB9" w:rsidR="007445A2">
        <w:rPr>
          <w:rFonts w:asciiTheme="minorEastAsia" w:eastAsiaTheme="minorEastAsia" w:hAnsiTheme="minorEastAsia" w:hint="eastAsia"/>
          <w:color w:val="000000" w:themeColor="text1"/>
        </w:rPr>
        <w:t>广州市天河区珠江新城珠江东路30号广州银行大厦40-43楼</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法定代表人：</w:t>
      </w:r>
      <w:r w:rsidRPr="00F70FB9" w:rsidR="0018482F">
        <w:rPr>
          <w:rStyle w:val="da"/>
          <w:rFonts w:asciiTheme="minorEastAsia" w:eastAsiaTheme="minorEastAsia" w:hAnsiTheme="minorEastAsia" w:hint="eastAsia"/>
          <w:color w:val="000000" w:themeColor="text1"/>
        </w:rPr>
        <w:t>刘晓艳</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电话：4008818088</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传真：</w:t>
      </w:r>
      <w:r w:rsidRPr="00F70FB9">
        <w:rPr>
          <w:rStyle w:val="da"/>
          <w:rFonts w:asciiTheme="minorEastAsia" w:eastAsiaTheme="minorEastAsia" w:hAnsiTheme="minorEastAsia"/>
          <w:color w:val="000000" w:themeColor="text1"/>
        </w:rPr>
        <w:t>020</w:t>
      </w:r>
      <w:r w:rsidRPr="00F70FB9">
        <w:rPr>
          <w:rStyle w:val="da"/>
          <w:rFonts w:asciiTheme="minorEastAsia" w:eastAsiaTheme="minorEastAsia" w:hAnsiTheme="minorEastAsia" w:hint="eastAsia"/>
          <w:color w:val="000000" w:themeColor="text1"/>
        </w:rPr>
        <w:t>-38799249</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联系人：余贤高</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28" w:name="_Toc332373484"/>
      <w:r w:rsidRPr="00F70FB9">
        <w:rPr>
          <w:rStyle w:val="da"/>
          <w:rFonts w:asciiTheme="minorEastAsia" w:eastAsiaTheme="minorEastAsia" w:hAnsiTheme="minorEastAsia" w:hint="eastAsia"/>
          <w:color w:val="000000" w:themeColor="text1"/>
        </w:rPr>
        <w:t>（三）律师事务所和经办律师</w:t>
      </w:r>
      <w:bookmarkEnd w:id="28"/>
    </w:p>
    <w:p w:rsidR="00487742" w:rsidRPr="00F70FB9">
      <w:pPr>
        <w:spacing w:line="360" w:lineRule="auto"/>
        <w:ind w:firstLine="420" w:firstLineChars="200"/>
        <w:rPr>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律师事务所：</w:t>
      </w:r>
      <w:r w:rsidRPr="00F70FB9">
        <w:rPr>
          <w:rFonts w:asciiTheme="minorEastAsia" w:eastAsiaTheme="minorEastAsia" w:hAnsiTheme="minorEastAsia" w:hint="eastAsia"/>
          <w:color w:val="000000" w:themeColor="text1"/>
        </w:rPr>
        <w:t>广东金桥百信律师事务所</w:t>
      </w:r>
    </w:p>
    <w:p w:rsidR="00487742" w:rsidRPr="00F70FB9">
      <w:pPr>
        <w:spacing w:line="360" w:lineRule="auto"/>
        <w:ind w:firstLine="420" w:firstLineChars="200"/>
        <w:rPr>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地址：</w:t>
      </w:r>
      <w:r w:rsidRPr="00F70FB9">
        <w:rPr>
          <w:rFonts w:asciiTheme="minorEastAsia" w:eastAsiaTheme="minorEastAsia" w:hAnsiTheme="minorEastAsia" w:hint="eastAsia"/>
          <w:color w:val="000000" w:themeColor="text1"/>
        </w:rPr>
        <w:t>广东省广州市天河区珠江东路16号2401室</w:t>
      </w:r>
    </w:p>
    <w:p w:rsidR="00487742"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负责人：聂卫国</w:t>
      </w:r>
    </w:p>
    <w:p w:rsidR="00487742"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电话：</w:t>
      </w:r>
      <w:r w:rsidRPr="00F70FB9">
        <w:rPr>
          <w:rStyle w:val="da"/>
          <w:rFonts w:asciiTheme="minorEastAsia" w:eastAsiaTheme="minorEastAsia" w:hAnsiTheme="minorEastAsia"/>
          <w:color w:val="000000" w:themeColor="text1"/>
        </w:rPr>
        <w:t>020-83338668</w:t>
      </w:r>
    </w:p>
    <w:p w:rsidR="00487742" w:rsidRPr="00F70FB9">
      <w:pPr>
        <w:spacing w:line="360" w:lineRule="auto"/>
        <w:ind w:firstLine="420" w:firstLineChars="200"/>
        <w:rPr>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rPr>
        <w:t>传真：</w:t>
      </w:r>
      <w:r w:rsidRPr="00F70FB9">
        <w:rPr>
          <w:rFonts w:asciiTheme="minorEastAsia" w:eastAsiaTheme="minorEastAsia" w:hAnsiTheme="minorEastAsia"/>
          <w:color w:val="000000" w:themeColor="text1"/>
          <w:szCs w:val="21"/>
        </w:rPr>
        <w:t>020-83338088</w:t>
      </w:r>
    </w:p>
    <w:p w:rsidR="00487742"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经办律师：祝志群、郑怡玲</w:t>
      </w:r>
    </w:p>
    <w:p w:rsidR="00487742"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联系人：祝志群</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29" w:name="_Toc332373485"/>
      <w:r w:rsidRPr="00F70FB9">
        <w:rPr>
          <w:rStyle w:val="da"/>
          <w:rFonts w:asciiTheme="minorEastAsia" w:eastAsiaTheme="minorEastAsia" w:hAnsiTheme="minorEastAsia" w:hint="eastAsia"/>
          <w:color w:val="000000" w:themeColor="text1"/>
        </w:rPr>
        <w:t>（四）会计师事务所和经办注册会计师</w:t>
      </w:r>
      <w:bookmarkEnd w:id="29"/>
    </w:p>
    <w:p w:rsidR="008E3B7A"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会计师事务所：安永华明会计师事务所（特殊普通合伙）</w:t>
      </w:r>
    </w:p>
    <w:p w:rsidR="008E3B7A"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主要经营场所：北京市东城区东长安街</w:t>
      </w:r>
      <w:r w:rsidRPr="00F70FB9">
        <w:rPr>
          <w:rFonts w:asciiTheme="minorEastAsia" w:eastAsiaTheme="minorEastAsia" w:hAnsiTheme="minorEastAsia"/>
          <w:color w:val="000000" w:themeColor="text1"/>
        </w:rPr>
        <w:t>1</w:t>
      </w:r>
      <w:r w:rsidRPr="00F70FB9">
        <w:rPr>
          <w:rFonts w:asciiTheme="minorEastAsia" w:eastAsiaTheme="minorEastAsia" w:hAnsiTheme="minorEastAsia" w:hint="eastAsia"/>
          <w:color w:val="000000" w:themeColor="text1"/>
        </w:rPr>
        <w:t>号东方广场安永大楼</w:t>
      </w:r>
      <w:r w:rsidRPr="00F70FB9">
        <w:rPr>
          <w:rFonts w:asciiTheme="minorEastAsia" w:eastAsiaTheme="minorEastAsia" w:hAnsiTheme="minorEastAsia"/>
          <w:color w:val="000000" w:themeColor="text1"/>
        </w:rPr>
        <w:t>17</w:t>
      </w:r>
      <w:r w:rsidRPr="00F70FB9">
        <w:rPr>
          <w:rFonts w:asciiTheme="minorEastAsia" w:eastAsiaTheme="minorEastAsia" w:hAnsiTheme="minorEastAsia" w:hint="eastAsia"/>
          <w:color w:val="000000" w:themeColor="text1"/>
        </w:rPr>
        <w:t>层</w:t>
      </w:r>
      <w:r w:rsidRPr="00F70FB9">
        <w:rPr>
          <w:rFonts w:asciiTheme="minorEastAsia" w:eastAsiaTheme="minorEastAsia" w:hAnsiTheme="minorEastAsia"/>
          <w:color w:val="000000" w:themeColor="text1"/>
        </w:rPr>
        <w:t>01-12</w:t>
      </w:r>
      <w:r w:rsidRPr="00F70FB9">
        <w:rPr>
          <w:rFonts w:asciiTheme="minorEastAsia" w:eastAsiaTheme="minorEastAsia" w:hAnsiTheme="minorEastAsia" w:hint="eastAsia"/>
          <w:color w:val="000000" w:themeColor="text1"/>
        </w:rPr>
        <w:t>室</w:t>
      </w:r>
    </w:p>
    <w:p w:rsidR="008E3B7A"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执行事务合伙人：</w:t>
      </w:r>
      <w:r w:rsidRPr="00F70FB9">
        <w:rPr>
          <w:rFonts w:asciiTheme="minorEastAsia" w:eastAsiaTheme="minorEastAsia" w:hAnsiTheme="minorEastAsia"/>
          <w:color w:val="000000" w:themeColor="text1"/>
        </w:rPr>
        <w:t>TonyMao</w:t>
      </w:r>
      <w:r w:rsidRPr="00F70FB9">
        <w:rPr>
          <w:rFonts w:asciiTheme="minorEastAsia" w:eastAsiaTheme="minorEastAsia" w:hAnsiTheme="minorEastAsia" w:hint="eastAsia"/>
          <w:color w:val="000000" w:themeColor="text1"/>
        </w:rPr>
        <w:t>毛鞍宁</w:t>
      </w:r>
    </w:p>
    <w:p w:rsidR="008E3B7A"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电话：</w:t>
      </w:r>
      <w:r w:rsidRPr="00F70FB9">
        <w:rPr>
          <w:rFonts w:asciiTheme="minorEastAsia" w:eastAsiaTheme="minorEastAsia" w:hAnsiTheme="minorEastAsia"/>
          <w:color w:val="000000" w:themeColor="text1"/>
        </w:rPr>
        <w:t>010-58153000</w:t>
      </w:r>
    </w:p>
    <w:p w:rsidR="008E3B7A"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传真：</w:t>
      </w:r>
      <w:r w:rsidRPr="00F70FB9">
        <w:rPr>
          <w:rFonts w:asciiTheme="minorEastAsia" w:eastAsiaTheme="minorEastAsia" w:hAnsiTheme="minorEastAsia"/>
          <w:color w:val="000000" w:themeColor="text1"/>
        </w:rPr>
        <w:t>010-85188298</w:t>
      </w:r>
    </w:p>
    <w:p w:rsidR="008E3B7A"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经办注册会计师：</w:t>
      </w:r>
      <w:r w:rsidRPr="00F70FB9" w:rsidR="00660BE8">
        <w:rPr>
          <w:rFonts w:asciiTheme="minorEastAsia" w:eastAsiaTheme="minorEastAsia" w:hAnsiTheme="minorEastAsia" w:hint="eastAsia"/>
          <w:color w:val="000000" w:themeColor="text1"/>
        </w:rPr>
        <w:t>昌华、马婧</w:t>
      </w:r>
    </w:p>
    <w:p w:rsidR="00BA4B87" w:rsidRPr="00F70FB9" w:rsidP="001D2FA9">
      <w:pPr>
        <w:spacing w:line="360" w:lineRule="auto"/>
        <w:ind w:firstLine="420" w:firstLineChars="20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联系人：</w:t>
      </w:r>
      <w:r w:rsidRPr="00F70FB9" w:rsidR="00F52250">
        <w:rPr>
          <w:rFonts w:asciiTheme="minorEastAsia" w:eastAsiaTheme="minorEastAsia" w:hAnsiTheme="minorEastAsia" w:hint="eastAsia"/>
          <w:color w:val="000000" w:themeColor="text1"/>
        </w:rPr>
        <w:t>昌华</w:t>
      </w:r>
    </w:p>
    <w:p w:rsidR="004F2A7F" w:rsidRPr="00F70FB9" w:rsidP="007025AF">
      <w:pPr>
        <w:pStyle w:val="20"/>
        <w:spacing w:before="0" w:beforeAutospacing="0" w:after="0" w:afterAutospacing="0"/>
        <w:ind w:firstLine="0" w:firstLineChars="0"/>
        <w:rPr>
          <w:rFonts w:asciiTheme="minorEastAsia" w:eastAsiaTheme="minorEastAsia" w:hAnsiTheme="minorEastAsia"/>
          <w:color w:val="000000" w:themeColor="text1"/>
          <w:szCs w:val="21"/>
        </w:rPr>
        <w:sectPr w:rsidSect="00D01390">
          <w:footerReference w:type="default" r:id="rId13"/>
          <w:pgSz w:w="11906" w:h="16838" w:code="9"/>
          <w:pgMar w:top="1440" w:right="1800" w:bottom="1440" w:left="1800" w:header="851" w:footer="992" w:gutter="0"/>
          <w:pgNumType w:start="1"/>
          <w:cols w:space="720"/>
          <w:docGrid w:type="lines" w:linePitch="317"/>
        </w:sectPr>
      </w:pPr>
    </w:p>
    <w:p w:rsidR="00BA4B87" w:rsidRPr="00F70FB9" w:rsidP="001D2FA9">
      <w:pPr>
        <w:pStyle w:val="Heading1"/>
        <w:pageBreakBefore/>
        <w:spacing w:before="317" w:after="317" w:line="360" w:lineRule="auto"/>
        <w:ind w:firstLine="640"/>
        <w:rPr>
          <w:rFonts w:asciiTheme="minorEastAsia" w:eastAsiaTheme="minorEastAsia" w:hAnsiTheme="minorEastAsia"/>
          <w:bCs/>
          <w:color w:val="000000" w:themeColor="text1"/>
        </w:rPr>
      </w:pPr>
      <w:bookmarkStart w:id="30" w:name="_Toc332373486"/>
      <w:bookmarkStart w:id="31" w:name="_Toc103006333"/>
      <w:r w:rsidRPr="00F70FB9">
        <w:rPr>
          <w:rFonts w:asciiTheme="minorEastAsia" w:eastAsiaTheme="minorEastAsia" w:hAnsiTheme="minorEastAsia" w:hint="eastAsia"/>
          <w:bCs/>
          <w:color w:val="000000" w:themeColor="text1"/>
        </w:rPr>
        <w:t>六、基金的募集</w:t>
      </w:r>
      <w:bookmarkEnd w:id="30"/>
      <w:bookmarkEnd w:id="31"/>
    </w:p>
    <w:p w:rsidR="00F27638" w:rsidRPr="00F70FB9">
      <w:pPr>
        <w:spacing w:line="360" w:lineRule="auto"/>
        <w:ind w:firstLine="420" w:firstLineChars="200"/>
        <w:rPr>
          <w:rStyle w:val="da"/>
          <w:rFonts w:asciiTheme="minorEastAsia" w:eastAsiaTheme="minorEastAsia" w:hAnsiTheme="minorEastAsia"/>
          <w:color w:val="000000" w:themeColor="text1"/>
        </w:rPr>
      </w:pPr>
      <w:bookmarkStart w:id="32" w:name="_Toc332373487"/>
      <w:r w:rsidRPr="00F70FB9">
        <w:rPr>
          <w:rFonts w:asciiTheme="minorEastAsia" w:eastAsiaTheme="minorEastAsia" w:hAnsiTheme="minorEastAsia" w:hint="eastAsia"/>
          <w:color w:val="000000" w:themeColor="text1"/>
          <w:szCs w:val="21"/>
        </w:rPr>
        <w:t>本基金由基金管理人依照《基金法》、《运作办法》、《销售办法》、基金合同的相关规定</w:t>
      </w:r>
      <w:r w:rsidRPr="00F70FB9" w:rsidR="00F52250">
        <w:rPr>
          <w:rFonts w:asciiTheme="minorEastAsia" w:eastAsiaTheme="minorEastAsia" w:hAnsiTheme="minorEastAsia" w:hint="eastAsia"/>
          <w:color w:val="000000" w:themeColor="text1"/>
          <w:szCs w:val="21"/>
        </w:rPr>
        <w:t>募集</w:t>
      </w:r>
      <w:r w:rsidRPr="00F70FB9">
        <w:rPr>
          <w:rFonts w:asciiTheme="minorEastAsia" w:eastAsiaTheme="minorEastAsia" w:hAnsiTheme="minorEastAsia" w:hint="eastAsia"/>
          <w:color w:val="000000" w:themeColor="text1"/>
          <w:szCs w:val="21"/>
        </w:rPr>
        <w:t>，</w:t>
      </w:r>
      <w:r w:rsidRPr="00F70FB9" w:rsidR="00F52250">
        <w:rPr>
          <w:rFonts w:asciiTheme="minorEastAsia" w:eastAsiaTheme="minorEastAsia" w:hAnsiTheme="minorEastAsia" w:hint="eastAsia"/>
          <w:color w:val="000000" w:themeColor="text1"/>
          <w:szCs w:val="21"/>
        </w:rPr>
        <w:t>本基金已经</w:t>
      </w:r>
      <w:r w:rsidRPr="00F70FB9">
        <w:rPr>
          <w:rFonts w:asciiTheme="minorEastAsia" w:eastAsiaTheme="minorEastAsia" w:hAnsiTheme="minorEastAsia"/>
          <w:color w:val="000000" w:themeColor="text1"/>
          <w:szCs w:val="21"/>
        </w:rPr>
        <w:t>中国证券监督管理委员会</w:t>
      </w:r>
      <w:r w:rsidRPr="00F70FB9" w:rsidR="00F52250">
        <w:rPr>
          <w:rFonts w:asciiTheme="minorEastAsia" w:eastAsiaTheme="minorEastAsia" w:hAnsiTheme="minorEastAsia"/>
          <w:color w:val="000000" w:themeColor="text1"/>
          <w:szCs w:val="21"/>
        </w:rPr>
        <w:t>2016</w:t>
      </w:r>
      <w:r w:rsidRPr="00F70FB9" w:rsidR="00F52250">
        <w:rPr>
          <w:rFonts w:asciiTheme="minorEastAsia" w:eastAsiaTheme="minorEastAsia" w:hAnsiTheme="minorEastAsia" w:hint="eastAsia"/>
          <w:color w:val="000000" w:themeColor="text1"/>
          <w:szCs w:val="21"/>
        </w:rPr>
        <w:t>年</w:t>
      </w:r>
      <w:r w:rsidRPr="00F70FB9" w:rsidR="00F52250">
        <w:rPr>
          <w:rFonts w:asciiTheme="minorEastAsia" w:eastAsiaTheme="minorEastAsia" w:hAnsiTheme="minorEastAsia"/>
          <w:color w:val="000000" w:themeColor="text1"/>
          <w:szCs w:val="21"/>
        </w:rPr>
        <w:t>11</w:t>
      </w:r>
      <w:r w:rsidRPr="00F70FB9" w:rsidR="00F52250">
        <w:rPr>
          <w:rFonts w:asciiTheme="minorEastAsia" w:eastAsiaTheme="minorEastAsia" w:hAnsiTheme="minorEastAsia" w:hint="eastAsia"/>
          <w:color w:val="000000" w:themeColor="text1"/>
          <w:szCs w:val="21"/>
        </w:rPr>
        <w:t>月</w:t>
      </w:r>
      <w:r w:rsidRPr="00F70FB9" w:rsidR="00F52250">
        <w:rPr>
          <w:rFonts w:asciiTheme="minorEastAsia" w:eastAsiaTheme="minorEastAsia" w:hAnsiTheme="minorEastAsia"/>
          <w:color w:val="000000" w:themeColor="text1"/>
          <w:szCs w:val="21"/>
        </w:rPr>
        <w:t>24</w:t>
      </w:r>
      <w:r w:rsidRPr="00F70FB9" w:rsidR="00F52250">
        <w:rPr>
          <w:rFonts w:asciiTheme="minorEastAsia" w:eastAsiaTheme="minorEastAsia" w:hAnsiTheme="minorEastAsia" w:hint="eastAsia"/>
          <w:color w:val="000000" w:themeColor="text1"/>
          <w:szCs w:val="21"/>
        </w:rPr>
        <w:t>日</w:t>
      </w:r>
      <w:r w:rsidRPr="00F70FB9">
        <w:rPr>
          <w:rFonts w:asciiTheme="minorEastAsia" w:eastAsiaTheme="minorEastAsia" w:hAnsiTheme="minorEastAsia" w:hint="eastAsia"/>
          <w:color w:val="000000" w:themeColor="text1"/>
          <w:szCs w:val="21"/>
        </w:rPr>
        <w:t>《关于准予易方达瑞程灵活配置混合型证券投资基金注册的批复》（证监许可[2016]2801号）</w:t>
      </w:r>
      <w:r w:rsidRPr="00F70FB9" w:rsidR="00871490">
        <w:rPr>
          <w:rFonts w:asciiTheme="minorEastAsia" w:eastAsiaTheme="minorEastAsia" w:hAnsiTheme="minorEastAsia" w:hint="eastAsia"/>
          <w:color w:val="000000" w:themeColor="text1"/>
          <w:szCs w:val="21"/>
        </w:rPr>
        <w:t>注册</w:t>
      </w:r>
      <w:r w:rsidRPr="00F70FB9">
        <w:rPr>
          <w:rFonts w:asciiTheme="minorEastAsia" w:eastAsiaTheme="minorEastAsia" w:hAnsiTheme="minorEastAsia" w:hint="eastAsia"/>
          <w:color w:val="000000" w:themeColor="text1"/>
          <w:szCs w:val="21"/>
        </w:rPr>
        <w:t>。</w:t>
      </w:r>
    </w:p>
    <w:p w:rsidR="00F2763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本基金为契约型开放式混合型证券投资基金，</w:t>
      </w:r>
      <w:r w:rsidRPr="00F70FB9">
        <w:rPr>
          <w:rStyle w:val="da"/>
          <w:rFonts w:asciiTheme="minorEastAsia" w:eastAsiaTheme="minorEastAsia" w:hAnsiTheme="minorEastAsia"/>
          <w:color w:val="000000" w:themeColor="text1"/>
        </w:rPr>
        <w:t>基金存续期为不定期。</w:t>
      </w:r>
    </w:p>
    <w:p w:rsidR="00F27638" w:rsidRPr="00F70FB9">
      <w:pPr>
        <w:spacing w:line="360" w:lineRule="auto"/>
        <w:ind w:firstLine="420" w:firstLineChars="200"/>
        <w:rPr>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本基金募集</w:t>
      </w:r>
      <w:r w:rsidRPr="00F70FB9">
        <w:rPr>
          <w:rStyle w:val="da"/>
          <w:rFonts w:asciiTheme="minorEastAsia" w:eastAsiaTheme="minorEastAsia" w:hAnsiTheme="minorEastAsia"/>
          <w:color w:val="000000" w:themeColor="text1"/>
        </w:rPr>
        <w:t>期间每份</w:t>
      </w:r>
      <w:r w:rsidRPr="00F70FB9">
        <w:rPr>
          <w:rFonts w:asciiTheme="minorEastAsia" w:eastAsiaTheme="minorEastAsia" w:hAnsiTheme="minorEastAsia" w:hint="eastAsia"/>
          <w:color w:val="000000" w:themeColor="text1"/>
        </w:rPr>
        <w:t>基金份额初始面值为1</w:t>
      </w:r>
      <w:r w:rsidRPr="00F70FB9">
        <w:rPr>
          <w:rFonts w:asciiTheme="minorEastAsia" w:eastAsiaTheme="minorEastAsia" w:hAnsiTheme="minorEastAsia"/>
          <w:color w:val="000000" w:themeColor="text1"/>
        </w:rPr>
        <w:t>.</w:t>
      </w:r>
      <w:r w:rsidRPr="00F70FB9">
        <w:rPr>
          <w:rFonts w:asciiTheme="minorEastAsia" w:eastAsiaTheme="minorEastAsia" w:hAnsiTheme="minorEastAsia" w:hint="eastAsia"/>
          <w:color w:val="000000" w:themeColor="text1"/>
        </w:rPr>
        <w:t>00元人民币。</w:t>
      </w:r>
    </w:p>
    <w:p w:rsidR="00F27638"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本基金</w:t>
      </w:r>
      <w:r w:rsidRPr="00F70FB9">
        <w:rPr>
          <w:rStyle w:val="da"/>
          <w:rFonts w:asciiTheme="minorEastAsia" w:eastAsiaTheme="minorEastAsia" w:hAnsiTheme="minorEastAsia"/>
          <w:color w:val="000000" w:themeColor="text1"/>
        </w:rPr>
        <w:t>募集期</w:t>
      </w:r>
      <w:r w:rsidRPr="00F70FB9">
        <w:rPr>
          <w:rStyle w:val="da"/>
          <w:rFonts w:asciiTheme="minorEastAsia" w:eastAsiaTheme="minorEastAsia" w:hAnsiTheme="minorEastAsia" w:hint="eastAsia"/>
          <w:color w:val="000000" w:themeColor="text1"/>
        </w:rPr>
        <w:t>自2016年</w:t>
      </w:r>
      <w:r w:rsidRPr="00F70FB9">
        <w:rPr>
          <w:rStyle w:val="da"/>
          <w:rFonts w:asciiTheme="minorEastAsia" w:eastAsiaTheme="minorEastAsia" w:hAnsiTheme="minorEastAsia"/>
          <w:color w:val="000000" w:themeColor="text1"/>
        </w:rPr>
        <w:t>12</w:t>
      </w:r>
      <w:r w:rsidRPr="00F70FB9">
        <w:rPr>
          <w:rStyle w:val="da"/>
          <w:rFonts w:asciiTheme="minorEastAsia" w:eastAsiaTheme="minorEastAsia" w:hAnsiTheme="minorEastAsia" w:hint="eastAsia"/>
          <w:color w:val="000000" w:themeColor="text1"/>
        </w:rPr>
        <w:t>月</w:t>
      </w:r>
      <w:r w:rsidRPr="00F70FB9" w:rsidR="00BA6A79">
        <w:rPr>
          <w:rStyle w:val="da"/>
          <w:rFonts w:asciiTheme="minorEastAsia" w:eastAsiaTheme="minorEastAsia" w:hAnsiTheme="minorEastAsia"/>
          <w:color w:val="000000" w:themeColor="text1"/>
        </w:rPr>
        <w:t>12</w:t>
      </w:r>
      <w:r w:rsidRPr="00F70FB9">
        <w:rPr>
          <w:rStyle w:val="da"/>
          <w:rFonts w:asciiTheme="minorEastAsia" w:eastAsiaTheme="minorEastAsia" w:hAnsiTheme="minorEastAsia" w:hint="eastAsia"/>
          <w:color w:val="000000" w:themeColor="text1"/>
        </w:rPr>
        <w:t>日至2016年1</w:t>
      </w:r>
      <w:r w:rsidRPr="00F70FB9">
        <w:rPr>
          <w:rStyle w:val="da"/>
          <w:rFonts w:asciiTheme="minorEastAsia" w:eastAsiaTheme="minorEastAsia" w:hAnsiTheme="minorEastAsia"/>
          <w:color w:val="000000" w:themeColor="text1"/>
        </w:rPr>
        <w:t>2</w:t>
      </w:r>
      <w:r w:rsidRPr="00F70FB9">
        <w:rPr>
          <w:rStyle w:val="da"/>
          <w:rFonts w:asciiTheme="minorEastAsia" w:eastAsiaTheme="minorEastAsia" w:hAnsiTheme="minorEastAsia" w:hint="eastAsia"/>
          <w:color w:val="000000" w:themeColor="text1"/>
        </w:rPr>
        <w:t>月</w:t>
      </w:r>
      <w:r w:rsidRPr="00F70FB9" w:rsidR="00BA6A79">
        <w:rPr>
          <w:rStyle w:val="da"/>
          <w:rFonts w:asciiTheme="minorEastAsia" w:eastAsiaTheme="minorEastAsia" w:hAnsiTheme="minorEastAsia"/>
          <w:color w:val="000000" w:themeColor="text1"/>
        </w:rPr>
        <w:t>13</w:t>
      </w:r>
      <w:r w:rsidRPr="00F70FB9">
        <w:rPr>
          <w:rStyle w:val="da"/>
          <w:rFonts w:asciiTheme="minorEastAsia" w:eastAsiaTheme="minorEastAsia" w:hAnsiTheme="minorEastAsia" w:hint="eastAsia"/>
          <w:color w:val="000000" w:themeColor="text1"/>
        </w:rPr>
        <w:t>日。</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33" w:name="_Toc332373491"/>
      <w:bookmarkEnd w:id="32"/>
      <w:r w:rsidRPr="00F70FB9">
        <w:rPr>
          <w:rStyle w:val="da"/>
          <w:rFonts w:asciiTheme="minorEastAsia" w:eastAsiaTheme="minorEastAsia" w:hAnsiTheme="minorEastAsia" w:hint="eastAsia"/>
          <w:color w:val="000000" w:themeColor="text1"/>
        </w:rPr>
        <w:t>募集对象</w:t>
      </w:r>
      <w:bookmarkEnd w:id="33"/>
      <w:r w:rsidRPr="00F70FB9" w:rsidR="00F27638">
        <w:rPr>
          <w:rStyle w:val="da"/>
          <w:rFonts w:asciiTheme="minorEastAsia" w:eastAsiaTheme="minorEastAsia" w:hAnsiTheme="minorEastAsia" w:hint="eastAsia"/>
          <w:color w:val="000000" w:themeColor="text1"/>
        </w:rPr>
        <w:t>为</w:t>
      </w:r>
      <w:r w:rsidRPr="00F70FB9"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F70FB9">
      <w:pPr>
        <w:spacing w:line="360" w:lineRule="auto"/>
        <w:ind w:firstLine="420" w:firstLineChars="200"/>
        <w:rPr>
          <w:rFonts w:asciiTheme="minorEastAsia" w:eastAsiaTheme="minorEastAsia" w:hAnsiTheme="minorEastAsia"/>
          <w:color w:val="000000" w:themeColor="text1"/>
        </w:rPr>
      </w:pPr>
    </w:p>
    <w:p w:rsidR="004F2A7F" w:rsidRPr="00F70FB9">
      <w:pPr>
        <w:spacing w:line="312" w:lineRule="auto"/>
        <w:ind w:firstLine="420" w:firstLineChars="200"/>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4F2A7F" w:rsidRPr="00F70FB9">
      <w:pPr>
        <w:rPr>
          <w:rFonts w:asciiTheme="minorEastAsia" w:eastAsiaTheme="minorEastAsia" w:hAnsiTheme="minorEastAsia"/>
          <w:color w:val="000000" w:themeColor="text1"/>
        </w:rPr>
      </w:pPr>
    </w:p>
    <w:p w:rsidR="005D66CE" w:rsidRPr="00F70FB9">
      <w:pPr>
        <w:jc w:val="center"/>
        <w:rPr>
          <w:rFonts w:asciiTheme="minorEastAsia" w:eastAsiaTheme="minorEastAsia" w:hAnsiTheme="minorEastAsia"/>
          <w:color w:val="000000" w:themeColor="text1"/>
        </w:rPr>
      </w:pPr>
    </w:p>
    <w:p w:rsidR="00BA4B87" w:rsidRPr="00F70FB9">
      <w:pPr>
        <w:pStyle w:val="Heading1"/>
        <w:pageBreakBefore/>
        <w:spacing w:before="317" w:after="317" w:line="360" w:lineRule="auto"/>
        <w:ind w:firstLine="640"/>
        <w:rPr>
          <w:rFonts w:asciiTheme="minorEastAsia" w:eastAsiaTheme="minorEastAsia" w:hAnsiTheme="minorEastAsia"/>
          <w:color w:val="000000" w:themeColor="text1"/>
        </w:rPr>
      </w:pPr>
      <w:bookmarkStart w:id="34" w:name="_Toc332373495"/>
      <w:bookmarkStart w:id="35" w:name="_Toc103006334"/>
      <w:r w:rsidRPr="00F70FB9">
        <w:rPr>
          <w:rFonts w:asciiTheme="minorEastAsia" w:eastAsiaTheme="minorEastAsia" w:hAnsiTheme="minorEastAsia" w:hint="eastAsia"/>
          <w:bCs/>
          <w:color w:val="000000" w:themeColor="text1"/>
        </w:rPr>
        <w:t>七、基金合同的生效</w:t>
      </w:r>
      <w:bookmarkEnd w:id="34"/>
      <w:bookmarkEnd w:id="35"/>
    </w:p>
    <w:p w:rsidR="00DB6D30" w:rsidRPr="00F70FB9">
      <w:pPr>
        <w:spacing w:line="360" w:lineRule="auto"/>
        <w:ind w:firstLine="420" w:firstLineChars="200"/>
        <w:rPr>
          <w:rFonts w:asciiTheme="minorEastAsia" w:eastAsiaTheme="minorEastAsia" w:hAnsiTheme="minorEastAsia"/>
          <w:color w:val="000000" w:themeColor="text1"/>
          <w:szCs w:val="21"/>
        </w:rPr>
      </w:pPr>
      <w:bookmarkStart w:id="36" w:name="_Toc332373496"/>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一</w:t>
      </w:r>
      <w:r w:rsidRPr="00F70FB9">
        <w:rPr>
          <w:rFonts w:asciiTheme="minorEastAsia" w:eastAsiaTheme="minorEastAsia" w:hAnsiTheme="minorEastAsia" w:hint="eastAsia"/>
          <w:color w:val="000000" w:themeColor="text1"/>
          <w:szCs w:val="21"/>
        </w:rPr>
        <w:t>）</w:t>
      </w:r>
      <w:r w:rsidRPr="00F70FB9" w:rsidR="009D22E9">
        <w:rPr>
          <w:rFonts w:asciiTheme="minorEastAsia" w:eastAsiaTheme="minorEastAsia" w:hAnsiTheme="minorEastAsia"/>
          <w:color w:val="000000" w:themeColor="text1"/>
          <w:szCs w:val="21"/>
        </w:rPr>
        <w:t>基金</w:t>
      </w:r>
      <w:r w:rsidRPr="00F70FB9" w:rsidR="009D22E9">
        <w:rPr>
          <w:rFonts w:asciiTheme="minorEastAsia" w:eastAsiaTheme="minorEastAsia" w:hAnsiTheme="minorEastAsia" w:hint="eastAsia"/>
          <w:color w:val="000000" w:themeColor="text1"/>
          <w:szCs w:val="21"/>
        </w:rPr>
        <w:t>合同的</w:t>
      </w:r>
      <w:r w:rsidRPr="00F70FB9" w:rsidR="009D22E9">
        <w:rPr>
          <w:rFonts w:asciiTheme="minorEastAsia" w:eastAsiaTheme="minorEastAsia" w:hAnsiTheme="minorEastAsia"/>
          <w:color w:val="000000" w:themeColor="text1"/>
          <w:szCs w:val="21"/>
        </w:rPr>
        <w:t>生效</w:t>
      </w:r>
    </w:p>
    <w:p w:rsidR="007B153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rPr>
        <w:t>本基金</w:t>
      </w:r>
      <w:r w:rsidRPr="00F70FB9">
        <w:rPr>
          <w:rFonts w:asciiTheme="minorEastAsia" w:eastAsiaTheme="minorEastAsia" w:hAnsiTheme="minorEastAsia" w:hint="eastAsia"/>
          <w:color w:val="000000" w:themeColor="text1"/>
        </w:rPr>
        <w:t>基金合同于201</w:t>
      </w:r>
      <w:r w:rsidRPr="00F70FB9">
        <w:rPr>
          <w:rFonts w:asciiTheme="minorEastAsia" w:eastAsiaTheme="minorEastAsia" w:hAnsiTheme="minorEastAsia"/>
          <w:color w:val="000000" w:themeColor="text1"/>
        </w:rPr>
        <w:t>6</w:t>
      </w:r>
      <w:r w:rsidRPr="00F70FB9">
        <w:rPr>
          <w:rFonts w:asciiTheme="minorEastAsia" w:eastAsiaTheme="minorEastAsia" w:hAnsiTheme="minorEastAsia" w:hint="eastAsia"/>
          <w:color w:val="000000" w:themeColor="text1"/>
        </w:rPr>
        <w:t>年</w:t>
      </w:r>
      <w:r w:rsidRPr="00F70FB9">
        <w:rPr>
          <w:rFonts w:asciiTheme="minorEastAsia" w:eastAsiaTheme="minorEastAsia" w:hAnsiTheme="minorEastAsia"/>
          <w:color w:val="000000" w:themeColor="text1"/>
        </w:rPr>
        <w:t>12</w:t>
      </w:r>
      <w:r w:rsidRPr="00F70FB9">
        <w:rPr>
          <w:rFonts w:asciiTheme="minorEastAsia" w:eastAsiaTheme="minorEastAsia" w:hAnsiTheme="minorEastAsia" w:hint="eastAsia"/>
          <w:color w:val="000000" w:themeColor="text1"/>
        </w:rPr>
        <w:t>月</w:t>
      </w:r>
      <w:r w:rsidRPr="00F70FB9">
        <w:rPr>
          <w:rFonts w:asciiTheme="minorEastAsia" w:eastAsiaTheme="minorEastAsia" w:hAnsiTheme="minorEastAsia"/>
          <w:color w:val="000000" w:themeColor="text1"/>
        </w:rPr>
        <w:t>15</w:t>
      </w:r>
      <w:r w:rsidRPr="00F70FB9">
        <w:rPr>
          <w:rFonts w:asciiTheme="minorEastAsia" w:eastAsiaTheme="minorEastAsia" w:hAnsiTheme="minorEastAsia" w:hint="eastAsia"/>
          <w:color w:val="000000" w:themeColor="text1"/>
        </w:rPr>
        <w:t>日正式生效。自基金合同生效日起，本基金管理人正式开始管理本基金。</w:t>
      </w:r>
    </w:p>
    <w:p w:rsidR="00326CD2"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二</w:t>
      </w:r>
      <w:r w:rsidRPr="00F70FB9">
        <w:rPr>
          <w:rFonts w:asciiTheme="minorEastAsia" w:eastAsiaTheme="minorEastAsia" w:hAnsiTheme="minorEastAsia" w:hint="eastAsia"/>
          <w:color w:val="000000" w:themeColor="text1"/>
          <w:szCs w:val="21"/>
        </w:rPr>
        <w:t>）基金存续期内的基金份额持有人数量和资产规模</w:t>
      </w:r>
    </w:p>
    <w:p w:rsidR="00E81C49"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DB6D3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法律法规或基金合同另有规定时，从其规定。</w:t>
      </w:r>
    </w:p>
    <w:bookmarkEnd w:id="36"/>
    <w:p w:rsidR="00BA4B87" w:rsidRPr="00F70FB9">
      <w:pPr>
        <w:pStyle w:val="Heading1"/>
        <w:spacing w:before="317" w:after="317" w:line="360" w:lineRule="auto"/>
        <w:ind w:firstLine="48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sz w:val="24"/>
        </w:rPr>
        <w:br w:type="column"/>
      </w:r>
      <w:bookmarkStart w:id="37" w:name="_Toc332373499"/>
      <w:bookmarkStart w:id="38" w:name="_Toc103006335"/>
      <w:r w:rsidRPr="00F70FB9">
        <w:rPr>
          <w:rFonts w:asciiTheme="minorEastAsia" w:eastAsiaTheme="minorEastAsia" w:hAnsiTheme="minorEastAsia" w:hint="eastAsia"/>
          <w:color w:val="000000" w:themeColor="text1"/>
        </w:rPr>
        <w:t>八、基金份额的申购、赎回</w:t>
      </w:r>
      <w:bookmarkEnd w:id="37"/>
      <w:bookmarkEnd w:id="38"/>
    </w:p>
    <w:p w:rsidR="00BA4B87" w:rsidRPr="00F70FB9">
      <w:pPr>
        <w:spacing w:line="360" w:lineRule="auto"/>
        <w:ind w:firstLine="420" w:firstLineChars="200"/>
        <w:rPr>
          <w:rStyle w:val="da"/>
          <w:rFonts w:asciiTheme="minorEastAsia" w:eastAsiaTheme="minorEastAsia" w:hAnsiTheme="minorEastAsia"/>
          <w:color w:val="000000" w:themeColor="text1"/>
          <w:szCs w:val="21"/>
        </w:rPr>
      </w:pPr>
      <w:bookmarkStart w:id="39" w:name="_Toc332373500"/>
      <w:r w:rsidRPr="00F70FB9">
        <w:rPr>
          <w:rStyle w:val="da"/>
          <w:rFonts w:asciiTheme="minorEastAsia" w:eastAsiaTheme="minorEastAsia" w:hAnsiTheme="minorEastAsia" w:hint="eastAsia"/>
          <w:color w:val="000000" w:themeColor="text1"/>
          <w:szCs w:val="21"/>
        </w:rPr>
        <w:t>（一）基金</w:t>
      </w:r>
      <w:r w:rsidRPr="00F70FB9" w:rsidR="008D4032">
        <w:rPr>
          <w:rStyle w:val="da"/>
          <w:rFonts w:asciiTheme="minorEastAsia" w:eastAsiaTheme="minorEastAsia" w:hAnsiTheme="minorEastAsia" w:hint="eastAsia"/>
          <w:color w:val="000000" w:themeColor="text1"/>
          <w:szCs w:val="21"/>
        </w:rPr>
        <w:t>投资人</w:t>
      </w:r>
      <w:r w:rsidRPr="00F70FB9">
        <w:rPr>
          <w:rStyle w:val="da"/>
          <w:rFonts w:asciiTheme="minorEastAsia" w:eastAsiaTheme="minorEastAsia" w:hAnsiTheme="minorEastAsia" w:hint="eastAsia"/>
          <w:color w:val="000000" w:themeColor="text1"/>
          <w:szCs w:val="21"/>
        </w:rPr>
        <w:t>范围</w:t>
      </w:r>
      <w:bookmarkEnd w:id="39"/>
    </w:p>
    <w:p w:rsidR="00BA4B87" w:rsidRPr="00F70FB9">
      <w:pPr>
        <w:spacing w:line="360" w:lineRule="auto"/>
        <w:ind w:firstLine="424" w:firstLineChars="202"/>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F70FB9">
      <w:pPr>
        <w:spacing w:line="360" w:lineRule="auto"/>
        <w:ind w:firstLine="420" w:firstLineChars="200"/>
        <w:rPr>
          <w:rStyle w:val="da"/>
          <w:rFonts w:asciiTheme="minorEastAsia" w:eastAsiaTheme="minorEastAsia" w:hAnsiTheme="minorEastAsia"/>
          <w:color w:val="000000" w:themeColor="text1"/>
          <w:szCs w:val="21"/>
        </w:rPr>
      </w:pPr>
      <w:bookmarkStart w:id="40" w:name="_Toc332373501"/>
      <w:r w:rsidRPr="00F70FB9">
        <w:rPr>
          <w:rStyle w:val="da"/>
          <w:rFonts w:asciiTheme="minorEastAsia" w:eastAsiaTheme="minorEastAsia" w:hAnsiTheme="minorEastAsia" w:hint="eastAsia"/>
          <w:color w:val="000000" w:themeColor="text1"/>
          <w:szCs w:val="21"/>
        </w:rPr>
        <w:t>（二）申购与赎回的场所</w:t>
      </w:r>
      <w:bookmarkEnd w:id="40"/>
    </w:p>
    <w:p w:rsidR="00BA4B87" w:rsidRPr="00F70FB9">
      <w:pPr>
        <w:spacing w:line="360" w:lineRule="auto"/>
        <w:ind w:firstLine="424" w:firstLineChars="202"/>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本基金的申购与赎回将通过销售机构进行。基金管理人可根据情况变更或增减销售机构，</w:t>
      </w:r>
      <w:r w:rsidRPr="00F70FB9" w:rsidR="00EB5603">
        <w:rPr>
          <w:rFonts w:asciiTheme="minorEastAsia" w:eastAsiaTheme="minorEastAsia" w:hAnsiTheme="minorEastAsia" w:hint="eastAsia"/>
          <w:bCs/>
          <w:color w:val="000000" w:themeColor="text1"/>
          <w:szCs w:val="21"/>
        </w:rPr>
        <w:t>并在基金管理人网站公示</w:t>
      </w:r>
      <w:r w:rsidRPr="00F70FB9">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r w:rsidRPr="00F70FB9" w:rsidR="0011071E">
        <w:rPr>
          <w:rFonts w:asciiTheme="minorEastAsia" w:eastAsiaTheme="minorEastAsia" w:hAnsiTheme="minorEastAsia" w:hint="eastAsia"/>
          <w:bCs/>
          <w:color w:val="000000" w:themeColor="text1"/>
          <w:szCs w:val="21"/>
        </w:rPr>
        <w:t>。</w:t>
      </w:r>
    </w:p>
    <w:p w:rsidR="00BA4B87" w:rsidRPr="00F70FB9">
      <w:pPr>
        <w:spacing w:line="360" w:lineRule="auto"/>
        <w:ind w:firstLine="420" w:firstLineChars="200"/>
        <w:rPr>
          <w:rStyle w:val="da"/>
          <w:rFonts w:asciiTheme="minorEastAsia" w:eastAsiaTheme="minorEastAsia" w:hAnsiTheme="minorEastAsia"/>
          <w:color w:val="000000" w:themeColor="text1"/>
          <w:szCs w:val="21"/>
        </w:rPr>
      </w:pPr>
      <w:bookmarkStart w:id="41" w:name="_Toc332373502"/>
      <w:r w:rsidRPr="00F70FB9">
        <w:rPr>
          <w:rStyle w:val="da"/>
          <w:rFonts w:asciiTheme="minorEastAsia" w:eastAsiaTheme="minorEastAsia" w:hAnsiTheme="minorEastAsia" w:hint="eastAsia"/>
          <w:color w:val="000000" w:themeColor="text1"/>
          <w:szCs w:val="21"/>
        </w:rPr>
        <w:t>（三）申购与赎回办理的开放日及时间</w:t>
      </w:r>
      <w:bookmarkEnd w:id="41"/>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1、开放日及开放时间</w:t>
      </w:r>
    </w:p>
    <w:p w:rsidR="003B25BA"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Pr="00F70FB9"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F70FB9">
        <w:rPr>
          <w:rFonts w:asciiTheme="minorEastAsia" w:eastAsiaTheme="minorEastAsia" w:hAnsiTheme="minorEastAsia" w:hint="eastAsia"/>
          <w:bCs/>
          <w:color w:val="000000" w:themeColor="text1"/>
          <w:szCs w:val="21"/>
        </w:rPr>
        <w:t>基金合同的规定公告暂停申购、赎回时除外。</w:t>
      </w:r>
    </w:p>
    <w:p w:rsidR="00EF3C5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若出现新的证券交易市场、证券交易所交易时间变更</w:t>
      </w:r>
      <w:r w:rsidRPr="00F70FB9" w:rsidR="00665F98">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hint="eastAsia"/>
          <w:bCs/>
          <w:color w:val="000000" w:themeColor="text1"/>
          <w:szCs w:val="21"/>
        </w:rPr>
        <w:t>其他特殊情况</w:t>
      </w:r>
      <w:r w:rsidRPr="00F70FB9" w:rsidR="00665F98">
        <w:rPr>
          <w:rFonts w:asciiTheme="minorEastAsia" w:eastAsiaTheme="minorEastAsia" w:hAnsiTheme="minorEastAsia" w:hint="eastAsia"/>
          <w:bCs/>
          <w:color w:val="000000" w:themeColor="text1"/>
          <w:szCs w:val="21"/>
        </w:rPr>
        <w:t>或</w:t>
      </w:r>
      <w:r w:rsidRPr="00F70FB9" w:rsidR="00665F98">
        <w:rPr>
          <w:rFonts w:asciiTheme="minorEastAsia" w:eastAsiaTheme="minorEastAsia" w:hAnsiTheme="minorEastAsia"/>
          <w:bCs/>
          <w:color w:val="000000" w:themeColor="text1"/>
          <w:szCs w:val="21"/>
        </w:rPr>
        <w:t>根据业务需要</w:t>
      </w:r>
      <w:r w:rsidRPr="00F70FB9">
        <w:rPr>
          <w:rFonts w:asciiTheme="minorEastAsia" w:eastAsiaTheme="minorEastAsia" w:hAnsiTheme="minorEastAsia" w:hint="eastAsia"/>
          <w:bCs/>
          <w:color w:val="000000" w:themeColor="text1"/>
          <w:szCs w:val="21"/>
        </w:rPr>
        <w:t>，基金管理人</w:t>
      </w:r>
      <w:r w:rsidRPr="00F70FB9" w:rsidR="00D56E41">
        <w:rPr>
          <w:rFonts w:asciiTheme="minorEastAsia" w:eastAsiaTheme="minorEastAsia" w:hAnsiTheme="minorEastAsia" w:hint="eastAsia"/>
          <w:bCs/>
          <w:color w:val="000000" w:themeColor="text1"/>
          <w:szCs w:val="21"/>
        </w:rPr>
        <w:t>有权</w:t>
      </w:r>
      <w:r w:rsidRPr="00F70FB9">
        <w:rPr>
          <w:rFonts w:asciiTheme="minorEastAsia" w:eastAsiaTheme="minorEastAsia" w:hAnsiTheme="minorEastAsia" w:hint="eastAsia"/>
          <w:bCs/>
          <w:color w:val="000000" w:themeColor="text1"/>
          <w:szCs w:val="21"/>
        </w:rPr>
        <w:t>视情况对前述开放日及开放时间进行相应的调整，但应在实施前依照《信息披露办法》的有关规定在指定媒介上公告</w:t>
      </w:r>
      <w:r w:rsidRPr="00F70FB9" w:rsidR="003B25BA">
        <w:rPr>
          <w:rFonts w:asciiTheme="minorEastAsia" w:eastAsiaTheme="minorEastAsia" w:hAnsiTheme="minorEastAsia" w:hint="eastAsia"/>
          <w:bCs/>
          <w:color w:val="000000" w:themeColor="text1"/>
          <w:szCs w:val="21"/>
        </w:rPr>
        <w:t>。</w:t>
      </w:r>
    </w:p>
    <w:p w:rsidR="0011071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2、申购、赎回开始日及业务办理时间</w:t>
      </w:r>
    </w:p>
    <w:p w:rsidR="00785DF9" w:rsidRPr="00F70FB9">
      <w:pPr>
        <w:spacing w:line="360" w:lineRule="auto"/>
        <w:ind w:firstLine="420" w:firstLineChars="200"/>
        <w:rPr>
          <w:rFonts w:asciiTheme="minorEastAsia" w:eastAsiaTheme="minorEastAsia" w:hAnsiTheme="minorEastAsia"/>
          <w:color w:val="000000" w:themeColor="text1"/>
          <w:szCs w:val="21"/>
        </w:rPr>
      </w:pPr>
      <w:bookmarkStart w:id="42" w:name="_Toc332373503"/>
      <w:r w:rsidRPr="00F70FB9">
        <w:rPr>
          <w:rFonts w:asciiTheme="minorEastAsia" w:eastAsiaTheme="minorEastAsia" w:hAnsiTheme="minorEastAsia" w:hint="eastAsia"/>
          <w:color w:val="000000" w:themeColor="text1"/>
          <w:szCs w:val="21"/>
        </w:rPr>
        <w:t>本基金已于2017年3月14日开放办理日常申购、赎回业务。</w:t>
      </w:r>
    </w:p>
    <w:p w:rsidR="00785DF9"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F70FB9">
      <w:pPr>
        <w:spacing w:line="360" w:lineRule="auto"/>
        <w:ind w:firstLine="420" w:firstLineChars="200"/>
        <w:rPr>
          <w:rFonts w:asciiTheme="minorEastAsia" w:eastAsiaTheme="minorEastAsia" w:hAnsiTheme="minorEastAsia"/>
          <w:bCs/>
          <w:color w:val="000000" w:themeColor="text1"/>
          <w:sz w:val="24"/>
        </w:rPr>
      </w:pPr>
      <w:r w:rsidRPr="00F70FB9">
        <w:rPr>
          <w:rStyle w:val="da"/>
          <w:rFonts w:asciiTheme="minorEastAsia" w:eastAsiaTheme="minorEastAsia" w:hAnsiTheme="minorEastAsia" w:hint="eastAsia"/>
          <w:color w:val="000000" w:themeColor="text1"/>
          <w:szCs w:val="21"/>
        </w:rPr>
        <w:t>（</w:t>
      </w:r>
      <w:r w:rsidRPr="00F70FB9" w:rsidR="008D4032">
        <w:rPr>
          <w:rStyle w:val="da"/>
          <w:rFonts w:asciiTheme="minorEastAsia" w:eastAsiaTheme="minorEastAsia" w:hAnsiTheme="minorEastAsia" w:hint="eastAsia"/>
          <w:color w:val="000000" w:themeColor="text1"/>
          <w:szCs w:val="21"/>
        </w:rPr>
        <w:t>四</w:t>
      </w: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申购与赎回的原则</w:t>
      </w:r>
    </w:p>
    <w:p w:rsidR="007D383F" w:rsidRPr="00F70FB9">
      <w:pPr>
        <w:spacing w:line="360" w:lineRule="auto"/>
        <w:ind w:firstLine="420" w:firstLineChars="200"/>
        <w:rPr>
          <w:rStyle w:val="da"/>
          <w:rFonts w:asciiTheme="minorEastAsia" w:eastAsiaTheme="minorEastAsia" w:hAnsiTheme="minorEastAsia"/>
          <w:color w:val="000000" w:themeColor="text1"/>
          <w:szCs w:val="21"/>
        </w:rPr>
      </w:pPr>
      <w:bookmarkStart w:id="43" w:name="_Toc332373504"/>
      <w:bookmarkEnd w:id="42"/>
      <w:r w:rsidRPr="00F70FB9">
        <w:rPr>
          <w:rStyle w:val="da"/>
          <w:rFonts w:asciiTheme="minorEastAsia" w:eastAsiaTheme="minorEastAsia" w:hAnsiTheme="minorEastAsia" w:hint="eastAsia"/>
          <w:color w:val="000000" w:themeColor="text1"/>
          <w:szCs w:val="21"/>
        </w:rPr>
        <w:t>1、“未知价”原则，即申购、赎回价格以申请当日收市后计算的基金份额净值为基准进行计算；</w:t>
      </w:r>
    </w:p>
    <w:p w:rsidR="007D383F"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2、“金额申购、份额赎回”原则，即申购以金额申请，赎回以份额申请；</w:t>
      </w:r>
    </w:p>
    <w:p w:rsidR="007D383F"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3、当日的申购与赎回申请可以在基金管理人规定的时间以内撤销；</w:t>
      </w:r>
    </w:p>
    <w:p w:rsidR="007D383F"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4、基金份额持有人赎回时，除指定赎回外，基金管理人按先进先出的原则，对该持有</w:t>
      </w:r>
      <w:r w:rsidRPr="00F70FB9">
        <w:rPr>
          <w:rStyle w:val="da"/>
          <w:rFonts w:asciiTheme="minorEastAsia" w:eastAsiaTheme="minorEastAsia" w:hAnsiTheme="minorEastAsia" w:hint="eastAsia"/>
          <w:color w:val="000000" w:themeColor="text1"/>
          <w:szCs w:val="21"/>
        </w:rPr>
        <w:t>人账户在该销售机构托管的基金份额进行处理，即先确认的份额先赎回，后确认的份额后赎回，以确定所适用的赎回费率。</w:t>
      </w:r>
    </w:p>
    <w:p w:rsidR="007D383F"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基金管理人可在不违反法律法规的情况下，对上述原则进行调整。基金管理人必须在新规则开始实施前依照《信息披露办法》的有关规定在指定媒介上公告。</w:t>
      </w:r>
    </w:p>
    <w:p w:rsidR="00BA4B87"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w:t>
      </w:r>
      <w:r w:rsidRPr="00F70FB9" w:rsidR="008D4032">
        <w:rPr>
          <w:rStyle w:val="da"/>
          <w:rFonts w:asciiTheme="minorEastAsia" w:eastAsiaTheme="minorEastAsia" w:hAnsiTheme="minorEastAsia" w:hint="eastAsia"/>
          <w:color w:val="000000" w:themeColor="text1"/>
          <w:szCs w:val="21"/>
        </w:rPr>
        <w:t>五</w:t>
      </w:r>
      <w:r w:rsidRPr="00F70FB9">
        <w:rPr>
          <w:rStyle w:val="da"/>
          <w:rFonts w:asciiTheme="minorEastAsia" w:eastAsiaTheme="minorEastAsia" w:hAnsiTheme="minorEastAsia" w:hint="eastAsia"/>
          <w:color w:val="000000" w:themeColor="text1"/>
          <w:szCs w:val="21"/>
        </w:rPr>
        <w:t>）申购与赎回的程序</w:t>
      </w:r>
      <w:bookmarkEnd w:id="43"/>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1、申购和赎回的申请方式</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2、申购和赎回的款项支付</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投资人申购基金份额时，必须全额交付申购款项，投资人交付申购款项，申购成立；基金份额登记机构确认基金份额时，申购生效。</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份额持有人递交赎回申请，赎回成立，赎回是否生效以登记机构确认为准。基金份额持有人赎回申请成功后，基金管理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3、申购和赎回申请的确认</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应以交易时间结束前受理有效申购和赎回申请的当天作为申购或赎回申请日(T日)，在正常情况下，本基金登记机构在T+1日内对该交易的有效性进行确认。T日提交的有效申请，投资人应及时到销售网点柜台或以销售机构规定的其他方式查询申请的确认情况。若申购不成功，则申购款项本金退还给投资人。</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销售机构对申购、赎回申请的受理并不代表该申请一定成功，而仅代表销售机构确实接收到申购、赎回申请。申购、赎回的确认以登记机构的确认结果为准。对于申购的确认情况，投资人应及时查询并妥善行使合法权利。</w:t>
      </w:r>
    </w:p>
    <w:p w:rsidR="002E55B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基金管理人在不违反法律法规的前提下，可对上述程序规则进行调整。基金管理人应在新规则开始实施前依照《信息披露办法》的有关规定在指定媒介上公告。</w:t>
      </w:r>
    </w:p>
    <w:p w:rsidR="00BA4B87" w:rsidRPr="00F70FB9">
      <w:pPr>
        <w:spacing w:line="360" w:lineRule="auto"/>
        <w:ind w:firstLine="420" w:firstLineChars="200"/>
        <w:rPr>
          <w:rStyle w:val="da"/>
          <w:rFonts w:asciiTheme="minorEastAsia" w:eastAsiaTheme="minorEastAsia" w:hAnsiTheme="minorEastAsia"/>
          <w:color w:val="000000" w:themeColor="text1"/>
          <w:szCs w:val="21"/>
        </w:rPr>
      </w:pPr>
      <w:bookmarkStart w:id="44" w:name="_Toc332373505"/>
      <w:r w:rsidRPr="00F70FB9">
        <w:rPr>
          <w:rStyle w:val="da"/>
          <w:rFonts w:asciiTheme="minorEastAsia" w:eastAsiaTheme="minorEastAsia" w:hAnsiTheme="minorEastAsia" w:hint="eastAsia"/>
          <w:color w:val="000000" w:themeColor="text1"/>
          <w:szCs w:val="21"/>
        </w:rPr>
        <w:t>（</w:t>
      </w:r>
      <w:r w:rsidRPr="00F70FB9" w:rsidR="00214A68">
        <w:rPr>
          <w:rStyle w:val="da"/>
          <w:rFonts w:asciiTheme="minorEastAsia" w:eastAsiaTheme="minorEastAsia" w:hAnsiTheme="minorEastAsia" w:hint="eastAsia"/>
          <w:color w:val="000000" w:themeColor="text1"/>
          <w:szCs w:val="21"/>
        </w:rPr>
        <w:t>六</w:t>
      </w:r>
      <w:r w:rsidRPr="00F70FB9">
        <w:rPr>
          <w:rStyle w:val="da"/>
          <w:rFonts w:asciiTheme="minorEastAsia" w:eastAsiaTheme="minorEastAsia" w:hAnsiTheme="minorEastAsia" w:hint="eastAsia"/>
          <w:color w:val="000000" w:themeColor="text1"/>
          <w:szCs w:val="21"/>
        </w:rPr>
        <w:t>）申购与赎回的数额限制</w:t>
      </w:r>
      <w:bookmarkEnd w:id="44"/>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1、申购金额的限制</w:t>
      </w:r>
    </w:p>
    <w:p w:rsidR="00214A68"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投资人通过</w:t>
      </w:r>
      <w:r w:rsidRPr="00F70FB9" w:rsidR="00CF0114">
        <w:rPr>
          <w:rFonts w:asciiTheme="minorEastAsia" w:eastAsiaTheme="minorEastAsia" w:hAnsiTheme="minorEastAsia" w:hint="eastAsia"/>
          <w:color w:val="000000" w:themeColor="text1"/>
          <w:szCs w:val="21"/>
        </w:rPr>
        <w:t>非直销</w:t>
      </w:r>
      <w:r w:rsidRPr="00F70FB9" w:rsidR="007C6E23">
        <w:rPr>
          <w:rFonts w:asciiTheme="minorEastAsia" w:eastAsiaTheme="minorEastAsia" w:hAnsiTheme="minorEastAsia" w:hint="eastAsia"/>
          <w:color w:val="000000" w:themeColor="text1"/>
          <w:szCs w:val="21"/>
        </w:rPr>
        <w:t>销售</w:t>
      </w:r>
      <w:r w:rsidRPr="00F70FB9" w:rsidR="0054622C">
        <w:rPr>
          <w:rFonts w:asciiTheme="minorEastAsia" w:eastAsiaTheme="minorEastAsia" w:hAnsiTheme="minorEastAsia" w:hint="eastAsia"/>
          <w:color w:val="000000" w:themeColor="text1"/>
          <w:szCs w:val="21"/>
        </w:rPr>
        <w:t>机构</w:t>
      </w:r>
      <w:r w:rsidRPr="00F70FB9">
        <w:rPr>
          <w:rFonts w:asciiTheme="minorEastAsia" w:eastAsiaTheme="minorEastAsia" w:hAnsiTheme="minorEastAsia" w:hint="eastAsia"/>
          <w:color w:val="000000" w:themeColor="text1"/>
          <w:szCs w:val="21"/>
        </w:rPr>
        <w:t>或本公司网上交易系统首次申购的单笔最低</w:t>
      </w:r>
      <w:r w:rsidRPr="00F70FB9" w:rsidR="0054622C">
        <w:rPr>
          <w:rFonts w:asciiTheme="minorEastAsia" w:eastAsiaTheme="minorEastAsia" w:hAnsiTheme="minorEastAsia"/>
          <w:color w:val="000000" w:themeColor="text1"/>
          <w:szCs w:val="21"/>
        </w:rPr>
        <w:t>限额</w:t>
      </w:r>
      <w:r w:rsidRPr="00F70FB9">
        <w:rPr>
          <w:rFonts w:asciiTheme="minorEastAsia" w:eastAsiaTheme="minorEastAsia" w:hAnsiTheme="minorEastAsia" w:hint="eastAsia"/>
          <w:color w:val="000000" w:themeColor="text1"/>
          <w:szCs w:val="21"/>
        </w:rPr>
        <w:t>为</w:t>
      </w:r>
      <w:r w:rsidRPr="00F70FB9" w:rsidR="0054622C">
        <w:rPr>
          <w:rFonts w:asciiTheme="minorEastAsia" w:eastAsiaTheme="minorEastAsia" w:hAnsiTheme="minorEastAsia" w:hint="eastAsia"/>
          <w:color w:val="000000" w:themeColor="text1"/>
          <w:szCs w:val="21"/>
        </w:rPr>
        <w:t>人民币</w:t>
      </w:r>
      <w:r w:rsidRPr="00F70FB9" w:rsidR="00A35EDE">
        <w:rPr>
          <w:rFonts w:asciiTheme="minorEastAsia" w:eastAsiaTheme="minorEastAsia" w:hAnsiTheme="minorEastAsia" w:hint="eastAsia"/>
          <w:color w:val="000000" w:themeColor="text1"/>
          <w:szCs w:val="21"/>
        </w:rPr>
        <w:t>1</w:t>
      </w:r>
      <w:r w:rsidRPr="00F70FB9">
        <w:rPr>
          <w:rFonts w:asciiTheme="minorEastAsia" w:eastAsiaTheme="minorEastAsia" w:hAnsiTheme="minorEastAsia" w:hint="eastAsia"/>
          <w:color w:val="000000" w:themeColor="text1"/>
          <w:szCs w:val="21"/>
        </w:rPr>
        <w:t>元</w:t>
      </w:r>
      <w:r w:rsidRPr="00F70FB9" w:rsidR="0054622C">
        <w:rPr>
          <w:rFonts w:asciiTheme="minorEastAsia" w:eastAsiaTheme="minorEastAsia" w:hAnsiTheme="minorEastAsia" w:hint="eastAsia"/>
          <w:color w:val="000000" w:themeColor="text1"/>
          <w:szCs w:val="21"/>
        </w:rPr>
        <w:t>，</w:t>
      </w:r>
      <w:r w:rsidRPr="00F70FB9">
        <w:rPr>
          <w:rFonts w:asciiTheme="minorEastAsia" w:eastAsiaTheme="minorEastAsia" w:hAnsiTheme="minorEastAsia" w:hint="eastAsia"/>
          <w:color w:val="000000" w:themeColor="text1"/>
          <w:szCs w:val="21"/>
        </w:rPr>
        <w:t>追加申购单笔最低</w:t>
      </w:r>
      <w:r w:rsidRPr="00F70FB9" w:rsidR="0054622C">
        <w:rPr>
          <w:rFonts w:asciiTheme="minorEastAsia" w:eastAsiaTheme="minorEastAsia" w:hAnsiTheme="minorEastAsia"/>
          <w:color w:val="000000" w:themeColor="text1"/>
          <w:szCs w:val="21"/>
        </w:rPr>
        <w:t>限额</w:t>
      </w:r>
      <w:r w:rsidRPr="00F70FB9">
        <w:rPr>
          <w:rFonts w:asciiTheme="minorEastAsia" w:eastAsiaTheme="minorEastAsia" w:hAnsiTheme="minorEastAsia" w:hint="eastAsia"/>
          <w:color w:val="000000" w:themeColor="text1"/>
          <w:szCs w:val="21"/>
        </w:rPr>
        <w:t>为</w:t>
      </w:r>
      <w:r w:rsidRPr="00F70FB9" w:rsidR="0054622C">
        <w:rPr>
          <w:rFonts w:asciiTheme="minorEastAsia" w:eastAsiaTheme="minorEastAsia" w:hAnsiTheme="minorEastAsia" w:hint="eastAsia"/>
          <w:color w:val="000000" w:themeColor="text1"/>
          <w:szCs w:val="21"/>
        </w:rPr>
        <w:t>人民币</w:t>
      </w:r>
      <w:r w:rsidRPr="00F70FB9" w:rsidR="00A35EDE">
        <w:rPr>
          <w:rFonts w:asciiTheme="minorEastAsia" w:eastAsiaTheme="minorEastAsia" w:hAnsiTheme="minorEastAsia" w:hint="eastAsia"/>
          <w:color w:val="000000" w:themeColor="text1"/>
          <w:szCs w:val="21"/>
        </w:rPr>
        <w:t>1</w:t>
      </w:r>
      <w:r w:rsidRPr="00F70FB9">
        <w:rPr>
          <w:rFonts w:asciiTheme="minorEastAsia" w:eastAsiaTheme="minorEastAsia" w:hAnsiTheme="minorEastAsia" w:hint="eastAsia"/>
          <w:color w:val="000000" w:themeColor="text1"/>
          <w:szCs w:val="21"/>
        </w:rPr>
        <w:t>元</w:t>
      </w:r>
      <w:r w:rsidRPr="00F70FB9" w:rsidR="0054622C">
        <w:rPr>
          <w:rFonts w:asciiTheme="minorEastAsia" w:eastAsiaTheme="minorEastAsia" w:hAnsiTheme="minorEastAsia" w:hint="eastAsia"/>
          <w:color w:val="000000" w:themeColor="text1"/>
          <w:szCs w:val="21"/>
        </w:rPr>
        <w:t>；投资人通过本公司直销中心首次申购的单笔最低</w:t>
      </w:r>
      <w:r w:rsidRPr="00F70FB9" w:rsidR="0054622C">
        <w:rPr>
          <w:rFonts w:asciiTheme="minorEastAsia" w:eastAsiaTheme="minorEastAsia" w:hAnsiTheme="minorEastAsia"/>
          <w:color w:val="000000" w:themeColor="text1"/>
          <w:szCs w:val="21"/>
        </w:rPr>
        <w:t>限额</w:t>
      </w:r>
      <w:r w:rsidRPr="00F70FB9" w:rsidR="0054622C">
        <w:rPr>
          <w:rFonts w:asciiTheme="minorEastAsia" w:eastAsiaTheme="minorEastAsia" w:hAnsiTheme="minorEastAsia" w:hint="eastAsia"/>
          <w:color w:val="000000" w:themeColor="text1"/>
          <w:szCs w:val="21"/>
        </w:rPr>
        <w:t>为人民币50,000元，追加申购单笔最低</w:t>
      </w:r>
      <w:r w:rsidRPr="00F70FB9" w:rsidR="0054622C">
        <w:rPr>
          <w:rFonts w:asciiTheme="minorEastAsia" w:eastAsiaTheme="minorEastAsia" w:hAnsiTheme="minorEastAsia"/>
          <w:color w:val="000000" w:themeColor="text1"/>
          <w:szCs w:val="21"/>
        </w:rPr>
        <w:t>限额</w:t>
      </w:r>
      <w:r w:rsidRPr="00F70FB9" w:rsidR="0054622C">
        <w:rPr>
          <w:rFonts w:asciiTheme="minorEastAsia" w:eastAsiaTheme="minorEastAsia" w:hAnsiTheme="minorEastAsia" w:hint="eastAsia"/>
          <w:color w:val="000000" w:themeColor="text1"/>
          <w:szCs w:val="21"/>
        </w:rPr>
        <w:t>是人民币1,000元</w:t>
      </w:r>
      <w:r w:rsidRPr="00F70FB9">
        <w:rPr>
          <w:rFonts w:asciiTheme="minorEastAsia" w:eastAsiaTheme="minorEastAsia" w:hAnsiTheme="minorEastAsia" w:hint="eastAsia"/>
          <w:color w:val="000000" w:themeColor="text1"/>
          <w:szCs w:val="21"/>
        </w:rPr>
        <w:t>。</w:t>
      </w:r>
      <w:r w:rsidRPr="00F70FB9" w:rsidR="00D56E41">
        <w:rPr>
          <w:rFonts w:asciiTheme="minorEastAsia" w:eastAsiaTheme="minorEastAsia" w:hAnsiTheme="minorEastAsia" w:hint="eastAsia"/>
          <w:color w:val="000000" w:themeColor="text1"/>
          <w:szCs w:val="21"/>
        </w:rPr>
        <w:t>在符合法律法规规定的前提下，</w:t>
      </w:r>
      <w:r w:rsidRPr="00F70FB9">
        <w:rPr>
          <w:rFonts w:asciiTheme="minorEastAsia" w:eastAsiaTheme="minorEastAsia" w:hAnsiTheme="minorEastAsia" w:hint="eastAsia"/>
          <w:color w:val="000000" w:themeColor="text1"/>
          <w:szCs w:val="21"/>
        </w:rPr>
        <w:t>各销售机构对申购</w:t>
      </w:r>
      <w:r w:rsidRPr="00F70FB9" w:rsidR="00BD6496">
        <w:rPr>
          <w:rFonts w:asciiTheme="minorEastAsia" w:eastAsiaTheme="minorEastAsia" w:hAnsiTheme="minorEastAsia"/>
          <w:color w:val="000000" w:themeColor="text1"/>
          <w:szCs w:val="21"/>
        </w:rPr>
        <w:t>限额</w:t>
      </w:r>
      <w:r w:rsidRPr="00F70FB9">
        <w:rPr>
          <w:rFonts w:asciiTheme="minorEastAsia" w:eastAsiaTheme="minorEastAsia" w:hAnsiTheme="minorEastAsia" w:hint="eastAsia"/>
          <w:color w:val="000000" w:themeColor="text1"/>
          <w:szCs w:val="21"/>
        </w:rPr>
        <w:t>及交易级差有其他规定的，</w:t>
      </w:r>
      <w:r w:rsidRPr="00F70FB9" w:rsidR="00A35EDE">
        <w:rPr>
          <w:rFonts w:asciiTheme="minorEastAsia" w:eastAsiaTheme="minorEastAsia" w:hAnsiTheme="minorEastAsia" w:hint="eastAsia"/>
          <w:color w:val="000000" w:themeColor="text1"/>
          <w:szCs w:val="21"/>
        </w:rPr>
        <w:t>需同时遵循该销售机构的相关规定</w:t>
      </w:r>
      <w:r w:rsidRPr="00F70FB9">
        <w:rPr>
          <w:rFonts w:asciiTheme="minorEastAsia" w:eastAsiaTheme="minorEastAsia" w:hAnsiTheme="minorEastAsia" w:hint="eastAsia"/>
          <w:color w:val="000000" w:themeColor="text1"/>
          <w:szCs w:val="21"/>
        </w:rPr>
        <w:t>。</w:t>
      </w:r>
      <w:r w:rsidRPr="00F70FB9" w:rsidR="002E1C38">
        <w:rPr>
          <w:rFonts w:asciiTheme="minorEastAsia" w:eastAsiaTheme="minorEastAsia" w:hAnsiTheme="minorEastAsia"/>
          <w:color w:val="000000" w:themeColor="text1"/>
          <w:szCs w:val="21"/>
        </w:rPr>
        <w:t>（</w:t>
      </w:r>
      <w:r w:rsidRPr="00F70FB9" w:rsidR="0050397E">
        <w:rPr>
          <w:rFonts w:asciiTheme="minorEastAsia" w:eastAsiaTheme="minorEastAsia" w:hAnsiTheme="minorEastAsia"/>
          <w:color w:val="000000" w:themeColor="text1"/>
          <w:szCs w:val="21"/>
        </w:rPr>
        <w:t>以上金额</w:t>
      </w:r>
      <w:r w:rsidRPr="00F70FB9" w:rsidR="00714307">
        <w:rPr>
          <w:rFonts w:asciiTheme="minorEastAsia" w:eastAsiaTheme="minorEastAsia" w:hAnsiTheme="minorEastAsia" w:hint="eastAsia"/>
          <w:color w:val="000000" w:themeColor="text1"/>
          <w:szCs w:val="21"/>
        </w:rPr>
        <w:t>均</w:t>
      </w:r>
      <w:r w:rsidRPr="00F70FB9" w:rsidR="0050397E">
        <w:rPr>
          <w:rFonts w:asciiTheme="minorEastAsia" w:eastAsiaTheme="minorEastAsia" w:hAnsiTheme="minorEastAsia"/>
          <w:color w:val="000000" w:themeColor="text1"/>
          <w:szCs w:val="21"/>
        </w:rPr>
        <w:t>含</w:t>
      </w:r>
      <w:r w:rsidRPr="00F70FB9" w:rsidR="0050397E">
        <w:rPr>
          <w:rFonts w:asciiTheme="minorEastAsia" w:eastAsiaTheme="minorEastAsia" w:hAnsiTheme="minorEastAsia" w:hint="eastAsia"/>
          <w:color w:val="000000" w:themeColor="text1"/>
          <w:szCs w:val="21"/>
        </w:rPr>
        <w:t>申</w:t>
      </w:r>
      <w:r w:rsidRPr="00F70FB9" w:rsidR="0050397E">
        <w:rPr>
          <w:rFonts w:asciiTheme="minorEastAsia" w:eastAsiaTheme="minorEastAsia" w:hAnsiTheme="minorEastAsia"/>
          <w:color w:val="000000" w:themeColor="text1"/>
          <w:szCs w:val="21"/>
        </w:rPr>
        <w:t>购费</w:t>
      </w:r>
      <w:r w:rsidRPr="00F70FB9" w:rsidR="002E1C38">
        <w:rPr>
          <w:rFonts w:asciiTheme="minorEastAsia" w:eastAsiaTheme="minorEastAsia" w:hAnsiTheme="minorEastAsia"/>
          <w:color w:val="000000" w:themeColor="text1"/>
          <w:szCs w:val="21"/>
        </w:rPr>
        <w:t>）</w:t>
      </w:r>
      <w:r w:rsidRPr="00F70FB9" w:rsidR="00CE51D2">
        <w:rPr>
          <w:rFonts w:asciiTheme="minorEastAsia" w:eastAsiaTheme="minorEastAsia" w:hAnsiTheme="minorEastAsia" w:hint="eastAsia"/>
          <w:color w:val="000000" w:themeColor="text1"/>
          <w:szCs w:val="21"/>
        </w:rPr>
        <w:t>。</w:t>
      </w:r>
    </w:p>
    <w:p w:rsidR="00214A68"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投资人可多次申购，对单个投资人累计持有份额不设上限限制。</w:t>
      </w:r>
      <w:r w:rsidRPr="00F70FB9" w:rsidR="008B10E3">
        <w:rPr>
          <w:rFonts w:asciiTheme="minorEastAsia" w:eastAsiaTheme="minorEastAsia" w:hAnsiTheme="minorEastAsia" w:hint="eastAsia"/>
          <w:color w:val="000000" w:themeColor="text1"/>
          <w:szCs w:val="21"/>
        </w:rPr>
        <w:t>但对于可能导致单一投资者持有基金份额的比例达到或者超过</w:t>
      </w:r>
      <w:r w:rsidRPr="00F70FB9" w:rsidR="008B10E3">
        <w:rPr>
          <w:rFonts w:asciiTheme="minorEastAsia" w:eastAsiaTheme="minorEastAsia" w:hAnsiTheme="minorEastAsia"/>
          <w:color w:val="000000" w:themeColor="text1"/>
          <w:szCs w:val="21"/>
        </w:rPr>
        <w:t>50%，或者变相规避50%集中度的情形，基金管理人有权采取控制措施。</w:t>
      </w:r>
      <w:r w:rsidRPr="00F70FB9" w:rsidR="008B10E3">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F70FB9">
        <w:rPr>
          <w:rFonts w:asciiTheme="minorEastAsia" w:eastAsiaTheme="minorEastAsia" w:hAnsiTheme="minorEastAsia" w:hint="eastAsia"/>
          <w:color w:val="000000" w:themeColor="text1"/>
          <w:szCs w:val="21"/>
        </w:rPr>
        <w:t>法律法规、中国证监会另有规定的除外。</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2、赎回份额的限制</w:t>
      </w:r>
    </w:p>
    <w:p w:rsidR="00214A68"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投资人可将其全部或部分基金份额赎回。</w:t>
      </w:r>
      <w:r w:rsidRPr="00F70FB9" w:rsidR="006E39F1">
        <w:rPr>
          <w:rFonts w:asciiTheme="minorEastAsia" w:eastAsiaTheme="minorEastAsia" w:hAnsiTheme="minorEastAsia" w:hint="eastAsia"/>
          <w:color w:val="000000" w:themeColor="text1"/>
          <w:szCs w:val="21"/>
        </w:rPr>
        <w:t>每类</w:t>
      </w:r>
      <w:r w:rsidRPr="00F70FB9">
        <w:rPr>
          <w:rFonts w:asciiTheme="minorEastAsia" w:eastAsiaTheme="minorEastAsia" w:hAnsiTheme="minorEastAsia" w:cs="TT64E9BFA0tCID-WinCharSetFFFF-H" w:hint="eastAsia"/>
          <w:color w:val="000000" w:themeColor="text1"/>
          <w:kern w:val="0"/>
          <w:szCs w:val="21"/>
        </w:rPr>
        <w:t>基金份额</w:t>
      </w:r>
      <w:r w:rsidRPr="00F70FB9">
        <w:rPr>
          <w:rFonts w:asciiTheme="minorEastAsia" w:eastAsiaTheme="minorEastAsia" w:hAnsiTheme="minorEastAsia" w:hint="eastAsia"/>
          <w:color w:val="000000" w:themeColor="text1"/>
          <w:szCs w:val="21"/>
        </w:rPr>
        <w:t>单笔赎回或转换不得少于1份</w:t>
      </w:r>
      <w:r w:rsidRPr="00F70FB9" w:rsidR="002E1C38">
        <w:rPr>
          <w:rFonts w:asciiTheme="minorEastAsia" w:eastAsiaTheme="minorEastAsia" w:hAnsiTheme="minorEastAsia" w:hint="eastAsia"/>
          <w:color w:val="000000" w:themeColor="text1"/>
          <w:szCs w:val="21"/>
        </w:rPr>
        <w:t>（</w:t>
      </w:r>
      <w:r w:rsidRPr="00F70FB9" w:rsidR="00C44329">
        <w:rPr>
          <w:rFonts w:asciiTheme="minorEastAsia" w:eastAsiaTheme="minorEastAsia" w:hAnsiTheme="minorEastAsia" w:hint="eastAsia"/>
          <w:color w:val="000000" w:themeColor="text1"/>
          <w:szCs w:val="21"/>
        </w:rPr>
        <w:t>如该账户在该销售机构托管的该类基金余额不足</w:t>
      </w:r>
      <w:r w:rsidRPr="00F70FB9">
        <w:rPr>
          <w:rFonts w:asciiTheme="minorEastAsia" w:eastAsiaTheme="minorEastAsia" w:hAnsiTheme="minorEastAsia" w:hint="eastAsia"/>
          <w:color w:val="000000" w:themeColor="text1"/>
          <w:szCs w:val="21"/>
        </w:rPr>
        <w:t>1份，则必须一次性赎回或转出</w:t>
      </w:r>
      <w:r w:rsidRPr="00F70FB9" w:rsidR="006E39F1">
        <w:rPr>
          <w:rFonts w:asciiTheme="minorEastAsia" w:eastAsiaTheme="minorEastAsia" w:hAnsiTheme="minorEastAsia" w:hint="eastAsia"/>
          <w:color w:val="000000" w:themeColor="text1"/>
          <w:szCs w:val="21"/>
        </w:rPr>
        <w:t>该类</w:t>
      </w:r>
      <w:r w:rsidRPr="00F70FB9">
        <w:rPr>
          <w:rFonts w:asciiTheme="minorEastAsia" w:eastAsiaTheme="minorEastAsia" w:hAnsiTheme="minorEastAsia" w:hint="eastAsia"/>
          <w:color w:val="000000" w:themeColor="text1"/>
          <w:szCs w:val="21"/>
        </w:rPr>
        <w:t>基金全部份额</w:t>
      </w:r>
      <w:r w:rsidRPr="00F70FB9" w:rsidR="002E1C38">
        <w:rPr>
          <w:rFonts w:asciiTheme="minorEastAsia" w:eastAsiaTheme="minorEastAsia" w:hAnsiTheme="minorEastAsia" w:hint="eastAsia"/>
          <w:color w:val="000000" w:themeColor="text1"/>
          <w:szCs w:val="21"/>
        </w:rPr>
        <w:t>）</w:t>
      </w:r>
      <w:r w:rsidRPr="00F70FB9">
        <w:rPr>
          <w:rFonts w:asciiTheme="minorEastAsia" w:eastAsiaTheme="minorEastAsia" w:hAnsiTheme="minorEastAsia" w:hint="eastAsia"/>
          <w:color w:val="000000" w:themeColor="text1"/>
          <w:szCs w:val="21"/>
        </w:rPr>
        <w:t>；若某笔赎回将导致投资人在</w:t>
      </w:r>
      <w:r w:rsidRPr="00F70FB9" w:rsidR="000F38AB">
        <w:rPr>
          <w:rFonts w:asciiTheme="minorEastAsia" w:eastAsiaTheme="minorEastAsia" w:hAnsiTheme="minorEastAsia" w:hint="eastAsia"/>
          <w:color w:val="000000" w:themeColor="text1"/>
          <w:szCs w:val="21"/>
        </w:rPr>
        <w:t>该</w:t>
      </w:r>
      <w:r w:rsidRPr="00F70FB9">
        <w:rPr>
          <w:rFonts w:asciiTheme="minorEastAsia" w:eastAsiaTheme="minorEastAsia" w:hAnsiTheme="minorEastAsia" w:hint="eastAsia"/>
          <w:color w:val="000000" w:themeColor="text1"/>
          <w:szCs w:val="21"/>
        </w:rPr>
        <w:t>销售机构托管的</w:t>
      </w:r>
      <w:r w:rsidRPr="00F70FB9" w:rsidR="008F3C34">
        <w:rPr>
          <w:rFonts w:asciiTheme="minorEastAsia" w:eastAsiaTheme="minorEastAsia" w:hAnsiTheme="minorEastAsia" w:hint="eastAsia"/>
          <w:color w:val="000000" w:themeColor="text1"/>
          <w:szCs w:val="21"/>
        </w:rPr>
        <w:t>该类</w:t>
      </w:r>
      <w:r w:rsidRPr="00F70FB9">
        <w:rPr>
          <w:rFonts w:asciiTheme="minorEastAsia" w:eastAsiaTheme="minorEastAsia" w:hAnsiTheme="minorEastAsia" w:hint="eastAsia"/>
          <w:color w:val="000000" w:themeColor="text1"/>
          <w:szCs w:val="21"/>
        </w:rPr>
        <w:t>基金余额不足1份时，基金管理人有权将投资人在该销售机构托管的</w:t>
      </w:r>
      <w:r w:rsidRPr="00F70FB9" w:rsidR="008F3C34">
        <w:rPr>
          <w:rFonts w:asciiTheme="minorEastAsia" w:eastAsiaTheme="minorEastAsia" w:hAnsiTheme="minorEastAsia" w:hint="eastAsia"/>
          <w:color w:val="000000" w:themeColor="text1"/>
          <w:szCs w:val="21"/>
        </w:rPr>
        <w:t>该类</w:t>
      </w:r>
      <w:r w:rsidRPr="00F70FB9">
        <w:rPr>
          <w:rFonts w:asciiTheme="minorEastAsia" w:eastAsiaTheme="minorEastAsia" w:hAnsiTheme="minorEastAsia" w:hint="eastAsia"/>
          <w:color w:val="000000" w:themeColor="text1"/>
          <w:szCs w:val="21"/>
        </w:rPr>
        <w:t>基金剩余份额一次性全部赎回。</w:t>
      </w:r>
      <w:r w:rsidRPr="00F70FB9" w:rsidR="006E39F1">
        <w:rPr>
          <w:rFonts w:asciiTheme="minorEastAsia" w:eastAsiaTheme="minorEastAsia" w:hAnsiTheme="minorEastAsia" w:hint="eastAsia"/>
          <w:color w:val="000000" w:themeColor="text1"/>
          <w:szCs w:val="21"/>
        </w:rPr>
        <w:t>在符合法律法规</w:t>
      </w:r>
      <w:r w:rsidRPr="00F70FB9" w:rsidR="006E39F1">
        <w:rPr>
          <w:rFonts w:asciiTheme="minorEastAsia" w:eastAsiaTheme="minorEastAsia" w:hAnsiTheme="minorEastAsia"/>
          <w:color w:val="000000" w:themeColor="text1"/>
          <w:szCs w:val="21"/>
        </w:rPr>
        <w:t>规定的前提下，</w:t>
      </w:r>
      <w:r w:rsidRPr="00F70FB9">
        <w:rPr>
          <w:rFonts w:asciiTheme="minorEastAsia" w:eastAsiaTheme="minorEastAsia" w:hAnsiTheme="minorEastAsia" w:hint="eastAsia"/>
          <w:color w:val="000000" w:themeColor="text1"/>
          <w:szCs w:val="21"/>
        </w:rPr>
        <w:t>各销售机构对赎回份额限制有其他规定的，</w:t>
      </w:r>
      <w:r w:rsidRPr="00F70FB9" w:rsidR="0019799A">
        <w:rPr>
          <w:rFonts w:asciiTheme="minorEastAsia" w:eastAsiaTheme="minorEastAsia" w:hAnsiTheme="minorEastAsia" w:hint="eastAsia"/>
          <w:color w:val="000000" w:themeColor="text1"/>
          <w:szCs w:val="21"/>
        </w:rPr>
        <w:t>需同时遵循该销售机构的相关规定</w:t>
      </w:r>
      <w:r w:rsidRPr="00F70FB9">
        <w:rPr>
          <w:rFonts w:asciiTheme="minorEastAsia" w:eastAsiaTheme="minorEastAsia" w:hAnsiTheme="minorEastAsia" w:hint="eastAsia"/>
          <w:color w:val="000000" w:themeColor="text1"/>
          <w:szCs w:val="21"/>
        </w:rPr>
        <w:t>。</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3、基金管理人可以根据市场情况，在</w:t>
      </w:r>
      <w:r w:rsidRPr="00F70FB9" w:rsidR="00F43707">
        <w:rPr>
          <w:rFonts w:asciiTheme="minorEastAsia" w:eastAsiaTheme="minorEastAsia" w:hAnsiTheme="minorEastAsia" w:hint="eastAsia"/>
          <w:color w:val="000000" w:themeColor="text1"/>
          <w:szCs w:val="21"/>
        </w:rPr>
        <w:t>不违反</w:t>
      </w:r>
      <w:r w:rsidRPr="00F70FB9">
        <w:rPr>
          <w:rFonts w:asciiTheme="minorEastAsia" w:eastAsiaTheme="minorEastAsia" w:hAnsiTheme="minorEastAsia" w:hint="eastAsia"/>
          <w:color w:val="000000" w:themeColor="text1"/>
          <w:szCs w:val="21"/>
        </w:rPr>
        <w:t>法律法规的情况下，调整上述规定申购金额和赎回份额的数量限制</w:t>
      </w:r>
      <w:r w:rsidRPr="00F70FB9" w:rsidR="00A276A3">
        <w:rPr>
          <w:rFonts w:asciiTheme="minorEastAsia" w:eastAsiaTheme="minorEastAsia" w:hAnsiTheme="minorEastAsia" w:hint="eastAsia"/>
          <w:color w:val="000000" w:themeColor="text1"/>
          <w:szCs w:val="21"/>
        </w:rPr>
        <w:t>，或者新增基金规模控制措施</w:t>
      </w:r>
      <w:r w:rsidRPr="00F70FB9">
        <w:rPr>
          <w:rFonts w:asciiTheme="minorEastAsia" w:eastAsiaTheme="minorEastAsia" w:hAnsiTheme="minorEastAsia" w:hint="eastAsia"/>
          <w:color w:val="000000" w:themeColor="text1"/>
          <w:szCs w:val="21"/>
        </w:rPr>
        <w:t>。基金管理人必须在调整前依照《信息披露办法》的有关规定在指定</w:t>
      </w:r>
      <w:r w:rsidRPr="00F70FB9" w:rsidR="009F705C">
        <w:rPr>
          <w:rFonts w:asciiTheme="minorEastAsia" w:eastAsiaTheme="minorEastAsia" w:hAnsiTheme="minorEastAsia" w:hint="eastAsia"/>
          <w:color w:val="000000" w:themeColor="text1"/>
          <w:szCs w:val="21"/>
        </w:rPr>
        <w:t>媒介</w:t>
      </w:r>
      <w:r w:rsidRPr="00F70FB9">
        <w:rPr>
          <w:rFonts w:asciiTheme="minorEastAsia" w:eastAsiaTheme="minorEastAsia" w:hAnsiTheme="minorEastAsia" w:hint="eastAsia"/>
          <w:color w:val="000000" w:themeColor="text1"/>
          <w:szCs w:val="21"/>
        </w:rPr>
        <w:t>上公告。</w:t>
      </w:r>
    </w:p>
    <w:p w:rsidR="00BA4B87" w:rsidRPr="00F70FB9">
      <w:pPr>
        <w:spacing w:line="360" w:lineRule="auto"/>
        <w:ind w:firstLine="420" w:firstLineChars="200"/>
        <w:rPr>
          <w:rStyle w:val="da"/>
          <w:rFonts w:asciiTheme="minorEastAsia" w:eastAsiaTheme="minorEastAsia" w:hAnsiTheme="minorEastAsia"/>
          <w:color w:val="000000" w:themeColor="text1"/>
          <w:szCs w:val="21"/>
        </w:rPr>
      </w:pPr>
      <w:bookmarkStart w:id="45" w:name="_Toc332373506"/>
      <w:r w:rsidRPr="00F70FB9">
        <w:rPr>
          <w:rStyle w:val="da"/>
          <w:rFonts w:asciiTheme="minorEastAsia" w:eastAsiaTheme="minorEastAsia" w:hAnsiTheme="minorEastAsia" w:hint="eastAsia"/>
          <w:color w:val="000000" w:themeColor="text1"/>
          <w:szCs w:val="21"/>
        </w:rPr>
        <w:t>（</w:t>
      </w:r>
      <w:r w:rsidRPr="00F70FB9" w:rsidR="00214A68">
        <w:rPr>
          <w:rStyle w:val="da"/>
          <w:rFonts w:asciiTheme="minorEastAsia" w:eastAsiaTheme="minorEastAsia" w:hAnsiTheme="minorEastAsia" w:hint="eastAsia"/>
          <w:color w:val="000000" w:themeColor="text1"/>
          <w:szCs w:val="21"/>
        </w:rPr>
        <w:t>七</w:t>
      </w:r>
      <w:r w:rsidRPr="00F70FB9">
        <w:rPr>
          <w:rStyle w:val="da"/>
          <w:rFonts w:asciiTheme="minorEastAsia" w:eastAsiaTheme="minorEastAsia" w:hAnsiTheme="minorEastAsia" w:hint="eastAsia"/>
          <w:color w:val="000000" w:themeColor="text1"/>
          <w:szCs w:val="21"/>
        </w:rPr>
        <w:t>）基金的申购费和赎回费</w:t>
      </w:r>
      <w:bookmarkEnd w:id="45"/>
    </w:p>
    <w:p w:rsidR="009A2218"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1、本基金的基金份额分为</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hint="eastAsia"/>
          <w:color w:val="000000" w:themeColor="text1"/>
          <w:szCs w:val="21"/>
        </w:rPr>
        <w:t>基金份额和</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基金份额两类。其中：</w:t>
      </w:r>
    </w:p>
    <w:p w:rsidR="009A2218"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A类基金份额收取认购/申购、赎回费，并不再从本类别基金资产中计提销售服务费；C类基金份额从本类别基金资产中计提销售服务费、不收取认购/申购费用，C类基金份额对持有期限少于</w:t>
      </w:r>
      <w:r w:rsidRPr="00F70FB9" w:rsidR="003C7EEC">
        <w:rPr>
          <w:rFonts w:asciiTheme="minorEastAsia" w:eastAsiaTheme="minorEastAsia" w:hAnsiTheme="minorEastAsia" w:hint="eastAsia"/>
          <w:color w:val="000000" w:themeColor="text1"/>
          <w:szCs w:val="21"/>
        </w:rPr>
        <w:t>30</w:t>
      </w:r>
      <w:r w:rsidRPr="00F70FB9" w:rsidR="002875C4">
        <w:rPr>
          <w:rFonts w:asciiTheme="minorEastAsia" w:eastAsiaTheme="minorEastAsia" w:hAnsiTheme="minorEastAsia" w:hint="eastAsia"/>
          <w:color w:val="000000" w:themeColor="text1"/>
          <w:szCs w:val="21"/>
        </w:rPr>
        <w:t>天的本类别基金份额的赎回收取赎回费，对于持有期限大于或等于30天的本类别基金份额不收取赎回费</w:t>
      </w:r>
      <w:r w:rsidRPr="00F70FB9">
        <w:rPr>
          <w:rFonts w:asciiTheme="minorEastAsia" w:eastAsiaTheme="minorEastAsia" w:hAnsiTheme="minorEastAsia" w:hint="eastAsia"/>
          <w:color w:val="000000" w:themeColor="text1"/>
          <w:szCs w:val="21"/>
        </w:rPr>
        <w:t>。</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本基金</w:t>
      </w:r>
      <w:r w:rsidRPr="00F70FB9" w:rsidR="00B243C6">
        <w:rPr>
          <w:rFonts w:asciiTheme="minorEastAsia" w:eastAsiaTheme="minorEastAsia" w:hAnsiTheme="minorEastAsia" w:hint="eastAsia"/>
          <w:bCs/>
          <w:color w:val="000000" w:themeColor="text1"/>
          <w:szCs w:val="21"/>
        </w:rPr>
        <w:t>A类</w:t>
      </w:r>
      <w:r w:rsidRPr="00F70FB9" w:rsidR="00E41611">
        <w:rPr>
          <w:rFonts w:asciiTheme="minorEastAsia" w:eastAsiaTheme="minorEastAsia" w:hAnsiTheme="minorEastAsia" w:hint="eastAsia"/>
          <w:bCs/>
          <w:color w:val="000000" w:themeColor="text1"/>
          <w:szCs w:val="21"/>
        </w:rPr>
        <w:t>基金份额</w:t>
      </w:r>
      <w:r w:rsidRPr="00F70FB9">
        <w:rPr>
          <w:rFonts w:asciiTheme="minorEastAsia" w:eastAsiaTheme="minorEastAsia" w:hAnsiTheme="minorEastAsia" w:hint="eastAsia"/>
          <w:bCs/>
          <w:color w:val="000000" w:themeColor="text1"/>
          <w:szCs w:val="21"/>
        </w:rPr>
        <w:t>的</w:t>
      </w:r>
      <w:r w:rsidRPr="00F70FB9">
        <w:rPr>
          <w:rFonts w:asciiTheme="minorEastAsia" w:eastAsiaTheme="minorEastAsia" w:hAnsiTheme="minorEastAsia"/>
          <w:bCs/>
          <w:color w:val="000000" w:themeColor="text1"/>
          <w:szCs w:val="21"/>
        </w:rPr>
        <w:t>申购费用由</w:t>
      </w:r>
      <w:r w:rsidRPr="00F70FB9">
        <w:rPr>
          <w:rFonts w:asciiTheme="minorEastAsia" w:eastAsiaTheme="minorEastAsia" w:hAnsiTheme="minorEastAsia" w:hint="eastAsia"/>
          <w:bCs/>
          <w:color w:val="000000" w:themeColor="text1"/>
          <w:szCs w:val="21"/>
        </w:rPr>
        <w:t>申购基金份额的</w:t>
      </w:r>
      <w:r w:rsidRPr="00F70FB9">
        <w:rPr>
          <w:rFonts w:asciiTheme="minorEastAsia" w:eastAsiaTheme="minorEastAsia" w:hAnsiTheme="minorEastAsia"/>
          <w:bCs/>
          <w:color w:val="000000" w:themeColor="text1"/>
          <w:szCs w:val="21"/>
        </w:rPr>
        <w:t>投资人承担</w:t>
      </w: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不列入基金财产，主要用于本基金的市场推广、销售、注册登记等各项费用。</w:t>
      </w:r>
      <w:r w:rsidRPr="00F70FB9">
        <w:rPr>
          <w:rFonts w:asciiTheme="minorEastAsia" w:eastAsiaTheme="minorEastAsia" w:hAnsiTheme="minorEastAsia" w:hint="eastAsia"/>
          <w:color w:val="000000" w:themeColor="text1"/>
          <w:szCs w:val="21"/>
        </w:rPr>
        <w:t>赎回费用由基金赎回人承担。</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2、申购费率</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rPr>
        <w:t>对于</w:t>
      </w:r>
      <w:r w:rsidRPr="00F70FB9" w:rsidR="00B243C6">
        <w:rPr>
          <w:rStyle w:val="da"/>
          <w:rFonts w:asciiTheme="minorEastAsia" w:eastAsiaTheme="minorEastAsia" w:hAnsiTheme="minorEastAsia" w:hint="eastAsia"/>
          <w:color w:val="000000" w:themeColor="text1"/>
        </w:rPr>
        <w:t>A类</w:t>
      </w:r>
      <w:r w:rsidRPr="00F70FB9">
        <w:rPr>
          <w:rStyle w:val="da"/>
          <w:rFonts w:asciiTheme="minorEastAsia" w:eastAsiaTheme="minorEastAsia" w:hAnsiTheme="minorEastAsia" w:hint="eastAsia"/>
          <w:color w:val="000000" w:themeColor="text1"/>
        </w:rPr>
        <w:t>基金份额，</w:t>
      </w:r>
      <w:r w:rsidRPr="00F70FB9">
        <w:rPr>
          <w:rFonts w:asciiTheme="minorEastAsia" w:eastAsiaTheme="minorEastAsia" w:hAnsiTheme="minorEastAsia" w:hint="eastAsia"/>
          <w:color w:val="000000" w:themeColor="text1"/>
          <w:szCs w:val="21"/>
        </w:rPr>
        <w:t>本基金对通过</w:t>
      </w:r>
      <w:r w:rsidRPr="00F70FB9" w:rsidR="0087135F">
        <w:rPr>
          <w:rFonts w:asciiTheme="minorEastAsia" w:eastAsiaTheme="minorEastAsia" w:hAnsiTheme="minorEastAsia" w:hint="eastAsia"/>
          <w:color w:val="000000" w:themeColor="text1"/>
          <w:szCs w:val="21"/>
        </w:rPr>
        <w:t>本公司</w:t>
      </w:r>
      <w:r w:rsidRPr="00F70FB9" w:rsidR="00A26107">
        <w:rPr>
          <w:rFonts w:asciiTheme="minorEastAsia" w:eastAsiaTheme="minorEastAsia" w:hAnsiTheme="minorEastAsia" w:hint="eastAsia"/>
          <w:color w:val="000000" w:themeColor="text1"/>
          <w:szCs w:val="21"/>
        </w:rPr>
        <w:t>直销</w:t>
      </w:r>
      <w:r w:rsidRPr="00F70FB9" w:rsidR="009C56F4">
        <w:rPr>
          <w:rFonts w:asciiTheme="minorEastAsia" w:eastAsiaTheme="minorEastAsia" w:hAnsiTheme="minorEastAsia" w:hint="eastAsia"/>
          <w:color w:val="000000" w:themeColor="text1"/>
          <w:szCs w:val="21"/>
        </w:rPr>
        <w:t>中心</w:t>
      </w:r>
      <w:r w:rsidRPr="00F70FB9">
        <w:rPr>
          <w:rFonts w:asciiTheme="minorEastAsia" w:eastAsiaTheme="minorEastAsia" w:hAnsiTheme="minorEastAsia" w:hint="eastAsia"/>
          <w:color w:val="000000" w:themeColor="text1"/>
          <w:szCs w:val="21"/>
        </w:rPr>
        <w:t>申购的</w:t>
      </w:r>
      <w:r w:rsidRPr="00F70FB9" w:rsidR="001175C0">
        <w:rPr>
          <w:rStyle w:val="da"/>
          <w:rFonts w:asciiTheme="minorEastAsia" w:eastAsiaTheme="minorEastAsia" w:hAnsiTheme="minorEastAsia" w:hint="eastAsia"/>
          <w:color w:val="000000" w:themeColor="text1"/>
        </w:rPr>
        <w:t>特定投资群体</w:t>
      </w:r>
      <w:r w:rsidRPr="00F70FB9">
        <w:rPr>
          <w:rFonts w:asciiTheme="minorEastAsia" w:eastAsiaTheme="minorEastAsia" w:hAnsiTheme="minorEastAsia" w:hint="eastAsia"/>
          <w:color w:val="000000" w:themeColor="text1"/>
          <w:szCs w:val="21"/>
        </w:rPr>
        <w:t>与除此之外的其他投资者实施差别的申购费率。</w:t>
      </w:r>
    </w:p>
    <w:p w:rsidR="001175C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特定投资群体可通过本</w:t>
      </w:r>
      <w:r w:rsidRPr="00F70FB9" w:rsidR="00A64A6A">
        <w:rPr>
          <w:rFonts w:asciiTheme="minorEastAsia" w:eastAsiaTheme="minorEastAsia" w:hAnsiTheme="minorEastAsia" w:hint="eastAsia"/>
          <w:color w:val="000000" w:themeColor="text1"/>
          <w:szCs w:val="21"/>
        </w:rPr>
        <w:t>公司</w:t>
      </w:r>
      <w:r w:rsidRPr="00F70FB9">
        <w:rPr>
          <w:rFonts w:asciiTheme="minorEastAsia" w:eastAsiaTheme="minorEastAsia" w:hAnsiTheme="minorEastAsia" w:hint="eastAsia"/>
          <w:color w:val="000000" w:themeColor="text1"/>
          <w:szCs w:val="21"/>
        </w:rPr>
        <w:t>直销中心申购本基金</w:t>
      </w:r>
      <w:r w:rsidRPr="00F70FB9" w:rsidR="00B243C6">
        <w:rPr>
          <w:rStyle w:val="da"/>
          <w:rFonts w:asciiTheme="minorEastAsia" w:eastAsiaTheme="minorEastAsia" w:hAnsiTheme="minorEastAsia" w:hint="eastAsia"/>
          <w:color w:val="000000" w:themeColor="text1"/>
        </w:rPr>
        <w:t>A类</w:t>
      </w:r>
      <w:r w:rsidRPr="00F70FB9" w:rsidR="00B37CAD">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hint="eastAsia"/>
          <w:color w:val="000000" w:themeColor="text1"/>
          <w:szCs w:val="21"/>
        </w:rPr>
        <w:t>。基金管理人可根据情况变更</w:t>
      </w:r>
      <w:r w:rsidRPr="00F70FB9" w:rsidR="00133009">
        <w:rPr>
          <w:rFonts w:asciiTheme="minorEastAsia" w:eastAsiaTheme="minorEastAsia" w:hAnsiTheme="minorEastAsia" w:hint="eastAsia"/>
          <w:bCs/>
          <w:color w:val="000000" w:themeColor="text1"/>
          <w:szCs w:val="21"/>
        </w:rPr>
        <w:t>或增减</w:t>
      </w:r>
      <w:r w:rsidRPr="00F70FB9">
        <w:rPr>
          <w:rFonts w:asciiTheme="minorEastAsia" w:eastAsiaTheme="minorEastAsia" w:hAnsiTheme="minorEastAsia" w:hint="eastAsia"/>
          <w:color w:val="000000" w:themeColor="text1"/>
          <w:szCs w:val="21"/>
        </w:rPr>
        <w:t>特定投资群体申购本基金</w:t>
      </w:r>
      <w:r w:rsidRPr="00F70FB9" w:rsidR="00B243C6">
        <w:rPr>
          <w:rStyle w:val="da"/>
          <w:rFonts w:asciiTheme="minorEastAsia" w:eastAsiaTheme="minorEastAsia" w:hAnsiTheme="minorEastAsia" w:hint="eastAsia"/>
          <w:color w:val="000000" w:themeColor="text1"/>
        </w:rPr>
        <w:t>A类</w:t>
      </w:r>
      <w:r w:rsidRPr="00F70FB9" w:rsidR="00B37CAD">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hint="eastAsia"/>
          <w:color w:val="000000" w:themeColor="text1"/>
          <w:szCs w:val="21"/>
        </w:rPr>
        <w:t>的销售机构，</w:t>
      </w:r>
      <w:r w:rsidRPr="00F70FB9" w:rsidR="00EB5603">
        <w:rPr>
          <w:rFonts w:asciiTheme="minorEastAsia" w:eastAsiaTheme="minorEastAsia" w:hAnsiTheme="minorEastAsia" w:hint="eastAsia"/>
          <w:bCs/>
          <w:color w:val="000000" w:themeColor="text1"/>
          <w:szCs w:val="21"/>
        </w:rPr>
        <w:t>并在基金管理人网站公示</w:t>
      </w:r>
      <w:r w:rsidRPr="00F70FB9">
        <w:rPr>
          <w:rFonts w:asciiTheme="minorEastAsia" w:eastAsiaTheme="minorEastAsia" w:hAnsiTheme="minorEastAsia" w:hint="eastAsia"/>
          <w:color w:val="000000" w:themeColor="text1"/>
          <w:szCs w:val="21"/>
        </w:rPr>
        <w:t>。</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通过基金管理人的</w:t>
      </w:r>
      <w:r w:rsidRPr="00F70FB9" w:rsidR="00A26107">
        <w:rPr>
          <w:rFonts w:asciiTheme="minorEastAsia" w:eastAsiaTheme="minorEastAsia" w:hAnsiTheme="minorEastAsia" w:hint="eastAsia"/>
          <w:color w:val="000000" w:themeColor="text1"/>
          <w:szCs w:val="21"/>
        </w:rPr>
        <w:t>直销</w:t>
      </w:r>
      <w:r w:rsidRPr="00F70FB9" w:rsidR="009C56F4">
        <w:rPr>
          <w:rFonts w:asciiTheme="minorEastAsia" w:eastAsiaTheme="minorEastAsia" w:hAnsiTheme="minorEastAsia" w:hint="eastAsia"/>
          <w:color w:val="000000" w:themeColor="text1"/>
          <w:szCs w:val="21"/>
        </w:rPr>
        <w:t>中心</w:t>
      </w:r>
      <w:r w:rsidRPr="00F70FB9">
        <w:rPr>
          <w:rFonts w:asciiTheme="minorEastAsia" w:eastAsiaTheme="minorEastAsia" w:hAnsiTheme="minorEastAsia" w:hint="eastAsia"/>
          <w:color w:val="000000" w:themeColor="text1"/>
          <w:szCs w:val="21"/>
        </w:rPr>
        <w:t>申购本基金</w:t>
      </w:r>
      <w:r w:rsidRPr="00F70FB9" w:rsidR="00B243C6">
        <w:rPr>
          <w:rStyle w:val="da"/>
          <w:rFonts w:asciiTheme="minorEastAsia" w:eastAsiaTheme="minorEastAsia" w:hAnsiTheme="minorEastAsia" w:hint="eastAsia"/>
          <w:color w:val="000000" w:themeColor="text1"/>
        </w:rPr>
        <w:t>A类</w:t>
      </w:r>
      <w:r w:rsidRPr="00F70FB9" w:rsidR="00B37CAD">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hint="eastAsia"/>
          <w:color w:val="000000" w:themeColor="text1"/>
          <w:szCs w:val="21"/>
        </w:rPr>
        <w:t>的</w:t>
      </w:r>
      <w:r w:rsidRPr="00F70FB9" w:rsidR="001175C0">
        <w:rPr>
          <w:rFonts w:asciiTheme="minorEastAsia" w:eastAsiaTheme="minorEastAsia" w:hAnsiTheme="minorEastAsia"/>
          <w:color w:val="000000" w:themeColor="text1"/>
        </w:rPr>
        <w:t>特定投资群体</w:t>
      </w:r>
      <w:r w:rsidRPr="00F70FB9">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bCs/>
                <w:color w:val="000000" w:themeColor="text1"/>
                <w:kern w:val="0"/>
                <w:szCs w:val="21"/>
              </w:rPr>
            </w:pPr>
            <w:r w:rsidRPr="00F70FB9">
              <w:rPr>
                <w:rFonts w:asciiTheme="minorEastAsia" w:eastAsiaTheme="minorEastAsia" w:hAnsiTheme="minorEastAsia"/>
                <w:bCs/>
                <w:color w:val="000000" w:themeColor="text1"/>
                <w:kern w:val="0"/>
                <w:szCs w:val="21"/>
              </w:rPr>
              <w:t>申购金额M</w:t>
            </w:r>
            <w:r w:rsidRPr="00F70FB9" w:rsidR="002E1C38">
              <w:rPr>
                <w:rFonts w:asciiTheme="minorEastAsia" w:eastAsiaTheme="minorEastAsia" w:hAnsiTheme="minorEastAsia"/>
                <w:bCs/>
                <w:color w:val="000000" w:themeColor="text1"/>
                <w:kern w:val="0"/>
                <w:szCs w:val="21"/>
              </w:rPr>
              <w:t>（</w:t>
            </w:r>
            <w:r w:rsidRPr="00F70FB9">
              <w:rPr>
                <w:rFonts w:asciiTheme="minorEastAsia" w:eastAsiaTheme="minorEastAsia" w:hAnsiTheme="minorEastAsia"/>
                <w:bCs/>
                <w:color w:val="000000" w:themeColor="text1"/>
                <w:kern w:val="0"/>
                <w:szCs w:val="21"/>
              </w:rPr>
              <w:t>元</w:t>
            </w:r>
            <w:r w:rsidRPr="00F70FB9" w:rsidR="002E1C38">
              <w:rPr>
                <w:rFonts w:asciiTheme="minorEastAsia" w:eastAsiaTheme="minorEastAsia" w:hAnsiTheme="minorEastAsia"/>
                <w:bCs/>
                <w:color w:val="000000" w:themeColor="text1"/>
                <w:kern w:val="0"/>
                <w:szCs w:val="21"/>
              </w:rPr>
              <w:t>）（</w:t>
            </w:r>
            <w:r w:rsidRPr="00F70FB9">
              <w:rPr>
                <w:rFonts w:asciiTheme="minorEastAsia" w:eastAsiaTheme="minorEastAsia" w:hAnsiTheme="minorEastAsia"/>
                <w:bCs/>
                <w:color w:val="000000" w:themeColor="text1"/>
                <w:kern w:val="0"/>
                <w:szCs w:val="21"/>
              </w:rPr>
              <w:t>含申购费</w:t>
            </w:r>
            <w:r w:rsidRPr="00F70FB9"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bCs/>
                <w:color w:val="000000" w:themeColor="text1"/>
                <w:kern w:val="0"/>
                <w:szCs w:val="21"/>
              </w:rPr>
            </w:pPr>
            <w:r w:rsidRPr="00F70FB9">
              <w:rPr>
                <w:rStyle w:val="da"/>
                <w:rFonts w:asciiTheme="minorEastAsia" w:eastAsiaTheme="minorEastAsia" w:hAnsiTheme="minorEastAsia" w:hint="eastAsia"/>
                <w:color w:val="000000" w:themeColor="text1"/>
              </w:rPr>
              <w:t>A类</w:t>
            </w:r>
            <w:r w:rsidRPr="00F70FB9" w:rsidR="00B37CAD">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0.</w:t>
            </w:r>
            <w:r w:rsidRPr="00F70FB9" w:rsidR="003C7EEC">
              <w:rPr>
                <w:rFonts w:asciiTheme="minorEastAsia" w:eastAsiaTheme="minorEastAsia" w:hAnsiTheme="minorEastAsia" w:hint="eastAsia"/>
                <w:color w:val="000000" w:themeColor="text1"/>
                <w:kern w:val="0"/>
                <w:szCs w:val="21"/>
              </w:rPr>
              <w:t>06</w:t>
            </w:r>
            <w:r w:rsidRPr="00F70FB9">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100万≤M＜</w:t>
            </w:r>
            <w:r w:rsidRPr="00F70FB9" w:rsidR="003C7EEC">
              <w:rPr>
                <w:rFonts w:asciiTheme="minorEastAsia" w:eastAsiaTheme="minorEastAsia" w:hAnsiTheme="minorEastAsia" w:hint="eastAsia"/>
                <w:color w:val="000000" w:themeColor="text1"/>
                <w:kern w:val="0"/>
                <w:szCs w:val="21"/>
              </w:rPr>
              <w:t>5</w:t>
            </w:r>
            <w:r w:rsidRPr="00F70FB9" w:rsidR="00703B5F">
              <w:rPr>
                <w:rFonts w:asciiTheme="minorEastAsia" w:eastAsiaTheme="minorEastAsia" w:hAnsiTheme="minorEastAsia"/>
                <w:color w:val="000000" w:themeColor="text1"/>
                <w:kern w:val="0"/>
                <w:szCs w:val="21"/>
              </w:rPr>
              <w:t>00</w:t>
            </w:r>
            <w:r w:rsidRPr="00F70FB9">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0.</w:t>
            </w:r>
            <w:r w:rsidRPr="00F70FB9" w:rsidR="003C7EEC">
              <w:rPr>
                <w:rFonts w:asciiTheme="minorEastAsia" w:eastAsiaTheme="minorEastAsia" w:hAnsiTheme="minorEastAsia" w:hint="eastAsia"/>
                <w:color w:val="000000" w:themeColor="text1"/>
                <w:kern w:val="0"/>
                <w:szCs w:val="21"/>
              </w:rPr>
              <w:t>03</w:t>
            </w:r>
            <w:r w:rsidRPr="00F70FB9">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sidR="00CE51D2">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00</w:t>
            </w:r>
            <w:r w:rsidRPr="00F70FB9" w:rsidR="00371919">
              <w:rPr>
                <w:rFonts w:asciiTheme="minorEastAsia" w:eastAsiaTheme="minorEastAsia" w:hAnsiTheme="minorEastAsia"/>
                <w:color w:val="000000" w:themeColor="text1"/>
                <w:kern w:val="0"/>
                <w:szCs w:val="21"/>
              </w:rPr>
              <w:t>0</w:t>
            </w:r>
            <w:r w:rsidRPr="00F70FB9">
              <w:rPr>
                <w:rFonts w:asciiTheme="minorEastAsia" w:eastAsiaTheme="minorEastAsia" w:hAnsiTheme="minorEastAsia"/>
                <w:color w:val="000000" w:themeColor="text1"/>
                <w:kern w:val="0"/>
                <w:szCs w:val="21"/>
              </w:rPr>
              <w:t>元/笔</w:t>
            </w:r>
          </w:p>
        </w:tc>
      </w:tr>
    </w:tbl>
    <w:p w:rsidR="00BA4B87" w:rsidRPr="00F70FB9" w:rsidP="001D2FA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rPr>
        <w:t>其他投资者申购本基金</w:t>
      </w:r>
      <w:r w:rsidRPr="00F70FB9" w:rsidR="00B243C6">
        <w:rPr>
          <w:rStyle w:val="da"/>
          <w:rFonts w:asciiTheme="minorEastAsia" w:eastAsiaTheme="minorEastAsia" w:hAnsiTheme="minorEastAsia" w:hint="eastAsia"/>
          <w:color w:val="000000" w:themeColor="text1"/>
        </w:rPr>
        <w:t>A类</w:t>
      </w:r>
      <w:r w:rsidRPr="00F70FB9" w:rsidR="00B37CAD">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hint="eastAsia"/>
          <w:color w:val="000000" w:themeColor="text1"/>
        </w:rPr>
        <w:t>的申购费率见下表：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bCs/>
                <w:color w:val="000000" w:themeColor="text1"/>
                <w:kern w:val="0"/>
                <w:szCs w:val="21"/>
              </w:rPr>
            </w:pPr>
            <w:r w:rsidRPr="00F70FB9">
              <w:rPr>
                <w:rFonts w:asciiTheme="minorEastAsia" w:eastAsiaTheme="minorEastAsia" w:hAnsiTheme="minorEastAsia"/>
                <w:bCs/>
                <w:color w:val="000000" w:themeColor="text1"/>
                <w:kern w:val="0"/>
                <w:szCs w:val="21"/>
              </w:rPr>
              <w:t>申购金额M</w:t>
            </w:r>
            <w:r w:rsidRPr="00F70FB9" w:rsidR="002E1C38">
              <w:rPr>
                <w:rFonts w:asciiTheme="minorEastAsia" w:eastAsiaTheme="minorEastAsia" w:hAnsiTheme="minorEastAsia"/>
                <w:bCs/>
                <w:color w:val="000000" w:themeColor="text1"/>
                <w:kern w:val="0"/>
                <w:szCs w:val="21"/>
              </w:rPr>
              <w:t>（</w:t>
            </w:r>
            <w:r w:rsidRPr="00F70FB9">
              <w:rPr>
                <w:rFonts w:asciiTheme="minorEastAsia" w:eastAsiaTheme="minorEastAsia" w:hAnsiTheme="minorEastAsia"/>
                <w:bCs/>
                <w:color w:val="000000" w:themeColor="text1"/>
                <w:kern w:val="0"/>
                <w:szCs w:val="21"/>
              </w:rPr>
              <w:t>元</w:t>
            </w:r>
            <w:r w:rsidRPr="00F70FB9" w:rsidR="002E1C38">
              <w:rPr>
                <w:rFonts w:asciiTheme="minorEastAsia" w:eastAsiaTheme="minorEastAsia" w:hAnsiTheme="minorEastAsia"/>
                <w:bCs/>
                <w:color w:val="000000" w:themeColor="text1"/>
                <w:kern w:val="0"/>
                <w:szCs w:val="21"/>
              </w:rPr>
              <w:t>）（</w:t>
            </w:r>
            <w:r w:rsidRPr="00F70FB9">
              <w:rPr>
                <w:rFonts w:asciiTheme="minorEastAsia" w:eastAsiaTheme="minorEastAsia" w:hAnsiTheme="minorEastAsia"/>
                <w:bCs/>
                <w:color w:val="000000" w:themeColor="text1"/>
                <w:kern w:val="0"/>
                <w:szCs w:val="21"/>
              </w:rPr>
              <w:t>含申购费</w:t>
            </w:r>
            <w:r w:rsidRPr="00F70FB9"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bCs/>
                <w:color w:val="000000" w:themeColor="text1"/>
                <w:kern w:val="0"/>
                <w:szCs w:val="21"/>
              </w:rPr>
            </w:pPr>
            <w:r w:rsidRPr="00F70FB9">
              <w:rPr>
                <w:rStyle w:val="da"/>
                <w:rFonts w:asciiTheme="minorEastAsia" w:eastAsiaTheme="minorEastAsia" w:hAnsiTheme="minorEastAsia" w:hint="eastAsia"/>
                <w:color w:val="000000" w:themeColor="text1"/>
              </w:rPr>
              <w:t>A类</w:t>
            </w:r>
            <w:r w:rsidRPr="00F70FB9" w:rsidR="003C7EEC">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0</w:t>
            </w:r>
            <w:r w:rsidRPr="00F70FB9">
              <w:rPr>
                <w:rFonts w:asciiTheme="minorEastAsia" w:eastAsiaTheme="minorEastAsia" w:hAnsiTheme="minorEastAsia"/>
                <w:color w:val="000000" w:themeColor="text1"/>
                <w:kern w:val="0"/>
                <w:szCs w:val="21"/>
              </w:rPr>
              <w:t>.6%</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100万≤M＜</w:t>
            </w:r>
            <w:r w:rsidRPr="00F70FB9" w:rsidR="003C7EEC">
              <w:rPr>
                <w:rFonts w:asciiTheme="minorEastAsia" w:eastAsiaTheme="minorEastAsia" w:hAnsiTheme="minorEastAsia" w:hint="eastAsia"/>
                <w:color w:val="000000" w:themeColor="text1"/>
                <w:kern w:val="0"/>
                <w:szCs w:val="21"/>
              </w:rPr>
              <w:t>5</w:t>
            </w:r>
            <w:r w:rsidRPr="00F70FB9" w:rsidR="00074F0F">
              <w:rPr>
                <w:rFonts w:asciiTheme="minorEastAsia" w:eastAsiaTheme="minorEastAsia" w:hAnsiTheme="minorEastAsia"/>
                <w:color w:val="000000" w:themeColor="text1"/>
                <w:kern w:val="0"/>
                <w:szCs w:val="21"/>
              </w:rPr>
              <w:t>00</w:t>
            </w:r>
            <w:r w:rsidRPr="00F70FB9">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0.3</w:t>
            </w:r>
            <w:r w:rsidRPr="00F70FB9">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F70FB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sidR="00CE51D2">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000元/笔</w:t>
            </w:r>
          </w:p>
        </w:tc>
      </w:tr>
    </w:tbl>
    <w:p w:rsidR="00BA4B87" w:rsidRPr="00F70FB9" w:rsidP="001D2FA9">
      <w:pPr>
        <w:spacing w:line="312"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5B77E1" w:rsidRPr="00F70FB9">
      <w:pPr>
        <w:spacing w:line="312"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基金份额不收取申购费用。</w:t>
      </w:r>
    </w:p>
    <w:p w:rsidR="00BA4B87" w:rsidRPr="00F70FB9">
      <w:pPr>
        <w:spacing w:line="312"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3、赎回费率</w:t>
      </w:r>
    </w:p>
    <w:p w:rsidR="00BA4B87" w:rsidRPr="00F70FB9">
      <w:pPr>
        <w:spacing w:line="312"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（1）本基金</w:t>
      </w:r>
      <w:r w:rsidRPr="00F70FB9" w:rsidR="00B243C6">
        <w:rPr>
          <w:rStyle w:val="da"/>
          <w:rFonts w:asciiTheme="minorEastAsia" w:eastAsiaTheme="minorEastAsia" w:hAnsiTheme="minorEastAsia" w:hint="eastAsia"/>
          <w:color w:val="000000" w:themeColor="text1"/>
        </w:rPr>
        <w:t>A类</w:t>
      </w:r>
      <w:r w:rsidRPr="00F70FB9" w:rsidR="005B77E1">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A832B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BA4B87" w:rsidRPr="00F70FB9">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持有时间</w:t>
            </w:r>
            <w:r w:rsidRPr="00F70FB9" w:rsidR="002E1C38">
              <w:rPr>
                <w:rFonts w:asciiTheme="minorEastAsia" w:eastAsiaTheme="minorEastAsia" w:hAnsiTheme="minorEastAsia"/>
                <w:color w:val="000000" w:themeColor="text1"/>
                <w:kern w:val="0"/>
                <w:szCs w:val="21"/>
              </w:rPr>
              <w:t>（</w:t>
            </w:r>
            <w:r w:rsidRPr="00F70FB9">
              <w:rPr>
                <w:rFonts w:asciiTheme="minorEastAsia" w:eastAsiaTheme="minorEastAsia" w:hAnsiTheme="minorEastAsia"/>
                <w:color w:val="000000" w:themeColor="text1"/>
                <w:kern w:val="0"/>
                <w:szCs w:val="21"/>
              </w:rPr>
              <w:t>天</w:t>
            </w:r>
            <w:r w:rsidRPr="00F70FB9" w:rsidR="002E1C38">
              <w:rPr>
                <w:rFonts w:asciiTheme="minorEastAsia" w:eastAsiaTheme="minorEastAsia" w:hAnsiTheme="minorEastAsia"/>
                <w:color w:val="000000" w:themeColor="text1"/>
                <w:kern w:val="0"/>
                <w:szCs w:val="21"/>
              </w:rPr>
              <w:t>）</w:t>
            </w:r>
          </w:p>
        </w:tc>
        <w:tc>
          <w:tcPr>
            <w:tcW w:w="3735" w:type="dxa"/>
          </w:tcPr>
          <w:p w:rsidR="00BA4B87" w:rsidRPr="00F70FB9">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F70FB9">
              <w:rPr>
                <w:rStyle w:val="da"/>
                <w:rFonts w:asciiTheme="minorEastAsia" w:eastAsiaTheme="minorEastAsia" w:hAnsiTheme="minorEastAsia" w:hint="eastAsia"/>
                <w:color w:val="000000" w:themeColor="text1"/>
              </w:rPr>
              <w:t>A类</w:t>
            </w:r>
            <w:r w:rsidRPr="00F70FB9" w:rsidR="00720649">
              <w:rPr>
                <w:rStyle w:val="da"/>
                <w:rFonts w:asciiTheme="minorEastAsia" w:eastAsiaTheme="minorEastAsia" w:hAnsiTheme="minorEastAsia" w:hint="eastAsia"/>
                <w:color w:val="000000" w:themeColor="text1"/>
              </w:rPr>
              <w:t>份额</w:t>
            </w:r>
            <w:r w:rsidRPr="00F70FB9">
              <w:rPr>
                <w:rFonts w:asciiTheme="minorEastAsia" w:eastAsiaTheme="minorEastAsia" w:hAnsiTheme="minorEastAsia"/>
                <w:color w:val="000000" w:themeColor="text1"/>
                <w:kern w:val="0"/>
                <w:szCs w:val="21"/>
              </w:rPr>
              <w:t>赎回费率</w:t>
            </w:r>
          </w:p>
        </w:tc>
      </w:tr>
      <w:tr w:rsidTr="00A832B1">
        <w:tblPrEx>
          <w:tblW w:w="0" w:type="auto"/>
          <w:jc w:val="center"/>
          <w:tblLayout w:type="fixed"/>
          <w:tblLook w:val="01E0"/>
        </w:tblPrEx>
        <w:trPr>
          <w:trHeight w:val="462"/>
          <w:jc w:val="center"/>
        </w:trPr>
        <w:tc>
          <w:tcPr>
            <w:tcW w:w="3806"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0-6</w:t>
            </w:r>
          </w:p>
        </w:tc>
        <w:tc>
          <w:tcPr>
            <w:tcW w:w="3735"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1.5%</w:t>
            </w:r>
          </w:p>
        </w:tc>
      </w:tr>
      <w:tr w:rsidTr="00A832B1">
        <w:tblPrEx>
          <w:tblW w:w="0" w:type="auto"/>
          <w:jc w:val="center"/>
          <w:tblLayout w:type="fixed"/>
          <w:tblLook w:val="01E0"/>
        </w:tblPrEx>
        <w:trPr>
          <w:trHeight w:val="474"/>
          <w:jc w:val="center"/>
        </w:trPr>
        <w:tc>
          <w:tcPr>
            <w:tcW w:w="3806"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7-29</w:t>
            </w:r>
          </w:p>
        </w:tc>
        <w:tc>
          <w:tcPr>
            <w:tcW w:w="3735"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0.75%</w:t>
            </w:r>
          </w:p>
        </w:tc>
      </w:tr>
      <w:tr w:rsidTr="00A832B1">
        <w:tblPrEx>
          <w:tblW w:w="0" w:type="auto"/>
          <w:jc w:val="center"/>
          <w:tblLayout w:type="fixed"/>
          <w:tblLook w:val="01E0"/>
        </w:tblPrEx>
        <w:trPr>
          <w:trHeight w:val="462"/>
          <w:jc w:val="center"/>
        </w:trPr>
        <w:tc>
          <w:tcPr>
            <w:tcW w:w="3806"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30-89</w:t>
            </w:r>
          </w:p>
        </w:tc>
        <w:tc>
          <w:tcPr>
            <w:tcW w:w="3735"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62"/>
          <w:jc w:val="center"/>
        </w:trPr>
        <w:tc>
          <w:tcPr>
            <w:tcW w:w="3806"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90-179</w:t>
            </w:r>
          </w:p>
        </w:tc>
        <w:tc>
          <w:tcPr>
            <w:tcW w:w="3735"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74"/>
          <w:jc w:val="center"/>
        </w:trPr>
        <w:tc>
          <w:tcPr>
            <w:tcW w:w="3806"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180</w:t>
            </w:r>
            <w:r w:rsidRPr="00F70FB9" w:rsidR="005920A8">
              <w:rPr>
                <w:rFonts w:asciiTheme="minorEastAsia" w:eastAsiaTheme="minorEastAsia" w:hAnsiTheme="minorEastAsia" w:hint="eastAsia"/>
                <w:color w:val="000000" w:themeColor="text1"/>
                <w:kern w:val="0"/>
                <w:szCs w:val="21"/>
              </w:rPr>
              <w:t>及以上</w:t>
            </w:r>
          </w:p>
        </w:tc>
        <w:tc>
          <w:tcPr>
            <w:tcW w:w="3735" w:type="dxa"/>
          </w:tcPr>
          <w:p w:rsidR="001735E3"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0</w:t>
            </w:r>
            <w:r w:rsidRPr="00F70FB9" w:rsidR="00FA6033">
              <w:rPr>
                <w:rFonts w:asciiTheme="minorEastAsia" w:eastAsiaTheme="minorEastAsia" w:hAnsiTheme="minorEastAsia"/>
                <w:color w:val="000000" w:themeColor="text1"/>
                <w:kern w:val="0"/>
                <w:szCs w:val="21"/>
              </w:rPr>
              <w:t>%</w:t>
            </w:r>
          </w:p>
        </w:tc>
      </w:tr>
    </w:tbl>
    <w:p w:rsidR="005D539E" w:rsidRPr="00F70FB9" w:rsidP="001D2FA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投资者可将其持有的全部或部分</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hint="eastAsia"/>
          <w:color w:val="000000" w:themeColor="text1"/>
          <w:szCs w:val="21"/>
        </w:rPr>
        <w:t>基金份额赎回。</w:t>
      </w:r>
      <w:r w:rsidRPr="00F70FB9">
        <w:rPr>
          <w:rFonts w:asciiTheme="minorEastAsia" w:eastAsiaTheme="minorEastAsia" w:hAnsiTheme="minorEastAsia"/>
          <w:color w:val="000000" w:themeColor="text1"/>
          <w:szCs w:val="21"/>
        </w:rPr>
        <w:t>赎回费用由赎回基金份额的基金份额持有人承担，</w:t>
      </w:r>
      <w:r w:rsidRPr="00F70FB9">
        <w:rPr>
          <w:rFonts w:asciiTheme="minorEastAsia" w:eastAsiaTheme="minorEastAsia" w:hAnsiTheme="minorEastAsia" w:hint="eastAsia"/>
          <w:color w:val="000000" w:themeColor="text1"/>
          <w:szCs w:val="21"/>
        </w:rPr>
        <w:t>在基金份额持有人赎回基金份额时收取。对持有期少于30天（不含）的</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hint="eastAsia"/>
          <w:color w:val="000000" w:themeColor="text1"/>
          <w:szCs w:val="21"/>
        </w:rPr>
        <w:t>基金份额持有人所收取赎回费用全额计入基金财产；对持有期在30天以上（含）且少于90天（不含）的</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hint="eastAsia"/>
          <w:color w:val="000000" w:themeColor="text1"/>
          <w:szCs w:val="21"/>
        </w:rPr>
        <w:t>基金份额持有人所收取赎回费用总额的</w:t>
      </w:r>
      <w:r w:rsidRPr="00F70FB9">
        <w:rPr>
          <w:rFonts w:asciiTheme="minorEastAsia" w:eastAsiaTheme="minorEastAsia" w:hAnsiTheme="minorEastAsia"/>
          <w:color w:val="000000" w:themeColor="text1"/>
          <w:szCs w:val="21"/>
        </w:rPr>
        <w:t>75%计入</w:t>
      </w:r>
      <w:r w:rsidRPr="00F70FB9">
        <w:rPr>
          <w:rFonts w:asciiTheme="minorEastAsia" w:eastAsiaTheme="minorEastAsia" w:hAnsiTheme="minorEastAsia" w:hint="eastAsia"/>
          <w:color w:val="000000" w:themeColor="text1"/>
          <w:szCs w:val="21"/>
        </w:rPr>
        <w:t>基金财产；对持有期在90天以上（含）且少于180天（不含）的</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hint="eastAsia"/>
          <w:color w:val="000000" w:themeColor="text1"/>
          <w:szCs w:val="21"/>
        </w:rPr>
        <w:t>基金份额持有人所收取赎回费用总额</w:t>
      </w:r>
      <w:r w:rsidRPr="00F70FB9">
        <w:rPr>
          <w:rFonts w:asciiTheme="minorEastAsia" w:eastAsiaTheme="minorEastAsia" w:hAnsiTheme="minorEastAsia"/>
          <w:color w:val="000000" w:themeColor="text1"/>
          <w:szCs w:val="21"/>
        </w:rPr>
        <w:t>的50%计入</w:t>
      </w:r>
      <w:r w:rsidRPr="00F70FB9">
        <w:rPr>
          <w:rFonts w:asciiTheme="minorEastAsia" w:eastAsiaTheme="minorEastAsia" w:hAnsiTheme="minorEastAsia" w:hint="eastAsia"/>
          <w:color w:val="000000" w:themeColor="text1"/>
          <w:szCs w:val="21"/>
        </w:rPr>
        <w:t>基金财产；其余用于支付市场推广、注册登记费和其他手续费。</w:t>
      </w:r>
    </w:p>
    <w:p w:rsidR="00941D58" w:rsidRPr="00F70FB9" w:rsidP="001D2FA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（2）本基金</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232BE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941D58" w:rsidRPr="00F70FB9">
            <w:pPr>
              <w:widowControl/>
              <w:spacing w:before="100" w:beforeAutospacing="1" w:after="100" w:afterAutospacing="1" w:line="360" w:lineRule="auto"/>
              <w:jc w:val="center"/>
              <w:rPr>
                <w:rFonts w:asciiTheme="minorEastAsia" w:eastAsiaTheme="minorEastAsia" w:hAnsiTheme="minorEastAsia" w:cs="宋体"/>
                <w:color w:val="000000" w:themeColor="text1"/>
                <w:kern w:val="0"/>
                <w:szCs w:val="21"/>
              </w:rPr>
            </w:pPr>
            <w:r w:rsidRPr="00F70FB9">
              <w:rPr>
                <w:rFonts w:asciiTheme="minorEastAsia" w:eastAsiaTheme="minorEastAsia" w:hAnsiTheme="minorEastAsia" w:cs="宋体" w:hint="eastAsia"/>
                <w:color w:val="000000" w:themeColor="text1"/>
                <w:kern w:val="0"/>
                <w:szCs w:val="21"/>
              </w:rPr>
              <w:t>持有时间(天)</w:t>
            </w:r>
          </w:p>
        </w:tc>
        <w:tc>
          <w:tcPr>
            <w:tcW w:w="3798" w:type="dxa"/>
          </w:tcPr>
          <w:p w:rsidR="00941D58" w:rsidRPr="00F70FB9">
            <w:pPr>
              <w:widowControl/>
              <w:spacing w:before="100" w:beforeAutospacing="1" w:after="100" w:afterAutospacing="1" w:line="360" w:lineRule="auto"/>
              <w:jc w:val="center"/>
              <w:rPr>
                <w:rFonts w:asciiTheme="minorEastAsia" w:eastAsiaTheme="minorEastAsia" w:hAnsiTheme="minorEastAsia" w:cs="宋体"/>
                <w:color w:val="000000" w:themeColor="text1"/>
                <w:kern w:val="0"/>
                <w:szCs w:val="21"/>
              </w:rPr>
            </w:pPr>
            <w:r w:rsidRPr="00F70FB9">
              <w:rPr>
                <w:rFonts w:asciiTheme="minorEastAsia" w:eastAsiaTheme="minorEastAsia" w:hAnsiTheme="minorEastAsia" w:cs="宋体" w:hint="eastAsia"/>
                <w:color w:val="000000" w:themeColor="text1"/>
                <w:kern w:val="0"/>
                <w:szCs w:val="21"/>
              </w:rPr>
              <w:t>C类份额赎回费率</w:t>
            </w:r>
          </w:p>
        </w:tc>
      </w:tr>
      <w:tr w:rsidTr="00232BE8">
        <w:tblPrEx>
          <w:tblW w:w="0" w:type="auto"/>
          <w:jc w:val="center"/>
          <w:tblLayout w:type="fixed"/>
          <w:tblLook w:val="01E0"/>
        </w:tblPrEx>
        <w:trPr>
          <w:jc w:val="center"/>
        </w:trPr>
        <w:tc>
          <w:tcPr>
            <w:tcW w:w="3870" w:type="dxa"/>
          </w:tcPr>
          <w:p w:rsidR="009E1FDD"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0-6</w:t>
            </w:r>
          </w:p>
        </w:tc>
        <w:tc>
          <w:tcPr>
            <w:tcW w:w="3798" w:type="dxa"/>
          </w:tcPr>
          <w:p w:rsidR="009E1FDD"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1.5%</w:t>
            </w:r>
          </w:p>
        </w:tc>
      </w:tr>
      <w:tr w:rsidTr="00232BE8">
        <w:tblPrEx>
          <w:tblW w:w="0" w:type="auto"/>
          <w:jc w:val="center"/>
          <w:tblLayout w:type="fixed"/>
          <w:tblLook w:val="01E0"/>
        </w:tblPrEx>
        <w:trPr>
          <w:jc w:val="center"/>
        </w:trPr>
        <w:tc>
          <w:tcPr>
            <w:tcW w:w="3870" w:type="dxa"/>
          </w:tcPr>
          <w:p w:rsidR="00941D58"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7</w:t>
            </w:r>
            <w:r w:rsidRPr="00F70FB9">
              <w:rPr>
                <w:rFonts w:asciiTheme="minorEastAsia" w:eastAsiaTheme="minorEastAsia" w:hAnsiTheme="minorEastAsia" w:hint="eastAsia"/>
                <w:color w:val="000000" w:themeColor="text1"/>
                <w:kern w:val="0"/>
                <w:szCs w:val="21"/>
              </w:rPr>
              <w:t>-29</w:t>
            </w:r>
          </w:p>
        </w:tc>
        <w:tc>
          <w:tcPr>
            <w:tcW w:w="3798" w:type="dxa"/>
          </w:tcPr>
          <w:p w:rsidR="00941D58"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0.5%</w:t>
            </w:r>
          </w:p>
        </w:tc>
      </w:tr>
      <w:tr w:rsidTr="00232BE8">
        <w:tblPrEx>
          <w:tblW w:w="0" w:type="auto"/>
          <w:jc w:val="center"/>
          <w:tblLayout w:type="fixed"/>
          <w:tblLook w:val="01E0"/>
        </w:tblPrEx>
        <w:trPr>
          <w:jc w:val="center"/>
        </w:trPr>
        <w:tc>
          <w:tcPr>
            <w:tcW w:w="3870" w:type="dxa"/>
          </w:tcPr>
          <w:p w:rsidR="00941D58"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30及以上</w:t>
            </w:r>
          </w:p>
        </w:tc>
        <w:tc>
          <w:tcPr>
            <w:tcW w:w="3798" w:type="dxa"/>
          </w:tcPr>
          <w:p w:rsidR="00941D58" w:rsidRPr="00F70FB9" w:rsidP="001D2FA9">
            <w:pPr>
              <w:widowControl/>
              <w:spacing w:line="360" w:lineRule="auto"/>
              <w:jc w:val="center"/>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0%</w:t>
            </w:r>
          </w:p>
        </w:tc>
      </w:tr>
    </w:tbl>
    <w:p w:rsidR="00E92F0A" w:rsidRPr="00F70FB9" w:rsidP="001D2FA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投资者可将其持有的全部或部分</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基金份额赎回。</w:t>
      </w:r>
      <w:r w:rsidRPr="00F70FB9">
        <w:rPr>
          <w:rFonts w:asciiTheme="minorEastAsia" w:eastAsiaTheme="minorEastAsia" w:hAnsiTheme="minorEastAsia"/>
          <w:color w:val="000000" w:themeColor="text1"/>
          <w:szCs w:val="21"/>
        </w:rPr>
        <w:t>赎回费用由赎回基金份额的基金份额持有人承担，</w:t>
      </w:r>
      <w:r w:rsidRPr="00F70FB9">
        <w:rPr>
          <w:rFonts w:asciiTheme="minorEastAsia" w:eastAsiaTheme="minorEastAsia" w:hAnsiTheme="minorEastAsia" w:hint="eastAsia"/>
          <w:color w:val="000000" w:themeColor="text1"/>
          <w:szCs w:val="21"/>
        </w:rPr>
        <w:t>在基金份额持有人赎回基金份额时收取。对持有期少于30天（不含）的</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基金份额持有人所收取赎回费用全额计入基金财产。</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4、基金管理人可以在基金合同规定的范围内调整申购费率</w:t>
      </w:r>
      <w:r w:rsidRPr="00F70FB9" w:rsidR="00880A01">
        <w:rPr>
          <w:rFonts w:asciiTheme="minorEastAsia" w:eastAsiaTheme="minorEastAsia" w:hAnsiTheme="minorEastAsia" w:hint="eastAsia"/>
          <w:color w:val="000000" w:themeColor="text1"/>
          <w:szCs w:val="21"/>
        </w:rPr>
        <w:t>、</w:t>
      </w:r>
      <w:r w:rsidRPr="00F70FB9">
        <w:rPr>
          <w:rFonts w:asciiTheme="minorEastAsia" w:eastAsiaTheme="minorEastAsia" w:hAnsiTheme="minorEastAsia" w:hint="eastAsia"/>
          <w:color w:val="000000" w:themeColor="text1"/>
          <w:szCs w:val="21"/>
        </w:rPr>
        <w:t>赎回费率</w:t>
      </w:r>
      <w:r w:rsidRPr="00F70FB9" w:rsidR="00880A01">
        <w:rPr>
          <w:rFonts w:asciiTheme="minorEastAsia" w:eastAsiaTheme="minorEastAsia" w:hAnsiTheme="minorEastAsia" w:hint="eastAsia"/>
          <w:color w:val="000000" w:themeColor="text1"/>
          <w:szCs w:val="21"/>
        </w:rPr>
        <w:t>或变更收费方式</w:t>
      </w:r>
      <w:r w:rsidRPr="00F70FB9">
        <w:rPr>
          <w:rFonts w:asciiTheme="minorEastAsia" w:eastAsiaTheme="minorEastAsia" w:hAnsiTheme="minorEastAsia" w:hint="eastAsia"/>
          <w:color w:val="000000" w:themeColor="text1"/>
          <w:szCs w:val="21"/>
        </w:rPr>
        <w:t>，调整后的申购费率</w:t>
      </w:r>
      <w:r w:rsidRPr="00F70FB9" w:rsidR="00880A01">
        <w:rPr>
          <w:rFonts w:asciiTheme="minorEastAsia" w:eastAsiaTheme="minorEastAsia" w:hAnsiTheme="minorEastAsia" w:hint="eastAsia"/>
          <w:color w:val="000000" w:themeColor="text1"/>
          <w:szCs w:val="21"/>
        </w:rPr>
        <w:t>、</w:t>
      </w:r>
      <w:r w:rsidRPr="00F70FB9">
        <w:rPr>
          <w:rFonts w:asciiTheme="minorEastAsia" w:eastAsiaTheme="minorEastAsia" w:hAnsiTheme="minorEastAsia" w:hint="eastAsia"/>
          <w:color w:val="000000" w:themeColor="text1"/>
          <w:szCs w:val="21"/>
        </w:rPr>
        <w:t>赎回费率</w:t>
      </w:r>
      <w:r w:rsidRPr="00F70FB9" w:rsidR="009012CD">
        <w:rPr>
          <w:rFonts w:asciiTheme="minorEastAsia" w:eastAsiaTheme="minorEastAsia" w:hAnsiTheme="minorEastAsia" w:hint="eastAsia"/>
          <w:color w:val="000000" w:themeColor="text1"/>
          <w:szCs w:val="21"/>
        </w:rPr>
        <w:t>或变更的收费方式</w:t>
      </w:r>
      <w:r w:rsidRPr="00F70FB9">
        <w:rPr>
          <w:rFonts w:asciiTheme="minorEastAsia" w:eastAsiaTheme="minorEastAsia" w:hAnsiTheme="minorEastAsia" w:hint="eastAsia"/>
          <w:color w:val="000000" w:themeColor="text1"/>
          <w:szCs w:val="21"/>
        </w:rPr>
        <w:t>在更新的《招募说明书》中列示。上述费率</w:t>
      </w:r>
      <w:r w:rsidRPr="00F70FB9" w:rsidR="009012CD">
        <w:rPr>
          <w:rFonts w:asciiTheme="minorEastAsia" w:eastAsiaTheme="minorEastAsia" w:hAnsiTheme="minorEastAsia" w:hint="eastAsia"/>
          <w:color w:val="000000" w:themeColor="text1"/>
          <w:szCs w:val="21"/>
        </w:rPr>
        <w:t>或收费方式</w:t>
      </w:r>
      <w:r w:rsidRPr="00F70FB9">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如发生变更，基金管理人最迟应于新的费率或收费方式实施前依照《信息披露办法》的有关规定在指定</w:t>
      </w:r>
      <w:r w:rsidRPr="00F70FB9" w:rsidR="009F705C">
        <w:rPr>
          <w:rFonts w:asciiTheme="minorEastAsia" w:eastAsiaTheme="minorEastAsia" w:hAnsiTheme="minorEastAsia" w:hint="eastAsia"/>
          <w:color w:val="000000" w:themeColor="text1"/>
          <w:szCs w:val="21"/>
        </w:rPr>
        <w:t>媒介</w:t>
      </w:r>
      <w:r w:rsidRPr="00F70FB9">
        <w:rPr>
          <w:rFonts w:asciiTheme="minorEastAsia" w:eastAsiaTheme="minorEastAsia" w:hAnsiTheme="minorEastAsia" w:hint="eastAsia"/>
          <w:color w:val="000000" w:themeColor="text1"/>
          <w:szCs w:val="21"/>
        </w:rPr>
        <w:t>上公告。</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基金管理人可以在不违</w:t>
      </w:r>
      <w:r w:rsidRPr="00F70FB9" w:rsidR="00254F5B">
        <w:rPr>
          <w:rFonts w:asciiTheme="minorEastAsia" w:eastAsiaTheme="minorEastAsia" w:hAnsiTheme="minorEastAsia" w:hint="eastAsia"/>
          <w:color w:val="000000" w:themeColor="text1"/>
          <w:szCs w:val="21"/>
        </w:rPr>
        <w:t>反</w:t>
      </w:r>
      <w:r w:rsidRPr="00F70FB9">
        <w:rPr>
          <w:rFonts w:asciiTheme="minorEastAsia" w:eastAsiaTheme="minorEastAsia" w:hAnsiTheme="minorEastAsia" w:hint="eastAsia"/>
          <w:color w:val="000000" w:themeColor="text1"/>
          <w:szCs w:val="21"/>
        </w:rPr>
        <w:t>法律法规规定及基金合同约定的情况下根据市场情况制定基金促销计划，针对基金投资者定期和不定期地开展基金促销活动。</w:t>
      </w:r>
      <w:r w:rsidRPr="00F70FB9" w:rsidR="00CE4826">
        <w:rPr>
          <w:rFonts w:asciiTheme="minorEastAsia" w:eastAsiaTheme="minorEastAsia" w:hAnsiTheme="minorEastAsia" w:hint="eastAsia"/>
          <w:color w:val="000000" w:themeColor="text1"/>
          <w:szCs w:val="21"/>
        </w:rPr>
        <w:t>在基金促销活动期间，基金管理人可以</w:t>
      </w:r>
      <w:r w:rsidRPr="00F70FB9" w:rsidR="006E39F1">
        <w:rPr>
          <w:rFonts w:asciiTheme="minorEastAsia" w:eastAsiaTheme="minorEastAsia" w:hAnsiTheme="minorEastAsia" w:hint="eastAsia"/>
          <w:color w:val="000000" w:themeColor="text1"/>
          <w:szCs w:val="21"/>
        </w:rPr>
        <w:t>适当</w:t>
      </w:r>
      <w:r w:rsidRPr="00F70FB9" w:rsidR="006E39F1">
        <w:rPr>
          <w:rFonts w:asciiTheme="minorEastAsia" w:eastAsiaTheme="minorEastAsia" w:hAnsiTheme="minorEastAsia"/>
          <w:color w:val="000000" w:themeColor="text1"/>
          <w:szCs w:val="21"/>
        </w:rPr>
        <w:t>调低基金销售费率，或针对特定渠道、特定投资群体开展有差别的</w:t>
      </w:r>
      <w:r w:rsidRPr="00F70FB9" w:rsidR="00CE4826">
        <w:rPr>
          <w:rFonts w:asciiTheme="minorEastAsia" w:eastAsiaTheme="minorEastAsia" w:hAnsiTheme="minorEastAsia" w:hint="eastAsia"/>
          <w:color w:val="000000" w:themeColor="text1"/>
          <w:szCs w:val="21"/>
        </w:rPr>
        <w:t>优惠活动</w:t>
      </w:r>
      <w:r w:rsidRPr="00F70FB9">
        <w:rPr>
          <w:rFonts w:asciiTheme="minorEastAsia" w:eastAsiaTheme="minorEastAsia" w:hAnsiTheme="minorEastAsia" w:hint="eastAsia"/>
          <w:color w:val="000000" w:themeColor="text1"/>
          <w:szCs w:val="21"/>
        </w:rPr>
        <w:t>。</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46" w:name="_Toc332373507"/>
      <w:r w:rsidRPr="00F70FB9">
        <w:rPr>
          <w:rStyle w:val="da"/>
          <w:rFonts w:asciiTheme="minorEastAsia" w:eastAsiaTheme="minorEastAsia" w:hAnsiTheme="minorEastAsia" w:hint="eastAsia"/>
          <w:color w:val="000000" w:themeColor="text1"/>
        </w:rPr>
        <w:t>（</w:t>
      </w:r>
      <w:r w:rsidRPr="00F70FB9" w:rsidR="00214A68">
        <w:rPr>
          <w:rStyle w:val="da"/>
          <w:rFonts w:asciiTheme="minorEastAsia" w:eastAsiaTheme="minorEastAsia" w:hAnsiTheme="minorEastAsia" w:hint="eastAsia"/>
          <w:color w:val="000000" w:themeColor="text1"/>
        </w:rPr>
        <w:t>八</w:t>
      </w:r>
      <w:r w:rsidRPr="00F70FB9">
        <w:rPr>
          <w:rStyle w:val="da"/>
          <w:rFonts w:asciiTheme="minorEastAsia" w:eastAsiaTheme="minorEastAsia" w:hAnsiTheme="minorEastAsia" w:hint="eastAsia"/>
          <w:color w:val="000000" w:themeColor="text1"/>
        </w:rPr>
        <w:t>）申购和赎回的数额和价格</w:t>
      </w:r>
      <w:bookmarkEnd w:id="46"/>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1、申购和赎回数额、余额的处理方式</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（1）申购的有效份额为按实际确认的申购金额在扣除相应的费用后，以申购当日基金</w:t>
      </w:r>
      <w:r w:rsidRPr="00F70FB9">
        <w:rPr>
          <w:rFonts w:asciiTheme="minorEastAsia" w:eastAsiaTheme="minorEastAsia" w:hAnsiTheme="minorEastAsia"/>
          <w:color w:val="000000" w:themeColor="text1"/>
          <w:szCs w:val="21"/>
        </w:rPr>
        <w:t>份额净值为基准计算。</w:t>
      </w:r>
      <w:r w:rsidRPr="00F70FB9" w:rsidR="00DA2087">
        <w:rPr>
          <w:rFonts w:asciiTheme="minorEastAsia" w:eastAsiaTheme="minorEastAsia" w:hAnsiTheme="minorEastAsia" w:hint="eastAsia"/>
          <w:color w:val="000000" w:themeColor="text1"/>
          <w:szCs w:val="21"/>
        </w:rPr>
        <w:t>本基金分为</w:t>
      </w:r>
      <w:r w:rsidRPr="00F70FB9" w:rsidR="00040A65">
        <w:rPr>
          <w:rFonts w:asciiTheme="minorEastAsia" w:eastAsiaTheme="minorEastAsia" w:hAnsiTheme="minorEastAsia" w:hint="eastAsia"/>
          <w:color w:val="000000" w:themeColor="text1"/>
          <w:szCs w:val="21"/>
        </w:rPr>
        <w:t>A类</w:t>
      </w:r>
      <w:r w:rsidRPr="00F70FB9" w:rsidR="00DA2087">
        <w:rPr>
          <w:rFonts w:asciiTheme="minorEastAsia" w:eastAsiaTheme="minorEastAsia" w:hAnsiTheme="minorEastAsia" w:hint="eastAsia"/>
          <w:color w:val="000000" w:themeColor="text1"/>
          <w:szCs w:val="21"/>
        </w:rPr>
        <w:t>和</w:t>
      </w:r>
      <w:r w:rsidRPr="00F70FB9" w:rsidR="00B243C6">
        <w:rPr>
          <w:rFonts w:asciiTheme="minorEastAsia" w:eastAsiaTheme="minorEastAsia" w:hAnsiTheme="minorEastAsia" w:hint="eastAsia"/>
          <w:color w:val="000000" w:themeColor="text1"/>
          <w:szCs w:val="21"/>
        </w:rPr>
        <w:t>C类</w:t>
      </w:r>
      <w:r w:rsidRPr="00F70FB9" w:rsidR="00DA2087">
        <w:rPr>
          <w:rFonts w:asciiTheme="minorEastAsia" w:eastAsiaTheme="minorEastAsia" w:hAnsiTheme="minorEastAsia" w:hint="eastAsia"/>
          <w:color w:val="000000" w:themeColor="text1"/>
          <w:szCs w:val="21"/>
        </w:rPr>
        <w:t>两类基金份额，两类基金份额单独设置基金代码，分别计算和公告基金份额净值。</w:t>
      </w:r>
      <w:r w:rsidRPr="00F70FB9">
        <w:rPr>
          <w:rFonts w:asciiTheme="minorEastAsia" w:eastAsiaTheme="minorEastAsia" w:hAnsiTheme="minorEastAsia"/>
          <w:color w:val="000000" w:themeColor="text1"/>
          <w:szCs w:val="21"/>
        </w:rPr>
        <w:t>申购涉及金额、份额的计算结果保留到小数点后两位，小数点后两位以后的部分四舍五入，由此产生的误差计入基金财产。</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（2）赎回金额的处理方式：赎回金额为按实际确认的有效赎回份额乘以申请当日</w:t>
      </w:r>
      <w:r w:rsidRPr="00F70FB9" w:rsidR="00E97742">
        <w:rPr>
          <w:rFonts w:asciiTheme="minorEastAsia" w:eastAsiaTheme="minorEastAsia" w:hAnsiTheme="minorEastAsia" w:hint="eastAsia"/>
          <w:color w:val="000000" w:themeColor="text1"/>
          <w:szCs w:val="21"/>
        </w:rPr>
        <w:t>该类份额的</w:t>
      </w:r>
      <w:r w:rsidRPr="00F70FB9">
        <w:rPr>
          <w:rFonts w:asciiTheme="minorEastAsia" w:eastAsiaTheme="minorEastAsia" w:hAnsiTheme="minorEastAsia"/>
          <w:color w:val="000000" w:themeColor="text1"/>
          <w:szCs w:val="21"/>
        </w:rPr>
        <w:t>基金份额净值为基准并扣除相应的费用后的余额，赎回费用、赎回金额的单位为人民币元，计算结果保留到小数点后两位，小数点后两位以后的部分四舍五入，由此产生的误差计入基金财产。</w:t>
      </w:r>
    </w:p>
    <w:p w:rsidR="00BA4B87" w:rsidRPr="00F70FB9">
      <w:pPr>
        <w:spacing w:line="360" w:lineRule="auto"/>
        <w:ind w:firstLine="420" w:firstLineChars="200"/>
        <w:rPr>
          <w:rFonts w:asciiTheme="minorEastAsia" w:eastAsiaTheme="minorEastAsia" w:hAnsiTheme="minorEastAsia"/>
          <w:color w:val="000000" w:themeColor="text1"/>
          <w:szCs w:val="21"/>
        </w:rPr>
      </w:pPr>
      <w:bookmarkStart w:id="47" w:name="_Toc332373508"/>
      <w:r w:rsidRPr="00F70FB9">
        <w:rPr>
          <w:rFonts w:asciiTheme="minorEastAsia" w:eastAsiaTheme="minorEastAsia" w:hAnsiTheme="minorEastAsia"/>
          <w:color w:val="000000" w:themeColor="text1"/>
          <w:szCs w:val="21"/>
        </w:rPr>
        <w:t>2、申购份额的计算</w:t>
      </w:r>
      <w:bookmarkEnd w:id="47"/>
    </w:p>
    <w:p w:rsidR="00CF6A46"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（1）若投资人选择</w:t>
      </w:r>
      <w:r w:rsidRPr="00F70FB9" w:rsidR="00B243C6">
        <w:rPr>
          <w:rFonts w:asciiTheme="minorEastAsia" w:eastAsiaTheme="minorEastAsia" w:hAnsiTheme="minorEastAsia"/>
          <w:color w:val="000000" w:themeColor="text1"/>
          <w:szCs w:val="21"/>
        </w:rPr>
        <w:t>A类</w:t>
      </w:r>
      <w:r w:rsidRPr="00F70FB9">
        <w:rPr>
          <w:rFonts w:asciiTheme="minorEastAsia" w:eastAsiaTheme="minorEastAsia" w:hAnsiTheme="minorEastAsia" w:hint="eastAsia"/>
          <w:color w:val="000000" w:themeColor="text1"/>
          <w:szCs w:val="21"/>
        </w:rPr>
        <w:t>基金份额，则申购份额的计算公式如下：</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净申购金额=申购金额/</w:t>
      </w:r>
      <w:r w:rsidRPr="00F70FB9" w:rsidR="002E1C38">
        <w:rPr>
          <w:rFonts w:asciiTheme="minorEastAsia" w:eastAsiaTheme="minorEastAsia" w:hAnsiTheme="minorEastAsia"/>
          <w:color w:val="000000" w:themeColor="text1"/>
          <w:szCs w:val="21"/>
        </w:rPr>
        <w:t>（</w:t>
      </w:r>
      <w:r w:rsidRPr="00F70FB9">
        <w:rPr>
          <w:rFonts w:asciiTheme="minorEastAsia" w:eastAsiaTheme="minorEastAsia" w:hAnsiTheme="minorEastAsia"/>
          <w:color w:val="000000" w:themeColor="text1"/>
          <w:szCs w:val="21"/>
        </w:rPr>
        <w:t>1+申购费率</w:t>
      </w:r>
      <w:r w:rsidRPr="00F70FB9" w:rsidR="002E1C38">
        <w:rPr>
          <w:rFonts w:asciiTheme="minorEastAsia" w:eastAsiaTheme="minorEastAsia" w:hAnsiTheme="minorEastAsia"/>
          <w:color w:val="000000" w:themeColor="text1"/>
          <w:szCs w:val="21"/>
        </w:rPr>
        <w:t>）</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（注：对于</w:t>
      </w:r>
      <w:r w:rsidRPr="00F70FB9" w:rsidR="00897003">
        <w:rPr>
          <w:rFonts w:asciiTheme="minorEastAsia" w:eastAsiaTheme="minorEastAsia" w:hAnsiTheme="minorEastAsia"/>
          <w:color w:val="000000" w:themeColor="text1"/>
          <w:szCs w:val="21"/>
        </w:rPr>
        <w:t>500</w:t>
      </w:r>
      <w:r w:rsidRPr="00F70FB9">
        <w:rPr>
          <w:rFonts w:asciiTheme="minorEastAsia" w:eastAsiaTheme="minorEastAsia" w:hAnsiTheme="minorEastAsia"/>
          <w:color w:val="000000" w:themeColor="text1"/>
          <w:szCs w:val="21"/>
        </w:rPr>
        <w:t>万（含）以上适用固定金额申购费的申购，净申购金额＝申购金额－固定申购费金额）</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申购费用=申购金额-净申购金额</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申购份额=净申购金额/T日</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color w:val="000000" w:themeColor="text1"/>
          <w:szCs w:val="21"/>
        </w:rPr>
        <w:t>基金份额净值</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例：某投资人</w:t>
      </w:r>
      <w:r w:rsidRPr="00F70FB9" w:rsidR="002E1C38">
        <w:rPr>
          <w:rFonts w:asciiTheme="minorEastAsia" w:eastAsiaTheme="minorEastAsia" w:hAnsiTheme="minorEastAsia"/>
          <w:color w:val="000000" w:themeColor="text1"/>
          <w:szCs w:val="21"/>
        </w:rPr>
        <w:t>（</w:t>
      </w:r>
      <w:r w:rsidRPr="00F70FB9">
        <w:rPr>
          <w:rFonts w:asciiTheme="minorEastAsia" w:eastAsiaTheme="minorEastAsia" w:hAnsiTheme="minorEastAsia"/>
          <w:color w:val="000000" w:themeColor="text1"/>
          <w:szCs w:val="21"/>
        </w:rPr>
        <w:t>非</w:t>
      </w:r>
      <w:r w:rsidRPr="00F70FB9" w:rsidR="001175C0">
        <w:rPr>
          <w:rFonts w:asciiTheme="minorEastAsia" w:eastAsiaTheme="minorEastAsia" w:hAnsiTheme="minorEastAsia"/>
          <w:color w:val="000000" w:themeColor="text1"/>
        </w:rPr>
        <w:t>特定投资群体</w:t>
      </w:r>
      <w:r w:rsidRPr="00F70FB9" w:rsidR="002E1C38">
        <w:rPr>
          <w:rFonts w:asciiTheme="minorEastAsia" w:eastAsiaTheme="minorEastAsia" w:hAnsiTheme="minorEastAsia"/>
          <w:color w:val="000000" w:themeColor="text1"/>
          <w:szCs w:val="21"/>
        </w:rPr>
        <w:t>）</w:t>
      </w:r>
      <w:r w:rsidRPr="00F70FB9">
        <w:rPr>
          <w:rFonts w:asciiTheme="minorEastAsia" w:eastAsiaTheme="minorEastAsia" w:hAnsiTheme="minorEastAsia"/>
          <w:color w:val="000000" w:themeColor="text1"/>
          <w:szCs w:val="21"/>
        </w:rPr>
        <w:t>投资</w:t>
      </w:r>
      <w:r w:rsidRPr="00F70FB9" w:rsidR="003134A5">
        <w:rPr>
          <w:rFonts w:asciiTheme="minorEastAsia" w:eastAsiaTheme="minorEastAsia" w:hAnsiTheme="minorEastAsia"/>
          <w:color w:val="000000" w:themeColor="text1"/>
          <w:szCs w:val="21"/>
        </w:rPr>
        <w:t>100,000</w:t>
      </w:r>
      <w:r w:rsidRPr="00F70FB9">
        <w:rPr>
          <w:rFonts w:asciiTheme="minorEastAsia" w:eastAsiaTheme="minorEastAsia" w:hAnsiTheme="minorEastAsia"/>
          <w:color w:val="000000" w:themeColor="text1"/>
          <w:szCs w:val="21"/>
        </w:rPr>
        <w:t>元申购本基金</w:t>
      </w:r>
      <w:r w:rsidRPr="00F70FB9" w:rsidR="00B243C6">
        <w:rPr>
          <w:rFonts w:asciiTheme="minorEastAsia" w:eastAsiaTheme="minorEastAsia" w:hAnsiTheme="minorEastAsia" w:hint="eastAsia"/>
          <w:color w:val="000000" w:themeColor="text1"/>
          <w:szCs w:val="21"/>
        </w:rPr>
        <w:t>A类</w:t>
      </w:r>
      <w:r w:rsidRPr="00F70FB9" w:rsidR="0048712B">
        <w:rPr>
          <w:rFonts w:asciiTheme="minorEastAsia" w:eastAsiaTheme="minorEastAsia" w:hAnsiTheme="minorEastAsia" w:hint="eastAsia"/>
          <w:color w:val="000000" w:themeColor="text1"/>
          <w:szCs w:val="21"/>
        </w:rPr>
        <w:t>份额</w:t>
      </w:r>
      <w:r w:rsidRPr="00F70FB9">
        <w:rPr>
          <w:rFonts w:asciiTheme="minorEastAsia" w:eastAsiaTheme="minorEastAsia" w:hAnsiTheme="minorEastAsia"/>
          <w:color w:val="000000" w:themeColor="text1"/>
          <w:szCs w:val="21"/>
        </w:rPr>
        <w:t>，申购费率为</w:t>
      </w:r>
      <w:r w:rsidRPr="00F70FB9" w:rsidR="003C7EEC">
        <w:rPr>
          <w:rFonts w:asciiTheme="minorEastAsia" w:eastAsiaTheme="minorEastAsia" w:hAnsiTheme="minorEastAsia"/>
          <w:color w:val="000000" w:themeColor="text1"/>
          <w:szCs w:val="21"/>
        </w:rPr>
        <w:t>0.6</w:t>
      </w:r>
      <w:r w:rsidRPr="00F70FB9">
        <w:rPr>
          <w:rFonts w:asciiTheme="minorEastAsia" w:eastAsiaTheme="minorEastAsia" w:hAnsiTheme="minorEastAsia"/>
          <w:color w:val="000000" w:themeColor="text1"/>
          <w:szCs w:val="21"/>
        </w:rPr>
        <w:t>%，假设申购当日</w:t>
      </w:r>
      <w:r w:rsidRPr="00F70FB9" w:rsidR="00B243C6">
        <w:rPr>
          <w:rFonts w:asciiTheme="minorEastAsia" w:eastAsiaTheme="minorEastAsia" w:hAnsiTheme="minorEastAsia"/>
          <w:color w:val="000000" w:themeColor="text1"/>
          <w:szCs w:val="21"/>
        </w:rPr>
        <w:t>A类</w:t>
      </w:r>
      <w:r w:rsidRPr="00F70FB9" w:rsidR="0048712B">
        <w:rPr>
          <w:rFonts w:asciiTheme="minorEastAsia" w:eastAsiaTheme="minorEastAsia" w:hAnsiTheme="minorEastAsia"/>
          <w:color w:val="000000" w:themeColor="text1"/>
          <w:szCs w:val="21"/>
        </w:rPr>
        <w:t>份额</w:t>
      </w:r>
      <w:r w:rsidRPr="00F70FB9">
        <w:rPr>
          <w:rFonts w:asciiTheme="minorEastAsia" w:eastAsiaTheme="minorEastAsia" w:hAnsiTheme="minorEastAsia"/>
          <w:color w:val="000000" w:themeColor="text1"/>
          <w:szCs w:val="21"/>
        </w:rPr>
        <w:t>基金份额净值为1.040</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color w:val="000000" w:themeColor="text1"/>
          <w:szCs w:val="21"/>
        </w:rPr>
        <w:t>元，则其可得到的申购份额为：</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净申购金额=</w:t>
      </w:r>
      <w:r w:rsidRPr="00F70FB9" w:rsidR="003134A5">
        <w:rPr>
          <w:rFonts w:asciiTheme="minorEastAsia" w:eastAsiaTheme="minorEastAsia" w:hAnsiTheme="minorEastAsia"/>
          <w:color w:val="000000" w:themeColor="text1"/>
          <w:szCs w:val="21"/>
        </w:rPr>
        <w:t>100,000</w:t>
      </w:r>
      <w:r w:rsidRPr="00F70FB9">
        <w:rPr>
          <w:rFonts w:asciiTheme="minorEastAsia" w:eastAsiaTheme="minorEastAsia" w:hAnsiTheme="minorEastAsia"/>
          <w:color w:val="000000" w:themeColor="text1"/>
          <w:szCs w:val="21"/>
        </w:rPr>
        <w:t>/</w:t>
      </w:r>
      <w:r w:rsidRPr="00F70FB9" w:rsidR="002E1C38">
        <w:rPr>
          <w:rFonts w:asciiTheme="minorEastAsia" w:eastAsiaTheme="minorEastAsia" w:hAnsiTheme="minorEastAsia"/>
          <w:color w:val="000000" w:themeColor="text1"/>
          <w:szCs w:val="21"/>
        </w:rPr>
        <w:t>（</w:t>
      </w:r>
      <w:r w:rsidRPr="00F70FB9">
        <w:rPr>
          <w:rFonts w:asciiTheme="minorEastAsia" w:eastAsiaTheme="minorEastAsia" w:hAnsiTheme="minorEastAsia"/>
          <w:color w:val="000000" w:themeColor="text1"/>
          <w:szCs w:val="21"/>
        </w:rPr>
        <w:t>1+</w:t>
      </w:r>
      <w:r w:rsidRPr="00F70FB9" w:rsidR="003C7EEC">
        <w:rPr>
          <w:rFonts w:asciiTheme="minorEastAsia" w:eastAsiaTheme="minorEastAsia" w:hAnsiTheme="minorEastAsia" w:hint="eastAsia"/>
          <w:color w:val="000000" w:themeColor="text1"/>
          <w:szCs w:val="21"/>
        </w:rPr>
        <w:t>0.6</w:t>
      </w:r>
      <w:r w:rsidRPr="00F70FB9">
        <w:rPr>
          <w:rFonts w:asciiTheme="minorEastAsia" w:eastAsiaTheme="minorEastAsia" w:hAnsiTheme="minorEastAsia"/>
          <w:color w:val="000000" w:themeColor="text1"/>
          <w:szCs w:val="21"/>
        </w:rPr>
        <w:t>%</w:t>
      </w:r>
      <w:r w:rsidRPr="00F70FB9" w:rsidR="002E1C38">
        <w:rPr>
          <w:rFonts w:asciiTheme="minorEastAsia" w:eastAsiaTheme="minorEastAsia" w:hAnsiTheme="minorEastAsia"/>
          <w:color w:val="000000" w:themeColor="text1"/>
          <w:szCs w:val="21"/>
        </w:rPr>
        <w:t>）</w:t>
      </w:r>
      <w:r w:rsidRPr="00F70FB9">
        <w:rPr>
          <w:rFonts w:asciiTheme="minorEastAsia" w:eastAsiaTheme="minorEastAsia" w:hAnsiTheme="minorEastAsia"/>
          <w:color w:val="000000" w:themeColor="text1"/>
          <w:szCs w:val="21"/>
        </w:rPr>
        <w:t>=</w:t>
      </w:r>
      <w:r w:rsidRPr="00F70FB9" w:rsidR="003C7EEC">
        <w:rPr>
          <w:rFonts w:asciiTheme="minorEastAsia" w:eastAsiaTheme="minorEastAsia" w:hAnsiTheme="minorEastAsia"/>
          <w:color w:val="000000" w:themeColor="text1"/>
          <w:szCs w:val="21"/>
        </w:rPr>
        <w:t>99,403.58</w:t>
      </w:r>
      <w:r w:rsidRPr="00F70FB9">
        <w:rPr>
          <w:rFonts w:asciiTheme="minorEastAsia" w:eastAsiaTheme="minorEastAsia" w:hAnsiTheme="minorEastAsia"/>
          <w:color w:val="000000" w:themeColor="text1"/>
          <w:szCs w:val="21"/>
        </w:rPr>
        <w:t>元</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申购费用=</w:t>
      </w:r>
      <w:r w:rsidRPr="00F70FB9" w:rsidR="003134A5">
        <w:rPr>
          <w:rFonts w:asciiTheme="minorEastAsia" w:eastAsiaTheme="minorEastAsia" w:hAnsiTheme="minorEastAsia"/>
          <w:color w:val="000000" w:themeColor="text1"/>
          <w:szCs w:val="21"/>
        </w:rPr>
        <w:t>100,000</w:t>
      </w:r>
      <w:r w:rsidRPr="00F70FB9">
        <w:rPr>
          <w:rFonts w:asciiTheme="minorEastAsia" w:eastAsiaTheme="minorEastAsia" w:hAnsiTheme="minorEastAsia"/>
          <w:color w:val="000000" w:themeColor="text1"/>
          <w:szCs w:val="21"/>
        </w:rPr>
        <w:t>-</w:t>
      </w:r>
      <w:r w:rsidRPr="00F70FB9" w:rsidR="003C7EEC">
        <w:rPr>
          <w:rFonts w:asciiTheme="minorEastAsia" w:eastAsiaTheme="minorEastAsia" w:hAnsiTheme="minorEastAsia"/>
          <w:color w:val="000000" w:themeColor="text1"/>
          <w:szCs w:val="21"/>
        </w:rPr>
        <w:t>99,403.58</w:t>
      </w:r>
      <w:r w:rsidRPr="00F70FB9">
        <w:rPr>
          <w:rFonts w:asciiTheme="minorEastAsia" w:eastAsiaTheme="minorEastAsia" w:hAnsiTheme="minorEastAsia"/>
          <w:color w:val="000000" w:themeColor="text1"/>
          <w:szCs w:val="21"/>
        </w:rPr>
        <w:t>=</w:t>
      </w:r>
      <w:r w:rsidRPr="00F70FB9" w:rsidR="003C7EEC">
        <w:rPr>
          <w:rFonts w:asciiTheme="minorEastAsia" w:eastAsiaTheme="minorEastAsia" w:hAnsiTheme="minorEastAsia"/>
          <w:color w:val="000000" w:themeColor="text1"/>
          <w:szCs w:val="21"/>
        </w:rPr>
        <w:t>596.42</w:t>
      </w:r>
      <w:r w:rsidRPr="00F70FB9">
        <w:rPr>
          <w:rFonts w:asciiTheme="minorEastAsia" w:eastAsiaTheme="minorEastAsia" w:hAnsiTheme="minorEastAsia"/>
          <w:color w:val="000000" w:themeColor="text1"/>
          <w:szCs w:val="21"/>
        </w:rPr>
        <w:t>元</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申购份额=</w:t>
      </w:r>
      <w:r w:rsidRPr="00F70FB9" w:rsidR="003C7EEC">
        <w:rPr>
          <w:rFonts w:asciiTheme="minorEastAsia" w:eastAsiaTheme="minorEastAsia" w:hAnsiTheme="minorEastAsia"/>
          <w:color w:val="000000" w:themeColor="text1"/>
          <w:szCs w:val="21"/>
        </w:rPr>
        <w:t>99,403.58</w:t>
      </w:r>
      <w:r w:rsidRPr="00F70FB9" w:rsidR="003134A5">
        <w:rPr>
          <w:rFonts w:asciiTheme="minorEastAsia" w:eastAsiaTheme="minorEastAsia" w:hAnsiTheme="minorEastAsia"/>
          <w:color w:val="000000" w:themeColor="text1"/>
          <w:szCs w:val="21"/>
        </w:rPr>
        <w:t>/1.04</w:t>
      </w:r>
      <w:r w:rsidRPr="00F70FB9" w:rsidR="002875C4">
        <w:rPr>
          <w:rFonts w:asciiTheme="minorEastAsia" w:eastAsiaTheme="minorEastAsia" w:hAnsiTheme="minorEastAsia"/>
          <w:color w:val="000000" w:themeColor="text1"/>
          <w:szCs w:val="21"/>
        </w:rPr>
        <w:t>0</w:t>
      </w:r>
      <w:r w:rsidRPr="00F70FB9" w:rsidR="003134A5">
        <w:rPr>
          <w:rFonts w:asciiTheme="minorEastAsia" w:eastAsiaTheme="minorEastAsia" w:hAnsiTheme="minorEastAsia"/>
          <w:color w:val="000000" w:themeColor="text1"/>
          <w:szCs w:val="21"/>
        </w:rPr>
        <w:t>0=</w:t>
      </w:r>
      <w:r w:rsidRPr="00F70FB9" w:rsidR="003C7EEC">
        <w:rPr>
          <w:rFonts w:asciiTheme="minorEastAsia" w:eastAsiaTheme="minorEastAsia" w:hAnsiTheme="minorEastAsia"/>
          <w:color w:val="000000" w:themeColor="text1"/>
          <w:szCs w:val="21"/>
        </w:rPr>
        <w:t>95,580.37</w:t>
      </w:r>
      <w:r w:rsidRPr="00F70FB9">
        <w:rPr>
          <w:rFonts w:asciiTheme="minorEastAsia" w:eastAsiaTheme="minorEastAsia" w:hAnsiTheme="minorEastAsia"/>
          <w:color w:val="000000" w:themeColor="text1"/>
          <w:szCs w:val="21"/>
        </w:rPr>
        <w:t>份</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例</w:t>
      </w:r>
      <w:r w:rsidRPr="00F70FB9">
        <w:rPr>
          <w:rFonts w:asciiTheme="minorEastAsia" w:eastAsiaTheme="minorEastAsia" w:hAnsiTheme="minorEastAsia"/>
          <w:color w:val="000000" w:themeColor="text1"/>
          <w:szCs w:val="21"/>
        </w:rPr>
        <w:t>：某投资人</w:t>
      </w:r>
      <w:r w:rsidRPr="00F70FB9" w:rsidR="002E1C38">
        <w:rPr>
          <w:rFonts w:asciiTheme="minorEastAsia" w:eastAsiaTheme="minorEastAsia" w:hAnsiTheme="minorEastAsia"/>
          <w:color w:val="000000" w:themeColor="text1"/>
          <w:szCs w:val="21"/>
        </w:rPr>
        <w:t>（</w:t>
      </w:r>
      <w:r w:rsidRPr="00F70FB9" w:rsidR="001175C0">
        <w:rPr>
          <w:rFonts w:asciiTheme="minorEastAsia" w:eastAsiaTheme="minorEastAsia" w:hAnsiTheme="minorEastAsia"/>
          <w:color w:val="000000" w:themeColor="text1"/>
        </w:rPr>
        <w:t>特定投资群体</w:t>
      </w:r>
      <w:r w:rsidRPr="00F70FB9" w:rsidR="002E1C38">
        <w:rPr>
          <w:rFonts w:asciiTheme="minorEastAsia" w:eastAsiaTheme="minorEastAsia" w:hAnsiTheme="minorEastAsia"/>
          <w:color w:val="000000" w:themeColor="text1"/>
          <w:szCs w:val="21"/>
        </w:rPr>
        <w:t>）</w:t>
      </w:r>
      <w:r w:rsidRPr="00F70FB9">
        <w:rPr>
          <w:rFonts w:asciiTheme="minorEastAsia" w:eastAsiaTheme="minorEastAsia" w:hAnsiTheme="minorEastAsia"/>
          <w:color w:val="000000" w:themeColor="text1"/>
          <w:szCs w:val="21"/>
        </w:rPr>
        <w:t>通过本管理人的</w:t>
      </w:r>
      <w:r w:rsidRPr="00F70FB9" w:rsidR="00A26107">
        <w:rPr>
          <w:rFonts w:asciiTheme="minorEastAsia" w:eastAsiaTheme="minorEastAsia" w:hAnsiTheme="minorEastAsia"/>
          <w:color w:val="000000" w:themeColor="text1"/>
          <w:szCs w:val="21"/>
        </w:rPr>
        <w:t>直销</w:t>
      </w:r>
      <w:r w:rsidRPr="00F70FB9" w:rsidR="009C56F4">
        <w:rPr>
          <w:rFonts w:asciiTheme="minorEastAsia" w:eastAsiaTheme="minorEastAsia" w:hAnsiTheme="minorEastAsia" w:hint="eastAsia"/>
          <w:color w:val="000000" w:themeColor="text1"/>
          <w:szCs w:val="21"/>
        </w:rPr>
        <w:t>中心</w:t>
      </w:r>
      <w:r w:rsidRPr="00F70FB9">
        <w:rPr>
          <w:rFonts w:asciiTheme="minorEastAsia" w:eastAsiaTheme="minorEastAsia" w:hAnsiTheme="minorEastAsia"/>
          <w:color w:val="000000" w:themeColor="text1"/>
          <w:szCs w:val="21"/>
        </w:rPr>
        <w:t>投资</w:t>
      </w:r>
      <w:r w:rsidRPr="00F70FB9" w:rsidR="003134A5">
        <w:rPr>
          <w:rFonts w:asciiTheme="minorEastAsia" w:eastAsiaTheme="minorEastAsia" w:hAnsiTheme="minorEastAsia"/>
          <w:color w:val="000000" w:themeColor="text1"/>
          <w:szCs w:val="21"/>
        </w:rPr>
        <w:t>100,000</w:t>
      </w:r>
      <w:r w:rsidRPr="00F70FB9">
        <w:rPr>
          <w:rFonts w:asciiTheme="minorEastAsia" w:eastAsiaTheme="minorEastAsia" w:hAnsiTheme="minorEastAsia"/>
          <w:color w:val="000000" w:themeColor="text1"/>
          <w:szCs w:val="21"/>
        </w:rPr>
        <w:t>元申购本基金</w:t>
      </w:r>
      <w:r w:rsidRPr="00F70FB9" w:rsidR="00B243C6">
        <w:rPr>
          <w:rFonts w:asciiTheme="minorEastAsia" w:eastAsiaTheme="minorEastAsia" w:hAnsiTheme="minorEastAsia"/>
          <w:color w:val="000000" w:themeColor="text1"/>
          <w:szCs w:val="21"/>
        </w:rPr>
        <w:t>A类</w:t>
      </w:r>
      <w:r w:rsidRPr="00F70FB9" w:rsidR="002875C4">
        <w:rPr>
          <w:rFonts w:asciiTheme="minorEastAsia" w:eastAsiaTheme="minorEastAsia" w:hAnsiTheme="minorEastAsia"/>
          <w:color w:val="000000" w:themeColor="text1"/>
          <w:szCs w:val="21"/>
        </w:rPr>
        <w:t>份额</w:t>
      </w:r>
      <w:r w:rsidRPr="00F70FB9">
        <w:rPr>
          <w:rFonts w:asciiTheme="minorEastAsia" w:eastAsiaTheme="minorEastAsia" w:hAnsiTheme="minorEastAsia"/>
          <w:color w:val="000000" w:themeColor="text1"/>
          <w:szCs w:val="21"/>
        </w:rPr>
        <w:t>，申购费率为0.</w:t>
      </w:r>
      <w:r w:rsidRPr="00F70FB9" w:rsidR="00266CCA">
        <w:rPr>
          <w:rFonts w:asciiTheme="minorEastAsia" w:eastAsiaTheme="minorEastAsia" w:hAnsiTheme="minorEastAsia"/>
          <w:color w:val="000000" w:themeColor="text1"/>
          <w:szCs w:val="21"/>
        </w:rPr>
        <w:t>06</w:t>
      </w:r>
      <w:r w:rsidRPr="00F70FB9">
        <w:rPr>
          <w:rFonts w:asciiTheme="minorEastAsia" w:eastAsiaTheme="minorEastAsia" w:hAnsiTheme="minorEastAsia"/>
          <w:color w:val="000000" w:themeColor="text1"/>
          <w:szCs w:val="21"/>
        </w:rPr>
        <w:t>%，假设申购当日</w:t>
      </w:r>
      <w:r w:rsidRPr="00F70FB9" w:rsidR="00B243C6">
        <w:rPr>
          <w:rFonts w:asciiTheme="minorEastAsia" w:eastAsiaTheme="minorEastAsia" w:hAnsiTheme="minorEastAsia"/>
          <w:color w:val="000000" w:themeColor="text1"/>
          <w:szCs w:val="21"/>
        </w:rPr>
        <w:t>A类</w:t>
      </w:r>
      <w:r w:rsidRPr="00F70FB9" w:rsidR="009E2EE5">
        <w:rPr>
          <w:rFonts w:asciiTheme="minorEastAsia" w:eastAsiaTheme="minorEastAsia" w:hAnsiTheme="minorEastAsia"/>
          <w:color w:val="000000" w:themeColor="text1"/>
          <w:szCs w:val="21"/>
        </w:rPr>
        <w:t>份额</w:t>
      </w:r>
      <w:r w:rsidRPr="00F70FB9">
        <w:rPr>
          <w:rFonts w:asciiTheme="minorEastAsia" w:eastAsiaTheme="minorEastAsia" w:hAnsiTheme="minorEastAsia"/>
          <w:color w:val="000000" w:themeColor="text1"/>
          <w:szCs w:val="21"/>
        </w:rPr>
        <w:t>基金份额净值为1.040</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color w:val="000000" w:themeColor="text1"/>
          <w:szCs w:val="21"/>
        </w:rPr>
        <w:t>元，则其可得到的申购份额为：</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净申购金额=</w:t>
      </w:r>
      <w:r w:rsidRPr="00F70FB9" w:rsidR="003134A5">
        <w:rPr>
          <w:rFonts w:asciiTheme="minorEastAsia" w:eastAsiaTheme="minorEastAsia" w:hAnsiTheme="minorEastAsia"/>
          <w:color w:val="000000" w:themeColor="text1"/>
          <w:szCs w:val="21"/>
        </w:rPr>
        <w:t>100,000/</w:t>
      </w:r>
      <w:r w:rsidRPr="00F70FB9" w:rsidR="002E1C38">
        <w:rPr>
          <w:rFonts w:asciiTheme="minorEastAsia" w:eastAsiaTheme="minorEastAsia" w:hAnsiTheme="minorEastAsia"/>
          <w:color w:val="000000" w:themeColor="text1"/>
          <w:szCs w:val="21"/>
        </w:rPr>
        <w:t>（</w:t>
      </w:r>
      <w:r w:rsidRPr="00F70FB9" w:rsidR="003134A5">
        <w:rPr>
          <w:rFonts w:asciiTheme="minorEastAsia" w:eastAsiaTheme="minorEastAsia" w:hAnsiTheme="minorEastAsia"/>
          <w:color w:val="000000" w:themeColor="text1"/>
          <w:szCs w:val="21"/>
        </w:rPr>
        <w:t>1+</w:t>
      </w:r>
      <w:r w:rsidRPr="00F70FB9" w:rsidR="00A254BB">
        <w:rPr>
          <w:rFonts w:asciiTheme="minorEastAsia" w:eastAsiaTheme="minorEastAsia" w:hAnsiTheme="minorEastAsia" w:hint="eastAsia"/>
          <w:color w:val="000000" w:themeColor="text1"/>
          <w:szCs w:val="21"/>
        </w:rPr>
        <w:t>0.</w:t>
      </w:r>
      <w:r w:rsidRPr="00F70FB9" w:rsidR="00266CCA">
        <w:rPr>
          <w:rFonts w:asciiTheme="minorEastAsia" w:eastAsiaTheme="minorEastAsia" w:hAnsiTheme="minorEastAsia"/>
          <w:color w:val="000000" w:themeColor="text1"/>
          <w:szCs w:val="21"/>
        </w:rPr>
        <w:t>06</w:t>
      </w:r>
      <w:r w:rsidRPr="00F70FB9" w:rsidR="003134A5">
        <w:rPr>
          <w:rFonts w:asciiTheme="minorEastAsia" w:eastAsiaTheme="minorEastAsia" w:hAnsiTheme="minorEastAsia"/>
          <w:color w:val="000000" w:themeColor="text1"/>
          <w:szCs w:val="21"/>
        </w:rPr>
        <w:t>%</w:t>
      </w:r>
      <w:r w:rsidRPr="00F70FB9" w:rsidR="002E1C38">
        <w:rPr>
          <w:rFonts w:asciiTheme="minorEastAsia" w:eastAsiaTheme="minorEastAsia" w:hAnsiTheme="minorEastAsia"/>
          <w:color w:val="000000" w:themeColor="text1"/>
          <w:szCs w:val="21"/>
        </w:rPr>
        <w:t>）</w:t>
      </w:r>
      <w:r w:rsidRPr="00F70FB9" w:rsidR="003134A5">
        <w:rPr>
          <w:rFonts w:asciiTheme="minorEastAsia" w:eastAsiaTheme="minorEastAsia" w:hAnsiTheme="minorEastAsia"/>
          <w:color w:val="000000" w:themeColor="text1"/>
          <w:szCs w:val="21"/>
        </w:rPr>
        <w:t>=</w:t>
      </w:r>
      <w:r w:rsidRPr="00F70FB9" w:rsidR="00D50419">
        <w:rPr>
          <w:rFonts w:asciiTheme="minorEastAsia" w:eastAsiaTheme="minorEastAsia" w:hAnsiTheme="minorEastAsia"/>
          <w:color w:val="000000" w:themeColor="text1"/>
          <w:szCs w:val="21"/>
        </w:rPr>
        <w:t>99,940.04</w:t>
      </w:r>
      <w:r w:rsidRPr="00F70FB9">
        <w:rPr>
          <w:rFonts w:asciiTheme="minorEastAsia" w:eastAsiaTheme="minorEastAsia" w:hAnsiTheme="minorEastAsia"/>
          <w:color w:val="000000" w:themeColor="text1"/>
          <w:szCs w:val="21"/>
        </w:rPr>
        <w:t>元</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申购费用=</w:t>
      </w:r>
      <w:r w:rsidRPr="00F70FB9" w:rsidR="003134A5">
        <w:rPr>
          <w:rFonts w:asciiTheme="minorEastAsia" w:eastAsiaTheme="minorEastAsia" w:hAnsiTheme="minorEastAsia"/>
          <w:color w:val="000000" w:themeColor="text1"/>
          <w:szCs w:val="21"/>
        </w:rPr>
        <w:t>100,000-</w:t>
      </w:r>
      <w:r w:rsidRPr="00F70FB9" w:rsidR="00D50419">
        <w:rPr>
          <w:rFonts w:asciiTheme="minorEastAsia" w:eastAsiaTheme="minorEastAsia" w:hAnsiTheme="minorEastAsia"/>
          <w:color w:val="000000" w:themeColor="text1"/>
          <w:szCs w:val="21"/>
        </w:rPr>
        <w:t>99,940.04</w:t>
      </w:r>
      <w:r w:rsidRPr="00F70FB9" w:rsidR="003134A5">
        <w:rPr>
          <w:rFonts w:asciiTheme="minorEastAsia" w:eastAsiaTheme="minorEastAsia" w:hAnsiTheme="minorEastAsia"/>
          <w:color w:val="000000" w:themeColor="text1"/>
          <w:szCs w:val="21"/>
        </w:rPr>
        <w:t>=</w:t>
      </w:r>
      <w:r w:rsidRPr="00F70FB9" w:rsidR="00D50419">
        <w:rPr>
          <w:rFonts w:asciiTheme="minorEastAsia" w:eastAsiaTheme="minorEastAsia" w:hAnsiTheme="minorEastAsia"/>
          <w:color w:val="000000" w:themeColor="text1"/>
          <w:szCs w:val="21"/>
        </w:rPr>
        <w:t>59.96</w:t>
      </w:r>
      <w:r w:rsidRPr="00F70FB9">
        <w:rPr>
          <w:rFonts w:asciiTheme="minorEastAsia" w:eastAsiaTheme="minorEastAsia" w:hAnsiTheme="minorEastAsia"/>
          <w:color w:val="000000" w:themeColor="text1"/>
          <w:szCs w:val="21"/>
        </w:rPr>
        <w:t>元</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申购份额=</w:t>
      </w:r>
      <w:r w:rsidRPr="00F70FB9" w:rsidR="00D50419">
        <w:rPr>
          <w:rFonts w:asciiTheme="minorEastAsia" w:eastAsiaTheme="minorEastAsia" w:hAnsiTheme="minorEastAsia"/>
          <w:color w:val="000000" w:themeColor="text1"/>
          <w:szCs w:val="21"/>
        </w:rPr>
        <w:t>99,940.04</w:t>
      </w:r>
      <w:r w:rsidRPr="00F70FB9" w:rsidR="00997D83">
        <w:rPr>
          <w:rFonts w:asciiTheme="minorEastAsia" w:eastAsiaTheme="minorEastAsia" w:hAnsiTheme="minorEastAsia" w:hint="eastAsia"/>
          <w:color w:val="000000" w:themeColor="text1"/>
          <w:szCs w:val="21"/>
        </w:rPr>
        <w:t>/</w:t>
      </w:r>
      <w:r w:rsidRPr="00F70FB9" w:rsidR="003134A5">
        <w:rPr>
          <w:rFonts w:asciiTheme="minorEastAsia" w:eastAsiaTheme="minorEastAsia" w:hAnsiTheme="minorEastAsia"/>
          <w:color w:val="000000" w:themeColor="text1"/>
          <w:szCs w:val="21"/>
        </w:rPr>
        <w:t>1.040</w:t>
      </w:r>
      <w:r w:rsidRPr="00F70FB9" w:rsidR="002875C4">
        <w:rPr>
          <w:rFonts w:asciiTheme="minorEastAsia" w:eastAsiaTheme="minorEastAsia" w:hAnsiTheme="minorEastAsia"/>
          <w:color w:val="000000" w:themeColor="text1"/>
          <w:szCs w:val="21"/>
        </w:rPr>
        <w:t>0</w:t>
      </w:r>
      <w:r w:rsidRPr="00F70FB9" w:rsidR="003134A5">
        <w:rPr>
          <w:rFonts w:asciiTheme="minorEastAsia" w:eastAsiaTheme="minorEastAsia" w:hAnsiTheme="minorEastAsia"/>
          <w:color w:val="000000" w:themeColor="text1"/>
          <w:szCs w:val="21"/>
        </w:rPr>
        <w:t>=</w:t>
      </w:r>
      <w:r w:rsidRPr="00F70FB9" w:rsidR="00D50419">
        <w:rPr>
          <w:rFonts w:asciiTheme="minorEastAsia" w:eastAsiaTheme="minorEastAsia" w:hAnsiTheme="minorEastAsia"/>
          <w:color w:val="000000" w:themeColor="text1"/>
          <w:szCs w:val="21"/>
        </w:rPr>
        <w:t>96,096.19</w:t>
      </w:r>
      <w:r w:rsidRPr="00F70FB9">
        <w:rPr>
          <w:rFonts w:asciiTheme="minorEastAsia" w:eastAsiaTheme="minorEastAsia" w:hAnsiTheme="minorEastAsia"/>
          <w:color w:val="000000" w:themeColor="text1"/>
          <w:szCs w:val="21"/>
        </w:rPr>
        <w:t>份</w:t>
      </w:r>
    </w:p>
    <w:p w:rsidR="005A58F3"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（2）若投资人选择</w:t>
      </w:r>
      <w:r w:rsidRPr="00F70FB9" w:rsidR="00B243C6">
        <w:rPr>
          <w:rFonts w:asciiTheme="minorEastAsia" w:eastAsiaTheme="minorEastAsia" w:hAnsiTheme="minorEastAsia"/>
          <w:color w:val="000000" w:themeColor="text1"/>
          <w:szCs w:val="21"/>
        </w:rPr>
        <w:t>C类</w:t>
      </w:r>
      <w:r w:rsidRPr="00F70FB9">
        <w:rPr>
          <w:rFonts w:asciiTheme="minorEastAsia" w:eastAsiaTheme="minorEastAsia" w:hAnsiTheme="minorEastAsia" w:hint="eastAsia"/>
          <w:color w:val="000000" w:themeColor="text1"/>
          <w:szCs w:val="21"/>
        </w:rPr>
        <w:t>基金份额，则申购份额的计算公式如下：</w:t>
      </w:r>
    </w:p>
    <w:p w:rsidR="004610E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申购份额=申购金额/T日</w:t>
      </w:r>
      <w:r w:rsidRPr="00F70FB9" w:rsidR="00B243C6">
        <w:rPr>
          <w:rFonts w:asciiTheme="minorEastAsia" w:eastAsiaTheme="minorEastAsia" w:hAnsiTheme="minorEastAsia"/>
          <w:color w:val="000000" w:themeColor="text1"/>
          <w:szCs w:val="21"/>
        </w:rPr>
        <w:t>C类</w:t>
      </w:r>
      <w:r w:rsidRPr="00F70FB9">
        <w:rPr>
          <w:rFonts w:asciiTheme="minorEastAsia" w:eastAsiaTheme="minorEastAsia" w:hAnsiTheme="minorEastAsia"/>
          <w:color w:val="000000" w:themeColor="text1"/>
          <w:szCs w:val="21"/>
        </w:rPr>
        <w:t>基金份额净值</w:t>
      </w:r>
    </w:p>
    <w:p w:rsidR="004610E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例：某投资人投资100,000元申购本基金</w:t>
      </w:r>
      <w:r w:rsidRPr="00F70FB9" w:rsidR="00B243C6">
        <w:rPr>
          <w:rFonts w:asciiTheme="minorEastAsia" w:eastAsiaTheme="minorEastAsia" w:hAnsiTheme="minorEastAsia"/>
          <w:color w:val="000000" w:themeColor="text1"/>
          <w:szCs w:val="21"/>
        </w:rPr>
        <w:t>C类</w:t>
      </w:r>
      <w:r w:rsidRPr="00F70FB9">
        <w:rPr>
          <w:rFonts w:asciiTheme="minorEastAsia" w:eastAsiaTheme="minorEastAsia" w:hAnsiTheme="minorEastAsia" w:hint="eastAsia"/>
          <w:color w:val="000000" w:themeColor="text1"/>
          <w:szCs w:val="21"/>
        </w:rPr>
        <w:t>基金份额，假设申购当日</w:t>
      </w:r>
      <w:r w:rsidRPr="00F70FB9" w:rsidR="00B243C6">
        <w:rPr>
          <w:rFonts w:asciiTheme="minorEastAsia" w:eastAsiaTheme="minorEastAsia" w:hAnsiTheme="minorEastAsia"/>
          <w:color w:val="000000" w:themeColor="text1"/>
          <w:szCs w:val="21"/>
        </w:rPr>
        <w:t>C类</w:t>
      </w:r>
      <w:r w:rsidRPr="00F70FB9" w:rsidR="005144EA">
        <w:rPr>
          <w:rFonts w:asciiTheme="minorEastAsia" w:eastAsiaTheme="minorEastAsia" w:hAnsiTheme="minorEastAsia"/>
          <w:color w:val="000000" w:themeColor="text1"/>
          <w:szCs w:val="21"/>
        </w:rPr>
        <w:t>份额</w:t>
      </w:r>
      <w:r w:rsidRPr="00F70FB9">
        <w:rPr>
          <w:rFonts w:asciiTheme="minorEastAsia" w:eastAsiaTheme="minorEastAsia" w:hAnsiTheme="minorEastAsia" w:hint="eastAsia"/>
          <w:color w:val="000000" w:themeColor="text1"/>
          <w:szCs w:val="21"/>
        </w:rPr>
        <w:t>基金份额净值为1.040</w:t>
      </w:r>
      <w:r w:rsidRPr="00F70FB9" w:rsidR="006E39F1">
        <w:rPr>
          <w:rFonts w:asciiTheme="minorEastAsia" w:eastAsiaTheme="minorEastAsia" w:hAnsiTheme="minorEastAsia"/>
          <w:color w:val="000000" w:themeColor="text1"/>
          <w:szCs w:val="21"/>
        </w:rPr>
        <w:t>0</w:t>
      </w:r>
      <w:r w:rsidRPr="00F70FB9">
        <w:rPr>
          <w:rFonts w:asciiTheme="minorEastAsia" w:eastAsiaTheme="minorEastAsia" w:hAnsiTheme="minorEastAsia" w:hint="eastAsia"/>
          <w:color w:val="000000" w:themeColor="text1"/>
          <w:szCs w:val="21"/>
        </w:rPr>
        <w:t>元，则其可得到的申购份额为：</w:t>
      </w:r>
    </w:p>
    <w:p w:rsidR="005A58F3"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申购份额=100,000/1.04</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hint="eastAsia"/>
          <w:color w:val="000000" w:themeColor="text1"/>
          <w:szCs w:val="21"/>
        </w:rPr>
        <w:t>0=96,153.85份</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3、赎回金额的计算</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赎回金额的计算方法如下：</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赎回费用=赎回份额×T日</w:t>
      </w:r>
      <w:r w:rsidRPr="00F70FB9" w:rsidR="001D03BD">
        <w:rPr>
          <w:rFonts w:asciiTheme="minorEastAsia" w:eastAsiaTheme="minorEastAsia" w:hAnsiTheme="minorEastAsia" w:hint="eastAsia"/>
          <w:color w:val="000000" w:themeColor="text1"/>
          <w:szCs w:val="21"/>
        </w:rPr>
        <w:t>该类</w:t>
      </w:r>
      <w:r w:rsidRPr="00F70FB9">
        <w:rPr>
          <w:rFonts w:asciiTheme="minorEastAsia" w:eastAsiaTheme="minorEastAsia" w:hAnsiTheme="minorEastAsia"/>
          <w:color w:val="000000" w:themeColor="text1"/>
          <w:szCs w:val="21"/>
        </w:rPr>
        <w:t>基金份额净值×</w:t>
      </w:r>
      <w:r w:rsidRPr="00F70FB9" w:rsidR="001D03BD">
        <w:rPr>
          <w:rFonts w:asciiTheme="minorEastAsia" w:eastAsiaTheme="minorEastAsia" w:hAnsiTheme="minorEastAsia" w:hint="eastAsia"/>
          <w:color w:val="000000" w:themeColor="text1"/>
          <w:szCs w:val="21"/>
        </w:rPr>
        <w:t>该类份额</w:t>
      </w:r>
      <w:r w:rsidRPr="00F70FB9">
        <w:rPr>
          <w:rFonts w:asciiTheme="minorEastAsia" w:eastAsiaTheme="minorEastAsia" w:hAnsiTheme="minorEastAsia"/>
          <w:color w:val="000000" w:themeColor="text1"/>
          <w:szCs w:val="21"/>
        </w:rPr>
        <w:t>赎回费率</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赎回金额=赎回份额×T日</w:t>
      </w:r>
      <w:r w:rsidRPr="00F70FB9" w:rsidR="001D5928">
        <w:rPr>
          <w:rFonts w:asciiTheme="minorEastAsia" w:eastAsiaTheme="minorEastAsia" w:hAnsiTheme="minorEastAsia" w:hint="eastAsia"/>
          <w:color w:val="000000" w:themeColor="text1"/>
          <w:szCs w:val="21"/>
        </w:rPr>
        <w:t>该类</w:t>
      </w:r>
      <w:r w:rsidRPr="00F70FB9">
        <w:rPr>
          <w:rFonts w:asciiTheme="minorEastAsia" w:eastAsiaTheme="minorEastAsia" w:hAnsiTheme="minorEastAsia"/>
          <w:color w:val="000000" w:themeColor="text1"/>
          <w:szCs w:val="21"/>
        </w:rPr>
        <w:t>基金份额净值-赎回费用</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例：某投资人赎回1</w:t>
      </w:r>
      <w:r w:rsidRPr="00F70FB9" w:rsidR="003134A5">
        <w:rPr>
          <w:rFonts w:asciiTheme="minorEastAsia" w:eastAsiaTheme="minorEastAsia" w:hAnsiTheme="minorEastAsia"/>
          <w:color w:val="000000" w:themeColor="text1"/>
          <w:szCs w:val="21"/>
        </w:rPr>
        <w:t>0,000</w:t>
      </w:r>
      <w:r w:rsidRPr="00F70FB9">
        <w:rPr>
          <w:rFonts w:asciiTheme="minorEastAsia" w:eastAsiaTheme="minorEastAsia" w:hAnsiTheme="minorEastAsia"/>
          <w:color w:val="000000" w:themeColor="text1"/>
          <w:szCs w:val="21"/>
        </w:rPr>
        <w:t>份</w:t>
      </w:r>
      <w:r w:rsidRPr="00F70FB9" w:rsidR="00B243C6">
        <w:rPr>
          <w:rFonts w:asciiTheme="minorEastAsia" w:eastAsiaTheme="minorEastAsia" w:hAnsiTheme="minorEastAsia"/>
          <w:color w:val="000000" w:themeColor="text1"/>
          <w:szCs w:val="21"/>
        </w:rPr>
        <w:t>A类</w:t>
      </w:r>
      <w:r w:rsidRPr="00F70FB9">
        <w:rPr>
          <w:rFonts w:asciiTheme="minorEastAsia" w:eastAsiaTheme="minorEastAsia" w:hAnsiTheme="minorEastAsia"/>
          <w:color w:val="000000" w:themeColor="text1"/>
          <w:szCs w:val="21"/>
        </w:rPr>
        <w:t>基金份额，假设该笔份额持有期限为100天，则对应的赎回费率为0.</w:t>
      </w:r>
      <w:r w:rsidRPr="00F70FB9" w:rsidR="00A254BB">
        <w:rPr>
          <w:rFonts w:asciiTheme="minorEastAsia" w:eastAsiaTheme="minorEastAsia" w:hAnsiTheme="minorEastAsia" w:hint="eastAsia"/>
          <w:color w:val="000000" w:themeColor="text1"/>
          <w:szCs w:val="21"/>
        </w:rPr>
        <w:t>5</w:t>
      </w:r>
      <w:r w:rsidRPr="00F70FB9">
        <w:rPr>
          <w:rFonts w:asciiTheme="minorEastAsia" w:eastAsiaTheme="minorEastAsia" w:hAnsiTheme="minorEastAsia"/>
          <w:color w:val="000000" w:themeColor="text1"/>
          <w:szCs w:val="21"/>
        </w:rPr>
        <w:t>%，假设赎回当日</w:t>
      </w:r>
      <w:r w:rsidRPr="00F70FB9" w:rsidR="00B243C6">
        <w:rPr>
          <w:rFonts w:asciiTheme="minorEastAsia" w:eastAsiaTheme="minorEastAsia" w:hAnsiTheme="minorEastAsia"/>
          <w:color w:val="000000" w:themeColor="text1"/>
          <w:szCs w:val="21"/>
        </w:rPr>
        <w:t>A类</w:t>
      </w:r>
      <w:r w:rsidRPr="00F70FB9" w:rsidR="005144EA">
        <w:rPr>
          <w:rFonts w:asciiTheme="minorEastAsia" w:eastAsiaTheme="minorEastAsia" w:hAnsiTheme="minorEastAsia"/>
          <w:color w:val="000000" w:themeColor="text1"/>
          <w:szCs w:val="21"/>
        </w:rPr>
        <w:t>份额</w:t>
      </w:r>
      <w:r w:rsidRPr="00F70FB9">
        <w:rPr>
          <w:rFonts w:asciiTheme="minorEastAsia" w:eastAsiaTheme="minorEastAsia" w:hAnsiTheme="minorEastAsia"/>
          <w:color w:val="000000" w:themeColor="text1"/>
          <w:szCs w:val="21"/>
        </w:rPr>
        <w:t>基金份额净值是1.016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color w:val="000000" w:themeColor="text1"/>
          <w:szCs w:val="21"/>
        </w:rPr>
        <w:t>元，则其可得到的赎回金额为：</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赎回费用=10,000×1.016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color w:val="000000" w:themeColor="text1"/>
          <w:szCs w:val="21"/>
        </w:rPr>
        <w:t>×0.</w:t>
      </w:r>
      <w:r w:rsidRPr="00F70FB9" w:rsidR="00A254BB">
        <w:rPr>
          <w:rFonts w:asciiTheme="minorEastAsia" w:eastAsiaTheme="minorEastAsia" w:hAnsiTheme="minorEastAsia" w:hint="eastAsia"/>
          <w:color w:val="000000" w:themeColor="text1"/>
          <w:szCs w:val="21"/>
        </w:rPr>
        <w:t>5</w:t>
      </w:r>
      <w:r w:rsidRPr="00F70FB9">
        <w:rPr>
          <w:rFonts w:asciiTheme="minorEastAsia" w:eastAsiaTheme="minorEastAsia" w:hAnsiTheme="minorEastAsia"/>
          <w:color w:val="000000" w:themeColor="text1"/>
          <w:szCs w:val="21"/>
        </w:rPr>
        <w:t>%＝</w:t>
      </w:r>
      <w:r w:rsidRPr="00F70FB9" w:rsidR="00933CDC">
        <w:rPr>
          <w:rFonts w:asciiTheme="minorEastAsia" w:eastAsiaTheme="minorEastAsia" w:hAnsiTheme="minorEastAsia" w:hint="eastAsia"/>
          <w:color w:val="000000" w:themeColor="text1"/>
          <w:szCs w:val="21"/>
        </w:rPr>
        <w:t>50.80</w:t>
      </w:r>
      <w:r w:rsidRPr="00F70FB9">
        <w:rPr>
          <w:rFonts w:asciiTheme="minorEastAsia" w:eastAsiaTheme="minorEastAsia" w:hAnsiTheme="minorEastAsia"/>
          <w:color w:val="000000" w:themeColor="text1"/>
          <w:szCs w:val="21"/>
        </w:rPr>
        <w:t>元</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赎回金额=10,000×1.016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color w:val="000000" w:themeColor="text1"/>
          <w:szCs w:val="21"/>
        </w:rPr>
        <w:t>-</w:t>
      </w:r>
      <w:r w:rsidRPr="00F70FB9" w:rsidR="00933CDC">
        <w:rPr>
          <w:rFonts w:asciiTheme="minorEastAsia" w:eastAsiaTheme="minorEastAsia" w:hAnsiTheme="minorEastAsia" w:hint="eastAsia"/>
          <w:color w:val="000000" w:themeColor="text1"/>
          <w:szCs w:val="21"/>
        </w:rPr>
        <w:t>50.80</w:t>
      </w:r>
      <w:r w:rsidRPr="00F70FB9">
        <w:rPr>
          <w:rFonts w:asciiTheme="minorEastAsia" w:eastAsiaTheme="minorEastAsia" w:hAnsiTheme="minorEastAsia"/>
          <w:color w:val="000000" w:themeColor="text1"/>
          <w:szCs w:val="21"/>
        </w:rPr>
        <w:t>＝10,</w:t>
      </w:r>
      <w:r w:rsidRPr="00F70FB9" w:rsidR="00933CDC">
        <w:rPr>
          <w:rFonts w:asciiTheme="minorEastAsia" w:eastAsiaTheme="minorEastAsia" w:hAnsiTheme="minorEastAsia" w:hint="eastAsia"/>
          <w:color w:val="000000" w:themeColor="text1"/>
          <w:szCs w:val="21"/>
        </w:rPr>
        <w:t>109</w:t>
      </w:r>
      <w:r w:rsidRPr="00F70FB9">
        <w:rPr>
          <w:rFonts w:asciiTheme="minorEastAsia" w:eastAsiaTheme="minorEastAsia" w:hAnsiTheme="minorEastAsia"/>
          <w:color w:val="000000" w:themeColor="text1"/>
          <w:szCs w:val="21"/>
        </w:rPr>
        <w:t>.</w:t>
      </w:r>
      <w:r w:rsidRPr="00F70FB9" w:rsidR="00933CDC">
        <w:rPr>
          <w:rFonts w:asciiTheme="minorEastAsia" w:eastAsiaTheme="minorEastAsia" w:hAnsiTheme="minorEastAsia" w:hint="eastAsia"/>
          <w:color w:val="000000" w:themeColor="text1"/>
          <w:szCs w:val="21"/>
        </w:rPr>
        <w:t>20</w:t>
      </w:r>
      <w:r w:rsidRPr="00F70FB9">
        <w:rPr>
          <w:rFonts w:asciiTheme="minorEastAsia" w:eastAsiaTheme="minorEastAsia" w:hAnsiTheme="minorEastAsia"/>
          <w:color w:val="000000" w:themeColor="text1"/>
          <w:szCs w:val="21"/>
        </w:rPr>
        <w:t>元</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即：投资人赎回本基金1</w:t>
      </w:r>
      <w:r w:rsidRPr="00F70FB9" w:rsidR="003134A5">
        <w:rPr>
          <w:rFonts w:asciiTheme="minorEastAsia" w:eastAsiaTheme="minorEastAsia" w:hAnsiTheme="minorEastAsia"/>
          <w:color w:val="000000" w:themeColor="text1"/>
          <w:szCs w:val="21"/>
        </w:rPr>
        <w:t>0,000</w:t>
      </w:r>
      <w:r w:rsidRPr="00F70FB9">
        <w:rPr>
          <w:rFonts w:asciiTheme="minorEastAsia" w:eastAsiaTheme="minorEastAsia" w:hAnsiTheme="minorEastAsia"/>
          <w:color w:val="000000" w:themeColor="text1"/>
          <w:szCs w:val="21"/>
        </w:rPr>
        <w:t>份</w:t>
      </w:r>
      <w:r w:rsidRPr="00F70FB9" w:rsidR="00B243C6">
        <w:rPr>
          <w:rFonts w:asciiTheme="minorEastAsia" w:eastAsiaTheme="minorEastAsia" w:hAnsiTheme="minorEastAsia"/>
          <w:color w:val="000000" w:themeColor="text1"/>
          <w:szCs w:val="21"/>
        </w:rPr>
        <w:t>A类</w:t>
      </w:r>
      <w:r w:rsidRPr="00F70FB9">
        <w:rPr>
          <w:rFonts w:asciiTheme="minorEastAsia" w:eastAsiaTheme="minorEastAsia" w:hAnsiTheme="minorEastAsia"/>
          <w:color w:val="000000" w:themeColor="text1"/>
          <w:szCs w:val="21"/>
        </w:rPr>
        <w:t>基金份额，假设赎回当日</w:t>
      </w:r>
      <w:r w:rsidRPr="00F70FB9" w:rsidR="00B243C6">
        <w:rPr>
          <w:rFonts w:asciiTheme="minorEastAsia" w:eastAsiaTheme="minorEastAsia" w:hAnsiTheme="minorEastAsia"/>
          <w:color w:val="000000" w:themeColor="text1"/>
          <w:szCs w:val="21"/>
        </w:rPr>
        <w:t>A类</w:t>
      </w:r>
      <w:r w:rsidRPr="00F70FB9" w:rsidR="005144EA">
        <w:rPr>
          <w:rFonts w:asciiTheme="minorEastAsia" w:eastAsiaTheme="minorEastAsia" w:hAnsiTheme="minorEastAsia"/>
          <w:color w:val="000000" w:themeColor="text1"/>
          <w:szCs w:val="21"/>
        </w:rPr>
        <w:t>份额</w:t>
      </w:r>
      <w:r w:rsidRPr="00F70FB9">
        <w:rPr>
          <w:rFonts w:asciiTheme="minorEastAsia" w:eastAsiaTheme="minorEastAsia" w:hAnsiTheme="minorEastAsia"/>
          <w:color w:val="000000" w:themeColor="text1"/>
          <w:szCs w:val="21"/>
        </w:rPr>
        <w:t>基金份额净值是1.016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color w:val="000000" w:themeColor="text1"/>
          <w:szCs w:val="21"/>
        </w:rPr>
        <w:t>元，则其可得到的赎回金额为</w:t>
      </w:r>
      <w:r w:rsidRPr="00F70FB9" w:rsidR="00933CDC">
        <w:rPr>
          <w:rFonts w:asciiTheme="minorEastAsia" w:eastAsiaTheme="minorEastAsia" w:hAnsiTheme="minorEastAsia"/>
          <w:color w:val="000000" w:themeColor="text1"/>
          <w:szCs w:val="21"/>
        </w:rPr>
        <w:t>10,</w:t>
      </w:r>
      <w:r w:rsidRPr="00F70FB9" w:rsidR="00933CDC">
        <w:rPr>
          <w:rFonts w:asciiTheme="minorEastAsia" w:eastAsiaTheme="minorEastAsia" w:hAnsiTheme="minorEastAsia" w:hint="eastAsia"/>
          <w:color w:val="000000" w:themeColor="text1"/>
          <w:szCs w:val="21"/>
        </w:rPr>
        <w:t>109</w:t>
      </w:r>
      <w:r w:rsidRPr="00F70FB9" w:rsidR="00933CDC">
        <w:rPr>
          <w:rFonts w:asciiTheme="minorEastAsia" w:eastAsiaTheme="minorEastAsia" w:hAnsiTheme="minorEastAsia"/>
          <w:color w:val="000000" w:themeColor="text1"/>
          <w:szCs w:val="21"/>
        </w:rPr>
        <w:t>.</w:t>
      </w:r>
      <w:r w:rsidRPr="00F70FB9" w:rsidR="00933CDC">
        <w:rPr>
          <w:rFonts w:asciiTheme="minorEastAsia" w:eastAsiaTheme="minorEastAsia" w:hAnsiTheme="minorEastAsia" w:hint="eastAsia"/>
          <w:color w:val="000000" w:themeColor="text1"/>
          <w:szCs w:val="21"/>
        </w:rPr>
        <w:t>20</w:t>
      </w:r>
      <w:r w:rsidRPr="00F70FB9">
        <w:rPr>
          <w:rFonts w:asciiTheme="minorEastAsia" w:eastAsiaTheme="minorEastAsia" w:hAnsiTheme="minorEastAsia"/>
          <w:color w:val="000000" w:themeColor="text1"/>
          <w:szCs w:val="21"/>
        </w:rPr>
        <w:t>元。</w:t>
      </w:r>
    </w:p>
    <w:p w:rsidR="00F262A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例：某投资人赎回10,000份</w:t>
      </w:r>
      <w:r w:rsidRPr="00F70FB9" w:rsidR="00B243C6">
        <w:rPr>
          <w:rFonts w:asciiTheme="minorEastAsia" w:eastAsiaTheme="minorEastAsia" w:hAnsiTheme="minorEastAsia"/>
          <w:color w:val="000000" w:themeColor="text1"/>
          <w:szCs w:val="21"/>
        </w:rPr>
        <w:t>C类</w:t>
      </w:r>
      <w:r w:rsidRPr="00F70FB9">
        <w:rPr>
          <w:rFonts w:asciiTheme="minorEastAsia" w:eastAsiaTheme="minorEastAsia" w:hAnsiTheme="minorEastAsia" w:hint="eastAsia"/>
          <w:color w:val="000000" w:themeColor="text1"/>
          <w:szCs w:val="21"/>
        </w:rPr>
        <w:t>基金份额，假设该笔份额持有期限为</w:t>
      </w:r>
      <w:r w:rsidRPr="00F70FB9" w:rsidR="00D50419">
        <w:rPr>
          <w:rFonts w:asciiTheme="minorEastAsia" w:eastAsiaTheme="minorEastAsia" w:hAnsiTheme="minorEastAsia"/>
          <w:color w:val="000000" w:themeColor="text1"/>
          <w:szCs w:val="21"/>
        </w:rPr>
        <w:t>10</w:t>
      </w:r>
      <w:r w:rsidRPr="00F70FB9">
        <w:rPr>
          <w:rFonts w:asciiTheme="minorEastAsia" w:eastAsiaTheme="minorEastAsia" w:hAnsiTheme="minorEastAsia" w:hint="eastAsia"/>
          <w:color w:val="000000" w:themeColor="text1"/>
          <w:szCs w:val="21"/>
        </w:rPr>
        <w:t>天，则对应的赎回费率为0.</w:t>
      </w:r>
      <w:r w:rsidRPr="00F70FB9" w:rsidR="00D50419">
        <w:rPr>
          <w:rFonts w:asciiTheme="minorEastAsia" w:eastAsiaTheme="minorEastAsia" w:hAnsiTheme="minorEastAsia"/>
          <w:color w:val="000000" w:themeColor="text1"/>
          <w:szCs w:val="21"/>
        </w:rPr>
        <w:t>5</w:t>
      </w:r>
      <w:r w:rsidRPr="00F70FB9" w:rsidR="00D50419">
        <w:rPr>
          <w:rFonts w:asciiTheme="minorEastAsia" w:eastAsiaTheme="minorEastAsia" w:hAnsiTheme="minorEastAsia" w:hint="eastAsia"/>
          <w:color w:val="000000" w:themeColor="text1"/>
          <w:szCs w:val="21"/>
        </w:rPr>
        <w:t>0</w:t>
      </w:r>
      <w:r w:rsidRPr="00F70FB9">
        <w:rPr>
          <w:rFonts w:asciiTheme="minorEastAsia" w:eastAsiaTheme="minorEastAsia" w:hAnsiTheme="minorEastAsia" w:hint="eastAsia"/>
          <w:color w:val="000000" w:themeColor="text1"/>
          <w:szCs w:val="21"/>
        </w:rPr>
        <w:t>%，假设赎回当日</w:t>
      </w:r>
      <w:r w:rsidRPr="00F70FB9" w:rsidR="00B243C6">
        <w:rPr>
          <w:rFonts w:asciiTheme="minorEastAsia" w:eastAsiaTheme="minorEastAsia" w:hAnsiTheme="minorEastAsia"/>
          <w:color w:val="000000" w:themeColor="text1"/>
          <w:szCs w:val="21"/>
        </w:rPr>
        <w:t>C类</w:t>
      </w:r>
      <w:r w:rsidRPr="00F70FB9" w:rsidR="005E5445">
        <w:rPr>
          <w:rFonts w:asciiTheme="minorEastAsia" w:eastAsiaTheme="minorEastAsia" w:hAnsiTheme="minorEastAsia"/>
          <w:color w:val="000000" w:themeColor="text1"/>
          <w:szCs w:val="21"/>
        </w:rPr>
        <w:t>份额</w:t>
      </w:r>
      <w:r w:rsidRPr="00F70FB9">
        <w:rPr>
          <w:rFonts w:asciiTheme="minorEastAsia" w:eastAsiaTheme="minorEastAsia" w:hAnsiTheme="minorEastAsia" w:hint="eastAsia"/>
          <w:color w:val="000000" w:themeColor="text1"/>
          <w:szCs w:val="21"/>
        </w:rPr>
        <w:t>基金份额净值是1.016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hint="eastAsia"/>
          <w:color w:val="000000" w:themeColor="text1"/>
          <w:szCs w:val="21"/>
        </w:rPr>
        <w:t>元，则其可得到的赎回金额为：</w:t>
      </w:r>
    </w:p>
    <w:p w:rsidR="00F262A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赎回费用=10,000×1.016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hint="eastAsia"/>
          <w:color w:val="000000" w:themeColor="text1"/>
          <w:szCs w:val="21"/>
        </w:rPr>
        <w:t>×0.</w:t>
      </w:r>
      <w:r w:rsidRPr="00F70FB9" w:rsidR="00D50419">
        <w:rPr>
          <w:rFonts w:asciiTheme="minorEastAsia" w:eastAsiaTheme="minorEastAsia" w:hAnsiTheme="minorEastAsia"/>
          <w:color w:val="000000" w:themeColor="text1"/>
          <w:szCs w:val="21"/>
        </w:rPr>
        <w:t>5</w:t>
      </w:r>
      <w:r w:rsidRPr="00F70FB9" w:rsidR="00D50419">
        <w:rPr>
          <w:rFonts w:asciiTheme="minorEastAsia" w:eastAsiaTheme="minorEastAsia" w:hAnsiTheme="minorEastAsia" w:hint="eastAsia"/>
          <w:color w:val="000000" w:themeColor="text1"/>
          <w:szCs w:val="21"/>
        </w:rPr>
        <w:t>0</w:t>
      </w:r>
      <w:r w:rsidRPr="00F70FB9">
        <w:rPr>
          <w:rFonts w:asciiTheme="minorEastAsia" w:eastAsiaTheme="minorEastAsia" w:hAnsiTheme="minorEastAsia" w:hint="eastAsia"/>
          <w:color w:val="000000" w:themeColor="text1"/>
          <w:szCs w:val="21"/>
        </w:rPr>
        <w:t>%＝</w:t>
      </w:r>
      <w:r w:rsidRPr="00F70FB9" w:rsidR="00D50419">
        <w:rPr>
          <w:rFonts w:asciiTheme="minorEastAsia" w:eastAsiaTheme="minorEastAsia" w:hAnsiTheme="minorEastAsia" w:hint="eastAsia"/>
          <w:color w:val="000000" w:themeColor="text1"/>
          <w:szCs w:val="21"/>
        </w:rPr>
        <w:t>50.80</w:t>
      </w:r>
      <w:r w:rsidRPr="00F70FB9" w:rsidR="003008BB">
        <w:rPr>
          <w:rFonts w:asciiTheme="minorEastAsia" w:eastAsiaTheme="minorEastAsia" w:hAnsiTheme="minorEastAsia"/>
          <w:color w:val="000000" w:themeColor="text1"/>
          <w:szCs w:val="21"/>
        </w:rPr>
        <w:t>元</w:t>
      </w:r>
    </w:p>
    <w:p w:rsidR="00F262A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赎回金额=10,000×1.016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hint="eastAsia"/>
          <w:color w:val="000000" w:themeColor="text1"/>
          <w:szCs w:val="21"/>
        </w:rPr>
        <w:t>-</w:t>
      </w:r>
      <w:r w:rsidRPr="00F70FB9" w:rsidR="00D50419">
        <w:rPr>
          <w:rFonts w:asciiTheme="minorEastAsia" w:eastAsiaTheme="minorEastAsia" w:hAnsiTheme="minorEastAsia" w:hint="eastAsia"/>
          <w:color w:val="000000" w:themeColor="text1"/>
          <w:szCs w:val="21"/>
        </w:rPr>
        <w:t>50.80</w:t>
      </w:r>
      <w:r w:rsidRPr="00F70FB9">
        <w:rPr>
          <w:rFonts w:asciiTheme="minorEastAsia" w:eastAsiaTheme="minorEastAsia" w:hAnsiTheme="minorEastAsia" w:hint="eastAsia"/>
          <w:color w:val="000000" w:themeColor="text1"/>
          <w:szCs w:val="21"/>
        </w:rPr>
        <w:t>＝</w:t>
      </w:r>
      <w:r w:rsidRPr="00F70FB9" w:rsidR="00D50419">
        <w:rPr>
          <w:rFonts w:asciiTheme="minorEastAsia" w:eastAsiaTheme="minorEastAsia" w:hAnsiTheme="minorEastAsia"/>
          <w:color w:val="000000" w:themeColor="text1"/>
          <w:szCs w:val="21"/>
        </w:rPr>
        <w:t>10,</w:t>
      </w:r>
      <w:r w:rsidRPr="00F70FB9" w:rsidR="00D50419">
        <w:rPr>
          <w:rFonts w:asciiTheme="minorEastAsia" w:eastAsiaTheme="minorEastAsia" w:hAnsiTheme="minorEastAsia" w:hint="eastAsia"/>
          <w:color w:val="000000" w:themeColor="text1"/>
          <w:szCs w:val="21"/>
        </w:rPr>
        <w:t>109</w:t>
      </w:r>
      <w:r w:rsidRPr="00F70FB9" w:rsidR="00D50419">
        <w:rPr>
          <w:rFonts w:asciiTheme="minorEastAsia" w:eastAsiaTheme="minorEastAsia" w:hAnsiTheme="minorEastAsia"/>
          <w:color w:val="000000" w:themeColor="text1"/>
          <w:szCs w:val="21"/>
        </w:rPr>
        <w:t>.</w:t>
      </w:r>
      <w:r w:rsidRPr="00F70FB9" w:rsidR="00D50419">
        <w:rPr>
          <w:rFonts w:asciiTheme="minorEastAsia" w:eastAsiaTheme="minorEastAsia" w:hAnsiTheme="minorEastAsia" w:hint="eastAsia"/>
          <w:color w:val="000000" w:themeColor="text1"/>
          <w:szCs w:val="21"/>
        </w:rPr>
        <w:t>20</w:t>
      </w:r>
      <w:r w:rsidRPr="00F70FB9">
        <w:rPr>
          <w:rFonts w:asciiTheme="minorEastAsia" w:eastAsiaTheme="minorEastAsia" w:hAnsiTheme="minorEastAsia" w:hint="eastAsia"/>
          <w:color w:val="000000" w:themeColor="text1"/>
          <w:szCs w:val="21"/>
        </w:rPr>
        <w:t>元</w:t>
      </w:r>
    </w:p>
    <w:p w:rsidR="00F262A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即：投资人赎回本基金10,000份</w:t>
      </w:r>
      <w:r w:rsidRPr="00F70FB9" w:rsidR="00B243C6">
        <w:rPr>
          <w:rFonts w:asciiTheme="minorEastAsia" w:eastAsiaTheme="minorEastAsia" w:hAnsiTheme="minorEastAsia"/>
          <w:color w:val="000000" w:themeColor="text1"/>
          <w:szCs w:val="21"/>
        </w:rPr>
        <w:t>C类</w:t>
      </w:r>
      <w:r w:rsidRPr="00F70FB9">
        <w:rPr>
          <w:rFonts w:asciiTheme="minorEastAsia" w:eastAsiaTheme="minorEastAsia" w:hAnsiTheme="minorEastAsia" w:hint="eastAsia"/>
          <w:color w:val="000000" w:themeColor="text1"/>
          <w:szCs w:val="21"/>
        </w:rPr>
        <w:t>基金份额，假设赎回当日</w:t>
      </w:r>
      <w:r w:rsidRPr="00F70FB9" w:rsidR="00B243C6">
        <w:rPr>
          <w:rFonts w:asciiTheme="minorEastAsia" w:eastAsiaTheme="minorEastAsia" w:hAnsiTheme="minorEastAsia"/>
          <w:color w:val="000000" w:themeColor="text1"/>
          <w:szCs w:val="21"/>
        </w:rPr>
        <w:t>C类</w:t>
      </w:r>
      <w:r w:rsidRPr="00F70FB9" w:rsidR="005144EA">
        <w:rPr>
          <w:rFonts w:asciiTheme="minorEastAsia" w:eastAsiaTheme="minorEastAsia" w:hAnsiTheme="minorEastAsia"/>
          <w:color w:val="000000" w:themeColor="text1"/>
          <w:szCs w:val="21"/>
        </w:rPr>
        <w:t>份额</w:t>
      </w:r>
      <w:r w:rsidRPr="00F70FB9">
        <w:rPr>
          <w:rFonts w:asciiTheme="minorEastAsia" w:eastAsiaTheme="minorEastAsia" w:hAnsiTheme="minorEastAsia" w:hint="eastAsia"/>
          <w:color w:val="000000" w:themeColor="text1"/>
          <w:szCs w:val="21"/>
        </w:rPr>
        <w:t>基金份额净值是1.016</w:t>
      </w:r>
      <w:r w:rsidRPr="00F70FB9" w:rsidR="002875C4">
        <w:rPr>
          <w:rFonts w:asciiTheme="minorEastAsia" w:eastAsiaTheme="minorEastAsia" w:hAnsiTheme="minorEastAsia"/>
          <w:color w:val="000000" w:themeColor="text1"/>
          <w:szCs w:val="21"/>
        </w:rPr>
        <w:t>0</w:t>
      </w:r>
      <w:r w:rsidRPr="00F70FB9">
        <w:rPr>
          <w:rFonts w:asciiTheme="minorEastAsia" w:eastAsiaTheme="minorEastAsia" w:hAnsiTheme="minorEastAsia" w:hint="eastAsia"/>
          <w:color w:val="000000" w:themeColor="text1"/>
          <w:szCs w:val="21"/>
        </w:rPr>
        <w:t>元，则其可得到的赎回金额为</w:t>
      </w:r>
      <w:r w:rsidRPr="00F70FB9" w:rsidR="002C1B2A">
        <w:rPr>
          <w:rFonts w:asciiTheme="minorEastAsia" w:eastAsiaTheme="minorEastAsia" w:hAnsiTheme="minorEastAsia"/>
          <w:color w:val="000000" w:themeColor="text1"/>
          <w:szCs w:val="21"/>
        </w:rPr>
        <w:t>10,</w:t>
      </w:r>
      <w:r w:rsidRPr="00F70FB9" w:rsidR="002C1B2A">
        <w:rPr>
          <w:rFonts w:asciiTheme="minorEastAsia" w:eastAsiaTheme="minorEastAsia" w:hAnsiTheme="minorEastAsia" w:hint="eastAsia"/>
          <w:color w:val="000000" w:themeColor="text1"/>
          <w:szCs w:val="21"/>
        </w:rPr>
        <w:t>109</w:t>
      </w:r>
      <w:r w:rsidRPr="00F70FB9" w:rsidR="002C1B2A">
        <w:rPr>
          <w:rFonts w:asciiTheme="minorEastAsia" w:eastAsiaTheme="minorEastAsia" w:hAnsiTheme="minorEastAsia"/>
          <w:color w:val="000000" w:themeColor="text1"/>
          <w:szCs w:val="21"/>
        </w:rPr>
        <w:t>.</w:t>
      </w:r>
      <w:r w:rsidRPr="00F70FB9" w:rsidR="002C1B2A">
        <w:rPr>
          <w:rFonts w:asciiTheme="minorEastAsia" w:eastAsiaTheme="minorEastAsia" w:hAnsiTheme="minorEastAsia" w:hint="eastAsia"/>
          <w:color w:val="000000" w:themeColor="text1"/>
          <w:szCs w:val="21"/>
        </w:rPr>
        <w:t>20</w:t>
      </w:r>
      <w:r w:rsidRPr="00F70FB9">
        <w:rPr>
          <w:rFonts w:asciiTheme="minorEastAsia" w:eastAsiaTheme="minorEastAsia" w:hAnsiTheme="minorEastAsia" w:hint="eastAsia"/>
          <w:color w:val="000000" w:themeColor="text1"/>
          <w:szCs w:val="21"/>
        </w:rPr>
        <w:t>元。</w:t>
      </w:r>
    </w:p>
    <w:p w:rsidR="00BA4B87" w:rsidRPr="00F70FB9">
      <w:pPr>
        <w:spacing w:line="360" w:lineRule="auto"/>
        <w:ind w:firstLine="420" w:firstLineChars="200"/>
        <w:rPr>
          <w:rFonts w:asciiTheme="minorEastAsia" w:eastAsiaTheme="minorEastAsia" w:hAnsiTheme="minorEastAsia"/>
          <w:color w:val="000000" w:themeColor="text1"/>
          <w:szCs w:val="21"/>
        </w:rPr>
      </w:pPr>
      <w:bookmarkStart w:id="48" w:name="_Toc332373509"/>
      <w:r w:rsidRPr="00F70FB9">
        <w:rPr>
          <w:rFonts w:asciiTheme="minorEastAsia" w:eastAsiaTheme="minorEastAsia" w:hAnsiTheme="minorEastAsia"/>
          <w:color w:val="000000" w:themeColor="text1"/>
          <w:szCs w:val="21"/>
        </w:rPr>
        <w:t>4、基金份额净值的计算公式</w:t>
      </w:r>
      <w:bookmarkEnd w:id="48"/>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计算日</w:t>
      </w:r>
      <w:r w:rsidRPr="00F70FB9" w:rsidR="001D6852">
        <w:rPr>
          <w:rFonts w:asciiTheme="minorEastAsia" w:eastAsiaTheme="minorEastAsia" w:hAnsiTheme="minorEastAsia"/>
          <w:color w:val="000000" w:themeColor="text1"/>
          <w:szCs w:val="21"/>
        </w:rPr>
        <w:t>该类</w:t>
      </w:r>
      <w:r w:rsidRPr="00F70FB9">
        <w:rPr>
          <w:rFonts w:asciiTheme="minorEastAsia" w:eastAsiaTheme="minorEastAsia" w:hAnsiTheme="minorEastAsia"/>
          <w:color w:val="000000" w:themeColor="text1"/>
          <w:szCs w:val="21"/>
        </w:rPr>
        <w:t>基金份额净值=计算日</w:t>
      </w:r>
      <w:r w:rsidRPr="00F70FB9" w:rsidR="002D3E6B">
        <w:rPr>
          <w:rFonts w:asciiTheme="minorEastAsia" w:eastAsiaTheme="minorEastAsia" w:hAnsiTheme="minorEastAsia"/>
          <w:color w:val="000000" w:themeColor="text1"/>
          <w:szCs w:val="21"/>
        </w:rPr>
        <w:t>该类</w:t>
      </w:r>
      <w:r w:rsidRPr="00F70FB9">
        <w:rPr>
          <w:rFonts w:asciiTheme="minorEastAsia" w:eastAsiaTheme="minorEastAsia" w:hAnsiTheme="minorEastAsia"/>
          <w:color w:val="000000" w:themeColor="text1"/>
          <w:szCs w:val="21"/>
        </w:rPr>
        <w:t>基金资产净值/计算日</w:t>
      </w:r>
      <w:r w:rsidRPr="00F70FB9" w:rsidR="00F92961">
        <w:rPr>
          <w:rFonts w:asciiTheme="minorEastAsia" w:eastAsiaTheme="minorEastAsia" w:hAnsiTheme="minorEastAsia"/>
          <w:color w:val="000000" w:themeColor="text1"/>
          <w:szCs w:val="21"/>
        </w:rPr>
        <w:t>该类</w:t>
      </w:r>
      <w:r w:rsidRPr="00F70FB9">
        <w:rPr>
          <w:rFonts w:asciiTheme="minorEastAsia" w:eastAsiaTheme="minorEastAsia" w:hAnsiTheme="minorEastAsia"/>
          <w:color w:val="000000" w:themeColor="text1"/>
          <w:szCs w:val="21"/>
        </w:rPr>
        <w:t>基金总份额。</w:t>
      </w:r>
    </w:p>
    <w:p w:rsidR="001F3F96"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本基金份额净值的计算，保留到小数点后</w:t>
      </w:r>
      <w:r w:rsidRPr="00F70FB9" w:rsidR="00665F98">
        <w:rPr>
          <w:rFonts w:asciiTheme="minorEastAsia" w:eastAsiaTheme="minorEastAsia" w:hAnsiTheme="minorEastAsia" w:hint="eastAsia"/>
          <w:color w:val="000000" w:themeColor="text1"/>
          <w:szCs w:val="21"/>
        </w:rPr>
        <w:t>4</w:t>
      </w:r>
      <w:r w:rsidRPr="00F70FB9">
        <w:rPr>
          <w:rFonts w:asciiTheme="minorEastAsia" w:eastAsiaTheme="minorEastAsia" w:hAnsiTheme="minorEastAsia"/>
          <w:color w:val="000000" w:themeColor="text1"/>
          <w:szCs w:val="21"/>
        </w:rPr>
        <w:t>位，</w:t>
      </w:r>
      <w:r w:rsidRPr="00F70FB9" w:rsidR="00665F98">
        <w:rPr>
          <w:rFonts w:asciiTheme="minorEastAsia" w:eastAsiaTheme="minorEastAsia" w:hAnsiTheme="minorEastAsia"/>
          <w:color w:val="000000" w:themeColor="text1"/>
          <w:szCs w:val="21"/>
        </w:rPr>
        <w:t>小数点后第</w:t>
      </w:r>
      <w:r w:rsidRPr="00F70FB9" w:rsidR="00665F98">
        <w:rPr>
          <w:rFonts w:asciiTheme="minorEastAsia" w:eastAsiaTheme="minorEastAsia" w:hAnsiTheme="minorEastAsia" w:hint="eastAsia"/>
          <w:color w:val="000000" w:themeColor="text1"/>
          <w:szCs w:val="21"/>
        </w:rPr>
        <w:t>5</w:t>
      </w:r>
      <w:r w:rsidRPr="00F70FB9" w:rsidR="00665F98">
        <w:rPr>
          <w:rFonts w:asciiTheme="minorEastAsia" w:eastAsiaTheme="minorEastAsia" w:hAnsiTheme="minorEastAsia"/>
          <w:color w:val="000000" w:themeColor="text1"/>
          <w:szCs w:val="21"/>
        </w:rPr>
        <w:t>位四舍五入</w:t>
      </w:r>
      <w:r w:rsidRPr="00F70FB9">
        <w:rPr>
          <w:rFonts w:asciiTheme="minorEastAsia" w:eastAsiaTheme="minorEastAsia" w:hAnsiTheme="minorEastAsia"/>
          <w:color w:val="000000" w:themeColor="text1"/>
          <w:szCs w:val="21"/>
        </w:rPr>
        <w:t>，由此产生的收益或损失由基金财产承担。T日的基金份额净值在当天收市后计算，并在T+1日内公告。遇特殊情况，基金份额净值可以适当延迟计算并公告。</w:t>
      </w:r>
    </w:p>
    <w:p w:rsidR="00D136C3" w:rsidRPr="00F70FB9">
      <w:pPr>
        <w:spacing w:line="360" w:lineRule="auto"/>
        <w:ind w:firstLine="420" w:firstLineChars="200"/>
        <w:rPr>
          <w:rStyle w:val="da"/>
          <w:rFonts w:asciiTheme="minorEastAsia" w:eastAsiaTheme="minorEastAsia" w:hAnsiTheme="minorEastAsia"/>
          <w:color w:val="000000" w:themeColor="text1"/>
        </w:rPr>
      </w:pPr>
      <w:bookmarkStart w:id="49" w:name="_Toc332373510"/>
      <w:r w:rsidRPr="00F70FB9">
        <w:rPr>
          <w:rStyle w:val="da"/>
          <w:rFonts w:asciiTheme="minorEastAsia" w:eastAsiaTheme="minorEastAsia" w:hAnsiTheme="minorEastAsia" w:hint="eastAsia"/>
          <w:color w:val="000000" w:themeColor="text1"/>
        </w:rPr>
        <w:t>（</w:t>
      </w:r>
      <w:r w:rsidRPr="00F70FB9" w:rsidR="00214A68">
        <w:rPr>
          <w:rStyle w:val="da"/>
          <w:rFonts w:asciiTheme="minorEastAsia" w:eastAsiaTheme="minorEastAsia" w:hAnsiTheme="minorEastAsia" w:hint="eastAsia"/>
          <w:color w:val="000000" w:themeColor="text1"/>
        </w:rPr>
        <w:t>九</w:t>
      </w:r>
      <w:r w:rsidRPr="00F70FB9">
        <w:rPr>
          <w:rStyle w:val="da"/>
          <w:rFonts w:asciiTheme="minorEastAsia" w:eastAsiaTheme="minorEastAsia" w:hAnsiTheme="minorEastAsia" w:hint="eastAsia"/>
          <w:color w:val="000000" w:themeColor="text1"/>
        </w:rPr>
        <w:t>）申购和赎回的登记</w:t>
      </w:r>
    </w:p>
    <w:p w:rsidR="00D136C3"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rPr>
        <w:t>在</w:t>
      </w:r>
      <w:r w:rsidRPr="00F70FB9" w:rsidR="00D97103">
        <w:rPr>
          <w:rStyle w:val="da"/>
          <w:rFonts w:asciiTheme="minorEastAsia" w:eastAsiaTheme="minorEastAsia" w:hAnsiTheme="minorEastAsia" w:hint="eastAsia"/>
          <w:color w:val="000000" w:themeColor="text1"/>
        </w:rPr>
        <w:t>不违反</w:t>
      </w:r>
      <w:r w:rsidRPr="00F70FB9">
        <w:rPr>
          <w:rStyle w:val="da"/>
          <w:rFonts w:asciiTheme="minorEastAsia" w:eastAsiaTheme="minorEastAsia" w:hAnsiTheme="minorEastAsia" w:hint="eastAsia"/>
          <w:color w:val="000000" w:themeColor="text1"/>
        </w:rPr>
        <w:t>法律法规的</w:t>
      </w:r>
      <w:r w:rsidRPr="00F70FB9" w:rsidR="00D97103">
        <w:rPr>
          <w:rStyle w:val="da"/>
          <w:rFonts w:asciiTheme="minorEastAsia" w:eastAsiaTheme="minorEastAsia" w:hAnsiTheme="minorEastAsia" w:hint="eastAsia"/>
          <w:color w:val="000000" w:themeColor="text1"/>
        </w:rPr>
        <w:t>前提下</w:t>
      </w:r>
      <w:r w:rsidRPr="00F70FB9">
        <w:rPr>
          <w:rStyle w:val="da"/>
          <w:rFonts w:asciiTheme="minorEastAsia" w:eastAsiaTheme="minorEastAsia" w:hAnsiTheme="minorEastAsia" w:hint="eastAsia"/>
          <w:color w:val="000000" w:themeColor="text1"/>
        </w:rPr>
        <w:t>，登记机构可以对上述登记办理时间进行调整，基金管理人</w:t>
      </w:r>
      <w:r w:rsidRPr="00F70FB9" w:rsidR="00B74F93">
        <w:rPr>
          <w:rStyle w:val="da"/>
          <w:rFonts w:asciiTheme="minorEastAsia" w:eastAsiaTheme="minorEastAsia" w:hAnsiTheme="minorEastAsia" w:hint="eastAsia"/>
          <w:color w:val="000000" w:themeColor="text1"/>
        </w:rPr>
        <w:t>应</w:t>
      </w:r>
      <w:r w:rsidRPr="00F70FB9">
        <w:rPr>
          <w:rStyle w:val="da"/>
          <w:rFonts w:asciiTheme="minorEastAsia" w:eastAsiaTheme="minorEastAsia" w:hAnsiTheme="minorEastAsia" w:hint="eastAsia"/>
          <w:color w:val="000000" w:themeColor="text1"/>
        </w:rPr>
        <w:t>于开始实施前依照《信息披露办法》的有关规定在指定</w:t>
      </w:r>
      <w:r w:rsidRPr="00F70FB9" w:rsidR="009F705C">
        <w:rPr>
          <w:rStyle w:val="da"/>
          <w:rFonts w:asciiTheme="minorEastAsia" w:eastAsiaTheme="minorEastAsia" w:hAnsiTheme="minorEastAsia" w:hint="eastAsia"/>
          <w:color w:val="000000" w:themeColor="text1"/>
        </w:rPr>
        <w:t>媒介</w:t>
      </w:r>
      <w:r w:rsidRPr="00F70FB9">
        <w:rPr>
          <w:rStyle w:val="da"/>
          <w:rFonts w:asciiTheme="minorEastAsia" w:eastAsiaTheme="minorEastAsia" w:hAnsiTheme="minorEastAsia" w:hint="eastAsia"/>
          <w:color w:val="000000" w:themeColor="text1"/>
        </w:rPr>
        <w:t>上公告。</w:t>
      </w:r>
      <w:bookmarkEnd w:id="49"/>
    </w:p>
    <w:p w:rsidR="00BA4B87" w:rsidRPr="00F70FB9">
      <w:pPr>
        <w:spacing w:line="360" w:lineRule="auto"/>
        <w:ind w:firstLine="420" w:firstLineChars="200"/>
        <w:rPr>
          <w:rStyle w:val="da"/>
          <w:rFonts w:asciiTheme="minorEastAsia" w:eastAsiaTheme="minorEastAsia" w:hAnsiTheme="minorEastAsia"/>
          <w:color w:val="000000" w:themeColor="text1"/>
          <w:szCs w:val="21"/>
        </w:rPr>
      </w:pPr>
      <w:bookmarkStart w:id="50" w:name="_Toc332373511"/>
      <w:r w:rsidRPr="00F70FB9">
        <w:rPr>
          <w:rStyle w:val="da"/>
          <w:rFonts w:asciiTheme="minorEastAsia" w:eastAsiaTheme="minorEastAsia" w:hAnsiTheme="minorEastAsia" w:hint="eastAsia"/>
          <w:color w:val="000000" w:themeColor="text1"/>
          <w:szCs w:val="21"/>
        </w:rPr>
        <w:t>（</w:t>
      </w:r>
      <w:r w:rsidRPr="00F70FB9" w:rsidR="00214A68">
        <w:rPr>
          <w:rStyle w:val="da"/>
          <w:rFonts w:asciiTheme="minorEastAsia" w:eastAsiaTheme="minorEastAsia" w:hAnsiTheme="minorEastAsia" w:hint="eastAsia"/>
          <w:color w:val="000000" w:themeColor="text1"/>
          <w:szCs w:val="21"/>
        </w:rPr>
        <w:t>十</w:t>
      </w:r>
      <w:r w:rsidRPr="00F70FB9">
        <w:rPr>
          <w:rStyle w:val="da"/>
          <w:rFonts w:asciiTheme="minorEastAsia" w:eastAsiaTheme="minorEastAsia" w:hAnsiTheme="minorEastAsia" w:hint="eastAsia"/>
          <w:color w:val="000000" w:themeColor="text1"/>
          <w:szCs w:val="21"/>
        </w:rPr>
        <w:t>）巨额赎回的认定及处理方式</w:t>
      </w:r>
      <w:bookmarkEnd w:id="50"/>
    </w:p>
    <w:p w:rsidR="00294DE8" w:rsidRPr="00F70FB9">
      <w:pPr>
        <w:spacing w:line="360" w:lineRule="auto"/>
        <w:ind w:firstLine="420" w:firstLineChars="200"/>
        <w:rPr>
          <w:rFonts w:asciiTheme="minorEastAsia" w:eastAsiaTheme="minorEastAsia" w:hAnsiTheme="minorEastAsia"/>
          <w:bCs/>
          <w:color w:val="000000" w:themeColor="text1"/>
          <w:szCs w:val="21"/>
        </w:rPr>
      </w:pPr>
      <w:bookmarkStart w:id="51" w:name="_Toc332373514"/>
      <w:r w:rsidRPr="00F70FB9">
        <w:rPr>
          <w:rFonts w:asciiTheme="minorEastAsia" w:eastAsiaTheme="minorEastAsia" w:hAnsiTheme="minorEastAsia"/>
          <w:bCs/>
          <w:color w:val="000000" w:themeColor="text1"/>
          <w:szCs w:val="21"/>
        </w:rPr>
        <w:t>1</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巨额赎回的认定</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若本基金单个开放日内的基金份额净赎回申请</w:t>
      </w:r>
      <w:r w:rsidRPr="00F70FB9" w:rsidR="001B39DD">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Pr="00F70FB9" w:rsidR="001B39DD">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超过前一开放日的基金总份额的</w:t>
      </w:r>
      <w:r w:rsidRPr="00F70FB9">
        <w:rPr>
          <w:rFonts w:asciiTheme="minorEastAsia" w:eastAsiaTheme="minorEastAsia" w:hAnsiTheme="minorEastAsia" w:hint="eastAsia"/>
          <w:bCs/>
          <w:color w:val="000000" w:themeColor="text1"/>
          <w:szCs w:val="21"/>
        </w:rPr>
        <w:t>10%</w:t>
      </w:r>
      <w:r w:rsidRPr="00F70FB9">
        <w:rPr>
          <w:rFonts w:asciiTheme="minorEastAsia" w:eastAsiaTheme="minorEastAsia" w:hAnsiTheme="minorEastAsia"/>
          <w:bCs/>
          <w:color w:val="000000" w:themeColor="text1"/>
          <w:szCs w:val="21"/>
        </w:rPr>
        <w:t>，即认为是发生了巨额赎回。</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2</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巨额赎回的处理方式</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（1）全额赎回：当基金管理人认为有能力支付投资人的全部赎回申请时，按正常赎回程序执行。</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w:t>
      </w:r>
      <w:r w:rsidRPr="00F70FB9">
        <w:rPr>
          <w:rFonts w:asciiTheme="minorEastAsia" w:eastAsiaTheme="minorEastAsia" w:hAnsiTheme="minorEastAsia" w:hint="eastAsia"/>
          <w:bCs/>
          <w:color w:val="000000" w:themeColor="text1"/>
          <w:szCs w:val="21"/>
        </w:rPr>
        <w:t>2</w:t>
      </w:r>
      <w:r w:rsidRPr="00F70FB9">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70FB9">
        <w:rPr>
          <w:rFonts w:asciiTheme="minorEastAsia" w:eastAsiaTheme="minorEastAsia" w:hAnsiTheme="minorEastAsia" w:hint="eastAsia"/>
          <w:bCs/>
          <w:color w:val="000000" w:themeColor="text1"/>
          <w:szCs w:val="21"/>
        </w:rPr>
        <w:t>10%</w:t>
      </w:r>
      <w:r w:rsidRPr="00F70FB9">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83160"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若本基金发生巨额赎回且单个基金份额持有人的赎回申请超过上一开放日基金总份额</w:t>
      </w:r>
      <w:r w:rsidRPr="00F70FB9">
        <w:rPr>
          <w:rFonts w:asciiTheme="minorEastAsia" w:eastAsiaTheme="minorEastAsia" w:hAnsiTheme="minorEastAsia"/>
          <w:bCs/>
          <w:color w:val="000000" w:themeColor="text1"/>
          <w:szCs w:val="21"/>
        </w:rPr>
        <w:t>10%</w:t>
      </w:r>
      <w:r w:rsidRPr="00F70FB9">
        <w:rPr>
          <w:rFonts w:asciiTheme="minorEastAsia" w:eastAsiaTheme="minorEastAsia" w:hAnsiTheme="minorEastAsia" w:hint="eastAsia"/>
          <w:bCs/>
          <w:color w:val="000000" w:themeColor="text1"/>
          <w:szCs w:val="21"/>
        </w:rPr>
        <w:t>的，基金管理人有权对该单个基金份额持有人超出该比例的赎回申请实施延期办理，对该单个基金份额持有人剩余赎回申请与其他账户赎回申请按前述条款处理。</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w:t>
      </w:r>
      <w:r w:rsidRPr="00F70FB9">
        <w:rPr>
          <w:rFonts w:asciiTheme="minorEastAsia" w:eastAsiaTheme="minorEastAsia" w:hAnsiTheme="minorEastAsia" w:hint="eastAsia"/>
          <w:bCs/>
          <w:color w:val="000000" w:themeColor="text1"/>
          <w:szCs w:val="21"/>
        </w:rPr>
        <w:t>3</w:t>
      </w:r>
      <w:r w:rsidRPr="00F70FB9">
        <w:rPr>
          <w:rFonts w:asciiTheme="minorEastAsia" w:eastAsiaTheme="minorEastAsia" w:hAnsiTheme="minorEastAsia"/>
          <w:bCs/>
          <w:color w:val="000000" w:themeColor="text1"/>
          <w:szCs w:val="21"/>
        </w:rPr>
        <w:t>）暂停赎回：连续</w:t>
      </w:r>
      <w:r w:rsidRPr="00F70FB9">
        <w:rPr>
          <w:rFonts w:asciiTheme="minorEastAsia" w:eastAsiaTheme="minorEastAsia" w:hAnsiTheme="minorEastAsia" w:hint="eastAsia"/>
          <w:bCs/>
          <w:color w:val="000000" w:themeColor="text1"/>
          <w:szCs w:val="21"/>
        </w:rPr>
        <w:t>2</w:t>
      </w:r>
      <w:r w:rsidRPr="00F70FB9">
        <w:rPr>
          <w:rFonts w:asciiTheme="minorEastAsia" w:eastAsiaTheme="minorEastAsia" w:hAnsiTheme="minorEastAsia"/>
          <w:bCs/>
          <w:color w:val="000000" w:themeColor="text1"/>
          <w:szCs w:val="21"/>
        </w:rPr>
        <w:t>日以上(含本数)发生巨额赎回，如基金管理人认为有必要，可暂停接受基金的赎回申请；已经接受的赎回申请可以延缓支付赎回款项，但不得超过</w:t>
      </w:r>
      <w:r w:rsidRPr="00F70FB9">
        <w:rPr>
          <w:rFonts w:asciiTheme="minorEastAsia" w:eastAsiaTheme="minorEastAsia" w:hAnsiTheme="minorEastAsia" w:hint="eastAsia"/>
          <w:bCs/>
          <w:color w:val="000000" w:themeColor="text1"/>
          <w:szCs w:val="21"/>
        </w:rPr>
        <w:t>20</w:t>
      </w:r>
      <w:r w:rsidRPr="00F70FB9">
        <w:rPr>
          <w:rFonts w:asciiTheme="minorEastAsia" w:eastAsiaTheme="minorEastAsia" w:hAnsiTheme="minorEastAsia"/>
          <w:bCs/>
          <w:color w:val="000000" w:themeColor="text1"/>
          <w:szCs w:val="21"/>
        </w:rPr>
        <w:t>个工作日，并应当在指定</w:t>
      </w:r>
      <w:r w:rsidRPr="00F70FB9" w:rsidR="009F705C">
        <w:rPr>
          <w:rFonts w:asciiTheme="minorEastAsia" w:eastAsiaTheme="minorEastAsia" w:hAnsiTheme="minorEastAsia" w:hint="eastAsia"/>
          <w:bCs/>
          <w:color w:val="000000" w:themeColor="text1"/>
          <w:szCs w:val="21"/>
        </w:rPr>
        <w:t>媒介</w:t>
      </w:r>
      <w:r w:rsidRPr="00F70FB9">
        <w:rPr>
          <w:rFonts w:asciiTheme="minorEastAsia" w:eastAsiaTheme="minorEastAsia" w:hAnsiTheme="minorEastAsia"/>
          <w:bCs/>
          <w:color w:val="000000" w:themeColor="text1"/>
          <w:szCs w:val="21"/>
        </w:rPr>
        <w:t>上进行公告。</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3</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巨额赎回的公告</w:t>
      </w:r>
    </w:p>
    <w:p w:rsidR="00294DE8"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当发生上述延期赎回并延期办理时，基金管理人应当通过邮寄、传真或者招募说明书规</w:t>
      </w:r>
      <w:r w:rsidRPr="00F70FB9">
        <w:rPr>
          <w:rFonts w:asciiTheme="minorEastAsia" w:eastAsiaTheme="minorEastAsia" w:hAnsiTheme="minorEastAsia"/>
          <w:bCs/>
          <w:color w:val="000000" w:themeColor="text1"/>
          <w:szCs w:val="21"/>
        </w:rPr>
        <w:t>定的其他方式在</w:t>
      </w:r>
      <w:r w:rsidRPr="00F70FB9">
        <w:rPr>
          <w:rFonts w:asciiTheme="minorEastAsia" w:eastAsiaTheme="minorEastAsia" w:hAnsiTheme="minorEastAsia" w:hint="eastAsia"/>
          <w:bCs/>
          <w:color w:val="000000" w:themeColor="text1"/>
          <w:szCs w:val="21"/>
        </w:rPr>
        <w:t>3</w:t>
      </w:r>
      <w:r w:rsidRPr="00F70FB9">
        <w:rPr>
          <w:rFonts w:asciiTheme="minorEastAsia" w:eastAsiaTheme="minorEastAsia" w:hAnsiTheme="minorEastAsia"/>
          <w:bCs/>
          <w:color w:val="000000" w:themeColor="text1"/>
          <w:szCs w:val="21"/>
        </w:rPr>
        <w:t>个交易日内通知基金份额持有人，说明有关处理方法，</w:t>
      </w:r>
      <w:r w:rsidRPr="00F70FB9" w:rsidR="00EB5603">
        <w:rPr>
          <w:rFonts w:asciiTheme="minorEastAsia" w:eastAsiaTheme="minorEastAsia" w:hAnsiTheme="minorEastAsia" w:hint="eastAsia"/>
          <w:bCs/>
          <w:color w:val="000000" w:themeColor="text1"/>
          <w:szCs w:val="21"/>
        </w:rPr>
        <w:t>并在2日内</w:t>
      </w:r>
      <w:r w:rsidRPr="00F70FB9">
        <w:rPr>
          <w:rFonts w:asciiTheme="minorEastAsia" w:eastAsiaTheme="minorEastAsia" w:hAnsiTheme="minorEastAsia"/>
          <w:bCs/>
          <w:color w:val="000000" w:themeColor="text1"/>
          <w:szCs w:val="21"/>
        </w:rPr>
        <w:t>在指定</w:t>
      </w:r>
      <w:r w:rsidRPr="00F70FB9" w:rsidR="009F705C">
        <w:rPr>
          <w:rFonts w:asciiTheme="minorEastAsia" w:eastAsiaTheme="minorEastAsia" w:hAnsiTheme="minorEastAsia" w:hint="eastAsia"/>
          <w:bCs/>
          <w:color w:val="000000" w:themeColor="text1"/>
          <w:szCs w:val="21"/>
        </w:rPr>
        <w:t>媒介</w:t>
      </w:r>
      <w:r w:rsidRPr="00F70FB9">
        <w:rPr>
          <w:rFonts w:asciiTheme="minorEastAsia" w:eastAsiaTheme="minorEastAsia" w:hAnsiTheme="minorEastAsia"/>
          <w:bCs/>
          <w:color w:val="000000" w:themeColor="text1"/>
          <w:szCs w:val="21"/>
        </w:rPr>
        <w:t>上刊登公告。</w:t>
      </w:r>
    </w:p>
    <w:p w:rsidR="00BA4B87"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（十</w:t>
      </w:r>
      <w:r w:rsidRPr="00F70FB9" w:rsidR="00090469">
        <w:rPr>
          <w:rStyle w:val="da"/>
          <w:rFonts w:asciiTheme="minorEastAsia" w:eastAsiaTheme="minorEastAsia" w:hAnsiTheme="minorEastAsia" w:hint="eastAsia"/>
          <w:color w:val="000000" w:themeColor="text1"/>
          <w:szCs w:val="21"/>
        </w:rPr>
        <w:t>一</w:t>
      </w:r>
      <w:r w:rsidRPr="00F70FB9">
        <w:rPr>
          <w:rStyle w:val="da"/>
          <w:rFonts w:asciiTheme="minorEastAsia" w:eastAsiaTheme="minorEastAsia" w:hAnsiTheme="minorEastAsia" w:hint="eastAsia"/>
          <w:color w:val="000000" w:themeColor="text1"/>
          <w:szCs w:val="21"/>
        </w:rPr>
        <w:t>）拒绝或暂停申购、暂停赎回</w:t>
      </w:r>
      <w:r w:rsidRPr="00F70FB9" w:rsidR="000D3DAB">
        <w:rPr>
          <w:rFonts w:asciiTheme="minorEastAsia" w:eastAsiaTheme="minorEastAsia" w:hAnsiTheme="minorEastAsia"/>
          <w:bCs/>
          <w:color w:val="000000" w:themeColor="text1"/>
          <w:szCs w:val="21"/>
        </w:rPr>
        <w:t>或延缓支付赎回款项</w:t>
      </w:r>
      <w:r w:rsidRPr="00F70FB9">
        <w:rPr>
          <w:rStyle w:val="da"/>
          <w:rFonts w:asciiTheme="minorEastAsia" w:eastAsiaTheme="minorEastAsia" w:hAnsiTheme="minorEastAsia" w:hint="eastAsia"/>
          <w:color w:val="000000" w:themeColor="text1"/>
          <w:szCs w:val="21"/>
        </w:rPr>
        <w:t>的情形及处理</w:t>
      </w:r>
      <w:bookmarkEnd w:id="51"/>
    </w:p>
    <w:p w:rsidR="007B3643"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1、发生下列情况时，基金管理人可拒绝或暂停接受投资人的申购申请：</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B32835">
        <w:rPr>
          <w:rFonts w:asciiTheme="minorEastAsia" w:eastAsiaTheme="minorEastAsia" w:hAnsiTheme="minorEastAsia" w:hint="eastAsia"/>
          <w:color w:val="000000" w:themeColor="text1"/>
          <w:szCs w:val="21"/>
        </w:rPr>
        <w:t>1</w:t>
      </w:r>
      <w:r w:rsidRPr="00F70FB9">
        <w:rPr>
          <w:rFonts w:asciiTheme="minorEastAsia" w:eastAsiaTheme="minorEastAsia" w:hAnsiTheme="minorEastAsia" w:hint="eastAsia"/>
          <w:color w:val="000000" w:themeColor="text1"/>
          <w:szCs w:val="21"/>
        </w:rPr>
        <w:t>）因不可抗力导致基金无法正常运作。</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（2）发生基金合同规定的暂停基金资产估值情况时。</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本基金投资的证券交易场所停止交易。</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基金管理人接受某笔或某些申购申请可能会影响或损害现有基金份额持有人利益时。</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基金资产规模过大，使基金管理人无法找到合适的投资品种，或其他可能对基金业绩产生负面影响，或基金管理人认定的其他损害现有基金份额持有人利益的情形。</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430812"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color w:val="000000" w:themeColor="text1"/>
          <w:szCs w:val="21"/>
        </w:rPr>
        <w:t>7</w:t>
      </w:r>
      <w:r w:rsidRPr="00F70FB9">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hint="eastAsia"/>
          <w:color w:val="000000" w:themeColor="text1"/>
          <w:szCs w:val="21"/>
        </w:rPr>
        <w:t>基金管理人接受某笔或者某些申购申请有可能导致单一投资者持有基金份额的比例达到或者超过</w:t>
      </w:r>
      <w:r w:rsidRPr="00F70FB9" w:rsidR="00AC4E9A">
        <w:rPr>
          <w:rFonts w:asciiTheme="minorEastAsia" w:eastAsiaTheme="minorEastAsia" w:hAnsiTheme="minorEastAsia"/>
          <w:color w:val="000000" w:themeColor="text1"/>
          <w:szCs w:val="21"/>
        </w:rPr>
        <w:t>50%</w:t>
      </w:r>
      <w:r w:rsidRPr="00F70FB9" w:rsidR="00AC4E9A">
        <w:rPr>
          <w:rFonts w:asciiTheme="minorEastAsia" w:eastAsiaTheme="minorEastAsia" w:hAnsiTheme="minorEastAsia" w:hint="eastAsia"/>
          <w:color w:val="000000" w:themeColor="text1"/>
          <w:szCs w:val="21"/>
        </w:rPr>
        <w:t>，或者变相规避</w:t>
      </w:r>
      <w:r w:rsidRPr="00F70FB9" w:rsidR="00AC4E9A">
        <w:rPr>
          <w:rFonts w:asciiTheme="minorEastAsia" w:eastAsiaTheme="minorEastAsia" w:hAnsiTheme="minorEastAsia"/>
          <w:color w:val="000000" w:themeColor="text1"/>
          <w:szCs w:val="21"/>
        </w:rPr>
        <w:t>50%</w:t>
      </w:r>
      <w:r w:rsidRPr="00F70FB9" w:rsidR="00AC4E9A">
        <w:rPr>
          <w:rFonts w:asciiTheme="minorEastAsia" w:eastAsiaTheme="minorEastAsia" w:hAnsiTheme="minorEastAsia" w:hint="eastAsia"/>
          <w:color w:val="000000" w:themeColor="text1"/>
          <w:szCs w:val="21"/>
        </w:rPr>
        <w:t>集中度的情形时。</w:t>
      </w:r>
    </w:p>
    <w:p w:rsidR="00430812"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color w:val="000000" w:themeColor="text1"/>
          <w:szCs w:val="21"/>
        </w:rPr>
        <w:t>8</w:t>
      </w:r>
      <w:r w:rsidRPr="00F70FB9">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430812"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color w:val="000000" w:themeColor="text1"/>
          <w:szCs w:val="21"/>
        </w:rPr>
        <w:t>9</w:t>
      </w:r>
      <w:r w:rsidRPr="00F70FB9">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hint="eastAsia"/>
          <w:color w:val="000000" w:themeColor="text1"/>
          <w:szCs w:val="21"/>
        </w:rPr>
        <w:t>当前一估值日基金资产净值</w:t>
      </w:r>
      <w:r w:rsidRPr="00F70FB9" w:rsidR="00AC4E9A">
        <w:rPr>
          <w:rFonts w:asciiTheme="minorEastAsia" w:eastAsiaTheme="minorEastAsia" w:hAnsiTheme="minorEastAsia"/>
          <w:color w:val="000000" w:themeColor="text1"/>
          <w:szCs w:val="21"/>
        </w:rPr>
        <w:t>50%</w:t>
      </w:r>
      <w:r w:rsidRPr="00F70FB9" w:rsidR="00AC4E9A">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以上的资产出现无可参考的活跃市场价格且采用估值技术仍导致公允价值存在重大不确定性时，经与基金托管人协商确认后，基金管理人应当采取暂停接受基金申购申请的措施。</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430812">
        <w:rPr>
          <w:rFonts w:asciiTheme="minorEastAsia" w:eastAsiaTheme="minorEastAsia" w:hAnsiTheme="minorEastAsia"/>
          <w:color w:val="000000" w:themeColor="text1"/>
          <w:szCs w:val="21"/>
        </w:rPr>
        <w:t>10</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法律法规规定或中国证监会认定的其他情形。</w:t>
      </w:r>
    </w:p>
    <w:p w:rsidR="00B3283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发生上述第（1）、（2）、（3）、（5）、（6）、（</w:t>
      </w:r>
      <w:r w:rsidRPr="00F70FB9" w:rsidR="00430812">
        <w:rPr>
          <w:rFonts w:asciiTheme="minorEastAsia" w:eastAsiaTheme="minorEastAsia" w:hAnsiTheme="minorEastAsia"/>
          <w:color w:val="000000" w:themeColor="text1"/>
          <w:szCs w:val="21"/>
        </w:rPr>
        <w:t>8</w:t>
      </w:r>
      <w:r w:rsidRPr="00F70FB9">
        <w:rPr>
          <w:rFonts w:asciiTheme="minorEastAsia" w:eastAsiaTheme="minorEastAsia" w:hAnsiTheme="minorEastAsia" w:hint="eastAsia"/>
          <w:color w:val="000000" w:themeColor="text1"/>
          <w:szCs w:val="21"/>
        </w:rPr>
        <w:t>）</w:t>
      </w:r>
      <w:r w:rsidRPr="00F70FB9" w:rsidR="00430812">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color w:val="000000" w:themeColor="text1"/>
          <w:szCs w:val="21"/>
        </w:rPr>
        <w:t>9</w:t>
      </w:r>
      <w:r w:rsidRPr="00F70FB9" w:rsidR="00AC4E9A">
        <w:rPr>
          <w:rFonts w:asciiTheme="minorEastAsia" w:eastAsiaTheme="minorEastAsia" w:hAnsiTheme="minorEastAsia" w:hint="eastAsia"/>
          <w:color w:val="000000" w:themeColor="text1"/>
          <w:szCs w:val="21"/>
        </w:rPr>
        <w:t>）、（</w:t>
      </w:r>
      <w:r w:rsidRPr="00F70FB9" w:rsidR="00AC4E9A">
        <w:rPr>
          <w:rFonts w:asciiTheme="minorEastAsia" w:eastAsiaTheme="minorEastAsia" w:hAnsiTheme="minorEastAsia"/>
          <w:color w:val="000000" w:themeColor="text1"/>
          <w:szCs w:val="21"/>
        </w:rPr>
        <w:t>10</w:t>
      </w:r>
      <w:r w:rsidRPr="00F70FB9" w:rsidR="00AC4E9A">
        <w:rPr>
          <w:rFonts w:asciiTheme="minorEastAsia" w:eastAsiaTheme="minorEastAsia" w:hAnsiTheme="minorEastAsia" w:hint="eastAsia"/>
          <w:color w:val="000000" w:themeColor="text1"/>
          <w:szCs w:val="21"/>
        </w:rPr>
        <w:t>）</w:t>
      </w:r>
      <w:r w:rsidRPr="00F70FB9">
        <w:rPr>
          <w:rFonts w:asciiTheme="minorEastAsia" w:eastAsiaTheme="minorEastAsia" w:hAnsiTheme="minorEastAsia" w:hint="eastAsia"/>
          <w:color w:val="000000" w:themeColor="text1"/>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7B3643"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2、发生下列情形时，基金管理人可暂停接受投资人的赎回申请或延缓支付赎回款项：</w:t>
      </w:r>
    </w:p>
    <w:p w:rsidR="00D61B9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（1）因不可抗力导致基金管理人不能支付赎回款项。</w:t>
      </w:r>
    </w:p>
    <w:p w:rsidR="00D61B9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（2）发生基金合同规定的暂停基金资产估值情况时。</w:t>
      </w:r>
    </w:p>
    <w:p w:rsidR="00D61B9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本基金投资的证券交易场所停止交易。</w:t>
      </w:r>
    </w:p>
    <w:p w:rsidR="00D61B9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连续两个或两个以上开放日发生巨额赎回。</w:t>
      </w:r>
    </w:p>
    <w:p w:rsidR="00D61B9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继续接受赎回申请将损害现有基金份额持有人利益的情形时，可暂停接受投资人的赎回申请。</w:t>
      </w:r>
    </w:p>
    <w:p w:rsidR="00E8316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6</w:t>
      </w:r>
      <w:r w:rsidRPr="00F70FB9">
        <w:rPr>
          <w:rFonts w:asciiTheme="minorEastAsia" w:eastAsiaTheme="minorEastAsia" w:hAnsiTheme="minorEastAsia" w:hint="eastAsia"/>
          <w:color w:val="000000" w:themeColor="text1"/>
          <w:szCs w:val="21"/>
        </w:rPr>
        <w:t>）当前一估值日基金资产净值</w:t>
      </w:r>
      <w:r w:rsidRPr="00F70FB9">
        <w:rPr>
          <w:rFonts w:asciiTheme="minorEastAsia" w:eastAsiaTheme="minorEastAsia" w:hAnsiTheme="minorEastAsia"/>
          <w:color w:val="000000" w:themeColor="text1"/>
          <w:szCs w:val="21"/>
        </w:rPr>
        <w:t>50%</w:t>
      </w:r>
      <w:r w:rsidRPr="00F70FB9">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以上的资产出现无可参考的活跃市场价格且采用估值技术仍导致公允价值存在重大不确定性时，经与基金托管人协商确认后，基金管理人应当采取延缓</w:t>
      </w:r>
      <w:r w:rsidRPr="00F70FB9">
        <w:rPr>
          <w:rFonts w:asciiTheme="minorEastAsia" w:eastAsiaTheme="minorEastAsia" w:hAnsiTheme="minorEastAsia"/>
          <w:color w:val="000000" w:themeColor="text1"/>
          <w:szCs w:val="21"/>
        </w:rPr>
        <w:t>支付</w:t>
      </w:r>
      <w:r w:rsidRPr="00F70FB9">
        <w:rPr>
          <w:rFonts w:asciiTheme="minorEastAsia" w:eastAsiaTheme="minorEastAsia" w:hAnsiTheme="minorEastAsia" w:hint="eastAsia"/>
          <w:color w:val="000000" w:themeColor="text1"/>
          <w:szCs w:val="21"/>
        </w:rPr>
        <w:t>赎回款项</w:t>
      </w:r>
      <w:r w:rsidRPr="00F70FB9">
        <w:rPr>
          <w:rFonts w:asciiTheme="minorEastAsia" w:eastAsiaTheme="minorEastAsia" w:hAnsiTheme="minorEastAsia"/>
          <w:color w:val="000000" w:themeColor="text1"/>
          <w:szCs w:val="21"/>
        </w:rPr>
        <w:t>或</w:t>
      </w:r>
      <w:r w:rsidRPr="00F70FB9">
        <w:rPr>
          <w:rFonts w:asciiTheme="minorEastAsia" w:eastAsiaTheme="minorEastAsia" w:hAnsiTheme="minorEastAsia" w:hint="eastAsia"/>
          <w:color w:val="000000" w:themeColor="text1"/>
          <w:szCs w:val="21"/>
        </w:rPr>
        <w:t>暂停接受基金赎回申请的措施。</w:t>
      </w:r>
    </w:p>
    <w:p w:rsidR="00D61B9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D763BE">
        <w:rPr>
          <w:rFonts w:asciiTheme="minorEastAsia" w:eastAsiaTheme="minorEastAsia" w:hAnsiTheme="minorEastAsia"/>
          <w:color w:val="000000" w:themeColor="text1"/>
          <w:szCs w:val="21"/>
        </w:rPr>
        <w:t>7</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法律法规规定或中国证监会认定的其他情形。</w:t>
      </w:r>
    </w:p>
    <w:p w:rsidR="007D383F"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BA4B87" w:rsidRPr="00F70FB9">
      <w:pPr>
        <w:spacing w:line="360" w:lineRule="auto"/>
        <w:ind w:firstLine="420" w:firstLineChars="200"/>
        <w:rPr>
          <w:rFonts w:asciiTheme="minorEastAsia" w:eastAsiaTheme="minorEastAsia" w:hAnsiTheme="minorEastAsia"/>
          <w:color w:val="000000" w:themeColor="text1"/>
          <w:szCs w:val="21"/>
        </w:rPr>
      </w:pPr>
      <w:bookmarkStart w:id="52" w:name="_Toc332373515"/>
      <w:r w:rsidRPr="00F70FB9">
        <w:rPr>
          <w:rFonts w:asciiTheme="minorEastAsia" w:eastAsiaTheme="minorEastAsia" w:hAnsiTheme="minorEastAsia" w:hint="eastAsia"/>
          <w:color w:val="000000" w:themeColor="text1"/>
          <w:szCs w:val="21"/>
        </w:rPr>
        <w:t>3、暂停申购或赎回的公告和重新开放申购或赎回的公告</w:t>
      </w:r>
      <w:bookmarkEnd w:id="52"/>
    </w:p>
    <w:p w:rsidR="00D347A8"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（1）发生上述暂停申购或赎回情况的，基金管理人应在规定期限内在指定</w:t>
      </w:r>
      <w:r w:rsidRPr="00F70FB9" w:rsidR="009F705C">
        <w:rPr>
          <w:rFonts w:asciiTheme="minorEastAsia" w:eastAsiaTheme="minorEastAsia" w:hAnsiTheme="minorEastAsia" w:hint="eastAsia"/>
          <w:color w:val="000000" w:themeColor="text1"/>
          <w:szCs w:val="21"/>
        </w:rPr>
        <w:t>媒介</w:t>
      </w:r>
      <w:r w:rsidRPr="00F70FB9">
        <w:rPr>
          <w:rFonts w:asciiTheme="minorEastAsia" w:eastAsiaTheme="minorEastAsia" w:hAnsiTheme="minorEastAsia" w:hint="eastAsia"/>
          <w:color w:val="000000" w:themeColor="text1"/>
          <w:szCs w:val="21"/>
        </w:rPr>
        <w:t>上刊登暂停公告。</w:t>
      </w:r>
    </w:p>
    <w:p w:rsidR="004648B1"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w:t>
      </w:r>
      <w:r w:rsidRPr="00F70FB9" w:rsidR="00232814">
        <w:rPr>
          <w:rFonts w:asciiTheme="minorEastAsia" w:eastAsiaTheme="minorEastAsia" w:hAnsiTheme="minorEastAsia" w:hint="eastAsia"/>
          <w:color w:val="000000" w:themeColor="text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1081C" w:rsidRPr="00F70FB9">
      <w:pPr>
        <w:widowControl/>
        <w:jc w:val="left"/>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br w:type="page"/>
      </w:r>
    </w:p>
    <w:p w:rsidR="00BA4B87" w:rsidRPr="00F70FB9">
      <w:pPr>
        <w:pStyle w:val="Heading1"/>
        <w:spacing w:before="317" w:after="317" w:line="320" w:lineRule="exact"/>
        <w:ind w:firstLine="600"/>
        <w:rPr>
          <w:rFonts w:asciiTheme="minorEastAsia" w:eastAsiaTheme="minorEastAsia" w:hAnsiTheme="minorEastAsia"/>
          <w:color w:val="000000" w:themeColor="text1"/>
          <w:sz w:val="30"/>
        </w:rPr>
      </w:pPr>
      <w:bookmarkStart w:id="53" w:name="_Toc332373516"/>
      <w:bookmarkStart w:id="54" w:name="_Toc103006336"/>
      <w:r w:rsidRPr="00F70FB9">
        <w:rPr>
          <w:rFonts w:asciiTheme="minorEastAsia" w:eastAsiaTheme="minorEastAsia" w:hAnsiTheme="minorEastAsia" w:hint="eastAsia"/>
          <w:color w:val="000000" w:themeColor="text1"/>
          <w:sz w:val="30"/>
        </w:rPr>
        <w:t>九、</w:t>
      </w:r>
      <w:bookmarkEnd w:id="53"/>
      <w:r w:rsidRPr="00F70FB9" w:rsidR="006B5663">
        <w:rPr>
          <w:rFonts w:asciiTheme="minorEastAsia" w:eastAsiaTheme="minorEastAsia" w:hAnsiTheme="minorEastAsia" w:hint="eastAsia"/>
          <w:color w:val="000000" w:themeColor="text1"/>
          <w:sz w:val="30"/>
        </w:rPr>
        <w:t>基金转换</w:t>
      </w:r>
      <w:r w:rsidRPr="00F70FB9" w:rsidR="006E39F1">
        <w:rPr>
          <w:rFonts w:asciiTheme="minorEastAsia" w:eastAsiaTheme="minorEastAsia" w:hAnsiTheme="minorEastAsia" w:hint="eastAsia"/>
          <w:color w:val="000000" w:themeColor="text1"/>
          <w:sz w:val="30"/>
        </w:rPr>
        <w:t>、</w:t>
      </w:r>
      <w:r w:rsidRPr="00F70FB9" w:rsidR="006E39F1">
        <w:rPr>
          <w:rFonts w:asciiTheme="minorEastAsia" w:eastAsiaTheme="minorEastAsia" w:hAnsiTheme="minorEastAsia"/>
          <w:color w:val="000000" w:themeColor="text1"/>
          <w:sz w:val="30"/>
        </w:rPr>
        <w:t>基金份额</w:t>
      </w:r>
      <w:r w:rsidRPr="00F70FB9" w:rsidR="006E39F1">
        <w:rPr>
          <w:rFonts w:asciiTheme="minorEastAsia" w:eastAsiaTheme="minorEastAsia" w:hAnsiTheme="minorEastAsia" w:hint="eastAsia"/>
          <w:color w:val="000000" w:themeColor="text1"/>
          <w:sz w:val="30"/>
        </w:rPr>
        <w:t>转让</w:t>
      </w:r>
      <w:r w:rsidRPr="00F70FB9" w:rsidR="00A64477">
        <w:rPr>
          <w:rFonts w:asciiTheme="minorEastAsia" w:eastAsiaTheme="minorEastAsia" w:hAnsiTheme="minorEastAsia" w:hint="eastAsia"/>
          <w:color w:val="000000" w:themeColor="text1"/>
          <w:sz w:val="30"/>
        </w:rPr>
        <w:t>和</w:t>
      </w:r>
      <w:r w:rsidRPr="00F70FB9" w:rsidR="006B5663">
        <w:rPr>
          <w:rFonts w:asciiTheme="minorEastAsia" w:eastAsiaTheme="minorEastAsia" w:hAnsiTheme="minorEastAsia" w:hint="eastAsia"/>
          <w:color w:val="000000" w:themeColor="text1"/>
          <w:sz w:val="30"/>
        </w:rPr>
        <w:t>定期定额投资计划</w:t>
      </w:r>
      <w:bookmarkEnd w:id="54"/>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55" w:name="_Toc332373517"/>
      <w:r w:rsidRPr="00F70FB9">
        <w:rPr>
          <w:rStyle w:val="da"/>
          <w:rFonts w:asciiTheme="minorEastAsia" w:eastAsiaTheme="minorEastAsia" w:hAnsiTheme="minorEastAsia" w:hint="eastAsia"/>
          <w:color w:val="000000" w:themeColor="text1"/>
        </w:rPr>
        <w:t>（一）基金转换</w:t>
      </w:r>
      <w:bookmarkEnd w:id="55"/>
    </w:p>
    <w:p w:rsidR="008A16B4" w:rsidRPr="00F70FB9">
      <w:pPr>
        <w:spacing w:line="360" w:lineRule="auto"/>
        <w:ind w:firstLine="420" w:firstLineChars="200"/>
        <w:rPr>
          <w:rStyle w:val="da"/>
          <w:rFonts w:asciiTheme="minorEastAsia" w:eastAsiaTheme="minorEastAsia" w:hAnsiTheme="minorEastAsia"/>
          <w:color w:val="000000" w:themeColor="text1"/>
          <w:szCs w:val="21"/>
        </w:rPr>
      </w:pPr>
      <w:bookmarkStart w:id="56" w:name="_Toc332373518"/>
      <w:r w:rsidRPr="00F70FB9">
        <w:rPr>
          <w:rStyle w:val="da"/>
          <w:rFonts w:asciiTheme="minorEastAsia" w:eastAsiaTheme="minorEastAsia" w:hAnsiTheme="minorEastAsia" w:hint="eastAsia"/>
          <w:color w:val="000000" w:themeColor="text1"/>
          <w:szCs w:val="21"/>
        </w:rPr>
        <w:t>1、基金转换</w:t>
      </w:r>
      <w:r w:rsidRPr="00F70FB9">
        <w:rPr>
          <w:rFonts w:asciiTheme="minorEastAsia" w:eastAsiaTheme="minorEastAsia" w:hAnsiTheme="minorEastAsia" w:hint="eastAsia"/>
          <w:color w:val="000000" w:themeColor="text1"/>
          <w:szCs w:val="21"/>
        </w:rPr>
        <w:t>开始日及时间</w:t>
      </w:r>
    </w:p>
    <w:p w:rsidR="008A16B4" w:rsidRPr="00F70FB9" w:rsidP="007025AF">
      <w:pPr>
        <w:spacing w:line="360" w:lineRule="auto"/>
        <w:rPr>
          <w:rFonts w:asciiTheme="minorEastAsia" w:eastAsiaTheme="minorEastAsia" w:hAnsiTheme="minorEastAsia" w:cs="Arial"/>
          <w:color w:val="000000" w:themeColor="text1"/>
          <w:szCs w:val="21"/>
        </w:rPr>
      </w:pPr>
      <w:r w:rsidRPr="00F70FB9">
        <w:rPr>
          <w:rFonts w:asciiTheme="minorEastAsia" w:eastAsiaTheme="minorEastAsia" w:hAnsiTheme="minorEastAsia" w:hint="eastAsia"/>
          <w:color w:val="000000" w:themeColor="text1"/>
          <w:szCs w:val="21"/>
        </w:rPr>
        <w:t>本基金已于2017年3月14日开始办理基金转换业务</w:t>
      </w:r>
      <w:r w:rsidRPr="00F70FB9">
        <w:rPr>
          <w:rFonts w:asciiTheme="minorEastAsia" w:eastAsiaTheme="minorEastAsia" w:hAnsiTheme="minorEastAsia" w:cs="Arial" w:hint="eastAsia"/>
          <w:color w:val="000000" w:themeColor="text1"/>
          <w:szCs w:val="21"/>
        </w:rPr>
        <w:t>。</w:t>
      </w:r>
    </w:p>
    <w:p w:rsidR="008A16B4" w:rsidRPr="00F70FB9" w:rsidP="007025AF">
      <w:pPr>
        <w:spacing w:line="360" w:lineRule="auto"/>
        <w:rPr>
          <w:rFonts w:asciiTheme="minorEastAsia" w:eastAsiaTheme="minorEastAsia" w:hAnsiTheme="minorEastAsia" w:cs="Arial"/>
          <w:color w:val="000000" w:themeColor="text1"/>
          <w:szCs w:val="21"/>
        </w:rPr>
      </w:pPr>
      <w:r w:rsidRPr="00F70FB9">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8A16B4" w:rsidRPr="00F70FB9" w:rsidP="007025AF">
      <w:pPr>
        <w:spacing w:line="360" w:lineRule="auto"/>
        <w:rPr>
          <w:rFonts w:asciiTheme="minorEastAsia" w:eastAsiaTheme="minorEastAsia" w:hAnsiTheme="minorEastAsia" w:cs="Arial"/>
          <w:color w:val="000000" w:themeColor="text1"/>
          <w:szCs w:val="21"/>
        </w:rPr>
      </w:pPr>
      <w:r w:rsidRPr="00F70FB9">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8A16B4" w:rsidRPr="00F70FB9" w:rsidP="001D2FA9">
      <w:pPr>
        <w:spacing w:line="360" w:lineRule="auto"/>
        <w:ind w:firstLine="420" w:firstLineChars="200"/>
        <w:rPr>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w:t>
      </w:r>
      <w:r w:rsidRPr="00F70FB9">
        <w:rPr>
          <w:rFonts w:asciiTheme="minorEastAsia" w:eastAsiaTheme="minorEastAsia" w:hAnsiTheme="minorEastAsia" w:hint="eastAsia"/>
          <w:color w:val="000000" w:themeColor="text1"/>
          <w:szCs w:val="21"/>
        </w:rPr>
        <w:t>基金转换的原则</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3、基金转换的程序</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（1）基金转换的申请方式</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提交基金转换申请时，账户中必须有足够可用的转出基金份额余额。</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（2）基金转换申请的确认</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F70FB9">
        <w:rPr>
          <w:rFonts w:asciiTheme="minorEastAsia" w:eastAsiaTheme="minorEastAsia" w:hAnsiTheme="minorEastAsia"/>
          <w:color w:val="000000" w:themeColor="text1"/>
          <w:szCs w:val="21"/>
        </w:rPr>
        <w:t>(T</w:t>
      </w:r>
      <w:r w:rsidRPr="00F70FB9">
        <w:rPr>
          <w:rFonts w:asciiTheme="minorEastAsia" w:eastAsiaTheme="minorEastAsia" w:hAnsiTheme="minorEastAsia" w:hint="eastAsia"/>
          <w:color w:val="000000" w:themeColor="text1"/>
          <w:szCs w:val="21"/>
        </w:rPr>
        <w:t>日</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，在正常情况下，本基金注册登记机构在</w:t>
      </w:r>
      <w:r w:rsidRPr="00F70FB9">
        <w:rPr>
          <w:rFonts w:asciiTheme="minorEastAsia" w:eastAsiaTheme="minorEastAsia" w:hAnsiTheme="minorEastAsia"/>
          <w:color w:val="000000" w:themeColor="text1"/>
          <w:szCs w:val="21"/>
        </w:rPr>
        <w:t>T+1</w:t>
      </w:r>
      <w:r w:rsidRPr="00F70FB9">
        <w:rPr>
          <w:rFonts w:asciiTheme="minorEastAsia" w:eastAsiaTheme="minorEastAsia" w:hAnsiTheme="minorEastAsia" w:hint="eastAsia"/>
          <w:color w:val="000000" w:themeColor="text1"/>
          <w:szCs w:val="21"/>
        </w:rPr>
        <w:t>日前</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含</w:t>
      </w:r>
      <w:r w:rsidRPr="00F70FB9">
        <w:rPr>
          <w:rFonts w:asciiTheme="minorEastAsia" w:eastAsiaTheme="minorEastAsia" w:hAnsiTheme="minorEastAsia"/>
          <w:color w:val="000000" w:themeColor="text1"/>
          <w:szCs w:val="21"/>
        </w:rPr>
        <w:t>T+1</w:t>
      </w:r>
      <w:r w:rsidRPr="00F70FB9">
        <w:rPr>
          <w:rFonts w:asciiTheme="minorEastAsia" w:eastAsiaTheme="minorEastAsia" w:hAnsiTheme="minorEastAsia" w:hint="eastAsia"/>
          <w:color w:val="000000" w:themeColor="text1"/>
          <w:szCs w:val="21"/>
        </w:rPr>
        <w:t>日</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对该交易的有效性进行确认。</w:t>
      </w:r>
      <w:r w:rsidRPr="00F70FB9">
        <w:rPr>
          <w:rFonts w:asciiTheme="minorEastAsia" w:eastAsiaTheme="minorEastAsia" w:hAnsiTheme="minorEastAsia"/>
          <w:color w:val="000000" w:themeColor="text1"/>
          <w:szCs w:val="21"/>
        </w:rPr>
        <w:t>T</w:t>
      </w:r>
      <w:r w:rsidRPr="00F70FB9">
        <w:rPr>
          <w:rFonts w:asciiTheme="minorEastAsia" w:eastAsiaTheme="minorEastAsia" w:hAnsiTheme="minorEastAsia" w:hint="eastAsia"/>
          <w:color w:val="000000" w:themeColor="text1"/>
          <w:szCs w:val="21"/>
        </w:rPr>
        <w:t>日提交的有效申请，投资人应在</w:t>
      </w:r>
      <w:r w:rsidRPr="00F70FB9">
        <w:rPr>
          <w:rFonts w:asciiTheme="minorEastAsia" w:eastAsiaTheme="minorEastAsia" w:hAnsiTheme="minorEastAsia"/>
          <w:color w:val="000000" w:themeColor="text1"/>
          <w:szCs w:val="21"/>
        </w:rPr>
        <w:t>T+2</w:t>
      </w:r>
      <w:r w:rsidRPr="00F70FB9">
        <w:rPr>
          <w:rFonts w:asciiTheme="minorEastAsia" w:eastAsiaTheme="minorEastAsia" w:hAnsiTheme="minorEastAsia" w:hint="eastAsia"/>
          <w:color w:val="000000" w:themeColor="text1"/>
          <w:szCs w:val="21"/>
        </w:rPr>
        <w:t>日后</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包括该日</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到销售网点柜台或以销售机构规定的其他方式查询申请的确认情况。</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4、基金转换的数额限制</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份额持有人可将其全部或部分基金份额转换成另一只基金，每类基金份额单笔转出申请不得少于1份（如该账户在该销售机构托管的该类基金份额余额不足1份，则必须一次性赎回或转出该类基金全部份额）；若某笔转换导致投资者在该销售机构托管的该类基金份额余额不足1份时，基金管理人有权将投资者在该销售机构托管的该类基金剩余份额一次性全部赎回。</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本基金管理人有权根据保护基金份额持有人利益的原则全部或部分拒绝转换转入本基金的申请。</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5、基金转换费率</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F70FB9" w:rsidR="0087135F">
        <w:rPr>
          <w:rFonts w:asciiTheme="minorEastAsia" w:eastAsiaTheme="minorEastAsia" w:hAnsiTheme="minorEastAsia" w:hint="eastAsia"/>
          <w:color w:val="000000" w:themeColor="text1"/>
          <w:szCs w:val="21"/>
        </w:rPr>
        <w:t>各基金的</w:t>
      </w:r>
      <w:r w:rsidRPr="00F70FB9">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基金管理人可以适当调低基金销售费率，或针对特定渠道、特定投资群体开展有差别的优惠活动。</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6、基金转换份额的计算方式</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计算公式：</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A＝［B×C×(1-D)/（1+G）+F］/E</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H＝B×C×D</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J＝[B×C×(1-D)/(1+G)]×G</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F70FB9" w:rsidR="007F4D20">
        <w:rPr>
          <w:rFonts w:asciiTheme="minorEastAsia" w:eastAsiaTheme="minorEastAsia" w:hAnsiTheme="minorEastAsia" w:hint="eastAsia"/>
          <w:color w:val="000000" w:themeColor="text1"/>
          <w:szCs w:val="21"/>
        </w:rPr>
        <w:t>F为货币市场基金全部转出时注册登记机构已支付的未付收益</w:t>
      </w:r>
      <w:r w:rsidRPr="00F70FB9">
        <w:rPr>
          <w:rFonts w:asciiTheme="minorEastAsia" w:eastAsiaTheme="minorEastAsia" w:hAnsiTheme="minorEastAsia" w:hint="eastAsia"/>
          <w:color w:val="000000" w:themeColor="text1"/>
          <w:szCs w:val="21"/>
        </w:rPr>
        <w:t>；G为对应的申购补差费率；H为转出基金赎回费；J为申购补差费。</w:t>
      </w:r>
    </w:p>
    <w:p w:rsidR="007F4D2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说明：</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（1）基金转换费用由转出基金赎回费用及基金申购补差费用两部分构成。</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w:t>
      </w:r>
      <w:r w:rsidRPr="00F70FB9" w:rsidR="00E22BE6">
        <w:rPr>
          <w:rFonts w:asciiTheme="minorEastAsia" w:eastAsiaTheme="minorEastAsia" w:hAnsiTheme="minorEastAsia" w:hint="eastAsia"/>
          <w:color w:val="000000" w:themeColor="text1"/>
          <w:szCs w:val="21"/>
        </w:rPr>
        <w:t>注：对通过直销中心申购实施差别申购费率的投资群体基金份额的申购费，以除上述投资群体之外的其他投资者申购费为比较标准</w:t>
      </w:r>
      <w:r w:rsidRPr="00F70FB9">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F70FB9" w:rsidR="00C44329">
        <w:rPr>
          <w:rFonts w:asciiTheme="minorEastAsia" w:eastAsiaTheme="minorEastAsia" w:hAnsiTheme="minorEastAsia" w:hint="eastAsia"/>
          <w:color w:val="000000" w:themeColor="text1"/>
          <w:szCs w:val="21"/>
        </w:rPr>
        <w:t>各基金</w:t>
      </w:r>
      <w:r w:rsidRPr="00F70FB9" w:rsidR="00C44329">
        <w:rPr>
          <w:rFonts w:asciiTheme="minorEastAsia" w:eastAsiaTheme="minorEastAsia" w:hAnsiTheme="minorEastAsia"/>
          <w:color w:val="000000" w:themeColor="text1"/>
          <w:szCs w:val="21"/>
        </w:rPr>
        <w:t>的</w:t>
      </w:r>
      <w:r w:rsidRPr="00F70FB9">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例：假设某持有人（</w:t>
      </w:r>
      <w:r w:rsidRPr="00F70FB9" w:rsidR="00E22BE6">
        <w:rPr>
          <w:rFonts w:asciiTheme="minorEastAsia" w:eastAsiaTheme="minorEastAsia" w:hAnsiTheme="minorEastAsia" w:hint="eastAsia"/>
          <w:color w:val="000000" w:themeColor="text1"/>
          <w:szCs w:val="21"/>
        </w:rPr>
        <w:t>其他投资者</w:t>
      </w:r>
      <w:r w:rsidRPr="00F70FB9">
        <w:rPr>
          <w:rFonts w:asciiTheme="minorEastAsia" w:eastAsiaTheme="minorEastAsia" w:hAnsiTheme="minorEastAsia" w:hint="eastAsia"/>
          <w:color w:val="000000" w:themeColor="text1"/>
          <w:szCs w:val="21"/>
        </w:rPr>
        <w:t>）持有本基金A类份额10,000份，持有100天，现欲转换为易方达策略成长二号混合型证券投资基金；假设转出基金T日的基金份额净值为1.1000元，转入基金易方达策略成长二号混合型证券投资基金T日的基金份额净值为1.020元，则转出基金的赎回费率为0.5%，申购补差费率为1.4%。转换份额计算如下：</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转换金额=转出基金申请份额×转出基金份额净值=10,000×1.1000=11,000.00元</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转出基金赎回费=转换金额×转出基金赎回费率=11,000.00×0.5%=55元</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申购补差费=（转换金额-转出基金赎回费）×申购补差费率÷（1＋申购补差费率）=（11,000.00-55)×1.4%÷(1+1.4%)=151.11元</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转换费=转出基金赎回费+申购补差费=55+151.11=206.11元</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转入金额=转换金额-转换费=11,000.00-206.11=10,793.89元</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转入份额=转入金额÷转入基金份额净值=10,793.89÷1.020=10,582.25份</w:t>
      </w:r>
    </w:p>
    <w:p w:rsidR="00660BE8"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7、基金转换的注册登记</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8、基金转换与巨额赎回</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9、拒绝或暂停基金转换的情形</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发生下列情况时，基金管理人可拒绝或暂停接受基金投资者的转换申请：</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（1）因不可抗力导致基金无法正常运作或导致基金管理人不能支付转换转出款项。</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（2）发生《基金合同》规定的暂停基金资产估值情况时。</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（3）本基金投资的证券交易场所停止交易。</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（4）基金管理人接受某笔或某些转换转入申请可能会影响或损害现有基金份额持有人</w:t>
      </w:r>
      <w:r w:rsidRPr="00F70FB9">
        <w:rPr>
          <w:rFonts w:asciiTheme="minorEastAsia" w:eastAsiaTheme="minorEastAsia" w:hAnsiTheme="minorEastAsia" w:hint="eastAsia"/>
          <w:color w:val="000000" w:themeColor="text1"/>
          <w:szCs w:val="21"/>
        </w:rPr>
        <w:t>利益时。</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（7）连续两个或两个以上开放日发生巨额赎回。</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（8）继续接受转换转出申请将损害现有基金份额持有人利益的情形时，可暂停接受投资者的转换转出申请。</w:t>
      </w:r>
    </w:p>
    <w:p w:rsidR="00FB318D" w:rsidRPr="00F70FB9">
      <w:pPr>
        <w:snapToGri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9</w:t>
      </w:r>
      <w:r w:rsidRPr="00F70FB9">
        <w:rPr>
          <w:rFonts w:asciiTheme="minorEastAsia" w:eastAsiaTheme="minorEastAsia" w:hAnsiTheme="minorEastAsia" w:hint="eastAsia"/>
          <w:color w:val="000000" w:themeColor="text1"/>
          <w:szCs w:val="21"/>
        </w:rPr>
        <w:t>）基金管理人接受某笔或者某些转换</w:t>
      </w:r>
      <w:r w:rsidRPr="00F70FB9">
        <w:rPr>
          <w:rFonts w:asciiTheme="minorEastAsia" w:eastAsiaTheme="minorEastAsia" w:hAnsiTheme="minorEastAsia"/>
          <w:color w:val="000000" w:themeColor="text1"/>
          <w:szCs w:val="21"/>
        </w:rPr>
        <w:t>转入</w:t>
      </w:r>
      <w:r w:rsidRPr="00F70FB9">
        <w:rPr>
          <w:rFonts w:asciiTheme="minorEastAsia" w:eastAsiaTheme="minorEastAsia" w:hAnsiTheme="minorEastAsia" w:hint="eastAsia"/>
          <w:color w:val="000000" w:themeColor="text1"/>
          <w:szCs w:val="21"/>
        </w:rPr>
        <w:t>申请有可能导致单一投资者持有基金份额的比例达到或者超过50%，或者变相规避50%集中度的情形时。</w:t>
      </w:r>
    </w:p>
    <w:p w:rsidR="00FB318D" w:rsidRPr="00F70FB9">
      <w:pPr>
        <w:snapToGri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10）</w:t>
      </w:r>
      <w:r w:rsidRPr="00F70FB9">
        <w:rPr>
          <w:rFonts w:asciiTheme="minorEastAsia" w:eastAsiaTheme="minorEastAsia" w:hAnsiTheme="minorEastAsia" w:hint="eastAsia"/>
          <w:color w:val="000000" w:themeColor="text1"/>
          <w:szCs w:val="21"/>
        </w:rPr>
        <w:t>当一笔新的转换</w:t>
      </w:r>
      <w:r w:rsidRPr="00F70FB9">
        <w:rPr>
          <w:rFonts w:asciiTheme="minorEastAsia" w:eastAsiaTheme="minorEastAsia" w:hAnsiTheme="minorEastAsia"/>
          <w:color w:val="000000" w:themeColor="text1"/>
          <w:szCs w:val="21"/>
        </w:rPr>
        <w:t>转入</w:t>
      </w:r>
      <w:r w:rsidRPr="00F70FB9">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B318D" w:rsidRPr="00F70FB9">
      <w:pPr>
        <w:snapToGrid w:val="0"/>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11）</w:t>
      </w:r>
      <w:r w:rsidRPr="00F70FB9">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8A16B4"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FB318D">
        <w:rPr>
          <w:rFonts w:asciiTheme="minorEastAsia" w:eastAsiaTheme="minorEastAsia" w:hAnsiTheme="minorEastAsia"/>
          <w:color w:val="000000" w:themeColor="text1"/>
          <w:szCs w:val="21"/>
        </w:rPr>
        <w:t>12</w:t>
      </w:r>
      <w:r w:rsidRPr="00F70FB9">
        <w:rPr>
          <w:rFonts w:asciiTheme="minorEastAsia" w:eastAsiaTheme="minorEastAsia" w:hAnsiTheme="minorEastAsia" w:hint="eastAsia"/>
          <w:color w:val="000000" w:themeColor="text1"/>
          <w:szCs w:val="21"/>
        </w:rPr>
        <w:t>）法律法规规定或中国证监会认定的其他情形。</w:t>
      </w:r>
    </w:p>
    <w:p w:rsidR="00E00713"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D56E41"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w:t>
      </w:r>
      <w:r w:rsidRPr="00F70FB9" w:rsidR="00BA4B87">
        <w:rPr>
          <w:rStyle w:val="da"/>
          <w:rFonts w:asciiTheme="minorEastAsia" w:eastAsiaTheme="minorEastAsia" w:hAnsiTheme="minorEastAsia" w:hint="eastAsia"/>
          <w:color w:val="000000" w:themeColor="text1"/>
        </w:rPr>
        <w:t>二</w:t>
      </w:r>
      <w:r w:rsidRPr="00F70FB9">
        <w:rPr>
          <w:rStyle w:val="da"/>
          <w:rFonts w:asciiTheme="minorEastAsia" w:eastAsiaTheme="minorEastAsia" w:hAnsiTheme="minorEastAsia" w:hint="eastAsia"/>
          <w:color w:val="000000" w:themeColor="text1"/>
        </w:rPr>
        <w:t>）基金份额转让</w:t>
      </w:r>
    </w:p>
    <w:p w:rsidR="00D56E41"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在法律法规允许且条件具备的情况下，基金管理人可以根据相关业务规则受理基金份额持有人通过中国证监会认可的交易场所或交易方式进行的份额转让申请，具体由基金管理人提前发布相关公告。</w:t>
      </w:r>
    </w:p>
    <w:p w:rsidR="00BA4B87" w:rsidRPr="00F70FB9">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（三）定期定额投资计划</w:t>
      </w:r>
      <w:bookmarkEnd w:id="56"/>
    </w:p>
    <w:p w:rsidR="00BA4B87"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A4B87" w:rsidRPr="00F70FB9">
      <w:pPr>
        <w:spacing w:line="360" w:lineRule="auto"/>
        <w:ind w:firstLine="480" w:firstLineChars="200"/>
        <w:rPr>
          <w:rFonts w:asciiTheme="minorEastAsia" w:eastAsiaTheme="minorEastAsia" w:hAnsiTheme="minorEastAsia"/>
          <w:color w:val="000000" w:themeColor="text1"/>
          <w:sz w:val="24"/>
        </w:rPr>
      </w:pPr>
    </w:p>
    <w:p w:rsidR="00BA4B87" w:rsidRPr="00F70FB9" w:rsidP="001D2FA9">
      <w:pPr>
        <w:pStyle w:val="Heading1"/>
        <w:spacing w:before="317" w:after="317" w:line="320" w:lineRule="exact"/>
        <w:ind w:firstLine="600"/>
        <w:rPr>
          <w:rFonts w:asciiTheme="minorEastAsia" w:eastAsiaTheme="minorEastAsia" w:hAnsiTheme="minorEastAsia"/>
          <w:bCs/>
          <w:color w:val="000000" w:themeColor="text1"/>
          <w:kern w:val="44"/>
          <w:sz w:val="28"/>
          <w:szCs w:val="44"/>
        </w:rPr>
      </w:pPr>
      <w:r w:rsidRPr="00F70FB9">
        <w:rPr>
          <w:rFonts w:asciiTheme="minorEastAsia" w:eastAsiaTheme="minorEastAsia" w:hAnsiTheme="minorEastAsia" w:hint="eastAsia"/>
          <w:color w:val="000000" w:themeColor="text1"/>
          <w:sz w:val="30"/>
        </w:rPr>
        <w:br w:type="column"/>
      </w:r>
      <w:bookmarkStart w:id="57" w:name="_Toc332373519"/>
      <w:bookmarkStart w:id="58" w:name="_Toc103006337"/>
      <w:r w:rsidRPr="00F70FB9">
        <w:rPr>
          <w:rFonts w:asciiTheme="minorEastAsia" w:eastAsiaTheme="minorEastAsia" w:hAnsiTheme="minorEastAsia" w:hint="eastAsia"/>
          <w:color w:val="000000" w:themeColor="text1"/>
          <w:sz w:val="30"/>
        </w:rPr>
        <w:t>十、基金的转托管、</w:t>
      </w:r>
      <w:r w:rsidRPr="00F70FB9" w:rsidR="0059529A">
        <w:rPr>
          <w:rFonts w:asciiTheme="minorEastAsia" w:eastAsiaTheme="minorEastAsia" w:hAnsiTheme="minorEastAsia" w:hint="eastAsia"/>
          <w:color w:val="000000" w:themeColor="text1"/>
          <w:sz w:val="30"/>
        </w:rPr>
        <w:t>质押、</w:t>
      </w:r>
      <w:r w:rsidRPr="00F70FB9">
        <w:rPr>
          <w:rFonts w:asciiTheme="minorEastAsia" w:eastAsiaTheme="minorEastAsia" w:hAnsiTheme="minorEastAsia" w:hint="eastAsia"/>
          <w:color w:val="000000" w:themeColor="text1"/>
          <w:sz w:val="30"/>
        </w:rPr>
        <w:t>非交易过户、冻结与解冻</w:t>
      </w:r>
      <w:bookmarkEnd w:id="57"/>
      <w:bookmarkEnd w:id="58"/>
    </w:p>
    <w:p w:rsidR="00BA4B87" w:rsidRPr="00F70FB9" w:rsidP="001D2FA9">
      <w:pPr>
        <w:spacing w:line="360" w:lineRule="auto"/>
        <w:ind w:firstLine="420" w:firstLineChars="200"/>
        <w:rPr>
          <w:rStyle w:val="da"/>
          <w:rFonts w:asciiTheme="minorEastAsia" w:eastAsiaTheme="minorEastAsia" w:hAnsiTheme="minorEastAsia"/>
          <w:color w:val="000000" w:themeColor="text1"/>
        </w:rPr>
      </w:pPr>
      <w:bookmarkStart w:id="59" w:name="_Toc332373520"/>
      <w:bookmarkStart w:id="60" w:name="_Toc79392621"/>
      <w:r w:rsidRPr="00F70FB9">
        <w:rPr>
          <w:rStyle w:val="da"/>
          <w:rFonts w:asciiTheme="minorEastAsia" w:eastAsiaTheme="minorEastAsia" w:hAnsiTheme="minorEastAsia" w:hint="eastAsia"/>
          <w:color w:val="000000" w:themeColor="text1"/>
        </w:rPr>
        <w:t>（一）</w:t>
      </w:r>
      <w:r w:rsidRPr="00F70FB9" w:rsidR="00401F67">
        <w:rPr>
          <w:rStyle w:val="da"/>
          <w:rFonts w:asciiTheme="minorEastAsia" w:eastAsiaTheme="minorEastAsia" w:hAnsiTheme="minorEastAsia" w:hint="eastAsia"/>
          <w:color w:val="000000" w:themeColor="text1"/>
        </w:rPr>
        <w:t>基金的</w:t>
      </w:r>
      <w:r w:rsidRPr="00F70FB9">
        <w:rPr>
          <w:rStyle w:val="da"/>
          <w:rFonts w:asciiTheme="minorEastAsia" w:eastAsiaTheme="minorEastAsia" w:hAnsiTheme="minorEastAsia" w:hint="eastAsia"/>
          <w:color w:val="000000" w:themeColor="text1"/>
        </w:rPr>
        <w:t>转托管</w:t>
      </w:r>
      <w:bookmarkEnd w:id="59"/>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F70FB9" w:rsidR="00546B7B">
        <w:rPr>
          <w:rFonts w:asciiTheme="minorEastAsia" w:eastAsiaTheme="minorEastAsia" w:hAnsiTheme="minorEastAsia" w:hint="eastAsia"/>
          <w:color w:val="000000" w:themeColor="text1"/>
          <w:szCs w:val="21"/>
        </w:rPr>
        <w:t>各</w:t>
      </w:r>
      <w:r w:rsidRPr="00F70FB9" w:rsidR="00FF5DDA">
        <w:rPr>
          <w:rFonts w:asciiTheme="minorEastAsia" w:eastAsiaTheme="minorEastAsia" w:hAnsiTheme="minorEastAsia" w:hint="eastAsia"/>
          <w:color w:val="000000" w:themeColor="text1"/>
          <w:szCs w:val="21"/>
        </w:rPr>
        <w:t>销售</w:t>
      </w:r>
      <w:r w:rsidRPr="00F70FB9">
        <w:rPr>
          <w:rFonts w:asciiTheme="minorEastAsia" w:eastAsiaTheme="minorEastAsia" w:hAnsiTheme="minorEastAsia" w:hint="eastAsia"/>
          <w:color w:val="000000" w:themeColor="text1"/>
          <w:szCs w:val="21"/>
        </w:rPr>
        <w:t>机构的业务规则。</w:t>
      </w:r>
    </w:p>
    <w:p w:rsidR="00856C2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（二）基金份额的质押</w:t>
      </w:r>
    </w:p>
    <w:p w:rsidR="0048242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61" w:name="_Toc332373521"/>
      <w:r w:rsidRPr="00F70FB9">
        <w:rPr>
          <w:rStyle w:val="da"/>
          <w:rFonts w:asciiTheme="minorEastAsia" w:eastAsiaTheme="minorEastAsia" w:hAnsiTheme="minorEastAsia" w:hint="eastAsia"/>
          <w:color w:val="000000" w:themeColor="text1"/>
        </w:rPr>
        <w:t>（</w:t>
      </w:r>
      <w:r w:rsidRPr="00F70FB9" w:rsidR="00856C27">
        <w:rPr>
          <w:rStyle w:val="da"/>
          <w:rFonts w:asciiTheme="minorEastAsia" w:eastAsiaTheme="minorEastAsia" w:hAnsiTheme="minorEastAsia" w:hint="eastAsia"/>
          <w:color w:val="000000" w:themeColor="text1"/>
        </w:rPr>
        <w:t>三</w:t>
      </w:r>
      <w:r w:rsidRPr="00F70FB9">
        <w:rPr>
          <w:rStyle w:val="da"/>
          <w:rFonts w:asciiTheme="minorEastAsia" w:eastAsiaTheme="minorEastAsia" w:hAnsiTheme="minorEastAsia" w:hint="eastAsia"/>
          <w:color w:val="000000" w:themeColor="text1"/>
        </w:rPr>
        <w:t>）基金的非交易过户</w:t>
      </w:r>
      <w:bookmarkEnd w:id="61"/>
    </w:p>
    <w:p w:rsidR="009417BA"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62" w:name="_Toc332373522"/>
      <w:r w:rsidRPr="00F70FB9">
        <w:rPr>
          <w:rStyle w:val="da"/>
          <w:rFonts w:asciiTheme="minorEastAsia" w:eastAsiaTheme="minorEastAsia" w:hAnsiTheme="minorEastAsia" w:hint="eastAsia"/>
          <w:color w:val="000000" w:themeColor="text1"/>
        </w:rPr>
        <w:t>（</w:t>
      </w:r>
      <w:r w:rsidRPr="00F70FB9" w:rsidR="00856C27">
        <w:rPr>
          <w:rStyle w:val="da"/>
          <w:rFonts w:asciiTheme="minorEastAsia" w:eastAsiaTheme="minorEastAsia" w:hAnsiTheme="minorEastAsia" w:hint="eastAsia"/>
          <w:color w:val="000000" w:themeColor="text1"/>
        </w:rPr>
        <w:t>四</w:t>
      </w:r>
      <w:r w:rsidRPr="00F70FB9">
        <w:rPr>
          <w:rStyle w:val="da"/>
          <w:rFonts w:asciiTheme="minorEastAsia" w:eastAsiaTheme="minorEastAsia" w:hAnsiTheme="minorEastAsia" w:hint="eastAsia"/>
          <w:color w:val="000000" w:themeColor="text1"/>
        </w:rPr>
        <w:t>）基金的冻结与解冻</w:t>
      </w:r>
      <w:bookmarkEnd w:id="62"/>
    </w:p>
    <w:p w:rsidR="00BA4B87"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p w:rsidR="00934F1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基金份额被冻结的，被冻结部分产生的权益一并冻结，被冻结部分份额仍然参与收益分配与支付。法律法规或基金合同另有规定的除外。</w:t>
      </w:r>
    </w:p>
    <w:bookmarkEnd w:id="60"/>
    <w:p w:rsidR="00BA4B87" w:rsidRPr="00F70FB9">
      <w:pPr>
        <w:pStyle w:val="Heading1"/>
        <w:spacing w:before="317" w:after="317" w:line="320" w:lineRule="exact"/>
        <w:ind w:firstLine="64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rPr>
        <w:br w:type="column"/>
      </w:r>
      <w:bookmarkStart w:id="63" w:name="_Toc332373523"/>
      <w:bookmarkStart w:id="64" w:name="_Toc103006338"/>
      <w:r w:rsidRPr="00F70FB9">
        <w:rPr>
          <w:rFonts w:asciiTheme="minorEastAsia" w:eastAsiaTheme="minorEastAsia" w:hAnsiTheme="minorEastAsia" w:hint="eastAsia"/>
          <w:color w:val="000000" w:themeColor="text1"/>
          <w:sz w:val="30"/>
        </w:rPr>
        <w:t>十一、基金的投资</w:t>
      </w:r>
      <w:bookmarkEnd w:id="63"/>
      <w:bookmarkEnd w:id="64"/>
    </w:p>
    <w:p w:rsidR="00074EE6" w:rsidRPr="00F70FB9" w:rsidP="00074EE6">
      <w:pPr>
        <w:spacing w:line="360" w:lineRule="auto"/>
        <w:ind w:firstLine="420" w:firstLineChars="200"/>
        <w:rPr>
          <w:rStyle w:val="da"/>
          <w:rFonts w:asciiTheme="minorEastAsia" w:eastAsiaTheme="minorEastAsia" w:hAnsiTheme="minorEastAsia"/>
          <w:color w:val="000000" w:themeColor="text1"/>
        </w:rPr>
      </w:pPr>
      <w:bookmarkStart w:id="65" w:name="_Toc332373524"/>
      <w:r w:rsidRPr="00F70FB9">
        <w:rPr>
          <w:rStyle w:val="da"/>
          <w:rFonts w:asciiTheme="minorEastAsia" w:eastAsiaTheme="minorEastAsia" w:hAnsiTheme="minorEastAsia" w:hint="eastAsia"/>
          <w:color w:val="000000" w:themeColor="text1"/>
        </w:rPr>
        <w:t>（一）投资目标</w:t>
      </w:r>
      <w:bookmarkEnd w:id="65"/>
    </w:p>
    <w:p w:rsidR="00074EE6" w:rsidRPr="00F70FB9" w:rsidP="00074EE6">
      <w:pPr>
        <w:spacing w:line="360" w:lineRule="auto"/>
        <w:ind w:firstLine="420" w:firstLineChars="200"/>
        <w:rPr>
          <w:rFonts w:asciiTheme="minorEastAsia" w:eastAsiaTheme="minorEastAsia" w:hAnsiTheme="minorEastAsia"/>
          <w:color w:val="000000" w:themeColor="text1"/>
          <w:szCs w:val="21"/>
        </w:rPr>
      </w:pPr>
      <w:bookmarkStart w:id="66" w:name="_Toc332373525"/>
      <w:r w:rsidRPr="00F70FB9">
        <w:rPr>
          <w:rFonts w:asciiTheme="minorEastAsia" w:eastAsiaTheme="minorEastAsia" w:hAnsiTheme="minorEastAsia" w:hint="eastAsia"/>
          <w:color w:val="000000" w:themeColor="text1"/>
          <w:szCs w:val="21"/>
        </w:rPr>
        <w:t>本基金在控制风险的前提下，追求基金资产的稳健增值。</w:t>
      </w:r>
    </w:p>
    <w:p w:rsidR="00074EE6" w:rsidRPr="00F70FB9" w:rsidP="00074EE6">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（二）投资范围</w:t>
      </w:r>
      <w:bookmarkEnd w:id="66"/>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bookmarkStart w:id="67" w:name="_Toc332373526"/>
      <w:r w:rsidRPr="00F70FB9">
        <w:rPr>
          <w:rFonts w:asciiTheme="minorEastAsia" w:eastAsiaTheme="minorEastAsia" w:hAnsiTheme="minorEastAsia" w:hint="eastAsia"/>
          <w:bCs/>
          <w:color w:val="000000" w:themeColor="text1"/>
          <w:szCs w:val="21"/>
        </w:rPr>
        <w:t>本基金的投资范围包括国内依法发行、上市的股票（包括创业板、中小板以及其他依法发行、上市的股票、存托凭证）、债券（包括国债、央行票据、地方政府债、金融债、企业债、公司债、证券公司短期公司债、中小企业私募债、次级债、中期票据、短期融资券、可转换债券、可交换债券等）、资产支持证券、债券回购、银行存款、同业存单、权证、股指期货、国债期货及法律法规或中国证监会允许基金投资的其他金融工具。</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如法律法规或监管机构以后允许基金投资其他品种</w:t>
      </w:r>
      <w:r w:rsidRPr="00F70FB9">
        <w:rPr>
          <w:rFonts w:asciiTheme="minorEastAsia" w:eastAsiaTheme="minorEastAsia" w:hAnsiTheme="minorEastAsia" w:hint="eastAsia"/>
          <w:bCs/>
          <w:color w:val="000000" w:themeColor="text1"/>
          <w:szCs w:val="21"/>
        </w:rPr>
        <w:t>，本基金可将其纳入投资范围。</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基金的投资组合比例为：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为混合型基金，股票资产占基金资产的比例为0%-95%，扣除股指期货、国债期货合约需缴纳的交易保证金后，现金或到期日在一年以内的政府债券不低于基金资产净值的5%，现金不包括结算备付金、存出保证金、应收申购款等，权证、股指期货、国债期货及其他金融工具的投资比例依照法律法规或监管机构的规定执行。</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（三）投资策略</w:t>
      </w:r>
      <w:bookmarkEnd w:id="67"/>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bookmarkStart w:id="68" w:name="_Toc332373530"/>
      <w:bookmarkStart w:id="69" w:name="question3"/>
      <w:r w:rsidRPr="00F70FB9">
        <w:rPr>
          <w:rFonts w:asciiTheme="minorEastAsia" w:eastAsiaTheme="minorEastAsia" w:hAnsiTheme="minorEastAsia" w:cs="Arial" w:hint="eastAsia"/>
          <w:bCs/>
          <w:color w:val="000000" w:themeColor="text1"/>
          <w:szCs w:val="21"/>
        </w:rPr>
        <w:t>1．资产配置策略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本基金基于定量与定性相结合的宏观及市场因素、估值及流动性因素、政策因素等分析，并重点考虑债券市场情况，确定组合中股票、债券、货币市场工具等资产类别的配置比例。</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在资产配置中，本基金主要考虑：（1）宏观经济走势，主要通过对GDP增速、工业增加值、物价水平、市场利率水平等宏观经济指标的分析，判断实体经济在经济周期中所处的阶段；（2）市场估值与流动性，紧密跟踪国内外市场整体估值变化，货币供应量增速变化及其对市场整体资金供求的可能影响；（3）政策因素，密切关注国家宏观经济与产业经济层面相关政策的政策导向及其变化对市场和相关产业的影响。</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2．股票投资策略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（1）行业配置策略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本基金将通过分析以下因素，对各行业的投资价值进行综合评估，从而确定并动态调整行业配置比例。</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1）行业景气度</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2）行业竞争格局</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本基金主要通过密切跟踪行业进入者的数量、行业内各公司的竞争策略及各公司产品或服务的市场份额来判断公司所处行业竞争格局的变化，重点投资于行业竞争格局良好的行业。</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（2）个股投资策略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1）公司基本面分析</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2）估值水平分析</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通过估值水平分析，基金管理人力争发掘出价值被低估或估值合理的股票。</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3）股票组合的构建与调整</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本基金在行业分析、公司基本面分析及估值水平分析的基础上，进行股票组合的构建。当行业、公司的基本面、股票的估值水平出现较大变化时，本基金将对股票组合适时进行动态调整。</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3、存托凭证投资策略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4、债券投资策略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（1）在债券投资方面，本基金将主要通过类属配置与券种选择两个层次进行投资管理。在类属配置层次，本基金结合对宏观经济、市场利率、供求变化等因素的综合分析，根据交</w:t>
      </w:r>
      <w:r w:rsidRPr="00F70FB9">
        <w:rPr>
          <w:rFonts w:asciiTheme="minorEastAsia" w:eastAsiaTheme="minorEastAsia" w:hAnsiTheme="minorEastAsia" w:cs="Arial" w:hint="eastAsia"/>
          <w:bCs/>
          <w:color w:val="000000" w:themeColor="text1"/>
          <w:szCs w:val="21"/>
        </w:rPr>
        <w:t>易所市场与银行间市场类属资产的风险收益特征，定期对投资组合类属资产进行优化配置和调整，确定类属资产的最优权重。</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在券种选择上，本基金以长期利率趋势分析为基础，结合经济变化趋势、货币政策及不同债券品种的收益率水平、流动性和信用风险等因素，实施积极主动的债券投资管理。</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（2）证券公司短期公司债券投资策略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可根据内部的信用分析方法对可选的证券公司短期公司债券品种进行筛选，确定投资决策。此外，本基金将对拟投资或已投资的证券公司短期公司债券进行流动性分析和监测，尽量选择流动性相对较好的品种进行投资，并适当控制债券投资组合整体的久期。</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（3）中小企业私募债投资策略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可在控制信用风险、流动性风险的基础上，对中小企业私募债进行投资，主要采取分散化投资策略，控制个债持有比例。同时，紧密跟踪研究发债企业的基本面情况变化，并据此调整投资组合，控制投资风险。</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5、资产支持证券投资策略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可投资资产支持证券，若本基金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6、衍生产品投资策略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（1）股指期货、国债期货投资策略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本基金可投资股指期货、国债期货。若本基金投资股指期货、国债期货，将根据风险管理的原则，主要选择流动性好、交易活跃的股指期货、国债期货合约进行交易,以对冲投资组合的系统性风险、有效管理现金流量或降低建仓或调仓过程中的冲击成本等。</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（2）权证投资策略</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权证为本基金辅助性投资工具。权证的投资原则为有利于基金资产增值、控制下跌风险、</w:t>
      </w:r>
      <w:r w:rsidRPr="00F70FB9">
        <w:rPr>
          <w:rFonts w:asciiTheme="minorEastAsia" w:eastAsiaTheme="minorEastAsia" w:hAnsiTheme="minorEastAsia" w:cs="Arial" w:hint="eastAsia"/>
          <w:bCs/>
          <w:color w:val="000000" w:themeColor="text1"/>
          <w:szCs w:val="21"/>
        </w:rPr>
        <w:t>实现保值和锁定收益。</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3）本基金将关注其他金融衍生产品的推出情况，如法律法规或监管机构允许基金投资其他衍生工具，本基金将按届时有效的法律法规和监管机构的规定，制定与本基金投资目标相适应的投资策略，在充分评估衍生产品的风险和收益的基础上，谨慎地进行投资。</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7、为了更好地实现投资目标，在综合考虑预期风险、收益、流动性等因素的基础上，本基金可根据资产配置及流动性管理等需要参与融资业务。</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在条件许可的情况下，基金管理人可根据相关法律法规，参与融券业务和转融通证券出借业务。</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rPr>
        <w:t>8、未来，随着市场的发展和基金管理运作的需要，基金管理人可以在不改变投资目标的前提下，遵循法律法规的规定，相应调整或更新投资策略，并在招募说明书更新中公告。</w:t>
      </w:r>
    </w:p>
    <w:p w:rsidR="00074EE6" w:rsidRPr="00F70FB9" w:rsidP="00074EE6">
      <w:pPr>
        <w:spacing w:line="360" w:lineRule="auto"/>
        <w:ind w:firstLine="420" w:firstLineChars="200"/>
        <w:rPr>
          <w:rFonts w:asciiTheme="minorEastAsia" w:eastAsiaTheme="minorEastAsia" w:hAnsiTheme="minorEastAsia" w:cs="Arial"/>
          <w:bCs/>
          <w:color w:val="000000" w:themeColor="text1"/>
          <w:lang w:bidi="en-US"/>
        </w:rPr>
      </w:pPr>
      <w:r w:rsidRPr="00F70FB9">
        <w:rPr>
          <w:rFonts w:asciiTheme="minorEastAsia" w:eastAsiaTheme="minorEastAsia" w:hAnsiTheme="minorEastAsia" w:cs="Arial" w:hint="eastAsia"/>
          <w:bCs/>
          <w:color w:val="000000" w:themeColor="text1"/>
          <w:lang w:bidi="en-US"/>
        </w:rPr>
        <w:t>（四）业绩比较基准</w:t>
      </w:r>
      <w:bookmarkEnd w:id="68"/>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lang w:bidi="en-US"/>
        </w:rPr>
      </w:pPr>
      <w:bookmarkStart w:id="70" w:name="_Toc332373531"/>
      <w:bookmarkEnd w:id="69"/>
      <w:r w:rsidRPr="00F70FB9">
        <w:rPr>
          <w:rFonts w:asciiTheme="minorEastAsia" w:eastAsiaTheme="minorEastAsia" w:hAnsiTheme="minorEastAsia" w:cs="Arial" w:hint="eastAsia"/>
          <w:bCs/>
          <w:color w:val="000000" w:themeColor="text1"/>
          <w:szCs w:val="21"/>
          <w:lang w:bidi="en-US"/>
        </w:rPr>
        <w:t>中债新综合指数（财富）收益率</w:t>
      </w:r>
      <w:r w:rsidRPr="00F70FB9">
        <w:rPr>
          <w:rFonts w:asciiTheme="minorEastAsia" w:eastAsiaTheme="minorEastAsia" w:hAnsiTheme="minorEastAsia" w:hint="eastAsia"/>
          <w:bCs/>
          <w:color w:val="000000" w:themeColor="text1"/>
          <w:sz w:val="24"/>
        </w:rPr>
        <w:t>×</w:t>
      </w:r>
      <w:r w:rsidRPr="00F70FB9">
        <w:rPr>
          <w:rFonts w:asciiTheme="minorEastAsia" w:eastAsiaTheme="minorEastAsia" w:hAnsiTheme="minorEastAsia" w:cs="Arial"/>
          <w:bCs/>
          <w:color w:val="000000" w:themeColor="text1"/>
          <w:szCs w:val="21"/>
          <w:lang w:bidi="en-US"/>
        </w:rPr>
        <w:t>80%+</w:t>
      </w:r>
      <w:r w:rsidRPr="00F70FB9">
        <w:rPr>
          <w:rFonts w:asciiTheme="minorEastAsia" w:eastAsiaTheme="minorEastAsia" w:hAnsiTheme="minorEastAsia" w:cs="Arial" w:hint="eastAsia"/>
          <w:bCs/>
          <w:color w:val="000000" w:themeColor="text1"/>
          <w:szCs w:val="21"/>
          <w:lang w:bidi="en-US"/>
        </w:rPr>
        <w:t>沪深</w:t>
      </w:r>
      <w:r w:rsidRPr="00F70FB9">
        <w:rPr>
          <w:rFonts w:asciiTheme="minorEastAsia" w:eastAsiaTheme="minorEastAsia" w:hAnsiTheme="minorEastAsia" w:cs="Arial"/>
          <w:bCs/>
          <w:color w:val="000000" w:themeColor="text1"/>
          <w:szCs w:val="21"/>
          <w:lang w:bidi="en-US"/>
        </w:rPr>
        <w:t>300</w:t>
      </w:r>
      <w:r w:rsidRPr="00F70FB9">
        <w:rPr>
          <w:rFonts w:asciiTheme="minorEastAsia" w:eastAsiaTheme="minorEastAsia" w:hAnsiTheme="minorEastAsia" w:cs="Arial" w:hint="eastAsia"/>
          <w:bCs/>
          <w:color w:val="000000" w:themeColor="text1"/>
          <w:szCs w:val="21"/>
          <w:lang w:bidi="en-US"/>
        </w:rPr>
        <w:t>指数收益率</w:t>
      </w:r>
      <w:r w:rsidRPr="00F70FB9">
        <w:rPr>
          <w:rFonts w:asciiTheme="minorEastAsia" w:eastAsiaTheme="minorEastAsia" w:hAnsiTheme="minorEastAsia" w:hint="eastAsia"/>
          <w:bCs/>
          <w:color w:val="000000" w:themeColor="text1"/>
          <w:sz w:val="24"/>
        </w:rPr>
        <w:t>×</w:t>
      </w:r>
      <w:r w:rsidRPr="00F70FB9">
        <w:rPr>
          <w:rFonts w:asciiTheme="minorEastAsia" w:eastAsiaTheme="minorEastAsia" w:hAnsiTheme="minorEastAsia" w:cs="Arial"/>
          <w:bCs/>
          <w:color w:val="000000" w:themeColor="text1"/>
          <w:szCs w:val="21"/>
          <w:lang w:bidi="en-US"/>
        </w:rPr>
        <w:t>20%</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lang w:bidi="en-US"/>
        </w:rPr>
      </w:pPr>
      <w:r w:rsidRPr="00F70FB9">
        <w:rPr>
          <w:rFonts w:asciiTheme="minorEastAsia" w:eastAsiaTheme="minorEastAsia" w:hAnsiTheme="minorEastAsia" w:cs="Arial" w:hint="eastAsia"/>
          <w:bCs/>
          <w:color w:val="000000" w:themeColor="text1"/>
          <w:szCs w:val="21"/>
          <w:lang w:bidi="en-US"/>
        </w:rPr>
        <w:t>中债新综合指数（财富）指数能够反映债券市场总体走势，适合作为本基金固定收益部分的业绩比较基准。沪深300指数对股票市场具有较强的代表性，适合作为本基金股票部分的业绩比较基准。此外，本基金还参考预期的大类资产平均配置比例设置了业绩比较基准的权重。</w:t>
      </w:r>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r w:rsidRPr="00F70FB9">
        <w:rPr>
          <w:rFonts w:asciiTheme="minorEastAsia" w:eastAsiaTheme="minorEastAsia" w:hAnsiTheme="minorEastAsia" w:cs="Arial" w:hint="eastAsia"/>
          <w:bCs/>
          <w:color w:val="000000" w:themeColor="text1"/>
          <w:szCs w:val="21"/>
          <w:lang w:bidi="en-US"/>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的指数时，本基金管理人可以根据本基金的投资范围和投资策略，调整基金的业绩比较基准，但应在取得基金托管人同意后报中国证监会备案，并及时公告，无须召开基金份额持有人大会审议</w:t>
      </w:r>
      <w:r w:rsidRPr="00F70FB9">
        <w:rPr>
          <w:rFonts w:asciiTheme="minorEastAsia" w:eastAsiaTheme="minorEastAsia" w:hAnsiTheme="minorEastAsia" w:cs="Arial" w:hint="eastAsia"/>
          <w:bCs/>
          <w:color w:val="000000" w:themeColor="text1"/>
          <w:szCs w:val="21"/>
        </w:rPr>
        <w:t>。</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（五）风险收益特征</w:t>
      </w:r>
      <w:bookmarkEnd w:id="70"/>
    </w:p>
    <w:p w:rsidR="00074EE6" w:rsidRPr="00F70FB9" w:rsidP="00074EE6">
      <w:pPr>
        <w:spacing w:line="360" w:lineRule="auto"/>
        <w:ind w:firstLine="420" w:firstLineChars="200"/>
        <w:rPr>
          <w:rFonts w:asciiTheme="minorEastAsia" w:eastAsiaTheme="minorEastAsia" w:hAnsiTheme="minorEastAsia" w:cs="Arial"/>
          <w:bCs/>
          <w:color w:val="000000" w:themeColor="text1"/>
          <w:szCs w:val="21"/>
        </w:rPr>
      </w:pPr>
      <w:bookmarkStart w:id="71" w:name="_Toc332373533"/>
      <w:r w:rsidRPr="00F70FB9">
        <w:rPr>
          <w:rFonts w:asciiTheme="minorEastAsia" w:eastAsiaTheme="minorEastAsia" w:hAnsiTheme="minorEastAsia" w:cs="Arial" w:hint="eastAsia"/>
          <w:bCs/>
          <w:color w:val="000000" w:themeColor="text1"/>
          <w:szCs w:val="21"/>
        </w:rPr>
        <w:t>本基金为混合型基金，理论上其预期风险与预期收益水平低于股票型基金，高于债券型基金和货币市场基金。</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（六）投资禁止行为与限制</w:t>
      </w:r>
    </w:p>
    <w:bookmarkEnd w:id="71"/>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1、组合限制</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基金的投资组合应遵循以下限制：</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（1）本基金股票资产占基金资产的比例为0%-95%；</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（2）扣除股指期货、国债期货合约需缴纳的交易保证金后，保持不低于基金资产净值</w:t>
      </w:r>
      <w:r w:rsidRPr="00F70FB9">
        <w:rPr>
          <w:rFonts w:asciiTheme="minorEastAsia" w:eastAsiaTheme="minorEastAsia" w:hAnsiTheme="minorEastAsia" w:hint="eastAsia"/>
          <w:color w:val="000000" w:themeColor="text1"/>
          <w:szCs w:val="21"/>
        </w:rPr>
        <w:t>5％的现金或者到期日在一年以内的政府债券，现金不包括结算备付金、存出保证金、应收申购款等；</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（3）本基金持有一家公司发行的证券，其市值不得超过基金资产净值的10%；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（4）本基金管理人管理的全部基金持有一家公司发行的证券，不超过该证券的10％；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（5）本基金持有的全部权证，其市值不得超过基金资产净值的3％；</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（6）本基金管理人管理的全部基金持有的同一权证，不得超过该权证的10％；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（7）本基金在任何交易日买入权证的总金额，不得超过上一交易日基金资产净值的0.5％；</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（8）本基金投资于同一原始权益人的各类资产支持证券的比例，不得超过基金资产净值的10％；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（9）本基金持有的全部资产支持证券，其市值不得超过基金资产净值的20％；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（10）本基金持有的同一(指同一信用级别)资产支持证券的比例，不得超过该资产支持证券规模的10％；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（11）本基金管理人管理的全部基金投资于同一原始权益人的各类资产支持证券，不得超过其各类资产支持证券合计规模的10％；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（13）基金财产参与股票发行申购，本基金所申报的金额不超过本基金的总资产，本基金所申报的股票数量不超过拟发行股票公司本次发行股票的总量；</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（14）本基金进入全国银行间同业市场进行债券回购的资金余额不得超过基金资产净值的40%；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15）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w:t>
      </w:r>
      <w:r w:rsidRPr="00F70FB9">
        <w:rPr>
          <w:rFonts w:asciiTheme="minorEastAsia" w:eastAsiaTheme="minorEastAsia" w:hAnsiTheme="minorEastAsia" w:hint="eastAsia"/>
          <w:color w:val="000000" w:themeColor="text1"/>
          <w:szCs w:val="21"/>
        </w:rPr>
        <w:t>成交金额不得超过上一交易日基金资产净值的20%；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16）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（17）本基金基金总资产不得超过基金净资产的140%；</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（18）基金参与融资业务后，在任何交易日日终，持有的融资买入股票与其他有价证券市值之和，不得超过基金资产净值的95%；</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19</w:t>
      </w:r>
      <w:r w:rsidRPr="00F70FB9">
        <w:rPr>
          <w:rFonts w:asciiTheme="minorEastAsia" w:eastAsiaTheme="minorEastAsia" w:hAnsiTheme="minorEastAsia" w:hint="eastAsia"/>
          <w:color w:val="000000" w:themeColor="text1"/>
          <w:szCs w:val="21"/>
        </w:rPr>
        <w:t>）本基金管理人管理的全部开放式基金持有一家上市公司发行的可流通股票，不得超过该上市公司可流通股票的</w:t>
      </w:r>
      <w:r w:rsidRPr="00F70FB9">
        <w:rPr>
          <w:rFonts w:asciiTheme="minorEastAsia" w:eastAsiaTheme="minorEastAsia" w:hAnsiTheme="minorEastAsia"/>
          <w:color w:val="000000" w:themeColor="text1"/>
          <w:szCs w:val="21"/>
        </w:rPr>
        <w:t>15%</w:t>
      </w:r>
      <w:r w:rsidRPr="00F70FB9">
        <w:rPr>
          <w:rFonts w:asciiTheme="minorEastAsia" w:eastAsiaTheme="minorEastAsia" w:hAnsiTheme="minorEastAsia" w:hint="eastAsia"/>
          <w:color w:val="000000" w:themeColor="text1"/>
          <w:szCs w:val="21"/>
        </w:rPr>
        <w:t>；本基金管理人管理的全部投资组合持有一家上市公司发行的可流通股票，不得超过该上市公司可流通股票的</w:t>
      </w:r>
      <w:r w:rsidRPr="00F70FB9">
        <w:rPr>
          <w:rFonts w:asciiTheme="minorEastAsia" w:eastAsiaTheme="minorEastAsia" w:hAnsiTheme="minorEastAsia"/>
          <w:color w:val="000000" w:themeColor="text1"/>
          <w:szCs w:val="21"/>
        </w:rPr>
        <w:t>30%</w:t>
      </w:r>
      <w:r w:rsidRPr="00F70FB9">
        <w:rPr>
          <w:rFonts w:asciiTheme="minorEastAsia" w:eastAsiaTheme="minorEastAsia" w:hAnsiTheme="minorEastAsia" w:hint="eastAsia"/>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20</w:t>
      </w:r>
      <w:r w:rsidRPr="00F70FB9">
        <w:rPr>
          <w:rFonts w:asciiTheme="minorEastAsia" w:eastAsiaTheme="minorEastAsia" w:hAnsiTheme="minorEastAsia" w:hint="eastAsia"/>
          <w:color w:val="000000" w:themeColor="text1"/>
          <w:szCs w:val="21"/>
        </w:rPr>
        <w:t>）本基金主动投资于流动性受限资产的市值合计不得超过该基金资产净值的</w:t>
      </w:r>
      <w:r w:rsidRPr="00F70FB9">
        <w:rPr>
          <w:rFonts w:asciiTheme="minorEastAsia" w:eastAsiaTheme="minorEastAsia" w:hAnsiTheme="minorEastAsia"/>
          <w:color w:val="000000" w:themeColor="text1"/>
          <w:szCs w:val="21"/>
        </w:rPr>
        <w:t>15%</w:t>
      </w:r>
      <w:r w:rsidRPr="00F70FB9">
        <w:rPr>
          <w:rFonts w:asciiTheme="minorEastAsia" w:eastAsiaTheme="minorEastAsia" w:hAnsiTheme="minorEastAsia" w:hint="eastAsia"/>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21</w:t>
      </w:r>
      <w:r w:rsidRPr="00F70FB9">
        <w:rPr>
          <w:rFonts w:asciiTheme="minorEastAsia" w:eastAsiaTheme="minorEastAsia" w:hAnsiTheme="minorEastAsia"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（22）本基金投资存托凭证的比例限制依照境内上市交易的股票执行，与境内上市交易的股票合并计算。</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（23）法律法规及中国证监会规定的和《基金合同》约定的其他投资限制。</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除上述（</w:t>
      </w:r>
      <w:r w:rsidRPr="00F70FB9">
        <w:rPr>
          <w:rFonts w:asciiTheme="minorEastAsia" w:eastAsiaTheme="minorEastAsia" w:hAnsiTheme="minorEastAsia"/>
          <w:color w:val="000000" w:themeColor="text1"/>
          <w:szCs w:val="21"/>
        </w:rPr>
        <w:t>2</w:t>
      </w: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12</w:t>
      </w: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13</w:t>
      </w: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20</w:t>
      </w: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21</w:t>
      </w:r>
      <w:r w:rsidRPr="00F70FB9">
        <w:rPr>
          <w:rFonts w:asciiTheme="minorEastAsia" w:eastAsiaTheme="minorEastAsia" w:hAnsiTheme="minorEastAsia" w:hint="eastAsia"/>
          <w:color w:val="000000" w:themeColor="text1"/>
          <w:szCs w:val="21"/>
        </w:rPr>
        <w:t>）以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2、禁止行为</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为维护基金份额持有人的合法权益，基金财产不得用于下列投资或者活动：</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（1）承销证券；</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（2）违反规定向他人贷款或者提供担保；</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（3）从事承担无限责任的投资；</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（4）向其基金管理人、基金托管人出资；</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（5）从事内幕交易、操纵证券交易价格及其他不正当的证券交易活动；</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（6）法律、行政法规和中国证监会规定禁止的其他活动。</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bookmarkStart w:id="72" w:name="_Toc332373535"/>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（七）</w:t>
      </w:r>
      <w:bookmarkStart w:id="73" w:name="_Toc332373537"/>
      <w:bookmarkEnd w:id="72"/>
      <w:r w:rsidRPr="00F70FB9">
        <w:rPr>
          <w:rStyle w:val="da"/>
          <w:rFonts w:asciiTheme="minorEastAsia" w:eastAsiaTheme="minorEastAsia" w:hAnsiTheme="minorEastAsia"/>
          <w:color w:val="000000" w:themeColor="text1"/>
          <w:szCs w:val="21"/>
        </w:rPr>
        <w:t>基金管理人代表基金行使所投资证券产生权利的处理原则及方法</w:t>
      </w:r>
    </w:p>
    <w:bookmarkEnd w:id="73"/>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1、有利于基金资产的安全与增值。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2、基金管理人按照国家有关规定代表基金独立行使债权人或股东权利，保护基金份额持有人的利益。</w:t>
      </w:r>
    </w:p>
    <w:p w:rsidR="003F1E3F" w:rsidRPr="00F70FB9" w:rsidP="00074EE6">
      <w:pPr>
        <w:spacing w:before="50"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3、不通过关联交易为自身、雇员、授权代理人或任何存在利害关系的第三人牟取任何不当利益。</w:t>
      </w:r>
    </w:p>
    <w:p w:rsidR="00DA442D" w:rsidRPr="00F70FB9">
      <w:pPr>
        <w:spacing w:before="50"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（八</w:t>
      </w:r>
      <w:r w:rsidRPr="00F70FB9">
        <w:rPr>
          <w:rFonts w:asciiTheme="minorEastAsia" w:eastAsiaTheme="minorEastAsia" w:hAnsiTheme="minorEastAsia"/>
          <w:color w:val="000000" w:themeColor="text1"/>
          <w:szCs w:val="21"/>
        </w:rPr>
        <w:t>）</w:t>
      </w:r>
      <w:bookmarkStart w:id="74" w:name="_Toc481141439"/>
      <w:r w:rsidRPr="00F70FB9">
        <w:rPr>
          <w:rFonts w:asciiTheme="minorEastAsia" w:eastAsiaTheme="minorEastAsia" w:hAnsiTheme="minorEastAsia" w:hint="eastAsia"/>
          <w:color w:val="000000" w:themeColor="text1"/>
        </w:rPr>
        <w:t>基金投资组合报告（未经审计）</w:t>
      </w:r>
      <w:bookmarkEnd w:id="74"/>
    </w:p>
    <w:p w:rsidR="00DA442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DA442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本基金的托管人上海浦东发展银行股份有限公司根据本基金合同的规定，复核了本报告的内容，保证复核内容不存在虚假记载、误导性陈述或者重大遗漏。</w:t>
      </w:r>
    </w:p>
    <w:p w:rsidR="0051081C"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rPr>
        <w:t>本投资组合报告有关数据的期间为2021年4月1日至2021年6月30日。</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占基金总资产的</w:t>
            </w:r>
            <w:r w:rsidRPr="00F70FB9">
              <w:rPr>
                <w:rFonts w:asciiTheme="minorEastAsia" w:eastAsiaTheme="minorEastAsia" w:hAnsiTheme="minorEastAsia"/>
                <w:color w:val="000000" w:themeColor="text1"/>
              </w:rPr>
              <w:t>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2,340,494,849.57</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87.22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2,340,494,849.57</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87.22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291,962,794.81</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10.88</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291,962,794.81</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10.88</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3</w:t>
            </w:r>
          </w:p>
        </w:tc>
        <w:tc>
          <w:tcPr>
            <w:tcW w:w="3357" w:type="dxa"/>
            <w:tcBorders>
              <w:top w:val="single" w:sz="0" w:space="0" w:color="000000"/>
              <w:left w:val="single" w:sz="0" w:space="0" w:color="000000"/>
              <w:bottom w:val="single" w:sz="0" w:space="0" w:color="000000"/>
              <w:right w:val="single" w:sz="0" w:space="0" w:color="000000"/>
            </w:tcBorders>
          </w:tcPr>
          <w:p w:rsidR="00F66C1F" w:rsidRPr="00F70FB9">
            <w:pPr>
              <w:ind w:left="105" w:leftChars="5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29,149,254.31</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1.09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21,818,792.78</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0.81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F66C1F" w:rsidRPr="00F70FB9">
            <w:pPr>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2,683,425,691.47</w:t>
            </w:r>
          </w:p>
        </w:tc>
        <w:tc>
          <w:tcPr>
            <w:tcW w:w="1843"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100.00</w:t>
            </w:r>
          </w:p>
        </w:tc>
      </w:tr>
    </w:tbl>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2、报告期末按行业分类的股票投资组合</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540" w:type="dxa"/>
            <w:tcBorders>
              <w:top w:val="single" w:sz="0" w:space="0" w:color="000000"/>
              <w:left w:val="single" w:sz="0" w:space="0" w:color="000000"/>
              <w:bottom w:val="single" w:sz="0" w:space="0" w:color="000000"/>
              <w:right w:val="single" w:sz="0" w:space="0" w:color="000000"/>
            </w:tcBorders>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代码</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行业类别</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公允价值（元）</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占基金资产净值比例（％）</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A</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农、林、牧、渔业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14,726,217.74</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0.59</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B</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采矿业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27,739,417.65</w:t>
            </w:r>
          </w:p>
          <w:p w:rsidR="00F66C1F" w:rsidRPr="00F70FB9">
            <w:pPr>
              <w:jc w:val="right"/>
              <w:rPr>
                <w:rFonts w:asciiTheme="minorEastAsia" w:eastAsiaTheme="minorEastAsia" w:hAnsiTheme="minorEastAsia"/>
                <w:color w:val="000000" w:themeColor="text1"/>
                <w:sz w:val="24"/>
              </w:rPr>
            </w:pP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1.11</w:t>
            </w:r>
          </w:p>
          <w:p w:rsidR="00F66C1F" w:rsidRPr="00F70FB9">
            <w:pPr>
              <w:jc w:val="right"/>
              <w:rPr>
                <w:rFonts w:asciiTheme="minorEastAsia" w:eastAsiaTheme="minorEastAsia" w:hAnsiTheme="minorEastAsia"/>
                <w:color w:val="000000" w:themeColor="text1"/>
                <w:sz w:val="24"/>
              </w:rPr>
            </w:pP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C</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制造业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1,815,433,769.54</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72.61</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D</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电力、热力、燃气及水生产和供应业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5,151,678.21</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0.21</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E</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建筑业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60,901,539.37</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2.44</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F</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批发和零售业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82,472.34</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G</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交通运输、仓储和邮政业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H</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住宿和餐饮业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I</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信息传输、软件和信息技术服务业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136,189,370.40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5.45</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J</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金融业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34,721.10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K</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房地产业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186,704,200.83</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7.47</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L</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租赁和商务服务业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M</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科学研究和技术服务业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74,699,157.85</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2.99</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N</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水利、环境和公共设施管理业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18,832,304.54</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0.75</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O</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居民服务、修理和其他服务业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P</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教育</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Q</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卫生和社会工作</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R</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文化、体育和娱乐业</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S</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综合</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jc w:val="center"/>
              <w:rPr>
                <w:rFonts w:asciiTheme="minorEastAsia" w:eastAsiaTheme="minorEastAsia" w:hAnsiTheme="minorEastAsia"/>
                <w:color w:val="000000" w:themeColor="text1"/>
                <w:sz w:val="24"/>
              </w:rPr>
            </w:pP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adjustRightInd w:val="0"/>
              <w:snapToGrid w:val="0"/>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合计</w:t>
            </w:r>
          </w:p>
        </w:tc>
        <w:tc>
          <w:tcPr>
            <w:tcW w:w="2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2,340,494,849.57</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F66C1F" w:rsidRPr="00F70FB9">
            <w:pPr>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93.61</w:t>
            </w:r>
          </w:p>
        </w:tc>
      </w:tr>
    </w:tbl>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3、期末按公允价值占基金资产净值比例大小排序的股票投资明细</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（1）报告期末按公允价值占基金资产净值比例大小排序的前十名股票投资明细</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6"/>
        <w:gridCol w:w="1418"/>
        <w:gridCol w:w="1701"/>
        <w:gridCol w:w="1984"/>
        <w:gridCol w:w="1559"/>
      </w:tblGrid>
      <w:tr>
        <w:tblPrEx>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hint="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hint="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hint="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hint="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hint="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hint="eastAsia"/>
                <w:color w:val="000000" w:themeColor="text1"/>
                <w:kern w:val="0"/>
              </w:rPr>
              <w:t>占基金资产净值比例（％）</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002241</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歌尔股份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5,298,618</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226,462,933.32</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9.06</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603444</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吉比特</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256,938</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136,177,140.00</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5.45</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603712</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七一二</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3,420,400</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123,476,440.00</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4.94</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603236</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移远通信</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628,434</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107,217,124.74</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4.29</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603666</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亿嘉和</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1,097,514</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100,049,376.24</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4.00</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601799</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星宇股份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350,598</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79,136,980.56</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3.17</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000961</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中南建设</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13,278,947</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78,611,366.24</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3.14</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600933</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爱柯迪</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5,757,851</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75,082,377.04</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3.00</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000656</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金科股份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12,930,221</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74,865,979.59</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2.99</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002080</w:t>
            </w:r>
          </w:p>
        </w:tc>
        <w:tc>
          <w:tcPr>
            <w:tcW w:w="1418"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中材科技</w:t>
            </w:r>
          </w:p>
        </w:tc>
        <w:tc>
          <w:tcPr>
            <w:tcW w:w="1701"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2,848,334</w:t>
            </w:r>
          </w:p>
        </w:tc>
        <w:tc>
          <w:tcPr>
            <w:tcW w:w="1984"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74,540,900.78</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rPr>
              <w:t>2.98</w:t>
            </w:r>
          </w:p>
        </w:tc>
      </w:tr>
    </w:tbl>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4、报告期末按债券品种分类的债券投资组合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债券品种</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公允价值(元)</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占基金资产净值比例(％)</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国家债券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70,531,950.00</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2.82</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央行票据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金融债券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56,150,853.08</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2.25</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其中：政策性金融债</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56,150,853.08</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2.25</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企业债券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9,984,000.00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0.40</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企业短期融资券</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中期票据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可转债</w:t>
            </w:r>
            <w:r w:rsidRPr="00F70FB9">
              <w:rPr>
                <w:rFonts w:asciiTheme="minorEastAsia" w:eastAsiaTheme="minorEastAsia" w:hAnsiTheme="minorEastAsia" w:hint="eastAsia"/>
                <w:color w:val="000000" w:themeColor="text1"/>
              </w:rPr>
              <w:t>（可交换债）</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155,295,991.73</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6.21</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同业存单</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其他</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合计</w:t>
            </w:r>
          </w:p>
        </w:tc>
        <w:tc>
          <w:tcPr>
            <w:tcW w:w="283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291,962,794.81</w:t>
            </w:r>
          </w:p>
        </w:tc>
        <w:tc>
          <w:tcPr>
            <w:tcW w:w="1616"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11.68</w:t>
            </w:r>
          </w:p>
        </w:tc>
      </w:tr>
    </w:tbl>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5、报告期末按公允价值占基金资产净值比例大小排序的前五名债券投资明细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559"/>
        <w:gridCol w:w="1985"/>
        <w:gridCol w:w="1559"/>
        <w:gridCol w:w="2126"/>
        <w:gridCol w:w="990"/>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序号</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债券代码</w:t>
            </w:r>
          </w:p>
        </w:tc>
        <w:tc>
          <w:tcPr>
            <w:tcW w:w="1985"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债券名称</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数量（张）</w:t>
            </w:r>
          </w:p>
        </w:tc>
        <w:tc>
          <w:tcPr>
            <w:tcW w:w="2126"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公允价值(元)</w:t>
            </w:r>
          </w:p>
        </w:tc>
        <w:tc>
          <w:tcPr>
            <w:tcW w:w="990"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占基金资产净值比例（％）</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018006</w:t>
            </w:r>
          </w:p>
        </w:tc>
        <w:tc>
          <w:tcPr>
            <w:tcW w:w="1985"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国开1702</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484,000</w:t>
            </w:r>
          </w:p>
        </w:tc>
        <w:tc>
          <w:tcPr>
            <w:tcW w:w="212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48,971,120.00</w:t>
            </w:r>
          </w:p>
        </w:tc>
        <w:tc>
          <w:tcPr>
            <w:tcW w:w="990"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1.96</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019654</w:t>
            </w:r>
          </w:p>
        </w:tc>
        <w:tc>
          <w:tcPr>
            <w:tcW w:w="1985"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21国债06</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435,000</w:t>
            </w:r>
          </w:p>
        </w:tc>
        <w:tc>
          <w:tcPr>
            <w:tcW w:w="212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43,513,050.00</w:t>
            </w:r>
          </w:p>
        </w:tc>
        <w:tc>
          <w:tcPr>
            <w:tcW w:w="990"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1.74</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019649</w:t>
            </w:r>
          </w:p>
        </w:tc>
        <w:tc>
          <w:tcPr>
            <w:tcW w:w="1985"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21国债01</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270,000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27,018,900.00</w:t>
            </w:r>
          </w:p>
        </w:tc>
        <w:tc>
          <w:tcPr>
            <w:tcW w:w="990"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1.08</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123107</w:t>
            </w:r>
          </w:p>
        </w:tc>
        <w:tc>
          <w:tcPr>
            <w:tcW w:w="1985"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温氏转债</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248,018</w:t>
            </w:r>
          </w:p>
        </w:tc>
        <w:tc>
          <w:tcPr>
            <w:tcW w:w="212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26,664,415.18</w:t>
            </w:r>
          </w:p>
        </w:tc>
        <w:tc>
          <w:tcPr>
            <w:tcW w:w="990"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1.07</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5</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132014</w:t>
            </w:r>
          </w:p>
        </w:tc>
        <w:tc>
          <w:tcPr>
            <w:tcW w:w="1985" w:type="dxa"/>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18中化EB</w:t>
            </w:r>
          </w:p>
        </w:tc>
        <w:tc>
          <w:tcPr>
            <w:tcW w:w="1559"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191,970</w:t>
            </w:r>
          </w:p>
        </w:tc>
        <w:tc>
          <w:tcPr>
            <w:tcW w:w="2126"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23,537,441.70</w:t>
            </w:r>
          </w:p>
        </w:tc>
        <w:tc>
          <w:tcPr>
            <w:tcW w:w="990" w:type="dxa"/>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0.94</w:t>
            </w:r>
          </w:p>
        </w:tc>
      </w:tr>
    </w:tbl>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6、　报告期末按公允价值占基金资产净值比例大小排序的前十名资产支持证券投资明细</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本基金本报告期末未持有资产支持证券。</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7、报告期末按公允价值占基金资产净值比例大小排序的前五名贵金属投资明细</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本基金本报告期末未持有贵金属。</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8、报告期末按公允价值占基金资产净值比例大小排序的前五名权证投资明细</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本基金本报告期末未持有权证。</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9、报告期末本基金投资的股指期货交易情况说明</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本基金本报告期末未投资股指期货。</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10、报告期末本基金投资的国债期货交易情况说明</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本基金本报告期末未投资国债期货。</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11、投资组合报告附注</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（1）本基金投资的前十名证券的发行主体本期没有出现被监管部门立案调查，或在报告编制日前一年内受到公开谴责、处罚的情形。</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（2）本基金投资的前十名股票没有超出基金合同规定的备选股票库。</w:t>
      </w:r>
    </w:p>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（3）其他资产构成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759"/>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序号</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7"/>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金额(元)</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rPr>
              <w:t>1</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715,934.93</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2</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16,706,324.88</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3</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4</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1,570,502.74</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5</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2,826,030.23</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6</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7</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8</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9</w:t>
            </w:r>
          </w:p>
        </w:tc>
        <w:tc>
          <w:tcPr>
            <w:tcW w:w="2761"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lef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F66C1F" w:rsidRPr="00F70FB9">
            <w:pPr>
              <w:autoSpaceDE w:val="0"/>
              <w:autoSpaceDN w:val="0"/>
              <w:adjustRightInd w:val="0"/>
              <w:ind w:left="15"/>
              <w:jc w:val="right"/>
              <w:rPr>
                <w:rFonts w:asciiTheme="minorEastAsia" w:eastAsiaTheme="minorEastAsia" w:hAnsiTheme="minorEastAsia"/>
                <w:color w:val="000000" w:themeColor="text1"/>
                <w:kern w:val="0"/>
                <w:sz w:val="24"/>
              </w:rPr>
            </w:pPr>
            <w:r w:rsidRPr="00F70FB9">
              <w:rPr>
                <w:rFonts w:asciiTheme="minorEastAsia" w:eastAsiaTheme="minorEastAsia" w:hAnsiTheme="minorEastAsia"/>
                <w:color w:val="000000" w:themeColor="text1"/>
                <w:kern w:val="0"/>
              </w:rPr>
              <w:t>21,818,792.78</w:t>
            </w:r>
          </w:p>
        </w:tc>
      </w:tr>
    </w:tbl>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（4）报告期末持有的处于转股期的可转换债券明细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566"/>
        <w:gridCol w:w="1663"/>
        <w:gridCol w:w="1727"/>
        <w:gridCol w:w="1608"/>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序号</w:t>
            </w:r>
          </w:p>
        </w:tc>
        <w:tc>
          <w:tcPr>
            <w:tcW w:w="2568"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债券代码</w:t>
            </w:r>
          </w:p>
        </w:tc>
        <w:tc>
          <w:tcPr>
            <w:tcW w:w="1665"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债券名称</w:t>
            </w:r>
          </w:p>
        </w:tc>
        <w:tc>
          <w:tcPr>
            <w:tcW w:w="1727"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公允价值(元)</w:t>
            </w:r>
          </w:p>
        </w:tc>
        <w:tc>
          <w:tcPr>
            <w:tcW w:w="1609" w:type="dxa"/>
            <w:tcBorders>
              <w:top w:val="single" w:sz="0" w:space="0" w:color="000000"/>
              <w:left w:val="single" w:sz="0" w:space="0" w:color="000000"/>
              <w:bottom w:val="single" w:sz="0" w:space="0" w:color="000000"/>
              <w:right w:val="single" w:sz="0" w:space="0" w:color="000000"/>
            </w:tcBorders>
            <w:vAlign w:val="center"/>
          </w:tcPr>
          <w:p w:rsidR="00F66C1F" w:rsidRPr="00F70FB9">
            <w:pPr>
              <w:ind w:left="17"/>
              <w:jc w:val="center"/>
              <w:rPr>
                <w:rFonts w:asciiTheme="minorEastAsia" w:eastAsiaTheme="minorEastAsia" w:hAnsiTheme="minorEastAsia"/>
                <w:color w:val="000000" w:themeColor="text1"/>
                <w:sz w:val="24"/>
              </w:rPr>
            </w:pPr>
            <w:r w:rsidRPr="00F70FB9">
              <w:rPr>
                <w:rFonts w:asciiTheme="minorEastAsia" w:eastAsiaTheme="minorEastAsia" w:hAnsiTheme="minorEastAsia"/>
                <w:color w:val="000000" w:themeColor="text1"/>
              </w:rPr>
              <w:t>占基金资产净值比例(%)</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132014</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18中化EB</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23,537,441.70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0.94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113044</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大秦转债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13,919,606.60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0.56</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113534</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鼎胜转债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11,107,149.60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0.44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113040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星宇转债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10,978,008.30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0.44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5</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113509</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新泉转债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9,871,435.00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0.39</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6</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110072</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广汇转债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7,769,531.00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0.31</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123059</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银信转债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6,062,931.68</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8</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123083</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朗新转债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6,045,204.00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9</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128127</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文科转债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3,907,934.80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0.16</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127018</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本钢转债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3,692,952.00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0.15</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128125</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华阳转债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3,666,836.00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0.15</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127015</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希望转债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2,715,449.16</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0.11</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13</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123087</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明电转债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2,538,338.40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0.10</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128044</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岭南转债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2,232,237.60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0.09</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113519</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长久转债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1,908,829.80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0.08</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16</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132018</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G三峡EB1</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1,840,238.40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0.07</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17</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128140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润建转债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1,670,740.04</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0.07</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18</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128105</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长集转债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1,583,930.80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0.06</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128139</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祥鑫转债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1,550,503.68</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0.06</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123088</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威唐转债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1,262,391.90</w:t>
            </w:r>
          </w:p>
        </w:tc>
        <w:tc>
          <w:tcPr>
            <w:tcW w:w="0" w:type="auto"/>
            <w:tcBorders>
              <w:top w:val="single" w:sz="0" w:space="0" w:color="000000"/>
              <w:left w:val="single" w:sz="0" w:space="0" w:color="000000"/>
              <w:bottom w:val="single" w:sz="0" w:space="0" w:color="000000"/>
              <w:right w:val="single" w:sz="0" w:space="0" w:color="000000"/>
            </w:tcBorders>
            <w:vAlign w:val="center"/>
          </w:tcPr>
          <w:p w:rsidR="00F66C1F" w:rsidRPr="00F70FB9">
            <w:pPr>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0.05</w:t>
            </w:r>
          </w:p>
        </w:tc>
      </w:tr>
    </w:tbl>
    <w:p w:rsidR="00F66C1F" w:rsidRPr="00F70FB9" w:rsidP="004B6943">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（5）报告期末前十名股票中存在流通受限情况的说明</w:t>
      </w:r>
    </w:p>
    <w:p w:rsidR="00F66C1F" w:rsidRPr="00F70FB9" w:rsidP="004B6943">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szCs w:val="21"/>
        </w:rPr>
        <w:t>本基金本报告期末前十名股票中不存在流通受限情况。</w:t>
      </w:r>
      <w:r w:rsidRPr="00F70FB9">
        <w:rPr>
          <w:rFonts w:asciiTheme="minorEastAsia" w:eastAsiaTheme="minorEastAsia" w:hAnsiTheme="minorEastAsia"/>
          <w:color w:val="000000" w:themeColor="text1"/>
        </w:rPr>
        <w:br w:type="page"/>
      </w:r>
    </w:p>
    <w:p w:rsidR="00DA442D" w:rsidRPr="00F70FB9">
      <w:pPr>
        <w:pStyle w:val="Heading1"/>
        <w:spacing w:before="317" w:after="317" w:line="320" w:lineRule="exact"/>
        <w:ind w:firstLine="600"/>
        <w:rPr>
          <w:rFonts w:asciiTheme="minorEastAsia" w:eastAsiaTheme="minorEastAsia" w:hAnsiTheme="minorEastAsia"/>
          <w:color w:val="000000" w:themeColor="text1"/>
          <w:szCs w:val="21"/>
        </w:rPr>
      </w:pPr>
      <w:bookmarkStart w:id="75" w:name="_Toc483224974"/>
      <w:bookmarkStart w:id="76" w:name="_Toc103006339"/>
      <w:r w:rsidRPr="00F70FB9">
        <w:rPr>
          <w:rFonts w:asciiTheme="minorEastAsia" w:eastAsiaTheme="minorEastAsia" w:hAnsiTheme="minorEastAsia" w:hint="eastAsia"/>
          <w:color w:val="000000" w:themeColor="text1"/>
          <w:sz w:val="30"/>
        </w:rPr>
        <w:t>十二、基金的业绩</w:t>
      </w:r>
      <w:bookmarkEnd w:id="75"/>
      <w:bookmarkEnd w:id="76"/>
    </w:p>
    <w:p w:rsidR="00DA442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DA442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rPr>
        <w:t>本基金合同生效日为2016年12月15日，基金合同生效以来（截至2020年12月31日）的投资业绩及与同期基准的比较如下表所示：</w:t>
      </w:r>
    </w:p>
    <w:p w:rsidR="006C534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易方达瑞程混合A类基金份额净值增长率与同期业绩比较基准收益率比较</w:t>
      </w: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4"/>
        <w:gridCol w:w="1276"/>
        <w:gridCol w:w="1276"/>
        <w:gridCol w:w="1417"/>
        <w:gridCol w:w="1134"/>
        <w:gridCol w:w="1418"/>
        <w:gridCol w:w="1417"/>
      </w:tblGrid>
      <w:tr w:rsidTr="00411C68">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1384" w:type="dxa"/>
            <w:tcMar>
              <w:top w:w="0" w:type="dxa"/>
              <w:left w:w="108" w:type="dxa"/>
              <w:bottom w:w="0" w:type="dxa"/>
              <w:right w:w="108" w:type="dxa"/>
            </w:tcMar>
            <w:vAlign w:val="center"/>
            <w:hideMark/>
          </w:tcPr>
          <w:p w:rsidR="00122EC0" w:rsidRPr="00F70FB9" w:rsidP="007025AF">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阶段</w:t>
            </w:r>
          </w:p>
        </w:tc>
        <w:tc>
          <w:tcPr>
            <w:tcW w:w="1276" w:type="dxa"/>
            <w:tcMar>
              <w:top w:w="0" w:type="dxa"/>
              <w:left w:w="108" w:type="dxa"/>
              <w:bottom w:w="0" w:type="dxa"/>
              <w:right w:w="108" w:type="dxa"/>
            </w:tcMar>
            <w:vAlign w:val="center"/>
            <w:hideMark/>
          </w:tcPr>
          <w:p w:rsidR="00122EC0" w:rsidRPr="00F70FB9" w:rsidP="007025AF">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净值增长率①</w:t>
            </w:r>
          </w:p>
        </w:tc>
        <w:tc>
          <w:tcPr>
            <w:tcW w:w="1276" w:type="dxa"/>
            <w:tcMar>
              <w:top w:w="0" w:type="dxa"/>
              <w:left w:w="108" w:type="dxa"/>
              <w:bottom w:w="0" w:type="dxa"/>
              <w:right w:w="108" w:type="dxa"/>
            </w:tcMar>
            <w:vAlign w:val="center"/>
            <w:hideMark/>
          </w:tcPr>
          <w:p w:rsidR="00122EC0" w:rsidRPr="00F70FB9" w:rsidP="007025AF">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净值增长率标准差②</w:t>
            </w:r>
          </w:p>
        </w:tc>
        <w:tc>
          <w:tcPr>
            <w:tcW w:w="1417" w:type="dxa"/>
            <w:tcMar>
              <w:top w:w="0" w:type="dxa"/>
              <w:left w:w="108" w:type="dxa"/>
              <w:bottom w:w="0" w:type="dxa"/>
              <w:right w:w="108" w:type="dxa"/>
            </w:tcMar>
            <w:vAlign w:val="center"/>
            <w:hideMark/>
          </w:tcPr>
          <w:p w:rsidR="00122EC0" w:rsidRPr="00F70FB9" w:rsidP="007025AF">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业绩比较基准收益率③</w:t>
            </w:r>
          </w:p>
        </w:tc>
        <w:tc>
          <w:tcPr>
            <w:tcW w:w="1134" w:type="dxa"/>
            <w:tcMar>
              <w:top w:w="0" w:type="dxa"/>
              <w:left w:w="108" w:type="dxa"/>
              <w:bottom w:w="0" w:type="dxa"/>
              <w:right w:w="108" w:type="dxa"/>
            </w:tcMar>
            <w:vAlign w:val="center"/>
            <w:hideMark/>
          </w:tcPr>
          <w:p w:rsidR="00122EC0" w:rsidRPr="00F70FB9" w:rsidP="007025AF">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业绩比较基准收益率标准差④</w:t>
            </w:r>
          </w:p>
        </w:tc>
        <w:tc>
          <w:tcPr>
            <w:tcW w:w="1418" w:type="dxa"/>
            <w:tcMar>
              <w:top w:w="0" w:type="dxa"/>
              <w:left w:w="108" w:type="dxa"/>
              <w:bottom w:w="0" w:type="dxa"/>
              <w:right w:w="108" w:type="dxa"/>
            </w:tcMar>
            <w:vAlign w:val="center"/>
            <w:hideMark/>
          </w:tcPr>
          <w:p w:rsidR="00122EC0" w:rsidRPr="00F70FB9" w:rsidP="007025AF">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①－③</w:t>
            </w:r>
          </w:p>
        </w:tc>
        <w:tc>
          <w:tcPr>
            <w:tcW w:w="1417" w:type="dxa"/>
            <w:tcMar>
              <w:top w:w="0" w:type="dxa"/>
              <w:left w:w="108" w:type="dxa"/>
              <w:bottom w:w="0" w:type="dxa"/>
              <w:right w:w="108" w:type="dxa"/>
            </w:tcMar>
            <w:vAlign w:val="center"/>
            <w:hideMark/>
          </w:tcPr>
          <w:p w:rsidR="00122EC0" w:rsidRPr="00F70FB9" w:rsidP="007025AF">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②－④</w:t>
            </w:r>
          </w:p>
        </w:tc>
      </w:tr>
      <w:tr w:rsidTr="00411C68">
        <w:tblPrEx>
          <w:tblW w:w="9322" w:type="dxa"/>
          <w:tblLayout w:type="fixed"/>
          <w:tblCellMar>
            <w:left w:w="0" w:type="dxa"/>
            <w:right w:w="0" w:type="dxa"/>
          </w:tblCellMar>
          <w:tblLook w:val="04A0"/>
        </w:tblPrEx>
        <w:tc>
          <w:tcPr>
            <w:tcW w:w="138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自基金合同生效日至2016年12月31日</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0.20%</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0.01%</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-0.27%</w:t>
            </w:r>
          </w:p>
        </w:tc>
        <w:tc>
          <w:tcPr>
            <w:tcW w:w="113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0.29%</w:t>
            </w:r>
          </w:p>
        </w:tc>
        <w:tc>
          <w:tcPr>
            <w:tcW w:w="1418"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0.47%</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-0.28%</w:t>
            </w:r>
          </w:p>
        </w:tc>
      </w:tr>
      <w:tr w:rsidTr="00411C68">
        <w:tblPrEx>
          <w:tblW w:w="9322" w:type="dxa"/>
          <w:tblLayout w:type="fixed"/>
          <w:tblCellMar>
            <w:left w:w="0" w:type="dxa"/>
            <w:right w:w="0" w:type="dxa"/>
          </w:tblCellMar>
          <w:tblLook w:val="04A0"/>
        </w:tblPrEx>
        <w:tc>
          <w:tcPr>
            <w:tcW w:w="138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2017年1月1日至2017年12月31日</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8.72%</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0.15%</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4.56%</w:t>
            </w:r>
          </w:p>
        </w:tc>
        <w:tc>
          <w:tcPr>
            <w:tcW w:w="113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0.14%</w:t>
            </w:r>
          </w:p>
        </w:tc>
        <w:tc>
          <w:tcPr>
            <w:tcW w:w="1418"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4.16%</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0.01%</w:t>
            </w:r>
          </w:p>
        </w:tc>
      </w:tr>
      <w:tr w:rsidTr="00411C68">
        <w:tblPrEx>
          <w:tblW w:w="9322" w:type="dxa"/>
          <w:tblLayout w:type="fixed"/>
          <w:tblCellMar>
            <w:left w:w="0" w:type="dxa"/>
            <w:right w:w="0" w:type="dxa"/>
          </w:tblCellMar>
          <w:tblLook w:val="04A0"/>
        </w:tblPrEx>
        <w:tc>
          <w:tcPr>
            <w:tcW w:w="138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2018年1月1日至2018年12月31日</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-18.24%</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1.41%</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1.51%</w:t>
            </w:r>
          </w:p>
        </w:tc>
        <w:tc>
          <w:tcPr>
            <w:tcW w:w="113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0.26%</w:t>
            </w:r>
          </w:p>
        </w:tc>
        <w:tc>
          <w:tcPr>
            <w:tcW w:w="1418"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-19.75%</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1.15%</w:t>
            </w:r>
          </w:p>
        </w:tc>
      </w:tr>
      <w:tr w:rsidTr="00411C68">
        <w:tblPrEx>
          <w:tblW w:w="9322" w:type="dxa"/>
          <w:tblLayout w:type="fixed"/>
          <w:tblCellMar>
            <w:left w:w="0" w:type="dxa"/>
            <w:right w:w="0" w:type="dxa"/>
          </w:tblCellMar>
          <w:tblLook w:val="04A0"/>
        </w:tblPrEx>
        <w:tc>
          <w:tcPr>
            <w:tcW w:w="138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2019年1月1日至2019年12月31日</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92.19%</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1.45%</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10.88%</w:t>
            </w:r>
          </w:p>
        </w:tc>
        <w:tc>
          <w:tcPr>
            <w:tcW w:w="113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0.24%</w:t>
            </w:r>
          </w:p>
        </w:tc>
        <w:tc>
          <w:tcPr>
            <w:tcW w:w="1418"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81.31%</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1.21%</w:t>
            </w:r>
          </w:p>
        </w:tc>
      </w:tr>
      <w:tr w:rsidTr="00411C68">
        <w:tblPrEx>
          <w:tblW w:w="9322" w:type="dxa"/>
          <w:tblLayout w:type="fixed"/>
          <w:tblCellMar>
            <w:left w:w="0" w:type="dxa"/>
            <w:right w:w="0" w:type="dxa"/>
          </w:tblCellMar>
          <w:tblLook w:val="04A0"/>
        </w:tblPrEx>
        <w:tc>
          <w:tcPr>
            <w:tcW w:w="138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2020年1月1日至2020年12月31日</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84.36%</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1.71%</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7.82%</w:t>
            </w:r>
          </w:p>
        </w:tc>
        <w:tc>
          <w:tcPr>
            <w:tcW w:w="113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0.27%</w:t>
            </w:r>
          </w:p>
        </w:tc>
        <w:tc>
          <w:tcPr>
            <w:tcW w:w="1418"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76.54%</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1.44%</w:t>
            </w:r>
          </w:p>
        </w:tc>
      </w:tr>
      <w:tr w:rsidTr="00411C68">
        <w:tblPrEx>
          <w:tblW w:w="9322" w:type="dxa"/>
          <w:tblLayout w:type="fixed"/>
          <w:tblCellMar>
            <w:left w:w="0" w:type="dxa"/>
            <w:right w:w="0" w:type="dxa"/>
          </w:tblCellMar>
          <w:tblLook w:val="04A0"/>
        </w:tblPrEx>
        <w:tc>
          <w:tcPr>
            <w:tcW w:w="138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自基金合同生效</w:t>
            </w:r>
            <w:r w:rsidRPr="00F70FB9" w:rsidR="001E7242">
              <w:rPr>
                <w:rFonts w:asciiTheme="minorEastAsia" w:eastAsiaTheme="minorEastAsia" w:hAnsiTheme="minorEastAsia" w:hint="eastAsia"/>
                <w:color w:val="000000" w:themeColor="text1"/>
              </w:rPr>
              <w:t>日</w:t>
            </w:r>
            <w:r w:rsidRPr="00F70FB9">
              <w:rPr>
                <w:rFonts w:asciiTheme="minorEastAsia" w:eastAsiaTheme="minorEastAsia" w:hAnsiTheme="minorEastAsia"/>
                <w:color w:val="000000" w:themeColor="text1"/>
              </w:rPr>
              <w:t>至2020年12月31日</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215.59%</w:t>
            </w:r>
          </w:p>
        </w:tc>
        <w:tc>
          <w:tcPr>
            <w:tcW w:w="1276"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1.32%</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24.48%</w:t>
            </w:r>
          </w:p>
        </w:tc>
        <w:tc>
          <w:tcPr>
            <w:tcW w:w="1134"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0.23%</w:t>
            </w:r>
          </w:p>
        </w:tc>
        <w:tc>
          <w:tcPr>
            <w:tcW w:w="1418"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191.11%</w:t>
            </w:r>
          </w:p>
        </w:tc>
        <w:tc>
          <w:tcPr>
            <w:tcW w:w="1417"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1.09%</w:t>
            </w:r>
          </w:p>
        </w:tc>
      </w:tr>
    </w:tbl>
    <w:p w:rsidR="006C534D" w:rsidRPr="00F70FB9" w:rsidP="001D2FA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易方达瑞程混合C类基金份额净值增长率与同期业绩比较基准收益率比较</w:t>
      </w:r>
    </w:p>
    <w:tbl>
      <w:tblPr>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9"/>
        <w:gridCol w:w="1270"/>
        <w:gridCol w:w="1271"/>
        <w:gridCol w:w="1271"/>
        <w:gridCol w:w="1271"/>
        <w:gridCol w:w="1581"/>
        <w:gridCol w:w="1271"/>
      </w:tblGrid>
      <w:tr w:rsidTr="00411C68">
        <w:tblPrEx>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1419" w:type="dxa"/>
            <w:tcMar>
              <w:top w:w="0" w:type="dxa"/>
              <w:left w:w="108" w:type="dxa"/>
              <w:bottom w:w="0" w:type="dxa"/>
              <w:right w:w="108" w:type="dxa"/>
            </w:tcMar>
            <w:vAlign w:val="center"/>
            <w:hideMark/>
          </w:tcPr>
          <w:p w:rsidR="00122EC0" w:rsidRPr="00F70FB9">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阶段</w:t>
            </w:r>
          </w:p>
        </w:tc>
        <w:tc>
          <w:tcPr>
            <w:tcW w:w="1270" w:type="dxa"/>
            <w:tcMar>
              <w:top w:w="0" w:type="dxa"/>
              <w:left w:w="108" w:type="dxa"/>
              <w:bottom w:w="0" w:type="dxa"/>
              <w:right w:w="108" w:type="dxa"/>
            </w:tcMar>
            <w:vAlign w:val="center"/>
            <w:hideMark/>
          </w:tcPr>
          <w:p w:rsidR="00122EC0" w:rsidRPr="00F70FB9">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净值增长率①</w:t>
            </w:r>
          </w:p>
        </w:tc>
        <w:tc>
          <w:tcPr>
            <w:tcW w:w="1271" w:type="dxa"/>
            <w:tcMar>
              <w:top w:w="0" w:type="dxa"/>
              <w:left w:w="108" w:type="dxa"/>
              <w:bottom w:w="0" w:type="dxa"/>
              <w:right w:w="108" w:type="dxa"/>
            </w:tcMar>
            <w:vAlign w:val="center"/>
            <w:hideMark/>
          </w:tcPr>
          <w:p w:rsidR="00122EC0" w:rsidRPr="00F70FB9">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净值增长率标准差②</w:t>
            </w:r>
          </w:p>
        </w:tc>
        <w:tc>
          <w:tcPr>
            <w:tcW w:w="1271" w:type="dxa"/>
            <w:tcMar>
              <w:top w:w="0" w:type="dxa"/>
              <w:left w:w="108" w:type="dxa"/>
              <w:bottom w:w="0" w:type="dxa"/>
              <w:right w:w="108" w:type="dxa"/>
            </w:tcMar>
            <w:vAlign w:val="center"/>
            <w:hideMark/>
          </w:tcPr>
          <w:p w:rsidR="00122EC0" w:rsidRPr="00F70FB9">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业绩比较基准收益率③</w:t>
            </w:r>
          </w:p>
        </w:tc>
        <w:tc>
          <w:tcPr>
            <w:tcW w:w="1271" w:type="dxa"/>
            <w:tcMar>
              <w:top w:w="0" w:type="dxa"/>
              <w:left w:w="108" w:type="dxa"/>
              <w:bottom w:w="0" w:type="dxa"/>
              <w:right w:w="108" w:type="dxa"/>
            </w:tcMar>
            <w:vAlign w:val="center"/>
            <w:hideMark/>
          </w:tcPr>
          <w:p w:rsidR="00122EC0" w:rsidRPr="00F70FB9">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业绩比较基准收益率标准差④</w:t>
            </w:r>
          </w:p>
        </w:tc>
        <w:tc>
          <w:tcPr>
            <w:tcW w:w="1581" w:type="dxa"/>
            <w:tcMar>
              <w:top w:w="0" w:type="dxa"/>
              <w:left w:w="108" w:type="dxa"/>
              <w:bottom w:w="0" w:type="dxa"/>
              <w:right w:w="108" w:type="dxa"/>
            </w:tcMar>
            <w:vAlign w:val="center"/>
            <w:hideMark/>
          </w:tcPr>
          <w:p w:rsidR="00122EC0" w:rsidRPr="00F70FB9">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①－③</w:t>
            </w:r>
          </w:p>
        </w:tc>
        <w:tc>
          <w:tcPr>
            <w:tcW w:w="1271" w:type="dxa"/>
            <w:tcMar>
              <w:top w:w="0" w:type="dxa"/>
              <w:left w:w="108" w:type="dxa"/>
              <w:bottom w:w="0" w:type="dxa"/>
              <w:right w:w="108" w:type="dxa"/>
            </w:tcMar>
            <w:vAlign w:val="center"/>
            <w:hideMark/>
          </w:tcPr>
          <w:p w:rsidR="00122EC0" w:rsidRPr="00F70FB9">
            <w:pPr>
              <w:snapToGrid w:val="0"/>
              <w:spacing w:line="288" w:lineRule="auto"/>
              <w:jc w:val="center"/>
              <w:rPr>
                <w:rFonts w:asciiTheme="minorEastAsia" w:eastAsiaTheme="minorEastAsia" w:hAnsiTheme="minorEastAsia" w:cs="宋体"/>
                <w:color w:val="000000" w:themeColor="text1"/>
                <w:szCs w:val="21"/>
              </w:rPr>
            </w:pPr>
            <w:r w:rsidRPr="00F70FB9">
              <w:rPr>
                <w:rFonts w:asciiTheme="minorEastAsia" w:eastAsiaTheme="minorEastAsia" w:hAnsiTheme="minorEastAsia" w:hint="eastAsia"/>
                <w:color w:val="000000" w:themeColor="text1"/>
              </w:rPr>
              <w:t>②－④</w:t>
            </w:r>
          </w:p>
        </w:tc>
      </w:tr>
      <w:tr w:rsidTr="00411C68">
        <w:tblPrEx>
          <w:tblW w:w="9354" w:type="dxa"/>
          <w:tblInd w:w="-318" w:type="dxa"/>
          <w:tblLayout w:type="fixed"/>
          <w:tblCellMar>
            <w:left w:w="0" w:type="dxa"/>
            <w:right w:w="0" w:type="dxa"/>
          </w:tblCellMar>
          <w:tblLook w:val="04A0"/>
        </w:tblPrEx>
        <w:tc>
          <w:tcPr>
            <w:tcW w:w="1419"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自基金合同生效日至2016年12月31日</w:t>
            </w:r>
          </w:p>
        </w:tc>
        <w:tc>
          <w:tcPr>
            <w:tcW w:w="1270"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0.19%</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0.01%</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-0.27%</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0.29%</w:t>
            </w:r>
          </w:p>
        </w:tc>
        <w:tc>
          <w:tcPr>
            <w:tcW w:w="158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0.46%</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-0.28%</w:t>
            </w:r>
          </w:p>
        </w:tc>
      </w:tr>
      <w:tr w:rsidTr="00411C68">
        <w:tblPrEx>
          <w:tblW w:w="9354" w:type="dxa"/>
          <w:tblInd w:w="-318" w:type="dxa"/>
          <w:tblLayout w:type="fixed"/>
          <w:tblCellMar>
            <w:left w:w="0" w:type="dxa"/>
            <w:right w:w="0" w:type="dxa"/>
          </w:tblCellMar>
          <w:tblLook w:val="04A0"/>
        </w:tblPrEx>
        <w:tc>
          <w:tcPr>
            <w:tcW w:w="1419"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2017年1月1日至2017年12</w:t>
            </w:r>
            <w:r w:rsidRPr="00F70FB9">
              <w:rPr>
                <w:rFonts w:asciiTheme="minorEastAsia" w:eastAsiaTheme="minorEastAsia" w:hAnsiTheme="minorEastAsia"/>
                <w:color w:val="000000" w:themeColor="text1"/>
              </w:rPr>
              <w:t>月31日</w:t>
            </w:r>
          </w:p>
        </w:tc>
        <w:tc>
          <w:tcPr>
            <w:tcW w:w="1270"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8.55%</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0.15%</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4.56%</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0.14%</w:t>
            </w:r>
          </w:p>
        </w:tc>
        <w:tc>
          <w:tcPr>
            <w:tcW w:w="158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3.99%</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0.01%</w:t>
            </w:r>
          </w:p>
        </w:tc>
      </w:tr>
      <w:tr w:rsidTr="00411C68">
        <w:tblPrEx>
          <w:tblW w:w="9354" w:type="dxa"/>
          <w:tblInd w:w="-318" w:type="dxa"/>
          <w:tblLayout w:type="fixed"/>
          <w:tblCellMar>
            <w:left w:w="0" w:type="dxa"/>
            <w:right w:w="0" w:type="dxa"/>
          </w:tblCellMar>
          <w:tblLook w:val="04A0"/>
        </w:tblPrEx>
        <w:tc>
          <w:tcPr>
            <w:tcW w:w="1419"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2018年1月1日至2018年12月31日</w:t>
            </w:r>
          </w:p>
        </w:tc>
        <w:tc>
          <w:tcPr>
            <w:tcW w:w="1270"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-18.37%</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1.41%</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1.51%</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0.26%</w:t>
            </w:r>
          </w:p>
        </w:tc>
        <w:tc>
          <w:tcPr>
            <w:tcW w:w="158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-19.88%</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1.15%</w:t>
            </w:r>
          </w:p>
        </w:tc>
      </w:tr>
      <w:tr w:rsidTr="00411C68">
        <w:tblPrEx>
          <w:tblW w:w="9354" w:type="dxa"/>
          <w:tblInd w:w="-318" w:type="dxa"/>
          <w:tblLayout w:type="fixed"/>
          <w:tblCellMar>
            <w:left w:w="0" w:type="dxa"/>
            <w:right w:w="0" w:type="dxa"/>
          </w:tblCellMar>
          <w:tblLook w:val="04A0"/>
        </w:tblPrEx>
        <w:tc>
          <w:tcPr>
            <w:tcW w:w="1419"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2019年1月1日至2019年12月31日</w:t>
            </w:r>
          </w:p>
        </w:tc>
        <w:tc>
          <w:tcPr>
            <w:tcW w:w="1270"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94.55%</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1.45%</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10.88%</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0.24%</w:t>
            </w:r>
          </w:p>
        </w:tc>
        <w:tc>
          <w:tcPr>
            <w:tcW w:w="158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83.67%</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1.21%</w:t>
            </w:r>
          </w:p>
        </w:tc>
      </w:tr>
      <w:tr w:rsidTr="00411C68">
        <w:tblPrEx>
          <w:tblW w:w="9354" w:type="dxa"/>
          <w:tblInd w:w="-318" w:type="dxa"/>
          <w:tblLayout w:type="fixed"/>
          <w:tblCellMar>
            <w:left w:w="0" w:type="dxa"/>
            <w:right w:w="0" w:type="dxa"/>
          </w:tblCellMar>
          <w:tblLook w:val="04A0"/>
        </w:tblPrEx>
        <w:tc>
          <w:tcPr>
            <w:tcW w:w="1419"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2020年1月1日至2020年12月31日</w:t>
            </w:r>
          </w:p>
        </w:tc>
        <w:tc>
          <w:tcPr>
            <w:tcW w:w="1270"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83.99%</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1.71%</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7.82%</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0.27%</w:t>
            </w:r>
          </w:p>
        </w:tc>
        <w:tc>
          <w:tcPr>
            <w:tcW w:w="158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76.17%</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1.44%</w:t>
            </w:r>
          </w:p>
        </w:tc>
      </w:tr>
      <w:tr w:rsidTr="00411C68">
        <w:tblPrEx>
          <w:tblW w:w="9354" w:type="dxa"/>
          <w:tblInd w:w="-318" w:type="dxa"/>
          <w:tblLayout w:type="fixed"/>
          <w:tblCellMar>
            <w:left w:w="0" w:type="dxa"/>
            <w:right w:w="0" w:type="dxa"/>
          </w:tblCellMar>
          <w:tblLook w:val="04A0"/>
        </w:tblPrEx>
        <w:tc>
          <w:tcPr>
            <w:tcW w:w="1419"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自基金合同生效</w:t>
            </w:r>
            <w:r w:rsidRPr="00F70FB9" w:rsidR="001E7242">
              <w:rPr>
                <w:rFonts w:asciiTheme="minorEastAsia" w:eastAsiaTheme="minorEastAsia" w:hAnsiTheme="minorEastAsia" w:hint="eastAsia"/>
                <w:color w:val="000000" w:themeColor="text1"/>
              </w:rPr>
              <w:t>日</w:t>
            </w:r>
            <w:r w:rsidRPr="00F70FB9">
              <w:rPr>
                <w:rFonts w:asciiTheme="minorEastAsia" w:eastAsiaTheme="minorEastAsia" w:hAnsiTheme="minorEastAsia"/>
                <w:color w:val="000000" w:themeColor="text1"/>
              </w:rPr>
              <w:t>至2020年12月31日</w:t>
            </w:r>
          </w:p>
        </w:tc>
        <w:tc>
          <w:tcPr>
            <w:tcW w:w="1270"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217.79%</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1.32%</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24.48%</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0.23%</w:t>
            </w:r>
          </w:p>
        </w:tc>
        <w:tc>
          <w:tcPr>
            <w:tcW w:w="158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193.31%</w:t>
            </w:r>
          </w:p>
        </w:tc>
        <w:tc>
          <w:tcPr>
            <w:tcW w:w="1271" w:type="dxa"/>
          </w:tcPr>
          <w:p w:rsidR="00F66C1F"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1.09%</w:t>
            </w:r>
          </w:p>
        </w:tc>
      </w:tr>
    </w:tbl>
    <w:p w:rsidR="00825E84" w:rsidRPr="00F70FB9" w:rsidP="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本基金历任基金经理情况：张清华，管理时间为</w:t>
      </w:r>
      <w:r w:rsidRPr="00F70FB9">
        <w:rPr>
          <w:rFonts w:asciiTheme="minorEastAsia" w:eastAsiaTheme="minorEastAsia" w:hAnsiTheme="minorEastAsia"/>
          <w:color w:val="000000" w:themeColor="text1"/>
          <w:szCs w:val="21"/>
        </w:rPr>
        <w:t>2016</w:t>
      </w:r>
      <w:r w:rsidRPr="00F70FB9">
        <w:rPr>
          <w:rFonts w:asciiTheme="minorEastAsia" w:eastAsiaTheme="minorEastAsia" w:hAnsiTheme="minorEastAsia" w:hint="eastAsia"/>
          <w:color w:val="000000" w:themeColor="text1"/>
          <w:szCs w:val="21"/>
        </w:rPr>
        <w:t>年</w:t>
      </w:r>
      <w:r w:rsidRPr="00F70FB9">
        <w:rPr>
          <w:rFonts w:asciiTheme="minorEastAsia" w:eastAsiaTheme="minorEastAsia" w:hAnsiTheme="minorEastAsia"/>
          <w:color w:val="000000" w:themeColor="text1"/>
          <w:szCs w:val="21"/>
        </w:rPr>
        <w:t>12</w:t>
      </w:r>
      <w:r w:rsidRPr="00F70FB9">
        <w:rPr>
          <w:rFonts w:asciiTheme="minorEastAsia" w:eastAsiaTheme="minorEastAsia" w:hAnsiTheme="minorEastAsia" w:hint="eastAsia"/>
          <w:color w:val="000000" w:themeColor="text1"/>
          <w:szCs w:val="21"/>
        </w:rPr>
        <w:t>月</w:t>
      </w:r>
      <w:r w:rsidRPr="00F70FB9">
        <w:rPr>
          <w:rFonts w:asciiTheme="minorEastAsia" w:eastAsiaTheme="minorEastAsia" w:hAnsiTheme="minorEastAsia"/>
          <w:color w:val="000000" w:themeColor="text1"/>
          <w:szCs w:val="21"/>
        </w:rPr>
        <w:t>15</w:t>
      </w:r>
      <w:r w:rsidRPr="00F70FB9">
        <w:rPr>
          <w:rFonts w:asciiTheme="minorEastAsia" w:eastAsiaTheme="minorEastAsia" w:hAnsiTheme="minorEastAsia" w:hint="eastAsia"/>
          <w:color w:val="000000" w:themeColor="text1"/>
          <w:szCs w:val="21"/>
        </w:rPr>
        <w:t>日至</w:t>
      </w:r>
      <w:r w:rsidRPr="00F70FB9">
        <w:rPr>
          <w:rFonts w:asciiTheme="minorEastAsia" w:eastAsiaTheme="minorEastAsia" w:hAnsiTheme="minorEastAsia"/>
          <w:color w:val="000000" w:themeColor="text1"/>
          <w:szCs w:val="21"/>
        </w:rPr>
        <w:t>2018</w:t>
      </w:r>
      <w:r w:rsidRPr="00F70FB9">
        <w:rPr>
          <w:rFonts w:asciiTheme="minorEastAsia" w:eastAsiaTheme="minorEastAsia" w:hAnsiTheme="minorEastAsia" w:hint="eastAsia"/>
          <w:color w:val="000000" w:themeColor="text1"/>
          <w:szCs w:val="21"/>
        </w:rPr>
        <w:t>年</w:t>
      </w:r>
      <w:r w:rsidRPr="00F70FB9">
        <w:rPr>
          <w:rFonts w:asciiTheme="minorEastAsia" w:eastAsiaTheme="minorEastAsia" w:hAnsiTheme="minorEastAsia"/>
          <w:color w:val="000000" w:themeColor="text1"/>
          <w:szCs w:val="21"/>
        </w:rPr>
        <w:t>2</w:t>
      </w:r>
      <w:r w:rsidRPr="00F70FB9">
        <w:rPr>
          <w:rFonts w:asciiTheme="minorEastAsia" w:eastAsiaTheme="minorEastAsia" w:hAnsiTheme="minorEastAsia" w:hint="eastAsia"/>
          <w:color w:val="000000" w:themeColor="text1"/>
          <w:szCs w:val="21"/>
        </w:rPr>
        <w:t>月</w:t>
      </w:r>
      <w:r w:rsidRPr="00F70FB9">
        <w:rPr>
          <w:rFonts w:asciiTheme="minorEastAsia" w:eastAsiaTheme="minorEastAsia" w:hAnsiTheme="minorEastAsia"/>
          <w:color w:val="000000" w:themeColor="text1"/>
          <w:szCs w:val="21"/>
        </w:rPr>
        <w:t>1</w:t>
      </w:r>
      <w:r w:rsidRPr="00F70FB9">
        <w:rPr>
          <w:rFonts w:asciiTheme="minorEastAsia" w:eastAsiaTheme="minorEastAsia" w:hAnsiTheme="minorEastAsia" w:hint="eastAsia"/>
          <w:color w:val="000000" w:themeColor="text1"/>
          <w:szCs w:val="21"/>
        </w:rPr>
        <w:t>日；林森，管理时间为</w:t>
      </w:r>
      <w:r w:rsidRPr="00F70FB9">
        <w:rPr>
          <w:rFonts w:asciiTheme="minorEastAsia" w:eastAsiaTheme="minorEastAsia" w:hAnsiTheme="minorEastAsia"/>
          <w:color w:val="000000" w:themeColor="text1"/>
          <w:szCs w:val="21"/>
        </w:rPr>
        <w:t>2017</w:t>
      </w:r>
      <w:r w:rsidRPr="00F70FB9">
        <w:rPr>
          <w:rFonts w:asciiTheme="minorEastAsia" w:eastAsiaTheme="minorEastAsia" w:hAnsiTheme="minorEastAsia" w:hint="eastAsia"/>
          <w:color w:val="000000" w:themeColor="text1"/>
          <w:szCs w:val="21"/>
        </w:rPr>
        <w:t>年</w:t>
      </w:r>
      <w:r w:rsidRPr="00F70FB9">
        <w:rPr>
          <w:rFonts w:asciiTheme="minorEastAsia" w:eastAsiaTheme="minorEastAsia" w:hAnsiTheme="minorEastAsia"/>
          <w:color w:val="000000" w:themeColor="text1"/>
          <w:szCs w:val="21"/>
        </w:rPr>
        <w:t>1</w:t>
      </w:r>
      <w:r w:rsidRPr="00F70FB9">
        <w:rPr>
          <w:rFonts w:asciiTheme="minorEastAsia" w:eastAsiaTheme="minorEastAsia" w:hAnsiTheme="minorEastAsia" w:hint="eastAsia"/>
          <w:color w:val="000000" w:themeColor="text1"/>
          <w:szCs w:val="21"/>
        </w:rPr>
        <w:t>月</w:t>
      </w:r>
      <w:r w:rsidRPr="00F70FB9">
        <w:rPr>
          <w:rFonts w:asciiTheme="minorEastAsia" w:eastAsiaTheme="minorEastAsia" w:hAnsiTheme="minorEastAsia"/>
          <w:color w:val="000000" w:themeColor="text1"/>
          <w:szCs w:val="21"/>
        </w:rPr>
        <w:t>26</w:t>
      </w:r>
      <w:r w:rsidRPr="00F70FB9">
        <w:rPr>
          <w:rFonts w:asciiTheme="minorEastAsia" w:eastAsiaTheme="minorEastAsia" w:hAnsiTheme="minorEastAsia" w:hint="eastAsia"/>
          <w:color w:val="000000" w:themeColor="text1"/>
          <w:szCs w:val="21"/>
        </w:rPr>
        <w:t>日至</w:t>
      </w:r>
      <w:r w:rsidRPr="00F70FB9">
        <w:rPr>
          <w:rFonts w:asciiTheme="minorEastAsia" w:eastAsiaTheme="minorEastAsia" w:hAnsiTheme="minorEastAsia"/>
          <w:color w:val="000000" w:themeColor="text1"/>
          <w:szCs w:val="21"/>
        </w:rPr>
        <w:t>2022</w:t>
      </w:r>
      <w:r w:rsidRPr="00F70FB9">
        <w:rPr>
          <w:rFonts w:asciiTheme="minorEastAsia" w:eastAsiaTheme="minorEastAsia" w:hAnsiTheme="minorEastAsia" w:hint="eastAsia"/>
          <w:color w:val="000000" w:themeColor="text1"/>
          <w:szCs w:val="21"/>
        </w:rPr>
        <w:t>年</w:t>
      </w:r>
      <w:r w:rsidRPr="00F70FB9">
        <w:rPr>
          <w:rFonts w:asciiTheme="minorEastAsia" w:eastAsiaTheme="minorEastAsia" w:hAnsiTheme="minorEastAsia"/>
          <w:color w:val="000000" w:themeColor="text1"/>
          <w:szCs w:val="21"/>
        </w:rPr>
        <w:t>5</w:t>
      </w:r>
      <w:r w:rsidRPr="00F70FB9">
        <w:rPr>
          <w:rFonts w:asciiTheme="minorEastAsia" w:eastAsiaTheme="minorEastAsia" w:hAnsiTheme="minorEastAsia" w:hint="eastAsia"/>
          <w:color w:val="000000" w:themeColor="text1"/>
          <w:szCs w:val="21"/>
        </w:rPr>
        <w:t>月</w:t>
      </w:r>
      <w:r w:rsidRPr="00F70FB9">
        <w:rPr>
          <w:rFonts w:asciiTheme="minorEastAsia" w:eastAsiaTheme="minorEastAsia" w:hAnsiTheme="minorEastAsia"/>
          <w:color w:val="000000" w:themeColor="text1"/>
          <w:szCs w:val="21"/>
        </w:rPr>
        <w:t>6</w:t>
      </w:r>
      <w:r w:rsidRPr="00F70FB9">
        <w:rPr>
          <w:rFonts w:asciiTheme="minorEastAsia" w:eastAsiaTheme="minorEastAsia" w:hAnsiTheme="minorEastAsia" w:hint="eastAsia"/>
          <w:color w:val="000000" w:themeColor="text1"/>
          <w:szCs w:val="21"/>
        </w:rPr>
        <w:t>日。</w:t>
      </w:r>
    </w:p>
    <w:p w:rsidR="00BA4B87" w:rsidRPr="00F70FB9" w:rsidP="001D2FA9">
      <w:pPr>
        <w:pStyle w:val="Heading1"/>
        <w:spacing w:before="317" w:after="317" w:line="320" w:lineRule="exact"/>
        <w:ind w:firstLine="64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rPr>
        <w:br w:type="page"/>
      </w:r>
      <w:bookmarkStart w:id="77" w:name="_Toc332373538"/>
      <w:bookmarkStart w:id="78" w:name="_Toc103006340"/>
      <w:r w:rsidRPr="00F70FB9" w:rsidR="00DA442D">
        <w:rPr>
          <w:rFonts w:asciiTheme="minorEastAsia" w:eastAsiaTheme="minorEastAsia" w:hAnsiTheme="minorEastAsia" w:hint="eastAsia"/>
          <w:color w:val="000000" w:themeColor="text1"/>
          <w:sz w:val="30"/>
        </w:rPr>
        <w:t>十三</w:t>
      </w:r>
      <w:r w:rsidRPr="00F70FB9">
        <w:rPr>
          <w:rFonts w:asciiTheme="minorEastAsia" w:eastAsiaTheme="minorEastAsia" w:hAnsiTheme="minorEastAsia" w:hint="eastAsia"/>
          <w:color w:val="000000" w:themeColor="text1"/>
          <w:sz w:val="30"/>
        </w:rPr>
        <w:t>、基金的财产</w:t>
      </w:r>
      <w:bookmarkEnd w:id="78"/>
    </w:p>
    <w:bookmarkEnd w:id="77"/>
    <w:p w:rsidR="00335663" w:rsidRPr="00F70FB9" w:rsidP="001D2FA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一</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基金资产总值</w:t>
      </w:r>
    </w:p>
    <w:p w:rsidR="0019364D"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335663"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二</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基金资产净值</w:t>
      </w:r>
    </w:p>
    <w:p w:rsidR="00335663"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基金资产净值是指基金资产总值减去基金负债后的价值</w:t>
      </w:r>
      <w:r w:rsidRPr="00F70FB9">
        <w:rPr>
          <w:rFonts w:asciiTheme="minorEastAsia" w:eastAsiaTheme="minorEastAsia" w:hAnsiTheme="minorEastAsia"/>
          <w:bCs/>
          <w:color w:val="000000" w:themeColor="text1"/>
          <w:szCs w:val="21"/>
        </w:rPr>
        <w:t>。</w:t>
      </w:r>
    </w:p>
    <w:p w:rsidR="00335663"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三</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基金财产的账户</w:t>
      </w:r>
    </w:p>
    <w:p w:rsidR="00335663"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Pr="00F70FB9">
        <w:rPr>
          <w:rFonts w:asciiTheme="minorEastAsia" w:eastAsiaTheme="minorEastAsia" w:hAnsiTheme="minorEastAsia"/>
          <w:bCs/>
          <w:color w:val="000000" w:themeColor="text1"/>
          <w:szCs w:val="21"/>
        </w:rPr>
        <w:t>。</w:t>
      </w:r>
    </w:p>
    <w:p w:rsidR="00335663"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四</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基金财产的保管和处分</w:t>
      </w:r>
    </w:p>
    <w:p w:rsidR="00A143EE"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F70FB9">
        <w:rPr>
          <w:rFonts w:asciiTheme="minorEastAsia" w:eastAsiaTheme="minorEastAsia" w:hAnsiTheme="minorEastAsia"/>
          <w:bCs/>
          <w:color w:val="000000" w:themeColor="text1"/>
          <w:szCs w:val="21"/>
        </w:rPr>
        <w:t>。</w:t>
      </w:r>
    </w:p>
    <w:p w:rsidR="00BA4B87" w:rsidRPr="00F70FB9">
      <w:pPr>
        <w:pStyle w:val="Heading1"/>
        <w:spacing w:before="317" w:after="317" w:line="320" w:lineRule="exact"/>
        <w:ind w:firstLine="600"/>
        <w:rPr>
          <w:rFonts w:asciiTheme="minorEastAsia" w:eastAsiaTheme="minorEastAsia" w:hAnsiTheme="minorEastAsia"/>
          <w:bCs/>
          <w:color w:val="000000" w:themeColor="text1"/>
        </w:rPr>
      </w:pPr>
      <w:r w:rsidRPr="00F70FB9">
        <w:rPr>
          <w:rFonts w:asciiTheme="minorEastAsia" w:eastAsiaTheme="minorEastAsia" w:hAnsiTheme="minorEastAsia" w:hint="eastAsia"/>
          <w:color w:val="000000" w:themeColor="text1"/>
          <w:sz w:val="30"/>
        </w:rPr>
        <w:br w:type="column"/>
      </w:r>
      <w:bookmarkStart w:id="79" w:name="_Toc332373543"/>
      <w:bookmarkStart w:id="80" w:name="_Toc103006341"/>
      <w:r w:rsidRPr="00F70FB9" w:rsidR="00DA442D">
        <w:rPr>
          <w:rFonts w:asciiTheme="minorEastAsia" w:eastAsiaTheme="minorEastAsia" w:hAnsiTheme="minorEastAsia" w:hint="eastAsia"/>
          <w:color w:val="000000" w:themeColor="text1"/>
          <w:sz w:val="30"/>
        </w:rPr>
        <w:t>十四</w:t>
      </w:r>
      <w:r w:rsidRPr="00F70FB9">
        <w:rPr>
          <w:rFonts w:asciiTheme="minorEastAsia" w:eastAsiaTheme="minorEastAsia" w:hAnsiTheme="minorEastAsia" w:hint="eastAsia"/>
          <w:color w:val="000000" w:themeColor="text1"/>
          <w:sz w:val="30"/>
        </w:rPr>
        <w:t>、基金资产的估值</w:t>
      </w:r>
      <w:bookmarkEnd w:id="80"/>
    </w:p>
    <w:bookmarkEnd w:id="79"/>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一</w:t>
      </w: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估值日</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本基金的估值日为本基金相关的证券交易场所的交易日以及国家法律法规规定需要对外披露基金净值的非交易日</w:t>
      </w:r>
      <w:r w:rsidRPr="00F70FB9">
        <w:rPr>
          <w:rStyle w:val="da"/>
          <w:rFonts w:asciiTheme="minorEastAsia" w:eastAsiaTheme="minorEastAsia" w:hAnsiTheme="minorEastAsia"/>
          <w:color w:val="000000" w:themeColor="text1"/>
          <w:szCs w:val="21"/>
        </w:rPr>
        <w:t>。</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二</w:t>
      </w: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估值对象</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基金所拥有的股票、债券、衍生工具和银行存款本息、应收款项、其它投资等资产及负债。</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三</w:t>
      </w: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估值方法</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1、证券交易所上市的有价证券的估值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（2）交易所上市交易或挂牌转让的不含权和含权固定收益品种，选取第三方估值机构提供的相应品种当日的估值净价；</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（3）交易所上市交易的可转换债券，选取每日收盘价作为估值全价；</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（4）交易所市场挂牌转让的资产支持证券和私募债券，采用估值技术确定公允价值，在估值技术难以可靠计量公允价值的情况下，按成本估值。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2、处于未上市期间的有价证券应区分如下情况处理：</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（1）送股、转增股、配股和公开增发的新股，按估值日在证券交易所挂牌的同一股票的估值方法估值；该日无交易的，以最近一日的市价（收盘价）估值；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（3）首次公开发行有明确锁定期的股票，同一股票在交易所上市后，按交易所上市的同一股票的估值方法估值；非公开发行有明确锁定期的股票，按监管机构或行业协会有关规定确定公允价值。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3、全国银行间债券市场交易的固定收益品种，采用估值技术确定公允价值。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4、同一债券同时在两个或两个以上市场交易的，按债券所处的市场分别估值。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5、期货合约以估值当日结算价进行估值，估值当日无结算价的，且最近交易日后经济环境未发生重大变化的，采用最近交易日结算价估值。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6、本基金投资存托凭证的估值核算，依照境内上市交易的股票执行。</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7、如有充分理由表明按上述方法进行估值不能客观反映其公允价值的，基金管理人可根据具体情况与基金托管人商定后，按最能反映公允价值的价格估值。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8、相关法律法规以及监管部门有强制规定的，从其规定。如有新增事项，按国家最新规定估值。</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四</w:t>
      </w: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估值程序</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1、基金份额净值是按照每个工作日闭市后，基金资产净值除以当日基金份额的余额数量计算，精确到0.0001元，小数点后第5位四舍五入。国家另有规定的，从其规定。</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每个工作日计算基金资产净值及基金份额净值，并按规定公告。</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（五）估值错误的处理</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基金管理人和基金托管人将采取必要、适当、合理的措施确保基金资产估值的准确性、及时性。当基金份额净值小数点后4位以内(含第4位)发生差错时，视为估值错误。</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本基金合同的当事人应按照以下约定处理：</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1、估值错误类型</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本基金运作过程中，如果由于基金管理人或基金托管人、或登记机构、或销售机构、或投资人自身的过错造成估值错误，导致其他当事人遭受损失的，过错的责任人应当对由于该</w:t>
      </w:r>
      <w:r w:rsidRPr="00F70FB9">
        <w:rPr>
          <w:rStyle w:val="da"/>
          <w:rFonts w:asciiTheme="minorEastAsia" w:eastAsiaTheme="minorEastAsia" w:hAnsiTheme="minorEastAsia" w:hint="eastAsia"/>
          <w:color w:val="000000" w:themeColor="text1"/>
          <w:szCs w:val="21"/>
        </w:rPr>
        <w:t>估值错误遭受损失当事人(“受损方”)的直接损失按下述“估值错误处理原则”给予赔偿，承担赔偿责任。</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上述估值错误的主要类型包括但不限于：资料申报差错、数据传输差错、数据计算差错、系统故障差错、下达指令差错等。</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2、估值错误处理原则</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（2）估值错误的责任方对有关当事人的直接损失负责，不对间接损失负责，并且仅对估值错误的有关直接当事人负责，不对第三方负责。</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（4）估值错误调整采用尽量恢复至假设未发生估值错误的正确情形的方式。</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（5）按法律法规规定的其他原则处理估值错误。</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3、估值错误处理程序</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估值错误被发现后，有关的当事人应当及时进行处理，处理的程序如下：</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（1）查明估值错误发生的原因，列明所有的当事人，并根据估值错误发生的原因确定估值错误的责任方；</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（2）根据估值错误处理原则或当事人协商的方法对因估值错误造成的损失进行评估；</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（3）根据估值错误处理原则或当事人协商的方法由估值错误的责任方进行更正和赔偿损失；</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（4）根据估值错误处理的方法，需要修改基金登记机构交易数据的，由基金登记机构</w:t>
      </w:r>
      <w:r w:rsidRPr="00F70FB9">
        <w:rPr>
          <w:rStyle w:val="da"/>
          <w:rFonts w:asciiTheme="minorEastAsia" w:eastAsiaTheme="minorEastAsia" w:hAnsiTheme="minorEastAsia" w:hint="eastAsia"/>
          <w:color w:val="000000" w:themeColor="text1"/>
          <w:szCs w:val="21"/>
        </w:rPr>
        <w:t>进行更正，并就估值错误的更正向有关当事人进行确认。</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4、基金份额净值估值错误处理的方法如下：</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（1）基金份额净值计算出现错误时，基金管理人应当立即予以纠正，通报基金托管人，并采取合理的措施防止损失进一步扩大。</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（2）错误偏差达到基金份额净值的0.25%时，基金管理人应当通报基金托管人；错误偏差达到基金份额净值的0.5%时，基金管理人应当公告，并报中国证监会备案。</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（3）前述内容如法律法规或监管机关另有规定的，从其规定处理。</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（六）暂停估值的情形</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color w:val="000000" w:themeColor="text1"/>
          <w:szCs w:val="21"/>
        </w:rPr>
        <w:t>3</w:t>
      </w:r>
      <w:r w:rsidRPr="00F70FB9">
        <w:rPr>
          <w:rStyle w:val="da"/>
          <w:rFonts w:asciiTheme="minorEastAsia" w:eastAsiaTheme="minorEastAsia" w:hAnsiTheme="minorEastAsia" w:hint="eastAsia"/>
          <w:color w:val="000000" w:themeColor="text1"/>
          <w:szCs w:val="21"/>
        </w:rPr>
        <w:t>、当前一估值日基金资产净值</w:t>
      </w:r>
      <w:r w:rsidRPr="00F70FB9">
        <w:rPr>
          <w:rStyle w:val="da"/>
          <w:rFonts w:asciiTheme="minorEastAsia" w:eastAsiaTheme="minorEastAsia" w:hAnsiTheme="minorEastAsia"/>
          <w:color w:val="000000" w:themeColor="text1"/>
          <w:szCs w:val="21"/>
        </w:rPr>
        <w:t>50%</w:t>
      </w:r>
      <w:r w:rsidRPr="00F70FB9">
        <w:rPr>
          <w:rStyle w:val="da"/>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以上的资产出现无可参考的活跃市场价格且采用估值技术仍导致公允价值存在重大不确定性时，经与基金托管人协商一致的；</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color w:val="000000" w:themeColor="text1"/>
          <w:szCs w:val="21"/>
        </w:rPr>
        <w:t>4</w:t>
      </w:r>
      <w:r w:rsidRPr="00F70FB9">
        <w:rPr>
          <w:rStyle w:val="da"/>
          <w:rFonts w:asciiTheme="minorEastAsia" w:eastAsiaTheme="minorEastAsia" w:hAnsiTheme="minorEastAsia" w:hint="eastAsia"/>
          <w:color w:val="000000" w:themeColor="text1"/>
          <w:szCs w:val="21"/>
        </w:rPr>
        <w:t>、中国证监会和基金合同认定的其它情形。</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（七）基金净值的确认</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（八）特殊情况的处理</w:t>
      </w:r>
    </w:p>
    <w:p w:rsidR="00074EE6"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1、基金管理人或基金托管人按估值方法的第7项进行估值时，所造成的误差不作为基金资产估值错误处理。</w:t>
      </w:r>
    </w:p>
    <w:p w:rsidR="00660F95" w:rsidRPr="00F70FB9" w:rsidP="00074EE6">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074EE6" w:rsidRPr="00F70FB9">
      <w:pPr>
        <w:widowControl/>
        <w:jc w:val="left"/>
        <w:rPr>
          <w:rStyle w:val="da"/>
          <w:rFonts w:asciiTheme="minorEastAsia" w:eastAsiaTheme="minorEastAsia" w:hAnsiTheme="minorEastAsia"/>
          <w:color w:val="000000" w:themeColor="text1"/>
          <w:szCs w:val="21"/>
        </w:rPr>
        <w:sectPr w:rsidSect="00D01390">
          <w:pgSz w:w="11906" w:h="16838" w:code="9"/>
          <w:pgMar w:top="1440" w:right="1800" w:bottom="1440" w:left="1800" w:header="851" w:footer="992" w:gutter="0"/>
          <w:cols w:space="720"/>
          <w:docGrid w:type="lines" w:linePitch="317"/>
        </w:sectPr>
      </w:pPr>
    </w:p>
    <w:p w:rsidR="00BA4B87" w:rsidRPr="00F70FB9">
      <w:pPr>
        <w:pStyle w:val="Heading1"/>
        <w:spacing w:before="317" w:after="317" w:line="360" w:lineRule="auto"/>
        <w:ind w:firstLine="600"/>
        <w:rPr>
          <w:rFonts w:asciiTheme="minorEastAsia" w:eastAsiaTheme="minorEastAsia" w:hAnsiTheme="minorEastAsia"/>
          <w:color w:val="000000" w:themeColor="text1"/>
          <w:sz w:val="30"/>
        </w:rPr>
      </w:pPr>
      <w:bookmarkStart w:id="81" w:name="_Toc332373553"/>
      <w:bookmarkStart w:id="82" w:name="_Toc103006342"/>
      <w:r w:rsidRPr="00F70FB9">
        <w:rPr>
          <w:rFonts w:asciiTheme="minorEastAsia" w:eastAsiaTheme="minorEastAsia" w:hAnsiTheme="minorEastAsia" w:hint="eastAsia"/>
          <w:color w:val="000000" w:themeColor="text1"/>
          <w:sz w:val="30"/>
        </w:rPr>
        <w:t>十五、基金的收益分配</w:t>
      </w:r>
      <w:bookmarkEnd w:id="82"/>
    </w:p>
    <w:bookmarkEnd w:id="81"/>
    <w:p w:rsidR="005627CF"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一</w:t>
      </w:r>
      <w:r w:rsidRPr="00F70FB9">
        <w:rPr>
          <w:rStyle w:val="da"/>
          <w:rFonts w:asciiTheme="minorEastAsia" w:eastAsiaTheme="minorEastAsia" w:hAnsiTheme="minorEastAsia" w:hint="eastAsia"/>
          <w:color w:val="000000" w:themeColor="text1"/>
          <w:szCs w:val="21"/>
        </w:rPr>
        <w:t>）</w:t>
      </w:r>
      <w:r w:rsidRPr="00F70FB9">
        <w:rPr>
          <w:rStyle w:val="da"/>
          <w:rFonts w:asciiTheme="minorEastAsia" w:eastAsiaTheme="minorEastAsia" w:hAnsiTheme="minorEastAsia"/>
          <w:color w:val="000000" w:themeColor="text1"/>
          <w:szCs w:val="21"/>
        </w:rPr>
        <w:t>基金利润的构成</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（二）基金可供分配利润</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（三</w:t>
      </w:r>
      <w:r w:rsidRPr="00F70FB9">
        <w:rPr>
          <w:rStyle w:val="da"/>
          <w:rFonts w:asciiTheme="minorEastAsia" w:eastAsiaTheme="minorEastAsia" w:hAnsiTheme="minorEastAsia"/>
          <w:color w:val="000000" w:themeColor="text1"/>
          <w:szCs w:val="21"/>
        </w:rPr>
        <w:t>）</w:t>
      </w:r>
      <w:r w:rsidRPr="00F70FB9">
        <w:rPr>
          <w:rStyle w:val="da"/>
          <w:rFonts w:asciiTheme="minorEastAsia" w:eastAsiaTheme="minorEastAsia" w:hAnsiTheme="minorEastAsia" w:hint="eastAsia"/>
          <w:color w:val="000000" w:themeColor="text1"/>
          <w:szCs w:val="21"/>
        </w:rPr>
        <w:t>基金收益分配原则</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1、本基金收益分配方式分两种：现金分红与红利再投资，投资者可选择现金红利或将现金红利自动转为基金份额进行再投资；若投资者不选择，本基金默认的收益分配方式是现金分红；</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2、基金收益分配后基金份额净值不能低于面值；即基金收益分配基准日的基金份额净值减去每单位基金份额收益分配金额后不能低于面值；</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3、本基金各基金份额类别在费用收取上不同，其对应的可分配收益可能有所不同。同一类别的每一基金份额享有同等分配权；</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4、在对基金份额持有人利益无实质不利影响的前提下，基金管理人可调整基金收益的分配原则和支付方式，不需召开基金份额持有人大会审议；</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5、法律法规或监管机关另有规定的，从其规定。</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（四</w:t>
      </w:r>
      <w:r w:rsidRPr="00F70FB9">
        <w:rPr>
          <w:rStyle w:val="da"/>
          <w:rFonts w:asciiTheme="minorEastAsia" w:eastAsiaTheme="minorEastAsia" w:hAnsiTheme="minorEastAsia"/>
          <w:color w:val="000000" w:themeColor="text1"/>
          <w:szCs w:val="21"/>
        </w:rPr>
        <w:t>）</w:t>
      </w:r>
      <w:r w:rsidRPr="00F70FB9">
        <w:rPr>
          <w:rStyle w:val="da"/>
          <w:rFonts w:asciiTheme="minorEastAsia" w:eastAsiaTheme="minorEastAsia" w:hAnsiTheme="minorEastAsia" w:hint="eastAsia"/>
          <w:color w:val="000000" w:themeColor="text1"/>
          <w:szCs w:val="21"/>
        </w:rPr>
        <w:t>收益分配方案</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（五</w:t>
      </w:r>
      <w:r w:rsidRPr="00F70FB9">
        <w:rPr>
          <w:rStyle w:val="da"/>
          <w:rFonts w:asciiTheme="minorEastAsia" w:eastAsiaTheme="minorEastAsia" w:hAnsiTheme="minorEastAsia"/>
          <w:color w:val="000000" w:themeColor="text1"/>
          <w:szCs w:val="21"/>
        </w:rPr>
        <w:t>）</w:t>
      </w:r>
      <w:r w:rsidRPr="00F70FB9">
        <w:rPr>
          <w:rStyle w:val="da"/>
          <w:rFonts w:asciiTheme="minorEastAsia" w:eastAsiaTheme="minorEastAsia" w:hAnsiTheme="minorEastAsia" w:hint="eastAsia"/>
          <w:color w:val="000000" w:themeColor="text1"/>
          <w:szCs w:val="21"/>
        </w:rPr>
        <w:t>收益分配方案的确定、公告与实施</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本基金收益分配方案由基金管理人拟定，并由基金托管人复核，在2日内在指定媒介公告。</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660F95"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（六</w:t>
      </w:r>
      <w:r w:rsidRPr="00F70FB9">
        <w:rPr>
          <w:rStyle w:val="da"/>
          <w:rFonts w:asciiTheme="minorEastAsia" w:eastAsiaTheme="minorEastAsia" w:hAnsiTheme="minorEastAsia"/>
          <w:color w:val="000000" w:themeColor="text1"/>
          <w:szCs w:val="21"/>
        </w:rPr>
        <w:t>）</w:t>
      </w:r>
      <w:r w:rsidRPr="00F70FB9">
        <w:rPr>
          <w:rStyle w:val="da"/>
          <w:rFonts w:asciiTheme="minorEastAsia" w:eastAsiaTheme="minorEastAsia" w:hAnsiTheme="minorEastAsia" w:hint="eastAsia"/>
          <w:color w:val="000000" w:themeColor="text1"/>
          <w:szCs w:val="21"/>
        </w:rPr>
        <w:t>基金收益分配中发生的费用</w:t>
      </w:r>
    </w:p>
    <w:p w:rsidR="005627CF" w:rsidRPr="00F70FB9">
      <w:pPr>
        <w:spacing w:line="360" w:lineRule="auto"/>
        <w:ind w:firstLine="420" w:firstLineChars="200"/>
        <w:rPr>
          <w:rStyle w:val="da"/>
          <w:rFonts w:asciiTheme="minorEastAsia" w:eastAsiaTheme="minorEastAsia" w:hAnsiTheme="minorEastAsia"/>
          <w:color w:val="000000" w:themeColor="text1"/>
          <w:szCs w:val="21"/>
        </w:rPr>
      </w:pPr>
      <w:r w:rsidRPr="00F70FB9">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BA4B87" w:rsidRPr="00F70FB9">
      <w:pPr>
        <w:pStyle w:val="Heading1"/>
        <w:spacing w:before="317" w:after="317" w:line="360" w:lineRule="auto"/>
        <w:ind w:firstLine="640"/>
        <w:rPr>
          <w:rFonts w:asciiTheme="minorEastAsia" w:eastAsiaTheme="minorEastAsia" w:hAnsiTheme="minorEastAsia"/>
          <w:bCs/>
          <w:color w:val="000000" w:themeColor="text1"/>
        </w:rPr>
      </w:pPr>
      <w:r w:rsidRPr="00F70FB9">
        <w:rPr>
          <w:rFonts w:asciiTheme="minorEastAsia" w:eastAsiaTheme="minorEastAsia" w:hAnsiTheme="minorEastAsia" w:hint="eastAsia"/>
          <w:color w:val="000000" w:themeColor="text1"/>
          <w:szCs w:val="21"/>
        </w:rPr>
        <w:br w:type="column"/>
      </w:r>
      <w:bookmarkStart w:id="83" w:name="_Toc332373560"/>
      <w:bookmarkStart w:id="84" w:name="_Toc103006343"/>
      <w:r w:rsidRPr="00F70FB9" w:rsidR="00DA442D">
        <w:rPr>
          <w:rFonts w:asciiTheme="minorEastAsia" w:eastAsiaTheme="minorEastAsia" w:hAnsiTheme="minorEastAsia" w:hint="eastAsia"/>
          <w:color w:val="000000" w:themeColor="text1"/>
          <w:sz w:val="30"/>
        </w:rPr>
        <w:t>十六</w:t>
      </w:r>
      <w:r w:rsidRPr="00F70FB9">
        <w:rPr>
          <w:rFonts w:asciiTheme="minorEastAsia" w:eastAsiaTheme="minorEastAsia" w:hAnsiTheme="minorEastAsia" w:hint="eastAsia"/>
          <w:color w:val="000000" w:themeColor="text1"/>
          <w:sz w:val="30"/>
        </w:rPr>
        <w:t>、基金的费用与税收</w:t>
      </w:r>
      <w:bookmarkEnd w:id="84"/>
    </w:p>
    <w:p w:rsidR="00BA4B87" w:rsidRPr="00F70FB9">
      <w:pPr>
        <w:spacing w:line="360" w:lineRule="auto"/>
        <w:ind w:firstLine="420" w:firstLineChars="200"/>
        <w:rPr>
          <w:rStyle w:val="da"/>
          <w:rFonts w:asciiTheme="minorEastAsia" w:eastAsiaTheme="minorEastAsia" w:hAnsiTheme="minorEastAsia"/>
          <w:color w:val="000000" w:themeColor="text1"/>
        </w:rPr>
      </w:pPr>
      <w:bookmarkStart w:id="85" w:name="_Toc332373561"/>
      <w:bookmarkEnd w:id="83"/>
      <w:r w:rsidRPr="00F70FB9">
        <w:rPr>
          <w:rStyle w:val="da"/>
          <w:rFonts w:asciiTheme="minorEastAsia" w:eastAsiaTheme="minorEastAsia" w:hAnsiTheme="minorEastAsia" w:hint="eastAsia"/>
          <w:color w:val="000000" w:themeColor="text1"/>
        </w:rPr>
        <w:t>（一）基金费用的种类</w:t>
      </w:r>
    </w:p>
    <w:bookmarkEnd w:id="85"/>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1、基金管理人的管理费；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2、基金托管人的托管费；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3、销售服务费；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4、《基金合同》生效后与基金相关的信息披露费用；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5、《基金合同》生效后与基金相关的会计师费、律师费、诉讼费和仲裁费；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6、基金份额持有人大会费用；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7、基金的证券交易费用；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8、基金的银行汇划费用；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9、证券账户开户费用、银行账户维护费用；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10、按照国家有关规定和《基金合同》约定，可以在基金财产中列支的其他费用。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（二）基金费用计提方法、计提标准和支付方式</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1、基金管理人的管理费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本基金的管理费按前一日基金资产净值的0.60%年费率计提。管理费的计算方法如下：</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H＝E×0.60%÷当年天数</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H为每日应计提的基金管理费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E为前一日的基金资产净值</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日或不可抗力致使无法按时支付等，支付日期顺延。</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2、基金托管人的托管费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本基金的托管费按前一日基金资产净值的0.10%的年费率计提。托管费的计算方法如下：</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H＝E×0.10%÷当年天数</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H为每日应计提的基金托管费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E为前一日的基金资产净值</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托管费每日计提，逐日累计至每月月末，按月支付。经基金管理人与基金托管人双方核对无误后，基金托管人按照与基金管理人协商一致的方式于次月首日起5个工作日内从基金财产中一次性支付给基金托管人。若遇法定节假日、公休日或不可抗力致使无法按时支付等，支付日期顺延。</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3、销售服务费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hint="eastAsia"/>
          <w:color w:val="000000" w:themeColor="text1"/>
          <w:szCs w:val="21"/>
        </w:rPr>
        <w:t>基金份额不收取销售服务费，</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基金份额的销售服务费年费率为0.20%，按前一日</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基金资产净值的0.20%年费率计提。</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销售服务费的计算方法如下：</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H＝E×0.20%÷当年天数</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H为</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基金份额每日应计提的销售服务费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E为</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基金份额前一日基金资产净值</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销售服务费每日计提，逐日累计至每月月末，按月支付。经基金管理人与基金托管人双方核对无误后，基金托管人按照与基金管理人协商一致的方式于次月首日起5个工作日内从基金财产中一次性支付。若遇法定节假日、公休日或不可抗力致使无法按时支付等，支付日期顺延。</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上述“（一）基金费用的种类中第4－10项费用”，根据有关法规及相应协议规定，按费用实际支出金额列入当期费用，由基金托管人从基金财产中支付。</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（三）不列入基金费用的项目</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下列费用不列入基金费用：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2、基金管理人和基金托管人处理与基金运作无关的事项发生的费用；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3、《基金合同》生效前的相关费用；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4、其他根据相关法律法规及中国证监会的有关规定不得列入基金费用的项目。</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（四）费用调整</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基金管理人和基金托管人协商一致后，可按照基金发展情况，并根据法律法规规定和基金合同约定调低销售服务费率等相关费率。</w:t>
      </w:r>
    </w:p>
    <w:p w:rsidR="00C665F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（五）与</w:t>
      </w:r>
      <w:r w:rsidRPr="00F70FB9">
        <w:rPr>
          <w:rFonts w:asciiTheme="minorEastAsia" w:eastAsiaTheme="minorEastAsia" w:hAnsiTheme="minorEastAsia"/>
          <w:color w:val="000000" w:themeColor="text1"/>
          <w:szCs w:val="21"/>
        </w:rPr>
        <w:t>基金销售有关的费用</w:t>
      </w:r>
    </w:p>
    <w:p w:rsidR="00C665F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1</w:t>
      </w:r>
      <w:r w:rsidRPr="00F70FB9">
        <w:rPr>
          <w:rFonts w:asciiTheme="minorEastAsia" w:eastAsiaTheme="minorEastAsia" w:hAnsiTheme="minorEastAsia" w:hint="eastAsia"/>
          <w:color w:val="000000" w:themeColor="text1"/>
          <w:szCs w:val="21"/>
        </w:rPr>
        <w:t>、本基金申购费、赎回费的费率水平、计算公式、收取方式和使用方式请详见本招募</w:t>
      </w:r>
      <w:r w:rsidRPr="00F70FB9">
        <w:rPr>
          <w:rFonts w:asciiTheme="minorEastAsia" w:eastAsiaTheme="minorEastAsia" w:hAnsiTheme="minorEastAsia" w:hint="eastAsia"/>
          <w:color w:val="000000" w:themeColor="text1"/>
          <w:szCs w:val="21"/>
        </w:rPr>
        <w:t>说明书“八、基金份额的申购、赎回”中的“</w:t>
      </w:r>
      <w:r w:rsidRPr="00F70FB9">
        <w:rPr>
          <w:rStyle w:val="da"/>
          <w:rFonts w:asciiTheme="minorEastAsia" w:eastAsiaTheme="minorEastAsia" w:hAnsiTheme="minorEastAsia" w:hint="eastAsia"/>
          <w:color w:val="000000" w:themeColor="text1"/>
          <w:szCs w:val="21"/>
        </w:rPr>
        <w:t>（七）基金的申购费和赎回费</w:t>
      </w:r>
      <w:r w:rsidRPr="00F70FB9">
        <w:rPr>
          <w:rFonts w:asciiTheme="minorEastAsia" w:eastAsiaTheme="minorEastAsia" w:hAnsiTheme="minorEastAsia" w:hint="eastAsia"/>
          <w:color w:val="000000" w:themeColor="text1"/>
          <w:szCs w:val="21"/>
        </w:rPr>
        <w:t>”与“</w:t>
      </w:r>
      <w:r w:rsidRPr="00F70FB9">
        <w:rPr>
          <w:rStyle w:val="da"/>
          <w:rFonts w:asciiTheme="minorEastAsia" w:eastAsiaTheme="minorEastAsia" w:hAnsiTheme="minorEastAsia" w:hint="eastAsia"/>
          <w:color w:val="000000" w:themeColor="text1"/>
        </w:rPr>
        <w:t>（八）申购和赎回的数额和价格</w:t>
      </w:r>
      <w:r w:rsidRPr="00F70FB9">
        <w:rPr>
          <w:rFonts w:asciiTheme="minorEastAsia" w:eastAsiaTheme="minorEastAsia" w:hAnsiTheme="minorEastAsia" w:hint="eastAsia"/>
          <w:color w:val="000000" w:themeColor="text1"/>
          <w:szCs w:val="21"/>
        </w:rPr>
        <w:t>”中的相关规定。</w:t>
      </w:r>
    </w:p>
    <w:p w:rsidR="00C665F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2</w:t>
      </w:r>
      <w:r w:rsidRPr="00F70FB9">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F70FB9" w:rsidR="0087135F">
        <w:rPr>
          <w:rFonts w:asciiTheme="minorEastAsia" w:eastAsiaTheme="minorEastAsia" w:hAnsiTheme="minorEastAsia" w:hint="eastAsia"/>
          <w:color w:val="000000" w:themeColor="text1"/>
          <w:szCs w:val="21"/>
        </w:rPr>
        <w:t>各基金的</w:t>
      </w:r>
      <w:r w:rsidRPr="00F70FB9">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C665F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3</w:t>
      </w:r>
      <w:r w:rsidRPr="00F70FB9">
        <w:rPr>
          <w:rFonts w:asciiTheme="minorEastAsia" w:eastAsiaTheme="minorEastAsia" w:hAnsiTheme="minorEastAsia" w:hint="eastAsia"/>
          <w:color w:val="000000" w:themeColor="text1"/>
          <w:szCs w:val="21"/>
        </w:rPr>
        <w:t>、投资者通过本公司网上交易系统（</w:t>
      </w:r>
      <w:r w:rsidRPr="00F70FB9">
        <w:rPr>
          <w:rFonts w:asciiTheme="minorEastAsia" w:eastAsiaTheme="minorEastAsia" w:hAnsiTheme="minorEastAsia"/>
          <w:color w:val="000000" w:themeColor="text1"/>
          <w:szCs w:val="21"/>
        </w:rPr>
        <w:t>www.efunds.com.cn</w:t>
      </w:r>
      <w:r w:rsidRPr="00F70FB9">
        <w:rPr>
          <w:rFonts w:asciiTheme="minorEastAsia" w:eastAsiaTheme="minorEastAsia" w:hAnsiTheme="minorEastAsia" w:hint="eastAsia"/>
          <w:color w:val="000000" w:themeColor="text1"/>
          <w:szCs w:val="21"/>
        </w:rPr>
        <w:t>）进行申购、赎回和转换的交易费率，请具体参照我公司网站上的相关说明。</w:t>
      </w:r>
    </w:p>
    <w:p w:rsidR="00C665F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szCs w:val="21"/>
        </w:rPr>
        <w:t>4</w:t>
      </w:r>
      <w:r w:rsidRPr="00F70FB9">
        <w:rPr>
          <w:rFonts w:asciiTheme="minorEastAsia" w:eastAsiaTheme="minorEastAsia" w:hAnsiTheme="minorEastAsia" w:hint="eastAsia"/>
          <w:color w:val="000000" w:themeColor="text1"/>
          <w:szCs w:val="21"/>
        </w:rPr>
        <w:t>、基金管理人可以在基金合同规定的范围内调整上述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rsidR="00C665FD"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w:t>
      </w:r>
      <w:r w:rsidRPr="00F70FB9">
        <w:rPr>
          <w:rFonts w:asciiTheme="minorEastAsia" w:eastAsiaTheme="minorEastAsia" w:hAnsiTheme="minorEastAsia"/>
          <w:color w:val="000000" w:themeColor="text1"/>
          <w:szCs w:val="21"/>
        </w:rPr>
        <w:t>调低基金销售费率，或针对特定渠道、特定投资群体开展有差别的</w:t>
      </w:r>
      <w:r w:rsidRPr="00F70FB9">
        <w:rPr>
          <w:rFonts w:asciiTheme="minorEastAsia" w:eastAsiaTheme="minorEastAsia" w:hAnsiTheme="minorEastAsia" w:hint="eastAsia"/>
          <w:color w:val="000000" w:themeColor="text1"/>
          <w:szCs w:val="21"/>
        </w:rPr>
        <w:t>优惠活动。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sidR="00C665FD">
        <w:rPr>
          <w:rFonts w:asciiTheme="minorEastAsia" w:eastAsiaTheme="minorEastAsia" w:hAnsiTheme="minorEastAsia" w:hint="eastAsia"/>
          <w:color w:val="000000" w:themeColor="text1"/>
          <w:szCs w:val="21"/>
        </w:rPr>
        <w:t>六</w:t>
      </w:r>
      <w:r w:rsidRPr="00F70FB9">
        <w:rPr>
          <w:rFonts w:asciiTheme="minorEastAsia" w:eastAsiaTheme="minorEastAsia" w:hAnsiTheme="minorEastAsia" w:hint="eastAsia"/>
          <w:color w:val="000000" w:themeColor="text1"/>
          <w:szCs w:val="21"/>
        </w:rPr>
        <w:t>）基金税收</w:t>
      </w:r>
    </w:p>
    <w:p w:rsidR="00E438A9"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本基金运作过程中涉及的各纳税主体，其纳税义务按国家税收法律、法规执行。</w:t>
      </w:r>
    </w:p>
    <w:p w:rsidR="00BA4B87" w:rsidRPr="00F70FB9">
      <w:pPr>
        <w:pStyle w:val="Heading1"/>
        <w:spacing w:before="317" w:after="317" w:line="360" w:lineRule="auto"/>
        <w:ind w:firstLine="420"/>
        <w:rPr>
          <w:rFonts w:asciiTheme="minorEastAsia" w:eastAsiaTheme="minorEastAsia" w:hAnsiTheme="minorEastAsia"/>
          <w:bCs/>
          <w:color w:val="000000" w:themeColor="text1"/>
        </w:rPr>
      </w:pPr>
      <w:r w:rsidRPr="00F70FB9">
        <w:rPr>
          <w:rFonts w:asciiTheme="minorEastAsia" w:eastAsiaTheme="minorEastAsia" w:hAnsiTheme="minorEastAsia" w:hint="eastAsia"/>
          <w:color w:val="000000" w:themeColor="text1"/>
          <w:sz w:val="21"/>
          <w:szCs w:val="21"/>
        </w:rPr>
        <w:br w:type="page"/>
      </w:r>
      <w:bookmarkStart w:id="86" w:name="_Toc332373566"/>
      <w:bookmarkStart w:id="87" w:name="_Toc103006344"/>
      <w:r w:rsidRPr="00F70FB9" w:rsidR="00DA442D">
        <w:rPr>
          <w:rFonts w:asciiTheme="minorEastAsia" w:eastAsiaTheme="minorEastAsia" w:hAnsiTheme="minorEastAsia" w:hint="eastAsia"/>
          <w:color w:val="000000" w:themeColor="text1"/>
          <w:sz w:val="30"/>
        </w:rPr>
        <w:t>十七</w:t>
      </w:r>
      <w:r w:rsidRPr="00F70FB9">
        <w:rPr>
          <w:rFonts w:asciiTheme="minorEastAsia" w:eastAsiaTheme="minorEastAsia" w:hAnsiTheme="minorEastAsia" w:hint="eastAsia"/>
          <w:color w:val="000000" w:themeColor="text1"/>
          <w:sz w:val="30"/>
        </w:rPr>
        <w:t>、基金的会计与审计</w:t>
      </w:r>
      <w:bookmarkEnd w:id="87"/>
    </w:p>
    <w:bookmarkEnd w:id="86"/>
    <w:p w:rsidR="000E6D1C"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一</w:t>
      </w: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基金会计政策</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1、基金管理人为本基金的基金会计责任方；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2、基金的会计年度为公历年度的1月1日至12月31日；基金首次募集的会计年度按如下原则：如果《基金合同》生效少于2个月，可以并入下一个会计年度；</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3、基金核算以人民币为记账本位币，以人民币元为记账单位；</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4、会计制度执行国家有关会计制度；</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5、本基金独立建账、独立核算；</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6、基金管理人及基金托管人各自保留完整的会计账目、凭证并进行日常的会计核算，按照有关规定编制基金会计报表；</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7、基金托管人每月与基金管理人就基金的会计核算、报表编制等进行核对确认。</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（二）基金的年度审计</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1、基金管理人聘请与基金管理人、基金托管人相互独立的具有证券</w:t>
      </w:r>
      <w:r w:rsidRPr="00F70FB9" w:rsidR="00EB5603">
        <w:rPr>
          <w:rFonts w:asciiTheme="minorEastAsia" w:eastAsiaTheme="minorEastAsia" w:hAnsiTheme="minorEastAsia" w:hint="eastAsia"/>
          <w:bCs/>
          <w:color w:val="000000" w:themeColor="text1"/>
          <w:szCs w:val="21"/>
        </w:rPr>
        <w:t>、期货相关业务</w:t>
      </w:r>
      <w:r w:rsidRPr="00F70FB9">
        <w:rPr>
          <w:rFonts w:asciiTheme="minorEastAsia" w:eastAsiaTheme="minorEastAsia" w:hAnsiTheme="minorEastAsia" w:hint="eastAsia"/>
          <w:color w:val="000000" w:themeColor="text1"/>
          <w:szCs w:val="21"/>
        </w:rPr>
        <w:t>资格的会计师事务所及其注册会计师对本基金的年度财务报表进行审计。</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2、会计师事务所更换经办注册会计师，应事先征得基金管理人同意。</w:t>
      </w:r>
    </w:p>
    <w:p w:rsidR="00BA4B87" w:rsidRPr="00F70FB9" w:rsidP="007025AF">
      <w:pPr>
        <w:spacing w:line="400" w:lineRule="exact"/>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szCs w:val="21"/>
        </w:rPr>
        <w:t>3、基金管理人认为有充足理由更换会计师事务所，须通报基金托管人。更换会计师事务所需在2日内在指定媒介公告。</w:t>
      </w:r>
    </w:p>
    <w:p w:rsidR="00BA4B87" w:rsidRPr="00F70FB9" w:rsidP="001D2FA9">
      <w:pPr>
        <w:pStyle w:val="Heading1"/>
        <w:spacing w:before="317" w:after="317" w:line="360" w:lineRule="auto"/>
        <w:ind w:firstLine="6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sz w:val="30"/>
        </w:rPr>
        <w:br w:type="column"/>
      </w:r>
      <w:bookmarkStart w:id="88" w:name="_Toc332373569"/>
      <w:bookmarkStart w:id="89" w:name="_Toc103006345"/>
      <w:r w:rsidRPr="00F70FB9" w:rsidR="00DA442D">
        <w:rPr>
          <w:rFonts w:asciiTheme="minorEastAsia" w:eastAsiaTheme="minorEastAsia" w:hAnsiTheme="minorEastAsia" w:hint="eastAsia"/>
          <w:color w:val="000000" w:themeColor="text1"/>
          <w:sz w:val="30"/>
        </w:rPr>
        <w:t>十八</w:t>
      </w:r>
      <w:r w:rsidRPr="00F70FB9">
        <w:rPr>
          <w:rFonts w:asciiTheme="minorEastAsia" w:eastAsiaTheme="minorEastAsia" w:hAnsiTheme="minorEastAsia" w:hint="eastAsia"/>
          <w:color w:val="000000" w:themeColor="text1"/>
          <w:sz w:val="30"/>
        </w:rPr>
        <w:t>、基金的信息披露</w:t>
      </w:r>
      <w:bookmarkEnd w:id="89"/>
    </w:p>
    <w:bookmarkEnd w:id="88"/>
    <w:p w:rsidR="00660F95" w:rsidRPr="00F70FB9" w:rsidP="001D2FA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w:t>
      </w:r>
      <w:r w:rsidRPr="00F70FB9">
        <w:rPr>
          <w:rFonts w:asciiTheme="minorEastAsia" w:eastAsiaTheme="minorEastAsia" w:hAnsiTheme="minorEastAsia"/>
          <w:color w:val="000000" w:themeColor="text1"/>
          <w:szCs w:val="21"/>
        </w:rPr>
        <w:t>一</w:t>
      </w:r>
      <w:r w:rsidRPr="00F70FB9">
        <w:rPr>
          <w:rFonts w:asciiTheme="minorEastAsia" w:eastAsiaTheme="minorEastAsia" w:hAnsiTheme="minorEastAsia" w:hint="eastAsia"/>
          <w:color w:val="000000" w:themeColor="text1"/>
          <w:szCs w:val="21"/>
        </w:rPr>
        <w:t>）本基金的信息披露应符合《基金法》、《运作办法》、《信息披露办法》、《基金合同》及其他有关规定。相关法律法规关于信息披露的披露方式、登载媒介、报备方式等规定发生变化时，本基金从其最新规定。</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（二）信息披露义务人</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w:t>
      </w:r>
      <w:r w:rsidRPr="00F70FB9" w:rsidR="00103B6D">
        <w:rPr>
          <w:rFonts w:asciiTheme="minorEastAsia" w:eastAsiaTheme="minorEastAsia" w:hAnsiTheme="minorEastAsia" w:hint="eastAsia"/>
          <w:color w:val="000000" w:themeColor="text1"/>
          <w:szCs w:val="21"/>
        </w:rPr>
        <w:t>、行政</w:t>
      </w:r>
      <w:r w:rsidRPr="00F70FB9">
        <w:rPr>
          <w:rFonts w:asciiTheme="minorEastAsia" w:eastAsiaTheme="minorEastAsia" w:hAnsiTheme="minorEastAsia" w:hint="eastAsia"/>
          <w:color w:val="000000" w:themeColor="text1"/>
          <w:szCs w:val="21"/>
        </w:rPr>
        <w:t>法规和中国证监会规定的自然人、法人和</w:t>
      </w:r>
      <w:r w:rsidRPr="00F70FB9" w:rsidR="00103B6D">
        <w:rPr>
          <w:rFonts w:asciiTheme="minorEastAsia" w:eastAsiaTheme="minorEastAsia" w:hAnsiTheme="minorEastAsia" w:hint="eastAsia"/>
          <w:color w:val="000000" w:themeColor="text1"/>
          <w:szCs w:val="21"/>
        </w:rPr>
        <w:t>非法人</w:t>
      </w:r>
      <w:r w:rsidRPr="00F70FB9">
        <w:rPr>
          <w:rFonts w:asciiTheme="minorEastAsia" w:eastAsiaTheme="minorEastAsia" w:hAnsiTheme="minorEastAsia" w:hint="eastAsia"/>
          <w:color w:val="000000" w:themeColor="text1"/>
          <w:szCs w:val="21"/>
        </w:rPr>
        <w:t>组织。</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本基金信息披露义务人</w:t>
      </w:r>
      <w:r w:rsidRPr="00F70FB9" w:rsidR="00103B6D">
        <w:rPr>
          <w:rFonts w:asciiTheme="minorEastAsia" w:eastAsiaTheme="minorEastAsia" w:hAnsiTheme="minorEastAsia" w:hint="eastAsia"/>
          <w:bCs/>
          <w:color w:val="000000" w:themeColor="text1"/>
          <w:szCs w:val="21"/>
        </w:rPr>
        <w:t>以保护基金份额持有人利益为根本出发点，</w:t>
      </w:r>
      <w:r w:rsidRPr="00F70FB9">
        <w:rPr>
          <w:rFonts w:asciiTheme="minorEastAsia" w:eastAsiaTheme="minorEastAsia" w:hAnsiTheme="minorEastAsia" w:hint="eastAsia"/>
          <w:color w:val="000000" w:themeColor="text1"/>
          <w:szCs w:val="21"/>
        </w:rPr>
        <w:t>按照法律法规和中国证监会的规定披露基金信息，并保证所披露信息的真实性、准确性</w:t>
      </w:r>
      <w:r w:rsidRPr="00F70FB9" w:rsidR="00103B6D">
        <w:rPr>
          <w:rFonts w:asciiTheme="minorEastAsia" w:eastAsiaTheme="minorEastAsia" w:hAnsiTheme="minorEastAsia" w:hint="eastAsia"/>
          <w:color w:val="000000" w:themeColor="text1"/>
          <w:szCs w:val="21"/>
        </w:rPr>
        <w:t>、</w:t>
      </w:r>
      <w:r w:rsidRPr="00F70FB9">
        <w:rPr>
          <w:rFonts w:asciiTheme="minorEastAsia" w:eastAsiaTheme="minorEastAsia" w:hAnsiTheme="minorEastAsia" w:hint="eastAsia"/>
          <w:color w:val="000000" w:themeColor="text1"/>
          <w:szCs w:val="21"/>
        </w:rPr>
        <w:t>完整性</w:t>
      </w:r>
      <w:r w:rsidRPr="00F70FB9" w:rsidR="00103B6D">
        <w:rPr>
          <w:rFonts w:asciiTheme="minorEastAsia" w:eastAsiaTheme="minorEastAsia" w:hAnsiTheme="minorEastAsia" w:hint="eastAsia"/>
          <w:bCs/>
          <w:color w:val="000000" w:themeColor="text1"/>
          <w:szCs w:val="21"/>
        </w:rPr>
        <w:t>、及时性、简明性和易得性</w:t>
      </w:r>
      <w:r w:rsidRPr="00F70FB9">
        <w:rPr>
          <w:rFonts w:asciiTheme="minorEastAsia" w:eastAsiaTheme="minorEastAsia" w:hAnsiTheme="minorEastAsia" w:hint="eastAsia"/>
          <w:color w:val="000000" w:themeColor="text1"/>
          <w:szCs w:val="21"/>
        </w:rPr>
        <w:t>。</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（三）本基金信息披露义务人承诺公开披露的基金信息，不得有下列行为：</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虚假记载、误导性陈述或者重大遗漏；</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（2）对证券投资业绩进行预测；</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（3）违规承诺收益或者承担损失；</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（4）诋毁其他基金管理人、基金托管人或者基金销售机构；</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（5）登载任何自然人、法人</w:t>
      </w:r>
      <w:r w:rsidRPr="00F70FB9" w:rsidR="00103B6D">
        <w:rPr>
          <w:rFonts w:asciiTheme="minorEastAsia" w:eastAsiaTheme="minorEastAsia" w:hAnsiTheme="minorEastAsia" w:hint="eastAsia"/>
          <w:color w:val="000000" w:themeColor="text1"/>
          <w:szCs w:val="21"/>
        </w:rPr>
        <w:t>和非法人</w:t>
      </w:r>
      <w:r w:rsidRPr="00F70FB9">
        <w:rPr>
          <w:rFonts w:asciiTheme="minorEastAsia" w:eastAsiaTheme="minorEastAsia" w:hAnsiTheme="minorEastAsia" w:hint="eastAsia"/>
          <w:color w:val="000000" w:themeColor="text1"/>
          <w:szCs w:val="21"/>
        </w:rPr>
        <w:t>组织的祝贺性、恭维性或推荐性的文字；</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（6）中国证监会禁止的其他行为。</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（四</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本基金公开披露的信息应采用中文文本。如同时采用外文文本的，基金信息披露义务人应保证</w:t>
      </w:r>
      <w:r w:rsidRPr="00F70FB9" w:rsidR="00615A26">
        <w:rPr>
          <w:rFonts w:asciiTheme="minorEastAsia" w:eastAsiaTheme="minorEastAsia" w:hAnsiTheme="minorEastAsia" w:hint="eastAsia"/>
          <w:color w:val="000000" w:themeColor="text1"/>
          <w:szCs w:val="21"/>
        </w:rPr>
        <w:t>不同</w:t>
      </w:r>
      <w:r w:rsidRPr="00F70FB9">
        <w:rPr>
          <w:rFonts w:asciiTheme="minorEastAsia" w:eastAsiaTheme="minorEastAsia" w:hAnsiTheme="minorEastAsia" w:hint="eastAsia"/>
          <w:color w:val="000000" w:themeColor="text1"/>
          <w:szCs w:val="21"/>
        </w:rPr>
        <w:t>文本的内容一致。</w:t>
      </w:r>
      <w:r w:rsidRPr="00F70FB9" w:rsidR="00615A26">
        <w:rPr>
          <w:rFonts w:asciiTheme="minorEastAsia" w:eastAsiaTheme="minorEastAsia" w:hAnsiTheme="minorEastAsia" w:hint="eastAsia"/>
          <w:color w:val="000000" w:themeColor="text1"/>
          <w:szCs w:val="21"/>
        </w:rPr>
        <w:t>不同</w:t>
      </w:r>
      <w:r w:rsidRPr="00F70FB9">
        <w:rPr>
          <w:rFonts w:asciiTheme="minorEastAsia" w:eastAsiaTheme="minorEastAsia" w:hAnsiTheme="minorEastAsia" w:hint="eastAsia"/>
          <w:color w:val="000000" w:themeColor="text1"/>
          <w:szCs w:val="21"/>
        </w:rPr>
        <w:t>文本</w:t>
      </w:r>
      <w:r w:rsidRPr="00F70FB9" w:rsidR="00615A26">
        <w:rPr>
          <w:rFonts w:asciiTheme="minorEastAsia" w:eastAsiaTheme="minorEastAsia" w:hAnsiTheme="minorEastAsia" w:hint="eastAsia"/>
          <w:color w:val="000000" w:themeColor="text1"/>
          <w:szCs w:val="21"/>
        </w:rPr>
        <w:t>之间</w:t>
      </w:r>
      <w:r w:rsidRPr="00F70FB9">
        <w:rPr>
          <w:rFonts w:asciiTheme="minorEastAsia" w:eastAsiaTheme="minorEastAsia" w:hAnsiTheme="minorEastAsia" w:hint="eastAsia"/>
          <w:color w:val="000000" w:themeColor="text1"/>
          <w:szCs w:val="21"/>
        </w:rPr>
        <w:t>发生歧义的，以中文文本为准。</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本基金公开披露的信息采用阿拉伯数字；除特别说明外，货币单位为人民币元。</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（五）公开披露的基金信息</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公开披露的基金信息包括：</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1、基金招募说明书、《基金合同》、基金托管协议</w:t>
      </w:r>
      <w:r w:rsidRPr="00F70FB9" w:rsidR="00615A26">
        <w:rPr>
          <w:rFonts w:asciiTheme="minorEastAsia" w:eastAsiaTheme="minorEastAsia" w:hAnsiTheme="minorEastAsia" w:hint="eastAsia"/>
          <w:bCs/>
          <w:color w:val="000000" w:themeColor="text1"/>
          <w:szCs w:val="21"/>
        </w:rPr>
        <w:t>、基金产品资料概要</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（1）《基金合同》是界定《基金合同》当事人的各项权利、义务关系，明确基金份额持</w:t>
      </w:r>
      <w:r w:rsidRPr="00F70FB9">
        <w:rPr>
          <w:rFonts w:asciiTheme="minorEastAsia" w:eastAsiaTheme="minorEastAsia" w:hAnsiTheme="minorEastAsia" w:hint="eastAsia"/>
          <w:color w:val="000000" w:themeColor="text1"/>
          <w:szCs w:val="21"/>
        </w:rPr>
        <w:t>有人大会召开的规则及具体程序，说明基金产品的特性等涉及基金投资者重大利益的事项的法律文件。</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w:t>
      </w:r>
      <w:r w:rsidRPr="00F70FB9" w:rsidR="004C15CA">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基金托管协议是界定基金托管人和基金管理人在基金财产保管及基金运作监督等活动中的权利、义务关系的法律文件。</w:t>
      </w:r>
    </w:p>
    <w:p w:rsidR="004C15CA" w:rsidRPr="00F70FB9">
      <w:pPr>
        <w:snapToGrid w:val="0"/>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基金募集申请经中国证监会注册后，基金管理人在基金份额发售的3日前，将基金招募说明书、《基金合同》摘要登载在指定媒介上；基金管理人、基金托管人应当将《基金合同》、基金托管协议登载在网站上。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2、基金份额发售公告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基金管理人应当就基金份额发售的具体事宜编制基金份额发售公告，并在披露招募说明书的当日登载于指定媒介上。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3、《基金合同》生效公告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基金管理人应当在收到中国证监会确认文件的次日在指定媒介上登载《基金合同》生效公告。</w:t>
      </w:r>
    </w:p>
    <w:p w:rsidR="00596271"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color w:val="000000" w:themeColor="text1"/>
          <w:szCs w:val="21"/>
        </w:rPr>
        <w:t>4、</w:t>
      </w:r>
      <w:r w:rsidRPr="00F70FB9">
        <w:rPr>
          <w:rFonts w:asciiTheme="minorEastAsia" w:eastAsiaTheme="minorEastAsia" w:hAnsiTheme="minorEastAsia"/>
          <w:bCs/>
          <w:color w:val="000000" w:themeColor="text1"/>
          <w:szCs w:val="21"/>
        </w:rPr>
        <w:t>基金净值</w:t>
      </w:r>
      <w:r w:rsidRPr="00F70FB9">
        <w:rPr>
          <w:rFonts w:asciiTheme="minorEastAsia" w:eastAsiaTheme="minorEastAsia" w:hAnsiTheme="minorEastAsia" w:hint="eastAsia"/>
          <w:bCs/>
          <w:color w:val="000000" w:themeColor="text1"/>
          <w:szCs w:val="21"/>
        </w:rPr>
        <w:t>信息</w:t>
      </w:r>
    </w:p>
    <w:p w:rsidR="00596271"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《基金合同》生效后，在开始办理基金份额申购或者赎回前，基金管理人应当至少每周</w:t>
      </w:r>
      <w:r w:rsidRPr="00F70FB9">
        <w:rPr>
          <w:rFonts w:asciiTheme="minorEastAsia" w:eastAsiaTheme="minorEastAsia" w:hAnsiTheme="minorEastAsia" w:hint="eastAsia"/>
          <w:bCs/>
          <w:color w:val="000000" w:themeColor="text1"/>
          <w:szCs w:val="21"/>
        </w:rPr>
        <w:t>在指定网站披露一次基金份额净值和基金份额累计净值</w:t>
      </w:r>
      <w:r w:rsidRPr="00F70FB9">
        <w:rPr>
          <w:rFonts w:asciiTheme="minorEastAsia" w:eastAsiaTheme="minorEastAsia" w:hAnsiTheme="minorEastAsia"/>
          <w:bCs/>
          <w:color w:val="000000" w:themeColor="text1"/>
          <w:szCs w:val="21"/>
        </w:rPr>
        <w:t>。</w:t>
      </w:r>
    </w:p>
    <w:p w:rsidR="00596271"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在开始办理基金份额申购或者赎回后，基金管理人应当在</w:t>
      </w:r>
      <w:r w:rsidRPr="00F70FB9">
        <w:rPr>
          <w:rFonts w:asciiTheme="minorEastAsia" w:eastAsiaTheme="minorEastAsia" w:hAnsiTheme="minorEastAsia" w:hint="eastAsia"/>
          <w:bCs/>
          <w:color w:val="000000" w:themeColor="text1"/>
          <w:szCs w:val="21"/>
        </w:rPr>
        <w:t>不晚于</w:t>
      </w:r>
      <w:r w:rsidRPr="00F70FB9">
        <w:rPr>
          <w:rFonts w:asciiTheme="minorEastAsia" w:eastAsiaTheme="minorEastAsia" w:hAnsiTheme="minorEastAsia"/>
          <w:bCs/>
          <w:color w:val="000000" w:themeColor="text1"/>
          <w:szCs w:val="21"/>
        </w:rPr>
        <w:t>每个开放日的次日，通过指定网站、基金</w:t>
      </w:r>
      <w:r w:rsidRPr="00F70FB9">
        <w:rPr>
          <w:rFonts w:asciiTheme="minorEastAsia" w:eastAsiaTheme="minorEastAsia" w:hAnsiTheme="minorEastAsia" w:hint="eastAsia"/>
          <w:bCs/>
          <w:color w:val="000000" w:themeColor="text1"/>
          <w:szCs w:val="21"/>
        </w:rPr>
        <w:t>销售机构网站或者营业网点</w:t>
      </w:r>
      <w:r w:rsidRPr="00F70FB9">
        <w:rPr>
          <w:rFonts w:asciiTheme="minorEastAsia" w:eastAsiaTheme="minorEastAsia" w:hAnsiTheme="minorEastAsia"/>
          <w:bCs/>
          <w:color w:val="000000" w:themeColor="text1"/>
          <w:szCs w:val="21"/>
        </w:rPr>
        <w:t>，披露开放日的基金份额净值和基金份额累计净值。</w:t>
      </w:r>
    </w:p>
    <w:p w:rsidR="00596271"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基金管理人应当</w:t>
      </w:r>
      <w:r w:rsidRPr="00F70FB9">
        <w:rPr>
          <w:rFonts w:asciiTheme="minorEastAsia" w:eastAsiaTheme="minorEastAsia" w:hAnsiTheme="minorEastAsia" w:hint="eastAsia"/>
          <w:bCs/>
          <w:color w:val="000000" w:themeColor="text1"/>
          <w:szCs w:val="21"/>
        </w:rPr>
        <w:t>在不晚于半年度和年度最后一日的次日，在指定网站披露半年度和年度最后一日的基金份额净值和基金份额累计净值</w:t>
      </w:r>
      <w:r w:rsidRPr="00F70FB9">
        <w:rPr>
          <w:rFonts w:asciiTheme="minorEastAsia" w:eastAsiaTheme="minorEastAsia" w:hAnsiTheme="minorEastAsia"/>
          <w:bCs/>
          <w:color w:val="000000" w:themeColor="text1"/>
          <w:szCs w:val="21"/>
        </w:rPr>
        <w:t>。</w:t>
      </w:r>
    </w:p>
    <w:p w:rsidR="006E39F1"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在任何一个工作日</w:t>
      </w:r>
      <w:r w:rsidRPr="00F70FB9" w:rsidR="00B243C6">
        <w:rPr>
          <w:rFonts w:asciiTheme="minorEastAsia" w:eastAsiaTheme="minorEastAsia" w:hAnsiTheme="minorEastAsia" w:hint="eastAsia"/>
          <w:color w:val="000000" w:themeColor="text1"/>
          <w:szCs w:val="21"/>
        </w:rPr>
        <w:t>A类</w:t>
      </w:r>
      <w:r w:rsidRPr="00F70FB9">
        <w:rPr>
          <w:rFonts w:asciiTheme="minorEastAsia" w:eastAsiaTheme="minorEastAsia" w:hAnsiTheme="minorEastAsia" w:hint="eastAsia"/>
          <w:color w:val="000000" w:themeColor="text1"/>
          <w:szCs w:val="21"/>
        </w:rPr>
        <w:t>或</w:t>
      </w:r>
      <w:r w:rsidRPr="00F70FB9" w:rsidR="00B243C6">
        <w:rPr>
          <w:rFonts w:asciiTheme="minorEastAsia" w:eastAsiaTheme="minorEastAsia" w:hAnsiTheme="minorEastAsia" w:hint="eastAsia"/>
          <w:color w:val="000000" w:themeColor="text1"/>
          <w:szCs w:val="21"/>
        </w:rPr>
        <w:t>C类</w:t>
      </w:r>
      <w:r w:rsidRPr="00F70FB9">
        <w:rPr>
          <w:rFonts w:asciiTheme="minorEastAsia" w:eastAsiaTheme="minorEastAsia" w:hAnsiTheme="minorEastAsia" w:hint="eastAsia"/>
          <w:color w:val="000000" w:themeColor="text1"/>
          <w:szCs w:val="21"/>
        </w:rPr>
        <w:t>某一类基金份额为零时，本基金将停止计算该类基金份额净值和累计份额净值，暂停计算期间的该类基金份额净值和累计份额净值将按照另一类基金份额净值和累计份额净值披露，作为参考净值，用作确认投资者重新申购或转入该类基金份额时的计算价格。该类基金份额不为零时，将恢复计算该类基金份额净值和累计份额净值，其中该类基金累计份额净值＝该类基金份额净值＋该类基金恢复计算前的另一类份额累计分红＋该类基金恢复计算后的份额累计分红。</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5、基金份额申购、赎回价格</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基金管理人应当在《基金合同》、招募说明书等信息披露文件上载明基金份额申购、赎回价格的计算方式及有关申购、赎回费率，并保证投资者能够在基金</w:t>
      </w:r>
      <w:r w:rsidRPr="00F70FB9" w:rsidR="00F66275">
        <w:rPr>
          <w:rFonts w:asciiTheme="minorEastAsia" w:eastAsiaTheme="minorEastAsia" w:hAnsiTheme="minorEastAsia" w:hint="eastAsia"/>
          <w:bCs/>
          <w:color w:val="000000" w:themeColor="text1"/>
          <w:szCs w:val="21"/>
        </w:rPr>
        <w:t>销售机构网站或者营业网点</w:t>
      </w:r>
      <w:r w:rsidRPr="00F70FB9">
        <w:rPr>
          <w:rFonts w:asciiTheme="minorEastAsia" w:eastAsiaTheme="minorEastAsia" w:hAnsiTheme="minorEastAsia" w:hint="eastAsia"/>
          <w:color w:val="000000" w:themeColor="text1"/>
          <w:szCs w:val="21"/>
        </w:rPr>
        <w:t>查阅或者复制前述信息资料。</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6、基金定期报告，包括基金年度报告、基金</w:t>
      </w:r>
      <w:r w:rsidRPr="00F70FB9" w:rsidR="00023DB0">
        <w:rPr>
          <w:rFonts w:asciiTheme="minorEastAsia" w:eastAsiaTheme="minorEastAsia" w:hAnsiTheme="minorEastAsia" w:hint="eastAsia"/>
          <w:color w:val="000000" w:themeColor="text1"/>
          <w:szCs w:val="21"/>
        </w:rPr>
        <w:t>中期</w:t>
      </w:r>
      <w:r w:rsidRPr="00F70FB9">
        <w:rPr>
          <w:rFonts w:asciiTheme="minorEastAsia" w:eastAsiaTheme="minorEastAsia" w:hAnsiTheme="minorEastAsia" w:hint="eastAsia"/>
          <w:color w:val="000000" w:themeColor="text1"/>
          <w:szCs w:val="21"/>
        </w:rPr>
        <w:t>报告和基金季度报告</w:t>
      </w:r>
    </w:p>
    <w:p w:rsidR="00023DB0"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23DB0"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基金管理人应当在上半年结束之日起两个月内，编制完成基金中期报告，将中期报告登载在指定网站上，并将中期报告提示性公告登载在指定报刊上。</w:t>
      </w:r>
    </w:p>
    <w:p w:rsidR="00023DB0"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基金管理人应当在每个季度结束之日起</w:t>
      </w:r>
      <w:r w:rsidRPr="00F70FB9">
        <w:rPr>
          <w:rFonts w:asciiTheme="minorEastAsia" w:eastAsiaTheme="minorEastAsia" w:hAnsiTheme="minorEastAsia"/>
          <w:bCs/>
          <w:color w:val="000000" w:themeColor="text1"/>
          <w:szCs w:val="21"/>
        </w:rPr>
        <w:t>15</w:t>
      </w:r>
      <w:r w:rsidRPr="00F70FB9">
        <w:rPr>
          <w:rFonts w:asciiTheme="minorEastAsia" w:eastAsiaTheme="minorEastAsia" w:hAnsiTheme="minorEastAsia" w:hint="eastAsia"/>
          <w:bCs/>
          <w:color w:val="000000" w:themeColor="text1"/>
          <w:szCs w:val="21"/>
        </w:rPr>
        <w:t>个工作日内，编制完成基金季度报告，将季度报告登载在指定网站上，并将季度报告提示性公告登载在指定报刊上。</w:t>
      </w:r>
    </w:p>
    <w:p w:rsidR="00023DB0"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《基金合同》生效不足</w:t>
      </w:r>
      <w:r w:rsidRPr="00F70FB9">
        <w:rPr>
          <w:rFonts w:asciiTheme="minorEastAsia" w:eastAsiaTheme="minorEastAsia" w:hAnsiTheme="minorEastAsia"/>
          <w:bCs/>
          <w:color w:val="000000" w:themeColor="text1"/>
          <w:szCs w:val="21"/>
        </w:rPr>
        <w:t>2</w:t>
      </w:r>
      <w:r w:rsidRPr="00F70FB9">
        <w:rPr>
          <w:rFonts w:asciiTheme="minorEastAsia" w:eastAsiaTheme="minorEastAsia" w:hAnsiTheme="minorEastAsia" w:hint="eastAsia"/>
          <w:bCs/>
          <w:color w:val="000000" w:themeColor="text1"/>
          <w:szCs w:val="21"/>
        </w:rPr>
        <w:t>个月的，基金管理人可以不编制当期季度报告、中期报告或者年度报告。</w:t>
      </w:r>
    </w:p>
    <w:p w:rsidR="00E8316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报告期内出现单一投资者持有基金份额比例达到或超过</w:t>
      </w:r>
      <w:r w:rsidRPr="00F70FB9">
        <w:rPr>
          <w:rFonts w:asciiTheme="minorEastAsia" w:eastAsiaTheme="minorEastAsia" w:hAnsiTheme="minorEastAsia"/>
          <w:color w:val="000000" w:themeColor="text1"/>
          <w:szCs w:val="21"/>
        </w:rPr>
        <w:t>20%</w:t>
      </w:r>
      <w:r w:rsidRPr="00F70FB9">
        <w:rPr>
          <w:rFonts w:asciiTheme="minorEastAsia" w:eastAsiaTheme="minorEastAsia" w:hAnsiTheme="minorEastAsia" w:hint="eastAsia"/>
          <w:color w:val="000000" w:themeColor="text1"/>
          <w:szCs w:val="21"/>
        </w:rPr>
        <w:t>的情形，基金管理人应当在季度报告、</w:t>
      </w:r>
      <w:r w:rsidRPr="00F70FB9" w:rsidR="00FD18E1">
        <w:rPr>
          <w:rFonts w:asciiTheme="minorEastAsia" w:eastAsiaTheme="minorEastAsia" w:hAnsiTheme="minorEastAsia" w:hint="eastAsia"/>
          <w:color w:val="000000" w:themeColor="text1"/>
          <w:szCs w:val="21"/>
        </w:rPr>
        <w:t>中期</w:t>
      </w:r>
      <w:r w:rsidRPr="00F70FB9">
        <w:rPr>
          <w:rFonts w:asciiTheme="minorEastAsia" w:eastAsiaTheme="minorEastAsia" w:hAnsiTheme="minorEastAsia" w:hint="eastAsia"/>
          <w:color w:val="000000" w:themeColor="text1"/>
          <w:szCs w:val="21"/>
        </w:rPr>
        <w:t>报告、年度报告等定期报告文件中披露该投资者的类别、报告期末持有份额及占比、报告期内持有份额变化情况及产品的特有风险，中国证监会认定的特殊情形除外。</w:t>
      </w:r>
    </w:p>
    <w:p w:rsidR="00E83160"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基金持续运作过程中，基金管理人应当在基金年度报告和</w:t>
      </w:r>
      <w:r w:rsidRPr="00F70FB9" w:rsidR="00730B48">
        <w:rPr>
          <w:rFonts w:asciiTheme="minorEastAsia" w:eastAsiaTheme="minorEastAsia" w:hAnsiTheme="minorEastAsia" w:hint="eastAsia"/>
          <w:color w:val="000000" w:themeColor="text1"/>
          <w:szCs w:val="21"/>
        </w:rPr>
        <w:t>中期</w:t>
      </w:r>
      <w:r w:rsidRPr="00F70FB9">
        <w:rPr>
          <w:rFonts w:asciiTheme="minorEastAsia" w:eastAsiaTheme="minorEastAsia" w:hAnsiTheme="minorEastAsia" w:hint="eastAsia"/>
          <w:color w:val="000000" w:themeColor="text1"/>
          <w:szCs w:val="21"/>
        </w:rPr>
        <w:t>报告中披露基金组合资产情况及其流动性风险分析等。</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7</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临时报告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本基金发生重大事件，有关信息披露义务人应当在2日内编制临时报告书，予以公告，</w:t>
      </w:r>
      <w:r w:rsidRPr="00F70FB9" w:rsidR="00D25243">
        <w:rPr>
          <w:rFonts w:asciiTheme="minorEastAsia" w:eastAsiaTheme="minorEastAsia" w:hAnsiTheme="minorEastAsia" w:hint="eastAsia"/>
          <w:bCs/>
          <w:color w:val="000000" w:themeColor="text1"/>
          <w:szCs w:val="21"/>
        </w:rPr>
        <w:t>并登载在指定报刊和指定网站上</w:t>
      </w:r>
      <w:r w:rsidRPr="00F70FB9">
        <w:rPr>
          <w:rFonts w:asciiTheme="minorEastAsia" w:eastAsiaTheme="minorEastAsia" w:hAnsiTheme="minorEastAsia" w:hint="eastAsia"/>
          <w:color w:val="000000" w:themeColor="text1"/>
          <w:szCs w:val="21"/>
        </w:rPr>
        <w:t>。</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基金份额持有人大会的召开</w:t>
      </w:r>
      <w:r w:rsidRPr="00F70FB9">
        <w:rPr>
          <w:rFonts w:asciiTheme="minorEastAsia" w:eastAsiaTheme="minorEastAsia" w:hAnsiTheme="minorEastAsia" w:hint="eastAsia"/>
          <w:bCs/>
          <w:color w:val="000000" w:themeColor="text1"/>
          <w:szCs w:val="21"/>
        </w:rPr>
        <w:t>及决定的事项</w:t>
      </w:r>
      <w:r w:rsidRPr="00F70FB9">
        <w:rPr>
          <w:rFonts w:asciiTheme="minorEastAsia" w:eastAsiaTheme="minorEastAsia" w:hAnsiTheme="minorEastAsia"/>
          <w:bCs/>
          <w:color w:val="000000" w:themeColor="text1"/>
          <w:szCs w:val="21"/>
        </w:rPr>
        <w:t>；</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2</w:t>
      </w:r>
      <w:r w:rsidRPr="00F70FB9">
        <w:rPr>
          <w:rFonts w:asciiTheme="minorEastAsia" w:eastAsiaTheme="minorEastAsia" w:hAnsiTheme="minorEastAsia" w:hint="eastAsia"/>
          <w:bCs/>
          <w:color w:val="000000" w:themeColor="text1"/>
          <w:szCs w:val="21"/>
        </w:rPr>
        <w:t>）基金合同终止、基金清算</w:t>
      </w:r>
      <w:r w:rsidRPr="00F70FB9">
        <w:rPr>
          <w:rFonts w:asciiTheme="minorEastAsia" w:eastAsiaTheme="minorEastAsia" w:hAnsiTheme="minorEastAsia"/>
          <w:bCs/>
          <w:color w:val="000000" w:themeColor="text1"/>
          <w:szCs w:val="21"/>
        </w:rPr>
        <w:t>；</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3</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转换基金运作方式</w:t>
      </w:r>
      <w:r w:rsidRPr="00F70FB9">
        <w:rPr>
          <w:rFonts w:asciiTheme="minorEastAsia" w:eastAsiaTheme="minorEastAsia" w:hAnsiTheme="minorEastAsia" w:hint="eastAsia"/>
          <w:bCs/>
          <w:color w:val="000000" w:themeColor="text1"/>
          <w:szCs w:val="21"/>
        </w:rPr>
        <w:t>、基金合并</w:t>
      </w:r>
      <w:r w:rsidRPr="00F70FB9">
        <w:rPr>
          <w:rFonts w:asciiTheme="minorEastAsia" w:eastAsiaTheme="minorEastAsia" w:hAnsiTheme="minorEastAsia"/>
          <w:bCs/>
          <w:color w:val="000000" w:themeColor="text1"/>
          <w:szCs w:val="21"/>
        </w:rPr>
        <w:t>；</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4</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更换基金管理人、基金托管人</w:t>
      </w:r>
      <w:r w:rsidRPr="00F70FB9">
        <w:rPr>
          <w:rFonts w:asciiTheme="minorEastAsia" w:eastAsiaTheme="minorEastAsia" w:hAnsiTheme="minorEastAsia" w:hint="eastAsia"/>
          <w:bCs/>
          <w:color w:val="000000" w:themeColor="text1"/>
          <w:szCs w:val="21"/>
        </w:rPr>
        <w:t>、基金份额登记机构，基金改聘会计师事务所</w:t>
      </w:r>
      <w:r w:rsidRPr="00F70FB9">
        <w:rPr>
          <w:rFonts w:asciiTheme="minorEastAsia" w:eastAsiaTheme="minorEastAsia" w:hAnsiTheme="minorEastAsia"/>
          <w:bCs/>
          <w:color w:val="000000" w:themeColor="text1"/>
          <w:szCs w:val="21"/>
        </w:rPr>
        <w:t>；</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（5）基金管理人委托基金服务机构代为办理基金的份额登记、核算、估值等事项，基金托管人委托基金服务机构代为办理基金的核算、估值、复核等事项；</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w:t>
      </w:r>
      <w:r w:rsidRPr="00F70FB9">
        <w:rPr>
          <w:rFonts w:asciiTheme="minorEastAsia" w:eastAsiaTheme="minorEastAsia" w:hAnsiTheme="minorEastAsia"/>
          <w:bCs/>
          <w:color w:val="000000" w:themeColor="text1"/>
          <w:szCs w:val="21"/>
        </w:rPr>
        <w:t>基金管理人、基金托管人的法定名称、住所发生变更；</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（7）基金管理公司变更持有百分之五以上股权的股东、基金管理人的实际控制人变更；</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w:t>
      </w:r>
      <w:r w:rsidRPr="00F70FB9">
        <w:rPr>
          <w:rFonts w:asciiTheme="minorEastAsia" w:eastAsiaTheme="minorEastAsia" w:hAnsiTheme="minorEastAsia"/>
          <w:bCs/>
          <w:color w:val="000000" w:themeColor="text1"/>
          <w:szCs w:val="21"/>
        </w:rPr>
        <w:t>基金募集期延长</w:t>
      </w:r>
      <w:r w:rsidRPr="00F70FB9">
        <w:rPr>
          <w:rFonts w:asciiTheme="minorEastAsia" w:eastAsiaTheme="minorEastAsia" w:hAnsiTheme="minorEastAsia" w:hint="eastAsia"/>
          <w:bCs/>
          <w:color w:val="000000" w:themeColor="text1"/>
          <w:szCs w:val="21"/>
        </w:rPr>
        <w:t>或提前结束募集</w:t>
      </w:r>
      <w:r w:rsidRPr="00F70FB9">
        <w:rPr>
          <w:rFonts w:asciiTheme="minorEastAsia" w:eastAsiaTheme="minorEastAsia" w:hAnsiTheme="minorEastAsia"/>
          <w:bCs/>
          <w:color w:val="000000" w:themeColor="text1"/>
          <w:szCs w:val="21"/>
        </w:rPr>
        <w:t>；</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（9）基金管理人的高级管理人员、基金经理和基金托管人专门基金托管部门负责人发生变动；</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（10）基金管理人的董事在最近12个月内变更超过百分之五十，基金管理人、基金托管人专门基金托管部门的主要业务人员在最近12个月内变动超过百分之三十；</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11</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涉及基金</w:t>
      </w:r>
      <w:r w:rsidRPr="00F70FB9">
        <w:rPr>
          <w:rFonts w:asciiTheme="minorEastAsia" w:eastAsiaTheme="minorEastAsia" w:hAnsiTheme="minorEastAsia" w:hint="eastAsia"/>
          <w:bCs/>
          <w:color w:val="000000" w:themeColor="text1"/>
          <w:szCs w:val="21"/>
        </w:rPr>
        <w:t>财产</w:t>
      </w:r>
      <w:r w:rsidRPr="00F70FB9">
        <w:rPr>
          <w:rFonts w:asciiTheme="minorEastAsia" w:eastAsiaTheme="minorEastAsia" w:hAnsiTheme="minorEastAsia"/>
          <w:bCs/>
          <w:color w:val="000000" w:themeColor="text1"/>
          <w:szCs w:val="21"/>
        </w:rPr>
        <w:t>、基金</w:t>
      </w:r>
      <w:r w:rsidRPr="00F70FB9">
        <w:rPr>
          <w:rFonts w:asciiTheme="minorEastAsia" w:eastAsiaTheme="minorEastAsia" w:hAnsiTheme="minorEastAsia" w:hint="eastAsia"/>
          <w:bCs/>
          <w:color w:val="000000" w:themeColor="text1"/>
          <w:szCs w:val="21"/>
        </w:rPr>
        <w:t>管理业务</w:t>
      </w:r>
      <w:r w:rsidRPr="00F70FB9">
        <w:rPr>
          <w:rFonts w:asciiTheme="minorEastAsia" w:eastAsiaTheme="minorEastAsia" w:hAnsiTheme="minorEastAsia"/>
          <w:bCs/>
          <w:color w:val="000000" w:themeColor="text1"/>
          <w:szCs w:val="21"/>
        </w:rPr>
        <w:t>、基金托管业务的诉讼</w:t>
      </w:r>
      <w:r w:rsidRPr="00F70FB9">
        <w:rPr>
          <w:rFonts w:asciiTheme="minorEastAsia" w:eastAsiaTheme="minorEastAsia" w:hAnsiTheme="minorEastAsia" w:hint="eastAsia"/>
          <w:bCs/>
          <w:color w:val="000000" w:themeColor="text1"/>
          <w:szCs w:val="21"/>
        </w:rPr>
        <w:t>或者仲裁</w:t>
      </w:r>
      <w:r w:rsidRPr="00F70FB9">
        <w:rPr>
          <w:rFonts w:asciiTheme="minorEastAsia" w:eastAsiaTheme="minorEastAsia" w:hAnsiTheme="minorEastAsia"/>
          <w:bCs/>
          <w:color w:val="000000" w:themeColor="text1"/>
          <w:szCs w:val="21"/>
        </w:rPr>
        <w:t>；</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w:t>
      </w:r>
      <w:r w:rsidRPr="00F70FB9">
        <w:rPr>
          <w:rFonts w:asciiTheme="minorEastAsia" w:eastAsiaTheme="minorEastAsia" w:hAnsiTheme="minorEastAsia" w:hint="eastAsia"/>
          <w:bCs/>
          <w:color w:val="000000" w:themeColor="text1"/>
          <w:szCs w:val="21"/>
        </w:rPr>
        <w:t>4）</w:t>
      </w:r>
      <w:r w:rsidRPr="00F70FB9">
        <w:rPr>
          <w:rFonts w:asciiTheme="minorEastAsia" w:eastAsiaTheme="minorEastAsia" w:hAnsiTheme="minorEastAsia"/>
          <w:bCs/>
          <w:color w:val="000000" w:themeColor="text1"/>
          <w:szCs w:val="21"/>
        </w:rPr>
        <w:t>基金收益分配事项；</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w:t>
      </w:r>
      <w:r w:rsidRPr="00F70FB9">
        <w:rPr>
          <w:rFonts w:asciiTheme="minorEastAsia" w:eastAsiaTheme="minorEastAsia" w:hAnsiTheme="minorEastAsia" w:hint="eastAsia"/>
          <w:bCs/>
          <w:color w:val="000000" w:themeColor="text1"/>
          <w:szCs w:val="21"/>
        </w:rPr>
        <w:t>5）</w:t>
      </w:r>
      <w:r w:rsidRPr="00F70FB9">
        <w:rPr>
          <w:rFonts w:asciiTheme="minorEastAsia" w:eastAsiaTheme="minorEastAsia" w:hAnsiTheme="minorEastAsia"/>
          <w:bCs/>
          <w:color w:val="000000" w:themeColor="text1"/>
          <w:szCs w:val="21"/>
        </w:rPr>
        <w:t>管理费、托管费</w:t>
      </w:r>
      <w:r w:rsidRPr="00F70FB9">
        <w:rPr>
          <w:rFonts w:asciiTheme="minorEastAsia" w:eastAsiaTheme="minorEastAsia" w:hAnsiTheme="minorEastAsia" w:hint="eastAsia"/>
          <w:bCs/>
          <w:color w:val="000000" w:themeColor="text1"/>
          <w:szCs w:val="21"/>
        </w:rPr>
        <w:t>、申购费、赎回费、销售服务费</w:t>
      </w:r>
      <w:r w:rsidRPr="00F70FB9">
        <w:rPr>
          <w:rFonts w:asciiTheme="minorEastAsia" w:eastAsiaTheme="minorEastAsia" w:hAnsiTheme="minorEastAsia"/>
          <w:bCs/>
          <w:color w:val="000000" w:themeColor="text1"/>
          <w:szCs w:val="21"/>
        </w:rPr>
        <w:t>等费用计提标准、计提方式和费率发生变更；</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w:t>
      </w:r>
      <w:r w:rsidRPr="00F70FB9">
        <w:rPr>
          <w:rFonts w:asciiTheme="minorEastAsia" w:eastAsiaTheme="minorEastAsia" w:hAnsiTheme="minorEastAsia" w:hint="eastAsia"/>
          <w:bCs/>
          <w:color w:val="000000" w:themeColor="text1"/>
          <w:szCs w:val="21"/>
        </w:rPr>
        <w:t>6）</w:t>
      </w:r>
      <w:r w:rsidRPr="00F70FB9">
        <w:rPr>
          <w:rFonts w:asciiTheme="minorEastAsia" w:eastAsiaTheme="minorEastAsia" w:hAnsiTheme="minorEastAsia"/>
          <w:bCs/>
          <w:color w:val="000000" w:themeColor="text1"/>
          <w:szCs w:val="21"/>
        </w:rPr>
        <w:t>基金份额净值</w:t>
      </w:r>
      <w:r w:rsidRPr="00F70FB9">
        <w:rPr>
          <w:rFonts w:asciiTheme="minorEastAsia" w:eastAsiaTheme="minorEastAsia" w:hAnsiTheme="minorEastAsia" w:hint="eastAsia"/>
          <w:bCs/>
          <w:color w:val="000000" w:themeColor="text1"/>
          <w:szCs w:val="21"/>
        </w:rPr>
        <w:t>估值</w:t>
      </w:r>
      <w:r w:rsidRPr="00F70FB9">
        <w:rPr>
          <w:rFonts w:asciiTheme="minorEastAsia" w:eastAsiaTheme="minorEastAsia" w:hAnsiTheme="minorEastAsia"/>
          <w:bCs/>
          <w:color w:val="000000" w:themeColor="text1"/>
          <w:szCs w:val="21"/>
        </w:rPr>
        <w:t>错误达基金份额净值百分之零点五；</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（17）</w:t>
      </w:r>
      <w:r w:rsidRPr="00F70FB9">
        <w:rPr>
          <w:rFonts w:asciiTheme="minorEastAsia" w:eastAsiaTheme="minorEastAsia" w:hAnsiTheme="minorEastAsia"/>
          <w:bCs/>
          <w:color w:val="000000" w:themeColor="text1"/>
          <w:szCs w:val="21"/>
        </w:rPr>
        <w:t>本基金开始办理申购、赎回；</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（18）</w:t>
      </w:r>
      <w:r w:rsidRPr="00F70FB9">
        <w:rPr>
          <w:rFonts w:asciiTheme="minorEastAsia" w:eastAsiaTheme="minorEastAsia" w:hAnsiTheme="minorEastAsia"/>
          <w:bCs/>
          <w:color w:val="000000" w:themeColor="text1"/>
          <w:szCs w:val="21"/>
        </w:rPr>
        <w:t>本基金暂停接受申购、赎回申请</w:t>
      </w:r>
      <w:r w:rsidRPr="00F70FB9">
        <w:rPr>
          <w:rFonts w:asciiTheme="minorEastAsia" w:eastAsiaTheme="minorEastAsia" w:hAnsiTheme="minorEastAsia" w:hint="eastAsia"/>
          <w:bCs/>
          <w:color w:val="000000" w:themeColor="text1"/>
          <w:szCs w:val="21"/>
        </w:rPr>
        <w:t>或</w:t>
      </w:r>
      <w:r w:rsidRPr="00F70FB9">
        <w:rPr>
          <w:rFonts w:asciiTheme="minorEastAsia" w:eastAsiaTheme="minorEastAsia" w:hAnsiTheme="minorEastAsia"/>
          <w:bCs/>
          <w:color w:val="000000" w:themeColor="text1"/>
          <w:szCs w:val="21"/>
        </w:rPr>
        <w:t>重新接受申购、赎回</w:t>
      </w:r>
      <w:r w:rsidRPr="00F70FB9">
        <w:rPr>
          <w:rFonts w:asciiTheme="minorEastAsia" w:eastAsiaTheme="minorEastAsia" w:hAnsiTheme="minorEastAsia" w:hint="eastAsia"/>
          <w:bCs/>
          <w:color w:val="000000" w:themeColor="text1"/>
          <w:szCs w:val="21"/>
        </w:rPr>
        <w:t>申请</w:t>
      </w:r>
      <w:r w:rsidRPr="00F70FB9">
        <w:rPr>
          <w:rFonts w:asciiTheme="minorEastAsia" w:eastAsiaTheme="minorEastAsia" w:hAnsiTheme="minorEastAsia"/>
          <w:bCs/>
          <w:color w:val="000000" w:themeColor="text1"/>
          <w:szCs w:val="21"/>
        </w:rPr>
        <w:t>；</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（19）调整基金份额类别的设置；</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（20）基金推出新业务或服务；</w:t>
      </w:r>
    </w:p>
    <w:p w:rsidR="008F7ABB"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2</w:t>
      </w:r>
      <w:r w:rsidRPr="00F70FB9">
        <w:rPr>
          <w:rFonts w:asciiTheme="minorEastAsia" w:eastAsiaTheme="minorEastAsia" w:hAnsiTheme="minorEastAsia" w:hint="eastAsia"/>
          <w:bCs/>
          <w:color w:val="000000" w:themeColor="text1"/>
          <w:szCs w:val="21"/>
        </w:rPr>
        <w:t>1）基金信息披露义务人认为可能对基金份额持有人权益或者基金份额的价格产生重大影响的其他事项或</w:t>
      </w:r>
      <w:r w:rsidRPr="00F70FB9">
        <w:rPr>
          <w:rFonts w:asciiTheme="minorEastAsia" w:eastAsiaTheme="minorEastAsia" w:hAnsiTheme="minorEastAsia"/>
          <w:bCs/>
          <w:color w:val="000000" w:themeColor="text1"/>
          <w:szCs w:val="21"/>
        </w:rPr>
        <w:t>中国证监会规定的其他事项。</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8、澄清公告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在基金合同期限内，</w:t>
      </w:r>
      <w:r w:rsidRPr="00F70FB9">
        <w:rPr>
          <w:rFonts w:asciiTheme="minorEastAsia" w:eastAsiaTheme="minorEastAsia" w:hAnsiTheme="minorEastAsia" w:hint="eastAsia"/>
          <w:color w:val="000000" w:themeColor="text1"/>
          <w:szCs w:val="21"/>
        </w:rPr>
        <w:t>任何公共媒</w:t>
      </w:r>
      <w:r w:rsidRPr="00F70FB9" w:rsidR="003C7040">
        <w:rPr>
          <w:rFonts w:asciiTheme="minorEastAsia" w:eastAsiaTheme="minorEastAsia" w:hAnsiTheme="minorEastAsia" w:hint="eastAsia"/>
          <w:color w:val="000000" w:themeColor="text1"/>
          <w:szCs w:val="21"/>
        </w:rPr>
        <w:t>体</w:t>
      </w:r>
      <w:r w:rsidRPr="00F70FB9">
        <w:rPr>
          <w:rFonts w:asciiTheme="minorEastAsia" w:eastAsiaTheme="minorEastAsia" w:hAnsiTheme="minorEastAsia" w:hint="eastAsia"/>
          <w:color w:val="000000" w:themeColor="text1"/>
          <w:szCs w:val="21"/>
        </w:rPr>
        <w:t>中出现的或者在市场上流传的消息可能对基金份额价格产生误导性影响或者引起较大波动，</w:t>
      </w:r>
      <w:r w:rsidRPr="00F70FB9" w:rsidR="003C7040">
        <w:rPr>
          <w:rFonts w:asciiTheme="minorEastAsia" w:eastAsiaTheme="minorEastAsia" w:hAnsiTheme="minorEastAsia" w:hint="eastAsia"/>
          <w:bCs/>
          <w:color w:val="000000" w:themeColor="text1"/>
          <w:szCs w:val="21"/>
        </w:rPr>
        <w:t>以及可能损害基金份额持有人权益的，</w:t>
      </w:r>
      <w:r w:rsidRPr="00F70FB9">
        <w:rPr>
          <w:rFonts w:asciiTheme="minorEastAsia" w:eastAsiaTheme="minorEastAsia" w:hAnsiTheme="minorEastAsia" w:hint="eastAsia"/>
          <w:color w:val="000000" w:themeColor="text1"/>
          <w:szCs w:val="21"/>
        </w:rPr>
        <w:t>相关信息披露义务人知悉后应当立即对该消息进行公开澄清，并将有关情况立即报告中国证监会。</w:t>
      </w:r>
    </w:p>
    <w:p w:rsidR="00B832A5"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9、清算报告</w:t>
      </w:r>
    </w:p>
    <w:p w:rsidR="00B832A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10、基金份额持有人大会决议</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w:t>
      </w:r>
      <w:r w:rsidRPr="00F70FB9" w:rsidR="00AB38D0">
        <w:rPr>
          <w:rFonts w:asciiTheme="minorEastAsia" w:eastAsiaTheme="minorEastAsia" w:hAnsiTheme="minorEastAsia" w:hint="eastAsia"/>
          <w:color w:val="000000" w:themeColor="text1"/>
          <w:szCs w:val="21"/>
        </w:rPr>
        <w:t>1</w:t>
      </w:r>
      <w:r w:rsidRPr="00F70FB9">
        <w:rPr>
          <w:rFonts w:asciiTheme="minorEastAsia" w:eastAsiaTheme="minorEastAsia" w:hAnsiTheme="minorEastAsia"/>
          <w:color w:val="000000" w:themeColor="text1"/>
          <w:szCs w:val="21"/>
        </w:rPr>
        <w:t>、</w:t>
      </w:r>
      <w:r w:rsidRPr="00F70FB9">
        <w:rPr>
          <w:rFonts w:asciiTheme="minorEastAsia" w:eastAsiaTheme="minorEastAsia" w:hAnsiTheme="minorEastAsia" w:hint="eastAsia"/>
          <w:color w:val="000000" w:themeColor="text1"/>
          <w:szCs w:val="21"/>
        </w:rPr>
        <w:t>中国证监会规定的其他信息</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若本基金投资股指期货、国债期货、证券公司短期公司债、中小企业私募债券、资产支持证券、基金管理人将按相关法律法规要求进行披露。</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（六）信息披露事务管理</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基金管理人、基金托管人应当建立健全信息披露管理制度，指定</w:t>
      </w:r>
      <w:r w:rsidRPr="00F70FB9" w:rsidR="00AB38D0">
        <w:rPr>
          <w:rFonts w:asciiTheme="minorEastAsia" w:eastAsiaTheme="minorEastAsia" w:hAnsiTheme="minorEastAsia" w:hint="eastAsia"/>
          <w:bCs/>
          <w:color w:val="000000" w:themeColor="text1"/>
          <w:szCs w:val="21"/>
        </w:rPr>
        <w:t>专门部门及高级管理人员</w:t>
      </w:r>
      <w:r w:rsidRPr="00F70FB9">
        <w:rPr>
          <w:rFonts w:asciiTheme="minorEastAsia" w:eastAsiaTheme="minorEastAsia" w:hAnsiTheme="minorEastAsia" w:hint="eastAsia"/>
          <w:color w:val="000000" w:themeColor="text1"/>
          <w:szCs w:val="21"/>
        </w:rPr>
        <w:t>负责管理信息披露事务。</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w:t>
      </w:r>
      <w:r w:rsidRPr="00F70FB9" w:rsidR="00D53598">
        <w:rPr>
          <w:rFonts w:asciiTheme="minorEastAsia" w:eastAsiaTheme="minorEastAsia" w:hAnsiTheme="minorEastAsia" w:hint="eastAsia"/>
          <w:bCs/>
          <w:color w:val="000000" w:themeColor="text1"/>
          <w:szCs w:val="21"/>
        </w:rPr>
        <w:t>等法规</w:t>
      </w:r>
      <w:r w:rsidRPr="00F70FB9">
        <w:rPr>
          <w:rFonts w:asciiTheme="minorEastAsia" w:eastAsiaTheme="minorEastAsia" w:hAnsiTheme="minorEastAsia" w:hint="eastAsia"/>
          <w:color w:val="000000" w:themeColor="text1"/>
          <w:szCs w:val="21"/>
        </w:rPr>
        <w:t>的规定。</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w:t>
      </w:r>
      <w:r w:rsidRPr="00F70FB9" w:rsidR="00D53598">
        <w:rPr>
          <w:rFonts w:asciiTheme="minorEastAsia" w:eastAsiaTheme="minorEastAsia" w:hAnsiTheme="minorEastAsia" w:hint="eastAsia"/>
          <w:color w:val="000000" w:themeColor="text1"/>
          <w:szCs w:val="21"/>
        </w:rPr>
        <w:t>、</w:t>
      </w:r>
      <w:r w:rsidRPr="00F70FB9">
        <w:rPr>
          <w:rFonts w:asciiTheme="minorEastAsia" w:eastAsiaTheme="minorEastAsia" w:hAnsiTheme="minorEastAsia" w:hint="eastAsia"/>
          <w:color w:val="000000" w:themeColor="text1"/>
          <w:szCs w:val="21"/>
        </w:rPr>
        <w:t>更新的招募说明书</w:t>
      </w:r>
      <w:r w:rsidRPr="00F70FB9" w:rsidR="00D53598">
        <w:rPr>
          <w:rFonts w:asciiTheme="minorEastAsia" w:eastAsiaTheme="minorEastAsia" w:hAnsiTheme="minorEastAsia" w:hint="eastAsia"/>
          <w:bCs/>
          <w:color w:val="000000" w:themeColor="text1"/>
          <w:szCs w:val="21"/>
        </w:rPr>
        <w:t>、基金产品资料概要、基金清算报告</w:t>
      </w:r>
      <w:r w:rsidRPr="00F70FB9">
        <w:rPr>
          <w:rFonts w:asciiTheme="minorEastAsia" w:eastAsiaTheme="minorEastAsia" w:hAnsiTheme="minorEastAsia" w:hint="eastAsia"/>
          <w:color w:val="000000" w:themeColor="text1"/>
          <w:szCs w:val="21"/>
        </w:rPr>
        <w:t>等公开披露的相关基金信息进行复核、审查，并向基金管理人</w:t>
      </w:r>
      <w:r w:rsidRPr="00F70FB9" w:rsidR="00D53598">
        <w:rPr>
          <w:rFonts w:asciiTheme="minorEastAsia" w:eastAsiaTheme="minorEastAsia" w:hAnsiTheme="minorEastAsia" w:hint="eastAsia"/>
          <w:color w:val="000000" w:themeColor="text1"/>
          <w:szCs w:val="21"/>
        </w:rPr>
        <w:t>进行</w:t>
      </w:r>
      <w:r w:rsidRPr="00F70FB9">
        <w:rPr>
          <w:rFonts w:asciiTheme="minorEastAsia" w:eastAsiaTheme="minorEastAsia" w:hAnsiTheme="minorEastAsia" w:hint="eastAsia"/>
          <w:color w:val="000000" w:themeColor="text1"/>
          <w:szCs w:val="21"/>
        </w:rPr>
        <w:t>书面或者</w:t>
      </w:r>
      <w:r w:rsidRPr="00F70FB9" w:rsidR="00D53598">
        <w:rPr>
          <w:rFonts w:asciiTheme="minorEastAsia" w:eastAsiaTheme="minorEastAsia" w:hAnsiTheme="minorEastAsia" w:hint="eastAsia"/>
          <w:color w:val="000000" w:themeColor="text1"/>
          <w:szCs w:val="21"/>
        </w:rPr>
        <w:t>电子</w:t>
      </w:r>
      <w:r w:rsidRPr="00F70FB9">
        <w:rPr>
          <w:rFonts w:asciiTheme="minorEastAsia" w:eastAsiaTheme="minorEastAsia" w:hAnsiTheme="minorEastAsia" w:hint="eastAsia"/>
          <w:color w:val="000000" w:themeColor="text1"/>
          <w:szCs w:val="21"/>
        </w:rPr>
        <w:t>确认。</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w:t>
      </w:r>
      <w:r w:rsidRPr="00F70FB9">
        <w:rPr>
          <w:rFonts w:asciiTheme="minorEastAsia" w:eastAsiaTheme="minorEastAsia" w:hAnsiTheme="minorEastAsia" w:hint="eastAsia"/>
          <w:bCs/>
          <w:color w:val="000000" w:themeColor="text1"/>
          <w:szCs w:val="21"/>
        </w:rPr>
        <w:t>息的真实、准确、完整、及时。</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6B5AFE" w:rsidRPr="00F70FB9">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660F95"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（七）信息披露文件的存放与查阅</w:t>
      </w:r>
    </w:p>
    <w:p w:rsidR="0099591E"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r w:rsidRPr="00F70FB9" w:rsidR="00660F95">
        <w:rPr>
          <w:rFonts w:asciiTheme="minorEastAsia" w:eastAsiaTheme="minorEastAsia" w:hAnsiTheme="minorEastAsia" w:hint="eastAsia"/>
          <w:color w:val="000000" w:themeColor="text1"/>
          <w:szCs w:val="21"/>
        </w:rPr>
        <w:t>。</w:t>
      </w:r>
    </w:p>
    <w:p w:rsidR="00BA4B87" w:rsidRPr="00F70FB9">
      <w:pPr>
        <w:pStyle w:val="Heading1"/>
        <w:spacing w:before="317" w:after="317" w:line="360" w:lineRule="auto"/>
        <w:ind w:firstLine="6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sz w:val="30"/>
        </w:rPr>
        <w:br w:type="column"/>
      </w:r>
      <w:bookmarkStart w:id="90" w:name="_Toc332373573"/>
      <w:bookmarkStart w:id="91" w:name="_Toc103006346"/>
      <w:r w:rsidRPr="00F70FB9" w:rsidR="00DA442D">
        <w:rPr>
          <w:rFonts w:asciiTheme="minorEastAsia" w:eastAsiaTheme="minorEastAsia" w:hAnsiTheme="minorEastAsia" w:hint="eastAsia"/>
          <w:color w:val="000000" w:themeColor="text1"/>
          <w:sz w:val="30"/>
        </w:rPr>
        <w:t>十九</w:t>
      </w:r>
      <w:r w:rsidRPr="00F70FB9">
        <w:rPr>
          <w:rFonts w:asciiTheme="minorEastAsia" w:eastAsiaTheme="minorEastAsia" w:hAnsiTheme="minorEastAsia" w:hint="eastAsia"/>
          <w:color w:val="000000" w:themeColor="text1"/>
          <w:sz w:val="30"/>
        </w:rPr>
        <w:t>、风险揭示</w:t>
      </w:r>
      <w:bookmarkEnd w:id="91"/>
    </w:p>
    <w:p w:rsidR="00074EE6" w:rsidRPr="00F70FB9" w:rsidP="00074EE6">
      <w:pPr>
        <w:spacing w:line="360" w:lineRule="auto"/>
        <w:ind w:firstLine="420" w:firstLineChars="200"/>
        <w:rPr>
          <w:rStyle w:val="da"/>
          <w:rFonts w:asciiTheme="minorEastAsia" w:eastAsiaTheme="minorEastAsia" w:hAnsiTheme="minorEastAsia"/>
          <w:color w:val="000000" w:themeColor="text1"/>
        </w:rPr>
      </w:pPr>
      <w:bookmarkStart w:id="92" w:name="_Toc332373574"/>
      <w:bookmarkEnd w:id="90"/>
      <w:r w:rsidRPr="00F70FB9">
        <w:rPr>
          <w:rStyle w:val="da"/>
          <w:rFonts w:asciiTheme="minorEastAsia" w:eastAsiaTheme="minorEastAsia" w:hAnsiTheme="minorEastAsia" w:hint="eastAsia"/>
          <w:color w:val="000000" w:themeColor="text1"/>
        </w:rPr>
        <w:t>（一）市场风险</w:t>
      </w:r>
    </w:p>
    <w:bookmarkEnd w:id="92"/>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1、政策风险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因国家宏观政策（如货币政策、财政政策、</w:t>
      </w:r>
      <w:r w:rsidRPr="00F70FB9">
        <w:rPr>
          <w:rFonts w:asciiTheme="minorEastAsia" w:eastAsiaTheme="minorEastAsia" w:hAnsiTheme="minorEastAsia" w:hint="eastAsia"/>
          <w:color w:val="000000" w:themeColor="text1"/>
          <w:kern w:val="0"/>
          <w:szCs w:val="21"/>
        </w:rPr>
        <w:t>产业</w:t>
      </w:r>
      <w:r w:rsidRPr="00F70FB9">
        <w:rPr>
          <w:rFonts w:asciiTheme="minorEastAsia" w:eastAsiaTheme="minorEastAsia" w:hAnsiTheme="minorEastAsia"/>
          <w:color w:val="000000" w:themeColor="text1"/>
          <w:kern w:val="0"/>
          <w:szCs w:val="21"/>
        </w:rPr>
        <w:t>政策、地区发展政策等）发生变化，导致市场价格波动而产生风险。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2、利率风险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F70FB9">
        <w:rPr>
          <w:rFonts w:asciiTheme="minorEastAsia" w:eastAsiaTheme="minorEastAsia" w:hAnsiTheme="minorEastAsia" w:hint="eastAsia"/>
          <w:color w:val="000000" w:themeColor="text1"/>
          <w:kern w:val="0"/>
          <w:szCs w:val="21"/>
        </w:rPr>
        <w:t>本</w:t>
      </w:r>
      <w:r w:rsidRPr="00F70FB9">
        <w:rPr>
          <w:rFonts w:asciiTheme="minorEastAsia" w:eastAsiaTheme="minorEastAsia" w:hAnsiTheme="minorEastAsia" w:hint="eastAsia"/>
          <w:color w:val="000000" w:themeColor="text1"/>
        </w:rPr>
        <w:t>基金为混合型基金，可投资于股票和债券，其收益水平可能会受到利率变化的影响。</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w:t>
      </w:r>
      <w:r w:rsidRPr="00F70FB9">
        <w:rPr>
          <w:rFonts w:asciiTheme="minorEastAsia" w:eastAsiaTheme="minorEastAsia" w:hAnsiTheme="minorEastAsia"/>
          <w:color w:val="000000" w:themeColor="text1"/>
          <w:kern w:val="0"/>
          <w:szCs w:val="21"/>
        </w:rPr>
        <w:t>、购买力风险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4、信用风险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信用风险主要指债券、票据发行主体、存款银行信用状况可能恶化而可能产生的到期不能兑付的风险。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5</w:t>
      </w:r>
      <w:r w:rsidRPr="00F70FB9">
        <w:rPr>
          <w:rFonts w:asciiTheme="minorEastAsia" w:eastAsiaTheme="minorEastAsia" w:hAnsiTheme="minorEastAsia"/>
          <w:color w:val="000000" w:themeColor="text1"/>
          <w:kern w:val="0"/>
          <w:szCs w:val="21"/>
        </w:rPr>
        <w:t>、公司经营风险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kern w:val="0"/>
          <w:szCs w:val="21"/>
        </w:rPr>
        <w:t>6、</w:t>
      </w:r>
      <w:r w:rsidRPr="00F70FB9">
        <w:rPr>
          <w:rFonts w:asciiTheme="minorEastAsia" w:eastAsiaTheme="minorEastAsia" w:hAnsiTheme="minorEastAsia" w:hint="eastAsia"/>
          <w:color w:val="000000" w:themeColor="text1"/>
        </w:rPr>
        <w:t>经济周期风险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074EE6" w:rsidRPr="00F70FB9" w:rsidP="00074EE6">
      <w:pPr>
        <w:spacing w:line="360" w:lineRule="auto"/>
        <w:ind w:firstLine="420" w:firstLineChars="200"/>
        <w:rPr>
          <w:rStyle w:val="da"/>
          <w:rFonts w:asciiTheme="minorEastAsia" w:eastAsiaTheme="minorEastAsia" w:hAnsiTheme="minorEastAsia"/>
          <w:color w:val="000000" w:themeColor="text1"/>
        </w:rPr>
      </w:pPr>
      <w:bookmarkStart w:id="93" w:name="_Toc332373575"/>
      <w:r w:rsidRPr="00F70FB9">
        <w:rPr>
          <w:rStyle w:val="da"/>
          <w:rFonts w:asciiTheme="minorEastAsia" w:eastAsiaTheme="minorEastAsia" w:hAnsiTheme="minorEastAsia" w:hint="eastAsia"/>
          <w:color w:val="000000" w:themeColor="text1"/>
        </w:rPr>
        <w:t>（二）流动性风险</w:t>
      </w:r>
    </w:p>
    <w:bookmarkEnd w:id="93"/>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1、流动性风险评估</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本基金为混合基金，可投资于股票、债券、货币市场工具等，一般情况下，这些资产市场流动性较好。</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rPr>
        <w:t>但本基金投资于上述资产时，仍存在以下流动性风险</w:t>
      </w:r>
      <w:r w:rsidRPr="00F70FB9">
        <w:rPr>
          <w:rFonts w:asciiTheme="minorEastAsia" w:eastAsiaTheme="minorEastAsia" w:hAnsiTheme="minorEastAsia"/>
          <w:color w:val="000000" w:themeColor="text1"/>
        </w:rPr>
        <w:t>：一是基金管理人建仓时或为实现收益而进行组合调整时，可能由于</w:t>
      </w:r>
      <w:r w:rsidRPr="00F70FB9">
        <w:rPr>
          <w:rFonts w:asciiTheme="minorEastAsia" w:eastAsiaTheme="minorEastAsia" w:hAnsiTheme="minorEastAsia" w:hint="eastAsia"/>
          <w:color w:val="000000" w:themeColor="text1"/>
        </w:rPr>
        <w:t>特定投资标的</w:t>
      </w:r>
      <w:r w:rsidRPr="00F70FB9">
        <w:rPr>
          <w:rFonts w:asciiTheme="minorEastAsia" w:eastAsiaTheme="minorEastAsia" w:hAnsiTheme="minorEastAsia"/>
          <w:color w:val="000000" w:themeColor="text1"/>
        </w:rPr>
        <w:t>市场流动性相对不足而无法按预期的价格买进或卖出；二是为应付投资者的赎回，基金管理人的现金支付出现困难，被迫在不适当的价格大量抛售股票</w:t>
      </w:r>
      <w:r w:rsidRPr="00F70FB9">
        <w:rPr>
          <w:rFonts w:asciiTheme="minorEastAsia" w:eastAsiaTheme="minorEastAsia" w:hAnsiTheme="minorEastAsia" w:hint="eastAsia"/>
          <w:color w:val="000000" w:themeColor="text1"/>
        </w:rPr>
        <w:t>、</w:t>
      </w:r>
      <w:r w:rsidRPr="00F70FB9">
        <w:rPr>
          <w:rFonts w:asciiTheme="minorEastAsia" w:eastAsiaTheme="minorEastAsia" w:hAnsiTheme="minorEastAsia"/>
          <w:color w:val="000000" w:themeColor="text1"/>
        </w:rPr>
        <w:t>债券</w:t>
      </w:r>
      <w:r w:rsidRPr="00F70FB9">
        <w:rPr>
          <w:rFonts w:asciiTheme="minorEastAsia" w:eastAsiaTheme="minorEastAsia" w:hAnsiTheme="minorEastAsia" w:hint="eastAsia"/>
          <w:color w:val="000000" w:themeColor="text1"/>
        </w:rPr>
        <w:t>或其他资产</w:t>
      </w:r>
      <w:r w:rsidRPr="00F70FB9">
        <w:rPr>
          <w:rFonts w:asciiTheme="minorEastAsia" w:eastAsiaTheme="minorEastAsia" w:hAnsiTheme="minorEastAsia"/>
          <w:color w:val="000000" w:themeColor="text1"/>
        </w:rPr>
        <w:t>。两者均可能使基金净值受到不利影响。</w:t>
      </w:r>
    </w:p>
    <w:p w:rsidR="00074EE6" w:rsidRPr="00F70FB9" w:rsidP="00074EE6">
      <w:pPr>
        <w:spacing w:line="360" w:lineRule="auto"/>
        <w:ind w:firstLine="420" w:firstLineChars="200"/>
        <w:rPr>
          <w:rFonts w:asciiTheme="minorEastAsia" w:eastAsiaTheme="minorEastAsia" w:hAnsiTheme="minorEastAsia"/>
          <w:color w:val="000000" w:themeColor="text1"/>
        </w:rPr>
      </w:pPr>
      <w:bookmarkStart w:id="94" w:name="_Toc332373576"/>
      <w:r w:rsidRPr="00F70FB9">
        <w:rPr>
          <w:rFonts w:asciiTheme="minorEastAsia" w:eastAsiaTheme="minorEastAsia" w:hAnsiTheme="minorEastAsia" w:hint="eastAsia"/>
          <w:color w:val="000000" w:themeColor="text1"/>
        </w:rPr>
        <w:t>2、巨额赎回情形下的流动性风险管理措施</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w:t>
      </w:r>
      <w:r w:rsidRPr="00F70FB9">
        <w:rPr>
          <w:rFonts w:asciiTheme="minorEastAsia" w:eastAsiaTheme="minorEastAsia" w:hAnsiTheme="minorEastAsia" w:hint="eastAsia"/>
          <w:color w:val="000000" w:themeColor="text1"/>
        </w:rPr>
        <w:t>（十一）拒绝或暂停申购、暂停赎回</w:t>
      </w:r>
      <w:r w:rsidRPr="00F70FB9">
        <w:rPr>
          <w:rFonts w:asciiTheme="minorEastAsia" w:eastAsiaTheme="minorEastAsia" w:hAnsiTheme="minorEastAsia" w:hint="eastAsia"/>
          <w:color w:val="000000" w:themeColor="text1"/>
          <w:szCs w:val="21"/>
        </w:rPr>
        <w:t>或延缓支付赎回款项</w:t>
      </w:r>
      <w:r w:rsidRPr="00F70FB9">
        <w:rPr>
          <w:rFonts w:asciiTheme="minorEastAsia" w:eastAsiaTheme="minorEastAsia" w:hAnsiTheme="minorEastAsia" w:hint="eastAsia"/>
          <w:color w:val="000000" w:themeColor="text1"/>
        </w:rPr>
        <w:t>的情形及处理”的相关规定。</w:t>
      </w:r>
      <w:r w:rsidRPr="00F70FB9">
        <w:rPr>
          <w:rFonts w:asciiTheme="minorEastAsia" w:eastAsiaTheme="minorEastAsia" w:hAnsiTheme="minorEastAsia" w:hint="eastAsia"/>
          <w:color w:val="000000" w:themeColor="text1"/>
          <w:szCs w:val="21"/>
        </w:rPr>
        <w:t>若本基金暂停赎回申请，投</w:t>
      </w:r>
      <w:r w:rsidRPr="00F70FB9">
        <w:rPr>
          <w:rFonts w:asciiTheme="minorEastAsia" w:eastAsiaTheme="minorEastAsia" w:hAnsiTheme="minorEastAsia" w:hint="eastAsia"/>
          <w:color w:val="000000" w:themeColor="text1"/>
        </w:rPr>
        <w:t>资者在暂停赎回期间将无法赎回其持有的基金份额。若</w:t>
      </w:r>
      <w:r w:rsidRPr="00F70FB9">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暂停基金估值的情形、程序见招募说明书“十四、基金资产的估值”之“（六）暂停估值的情形”的相关规定。若本基金暂停基金估值，一方面投资者将无法知晓本基金的基金份额净值，另一方面基金将</w:t>
      </w:r>
      <w:r w:rsidRPr="00F70FB9">
        <w:rPr>
          <w:rFonts w:asciiTheme="minorEastAsia" w:eastAsiaTheme="minorEastAsia" w:hAnsiTheme="minorEastAsia" w:hint="eastAsia"/>
          <w:color w:val="000000" w:themeColor="text1"/>
        </w:rPr>
        <w:t>延缓支付赎回款项或</w:t>
      </w:r>
      <w:r w:rsidRPr="00F70FB9">
        <w:rPr>
          <w:rFonts w:asciiTheme="minorEastAsia" w:eastAsiaTheme="minorEastAsia" w:hAnsiTheme="minorEastAsia" w:hint="eastAsia"/>
          <w:color w:val="000000" w:themeColor="text1"/>
          <w:szCs w:val="21"/>
        </w:rPr>
        <w:t>暂停接受申购赎回申请，</w:t>
      </w:r>
      <w:r w:rsidRPr="00F70FB9">
        <w:rPr>
          <w:rFonts w:asciiTheme="minorEastAsia" w:eastAsiaTheme="minorEastAsia" w:hAnsiTheme="minorEastAsia" w:hint="eastAsia"/>
          <w:color w:val="000000" w:themeColor="text1"/>
        </w:rPr>
        <w:t>延缓支付赎回款项可能影响投资者的资金安排，</w:t>
      </w:r>
      <w:r w:rsidRPr="00F70FB9">
        <w:rPr>
          <w:rFonts w:asciiTheme="minorEastAsia" w:eastAsiaTheme="minorEastAsia" w:hAnsiTheme="minorEastAsia" w:hint="eastAsia"/>
          <w:color w:val="000000" w:themeColor="text1"/>
          <w:szCs w:val="21"/>
        </w:rPr>
        <w:t>暂停接受申购赎回申请将导致投资者无法申购或赎回本基金。</w:t>
      </w:r>
    </w:p>
    <w:p w:rsidR="00074EE6" w:rsidRPr="00F70FB9" w:rsidP="00074EE6">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（三）管理风险</w:t>
      </w:r>
    </w:p>
    <w:bookmarkEnd w:id="94"/>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1、在基金管理运作过程中，基金管理人的知识、经验、判断、决策、技能等，会影响其对信息的占有以及对经济形势、证券价格走势的判断，从而影响基金收益水平。</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2、基金管理人的管理手段和管理技术等因素的变化也会影响基金收益水平。</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（四）本基金投资特定品种的特有风险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、本基金是灵活配置混合型基金，基金资产可投资于债券市场和股票市场，其中股票资产占基金资产的比例为</w:t>
      </w:r>
      <w:r w:rsidRPr="00F70FB9">
        <w:rPr>
          <w:rFonts w:asciiTheme="minorEastAsia" w:eastAsiaTheme="minorEastAsia" w:hAnsiTheme="minorEastAsia"/>
          <w:color w:val="000000" w:themeColor="text1"/>
          <w:kern w:val="0"/>
          <w:szCs w:val="21"/>
        </w:rPr>
        <w:t>0%</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95%</w:t>
      </w:r>
      <w:r w:rsidRPr="00F70FB9">
        <w:rPr>
          <w:rFonts w:asciiTheme="minorEastAsia" w:eastAsiaTheme="minorEastAsia" w:hAnsiTheme="minorEastAsia" w:hint="eastAsia"/>
          <w:color w:val="000000" w:themeColor="text1"/>
          <w:kern w:val="0"/>
          <w:szCs w:val="21"/>
        </w:rPr>
        <w:t>，当股票市场或债券市场上行时，本基金可能过少配置相关资产从而无法获得相应收益；当股票市场或债券市场下行时，本基金可能过多配置相关资产从而导致较大损失，相关市场变化以及本基金的资产配置情况将影响基金业绩表现。</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、本基金投资范围包括股指期货、国债期货等金融衍生品，股指期货、国债期货等金融衍生品投资可能给本基金带来额外风</w:t>
      </w:r>
      <w:r w:rsidRPr="00F70FB9">
        <w:rPr>
          <w:rFonts w:asciiTheme="minorEastAsia" w:eastAsiaTheme="minorEastAsia" w:hAnsiTheme="minorEastAsia" w:hint="eastAsia"/>
          <w:color w:val="000000" w:themeColor="text1"/>
        </w:rPr>
        <w:t>险。投资股指期货</w:t>
      </w:r>
      <w:r w:rsidRPr="00F70FB9">
        <w:rPr>
          <w:rFonts w:asciiTheme="minorEastAsia" w:eastAsiaTheme="minorEastAsia" w:hAnsiTheme="minorEastAsia" w:hint="eastAsia"/>
          <w:bCs/>
          <w:color w:val="000000" w:themeColor="text1"/>
          <w:szCs w:val="21"/>
        </w:rPr>
        <w:t>、国债期货</w:t>
      </w:r>
      <w:r w:rsidRPr="00F70FB9">
        <w:rPr>
          <w:rFonts w:asciiTheme="minorEastAsia" w:eastAsiaTheme="minorEastAsia" w:hAnsiTheme="minorEastAsia" w:hint="eastAsia"/>
          <w:color w:val="000000" w:themeColor="text1"/>
        </w:rPr>
        <w:t>的风险包括但不限于杠杆风险、保证金风险、期货价格与基金投资品种价格的相关度降低带来的风险等。由此可能增加本基金净值的波动性。</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3、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科创板股票在发行、上市、交易、退市等方面的规则与其他板块存在差异，基金投资科创板股票的风险包括但不限于：</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w:t>
      </w:r>
      <w:r w:rsidRPr="00F70FB9">
        <w:rPr>
          <w:rFonts w:asciiTheme="minorEastAsia" w:eastAsiaTheme="minorEastAsia" w:hAnsiTheme="minorEastAsia"/>
          <w:color w:val="000000" w:themeColor="text1"/>
        </w:rPr>
        <w:t>1</w:t>
      </w:r>
      <w:r w:rsidRPr="00F70FB9">
        <w:rPr>
          <w:rFonts w:asciiTheme="minorEastAsia" w:eastAsiaTheme="minorEastAsia" w:hAnsiTheme="minorEastAsia" w:hint="eastAsia"/>
          <w:color w:val="000000" w:themeColor="text1"/>
        </w:rPr>
        <w:t>）科创板企业退市风险</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w:t>
      </w:r>
      <w:r w:rsidRPr="00F70FB9">
        <w:rPr>
          <w:rFonts w:asciiTheme="minorEastAsia" w:eastAsiaTheme="minorEastAsia" w:hAnsiTheme="minorEastAsia"/>
          <w:color w:val="000000" w:themeColor="text1"/>
        </w:rPr>
        <w:t>2</w:t>
      </w:r>
      <w:r w:rsidRPr="00F70FB9">
        <w:rPr>
          <w:rFonts w:asciiTheme="minorEastAsia" w:eastAsiaTheme="minorEastAsia" w:hAnsiTheme="minorEastAsia" w:hint="eastAsia"/>
          <w:color w:val="000000" w:themeColor="text1"/>
        </w:rPr>
        <w:t>）市场风险</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科创板企业相对集中于新一代信息技术、高端装备、新材料、新能源、节能环保及生物</w:t>
      </w:r>
      <w:r w:rsidRPr="00F70FB9">
        <w:rPr>
          <w:rFonts w:asciiTheme="minorEastAsia" w:eastAsiaTheme="minorEastAsia" w:hAnsiTheme="minorEastAsia" w:hint="eastAsia"/>
          <w:color w:val="000000" w:themeColor="text1"/>
        </w:rPr>
        <w:t>医药等高新技术和战略新兴产业领域，大多数企业为初创型公司，上市门槛略低于</w:t>
      </w:r>
      <w:r w:rsidRPr="00F70FB9">
        <w:rPr>
          <w:rFonts w:asciiTheme="minorEastAsia" w:eastAsiaTheme="minorEastAsia" w:hAnsiTheme="minorEastAsia"/>
          <w:color w:val="000000" w:themeColor="text1"/>
        </w:rPr>
        <w:t>A</w:t>
      </w:r>
      <w:r w:rsidRPr="00F70FB9">
        <w:rPr>
          <w:rFonts w:asciiTheme="minorEastAsia" w:eastAsiaTheme="minorEastAsia" w:hAnsiTheme="minorEastAsia" w:hint="eastAsia"/>
          <w:color w:val="000000" w:themeColor="text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F70FB9">
        <w:rPr>
          <w:rFonts w:asciiTheme="minorEastAsia" w:eastAsiaTheme="minorEastAsia" w:hAnsiTheme="minorEastAsia"/>
          <w:color w:val="000000" w:themeColor="text1"/>
        </w:rPr>
        <w:t>5</w:t>
      </w:r>
      <w:r w:rsidRPr="00F70FB9">
        <w:rPr>
          <w:rFonts w:asciiTheme="minorEastAsia" w:eastAsiaTheme="minorEastAsia" w:hAnsiTheme="minorEastAsia" w:hint="eastAsia"/>
          <w:color w:val="000000" w:themeColor="text1"/>
        </w:rPr>
        <w:t>个交易日不设涨跌幅限制，其后涨跌幅限制为</w:t>
      </w:r>
      <w:r w:rsidRPr="00F70FB9">
        <w:rPr>
          <w:rFonts w:asciiTheme="minorEastAsia" w:eastAsiaTheme="minorEastAsia" w:hAnsiTheme="minorEastAsia"/>
          <w:color w:val="000000" w:themeColor="text1"/>
        </w:rPr>
        <w:t>20%</w:t>
      </w:r>
      <w:r w:rsidRPr="00F70FB9">
        <w:rPr>
          <w:rFonts w:asciiTheme="minorEastAsia" w:eastAsiaTheme="minorEastAsia" w:hAnsiTheme="minorEastAsia" w:hint="eastAsia"/>
          <w:color w:val="000000" w:themeColor="text1"/>
        </w:rPr>
        <w:t>）、科创板股票上市首日即可作为融资融券标的，可能导致较大的股票价格波动。</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w:t>
      </w:r>
      <w:r w:rsidRPr="00F70FB9">
        <w:rPr>
          <w:rFonts w:asciiTheme="minorEastAsia" w:eastAsiaTheme="minorEastAsia" w:hAnsiTheme="minorEastAsia"/>
          <w:color w:val="000000" w:themeColor="text1"/>
        </w:rPr>
        <w:t>3</w:t>
      </w:r>
      <w:r w:rsidRPr="00F70FB9">
        <w:rPr>
          <w:rFonts w:asciiTheme="minorEastAsia" w:eastAsiaTheme="minorEastAsia" w:hAnsiTheme="minorEastAsia" w:hint="eastAsia"/>
          <w:color w:val="000000" w:themeColor="text1"/>
        </w:rPr>
        <w:t>）流动性风险</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074EE6" w:rsidRPr="00F70FB9" w:rsidP="00074EE6">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w:t>
      </w:r>
      <w:r w:rsidRPr="00F70FB9">
        <w:rPr>
          <w:rFonts w:asciiTheme="minorEastAsia" w:eastAsiaTheme="minorEastAsia" w:hAnsiTheme="minorEastAsia"/>
          <w:color w:val="000000" w:themeColor="text1"/>
        </w:rPr>
        <w:t>4</w:t>
      </w:r>
      <w:r w:rsidRPr="00F70FB9">
        <w:rPr>
          <w:rFonts w:asciiTheme="minorEastAsia" w:eastAsiaTheme="minorEastAsia" w:hAnsiTheme="minorEastAsia" w:hint="eastAsia"/>
          <w:color w:val="000000" w:themeColor="text1"/>
        </w:rPr>
        <w:t>）监管规则变化的风险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rPr>
        <w:t>科创板股票相关法律、行政法规、部门规章、规范性文件和交易所业务规则，可能根据市场情况进行修改完善，或者补充制定新的法律法规和业务规则，导致基金投资运作产生相应调整变化。</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本基金投资范围包括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5、本基金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6、投资于存托凭证的风险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w:t>
      </w:r>
      <w:r w:rsidRPr="00F70FB9">
        <w:rPr>
          <w:rFonts w:asciiTheme="minorEastAsia" w:eastAsiaTheme="minorEastAsia" w:hAnsiTheme="minorEastAsia" w:hint="eastAsia"/>
          <w:color w:val="000000" w:themeColor="text1"/>
          <w:kern w:val="0"/>
          <w:szCs w:val="21"/>
        </w:rPr>
        <w:t>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74EE6" w:rsidRPr="00F70FB9" w:rsidP="00074EE6">
      <w:pPr>
        <w:snapToGrid w:val="0"/>
        <w:spacing w:line="360" w:lineRule="auto"/>
        <w:ind w:firstLine="420" w:firstLineChars="200"/>
        <w:rPr>
          <w:rFonts w:asciiTheme="minorEastAsia" w:eastAsiaTheme="minorEastAsia" w:hAnsiTheme="minorEastAsia"/>
          <w:color w:val="000000" w:themeColor="text1"/>
          <w:kern w:val="0"/>
          <w:szCs w:val="21"/>
        </w:rPr>
      </w:pPr>
      <w:bookmarkStart w:id="95" w:name="_Toc332373578"/>
      <w:r w:rsidRPr="00F70FB9">
        <w:rPr>
          <w:rFonts w:asciiTheme="minorEastAsia" w:eastAsiaTheme="minorEastAsia" w:hAnsiTheme="minorEastAsia" w:hint="eastAsia"/>
          <w:color w:val="000000" w:themeColor="text1"/>
          <w:kern w:val="0"/>
          <w:szCs w:val="21"/>
        </w:rPr>
        <w:t>（五）本基金法律文件中涉及基金风险特征的表述与销售机构对基金的风险评级可能不一致的风险</w:t>
      </w:r>
    </w:p>
    <w:p w:rsidR="00074EE6" w:rsidRPr="00F70FB9" w:rsidP="00074EE6">
      <w:pPr>
        <w:snapToGrid w:val="0"/>
        <w:spacing w:line="360" w:lineRule="auto"/>
        <w:ind w:firstLine="420" w:firstLineChars="200"/>
        <w:rPr>
          <w:rStyle w:val="da"/>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074EE6" w:rsidRPr="00F70FB9" w:rsidP="00074EE6">
      <w:pPr>
        <w:spacing w:line="360" w:lineRule="auto"/>
        <w:ind w:firstLine="420" w:firstLineChars="200"/>
        <w:rPr>
          <w:rStyle w:val="da"/>
          <w:rFonts w:asciiTheme="minorEastAsia" w:eastAsiaTheme="minorEastAsia" w:hAnsiTheme="minorEastAsia"/>
          <w:color w:val="000000" w:themeColor="text1"/>
        </w:rPr>
      </w:pPr>
      <w:r w:rsidRPr="00F70FB9">
        <w:rPr>
          <w:rStyle w:val="da"/>
          <w:rFonts w:asciiTheme="minorEastAsia" w:eastAsiaTheme="minorEastAsia" w:hAnsiTheme="minorEastAsia" w:hint="eastAsia"/>
          <w:color w:val="000000" w:themeColor="text1"/>
        </w:rPr>
        <w:t>（六）其他风险</w:t>
      </w:r>
    </w:p>
    <w:bookmarkEnd w:id="95"/>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1、因技术因素而产生的风险，如电脑等技术系统的故障或差错产生的风险。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2、因战争、自然灾害等不可抗力导致的基金管理人、基金托管人、基金服务机构等机构无法正常工作，从而影响基金运作的风险。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3、因金融市场危机、代理商违约、基金托管人违约等超出基金管理人自身控制能力的因素出现，可能导致基金或者基金份额持有人利益受损的风险。</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4、因固定收益类金融工具主要在场外市场进行交易，场外市场交易现阶段自动化程度较场内市场低，本基金在投资运作过程中可能面临操作风险。</w:t>
      </w:r>
    </w:p>
    <w:p w:rsidR="00970FDC"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5、其他意外导致的风险。</w:t>
      </w:r>
    </w:p>
    <w:p w:rsidR="00BA4B87" w:rsidRPr="00F70FB9" w:rsidP="007025AF">
      <w:pPr>
        <w:spacing w:line="360" w:lineRule="auto"/>
        <w:rPr>
          <w:rFonts w:asciiTheme="minorEastAsia" w:eastAsiaTheme="minorEastAsia" w:hAnsiTheme="minorEastAsia"/>
          <w:color w:val="000000" w:themeColor="text1"/>
        </w:rPr>
      </w:pPr>
    </w:p>
    <w:p w:rsidR="00BA4B87" w:rsidRPr="00F70FB9" w:rsidP="001D2FA9">
      <w:pPr>
        <w:pStyle w:val="Heading1"/>
        <w:spacing w:before="317" w:after="317" w:line="360" w:lineRule="auto"/>
        <w:ind w:firstLine="6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sz w:val="30"/>
        </w:rPr>
        <w:br w:type="column"/>
      </w:r>
      <w:bookmarkStart w:id="96" w:name="_Toc332373579"/>
      <w:bookmarkStart w:id="97" w:name="_Toc103006347"/>
      <w:r w:rsidRPr="00F70FB9" w:rsidR="00DA442D">
        <w:rPr>
          <w:rFonts w:asciiTheme="minorEastAsia" w:eastAsiaTheme="minorEastAsia" w:hAnsiTheme="minorEastAsia" w:hint="eastAsia"/>
          <w:color w:val="000000" w:themeColor="text1"/>
          <w:sz w:val="30"/>
        </w:rPr>
        <w:t>二十</w:t>
      </w:r>
      <w:r w:rsidRPr="00F70FB9">
        <w:rPr>
          <w:rFonts w:asciiTheme="minorEastAsia" w:eastAsiaTheme="minorEastAsia" w:hAnsiTheme="minorEastAsia" w:hint="eastAsia"/>
          <w:color w:val="000000" w:themeColor="text1"/>
          <w:sz w:val="30"/>
        </w:rPr>
        <w:t>、基金合同的变更、终止与基金财产的清算</w:t>
      </w:r>
      <w:bookmarkEnd w:id="97"/>
    </w:p>
    <w:p w:rsidR="00FE1510" w:rsidRPr="00F70FB9" w:rsidP="001D2FA9">
      <w:pPr>
        <w:spacing w:line="360" w:lineRule="auto"/>
        <w:ind w:firstLine="420" w:firstLineChars="200"/>
        <w:rPr>
          <w:rFonts w:asciiTheme="minorEastAsia" w:eastAsiaTheme="minorEastAsia" w:hAnsiTheme="minorEastAsia"/>
          <w:bCs/>
          <w:color w:val="000000" w:themeColor="text1"/>
          <w:szCs w:val="21"/>
        </w:rPr>
      </w:pPr>
      <w:bookmarkStart w:id="98" w:name="_Toc79392639"/>
      <w:bookmarkEnd w:id="96"/>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一</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《基金合同》的变更</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bCs/>
          <w:color w:val="000000" w:themeColor="text1"/>
          <w:kern w:val="0"/>
          <w:szCs w:val="21"/>
        </w:rPr>
        <w:t>1、变更基金合同</w:t>
      </w:r>
      <w:r w:rsidRPr="00F70FB9">
        <w:rPr>
          <w:rFonts w:asciiTheme="minorEastAsia" w:eastAsiaTheme="minorEastAsia" w:hAnsiTheme="minorEastAsia" w:hint="eastAsia"/>
          <w:bCs/>
          <w:color w:val="000000" w:themeColor="text1"/>
          <w:kern w:val="0"/>
          <w:szCs w:val="21"/>
        </w:rPr>
        <w:t>涉及</w:t>
      </w:r>
      <w:r w:rsidRPr="00F70FB9">
        <w:rPr>
          <w:rFonts w:asciiTheme="minorEastAsia" w:eastAsiaTheme="minorEastAsia" w:hAnsiTheme="minorEastAsia"/>
          <w:bCs/>
          <w:color w:val="000000" w:themeColor="text1"/>
          <w:kern w:val="0"/>
          <w:szCs w:val="21"/>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bCs/>
          <w:color w:val="000000" w:themeColor="text1"/>
          <w:kern w:val="0"/>
          <w:szCs w:val="21"/>
        </w:rPr>
        <w:t>2、关于《基金合同》变更的基金份额持有人大会决议</w:t>
      </w:r>
      <w:r w:rsidRPr="00F70FB9">
        <w:rPr>
          <w:rFonts w:asciiTheme="minorEastAsia" w:eastAsiaTheme="minorEastAsia" w:hAnsiTheme="minorEastAsia" w:hint="eastAsia"/>
          <w:bCs/>
          <w:color w:val="000000" w:themeColor="text1"/>
          <w:kern w:val="0"/>
          <w:szCs w:val="21"/>
        </w:rPr>
        <w:t>自表决通过之日起生效</w:t>
      </w:r>
      <w:r w:rsidRPr="00F70FB9">
        <w:rPr>
          <w:rFonts w:asciiTheme="minorEastAsia" w:eastAsiaTheme="minorEastAsia" w:hAnsiTheme="minorEastAsia"/>
          <w:bCs/>
          <w:color w:val="000000" w:themeColor="text1"/>
          <w:kern w:val="0"/>
          <w:szCs w:val="21"/>
        </w:rPr>
        <w:t>，自决议生效后两日内在指定</w:t>
      </w:r>
      <w:r w:rsidRPr="00F70FB9">
        <w:rPr>
          <w:rFonts w:asciiTheme="minorEastAsia" w:eastAsiaTheme="minorEastAsia" w:hAnsiTheme="minorEastAsia" w:hint="eastAsia"/>
          <w:bCs/>
          <w:color w:val="000000" w:themeColor="text1"/>
          <w:kern w:val="0"/>
          <w:szCs w:val="21"/>
        </w:rPr>
        <w:t>媒介</w:t>
      </w:r>
      <w:r w:rsidRPr="00F70FB9">
        <w:rPr>
          <w:rFonts w:asciiTheme="minorEastAsia" w:eastAsiaTheme="minorEastAsia" w:hAnsiTheme="minorEastAsia"/>
          <w:bCs/>
          <w:color w:val="000000" w:themeColor="text1"/>
          <w:kern w:val="0"/>
          <w:szCs w:val="21"/>
        </w:rPr>
        <w:t>公告。</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二</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《基金合同》的终止事由</w:t>
      </w:r>
    </w:p>
    <w:p w:rsidR="000E77BB"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有下列情形之一的，《基金合同》应当终止：</w:t>
      </w:r>
    </w:p>
    <w:p w:rsidR="000E77BB"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1、基金份额持有人大会决定终止的；</w:t>
      </w:r>
    </w:p>
    <w:p w:rsidR="000E77BB"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2、基金管理人、基金托管人职责终止，在6个月内没有新基金管理人、新基金托管人承接的；</w:t>
      </w:r>
    </w:p>
    <w:p w:rsidR="000E77BB"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3、《基金合同》约定的其他情形；</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4、相关法律法规和中国证监会规定的其他情况。</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三</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基金财产的清算</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3、基金财产清算小组职责：基金财产清算小组负责基金财产的保管、清理、估价、变现和分配。基金财产清算小组可以依法进行必要的民事活动。</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4、基金财产清算程序：</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（1）《基金合同》终止情形出现时，由基金财产清算小组统一接管基金；</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（2）对基金财产和债权债务进行清理和确认；</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（3）对基金财产进行估值和变现；</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（4）制作清算报告；</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（5）聘请会计师事务所对清算报告进行外部审计，聘请律师事务所对清算报告出具法律意见书；</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（6）将清算报告报中国证监会备案并公告；</w:t>
      </w:r>
    </w:p>
    <w:p w:rsidR="000E77BB" w:rsidRPr="00F70FB9">
      <w:pPr>
        <w:spacing w:line="360" w:lineRule="auto"/>
        <w:ind w:firstLine="420" w:firstLineChars="200"/>
        <w:rPr>
          <w:rFonts w:asciiTheme="minorEastAsia" w:eastAsiaTheme="minorEastAsia" w:hAnsiTheme="minorEastAsia"/>
          <w:bCs/>
          <w:color w:val="000000" w:themeColor="text1"/>
          <w:kern w:val="0"/>
          <w:szCs w:val="21"/>
        </w:rPr>
      </w:pPr>
      <w:r w:rsidRPr="00F70FB9">
        <w:rPr>
          <w:rFonts w:asciiTheme="minorEastAsia" w:eastAsiaTheme="minorEastAsia" w:hAnsiTheme="minorEastAsia" w:hint="eastAsia"/>
          <w:bCs/>
          <w:color w:val="000000" w:themeColor="text1"/>
          <w:kern w:val="0"/>
          <w:szCs w:val="21"/>
        </w:rPr>
        <w:t>（7）对基金财产进行分配。</w:t>
      </w:r>
    </w:p>
    <w:p w:rsidR="00CB50D7"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bCs/>
          <w:color w:val="000000" w:themeColor="text1"/>
          <w:kern w:val="0"/>
          <w:szCs w:val="21"/>
        </w:rPr>
        <w:t>5、基金财产清算的期限为6个月，但因本基金所持证券的流动性受到限制而不能及时变现的，清算期限相应顺延。</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四</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清算费用</w:t>
      </w:r>
    </w:p>
    <w:p w:rsidR="000E77BB"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五</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基金财产清算剩余资产的分配</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r w:rsidRPr="00F70FB9">
        <w:rPr>
          <w:rFonts w:asciiTheme="minorEastAsia" w:eastAsiaTheme="minorEastAsia" w:hAnsiTheme="minorEastAsia"/>
          <w:color w:val="000000" w:themeColor="text1"/>
          <w:kern w:val="0"/>
          <w:szCs w:val="21"/>
        </w:rPr>
        <w:t>。</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六</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基金财产清算的公告</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Pr="00F70FB9">
        <w:rPr>
          <w:rFonts w:asciiTheme="minorEastAsia" w:eastAsiaTheme="minorEastAsia" w:hAnsiTheme="minorEastAsia"/>
          <w:color w:val="000000" w:themeColor="text1"/>
          <w:kern w:val="0"/>
          <w:szCs w:val="21"/>
        </w:rPr>
        <w:t>。</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七</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基金财产清算账册及文件的保存</w:t>
      </w:r>
    </w:p>
    <w:p w:rsidR="00FE1510" w:rsidRPr="00F70FB9">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基金财产清算账册及有关文件由基金托管人保存</w:t>
      </w:r>
      <w:r w:rsidRPr="00F70FB9">
        <w:rPr>
          <w:rFonts w:asciiTheme="minorEastAsia" w:eastAsiaTheme="minorEastAsia" w:hAnsiTheme="minorEastAsia" w:hint="eastAsia"/>
          <w:color w:val="000000" w:themeColor="text1"/>
          <w:kern w:val="0"/>
          <w:szCs w:val="21"/>
        </w:rPr>
        <w:t>15</w:t>
      </w:r>
      <w:r w:rsidRPr="00F70FB9">
        <w:rPr>
          <w:rFonts w:asciiTheme="minorEastAsia" w:eastAsiaTheme="minorEastAsia" w:hAnsiTheme="minorEastAsia"/>
          <w:color w:val="000000" w:themeColor="text1"/>
          <w:kern w:val="0"/>
          <w:szCs w:val="21"/>
        </w:rPr>
        <w:t>年以上。</w:t>
      </w:r>
    </w:p>
    <w:bookmarkEnd w:id="98"/>
    <w:p w:rsidR="00CA57BD" w:rsidRPr="00F70FB9">
      <w:pPr>
        <w:spacing w:line="360" w:lineRule="auto"/>
        <w:ind w:firstLine="480" w:firstLineChars="200"/>
        <w:rPr>
          <w:rFonts w:asciiTheme="minorEastAsia" w:eastAsiaTheme="minorEastAsia" w:hAnsiTheme="minorEastAsia"/>
          <w:bCs/>
          <w:color w:val="000000" w:themeColor="text1"/>
          <w:sz w:val="24"/>
        </w:rPr>
      </w:pPr>
    </w:p>
    <w:p w:rsidR="00BA4B87" w:rsidRPr="00F70FB9">
      <w:pPr>
        <w:spacing w:line="360" w:lineRule="auto"/>
        <w:ind w:firstLine="420" w:firstLineChars="200"/>
        <w:rPr>
          <w:rFonts w:asciiTheme="minorEastAsia" w:eastAsiaTheme="minorEastAsia" w:hAnsiTheme="minorEastAsia"/>
          <w:color w:val="000000" w:themeColor="text1"/>
          <w:kern w:val="0"/>
          <w:szCs w:val="21"/>
        </w:rPr>
      </w:pPr>
    </w:p>
    <w:p w:rsidR="00BA4B87" w:rsidRPr="00F70FB9">
      <w:pPr>
        <w:pStyle w:val="Heading1"/>
        <w:spacing w:before="317" w:after="317" w:line="360" w:lineRule="auto"/>
        <w:ind w:firstLine="600"/>
        <w:rPr>
          <w:rFonts w:asciiTheme="minorEastAsia" w:eastAsiaTheme="minorEastAsia" w:hAnsiTheme="minorEastAsia"/>
          <w:color w:val="000000" w:themeColor="text1"/>
          <w:kern w:val="44"/>
          <w:sz w:val="28"/>
          <w:szCs w:val="44"/>
        </w:rPr>
      </w:pPr>
      <w:r w:rsidRPr="00F70FB9">
        <w:rPr>
          <w:rFonts w:asciiTheme="minorEastAsia" w:eastAsiaTheme="minorEastAsia" w:hAnsiTheme="minorEastAsia" w:hint="eastAsia"/>
          <w:color w:val="000000" w:themeColor="text1"/>
          <w:sz w:val="30"/>
        </w:rPr>
        <w:br w:type="column"/>
      </w:r>
      <w:bookmarkStart w:id="99" w:name="_Toc103006348"/>
      <w:r w:rsidRPr="00F70FB9">
        <w:rPr>
          <w:rFonts w:asciiTheme="minorEastAsia" w:eastAsiaTheme="minorEastAsia" w:hAnsiTheme="minorEastAsia" w:hint="eastAsia"/>
          <w:color w:val="000000" w:themeColor="text1"/>
          <w:sz w:val="30"/>
        </w:rPr>
        <w:t>二</w:t>
      </w:r>
      <w:bookmarkStart w:id="100" w:name="_Toc332373588"/>
      <w:r w:rsidRPr="00F70FB9">
        <w:rPr>
          <w:rFonts w:asciiTheme="minorEastAsia" w:eastAsiaTheme="minorEastAsia" w:hAnsiTheme="minorEastAsia" w:hint="eastAsia"/>
          <w:color w:val="000000" w:themeColor="text1"/>
          <w:sz w:val="30"/>
        </w:rPr>
        <w:t>十</w:t>
      </w:r>
      <w:r w:rsidRPr="00F70FB9" w:rsidR="00DA442D">
        <w:rPr>
          <w:rFonts w:asciiTheme="minorEastAsia" w:eastAsiaTheme="minorEastAsia" w:hAnsiTheme="minorEastAsia" w:hint="eastAsia"/>
          <w:color w:val="000000" w:themeColor="text1"/>
          <w:sz w:val="30"/>
        </w:rPr>
        <w:t>一</w:t>
      </w:r>
      <w:r w:rsidRPr="00F70FB9">
        <w:rPr>
          <w:rFonts w:asciiTheme="minorEastAsia" w:eastAsiaTheme="minorEastAsia" w:hAnsiTheme="minorEastAsia" w:hint="eastAsia"/>
          <w:color w:val="000000" w:themeColor="text1"/>
          <w:sz w:val="30"/>
        </w:rPr>
        <w:t>、基金合同摘要</w:t>
      </w:r>
      <w:bookmarkEnd w:id="99"/>
    </w:p>
    <w:bookmarkEnd w:id="100"/>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一、基金份额持有人、基金管理人和基金托管人的权利、义务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（一）基金份额持有人的权利、义务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1、根据《基金法》、《运作办法》及其他有关规定，基金份额持有人的权利包括但不限于：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（1）分享基金财产收益；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（2）参与分配清算后的剩余基金财产；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（3）依法申请赎回或转让其持有的基金份额；</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（4）按照规定要求召开基金份额持有人大会或者召集基金份额持有人大会；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（5）出席或者委派代表出席基金份额持有人大会，对基金份额持有人大会审议事项行使表决权；</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（6）查阅或者复制公开披露的基金信息资料；</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（7）监督基金管理人的投资运作；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（8）对基金管理人、基金托管人、基金服务机构损害其合法权益的行为依法提起诉讼或仲裁；</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（9）法律法规及中国证监会规定的和《基金合同》约定的其他权利。</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2、根据《基金法》、《运作办法》及其他有关规定，基金份额持有人的义务包括但不限于：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（1）认真阅读并遵守《基金合同》、招募说明书等信息披露文件；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（2）了解所投资基金产品，了解自身风险承受能力，自主判断基金的投资价值，自主做出投资决策，自行承担投资风险；</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（3）关注基金信息披露，及时行使权利和履行义务；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（4）缴纳基金认购、申购款项及法律法规和《基金合同》所规定的费用；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（5）在其持有的基金份额范围内，承担基金亏损或者《基金合同》终止的有限责任；</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（6）不从事任何有损基金及其他《基金合同》当事人合法权益的活动；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（7）执行生效的基金份额持有人大会的决定；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（8）返还在基金交易过程中因任何原因获得的不当得利；</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（9）法律法规及中国证监会规定的和《基金合同》约定的其他义务。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（二）基金管理人的权利与义务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1、根据《基金法》、《运作办法》及其他有关规定，基金管理人的权利包括但不限于：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（1）依法募集资金；</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（2）自《基金合同》生效之日起，根据法律法规和《基金合同》独立运用并管理基金财产；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（3）依照《基金合同》收取基金管理费以及法律法规规定或中国证监会批准的其他费用；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（4）销售基金份额；</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（5）召集基金份额持有人大会；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（7）在基金托管人更换时，提名新的基金托管人；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（8）选择、更换基金销售机构，对基金销售机构的相关行为进行监督和处理；</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（9）担任或委托其他符合条件的机构担任基金登记机构办理基金登记业务并获得《基金合同》规定的费用；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（10）依据《基金合同》及有关法律规定决定基金收益的分配方案；</w:t>
      </w:r>
      <w:r w:rsidRPr="00F70FB9">
        <w:rPr>
          <w:rFonts w:asciiTheme="minorEastAsia" w:eastAsiaTheme="minorEastAsia" w:hAnsiTheme="minorEastAsia" w:hint="eastAsia"/>
          <w:bCs/>
          <w:color w:val="000000" w:themeColor="text1"/>
          <w:szCs w:val="21"/>
        </w:rPr>
        <w:tab/>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（11）在《基金合同》约定的范围内，拒绝或暂停受理申购、赎回和转换申请；</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（12）在不违反法律法规和监管规定且对基金份额持有人利益无实质不利影响的前提下，为支付本基金应付的赎回、交易清算等款项，基金管理人有权代表基金份额持有人以基金资产作为质押进行融资；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（13）依照法律法规为基金的利益对被投资公司行使股东权利，为基金的利益行使因基金财产投资于证券所产生的权利；</w:t>
      </w:r>
      <w:r w:rsidRPr="00F70FB9">
        <w:rPr>
          <w:rFonts w:asciiTheme="minorEastAsia" w:eastAsiaTheme="minorEastAsia" w:hAnsiTheme="minorEastAsia" w:hint="eastAsia"/>
          <w:bCs/>
          <w:color w:val="000000" w:themeColor="text1"/>
          <w:szCs w:val="21"/>
        </w:rPr>
        <w:tab/>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（14）在法律法规允许的前提下，为基金的利益依法进行融资、融券；</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（15）以基金管理人的名义，代表基金份额持有人的利益行使诉讼权利或者实施其他法律行为；</w:t>
      </w:r>
      <w:r w:rsidRPr="00F70FB9">
        <w:rPr>
          <w:rFonts w:asciiTheme="minorEastAsia" w:eastAsiaTheme="minorEastAsia" w:hAnsiTheme="minorEastAsia" w:hint="eastAsia"/>
          <w:bCs/>
          <w:color w:val="000000" w:themeColor="text1"/>
          <w:szCs w:val="21"/>
        </w:rPr>
        <w:tab/>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（16）选择、更换律师事务所、会计师事务所、证券经纪商或其他为基金提供服务的外部机构；</w:t>
      </w:r>
      <w:r w:rsidRPr="00F70FB9">
        <w:rPr>
          <w:rFonts w:asciiTheme="minorEastAsia" w:eastAsiaTheme="minorEastAsia" w:hAnsiTheme="minorEastAsia" w:hint="eastAsia"/>
          <w:bCs/>
          <w:color w:val="000000" w:themeColor="text1"/>
          <w:szCs w:val="21"/>
        </w:rPr>
        <w:tab/>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（17）在符合有关法律、法规的前提下，制订和调整有关基金认购、申购、赎回、转换、非交易过户、转托管和收益分配等业务规则；</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（18）法律法规及中国证监会规定的和《基金合同》约定的其他权利。</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2、根据《基金法》、《运作办法》及其他有关规定，基金管理人的义务包括但不限于：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（1）依法募集资金，办理或者委托经中国证监会认定的其他机构办理基金份额的发售、申购、赎回和登记事宜；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（2）办理基金备案手续；</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（3）自《基金合同》生效之日起,以诚实信用、谨慎勤勉的原则管理和运用基金财产；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（4）配备足够的具有专业资格的人员进行基金投资分析、决策，以专业化的经营方式管理和运作基金财产；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（6）除依据《基金法》、《基金合同》及其他有关规定外,不得利用基金财产为自己及任何第三人谋取利益，不得委托第三人运作基金财产；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（7）依法接受基金托管人的监督；</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（8）采取适当合理的措施使计算基金份额认购、申购、赎回和注销价格的方法符合《基金合同》等法律文件的规定，按有关规定计算并公告基金净值信息，确定基金份额申购、赎回的价格；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（9）进行基金会计核算并编制基金财务会计报告；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（10）编制季度报告、中期报告和年度报告；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（11）</w:t>
      </w:r>
      <w:r w:rsidRPr="00F70FB9">
        <w:rPr>
          <w:rFonts w:asciiTheme="minorEastAsia" w:eastAsiaTheme="minorEastAsia" w:hAnsiTheme="minorEastAsia" w:hint="eastAsia"/>
          <w:bCs/>
          <w:color w:val="000000" w:themeColor="text1"/>
          <w:szCs w:val="21"/>
        </w:rPr>
        <w:tab/>
        <w:t>严格按照《基金法》、《基金合同》及其他有关规定，履行信息披露及报告义务；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（12）保守基金商业秘密，不泄露基金投资计划、投资意向等。除《基金法》、《基金合同》及其他有关规定另有规定外，在基金信息公开披露前应予保密，不向他人泄露；</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（13）按《基金合同》的约定确定基金收益分配方案，及时向基金份额持有人分配基金收益；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（14）按规定受理申购与赎回申请，及时、足额支付赎回款项；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（15）依据《基金法》、《基金合同》及其他有关规定召集基金份额持有人大会或配合基金托管人、基金份额持有人依法召集基金份额持有人大会；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（16）按规定保存基金财产管理业务活动的会计账册、报表、记录和其他相关资料15年以上；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（18）组织并参加基金财产清算小组,参与基金财产的保管、清理、估价、变现和分配；</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（19）面临解散、依法被撤销或者被依法宣告破产时，及时报告中国证监会并通知基金托管人；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（20）因违反《基金合同》导致基金财产的损失或损害基金份额持有人合法权益时，应当承担赔偿责任，其赔偿责任不因其退任而免除；</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（22）当基金管理人将其义务委托第三方处理时，应当对第三方处理有关基金事务的行为承担责任；</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（23）以基金管理人名义，代表基金份额持有人利益行使诉讼权利或实施其他法律行为；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（25）执行生效的基金份额持有人大会的决议；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（26）建立并保存基金份额持有人名册；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（27）法律法规及中国证监会规定的和《基金合同》约定的其他义务。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（三）基金托管人的权利与义务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1、根据《基金法》、《运作办法》及其他有关规定，基金托管人的权利包括但不限于：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（1）自《基金合同》生效之日起，依法律法规和《基金合同》的规定安全保管基金财产；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（2）依《基金合同》约定获得基金托管费以及法律法规规定或监管部门批准的其他费用；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（3）监督基金管理人对本基金的投资运作，如发现基金管理人有违反《基金合同》及</w:t>
      </w:r>
      <w:r w:rsidRPr="00F70FB9">
        <w:rPr>
          <w:rFonts w:asciiTheme="minorEastAsia" w:eastAsiaTheme="minorEastAsia" w:hAnsiTheme="minorEastAsia" w:hint="eastAsia"/>
          <w:bCs/>
          <w:color w:val="000000" w:themeColor="text1"/>
          <w:szCs w:val="21"/>
        </w:rPr>
        <w:t>国家法律法规行为，对基金财产、其他当事人的利益造成重大损失的情形，应呈报中国证监会，并采取必要措施保护基金投资者的利益；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（4）根据相关市场规则，为基金开设证券账户、为基金办理证券交易资金清算。</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（5）提议召开或召集基金份额持有人大会；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（6）在基金管理人更换时，提名新的基金管理人；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（7）法律法规及中国证监会规定的和《基金合同》约定的其他权利。</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2、根据《基金法》、《运作办法》及其他有关规定，基金托管人的义务包括但不限于：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（1）以诚实信用、勤勉尽责的原则持有并安全保管基金财产；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（2）设立专门的基金托管部门，具有符合要求的营业场所，配备足够的、合格的熟悉基金托管业务的专职人员，负责基金财产托管事宜；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（4）除依据《基金法》、《基金合同》及其他有关规定外，不得利用基金财产为自己及任何第三人谋取利益，不得委托第三人托管基金财产；</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（5）保管由基金管理人代表基金签订的与基金有关的重大合同及有关凭证；</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（6）按规定开设基金财产的资金账户和证券账户,按照《基金合同》的约定，根据基金管理人的投资指令，及时办理清算、交割事宜；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（7）保守基金商业秘密，除《基金法》、《基金合同》及其他有关规定另有规定外，在基金信息公开披露前予以保密，不得向他人泄露；</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（8）复核、审查基金管理人计算的基金资产净值、基金份额净值、基金份额申购、赎回价格；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（9）办理与基金托管业务活动有关的信息披露事项；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（10）对基金财务会计报告、季度报告、中期报告</w:t>
      </w:r>
      <w:r w:rsidRPr="00F70FB9">
        <w:rPr>
          <w:rFonts w:asciiTheme="minorEastAsia" w:eastAsiaTheme="minorEastAsia" w:hAnsiTheme="minorEastAsia"/>
          <w:bCs/>
          <w:color w:val="000000" w:themeColor="text1"/>
          <w:szCs w:val="21"/>
        </w:rPr>
        <w:t>和年度报告</w:t>
      </w:r>
      <w:r w:rsidRPr="00F70FB9">
        <w:rPr>
          <w:rFonts w:asciiTheme="minorEastAsia" w:eastAsiaTheme="minorEastAsia" w:hAnsiTheme="minorEastAsia" w:hint="eastAsia"/>
          <w:bCs/>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（11）保存基金托管业务活动的记录、账册、报表和其他相关资料15年以上；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（12）建立并保存基金份额持有人名册；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（13）按规定制作相关账册并与基金管理人核对；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（14）依据基金管理人的指令或有关规定向基金份额持有人支付基金收益和赎回款项；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（15）依据《基金法》、《基金合同》及其他有关规定，召集基金份额持有人大会或配合基金份额持有人依法召集基金份额持有人大会；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（16）按照法律法规和《基金合同》的规定监督基金管理人的投资运作；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（17）参加基金财产清算小组，参与基金财产的保管、清理、估价、变现和分配；</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（18）面临解散、依法被撤销或者被依法宣告破产时，及时报告中国证监会和银行监管机构，并通知基金管理人；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（19）因违反《基金合同》导致基金财产损失时，应承担赔偿责任，其赔偿责任不因其退任而免除；</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（21）执行生效的基金份额持有人大会的决定；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（22）法律法规及中国证监会规定的和《基金合同》约定的其他义务。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二、基金份额持有人大会召集、议事及表决的程序和规则</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本基金份额持有人大会暂不设日常机构。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（一）召开事由</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1、当出现或需要决定下列事由之一的，应当召开基金份额持有人大会，但法律法规、中国证监会和基金合同另有规定的除外：</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（1）终止《基金合同》；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（2）更换基金管理人；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（3）更换基金托管人；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（4）转换基金运作方式；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（5）调整基金管理人、基金托管人的报酬标准；</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（6）变更基金类别；</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（7）本基金与其他基金的合并；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（8）变更基金投资目标、范围或策略；</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（9）变更基金份额持有人大会程序；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（10）基金管理人或基金托管人要求召开基金份额持有人大会；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（12）对基金当事人权利和义务产生重大影响的其他事项；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（13）法律法规、《基金合同》或中国证监会规定的其他应当召开基金份额持有人大会的事项。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2、以下情况可由基金管理人和基金托管人协商后修改，不需召开基金份额持有人大会：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（1）调低销售服务费和其他应由基金承担的费用；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（2）法律法规要求增加的基金费用的收取；</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（3）在法律法规和《基金合同》规定的范围内调整本基金的申购费率、调低赎回费率或变更收费方式；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（4）因相应的法律法规发生变动而应当对《基金合同》进行修改；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（5）对《基金合同》的修改对基金份额持有人利益无实质性不利影响或修改不涉及《基金合同》当事人权利义务关系发生重大变化；</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（6）基金管理人、基金登记机构、基金销售机构，在法律法规规定或中国证监会许可的范围内调整有关认购、申购、赎回、转换、基金交易、非交易过户、转托管、质押等业务规则；</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（7）在对基金份额持有人利益无实质不利影响的情况下，在法律法规规定或中国证监会许可的范围内基金推出新业务或服务；</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（8）按照法律法规和《基金合同》规定不需召开基金份额持有人大会的其他情形。</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（二）会议召集人及召集方式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1、除法律法规规定或《基金合同》另有约定外，基金份额持有人大会由基金管理人召集；</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2、基金管理人未按规定召集或不能召集时，由基金托管人召集；</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sidRPr="00F70FB9">
        <w:rPr>
          <w:rFonts w:asciiTheme="minorEastAsia" w:eastAsiaTheme="minorEastAsia" w:hAnsiTheme="minorEastAsia" w:hint="eastAsia"/>
          <w:bCs/>
          <w:color w:val="000000" w:themeColor="text1"/>
          <w:szCs w:val="21"/>
        </w:rPr>
        <w:t>基金托管人仍认为有必要召开的，应当由基金托管人自行召集，并自出具书面决定之日起六十日内召开并告知基金管理人，基金管理人应当配合。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6、基金份额持有人会议的召集人负责选择确定开会时间、地点、方式和权益登记日。</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（三）召开基金份额持有人大会的通知时间、通知内容、通知方式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1、召开基金份额持有人大会，召集人应于会议召开前30日，在指定媒介公告。基金份额持有人大会通知应至少载明以下内容：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（1）会议召开的时间、地点和会议形式；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（2）会议拟审议的事项、议事程序和表决方式；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（3）有权出席基金份额持有人大会的基金份额持有人的权益登记日；</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（4）授权委托证明的内容要求（包括但不限于代理人身份，代理权限和代理有效期限等）、送达时间和地点;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（5）会务常设联系人姓名及联系电话；</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（6）出席会议者必须准备的文件和必须履行的手续；</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（7）召集人需要通知的其他事项。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w:t>
      </w:r>
      <w:r w:rsidRPr="00F70FB9">
        <w:rPr>
          <w:rFonts w:asciiTheme="minorEastAsia" w:eastAsiaTheme="minorEastAsia" w:hAnsiTheme="minorEastAsia" w:hint="eastAsia"/>
          <w:bCs/>
          <w:color w:val="000000" w:themeColor="text1"/>
          <w:szCs w:val="21"/>
        </w:rPr>
        <w:t>表决意见寄交的截止时间和收取方式。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（四）基金份额持有人出席会议的方式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基金份额持有人大会可通过现场开会方式、通讯开会方式或法律法规、中国证监会允许的其他方式召开，会议的召开方式由会议召集人确定。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（1）亲自出席会议者持有的有关证明文件、受托出席会议者出示的委托人的代理投票授权委托证明及有关证明文件符合法律法规、《基金合同》和会议通知的规定；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（2）经核对，到会者在权益登记日代表的有效的基金份额不少于本基金在权益登记日基金总份额的50%（含50%）。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在同时符合以下条件时，通讯开会的方式视为有效：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（1）会议召集人按《基金合同》约定公布会议通知后，在2个工作日内连续公布相关提示性公告；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（3）本人直接出具书面意见或授权他人代表出具书面意见的，基金份额持有人所持有的基金份额不小于在权益登记日基金总份额的50%（含50%）；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3、重新召集基金份额持有人大会的条件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5、基金份额持有人授权他人代为出席会议并表决的，授权方式可以采用书面、网络、电话、短信或其他方式，具体方式由会议召集人确定并在会议通知中列明。</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（五）议事内容与程序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1、议事内容及提案权</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基金份额持有人大会不得对未事先公告的议事内容进行表决。</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2、议事程序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（1）现场开会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F70FB9">
        <w:rPr>
          <w:rFonts w:asciiTheme="minorEastAsia" w:eastAsiaTheme="minorEastAsia" w:hAnsiTheme="minorEastAsia" w:hint="eastAsia"/>
          <w:bCs/>
          <w:color w:val="000000" w:themeColor="text1"/>
          <w:szCs w:val="21"/>
        </w:rPr>
        <w:t>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（2）通讯开会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在通讯开会的情况下，首先由召集人提前30日公布提案，在所通知的表决截止日期后2个工作日内在公证机关监督下由召集人统计全部有效表决，在公证机关监督下形成决议。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（六）表决</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基金份额持有人所持每份基金份额有一票表决权。</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基金份额持有人大会决议分为一般决议和特别决议：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基金份额持有人大会采取记名方式进行投票表决。</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（七）计票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1、现场开会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w:t>
      </w:r>
      <w:r w:rsidRPr="00F70FB9">
        <w:rPr>
          <w:rFonts w:asciiTheme="minorEastAsia" w:eastAsiaTheme="minorEastAsia" w:hAnsiTheme="minorEastAsia" w:hint="eastAsia"/>
          <w:bCs/>
          <w:color w:val="000000" w:themeColor="text1"/>
          <w:szCs w:val="21"/>
        </w:rPr>
        <w:t>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（2）监票人应当在基金份额持有人表决后立即进行清点并由大会主持人当场公布计票结果。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（4）计票过程应由公证机关予以公证,基金管理人或基金托管人拒不出席大会的，不影响计票的效力。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2、通讯开会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（八）生效与公告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基金份额持有人大会的决议，自表决通过之日起生效。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基金份额持有人大会的决议，召集人应当自通过之日起5日内报中国证监会备案。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基金份额持有人大会决议自生效之日起2日内在指定媒介上公告。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三、基金收益分配原则、执行方式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（一）基金利润的构成</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（二）基金可供分配利润</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基金可供分配利润指截至收益分配基准日基金未分配利润与未分配利润中已实现收益的孰低数。</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（三）基金收益分配原则</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1、本基金收益分配方式分两种：现金分红与红利再投资，投资者可选择现金红利或将现金红利自动转为基金份额进行再投资；若投资者不选择，本基金默认的收益分配方式是现金分红；</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2、基金收益分配后基金份额净值不能低于面值；即基金收益分配基准日的基金份额净值减去每单位基金份额收益分配金额后不能低于面值；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3、本基金各基金份额类别在费用收取上不同，其对应的可分配收益可能有所不同。同一类别的每一基金份额享有同等分配权；</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4、在对基金份额持有人利益无实质不利影响的前提下，基金管理人可调整基金收益的分配原则和支付方式，不需召开基金份额持有人大会审议；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5、法律法规或监管机关另有规定的，从其规定。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（四）收益分配方案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基金收益分配方案中应载明截止收益分配基准日的可供分配利润、基金收益分配对象、分配时间、分配数额及比例、分配方式等内容。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（五）收益分配方案的确定、公告与实施</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本基金收益分配方案由基金管理人拟定，并由基金托管人复核，在2日内在指定媒介公告。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基金红利发放日距离收益分配基准日（即可供分配利润计算截止日）的时间不得超过15个工作日。</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（六）基金收益分配中发生的费用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四、与基金财产管理、运用有关费用的提取、支付方式与比例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（一）基金费用的种类</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1、基金管理人的管理费；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2、基金托管人的托管费；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3、销售服务费；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4、《基金合同》生效后与基金相关的信息披露费用；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5、《基金合同》生效后与基金相关的会计师费、律师费、诉讼费和仲裁费；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6、基金份额持有人大会费用；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7、基金的证券交易费用；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8、基金的银行汇划费用；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9、证券账户开户费用、银行账户维护费用；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10、按照国家有关规定和《基金合同》约定，可以在基金财产中列支的其他费用。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（二）基金费用计提方法、计提标准和支付方式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1、基金管理人的管理费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本基金的管理费按前一日基金资产净值的0.60%年费率计提。管理费的计算方法如下：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H＝E×0.60%÷当年天数</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H为每日应计提的基金管理费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E为前一日的基金资产净值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日或不可抗力致使无法按时支付等，支付日期顺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2、基金托管人的托管费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本基金的托管费按前一日基金资产净值的0.10%的年费率计提。托管费的计算方法如下：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H＝E×0.10%÷当年天数</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H为每日应计提的基金托管费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E为前一日的基金资产净值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托管费每日计提，逐日累计至每月月末，按月支付。经基金管理人与基金托管人双方核对无误后，基金托管人按照与基金管理人协商一致的方式于次月首日起5个工作日内从基金财产中一次性支付给基金托管人。若遇法定节假日、公休日或不可抗力致使无法按时支</w:t>
      </w:r>
      <w:r w:rsidRPr="00F70FB9">
        <w:rPr>
          <w:rFonts w:asciiTheme="minorEastAsia" w:eastAsiaTheme="minorEastAsia" w:hAnsiTheme="minorEastAsia" w:hint="eastAsia"/>
          <w:bCs/>
          <w:color w:val="000000" w:themeColor="text1"/>
          <w:szCs w:val="21"/>
        </w:rPr>
        <w:t>付等，支付日期顺延。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3、销售服务费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本基金A类基金份额不收取销售服务费，C类基金份额的销售服务费年费率为0.20%，按前一日C类基金资产净值的0.20%年费率计提。</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销售服务费的计算方法如下：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H＝E×0.20%÷当年天数</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H为C类基金份额每日应计提的销售服务费</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E为C类基金份额前一日基金资产净值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销售服务费每日计提，逐日累计至每月月末，按月支付。经基金管理人与基金托管人双方核对无误后，基金托管人按照与基金管理人协商一致的方式于次月首日起5个工作日内从基金财产中一次性支付。若遇法定节假日、公休日或不可抗力致使无法按时支付等，支付日期顺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上述“（一）基金费用的种类中第4－10项费用”，根据有关法规及相应协议规定，按费用实际支出金额列入当期费用，由基金托管人从基金财产中支付。</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（三）不列入基金费用的项目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下列费用不列入基金费用：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1、基金管理人和基金托管人因未履行或未完全履行义务导致的费用支出或基金财产的损失；</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2、基金管理人和基金托管人处理与基金运作无关的事项发生的费用；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3、《基金合同》生效前的相关费用；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4、其他根据相关法律法规及中国证监会的有关规定不得列入基金费用的项目。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（四）费用调整</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基金管理人和基金托管人协商一致后，可按照基金发展情况，并根据法律法规规定和基金合同约定调低销售服务费率等相关费率。</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（五）基金税收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本基金运作过程中涉及的各纳税主体，其纳税义务按国家税收法律、法规执行。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五、基金财产的投资方向和投资限制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（一）投资目标</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本基金在控制风险的前提下，追求基金资产的稳健增值。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（二）投资范围</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的投资范围包括国内依法发行、上市的股票（包括创业板、中小板以及其他依法发行、上市的股票、存托凭证）、债券（包括国债、央行票据、地方政府债、金融债、企业债、公司债、证券公司短期公司债、中小企业私募债、次级债、中期票据、短期融资券、可转换债券、可交换债券等）、资产支持证券、债券回购、银行存款、同业存单、权证、国债期货、股指期货及法律法规或中国证监会允许基金投资的其他金融工具。</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基金的投资组合比例为：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本基金股票资产占基金资产的比例为0%-95%，扣除股指期货、国债期货合约需缴纳的交易保证金后，现金或到期日在一年以内的政府债券不低于基金资产净值的5%，现金不包括结算备付金、存出保证金、应收申购款等，权证、股指期货、国债期货及其他金融工具的投资比例依照法律法规或监管机构的规定执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（三）投资限制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1、组合限制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基金的投资组合应遵循以下限制：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（1）本基金股票资产占基金资产的比例为0%-95%；</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（2）扣除股指期货、国债期货合约需缴纳的交易保证金后，保持不低于基金资产净值5％的现金或者到期日在一年以内的政府债券，现金不包括结算备付金、存出保证金、应收申购款等；</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（3）本基金持有一家公司发行的证券，其市值不得超过基金资产净值的10%；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（4）本基金管理人管理的全部基金持有一家公司发行的证券，不超过该证券的10％；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（5）本基金持有的全部权证，其市值不得超过基金资产净值的3％；</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（6）本基金管理人管理的全部基金持有的同一权证，不得超过该权证的10％；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（7）本基金在任何交易日买入权证的总金额，不得超过上一交易日基金资产净值的0.5％；</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（8）本基金投资于同一原始权益人的各类资产支持证券的比例，不得超过基金资产净值的10％；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（9）本基金持有的全部资产支持证券，其市值不得超过基金资产净值的20％；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（10）本基金持有的同一(指同一信用级别)资产支持证券的比例，不得超过该资产支持</w:t>
      </w:r>
      <w:r w:rsidRPr="00F70FB9">
        <w:rPr>
          <w:rFonts w:asciiTheme="minorEastAsia" w:eastAsiaTheme="minorEastAsia" w:hAnsiTheme="minorEastAsia" w:hint="eastAsia"/>
          <w:bCs/>
          <w:color w:val="000000" w:themeColor="text1"/>
          <w:szCs w:val="21"/>
        </w:rPr>
        <w:t>证券规模的10％；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（11）本基金管理人管理的全部基金投资于同一原始权益人的各类资产支持证券，不得超过其各类资产支持证券合计规模的10％；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（13）基金财产参与股票发行申购，本基金所申报的金额不超过本基金的总资产，本基金所申报的股票数量不超过拟发行股票公司本次发行股票的总量；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（14）本基金进入全国银行间同业市场进行债券回购的资金余额不得超过基金资产净值的40%；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15）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16）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（17）本基金基金总资产不得超过基金净资产的140%；</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（18）基金参与融资业务后，在任何交易日日终，持有的融资买入股票与其他有价证券市值之和，不得超过基金资产净值的</w:t>
      </w:r>
      <w:r w:rsidRPr="00F70FB9">
        <w:rPr>
          <w:rFonts w:asciiTheme="minorEastAsia" w:eastAsiaTheme="minorEastAsia" w:hAnsiTheme="minorEastAsia"/>
          <w:bCs/>
          <w:color w:val="000000" w:themeColor="text1"/>
          <w:szCs w:val="21"/>
        </w:rPr>
        <w:t>95%</w:t>
      </w:r>
      <w:r w:rsidRPr="00F70FB9">
        <w:rPr>
          <w:rFonts w:asciiTheme="minorEastAsia" w:eastAsiaTheme="minorEastAsia" w:hAnsiTheme="minorEastAsia" w:hint="eastAsia"/>
          <w:bCs/>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19</w:t>
      </w:r>
      <w:r w:rsidRPr="00F70FB9">
        <w:rPr>
          <w:rFonts w:asciiTheme="minorEastAsia" w:eastAsiaTheme="minorEastAsia" w:hAnsiTheme="minorEastAsia" w:hint="eastAsia"/>
          <w:bCs/>
          <w:color w:val="000000" w:themeColor="text1"/>
          <w:szCs w:val="21"/>
        </w:rPr>
        <w:t>）本基金管理人管理的全部开放式基金持有一家上市公司发行的可流通股票，不得超过该上市公司可流通股票的</w:t>
      </w:r>
      <w:r w:rsidRPr="00F70FB9">
        <w:rPr>
          <w:rFonts w:asciiTheme="minorEastAsia" w:eastAsiaTheme="minorEastAsia" w:hAnsiTheme="minorEastAsia"/>
          <w:bCs/>
          <w:color w:val="000000" w:themeColor="text1"/>
          <w:szCs w:val="21"/>
        </w:rPr>
        <w:t>15%</w:t>
      </w:r>
      <w:r w:rsidRPr="00F70FB9">
        <w:rPr>
          <w:rFonts w:asciiTheme="minorEastAsia" w:eastAsiaTheme="minorEastAsia" w:hAnsiTheme="minorEastAsia" w:hint="eastAsia"/>
          <w:bCs/>
          <w:color w:val="000000" w:themeColor="text1"/>
          <w:szCs w:val="21"/>
        </w:rPr>
        <w:t>；本基金管理人管理的全部投资组合持有一家上市公司发</w:t>
      </w:r>
      <w:r w:rsidRPr="00F70FB9">
        <w:rPr>
          <w:rFonts w:asciiTheme="minorEastAsia" w:eastAsiaTheme="minorEastAsia" w:hAnsiTheme="minorEastAsia" w:hint="eastAsia"/>
          <w:bCs/>
          <w:color w:val="000000" w:themeColor="text1"/>
          <w:szCs w:val="21"/>
        </w:rPr>
        <w:t>行的可流通股票，不得超过该上市公司可流通股票的</w:t>
      </w:r>
      <w:r w:rsidRPr="00F70FB9">
        <w:rPr>
          <w:rFonts w:asciiTheme="minorEastAsia" w:eastAsiaTheme="minorEastAsia" w:hAnsiTheme="minorEastAsia"/>
          <w:bCs/>
          <w:color w:val="000000" w:themeColor="text1"/>
          <w:szCs w:val="21"/>
        </w:rPr>
        <w:t>30%</w:t>
      </w:r>
      <w:r w:rsidRPr="00F70FB9">
        <w:rPr>
          <w:rFonts w:asciiTheme="minorEastAsia" w:eastAsiaTheme="minorEastAsia" w:hAnsiTheme="minorEastAsia" w:hint="eastAsia"/>
          <w:bCs/>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20</w:t>
      </w:r>
      <w:r w:rsidRPr="00F70FB9">
        <w:rPr>
          <w:rFonts w:asciiTheme="minorEastAsia" w:eastAsiaTheme="minorEastAsia" w:hAnsiTheme="minorEastAsia" w:hint="eastAsia"/>
          <w:bCs/>
          <w:color w:val="000000" w:themeColor="text1"/>
          <w:szCs w:val="21"/>
        </w:rPr>
        <w:t>）本基金主动投资于流动性受限资产的市值合计不得超过该基金资产净值的</w:t>
      </w:r>
      <w:r w:rsidRPr="00F70FB9">
        <w:rPr>
          <w:rFonts w:asciiTheme="minorEastAsia" w:eastAsiaTheme="minorEastAsia" w:hAnsiTheme="minorEastAsia"/>
          <w:bCs/>
          <w:color w:val="000000" w:themeColor="text1"/>
          <w:szCs w:val="21"/>
        </w:rPr>
        <w:t>15%</w:t>
      </w:r>
      <w:r w:rsidRPr="00F70FB9">
        <w:rPr>
          <w:rFonts w:asciiTheme="minorEastAsia" w:eastAsiaTheme="minorEastAsia" w:hAnsiTheme="minorEastAsia" w:hint="eastAsia"/>
          <w:bCs/>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21</w:t>
      </w:r>
      <w:r w:rsidRPr="00F70FB9">
        <w:rPr>
          <w:rFonts w:asciiTheme="minorEastAsia" w:eastAsiaTheme="minorEastAsia" w:hAnsiTheme="minorEastAsia"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22</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hint="eastAsia"/>
          <w:color w:val="000000" w:themeColor="text1"/>
          <w:szCs w:val="21"/>
        </w:rPr>
        <w:t>本基金投资存托凭证的比例限制依照境内上市交易的股票执行，与境内上市交易的股票合并计算。</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color w:val="000000" w:themeColor="text1"/>
          <w:szCs w:val="21"/>
        </w:rPr>
        <w:t>（23）</w:t>
      </w:r>
      <w:r w:rsidRPr="00F70FB9">
        <w:rPr>
          <w:rFonts w:asciiTheme="minorEastAsia" w:eastAsiaTheme="minorEastAsia" w:hAnsiTheme="minorEastAsia" w:hint="eastAsia"/>
          <w:bCs/>
          <w:color w:val="000000" w:themeColor="text1"/>
          <w:szCs w:val="21"/>
        </w:rPr>
        <w:t>法律法规及中国证监会规定的和《基金合同》约定的其他投资限制。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除上述（</w:t>
      </w:r>
      <w:r w:rsidRPr="00F70FB9">
        <w:rPr>
          <w:rFonts w:asciiTheme="minorEastAsia" w:eastAsiaTheme="minorEastAsia" w:hAnsiTheme="minorEastAsia"/>
          <w:bCs/>
          <w:color w:val="000000" w:themeColor="text1"/>
          <w:szCs w:val="21"/>
        </w:rPr>
        <w:t>2</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12</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13</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20</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21</w:t>
      </w:r>
      <w:r w:rsidRPr="00F70FB9">
        <w:rPr>
          <w:rFonts w:asciiTheme="minorEastAsia" w:eastAsiaTheme="minorEastAsia" w:hAnsiTheme="minorEastAsia" w:hint="eastAsia"/>
          <w:bCs/>
          <w:color w:val="000000" w:themeColor="text1"/>
          <w:szCs w:val="21"/>
        </w:rPr>
        <w:t>）以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2、禁止行为</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为维护基金份额持有人的合法权益，基金财产不得用于下列投资或者活动：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（1）承销证券；</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（2）违反规定向他人贷款或者提供担保；</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（3）从事承担无限责任的投资；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（4）向其基金管理人、基金托管人出资；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（5）从事内幕交易、操纵证券交易价格及其他不正当的证券交易活动；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（6）法律、行政法规和中国证监会规定禁止的其他活动。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4、法律法规或监管部门取消上述组合限制、禁止行为规定或从事关联交易的条件和要求，本基金可不受相关限制。法律法规或监管部门对上述组合限制、禁止行为规定或从事关</w:t>
      </w:r>
      <w:r w:rsidRPr="00F70FB9">
        <w:rPr>
          <w:rFonts w:asciiTheme="minorEastAsia" w:eastAsiaTheme="minorEastAsia" w:hAnsiTheme="minorEastAsia" w:hint="eastAsia"/>
          <w:bCs/>
          <w:color w:val="000000" w:themeColor="text1"/>
          <w:szCs w:val="21"/>
        </w:rPr>
        <w:t>联交易的条件和要求进行变更的，本基金可以变更后的规定为准。经与基金托管人协商一致，基金管理人可依据法律法规或监管部门规定直接对基金合同进行变更，该变更无须召开基金份额持有人大会审议。</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六、基金资产净值的计算方法和公告方式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（一）基金资产总值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（二）基金资产净值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基金资产净值是指基金资产总值减去基金负债后的价值。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w:t>
      </w:r>
      <w:r w:rsidRPr="00F70FB9">
        <w:rPr>
          <w:rFonts w:asciiTheme="minorEastAsia" w:eastAsiaTheme="minorEastAsia" w:hAnsiTheme="minorEastAsia"/>
          <w:bCs/>
          <w:color w:val="000000" w:themeColor="text1"/>
          <w:szCs w:val="21"/>
        </w:rPr>
        <w:t>基金</w:t>
      </w:r>
      <w:r w:rsidRPr="00F70FB9">
        <w:rPr>
          <w:rFonts w:asciiTheme="minorEastAsia" w:eastAsiaTheme="minorEastAsia" w:hAnsiTheme="minorEastAsia" w:hint="eastAsia"/>
          <w:bCs/>
          <w:color w:val="000000" w:themeColor="text1"/>
          <w:szCs w:val="21"/>
        </w:rPr>
        <w:t>净值信息</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《基金合同》生效后，在开始办理基金份额申购或者赎回前，基金管理人应当至少每周</w:t>
      </w:r>
      <w:r w:rsidRPr="00F70FB9">
        <w:rPr>
          <w:rFonts w:asciiTheme="minorEastAsia" w:eastAsiaTheme="minorEastAsia" w:hAnsiTheme="minorEastAsia" w:hint="eastAsia"/>
          <w:bCs/>
          <w:color w:val="000000" w:themeColor="text1"/>
          <w:szCs w:val="21"/>
        </w:rPr>
        <w:t>在指定网站披露一次基金份额净值和基金份额累计净值</w:t>
      </w:r>
      <w:r w:rsidRPr="00F70FB9">
        <w:rPr>
          <w:rFonts w:asciiTheme="minorEastAsia" w:eastAsiaTheme="minorEastAsia" w:hAnsiTheme="minorEastAsia"/>
          <w:bCs/>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在开始办理基金份额申购或者赎回后，基金管理人应当在</w:t>
      </w:r>
      <w:r w:rsidRPr="00F70FB9">
        <w:rPr>
          <w:rFonts w:asciiTheme="minorEastAsia" w:eastAsiaTheme="minorEastAsia" w:hAnsiTheme="minorEastAsia" w:hint="eastAsia"/>
          <w:bCs/>
          <w:color w:val="000000" w:themeColor="text1"/>
          <w:szCs w:val="21"/>
        </w:rPr>
        <w:t>不晚于</w:t>
      </w:r>
      <w:r w:rsidRPr="00F70FB9">
        <w:rPr>
          <w:rFonts w:asciiTheme="minorEastAsia" w:eastAsiaTheme="minorEastAsia" w:hAnsiTheme="minorEastAsia"/>
          <w:bCs/>
          <w:color w:val="000000" w:themeColor="text1"/>
          <w:szCs w:val="21"/>
        </w:rPr>
        <w:t>每个开放日的次日，通过指定网站、基金</w:t>
      </w:r>
      <w:r w:rsidRPr="00F70FB9">
        <w:rPr>
          <w:rFonts w:asciiTheme="minorEastAsia" w:eastAsiaTheme="minorEastAsia" w:hAnsiTheme="minorEastAsia" w:hint="eastAsia"/>
          <w:bCs/>
          <w:color w:val="000000" w:themeColor="text1"/>
          <w:szCs w:val="21"/>
        </w:rPr>
        <w:t>销售机构网站或者营业网点</w:t>
      </w:r>
      <w:r w:rsidRPr="00F70FB9">
        <w:rPr>
          <w:rFonts w:asciiTheme="minorEastAsia" w:eastAsiaTheme="minorEastAsia" w:hAnsiTheme="minorEastAsia"/>
          <w:bCs/>
          <w:color w:val="000000" w:themeColor="text1"/>
          <w:szCs w:val="21"/>
        </w:rPr>
        <w:t>，披露开放日的基金份额净值和基金份额累计净值。</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基金管理人应当</w:t>
      </w:r>
      <w:r w:rsidRPr="00F70FB9">
        <w:rPr>
          <w:rFonts w:asciiTheme="minorEastAsia" w:eastAsiaTheme="minorEastAsia" w:hAnsiTheme="minorEastAsia" w:hint="eastAsia"/>
          <w:bCs/>
          <w:color w:val="000000" w:themeColor="text1"/>
          <w:szCs w:val="21"/>
        </w:rPr>
        <w:t>在不晚于半年度和年度最后一日的次日，在指定网站披露半年度和年度最后一日的基金份额净值和基金份额累计净值</w:t>
      </w:r>
      <w:r w:rsidRPr="00F70FB9">
        <w:rPr>
          <w:rFonts w:asciiTheme="minorEastAsia" w:eastAsiaTheme="minorEastAsia" w:hAnsiTheme="minorEastAsia"/>
          <w:bCs/>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七、基金合同解除和终止的事由、程序以及基金财产清算方式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（一）《基金合同》的变更</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2、关于《基金合同》变更的基金份额持有人大会决议自表决通过之日起生效，自决议生效后两日内在指定媒介公告。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（二）《基金合同》的终止事由</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有下列情形之一的，《基金合同》应当终止：</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1、基金份额持有人大会决定终止的；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2、基金管理人、基金托管人职责终止，在6个月内没有新基金管理人、新基金托管人</w:t>
      </w:r>
      <w:r w:rsidRPr="00F70FB9">
        <w:rPr>
          <w:rFonts w:asciiTheme="minorEastAsia" w:eastAsiaTheme="minorEastAsia" w:hAnsiTheme="minorEastAsia" w:hint="eastAsia"/>
          <w:bCs/>
          <w:color w:val="000000" w:themeColor="text1"/>
          <w:szCs w:val="21"/>
        </w:rPr>
        <w:t>承接的；</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3、《基金合同》约定的其他情形；</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4、相关法律法规和中国证监会规定的其他情况。</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（三）基金财产的清算</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3、基金财产清算小组职责：基金财产清算小组负责基金财产的保管、清理、估价、变现和分配。基金财产清算小组可以依法进行必要的民事活动。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4、基金财产清算程序：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（1）《基金合同》终止情形出现时，由基金财产清算小组统一接管基金；</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（2）对基金财产和债权债务进行清理和确认；</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（3）对基金财产进行估值和变现；</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（4）制作清算报告；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（5）聘请会计师事务所对清算报告进行外部审计，聘请律师事务所对清算报告出具法律意见书；</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（6）将清算报告报中国证监会备案并公告；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（7）对基金财产进行分配。</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5、基金财产清算的期限为6个月，但因本基金所持证券的流动性受到限制而不能及时变现的，清算期限相应顺延。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（四）清算费用</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（五）基金财产清算剩余资产的分配</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（六）基金财产清算的公告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（七）基金财产清算账册及文件的保存</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基金财产清算账册及有关文件由基金托管人保存15年以上。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八、争议解决方式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《基金合同》受中国法律管辖。（仅为本合同之目的，在此不包括香港特别行政区、澳门特别行政区以及台湾地区法律。）</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九、基金合同存放地和投资者取得基金合同的方式</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1、《基金合同》经基金管理人、基金托管人双方盖章以及双方法定代表人或授权代表签字或盖章并在募集结束后经基金管理人向中国证监会办理基金备案手续，并经中国证监会书面确认后生效。</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2、《基金合同》的有效期自其生效之日起至基金财产清算结果报中国证监会备案并公告之日止。</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3、《基金合同》自生效之日起对包括基金管理人、基金托管人和基金份额持有人在内的《基金合同》各方当事人具有同等的法律约束力。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4、《基金合同》正本一式六份，除上报有关监管机构一式二份外，基金管理人、基金托管人各持有二份，每份具有同等的法律效力。</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5、《基金合同》可印制成册，供投资者在基金管理人、基金托管人、销售机构的办公场所和营业场所查阅。</w:t>
      </w:r>
      <w:bookmarkStart w:id="101" w:name="_Hlt88820702"/>
      <w:bookmarkEnd w:id="101"/>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p>
    <w:p w:rsidR="00074EE6" w:rsidRPr="00F70FB9" w:rsidP="00074EE6">
      <w:pPr>
        <w:pStyle w:val="Heading1"/>
        <w:spacing w:before="317" w:after="317" w:line="360" w:lineRule="auto"/>
        <w:ind w:firstLine="420"/>
        <w:rPr>
          <w:rFonts w:asciiTheme="minorEastAsia" w:eastAsiaTheme="minorEastAsia" w:hAnsiTheme="minorEastAsia"/>
          <w:color w:val="000000" w:themeColor="text1"/>
          <w:sz w:val="30"/>
        </w:rPr>
      </w:pPr>
      <w:bookmarkStart w:id="102" w:name="_Toc332373589"/>
      <w:r w:rsidRPr="00F70FB9">
        <w:rPr>
          <w:rFonts w:asciiTheme="minorEastAsia" w:eastAsiaTheme="minorEastAsia" w:hAnsiTheme="minorEastAsia" w:hint="eastAsia"/>
          <w:bCs/>
          <w:color w:val="000000" w:themeColor="text1"/>
          <w:sz w:val="21"/>
          <w:szCs w:val="21"/>
        </w:rPr>
        <w:br w:type="page"/>
      </w:r>
      <w:bookmarkStart w:id="103" w:name="_Toc53692620"/>
      <w:bookmarkStart w:id="104" w:name="_Toc332373590"/>
      <w:bookmarkStart w:id="105" w:name="_Toc332374170"/>
      <w:bookmarkStart w:id="106" w:name="_Toc103006349"/>
      <w:bookmarkEnd w:id="102"/>
      <w:r w:rsidRPr="00F70FB9">
        <w:rPr>
          <w:rFonts w:asciiTheme="minorEastAsia" w:eastAsiaTheme="minorEastAsia" w:hAnsiTheme="minorEastAsia" w:hint="eastAsia"/>
          <w:color w:val="000000" w:themeColor="text1"/>
          <w:sz w:val="30"/>
        </w:rPr>
        <w:t>二十二、基金托管协议摘要</w:t>
      </w:r>
      <w:bookmarkEnd w:id="103"/>
      <w:bookmarkEnd w:id="106"/>
    </w:p>
    <w:bookmarkEnd w:id="104"/>
    <w:bookmarkEnd w:id="105"/>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一、托管协议当事人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基金管理人：易方达基金管理有限公司</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住所：</w:t>
      </w:r>
      <w:r w:rsidRPr="00F70FB9" w:rsidR="007D1552">
        <w:rPr>
          <w:rFonts w:asciiTheme="minorEastAsia" w:eastAsiaTheme="minorEastAsia" w:hAnsiTheme="minorEastAsia"/>
          <w:color w:val="000000" w:themeColor="text1"/>
        </w:rPr>
        <w:t>广东省珠海市横琴新区荣粤道188号6层</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法定代表人：刘晓艳</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设立日期：2001年4月17日</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批准设立机关及批准设立文号：中国证券监督管理委员会，证监基金字[2001]4号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组织形式：有限责任公司</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注册资本：13,244.2万元人民币</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存续期限：持续经营</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联系电话：</w:t>
      </w:r>
      <w:r w:rsidRPr="00F70FB9">
        <w:rPr>
          <w:rFonts w:asciiTheme="minorEastAsia" w:eastAsiaTheme="minorEastAsia" w:hAnsiTheme="minorEastAsia"/>
          <w:color w:val="000000" w:themeColor="text1"/>
          <w:kern w:val="0"/>
          <w:szCs w:val="21"/>
        </w:rPr>
        <w:t>4008818088</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基金托管人：上海浦东发展银行股份有限公司</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办公地址：上海市中山东一路12号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法定代表人：</w:t>
      </w:r>
      <w:r w:rsidRPr="00F70FB9" w:rsidR="006331C7">
        <w:rPr>
          <w:rFonts w:asciiTheme="minorEastAsia" w:eastAsiaTheme="minorEastAsia" w:hAnsiTheme="minorEastAsia" w:hint="eastAsia"/>
          <w:color w:val="000000" w:themeColor="text1"/>
          <w:kern w:val="0"/>
          <w:szCs w:val="21"/>
        </w:rPr>
        <w:t>郑杨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成立日期：1992年10月19日</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基金托管业务资格批准机关：中国证监会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基金托管业务资格文号：证监基金字[2003]105号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组织形式：股份有限公司（上市）</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注册资本：293.52亿元人民币</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经营期限：永久存续</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二、基金托管人对基金管理人的业务监督和核查</w:t>
      </w:r>
    </w:p>
    <w:p w:rsidR="00074EE6" w:rsidRPr="00F70FB9" w:rsidP="00074EE6">
      <w:pPr>
        <w:spacing w:line="360" w:lineRule="auto"/>
        <w:ind w:firstLine="420" w:firstLineChars="200"/>
        <w:rPr>
          <w:rFonts w:asciiTheme="minorEastAsia" w:eastAsiaTheme="minorEastAsia" w:hAnsiTheme="minorEastAsia"/>
          <w:b/>
          <w:color w:val="000000" w:themeColor="text1"/>
          <w:kern w:val="0"/>
          <w:szCs w:val="21"/>
        </w:rPr>
      </w:pPr>
      <w:bookmarkStart w:id="107" w:name="_Toc382819073"/>
      <w:r w:rsidRPr="00F70FB9">
        <w:rPr>
          <w:rFonts w:asciiTheme="minorEastAsia" w:eastAsiaTheme="minorEastAsia" w:hAnsiTheme="minorEastAsia" w:hint="eastAsia"/>
          <w:color w:val="000000" w:themeColor="text1"/>
          <w:kern w:val="0"/>
          <w:szCs w:val="21"/>
        </w:rPr>
        <w:t>（一）基金托管人对基金管理人的投资行为行使监督权</w:t>
      </w:r>
      <w:bookmarkEnd w:id="107"/>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基金托管人根据有关法律法规的规定和《基金合同》的约定，对下述基金投资范围、投资对象进行监督。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本基金的投资范围包括国内依法发行、上市的股票（包括创业板、中小板以及其他依法发行、上市的股票、存托凭证）、债券（包括国债、央行票据、地方政府债、金融债、企业</w:t>
      </w:r>
      <w:r w:rsidRPr="00F70FB9">
        <w:rPr>
          <w:rFonts w:asciiTheme="minorEastAsia" w:eastAsiaTheme="minorEastAsia" w:hAnsiTheme="minorEastAsia" w:hint="eastAsia"/>
          <w:color w:val="000000" w:themeColor="text1"/>
          <w:kern w:val="0"/>
          <w:szCs w:val="21"/>
        </w:rPr>
        <w:t>债、公司债、证券公司短期公司债、中小企业私募债、次级债、中期票据、短期融资券、可转换债券、可交换债券等）、资产支持证券、债券回购、银行存款、同业存单、权证、国债期货、股指期货及法律法规或中国证监会允许基金投资的其他金融工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如法律法规或监管机构以后允许基金投资其他品种，本基金可以将其纳入投资范围。</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本基金不得投资于相关法律、法规、部门规章及《基金合同》禁止投资的投资工具。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基金托管人根据有关法律法规的规定及《基金合同》的约定对下述基金投融资比例进行监督：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）按法律法规的规定及《基金合同》的约定，本基金的投资资产配置比例为：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本基金股票资产占基金资产的比例为</w:t>
      </w:r>
      <w:r w:rsidRPr="00F70FB9">
        <w:rPr>
          <w:rFonts w:asciiTheme="minorEastAsia" w:eastAsiaTheme="minorEastAsia" w:hAnsiTheme="minorEastAsia"/>
          <w:color w:val="000000" w:themeColor="text1"/>
          <w:kern w:val="0"/>
          <w:szCs w:val="21"/>
        </w:rPr>
        <w:t>0%-95%</w:t>
      </w:r>
      <w:r w:rsidRPr="00F70FB9">
        <w:rPr>
          <w:rFonts w:asciiTheme="minorEastAsia" w:eastAsiaTheme="minorEastAsia" w:hAnsiTheme="minorEastAsia" w:hint="eastAsia"/>
          <w:color w:val="000000" w:themeColor="text1"/>
          <w:kern w:val="0"/>
          <w:szCs w:val="21"/>
        </w:rPr>
        <w:t>，扣除股指期货、国债期货合约需缴纳的交易保证金后，现金或到期日在一年以内的政府债券不低于基金资产净值的</w:t>
      </w: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hint="eastAsia"/>
          <w:bCs/>
          <w:color w:val="000000" w:themeColor="text1"/>
          <w:szCs w:val="21"/>
        </w:rPr>
        <w:t>现金不包括结算备付金、存出保证金、应收申购款等，</w:t>
      </w:r>
      <w:r w:rsidRPr="00F70FB9">
        <w:rPr>
          <w:rFonts w:asciiTheme="minorEastAsia" w:eastAsiaTheme="minorEastAsia" w:hAnsiTheme="minorEastAsia" w:hint="eastAsia"/>
          <w:color w:val="000000" w:themeColor="text1"/>
          <w:kern w:val="0"/>
          <w:szCs w:val="21"/>
        </w:rPr>
        <w:t>权证、股指期货、国债期货及其他金融工具的投资比例依照法律法规或监管机构的规定执行</w:t>
      </w:r>
      <w:r w:rsidRPr="00F70FB9">
        <w:rPr>
          <w:rFonts w:asciiTheme="minorEastAsia" w:eastAsiaTheme="minorEastAsia" w:hAnsiTheme="minor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因基金规模或市场变化等因素导致投资组合不符合上述规定的，基金管理人应在合理的期限内调整基金的投资组合，以符合上述比例限定。法律法规另有规定时，从其规定。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2）根据法律法规的规定及《基金合同》的约定，本基金投资组合遵循以下投资限</w:t>
      </w:r>
      <w:r w:rsidRPr="00F70FB9">
        <w:rPr>
          <w:rFonts w:asciiTheme="minorEastAsia" w:eastAsiaTheme="minorEastAsia" w:hAnsiTheme="minorEastAsia" w:hint="eastAsia"/>
          <w:color w:val="000000" w:themeColor="text1"/>
          <w:kern w:val="0"/>
          <w:szCs w:val="21"/>
        </w:rPr>
        <w:t>制：</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）本基金股票资产占基金资产的比例为</w:t>
      </w:r>
      <w:r w:rsidRPr="00F70FB9">
        <w:rPr>
          <w:rFonts w:asciiTheme="minorEastAsia" w:eastAsiaTheme="minorEastAsia" w:hAnsiTheme="minorEastAsia"/>
          <w:color w:val="000000" w:themeColor="text1"/>
          <w:kern w:val="0"/>
          <w:szCs w:val="21"/>
        </w:rPr>
        <w:t>0%-95%</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）扣除股指期货、国债期货合约需缴纳的交易保证金后，保持不低于基金资产净值</w:t>
      </w: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％的现金或者到期日在一年以内的政府债券，</w:t>
      </w:r>
      <w:r w:rsidRPr="00F70FB9">
        <w:rPr>
          <w:rFonts w:asciiTheme="minorEastAsia" w:eastAsiaTheme="minorEastAsia" w:hAnsiTheme="minorEastAsia" w:hint="eastAsia"/>
          <w:bCs/>
          <w:color w:val="000000" w:themeColor="text1"/>
          <w:szCs w:val="21"/>
        </w:rPr>
        <w:t>现金不包括结算备付金、存出保证金、应收申购款等</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）本基金持有一家公司发行的证券，其市值不得超过基金资产净值的</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）本基金管理人管理的全部基金持有一家公司发行的证券，不超过该证券的</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）本基金持有的全部权证，其市值不得超过基金资产净值的</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6</w:t>
      </w:r>
      <w:r w:rsidRPr="00F70FB9">
        <w:rPr>
          <w:rFonts w:asciiTheme="minorEastAsia" w:eastAsiaTheme="minorEastAsia" w:hAnsiTheme="minorEastAsia" w:hint="eastAsia"/>
          <w:color w:val="000000" w:themeColor="text1"/>
          <w:kern w:val="0"/>
          <w:szCs w:val="21"/>
        </w:rPr>
        <w:t>）本基金管理人管理的全部基金持有的同一权证，不得超过该权证的</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7</w:t>
      </w:r>
      <w:r w:rsidRPr="00F70FB9">
        <w:rPr>
          <w:rFonts w:asciiTheme="minorEastAsia" w:eastAsiaTheme="minorEastAsia" w:hAnsiTheme="minorEastAsia" w:hint="eastAsia"/>
          <w:color w:val="000000" w:themeColor="text1"/>
          <w:kern w:val="0"/>
          <w:szCs w:val="21"/>
        </w:rPr>
        <w:t>）本基金在任何交易日买入权证的总金额，不得超过上一交易日基金资产净值的</w:t>
      </w:r>
      <w:r w:rsidRPr="00F70FB9">
        <w:rPr>
          <w:rFonts w:asciiTheme="minorEastAsia" w:eastAsiaTheme="minorEastAsia" w:hAnsiTheme="minorEastAsia"/>
          <w:color w:val="000000" w:themeColor="text1"/>
          <w:kern w:val="0"/>
          <w:szCs w:val="21"/>
        </w:rPr>
        <w:t>0.5</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8</w:t>
      </w:r>
      <w:r w:rsidRPr="00F70FB9">
        <w:rPr>
          <w:rFonts w:asciiTheme="minorEastAsia" w:eastAsiaTheme="minorEastAsia" w:hAnsiTheme="minorEastAsia" w:hint="eastAsia"/>
          <w:color w:val="000000" w:themeColor="text1"/>
          <w:kern w:val="0"/>
          <w:szCs w:val="21"/>
        </w:rPr>
        <w:t>）本基金投资于同一原始权益人的各类资产支持证券的比例，不得超过基金资产净值的</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9</w:t>
      </w:r>
      <w:r w:rsidRPr="00F70FB9">
        <w:rPr>
          <w:rFonts w:asciiTheme="minorEastAsia" w:eastAsiaTheme="minorEastAsia" w:hAnsiTheme="minorEastAsia" w:hint="eastAsia"/>
          <w:color w:val="000000" w:themeColor="text1"/>
          <w:kern w:val="0"/>
          <w:szCs w:val="21"/>
        </w:rPr>
        <w:t>）本基金持有的全部资产支持证券，其市值不得超过基金资产净值的</w:t>
      </w:r>
      <w:r w:rsidRPr="00F70FB9">
        <w:rPr>
          <w:rFonts w:asciiTheme="minorEastAsia" w:eastAsiaTheme="minorEastAsia" w:hAnsiTheme="minorEastAsia"/>
          <w:color w:val="000000" w:themeColor="text1"/>
          <w:kern w:val="0"/>
          <w:szCs w:val="21"/>
        </w:rPr>
        <w:t>20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）本基金持有的同一</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指同一信用级别</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资产支持证券的比例，不得超过该资产支持证券规模的</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11</w:t>
      </w:r>
      <w:r w:rsidRPr="00F70FB9">
        <w:rPr>
          <w:rFonts w:asciiTheme="minorEastAsia" w:eastAsiaTheme="minorEastAsia" w:hAnsiTheme="minorEastAsia" w:hint="eastAsia"/>
          <w:color w:val="000000" w:themeColor="text1"/>
          <w:kern w:val="0"/>
          <w:szCs w:val="21"/>
        </w:rPr>
        <w:t>）本基金管理人管理的全部基金投资于同一原始权益人的各类资产支持证券，不得超过其各类资产支持证券合计规模的</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12</w:t>
      </w:r>
      <w:r w:rsidRPr="00F70FB9">
        <w:rPr>
          <w:rFonts w:asciiTheme="minorEastAsia" w:eastAsiaTheme="minorEastAsia" w:hAnsiTheme="minorEastAsia" w:hint="eastAsia"/>
          <w:color w:val="000000" w:themeColor="text1"/>
          <w:kern w:val="0"/>
          <w:szCs w:val="21"/>
        </w:rPr>
        <w:t>）本基金应投资于信用级别评级为</w:t>
      </w:r>
      <w:r w:rsidRPr="00F70FB9">
        <w:rPr>
          <w:rFonts w:asciiTheme="minorEastAsia" w:eastAsiaTheme="minorEastAsia" w:hAnsiTheme="minorEastAsia"/>
          <w:color w:val="000000" w:themeColor="text1"/>
          <w:kern w:val="0"/>
          <w:szCs w:val="21"/>
        </w:rPr>
        <w:t>BBB</w:t>
      </w:r>
      <w:r w:rsidRPr="00F70FB9">
        <w:rPr>
          <w:rFonts w:asciiTheme="minorEastAsia" w:eastAsiaTheme="minorEastAsia" w:hAnsiTheme="minorEastAsia" w:hint="eastAsia"/>
          <w:color w:val="000000" w:themeColor="text1"/>
          <w:kern w:val="0"/>
          <w:szCs w:val="21"/>
        </w:rPr>
        <w:t>以上</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含</w:t>
      </w:r>
      <w:r w:rsidRPr="00F70FB9">
        <w:rPr>
          <w:rFonts w:asciiTheme="minorEastAsia" w:eastAsiaTheme="minorEastAsia" w:hAnsiTheme="minorEastAsia"/>
          <w:color w:val="000000" w:themeColor="text1"/>
          <w:kern w:val="0"/>
          <w:szCs w:val="21"/>
        </w:rPr>
        <w:t>BBB)</w:t>
      </w:r>
      <w:r w:rsidRPr="00F70FB9">
        <w:rPr>
          <w:rFonts w:asciiTheme="minorEastAsia" w:eastAsiaTheme="minorEastAsia" w:hAnsiTheme="minorEastAsia" w:hint="eastAsia"/>
          <w:color w:val="000000" w:themeColor="text1"/>
          <w:kern w:val="0"/>
          <w:szCs w:val="21"/>
        </w:rPr>
        <w:t>的资产支持证券。基金持有资产支持证券期间，如果其信用等级下降、不再符合投资标准，应在评级报告发布之日起</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个月内予以全部卖出；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13</w:t>
      </w:r>
      <w:r w:rsidRPr="00F70FB9">
        <w:rPr>
          <w:rFonts w:asciiTheme="minorEastAsia" w:eastAsiaTheme="minorEastAsia" w:hAnsiTheme="minorEastAsia" w:hint="eastAsia"/>
          <w:color w:val="000000" w:themeColor="text1"/>
          <w:kern w:val="0"/>
          <w:szCs w:val="21"/>
        </w:rPr>
        <w:t>）基金财产参与股票发行申购，本基金所申报的金额不超过本基金的总资产，本基金所申报的股票数量不超过拟发行股票公司本次发行股票的总量；</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14</w:t>
      </w:r>
      <w:r w:rsidRPr="00F70FB9">
        <w:rPr>
          <w:rFonts w:asciiTheme="minorEastAsia" w:eastAsiaTheme="minorEastAsia" w:hAnsiTheme="minorEastAsia" w:hint="eastAsia"/>
          <w:color w:val="000000" w:themeColor="text1"/>
          <w:kern w:val="0"/>
          <w:szCs w:val="21"/>
        </w:rPr>
        <w:t>）本基金进入全国银行间同业市场进行债券回购的资金余额不得超过基金资产净值的</w:t>
      </w:r>
      <w:r w:rsidRPr="00F70FB9">
        <w:rPr>
          <w:rFonts w:asciiTheme="minorEastAsia" w:eastAsiaTheme="minorEastAsia" w:hAnsiTheme="minorEastAsia"/>
          <w:color w:val="000000" w:themeColor="text1"/>
          <w:kern w:val="0"/>
          <w:szCs w:val="21"/>
        </w:rPr>
        <w:t>40%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15</w:t>
      </w:r>
      <w:r w:rsidRPr="00F70FB9">
        <w:rPr>
          <w:rFonts w:asciiTheme="minorEastAsia" w:eastAsiaTheme="minorEastAsia" w:hAnsiTheme="minorEastAsia" w:hint="eastAsia"/>
          <w:color w:val="000000" w:themeColor="text1"/>
          <w:kern w:val="0"/>
          <w:szCs w:val="21"/>
        </w:rPr>
        <w:t>）本基金在任何交易日日终，持有的买入股指期货合约价值不得超过基金资产净值的</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；在任何交易日日终，持有的买入国债期货和股指期货合约价值与有价证券市值之和，不得超过基金资产净值的</w:t>
      </w:r>
      <w:r w:rsidRPr="00F70FB9">
        <w:rPr>
          <w:rFonts w:asciiTheme="minorEastAsia" w:eastAsiaTheme="minorEastAsia" w:hAnsiTheme="minorEastAsia"/>
          <w:color w:val="000000" w:themeColor="text1"/>
          <w:kern w:val="0"/>
          <w:szCs w:val="21"/>
        </w:rPr>
        <w:t>95%</w:t>
      </w:r>
      <w:r w:rsidRPr="00F70FB9">
        <w:rPr>
          <w:rFonts w:asciiTheme="minorEastAsia" w:eastAsiaTheme="minorEastAsia" w:hAnsiTheme="minorEastAsia" w:hint="eastAsia"/>
          <w:color w:val="000000" w:themeColor="text1"/>
          <w:kern w:val="0"/>
          <w:szCs w:val="21"/>
        </w:rPr>
        <w:t>，其中，有价证券指股票、债券（不含到期日在一年以内的政府债券）、权证、资产支持证券、买入返售金融资产（不含质押式回购）等；在任何交易日终，持有的卖出期货合约价值不得超过基金持有的股票总市值的</w:t>
      </w:r>
      <w:r w:rsidRPr="00F70FB9">
        <w:rPr>
          <w:rFonts w:asciiTheme="minorEastAsia" w:eastAsiaTheme="minorEastAsia" w:hAnsiTheme="minorEastAsia"/>
          <w:color w:val="000000" w:themeColor="text1"/>
          <w:kern w:val="0"/>
          <w:szCs w:val="21"/>
        </w:rPr>
        <w:t>20%</w:t>
      </w:r>
      <w:r w:rsidRPr="00F70FB9">
        <w:rPr>
          <w:rFonts w:asciiTheme="minorEastAsia" w:eastAsiaTheme="minorEastAsia" w:hAnsiTheme="minorEastAsia" w:hint="eastAsia"/>
          <w:color w:val="000000" w:themeColor="text1"/>
          <w:kern w:val="0"/>
          <w:szCs w:val="21"/>
        </w:rPr>
        <w:t>；本基金所持有的股票市值和买入、卖出股指期货合约价值，合计（轧差计算）占基金资产的比例应当符合《基金合同》关于股票投资比例的有关规定；在任何交易日内交易</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不包括平仓</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的股指期货合约的成交金额不得超过上一交易日基金资产净值的</w:t>
      </w:r>
      <w:r w:rsidRPr="00F70FB9">
        <w:rPr>
          <w:rFonts w:asciiTheme="minorEastAsia" w:eastAsiaTheme="minorEastAsia" w:hAnsiTheme="minorEastAsia"/>
          <w:color w:val="000000" w:themeColor="text1"/>
          <w:kern w:val="0"/>
          <w:szCs w:val="21"/>
        </w:rPr>
        <w:t>20%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16</w:t>
      </w:r>
      <w:r w:rsidRPr="00F70FB9">
        <w:rPr>
          <w:rFonts w:asciiTheme="minorEastAsia" w:eastAsiaTheme="minorEastAsia" w:hAnsiTheme="minorEastAsia" w:hint="eastAsia"/>
          <w:color w:val="000000" w:themeColor="text1"/>
          <w:kern w:val="0"/>
          <w:szCs w:val="21"/>
        </w:rPr>
        <w:t>）本基金投资于国债期货，还应遵循如下投资组合限制：在任何交易日日终，本基金持有的买入国债期货合约价值，不得超过基金资产净值的</w:t>
      </w:r>
      <w:r w:rsidRPr="00F70FB9">
        <w:rPr>
          <w:rFonts w:asciiTheme="minorEastAsia" w:eastAsiaTheme="minorEastAsia" w:hAnsiTheme="minorEastAsia"/>
          <w:color w:val="000000" w:themeColor="text1"/>
          <w:kern w:val="0"/>
          <w:szCs w:val="21"/>
        </w:rPr>
        <w:t>15%</w:t>
      </w:r>
      <w:r w:rsidRPr="00F70FB9">
        <w:rPr>
          <w:rFonts w:asciiTheme="minorEastAsia" w:eastAsiaTheme="minorEastAsia" w:hAnsiTheme="minorEastAsia" w:hint="eastAsia"/>
          <w:color w:val="000000" w:themeColor="text1"/>
          <w:kern w:val="0"/>
          <w:szCs w:val="21"/>
        </w:rPr>
        <w:t>；本基金在任何交易日日终，持有的卖出国债期货合约价值不得超过基金持有的债券总市值的</w:t>
      </w:r>
      <w:r w:rsidRPr="00F70FB9">
        <w:rPr>
          <w:rFonts w:asciiTheme="minorEastAsia" w:eastAsiaTheme="minorEastAsia" w:hAnsiTheme="minorEastAsia"/>
          <w:color w:val="000000" w:themeColor="text1"/>
          <w:kern w:val="0"/>
          <w:szCs w:val="21"/>
        </w:rPr>
        <w:t>30%</w:t>
      </w:r>
      <w:r w:rsidRPr="00F70FB9">
        <w:rPr>
          <w:rFonts w:asciiTheme="minorEastAsia" w:eastAsiaTheme="minorEastAsia" w:hAnsiTheme="minorEastAsia" w:hint="eastAsia"/>
          <w:color w:val="000000" w:themeColor="text1"/>
          <w:kern w:val="0"/>
          <w:szCs w:val="21"/>
        </w:rPr>
        <w:t>；本基金在任何交易日内交易（不包括平仓）的国债期货合约的成交金额不得超过上一交易日基金资产净值的</w:t>
      </w:r>
      <w:r w:rsidRPr="00F70FB9">
        <w:rPr>
          <w:rFonts w:asciiTheme="minorEastAsia" w:eastAsiaTheme="minorEastAsia" w:hAnsiTheme="minorEastAsia"/>
          <w:color w:val="000000" w:themeColor="text1"/>
          <w:kern w:val="0"/>
          <w:szCs w:val="21"/>
        </w:rPr>
        <w:t>30%</w:t>
      </w:r>
      <w:r w:rsidRPr="00F70FB9">
        <w:rPr>
          <w:rFonts w:asciiTheme="minorEastAsia" w:eastAsiaTheme="minorEastAsia" w:hAnsiTheme="minorEastAsia" w:hint="eastAsia"/>
          <w:color w:val="000000" w:themeColor="text1"/>
          <w:kern w:val="0"/>
          <w:szCs w:val="21"/>
        </w:rPr>
        <w:t>；本基金所持有的债券（不含到期日在一年以内的政府债券）市值和买入、卖出国债期货合约价值，合计（轧差计算）应当符合《基金合同》关于债券投资比例的有关约定；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17</w:t>
      </w:r>
      <w:r w:rsidRPr="00F70FB9">
        <w:rPr>
          <w:rFonts w:asciiTheme="minorEastAsia" w:eastAsiaTheme="minorEastAsia" w:hAnsiTheme="minorEastAsia" w:hint="eastAsia"/>
          <w:color w:val="000000" w:themeColor="text1"/>
          <w:kern w:val="0"/>
          <w:szCs w:val="21"/>
        </w:rPr>
        <w:t>）本基金基金总资产不得超过基金净资产的</w:t>
      </w:r>
      <w:r w:rsidRPr="00F70FB9">
        <w:rPr>
          <w:rFonts w:asciiTheme="minorEastAsia" w:eastAsiaTheme="minorEastAsia" w:hAnsiTheme="minorEastAsia"/>
          <w:color w:val="000000" w:themeColor="text1"/>
          <w:kern w:val="0"/>
          <w:szCs w:val="21"/>
        </w:rPr>
        <w:t>140%</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18</w:t>
      </w:r>
      <w:r w:rsidRPr="00F70FB9">
        <w:rPr>
          <w:rFonts w:asciiTheme="minorEastAsia" w:eastAsiaTheme="minorEastAsia" w:hAnsiTheme="minorEastAsia" w:hint="eastAsia"/>
          <w:color w:val="000000" w:themeColor="text1"/>
          <w:kern w:val="0"/>
          <w:szCs w:val="21"/>
        </w:rPr>
        <w:t>）基金参与融资业务后，在任何交易日日终，持有的融资买入股票与其他有价证券市值之和，不得超过基金资产净值的</w:t>
      </w:r>
      <w:r w:rsidRPr="00F70FB9">
        <w:rPr>
          <w:rFonts w:asciiTheme="minorEastAsia" w:eastAsiaTheme="minorEastAsia" w:hAnsiTheme="minorEastAsia"/>
          <w:color w:val="000000" w:themeColor="text1"/>
          <w:kern w:val="0"/>
          <w:szCs w:val="21"/>
        </w:rPr>
        <w:t>95%</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bCs/>
          <w:color w:val="000000" w:themeColor="text1"/>
          <w:szCs w:val="21"/>
        </w:rPr>
        <w:t>1</w:t>
      </w:r>
      <w:r w:rsidRPr="00F70FB9">
        <w:rPr>
          <w:rFonts w:asciiTheme="minorEastAsia" w:eastAsiaTheme="minorEastAsia" w:hAnsiTheme="minorEastAsia" w:hint="eastAsia"/>
          <w:bCs/>
          <w:color w:val="000000" w:themeColor="text1"/>
          <w:szCs w:val="21"/>
        </w:rPr>
        <w:t>9）本基金管理人管理的全部开放式基金持有一家上市公司发行的可流通股票，不得超过该上市公司可流通股票的</w:t>
      </w:r>
      <w:r w:rsidRPr="00F70FB9">
        <w:rPr>
          <w:rFonts w:asciiTheme="minorEastAsia" w:eastAsiaTheme="minorEastAsia" w:hAnsiTheme="minorEastAsia"/>
          <w:bCs/>
          <w:color w:val="000000" w:themeColor="text1"/>
          <w:szCs w:val="21"/>
        </w:rPr>
        <w:t>15%</w:t>
      </w:r>
      <w:r w:rsidRPr="00F70FB9">
        <w:rPr>
          <w:rFonts w:asciiTheme="minorEastAsia" w:eastAsiaTheme="minorEastAsia" w:hAnsiTheme="minorEastAsia" w:hint="eastAsia"/>
          <w:bCs/>
          <w:color w:val="000000" w:themeColor="text1"/>
          <w:szCs w:val="21"/>
        </w:rPr>
        <w:t>；本基金管理人管理的全部投资组合持有一家上市公司发行的可流通股票，不得超过该上市公司可流通股票的</w:t>
      </w:r>
      <w:r w:rsidRPr="00F70FB9">
        <w:rPr>
          <w:rFonts w:asciiTheme="minorEastAsia" w:eastAsiaTheme="minorEastAsia" w:hAnsiTheme="minorEastAsia"/>
          <w:bCs/>
          <w:color w:val="000000" w:themeColor="text1"/>
          <w:szCs w:val="21"/>
        </w:rPr>
        <w:t>30%</w:t>
      </w:r>
      <w:r w:rsidRPr="00F70FB9">
        <w:rPr>
          <w:rFonts w:asciiTheme="minorEastAsia" w:eastAsiaTheme="minorEastAsia" w:hAnsiTheme="minorEastAsia" w:hint="eastAsia"/>
          <w:bCs/>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20）本基金主动投资于流动性受限资产的市值合计不得超过该基金资产净值的</w:t>
      </w:r>
      <w:r w:rsidRPr="00F70FB9">
        <w:rPr>
          <w:rFonts w:asciiTheme="minorEastAsia" w:eastAsiaTheme="minorEastAsia" w:hAnsiTheme="minorEastAsia"/>
          <w:bCs/>
          <w:color w:val="000000" w:themeColor="text1"/>
          <w:szCs w:val="21"/>
        </w:rPr>
        <w:t>15%</w:t>
      </w:r>
      <w:r w:rsidRPr="00F70FB9">
        <w:rPr>
          <w:rFonts w:asciiTheme="minorEastAsia" w:eastAsiaTheme="minorEastAsia" w:hAnsiTheme="minorEastAsia" w:hint="eastAsia"/>
          <w:bCs/>
          <w:color w:val="000000" w:themeColor="text1"/>
          <w:szCs w:val="21"/>
        </w:rPr>
        <w:t>。</w:t>
      </w:r>
    </w:p>
    <w:p w:rsidR="00074EE6" w:rsidRPr="00F70FB9" w:rsidP="00074EE6">
      <w:pPr>
        <w:spacing w:line="360" w:lineRule="auto"/>
        <w:ind w:firstLine="420" w:firstLineChars="200"/>
        <w:rPr>
          <w:rFonts w:asciiTheme="minorEastAsia" w:eastAsiaTheme="minorEastAsia" w:hAnsiTheme="minorEastAsia"/>
          <w:bCs/>
          <w:color w:val="000000" w:themeColor="text1"/>
          <w:szCs w:val="21"/>
        </w:rPr>
      </w:pPr>
      <w:r w:rsidRPr="00F70FB9">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bCs/>
          <w:color w:val="000000" w:themeColor="text1"/>
          <w:szCs w:val="21"/>
        </w:rPr>
        <w:t>2</w:t>
      </w:r>
      <w:r w:rsidRPr="00F70FB9">
        <w:rPr>
          <w:rFonts w:asciiTheme="minorEastAsia" w:eastAsiaTheme="minorEastAsia" w:hAnsiTheme="minorEastAsia" w:hint="eastAsia"/>
          <w:bCs/>
          <w:color w:val="000000" w:themeColor="text1"/>
          <w:szCs w:val="21"/>
        </w:rPr>
        <w:t>1）本基金与私募类证券资管产品及中国证监会认定的其他主体为交易对手开展逆回购交易的，可接受质押品的资质要求应当与基金合同约定的投资范围保持一致。</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color w:val="000000" w:themeColor="text1"/>
          <w:kern w:val="0"/>
          <w:szCs w:val="21"/>
        </w:rPr>
        <w:t>22）</w:t>
      </w:r>
      <w:r w:rsidRPr="00F70FB9">
        <w:rPr>
          <w:rFonts w:asciiTheme="minorEastAsia" w:eastAsiaTheme="minorEastAsia" w:hAnsiTheme="minorEastAsia" w:hint="eastAsia"/>
          <w:color w:val="000000" w:themeColor="text1"/>
          <w:szCs w:val="21"/>
        </w:rPr>
        <w:t>本基金投资存托凭证的比例限制依照境内上市交易的股票执行，与境内上市交易的股票合并计算。</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szCs w:val="21"/>
        </w:rPr>
        <w:t>23）</w:t>
      </w:r>
      <w:r w:rsidRPr="00F70FB9">
        <w:rPr>
          <w:rFonts w:asciiTheme="minorEastAsia" w:eastAsiaTheme="minorEastAsia" w:hAnsiTheme="minorEastAsia" w:hint="eastAsia"/>
          <w:color w:val="000000" w:themeColor="text1"/>
          <w:kern w:val="0"/>
          <w:szCs w:val="21"/>
        </w:rPr>
        <w:t>法律法规及中国证监会规定的和《基金合同》约定的其他投资限制。</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bCs/>
          <w:color w:val="000000" w:themeColor="text1"/>
          <w:szCs w:val="21"/>
        </w:rPr>
        <w:t>除</w:t>
      </w:r>
      <w:r w:rsidRPr="00F70FB9">
        <w:rPr>
          <w:rFonts w:asciiTheme="minorEastAsia" w:eastAsiaTheme="minorEastAsia" w:hAnsiTheme="minorEastAsia"/>
          <w:bCs/>
          <w:color w:val="000000" w:themeColor="text1"/>
          <w:szCs w:val="21"/>
        </w:rPr>
        <w:t>上述2）</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12</w:t>
      </w:r>
      <w:r w:rsidRPr="00F70FB9">
        <w:rPr>
          <w:rFonts w:asciiTheme="minorEastAsia" w:eastAsiaTheme="minorEastAsia" w:hAnsiTheme="minorEastAsia" w:hint="eastAsia"/>
          <w:bCs/>
          <w:color w:val="000000" w:themeColor="text1"/>
          <w:szCs w:val="21"/>
        </w:rPr>
        <w:t>）、</w:t>
      </w:r>
      <w:r w:rsidRPr="00F70FB9">
        <w:rPr>
          <w:rFonts w:asciiTheme="minorEastAsia" w:eastAsiaTheme="minorEastAsia" w:hAnsiTheme="minorEastAsia"/>
          <w:bCs/>
          <w:color w:val="000000" w:themeColor="text1"/>
          <w:szCs w:val="21"/>
        </w:rPr>
        <w:t>13</w:t>
      </w:r>
      <w:r w:rsidRPr="00F70FB9">
        <w:rPr>
          <w:rFonts w:asciiTheme="minorEastAsia" w:eastAsiaTheme="minorEastAsia" w:hAnsiTheme="minorEastAsia" w:hint="eastAsia"/>
          <w:bCs/>
          <w:color w:val="000000" w:themeColor="text1"/>
          <w:szCs w:val="21"/>
        </w:rPr>
        <w:t>）、20）、</w:t>
      </w:r>
      <w:r w:rsidRPr="00F70FB9">
        <w:rPr>
          <w:rFonts w:asciiTheme="minorEastAsia" w:eastAsiaTheme="minorEastAsia" w:hAnsiTheme="minorEastAsia"/>
          <w:bCs/>
          <w:color w:val="000000" w:themeColor="text1"/>
          <w:szCs w:val="21"/>
        </w:rPr>
        <w:t>2</w:t>
      </w:r>
      <w:r w:rsidRPr="00F70FB9">
        <w:rPr>
          <w:rFonts w:asciiTheme="minorEastAsia" w:eastAsiaTheme="minorEastAsia" w:hAnsiTheme="minorEastAsia" w:hint="eastAsia"/>
          <w:bCs/>
          <w:color w:val="000000" w:themeColor="text1"/>
          <w:szCs w:val="21"/>
        </w:rPr>
        <w:t>1</w:t>
      </w:r>
      <w:r w:rsidRPr="00F70FB9">
        <w:rPr>
          <w:rFonts w:asciiTheme="minorEastAsia" w:eastAsiaTheme="minorEastAsia" w:hAnsiTheme="minorEastAsia"/>
          <w:bCs/>
          <w:color w:val="000000" w:themeColor="text1"/>
          <w:szCs w:val="21"/>
        </w:rPr>
        <w:t>）</w:t>
      </w:r>
      <w:r w:rsidRPr="00F70FB9">
        <w:rPr>
          <w:rFonts w:asciiTheme="minorEastAsia" w:eastAsiaTheme="minorEastAsia" w:hAnsiTheme="minorEastAsia" w:hint="eastAsia"/>
          <w:bCs/>
          <w:color w:val="000000" w:themeColor="text1"/>
          <w:szCs w:val="21"/>
        </w:rPr>
        <w:t>以外</w:t>
      </w:r>
      <w:r w:rsidRPr="00F70FB9">
        <w:rPr>
          <w:rFonts w:asciiTheme="minorEastAsia" w:eastAsiaTheme="minorEastAsia" w:hAnsiTheme="minorEastAsia"/>
          <w:bCs/>
          <w:color w:val="000000" w:themeColor="text1"/>
          <w:szCs w:val="21"/>
        </w:rPr>
        <w:t>，</w:t>
      </w:r>
      <w:r w:rsidRPr="00F70FB9">
        <w:rPr>
          <w:rFonts w:asciiTheme="minorEastAsia" w:eastAsiaTheme="minorEastAsia" w:hAnsiTheme="minorEastAsia" w:hint="eastAsia"/>
          <w:color w:val="000000" w:themeColor="text1"/>
          <w:kern w:val="0"/>
          <w:szCs w:val="21"/>
        </w:rPr>
        <w:t>因证券、期货市场波动、证券发行人合并、基金规模变动等基金管理人之外的因素致使基金投资比例不符合上述规定投资比例的，基金管理人应当在</w:t>
      </w:r>
      <w:r w:rsidRPr="00F70FB9">
        <w:rPr>
          <w:rFonts w:asciiTheme="minorEastAsia" w:eastAsiaTheme="minorEastAsia" w:hAnsiTheme="minorEastAsia"/>
          <w:color w:val="000000" w:themeColor="text1"/>
          <w:kern w:val="0"/>
          <w:szCs w:val="21"/>
        </w:rPr>
        <w:t>10</w:t>
      </w:r>
      <w:r w:rsidRPr="00F70FB9">
        <w:rPr>
          <w:rFonts w:asciiTheme="minorEastAsia" w:eastAsiaTheme="minorEastAsia" w:hAnsiTheme="minorEastAsia" w:hint="eastAsia"/>
          <w:color w:val="000000" w:themeColor="text1"/>
          <w:kern w:val="0"/>
          <w:szCs w:val="21"/>
        </w:rPr>
        <w:t>个交易日内进行调整，但中国证监会规定的特殊情形除外。</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基金管理人应当自基金合同生效之日起</w:t>
      </w:r>
      <w:r w:rsidRPr="00F70FB9">
        <w:rPr>
          <w:rFonts w:asciiTheme="minorEastAsia" w:eastAsiaTheme="minorEastAsia" w:hAnsiTheme="minorEastAsia"/>
          <w:color w:val="000000" w:themeColor="text1"/>
          <w:kern w:val="0"/>
          <w:szCs w:val="21"/>
        </w:rPr>
        <w:t>6</w:t>
      </w:r>
      <w:r w:rsidRPr="00F70FB9">
        <w:rPr>
          <w:rFonts w:asciiTheme="minorEastAsia" w:eastAsiaTheme="minorEastAsia" w:hAnsiTheme="minorEastAsia" w:hint="eastAsia"/>
          <w:color w:val="000000" w:themeColor="text1"/>
          <w:kern w:val="0"/>
          <w:szCs w:val="21"/>
        </w:rPr>
        <w:t>个月内使基金的投资组合比例符合基金合同的有关约定。上述期间，基金的投资范围、投资策略应当符合基金合同的约定。基金托管人对基金的投资的监督与检查自本基金合同生效之日起开始。</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3.基金托管人根据有关法律法规的规定及《基金合同》的约定对下述基金投资禁止行为进行监督：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根据法律法规的规定及《基金合同》的约定，本基金禁止从事下列行为：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）承销证券；</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）违反规定向他人贷款或者提供担保；</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）从事承担无限责任的投资；</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）向其基金管理人、基金托管人出资；</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）从事内幕交易、操纵证券交易价格及其他不正当的证券交易活动；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6</w:t>
      </w:r>
      <w:r w:rsidRPr="00F70FB9">
        <w:rPr>
          <w:rFonts w:asciiTheme="minorEastAsia" w:eastAsiaTheme="minorEastAsia" w:hAnsiTheme="minorEastAsia" w:hint="eastAsia"/>
          <w:color w:val="000000" w:themeColor="text1"/>
          <w:kern w:val="0"/>
          <w:szCs w:val="21"/>
        </w:rPr>
        <w:t>）法律、行政法规和中国证监会规定禁止的其他活动。如法律法规或监管部门取消上述禁止性规定，基金管理人在履行适当程序后可不受上述规定的限制。</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基金托管人依据有关法律法规的规定和《基金合同》的约定对于基金关联投资进行监督。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基金托管人依据有关法律法规的规定和《基金合同》的约定对基金管理人参与银行间债券市场进行监督。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）基金托管人按以下方式对基金管理人参与银行间市场交易的交易对手的资信风险控制措施进行监督。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）基金托管人对银行间交易市场的交易方式的控制按如下约定进行监督。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6.</w:t>
      </w:r>
      <w:r w:rsidRPr="00F70FB9">
        <w:rPr>
          <w:rFonts w:asciiTheme="minorEastAsia" w:eastAsiaTheme="minorEastAsia" w:hAnsiTheme="minorEastAsia" w:hint="eastAsia"/>
          <w:color w:val="000000" w:themeColor="text1"/>
          <w:kern w:val="0"/>
          <w:szCs w:val="21"/>
        </w:rPr>
        <w:t>基金托管人对基金管理人选择存款银行进行监督。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基金管理人有权要求相关责任人进行赔偿。</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7.</w:t>
      </w:r>
      <w:r w:rsidRPr="00F70FB9">
        <w:rPr>
          <w:rFonts w:asciiTheme="minorEastAsia" w:eastAsiaTheme="minorEastAsia" w:hAnsiTheme="minorEastAsia" w:hint="eastAsia"/>
          <w:color w:val="000000" w:themeColor="text1"/>
          <w:kern w:val="0"/>
          <w:szCs w:val="21"/>
        </w:rPr>
        <w:t>基金托管人对基金投资流通受限证券的监督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基金管理人投资流通受限证券，应事先根据中国证监会相关规定，明确基金投资流通受</w:t>
      </w:r>
      <w:r w:rsidRPr="00F70FB9">
        <w:rPr>
          <w:rFonts w:asciiTheme="minorEastAsia" w:eastAsiaTheme="minorEastAsia" w:hAnsiTheme="minorEastAsia" w:hint="eastAsia"/>
          <w:color w:val="000000" w:themeColor="text1"/>
          <w:kern w:val="0"/>
          <w:szCs w:val="21"/>
        </w:rPr>
        <w:t>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）本基金投资的流通受限证券须为经中国证监会批准的非公开发行股票、公开发行股票网下配售部分等在发行时明确一定期限锁定期的可交易证券</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不包括由于发布重大消息或其他原因而临时停牌的证券、已发行未上市证券、回购交易中的质押券等流通受限证券。本基金不投资有锁定期但锁定期不明确的证券。</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基金管理人投资非公开发行股票，应制订流动性风险处置预案并经其董事会批准。风险处置预案应包括但不限于因投资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出现困难时，基金管理人应按照基金合同的约定进行处理。对本基金因投资受限证券导致的流动性风险，基金托管人不承担任何责任。如因基金管理人原因导致本基金出现损失的，基金托管人不承担任何责任。</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）中国证监会批准发行非公开发行股票的批准文件。</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）有关非公开发行股票的发行数量、发行价格、锁定期等发行资料。</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）基金拟认购的数量、价格、总成本、账面价值。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w:t>
      </w:r>
      <w:r w:rsidRPr="00F70FB9">
        <w:rPr>
          <w:rFonts w:asciiTheme="minorEastAsia" w:eastAsiaTheme="minorEastAsia" w:hAnsiTheme="minorEastAsia" w:hint="eastAsia"/>
          <w:color w:val="000000" w:themeColor="text1"/>
          <w:kern w:val="0"/>
          <w:szCs w:val="21"/>
        </w:rPr>
        <w:t>告中国证监会。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如基金管理人和基金托管人无法就上述问题达成一致，应及时上报中国证监会请求解决。</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8.</w:t>
      </w:r>
      <w:r w:rsidRPr="00F70FB9">
        <w:rPr>
          <w:rFonts w:asciiTheme="minorEastAsia" w:eastAsiaTheme="minorEastAsia" w:hAnsiTheme="minorEastAsia" w:hint="eastAsia"/>
          <w:color w:val="000000" w:themeColor="text1"/>
          <w:kern w:val="0"/>
          <w:szCs w:val="21"/>
        </w:rPr>
        <w:t>基金托管人对基金投资中小企业私募债券、中期票据的监督责任仅限于依据本协议第二条第（一）款第</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项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管理的基金在投资中小企业私募债、中期票据前，基金管理人须根据法律、法规、监管部门的规定，制定严格的关于投资中小企业私募债、中期票据的风险控制制度和流动性风险处置预案，管理人在此承诺将严格执行该风险控制制度和流动性风险处置预案。</w:t>
      </w:r>
    </w:p>
    <w:p w:rsidR="00074EE6" w:rsidRPr="00F70FB9" w:rsidP="00074EE6">
      <w:pPr>
        <w:spacing w:line="360" w:lineRule="auto"/>
        <w:ind w:firstLine="420" w:firstLineChars="200"/>
        <w:rPr>
          <w:rFonts w:asciiTheme="minorEastAsia" w:eastAsiaTheme="minorEastAsia" w:hAnsiTheme="minorEastAsia"/>
          <w:b/>
          <w:color w:val="000000" w:themeColor="text1"/>
          <w:kern w:val="0"/>
          <w:szCs w:val="21"/>
        </w:rPr>
      </w:pPr>
      <w:bookmarkStart w:id="108" w:name="_Toc382819074"/>
      <w:r w:rsidRPr="00F70FB9">
        <w:rPr>
          <w:rFonts w:asciiTheme="minorEastAsia" w:eastAsiaTheme="minorEastAsia" w:hAnsiTheme="minorEastAsia" w:hint="eastAsia"/>
          <w:color w:val="000000" w:themeColor="text1"/>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08"/>
    </w:p>
    <w:p w:rsidR="00074EE6" w:rsidRPr="00F70FB9" w:rsidP="00074EE6">
      <w:pPr>
        <w:spacing w:line="360" w:lineRule="auto"/>
        <w:ind w:firstLine="420" w:firstLineChars="200"/>
        <w:rPr>
          <w:rFonts w:asciiTheme="minorEastAsia" w:eastAsiaTheme="minorEastAsia" w:hAnsiTheme="minorEastAsia"/>
          <w:b/>
          <w:color w:val="000000" w:themeColor="text1"/>
          <w:kern w:val="0"/>
          <w:szCs w:val="21"/>
        </w:rPr>
      </w:pPr>
      <w:bookmarkStart w:id="109" w:name="_Toc382819075"/>
      <w:r w:rsidRPr="00F70FB9">
        <w:rPr>
          <w:rFonts w:asciiTheme="minorEastAsia" w:eastAsiaTheme="minorEastAsia" w:hAnsiTheme="minorEastAsia" w:hint="eastAsia"/>
          <w:color w:val="000000" w:themeColor="text1"/>
          <w:kern w:val="0"/>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09"/>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kern w:val="0"/>
          <w:szCs w:val="21"/>
        </w:rPr>
        <w:t>对于必须于估值完成后方可获知的监控指标或依据交易程序已经成交的投资指令，基金</w:t>
      </w:r>
      <w:r w:rsidRPr="00F70FB9">
        <w:rPr>
          <w:rFonts w:asciiTheme="minorEastAsia" w:eastAsiaTheme="minorEastAsia" w:hAnsiTheme="minorEastAsia" w:hint="eastAsia"/>
          <w:color w:val="000000" w:themeColor="text1"/>
          <w:kern w:val="0"/>
          <w:szCs w:val="21"/>
        </w:rPr>
        <w:t>托管人发现该投资指令违反法律法</w:t>
      </w:r>
      <w:r w:rsidRPr="00F70FB9">
        <w:rPr>
          <w:rFonts w:asciiTheme="minorEastAsia" w:eastAsiaTheme="minorEastAsia" w:hAnsiTheme="minorEastAsia" w:hint="eastAsia"/>
          <w:color w:val="000000" w:themeColor="text1"/>
          <w:szCs w:val="21"/>
        </w:rPr>
        <w:t>规或者违反《基金合同》约定的，应当立即通知基金管理人，并报告中国证监会。</w:t>
      </w:r>
    </w:p>
    <w:p w:rsidR="00074EE6" w:rsidRPr="00F70FB9" w:rsidP="00074EE6">
      <w:pPr>
        <w:spacing w:line="440" w:lineRule="exact"/>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基金托管人发现基金管理人有重大违规行为，应立即报告中国证监会，同时通知基金管理人限期纠正。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szCs w:val="21"/>
        </w:rPr>
        <w:t>基金管理</w:t>
      </w:r>
      <w:r w:rsidRPr="00F70FB9">
        <w:rPr>
          <w:rFonts w:asciiTheme="minorEastAsia" w:eastAsiaTheme="minorEastAsia" w:hAnsiTheme="minorEastAsia" w:hint="eastAsia"/>
          <w:color w:val="000000" w:themeColor="text1"/>
          <w:kern w:val="0"/>
          <w:szCs w:val="21"/>
        </w:rPr>
        <w:t>人无正当理由，拒绝、阻挠基金托管人根据本协议规定行使监督权，或采取拖延、欺诈等手段妨碍基金托管人进行有效监督，情节严重或经基金托管人提出警告仍不改正的，基金托管人应报告中国证监会。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三、基金管理人对基金托管人的业务核查</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基金托管人应积极配合基金管理人的核查行为，包括但不限于：提交相关资料以供基金管理人核查托管财产的完整性和真实性，在规定时间内答复基金管理人并改正。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四、基金财产的保管</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（一）基金财产保管的原则</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1.基金财产应独立于基金管理人、基金托管人的固有财产。</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2.基金托管人应按本协议规定安全保管托管财产。未经基金管理人的指令，不得自行运</w:t>
      </w:r>
      <w:r w:rsidRPr="00F70FB9">
        <w:rPr>
          <w:rFonts w:asciiTheme="minorEastAsia" w:eastAsiaTheme="minorEastAsia" w:hAnsiTheme="minorEastAsia" w:hint="eastAsia"/>
          <w:color w:val="000000" w:themeColor="text1"/>
          <w:kern w:val="0"/>
          <w:szCs w:val="21"/>
        </w:rPr>
        <w:t>用、处分、分配基金的任何财产（托管人主动扣收的汇划费除外）。托管人不对处于自身实际控制之外的账户及财产承担责任。</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3.基金托管人按照规定为托管的基金财产开设资金账户和证券账户。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4.基金托管人对所托管的不同基金财产分别设置账户，与基金托管人的其他业务和其他基金的托管业务实行严格的分账管理，确保基金财产的完整与独立。</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（二）募集资金的验证</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募集期内销售机构按销售与服务代理协议的约定，将认购资金划入基金管理人在具有托管资格的商业银行开设的“XX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基金托管人收到有效认购资金当日以书面形式确认资金到账情况，并及时将资金到账凭证传真给基金管理人，双方进行账务处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若基金募集期限届满，未能达到《基金合同》生效的条件，由基金管理人按规定办理退款事宜。</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（三）基金资产托管专户的开立和管理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人以基金托管人的名义或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资产托管专户的管理应符合《人民币银行结算账户管理办法》、《现金管理暂行条例》、</w:t>
      </w:r>
      <w:r w:rsidRPr="00F70FB9">
        <w:rPr>
          <w:rFonts w:asciiTheme="minorEastAsia" w:eastAsiaTheme="minorEastAsia" w:hAnsiTheme="minorEastAsia" w:hint="eastAsia"/>
          <w:color w:val="000000" w:themeColor="text1"/>
          <w:kern w:val="0"/>
          <w:szCs w:val="21"/>
        </w:rPr>
        <w:t>《人民币利率管理规定》、《利率管理暂行规定》、《支付结算办法》以及银行业监督管理机构的其他有关规定。</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（四）基金证券账户与证券交易资金账户的开设和管理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基金托管人以基金托管人和本基金联名的方式在中国证券登记结算有限公司上海分公司/深圳分公司开立专门的证券账户。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基金证券账户的开立由基金托管人负责，管理和运用由基金管理人负责。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基金托管人保管证券账户卡原件。</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（五）银行间市场债券托管和资金结算专户的开立和管理及市场准入备案</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（六）其他账户的开设和管理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1、因业务发展而需要开立的其它账户，可以根据《基金合同》或有关法律法规的规定，经基金管理人和基金托管人协商一致后，由基金托管人负责为基金开立。新账户按有关规则使用并管理。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2、法律、法规等有关规定对相关账户的开立和管理另有规定的，从其规定办理。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（七）基金投资银行存款账户的开立和管理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基金投资银行定期存款，基金管理人与基金托管人应比照证监会的相关规定，就本基金</w:t>
      </w:r>
      <w:r w:rsidRPr="00F70FB9">
        <w:rPr>
          <w:rFonts w:asciiTheme="minorEastAsia" w:eastAsiaTheme="minorEastAsia" w:hAnsiTheme="minorEastAsia" w:hint="eastAsia"/>
          <w:color w:val="000000" w:themeColor="text1"/>
          <w:kern w:val="0"/>
          <w:szCs w:val="21"/>
        </w:rPr>
        <w:t>投资银行存款业务签订书面协议。</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基金投资银行定期存款应由基金管理人与存款银行总行或其授权分行签订总体合作协议，并将资金存放于存款银行总行或其授权分行指定的分支机构。</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存款账户必须以基金名义开立，账户名称为基金名称，存款账户开户文件上加盖预留印鉴及基金管理人公章。</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本基金投资银行存款时，基金管理人应当与存款银行签订具体存款协议，明确存款的类型、期限、利率、金额、账号、对账方式、支取方式、账户管理等细则。</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为防范特殊情况下的流动性风险，定期存款协议中应当约定提前支取条款。</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基金所投资定期存款存续期间，基金管理人、基金托管人应当与存款银行建立定期对账机制，确保基金银行存款业务账目及核对的真实、准确。</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（八）基金财产投资的有关实物证券、银行定期存款存单等有价凭证的保管</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（九）与基金财产有关的重大合同的保管</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五、基金资产净值计算和会计核算</w:t>
      </w:r>
    </w:p>
    <w:p w:rsidR="00074EE6" w:rsidRPr="00F70FB9" w:rsidP="00074EE6">
      <w:pPr>
        <w:spacing w:line="360" w:lineRule="auto"/>
        <w:ind w:firstLine="420" w:firstLineChars="200"/>
        <w:rPr>
          <w:rFonts w:asciiTheme="minorEastAsia" w:eastAsiaTheme="minorEastAsia" w:hAnsiTheme="minorEastAsia"/>
          <w:b/>
          <w:color w:val="000000" w:themeColor="text1"/>
          <w:kern w:val="0"/>
          <w:szCs w:val="21"/>
        </w:rPr>
      </w:pPr>
      <w:bookmarkStart w:id="110" w:name="_Toc382819104"/>
      <w:r w:rsidRPr="00F70FB9">
        <w:rPr>
          <w:rFonts w:asciiTheme="minorEastAsia" w:eastAsiaTheme="minorEastAsia" w:hAnsiTheme="minorEastAsia" w:hint="eastAsia"/>
          <w:color w:val="000000" w:themeColor="text1"/>
          <w:kern w:val="0"/>
          <w:szCs w:val="21"/>
        </w:rPr>
        <w:t>（一）基金资产净值的计算、复核的时间和程序</w:t>
      </w:r>
      <w:bookmarkEnd w:id="110"/>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基金资产净值是指基金资产总值减去负债后的价值。基金份额净值是指计算日基金资产净值除以该计算日基金份额总份额后的数值。基金资产净值除以当日基金份额的余额数量计算，精确到</w:t>
      </w:r>
      <w:r w:rsidRPr="00F70FB9">
        <w:rPr>
          <w:rFonts w:asciiTheme="minorEastAsia" w:eastAsiaTheme="minorEastAsia" w:hAnsiTheme="minorEastAsia"/>
          <w:color w:val="000000" w:themeColor="text1"/>
          <w:kern w:val="0"/>
          <w:szCs w:val="21"/>
        </w:rPr>
        <w:t>0.0001</w:t>
      </w:r>
      <w:r w:rsidRPr="00F70FB9">
        <w:rPr>
          <w:rFonts w:asciiTheme="minorEastAsia" w:eastAsiaTheme="minorEastAsia" w:hAnsiTheme="minorEastAsia" w:hint="eastAsia"/>
          <w:color w:val="000000" w:themeColor="text1"/>
          <w:kern w:val="0"/>
          <w:szCs w:val="21"/>
        </w:rPr>
        <w:t>元，小数点后第</w:t>
      </w: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位四舍五入，由此产生的误差计入基金财产。</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每个工作日，基金管理人应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074EE6" w:rsidRPr="00F70FB9" w:rsidP="00074EE6">
      <w:pPr>
        <w:spacing w:line="360" w:lineRule="auto"/>
        <w:ind w:firstLine="420" w:firstLineChars="200"/>
        <w:rPr>
          <w:rFonts w:asciiTheme="minorEastAsia" w:eastAsiaTheme="minorEastAsia" w:hAnsiTheme="minorEastAsia"/>
          <w:b/>
          <w:color w:val="000000" w:themeColor="text1"/>
          <w:kern w:val="0"/>
          <w:szCs w:val="21"/>
        </w:rPr>
      </w:pPr>
      <w:bookmarkStart w:id="111" w:name="_Toc382819105"/>
      <w:r w:rsidRPr="00F70FB9">
        <w:rPr>
          <w:rFonts w:asciiTheme="minorEastAsia" w:eastAsiaTheme="minorEastAsia" w:hAnsiTheme="minorEastAsia" w:hint="eastAsia"/>
          <w:color w:val="000000" w:themeColor="text1"/>
          <w:kern w:val="0"/>
          <w:szCs w:val="21"/>
        </w:rPr>
        <w:t>（二）基金资产估值方法</w:t>
      </w:r>
      <w:bookmarkEnd w:id="111"/>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估值对象</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基金所拥有的股票、债券、衍生工具和银行存款本息、应收款项、其它投资等资产及负债。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估值方法</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）证券交易所上市的有价证券的估值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）交易所上市交易或挂牌转让的不含权和含权固定收益品种，选取第三方估值机构提供的相应品种当日的估值净价；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）交易所上市交易的可转换债券，选取每日收盘价作为估值全价；</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）交易所市场挂牌转让的资产支持证券和私募债券，采用估值技术确定公允价值，在估值技术难以可靠计量公允价值的情况下，按成本估值。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）处于未上市期间的有价证券应区分如下情况处理：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）送股、转增股、配股和公开增发的新股，按估值日在证券交易所挂牌的同一股票的估值方法估值；该日无交易的，以最近一日的市价（收盘价）估值；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）首次公开发行未上市的股票、债券和权证，采用估值技术确定公允价值，在估值技术难以可靠计量公允价值的情况下，按成本估值；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）首次公开发行有明确锁定期的股票，同一股票在交易所上市后，按交易所上市的同一股票的估值方法估值；非公开发行有明确锁定期的股票，按监管机构或行业协会有关规定确定公允价值。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全国银行间债券市场交易的固定收益品种，采用估值技术确定公允价值。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同一债券同时在两个或两个以上市场交易的，按债券所处的市场分别估值。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期货合约以估值当日结算价进行估值，估值当日无结算价的，且最近交易日后经济环境未发生重大变化的，采用最近交易日结算价估值。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6）</w:t>
      </w:r>
      <w:r w:rsidRPr="00F70FB9">
        <w:rPr>
          <w:rFonts w:asciiTheme="minorEastAsia" w:eastAsiaTheme="minorEastAsia" w:hAnsiTheme="minorEastAsia" w:hint="eastAsia"/>
          <w:color w:val="000000" w:themeColor="text1"/>
          <w:kern w:val="0"/>
          <w:szCs w:val="21"/>
        </w:rPr>
        <w:t>如有充分理由表明按上述方法进行估值不能客观反映其公允价值的，基金管理人可根据具体情况与基金托管人商定后，按最能反映公允价值的价格估值。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7）</w:t>
      </w:r>
      <w:r w:rsidRPr="00F70FB9">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bookmarkStart w:id="112" w:name="_Toc382819106"/>
      <w:r w:rsidRPr="00F70FB9">
        <w:rPr>
          <w:rFonts w:asciiTheme="minorEastAsia" w:eastAsiaTheme="minorEastAsia" w:hAnsiTheme="minorEastAsia" w:hint="eastAsia"/>
          <w:color w:val="000000" w:themeColor="text1"/>
          <w:kern w:val="0"/>
          <w:szCs w:val="21"/>
        </w:rPr>
        <w:t>（三）估值差错处理</w:t>
      </w:r>
      <w:bookmarkEnd w:id="112"/>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bookmarkStart w:id="113" w:name="_Toc382819107"/>
      <w:r w:rsidRPr="00F70FB9">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基金管理人和基金托管人将采取必要、适当、合理的措施确保基金资产估值的准确性、及时性。当基金份额净值小数点后</w:t>
      </w: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位以内</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含第</w:t>
      </w: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位</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发生差错时，视为估值错误。</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本基金合同的当事人应按照以下约定处理：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、估值错误类型</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“受损方”</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的直接损失按下述“估值错误处理原则”给予赔偿，承担赔偿责任。</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上述估值错误的主要类型包括但不限于：资料申报差错、数据传输差错、数据计算差错、系统故障差错、下达指令差错等。</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、估值错误处理原则</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）估值错误的责任方对有关当事人的直接损失负责，不对间接损失负责，并且仅对估值错误的有关直接当事人负责，不对第三方负责。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“受损方”</w:t>
      </w:r>
      <w:r w:rsidRPr="00F70FB9">
        <w:rPr>
          <w:rFonts w:asciiTheme="minorEastAsia" w:eastAsiaTheme="minorEastAsia" w:hAnsiTheme="minorEastAsia"/>
          <w:color w:val="000000" w:themeColor="text1"/>
          <w:kern w:val="0"/>
          <w:szCs w:val="21"/>
        </w:rPr>
        <w:t>)</w:t>
      </w:r>
      <w:r w:rsidRPr="00F70FB9">
        <w:rPr>
          <w:rFonts w:asciiTheme="minorEastAsia" w:eastAsiaTheme="minorEastAsia" w:hAnsiTheme="minorEastAsia" w:hint="eastAsia"/>
          <w:color w:val="000000" w:themeColor="text1"/>
          <w:kern w:val="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）估值错误调整采用尽量恢复至假设未发生估值错误的正确情形的方式。</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）按法律法规规定的其他原则处理估值错误。</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、估值错误处理程序</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）查明估值错误发生的原因，列明所有的当事人，并根据估值错误发生的原因确定估值错误的责任方；</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）根据估值错误处理原则或当事人协商的方法对因估值错误造成的损失进行评估；</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）根据估值错误处理原则或当事人协商的方法由估值错误的责任方进行更正和赔偿损失；</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）根据估值错误处理的方法，需要修改基金登记机构交易数据的，由基金登记机构进行更正，并就估值错误的更正向有关当事人进行确认。</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、基金份额净值估值错误处理的方法如下：</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）基金份额净值计算出现错误时，基金管理人应当立即予以纠正，通报基金托管人，并采取合理的措施防止损失进一步扩大。</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）错误偏差达到基金份额净值的</w:t>
      </w:r>
      <w:r w:rsidRPr="00F70FB9">
        <w:rPr>
          <w:rFonts w:asciiTheme="minorEastAsia" w:eastAsiaTheme="minorEastAsia" w:hAnsiTheme="minorEastAsia"/>
          <w:color w:val="000000" w:themeColor="text1"/>
          <w:kern w:val="0"/>
          <w:szCs w:val="21"/>
        </w:rPr>
        <w:t>0.25%</w:t>
      </w:r>
      <w:r w:rsidRPr="00F70FB9">
        <w:rPr>
          <w:rFonts w:asciiTheme="minorEastAsia" w:eastAsiaTheme="minorEastAsia" w:hAnsiTheme="minorEastAsia" w:hint="eastAsia"/>
          <w:color w:val="000000" w:themeColor="text1"/>
          <w:kern w:val="0"/>
          <w:szCs w:val="21"/>
        </w:rPr>
        <w:t>时，基金管理人应当通报基金托管人；错误偏差达到基金份额净值的</w:t>
      </w:r>
      <w:r w:rsidRPr="00F70FB9">
        <w:rPr>
          <w:rFonts w:asciiTheme="minorEastAsia" w:eastAsiaTheme="minorEastAsia" w:hAnsiTheme="minorEastAsia"/>
          <w:color w:val="000000" w:themeColor="text1"/>
          <w:kern w:val="0"/>
          <w:szCs w:val="21"/>
        </w:rPr>
        <w:t>0.5%</w:t>
      </w:r>
      <w:r w:rsidRPr="00F70FB9">
        <w:rPr>
          <w:rFonts w:asciiTheme="minorEastAsia" w:eastAsiaTheme="minorEastAsia" w:hAnsiTheme="minorEastAsia" w:hint="eastAsia"/>
          <w:color w:val="000000" w:themeColor="text1"/>
          <w:kern w:val="0"/>
          <w:szCs w:val="21"/>
        </w:rPr>
        <w:t>时，基金管理人应当公告，并报中国证监会备案。</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）前述内容如法律法规或监管机关另有规定的，从其规定处理。</w:t>
      </w:r>
      <w:bookmarkEnd w:id="113"/>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bookmarkStart w:id="114" w:name="_Toc382819113"/>
      <w:r w:rsidRPr="00F70FB9">
        <w:rPr>
          <w:rFonts w:asciiTheme="minorEastAsia" w:eastAsiaTheme="minorEastAsia" w:hAnsiTheme="minorEastAsia" w:hint="eastAsia"/>
          <w:color w:val="000000" w:themeColor="text1"/>
          <w:kern w:val="0"/>
          <w:szCs w:val="21"/>
        </w:rPr>
        <w:t>（四）暂停估值的情形</w:t>
      </w:r>
      <w:bookmarkEnd w:id="114"/>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bookmarkStart w:id="115" w:name="_Toc382819114"/>
      <w:r w:rsidRPr="00F70FB9">
        <w:rPr>
          <w:rFonts w:asciiTheme="minorEastAsia" w:eastAsiaTheme="minorEastAsia" w:hAnsiTheme="minorEastAsia"/>
          <w:color w:val="000000" w:themeColor="text1"/>
          <w:kern w:val="0"/>
          <w:szCs w:val="21"/>
        </w:rPr>
        <w:t>1</w:t>
      </w:r>
      <w:r w:rsidRPr="00F70FB9">
        <w:rPr>
          <w:rFonts w:asciiTheme="minorEastAsia" w:eastAsiaTheme="minorEastAsia" w:hAnsiTheme="minorEastAsia" w:hint="eastAsia"/>
          <w:color w:val="000000" w:themeColor="text1"/>
          <w:kern w:val="0"/>
          <w:szCs w:val="21"/>
        </w:rPr>
        <w:t>、基金投资所涉及的证券交易市场遇法定节假日或因其他原因暂停营业时；</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2</w:t>
      </w:r>
      <w:r w:rsidRPr="00F70FB9">
        <w:rPr>
          <w:rFonts w:asciiTheme="minorEastAsia" w:eastAsiaTheme="minorEastAsia" w:hAnsiTheme="minorEastAsia" w:hint="eastAsia"/>
          <w:color w:val="000000" w:themeColor="text1"/>
          <w:kern w:val="0"/>
          <w:szCs w:val="21"/>
        </w:rPr>
        <w:t>、因不可抗力致使基金管理人、基金托管人无法准确评估基金资产价值时；</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3、</w:t>
      </w:r>
      <w:r w:rsidRPr="00F70FB9">
        <w:rPr>
          <w:rFonts w:asciiTheme="minorEastAsia" w:eastAsiaTheme="minorEastAsia" w:hAnsiTheme="minorEastAsia" w:hint="eastAsia"/>
          <w:color w:val="000000" w:themeColor="text1"/>
          <w:kern w:val="0"/>
          <w:szCs w:val="21"/>
        </w:rPr>
        <w:t>当前一估值日基金资产净值</w:t>
      </w:r>
      <w:r w:rsidRPr="00F70FB9">
        <w:rPr>
          <w:rFonts w:asciiTheme="minorEastAsia" w:eastAsiaTheme="minorEastAsia" w:hAnsiTheme="minorEastAsia"/>
          <w:color w:val="000000" w:themeColor="text1"/>
          <w:kern w:val="0"/>
          <w:szCs w:val="21"/>
        </w:rPr>
        <w:t>50%以上的资产出现无可参考的活跃市场价格且采用估值技术仍导致公允价值存在重大不确定性时，经与基金托管人协商一致的</w:t>
      </w:r>
      <w:r w:rsidRPr="00F70FB9">
        <w:rPr>
          <w:rFonts w:asciiTheme="minorEastAsia" w:eastAsiaTheme="minorEastAsia" w:hAnsiTheme="minorEastAsia" w:hint="eastAsia"/>
          <w:color w:val="000000" w:themeColor="text1"/>
          <w:kern w:val="0"/>
          <w:szCs w:val="21"/>
        </w:rPr>
        <w:t>；</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color w:val="000000" w:themeColor="text1"/>
          <w:kern w:val="0"/>
          <w:szCs w:val="21"/>
        </w:rPr>
        <w:t>4</w:t>
      </w:r>
      <w:r w:rsidRPr="00F70FB9">
        <w:rPr>
          <w:rFonts w:asciiTheme="minorEastAsia" w:eastAsiaTheme="minorEastAsia" w:hAnsiTheme="minorEastAsia" w:hint="eastAsia"/>
          <w:color w:val="000000" w:themeColor="text1"/>
          <w:kern w:val="0"/>
          <w:szCs w:val="21"/>
        </w:rPr>
        <w:t>、中国证监会和基金合同认定的其它情形。</w:t>
      </w:r>
      <w:bookmarkEnd w:id="115"/>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bookmarkStart w:id="116" w:name="_Toc382819116"/>
      <w:r w:rsidRPr="00F70FB9">
        <w:rPr>
          <w:rFonts w:asciiTheme="minorEastAsia" w:eastAsiaTheme="minorEastAsia" w:hAnsiTheme="minorEastAsia" w:hint="eastAsia"/>
          <w:color w:val="000000" w:themeColor="text1"/>
          <w:kern w:val="0"/>
          <w:szCs w:val="21"/>
        </w:rPr>
        <w:t>（五）基金账册的建立</w:t>
      </w:r>
      <w:bookmarkEnd w:id="116"/>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074EE6" w:rsidRPr="00F70FB9" w:rsidP="00074EE6">
      <w:pPr>
        <w:spacing w:line="360" w:lineRule="auto"/>
        <w:ind w:firstLine="420" w:firstLineChars="200"/>
        <w:rPr>
          <w:rFonts w:asciiTheme="minorEastAsia" w:eastAsiaTheme="minorEastAsia" w:hAnsiTheme="minorEastAsia"/>
          <w:b/>
          <w:color w:val="000000" w:themeColor="text1"/>
          <w:kern w:val="0"/>
          <w:szCs w:val="21"/>
        </w:rPr>
      </w:pPr>
      <w:bookmarkStart w:id="117" w:name="_Toc382819117"/>
      <w:r w:rsidRPr="00F70FB9">
        <w:rPr>
          <w:rFonts w:asciiTheme="minorEastAsia" w:eastAsiaTheme="minorEastAsia" w:hAnsiTheme="minorEastAsia" w:hint="eastAsia"/>
          <w:color w:val="000000" w:themeColor="text1"/>
          <w:kern w:val="0"/>
          <w:szCs w:val="21"/>
        </w:rPr>
        <w:t>（六）基金定期报告的编制和复核</w:t>
      </w:r>
      <w:bookmarkEnd w:id="117"/>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w:t>
      </w:r>
      <w:r w:rsidRPr="00F70FB9">
        <w:rPr>
          <w:rFonts w:asciiTheme="minorEastAsia" w:eastAsiaTheme="minorEastAsia" w:hAnsiTheme="minorEastAsia"/>
          <w:color w:val="000000" w:themeColor="text1"/>
          <w:kern w:val="0"/>
          <w:szCs w:val="21"/>
        </w:rPr>
        <w:t>5</w:t>
      </w:r>
      <w:r w:rsidRPr="00F70FB9">
        <w:rPr>
          <w:rFonts w:asciiTheme="minorEastAsia" w:eastAsiaTheme="minorEastAsia" w:hAnsiTheme="minorEastAsia" w:hint="eastAsia"/>
          <w:color w:val="000000" w:themeColor="text1"/>
          <w:kern w:val="0"/>
          <w:szCs w:val="21"/>
        </w:rPr>
        <w:t>个工作日内完成。</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bCs/>
          <w:color w:val="000000" w:themeColor="text1"/>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F70FB9">
        <w:rPr>
          <w:rFonts w:asciiTheme="minorEastAsia" w:eastAsiaTheme="minorEastAsia" w:hAnsiTheme="minorEastAsia" w:hint="eastAsia"/>
          <w:color w:val="000000" w:themeColor="text1"/>
          <w:kern w:val="0"/>
          <w:szCs w:val="21"/>
        </w:rPr>
        <w:t>基金管理人在季度结束之日起15个工作日内完成季度报告编制并公告；在上半年结束之日</w:t>
      </w:r>
      <w:r w:rsidRPr="00F70FB9">
        <w:rPr>
          <w:rFonts w:asciiTheme="minorEastAsia" w:eastAsiaTheme="minorEastAsia" w:hAnsiTheme="minorEastAsia"/>
          <w:color w:val="000000" w:themeColor="text1"/>
          <w:kern w:val="0"/>
          <w:szCs w:val="21"/>
        </w:rPr>
        <w:t>起</w:t>
      </w:r>
      <w:r w:rsidRPr="00F70FB9">
        <w:rPr>
          <w:rFonts w:asciiTheme="minorEastAsia" w:eastAsiaTheme="minorEastAsia" w:hAnsiTheme="minorEastAsia" w:hint="eastAsia"/>
          <w:color w:val="000000" w:themeColor="text1"/>
          <w:kern w:val="0"/>
          <w:szCs w:val="21"/>
        </w:rPr>
        <w:t>两个月内完成中期报告编制并公告；在每年结束之日起三个月内完成年度报告编制并公告。</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基金管理人在5个工作日内完成月度报告，在月度报告完成当日，对报告加盖公章后，以加密传真方式将有关报告提供基金托管人复核；基金托管人在3个工作日内进行复核，并</w:t>
      </w:r>
      <w:r w:rsidRPr="00F70FB9">
        <w:rPr>
          <w:rFonts w:asciiTheme="minorEastAsia" w:eastAsiaTheme="minorEastAsia" w:hAnsiTheme="minorEastAsia" w:hint="eastAsia"/>
          <w:color w:val="000000" w:themeColor="text1"/>
          <w:szCs w:val="21"/>
        </w:rPr>
        <w:t>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Pr="00F70FB9">
        <w:rPr>
          <w:rFonts w:asciiTheme="minorEastAsia" w:eastAsiaTheme="minorEastAsia" w:hAnsiTheme="minorEastAsia" w:hint="eastAsia"/>
          <w:color w:val="000000" w:themeColor="text1"/>
          <w:kern w:val="44"/>
          <w:szCs w:val="21"/>
        </w:rPr>
        <w:t>如果基金管理人与基金托管人不能于应当发布公告之日之前就相关报表达成一致，基金管理人有权按照其编制的报表对外发布公告，基金托管人有权就相关情况报证监会备案。</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基金托管人在对财务会计报告、中期报告或年度报告复核完毕后，需盖章确认或出具相应的复核确认书，以备有权机构对相关文件审核时提示。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六、基金份额持有人名册的登记与保管</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基金份额持有人名册由基金的</w:t>
      </w:r>
      <w:r w:rsidRPr="00F70FB9">
        <w:rPr>
          <w:rFonts w:asciiTheme="minorEastAsia" w:eastAsiaTheme="minorEastAsia" w:hAnsiTheme="minorEastAsia" w:cs="Arial" w:hint="eastAsia"/>
          <w:color w:val="000000" w:themeColor="text1"/>
          <w:szCs w:val="21"/>
        </w:rPr>
        <w:t>基金注册登记机构根据基金管理人的指令编制和保管</w:t>
      </w:r>
      <w:r w:rsidRPr="00F70FB9">
        <w:rPr>
          <w:rFonts w:asciiTheme="minorEastAsia" w:eastAsiaTheme="minorEastAsia" w:hAnsiTheme="minorEastAsia" w:hint="eastAsia"/>
          <w:color w:val="000000" w:themeColor="text1"/>
          <w:szCs w:val="21"/>
        </w:rPr>
        <w:t>，基金管理人应按照目前相关规则保管基金份额持有人名册。保管方式可以采用电子或文档的形式。保管期限为15年。</w:t>
      </w:r>
    </w:p>
    <w:p w:rsidR="00074EE6" w:rsidRPr="00F70FB9" w:rsidP="00074EE6">
      <w:pPr>
        <w:spacing w:line="360" w:lineRule="auto"/>
        <w:ind w:firstLine="420" w:firstLineChars="200"/>
        <w:rPr>
          <w:rFonts w:asciiTheme="minorEastAsia" w:eastAsiaTheme="minorEastAsia" w:hAnsiTheme="minorEastAsia" w:cs="Arial"/>
          <w:color w:val="000000" w:themeColor="text1"/>
          <w:szCs w:val="21"/>
        </w:rPr>
      </w:pPr>
      <w:r w:rsidRPr="00F70FB9">
        <w:rPr>
          <w:rFonts w:asciiTheme="minorEastAsia" w:eastAsiaTheme="minorEastAsia" w:hAnsiTheme="minorEastAsia" w:hint="eastAsia"/>
          <w:color w:val="000000" w:themeColor="text1"/>
          <w:szCs w:val="21"/>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七、</w:t>
      </w:r>
      <w:r w:rsidRPr="00F70FB9">
        <w:rPr>
          <w:rFonts w:asciiTheme="minorEastAsia" w:eastAsiaTheme="minorEastAsia" w:hAnsiTheme="minorEastAsia" w:cs="Arial" w:hint="eastAsia"/>
          <w:color w:val="000000" w:themeColor="text1"/>
          <w:szCs w:val="21"/>
        </w:rPr>
        <w:t>适用法律及</w:t>
      </w:r>
      <w:r w:rsidRPr="00F70FB9">
        <w:rPr>
          <w:rFonts w:asciiTheme="minorEastAsia" w:eastAsiaTheme="minorEastAsia" w:hAnsiTheme="minorEastAsia" w:hint="eastAsia"/>
          <w:color w:val="000000" w:themeColor="text1"/>
          <w:kern w:val="0"/>
          <w:szCs w:val="21"/>
        </w:rPr>
        <w:t>争议解决方式</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（一）本协议适用中华人民共和国法律（为本协议之目的，在此不包括香港、澳门特别行政区和台湾地区法律），并从其解释。</w:t>
      </w:r>
    </w:p>
    <w:p w:rsidR="00074EE6" w:rsidRPr="00F70FB9" w:rsidP="00074EE6">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二）相关各方当事人同意，因本协议而产生的或与本协议有关的一切争议，除经友好协商可以解决的，应提交中国国际经济贸易仲裁委员会，按照中国国际经济贸易仲裁委员会届时有效的仲裁规则进行仲裁。仲裁地点为北京市。仲裁裁决是终局性的并对相关各方均有约束力，仲裁费用由败诉方承担。</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szCs w:val="21"/>
        </w:rPr>
        <w:t>争议处理期间，相关各方当事人应恪守基金管理人和基金托管人职责，继续忠实、勤勉、尽责地履行《基金合同》和本托管协议规定的义务，维护基金份额持有人的合法权益。</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八、托管协议的</w:t>
      </w:r>
      <w:r w:rsidRPr="00F70FB9">
        <w:rPr>
          <w:rFonts w:asciiTheme="minorEastAsia" w:eastAsiaTheme="minorEastAsia" w:hAnsiTheme="minorEastAsia" w:cs="Arial" w:hint="eastAsia"/>
          <w:color w:val="000000" w:themeColor="text1"/>
          <w:szCs w:val="21"/>
        </w:rPr>
        <w:t>变更、终止与基金财产的清算</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（一）托管协议的变更与终止</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1.托管协议的变更程序</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核准后生效。</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2.基金托管协议终止的情形</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发生以下情况，本托管协议终止：</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（1）《基金合同》终止；</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（2）基金托管人解散、依法被撤销、破产或有其他基金托管人接管基金资产；</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（3）基金管理人解散、依法被撤销、破产或有其他基金管理人接管基金管理权；</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（4）发生法律法规或《基金合同》规定的终止事项。</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（二）基金财产的清算</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2.在基金财产清算小组接管基金财产之前，基金管理人和基金托管人应按照《基金合同》和本托管协议的规定继续履行保护基金财产安全的职责。</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3.基金财产清算小组组成：基金财产清算小组成员由基金管理人、基金托管人、具有从事证券相关业务资格的注册会计师、律师以及中国证监会指定的人员组成。基金财产清算小</w:t>
      </w:r>
      <w:r w:rsidRPr="00F70FB9">
        <w:rPr>
          <w:rFonts w:asciiTheme="minorEastAsia" w:eastAsiaTheme="minorEastAsia" w:hAnsiTheme="minorEastAsia" w:hint="eastAsia"/>
          <w:color w:val="000000" w:themeColor="text1"/>
          <w:kern w:val="0"/>
          <w:szCs w:val="21"/>
        </w:rPr>
        <w:t>组可以聘用必要的工作人员。</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4.基金财产清算小组职责：基金财产清算小组负责基金财产的保管、清理、估价、变现和分配。基金财产清算小组可以依法进行必要的民事活动。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5.基金财产清算程序：</w:t>
      </w:r>
      <w:r w:rsidRPr="00F70FB9">
        <w:rPr>
          <w:rFonts w:asciiTheme="minorEastAsia" w:eastAsiaTheme="minorEastAsia" w:hAnsiTheme="minorEastAsia" w:hint="eastAsia"/>
          <w:color w:val="000000" w:themeColor="text1"/>
          <w:kern w:val="0"/>
          <w:szCs w:val="21"/>
        </w:rPr>
        <w:tab/>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（1）《基金合同》终止后，由基金财产清算小组统一接管基金；</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（2）对基金财产和债权债务进行清理和确认；</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（3）对基金财产进行估值和变现；</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（4）制作清算报告；</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（5）聘请会计师事务所对清算报告进行外部审计，聘请律师事务所对清算报告出具法律意见书；</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（6）将清算报告报告中国证监会备案并公告；</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（7）对基金财产进行分配；</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6.清算费用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清算费用是指基金清算小组在进行基金清算过程中发生的所有合理费用，清算费用由基金清算小组优先从基金财产中支付。</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7.基金财产按下列顺序清偿：</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(1)支付清算费用；</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(2)交纳所欠税款；</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(3)清偿基金债务；</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(4)按基金份额持有人持有的基金份额比例进行分配。</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基金财产未按前款(1)－(3)项规定清偿前，不分配给基金份额持有人。</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（三）基金财产清算的公告</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074EE6"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（四）基金财产清算账册及文件的保存</w:t>
      </w:r>
    </w:p>
    <w:p w:rsidR="00A24B6D" w:rsidRPr="00F70FB9" w:rsidP="00074EE6">
      <w:pPr>
        <w:spacing w:line="360" w:lineRule="auto"/>
        <w:ind w:firstLine="420" w:firstLineChars="200"/>
        <w:rPr>
          <w:rFonts w:asciiTheme="minorEastAsia" w:eastAsiaTheme="minorEastAsia" w:hAnsiTheme="minorEastAsia"/>
          <w:color w:val="000000" w:themeColor="text1"/>
          <w:kern w:val="0"/>
          <w:szCs w:val="21"/>
        </w:rPr>
      </w:pPr>
      <w:r w:rsidRPr="00F70FB9">
        <w:rPr>
          <w:rFonts w:asciiTheme="minorEastAsia" w:eastAsiaTheme="minorEastAsia" w:hAnsiTheme="minorEastAsia" w:hint="eastAsia"/>
          <w:color w:val="000000" w:themeColor="text1"/>
          <w:kern w:val="0"/>
          <w:szCs w:val="21"/>
        </w:rPr>
        <w:t>基金财产清算账册及有关文件由基金托管人保存15年以上。</w:t>
      </w:r>
    </w:p>
    <w:p w:rsidR="00BA4B87" w:rsidRPr="00F70FB9">
      <w:pPr>
        <w:pStyle w:val="Heading1"/>
        <w:pageBreakBefore/>
        <w:spacing w:before="317" w:after="317" w:line="360" w:lineRule="auto"/>
        <w:ind w:firstLine="600"/>
        <w:rPr>
          <w:rFonts w:asciiTheme="minorEastAsia" w:eastAsiaTheme="minorEastAsia" w:hAnsiTheme="minorEastAsia"/>
          <w:bCs/>
          <w:color w:val="000000" w:themeColor="text1"/>
        </w:rPr>
      </w:pPr>
      <w:bookmarkStart w:id="118" w:name="_Toc332373591"/>
      <w:bookmarkStart w:id="119" w:name="_Toc103006350"/>
      <w:r w:rsidRPr="00F70FB9">
        <w:rPr>
          <w:rFonts w:asciiTheme="minorEastAsia" w:eastAsiaTheme="minorEastAsia" w:hAnsiTheme="minorEastAsia" w:hint="eastAsia"/>
          <w:color w:val="000000" w:themeColor="text1"/>
          <w:sz w:val="30"/>
        </w:rPr>
        <w:t>二十三、对基金份额持有人的服务</w:t>
      </w:r>
      <w:bookmarkEnd w:id="119"/>
    </w:p>
    <w:bookmarkEnd w:id="118"/>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（一）基金份额持有人投资交易确认服务</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（二）基金份额持有人交易记录查询服务</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本基金份额持有人可通过基金管理人的客户服务中心查询历史交易记录。</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（三）基金份额持有人的对账单服务</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1、基金份额持有人可登录本公司网站（</w:t>
      </w:r>
      <w:r w:rsidRPr="00F70FB9">
        <w:rPr>
          <w:rFonts w:asciiTheme="minorEastAsia" w:eastAsiaTheme="minorEastAsia" w:hAnsiTheme="minorEastAsia"/>
          <w:color w:val="000000" w:themeColor="text1"/>
        </w:rPr>
        <w:t>http://www.efunds.com.cn）</w:t>
      </w:r>
      <w:r w:rsidRPr="00F70FB9">
        <w:rPr>
          <w:rFonts w:asciiTheme="minorEastAsia" w:eastAsiaTheme="minorEastAsia" w:hAnsiTheme="minorEastAsia" w:hint="eastAsia"/>
          <w:color w:val="000000" w:themeColor="text1"/>
        </w:rPr>
        <w:t>查阅对账单。</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2、</w:t>
      </w:r>
      <w:r w:rsidRPr="00F70FB9" w:rsidR="00E76EDD">
        <w:rPr>
          <w:rFonts w:asciiTheme="minorEastAsia" w:eastAsiaTheme="minorEastAsia" w:hAnsiTheme="minorEastAsia" w:hint="eastAsia"/>
          <w:color w:val="000000" w:themeColor="text1"/>
        </w:rPr>
        <w:t>本公司至少每年度以电子邮件、短信或其他形式向通过易方达直销系统持有本公司基金份额的持有人提供基金保有情况信息，基金份额持有人也可以向本公司定制电子邮件形式的月度对账单。</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具体查阅和定制账单的方法可参见本公司网站或拨打客服热线咨询。</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（四）定期定额投资计划</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F70FB9">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F70FB9">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（五）资讯服务</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1、客户服务电话</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投资者如果想了解基金产品、服务等信息</w:t>
      </w:r>
      <w:r w:rsidRPr="00F70FB9">
        <w:rPr>
          <w:rFonts w:asciiTheme="minorEastAsia" w:eastAsiaTheme="minorEastAsia" w:hAnsiTheme="minorEastAsia" w:hint="eastAsia"/>
          <w:color w:val="000000" w:themeColor="text1"/>
          <w:kern w:val="0"/>
          <w:szCs w:val="21"/>
        </w:rPr>
        <w:t>，</w:t>
      </w:r>
      <w:r w:rsidRPr="00F70FB9">
        <w:rPr>
          <w:rFonts w:asciiTheme="minorEastAsia" w:eastAsiaTheme="minorEastAsia" w:hAnsiTheme="minorEastAsia" w:hint="eastAsia"/>
          <w:color w:val="000000" w:themeColor="text1"/>
          <w:kern w:val="0"/>
        </w:rPr>
        <w:t>或反馈投资过程中需要投诉与建议的情况</w:t>
      </w:r>
      <w:r w:rsidRPr="00F70FB9">
        <w:rPr>
          <w:rFonts w:asciiTheme="minorEastAsia" w:eastAsiaTheme="minorEastAsia" w:hAnsiTheme="minorEastAsia" w:hint="eastAsia"/>
          <w:color w:val="000000" w:themeColor="text1"/>
        </w:rPr>
        <w:t>，可拨打如下电话：4008818088。</w:t>
      </w:r>
      <w:r w:rsidRPr="00F70FB9">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2、互联网站及电子信箱</w:t>
      </w:r>
    </w:p>
    <w:p w:rsidR="00AE2909" w:rsidRPr="00F70FB9">
      <w:pPr>
        <w:spacing w:line="360" w:lineRule="auto"/>
        <w:ind w:firstLine="420" w:firstLineChars="200"/>
        <w:rPr>
          <w:rFonts w:asciiTheme="minorEastAsia" w:eastAsiaTheme="minorEastAsia" w:hAnsiTheme="minorEastAsia"/>
          <w:color w:val="000000" w:themeColor="text1"/>
          <w:szCs w:val="21"/>
        </w:rPr>
      </w:pPr>
      <w:r w:rsidRPr="00F70FB9">
        <w:rPr>
          <w:rFonts w:asciiTheme="minorEastAsia" w:eastAsiaTheme="minorEastAsia" w:hAnsiTheme="minorEastAsia" w:hint="eastAsia"/>
          <w:color w:val="000000" w:themeColor="text1"/>
          <w:szCs w:val="21"/>
        </w:rPr>
        <w:t>网址：http://www.efunds.com.cn</w:t>
      </w:r>
    </w:p>
    <w:p w:rsidR="00AE2909" w:rsidRPr="00F70FB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szCs w:val="21"/>
        </w:rPr>
        <w:t>电子信箱：service@efunds.com.cn</w:t>
      </w:r>
    </w:p>
    <w:p w:rsidR="00BA4B87" w:rsidRPr="00F70FB9">
      <w:pPr>
        <w:pStyle w:val="Heading1"/>
        <w:pageBreakBefore/>
        <w:spacing w:before="317" w:after="317" w:line="360" w:lineRule="auto"/>
        <w:ind w:firstLine="2550" w:firstLineChars="850"/>
        <w:jc w:val="both"/>
        <w:rPr>
          <w:rFonts w:asciiTheme="minorEastAsia" w:eastAsiaTheme="minorEastAsia" w:hAnsiTheme="minorEastAsia"/>
          <w:color w:val="000000" w:themeColor="text1"/>
        </w:rPr>
      </w:pPr>
      <w:bookmarkStart w:id="120" w:name="_Toc332373592"/>
      <w:bookmarkStart w:id="121" w:name="_Toc103006351"/>
      <w:r w:rsidRPr="00F70FB9">
        <w:rPr>
          <w:rFonts w:asciiTheme="minorEastAsia" w:eastAsiaTheme="minorEastAsia" w:hAnsiTheme="minorEastAsia" w:hint="eastAsia"/>
          <w:color w:val="000000" w:themeColor="text1"/>
          <w:sz w:val="30"/>
        </w:rPr>
        <w:t>二十四、其他应披露事项</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0"/>
        <w:gridCol w:w="1732"/>
      </w:tblGrid>
      <w:tr w:rsidTr="00411C6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65"/>
        </w:trPr>
        <w:tc>
          <w:tcPr>
            <w:tcW w:w="3984" w:type="pct"/>
            <w:tcBorders>
              <w:top w:val="single" w:sz="4" w:space="0" w:color="auto"/>
              <w:left w:val="single" w:sz="4" w:space="0" w:color="auto"/>
              <w:bottom w:val="single" w:sz="4" w:space="0" w:color="auto"/>
              <w:right w:val="single" w:sz="4" w:space="0" w:color="auto"/>
            </w:tcBorders>
            <w:vAlign w:val="center"/>
            <w:hideMark/>
          </w:tcPr>
          <w:bookmarkEnd w:id="120"/>
          <w:p w:rsidR="009A6C6B" w:rsidRPr="00F70FB9" w:rsidP="003776AF">
            <w:pPr>
              <w:spacing w:line="360" w:lineRule="auto"/>
              <w:ind w:firstLine="420" w:firstLineChars="200"/>
              <w:jc w:val="center"/>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公告事项</w:t>
            </w:r>
          </w:p>
        </w:tc>
        <w:tc>
          <w:tcPr>
            <w:tcW w:w="1016" w:type="pct"/>
            <w:tcBorders>
              <w:top w:val="single" w:sz="4" w:space="0" w:color="auto"/>
              <w:left w:val="single" w:sz="4" w:space="0" w:color="auto"/>
              <w:bottom w:val="single" w:sz="4" w:space="0" w:color="auto"/>
              <w:right w:val="single" w:sz="4" w:space="0" w:color="auto"/>
            </w:tcBorders>
            <w:vAlign w:val="center"/>
            <w:hideMark/>
          </w:tcPr>
          <w:p w:rsidR="009A6C6B" w:rsidRPr="00F70FB9" w:rsidP="003776AF">
            <w:pPr>
              <w:spacing w:line="360" w:lineRule="auto"/>
              <w:jc w:val="center"/>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披露日期</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2020-09-19</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2020-09-30</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易方达基金管理有限公司关于旗下部分基金修订基金合同、托管协议的公告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2020-10-14</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易方达基金管理有限公司旗下基金2020年第3季度报告提示性公告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2020-10-28</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易方达基金管理有限公司关于设立深圳分公司的公告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2020-10-28</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关于警惕冒用易方达基金管理有限公司名义进行诈骗活动的特别提示公告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2020-12-10</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2020-12-12</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易方达基金管理有限公司关于旗下部分基金获配非公开发行A股的公告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2020-12-17</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易方达基金管理有限公司关于旗下部分基金获配新泉股份（603179）非公开发行A股的公告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2021-01-08</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易方达基金管理有限公司关于旗下部分基金获配蓝思科技（300433）非公开发行A股的公告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2021-01-09</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易方达基金管理有限公司旗下基金2020年第4季度报告提示性公告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2021-01-21</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2021-01-23</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易方达基金管理有限公司关于聘任基金经理助理的公告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2021-02-10</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易方达瑞程灵活配置混合型证券投资基金在网上直销系统恢复个人客户的申购、转换转入业务的公告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2021-03-09</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易方达基金管理有限公司旗下基金2020年年度报告提示性公告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2021-03-30</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易方达基金管理有限公司关于提醒投资者及时提供或更新身份信息资料的公告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2021-04-02</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易方达基金管理有限公司旗下基金2021年第1季度报告提示性公告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2021-04-19</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2021-07-17</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易方达基金管理有限公司旗下基金2021年第2季度报告提示性公告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2021-07-20</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2021-07-24</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2021-07-24</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易方达基金管理有限公司关于南京分公司营业场所变更的公告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2021-07-28</w:t>
            </w:r>
          </w:p>
        </w:tc>
      </w:tr>
      <w:tr w:rsidTr="00411C68">
        <w:tblPrEx>
          <w:tblW w:w="5000" w:type="pct"/>
          <w:tblLook w:val="04A0"/>
        </w:tblPrEx>
        <w:tc>
          <w:tcPr>
            <w:tcW w:w="3984" w:type="pct"/>
          </w:tcPr>
          <w:p w:rsidR="00825E84" w:rsidRPr="00F70FB9">
            <w:pPr>
              <w:jc w:val="lef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易方达基金管理有限公司高级管理人员变更公告</w:t>
            </w:r>
          </w:p>
        </w:tc>
        <w:tc>
          <w:tcPr>
            <w:tcW w:w="1016" w:type="pct"/>
          </w:tcPr>
          <w:p w:rsidR="00825E84" w:rsidRPr="00F70FB9">
            <w:pPr>
              <w:jc w:val="center"/>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2021-07-30</w:t>
            </w:r>
          </w:p>
        </w:tc>
      </w:tr>
    </w:tbl>
    <w:p w:rsidR="001B1057" w:rsidRPr="00F70FB9" w:rsidP="001D2FA9">
      <w:pPr>
        <w:snapToGrid w:val="0"/>
        <w:spacing w:line="360" w:lineRule="auto"/>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注：以上公告事项披露在规定媒介及基金管理人网站上。</w:t>
      </w:r>
    </w:p>
    <w:p w:rsidR="004F2A7F" w:rsidRPr="00F70FB9">
      <w:pPr>
        <w:pStyle w:val="NormalIndent"/>
        <w:ind w:firstLine="0"/>
        <w:rPr>
          <w:rFonts w:asciiTheme="minorEastAsia" w:eastAsiaTheme="minorEastAsia" w:hAnsiTheme="minorEastAsia"/>
          <w:color w:val="000000" w:themeColor="text1"/>
        </w:rPr>
        <w:sectPr w:rsidSect="00D01390">
          <w:pgSz w:w="11906" w:h="16838" w:code="9"/>
          <w:pgMar w:top="1440" w:right="1800" w:bottom="1440" w:left="1800" w:header="851" w:footer="992" w:gutter="0"/>
          <w:cols w:space="720"/>
          <w:docGrid w:type="lines" w:linePitch="317"/>
        </w:sectPr>
      </w:pPr>
    </w:p>
    <w:p w:rsidR="00BA4B87" w:rsidRPr="00F70FB9">
      <w:pPr>
        <w:pStyle w:val="Heading1"/>
        <w:spacing w:before="317" w:after="317" w:line="360" w:lineRule="auto"/>
        <w:ind w:firstLine="600"/>
        <w:rPr>
          <w:rFonts w:asciiTheme="minorEastAsia" w:eastAsiaTheme="minorEastAsia" w:hAnsiTheme="minorEastAsia"/>
          <w:bCs/>
          <w:color w:val="000000" w:themeColor="text1"/>
          <w:szCs w:val="20"/>
        </w:rPr>
      </w:pPr>
      <w:bookmarkStart w:id="122" w:name="_Toc332373593"/>
      <w:bookmarkStart w:id="123" w:name="_Toc103006352"/>
      <w:r w:rsidRPr="00F70FB9">
        <w:rPr>
          <w:rFonts w:asciiTheme="minorEastAsia" w:eastAsiaTheme="minorEastAsia" w:hAnsiTheme="minorEastAsia" w:hint="eastAsia"/>
          <w:color w:val="000000" w:themeColor="text1"/>
          <w:sz w:val="30"/>
        </w:rPr>
        <w:t>二十五、招募说明书的存放及查阅方式</w:t>
      </w:r>
      <w:bookmarkEnd w:id="123"/>
    </w:p>
    <w:bookmarkEnd w:id="122"/>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本招募说明书存放在基金管理人、基金托管人及</w:t>
      </w:r>
      <w:r w:rsidRPr="00F70FB9" w:rsidR="00FF5DDA">
        <w:rPr>
          <w:rFonts w:asciiTheme="minorEastAsia" w:eastAsiaTheme="minorEastAsia" w:hAnsiTheme="minorEastAsia" w:hint="eastAsia"/>
          <w:color w:val="000000" w:themeColor="text1"/>
        </w:rPr>
        <w:t>其他</w:t>
      </w:r>
      <w:r w:rsidRPr="00F70FB9">
        <w:rPr>
          <w:rFonts w:asciiTheme="minorEastAsia" w:eastAsiaTheme="minorEastAsia" w:hAnsiTheme="minorEastAsia" w:hint="eastAsia"/>
          <w:color w:val="000000" w:themeColor="text1"/>
        </w:rPr>
        <w:t>基金</w:t>
      </w:r>
      <w:r w:rsidRPr="00F70FB9" w:rsidR="00FF5DDA">
        <w:rPr>
          <w:rFonts w:asciiTheme="minorEastAsia" w:eastAsiaTheme="minorEastAsia" w:hAnsiTheme="minorEastAsia" w:hint="eastAsia"/>
          <w:color w:val="000000" w:themeColor="text1"/>
        </w:rPr>
        <w:t>销售</w:t>
      </w:r>
      <w:r w:rsidRPr="00F70FB9">
        <w:rPr>
          <w:rFonts w:asciiTheme="minorEastAsia" w:eastAsiaTheme="minorEastAsia" w:hAnsiTheme="minorEastAsia" w:hint="eastAsia"/>
          <w:color w:val="000000" w:themeColor="text1"/>
        </w:rPr>
        <w:t>机构处，投资者可在营业时间免费查阅，也可按工本费购买复印件。</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基金管理人和基金托管人保证文本的内容与公告的内容完全一致。</w:t>
      </w:r>
    </w:p>
    <w:p w:rsidR="00BA4B87" w:rsidRPr="00F70FB9">
      <w:pPr>
        <w:pStyle w:val="Heading1"/>
        <w:spacing w:before="317" w:after="317" w:line="360" w:lineRule="auto"/>
        <w:ind w:firstLine="600"/>
        <w:rPr>
          <w:rFonts w:asciiTheme="minorEastAsia" w:eastAsiaTheme="minorEastAsia" w:hAnsiTheme="minorEastAsia"/>
          <w:bCs/>
          <w:color w:val="000000" w:themeColor="text1"/>
          <w:szCs w:val="20"/>
        </w:rPr>
      </w:pPr>
      <w:r w:rsidRPr="00F70FB9">
        <w:rPr>
          <w:rFonts w:asciiTheme="minorEastAsia" w:eastAsiaTheme="minorEastAsia" w:hAnsiTheme="minorEastAsia"/>
          <w:color w:val="000000" w:themeColor="text1"/>
          <w:sz w:val="30"/>
        </w:rPr>
        <w:br w:type="column"/>
      </w:r>
      <w:bookmarkStart w:id="124" w:name="_Toc332373594"/>
      <w:bookmarkStart w:id="125" w:name="_Toc103006353"/>
      <w:r w:rsidRPr="00F70FB9" w:rsidR="00DA442D">
        <w:rPr>
          <w:rFonts w:asciiTheme="minorEastAsia" w:eastAsiaTheme="minorEastAsia" w:hAnsiTheme="minorEastAsia" w:hint="eastAsia"/>
          <w:color w:val="000000" w:themeColor="text1"/>
          <w:sz w:val="30"/>
        </w:rPr>
        <w:t>二十六</w:t>
      </w:r>
      <w:r w:rsidRPr="00F70FB9">
        <w:rPr>
          <w:rFonts w:asciiTheme="minorEastAsia" w:eastAsiaTheme="minorEastAsia" w:hAnsiTheme="minorEastAsia" w:hint="eastAsia"/>
          <w:color w:val="000000" w:themeColor="text1"/>
          <w:sz w:val="30"/>
        </w:rPr>
        <w:t>、备查文件</w:t>
      </w:r>
      <w:bookmarkEnd w:id="125"/>
    </w:p>
    <w:bookmarkEnd w:id="124"/>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1、中国证监会</w:t>
      </w:r>
      <w:r w:rsidRPr="00F70FB9" w:rsidR="00434E81">
        <w:rPr>
          <w:rFonts w:asciiTheme="minorEastAsia" w:eastAsiaTheme="minorEastAsia" w:hAnsiTheme="minorEastAsia" w:hint="eastAsia"/>
          <w:color w:val="000000" w:themeColor="text1"/>
        </w:rPr>
        <w:t>准予</w:t>
      </w:r>
      <w:r w:rsidRPr="00F70FB9" w:rsidR="00251062">
        <w:rPr>
          <w:rFonts w:asciiTheme="minorEastAsia" w:eastAsiaTheme="minorEastAsia" w:hAnsiTheme="minorEastAsia" w:hint="eastAsia"/>
          <w:color w:val="000000" w:themeColor="text1"/>
        </w:rPr>
        <w:t>易方达</w:t>
      </w:r>
      <w:r w:rsidRPr="00F70FB9" w:rsidR="00D61B9E">
        <w:rPr>
          <w:rFonts w:asciiTheme="minorEastAsia" w:eastAsiaTheme="minorEastAsia" w:hAnsiTheme="minorEastAsia" w:hint="eastAsia"/>
          <w:color w:val="000000" w:themeColor="text1"/>
        </w:rPr>
        <w:t>瑞程</w:t>
      </w:r>
      <w:r w:rsidRPr="00F70FB9" w:rsidR="00251062">
        <w:rPr>
          <w:rFonts w:asciiTheme="minorEastAsia" w:eastAsiaTheme="minorEastAsia" w:hAnsiTheme="minorEastAsia" w:hint="eastAsia"/>
          <w:color w:val="000000" w:themeColor="text1"/>
        </w:rPr>
        <w:t>灵活配置混合型证券</w:t>
      </w:r>
      <w:r w:rsidRPr="00F70FB9" w:rsidR="002221EE">
        <w:rPr>
          <w:rFonts w:asciiTheme="minorEastAsia" w:eastAsiaTheme="minorEastAsia" w:hAnsiTheme="minorEastAsia" w:hint="eastAsia"/>
          <w:color w:val="000000" w:themeColor="text1"/>
        </w:rPr>
        <w:t>投资基金</w:t>
      </w:r>
      <w:r w:rsidRPr="00F70FB9" w:rsidR="00434E81">
        <w:rPr>
          <w:rFonts w:asciiTheme="minorEastAsia" w:eastAsiaTheme="minorEastAsia" w:hAnsiTheme="minorEastAsia" w:hint="eastAsia"/>
          <w:color w:val="000000" w:themeColor="text1"/>
        </w:rPr>
        <w:t>注册</w:t>
      </w:r>
      <w:r w:rsidRPr="00F70FB9">
        <w:rPr>
          <w:rFonts w:asciiTheme="minorEastAsia" w:eastAsiaTheme="minorEastAsia" w:hAnsiTheme="minorEastAsia" w:hint="eastAsia"/>
          <w:color w:val="000000" w:themeColor="text1"/>
        </w:rPr>
        <w:t>的文件；</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2、《</w:t>
      </w:r>
      <w:r w:rsidRPr="00F70FB9" w:rsidR="00251062">
        <w:rPr>
          <w:rFonts w:asciiTheme="minorEastAsia" w:eastAsiaTheme="minorEastAsia" w:hAnsiTheme="minorEastAsia" w:hint="eastAsia"/>
          <w:color w:val="000000" w:themeColor="text1"/>
        </w:rPr>
        <w:t>易方达</w:t>
      </w:r>
      <w:r w:rsidRPr="00F70FB9" w:rsidR="00D61B9E">
        <w:rPr>
          <w:rFonts w:asciiTheme="minorEastAsia" w:eastAsiaTheme="minorEastAsia" w:hAnsiTheme="minorEastAsia" w:hint="eastAsia"/>
          <w:color w:val="000000" w:themeColor="text1"/>
        </w:rPr>
        <w:t>瑞程</w:t>
      </w:r>
      <w:r w:rsidRPr="00F70FB9" w:rsidR="00251062">
        <w:rPr>
          <w:rFonts w:asciiTheme="minorEastAsia" w:eastAsiaTheme="minorEastAsia" w:hAnsiTheme="minorEastAsia" w:hint="eastAsia"/>
          <w:color w:val="000000" w:themeColor="text1"/>
        </w:rPr>
        <w:t>灵活配置混合型证券</w:t>
      </w:r>
      <w:r w:rsidRPr="00F70FB9" w:rsidR="002221EE">
        <w:rPr>
          <w:rFonts w:asciiTheme="minorEastAsia" w:eastAsiaTheme="minorEastAsia" w:hAnsiTheme="minorEastAsia" w:hint="eastAsia"/>
          <w:color w:val="000000" w:themeColor="text1"/>
        </w:rPr>
        <w:t>投资基金</w:t>
      </w:r>
      <w:r w:rsidRPr="00F70FB9">
        <w:rPr>
          <w:rFonts w:asciiTheme="minorEastAsia" w:eastAsiaTheme="minorEastAsia" w:hAnsiTheme="minorEastAsia" w:hint="eastAsia"/>
          <w:color w:val="000000" w:themeColor="text1"/>
        </w:rPr>
        <w:t>基金合同》；</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3、《</w:t>
      </w:r>
      <w:r w:rsidRPr="00F70FB9" w:rsidR="00251062">
        <w:rPr>
          <w:rFonts w:asciiTheme="minorEastAsia" w:eastAsiaTheme="minorEastAsia" w:hAnsiTheme="minorEastAsia" w:hint="eastAsia"/>
          <w:color w:val="000000" w:themeColor="text1"/>
        </w:rPr>
        <w:t>易方达</w:t>
      </w:r>
      <w:r w:rsidRPr="00F70FB9" w:rsidR="00D61B9E">
        <w:rPr>
          <w:rFonts w:asciiTheme="minorEastAsia" w:eastAsiaTheme="minorEastAsia" w:hAnsiTheme="minorEastAsia" w:hint="eastAsia"/>
          <w:color w:val="000000" w:themeColor="text1"/>
        </w:rPr>
        <w:t>瑞程</w:t>
      </w:r>
      <w:r w:rsidRPr="00F70FB9" w:rsidR="00251062">
        <w:rPr>
          <w:rFonts w:asciiTheme="minorEastAsia" w:eastAsiaTheme="minorEastAsia" w:hAnsiTheme="minorEastAsia" w:hint="eastAsia"/>
          <w:color w:val="000000" w:themeColor="text1"/>
        </w:rPr>
        <w:t>灵活配置混合型证券</w:t>
      </w:r>
      <w:r w:rsidRPr="00F70FB9" w:rsidR="002221EE">
        <w:rPr>
          <w:rFonts w:asciiTheme="minorEastAsia" w:eastAsiaTheme="minorEastAsia" w:hAnsiTheme="minorEastAsia" w:hint="eastAsia"/>
          <w:color w:val="000000" w:themeColor="text1"/>
        </w:rPr>
        <w:t>投资基金</w:t>
      </w:r>
      <w:r w:rsidRPr="00F70FB9">
        <w:rPr>
          <w:rFonts w:asciiTheme="minorEastAsia" w:eastAsiaTheme="minorEastAsia" w:hAnsiTheme="minorEastAsia" w:hint="eastAsia"/>
          <w:color w:val="000000" w:themeColor="text1"/>
        </w:rPr>
        <w:t>托管协议》；</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4、《易方达基金管理有限公司开放式基金业务规则》；</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5、法律意见书；</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6、基金管理人业务资格批件、营业执照；</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7、基金托管人业务资格批件、营业执照。</w:t>
      </w:r>
    </w:p>
    <w:p w:rsidR="00BA4B87" w:rsidRPr="00F70FB9">
      <w:pPr>
        <w:spacing w:line="360" w:lineRule="auto"/>
        <w:ind w:firstLine="420" w:firstLineChars="200"/>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存放地点：基金管理人、基金托管人处</w:t>
      </w:r>
    </w:p>
    <w:p w:rsidR="00BA4B87" w:rsidRPr="00F70FB9">
      <w:pPr>
        <w:pStyle w:val="PlainText"/>
        <w:spacing w:line="360" w:lineRule="auto"/>
        <w:ind w:firstLine="420"/>
        <w:rPr>
          <w:rFonts w:asciiTheme="minorEastAsia" w:eastAsiaTheme="minorEastAsia" w:hAnsiTheme="minorEastAsia"/>
          <w:color w:val="000000" w:themeColor="text1"/>
          <w:sz w:val="21"/>
        </w:rPr>
      </w:pPr>
      <w:r w:rsidRPr="00F70FB9">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F70FB9">
      <w:pPr>
        <w:pStyle w:val="PlainText"/>
        <w:spacing w:line="400" w:lineRule="exact"/>
        <w:ind w:firstLine="420"/>
        <w:rPr>
          <w:rFonts w:asciiTheme="minorEastAsia" w:eastAsiaTheme="minorEastAsia" w:hAnsiTheme="minorEastAsia"/>
          <w:color w:val="000000" w:themeColor="text1"/>
          <w:sz w:val="21"/>
        </w:rPr>
      </w:pPr>
    </w:p>
    <w:p w:rsidR="00227FB4" w:rsidRPr="00F70FB9">
      <w:pPr>
        <w:spacing w:line="360" w:lineRule="auto"/>
        <w:jc w:val="right"/>
        <w:rPr>
          <w:rFonts w:asciiTheme="minorEastAsia" w:eastAsiaTheme="minorEastAsia" w:hAnsiTheme="minorEastAsia"/>
          <w:color w:val="000000" w:themeColor="text1"/>
          <w:szCs w:val="21"/>
        </w:rPr>
      </w:pPr>
      <w:bookmarkStart w:id="126" w:name="_Toc38438350"/>
      <w:bookmarkStart w:id="127" w:name="_Toc38438687"/>
      <w:bookmarkStart w:id="128" w:name="_Toc38439024"/>
      <w:bookmarkStart w:id="129" w:name="_Toc38439361"/>
      <w:bookmarkStart w:id="130" w:name="_Toc38439698"/>
      <w:bookmarkStart w:id="131" w:name="_Toc38440035"/>
      <w:bookmarkStart w:id="132" w:name="_Toc38440372"/>
      <w:bookmarkStart w:id="133" w:name="_Toc38440904"/>
      <w:bookmarkStart w:id="134" w:name="_Toc38441236"/>
      <w:bookmarkStart w:id="135" w:name="_Toc38441568"/>
      <w:bookmarkStart w:id="136" w:name="_Toc38441896"/>
      <w:bookmarkStart w:id="137" w:name="_Toc38442228"/>
      <w:bookmarkStart w:id="138" w:name="_Toc38442560"/>
      <w:bookmarkStart w:id="139" w:name="_Toc38442891"/>
      <w:bookmarkStart w:id="140" w:name="_Toc38443222"/>
      <w:bookmarkStart w:id="141" w:name="_Toc38443553"/>
      <w:bookmarkStart w:id="142" w:name="_Toc38443883"/>
      <w:bookmarkStart w:id="143" w:name="_Toc38438351"/>
      <w:bookmarkStart w:id="144" w:name="_Toc38438688"/>
      <w:bookmarkStart w:id="145" w:name="_Toc38439025"/>
      <w:bookmarkStart w:id="146" w:name="_Toc38439362"/>
      <w:bookmarkStart w:id="147" w:name="_Toc38439699"/>
      <w:bookmarkStart w:id="148" w:name="_Toc38440036"/>
      <w:bookmarkStart w:id="149" w:name="_Toc38440373"/>
      <w:bookmarkStart w:id="150" w:name="_Toc38440905"/>
      <w:bookmarkStart w:id="151" w:name="_Toc38441237"/>
      <w:bookmarkStart w:id="152" w:name="_Toc38441569"/>
      <w:bookmarkStart w:id="153" w:name="_Toc38441897"/>
      <w:bookmarkStart w:id="154" w:name="_Toc38442229"/>
      <w:bookmarkStart w:id="155" w:name="_Toc38442561"/>
      <w:bookmarkStart w:id="156" w:name="_Toc38442892"/>
      <w:bookmarkStart w:id="157" w:name="_Toc38443223"/>
      <w:bookmarkStart w:id="158" w:name="_Toc38443554"/>
      <w:bookmarkStart w:id="159" w:name="_Toc38443884"/>
      <w:bookmarkStart w:id="160" w:name="_Toc38438352"/>
      <w:bookmarkStart w:id="161" w:name="_Toc38438689"/>
      <w:bookmarkStart w:id="162" w:name="_Toc38439026"/>
      <w:bookmarkStart w:id="163" w:name="_Toc38439363"/>
      <w:bookmarkStart w:id="164" w:name="_Toc38439700"/>
      <w:bookmarkStart w:id="165" w:name="_Toc38440037"/>
      <w:bookmarkStart w:id="166" w:name="_Toc38440374"/>
      <w:bookmarkStart w:id="167" w:name="_Toc38440906"/>
      <w:bookmarkStart w:id="168" w:name="_Toc38441238"/>
      <w:bookmarkStart w:id="169" w:name="_Toc38441570"/>
      <w:bookmarkStart w:id="170" w:name="_Toc38441898"/>
      <w:bookmarkStart w:id="171" w:name="_Toc38442230"/>
      <w:bookmarkStart w:id="172" w:name="_Toc38442562"/>
      <w:bookmarkStart w:id="173" w:name="_Toc38442893"/>
      <w:bookmarkStart w:id="174" w:name="_Toc38443224"/>
      <w:bookmarkStart w:id="175" w:name="_Toc38443555"/>
      <w:bookmarkStart w:id="176" w:name="_Toc38443885"/>
      <w:bookmarkStart w:id="177" w:name="_Toc38438353"/>
      <w:bookmarkStart w:id="178" w:name="_Toc38438690"/>
      <w:bookmarkStart w:id="179" w:name="_Toc38439027"/>
      <w:bookmarkStart w:id="180" w:name="_Toc38439364"/>
      <w:bookmarkStart w:id="181" w:name="_Toc38439701"/>
      <w:bookmarkStart w:id="182" w:name="_Toc38440038"/>
      <w:bookmarkStart w:id="183" w:name="_Toc38440375"/>
      <w:bookmarkStart w:id="184" w:name="_Toc38440907"/>
      <w:bookmarkStart w:id="185" w:name="_Toc38441239"/>
      <w:bookmarkStart w:id="186" w:name="_Toc38441571"/>
      <w:bookmarkStart w:id="187" w:name="_Toc38441899"/>
      <w:bookmarkStart w:id="188" w:name="_Toc38442231"/>
      <w:bookmarkStart w:id="189" w:name="_Toc38442563"/>
      <w:bookmarkStart w:id="190" w:name="_Toc38442894"/>
      <w:bookmarkStart w:id="191" w:name="_Toc38443225"/>
      <w:bookmarkStart w:id="192" w:name="_Toc38443556"/>
      <w:bookmarkStart w:id="193" w:name="_Toc38443886"/>
      <w:bookmarkStart w:id="194" w:name="_Toc38438354"/>
      <w:bookmarkStart w:id="195" w:name="_Toc38438691"/>
      <w:bookmarkStart w:id="196" w:name="_Toc38439028"/>
      <w:bookmarkStart w:id="197" w:name="_Toc38439365"/>
      <w:bookmarkStart w:id="198" w:name="_Toc38439702"/>
      <w:bookmarkStart w:id="199" w:name="_Toc38440039"/>
      <w:bookmarkStart w:id="200" w:name="_Toc38440376"/>
      <w:bookmarkStart w:id="201" w:name="_Toc38440908"/>
      <w:bookmarkStart w:id="202" w:name="_Toc38441240"/>
      <w:bookmarkStart w:id="203" w:name="_Toc38441572"/>
      <w:bookmarkStart w:id="204" w:name="_Toc38441900"/>
      <w:bookmarkStart w:id="205" w:name="_Toc38442232"/>
      <w:bookmarkStart w:id="206" w:name="_Toc38442564"/>
      <w:bookmarkStart w:id="207" w:name="_Toc38442895"/>
      <w:bookmarkStart w:id="208" w:name="_Toc38443226"/>
      <w:bookmarkStart w:id="209" w:name="_Toc38443557"/>
      <w:bookmarkStart w:id="210" w:name="_Toc38443887"/>
      <w:bookmarkStart w:id="211" w:name="_Toc38438355"/>
      <w:bookmarkStart w:id="212" w:name="_Toc38438692"/>
      <w:bookmarkStart w:id="213" w:name="_Toc38439029"/>
      <w:bookmarkStart w:id="214" w:name="_Toc38439366"/>
      <w:bookmarkStart w:id="215" w:name="_Toc38439703"/>
      <w:bookmarkStart w:id="216" w:name="_Toc38440040"/>
      <w:bookmarkStart w:id="217" w:name="_Toc38440377"/>
      <w:bookmarkStart w:id="218" w:name="_Toc38440909"/>
      <w:bookmarkStart w:id="219" w:name="_Toc38441241"/>
      <w:bookmarkStart w:id="220" w:name="_Toc38441573"/>
      <w:bookmarkStart w:id="221" w:name="_Toc38441901"/>
      <w:bookmarkStart w:id="222" w:name="_Toc38442233"/>
      <w:bookmarkStart w:id="223" w:name="_Toc38442565"/>
      <w:bookmarkStart w:id="224" w:name="_Toc38442896"/>
      <w:bookmarkStart w:id="225" w:name="_Toc38443227"/>
      <w:bookmarkStart w:id="226" w:name="_Toc38443558"/>
      <w:bookmarkStart w:id="227" w:name="_Toc38443888"/>
      <w:bookmarkStart w:id="228" w:name="_Toc38438356"/>
      <w:bookmarkStart w:id="229" w:name="_Toc38438693"/>
      <w:bookmarkStart w:id="230" w:name="_Toc38439030"/>
      <w:bookmarkStart w:id="231" w:name="_Toc38439367"/>
      <w:bookmarkStart w:id="232" w:name="_Toc38439704"/>
      <w:bookmarkStart w:id="233" w:name="_Toc38440041"/>
      <w:bookmarkStart w:id="234" w:name="_Toc38440378"/>
      <w:bookmarkStart w:id="235" w:name="_Toc38440910"/>
      <w:bookmarkStart w:id="236" w:name="_Toc38441242"/>
      <w:bookmarkStart w:id="237" w:name="_Toc38441574"/>
      <w:bookmarkStart w:id="238" w:name="_Toc38441902"/>
      <w:bookmarkStart w:id="239" w:name="_Toc38442234"/>
      <w:bookmarkStart w:id="240" w:name="_Toc38442566"/>
      <w:bookmarkStart w:id="241" w:name="_Toc38442897"/>
      <w:bookmarkStart w:id="242" w:name="_Toc38443228"/>
      <w:bookmarkStart w:id="243" w:name="_Toc38443559"/>
      <w:bookmarkStart w:id="244" w:name="_Toc38443889"/>
      <w:bookmarkStart w:id="245" w:name="_Toc38438357"/>
      <w:bookmarkStart w:id="246" w:name="_Toc38438694"/>
      <w:bookmarkStart w:id="247" w:name="_Toc38439031"/>
      <w:bookmarkStart w:id="248" w:name="_Toc38439368"/>
      <w:bookmarkStart w:id="249" w:name="_Toc38439705"/>
      <w:bookmarkStart w:id="250" w:name="_Toc38440042"/>
      <w:bookmarkStart w:id="251" w:name="_Toc38440379"/>
      <w:bookmarkStart w:id="252" w:name="_Toc38440911"/>
      <w:bookmarkStart w:id="253" w:name="_Toc38441243"/>
      <w:bookmarkStart w:id="254" w:name="_Toc38441575"/>
      <w:bookmarkStart w:id="255" w:name="_Toc38441903"/>
      <w:bookmarkStart w:id="256" w:name="_Toc38442235"/>
      <w:bookmarkStart w:id="257" w:name="_Toc38442567"/>
      <w:bookmarkStart w:id="258" w:name="_Toc38442898"/>
      <w:bookmarkStart w:id="259" w:name="_Toc38443229"/>
      <w:bookmarkStart w:id="260" w:name="_Toc38443560"/>
      <w:bookmarkStart w:id="261" w:name="_Toc38443890"/>
      <w:bookmarkStart w:id="262" w:name="_Toc38438358"/>
      <w:bookmarkStart w:id="263" w:name="_Toc38438695"/>
      <w:bookmarkStart w:id="264" w:name="_Toc38439032"/>
      <w:bookmarkStart w:id="265" w:name="_Toc38439369"/>
      <w:bookmarkStart w:id="266" w:name="_Toc38439706"/>
      <w:bookmarkStart w:id="267" w:name="_Toc38440043"/>
      <w:bookmarkStart w:id="268" w:name="_Toc38440380"/>
      <w:bookmarkStart w:id="269" w:name="_Toc38440912"/>
      <w:bookmarkStart w:id="270" w:name="_Toc38441244"/>
      <w:bookmarkStart w:id="271" w:name="_Toc38441576"/>
      <w:bookmarkStart w:id="272" w:name="_Toc38441904"/>
      <w:bookmarkStart w:id="273" w:name="_Toc38442236"/>
      <w:bookmarkStart w:id="274" w:name="_Toc38442568"/>
      <w:bookmarkStart w:id="275" w:name="_Toc38442899"/>
      <w:bookmarkStart w:id="276" w:name="_Toc38443230"/>
      <w:bookmarkStart w:id="277" w:name="_Toc38443561"/>
      <w:bookmarkStart w:id="278" w:name="_Toc38443891"/>
      <w:bookmarkStart w:id="279" w:name="_Toc38438359"/>
      <w:bookmarkStart w:id="280" w:name="_Toc38438696"/>
      <w:bookmarkStart w:id="281" w:name="_Toc38439033"/>
      <w:bookmarkStart w:id="282" w:name="_Toc38439370"/>
      <w:bookmarkStart w:id="283" w:name="_Toc38439707"/>
      <w:bookmarkStart w:id="284" w:name="_Toc38440044"/>
      <w:bookmarkStart w:id="285" w:name="_Toc38440381"/>
      <w:bookmarkStart w:id="286" w:name="_Toc38440913"/>
      <w:bookmarkStart w:id="287" w:name="_Toc38441245"/>
      <w:bookmarkStart w:id="288" w:name="_Toc38441577"/>
      <w:bookmarkStart w:id="289" w:name="_Toc38441905"/>
      <w:bookmarkStart w:id="290" w:name="_Toc38442237"/>
      <w:bookmarkStart w:id="291" w:name="_Toc38442569"/>
      <w:bookmarkStart w:id="292" w:name="_Toc38442900"/>
      <w:bookmarkStart w:id="293" w:name="_Toc38443231"/>
      <w:bookmarkStart w:id="294" w:name="_Toc38443562"/>
      <w:bookmarkStart w:id="295" w:name="_Toc38443892"/>
      <w:bookmarkStart w:id="296" w:name="_Toc38438360"/>
      <w:bookmarkStart w:id="297" w:name="_Toc38438697"/>
      <w:bookmarkStart w:id="298" w:name="_Toc38439034"/>
      <w:bookmarkStart w:id="299" w:name="_Toc38439371"/>
      <w:bookmarkStart w:id="300" w:name="_Toc38439708"/>
      <w:bookmarkStart w:id="301" w:name="_Toc38440045"/>
      <w:bookmarkStart w:id="302" w:name="_Toc38440382"/>
      <w:bookmarkStart w:id="303" w:name="_Toc38440914"/>
      <w:bookmarkStart w:id="304" w:name="_Toc38441246"/>
      <w:bookmarkStart w:id="305" w:name="_Toc38441578"/>
      <w:bookmarkStart w:id="306" w:name="_Toc38441906"/>
      <w:bookmarkStart w:id="307" w:name="_Toc38442238"/>
      <w:bookmarkStart w:id="308" w:name="_Toc38442570"/>
      <w:bookmarkStart w:id="309" w:name="_Toc38442901"/>
      <w:bookmarkStart w:id="310" w:name="_Toc38443232"/>
      <w:bookmarkStart w:id="311" w:name="_Toc38443563"/>
      <w:bookmarkStart w:id="312" w:name="_Toc38443893"/>
      <w:bookmarkStart w:id="313" w:name="_Toc38438361"/>
      <w:bookmarkStart w:id="314" w:name="_Toc38438698"/>
      <w:bookmarkStart w:id="315" w:name="_Toc38439035"/>
      <w:bookmarkStart w:id="316" w:name="_Toc38439372"/>
      <w:bookmarkStart w:id="317" w:name="_Toc38439709"/>
      <w:bookmarkStart w:id="318" w:name="_Toc38440046"/>
      <w:bookmarkStart w:id="319" w:name="_Toc38440383"/>
      <w:bookmarkStart w:id="320" w:name="_Toc38440915"/>
      <w:bookmarkStart w:id="321" w:name="_Toc38441247"/>
      <w:bookmarkStart w:id="322" w:name="_Toc38441579"/>
      <w:bookmarkStart w:id="323" w:name="_Toc38441907"/>
      <w:bookmarkStart w:id="324" w:name="_Toc38442239"/>
      <w:bookmarkStart w:id="325" w:name="_Toc38442571"/>
      <w:bookmarkStart w:id="326" w:name="_Toc38442902"/>
      <w:bookmarkStart w:id="327" w:name="_Toc38443233"/>
      <w:bookmarkStart w:id="328" w:name="_Toc38443564"/>
      <w:bookmarkStart w:id="329" w:name="_Toc38443894"/>
      <w:bookmarkStart w:id="330" w:name="_Toc38438362"/>
      <w:bookmarkStart w:id="331" w:name="_Toc38438699"/>
      <w:bookmarkStart w:id="332" w:name="_Toc38439036"/>
      <w:bookmarkStart w:id="333" w:name="_Toc38439373"/>
      <w:bookmarkStart w:id="334" w:name="_Toc38439710"/>
      <w:bookmarkStart w:id="335" w:name="_Toc38440047"/>
      <w:bookmarkStart w:id="336" w:name="_Toc38440384"/>
      <w:bookmarkStart w:id="337" w:name="_Toc38440916"/>
      <w:bookmarkStart w:id="338" w:name="_Toc38441248"/>
      <w:bookmarkStart w:id="339" w:name="_Toc38441580"/>
      <w:bookmarkStart w:id="340" w:name="_Toc38441908"/>
      <w:bookmarkStart w:id="341" w:name="_Toc38442240"/>
      <w:bookmarkStart w:id="342" w:name="_Toc38442572"/>
      <w:bookmarkStart w:id="343" w:name="_Toc38442903"/>
      <w:bookmarkStart w:id="344" w:name="_Toc38443234"/>
      <w:bookmarkStart w:id="345" w:name="_Toc38443565"/>
      <w:bookmarkStart w:id="346" w:name="_Toc38443895"/>
      <w:bookmarkStart w:id="347" w:name="_Toc38438363"/>
      <w:bookmarkStart w:id="348" w:name="_Toc38438700"/>
      <w:bookmarkStart w:id="349" w:name="_Toc38439037"/>
      <w:bookmarkStart w:id="350" w:name="_Toc38439374"/>
      <w:bookmarkStart w:id="351" w:name="_Toc38439711"/>
      <w:bookmarkStart w:id="352" w:name="_Toc38440048"/>
      <w:bookmarkStart w:id="353" w:name="_Toc38440385"/>
      <w:bookmarkStart w:id="354" w:name="_Toc38440917"/>
      <w:bookmarkStart w:id="355" w:name="_Toc38441249"/>
      <w:bookmarkStart w:id="356" w:name="_Toc38441581"/>
      <w:bookmarkStart w:id="357" w:name="_Toc38441909"/>
      <w:bookmarkStart w:id="358" w:name="_Toc38442241"/>
      <w:bookmarkStart w:id="359" w:name="_Toc38442573"/>
      <w:bookmarkStart w:id="360" w:name="_Toc38442904"/>
      <w:bookmarkStart w:id="361" w:name="_Toc38443235"/>
      <w:bookmarkStart w:id="362" w:name="_Toc38443566"/>
      <w:bookmarkStart w:id="363" w:name="_Toc38443896"/>
      <w:bookmarkStart w:id="364" w:name="_Toc38438364"/>
      <w:bookmarkStart w:id="365" w:name="_Toc38438701"/>
      <w:bookmarkStart w:id="366" w:name="_Toc38439038"/>
      <w:bookmarkStart w:id="367" w:name="_Toc38439375"/>
      <w:bookmarkStart w:id="368" w:name="_Toc38439712"/>
      <w:bookmarkStart w:id="369" w:name="_Toc38440049"/>
      <w:bookmarkStart w:id="370" w:name="_Toc38440386"/>
      <w:bookmarkStart w:id="371" w:name="_Toc38440918"/>
      <w:bookmarkStart w:id="372" w:name="_Toc38441250"/>
      <w:bookmarkStart w:id="373" w:name="_Toc38441582"/>
      <w:bookmarkStart w:id="374" w:name="_Toc38441910"/>
      <w:bookmarkStart w:id="375" w:name="_Toc38442242"/>
      <w:bookmarkStart w:id="376" w:name="_Toc38442574"/>
      <w:bookmarkStart w:id="377" w:name="_Toc38442905"/>
      <w:bookmarkStart w:id="378" w:name="_Toc38443236"/>
      <w:bookmarkStart w:id="379" w:name="_Toc38443567"/>
      <w:bookmarkStart w:id="380" w:name="_Toc38443897"/>
      <w:bookmarkStart w:id="381" w:name="_Toc38438365"/>
      <w:bookmarkStart w:id="382" w:name="_Toc38438702"/>
      <w:bookmarkStart w:id="383" w:name="_Toc38439039"/>
      <w:bookmarkStart w:id="384" w:name="_Toc38439376"/>
      <w:bookmarkStart w:id="385" w:name="_Toc38439713"/>
      <w:bookmarkStart w:id="386" w:name="_Toc38440050"/>
      <w:bookmarkStart w:id="387" w:name="_Toc38440387"/>
      <w:bookmarkStart w:id="388" w:name="_Toc38440919"/>
      <w:bookmarkStart w:id="389" w:name="_Toc38441251"/>
      <w:bookmarkStart w:id="390" w:name="_Toc38441583"/>
      <w:bookmarkStart w:id="391" w:name="_Toc38441911"/>
      <w:bookmarkStart w:id="392" w:name="_Toc38442243"/>
      <w:bookmarkStart w:id="393" w:name="_Toc38442575"/>
      <w:bookmarkStart w:id="394" w:name="_Toc38442906"/>
      <w:bookmarkStart w:id="395" w:name="_Toc38443237"/>
      <w:bookmarkStart w:id="396" w:name="_Toc38443568"/>
      <w:bookmarkStart w:id="397" w:name="_Toc38443898"/>
      <w:bookmarkStart w:id="398" w:name="_Toc38438366"/>
      <w:bookmarkStart w:id="399" w:name="_Toc38438703"/>
      <w:bookmarkStart w:id="400" w:name="_Toc38439040"/>
      <w:bookmarkStart w:id="401" w:name="_Toc38439377"/>
      <w:bookmarkStart w:id="402" w:name="_Toc38439714"/>
      <w:bookmarkStart w:id="403" w:name="_Toc38440051"/>
      <w:bookmarkStart w:id="404" w:name="_Toc38440388"/>
      <w:bookmarkStart w:id="405" w:name="_Toc38440920"/>
      <w:bookmarkStart w:id="406" w:name="_Toc38441252"/>
      <w:bookmarkStart w:id="407" w:name="_Toc38441584"/>
      <w:bookmarkStart w:id="408" w:name="_Toc38441912"/>
      <w:bookmarkStart w:id="409" w:name="_Toc38442244"/>
      <w:bookmarkStart w:id="410" w:name="_Toc38442576"/>
      <w:bookmarkStart w:id="411" w:name="_Toc38442907"/>
      <w:bookmarkStart w:id="412" w:name="_Toc38443238"/>
      <w:bookmarkStart w:id="413" w:name="_Toc38443569"/>
      <w:bookmarkStart w:id="414" w:name="_Toc38443899"/>
      <w:bookmarkStart w:id="415" w:name="_Toc38438367"/>
      <w:bookmarkStart w:id="416" w:name="_Toc38438704"/>
      <w:bookmarkStart w:id="417" w:name="_Toc38439041"/>
      <w:bookmarkStart w:id="418" w:name="_Toc38439378"/>
      <w:bookmarkStart w:id="419" w:name="_Toc38439715"/>
      <w:bookmarkStart w:id="420" w:name="_Toc38440052"/>
      <w:bookmarkStart w:id="421" w:name="_Toc38440389"/>
      <w:bookmarkStart w:id="422" w:name="_Toc38440921"/>
      <w:bookmarkStart w:id="423" w:name="_Toc38441253"/>
      <w:bookmarkStart w:id="424" w:name="_Toc38441585"/>
      <w:bookmarkStart w:id="425" w:name="_Toc38441913"/>
      <w:bookmarkStart w:id="426" w:name="_Toc38442245"/>
      <w:bookmarkStart w:id="427" w:name="_Toc38442577"/>
      <w:bookmarkStart w:id="428" w:name="_Toc38442908"/>
      <w:bookmarkStart w:id="429" w:name="_Toc38443239"/>
      <w:bookmarkStart w:id="430" w:name="_Toc38443570"/>
      <w:bookmarkStart w:id="431" w:name="_Toc38443900"/>
      <w:bookmarkStart w:id="432" w:name="_Toc38438368"/>
      <w:bookmarkStart w:id="433" w:name="_Toc38438705"/>
      <w:bookmarkStart w:id="434" w:name="_Toc38439042"/>
      <w:bookmarkStart w:id="435" w:name="_Toc38439379"/>
      <w:bookmarkStart w:id="436" w:name="_Toc38439716"/>
      <w:bookmarkStart w:id="437" w:name="_Toc38440053"/>
      <w:bookmarkStart w:id="438" w:name="_Toc38440390"/>
      <w:bookmarkStart w:id="439" w:name="_Toc38440922"/>
      <w:bookmarkStart w:id="440" w:name="_Toc38441254"/>
      <w:bookmarkStart w:id="441" w:name="_Toc38441586"/>
      <w:bookmarkStart w:id="442" w:name="_Toc38441914"/>
      <w:bookmarkStart w:id="443" w:name="_Toc38442246"/>
      <w:bookmarkStart w:id="444" w:name="_Toc38442578"/>
      <w:bookmarkStart w:id="445" w:name="_Toc38442909"/>
      <w:bookmarkStart w:id="446" w:name="_Toc38443240"/>
      <w:bookmarkStart w:id="447" w:name="_Toc38443571"/>
      <w:bookmarkStart w:id="448" w:name="_Toc38443901"/>
      <w:bookmarkStart w:id="449" w:name="_Toc38438369"/>
      <w:bookmarkStart w:id="450" w:name="_Toc38438706"/>
      <w:bookmarkStart w:id="451" w:name="_Toc38439043"/>
      <w:bookmarkStart w:id="452" w:name="_Toc38439380"/>
      <w:bookmarkStart w:id="453" w:name="_Toc38439717"/>
      <w:bookmarkStart w:id="454" w:name="_Toc38440054"/>
      <w:bookmarkStart w:id="455" w:name="_Toc38440391"/>
      <w:bookmarkStart w:id="456" w:name="_Toc38440923"/>
      <w:bookmarkStart w:id="457" w:name="_Toc38441255"/>
      <w:bookmarkStart w:id="458" w:name="_Toc38441587"/>
      <w:bookmarkStart w:id="459" w:name="_Toc38441915"/>
      <w:bookmarkStart w:id="460" w:name="_Toc38442247"/>
      <w:bookmarkStart w:id="461" w:name="_Toc38442579"/>
      <w:bookmarkStart w:id="462" w:name="_Toc38442910"/>
      <w:bookmarkStart w:id="463" w:name="_Toc38443241"/>
      <w:bookmarkStart w:id="464" w:name="_Toc38443572"/>
      <w:bookmarkStart w:id="465" w:name="_Toc38443902"/>
      <w:bookmarkStart w:id="466" w:name="_Toc38438371"/>
      <w:bookmarkStart w:id="467" w:name="_Toc38438708"/>
      <w:bookmarkStart w:id="468" w:name="_Toc38439045"/>
      <w:bookmarkStart w:id="469" w:name="_Toc38439382"/>
      <w:bookmarkStart w:id="470" w:name="_Toc38439719"/>
      <w:bookmarkStart w:id="471" w:name="_Toc38440056"/>
      <w:bookmarkStart w:id="472" w:name="_Toc38440393"/>
      <w:bookmarkStart w:id="473" w:name="_Toc38440925"/>
      <w:bookmarkStart w:id="474" w:name="_Toc38441257"/>
      <w:bookmarkStart w:id="475" w:name="_Toc38441589"/>
      <w:bookmarkStart w:id="476" w:name="_Toc38441917"/>
      <w:bookmarkStart w:id="477" w:name="_Toc38442249"/>
      <w:bookmarkStart w:id="478" w:name="_Toc38442581"/>
      <w:bookmarkStart w:id="479" w:name="_Toc38442912"/>
      <w:bookmarkStart w:id="480" w:name="_Toc38443243"/>
      <w:bookmarkStart w:id="481" w:name="_Toc38443574"/>
      <w:bookmarkStart w:id="482" w:name="_Toc38443904"/>
      <w:bookmarkStart w:id="483" w:name="_Toc38438372"/>
      <w:bookmarkStart w:id="484" w:name="_Toc38438709"/>
      <w:bookmarkStart w:id="485" w:name="_Toc38439046"/>
      <w:bookmarkStart w:id="486" w:name="_Toc38439383"/>
      <w:bookmarkStart w:id="487" w:name="_Toc38439720"/>
      <w:bookmarkStart w:id="488" w:name="_Toc38440057"/>
      <w:bookmarkStart w:id="489" w:name="_Toc38440394"/>
      <w:bookmarkStart w:id="490" w:name="_Toc38440926"/>
      <w:bookmarkStart w:id="491" w:name="_Toc38441258"/>
      <w:bookmarkStart w:id="492" w:name="_Toc38441590"/>
      <w:bookmarkStart w:id="493" w:name="_Toc38441918"/>
      <w:bookmarkStart w:id="494" w:name="_Toc38442250"/>
      <w:bookmarkStart w:id="495" w:name="_Toc38442582"/>
      <w:bookmarkStart w:id="496" w:name="_Toc38442913"/>
      <w:bookmarkStart w:id="497" w:name="_Toc38443244"/>
      <w:bookmarkStart w:id="498" w:name="_Toc38443575"/>
      <w:bookmarkStart w:id="499" w:name="_Toc38443905"/>
      <w:bookmarkStart w:id="500" w:name="_Toc38438373"/>
      <w:bookmarkStart w:id="501" w:name="_Toc38438710"/>
      <w:bookmarkStart w:id="502" w:name="_Toc38439047"/>
      <w:bookmarkStart w:id="503" w:name="_Toc38439384"/>
      <w:bookmarkStart w:id="504" w:name="_Toc38439721"/>
      <w:bookmarkStart w:id="505" w:name="_Toc38440058"/>
      <w:bookmarkStart w:id="506" w:name="_Toc38440395"/>
      <w:bookmarkStart w:id="507" w:name="_Toc38440927"/>
      <w:bookmarkStart w:id="508" w:name="_Toc38441259"/>
      <w:bookmarkStart w:id="509" w:name="_Toc38441591"/>
      <w:bookmarkStart w:id="510" w:name="_Toc38441919"/>
      <w:bookmarkStart w:id="511" w:name="_Toc38442251"/>
      <w:bookmarkStart w:id="512" w:name="_Toc38442583"/>
      <w:bookmarkStart w:id="513" w:name="_Toc38442914"/>
      <w:bookmarkStart w:id="514" w:name="_Toc38443245"/>
      <w:bookmarkStart w:id="515" w:name="_Toc38443576"/>
      <w:bookmarkStart w:id="516" w:name="_Toc38443906"/>
      <w:bookmarkStart w:id="517" w:name="_Toc38438374"/>
      <w:bookmarkStart w:id="518" w:name="_Toc38438711"/>
      <w:bookmarkStart w:id="519" w:name="_Toc38439048"/>
      <w:bookmarkStart w:id="520" w:name="_Toc38439385"/>
      <w:bookmarkStart w:id="521" w:name="_Toc38439722"/>
      <w:bookmarkStart w:id="522" w:name="_Toc38440059"/>
      <w:bookmarkStart w:id="523" w:name="_Toc38440396"/>
      <w:bookmarkStart w:id="524" w:name="_Toc38440928"/>
      <w:bookmarkStart w:id="525" w:name="_Toc38441260"/>
      <w:bookmarkStart w:id="526" w:name="_Toc38441592"/>
      <w:bookmarkStart w:id="527" w:name="_Toc38441920"/>
      <w:bookmarkStart w:id="528" w:name="_Toc38442252"/>
      <w:bookmarkStart w:id="529" w:name="_Toc38442584"/>
      <w:bookmarkStart w:id="530" w:name="_Toc38442915"/>
      <w:bookmarkStart w:id="531" w:name="_Toc38443246"/>
      <w:bookmarkStart w:id="532" w:name="_Toc38443577"/>
      <w:bookmarkStart w:id="533" w:name="_Toc38443907"/>
      <w:bookmarkStart w:id="534" w:name="_Toc38438375"/>
      <w:bookmarkStart w:id="535" w:name="_Toc38438712"/>
      <w:bookmarkStart w:id="536" w:name="_Toc38439049"/>
      <w:bookmarkStart w:id="537" w:name="_Toc38439386"/>
      <w:bookmarkStart w:id="538" w:name="_Toc38439723"/>
      <w:bookmarkStart w:id="539" w:name="_Toc38440060"/>
      <w:bookmarkStart w:id="540" w:name="_Toc38440397"/>
      <w:bookmarkStart w:id="541" w:name="_Toc38440929"/>
      <w:bookmarkStart w:id="542" w:name="_Toc38441261"/>
      <w:bookmarkStart w:id="543" w:name="_Toc38441593"/>
      <w:bookmarkStart w:id="544" w:name="_Toc38441921"/>
      <w:bookmarkStart w:id="545" w:name="_Toc38442253"/>
      <w:bookmarkStart w:id="546" w:name="_Toc38442585"/>
      <w:bookmarkStart w:id="547" w:name="_Toc38442916"/>
      <w:bookmarkStart w:id="548" w:name="_Toc38443247"/>
      <w:bookmarkStart w:id="549" w:name="_Toc38443578"/>
      <w:bookmarkStart w:id="550" w:name="_Toc38443908"/>
      <w:bookmarkStart w:id="551" w:name="_Toc38438376"/>
      <w:bookmarkStart w:id="552" w:name="_Toc38438713"/>
      <w:bookmarkStart w:id="553" w:name="_Toc38439050"/>
      <w:bookmarkStart w:id="554" w:name="_Toc38439387"/>
      <w:bookmarkStart w:id="555" w:name="_Toc38439724"/>
      <w:bookmarkStart w:id="556" w:name="_Toc38440061"/>
      <w:bookmarkStart w:id="557" w:name="_Toc38440398"/>
      <w:bookmarkStart w:id="558" w:name="_Toc38440930"/>
      <w:bookmarkStart w:id="559" w:name="_Toc38441262"/>
      <w:bookmarkStart w:id="560" w:name="_Toc38441594"/>
      <w:bookmarkStart w:id="561" w:name="_Toc38441922"/>
      <w:bookmarkStart w:id="562" w:name="_Toc38442254"/>
      <w:bookmarkStart w:id="563" w:name="_Toc38442586"/>
      <w:bookmarkStart w:id="564" w:name="_Toc38442917"/>
      <w:bookmarkStart w:id="565" w:name="_Toc38443248"/>
      <w:bookmarkStart w:id="566" w:name="_Toc38443579"/>
      <w:bookmarkStart w:id="567" w:name="_Toc38443909"/>
      <w:bookmarkStart w:id="568" w:name="_Toc38438377"/>
      <w:bookmarkStart w:id="569" w:name="_Toc38438714"/>
      <w:bookmarkStart w:id="570" w:name="_Toc38439051"/>
      <w:bookmarkStart w:id="571" w:name="_Toc38439388"/>
      <w:bookmarkStart w:id="572" w:name="_Toc38439725"/>
      <w:bookmarkStart w:id="573" w:name="_Toc38440062"/>
      <w:bookmarkStart w:id="574" w:name="_Toc38440399"/>
      <w:bookmarkStart w:id="575" w:name="_Toc38440931"/>
      <w:bookmarkStart w:id="576" w:name="_Toc38441263"/>
      <w:bookmarkStart w:id="577" w:name="_Toc38441595"/>
      <w:bookmarkStart w:id="578" w:name="_Toc38441923"/>
      <w:bookmarkStart w:id="579" w:name="_Toc38442255"/>
      <w:bookmarkStart w:id="580" w:name="_Toc38442587"/>
      <w:bookmarkStart w:id="581" w:name="_Toc38442918"/>
      <w:bookmarkStart w:id="582" w:name="_Toc38443249"/>
      <w:bookmarkStart w:id="583" w:name="_Toc38443580"/>
      <w:bookmarkStart w:id="584" w:name="_Toc38443910"/>
      <w:bookmarkStart w:id="585" w:name="_Toc38438378"/>
      <w:bookmarkStart w:id="586" w:name="_Toc38438715"/>
      <w:bookmarkStart w:id="587" w:name="_Toc38439052"/>
      <w:bookmarkStart w:id="588" w:name="_Toc38439389"/>
      <w:bookmarkStart w:id="589" w:name="_Toc38439726"/>
      <w:bookmarkStart w:id="590" w:name="_Toc38440063"/>
      <w:bookmarkStart w:id="591" w:name="_Toc38440400"/>
      <w:bookmarkStart w:id="592" w:name="_Toc38440932"/>
      <w:bookmarkStart w:id="593" w:name="_Toc38441264"/>
      <w:bookmarkStart w:id="594" w:name="_Toc38441596"/>
      <w:bookmarkStart w:id="595" w:name="_Toc38441924"/>
      <w:bookmarkStart w:id="596" w:name="_Toc38442256"/>
      <w:bookmarkStart w:id="597" w:name="_Toc38442588"/>
      <w:bookmarkStart w:id="598" w:name="_Toc38442919"/>
      <w:bookmarkStart w:id="599" w:name="_Toc38443250"/>
      <w:bookmarkStart w:id="600" w:name="_Toc38443581"/>
      <w:bookmarkStart w:id="601" w:name="_Toc38443911"/>
      <w:bookmarkStart w:id="602" w:name="_Toc38438379"/>
      <w:bookmarkStart w:id="603" w:name="_Toc38438716"/>
      <w:bookmarkStart w:id="604" w:name="_Toc38439053"/>
      <w:bookmarkStart w:id="605" w:name="_Toc38439390"/>
      <w:bookmarkStart w:id="606" w:name="_Toc38439727"/>
      <w:bookmarkStart w:id="607" w:name="_Toc38440064"/>
      <w:bookmarkStart w:id="608" w:name="_Toc38440401"/>
      <w:bookmarkStart w:id="609" w:name="_Toc38440933"/>
      <w:bookmarkStart w:id="610" w:name="_Toc38441265"/>
      <w:bookmarkStart w:id="611" w:name="_Toc38441597"/>
      <w:bookmarkStart w:id="612" w:name="_Toc38441925"/>
      <w:bookmarkStart w:id="613" w:name="_Toc38442257"/>
      <w:bookmarkStart w:id="614" w:name="_Toc38442589"/>
      <w:bookmarkStart w:id="615" w:name="_Toc38442920"/>
      <w:bookmarkStart w:id="616" w:name="_Toc38443251"/>
      <w:bookmarkStart w:id="617" w:name="_Toc38443582"/>
      <w:bookmarkStart w:id="618" w:name="_Toc38443912"/>
      <w:bookmarkStart w:id="619" w:name="_Toc38438380"/>
      <w:bookmarkStart w:id="620" w:name="_Toc38438717"/>
      <w:bookmarkStart w:id="621" w:name="_Toc38439054"/>
      <w:bookmarkStart w:id="622" w:name="_Toc38439391"/>
      <w:bookmarkStart w:id="623" w:name="_Toc38439728"/>
      <w:bookmarkStart w:id="624" w:name="_Toc38440065"/>
      <w:bookmarkStart w:id="625" w:name="_Toc38440402"/>
      <w:bookmarkStart w:id="626" w:name="_Toc38440934"/>
      <w:bookmarkStart w:id="627" w:name="_Toc38441266"/>
      <w:bookmarkStart w:id="628" w:name="_Toc38441598"/>
      <w:bookmarkStart w:id="629" w:name="_Toc38441926"/>
      <w:bookmarkStart w:id="630" w:name="_Toc38442258"/>
      <w:bookmarkStart w:id="631" w:name="_Toc38442590"/>
      <w:bookmarkStart w:id="632" w:name="_Toc38442921"/>
      <w:bookmarkStart w:id="633" w:name="_Toc38443252"/>
      <w:bookmarkStart w:id="634" w:name="_Toc38443583"/>
      <w:bookmarkStart w:id="635" w:name="_Toc38443913"/>
      <w:bookmarkStart w:id="636" w:name="_Toc38438381"/>
      <w:bookmarkStart w:id="637" w:name="_Toc38438718"/>
      <w:bookmarkStart w:id="638" w:name="_Toc38439055"/>
      <w:bookmarkStart w:id="639" w:name="_Toc38439392"/>
      <w:bookmarkStart w:id="640" w:name="_Toc38439729"/>
      <w:bookmarkStart w:id="641" w:name="_Toc38440066"/>
      <w:bookmarkStart w:id="642" w:name="_Toc38440403"/>
      <w:bookmarkStart w:id="643" w:name="_Toc38440935"/>
      <w:bookmarkStart w:id="644" w:name="_Toc38441267"/>
      <w:bookmarkStart w:id="645" w:name="_Toc38441599"/>
      <w:bookmarkStart w:id="646" w:name="_Toc38441927"/>
      <w:bookmarkStart w:id="647" w:name="_Toc38442259"/>
      <w:bookmarkStart w:id="648" w:name="_Toc38442591"/>
      <w:bookmarkStart w:id="649" w:name="_Toc38442922"/>
      <w:bookmarkStart w:id="650" w:name="_Toc38443253"/>
      <w:bookmarkStart w:id="651" w:name="_Toc38443584"/>
      <w:bookmarkStart w:id="652" w:name="_Toc38443914"/>
      <w:bookmarkStart w:id="653" w:name="_Toc38438382"/>
      <w:bookmarkStart w:id="654" w:name="_Toc38438719"/>
      <w:bookmarkStart w:id="655" w:name="_Toc38439056"/>
      <w:bookmarkStart w:id="656" w:name="_Toc38439393"/>
      <w:bookmarkStart w:id="657" w:name="_Toc38439730"/>
      <w:bookmarkStart w:id="658" w:name="_Toc38440067"/>
      <w:bookmarkStart w:id="659" w:name="_Toc38440404"/>
      <w:bookmarkStart w:id="660" w:name="_Toc38440936"/>
      <w:bookmarkStart w:id="661" w:name="_Toc38441268"/>
      <w:bookmarkStart w:id="662" w:name="_Toc38441600"/>
      <w:bookmarkStart w:id="663" w:name="_Toc38441928"/>
      <w:bookmarkStart w:id="664" w:name="_Toc38442260"/>
      <w:bookmarkStart w:id="665" w:name="_Toc38442592"/>
      <w:bookmarkStart w:id="666" w:name="_Toc38442923"/>
      <w:bookmarkStart w:id="667" w:name="_Toc38443254"/>
      <w:bookmarkStart w:id="668" w:name="_Toc38443585"/>
      <w:bookmarkStart w:id="669" w:name="_Toc38443915"/>
      <w:bookmarkStart w:id="670" w:name="_Toc38438383"/>
      <w:bookmarkStart w:id="671" w:name="_Toc38438720"/>
      <w:bookmarkStart w:id="672" w:name="_Toc38439057"/>
      <w:bookmarkStart w:id="673" w:name="_Toc38439394"/>
      <w:bookmarkStart w:id="674" w:name="_Toc38439731"/>
      <w:bookmarkStart w:id="675" w:name="_Toc38440068"/>
      <w:bookmarkStart w:id="676" w:name="_Toc38440405"/>
      <w:bookmarkStart w:id="677" w:name="_Toc38440937"/>
      <w:bookmarkStart w:id="678" w:name="_Toc38441269"/>
      <w:bookmarkStart w:id="679" w:name="_Toc38441601"/>
      <w:bookmarkStart w:id="680" w:name="_Toc38441929"/>
      <w:bookmarkStart w:id="681" w:name="_Toc38442261"/>
      <w:bookmarkStart w:id="682" w:name="_Toc38442593"/>
      <w:bookmarkStart w:id="683" w:name="_Toc38442924"/>
      <w:bookmarkStart w:id="684" w:name="_Toc38443255"/>
      <w:bookmarkStart w:id="685" w:name="_Toc38443586"/>
      <w:bookmarkStart w:id="686" w:name="_Toc38443916"/>
      <w:bookmarkStart w:id="687" w:name="_Toc38438384"/>
      <w:bookmarkStart w:id="688" w:name="_Toc38438721"/>
      <w:bookmarkStart w:id="689" w:name="_Toc38439058"/>
      <w:bookmarkStart w:id="690" w:name="_Toc38439395"/>
      <w:bookmarkStart w:id="691" w:name="_Toc38439732"/>
      <w:bookmarkStart w:id="692" w:name="_Toc38440069"/>
      <w:bookmarkStart w:id="693" w:name="_Toc38440406"/>
      <w:bookmarkStart w:id="694" w:name="_Toc38440938"/>
      <w:bookmarkStart w:id="695" w:name="_Toc38441270"/>
      <w:bookmarkStart w:id="696" w:name="_Toc38441602"/>
      <w:bookmarkStart w:id="697" w:name="_Toc38441930"/>
      <w:bookmarkStart w:id="698" w:name="_Toc38442262"/>
      <w:bookmarkStart w:id="699" w:name="_Toc38442594"/>
      <w:bookmarkStart w:id="700" w:name="_Toc38442925"/>
      <w:bookmarkStart w:id="701" w:name="_Toc38443256"/>
      <w:bookmarkStart w:id="702" w:name="_Toc38443587"/>
      <w:bookmarkStart w:id="703" w:name="_Toc38443917"/>
      <w:bookmarkStart w:id="704" w:name="_Toc38438385"/>
      <w:bookmarkStart w:id="705" w:name="_Toc38438722"/>
      <w:bookmarkStart w:id="706" w:name="_Toc38439059"/>
      <w:bookmarkStart w:id="707" w:name="_Toc38439396"/>
      <w:bookmarkStart w:id="708" w:name="_Toc38439733"/>
      <w:bookmarkStart w:id="709" w:name="_Toc38440070"/>
      <w:bookmarkStart w:id="710" w:name="_Toc38440407"/>
      <w:bookmarkStart w:id="711" w:name="_Toc38440939"/>
      <w:bookmarkStart w:id="712" w:name="_Toc38441271"/>
      <w:bookmarkStart w:id="713" w:name="_Toc38441603"/>
      <w:bookmarkStart w:id="714" w:name="_Toc38441931"/>
      <w:bookmarkStart w:id="715" w:name="_Toc38442263"/>
      <w:bookmarkStart w:id="716" w:name="_Toc38442595"/>
      <w:bookmarkStart w:id="717" w:name="_Toc38442926"/>
      <w:bookmarkStart w:id="718" w:name="_Toc38443257"/>
      <w:bookmarkStart w:id="719" w:name="_Toc38443588"/>
      <w:bookmarkStart w:id="720" w:name="_Toc38443918"/>
      <w:bookmarkStart w:id="721" w:name="_Toc38438386"/>
      <w:bookmarkStart w:id="722" w:name="_Toc38438723"/>
      <w:bookmarkStart w:id="723" w:name="_Toc38439060"/>
      <w:bookmarkStart w:id="724" w:name="_Toc38439397"/>
      <w:bookmarkStart w:id="725" w:name="_Toc38439734"/>
      <w:bookmarkStart w:id="726" w:name="_Toc38440071"/>
      <w:bookmarkStart w:id="727" w:name="_Toc38440408"/>
      <w:bookmarkStart w:id="728" w:name="_Toc38440940"/>
      <w:bookmarkStart w:id="729" w:name="_Toc38441272"/>
      <w:bookmarkStart w:id="730" w:name="_Toc38441604"/>
      <w:bookmarkStart w:id="731" w:name="_Toc38441932"/>
      <w:bookmarkStart w:id="732" w:name="_Toc38442264"/>
      <w:bookmarkStart w:id="733" w:name="_Toc38442596"/>
      <w:bookmarkStart w:id="734" w:name="_Toc38442927"/>
      <w:bookmarkStart w:id="735" w:name="_Toc38443258"/>
      <w:bookmarkStart w:id="736" w:name="_Toc38443589"/>
      <w:bookmarkStart w:id="737" w:name="_Toc38443919"/>
      <w:bookmarkStart w:id="738" w:name="_Toc38438387"/>
      <w:bookmarkStart w:id="739" w:name="_Toc38438724"/>
      <w:bookmarkStart w:id="740" w:name="_Toc38439061"/>
      <w:bookmarkStart w:id="741" w:name="_Toc38439398"/>
      <w:bookmarkStart w:id="742" w:name="_Toc38439735"/>
      <w:bookmarkStart w:id="743" w:name="_Toc38440072"/>
      <w:bookmarkStart w:id="744" w:name="_Toc38440409"/>
      <w:bookmarkStart w:id="745" w:name="_Toc38440941"/>
      <w:bookmarkStart w:id="746" w:name="_Toc38441273"/>
      <w:bookmarkStart w:id="747" w:name="_Toc38441605"/>
      <w:bookmarkStart w:id="748" w:name="_Toc38441933"/>
      <w:bookmarkStart w:id="749" w:name="_Toc38442265"/>
      <w:bookmarkStart w:id="750" w:name="_Toc38442597"/>
      <w:bookmarkStart w:id="751" w:name="_Toc38442928"/>
      <w:bookmarkStart w:id="752" w:name="_Toc38443259"/>
      <w:bookmarkStart w:id="753" w:name="_Toc38443590"/>
      <w:bookmarkStart w:id="754" w:name="_Toc38443920"/>
      <w:bookmarkStart w:id="755" w:name="_Toc38438388"/>
      <w:bookmarkStart w:id="756" w:name="_Toc38438725"/>
      <w:bookmarkStart w:id="757" w:name="_Toc38439062"/>
      <w:bookmarkStart w:id="758" w:name="_Toc38439399"/>
      <w:bookmarkStart w:id="759" w:name="_Toc38439736"/>
      <w:bookmarkStart w:id="760" w:name="_Toc38440073"/>
      <w:bookmarkStart w:id="761" w:name="_Toc38440410"/>
      <w:bookmarkStart w:id="762" w:name="_Toc38440942"/>
      <w:bookmarkStart w:id="763" w:name="_Toc38441274"/>
      <w:bookmarkStart w:id="764" w:name="_Toc38441606"/>
      <w:bookmarkStart w:id="765" w:name="_Toc38441934"/>
      <w:bookmarkStart w:id="766" w:name="_Toc38442266"/>
      <w:bookmarkStart w:id="767" w:name="_Toc38442598"/>
      <w:bookmarkStart w:id="768" w:name="_Toc38442929"/>
      <w:bookmarkStart w:id="769" w:name="_Toc38443260"/>
      <w:bookmarkStart w:id="770" w:name="_Toc38443591"/>
      <w:bookmarkStart w:id="771" w:name="_Toc38443921"/>
      <w:bookmarkStart w:id="772" w:name="_Toc38438389"/>
      <w:bookmarkStart w:id="773" w:name="_Toc38438726"/>
      <w:bookmarkStart w:id="774" w:name="_Toc38439063"/>
      <w:bookmarkStart w:id="775" w:name="_Toc38439400"/>
      <w:bookmarkStart w:id="776" w:name="_Toc38439737"/>
      <w:bookmarkStart w:id="777" w:name="_Toc38440074"/>
      <w:bookmarkStart w:id="778" w:name="_Toc38440411"/>
      <w:bookmarkStart w:id="779" w:name="_Toc38440943"/>
      <w:bookmarkStart w:id="780" w:name="_Toc38441275"/>
      <w:bookmarkStart w:id="781" w:name="_Toc38441607"/>
      <w:bookmarkStart w:id="782" w:name="_Toc38441935"/>
      <w:bookmarkStart w:id="783" w:name="_Toc38442267"/>
      <w:bookmarkStart w:id="784" w:name="_Toc38442599"/>
      <w:bookmarkStart w:id="785" w:name="_Toc38442930"/>
      <w:bookmarkStart w:id="786" w:name="_Toc38443261"/>
      <w:bookmarkStart w:id="787" w:name="_Toc38443592"/>
      <w:bookmarkStart w:id="788" w:name="_Toc38443922"/>
      <w:bookmarkStart w:id="789" w:name="_Toc38438390"/>
      <w:bookmarkStart w:id="790" w:name="_Toc38438727"/>
      <w:bookmarkStart w:id="791" w:name="_Toc38439064"/>
      <w:bookmarkStart w:id="792" w:name="_Toc38439401"/>
      <w:bookmarkStart w:id="793" w:name="_Toc38439738"/>
      <w:bookmarkStart w:id="794" w:name="_Toc38440075"/>
      <w:bookmarkStart w:id="795" w:name="_Toc38440412"/>
      <w:bookmarkStart w:id="796" w:name="_Toc38440944"/>
      <w:bookmarkStart w:id="797" w:name="_Toc38441276"/>
      <w:bookmarkStart w:id="798" w:name="_Toc38441608"/>
      <w:bookmarkStart w:id="799" w:name="_Toc38441936"/>
      <w:bookmarkStart w:id="800" w:name="_Toc38442268"/>
      <w:bookmarkStart w:id="801" w:name="_Toc38442600"/>
      <w:bookmarkStart w:id="802" w:name="_Toc38442931"/>
      <w:bookmarkStart w:id="803" w:name="_Toc38443262"/>
      <w:bookmarkStart w:id="804" w:name="_Toc38443593"/>
      <w:bookmarkStart w:id="805" w:name="_Toc38443923"/>
      <w:bookmarkStart w:id="806" w:name="_Toc38438391"/>
      <w:bookmarkStart w:id="807" w:name="_Toc38438728"/>
      <w:bookmarkStart w:id="808" w:name="_Toc38439065"/>
      <w:bookmarkStart w:id="809" w:name="_Toc38439402"/>
      <w:bookmarkStart w:id="810" w:name="_Toc38439739"/>
      <w:bookmarkStart w:id="811" w:name="_Toc38440076"/>
      <w:bookmarkStart w:id="812" w:name="_Toc38440413"/>
      <w:bookmarkStart w:id="813" w:name="_Toc38440945"/>
      <w:bookmarkStart w:id="814" w:name="_Toc38441277"/>
      <w:bookmarkStart w:id="815" w:name="_Toc38441609"/>
      <w:bookmarkStart w:id="816" w:name="_Toc38441937"/>
      <w:bookmarkStart w:id="817" w:name="_Toc38442269"/>
      <w:bookmarkStart w:id="818" w:name="_Toc38442601"/>
      <w:bookmarkStart w:id="819" w:name="_Toc38442932"/>
      <w:bookmarkStart w:id="820" w:name="_Toc38443263"/>
      <w:bookmarkStart w:id="821" w:name="_Toc38443594"/>
      <w:bookmarkStart w:id="822" w:name="_Toc38443924"/>
      <w:bookmarkStart w:id="823" w:name="_Toc38438392"/>
      <w:bookmarkStart w:id="824" w:name="_Toc38438729"/>
      <w:bookmarkStart w:id="825" w:name="_Toc38439066"/>
      <w:bookmarkStart w:id="826" w:name="_Toc38439403"/>
      <w:bookmarkStart w:id="827" w:name="_Toc38439740"/>
      <w:bookmarkStart w:id="828" w:name="_Toc38440077"/>
      <w:bookmarkStart w:id="829" w:name="_Toc38440414"/>
      <w:bookmarkStart w:id="830" w:name="_Toc38440946"/>
      <w:bookmarkStart w:id="831" w:name="_Toc38441278"/>
      <w:bookmarkStart w:id="832" w:name="_Toc38441610"/>
      <w:bookmarkStart w:id="833" w:name="_Toc38441938"/>
      <w:bookmarkStart w:id="834" w:name="_Toc38442270"/>
      <w:bookmarkStart w:id="835" w:name="_Toc38442602"/>
      <w:bookmarkStart w:id="836" w:name="_Toc38442933"/>
      <w:bookmarkStart w:id="837" w:name="_Toc38443264"/>
      <w:bookmarkStart w:id="838" w:name="_Toc38443595"/>
      <w:bookmarkStart w:id="839" w:name="_Toc38443925"/>
      <w:bookmarkStart w:id="840" w:name="_Toc38438393"/>
      <w:bookmarkStart w:id="841" w:name="_Toc38438730"/>
      <w:bookmarkStart w:id="842" w:name="_Toc38439067"/>
      <w:bookmarkStart w:id="843" w:name="_Toc38439404"/>
      <w:bookmarkStart w:id="844" w:name="_Toc38439741"/>
      <w:bookmarkStart w:id="845" w:name="_Toc38440078"/>
      <w:bookmarkStart w:id="846" w:name="_Toc38440415"/>
      <w:bookmarkStart w:id="847" w:name="_Toc38440947"/>
      <w:bookmarkStart w:id="848" w:name="_Toc38441279"/>
      <w:bookmarkStart w:id="849" w:name="_Toc38441611"/>
      <w:bookmarkStart w:id="850" w:name="_Toc38441939"/>
      <w:bookmarkStart w:id="851" w:name="_Toc38442271"/>
      <w:bookmarkStart w:id="852" w:name="_Toc38442603"/>
      <w:bookmarkStart w:id="853" w:name="_Toc38442934"/>
      <w:bookmarkStart w:id="854" w:name="_Toc38443265"/>
      <w:bookmarkStart w:id="855" w:name="_Toc38443596"/>
      <w:bookmarkStart w:id="856" w:name="_Toc38443926"/>
      <w:bookmarkStart w:id="857" w:name="_Toc38438394"/>
      <w:bookmarkStart w:id="858" w:name="_Toc38438731"/>
      <w:bookmarkStart w:id="859" w:name="_Toc38439068"/>
      <w:bookmarkStart w:id="860" w:name="_Toc38439405"/>
      <w:bookmarkStart w:id="861" w:name="_Toc38439742"/>
      <w:bookmarkStart w:id="862" w:name="_Toc38440079"/>
      <w:bookmarkStart w:id="863" w:name="_Toc38440416"/>
      <w:bookmarkStart w:id="864" w:name="_Toc38440948"/>
      <w:bookmarkStart w:id="865" w:name="_Toc38441280"/>
      <w:bookmarkStart w:id="866" w:name="_Toc38441612"/>
      <w:bookmarkStart w:id="867" w:name="_Toc38441940"/>
      <w:bookmarkStart w:id="868" w:name="_Toc38442272"/>
      <w:bookmarkStart w:id="869" w:name="_Toc38442604"/>
      <w:bookmarkStart w:id="870" w:name="_Toc38442935"/>
      <w:bookmarkStart w:id="871" w:name="_Toc38443266"/>
      <w:bookmarkStart w:id="872" w:name="_Toc38443597"/>
      <w:bookmarkStart w:id="873" w:name="_Toc38443927"/>
      <w:bookmarkStart w:id="874" w:name="_Toc38438395"/>
      <w:bookmarkStart w:id="875" w:name="_Toc38438732"/>
      <w:bookmarkStart w:id="876" w:name="_Toc38439069"/>
      <w:bookmarkStart w:id="877" w:name="_Toc38439406"/>
      <w:bookmarkStart w:id="878" w:name="_Toc38439743"/>
      <w:bookmarkStart w:id="879" w:name="_Toc38440080"/>
      <w:bookmarkStart w:id="880" w:name="_Toc38440417"/>
      <w:bookmarkStart w:id="881" w:name="_Toc38440949"/>
      <w:bookmarkStart w:id="882" w:name="_Toc38441281"/>
      <w:bookmarkStart w:id="883" w:name="_Toc38441613"/>
      <w:bookmarkStart w:id="884" w:name="_Toc38441941"/>
      <w:bookmarkStart w:id="885" w:name="_Toc38442273"/>
      <w:bookmarkStart w:id="886" w:name="_Toc38442605"/>
      <w:bookmarkStart w:id="887" w:name="_Toc38442936"/>
      <w:bookmarkStart w:id="888" w:name="_Toc38443267"/>
      <w:bookmarkStart w:id="889" w:name="_Toc38443598"/>
      <w:bookmarkStart w:id="890" w:name="_Toc38443928"/>
      <w:bookmarkStart w:id="891" w:name="_Toc38438396"/>
      <w:bookmarkStart w:id="892" w:name="_Toc38438733"/>
      <w:bookmarkStart w:id="893" w:name="_Toc38439070"/>
      <w:bookmarkStart w:id="894" w:name="_Toc38439407"/>
      <w:bookmarkStart w:id="895" w:name="_Toc38439744"/>
      <w:bookmarkStart w:id="896" w:name="_Toc38440081"/>
      <w:bookmarkStart w:id="897" w:name="_Toc38440418"/>
      <w:bookmarkStart w:id="898" w:name="_Toc38440950"/>
      <w:bookmarkStart w:id="899" w:name="_Toc38441282"/>
      <w:bookmarkStart w:id="900" w:name="_Toc38441614"/>
      <w:bookmarkStart w:id="901" w:name="_Toc38441942"/>
      <w:bookmarkStart w:id="902" w:name="_Toc38442274"/>
      <w:bookmarkStart w:id="903" w:name="_Toc38442606"/>
      <w:bookmarkStart w:id="904" w:name="_Toc38442937"/>
      <w:bookmarkStart w:id="905" w:name="_Toc38443268"/>
      <w:bookmarkStart w:id="906" w:name="_Toc38443599"/>
      <w:bookmarkStart w:id="907" w:name="_Toc38443929"/>
      <w:bookmarkStart w:id="908" w:name="_Toc38438397"/>
      <w:bookmarkStart w:id="909" w:name="_Toc38438734"/>
      <w:bookmarkStart w:id="910" w:name="_Toc38439071"/>
      <w:bookmarkStart w:id="911" w:name="_Toc38439408"/>
      <w:bookmarkStart w:id="912" w:name="_Toc38439745"/>
      <w:bookmarkStart w:id="913" w:name="_Toc38440082"/>
      <w:bookmarkStart w:id="914" w:name="_Toc38440419"/>
      <w:bookmarkStart w:id="915" w:name="_Toc38440951"/>
      <w:bookmarkStart w:id="916" w:name="_Toc38441283"/>
      <w:bookmarkStart w:id="917" w:name="_Toc38441615"/>
      <w:bookmarkStart w:id="918" w:name="_Toc38441943"/>
      <w:bookmarkStart w:id="919" w:name="_Toc38442275"/>
      <w:bookmarkStart w:id="920" w:name="_Toc38442607"/>
      <w:bookmarkStart w:id="921" w:name="_Toc38442938"/>
      <w:bookmarkStart w:id="922" w:name="_Toc38443269"/>
      <w:bookmarkStart w:id="923" w:name="_Toc38443600"/>
      <w:bookmarkStart w:id="924" w:name="_Toc38443930"/>
      <w:bookmarkStart w:id="925" w:name="_Toc38438398"/>
      <w:bookmarkStart w:id="926" w:name="_Toc38438735"/>
      <w:bookmarkStart w:id="927" w:name="_Toc38439072"/>
      <w:bookmarkStart w:id="928" w:name="_Toc38439409"/>
      <w:bookmarkStart w:id="929" w:name="_Toc38439746"/>
      <w:bookmarkStart w:id="930" w:name="_Toc38440083"/>
      <w:bookmarkStart w:id="931" w:name="_Toc38440420"/>
      <w:bookmarkStart w:id="932" w:name="_Toc38440952"/>
      <w:bookmarkStart w:id="933" w:name="_Toc38441284"/>
      <w:bookmarkStart w:id="934" w:name="_Toc38441616"/>
      <w:bookmarkStart w:id="935" w:name="_Toc38441944"/>
      <w:bookmarkStart w:id="936" w:name="_Toc38442276"/>
      <w:bookmarkStart w:id="937" w:name="_Toc38442608"/>
      <w:bookmarkStart w:id="938" w:name="_Toc38442939"/>
      <w:bookmarkStart w:id="939" w:name="_Toc38443270"/>
      <w:bookmarkStart w:id="940" w:name="_Toc38443601"/>
      <w:bookmarkStart w:id="941" w:name="_Toc38443931"/>
      <w:bookmarkStart w:id="942" w:name="_Toc38438400"/>
      <w:bookmarkStart w:id="943" w:name="_Toc38438737"/>
      <w:bookmarkStart w:id="944" w:name="_Toc38439074"/>
      <w:bookmarkStart w:id="945" w:name="_Toc38439411"/>
      <w:bookmarkStart w:id="946" w:name="_Toc38439748"/>
      <w:bookmarkStart w:id="947" w:name="_Toc38440085"/>
      <w:bookmarkStart w:id="948" w:name="_Toc38440422"/>
      <w:bookmarkStart w:id="949" w:name="_Toc38440954"/>
      <w:bookmarkStart w:id="950" w:name="_Toc38441286"/>
      <w:bookmarkStart w:id="951" w:name="_Toc38441618"/>
      <w:bookmarkStart w:id="952" w:name="_Toc38441946"/>
      <w:bookmarkStart w:id="953" w:name="_Toc38442278"/>
      <w:bookmarkStart w:id="954" w:name="_Toc38442610"/>
      <w:bookmarkStart w:id="955" w:name="_Toc38442941"/>
      <w:bookmarkStart w:id="956" w:name="_Toc38443272"/>
      <w:bookmarkStart w:id="957" w:name="_Toc38443603"/>
      <w:bookmarkStart w:id="958" w:name="_Toc38443933"/>
      <w:bookmarkStart w:id="959" w:name="_Toc38438401"/>
      <w:bookmarkStart w:id="960" w:name="_Toc38438738"/>
      <w:bookmarkStart w:id="961" w:name="_Toc38439075"/>
      <w:bookmarkStart w:id="962" w:name="_Toc38439412"/>
      <w:bookmarkStart w:id="963" w:name="_Toc38439749"/>
      <w:bookmarkStart w:id="964" w:name="_Toc38440086"/>
      <w:bookmarkStart w:id="965" w:name="_Toc38440423"/>
      <w:bookmarkStart w:id="966" w:name="_Toc38440955"/>
      <w:bookmarkStart w:id="967" w:name="_Toc38441287"/>
      <w:bookmarkStart w:id="968" w:name="_Toc38441619"/>
      <w:bookmarkStart w:id="969" w:name="_Toc38441947"/>
      <w:bookmarkStart w:id="970" w:name="_Toc38442279"/>
      <w:bookmarkStart w:id="971" w:name="_Toc38442611"/>
      <w:bookmarkStart w:id="972" w:name="_Toc38442942"/>
      <w:bookmarkStart w:id="973" w:name="_Toc38443273"/>
      <w:bookmarkStart w:id="974" w:name="_Toc38443604"/>
      <w:bookmarkStart w:id="975" w:name="_Toc38443934"/>
      <w:bookmarkStart w:id="976" w:name="_Toc38438402"/>
      <w:bookmarkStart w:id="977" w:name="_Toc38438739"/>
      <w:bookmarkStart w:id="978" w:name="_Toc38439076"/>
      <w:bookmarkStart w:id="979" w:name="_Toc38439413"/>
      <w:bookmarkStart w:id="980" w:name="_Toc38439750"/>
      <w:bookmarkStart w:id="981" w:name="_Toc38440087"/>
      <w:bookmarkStart w:id="982" w:name="_Toc38440424"/>
      <w:bookmarkStart w:id="983" w:name="_Toc38440956"/>
      <w:bookmarkStart w:id="984" w:name="_Toc38441288"/>
      <w:bookmarkStart w:id="985" w:name="_Toc38441620"/>
      <w:bookmarkStart w:id="986" w:name="_Toc38441948"/>
      <w:bookmarkStart w:id="987" w:name="_Toc38442280"/>
      <w:bookmarkStart w:id="988" w:name="_Toc38442612"/>
      <w:bookmarkStart w:id="989" w:name="_Toc38442943"/>
      <w:bookmarkStart w:id="990" w:name="_Toc38443274"/>
      <w:bookmarkStart w:id="991" w:name="_Toc38443605"/>
      <w:bookmarkStart w:id="992" w:name="_Toc38443935"/>
      <w:bookmarkStart w:id="993" w:name="_Toc38438404"/>
      <w:bookmarkStart w:id="994" w:name="_Toc38438741"/>
      <w:bookmarkStart w:id="995" w:name="_Toc38439078"/>
      <w:bookmarkStart w:id="996" w:name="_Toc38439415"/>
      <w:bookmarkStart w:id="997" w:name="_Toc38439752"/>
      <w:bookmarkStart w:id="998" w:name="_Toc38440089"/>
      <w:bookmarkStart w:id="999" w:name="_Toc38440426"/>
      <w:bookmarkStart w:id="1000" w:name="_Toc38440958"/>
      <w:bookmarkStart w:id="1001" w:name="_Toc38441290"/>
      <w:bookmarkStart w:id="1002" w:name="_Toc38441622"/>
      <w:bookmarkStart w:id="1003" w:name="_Toc38441950"/>
      <w:bookmarkStart w:id="1004" w:name="_Toc38442282"/>
      <w:bookmarkStart w:id="1005" w:name="_Toc38442614"/>
      <w:bookmarkStart w:id="1006" w:name="_Toc38442945"/>
      <w:bookmarkStart w:id="1007" w:name="_Toc38443276"/>
      <w:bookmarkStart w:id="1008" w:name="_Toc38443607"/>
      <w:bookmarkStart w:id="1009" w:name="_Toc38443937"/>
      <w:bookmarkStart w:id="1010" w:name="_Toc38438405"/>
      <w:bookmarkStart w:id="1011" w:name="_Toc38438742"/>
      <w:bookmarkStart w:id="1012" w:name="_Toc38439079"/>
      <w:bookmarkStart w:id="1013" w:name="_Toc38439416"/>
      <w:bookmarkStart w:id="1014" w:name="_Toc38439753"/>
      <w:bookmarkStart w:id="1015" w:name="_Toc38440090"/>
      <w:bookmarkStart w:id="1016" w:name="_Toc38440427"/>
      <w:bookmarkStart w:id="1017" w:name="_Toc38440959"/>
      <w:bookmarkStart w:id="1018" w:name="_Toc38441291"/>
      <w:bookmarkStart w:id="1019" w:name="_Toc38441623"/>
      <w:bookmarkStart w:id="1020" w:name="_Toc38441951"/>
      <w:bookmarkStart w:id="1021" w:name="_Toc38442283"/>
      <w:bookmarkStart w:id="1022" w:name="_Toc38442615"/>
      <w:bookmarkStart w:id="1023" w:name="_Toc38442946"/>
      <w:bookmarkStart w:id="1024" w:name="_Toc38443277"/>
      <w:bookmarkStart w:id="1025" w:name="_Toc38443608"/>
      <w:bookmarkStart w:id="1026" w:name="_Toc38443938"/>
      <w:bookmarkStart w:id="1027" w:name="_Toc38438406"/>
      <w:bookmarkStart w:id="1028" w:name="_Toc38438743"/>
      <w:bookmarkStart w:id="1029" w:name="_Toc38439080"/>
      <w:bookmarkStart w:id="1030" w:name="_Toc38439417"/>
      <w:bookmarkStart w:id="1031" w:name="_Toc38439754"/>
      <w:bookmarkStart w:id="1032" w:name="_Toc38440091"/>
      <w:bookmarkStart w:id="1033" w:name="_Toc38440428"/>
      <w:bookmarkStart w:id="1034" w:name="_Toc38440960"/>
      <w:bookmarkStart w:id="1035" w:name="_Toc38441292"/>
      <w:bookmarkStart w:id="1036" w:name="_Toc38441624"/>
      <w:bookmarkStart w:id="1037" w:name="_Toc38441952"/>
      <w:bookmarkStart w:id="1038" w:name="_Toc38442284"/>
      <w:bookmarkStart w:id="1039" w:name="_Toc38442616"/>
      <w:bookmarkStart w:id="1040" w:name="_Toc38442947"/>
      <w:bookmarkStart w:id="1041" w:name="_Toc38443278"/>
      <w:bookmarkStart w:id="1042" w:name="_Toc38443609"/>
      <w:bookmarkStart w:id="1043" w:name="_Toc38443939"/>
      <w:bookmarkStart w:id="1044" w:name="_Toc38438407"/>
      <w:bookmarkStart w:id="1045" w:name="_Toc38438744"/>
      <w:bookmarkStart w:id="1046" w:name="_Toc38439081"/>
      <w:bookmarkStart w:id="1047" w:name="_Toc38439418"/>
      <w:bookmarkStart w:id="1048" w:name="_Toc38439755"/>
      <w:bookmarkStart w:id="1049" w:name="_Toc38440092"/>
      <w:bookmarkStart w:id="1050" w:name="_Toc38440429"/>
      <w:bookmarkStart w:id="1051" w:name="_Toc38440961"/>
      <w:bookmarkStart w:id="1052" w:name="_Toc38441293"/>
      <w:bookmarkStart w:id="1053" w:name="_Toc38441625"/>
      <w:bookmarkStart w:id="1054" w:name="_Toc38441953"/>
      <w:bookmarkStart w:id="1055" w:name="_Toc38442285"/>
      <w:bookmarkStart w:id="1056" w:name="_Toc38442617"/>
      <w:bookmarkStart w:id="1057" w:name="_Toc38442948"/>
      <w:bookmarkStart w:id="1058" w:name="_Toc38443279"/>
      <w:bookmarkStart w:id="1059" w:name="_Toc38443610"/>
      <w:bookmarkStart w:id="1060" w:name="_Toc38443940"/>
      <w:bookmarkStart w:id="1061" w:name="_Toc38438408"/>
      <w:bookmarkStart w:id="1062" w:name="_Toc38438745"/>
      <w:bookmarkStart w:id="1063" w:name="_Toc38439082"/>
      <w:bookmarkStart w:id="1064" w:name="_Toc38439419"/>
      <w:bookmarkStart w:id="1065" w:name="_Toc38439756"/>
      <w:bookmarkStart w:id="1066" w:name="_Toc38440093"/>
      <w:bookmarkStart w:id="1067" w:name="_Toc38440430"/>
      <w:bookmarkStart w:id="1068" w:name="_Toc38440962"/>
      <w:bookmarkStart w:id="1069" w:name="_Toc38441294"/>
      <w:bookmarkStart w:id="1070" w:name="_Toc38441626"/>
      <w:bookmarkStart w:id="1071" w:name="_Toc38441954"/>
      <w:bookmarkStart w:id="1072" w:name="_Toc38442286"/>
      <w:bookmarkStart w:id="1073" w:name="_Toc38442618"/>
      <w:bookmarkStart w:id="1074" w:name="_Toc38442949"/>
      <w:bookmarkStart w:id="1075" w:name="_Toc38443280"/>
      <w:bookmarkStart w:id="1076" w:name="_Toc38443611"/>
      <w:bookmarkStart w:id="1077" w:name="_Toc38443941"/>
      <w:bookmarkStart w:id="1078" w:name="_Toc38438409"/>
      <w:bookmarkStart w:id="1079" w:name="_Toc38438746"/>
      <w:bookmarkStart w:id="1080" w:name="_Toc38439083"/>
      <w:bookmarkStart w:id="1081" w:name="_Toc38439420"/>
      <w:bookmarkStart w:id="1082" w:name="_Toc38439757"/>
      <w:bookmarkStart w:id="1083" w:name="_Toc38440094"/>
      <w:bookmarkStart w:id="1084" w:name="_Toc38440431"/>
      <w:bookmarkStart w:id="1085" w:name="_Toc38440963"/>
      <w:bookmarkStart w:id="1086" w:name="_Toc38441295"/>
      <w:bookmarkStart w:id="1087" w:name="_Toc38441627"/>
      <w:bookmarkStart w:id="1088" w:name="_Toc38441955"/>
      <w:bookmarkStart w:id="1089" w:name="_Toc38442287"/>
      <w:bookmarkStart w:id="1090" w:name="_Toc38442619"/>
      <w:bookmarkStart w:id="1091" w:name="_Toc38442950"/>
      <w:bookmarkStart w:id="1092" w:name="_Toc38443281"/>
      <w:bookmarkStart w:id="1093" w:name="_Toc38443612"/>
      <w:bookmarkStart w:id="1094" w:name="_Toc38443942"/>
      <w:bookmarkStart w:id="1095" w:name="_Toc38438410"/>
      <w:bookmarkStart w:id="1096" w:name="_Toc38438747"/>
      <w:bookmarkStart w:id="1097" w:name="_Toc38439084"/>
      <w:bookmarkStart w:id="1098" w:name="_Toc38439421"/>
      <w:bookmarkStart w:id="1099" w:name="_Toc38439758"/>
      <w:bookmarkStart w:id="1100" w:name="_Toc38440095"/>
      <w:bookmarkStart w:id="1101" w:name="_Toc38440432"/>
      <w:bookmarkStart w:id="1102" w:name="_Toc38440964"/>
      <w:bookmarkStart w:id="1103" w:name="_Toc38441296"/>
      <w:bookmarkStart w:id="1104" w:name="_Toc38441628"/>
      <w:bookmarkStart w:id="1105" w:name="_Toc38441956"/>
      <w:bookmarkStart w:id="1106" w:name="_Toc38442288"/>
      <w:bookmarkStart w:id="1107" w:name="_Toc38442620"/>
      <w:bookmarkStart w:id="1108" w:name="_Toc38442951"/>
      <w:bookmarkStart w:id="1109" w:name="_Toc38443282"/>
      <w:bookmarkStart w:id="1110" w:name="_Toc38443613"/>
      <w:bookmarkStart w:id="1111" w:name="_Toc38443943"/>
      <w:bookmarkStart w:id="1112" w:name="_Toc38438411"/>
      <w:bookmarkStart w:id="1113" w:name="_Toc38438748"/>
      <w:bookmarkStart w:id="1114" w:name="_Toc38439085"/>
      <w:bookmarkStart w:id="1115" w:name="_Toc38439422"/>
      <w:bookmarkStart w:id="1116" w:name="_Toc38439759"/>
      <w:bookmarkStart w:id="1117" w:name="_Toc38440096"/>
      <w:bookmarkStart w:id="1118" w:name="_Toc38440433"/>
      <w:bookmarkStart w:id="1119" w:name="_Toc38440965"/>
      <w:bookmarkStart w:id="1120" w:name="_Toc38441297"/>
      <w:bookmarkStart w:id="1121" w:name="_Toc38441629"/>
      <w:bookmarkStart w:id="1122" w:name="_Toc38441957"/>
      <w:bookmarkStart w:id="1123" w:name="_Toc38442289"/>
      <w:bookmarkStart w:id="1124" w:name="_Toc38442621"/>
      <w:bookmarkStart w:id="1125" w:name="_Toc38442952"/>
      <w:bookmarkStart w:id="1126" w:name="_Toc38443283"/>
      <w:bookmarkStart w:id="1127" w:name="_Toc38443614"/>
      <w:bookmarkStart w:id="1128" w:name="_Toc38443944"/>
      <w:bookmarkStart w:id="1129" w:name="_Toc38438412"/>
      <w:bookmarkStart w:id="1130" w:name="_Toc38438749"/>
      <w:bookmarkStart w:id="1131" w:name="_Toc38439086"/>
      <w:bookmarkStart w:id="1132" w:name="_Toc38439423"/>
      <w:bookmarkStart w:id="1133" w:name="_Toc38439760"/>
      <w:bookmarkStart w:id="1134" w:name="_Toc38440097"/>
      <w:bookmarkStart w:id="1135" w:name="_Toc38440434"/>
      <w:bookmarkStart w:id="1136" w:name="_Toc38440966"/>
      <w:bookmarkStart w:id="1137" w:name="_Toc38441298"/>
      <w:bookmarkStart w:id="1138" w:name="_Toc38441630"/>
      <w:bookmarkStart w:id="1139" w:name="_Toc38441958"/>
      <w:bookmarkStart w:id="1140" w:name="_Toc38442290"/>
      <w:bookmarkStart w:id="1141" w:name="_Toc38442622"/>
      <w:bookmarkStart w:id="1142" w:name="_Toc38442953"/>
      <w:bookmarkStart w:id="1143" w:name="_Toc38443284"/>
      <w:bookmarkStart w:id="1144" w:name="_Toc38443615"/>
      <w:bookmarkStart w:id="1145" w:name="_Toc38443945"/>
      <w:bookmarkStart w:id="1146" w:name="_Toc38438413"/>
      <w:bookmarkStart w:id="1147" w:name="_Toc38438750"/>
      <w:bookmarkStart w:id="1148" w:name="_Toc38439087"/>
      <w:bookmarkStart w:id="1149" w:name="_Toc38439424"/>
      <w:bookmarkStart w:id="1150" w:name="_Toc38439761"/>
      <w:bookmarkStart w:id="1151" w:name="_Toc38440098"/>
      <w:bookmarkStart w:id="1152" w:name="_Toc38440435"/>
      <w:bookmarkStart w:id="1153" w:name="_Toc38440967"/>
      <w:bookmarkStart w:id="1154" w:name="_Toc38441299"/>
      <w:bookmarkStart w:id="1155" w:name="_Toc38441631"/>
      <w:bookmarkStart w:id="1156" w:name="_Toc38441959"/>
      <w:bookmarkStart w:id="1157" w:name="_Toc38442291"/>
      <w:bookmarkStart w:id="1158" w:name="_Toc38442623"/>
      <w:bookmarkStart w:id="1159" w:name="_Toc38442954"/>
      <w:bookmarkStart w:id="1160" w:name="_Toc38443285"/>
      <w:bookmarkStart w:id="1161" w:name="_Toc38443616"/>
      <w:bookmarkStart w:id="1162" w:name="_Toc38443946"/>
      <w:bookmarkStart w:id="1163" w:name="_Toc38438414"/>
      <w:bookmarkStart w:id="1164" w:name="_Toc38438751"/>
      <w:bookmarkStart w:id="1165" w:name="_Toc38439088"/>
      <w:bookmarkStart w:id="1166" w:name="_Toc38439425"/>
      <w:bookmarkStart w:id="1167" w:name="_Toc38439762"/>
      <w:bookmarkStart w:id="1168" w:name="_Toc38440099"/>
      <w:bookmarkStart w:id="1169" w:name="_Toc38440436"/>
      <w:bookmarkStart w:id="1170" w:name="_Toc38440968"/>
      <w:bookmarkStart w:id="1171" w:name="_Toc38441300"/>
      <w:bookmarkStart w:id="1172" w:name="_Toc38441632"/>
      <w:bookmarkStart w:id="1173" w:name="_Toc38441960"/>
      <w:bookmarkStart w:id="1174" w:name="_Toc38442292"/>
      <w:bookmarkStart w:id="1175" w:name="_Toc38442624"/>
      <w:bookmarkStart w:id="1176" w:name="_Toc38442955"/>
      <w:bookmarkStart w:id="1177" w:name="_Toc38443286"/>
      <w:bookmarkStart w:id="1178" w:name="_Toc38443617"/>
      <w:bookmarkStart w:id="1179" w:name="_Toc38443947"/>
      <w:bookmarkStart w:id="1180" w:name="_Toc38438415"/>
      <w:bookmarkStart w:id="1181" w:name="_Toc38438752"/>
      <w:bookmarkStart w:id="1182" w:name="_Toc38439089"/>
      <w:bookmarkStart w:id="1183" w:name="_Toc38439426"/>
      <w:bookmarkStart w:id="1184" w:name="_Toc38439763"/>
      <w:bookmarkStart w:id="1185" w:name="_Toc38440100"/>
      <w:bookmarkStart w:id="1186" w:name="_Toc38440437"/>
      <w:bookmarkStart w:id="1187" w:name="_Toc38440969"/>
      <w:bookmarkStart w:id="1188" w:name="_Toc38441301"/>
      <w:bookmarkStart w:id="1189" w:name="_Toc38441633"/>
      <w:bookmarkStart w:id="1190" w:name="_Toc38441961"/>
      <w:bookmarkStart w:id="1191" w:name="_Toc38442293"/>
      <w:bookmarkStart w:id="1192" w:name="_Toc38442625"/>
      <w:bookmarkStart w:id="1193" w:name="_Toc38442956"/>
      <w:bookmarkStart w:id="1194" w:name="_Toc38443287"/>
      <w:bookmarkStart w:id="1195" w:name="_Toc38443618"/>
      <w:bookmarkStart w:id="1196" w:name="_Toc38443948"/>
      <w:bookmarkStart w:id="1197" w:name="_Toc38438416"/>
      <w:bookmarkStart w:id="1198" w:name="_Toc38438753"/>
      <w:bookmarkStart w:id="1199" w:name="_Toc38439090"/>
      <w:bookmarkStart w:id="1200" w:name="_Toc38439427"/>
      <w:bookmarkStart w:id="1201" w:name="_Toc38439764"/>
      <w:bookmarkStart w:id="1202" w:name="_Toc38440101"/>
      <w:bookmarkStart w:id="1203" w:name="_Toc38440438"/>
      <w:bookmarkStart w:id="1204" w:name="_Toc38440970"/>
      <w:bookmarkStart w:id="1205" w:name="_Toc38441302"/>
      <w:bookmarkStart w:id="1206" w:name="_Toc38441634"/>
      <w:bookmarkStart w:id="1207" w:name="_Toc38441962"/>
      <w:bookmarkStart w:id="1208" w:name="_Toc38442294"/>
      <w:bookmarkStart w:id="1209" w:name="_Toc38442626"/>
      <w:bookmarkStart w:id="1210" w:name="_Toc38442957"/>
      <w:bookmarkStart w:id="1211" w:name="_Toc38443288"/>
      <w:bookmarkStart w:id="1212" w:name="_Toc38443619"/>
      <w:bookmarkStart w:id="1213" w:name="_Toc38443949"/>
      <w:bookmarkStart w:id="1214" w:name="_Toc38438417"/>
      <w:bookmarkStart w:id="1215" w:name="_Toc38438754"/>
      <w:bookmarkStart w:id="1216" w:name="_Toc38439091"/>
      <w:bookmarkStart w:id="1217" w:name="_Toc38439428"/>
      <w:bookmarkStart w:id="1218" w:name="_Toc38439765"/>
      <w:bookmarkStart w:id="1219" w:name="_Toc38440102"/>
      <w:bookmarkStart w:id="1220" w:name="_Toc38440439"/>
      <w:bookmarkStart w:id="1221" w:name="_Toc38440971"/>
      <w:bookmarkStart w:id="1222" w:name="_Toc38441303"/>
      <w:bookmarkStart w:id="1223" w:name="_Toc38441635"/>
      <w:bookmarkStart w:id="1224" w:name="_Toc38441963"/>
      <w:bookmarkStart w:id="1225" w:name="_Toc38442295"/>
      <w:bookmarkStart w:id="1226" w:name="_Toc38442627"/>
      <w:bookmarkStart w:id="1227" w:name="_Toc38442958"/>
      <w:bookmarkStart w:id="1228" w:name="_Toc38443289"/>
      <w:bookmarkStart w:id="1229" w:name="_Toc38443620"/>
      <w:bookmarkStart w:id="1230" w:name="_Toc38443950"/>
      <w:bookmarkStart w:id="1231" w:name="_Toc38438418"/>
      <w:bookmarkStart w:id="1232" w:name="_Toc38438755"/>
      <w:bookmarkStart w:id="1233" w:name="_Toc38439092"/>
      <w:bookmarkStart w:id="1234" w:name="_Toc38439429"/>
      <w:bookmarkStart w:id="1235" w:name="_Toc38439766"/>
      <w:bookmarkStart w:id="1236" w:name="_Toc38440103"/>
      <w:bookmarkStart w:id="1237" w:name="_Toc38440440"/>
      <w:bookmarkStart w:id="1238" w:name="_Toc38440972"/>
      <w:bookmarkStart w:id="1239" w:name="_Toc38441304"/>
      <w:bookmarkStart w:id="1240" w:name="_Toc38441636"/>
      <w:bookmarkStart w:id="1241" w:name="_Toc38441964"/>
      <w:bookmarkStart w:id="1242" w:name="_Toc38442296"/>
      <w:bookmarkStart w:id="1243" w:name="_Toc38442628"/>
      <w:bookmarkStart w:id="1244" w:name="_Toc38442959"/>
      <w:bookmarkStart w:id="1245" w:name="_Toc38443290"/>
      <w:bookmarkStart w:id="1246" w:name="_Toc38443621"/>
      <w:bookmarkStart w:id="1247" w:name="_Toc38443951"/>
      <w:bookmarkStart w:id="1248" w:name="_Toc38438419"/>
      <w:bookmarkStart w:id="1249" w:name="_Toc38438756"/>
      <w:bookmarkStart w:id="1250" w:name="_Toc38439093"/>
      <w:bookmarkStart w:id="1251" w:name="_Toc38439430"/>
      <w:bookmarkStart w:id="1252" w:name="_Toc38439767"/>
      <w:bookmarkStart w:id="1253" w:name="_Toc38440104"/>
      <w:bookmarkStart w:id="1254" w:name="_Toc38440441"/>
      <w:bookmarkStart w:id="1255" w:name="_Toc38440973"/>
      <w:bookmarkStart w:id="1256" w:name="_Toc38441305"/>
      <w:bookmarkStart w:id="1257" w:name="_Toc38441637"/>
      <w:bookmarkStart w:id="1258" w:name="_Toc38441965"/>
      <w:bookmarkStart w:id="1259" w:name="_Toc38442297"/>
      <w:bookmarkStart w:id="1260" w:name="_Toc38442629"/>
      <w:bookmarkStart w:id="1261" w:name="_Toc38442960"/>
      <w:bookmarkStart w:id="1262" w:name="_Toc38443291"/>
      <w:bookmarkStart w:id="1263" w:name="_Toc38443622"/>
      <w:bookmarkStart w:id="1264" w:name="_Toc38443952"/>
      <w:bookmarkStart w:id="1265" w:name="_Toc38438420"/>
      <w:bookmarkStart w:id="1266" w:name="_Toc38438757"/>
      <w:bookmarkStart w:id="1267" w:name="_Toc38439094"/>
      <w:bookmarkStart w:id="1268" w:name="_Toc38439431"/>
      <w:bookmarkStart w:id="1269" w:name="_Toc38439768"/>
      <w:bookmarkStart w:id="1270" w:name="_Toc38440105"/>
      <w:bookmarkStart w:id="1271" w:name="_Toc38440442"/>
      <w:bookmarkStart w:id="1272" w:name="_Toc38440974"/>
      <w:bookmarkStart w:id="1273" w:name="_Toc38441306"/>
      <w:bookmarkStart w:id="1274" w:name="_Toc38441638"/>
      <w:bookmarkStart w:id="1275" w:name="_Toc38441966"/>
      <w:bookmarkStart w:id="1276" w:name="_Toc38442298"/>
      <w:bookmarkStart w:id="1277" w:name="_Toc38442630"/>
      <w:bookmarkStart w:id="1278" w:name="_Toc38442961"/>
      <w:bookmarkStart w:id="1279" w:name="_Toc38443292"/>
      <w:bookmarkStart w:id="1280" w:name="_Toc38443623"/>
      <w:bookmarkStart w:id="1281" w:name="_Toc38443953"/>
      <w:bookmarkStart w:id="1282" w:name="_Toc38438421"/>
      <w:bookmarkStart w:id="1283" w:name="_Toc38438758"/>
      <w:bookmarkStart w:id="1284" w:name="_Toc38439095"/>
      <w:bookmarkStart w:id="1285" w:name="_Toc38439432"/>
      <w:bookmarkStart w:id="1286" w:name="_Toc38439769"/>
      <w:bookmarkStart w:id="1287" w:name="_Toc38440106"/>
      <w:bookmarkStart w:id="1288" w:name="_Toc38440443"/>
      <w:bookmarkStart w:id="1289" w:name="_Toc38440975"/>
      <w:bookmarkStart w:id="1290" w:name="_Toc38441307"/>
      <w:bookmarkStart w:id="1291" w:name="_Toc38441639"/>
      <w:bookmarkStart w:id="1292" w:name="_Toc38441967"/>
      <w:bookmarkStart w:id="1293" w:name="_Toc38442299"/>
      <w:bookmarkStart w:id="1294" w:name="_Toc38442631"/>
      <w:bookmarkStart w:id="1295" w:name="_Toc38442962"/>
      <w:bookmarkStart w:id="1296" w:name="_Toc38443293"/>
      <w:bookmarkStart w:id="1297" w:name="_Toc38443624"/>
      <w:bookmarkStart w:id="1298" w:name="_Toc38443954"/>
      <w:bookmarkStart w:id="1299" w:name="_Toc38438422"/>
      <w:bookmarkStart w:id="1300" w:name="_Toc38438759"/>
      <w:bookmarkStart w:id="1301" w:name="_Toc38439096"/>
      <w:bookmarkStart w:id="1302" w:name="_Toc38439433"/>
      <w:bookmarkStart w:id="1303" w:name="_Toc38439770"/>
      <w:bookmarkStart w:id="1304" w:name="_Toc38440107"/>
      <w:bookmarkStart w:id="1305" w:name="_Toc38440444"/>
      <w:bookmarkStart w:id="1306" w:name="_Toc38440976"/>
      <w:bookmarkStart w:id="1307" w:name="_Toc38441308"/>
      <w:bookmarkStart w:id="1308" w:name="_Toc38441640"/>
      <w:bookmarkStart w:id="1309" w:name="_Toc38441968"/>
      <w:bookmarkStart w:id="1310" w:name="_Toc38442300"/>
      <w:bookmarkStart w:id="1311" w:name="_Toc38442632"/>
      <w:bookmarkStart w:id="1312" w:name="_Toc38442963"/>
      <w:bookmarkStart w:id="1313" w:name="_Toc38443294"/>
      <w:bookmarkStart w:id="1314" w:name="_Toc38443625"/>
      <w:bookmarkStart w:id="1315" w:name="_Toc38443955"/>
      <w:bookmarkStart w:id="1316" w:name="_Toc38438423"/>
      <w:bookmarkStart w:id="1317" w:name="_Toc38438760"/>
      <w:bookmarkStart w:id="1318" w:name="_Toc38439097"/>
      <w:bookmarkStart w:id="1319" w:name="_Toc38439434"/>
      <w:bookmarkStart w:id="1320" w:name="_Toc38439771"/>
      <w:bookmarkStart w:id="1321" w:name="_Toc38440108"/>
      <w:bookmarkStart w:id="1322" w:name="_Toc38440445"/>
      <w:bookmarkStart w:id="1323" w:name="_Toc38440977"/>
      <w:bookmarkStart w:id="1324" w:name="_Toc38441309"/>
      <w:bookmarkStart w:id="1325" w:name="_Toc38441641"/>
      <w:bookmarkStart w:id="1326" w:name="_Toc38441969"/>
      <w:bookmarkStart w:id="1327" w:name="_Toc38442301"/>
      <w:bookmarkStart w:id="1328" w:name="_Toc38442633"/>
      <w:bookmarkStart w:id="1329" w:name="_Toc38442964"/>
      <w:bookmarkStart w:id="1330" w:name="_Toc38443295"/>
      <w:bookmarkStart w:id="1331" w:name="_Toc38443626"/>
      <w:bookmarkStart w:id="1332" w:name="_Toc38443956"/>
      <w:bookmarkStart w:id="1333" w:name="_Toc38438424"/>
      <w:bookmarkStart w:id="1334" w:name="_Toc38438761"/>
      <w:bookmarkStart w:id="1335" w:name="_Toc38439098"/>
      <w:bookmarkStart w:id="1336" w:name="_Toc38439435"/>
      <w:bookmarkStart w:id="1337" w:name="_Toc38439772"/>
      <w:bookmarkStart w:id="1338" w:name="_Toc38440109"/>
      <w:bookmarkStart w:id="1339" w:name="_Toc38440446"/>
      <w:bookmarkStart w:id="1340" w:name="_Toc38440978"/>
      <w:bookmarkStart w:id="1341" w:name="_Toc38441310"/>
      <w:bookmarkStart w:id="1342" w:name="_Toc38441642"/>
      <w:bookmarkStart w:id="1343" w:name="_Toc38441970"/>
      <w:bookmarkStart w:id="1344" w:name="_Toc38442302"/>
      <w:bookmarkStart w:id="1345" w:name="_Toc38442634"/>
      <w:bookmarkStart w:id="1346" w:name="_Toc38442965"/>
      <w:bookmarkStart w:id="1347" w:name="_Toc38443296"/>
      <w:bookmarkStart w:id="1348" w:name="_Toc38443627"/>
      <w:bookmarkStart w:id="1349" w:name="_Toc38443957"/>
      <w:bookmarkStart w:id="1350" w:name="_Toc38438425"/>
      <w:bookmarkStart w:id="1351" w:name="_Toc38438762"/>
      <w:bookmarkStart w:id="1352" w:name="_Toc38439099"/>
      <w:bookmarkStart w:id="1353" w:name="_Toc38439436"/>
      <w:bookmarkStart w:id="1354" w:name="_Toc38439773"/>
      <w:bookmarkStart w:id="1355" w:name="_Toc38440110"/>
      <w:bookmarkStart w:id="1356" w:name="_Toc38440447"/>
      <w:bookmarkStart w:id="1357" w:name="_Toc38440979"/>
      <w:bookmarkStart w:id="1358" w:name="_Toc38441311"/>
      <w:bookmarkStart w:id="1359" w:name="_Toc38441643"/>
      <w:bookmarkStart w:id="1360" w:name="_Toc38441971"/>
      <w:bookmarkStart w:id="1361" w:name="_Toc38442303"/>
      <w:bookmarkStart w:id="1362" w:name="_Toc38442635"/>
      <w:bookmarkStart w:id="1363" w:name="_Toc38442966"/>
      <w:bookmarkStart w:id="1364" w:name="_Toc38443297"/>
      <w:bookmarkStart w:id="1365" w:name="_Toc38443628"/>
      <w:bookmarkStart w:id="1366" w:name="_Toc38443958"/>
      <w:bookmarkStart w:id="1367" w:name="_Toc38438426"/>
      <w:bookmarkStart w:id="1368" w:name="_Toc38438763"/>
      <w:bookmarkStart w:id="1369" w:name="_Toc38439100"/>
      <w:bookmarkStart w:id="1370" w:name="_Toc38439437"/>
      <w:bookmarkStart w:id="1371" w:name="_Toc38439774"/>
      <w:bookmarkStart w:id="1372" w:name="_Toc38440111"/>
      <w:bookmarkStart w:id="1373" w:name="_Toc38440448"/>
      <w:bookmarkStart w:id="1374" w:name="_Toc38440980"/>
      <w:bookmarkStart w:id="1375" w:name="_Toc38441312"/>
      <w:bookmarkStart w:id="1376" w:name="_Toc38441644"/>
      <w:bookmarkStart w:id="1377" w:name="_Toc38441972"/>
      <w:bookmarkStart w:id="1378" w:name="_Toc38442304"/>
      <w:bookmarkStart w:id="1379" w:name="_Toc38442636"/>
      <w:bookmarkStart w:id="1380" w:name="_Toc38442967"/>
      <w:bookmarkStart w:id="1381" w:name="_Toc38443298"/>
      <w:bookmarkStart w:id="1382" w:name="_Toc38443629"/>
      <w:bookmarkStart w:id="1383" w:name="_Toc38443959"/>
      <w:bookmarkStart w:id="1384" w:name="_Toc38438427"/>
      <w:bookmarkStart w:id="1385" w:name="_Toc38438764"/>
      <w:bookmarkStart w:id="1386" w:name="_Toc38439101"/>
      <w:bookmarkStart w:id="1387" w:name="_Toc38439438"/>
      <w:bookmarkStart w:id="1388" w:name="_Toc38439775"/>
      <w:bookmarkStart w:id="1389" w:name="_Toc38440112"/>
      <w:bookmarkStart w:id="1390" w:name="_Toc38440449"/>
      <w:bookmarkStart w:id="1391" w:name="_Toc38440981"/>
      <w:bookmarkStart w:id="1392" w:name="_Toc38441313"/>
      <w:bookmarkStart w:id="1393" w:name="_Toc38441645"/>
      <w:bookmarkStart w:id="1394" w:name="_Toc38441973"/>
      <w:bookmarkStart w:id="1395" w:name="_Toc38442305"/>
      <w:bookmarkStart w:id="1396" w:name="_Toc38442637"/>
      <w:bookmarkStart w:id="1397" w:name="_Toc38442968"/>
      <w:bookmarkStart w:id="1398" w:name="_Toc38443299"/>
      <w:bookmarkStart w:id="1399" w:name="_Toc38443630"/>
      <w:bookmarkStart w:id="1400" w:name="_Toc38443960"/>
      <w:bookmarkStart w:id="1401" w:name="_Toc38438428"/>
      <w:bookmarkStart w:id="1402" w:name="_Toc38438765"/>
      <w:bookmarkStart w:id="1403" w:name="_Toc38439102"/>
      <w:bookmarkStart w:id="1404" w:name="_Toc38439439"/>
      <w:bookmarkStart w:id="1405" w:name="_Toc38439776"/>
      <w:bookmarkStart w:id="1406" w:name="_Toc38440113"/>
      <w:bookmarkStart w:id="1407" w:name="_Toc38440450"/>
      <w:bookmarkStart w:id="1408" w:name="_Toc38440982"/>
      <w:bookmarkStart w:id="1409" w:name="_Toc38441314"/>
      <w:bookmarkStart w:id="1410" w:name="_Toc38441646"/>
      <w:bookmarkStart w:id="1411" w:name="_Toc38441974"/>
      <w:bookmarkStart w:id="1412" w:name="_Toc38442306"/>
      <w:bookmarkStart w:id="1413" w:name="_Toc38442638"/>
      <w:bookmarkStart w:id="1414" w:name="_Toc38442969"/>
      <w:bookmarkStart w:id="1415" w:name="_Toc38443300"/>
      <w:bookmarkStart w:id="1416" w:name="_Toc38443631"/>
      <w:bookmarkStart w:id="1417" w:name="_Toc38443961"/>
      <w:bookmarkStart w:id="1418" w:name="_Toc38438429"/>
      <w:bookmarkStart w:id="1419" w:name="_Toc38438766"/>
      <w:bookmarkStart w:id="1420" w:name="_Toc38439103"/>
      <w:bookmarkStart w:id="1421" w:name="_Toc38439440"/>
      <w:bookmarkStart w:id="1422" w:name="_Toc38439777"/>
      <w:bookmarkStart w:id="1423" w:name="_Toc38440114"/>
      <w:bookmarkStart w:id="1424" w:name="_Toc38440451"/>
      <w:bookmarkStart w:id="1425" w:name="_Toc38440983"/>
      <w:bookmarkStart w:id="1426" w:name="_Toc38441315"/>
      <w:bookmarkStart w:id="1427" w:name="_Toc38441647"/>
      <w:bookmarkStart w:id="1428" w:name="_Toc38441975"/>
      <w:bookmarkStart w:id="1429" w:name="_Toc38442307"/>
      <w:bookmarkStart w:id="1430" w:name="_Toc38442639"/>
      <w:bookmarkStart w:id="1431" w:name="_Toc38442970"/>
      <w:bookmarkStart w:id="1432" w:name="_Toc38443301"/>
      <w:bookmarkStart w:id="1433" w:name="_Toc38443632"/>
      <w:bookmarkStart w:id="1434" w:name="_Toc38443962"/>
      <w:bookmarkStart w:id="1435" w:name="_Toc38438430"/>
      <w:bookmarkStart w:id="1436" w:name="_Toc38438767"/>
      <w:bookmarkStart w:id="1437" w:name="_Toc38439104"/>
      <w:bookmarkStart w:id="1438" w:name="_Toc38439441"/>
      <w:bookmarkStart w:id="1439" w:name="_Toc38439778"/>
      <w:bookmarkStart w:id="1440" w:name="_Toc38440115"/>
      <w:bookmarkStart w:id="1441" w:name="_Toc38440452"/>
      <w:bookmarkStart w:id="1442" w:name="_Toc38440984"/>
      <w:bookmarkStart w:id="1443" w:name="_Toc38441316"/>
      <w:bookmarkStart w:id="1444" w:name="_Toc38441648"/>
      <w:bookmarkStart w:id="1445" w:name="_Toc38441976"/>
      <w:bookmarkStart w:id="1446" w:name="_Toc38442308"/>
      <w:bookmarkStart w:id="1447" w:name="_Toc38442640"/>
      <w:bookmarkStart w:id="1448" w:name="_Toc38442971"/>
      <w:bookmarkStart w:id="1449" w:name="_Toc38443302"/>
      <w:bookmarkStart w:id="1450" w:name="_Toc38443633"/>
      <w:bookmarkStart w:id="1451" w:name="_Toc38443963"/>
      <w:bookmarkStart w:id="1452" w:name="_Toc38438431"/>
      <w:bookmarkStart w:id="1453" w:name="_Toc38438768"/>
      <w:bookmarkStart w:id="1454" w:name="_Toc38439105"/>
      <w:bookmarkStart w:id="1455" w:name="_Toc38439442"/>
      <w:bookmarkStart w:id="1456" w:name="_Toc38439779"/>
      <w:bookmarkStart w:id="1457" w:name="_Toc38440116"/>
      <w:bookmarkStart w:id="1458" w:name="_Toc38440453"/>
      <w:bookmarkStart w:id="1459" w:name="_Toc38440985"/>
      <w:bookmarkStart w:id="1460" w:name="_Toc38441317"/>
      <w:bookmarkStart w:id="1461" w:name="_Toc38441649"/>
      <w:bookmarkStart w:id="1462" w:name="_Toc38441977"/>
      <w:bookmarkStart w:id="1463" w:name="_Toc38442309"/>
      <w:bookmarkStart w:id="1464" w:name="_Toc38442641"/>
      <w:bookmarkStart w:id="1465" w:name="_Toc38442972"/>
      <w:bookmarkStart w:id="1466" w:name="_Toc38443303"/>
      <w:bookmarkStart w:id="1467" w:name="_Toc38443634"/>
      <w:bookmarkStart w:id="1468" w:name="_Toc38443964"/>
      <w:bookmarkStart w:id="1469" w:name="_Toc38438432"/>
      <w:bookmarkStart w:id="1470" w:name="_Toc38438769"/>
      <w:bookmarkStart w:id="1471" w:name="_Toc38439106"/>
      <w:bookmarkStart w:id="1472" w:name="_Toc38439443"/>
      <w:bookmarkStart w:id="1473" w:name="_Toc38439780"/>
      <w:bookmarkStart w:id="1474" w:name="_Toc38440117"/>
      <w:bookmarkStart w:id="1475" w:name="_Toc38440454"/>
      <w:bookmarkStart w:id="1476" w:name="_Toc38440986"/>
      <w:bookmarkStart w:id="1477" w:name="_Toc38441318"/>
      <w:bookmarkStart w:id="1478" w:name="_Toc38441650"/>
      <w:bookmarkStart w:id="1479" w:name="_Toc38441978"/>
      <w:bookmarkStart w:id="1480" w:name="_Toc38442310"/>
      <w:bookmarkStart w:id="1481" w:name="_Toc38442642"/>
      <w:bookmarkStart w:id="1482" w:name="_Toc38442973"/>
      <w:bookmarkStart w:id="1483" w:name="_Toc38443304"/>
      <w:bookmarkStart w:id="1484" w:name="_Toc38443635"/>
      <w:bookmarkStart w:id="1485" w:name="_Toc38443965"/>
      <w:bookmarkStart w:id="1486" w:name="_Toc38438433"/>
      <w:bookmarkStart w:id="1487" w:name="_Toc38438770"/>
      <w:bookmarkStart w:id="1488" w:name="_Toc38439107"/>
      <w:bookmarkStart w:id="1489" w:name="_Toc38439444"/>
      <w:bookmarkStart w:id="1490" w:name="_Toc38439781"/>
      <w:bookmarkStart w:id="1491" w:name="_Toc38440118"/>
      <w:bookmarkStart w:id="1492" w:name="_Toc38440455"/>
      <w:bookmarkStart w:id="1493" w:name="_Toc38440987"/>
      <w:bookmarkStart w:id="1494" w:name="_Toc38441319"/>
      <w:bookmarkStart w:id="1495" w:name="_Toc38441651"/>
      <w:bookmarkStart w:id="1496" w:name="_Toc38441979"/>
      <w:bookmarkStart w:id="1497" w:name="_Toc38442311"/>
      <w:bookmarkStart w:id="1498" w:name="_Toc38442643"/>
      <w:bookmarkStart w:id="1499" w:name="_Toc38442974"/>
      <w:bookmarkStart w:id="1500" w:name="_Toc38443305"/>
      <w:bookmarkStart w:id="1501" w:name="_Toc38443636"/>
      <w:bookmarkStart w:id="1502" w:name="_Toc38443966"/>
      <w:bookmarkStart w:id="1503" w:name="_Toc38438434"/>
      <w:bookmarkStart w:id="1504" w:name="_Toc38438771"/>
      <w:bookmarkStart w:id="1505" w:name="_Toc38439108"/>
      <w:bookmarkStart w:id="1506" w:name="_Toc38439445"/>
      <w:bookmarkStart w:id="1507" w:name="_Toc38439782"/>
      <w:bookmarkStart w:id="1508" w:name="_Toc38440119"/>
      <w:bookmarkStart w:id="1509" w:name="_Toc38440456"/>
      <w:bookmarkStart w:id="1510" w:name="_Toc38440988"/>
      <w:bookmarkStart w:id="1511" w:name="_Toc38441320"/>
      <w:bookmarkStart w:id="1512" w:name="_Toc38441652"/>
      <w:bookmarkStart w:id="1513" w:name="_Toc38441980"/>
      <w:bookmarkStart w:id="1514" w:name="_Toc38442312"/>
      <w:bookmarkStart w:id="1515" w:name="_Toc38442644"/>
      <w:bookmarkStart w:id="1516" w:name="_Toc38442975"/>
      <w:bookmarkStart w:id="1517" w:name="_Toc38443306"/>
      <w:bookmarkStart w:id="1518" w:name="_Toc38443637"/>
      <w:bookmarkStart w:id="1519" w:name="_Toc38443967"/>
      <w:bookmarkStart w:id="1520" w:name="_Toc38438435"/>
      <w:bookmarkStart w:id="1521" w:name="_Toc38438772"/>
      <w:bookmarkStart w:id="1522" w:name="_Toc38439109"/>
      <w:bookmarkStart w:id="1523" w:name="_Toc38439446"/>
      <w:bookmarkStart w:id="1524" w:name="_Toc38439783"/>
      <w:bookmarkStart w:id="1525" w:name="_Toc38440120"/>
      <w:bookmarkStart w:id="1526" w:name="_Toc38440457"/>
      <w:bookmarkStart w:id="1527" w:name="_Toc38440989"/>
      <w:bookmarkStart w:id="1528" w:name="_Toc38441321"/>
      <w:bookmarkStart w:id="1529" w:name="_Toc38441653"/>
      <w:bookmarkStart w:id="1530" w:name="_Toc38441981"/>
      <w:bookmarkStart w:id="1531" w:name="_Toc38442313"/>
      <w:bookmarkStart w:id="1532" w:name="_Toc38442645"/>
      <w:bookmarkStart w:id="1533" w:name="_Toc38442976"/>
      <w:bookmarkStart w:id="1534" w:name="_Toc38443307"/>
      <w:bookmarkStart w:id="1535" w:name="_Toc38443638"/>
      <w:bookmarkStart w:id="1536" w:name="_Toc38443968"/>
      <w:bookmarkStart w:id="1537" w:name="_Toc38438436"/>
      <w:bookmarkStart w:id="1538" w:name="_Toc38438773"/>
      <w:bookmarkStart w:id="1539" w:name="_Toc38439110"/>
      <w:bookmarkStart w:id="1540" w:name="_Toc38439447"/>
      <w:bookmarkStart w:id="1541" w:name="_Toc38439784"/>
      <w:bookmarkStart w:id="1542" w:name="_Toc38440121"/>
      <w:bookmarkStart w:id="1543" w:name="_Toc38440458"/>
      <w:bookmarkStart w:id="1544" w:name="_Toc38440990"/>
      <w:bookmarkStart w:id="1545" w:name="_Toc38441322"/>
      <w:bookmarkStart w:id="1546" w:name="_Toc38441654"/>
      <w:bookmarkStart w:id="1547" w:name="_Toc38441982"/>
      <w:bookmarkStart w:id="1548" w:name="_Toc38442314"/>
      <w:bookmarkStart w:id="1549" w:name="_Toc38442646"/>
      <w:bookmarkStart w:id="1550" w:name="_Toc38442977"/>
      <w:bookmarkStart w:id="1551" w:name="_Toc38443308"/>
      <w:bookmarkStart w:id="1552" w:name="_Toc38443639"/>
      <w:bookmarkStart w:id="1553" w:name="_Toc38443969"/>
      <w:bookmarkStart w:id="1554" w:name="_Toc38438437"/>
      <w:bookmarkStart w:id="1555" w:name="_Toc38438774"/>
      <w:bookmarkStart w:id="1556" w:name="_Toc38439111"/>
      <w:bookmarkStart w:id="1557" w:name="_Toc38439448"/>
      <w:bookmarkStart w:id="1558" w:name="_Toc38439785"/>
      <w:bookmarkStart w:id="1559" w:name="_Toc38440122"/>
      <w:bookmarkStart w:id="1560" w:name="_Toc38440459"/>
      <w:bookmarkStart w:id="1561" w:name="_Toc38440991"/>
      <w:bookmarkStart w:id="1562" w:name="_Toc38441323"/>
      <w:bookmarkStart w:id="1563" w:name="_Toc38441655"/>
      <w:bookmarkStart w:id="1564" w:name="_Toc38441983"/>
      <w:bookmarkStart w:id="1565" w:name="_Toc38442315"/>
      <w:bookmarkStart w:id="1566" w:name="_Toc38442647"/>
      <w:bookmarkStart w:id="1567" w:name="_Toc38442978"/>
      <w:bookmarkStart w:id="1568" w:name="_Toc38443309"/>
      <w:bookmarkStart w:id="1569" w:name="_Toc38443640"/>
      <w:bookmarkStart w:id="1570" w:name="_Toc38443970"/>
      <w:bookmarkStart w:id="1571" w:name="_Toc38438438"/>
      <w:bookmarkStart w:id="1572" w:name="_Toc38438775"/>
      <w:bookmarkStart w:id="1573" w:name="_Toc38439112"/>
      <w:bookmarkStart w:id="1574" w:name="_Toc38439449"/>
      <w:bookmarkStart w:id="1575" w:name="_Toc38439786"/>
      <w:bookmarkStart w:id="1576" w:name="_Toc38440123"/>
      <w:bookmarkStart w:id="1577" w:name="_Toc38440460"/>
      <w:bookmarkStart w:id="1578" w:name="_Toc38440992"/>
      <w:bookmarkStart w:id="1579" w:name="_Toc38441324"/>
      <w:bookmarkStart w:id="1580" w:name="_Toc38441656"/>
      <w:bookmarkStart w:id="1581" w:name="_Toc38441984"/>
      <w:bookmarkStart w:id="1582" w:name="_Toc38442316"/>
      <w:bookmarkStart w:id="1583" w:name="_Toc38442648"/>
      <w:bookmarkStart w:id="1584" w:name="_Toc38442979"/>
      <w:bookmarkStart w:id="1585" w:name="_Toc38443310"/>
      <w:bookmarkStart w:id="1586" w:name="_Toc38443641"/>
      <w:bookmarkStart w:id="1587" w:name="_Toc38443971"/>
      <w:bookmarkStart w:id="1588" w:name="_Toc38438439"/>
      <w:bookmarkStart w:id="1589" w:name="_Toc38438776"/>
      <w:bookmarkStart w:id="1590" w:name="_Toc38439113"/>
      <w:bookmarkStart w:id="1591" w:name="_Toc38439450"/>
      <w:bookmarkStart w:id="1592" w:name="_Toc38439787"/>
      <w:bookmarkStart w:id="1593" w:name="_Toc38440124"/>
      <w:bookmarkStart w:id="1594" w:name="_Toc38440461"/>
      <w:bookmarkStart w:id="1595" w:name="_Toc38440993"/>
      <w:bookmarkStart w:id="1596" w:name="_Toc38441325"/>
      <w:bookmarkStart w:id="1597" w:name="_Toc38441657"/>
      <w:bookmarkStart w:id="1598" w:name="_Toc38441985"/>
      <w:bookmarkStart w:id="1599" w:name="_Toc38442317"/>
      <w:bookmarkStart w:id="1600" w:name="_Toc38442649"/>
      <w:bookmarkStart w:id="1601" w:name="_Toc38442980"/>
      <w:bookmarkStart w:id="1602" w:name="_Toc38443311"/>
      <w:bookmarkStart w:id="1603" w:name="_Toc38443642"/>
      <w:bookmarkStart w:id="1604" w:name="_Toc38443972"/>
      <w:bookmarkStart w:id="1605" w:name="_Toc38438440"/>
      <w:bookmarkStart w:id="1606" w:name="_Toc38438777"/>
      <w:bookmarkStart w:id="1607" w:name="_Toc38439114"/>
      <w:bookmarkStart w:id="1608" w:name="_Toc38439451"/>
      <w:bookmarkStart w:id="1609" w:name="_Toc38439788"/>
      <w:bookmarkStart w:id="1610" w:name="_Toc38440125"/>
      <w:bookmarkStart w:id="1611" w:name="_Toc38440462"/>
      <w:bookmarkStart w:id="1612" w:name="_Toc38440994"/>
      <w:bookmarkStart w:id="1613" w:name="_Toc38441326"/>
      <w:bookmarkStart w:id="1614" w:name="_Toc38441658"/>
      <w:bookmarkStart w:id="1615" w:name="_Toc38441986"/>
      <w:bookmarkStart w:id="1616" w:name="_Toc38442318"/>
      <w:bookmarkStart w:id="1617" w:name="_Toc38442650"/>
      <w:bookmarkStart w:id="1618" w:name="_Toc38442981"/>
      <w:bookmarkStart w:id="1619" w:name="_Toc38443312"/>
      <w:bookmarkStart w:id="1620" w:name="_Toc38443643"/>
      <w:bookmarkStart w:id="1621" w:name="_Toc38443973"/>
      <w:bookmarkStart w:id="1622" w:name="_Toc38438441"/>
      <w:bookmarkStart w:id="1623" w:name="_Toc38438778"/>
      <w:bookmarkStart w:id="1624" w:name="_Toc38439115"/>
      <w:bookmarkStart w:id="1625" w:name="_Toc38439452"/>
      <w:bookmarkStart w:id="1626" w:name="_Toc38439789"/>
      <w:bookmarkStart w:id="1627" w:name="_Toc38440126"/>
      <w:bookmarkStart w:id="1628" w:name="_Toc38440463"/>
      <w:bookmarkStart w:id="1629" w:name="_Toc38440995"/>
      <w:bookmarkStart w:id="1630" w:name="_Toc38441327"/>
      <w:bookmarkStart w:id="1631" w:name="_Toc38441659"/>
      <w:bookmarkStart w:id="1632" w:name="_Toc38441987"/>
      <w:bookmarkStart w:id="1633" w:name="_Toc38442319"/>
      <w:bookmarkStart w:id="1634" w:name="_Toc38442651"/>
      <w:bookmarkStart w:id="1635" w:name="_Toc38442982"/>
      <w:bookmarkStart w:id="1636" w:name="_Toc38443313"/>
      <w:bookmarkStart w:id="1637" w:name="_Toc38443644"/>
      <w:bookmarkStart w:id="1638" w:name="_Toc38443974"/>
      <w:bookmarkStart w:id="1639" w:name="_Toc38438442"/>
      <w:bookmarkStart w:id="1640" w:name="_Toc38438779"/>
      <w:bookmarkStart w:id="1641" w:name="_Toc38439116"/>
      <w:bookmarkStart w:id="1642" w:name="_Toc38439453"/>
      <w:bookmarkStart w:id="1643" w:name="_Toc38439790"/>
      <w:bookmarkStart w:id="1644" w:name="_Toc38440127"/>
      <w:bookmarkStart w:id="1645" w:name="_Toc38440464"/>
      <w:bookmarkStart w:id="1646" w:name="_Toc38440996"/>
      <w:bookmarkStart w:id="1647" w:name="_Toc38441328"/>
      <w:bookmarkStart w:id="1648" w:name="_Toc38441660"/>
      <w:bookmarkStart w:id="1649" w:name="_Toc38441988"/>
      <w:bookmarkStart w:id="1650" w:name="_Toc38442320"/>
      <w:bookmarkStart w:id="1651" w:name="_Toc38442652"/>
      <w:bookmarkStart w:id="1652" w:name="_Toc38442983"/>
      <w:bookmarkStart w:id="1653" w:name="_Toc38443314"/>
      <w:bookmarkStart w:id="1654" w:name="_Toc38443645"/>
      <w:bookmarkStart w:id="1655" w:name="_Toc38443975"/>
      <w:bookmarkStart w:id="1656" w:name="_Toc38438443"/>
      <w:bookmarkStart w:id="1657" w:name="_Toc38438780"/>
      <w:bookmarkStart w:id="1658" w:name="_Toc38439117"/>
      <w:bookmarkStart w:id="1659" w:name="_Toc38439454"/>
      <w:bookmarkStart w:id="1660" w:name="_Toc38439791"/>
      <w:bookmarkStart w:id="1661" w:name="_Toc38440128"/>
      <w:bookmarkStart w:id="1662" w:name="_Toc38440465"/>
      <w:bookmarkStart w:id="1663" w:name="_Toc38440997"/>
      <w:bookmarkStart w:id="1664" w:name="_Toc38441329"/>
      <w:bookmarkStart w:id="1665" w:name="_Toc38441661"/>
      <w:bookmarkStart w:id="1666" w:name="_Toc38441989"/>
      <w:bookmarkStart w:id="1667" w:name="_Toc38442321"/>
      <w:bookmarkStart w:id="1668" w:name="_Toc38442653"/>
      <w:bookmarkStart w:id="1669" w:name="_Toc38442984"/>
      <w:bookmarkStart w:id="1670" w:name="_Toc38443315"/>
      <w:bookmarkStart w:id="1671" w:name="_Toc38443646"/>
      <w:bookmarkStart w:id="1672" w:name="_Toc38443976"/>
      <w:bookmarkStart w:id="1673" w:name="_Toc38438444"/>
      <w:bookmarkStart w:id="1674" w:name="_Toc38438781"/>
      <w:bookmarkStart w:id="1675" w:name="_Toc38439118"/>
      <w:bookmarkStart w:id="1676" w:name="_Toc38439455"/>
      <w:bookmarkStart w:id="1677" w:name="_Toc38439792"/>
      <w:bookmarkStart w:id="1678" w:name="_Toc38440129"/>
      <w:bookmarkStart w:id="1679" w:name="_Toc38440466"/>
      <w:bookmarkStart w:id="1680" w:name="_Toc38440998"/>
      <w:bookmarkStart w:id="1681" w:name="_Toc38441330"/>
      <w:bookmarkStart w:id="1682" w:name="_Toc38441662"/>
      <w:bookmarkStart w:id="1683" w:name="_Toc38441990"/>
      <w:bookmarkStart w:id="1684" w:name="_Toc38442322"/>
      <w:bookmarkStart w:id="1685" w:name="_Toc38442654"/>
      <w:bookmarkStart w:id="1686" w:name="_Toc38442985"/>
      <w:bookmarkStart w:id="1687" w:name="_Toc38443316"/>
      <w:bookmarkStart w:id="1688" w:name="_Toc38443647"/>
      <w:bookmarkStart w:id="1689" w:name="_Toc38443977"/>
      <w:bookmarkStart w:id="1690" w:name="_Toc38438445"/>
      <w:bookmarkStart w:id="1691" w:name="_Toc38438782"/>
      <w:bookmarkStart w:id="1692" w:name="_Toc38439119"/>
      <w:bookmarkStart w:id="1693" w:name="_Toc38439456"/>
      <w:bookmarkStart w:id="1694" w:name="_Toc38439793"/>
      <w:bookmarkStart w:id="1695" w:name="_Toc38440130"/>
      <w:bookmarkStart w:id="1696" w:name="_Toc38440467"/>
      <w:bookmarkStart w:id="1697" w:name="_Toc38440999"/>
      <w:bookmarkStart w:id="1698" w:name="_Toc38441331"/>
      <w:bookmarkStart w:id="1699" w:name="_Toc38441663"/>
      <w:bookmarkStart w:id="1700" w:name="_Toc38441991"/>
      <w:bookmarkStart w:id="1701" w:name="_Toc38442323"/>
      <w:bookmarkStart w:id="1702" w:name="_Toc38442655"/>
      <w:bookmarkStart w:id="1703" w:name="_Toc38442986"/>
      <w:bookmarkStart w:id="1704" w:name="_Toc38443317"/>
      <w:bookmarkStart w:id="1705" w:name="_Toc38443648"/>
      <w:bookmarkStart w:id="1706" w:name="_Toc38443978"/>
      <w:bookmarkStart w:id="1707" w:name="_Toc38438446"/>
      <w:bookmarkStart w:id="1708" w:name="_Toc38438783"/>
      <w:bookmarkStart w:id="1709" w:name="_Toc38439120"/>
      <w:bookmarkStart w:id="1710" w:name="_Toc38439457"/>
      <w:bookmarkStart w:id="1711" w:name="_Toc38439794"/>
      <w:bookmarkStart w:id="1712" w:name="_Toc38440131"/>
      <w:bookmarkStart w:id="1713" w:name="_Toc38440468"/>
      <w:bookmarkStart w:id="1714" w:name="_Toc38441000"/>
      <w:bookmarkStart w:id="1715" w:name="_Toc38441332"/>
      <w:bookmarkStart w:id="1716" w:name="_Toc38441664"/>
      <w:bookmarkStart w:id="1717" w:name="_Toc38441992"/>
      <w:bookmarkStart w:id="1718" w:name="_Toc38442324"/>
      <w:bookmarkStart w:id="1719" w:name="_Toc38442656"/>
      <w:bookmarkStart w:id="1720" w:name="_Toc38442987"/>
      <w:bookmarkStart w:id="1721" w:name="_Toc38443318"/>
      <w:bookmarkStart w:id="1722" w:name="_Toc38443649"/>
      <w:bookmarkStart w:id="1723" w:name="_Toc38443979"/>
      <w:bookmarkStart w:id="1724" w:name="_Toc38438447"/>
      <w:bookmarkStart w:id="1725" w:name="_Toc38438784"/>
      <w:bookmarkStart w:id="1726" w:name="_Toc38439121"/>
      <w:bookmarkStart w:id="1727" w:name="_Toc38439458"/>
      <w:bookmarkStart w:id="1728" w:name="_Toc38439795"/>
      <w:bookmarkStart w:id="1729" w:name="_Toc38440132"/>
      <w:bookmarkStart w:id="1730" w:name="_Toc38440469"/>
      <w:bookmarkStart w:id="1731" w:name="_Toc38441001"/>
      <w:bookmarkStart w:id="1732" w:name="_Toc38441333"/>
      <w:bookmarkStart w:id="1733" w:name="_Toc38441665"/>
      <w:bookmarkStart w:id="1734" w:name="_Toc38441993"/>
      <w:bookmarkStart w:id="1735" w:name="_Toc38442325"/>
      <w:bookmarkStart w:id="1736" w:name="_Toc38442657"/>
      <w:bookmarkStart w:id="1737" w:name="_Toc38442988"/>
      <w:bookmarkStart w:id="1738" w:name="_Toc38443319"/>
      <w:bookmarkStart w:id="1739" w:name="_Toc38443650"/>
      <w:bookmarkStart w:id="1740" w:name="_Toc38443980"/>
      <w:bookmarkStart w:id="1741" w:name="_Toc38438448"/>
      <w:bookmarkStart w:id="1742" w:name="_Toc38438785"/>
      <w:bookmarkStart w:id="1743" w:name="_Toc38439122"/>
      <w:bookmarkStart w:id="1744" w:name="_Toc38439459"/>
      <w:bookmarkStart w:id="1745" w:name="_Toc38439796"/>
      <w:bookmarkStart w:id="1746" w:name="_Toc38440133"/>
      <w:bookmarkStart w:id="1747" w:name="_Toc38440470"/>
      <w:bookmarkStart w:id="1748" w:name="_Toc38441002"/>
      <w:bookmarkStart w:id="1749" w:name="_Toc38441334"/>
      <w:bookmarkStart w:id="1750" w:name="_Toc38441666"/>
      <w:bookmarkStart w:id="1751" w:name="_Toc38441994"/>
      <w:bookmarkStart w:id="1752" w:name="_Toc38442326"/>
      <w:bookmarkStart w:id="1753" w:name="_Toc38442658"/>
      <w:bookmarkStart w:id="1754" w:name="_Toc38442989"/>
      <w:bookmarkStart w:id="1755" w:name="_Toc38443320"/>
      <w:bookmarkStart w:id="1756" w:name="_Toc38443651"/>
      <w:bookmarkStart w:id="1757" w:name="_Toc38443981"/>
      <w:bookmarkStart w:id="1758" w:name="_Toc38438449"/>
      <w:bookmarkStart w:id="1759" w:name="_Toc38438786"/>
      <w:bookmarkStart w:id="1760" w:name="_Toc38439123"/>
      <w:bookmarkStart w:id="1761" w:name="_Toc38439460"/>
      <w:bookmarkStart w:id="1762" w:name="_Toc38439797"/>
      <w:bookmarkStart w:id="1763" w:name="_Toc38440134"/>
      <w:bookmarkStart w:id="1764" w:name="_Toc38440471"/>
      <w:bookmarkStart w:id="1765" w:name="_Toc38441003"/>
      <w:bookmarkStart w:id="1766" w:name="_Toc38441335"/>
      <w:bookmarkStart w:id="1767" w:name="_Toc38441667"/>
      <w:bookmarkStart w:id="1768" w:name="_Toc38441995"/>
      <w:bookmarkStart w:id="1769" w:name="_Toc38442327"/>
      <w:bookmarkStart w:id="1770" w:name="_Toc38442659"/>
      <w:bookmarkStart w:id="1771" w:name="_Toc38442990"/>
      <w:bookmarkStart w:id="1772" w:name="_Toc38443321"/>
      <w:bookmarkStart w:id="1773" w:name="_Toc38443652"/>
      <w:bookmarkStart w:id="1774" w:name="_Toc38443982"/>
      <w:bookmarkStart w:id="1775" w:name="_Toc38438450"/>
      <w:bookmarkStart w:id="1776" w:name="_Toc38438787"/>
      <w:bookmarkStart w:id="1777" w:name="_Toc38439124"/>
      <w:bookmarkStart w:id="1778" w:name="_Toc38439461"/>
      <w:bookmarkStart w:id="1779" w:name="_Toc38439798"/>
      <w:bookmarkStart w:id="1780" w:name="_Toc38440135"/>
      <w:bookmarkStart w:id="1781" w:name="_Toc38440472"/>
      <w:bookmarkStart w:id="1782" w:name="_Toc38441004"/>
      <w:bookmarkStart w:id="1783" w:name="_Toc38441336"/>
      <w:bookmarkStart w:id="1784" w:name="_Toc38441668"/>
      <w:bookmarkStart w:id="1785" w:name="_Toc38441996"/>
      <w:bookmarkStart w:id="1786" w:name="_Toc38442328"/>
      <w:bookmarkStart w:id="1787" w:name="_Toc38442660"/>
      <w:bookmarkStart w:id="1788" w:name="_Toc38442991"/>
      <w:bookmarkStart w:id="1789" w:name="_Toc38443322"/>
      <w:bookmarkStart w:id="1790" w:name="_Toc38443653"/>
      <w:bookmarkStart w:id="1791" w:name="_Toc38443983"/>
      <w:bookmarkStart w:id="1792" w:name="_Toc38438451"/>
      <w:bookmarkStart w:id="1793" w:name="_Toc38438788"/>
      <w:bookmarkStart w:id="1794" w:name="_Toc38439125"/>
      <w:bookmarkStart w:id="1795" w:name="_Toc38439462"/>
      <w:bookmarkStart w:id="1796" w:name="_Toc38439799"/>
      <w:bookmarkStart w:id="1797" w:name="_Toc38440136"/>
      <w:bookmarkStart w:id="1798" w:name="_Toc38440473"/>
      <w:bookmarkStart w:id="1799" w:name="_Toc38441005"/>
      <w:bookmarkStart w:id="1800" w:name="_Toc38441337"/>
      <w:bookmarkStart w:id="1801" w:name="_Toc38441669"/>
      <w:bookmarkStart w:id="1802" w:name="_Toc38441997"/>
      <w:bookmarkStart w:id="1803" w:name="_Toc38442329"/>
      <w:bookmarkStart w:id="1804" w:name="_Toc38442661"/>
      <w:bookmarkStart w:id="1805" w:name="_Toc38442992"/>
      <w:bookmarkStart w:id="1806" w:name="_Toc38443323"/>
      <w:bookmarkStart w:id="1807" w:name="_Toc38443654"/>
      <w:bookmarkStart w:id="1808" w:name="_Toc38443984"/>
      <w:bookmarkStart w:id="1809" w:name="_Toc38438452"/>
      <w:bookmarkStart w:id="1810" w:name="_Toc38438789"/>
      <w:bookmarkStart w:id="1811" w:name="_Toc38439126"/>
      <w:bookmarkStart w:id="1812" w:name="_Toc38439463"/>
      <w:bookmarkStart w:id="1813" w:name="_Toc38439800"/>
      <w:bookmarkStart w:id="1814" w:name="_Toc38440137"/>
      <w:bookmarkStart w:id="1815" w:name="_Toc38440474"/>
      <w:bookmarkStart w:id="1816" w:name="_Toc38441006"/>
      <w:bookmarkStart w:id="1817" w:name="_Toc38441338"/>
      <w:bookmarkStart w:id="1818" w:name="_Toc38441670"/>
      <w:bookmarkStart w:id="1819" w:name="_Toc38441998"/>
      <w:bookmarkStart w:id="1820" w:name="_Toc38442330"/>
      <w:bookmarkStart w:id="1821" w:name="_Toc38442662"/>
      <w:bookmarkStart w:id="1822" w:name="_Toc38442993"/>
      <w:bookmarkStart w:id="1823" w:name="_Toc38443324"/>
      <w:bookmarkStart w:id="1824" w:name="_Toc38443655"/>
      <w:bookmarkStart w:id="1825" w:name="_Toc38443985"/>
      <w:bookmarkStart w:id="1826" w:name="_Toc38438453"/>
      <w:bookmarkStart w:id="1827" w:name="_Toc38438790"/>
      <w:bookmarkStart w:id="1828" w:name="_Toc38439127"/>
      <w:bookmarkStart w:id="1829" w:name="_Toc38439464"/>
      <w:bookmarkStart w:id="1830" w:name="_Toc38439801"/>
      <w:bookmarkStart w:id="1831" w:name="_Toc38440138"/>
      <w:bookmarkStart w:id="1832" w:name="_Toc38440475"/>
      <w:bookmarkStart w:id="1833" w:name="_Toc38441007"/>
      <w:bookmarkStart w:id="1834" w:name="_Toc38441339"/>
      <w:bookmarkStart w:id="1835" w:name="_Toc38441671"/>
      <w:bookmarkStart w:id="1836" w:name="_Toc38441999"/>
      <w:bookmarkStart w:id="1837" w:name="_Toc38442331"/>
      <w:bookmarkStart w:id="1838" w:name="_Toc38442663"/>
      <w:bookmarkStart w:id="1839" w:name="_Toc38442994"/>
      <w:bookmarkStart w:id="1840" w:name="_Toc38443325"/>
      <w:bookmarkStart w:id="1841" w:name="_Toc38443656"/>
      <w:bookmarkStart w:id="1842" w:name="_Toc38443986"/>
      <w:bookmarkStart w:id="1843" w:name="_Toc38438454"/>
      <w:bookmarkStart w:id="1844" w:name="_Toc38438791"/>
      <w:bookmarkStart w:id="1845" w:name="_Toc38439128"/>
      <w:bookmarkStart w:id="1846" w:name="_Toc38439465"/>
      <w:bookmarkStart w:id="1847" w:name="_Toc38439802"/>
      <w:bookmarkStart w:id="1848" w:name="_Toc38440139"/>
      <w:bookmarkStart w:id="1849" w:name="_Toc38440476"/>
      <w:bookmarkStart w:id="1850" w:name="_Toc38441008"/>
      <w:bookmarkStart w:id="1851" w:name="_Toc38441340"/>
      <w:bookmarkStart w:id="1852" w:name="_Toc38441672"/>
      <w:bookmarkStart w:id="1853" w:name="_Toc38442000"/>
      <w:bookmarkStart w:id="1854" w:name="_Toc38442332"/>
      <w:bookmarkStart w:id="1855" w:name="_Toc38442664"/>
      <w:bookmarkStart w:id="1856" w:name="_Toc38442995"/>
      <w:bookmarkStart w:id="1857" w:name="_Toc38443326"/>
      <w:bookmarkStart w:id="1858" w:name="_Toc38443657"/>
      <w:bookmarkStart w:id="1859" w:name="_Toc38443987"/>
      <w:bookmarkStart w:id="1860" w:name="_Toc38438455"/>
      <w:bookmarkStart w:id="1861" w:name="_Toc38438792"/>
      <w:bookmarkStart w:id="1862" w:name="_Toc38439129"/>
      <w:bookmarkStart w:id="1863" w:name="_Toc38439466"/>
      <w:bookmarkStart w:id="1864" w:name="_Toc38439803"/>
      <w:bookmarkStart w:id="1865" w:name="_Toc38440140"/>
      <w:bookmarkStart w:id="1866" w:name="_Toc38440477"/>
      <w:bookmarkStart w:id="1867" w:name="_Toc38441009"/>
      <w:bookmarkStart w:id="1868" w:name="_Toc38441341"/>
      <w:bookmarkStart w:id="1869" w:name="_Toc38441673"/>
      <w:bookmarkStart w:id="1870" w:name="_Toc38442001"/>
      <w:bookmarkStart w:id="1871" w:name="_Toc38442333"/>
      <w:bookmarkStart w:id="1872" w:name="_Toc38442665"/>
      <w:bookmarkStart w:id="1873" w:name="_Toc38442996"/>
      <w:bookmarkStart w:id="1874" w:name="_Toc38443327"/>
      <w:bookmarkStart w:id="1875" w:name="_Toc38443658"/>
      <w:bookmarkStart w:id="1876" w:name="_Toc38443988"/>
      <w:bookmarkStart w:id="1877" w:name="_Toc38438456"/>
      <w:bookmarkStart w:id="1878" w:name="_Toc38438793"/>
      <w:bookmarkStart w:id="1879" w:name="_Toc38439130"/>
      <w:bookmarkStart w:id="1880" w:name="_Toc38439467"/>
      <w:bookmarkStart w:id="1881" w:name="_Toc38439804"/>
      <w:bookmarkStart w:id="1882" w:name="_Toc38440141"/>
      <w:bookmarkStart w:id="1883" w:name="_Toc38440478"/>
      <w:bookmarkStart w:id="1884" w:name="_Toc38441010"/>
      <w:bookmarkStart w:id="1885" w:name="_Toc38441342"/>
      <w:bookmarkStart w:id="1886" w:name="_Toc38441674"/>
      <w:bookmarkStart w:id="1887" w:name="_Toc38442002"/>
      <w:bookmarkStart w:id="1888" w:name="_Toc38442334"/>
      <w:bookmarkStart w:id="1889" w:name="_Toc38442666"/>
      <w:bookmarkStart w:id="1890" w:name="_Toc38442997"/>
      <w:bookmarkStart w:id="1891" w:name="_Toc38443328"/>
      <w:bookmarkStart w:id="1892" w:name="_Toc38443659"/>
      <w:bookmarkStart w:id="1893" w:name="_Toc38443989"/>
      <w:bookmarkStart w:id="1894" w:name="_Toc38438457"/>
      <w:bookmarkStart w:id="1895" w:name="_Toc38438794"/>
      <w:bookmarkStart w:id="1896" w:name="_Toc38439131"/>
      <w:bookmarkStart w:id="1897" w:name="_Toc38439468"/>
      <w:bookmarkStart w:id="1898" w:name="_Toc38439805"/>
      <w:bookmarkStart w:id="1899" w:name="_Toc38440142"/>
      <w:bookmarkStart w:id="1900" w:name="_Toc38440479"/>
      <w:bookmarkStart w:id="1901" w:name="_Toc38441011"/>
      <w:bookmarkStart w:id="1902" w:name="_Toc38441343"/>
      <w:bookmarkStart w:id="1903" w:name="_Toc38441675"/>
      <w:bookmarkStart w:id="1904" w:name="_Toc38442003"/>
      <w:bookmarkStart w:id="1905" w:name="_Toc38442335"/>
      <w:bookmarkStart w:id="1906" w:name="_Toc38442667"/>
      <w:bookmarkStart w:id="1907" w:name="_Toc38442998"/>
      <w:bookmarkStart w:id="1908" w:name="_Toc38443329"/>
      <w:bookmarkStart w:id="1909" w:name="_Toc38443660"/>
      <w:bookmarkStart w:id="1910" w:name="_Toc38443990"/>
      <w:bookmarkStart w:id="1911" w:name="_Toc38438458"/>
      <w:bookmarkStart w:id="1912" w:name="_Toc38438795"/>
      <w:bookmarkStart w:id="1913" w:name="_Toc38439132"/>
      <w:bookmarkStart w:id="1914" w:name="_Toc38439469"/>
      <w:bookmarkStart w:id="1915" w:name="_Toc38439806"/>
      <w:bookmarkStart w:id="1916" w:name="_Toc38440143"/>
      <w:bookmarkStart w:id="1917" w:name="_Toc38440480"/>
      <w:bookmarkStart w:id="1918" w:name="_Toc38441012"/>
      <w:bookmarkStart w:id="1919" w:name="_Toc38441344"/>
      <w:bookmarkStart w:id="1920" w:name="_Toc38441676"/>
      <w:bookmarkStart w:id="1921" w:name="_Toc38442004"/>
      <w:bookmarkStart w:id="1922" w:name="_Toc38442336"/>
      <w:bookmarkStart w:id="1923" w:name="_Toc38442668"/>
      <w:bookmarkStart w:id="1924" w:name="_Toc38442999"/>
      <w:bookmarkStart w:id="1925" w:name="_Toc38443330"/>
      <w:bookmarkStart w:id="1926" w:name="_Toc38443661"/>
      <w:bookmarkStart w:id="1927" w:name="_Toc3844399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rsidR="00227FB4" w:rsidRPr="00F70FB9">
      <w:pPr>
        <w:rPr>
          <w:rFonts w:asciiTheme="minorEastAsia" w:eastAsiaTheme="minorEastAsia" w:hAnsiTheme="minorEastAsia"/>
          <w:color w:val="000000" w:themeColor="text1"/>
        </w:rPr>
      </w:pPr>
    </w:p>
    <w:p w:rsidR="00227FB4" w:rsidRPr="00F70FB9" w:rsidP="007025AF">
      <w:pPr>
        <w:adjustRightInd w:val="0"/>
        <w:snapToGrid w:val="0"/>
        <w:spacing w:line="360" w:lineRule="auto"/>
        <w:jc w:val="right"/>
        <w:rPr>
          <w:rFonts w:asciiTheme="minorEastAsia" w:eastAsiaTheme="minorEastAsia" w:hAnsiTheme="minorEastAsia"/>
          <w:color w:val="000000" w:themeColor="text1"/>
        </w:rPr>
      </w:pPr>
      <w:r w:rsidRPr="00F70FB9">
        <w:rPr>
          <w:rFonts w:asciiTheme="minorEastAsia" w:eastAsiaTheme="minorEastAsia" w:hAnsiTheme="minorEastAsia" w:hint="eastAsia"/>
          <w:color w:val="000000" w:themeColor="text1"/>
        </w:rPr>
        <w:t>易方达基金管理有限公司</w:t>
      </w:r>
    </w:p>
    <w:p w:rsidR="00BA4B87" w:rsidRPr="00F70FB9" w:rsidP="001D2FA9">
      <w:pPr>
        <w:ind w:right="210"/>
        <w:jc w:val="right"/>
        <w:rPr>
          <w:rFonts w:asciiTheme="minorEastAsia" w:eastAsiaTheme="minorEastAsia" w:hAnsiTheme="minorEastAsia"/>
          <w:color w:val="000000" w:themeColor="text1"/>
        </w:rPr>
      </w:pPr>
      <w:r w:rsidRPr="00F70FB9">
        <w:rPr>
          <w:rFonts w:asciiTheme="minorEastAsia" w:eastAsiaTheme="minorEastAsia" w:hAnsiTheme="minorEastAsia"/>
          <w:color w:val="000000" w:themeColor="text1"/>
        </w:rPr>
        <w:t>202</w:t>
      </w:r>
      <w:r w:rsidRPr="00F70FB9" w:rsidR="007D1552">
        <w:rPr>
          <w:rFonts w:asciiTheme="minorEastAsia" w:eastAsiaTheme="minorEastAsia" w:hAnsiTheme="minorEastAsia"/>
          <w:color w:val="000000" w:themeColor="text1"/>
        </w:rPr>
        <w:t>2</w:t>
      </w:r>
      <w:r w:rsidRPr="00F70FB9">
        <w:rPr>
          <w:rFonts w:asciiTheme="minorEastAsia" w:eastAsiaTheme="minorEastAsia" w:hAnsiTheme="minorEastAsia"/>
          <w:color w:val="000000" w:themeColor="text1"/>
        </w:rPr>
        <w:t>年</w:t>
      </w:r>
      <w:r w:rsidRPr="00F70FB9" w:rsidR="007D1552">
        <w:rPr>
          <w:rFonts w:asciiTheme="minorEastAsia" w:eastAsiaTheme="minorEastAsia" w:hAnsiTheme="minorEastAsia"/>
          <w:color w:val="000000" w:themeColor="text1"/>
        </w:rPr>
        <w:t>5</w:t>
      </w:r>
      <w:r w:rsidRPr="00F70FB9">
        <w:rPr>
          <w:rFonts w:asciiTheme="minorEastAsia" w:eastAsiaTheme="minorEastAsia" w:hAnsiTheme="minorEastAsia"/>
          <w:color w:val="000000" w:themeColor="text1"/>
        </w:rPr>
        <w:t>月</w:t>
      </w:r>
      <w:r w:rsidRPr="00F70FB9" w:rsidR="007D1552">
        <w:rPr>
          <w:rFonts w:asciiTheme="minorEastAsia" w:eastAsiaTheme="minorEastAsia" w:hAnsiTheme="minorEastAsia"/>
          <w:color w:val="000000" w:themeColor="text1"/>
        </w:rPr>
        <w:t>10</w:t>
      </w:r>
      <w:r w:rsidRPr="00F70FB9">
        <w:rPr>
          <w:rFonts w:asciiTheme="minorEastAsia" w:eastAsiaTheme="minorEastAsia" w:hAnsiTheme="minorEastAsia"/>
          <w:color w:val="000000" w:themeColor="text1"/>
        </w:rPr>
        <w:t>日</w:t>
      </w:r>
    </w:p>
    <w:sectPr w:rsidSect="00D01390">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rsidRPr="004F2A7F" w:rsidP="004F2A7F">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rsidP="00AE70B8">
    <w:pPr>
      <w:pStyle w:val="Footer"/>
      <w:ind w:firstLine="360"/>
      <w:jc w:val="center"/>
    </w:pPr>
    <w:r>
      <w:fldChar w:fldCharType="begin"/>
    </w:r>
    <w:r>
      <w:instrText xml:space="preserve"> PAGE   \* MERGEFORMAT </w:instrText>
    </w:r>
    <w:r>
      <w:fldChar w:fldCharType="separate"/>
    </w:r>
    <w:r w:rsidRPr="00F70FB9" w:rsidR="00F70FB9">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rsidP="00AE70B8">
    <w:pPr>
      <w:pStyle w:val="Footer"/>
      <w:ind w:firstLine="360"/>
      <w:jc w:val="center"/>
    </w:pPr>
    <w:r>
      <w:fldChar w:fldCharType="begin"/>
    </w:r>
    <w:r>
      <w:instrText xml:space="preserve"> PAGE   \* MERGEFORMAT </w:instrText>
    </w:r>
    <w:r>
      <w:fldChar w:fldCharType="separate"/>
    </w:r>
    <w:r w:rsidRPr="00F70FB9" w:rsidR="00F70FB9">
      <w:rPr>
        <w:noProof/>
        <w:lang w:val="zh-CN"/>
      </w:rPr>
      <w:t>129</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rsidRPr="004F2A7F" w:rsidP="004F2A7F">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89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829"/>
    <w:rsid w:val="000008BD"/>
    <w:rsid w:val="000009F5"/>
    <w:rsid w:val="00000C38"/>
    <w:rsid w:val="00002696"/>
    <w:rsid w:val="00002865"/>
    <w:rsid w:val="00003C24"/>
    <w:rsid w:val="00005763"/>
    <w:rsid w:val="000059BE"/>
    <w:rsid w:val="000064C6"/>
    <w:rsid w:val="00006C96"/>
    <w:rsid w:val="00007B1E"/>
    <w:rsid w:val="00010950"/>
    <w:rsid w:val="00010BE3"/>
    <w:rsid w:val="000123D9"/>
    <w:rsid w:val="0001251F"/>
    <w:rsid w:val="0001419E"/>
    <w:rsid w:val="000147AA"/>
    <w:rsid w:val="0001716B"/>
    <w:rsid w:val="000174AA"/>
    <w:rsid w:val="00017DB2"/>
    <w:rsid w:val="00020907"/>
    <w:rsid w:val="00021D40"/>
    <w:rsid w:val="00022523"/>
    <w:rsid w:val="00022AE1"/>
    <w:rsid w:val="00023038"/>
    <w:rsid w:val="00023DB0"/>
    <w:rsid w:val="00025C20"/>
    <w:rsid w:val="00025D8B"/>
    <w:rsid w:val="00026099"/>
    <w:rsid w:val="00026705"/>
    <w:rsid w:val="00027992"/>
    <w:rsid w:val="00027D3C"/>
    <w:rsid w:val="00030AA1"/>
    <w:rsid w:val="00030CBD"/>
    <w:rsid w:val="00030EFE"/>
    <w:rsid w:val="00031D27"/>
    <w:rsid w:val="000335F6"/>
    <w:rsid w:val="0003437E"/>
    <w:rsid w:val="00036C46"/>
    <w:rsid w:val="000375DA"/>
    <w:rsid w:val="00037A8D"/>
    <w:rsid w:val="00040946"/>
    <w:rsid w:val="00040A65"/>
    <w:rsid w:val="000423DC"/>
    <w:rsid w:val="00042703"/>
    <w:rsid w:val="00042C9F"/>
    <w:rsid w:val="000432F2"/>
    <w:rsid w:val="00043C5D"/>
    <w:rsid w:val="000467C2"/>
    <w:rsid w:val="00046A2F"/>
    <w:rsid w:val="00046AE8"/>
    <w:rsid w:val="00046D6E"/>
    <w:rsid w:val="00047342"/>
    <w:rsid w:val="00047CE2"/>
    <w:rsid w:val="00050862"/>
    <w:rsid w:val="000512C9"/>
    <w:rsid w:val="00052320"/>
    <w:rsid w:val="00052C9F"/>
    <w:rsid w:val="00053030"/>
    <w:rsid w:val="0005308D"/>
    <w:rsid w:val="00053407"/>
    <w:rsid w:val="00053DBD"/>
    <w:rsid w:val="00053E4C"/>
    <w:rsid w:val="0005478E"/>
    <w:rsid w:val="00055032"/>
    <w:rsid w:val="000553C5"/>
    <w:rsid w:val="0005646C"/>
    <w:rsid w:val="000579E2"/>
    <w:rsid w:val="000602D3"/>
    <w:rsid w:val="000603E7"/>
    <w:rsid w:val="00060771"/>
    <w:rsid w:val="000608C0"/>
    <w:rsid w:val="00061796"/>
    <w:rsid w:val="00061A4B"/>
    <w:rsid w:val="00062004"/>
    <w:rsid w:val="0006260C"/>
    <w:rsid w:val="00062629"/>
    <w:rsid w:val="00063C87"/>
    <w:rsid w:val="0006533D"/>
    <w:rsid w:val="000658E9"/>
    <w:rsid w:val="0006600C"/>
    <w:rsid w:val="00066D91"/>
    <w:rsid w:val="00067AF5"/>
    <w:rsid w:val="00067E66"/>
    <w:rsid w:val="00070309"/>
    <w:rsid w:val="00072AC3"/>
    <w:rsid w:val="000743BB"/>
    <w:rsid w:val="0007451B"/>
    <w:rsid w:val="00074EE6"/>
    <w:rsid w:val="00074F0F"/>
    <w:rsid w:val="00074F86"/>
    <w:rsid w:val="000751D7"/>
    <w:rsid w:val="000754B6"/>
    <w:rsid w:val="00076E39"/>
    <w:rsid w:val="00077BD0"/>
    <w:rsid w:val="000800C4"/>
    <w:rsid w:val="00080A07"/>
    <w:rsid w:val="00080A4A"/>
    <w:rsid w:val="00082177"/>
    <w:rsid w:val="00082D38"/>
    <w:rsid w:val="0008426E"/>
    <w:rsid w:val="00084A0F"/>
    <w:rsid w:val="00085404"/>
    <w:rsid w:val="00085634"/>
    <w:rsid w:val="00085F23"/>
    <w:rsid w:val="000878D9"/>
    <w:rsid w:val="00087C08"/>
    <w:rsid w:val="000900B4"/>
    <w:rsid w:val="00090469"/>
    <w:rsid w:val="00090A33"/>
    <w:rsid w:val="00090BF0"/>
    <w:rsid w:val="000910D0"/>
    <w:rsid w:val="00093518"/>
    <w:rsid w:val="0009363C"/>
    <w:rsid w:val="00095641"/>
    <w:rsid w:val="0009673C"/>
    <w:rsid w:val="000A1967"/>
    <w:rsid w:val="000A20AD"/>
    <w:rsid w:val="000A26DC"/>
    <w:rsid w:val="000A34E2"/>
    <w:rsid w:val="000A3E18"/>
    <w:rsid w:val="000A429D"/>
    <w:rsid w:val="000A4424"/>
    <w:rsid w:val="000A53A4"/>
    <w:rsid w:val="000A55CC"/>
    <w:rsid w:val="000A579A"/>
    <w:rsid w:val="000A63A1"/>
    <w:rsid w:val="000A6C68"/>
    <w:rsid w:val="000A776D"/>
    <w:rsid w:val="000A7C2A"/>
    <w:rsid w:val="000B0B17"/>
    <w:rsid w:val="000B1599"/>
    <w:rsid w:val="000B2C3B"/>
    <w:rsid w:val="000B2DD6"/>
    <w:rsid w:val="000B46DC"/>
    <w:rsid w:val="000B5344"/>
    <w:rsid w:val="000B65DD"/>
    <w:rsid w:val="000B7017"/>
    <w:rsid w:val="000C2D98"/>
    <w:rsid w:val="000C32FA"/>
    <w:rsid w:val="000C3945"/>
    <w:rsid w:val="000C5050"/>
    <w:rsid w:val="000C7B46"/>
    <w:rsid w:val="000D1888"/>
    <w:rsid w:val="000D3ABD"/>
    <w:rsid w:val="000D3ADE"/>
    <w:rsid w:val="000D3DAB"/>
    <w:rsid w:val="000D4DF8"/>
    <w:rsid w:val="000D5C0C"/>
    <w:rsid w:val="000D6139"/>
    <w:rsid w:val="000D743D"/>
    <w:rsid w:val="000E06C8"/>
    <w:rsid w:val="000E086F"/>
    <w:rsid w:val="000E1148"/>
    <w:rsid w:val="000E1757"/>
    <w:rsid w:val="000E197D"/>
    <w:rsid w:val="000E2BA4"/>
    <w:rsid w:val="000E2F9E"/>
    <w:rsid w:val="000E39F0"/>
    <w:rsid w:val="000E4694"/>
    <w:rsid w:val="000E46D7"/>
    <w:rsid w:val="000E6D1C"/>
    <w:rsid w:val="000E7228"/>
    <w:rsid w:val="000E7413"/>
    <w:rsid w:val="000E77BB"/>
    <w:rsid w:val="000E7F0B"/>
    <w:rsid w:val="000F1803"/>
    <w:rsid w:val="000F217C"/>
    <w:rsid w:val="000F26B5"/>
    <w:rsid w:val="000F2807"/>
    <w:rsid w:val="000F38AB"/>
    <w:rsid w:val="000F3DCD"/>
    <w:rsid w:val="000F40A1"/>
    <w:rsid w:val="000F5558"/>
    <w:rsid w:val="000F595F"/>
    <w:rsid w:val="000F6372"/>
    <w:rsid w:val="000F69D3"/>
    <w:rsid w:val="000F6E21"/>
    <w:rsid w:val="000F71D6"/>
    <w:rsid w:val="000F74E9"/>
    <w:rsid w:val="000F79C6"/>
    <w:rsid w:val="00101122"/>
    <w:rsid w:val="00101ABE"/>
    <w:rsid w:val="001023AF"/>
    <w:rsid w:val="001029BF"/>
    <w:rsid w:val="00103010"/>
    <w:rsid w:val="00103317"/>
    <w:rsid w:val="00103B6D"/>
    <w:rsid w:val="00103C99"/>
    <w:rsid w:val="00104072"/>
    <w:rsid w:val="00104621"/>
    <w:rsid w:val="00105592"/>
    <w:rsid w:val="00105DA3"/>
    <w:rsid w:val="0010655B"/>
    <w:rsid w:val="0010689F"/>
    <w:rsid w:val="00107383"/>
    <w:rsid w:val="00107E28"/>
    <w:rsid w:val="0011071E"/>
    <w:rsid w:val="0011115D"/>
    <w:rsid w:val="001111DA"/>
    <w:rsid w:val="0011137D"/>
    <w:rsid w:val="00111483"/>
    <w:rsid w:val="00111550"/>
    <w:rsid w:val="001138AD"/>
    <w:rsid w:val="00114CB9"/>
    <w:rsid w:val="001175C0"/>
    <w:rsid w:val="001176C5"/>
    <w:rsid w:val="00117AF6"/>
    <w:rsid w:val="0012005A"/>
    <w:rsid w:val="00120226"/>
    <w:rsid w:val="001213AB"/>
    <w:rsid w:val="00121842"/>
    <w:rsid w:val="00121AB8"/>
    <w:rsid w:val="00122EC0"/>
    <w:rsid w:val="001260F5"/>
    <w:rsid w:val="001308D7"/>
    <w:rsid w:val="00130A00"/>
    <w:rsid w:val="00130E9A"/>
    <w:rsid w:val="00131475"/>
    <w:rsid w:val="001318DA"/>
    <w:rsid w:val="00132C86"/>
    <w:rsid w:val="00133009"/>
    <w:rsid w:val="0013422A"/>
    <w:rsid w:val="0013447F"/>
    <w:rsid w:val="001347A6"/>
    <w:rsid w:val="00135048"/>
    <w:rsid w:val="00135CB2"/>
    <w:rsid w:val="00135E76"/>
    <w:rsid w:val="00135EF2"/>
    <w:rsid w:val="00135F3C"/>
    <w:rsid w:val="001369FA"/>
    <w:rsid w:val="00137C27"/>
    <w:rsid w:val="00137DAD"/>
    <w:rsid w:val="00140387"/>
    <w:rsid w:val="001404C8"/>
    <w:rsid w:val="0014103F"/>
    <w:rsid w:val="00141DBD"/>
    <w:rsid w:val="0014263C"/>
    <w:rsid w:val="00142DCB"/>
    <w:rsid w:val="00143612"/>
    <w:rsid w:val="001461B1"/>
    <w:rsid w:val="00146C0A"/>
    <w:rsid w:val="001474BD"/>
    <w:rsid w:val="00147A68"/>
    <w:rsid w:val="0015192A"/>
    <w:rsid w:val="00151933"/>
    <w:rsid w:val="0015623E"/>
    <w:rsid w:val="00157F9D"/>
    <w:rsid w:val="0016007B"/>
    <w:rsid w:val="001611D1"/>
    <w:rsid w:val="00161333"/>
    <w:rsid w:val="001617AE"/>
    <w:rsid w:val="00161887"/>
    <w:rsid w:val="001618F9"/>
    <w:rsid w:val="00161CFC"/>
    <w:rsid w:val="0016274E"/>
    <w:rsid w:val="00162EEB"/>
    <w:rsid w:val="00163296"/>
    <w:rsid w:val="001634D6"/>
    <w:rsid w:val="00163592"/>
    <w:rsid w:val="0016381A"/>
    <w:rsid w:val="00163C31"/>
    <w:rsid w:val="00164C1E"/>
    <w:rsid w:val="00164DEB"/>
    <w:rsid w:val="00164E18"/>
    <w:rsid w:val="00164EE8"/>
    <w:rsid w:val="001657A6"/>
    <w:rsid w:val="001678FB"/>
    <w:rsid w:val="0017025E"/>
    <w:rsid w:val="001711A1"/>
    <w:rsid w:val="001735E3"/>
    <w:rsid w:val="00175112"/>
    <w:rsid w:val="001769C4"/>
    <w:rsid w:val="00177EF8"/>
    <w:rsid w:val="001811C7"/>
    <w:rsid w:val="00181D5A"/>
    <w:rsid w:val="00184282"/>
    <w:rsid w:val="0018482F"/>
    <w:rsid w:val="00184F77"/>
    <w:rsid w:val="001856A1"/>
    <w:rsid w:val="00187C2E"/>
    <w:rsid w:val="00192A21"/>
    <w:rsid w:val="00192FAC"/>
    <w:rsid w:val="001930AD"/>
    <w:rsid w:val="00193187"/>
    <w:rsid w:val="0019364D"/>
    <w:rsid w:val="00194301"/>
    <w:rsid w:val="00194665"/>
    <w:rsid w:val="0019491D"/>
    <w:rsid w:val="00194A61"/>
    <w:rsid w:val="00194C12"/>
    <w:rsid w:val="00195049"/>
    <w:rsid w:val="001951E6"/>
    <w:rsid w:val="001953F1"/>
    <w:rsid w:val="0019543C"/>
    <w:rsid w:val="00195545"/>
    <w:rsid w:val="001977D2"/>
    <w:rsid w:val="0019799A"/>
    <w:rsid w:val="001A1688"/>
    <w:rsid w:val="001A1A19"/>
    <w:rsid w:val="001A287C"/>
    <w:rsid w:val="001A4741"/>
    <w:rsid w:val="001A5992"/>
    <w:rsid w:val="001A599B"/>
    <w:rsid w:val="001A59D1"/>
    <w:rsid w:val="001A6348"/>
    <w:rsid w:val="001A6C00"/>
    <w:rsid w:val="001A7BE5"/>
    <w:rsid w:val="001A7C28"/>
    <w:rsid w:val="001B1057"/>
    <w:rsid w:val="001B12E3"/>
    <w:rsid w:val="001B18F3"/>
    <w:rsid w:val="001B1C0C"/>
    <w:rsid w:val="001B2068"/>
    <w:rsid w:val="001B3754"/>
    <w:rsid w:val="001B39DD"/>
    <w:rsid w:val="001B52A6"/>
    <w:rsid w:val="001B5D97"/>
    <w:rsid w:val="001B62B0"/>
    <w:rsid w:val="001B63F1"/>
    <w:rsid w:val="001B71AC"/>
    <w:rsid w:val="001B7A7F"/>
    <w:rsid w:val="001B7BA7"/>
    <w:rsid w:val="001C049E"/>
    <w:rsid w:val="001C1088"/>
    <w:rsid w:val="001C175C"/>
    <w:rsid w:val="001C2418"/>
    <w:rsid w:val="001C4590"/>
    <w:rsid w:val="001C54CA"/>
    <w:rsid w:val="001C555F"/>
    <w:rsid w:val="001C56D2"/>
    <w:rsid w:val="001C5A87"/>
    <w:rsid w:val="001C5F3E"/>
    <w:rsid w:val="001C626A"/>
    <w:rsid w:val="001C73D0"/>
    <w:rsid w:val="001C7747"/>
    <w:rsid w:val="001D03BD"/>
    <w:rsid w:val="001D047F"/>
    <w:rsid w:val="001D0947"/>
    <w:rsid w:val="001D10FC"/>
    <w:rsid w:val="001D2766"/>
    <w:rsid w:val="001D2A4F"/>
    <w:rsid w:val="001D2AE6"/>
    <w:rsid w:val="001D2FA9"/>
    <w:rsid w:val="001D3528"/>
    <w:rsid w:val="001D4386"/>
    <w:rsid w:val="001D4770"/>
    <w:rsid w:val="001D4B9C"/>
    <w:rsid w:val="001D5928"/>
    <w:rsid w:val="001D6852"/>
    <w:rsid w:val="001D71FB"/>
    <w:rsid w:val="001D7542"/>
    <w:rsid w:val="001E2C67"/>
    <w:rsid w:val="001E3849"/>
    <w:rsid w:val="001E49F5"/>
    <w:rsid w:val="001E4C2E"/>
    <w:rsid w:val="001E5840"/>
    <w:rsid w:val="001E5FFC"/>
    <w:rsid w:val="001E6198"/>
    <w:rsid w:val="001E6AB4"/>
    <w:rsid w:val="001E7242"/>
    <w:rsid w:val="001E7E40"/>
    <w:rsid w:val="001F12B2"/>
    <w:rsid w:val="001F3C78"/>
    <w:rsid w:val="001F3CB0"/>
    <w:rsid w:val="001F3F96"/>
    <w:rsid w:val="001F51BD"/>
    <w:rsid w:val="001F59B1"/>
    <w:rsid w:val="002004ED"/>
    <w:rsid w:val="002010A5"/>
    <w:rsid w:val="00202CA0"/>
    <w:rsid w:val="002030F5"/>
    <w:rsid w:val="002034E4"/>
    <w:rsid w:val="0020350B"/>
    <w:rsid w:val="002039C9"/>
    <w:rsid w:val="00204E42"/>
    <w:rsid w:val="00205192"/>
    <w:rsid w:val="00205733"/>
    <w:rsid w:val="002057BD"/>
    <w:rsid w:val="0020590C"/>
    <w:rsid w:val="00205D7C"/>
    <w:rsid w:val="00206F26"/>
    <w:rsid w:val="00210543"/>
    <w:rsid w:val="00211273"/>
    <w:rsid w:val="0021169C"/>
    <w:rsid w:val="0021171D"/>
    <w:rsid w:val="0021184E"/>
    <w:rsid w:val="0021302E"/>
    <w:rsid w:val="00214437"/>
    <w:rsid w:val="0021491A"/>
    <w:rsid w:val="00214A68"/>
    <w:rsid w:val="00215990"/>
    <w:rsid w:val="00216C41"/>
    <w:rsid w:val="00220813"/>
    <w:rsid w:val="00220D0C"/>
    <w:rsid w:val="00220FA0"/>
    <w:rsid w:val="002213EA"/>
    <w:rsid w:val="002214F8"/>
    <w:rsid w:val="002221EE"/>
    <w:rsid w:val="00222A41"/>
    <w:rsid w:val="00222D5B"/>
    <w:rsid w:val="002233ED"/>
    <w:rsid w:val="00224477"/>
    <w:rsid w:val="00224B5D"/>
    <w:rsid w:val="0022545D"/>
    <w:rsid w:val="002257E0"/>
    <w:rsid w:val="00225B09"/>
    <w:rsid w:val="00225C17"/>
    <w:rsid w:val="00225DC8"/>
    <w:rsid w:val="00226D90"/>
    <w:rsid w:val="00227B38"/>
    <w:rsid w:val="00227FB4"/>
    <w:rsid w:val="00232498"/>
    <w:rsid w:val="00232814"/>
    <w:rsid w:val="00232BE8"/>
    <w:rsid w:val="00235EA8"/>
    <w:rsid w:val="00236C12"/>
    <w:rsid w:val="00237373"/>
    <w:rsid w:val="002429D0"/>
    <w:rsid w:val="00243202"/>
    <w:rsid w:val="0024354F"/>
    <w:rsid w:val="00244BC7"/>
    <w:rsid w:val="00244FEE"/>
    <w:rsid w:val="00246735"/>
    <w:rsid w:val="002501CE"/>
    <w:rsid w:val="00250D61"/>
    <w:rsid w:val="00251062"/>
    <w:rsid w:val="002522C1"/>
    <w:rsid w:val="002535AB"/>
    <w:rsid w:val="002536D4"/>
    <w:rsid w:val="0025451A"/>
    <w:rsid w:val="00254F5B"/>
    <w:rsid w:val="002551F0"/>
    <w:rsid w:val="00255427"/>
    <w:rsid w:val="0025589C"/>
    <w:rsid w:val="002567AE"/>
    <w:rsid w:val="00256953"/>
    <w:rsid w:val="00256959"/>
    <w:rsid w:val="00257225"/>
    <w:rsid w:val="00260637"/>
    <w:rsid w:val="0026173F"/>
    <w:rsid w:val="00262C89"/>
    <w:rsid w:val="0026340B"/>
    <w:rsid w:val="00263C50"/>
    <w:rsid w:val="00265165"/>
    <w:rsid w:val="0026526E"/>
    <w:rsid w:val="00265506"/>
    <w:rsid w:val="00266197"/>
    <w:rsid w:val="00266CCA"/>
    <w:rsid w:val="00266EA9"/>
    <w:rsid w:val="00267540"/>
    <w:rsid w:val="00267C75"/>
    <w:rsid w:val="002707DB"/>
    <w:rsid w:val="00271129"/>
    <w:rsid w:val="00271D34"/>
    <w:rsid w:val="00273DB7"/>
    <w:rsid w:val="00274169"/>
    <w:rsid w:val="00274FFA"/>
    <w:rsid w:val="00276939"/>
    <w:rsid w:val="00276C64"/>
    <w:rsid w:val="0027774D"/>
    <w:rsid w:val="0028174F"/>
    <w:rsid w:val="002839AA"/>
    <w:rsid w:val="00283D42"/>
    <w:rsid w:val="00284C03"/>
    <w:rsid w:val="0028530B"/>
    <w:rsid w:val="00285C23"/>
    <w:rsid w:val="00286732"/>
    <w:rsid w:val="002875C4"/>
    <w:rsid w:val="00287884"/>
    <w:rsid w:val="0029195F"/>
    <w:rsid w:val="00292DD7"/>
    <w:rsid w:val="00294408"/>
    <w:rsid w:val="00294DE8"/>
    <w:rsid w:val="002957A2"/>
    <w:rsid w:val="00295BF8"/>
    <w:rsid w:val="00295BFB"/>
    <w:rsid w:val="00295EFB"/>
    <w:rsid w:val="00296231"/>
    <w:rsid w:val="0029658E"/>
    <w:rsid w:val="002967FD"/>
    <w:rsid w:val="00296B7B"/>
    <w:rsid w:val="00296BBB"/>
    <w:rsid w:val="00297FCF"/>
    <w:rsid w:val="002A002C"/>
    <w:rsid w:val="002A0164"/>
    <w:rsid w:val="002A01E3"/>
    <w:rsid w:val="002A1A17"/>
    <w:rsid w:val="002A1D23"/>
    <w:rsid w:val="002A2420"/>
    <w:rsid w:val="002A2D0D"/>
    <w:rsid w:val="002A31EB"/>
    <w:rsid w:val="002A3414"/>
    <w:rsid w:val="002A42BE"/>
    <w:rsid w:val="002A4882"/>
    <w:rsid w:val="002A4C61"/>
    <w:rsid w:val="002A4D62"/>
    <w:rsid w:val="002A6A89"/>
    <w:rsid w:val="002A6C6A"/>
    <w:rsid w:val="002A7144"/>
    <w:rsid w:val="002B115A"/>
    <w:rsid w:val="002B12BE"/>
    <w:rsid w:val="002B19B1"/>
    <w:rsid w:val="002B4A2A"/>
    <w:rsid w:val="002B4F56"/>
    <w:rsid w:val="002B59D7"/>
    <w:rsid w:val="002B6381"/>
    <w:rsid w:val="002B639D"/>
    <w:rsid w:val="002B6490"/>
    <w:rsid w:val="002B6825"/>
    <w:rsid w:val="002B7567"/>
    <w:rsid w:val="002C09AE"/>
    <w:rsid w:val="002C1966"/>
    <w:rsid w:val="002C1B2A"/>
    <w:rsid w:val="002C2A96"/>
    <w:rsid w:val="002C3982"/>
    <w:rsid w:val="002C406A"/>
    <w:rsid w:val="002C5753"/>
    <w:rsid w:val="002C6AE9"/>
    <w:rsid w:val="002C73E3"/>
    <w:rsid w:val="002D0C0F"/>
    <w:rsid w:val="002D3E6B"/>
    <w:rsid w:val="002D497A"/>
    <w:rsid w:val="002D4A8F"/>
    <w:rsid w:val="002D4D63"/>
    <w:rsid w:val="002D4D6B"/>
    <w:rsid w:val="002D510B"/>
    <w:rsid w:val="002D760F"/>
    <w:rsid w:val="002D7B92"/>
    <w:rsid w:val="002E0541"/>
    <w:rsid w:val="002E057B"/>
    <w:rsid w:val="002E0E3F"/>
    <w:rsid w:val="002E1C38"/>
    <w:rsid w:val="002E2804"/>
    <w:rsid w:val="002E2EEC"/>
    <w:rsid w:val="002E37B0"/>
    <w:rsid w:val="002E409C"/>
    <w:rsid w:val="002E4490"/>
    <w:rsid w:val="002E44B0"/>
    <w:rsid w:val="002E483A"/>
    <w:rsid w:val="002E4B64"/>
    <w:rsid w:val="002E4E2C"/>
    <w:rsid w:val="002E55B7"/>
    <w:rsid w:val="002E6775"/>
    <w:rsid w:val="002E681B"/>
    <w:rsid w:val="002F2C91"/>
    <w:rsid w:val="002F3E13"/>
    <w:rsid w:val="002F4153"/>
    <w:rsid w:val="002F4363"/>
    <w:rsid w:val="002F4D82"/>
    <w:rsid w:val="002F50A9"/>
    <w:rsid w:val="002F54D4"/>
    <w:rsid w:val="002F62DA"/>
    <w:rsid w:val="002F6422"/>
    <w:rsid w:val="002F6500"/>
    <w:rsid w:val="002F6B43"/>
    <w:rsid w:val="002F7481"/>
    <w:rsid w:val="003008BB"/>
    <w:rsid w:val="00300A25"/>
    <w:rsid w:val="003015CC"/>
    <w:rsid w:val="00301930"/>
    <w:rsid w:val="003028F5"/>
    <w:rsid w:val="00303B62"/>
    <w:rsid w:val="0030404A"/>
    <w:rsid w:val="00305674"/>
    <w:rsid w:val="003059D7"/>
    <w:rsid w:val="00306891"/>
    <w:rsid w:val="00310E26"/>
    <w:rsid w:val="003112AE"/>
    <w:rsid w:val="00311E99"/>
    <w:rsid w:val="00312B28"/>
    <w:rsid w:val="003134A5"/>
    <w:rsid w:val="00314352"/>
    <w:rsid w:val="0031498B"/>
    <w:rsid w:val="003150E3"/>
    <w:rsid w:val="00316967"/>
    <w:rsid w:val="003173D1"/>
    <w:rsid w:val="00317FD7"/>
    <w:rsid w:val="00321862"/>
    <w:rsid w:val="00322D95"/>
    <w:rsid w:val="0032452F"/>
    <w:rsid w:val="00324612"/>
    <w:rsid w:val="0032513B"/>
    <w:rsid w:val="00325D29"/>
    <w:rsid w:val="00325E94"/>
    <w:rsid w:val="003261CF"/>
    <w:rsid w:val="00326353"/>
    <w:rsid w:val="00326CD2"/>
    <w:rsid w:val="003273AD"/>
    <w:rsid w:val="00327806"/>
    <w:rsid w:val="00327B53"/>
    <w:rsid w:val="00330CCD"/>
    <w:rsid w:val="0033111F"/>
    <w:rsid w:val="00331853"/>
    <w:rsid w:val="00332445"/>
    <w:rsid w:val="00332E70"/>
    <w:rsid w:val="00333B02"/>
    <w:rsid w:val="00333C2E"/>
    <w:rsid w:val="00335663"/>
    <w:rsid w:val="00335929"/>
    <w:rsid w:val="00336FF7"/>
    <w:rsid w:val="00337CDE"/>
    <w:rsid w:val="00340785"/>
    <w:rsid w:val="00341586"/>
    <w:rsid w:val="003416A9"/>
    <w:rsid w:val="00341D50"/>
    <w:rsid w:val="00341F1D"/>
    <w:rsid w:val="003438A8"/>
    <w:rsid w:val="00346008"/>
    <w:rsid w:val="003478B3"/>
    <w:rsid w:val="00350065"/>
    <w:rsid w:val="0035017C"/>
    <w:rsid w:val="00351022"/>
    <w:rsid w:val="003513E8"/>
    <w:rsid w:val="00353734"/>
    <w:rsid w:val="003541F9"/>
    <w:rsid w:val="003542DE"/>
    <w:rsid w:val="0035483B"/>
    <w:rsid w:val="0035575C"/>
    <w:rsid w:val="00356DC1"/>
    <w:rsid w:val="00357E23"/>
    <w:rsid w:val="00360338"/>
    <w:rsid w:val="00360A83"/>
    <w:rsid w:val="003615CA"/>
    <w:rsid w:val="00361ABE"/>
    <w:rsid w:val="00362EB6"/>
    <w:rsid w:val="003641B1"/>
    <w:rsid w:val="00364903"/>
    <w:rsid w:val="00364B7A"/>
    <w:rsid w:val="00364C92"/>
    <w:rsid w:val="00364D7A"/>
    <w:rsid w:val="003656D0"/>
    <w:rsid w:val="003657E9"/>
    <w:rsid w:val="0036656D"/>
    <w:rsid w:val="00366CF1"/>
    <w:rsid w:val="0036720D"/>
    <w:rsid w:val="003673DB"/>
    <w:rsid w:val="00367E73"/>
    <w:rsid w:val="003713F0"/>
    <w:rsid w:val="00371919"/>
    <w:rsid w:val="00372583"/>
    <w:rsid w:val="00372E57"/>
    <w:rsid w:val="00372F22"/>
    <w:rsid w:val="00373CD1"/>
    <w:rsid w:val="0037563B"/>
    <w:rsid w:val="003758D9"/>
    <w:rsid w:val="003776AF"/>
    <w:rsid w:val="00377E71"/>
    <w:rsid w:val="0038042C"/>
    <w:rsid w:val="00381D1E"/>
    <w:rsid w:val="00381E28"/>
    <w:rsid w:val="003829BD"/>
    <w:rsid w:val="00382A45"/>
    <w:rsid w:val="00382E9B"/>
    <w:rsid w:val="00383E19"/>
    <w:rsid w:val="00384BF7"/>
    <w:rsid w:val="003856F5"/>
    <w:rsid w:val="00385D84"/>
    <w:rsid w:val="00391B65"/>
    <w:rsid w:val="00391B71"/>
    <w:rsid w:val="0039284A"/>
    <w:rsid w:val="0039465D"/>
    <w:rsid w:val="0039579C"/>
    <w:rsid w:val="003957A6"/>
    <w:rsid w:val="00395D5E"/>
    <w:rsid w:val="0039616F"/>
    <w:rsid w:val="003966C2"/>
    <w:rsid w:val="003A0590"/>
    <w:rsid w:val="003A28A8"/>
    <w:rsid w:val="003A33BB"/>
    <w:rsid w:val="003A38EE"/>
    <w:rsid w:val="003A5BD2"/>
    <w:rsid w:val="003A5F2C"/>
    <w:rsid w:val="003A65B7"/>
    <w:rsid w:val="003A6899"/>
    <w:rsid w:val="003A6E49"/>
    <w:rsid w:val="003A729D"/>
    <w:rsid w:val="003A7670"/>
    <w:rsid w:val="003B1F0E"/>
    <w:rsid w:val="003B25BA"/>
    <w:rsid w:val="003B2791"/>
    <w:rsid w:val="003B2BFC"/>
    <w:rsid w:val="003B2DF1"/>
    <w:rsid w:val="003B31D8"/>
    <w:rsid w:val="003B40CB"/>
    <w:rsid w:val="003B477C"/>
    <w:rsid w:val="003B48EE"/>
    <w:rsid w:val="003B4F01"/>
    <w:rsid w:val="003B529B"/>
    <w:rsid w:val="003B592E"/>
    <w:rsid w:val="003B63BF"/>
    <w:rsid w:val="003B6713"/>
    <w:rsid w:val="003B7ACA"/>
    <w:rsid w:val="003B7D5C"/>
    <w:rsid w:val="003B7DEA"/>
    <w:rsid w:val="003C0E10"/>
    <w:rsid w:val="003C0FDA"/>
    <w:rsid w:val="003C1F97"/>
    <w:rsid w:val="003C209E"/>
    <w:rsid w:val="003C2593"/>
    <w:rsid w:val="003C474F"/>
    <w:rsid w:val="003C4E40"/>
    <w:rsid w:val="003C4F08"/>
    <w:rsid w:val="003C7040"/>
    <w:rsid w:val="003C7EEC"/>
    <w:rsid w:val="003D0D0C"/>
    <w:rsid w:val="003D2B8D"/>
    <w:rsid w:val="003D2EE8"/>
    <w:rsid w:val="003D35FC"/>
    <w:rsid w:val="003D3BF3"/>
    <w:rsid w:val="003D3FB5"/>
    <w:rsid w:val="003D710C"/>
    <w:rsid w:val="003E0E9A"/>
    <w:rsid w:val="003E1279"/>
    <w:rsid w:val="003E4BD9"/>
    <w:rsid w:val="003E682C"/>
    <w:rsid w:val="003E6FE4"/>
    <w:rsid w:val="003E727E"/>
    <w:rsid w:val="003F0109"/>
    <w:rsid w:val="003F08A3"/>
    <w:rsid w:val="003F0C97"/>
    <w:rsid w:val="003F145D"/>
    <w:rsid w:val="003F1E3F"/>
    <w:rsid w:val="003F6B42"/>
    <w:rsid w:val="004007A5"/>
    <w:rsid w:val="004008A3"/>
    <w:rsid w:val="00401BBA"/>
    <w:rsid w:val="00401F67"/>
    <w:rsid w:val="0040473E"/>
    <w:rsid w:val="004055A7"/>
    <w:rsid w:val="00405969"/>
    <w:rsid w:val="0040645F"/>
    <w:rsid w:val="00406C29"/>
    <w:rsid w:val="0040735B"/>
    <w:rsid w:val="00407B32"/>
    <w:rsid w:val="00411812"/>
    <w:rsid w:val="00411C68"/>
    <w:rsid w:val="004136DC"/>
    <w:rsid w:val="004136DF"/>
    <w:rsid w:val="004164CA"/>
    <w:rsid w:val="004168C6"/>
    <w:rsid w:val="004175EE"/>
    <w:rsid w:val="00421AA6"/>
    <w:rsid w:val="004229EF"/>
    <w:rsid w:val="004242AF"/>
    <w:rsid w:val="00424860"/>
    <w:rsid w:val="00424CA9"/>
    <w:rsid w:val="00425DE7"/>
    <w:rsid w:val="00426A18"/>
    <w:rsid w:val="00430812"/>
    <w:rsid w:val="004314F0"/>
    <w:rsid w:val="004327CF"/>
    <w:rsid w:val="00432D6D"/>
    <w:rsid w:val="00434E81"/>
    <w:rsid w:val="004362AE"/>
    <w:rsid w:val="00436516"/>
    <w:rsid w:val="00436C11"/>
    <w:rsid w:val="00436E52"/>
    <w:rsid w:val="004376BF"/>
    <w:rsid w:val="00437972"/>
    <w:rsid w:val="00437B7D"/>
    <w:rsid w:val="0044087D"/>
    <w:rsid w:val="00440CFF"/>
    <w:rsid w:val="004411E7"/>
    <w:rsid w:val="00441AD4"/>
    <w:rsid w:val="0044276E"/>
    <w:rsid w:val="004428C2"/>
    <w:rsid w:val="00442D62"/>
    <w:rsid w:val="00442D8A"/>
    <w:rsid w:val="004434A3"/>
    <w:rsid w:val="00443B88"/>
    <w:rsid w:val="004447C9"/>
    <w:rsid w:val="00450463"/>
    <w:rsid w:val="00451583"/>
    <w:rsid w:val="00451C03"/>
    <w:rsid w:val="004528A0"/>
    <w:rsid w:val="00452AD9"/>
    <w:rsid w:val="00453476"/>
    <w:rsid w:val="00453EC3"/>
    <w:rsid w:val="00454672"/>
    <w:rsid w:val="0045501C"/>
    <w:rsid w:val="00456845"/>
    <w:rsid w:val="00457737"/>
    <w:rsid w:val="00457F31"/>
    <w:rsid w:val="00460056"/>
    <w:rsid w:val="004605E1"/>
    <w:rsid w:val="004609B1"/>
    <w:rsid w:val="00460D6A"/>
    <w:rsid w:val="00460FC3"/>
    <w:rsid w:val="00460FE2"/>
    <w:rsid w:val="004610E5"/>
    <w:rsid w:val="00461A51"/>
    <w:rsid w:val="00461ADF"/>
    <w:rsid w:val="00462FB4"/>
    <w:rsid w:val="004648B1"/>
    <w:rsid w:val="00465843"/>
    <w:rsid w:val="004658A8"/>
    <w:rsid w:val="0047093B"/>
    <w:rsid w:val="00473E1C"/>
    <w:rsid w:val="00475515"/>
    <w:rsid w:val="00476562"/>
    <w:rsid w:val="00476CC0"/>
    <w:rsid w:val="00477E67"/>
    <w:rsid w:val="004803F3"/>
    <w:rsid w:val="004810C7"/>
    <w:rsid w:val="00481324"/>
    <w:rsid w:val="00481511"/>
    <w:rsid w:val="0048242D"/>
    <w:rsid w:val="00483B72"/>
    <w:rsid w:val="004845BE"/>
    <w:rsid w:val="004860FB"/>
    <w:rsid w:val="00486586"/>
    <w:rsid w:val="00486679"/>
    <w:rsid w:val="0048712B"/>
    <w:rsid w:val="004872AA"/>
    <w:rsid w:val="00487742"/>
    <w:rsid w:val="00487A14"/>
    <w:rsid w:val="00487CCF"/>
    <w:rsid w:val="0049014C"/>
    <w:rsid w:val="004918F3"/>
    <w:rsid w:val="00494F1A"/>
    <w:rsid w:val="00495D77"/>
    <w:rsid w:val="004961CE"/>
    <w:rsid w:val="0049627A"/>
    <w:rsid w:val="0049633F"/>
    <w:rsid w:val="004A08B7"/>
    <w:rsid w:val="004A1234"/>
    <w:rsid w:val="004A1381"/>
    <w:rsid w:val="004A1B5F"/>
    <w:rsid w:val="004A202B"/>
    <w:rsid w:val="004A2685"/>
    <w:rsid w:val="004A2B98"/>
    <w:rsid w:val="004A355E"/>
    <w:rsid w:val="004A36EA"/>
    <w:rsid w:val="004A37C6"/>
    <w:rsid w:val="004A3E71"/>
    <w:rsid w:val="004A549A"/>
    <w:rsid w:val="004A6839"/>
    <w:rsid w:val="004B197A"/>
    <w:rsid w:val="004B2078"/>
    <w:rsid w:val="004B2F33"/>
    <w:rsid w:val="004B3B54"/>
    <w:rsid w:val="004B3D9B"/>
    <w:rsid w:val="004B3F2B"/>
    <w:rsid w:val="004B4C25"/>
    <w:rsid w:val="004B4DB5"/>
    <w:rsid w:val="004B5A70"/>
    <w:rsid w:val="004B5AC2"/>
    <w:rsid w:val="004B618C"/>
    <w:rsid w:val="004B6943"/>
    <w:rsid w:val="004B6FDB"/>
    <w:rsid w:val="004B79E5"/>
    <w:rsid w:val="004B7BF0"/>
    <w:rsid w:val="004B7FD7"/>
    <w:rsid w:val="004C0B37"/>
    <w:rsid w:val="004C0F6D"/>
    <w:rsid w:val="004C15CA"/>
    <w:rsid w:val="004C17E7"/>
    <w:rsid w:val="004C1EE7"/>
    <w:rsid w:val="004C2117"/>
    <w:rsid w:val="004C2EDE"/>
    <w:rsid w:val="004C392E"/>
    <w:rsid w:val="004C3BA4"/>
    <w:rsid w:val="004C3F19"/>
    <w:rsid w:val="004C5E64"/>
    <w:rsid w:val="004C5ED1"/>
    <w:rsid w:val="004C6B7E"/>
    <w:rsid w:val="004D022F"/>
    <w:rsid w:val="004D0BD7"/>
    <w:rsid w:val="004D2EBF"/>
    <w:rsid w:val="004D37E3"/>
    <w:rsid w:val="004D4C3B"/>
    <w:rsid w:val="004D4E4B"/>
    <w:rsid w:val="004D5608"/>
    <w:rsid w:val="004D562A"/>
    <w:rsid w:val="004D5638"/>
    <w:rsid w:val="004D6A01"/>
    <w:rsid w:val="004D7FB2"/>
    <w:rsid w:val="004E01A1"/>
    <w:rsid w:val="004E0625"/>
    <w:rsid w:val="004E1CF6"/>
    <w:rsid w:val="004E1FD5"/>
    <w:rsid w:val="004E2AD4"/>
    <w:rsid w:val="004E3CA7"/>
    <w:rsid w:val="004E5108"/>
    <w:rsid w:val="004E5DA9"/>
    <w:rsid w:val="004E67B3"/>
    <w:rsid w:val="004F103B"/>
    <w:rsid w:val="004F10EA"/>
    <w:rsid w:val="004F1233"/>
    <w:rsid w:val="004F27EA"/>
    <w:rsid w:val="004F2A7F"/>
    <w:rsid w:val="004F2A90"/>
    <w:rsid w:val="004F2B62"/>
    <w:rsid w:val="004F2E14"/>
    <w:rsid w:val="004F36EF"/>
    <w:rsid w:val="004F5D53"/>
    <w:rsid w:val="004F683F"/>
    <w:rsid w:val="004F7BB1"/>
    <w:rsid w:val="00500795"/>
    <w:rsid w:val="00500A0A"/>
    <w:rsid w:val="00501BC7"/>
    <w:rsid w:val="0050397E"/>
    <w:rsid w:val="0050455E"/>
    <w:rsid w:val="005047AC"/>
    <w:rsid w:val="00505139"/>
    <w:rsid w:val="005060A4"/>
    <w:rsid w:val="00506216"/>
    <w:rsid w:val="00510390"/>
    <w:rsid w:val="0051081C"/>
    <w:rsid w:val="005124FF"/>
    <w:rsid w:val="005125A2"/>
    <w:rsid w:val="00512F9F"/>
    <w:rsid w:val="005143AF"/>
    <w:rsid w:val="005144EA"/>
    <w:rsid w:val="00515405"/>
    <w:rsid w:val="005176E7"/>
    <w:rsid w:val="00517D5E"/>
    <w:rsid w:val="005206B8"/>
    <w:rsid w:val="00521186"/>
    <w:rsid w:val="00521972"/>
    <w:rsid w:val="00524616"/>
    <w:rsid w:val="00524AA8"/>
    <w:rsid w:val="00524EB0"/>
    <w:rsid w:val="00525219"/>
    <w:rsid w:val="0052677C"/>
    <w:rsid w:val="00526AAE"/>
    <w:rsid w:val="00531253"/>
    <w:rsid w:val="00532E43"/>
    <w:rsid w:val="00532F60"/>
    <w:rsid w:val="00533272"/>
    <w:rsid w:val="00533D5A"/>
    <w:rsid w:val="00534A8E"/>
    <w:rsid w:val="00534E7C"/>
    <w:rsid w:val="005363F6"/>
    <w:rsid w:val="0053644E"/>
    <w:rsid w:val="0053676A"/>
    <w:rsid w:val="00537805"/>
    <w:rsid w:val="00541082"/>
    <w:rsid w:val="005411F2"/>
    <w:rsid w:val="005415A9"/>
    <w:rsid w:val="00541CAB"/>
    <w:rsid w:val="00541D63"/>
    <w:rsid w:val="005437CF"/>
    <w:rsid w:val="00545CAE"/>
    <w:rsid w:val="0054622C"/>
    <w:rsid w:val="00546B7B"/>
    <w:rsid w:val="00547620"/>
    <w:rsid w:val="00547CB9"/>
    <w:rsid w:val="00550992"/>
    <w:rsid w:val="0055183F"/>
    <w:rsid w:val="0055340E"/>
    <w:rsid w:val="0055344C"/>
    <w:rsid w:val="005535E2"/>
    <w:rsid w:val="00554E26"/>
    <w:rsid w:val="00555603"/>
    <w:rsid w:val="00555BD0"/>
    <w:rsid w:val="00556B9A"/>
    <w:rsid w:val="005570CB"/>
    <w:rsid w:val="005571A6"/>
    <w:rsid w:val="005579B7"/>
    <w:rsid w:val="00560B2D"/>
    <w:rsid w:val="00560EC7"/>
    <w:rsid w:val="005626EC"/>
    <w:rsid w:val="005627CF"/>
    <w:rsid w:val="00562EF3"/>
    <w:rsid w:val="0056427E"/>
    <w:rsid w:val="00564CC1"/>
    <w:rsid w:val="00565195"/>
    <w:rsid w:val="005652ED"/>
    <w:rsid w:val="00565841"/>
    <w:rsid w:val="00565902"/>
    <w:rsid w:val="00565EBD"/>
    <w:rsid w:val="00566830"/>
    <w:rsid w:val="00566AB1"/>
    <w:rsid w:val="0056736B"/>
    <w:rsid w:val="0057051C"/>
    <w:rsid w:val="005706C9"/>
    <w:rsid w:val="00571371"/>
    <w:rsid w:val="00571968"/>
    <w:rsid w:val="00572E89"/>
    <w:rsid w:val="00574744"/>
    <w:rsid w:val="00575EDB"/>
    <w:rsid w:val="005768FB"/>
    <w:rsid w:val="00576A72"/>
    <w:rsid w:val="00577AF4"/>
    <w:rsid w:val="00577D12"/>
    <w:rsid w:val="005806A9"/>
    <w:rsid w:val="005811D7"/>
    <w:rsid w:val="00583A16"/>
    <w:rsid w:val="00585D1E"/>
    <w:rsid w:val="005867B3"/>
    <w:rsid w:val="00586963"/>
    <w:rsid w:val="00586E1B"/>
    <w:rsid w:val="0058749B"/>
    <w:rsid w:val="00587D7B"/>
    <w:rsid w:val="00591158"/>
    <w:rsid w:val="0059174B"/>
    <w:rsid w:val="005920A8"/>
    <w:rsid w:val="005921A5"/>
    <w:rsid w:val="005921F6"/>
    <w:rsid w:val="005933AA"/>
    <w:rsid w:val="005940DF"/>
    <w:rsid w:val="0059529A"/>
    <w:rsid w:val="005961C6"/>
    <w:rsid w:val="00596271"/>
    <w:rsid w:val="00596BEE"/>
    <w:rsid w:val="00597FA7"/>
    <w:rsid w:val="005A0B40"/>
    <w:rsid w:val="005A129F"/>
    <w:rsid w:val="005A1373"/>
    <w:rsid w:val="005A3F9D"/>
    <w:rsid w:val="005A4356"/>
    <w:rsid w:val="005A4E18"/>
    <w:rsid w:val="005A5111"/>
    <w:rsid w:val="005A58F3"/>
    <w:rsid w:val="005A7E4F"/>
    <w:rsid w:val="005B42EA"/>
    <w:rsid w:val="005B5CBD"/>
    <w:rsid w:val="005B5CEB"/>
    <w:rsid w:val="005B7155"/>
    <w:rsid w:val="005B71B7"/>
    <w:rsid w:val="005B74A0"/>
    <w:rsid w:val="005B77E1"/>
    <w:rsid w:val="005C015B"/>
    <w:rsid w:val="005C06C9"/>
    <w:rsid w:val="005C101C"/>
    <w:rsid w:val="005C23A3"/>
    <w:rsid w:val="005C2DBE"/>
    <w:rsid w:val="005C666E"/>
    <w:rsid w:val="005C6B5C"/>
    <w:rsid w:val="005C7508"/>
    <w:rsid w:val="005C7A00"/>
    <w:rsid w:val="005C7FED"/>
    <w:rsid w:val="005D0083"/>
    <w:rsid w:val="005D01C8"/>
    <w:rsid w:val="005D028A"/>
    <w:rsid w:val="005D1722"/>
    <w:rsid w:val="005D1A6B"/>
    <w:rsid w:val="005D286E"/>
    <w:rsid w:val="005D3E64"/>
    <w:rsid w:val="005D4205"/>
    <w:rsid w:val="005D444A"/>
    <w:rsid w:val="005D5358"/>
    <w:rsid w:val="005D539E"/>
    <w:rsid w:val="005D5AB3"/>
    <w:rsid w:val="005D65CC"/>
    <w:rsid w:val="005D66CE"/>
    <w:rsid w:val="005D7F94"/>
    <w:rsid w:val="005E00F2"/>
    <w:rsid w:val="005E0D81"/>
    <w:rsid w:val="005E1158"/>
    <w:rsid w:val="005E1880"/>
    <w:rsid w:val="005E2DE2"/>
    <w:rsid w:val="005E3769"/>
    <w:rsid w:val="005E5445"/>
    <w:rsid w:val="005E6884"/>
    <w:rsid w:val="005E6F6B"/>
    <w:rsid w:val="005E72C9"/>
    <w:rsid w:val="005E7A25"/>
    <w:rsid w:val="005F030C"/>
    <w:rsid w:val="005F08FF"/>
    <w:rsid w:val="005F1331"/>
    <w:rsid w:val="005F1645"/>
    <w:rsid w:val="005F2545"/>
    <w:rsid w:val="005F254F"/>
    <w:rsid w:val="005F2D63"/>
    <w:rsid w:val="005F33C0"/>
    <w:rsid w:val="005F4344"/>
    <w:rsid w:val="005F4CF9"/>
    <w:rsid w:val="005F4D13"/>
    <w:rsid w:val="005F5DE4"/>
    <w:rsid w:val="005F77B9"/>
    <w:rsid w:val="0060014E"/>
    <w:rsid w:val="006054B9"/>
    <w:rsid w:val="00605D0A"/>
    <w:rsid w:val="00610EEC"/>
    <w:rsid w:val="006113FB"/>
    <w:rsid w:val="00611621"/>
    <w:rsid w:val="00611FE2"/>
    <w:rsid w:val="0061273A"/>
    <w:rsid w:val="006129FB"/>
    <w:rsid w:val="00612A6F"/>
    <w:rsid w:val="00612CF4"/>
    <w:rsid w:val="00612D5E"/>
    <w:rsid w:val="006133AA"/>
    <w:rsid w:val="00613A29"/>
    <w:rsid w:val="006141E5"/>
    <w:rsid w:val="00614A4C"/>
    <w:rsid w:val="00615A26"/>
    <w:rsid w:val="00616497"/>
    <w:rsid w:val="006177F3"/>
    <w:rsid w:val="006206AD"/>
    <w:rsid w:val="00621C09"/>
    <w:rsid w:val="00622BFE"/>
    <w:rsid w:val="006233D0"/>
    <w:rsid w:val="00623CDD"/>
    <w:rsid w:val="00624C4E"/>
    <w:rsid w:val="00626061"/>
    <w:rsid w:val="0062696C"/>
    <w:rsid w:val="00626A0B"/>
    <w:rsid w:val="00626D44"/>
    <w:rsid w:val="0062746E"/>
    <w:rsid w:val="00627602"/>
    <w:rsid w:val="006277B4"/>
    <w:rsid w:val="00627981"/>
    <w:rsid w:val="00627AC6"/>
    <w:rsid w:val="00630D82"/>
    <w:rsid w:val="00630F20"/>
    <w:rsid w:val="00631684"/>
    <w:rsid w:val="006319B4"/>
    <w:rsid w:val="00632512"/>
    <w:rsid w:val="006329B6"/>
    <w:rsid w:val="006331C7"/>
    <w:rsid w:val="006335C7"/>
    <w:rsid w:val="00635DC9"/>
    <w:rsid w:val="006362C1"/>
    <w:rsid w:val="0063658B"/>
    <w:rsid w:val="006368EA"/>
    <w:rsid w:val="00637512"/>
    <w:rsid w:val="00640B64"/>
    <w:rsid w:val="00642858"/>
    <w:rsid w:val="00642A0B"/>
    <w:rsid w:val="00642E42"/>
    <w:rsid w:val="00643232"/>
    <w:rsid w:val="006444A0"/>
    <w:rsid w:val="00644F84"/>
    <w:rsid w:val="00645E34"/>
    <w:rsid w:val="00646FDD"/>
    <w:rsid w:val="00647BC7"/>
    <w:rsid w:val="006513B0"/>
    <w:rsid w:val="00651B97"/>
    <w:rsid w:val="00652CC0"/>
    <w:rsid w:val="00653292"/>
    <w:rsid w:val="006536CB"/>
    <w:rsid w:val="00654BAA"/>
    <w:rsid w:val="00654FE1"/>
    <w:rsid w:val="006553BF"/>
    <w:rsid w:val="006562C3"/>
    <w:rsid w:val="00660BE8"/>
    <w:rsid w:val="00660F95"/>
    <w:rsid w:val="0066115D"/>
    <w:rsid w:val="00662882"/>
    <w:rsid w:val="00664ADD"/>
    <w:rsid w:val="00664BD6"/>
    <w:rsid w:val="006650C9"/>
    <w:rsid w:val="00665BB9"/>
    <w:rsid w:val="00665F98"/>
    <w:rsid w:val="00666363"/>
    <w:rsid w:val="00666D9E"/>
    <w:rsid w:val="00667CE4"/>
    <w:rsid w:val="006702F9"/>
    <w:rsid w:val="006708E2"/>
    <w:rsid w:val="006734EE"/>
    <w:rsid w:val="00674565"/>
    <w:rsid w:val="00674A1C"/>
    <w:rsid w:val="00674B78"/>
    <w:rsid w:val="00674C09"/>
    <w:rsid w:val="0067613D"/>
    <w:rsid w:val="00681B57"/>
    <w:rsid w:val="00681DCE"/>
    <w:rsid w:val="00683327"/>
    <w:rsid w:val="00683802"/>
    <w:rsid w:val="00684B44"/>
    <w:rsid w:val="00685259"/>
    <w:rsid w:val="00685D02"/>
    <w:rsid w:val="00686A4D"/>
    <w:rsid w:val="006872D3"/>
    <w:rsid w:val="0068731F"/>
    <w:rsid w:val="00687BAB"/>
    <w:rsid w:val="0069280D"/>
    <w:rsid w:val="00693D9A"/>
    <w:rsid w:val="006941E2"/>
    <w:rsid w:val="0069527F"/>
    <w:rsid w:val="00695781"/>
    <w:rsid w:val="00695974"/>
    <w:rsid w:val="0069783F"/>
    <w:rsid w:val="006A0A57"/>
    <w:rsid w:val="006A1A16"/>
    <w:rsid w:val="006A2409"/>
    <w:rsid w:val="006A2F8C"/>
    <w:rsid w:val="006A35D0"/>
    <w:rsid w:val="006A374B"/>
    <w:rsid w:val="006A3A72"/>
    <w:rsid w:val="006A43FE"/>
    <w:rsid w:val="006A4A3E"/>
    <w:rsid w:val="006A5510"/>
    <w:rsid w:val="006A665D"/>
    <w:rsid w:val="006A6D35"/>
    <w:rsid w:val="006A746D"/>
    <w:rsid w:val="006A7BB3"/>
    <w:rsid w:val="006B03BC"/>
    <w:rsid w:val="006B0442"/>
    <w:rsid w:val="006B0B79"/>
    <w:rsid w:val="006B0BDA"/>
    <w:rsid w:val="006B106E"/>
    <w:rsid w:val="006B1EFF"/>
    <w:rsid w:val="006B3241"/>
    <w:rsid w:val="006B5663"/>
    <w:rsid w:val="006B5890"/>
    <w:rsid w:val="006B5AFE"/>
    <w:rsid w:val="006C0489"/>
    <w:rsid w:val="006C1B54"/>
    <w:rsid w:val="006C325B"/>
    <w:rsid w:val="006C3580"/>
    <w:rsid w:val="006C3A40"/>
    <w:rsid w:val="006C40E4"/>
    <w:rsid w:val="006C534D"/>
    <w:rsid w:val="006C5E90"/>
    <w:rsid w:val="006C7E0A"/>
    <w:rsid w:val="006D070E"/>
    <w:rsid w:val="006D1EBC"/>
    <w:rsid w:val="006D3DCF"/>
    <w:rsid w:val="006D4355"/>
    <w:rsid w:val="006D4526"/>
    <w:rsid w:val="006D478D"/>
    <w:rsid w:val="006D5375"/>
    <w:rsid w:val="006D5ECF"/>
    <w:rsid w:val="006D65A2"/>
    <w:rsid w:val="006D67B3"/>
    <w:rsid w:val="006D70C3"/>
    <w:rsid w:val="006E02FF"/>
    <w:rsid w:val="006E0D8B"/>
    <w:rsid w:val="006E0F39"/>
    <w:rsid w:val="006E16B3"/>
    <w:rsid w:val="006E1B0A"/>
    <w:rsid w:val="006E2188"/>
    <w:rsid w:val="006E21A4"/>
    <w:rsid w:val="006E2E46"/>
    <w:rsid w:val="006E37DF"/>
    <w:rsid w:val="006E39BC"/>
    <w:rsid w:val="006E39F1"/>
    <w:rsid w:val="006E3FDD"/>
    <w:rsid w:val="006E689D"/>
    <w:rsid w:val="006E698A"/>
    <w:rsid w:val="006E6E06"/>
    <w:rsid w:val="006E7038"/>
    <w:rsid w:val="006E7B3A"/>
    <w:rsid w:val="006F1186"/>
    <w:rsid w:val="006F2868"/>
    <w:rsid w:val="006F2DCE"/>
    <w:rsid w:val="006F335D"/>
    <w:rsid w:val="006F3D9F"/>
    <w:rsid w:val="006F5A2F"/>
    <w:rsid w:val="006F7634"/>
    <w:rsid w:val="006F7979"/>
    <w:rsid w:val="006F7DE4"/>
    <w:rsid w:val="00700200"/>
    <w:rsid w:val="007007E0"/>
    <w:rsid w:val="0070095A"/>
    <w:rsid w:val="007013FE"/>
    <w:rsid w:val="00701811"/>
    <w:rsid w:val="007023A9"/>
    <w:rsid w:val="007025AF"/>
    <w:rsid w:val="007036A5"/>
    <w:rsid w:val="00703B5F"/>
    <w:rsid w:val="00704EB8"/>
    <w:rsid w:val="00705012"/>
    <w:rsid w:val="007067C7"/>
    <w:rsid w:val="00707EC7"/>
    <w:rsid w:val="00710551"/>
    <w:rsid w:val="007114B0"/>
    <w:rsid w:val="007117A0"/>
    <w:rsid w:val="0071199C"/>
    <w:rsid w:val="00712A27"/>
    <w:rsid w:val="00712F2A"/>
    <w:rsid w:val="0071332F"/>
    <w:rsid w:val="00713C3C"/>
    <w:rsid w:val="00714307"/>
    <w:rsid w:val="007154D1"/>
    <w:rsid w:val="007203D0"/>
    <w:rsid w:val="00720649"/>
    <w:rsid w:val="00721260"/>
    <w:rsid w:val="00721A72"/>
    <w:rsid w:val="00722FC3"/>
    <w:rsid w:val="00723A35"/>
    <w:rsid w:val="007256EE"/>
    <w:rsid w:val="00726179"/>
    <w:rsid w:val="00727C93"/>
    <w:rsid w:val="00730AB8"/>
    <w:rsid w:val="00730B48"/>
    <w:rsid w:val="00731D4B"/>
    <w:rsid w:val="007327BE"/>
    <w:rsid w:val="0073390E"/>
    <w:rsid w:val="00733912"/>
    <w:rsid w:val="00733C3E"/>
    <w:rsid w:val="0073407F"/>
    <w:rsid w:val="00734095"/>
    <w:rsid w:val="007344DF"/>
    <w:rsid w:val="00734DC3"/>
    <w:rsid w:val="00736476"/>
    <w:rsid w:val="00737E40"/>
    <w:rsid w:val="00740AA6"/>
    <w:rsid w:val="00740DDC"/>
    <w:rsid w:val="00744211"/>
    <w:rsid w:val="007445A2"/>
    <w:rsid w:val="007445DD"/>
    <w:rsid w:val="00745A7C"/>
    <w:rsid w:val="007468C0"/>
    <w:rsid w:val="00746A7E"/>
    <w:rsid w:val="00747586"/>
    <w:rsid w:val="00747B4C"/>
    <w:rsid w:val="0075134B"/>
    <w:rsid w:val="007518BA"/>
    <w:rsid w:val="00751B61"/>
    <w:rsid w:val="007520A0"/>
    <w:rsid w:val="0075257C"/>
    <w:rsid w:val="007531AF"/>
    <w:rsid w:val="007537E6"/>
    <w:rsid w:val="00753A5D"/>
    <w:rsid w:val="00754CCD"/>
    <w:rsid w:val="00755A83"/>
    <w:rsid w:val="007564FA"/>
    <w:rsid w:val="00756686"/>
    <w:rsid w:val="00756EAB"/>
    <w:rsid w:val="00757252"/>
    <w:rsid w:val="007601A2"/>
    <w:rsid w:val="0076074D"/>
    <w:rsid w:val="0076119F"/>
    <w:rsid w:val="00762961"/>
    <w:rsid w:val="00762E69"/>
    <w:rsid w:val="00764385"/>
    <w:rsid w:val="00765978"/>
    <w:rsid w:val="00766320"/>
    <w:rsid w:val="00766C1B"/>
    <w:rsid w:val="0076761A"/>
    <w:rsid w:val="00770225"/>
    <w:rsid w:val="00771213"/>
    <w:rsid w:val="007725F4"/>
    <w:rsid w:val="0077426F"/>
    <w:rsid w:val="007752FF"/>
    <w:rsid w:val="007764EC"/>
    <w:rsid w:val="00780802"/>
    <w:rsid w:val="00780E51"/>
    <w:rsid w:val="007822C3"/>
    <w:rsid w:val="007825F1"/>
    <w:rsid w:val="00782C87"/>
    <w:rsid w:val="00785065"/>
    <w:rsid w:val="00785DF9"/>
    <w:rsid w:val="007875C3"/>
    <w:rsid w:val="007875FD"/>
    <w:rsid w:val="00787F21"/>
    <w:rsid w:val="007905BD"/>
    <w:rsid w:val="007912DE"/>
    <w:rsid w:val="00791B6B"/>
    <w:rsid w:val="0079214B"/>
    <w:rsid w:val="007922F4"/>
    <w:rsid w:val="007931CF"/>
    <w:rsid w:val="00794601"/>
    <w:rsid w:val="00795422"/>
    <w:rsid w:val="00795965"/>
    <w:rsid w:val="007959A0"/>
    <w:rsid w:val="0079615F"/>
    <w:rsid w:val="007965A0"/>
    <w:rsid w:val="0079797C"/>
    <w:rsid w:val="007A03C7"/>
    <w:rsid w:val="007A0F64"/>
    <w:rsid w:val="007A1B55"/>
    <w:rsid w:val="007A48BA"/>
    <w:rsid w:val="007A4AA0"/>
    <w:rsid w:val="007A573E"/>
    <w:rsid w:val="007A770C"/>
    <w:rsid w:val="007B1537"/>
    <w:rsid w:val="007B1746"/>
    <w:rsid w:val="007B1CC7"/>
    <w:rsid w:val="007B3539"/>
    <w:rsid w:val="007B3643"/>
    <w:rsid w:val="007B3AB2"/>
    <w:rsid w:val="007B4770"/>
    <w:rsid w:val="007B51F2"/>
    <w:rsid w:val="007B7E25"/>
    <w:rsid w:val="007C2F0B"/>
    <w:rsid w:val="007C68AE"/>
    <w:rsid w:val="007C6E23"/>
    <w:rsid w:val="007D0A97"/>
    <w:rsid w:val="007D0E22"/>
    <w:rsid w:val="007D1044"/>
    <w:rsid w:val="007D1552"/>
    <w:rsid w:val="007D1EC0"/>
    <w:rsid w:val="007D2B40"/>
    <w:rsid w:val="007D383F"/>
    <w:rsid w:val="007D3A86"/>
    <w:rsid w:val="007D486B"/>
    <w:rsid w:val="007D56D4"/>
    <w:rsid w:val="007D6164"/>
    <w:rsid w:val="007D7E2F"/>
    <w:rsid w:val="007E01D0"/>
    <w:rsid w:val="007E03AA"/>
    <w:rsid w:val="007E1ACF"/>
    <w:rsid w:val="007E219B"/>
    <w:rsid w:val="007E3BF8"/>
    <w:rsid w:val="007E3E69"/>
    <w:rsid w:val="007E4B2B"/>
    <w:rsid w:val="007E4E9E"/>
    <w:rsid w:val="007E60E1"/>
    <w:rsid w:val="007E72DE"/>
    <w:rsid w:val="007F06A5"/>
    <w:rsid w:val="007F0B0E"/>
    <w:rsid w:val="007F22C6"/>
    <w:rsid w:val="007F438E"/>
    <w:rsid w:val="007F449F"/>
    <w:rsid w:val="007F456C"/>
    <w:rsid w:val="007F4A6A"/>
    <w:rsid w:val="007F4D20"/>
    <w:rsid w:val="007F5262"/>
    <w:rsid w:val="007F5996"/>
    <w:rsid w:val="007F63A3"/>
    <w:rsid w:val="007F6FB0"/>
    <w:rsid w:val="007F7DF5"/>
    <w:rsid w:val="00802FD0"/>
    <w:rsid w:val="00803CC2"/>
    <w:rsid w:val="0080512D"/>
    <w:rsid w:val="00805CBA"/>
    <w:rsid w:val="0080776F"/>
    <w:rsid w:val="008078F4"/>
    <w:rsid w:val="00810F9F"/>
    <w:rsid w:val="00811C8A"/>
    <w:rsid w:val="00812C9A"/>
    <w:rsid w:val="0081410F"/>
    <w:rsid w:val="0081455A"/>
    <w:rsid w:val="00815F17"/>
    <w:rsid w:val="00815F6A"/>
    <w:rsid w:val="00816B44"/>
    <w:rsid w:val="00816DE0"/>
    <w:rsid w:val="00817430"/>
    <w:rsid w:val="00820EF1"/>
    <w:rsid w:val="0082263F"/>
    <w:rsid w:val="008235D6"/>
    <w:rsid w:val="008236FB"/>
    <w:rsid w:val="008250BA"/>
    <w:rsid w:val="00825E84"/>
    <w:rsid w:val="0082656C"/>
    <w:rsid w:val="008269C8"/>
    <w:rsid w:val="00827F37"/>
    <w:rsid w:val="00831D26"/>
    <w:rsid w:val="0083309A"/>
    <w:rsid w:val="00834F11"/>
    <w:rsid w:val="00835BD8"/>
    <w:rsid w:val="008365D3"/>
    <w:rsid w:val="008367FE"/>
    <w:rsid w:val="00836D29"/>
    <w:rsid w:val="00836D8F"/>
    <w:rsid w:val="008375E9"/>
    <w:rsid w:val="008411BF"/>
    <w:rsid w:val="008419AE"/>
    <w:rsid w:val="00841DF8"/>
    <w:rsid w:val="008430FA"/>
    <w:rsid w:val="008432A1"/>
    <w:rsid w:val="00843601"/>
    <w:rsid w:val="00843836"/>
    <w:rsid w:val="00843959"/>
    <w:rsid w:val="00843FC8"/>
    <w:rsid w:val="0084608B"/>
    <w:rsid w:val="00846C5D"/>
    <w:rsid w:val="008501B1"/>
    <w:rsid w:val="00850E40"/>
    <w:rsid w:val="00851558"/>
    <w:rsid w:val="008534EA"/>
    <w:rsid w:val="008546B9"/>
    <w:rsid w:val="00855255"/>
    <w:rsid w:val="008566AC"/>
    <w:rsid w:val="00856C27"/>
    <w:rsid w:val="00857751"/>
    <w:rsid w:val="00857C6D"/>
    <w:rsid w:val="008600D9"/>
    <w:rsid w:val="008613C7"/>
    <w:rsid w:val="00862436"/>
    <w:rsid w:val="008626D4"/>
    <w:rsid w:val="00865C27"/>
    <w:rsid w:val="00866A0C"/>
    <w:rsid w:val="0087135F"/>
    <w:rsid w:val="00871490"/>
    <w:rsid w:val="008727F1"/>
    <w:rsid w:val="00872ECA"/>
    <w:rsid w:val="008748AC"/>
    <w:rsid w:val="0087511C"/>
    <w:rsid w:val="00875470"/>
    <w:rsid w:val="008777E7"/>
    <w:rsid w:val="0088052E"/>
    <w:rsid w:val="0088097C"/>
    <w:rsid w:val="00880A01"/>
    <w:rsid w:val="00880F98"/>
    <w:rsid w:val="0088194C"/>
    <w:rsid w:val="008828E4"/>
    <w:rsid w:val="00884171"/>
    <w:rsid w:val="00884427"/>
    <w:rsid w:val="00884C64"/>
    <w:rsid w:val="00886A6C"/>
    <w:rsid w:val="00886D9A"/>
    <w:rsid w:val="00886EE5"/>
    <w:rsid w:val="00890A8B"/>
    <w:rsid w:val="00891E93"/>
    <w:rsid w:val="00891F46"/>
    <w:rsid w:val="008925FC"/>
    <w:rsid w:val="008931AE"/>
    <w:rsid w:val="0089595F"/>
    <w:rsid w:val="008962C3"/>
    <w:rsid w:val="00896814"/>
    <w:rsid w:val="00897003"/>
    <w:rsid w:val="00897B2D"/>
    <w:rsid w:val="008A0A8E"/>
    <w:rsid w:val="008A0D7B"/>
    <w:rsid w:val="008A1372"/>
    <w:rsid w:val="008A14B4"/>
    <w:rsid w:val="008A168E"/>
    <w:rsid w:val="008A16B4"/>
    <w:rsid w:val="008A1EE4"/>
    <w:rsid w:val="008A34E7"/>
    <w:rsid w:val="008A3633"/>
    <w:rsid w:val="008A37F1"/>
    <w:rsid w:val="008A4020"/>
    <w:rsid w:val="008A4258"/>
    <w:rsid w:val="008A4E68"/>
    <w:rsid w:val="008A526E"/>
    <w:rsid w:val="008A5715"/>
    <w:rsid w:val="008A585A"/>
    <w:rsid w:val="008A5AF1"/>
    <w:rsid w:val="008A5C04"/>
    <w:rsid w:val="008A7AC4"/>
    <w:rsid w:val="008A7B58"/>
    <w:rsid w:val="008B01E5"/>
    <w:rsid w:val="008B10E3"/>
    <w:rsid w:val="008B1EE1"/>
    <w:rsid w:val="008B1EE9"/>
    <w:rsid w:val="008B2219"/>
    <w:rsid w:val="008B4EF8"/>
    <w:rsid w:val="008B5311"/>
    <w:rsid w:val="008B654C"/>
    <w:rsid w:val="008B79CA"/>
    <w:rsid w:val="008B7D43"/>
    <w:rsid w:val="008C2297"/>
    <w:rsid w:val="008C440B"/>
    <w:rsid w:val="008C5360"/>
    <w:rsid w:val="008C567D"/>
    <w:rsid w:val="008C5986"/>
    <w:rsid w:val="008C5D59"/>
    <w:rsid w:val="008C7114"/>
    <w:rsid w:val="008C787B"/>
    <w:rsid w:val="008D05EB"/>
    <w:rsid w:val="008D0FF3"/>
    <w:rsid w:val="008D1A97"/>
    <w:rsid w:val="008D29A6"/>
    <w:rsid w:val="008D2EF9"/>
    <w:rsid w:val="008D4032"/>
    <w:rsid w:val="008D4238"/>
    <w:rsid w:val="008D494D"/>
    <w:rsid w:val="008D4BAE"/>
    <w:rsid w:val="008D4DB5"/>
    <w:rsid w:val="008D515A"/>
    <w:rsid w:val="008D6529"/>
    <w:rsid w:val="008E0DB9"/>
    <w:rsid w:val="008E1C58"/>
    <w:rsid w:val="008E1D78"/>
    <w:rsid w:val="008E1DE9"/>
    <w:rsid w:val="008E316E"/>
    <w:rsid w:val="008E3B17"/>
    <w:rsid w:val="008E3B7A"/>
    <w:rsid w:val="008E4A08"/>
    <w:rsid w:val="008E5DF4"/>
    <w:rsid w:val="008E625B"/>
    <w:rsid w:val="008E76E9"/>
    <w:rsid w:val="008F05B4"/>
    <w:rsid w:val="008F289D"/>
    <w:rsid w:val="008F2942"/>
    <w:rsid w:val="008F34DA"/>
    <w:rsid w:val="008F3C34"/>
    <w:rsid w:val="008F54F0"/>
    <w:rsid w:val="008F5BB7"/>
    <w:rsid w:val="008F717F"/>
    <w:rsid w:val="008F7ABB"/>
    <w:rsid w:val="009000D8"/>
    <w:rsid w:val="009009C3"/>
    <w:rsid w:val="00900C00"/>
    <w:rsid w:val="00900FAB"/>
    <w:rsid w:val="009012CD"/>
    <w:rsid w:val="0090139E"/>
    <w:rsid w:val="00901B1D"/>
    <w:rsid w:val="00902C3A"/>
    <w:rsid w:val="00903553"/>
    <w:rsid w:val="00903C6A"/>
    <w:rsid w:val="00904F8C"/>
    <w:rsid w:val="009058F3"/>
    <w:rsid w:val="00905A9E"/>
    <w:rsid w:val="0090768C"/>
    <w:rsid w:val="009077DB"/>
    <w:rsid w:val="00907F5F"/>
    <w:rsid w:val="00911D61"/>
    <w:rsid w:val="0091210F"/>
    <w:rsid w:val="00912177"/>
    <w:rsid w:val="009138C8"/>
    <w:rsid w:val="009141A0"/>
    <w:rsid w:val="009148C8"/>
    <w:rsid w:val="00914B5B"/>
    <w:rsid w:val="0091598A"/>
    <w:rsid w:val="00917AAA"/>
    <w:rsid w:val="0092087D"/>
    <w:rsid w:val="00921C29"/>
    <w:rsid w:val="009228C3"/>
    <w:rsid w:val="00922A96"/>
    <w:rsid w:val="009240C4"/>
    <w:rsid w:val="009242B7"/>
    <w:rsid w:val="009245A6"/>
    <w:rsid w:val="0092490D"/>
    <w:rsid w:val="009255BD"/>
    <w:rsid w:val="00925928"/>
    <w:rsid w:val="00930A30"/>
    <w:rsid w:val="009317FF"/>
    <w:rsid w:val="00931EA9"/>
    <w:rsid w:val="0093374D"/>
    <w:rsid w:val="00933AD5"/>
    <w:rsid w:val="00933C93"/>
    <w:rsid w:val="00933CDC"/>
    <w:rsid w:val="00933FF7"/>
    <w:rsid w:val="009347D0"/>
    <w:rsid w:val="00934E9E"/>
    <w:rsid w:val="00934F1E"/>
    <w:rsid w:val="00935489"/>
    <w:rsid w:val="0093574A"/>
    <w:rsid w:val="00935CE5"/>
    <w:rsid w:val="0093626E"/>
    <w:rsid w:val="00936CF7"/>
    <w:rsid w:val="00940887"/>
    <w:rsid w:val="00940D34"/>
    <w:rsid w:val="009417BA"/>
    <w:rsid w:val="00941D58"/>
    <w:rsid w:val="009459DF"/>
    <w:rsid w:val="00950C2E"/>
    <w:rsid w:val="00952DB5"/>
    <w:rsid w:val="009538BE"/>
    <w:rsid w:val="00957D23"/>
    <w:rsid w:val="00957E4B"/>
    <w:rsid w:val="0096094F"/>
    <w:rsid w:val="00960BC9"/>
    <w:rsid w:val="00961271"/>
    <w:rsid w:val="009622BB"/>
    <w:rsid w:val="00963339"/>
    <w:rsid w:val="009648D4"/>
    <w:rsid w:val="00965086"/>
    <w:rsid w:val="00965F10"/>
    <w:rsid w:val="00966D63"/>
    <w:rsid w:val="00967465"/>
    <w:rsid w:val="00970D86"/>
    <w:rsid w:val="00970FDC"/>
    <w:rsid w:val="0097106B"/>
    <w:rsid w:val="00971B97"/>
    <w:rsid w:val="00971ED8"/>
    <w:rsid w:val="00972780"/>
    <w:rsid w:val="00973C76"/>
    <w:rsid w:val="0097450E"/>
    <w:rsid w:val="00974E35"/>
    <w:rsid w:val="00975478"/>
    <w:rsid w:val="00975C95"/>
    <w:rsid w:val="00976340"/>
    <w:rsid w:val="00976821"/>
    <w:rsid w:val="0097719C"/>
    <w:rsid w:val="00980220"/>
    <w:rsid w:val="00980D29"/>
    <w:rsid w:val="009814A8"/>
    <w:rsid w:val="0098318A"/>
    <w:rsid w:val="0098338A"/>
    <w:rsid w:val="00984250"/>
    <w:rsid w:val="009862EE"/>
    <w:rsid w:val="00986F01"/>
    <w:rsid w:val="009900DB"/>
    <w:rsid w:val="00990B2F"/>
    <w:rsid w:val="00991385"/>
    <w:rsid w:val="0099181D"/>
    <w:rsid w:val="00992FE4"/>
    <w:rsid w:val="00993180"/>
    <w:rsid w:val="00995647"/>
    <w:rsid w:val="0099591E"/>
    <w:rsid w:val="00996839"/>
    <w:rsid w:val="00996880"/>
    <w:rsid w:val="00996950"/>
    <w:rsid w:val="00997D83"/>
    <w:rsid w:val="009A168D"/>
    <w:rsid w:val="009A207E"/>
    <w:rsid w:val="009A2218"/>
    <w:rsid w:val="009A2E5C"/>
    <w:rsid w:val="009A418C"/>
    <w:rsid w:val="009A5A64"/>
    <w:rsid w:val="009A5D43"/>
    <w:rsid w:val="009A69C8"/>
    <w:rsid w:val="009A6C6B"/>
    <w:rsid w:val="009B05BA"/>
    <w:rsid w:val="009B0F9A"/>
    <w:rsid w:val="009B2280"/>
    <w:rsid w:val="009B2B84"/>
    <w:rsid w:val="009B2E01"/>
    <w:rsid w:val="009B372B"/>
    <w:rsid w:val="009B46AD"/>
    <w:rsid w:val="009B50CA"/>
    <w:rsid w:val="009B6C7E"/>
    <w:rsid w:val="009B7278"/>
    <w:rsid w:val="009C0BDD"/>
    <w:rsid w:val="009C2710"/>
    <w:rsid w:val="009C28F0"/>
    <w:rsid w:val="009C2B63"/>
    <w:rsid w:val="009C2CEC"/>
    <w:rsid w:val="009C396E"/>
    <w:rsid w:val="009C56F4"/>
    <w:rsid w:val="009C58F0"/>
    <w:rsid w:val="009C6BEF"/>
    <w:rsid w:val="009C6BF0"/>
    <w:rsid w:val="009D1B74"/>
    <w:rsid w:val="009D1FBD"/>
    <w:rsid w:val="009D22E9"/>
    <w:rsid w:val="009D2433"/>
    <w:rsid w:val="009D38E0"/>
    <w:rsid w:val="009D4407"/>
    <w:rsid w:val="009D4634"/>
    <w:rsid w:val="009D5E4B"/>
    <w:rsid w:val="009E04F7"/>
    <w:rsid w:val="009E0EFB"/>
    <w:rsid w:val="009E13FC"/>
    <w:rsid w:val="009E1D3D"/>
    <w:rsid w:val="009E1FDD"/>
    <w:rsid w:val="009E2804"/>
    <w:rsid w:val="009E2EE5"/>
    <w:rsid w:val="009E3C36"/>
    <w:rsid w:val="009E3C65"/>
    <w:rsid w:val="009E6141"/>
    <w:rsid w:val="009E6BEF"/>
    <w:rsid w:val="009E7116"/>
    <w:rsid w:val="009E7813"/>
    <w:rsid w:val="009E7B3F"/>
    <w:rsid w:val="009F086C"/>
    <w:rsid w:val="009F14A0"/>
    <w:rsid w:val="009F1DB8"/>
    <w:rsid w:val="009F24D2"/>
    <w:rsid w:val="009F626E"/>
    <w:rsid w:val="009F66A5"/>
    <w:rsid w:val="009F6A37"/>
    <w:rsid w:val="009F705C"/>
    <w:rsid w:val="009F71EF"/>
    <w:rsid w:val="009F763A"/>
    <w:rsid w:val="009F7E57"/>
    <w:rsid w:val="00A01641"/>
    <w:rsid w:val="00A01C11"/>
    <w:rsid w:val="00A0246E"/>
    <w:rsid w:val="00A030A9"/>
    <w:rsid w:val="00A032AD"/>
    <w:rsid w:val="00A05E07"/>
    <w:rsid w:val="00A0750D"/>
    <w:rsid w:val="00A11F04"/>
    <w:rsid w:val="00A122CB"/>
    <w:rsid w:val="00A1239B"/>
    <w:rsid w:val="00A123B2"/>
    <w:rsid w:val="00A12B7E"/>
    <w:rsid w:val="00A132FD"/>
    <w:rsid w:val="00A13477"/>
    <w:rsid w:val="00A143EE"/>
    <w:rsid w:val="00A150CF"/>
    <w:rsid w:val="00A1635B"/>
    <w:rsid w:val="00A16CE7"/>
    <w:rsid w:val="00A173D2"/>
    <w:rsid w:val="00A20909"/>
    <w:rsid w:val="00A21D42"/>
    <w:rsid w:val="00A224F0"/>
    <w:rsid w:val="00A22D7A"/>
    <w:rsid w:val="00A23CF2"/>
    <w:rsid w:val="00A24A87"/>
    <w:rsid w:val="00A24B6D"/>
    <w:rsid w:val="00A24C4E"/>
    <w:rsid w:val="00A254BB"/>
    <w:rsid w:val="00A2578B"/>
    <w:rsid w:val="00A25F49"/>
    <w:rsid w:val="00A26107"/>
    <w:rsid w:val="00A261BD"/>
    <w:rsid w:val="00A276A3"/>
    <w:rsid w:val="00A277EA"/>
    <w:rsid w:val="00A27C89"/>
    <w:rsid w:val="00A3053B"/>
    <w:rsid w:val="00A30592"/>
    <w:rsid w:val="00A30FD1"/>
    <w:rsid w:val="00A33D0B"/>
    <w:rsid w:val="00A33E8E"/>
    <w:rsid w:val="00A346A1"/>
    <w:rsid w:val="00A35672"/>
    <w:rsid w:val="00A35EDE"/>
    <w:rsid w:val="00A37151"/>
    <w:rsid w:val="00A3721A"/>
    <w:rsid w:val="00A41088"/>
    <w:rsid w:val="00A42EE1"/>
    <w:rsid w:val="00A431CF"/>
    <w:rsid w:val="00A448A6"/>
    <w:rsid w:val="00A454C0"/>
    <w:rsid w:val="00A4596A"/>
    <w:rsid w:val="00A45EF6"/>
    <w:rsid w:val="00A46181"/>
    <w:rsid w:val="00A47461"/>
    <w:rsid w:val="00A47CE7"/>
    <w:rsid w:val="00A509AA"/>
    <w:rsid w:val="00A5251C"/>
    <w:rsid w:val="00A53259"/>
    <w:rsid w:val="00A533C9"/>
    <w:rsid w:val="00A53AAA"/>
    <w:rsid w:val="00A53D67"/>
    <w:rsid w:val="00A53E84"/>
    <w:rsid w:val="00A54CA5"/>
    <w:rsid w:val="00A574B0"/>
    <w:rsid w:val="00A57565"/>
    <w:rsid w:val="00A57745"/>
    <w:rsid w:val="00A6076E"/>
    <w:rsid w:val="00A61E61"/>
    <w:rsid w:val="00A63B97"/>
    <w:rsid w:val="00A64477"/>
    <w:rsid w:val="00A64673"/>
    <w:rsid w:val="00A646E6"/>
    <w:rsid w:val="00A646FD"/>
    <w:rsid w:val="00A64800"/>
    <w:rsid w:val="00A64A6A"/>
    <w:rsid w:val="00A65C02"/>
    <w:rsid w:val="00A65CB8"/>
    <w:rsid w:val="00A6686E"/>
    <w:rsid w:val="00A66C64"/>
    <w:rsid w:val="00A67128"/>
    <w:rsid w:val="00A67953"/>
    <w:rsid w:val="00A67D0B"/>
    <w:rsid w:val="00A67E93"/>
    <w:rsid w:val="00A70BE1"/>
    <w:rsid w:val="00A70EB7"/>
    <w:rsid w:val="00A730F9"/>
    <w:rsid w:val="00A736B3"/>
    <w:rsid w:val="00A739FD"/>
    <w:rsid w:val="00A73F32"/>
    <w:rsid w:val="00A7435B"/>
    <w:rsid w:val="00A74403"/>
    <w:rsid w:val="00A74943"/>
    <w:rsid w:val="00A76236"/>
    <w:rsid w:val="00A76269"/>
    <w:rsid w:val="00A763A1"/>
    <w:rsid w:val="00A800AB"/>
    <w:rsid w:val="00A832B1"/>
    <w:rsid w:val="00A83904"/>
    <w:rsid w:val="00A83CCE"/>
    <w:rsid w:val="00A84CCF"/>
    <w:rsid w:val="00A84E2C"/>
    <w:rsid w:val="00A85194"/>
    <w:rsid w:val="00A91D0D"/>
    <w:rsid w:val="00A9291A"/>
    <w:rsid w:val="00A92A48"/>
    <w:rsid w:val="00A93A43"/>
    <w:rsid w:val="00A951DC"/>
    <w:rsid w:val="00A957F4"/>
    <w:rsid w:val="00A95E4A"/>
    <w:rsid w:val="00A96833"/>
    <w:rsid w:val="00A97748"/>
    <w:rsid w:val="00AA2EB6"/>
    <w:rsid w:val="00AA40F0"/>
    <w:rsid w:val="00AA53D3"/>
    <w:rsid w:val="00AA5411"/>
    <w:rsid w:val="00AA64D6"/>
    <w:rsid w:val="00AA650C"/>
    <w:rsid w:val="00AA7024"/>
    <w:rsid w:val="00AA7543"/>
    <w:rsid w:val="00AB012C"/>
    <w:rsid w:val="00AB21F7"/>
    <w:rsid w:val="00AB279C"/>
    <w:rsid w:val="00AB357F"/>
    <w:rsid w:val="00AB38D0"/>
    <w:rsid w:val="00AB478E"/>
    <w:rsid w:val="00AB4C62"/>
    <w:rsid w:val="00AB5B52"/>
    <w:rsid w:val="00AB5FB9"/>
    <w:rsid w:val="00AB6B8F"/>
    <w:rsid w:val="00AB70EA"/>
    <w:rsid w:val="00AC0A07"/>
    <w:rsid w:val="00AC122C"/>
    <w:rsid w:val="00AC1A64"/>
    <w:rsid w:val="00AC4621"/>
    <w:rsid w:val="00AC4E9A"/>
    <w:rsid w:val="00AC6736"/>
    <w:rsid w:val="00AC7E71"/>
    <w:rsid w:val="00AD132F"/>
    <w:rsid w:val="00AD22DC"/>
    <w:rsid w:val="00AD279F"/>
    <w:rsid w:val="00AD31AE"/>
    <w:rsid w:val="00AD32D9"/>
    <w:rsid w:val="00AD5012"/>
    <w:rsid w:val="00AD6949"/>
    <w:rsid w:val="00AD6E70"/>
    <w:rsid w:val="00AD71EF"/>
    <w:rsid w:val="00AD74A9"/>
    <w:rsid w:val="00AD7BB9"/>
    <w:rsid w:val="00AE0659"/>
    <w:rsid w:val="00AE2772"/>
    <w:rsid w:val="00AE2909"/>
    <w:rsid w:val="00AE3058"/>
    <w:rsid w:val="00AE490A"/>
    <w:rsid w:val="00AE4923"/>
    <w:rsid w:val="00AE4EC2"/>
    <w:rsid w:val="00AE536E"/>
    <w:rsid w:val="00AE5612"/>
    <w:rsid w:val="00AE56F4"/>
    <w:rsid w:val="00AE6407"/>
    <w:rsid w:val="00AE6872"/>
    <w:rsid w:val="00AE6E52"/>
    <w:rsid w:val="00AE70B8"/>
    <w:rsid w:val="00AF0EE6"/>
    <w:rsid w:val="00AF1062"/>
    <w:rsid w:val="00AF1D2C"/>
    <w:rsid w:val="00AF2751"/>
    <w:rsid w:val="00AF3585"/>
    <w:rsid w:val="00AF47E6"/>
    <w:rsid w:val="00AF4847"/>
    <w:rsid w:val="00AF578F"/>
    <w:rsid w:val="00AF595D"/>
    <w:rsid w:val="00B002D3"/>
    <w:rsid w:val="00B00D23"/>
    <w:rsid w:val="00B02B1E"/>
    <w:rsid w:val="00B02DB8"/>
    <w:rsid w:val="00B0312A"/>
    <w:rsid w:val="00B0318A"/>
    <w:rsid w:val="00B0498C"/>
    <w:rsid w:val="00B060DF"/>
    <w:rsid w:val="00B06E93"/>
    <w:rsid w:val="00B076E7"/>
    <w:rsid w:val="00B1039B"/>
    <w:rsid w:val="00B11F78"/>
    <w:rsid w:val="00B12243"/>
    <w:rsid w:val="00B12400"/>
    <w:rsid w:val="00B1279E"/>
    <w:rsid w:val="00B13146"/>
    <w:rsid w:val="00B13A36"/>
    <w:rsid w:val="00B13A7A"/>
    <w:rsid w:val="00B13ADC"/>
    <w:rsid w:val="00B145E7"/>
    <w:rsid w:val="00B14FDA"/>
    <w:rsid w:val="00B15012"/>
    <w:rsid w:val="00B1570B"/>
    <w:rsid w:val="00B17503"/>
    <w:rsid w:val="00B17789"/>
    <w:rsid w:val="00B20423"/>
    <w:rsid w:val="00B20935"/>
    <w:rsid w:val="00B21AE8"/>
    <w:rsid w:val="00B221B4"/>
    <w:rsid w:val="00B2266C"/>
    <w:rsid w:val="00B2398D"/>
    <w:rsid w:val="00B243C6"/>
    <w:rsid w:val="00B2446B"/>
    <w:rsid w:val="00B248C4"/>
    <w:rsid w:val="00B259B1"/>
    <w:rsid w:val="00B25F27"/>
    <w:rsid w:val="00B2624E"/>
    <w:rsid w:val="00B26963"/>
    <w:rsid w:val="00B27FCF"/>
    <w:rsid w:val="00B32835"/>
    <w:rsid w:val="00B328F9"/>
    <w:rsid w:val="00B33AAB"/>
    <w:rsid w:val="00B34632"/>
    <w:rsid w:val="00B3491B"/>
    <w:rsid w:val="00B35D93"/>
    <w:rsid w:val="00B361B2"/>
    <w:rsid w:val="00B366F7"/>
    <w:rsid w:val="00B36FDE"/>
    <w:rsid w:val="00B370D4"/>
    <w:rsid w:val="00B37B27"/>
    <w:rsid w:val="00B37CAD"/>
    <w:rsid w:val="00B37DF2"/>
    <w:rsid w:val="00B409CB"/>
    <w:rsid w:val="00B43DA4"/>
    <w:rsid w:val="00B44338"/>
    <w:rsid w:val="00B44918"/>
    <w:rsid w:val="00B46C51"/>
    <w:rsid w:val="00B5028E"/>
    <w:rsid w:val="00B536D4"/>
    <w:rsid w:val="00B54B96"/>
    <w:rsid w:val="00B54E20"/>
    <w:rsid w:val="00B54E31"/>
    <w:rsid w:val="00B5508E"/>
    <w:rsid w:val="00B55474"/>
    <w:rsid w:val="00B559FF"/>
    <w:rsid w:val="00B57119"/>
    <w:rsid w:val="00B57307"/>
    <w:rsid w:val="00B57968"/>
    <w:rsid w:val="00B57999"/>
    <w:rsid w:val="00B57E2F"/>
    <w:rsid w:val="00B600B6"/>
    <w:rsid w:val="00B62238"/>
    <w:rsid w:val="00B62413"/>
    <w:rsid w:val="00B62D7D"/>
    <w:rsid w:val="00B63E2D"/>
    <w:rsid w:val="00B63FF2"/>
    <w:rsid w:val="00B64274"/>
    <w:rsid w:val="00B655C4"/>
    <w:rsid w:val="00B65C8E"/>
    <w:rsid w:val="00B70B95"/>
    <w:rsid w:val="00B71282"/>
    <w:rsid w:val="00B723BA"/>
    <w:rsid w:val="00B733FC"/>
    <w:rsid w:val="00B73AB0"/>
    <w:rsid w:val="00B740DD"/>
    <w:rsid w:val="00B74F93"/>
    <w:rsid w:val="00B754E1"/>
    <w:rsid w:val="00B75BC9"/>
    <w:rsid w:val="00B774E0"/>
    <w:rsid w:val="00B776EF"/>
    <w:rsid w:val="00B80496"/>
    <w:rsid w:val="00B81BAF"/>
    <w:rsid w:val="00B81C2E"/>
    <w:rsid w:val="00B81D74"/>
    <w:rsid w:val="00B81EA7"/>
    <w:rsid w:val="00B822A7"/>
    <w:rsid w:val="00B828E6"/>
    <w:rsid w:val="00B832A5"/>
    <w:rsid w:val="00B83F4B"/>
    <w:rsid w:val="00B841C7"/>
    <w:rsid w:val="00B847A7"/>
    <w:rsid w:val="00B858EF"/>
    <w:rsid w:val="00B868FF"/>
    <w:rsid w:val="00B874C3"/>
    <w:rsid w:val="00B87656"/>
    <w:rsid w:val="00B902A1"/>
    <w:rsid w:val="00B918DA"/>
    <w:rsid w:val="00B91B8D"/>
    <w:rsid w:val="00B91F68"/>
    <w:rsid w:val="00B933DC"/>
    <w:rsid w:val="00B93880"/>
    <w:rsid w:val="00B94751"/>
    <w:rsid w:val="00B95706"/>
    <w:rsid w:val="00B95F26"/>
    <w:rsid w:val="00B96087"/>
    <w:rsid w:val="00BA14AC"/>
    <w:rsid w:val="00BA1E8F"/>
    <w:rsid w:val="00BA235D"/>
    <w:rsid w:val="00BA4142"/>
    <w:rsid w:val="00BA42C9"/>
    <w:rsid w:val="00BA430C"/>
    <w:rsid w:val="00BA4726"/>
    <w:rsid w:val="00BA4B00"/>
    <w:rsid w:val="00BA4B87"/>
    <w:rsid w:val="00BA5037"/>
    <w:rsid w:val="00BA50C2"/>
    <w:rsid w:val="00BA62D7"/>
    <w:rsid w:val="00BA6586"/>
    <w:rsid w:val="00BA6A79"/>
    <w:rsid w:val="00BA7D18"/>
    <w:rsid w:val="00BB1BBE"/>
    <w:rsid w:val="00BB3DC7"/>
    <w:rsid w:val="00BB44E7"/>
    <w:rsid w:val="00BB4871"/>
    <w:rsid w:val="00BB7FC2"/>
    <w:rsid w:val="00BC021E"/>
    <w:rsid w:val="00BC0856"/>
    <w:rsid w:val="00BC0BD4"/>
    <w:rsid w:val="00BC0CD4"/>
    <w:rsid w:val="00BC1BD4"/>
    <w:rsid w:val="00BC2183"/>
    <w:rsid w:val="00BC31EF"/>
    <w:rsid w:val="00BC33F6"/>
    <w:rsid w:val="00BC650C"/>
    <w:rsid w:val="00BC6DF5"/>
    <w:rsid w:val="00BD0BDC"/>
    <w:rsid w:val="00BD12B3"/>
    <w:rsid w:val="00BD1ABD"/>
    <w:rsid w:val="00BD3066"/>
    <w:rsid w:val="00BD4460"/>
    <w:rsid w:val="00BD4DC8"/>
    <w:rsid w:val="00BD4DD3"/>
    <w:rsid w:val="00BD53A3"/>
    <w:rsid w:val="00BD5ACD"/>
    <w:rsid w:val="00BD6090"/>
    <w:rsid w:val="00BD6496"/>
    <w:rsid w:val="00BD6AB5"/>
    <w:rsid w:val="00BD6C72"/>
    <w:rsid w:val="00BD737A"/>
    <w:rsid w:val="00BD7809"/>
    <w:rsid w:val="00BE048A"/>
    <w:rsid w:val="00BE0C61"/>
    <w:rsid w:val="00BE141C"/>
    <w:rsid w:val="00BE176C"/>
    <w:rsid w:val="00BE31B8"/>
    <w:rsid w:val="00BF0A17"/>
    <w:rsid w:val="00BF0AFC"/>
    <w:rsid w:val="00BF14FF"/>
    <w:rsid w:val="00BF1567"/>
    <w:rsid w:val="00BF1F01"/>
    <w:rsid w:val="00BF3A49"/>
    <w:rsid w:val="00BF439C"/>
    <w:rsid w:val="00BF4A86"/>
    <w:rsid w:val="00BF50A2"/>
    <w:rsid w:val="00C0063A"/>
    <w:rsid w:val="00C00C4C"/>
    <w:rsid w:val="00C00D4F"/>
    <w:rsid w:val="00C00F36"/>
    <w:rsid w:val="00C014AA"/>
    <w:rsid w:val="00C01F3D"/>
    <w:rsid w:val="00C04C6B"/>
    <w:rsid w:val="00C05023"/>
    <w:rsid w:val="00C0536B"/>
    <w:rsid w:val="00C05517"/>
    <w:rsid w:val="00C05D9D"/>
    <w:rsid w:val="00C065D3"/>
    <w:rsid w:val="00C06959"/>
    <w:rsid w:val="00C10274"/>
    <w:rsid w:val="00C1098E"/>
    <w:rsid w:val="00C112C9"/>
    <w:rsid w:val="00C121CE"/>
    <w:rsid w:val="00C12652"/>
    <w:rsid w:val="00C12A9A"/>
    <w:rsid w:val="00C12AEE"/>
    <w:rsid w:val="00C13548"/>
    <w:rsid w:val="00C15153"/>
    <w:rsid w:val="00C16B77"/>
    <w:rsid w:val="00C17547"/>
    <w:rsid w:val="00C2039A"/>
    <w:rsid w:val="00C21398"/>
    <w:rsid w:val="00C2155C"/>
    <w:rsid w:val="00C21E12"/>
    <w:rsid w:val="00C2218E"/>
    <w:rsid w:val="00C24661"/>
    <w:rsid w:val="00C25377"/>
    <w:rsid w:val="00C25D92"/>
    <w:rsid w:val="00C26743"/>
    <w:rsid w:val="00C26B2D"/>
    <w:rsid w:val="00C26B9D"/>
    <w:rsid w:val="00C27F92"/>
    <w:rsid w:val="00C302D2"/>
    <w:rsid w:val="00C31BB8"/>
    <w:rsid w:val="00C31F07"/>
    <w:rsid w:val="00C332BF"/>
    <w:rsid w:val="00C3442E"/>
    <w:rsid w:val="00C35176"/>
    <w:rsid w:val="00C355A8"/>
    <w:rsid w:val="00C355C1"/>
    <w:rsid w:val="00C3622F"/>
    <w:rsid w:val="00C36378"/>
    <w:rsid w:val="00C378C5"/>
    <w:rsid w:val="00C37BE8"/>
    <w:rsid w:val="00C41102"/>
    <w:rsid w:val="00C43A63"/>
    <w:rsid w:val="00C44329"/>
    <w:rsid w:val="00C46639"/>
    <w:rsid w:val="00C4672B"/>
    <w:rsid w:val="00C468D4"/>
    <w:rsid w:val="00C46AFD"/>
    <w:rsid w:val="00C506DB"/>
    <w:rsid w:val="00C50BE9"/>
    <w:rsid w:val="00C514D3"/>
    <w:rsid w:val="00C52033"/>
    <w:rsid w:val="00C52959"/>
    <w:rsid w:val="00C537BA"/>
    <w:rsid w:val="00C53C48"/>
    <w:rsid w:val="00C548AE"/>
    <w:rsid w:val="00C55D92"/>
    <w:rsid w:val="00C575D4"/>
    <w:rsid w:val="00C57BD0"/>
    <w:rsid w:val="00C63CEC"/>
    <w:rsid w:val="00C6558D"/>
    <w:rsid w:val="00C665FD"/>
    <w:rsid w:val="00C707BF"/>
    <w:rsid w:val="00C70B47"/>
    <w:rsid w:val="00C70BE0"/>
    <w:rsid w:val="00C7157E"/>
    <w:rsid w:val="00C71EA8"/>
    <w:rsid w:val="00C72A72"/>
    <w:rsid w:val="00C72C88"/>
    <w:rsid w:val="00C72D54"/>
    <w:rsid w:val="00C7351F"/>
    <w:rsid w:val="00C74F9C"/>
    <w:rsid w:val="00C75215"/>
    <w:rsid w:val="00C75523"/>
    <w:rsid w:val="00C75765"/>
    <w:rsid w:val="00C7691B"/>
    <w:rsid w:val="00C77096"/>
    <w:rsid w:val="00C7752D"/>
    <w:rsid w:val="00C775F5"/>
    <w:rsid w:val="00C80ECB"/>
    <w:rsid w:val="00C81B0A"/>
    <w:rsid w:val="00C82DF0"/>
    <w:rsid w:val="00C84F37"/>
    <w:rsid w:val="00C8515F"/>
    <w:rsid w:val="00C8680A"/>
    <w:rsid w:val="00C86CE4"/>
    <w:rsid w:val="00C8787F"/>
    <w:rsid w:val="00C91925"/>
    <w:rsid w:val="00C9385B"/>
    <w:rsid w:val="00C9420F"/>
    <w:rsid w:val="00C94765"/>
    <w:rsid w:val="00C94AA3"/>
    <w:rsid w:val="00C95B3A"/>
    <w:rsid w:val="00C961FC"/>
    <w:rsid w:val="00C9636E"/>
    <w:rsid w:val="00C970FA"/>
    <w:rsid w:val="00C974C3"/>
    <w:rsid w:val="00C97913"/>
    <w:rsid w:val="00CA069E"/>
    <w:rsid w:val="00CA1B41"/>
    <w:rsid w:val="00CA3B2C"/>
    <w:rsid w:val="00CA3FB0"/>
    <w:rsid w:val="00CA57BD"/>
    <w:rsid w:val="00CA6A28"/>
    <w:rsid w:val="00CA6DC5"/>
    <w:rsid w:val="00CA798B"/>
    <w:rsid w:val="00CB013C"/>
    <w:rsid w:val="00CB08FF"/>
    <w:rsid w:val="00CB09E3"/>
    <w:rsid w:val="00CB1279"/>
    <w:rsid w:val="00CB158E"/>
    <w:rsid w:val="00CB1C47"/>
    <w:rsid w:val="00CB260A"/>
    <w:rsid w:val="00CB2696"/>
    <w:rsid w:val="00CB2CAC"/>
    <w:rsid w:val="00CB50D7"/>
    <w:rsid w:val="00CB5A82"/>
    <w:rsid w:val="00CB6439"/>
    <w:rsid w:val="00CB772B"/>
    <w:rsid w:val="00CC089F"/>
    <w:rsid w:val="00CC1021"/>
    <w:rsid w:val="00CC28C9"/>
    <w:rsid w:val="00CC52E3"/>
    <w:rsid w:val="00CC5330"/>
    <w:rsid w:val="00CC60D1"/>
    <w:rsid w:val="00CC6187"/>
    <w:rsid w:val="00CC675C"/>
    <w:rsid w:val="00CC68BF"/>
    <w:rsid w:val="00CC6F54"/>
    <w:rsid w:val="00CD08F6"/>
    <w:rsid w:val="00CD0DE2"/>
    <w:rsid w:val="00CD16F4"/>
    <w:rsid w:val="00CD1AE0"/>
    <w:rsid w:val="00CD2E5F"/>
    <w:rsid w:val="00CD333F"/>
    <w:rsid w:val="00CD4FE9"/>
    <w:rsid w:val="00CD5098"/>
    <w:rsid w:val="00CD557D"/>
    <w:rsid w:val="00CD679F"/>
    <w:rsid w:val="00CD6A7D"/>
    <w:rsid w:val="00CD7448"/>
    <w:rsid w:val="00CD7876"/>
    <w:rsid w:val="00CD795D"/>
    <w:rsid w:val="00CE0E5C"/>
    <w:rsid w:val="00CE17F7"/>
    <w:rsid w:val="00CE1A8B"/>
    <w:rsid w:val="00CE23EB"/>
    <w:rsid w:val="00CE240E"/>
    <w:rsid w:val="00CE4826"/>
    <w:rsid w:val="00CE51D2"/>
    <w:rsid w:val="00CE612A"/>
    <w:rsid w:val="00CE6A06"/>
    <w:rsid w:val="00CF0114"/>
    <w:rsid w:val="00CF055C"/>
    <w:rsid w:val="00CF06F7"/>
    <w:rsid w:val="00CF2865"/>
    <w:rsid w:val="00CF2E74"/>
    <w:rsid w:val="00CF41AB"/>
    <w:rsid w:val="00CF4324"/>
    <w:rsid w:val="00CF4857"/>
    <w:rsid w:val="00CF535A"/>
    <w:rsid w:val="00CF619B"/>
    <w:rsid w:val="00CF639A"/>
    <w:rsid w:val="00CF6A46"/>
    <w:rsid w:val="00CF751B"/>
    <w:rsid w:val="00CF76BF"/>
    <w:rsid w:val="00CF7E2C"/>
    <w:rsid w:val="00D00300"/>
    <w:rsid w:val="00D007A5"/>
    <w:rsid w:val="00D00EC9"/>
    <w:rsid w:val="00D01132"/>
    <w:rsid w:val="00D01390"/>
    <w:rsid w:val="00D019DA"/>
    <w:rsid w:val="00D02814"/>
    <w:rsid w:val="00D03623"/>
    <w:rsid w:val="00D041E6"/>
    <w:rsid w:val="00D05706"/>
    <w:rsid w:val="00D06106"/>
    <w:rsid w:val="00D10907"/>
    <w:rsid w:val="00D10EA8"/>
    <w:rsid w:val="00D11D0C"/>
    <w:rsid w:val="00D127C2"/>
    <w:rsid w:val="00D136C3"/>
    <w:rsid w:val="00D14269"/>
    <w:rsid w:val="00D15841"/>
    <w:rsid w:val="00D1676E"/>
    <w:rsid w:val="00D178E0"/>
    <w:rsid w:val="00D22384"/>
    <w:rsid w:val="00D22DBE"/>
    <w:rsid w:val="00D231C6"/>
    <w:rsid w:val="00D24169"/>
    <w:rsid w:val="00D2495A"/>
    <w:rsid w:val="00D25243"/>
    <w:rsid w:val="00D26248"/>
    <w:rsid w:val="00D27BC3"/>
    <w:rsid w:val="00D32410"/>
    <w:rsid w:val="00D32591"/>
    <w:rsid w:val="00D32C59"/>
    <w:rsid w:val="00D347A8"/>
    <w:rsid w:val="00D35448"/>
    <w:rsid w:val="00D3560F"/>
    <w:rsid w:val="00D358B7"/>
    <w:rsid w:val="00D43820"/>
    <w:rsid w:val="00D448FD"/>
    <w:rsid w:val="00D452DB"/>
    <w:rsid w:val="00D4614B"/>
    <w:rsid w:val="00D4635C"/>
    <w:rsid w:val="00D50332"/>
    <w:rsid w:val="00D50419"/>
    <w:rsid w:val="00D51034"/>
    <w:rsid w:val="00D52837"/>
    <w:rsid w:val="00D53598"/>
    <w:rsid w:val="00D53F70"/>
    <w:rsid w:val="00D5578C"/>
    <w:rsid w:val="00D55E50"/>
    <w:rsid w:val="00D56E41"/>
    <w:rsid w:val="00D57165"/>
    <w:rsid w:val="00D57FF1"/>
    <w:rsid w:val="00D61B9E"/>
    <w:rsid w:val="00D62443"/>
    <w:rsid w:val="00D626AB"/>
    <w:rsid w:val="00D64898"/>
    <w:rsid w:val="00D660C9"/>
    <w:rsid w:val="00D6642E"/>
    <w:rsid w:val="00D6728F"/>
    <w:rsid w:val="00D6764A"/>
    <w:rsid w:val="00D6797F"/>
    <w:rsid w:val="00D67DDB"/>
    <w:rsid w:val="00D72FBD"/>
    <w:rsid w:val="00D74258"/>
    <w:rsid w:val="00D757B2"/>
    <w:rsid w:val="00D75AC1"/>
    <w:rsid w:val="00D75FB9"/>
    <w:rsid w:val="00D763BE"/>
    <w:rsid w:val="00D768E5"/>
    <w:rsid w:val="00D76CE2"/>
    <w:rsid w:val="00D776E6"/>
    <w:rsid w:val="00D80B32"/>
    <w:rsid w:val="00D81322"/>
    <w:rsid w:val="00D81431"/>
    <w:rsid w:val="00D839A6"/>
    <w:rsid w:val="00D844CF"/>
    <w:rsid w:val="00D85131"/>
    <w:rsid w:val="00D866B4"/>
    <w:rsid w:val="00D869D0"/>
    <w:rsid w:val="00D878AA"/>
    <w:rsid w:val="00D87D1A"/>
    <w:rsid w:val="00D9212D"/>
    <w:rsid w:val="00D92BFF"/>
    <w:rsid w:val="00D93F20"/>
    <w:rsid w:val="00D94556"/>
    <w:rsid w:val="00D955F6"/>
    <w:rsid w:val="00D96FF1"/>
    <w:rsid w:val="00D97103"/>
    <w:rsid w:val="00D97EB9"/>
    <w:rsid w:val="00DA0699"/>
    <w:rsid w:val="00DA1F41"/>
    <w:rsid w:val="00DA2087"/>
    <w:rsid w:val="00DA2FD2"/>
    <w:rsid w:val="00DA442D"/>
    <w:rsid w:val="00DA4DC9"/>
    <w:rsid w:val="00DA6F6F"/>
    <w:rsid w:val="00DB34CF"/>
    <w:rsid w:val="00DB3E32"/>
    <w:rsid w:val="00DB4390"/>
    <w:rsid w:val="00DB553A"/>
    <w:rsid w:val="00DB6D30"/>
    <w:rsid w:val="00DB7515"/>
    <w:rsid w:val="00DC001E"/>
    <w:rsid w:val="00DC0B3B"/>
    <w:rsid w:val="00DC1D1F"/>
    <w:rsid w:val="00DC244B"/>
    <w:rsid w:val="00DC4075"/>
    <w:rsid w:val="00DC4340"/>
    <w:rsid w:val="00DC4403"/>
    <w:rsid w:val="00DC4812"/>
    <w:rsid w:val="00DC6B08"/>
    <w:rsid w:val="00DC7F6D"/>
    <w:rsid w:val="00DD0646"/>
    <w:rsid w:val="00DD0764"/>
    <w:rsid w:val="00DD18DE"/>
    <w:rsid w:val="00DD1BC8"/>
    <w:rsid w:val="00DD34D1"/>
    <w:rsid w:val="00DD3CB7"/>
    <w:rsid w:val="00DD4317"/>
    <w:rsid w:val="00DD48AB"/>
    <w:rsid w:val="00DD51F1"/>
    <w:rsid w:val="00DD581B"/>
    <w:rsid w:val="00DD5874"/>
    <w:rsid w:val="00DD6813"/>
    <w:rsid w:val="00DD7634"/>
    <w:rsid w:val="00DE064F"/>
    <w:rsid w:val="00DE093F"/>
    <w:rsid w:val="00DE1367"/>
    <w:rsid w:val="00DE1B1C"/>
    <w:rsid w:val="00DE1D45"/>
    <w:rsid w:val="00DE4F6E"/>
    <w:rsid w:val="00DE4FD3"/>
    <w:rsid w:val="00DE52BC"/>
    <w:rsid w:val="00DE55D7"/>
    <w:rsid w:val="00DE6E70"/>
    <w:rsid w:val="00DE6E81"/>
    <w:rsid w:val="00DF0353"/>
    <w:rsid w:val="00DF277C"/>
    <w:rsid w:val="00DF3C22"/>
    <w:rsid w:val="00DF3D4F"/>
    <w:rsid w:val="00DF44B3"/>
    <w:rsid w:val="00DF4BBC"/>
    <w:rsid w:val="00DF5850"/>
    <w:rsid w:val="00DF5D10"/>
    <w:rsid w:val="00DF695F"/>
    <w:rsid w:val="00DF74DF"/>
    <w:rsid w:val="00E00085"/>
    <w:rsid w:val="00E00713"/>
    <w:rsid w:val="00E00815"/>
    <w:rsid w:val="00E00995"/>
    <w:rsid w:val="00E0229F"/>
    <w:rsid w:val="00E02B4B"/>
    <w:rsid w:val="00E032D1"/>
    <w:rsid w:val="00E04477"/>
    <w:rsid w:val="00E05B6E"/>
    <w:rsid w:val="00E075EF"/>
    <w:rsid w:val="00E102A0"/>
    <w:rsid w:val="00E10588"/>
    <w:rsid w:val="00E122D9"/>
    <w:rsid w:val="00E12C22"/>
    <w:rsid w:val="00E132EC"/>
    <w:rsid w:val="00E137DE"/>
    <w:rsid w:val="00E13F7E"/>
    <w:rsid w:val="00E144E2"/>
    <w:rsid w:val="00E145B0"/>
    <w:rsid w:val="00E1528F"/>
    <w:rsid w:val="00E15491"/>
    <w:rsid w:val="00E15800"/>
    <w:rsid w:val="00E1659A"/>
    <w:rsid w:val="00E166E5"/>
    <w:rsid w:val="00E174E9"/>
    <w:rsid w:val="00E175FB"/>
    <w:rsid w:val="00E17E52"/>
    <w:rsid w:val="00E208D9"/>
    <w:rsid w:val="00E20ACA"/>
    <w:rsid w:val="00E21057"/>
    <w:rsid w:val="00E21518"/>
    <w:rsid w:val="00E21655"/>
    <w:rsid w:val="00E21768"/>
    <w:rsid w:val="00E2196A"/>
    <w:rsid w:val="00E22335"/>
    <w:rsid w:val="00E22BE6"/>
    <w:rsid w:val="00E23FAD"/>
    <w:rsid w:val="00E252CA"/>
    <w:rsid w:val="00E25B8C"/>
    <w:rsid w:val="00E25D51"/>
    <w:rsid w:val="00E2614A"/>
    <w:rsid w:val="00E26507"/>
    <w:rsid w:val="00E2675F"/>
    <w:rsid w:val="00E26A5A"/>
    <w:rsid w:val="00E27F26"/>
    <w:rsid w:val="00E30552"/>
    <w:rsid w:val="00E32921"/>
    <w:rsid w:val="00E3355B"/>
    <w:rsid w:val="00E36453"/>
    <w:rsid w:val="00E36A9D"/>
    <w:rsid w:val="00E37822"/>
    <w:rsid w:val="00E37B73"/>
    <w:rsid w:val="00E37D54"/>
    <w:rsid w:val="00E37E60"/>
    <w:rsid w:val="00E40637"/>
    <w:rsid w:val="00E4151B"/>
    <w:rsid w:val="00E41603"/>
    <w:rsid w:val="00E41611"/>
    <w:rsid w:val="00E41AE6"/>
    <w:rsid w:val="00E426BC"/>
    <w:rsid w:val="00E4382D"/>
    <w:rsid w:val="00E438A9"/>
    <w:rsid w:val="00E43C46"/>
    <w:rsid w:val="00E448A3"/>
    <w:rsid w:val="00E47F5D"/>
    <w:rsid w:val="00E51183"/>
    <w:rsid w:val="00E512B1"/>
    <w:rsid w:val="00E5170D"/>
    <w:rsid w:val="00E51843"/>
    <w:rsid w:val="00E51D51"/>
    <w:rsid w:val="00E537C5"/>
    <w:rsid w:val="00E53A3B"/>
    <w:rsid w:val="00E53ECF"/>
    <w:rsid w:val="00E547DE"/>
    <w:rsid w:val="00E54923"/>
    <w:rsid w:val="00E60CE7"/>
    <w:rsid w:val="00E61304"/>
    <w:rsid w:val="00E6148C"/>
    <w:rsid w:val="00E615AB"/>
    <w:rsid w:val="00E63669"/>
    <w:rsid w:val="00E67247"/>
    <w:rsid w:val="00E67D55"/>
    <w:rsid w:val="00E70E0F"/>
    <w:rsid w:val="00E71573"/>
    <w:rsid w:val="00E717CD"/>
    <w:rsid w:val="00E72FFD"/>
    <w:rsid w:val="00E73991"/>
    <w:rsid w:val="00E75F45"/>
    <w:rsid w:val="00E75FF8"/>
    <w:rsid w:val="00E76D64"/>
    <w:rsid w:val="00E76EDD"/>
    <w:rsid w:val="00E77221"/>
    <w:rsid w:val="00E7734E"/>
    <w:rsid w:val="00E804E2"/>
    <w:rsid w:val="00E81627"/>
    <w:rsid w:val="00E81C49"/>
    <w:rsid w:val="00E81E97"/>
    <w:rsid w:val="00E83160"/>
    <w:rsid w:val="00E85196"/>
    <w:rsid w:val="00E86100"/>
    <w:rsid w:val="00E865B8"/>
    <w:rsid w:val="00E86A4A"/>
    <w:rsid w:val="00E87612"/>
    <w:rsid w:val="00E914B5"/>
    <w:rsid w:val="00E92D49"/>
    <w:rsid w:val="00E92F0A"/>
    <w:rsid w:val="00E93231"/>
    <w:rsid w:val="00E93863"/>
    <w:rsid w:val="00E95125"/>
    <w:rsid w:val="00E95B25"/>
    <w:rsid w:val="00E96590"/>
    <w:rsid w:val="00E96895"/>
    <w:rsid w:val="00E96BD6"/>
    <w:rsid w:val="00E96DFD"/>
    <w:rsid w:val="00E97742"/>
    <w:rsid w:val="00E97D01"/>
    <w:rsid w:val="00EA00AA"/>
    <w:rsid w:val="00EA17C4"/>
    <w:rsid w:val="00EA23BF"/>
    <w:rsid w:val="00EA23F2"/>
    <w:rsid w:val="00EA2F8A"/>
    <w:rsid w:val="00EA34F6"/>
    <w:rsid w:val="00EA3FD8"/>
    <w:rsid w:val="00EA7342"/>
    <w:rsid w:val="00EA7349"/>
    <w:rsid w:val="00EB04EE"/>
    <w:rsid w:val="00EB07BB"/>
    <w:rsid w:val="00EB1B58"/>
    <w:rsid w:val="00EB2589"/>
    <w:rsid w:val="00EB2633"/>
    <w:rsid w:val="00EB2DEA"/>
    <w:rsid w:val="00EB3137"/>
    <w:rsid w:val="00EB325B"/>
    <w:rsid w:val="00EB45C3"/>
    <w:rsid w:val="00EB5603"/>
    <w:rsid w:val="00EB5DB8"/>
    <w:rsid w:val="00EB6A26"/>
    <w:rsid w:val="00EB6EFA"/>
    <w:rsid w:val="00EB77B1"/>
    <w:rsid w:val="00EB7EDB"/>
    <w:rsid w:val="00EC12D3"/>
    <w:rsid w:val="00EC159E"/>
    <w:rsid w:val="00EC2E13"/>
    <w:rsid w:val="00EC3964"/>
    <w:rsid w:val="00EC44DC"/>
    <w:rsid w:val="00EC4A39"/>
    <w:rsid w:val="00EC4D14"/>
    <w:rsid w:val="00EC51BC"/>
    <w:rsid w:val="00EC5B35"/>
    <w:rsid w:val="00EC61A6"/>
    <w:rsid w:val="00EC6CC6"/>
    <w:rsid w:val="00EC6E67"/>
    <w:rsid w:val="00EC7147"/>
    <w:rsid w:val="00EC7888"/>
    <w:rsid w:val="00EC78EA"/>
    <w:rsid w:val="00EC7A7E"/>
    <w:rsid w:val="00ED0377"/>
    <w:rsid w:val="00ED1858"/>
    <w:rsid w:val="00ED24F7"/>
    <w:rsid w:val="00ED3374"/>
    <w:rsid w:val="00ED36B7"/>
    <w:rsid w:val="00ED5AC1"/>
    <w:rsid w:val="00ED5B81"/>
    <w:rsid w:val="00ED5D46"/>
    <w:rsid w:val="00EE1D26"/>
    <w:rsid w:val="00EE20B8"/>
    <w:rsid w:val="00EE2426"/>
    <w:rsid w:val="00EE2464"/>
    <w:rsid w:val="00EE38C1"/>
    <w:rsid w:val="00EF04C8"/>
    <w:rsid w:val="00EF0BCE"/>
    <w:rsid w:val="00EF13DB"/>
    <w:rsid w:val="00EF1CD4"/>
    <w:rsid w:val="00EF335B"/>
    <w:rsid w:val="00EF3495"/>
    <w:rsid w:val="00EF3C55"/>
    <w:rsid w:val="00EF4B1B"/>
    <w:rsid w:val="00EF5049"/>
    <w:rsid w:val="00EF58D9"/>
    <w:rsid w:val="00EF5BA2"/>
    <w:rsid w:val="00EF756D"/>
    <w:rsid w:val="00EF7584"/>
    <w:rsid w:val="00F0107C"/>
    <w:rsid w:val="00F018FC"/>
    <w:rsid w:val="00F01C51"/>
    <w:rsid w:val="00F01E94"/>
    <w:rsid w:val="00F04573"/>
    <w:rsid w:val="00F0509F"/>
    <w:rsid w:val="00F057C9"/>
    <w:rsid w:val="00F05F45"/>
    <w:rsid w:val="00F06AC9"/>
    <w:rsid w:val="00F11102"/>
    <w:rsid w:val="00F1187B"/>
    <w:rsid w:val="00F12A6E"/>
    <w:rsid w:val="00F12F2B"/>
    <w:rsid w:val="00F1334C"/>
    <w:rsid w:val="00F14066"/>
    <w:rsid w:val="00F144BB"/>
    <w:rsid w:val="00F17377"/>
    <w:rsid w:val="00F177B2"/>
    <w:rsid w:val="00F20EBB"/>
    <w:rsid w:val="00F24836"/>
    <w:rsid w:val="00F25294"/>
    <w:rsid w:val="00F257CB"/>
    <w:rsid w:val="00F25E02"/>
    <w:rsid w:val="00F262AF"/>
    <w:rsid w:val="00F26335"/>
    <w:rsid w:val="00F269D0"/>
    <w:rsid w:val="00F27063"/>
    <w:rsid w:val="00F272F1"/>
    <w:rsid w:val="00F27638"/>
    <w:rsid w:val="00F301E7"/>
    <w:rsid w:val="00F3081B"/>
    <w:rsid w:val="00F31AB0"/>
    <w:rsid w:val="00F31FA4"/>
    <w:rsid w:val="00F32A84"/>
    <w:rsid w:val="00F332AB"/>
    <w:rsid w:val="00F334F8"/>
    <w:rsid w:val="00F33779"/>
    <w:rsid w:val="00F3517A"/>
    <w:rsid w:val="00F35829"/>
    <w:rsid w:val="00F36469"/>
    <w:rsid w:val="00F36F75"/>
    <w:rsid w:val="00F37493"/>
    <w:rsid w:val="00F37B1F"/>
    <w:rsid w:val="00F405CA"/>
    <w:rsid w:val="00F4145F"/>
    <w:rsid w:val="00F41A90"/>
    <w:rsid w:val="00F41E85"/>
    <w:rsid w:val="00F42B7B"/>
    <w:rsid w:val="00F43707"/>
    <w:rsid w:val="00F44E11"/>
    <w:rsid w:val="00F44E2D"/>
    <w:rsid w:val="00F45AB7"/>
    <w:rsid w:val="00F46AAC"/>
    <w:rsid w:val="00F474A6"/>
    <w:rsid w:val="00F477A7"/>
    <w:rsid w:val="00F506BE"/>
    <w:rsid w:val="00F50BFE"/>
    <w:rsid w:val="00F50C35"/>
    <w:rsid w:val="00F52163"/>
    <w:rsid w:val="00F52250"/>
    <w:rsid w:val="00F526EF"/>
    <w:rsid w:val="00F52825"/>
    <w:rsid w:val="00F52AA9"/>
    <w:rsid w:val="00F54D91"/>
    <w:rsid w:val="00F55DE3"/>
    <w:rsid w:val="00F55EBC"/>
    <w:rsid w:val="00F5686A"/>
    <w:rsid w:val="00F62F00"/>
    <w:rsid w:val="00F63CAF"/>
    <w:rsid w:val="00F63FE2"/>
    <w:rsid w:val="00F64134"/>
    <w:rsid w:val="00F66275"/>
    <w:rsid w:val="00F66C1F"/>
    <w:rsid w:val="00F67D70"/>
    <w:rsid w:val="00F67DBE"/>
    <w:rsid w:val="00F67DF3"/>
    <w:rsid w:val="00F70B23"/>
    <w:rsid w:val="00F70FB9"/>
    <w:rsid w:val="00F71A49"/>
    <w:rsid w:val="00F71FE3"/>
    <w:rsid w:val="00F72CAB"/>
    <w:rsid w:val="00F7721B"/>
    <w:rsid w:val="00F802EE"/>
    <w:rsid w:val="00F810CF"/>
    <w:rsid w:val="00F821CD"/>
    <w:rsid w:val="00F82B1B"/>
    <w:rsid w:val="00F83E48"/>
    <w:rsid w:val="00F84FB1"/>
    <w:rsid w:val="00F9083C"/>
    <w:rsid w:val="00F91567"/>
    <w:rsid w:val="00F924D4"/>
    <w:rsid w:val="00F92961"/>
    <w:rsid w:val="00F95B96"/>
    <w:rsid w:val="00F96F59"/>
    <w:rsid w:val="00F97A89"/>
    <w:rsid w:val="00FA0770"/>
    <w:rsid w:val="00FA351F"/>
    <w:rsid w:val="00FA3A28"/>
    <w:rsid w:val="00FA3BFE"/>
    <w:rsid w:val="00FA42A0"/>
    <w:rsid w:val="00FA4482"/>
    <w:rsid w:val="00FA46DE"/>
    <w:rsid w:val="00FA5DFE"/>
    <w:rsid w:val="00FA6033"/>
    <w:rsid w:val="00FA66A0"/>
    <w:rsid w:val="00FA6D82"/>
    <w:rsid w:val="00FB09F3"/>
    <w:rsid w:val="00FB0F29"/>
    <w:rsid w:val="00FB0F96"/>
    <w:rsid w:val="00FB1AC9"/>
    <w:rsid w:val="00FB253F"/>
    <w:rsid w:val="00FB318D"/>
    <w:rsid w:val="00FB3F9C"/>
    <w:rsid w:val="00FB46FE"/>
    <w:rsid w:val="00FB56C8"/>
    <w:rsid w:val="00FB653E"/>
    <w:rsid w:val="00FB790D"/>
    <w:rsid w:val="00FB7B5D"/>
    <w:rsid w:val="00FC0129"/>
    <w:rsid w:val="00FC2143"/>
    <w:rsid w:val="00FC2CD6"/>
    <w:rsid w:val="00FC54A6"/>
    <w:rsid w:val="00FC6366"/>
    <w:rsid w:val="00FC65FE"/>
    <w:rsid w:val="00FC782E"/>
    <w:rsid w:val="00FC78B2"/>
    <w:rsid w:val="00FD18E1"/>
    <w:rsid w:val="00FD22D6"/>
    <w:rsid w:val="00FD27D0"/>
    <w:rsid w:val="00FD2B4A"/>
    <w:rsid w:val="00FD32CC"/>
    <w:rsid w:val="00FD3A3A"/>
    <w:rsid w:val="00FD3B2B"/>
    <w:rsid w:val="00FD4B16"/>
    <w:rsid w:val="00FD4EA2"/>
    <w:rsid w:val="00FD5A2E"/>
    <w:rsid w:val="00FD6A1A"/>
    <w:rsid w:val="00FD7FC3"/>
    <w:rsid w:val="00FE1510"/>
    <w:rsid w:val="00FE2345"/>
    <w:rsid w:val="00FE386C"/>
    <w:rsid w:val="00FE506E"/>
    <w:rsid w:val="00FE5C66"/>
    <w:rsid w:val="00FE67B0"/>
    <w:rsid w:val="00FF0091"/>
    <w:rsid w:val="00FF0903"/>
    <w:rsid w:val="00FF0A78"/>
    <w:rsid w:val="00FF160E"/>
    <w:rsid w:val="00FF20F5"/>
    <w:rsid w:val="00FF3005"/>
    <w:rsid w:val="00FF3634"/>
    <w:rsid w:val="00FF3C6E"/>
    <w:rsid w:val="00FF3FA9"/>
    <w:rsid w:val="00FF5DDA"/>
    <w:rsid w:val="00FF5E39"/>
    <w:rsid w:val="00FF5FED"/>
  </w:rsids>
  <w:docVars>
    <w:docVar w:name="KGWebUrl" w:val="http://idp.efunds.com.cn/api/v1/backend/docSyncController/downloadAnnFile.json?force=true&amp;fileName=61520220510003961003962%E6%98%93%E6%96%B9%E8%BE%BE%E7%91%9E%E7%A8%8B%E7%81%B5%E6%B4%BB%E9%85%8D%E7%BD%AE%E6%B7%B7%E5%90%88%E5%9E%8B%E8%AF%81%E5%88%B8%E6%8A%95%E8%B5%84%E5%9F%BA%E9%87%91%E6%9B%B4%E6%96%B0%E7%9A%84%E6%8B%9B%E5%8B%9F%E8%AF%B4%E6%98%8E%E4%B9%A6.docx&amp;fileId=ANN_DOC_17888&amp;t=1652076407618"/>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0662B0B-2787-422A-A73C-23E3170C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42"/>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customStyle="1" w:styleId="a">
    <w:name w:val="特点"/>
    <w:aliases w:val="正文非缩进,段1,表正文"/>
    <w:basedOn w:val="Normal"/>
    <w:next w:val="NormalIndent"/>
    <w:rsid w:val="00BA4B87"/>
    <w:pPr>
      <w:ind w:firstLine="420"/>
    </w:pPr>
    <w:rPr>
      <w:szCs w:val="20"/>
    </w:rPr>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link w:val="CommentText"/>
    <w:semiHidden/>
    <w:rsid w:val="00BA4B87"/>
    <w:rPr>
      <w:rFonts w:eastAsia="宋体"/>
      <w:kern w:val="2"/>
      <w:sz w:val="21"/>
      <w:szCs w:val="24"/>
      <w:lang w:val="en-US" w:eastAsia="zh-CN" w:bidi="ar-SA"/>
    </w:rPr>
  </w:style>
  <w:style w:type="character" w:styleId="Strong">
    <w:name w:val="Strong"/>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link w:val="Header"/>
    <w:uiPriority w:val="99"/>
    <w:rsid w:val="00AE70B8"/>
    <w:rPr>
      <w:rFonts w:eastAsia="仿宋_GB2312"/>
      <w:kern w:val="2"/>
      <w:sz w:val="18"/>
    </w:rPr>
  </w:style>
  <w:style w:type="character" w:customStyle="1" w:styleId="Char2">
    <w:name w:val="页脚 Char"/>
    <w:link w:val="Footer"/>
    <w:uiPriority w:val="99"/>
    <w:rsid w:val="00AE70B8"/>
    <w:rPr>
      <w:rFonts w:eastAsia="仿宋_GB2312"/>
      <w:kern w:val="2"/>
      <w:sz w:val="18"/>
    </w:rPr>
  </w:style>
  <w:style w:type="character" w:styleId="FootnoteReference">
    <w:name w:val="footnote reference"/>
    <w:rsid w:val="00441AD4"/>
    <w:rPr>
      <w:vertAlign w:val="superscript"/>
    </w:rPr>
  </w:style>
  <w:style w:type="character" w:customStyle="1" w:styleId="Char3">
    <w:name w:val="纯文本 Char"/>
    <w:link w:val="PlainText"/>
    <w:locked/>
    <w:rsid w:val="00310E26"/>
    <w:rPr>
      <w:rFonts w:ascii="宋体" w:hAnsi="Courier New"/>
      <w:kern w:val="2"/>
      <w:sz w:val="24"/>
      <w:szCs w:val="21"/>
    </w:rPr>
  </w:style>
  <w:style w:type="character" w:customStyle="1" w:styleId="Char4">
    <w:name w:val="正文首行缩进 Char"/>
    <w:link w:val="BodyTextFirstIndent"/>
    <w:rsid w:val="00AE2909"/>
    <w:rPr>
      <w:kern w:val="2"/>
      <w:sz w:val="21"/>
      <w:szCs w:val="24"/>
    </w:rPr>
  </w:style>
  <w:style w:type="paragraph" w:styleId="BodyTextIndent2">
    <w:name w:val="Body Text Indent 2"/>
    <w:basedOn w:val="Normal"/>
    <w:link w:val="2Char"/>
    <w:semiHidden/>
    <w:unhideWhenUsed/>
    <w:rsid w:val="00D35448"/>
    <w:pPr>
      <w:spacing w:after="120" w:line="480" w:lineRule="auto"/>
      <w:ind w:left="420" w:leftChars="200"/>
    </w:pPr>
  </w:style>
  <w:style w:type="character" w:customStyle="1" w:styleId="2Char">
    <w:name w:val="正文文本缩进 2 Char"/>
    <w:basedOn w:val="DefaultParagraphFont"/>
    <w:link w:val="BodyTextIndent2"/>
    <w:semiHidden/>
    <w:rsid w:val="00D35448"/>
    <w:rPr>
      <w:kern w:val="2"/>
      <w:sz w:val="21"/>
      <w:szCs w:val="24"/>
    </w:rPr>
  </w:style>
  <w:style w:type="paragraph" w:styleId="HTMLPreformatted">
    <w:name w:val="HTML Preformatted"/>
    <w:basedOn w:val="Normal"/>
    <w:link w:val="HTMLChar"/>
    <w:uiPriority w:val="99"/>
    <w:semiHidden/>
    <w:unhideWhenUsed/>
    <w:rsid w:val="00453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semiHidden/>
    <w:rsid w:val="00453EC3"/>
    <w:rPr>
      <w:rFonts w:ascii="宋体" w:hAnsi="宋体"/>
      <w:sz w:val="24"/>
      <w:szCs w:val="24"/>
    </w:rPr>
  </w:style>
  <w:style w:type="paragraph" w:styleId="Date">
    <w:name w:val="Date"/>
    <w:basedOn w:val="Normal"/>
    <w:next w:val="Normal"/>
    <w:link w:val="Char5"/>
    <w:rsid w:val="00DF4BBC"/>
    <w:pPr>
      <w:ind w:left="100" w:leftChars="2500"/>
    </w:pPr>
  </w:style>
  <w:style w:type="character" w:customStyle="1" w:styleId="Char5">
    <w:name w:val="日期 Char"/>
    <w:basedOn w:val="DefaultParagraphFont"/>
    <w:link w:val="Date"/>
    <w:rsid w:val="00DF4B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45CE5-8832-4212-BA0D-041451B4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133</Pages>
  <Words>15604</Words>
  <Characters>88946</Characters>
  <Application>Microsoft Office Word</Application>
  <DocSecurity>0</DocSecurity>
  <Lines>741</Lines>
  <Paragraphs>208</Paragraphs>
  <ScaleCrop>false</ScaleCrop>
  <Company>E FUND</Company>
  <LinksUpToDate>false</LinksUpToDate>
  <CharactersWithSpaces>104342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汤嘉欣</cp:lastModifiedBy>
  <cp:revision>3</cp:revision>
  <cp:lastPrinted>2016-11-11T02:04:00Z</cp:lastPrinted>
  <dcterms:created xsi:type="dcterms:W3CDTF">2022-05-09T06:19:00Z</dcterms:created>
  <dcterms:modified xsi:type="dcterms:W3CDTF">2022-05-09T08:32:00Z</dcterms:modified>
</cp:coreProperties>
</file>