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177B84" w:rsidP="00CC1421">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177B84" w:rsidP="00CC1421">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177B84"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177B84"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177B84" w:rsidP="00CC1421">
      <w:pPr>
        <w:snapToGrid w:val="0"/>
        <w:spacing w:line="360" w:lineRule="auto"/>
        <w:ind w:firstLine="881"/>
        <w:jc w:val="center"/>
        <w:rPr>
          <w:rFonts w:asciiTheme="minorEastAsia" w:eastAsiaTheme="minorEastAsia" w:hAnsiTheme="minorEastAsia"/>
          <w:b/>
          <w:color w:val="000000" w:themeColor="text1"/>
          <w:sz w:val="44"/>
        </w:rPr>
      </w:pPr>
    </w:p>
    <w:p w:rsidR="00BA4B87" w:rsidRPr="00177B84" w:rsidP="00E9191D">
      <w:pPr>
        <w:snapToGrid w:val="0"/>
        <w:spacing w:line="360" w:lineRule="auto"/>
        <w:jc w:val="center"/>
        <w:rPr>
          <w:rFonts w:asciiTheme="minorEastAsia" w:eastAsiaTheme="minorEastAsia" w:hAnsiTheme="minorEastAsia"/>
          <w:color w:val="000000" w:themeColor="text1"/>
          <w:sz w:val="30"/>
          <w:szCs w:val="30"/>
        </w:rPr>
      </w:pPr>
      <w:r w:rsidRPr="00177B84">
        <w:rPr>
          <w:rFonts w:asciiTheme="minorEastAsia" w:eastAsiaTheme="minorEastAsia" w:hAnsiTheme="minorEastAsia" w:hint="eastAsia"/>
          <w:b/>
          <w:color w:val="000000" w:themeColor="text1"/>
          <w:sz w:val="44"/>
          <w:szCs w:val="44"/>
        </w:rPr>
        <w:t>易方达瑞弘灵活配置混合型证券投资基金更新的招募说明书</w:t>
      </w:r>
    </w:p>
    <w:p w:rsidR="00992FE4" w:rsidRPr="00177B84" w:rsidP="00CC1421">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BA4B87"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BA4B87"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BA4B87"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CC1421"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CC1421"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E33B92" w:rsidRPr="00177B84" w:rsidP="00CC1421">
      <w:pPr>
        <w:snapToGrid w:val="0"/>
        <w:spacing w:line="360" w:lineRule="auto"/>
        <w:ind w:left="1680" w:leftChars="800"/>
        <w:rPr>
          <w:rFonts w:asciiTheme="minorEastAsia" w:eastAsiaTheme="minorEastAsia" w:hAnsiTheme="minorEastAsia"/>
          <w:color w:val="000000" w:themeColor="text1"/>
          <w:sz w:val="30"/>
          <w:szCs w:val="30"/>
        </w:rPr>
      </w:pPr>
    </w:p>
    <w:p w:rsidR="00BA4B87" w:rsidRPr="00177B84" w:rsidP="00CC1421">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177B84">
        <w:rPr>
          <w:rFonts w:asciiTheme="minorEastAsia" w:eastAsiaTheme="minorEastAsia" w:hAnsiTheme="minorEastAsia" w:hint="eastAsia"/>
          <w:b/>
          <w:color w:val="000000" w:themeColor="text1"/>
          <w:sz w:val="32"/>
          <w:szCs w:val="32"/>
        </w:rPr>
        <w:t>基金管理人：</w:t>
      </w:r>
      <w:r w:rsidRPr="00177B84" w:rsidR="00E9191D">
        <w:rPr>
          <w:rFonts w:asciiTheme="minorEastAsia" w:eastAsiaTheme="minorEastAsia" w:hAnsiTheme="minorEastAsia" w:hint="eastAsia"/>
          <w:b/>
          <w:bCs/>
          <w:color w:val="000000" w:themeColor="text1"/>
          <w:sz w:val="28"/>
        </w:rPr>
        <w:t>易方达基金管理有限公司</w:t>
      </w:r>
    </w:p>
    <w:p w:rsidR="00BA4B87" w:rsidRPr="00177B84" w:rsidP="00CC1421">
      <w:pPr>
        <w:snapToGrid w:val="0"/>
        <w:spacing w:line="360" w:lineRule="auto"/>
        <w:ind w:left="1438" w:leftChars="685"/>
        <w:rPr>
          <w:rFonts w:asciiTheme="minorEastAsia" w:eastAsiaTheme="minorEastAsia" w:hAnsiTheme="minorEastAsia"/>
          <w:b/>
          <w:color w:val="000000" w:themeColor="text1"/>
          <w:sz w:val="32"/>
          <w:szCs w:val="32"/>
        </w:rPr>
      </w:pPr>
      <w:r w:rsidRPr="00177B84">
        <w:rPr>
          <w:rFonts w:asciiTheme="minorEastAsia" w:eastAsiaTheme="minorEastAsia" w:hAnsiTheme="minorEastAsia" w:hint="eastAsia"/>
          <w:b/>
          <w:color w:val="000000" w:themeColor="text1"/>
          <w:sz w:val="32"/>
          <w:szCs w:val="32"/>
        </w:rPr>
        <w:t>基金托管人：</w:t>
      </w:r>
      <w:r w:rsidRPr="00177B84" w:rsidR="00E9191D">
        <w:rPr>
          <w:rFonts w:asciiTheme="minorEastAsia" w:eastAsiaTheme="minorEastAsia" w:hAnsiTheme="minorEastAsia" w:hint="eastAsia"/>
          <w:b/>
          <w:bCs/>
          <w:color w:val="000000" w:themeColor="text1"/>
          <w:sz w:val="28"/>
        </w:rPr>
        <w:t>上海浦东发展银行股份有限公司</w:t>
      </w:r>
    </w:p>
    <w:p w:rsidR="00BA4B87" w:rsidRPr="00177B84" w:rsidP="00CC1421">
      <w:pPr>
        <w:snapToGrid w:val="0"/>
        <w:spacing w:line="360" w:lineRule="auto"/>
        <w:ind w:firstLine="561"/>
        <w:rPr>
          <w:rFonts w:asciiTheme="minorEastAsia" w:eastAsiaTheme="minorEastAsia" w:hAnsiTheme="minorEastAsia"/>
          <w:b/>
          <w:color w:val="000000" w:themeColor="text1"/>
          <w:sz w:val="24"/>
        </w:rPr>
      </w:pPr>
    </w:p>
    <w:p w:rsidR="00052290" w:rsidRPr="00177B84" w:rsidP="00CC1421">
      <w:pPr>
        <w:snapToGrid w:val="0"/>
        <w:spacing w:line="360" w:lineRule="auto"/>
        <w:jc w:val="center"/>
        <w:rPr>
          <w:rFonts w:asciiTheme="minorEastAsia" w:eastAsiaTheme="minorEastAsia" w:hAnsiTheme="minorEastAsia"/>
          <w:b/>
          <w:bCs/>
          <w:color w:val="000000" w:themeColor="text1"/>
          <w:sz w:val="28"/>
        </w:rPr>
      </w:pPr>
      <w:r w:rsidRPr="00177B84">
        <w:rPr>
          <w:rFonts w:asciiTheme="minorEastAsia" w:eastAsiaTheme="minorEastAsia" w:hAnsiTheme="minorEastAsia"/>
          <w:b/>
          <w:color w:val="000000" w:themeColor="text1"/>
          <w:sz w:val="28"/>
        </w:rPr>
        <w:t>二〇二</w:t>
      </w:r>
      <w:r w:rsidRPr="00177B84" w:rsidR="00792400">
        <w:rPr>
          <w:rFonts w:asciiTheme="minorEastAsia" w:eastAsiaTheme="minorEastAsia" w:hAnsiTheme="minorEastAsia" w:hint="eastAsia"/>
          <w:b/>
          <w:color w:val="000000" w:themeColor="text1"/>
          <w:sz w:val="28"/>
        </w:rPr>
        <w:t>二</w:t>
      </w:r>
      <w:r w:rsidRPr="00177B84">
        <w:rPr>
          <w:rFonts w:asciiTheme="minorEastAsia" w:eastAsiaTheme="minorEastAsia" w:hAnsiTheme="minorEastAsia"/>
          <w:b/>
          <w:color w:val="000000" w:themeColor="text1"/>
          <w:sz w:val="28"/>
        </w:rPr>
        <w:t>年</w:t>
      </w:r>
      <w:r w:rsidRPr="00177B84" w:rsidR="00A03DD7">
        <w:rPr>
          <w:rFonts w:asciiTheme="minorEastAsia" w:eastAsiaTheme="minorEastAsia" w:hAnsiTheme="minorEastAsia" w:hint="eastAsia"/>
          <w:b/>
          <w:color w:val="000000" w:themeColor="text1"/>
          <w:sz w:val="28"/>
        </w:rPr>
        <w:t>五</w:t>
      </w:r>
      <w:r w:rsidRPr="00177B84">
        <w:rPr>
          <w:rFonts w:asciiTheme="minorEastAsia" w:eastAsiaTheme="minorEastAsia" w:hAnsiTheme="minorEastAsia"/>
          <w:b/>
          <w:color w:val="000000" w:themeColor="text1"/>
          <w:sz w:val="28"/>
        </w:rPr>
        <w:t>月</w:t>
      </w:r>
    </w:p>
    <w:p w:rsidR="00D02795" w:rsidRPr="00177B84" w:rsidP="00CC1421">
      <w:pPr>
        <w:snapToGrid w:val="0"/>
        <w:spacing w:line="360" w:lineRule="auto"/>
        <w:jc w:val="center"/>
        <w:rPr>
          <w:rFonts w:asciiTheme="minorEastAsia" w:eastAsiaTheme="minorEastAsia" w:hAnsiTheme="minorEastAsia"/>
          <w:b/>
          <w:bCs/>
          <w:color w:val="000000" w:themeColor="text1"/>
          <w:sz w:val="28"/>
        </w:rPr>
      </w:pPr>
    </w:p>
    <w:p w:rsidR="00D02795" w:rsidRPr="00177B84" w:rsidP="00CC1421">
      <w:pPr>
        <w:snapToGrid w:val="0"/>
        <w:spacing w:line="360" w:lineRule="auto"/>
        <w:jc w:val="center"/>
        <w:rPr>
          <w:rFonts w:asciiTheme="minorEastAsia" w:eastAsiaTheme="minorEastAsia" w:hAnsiTheme="minorEastAsia"/>
          <w:b/>
          <w:bCs/>
          <w:color w:val="000000" w:themeColor="text1"/>
          <w:sz w:val="28"/>
        </w:rPr>
      </w:pPr>
    </w:p>
    <w:p w:rsidR="00D02795" w:rsidRPr="00177B84" w:rsidP="00CC1421">
      <w:pPr>
        <w:snapToGrid w:val="0"/>
        <w:spacing w:line="360" w:lineRule="auto"/>
        <w:jc w:val="center"/>
        <w:rPr>
          <w:rFonts w:asciiTheme="minorEastAsia" w:eastAsiaTheme="minorEastAsia" w:hAnsiTheme="minorEastAsia"/>
          <w:b/>
          <w:bCs/>
          <w:color w:val="000000" w:themeColor="text1"/>
          <w:sz w:val="28"/>
        </w:rPr>
      </w:pPr>
    </w:p>
    <w:p w:rsidR="00BA4B87" w:rsidRPr="00177B84" w:rsidP="00CC1421">
      <w:pPr>
        <w:snapToGrid w:val="0"/>
        <w:spacing w:line="360" w:lineRule="auto"/>
        <w:jc w:val="center"/>
        <w:rPr>
          <w:rFonts w:asciiTheme="minorEastAsia" w:eastAsiaTheme="minorEastAsia" w:hAnsiTheme="minorEastAsia"/>
          <w:b/>
          <w:color w:val="000000" w:themeColor="text1"/>
          <w:sz w:val="28"/>
          <w:szCs w:val="28"/>
        </w:rPr>
      </w:pPr>
      <w:r w:rsidRPr="00177B84">
        <w:rPr>
          <w:rFonts w:asciiTheme="minorEastAsia" w:eastAsiaTheme="minorEastAsia" w:hAnsiTheme="minorEastAsia"/>
          <w:b/>
          <w:color w:val="000000" w:themeColor="text1"/>
          <w:sz w:val="28"/>
          <w:szCs w:val="28"/>
        </w:rPr>
        <w:t>重要提示</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1、本基金根据2016年11月18日中国证券监督管理委员会《关于准予易方达瑞弘灵活配置混合型证券投资基金注册的批复》（证监许可[2016]2727号），进行募集。本基金基金合同于2017年1月11日正式生效。</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保证《招募说明书》的内容真实、准确、完整。本基金经中国证监会注册，但中国证监会对本基金募集的注册，并不表明其对本基金的投资价值、市场前景和收益作出实质性判断或保证，也不表明投资于本基金没有风险。</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基金管理人依照恪尽职守、诚实信用、谨慎勤勉的原则管理和运用基金财产，但不保证基金一定盈利，也不保证最低收益。</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3、本基金投资于证券市场，基金净值会因为证券市场波动等因素产生波动。投资有风险，投资者在投资本基金前，请认真阅读本基金的招募说明书</w:t>
      </w:r>
      <w:r w:rsidRPr="00177B84" w:rsidR="00133920">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基金合同</w:t>
      </w:r>
      <w:r w:rsidRPr="00177B84" w:rsidR="00133920">
        <w:rPr>
          <w:rFonts w:asciiTheme="minorEastAsia" w:eastAsiaTheme="minorEastAsia" w:hAnsiTheme="minorEastAsia" w:hint="eastAsia"/>
          <w:color w:val="000000" w:themeColor="text1"/>
        </w:rPr>
        <w:t>和基金产品资料概要</w:t>
      </w:r>
      <w:r w:rsidRPr="00177B84">
        <w:rPr>
          <w:rFonts w:asciiTheme="minorEastAsia" w:eastAsiaTheme="minorEastAsia" w:hAnsiTheme="minorEastAsia"/>
          <w:color w:val="000000" w:themeColor="text1"/>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风险包括：证券市场整体环境引发的系统性风险；个别证券特有的非系统性风险；流动性风险；基金投资过程中产生的操作风险；因交收违约和投资债券引发的信用风险；基金投资回报可能低于业绩比较基准的风险；本基金的投资范围包括股指期货、国债期货等金融衍生品、证券公司短期公司债券、中小企业私募债</w:t>
      </w:r>
      <w:r w:rsidRPr="00177B84" w:rsidR="005A6EB6">
        <w:rPr>
          <w:rFonts w:asciiTheme="minorEastAsia" w:eastAsiaTheme="minorEastAsia" w:hAnsiTheme="minorEastAsia" w:hint="eastAsia"/>
          <w:color w:val="000000" w:themeColor="text1"/>
        </w:rPr>
        <w:t>、科创板股票</w:t>
      </w:r>
      <w:r w:rsidRPr="00177B84" w:rsidR="00202B33">
        <w:rPr>
          <w:rFonts w:asciiTheme="minorEastAsia" w:eastAsiaTheme="minorEastAsia" w:hAnsiTheme="minorEastAsia" w:hint="eastAsia"/>
          <w:color w:val="000000" w:themeColor="text1"/>
        </w:rPr>
        <w:t>、存托凭证</w:t>
      </w:r>
      <w:r w:rsidRPr="00177B84">
        <w:rPr>
          <w:rFonts w:asciiTheme="minorEastAsia" w:eastAsiaTheme="minorEastAsia" w:hAnsiTheme="minorEastAsia"/>
          <w:color w:val="000000" w:themeColor="text1"/>
        </w:rPr>
        <w:t>等品种，可能给本基金带来额外风险</w:t>
      </w:r>
      <w:r w:rsidRPr="00177B84" w:rsidR="00133920">
        <w:rPr>
          <w:rFonts w:asciiTheme="minorEastAsia" w:eastAsiaTheme="minorEastAsia" w:hAnsiTheme="minorEastAsia" w:hint="eastAsia"/>
          <w:color w:val="000000" w:themeColor="text1"/>
        </w:rPr>
        <w:t>；本基金法律文件中涉及基金风险特征的表述与销售机构对基金的风险评级可能不一致的风险</w:t>
      </w:r>
      <w:r w:rsidRPr="00177B84">
        <w:rPr>
          <w:rFonts w:asciiTheme="minorEastAsia" w:eastAsiaTheme="minorEastAsia" w:hAnsiTheme="minorEastAsia"/>
          <w:color w:val="000000" w:themeColor="text1"/>
        </w:rPr>
        <w:t>等。本基金的具体运作特点详见基金合同和招募说明书的约定。本基金的一般风险及特有风险详见本招募说明书的“风险揭示”部分。</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4、本基金为混合型基金，理论上其预期风险收益水平低于股票型基金，高于债券型基金和货币市场基金。</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管理人提醒投资者基金投资的“买者自负”原则，在投资者作出投资决策后，基金运营状况与基金净值变化引致的投资风险，由投资者自行负责。此外，本基金以1元初始面值进行募集，在市场波动等因素的影响下，存在单位份额净值跌破1元初始面值的风险。</w:t>
      </w:r>
    </w:p>
    <w:p w:rsidR="00AD3EC7" w:rsidRPr="00177B84">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6、基金不同于银行储蓄，基金投资人有可能获得较高的收益，也有可能损失本金。投资有风险，投资人在进行投资决策前，请仔细阅读本基金的《招募说明书》及《基金合同》。</w:t>
      </w:r>
    </w:p>
    <w:p w:rsidR="008860D6" w:rsidRPr="00177B84" w:rsidP="00AC4485">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7、基金的过往业绩并不预示其未来表现，基金管理人管理的其他基金的业绩并不构成对本基金表现的保证。</w:t>
      </w:r>
    </w:p>
    <w:p w:rsidR="00090B9E" w:rsidRPr="00177B84" w:rsidP="00090B9E">
      <w:pPr>
        <w:adjustRightInd w:val="0"/>
        <w:snapToGrid w:val="0"/>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本基金本次更新招募说明书对基金经理</w:t>
      </w:r>
      <w:r w:rsidRPr="00177B84">
        <w:rPr>
          <w:rFonts w:asciiTheme="minorEastAsia" w:eastAsiaTheme="minorEastAsia" w:hAnsiTheme="minorEastAsia" w:hint="eastAsia"/>
          <w:color w:val="000000" w:themeColor="text1"/>
        </w:rPr>
        <w:t>和</w:t>
      </w:r>
      <w:r w:rsidRPr="00177B84">
        <w:rPr>
          <w:rFonts w:asciiTheme="minorEastAsia" w:eastAsiaTheme="minorEastAsia" w:hAnsiTheme="minorEastAsia"/>
          <w:color w:val="000000" w:themeColor="text1"/>
        </w:rPr>
        <w:t>基金管理人章节相关信息进行更新，相关信息更新截止日为2022年</w:t>
      </w:r>
      <w:r w:rsidR="00D375C7">
        <w:rPr>
          <w:rFonts w:asciiTheme="minorEastAsia" w:eastAsiaTheme="minorEastAsia" w:hAnsiTheme="minorEastAsia"/>
          <w:color w:val="000000" w:themeColor="text1"/>
        </w:rPr>
        <w:t>5</w:t>
      </w:r>
      <w:r w:rsidRPr="00177B84">
        <w:rPr>
          <w:rFonts w:asciiTheme="minorEastAsia" w:eastAsiaTheme="minorEastAsia" w:hAnsiTheme="minorEastAsia"/>
          <w:color w:val="000000" w:themeColor="text1"/>
        </w:rPr>
        <w:t>月</w:t>
      </w:r>
      <w:r w:rsidR="00D375C7">
        <w:rPr>
          <w:rFonts w:asciiTheme="minorEastAsia" w:eastAsiaTheme="minorEastAsia" w:hAnsiTheme="minorEastAsia"/>
          <w:color w:val="000000" w:themeColor="text1"/>
        </w:rPr>
        <w:t>7</w:t>
      </w:r>
      <w:r w:rsidRPr="00177B84">
        <w:rPr>
          <w:rFonts w:asciiTheme="minorEastAsia" w:eastAsiaTheme="minorEastAsia" w:hAnsiTheme="minorEastAsia"/>
          <w:color w:val="000000" w:themeColor="text1"/>
        </w:rPr>
        <w:t>日。</w:t>
      </w:r>
      <w:r w:rsidRPr="00177B84" w:rsidR="00405BBC">
        <w:rPr>
          <w:rFonts w:asciiTheme="minorEastAsia" w:eastAsiaTheme="minorEastAsia" w:hAnsiTheme="minorEastAsia"/>
          <w:color w:val="000000" w:themeColor="text1"/>
        </w:rPr>
        <w:t>本基金有关财务数据截止日为2021年9月30日，净值表现截止日为2020年12月31日，除非另有说明，本招募说明书其他所载内容截止日为2021年9月16日。（本报告中财务数据未经审计）</w:t>
      </w:r>
    </w:p>
    <w:p w:rsidR="00B17F70" w:rsidRPr="00177B84" w:rsidP="00CC1421">
      <w:pPr>
        <w:adjustRightInd w:val="0"/>
        <w:snapToGrid w:val="0"/>
        <w:spacing w:line="360" w:lineRule="auto"/>
        <w:jc w:val="center"/>
        <w:rPr>
          <w:rFonts w:asciiTheme="minorEastAsia" w:eastAsiaTheme="minorEastAsia" w:hAnsiTheme="minorEastAsia"/>
          <w:color w:val="000000" w:themeColor="text1"/>
          <w:sz w:val="30"/>
        </w:rPr>
        <w:sectPr w:rsidSect="00B5457F">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p>
    <w:p w:rsidR="00BA4B87" w:rsidRPr="00177B84" w:rsidP="00CC1421">
      <w:pPr>
        <w:adjustRightInd w:val="0"/>
        <w:snapToGrid w:val="0"/>
        <w:spacing w:line="360" w:lineRule="auto"/>
        <w:jc w:val="center"/>
        <w:rPr>
          <w:rFonts w:asciiTheme="minorEastAsia" w:eastAsiaTheme="minorEastAsia" w:hAnsiTheme="minorEastAsia"/>
          <w:color w:val="000000" w:themeColor="text1"/>
          <w:sz w:val="30"/>
        </w:rPr>
      </w:pPr>
      <w:r w:rsidRPr="00177B84">
        <w:rPr>
          <w:rFonts w:asciiTheme="minorEastAsia" w:eastAsiaTheme="minorEastAsia" w:hAnsiTheme="minorEastAsia" w:hint="eastAsia"/>
          <w:color w:val="000000" w:themeColor="text1"/>
          <w:sz w:val="30"/>
        </w:rPr>
        <w:t>目录</w:t>
      </w:r>
    </w:p>
    <w:p w:rsidR="00BA4B87" w:rsidRPr="00177B84" w:rsidP="00CC1421">
      <w:pPr>
        <w:adjustRightInd w:val="0"/>
        <w:snapToGrid w:val="0"/>
        <w:spacing w:line="360" w:lineRule="auto"/>
        <w:ind w:firstLine="480"/>
        <w:jc w:val="center"/>
        <w:rPr>
          <w:rFonts w:asciiTheme="minorEastAsia" w:eastAsiaTheme="minorEastAsia" w:hAnsiTheme="minorEastAsia"/>
          <w:b/>
          <w:color w:val="000000" w:themeColor="text1"/>
        </w:rPr>
      </w:pPr>
    </w:p>
    <w:p w:rsidR="00177B84">
      <w:pPr>
        <w:pStyle w:val="TOC1"/>
        <w:rPr>
          <w:rFonts w:asciiTheme="minorHAnsi" w:eastAsiaTheme="minorEastAsia" w:hAnsiTheme="minorHAnsi" w:cstheme="minorBidi"/>
          <w:caps w:val="0"/>
          <w:color w:val="auto"/>
          <w:sz w:val="21"/>
          <w:szCs w:val="22"/>
        </w:rPr>
      </w:pPr>
      <w:r w:rsidRPr="00177B84">
        <w:rPr>
          <w:rFonts w:asciiTheme="minorEastAsia" w:eastAsiaTheme="minorEastAsia" w:hAnsiTheme="minorEastAsia"/>
          <w:b/>
          <w:caps w:val="0"/>
          <w:color w:val="000000" w:themeColor="text1"/>
        </w:rPr>
        <w:fldChar w:fldCharType="begin"/>
      </w:r>
      <w:r w:rsidRPr="00177B84" w:rsidR="00BA1E8F">
        <w:rPr>
          <w:rFonts w:asciiTheme="minorEastAsia" w:eastAsiaTheme="minorEastAsia" w:hAnsiTheme="minorEastAsia"/>
          <w:b/>
          <w:caps w:val="0"/>
          <w:color w:val="000000" w:themeColor="text1"/>
        </w:rPr>
        <w:instrText xml:space="preserve"> TOC \o "1-1" \h \z \u </w:instrText>
      </w:r>
      <w:r w:rsidRPr="00177B84">
        <w:rPr>
          <w:rFonts w:asciiTheme="minorEastAsia" w:eastAsiaTheme="minorEastAsia" w:hAnsiTheme="minorEastAsia"/>
          <w:b/>
          <w:caps w:val="0"/>
          <w:color w:val="000000" w:themeColor="text1"/>
        </w:rPr>
        <w:fldChar w:fldCharType="separate"/>
      </w:r>
      <w:hyperlink w:anchor="_Toc103006830" w:history="1">
        <w:r w:rsidRPr="00FB2E6A">
          <w:rPr>
            <w:rStyle w:val="Hyperlink"/>
            <w:rFonts w:asciiTheme="minorEastAsia" w:hAnsiTheme="minorEastAsia" w:hint="eastAsia"/>
          </w:rPr>
          <w:t>一、绪言</w:t>
        </w:r>
        <w:r>
          <w:rPr>
            <w:webHidden/>
          </w:rPr>
          <w:tab/>
        </w:r>
        <w:r>
          <w:rPr>
            <w:webHidden/>
          </w:rPr>
          <w:fldChar w:fldCharType="begin"/>
        </w:r>
        <w:r>
          <w:rPr>
            <w:webHidden/>
          </w:rPr>
          <w:instrText xml:space="preserve"> PAGEREF _Toc103006830 \h </w:instrText>
        </w:r>
        <w:r>
          <w:rPr>
            <w:webHidden/>
          </w:rPr>
          <w:fldChar w:fldCharType="separate"/>
        </w:r>
        <w:r>
          <w:rPr>
            <w:webHidden/>
          </w:rPr>
          <w:t>1</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1" w:history="1">
        <w:r w:rsidRPr="00FB2E6A">
          <w:rPr>
            <w:rStyle w:val="Hyperlink"/>
            <w:rFonts w:asciiTheme="minorEastAsia" w:hAnsiTheme="minorEastAsia" w:hint="eastAsia"/>
          </w:rPr>
          <w:t>二、释义</w:t>
        </w:r>
        <w:r>
          <w:rPr>
            <w:webHidden/>
          </w:rPr>
          <w:tab/>
        </w:r>
        <w:r>
          <w:rPr>
            <w:webHidden/>
          </w:rPr>
          <w:fldChar w:fldCharType="begin"/>
        </w:r>
        <w:r>
          <w:rPr>
            <w:webHidden/>
          </w:rPr>
          <w:instrText xml:space="preserve"> PAGEREF _Toc103006831 \h </w:instrText>
        </w:r>
        <w:r>
          <w:rPr>
            <w:webHidden/>
          </w:rPr>
          <w:fldChar w:fldCharType="separate"/>
        </w:r>
        <w:r>
          <w:rPr>
            <w:webHidden/>
          </w:rPr>
          <w:t>2</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2" w:history="1">
        <w:r w:rsidRPr="00FB2E6A">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_Toc103006832 \h </w:instrText>
        </w:r>
        <w:r>
          <w:rPr>
            <w:webHidden/>
          </w:rPr>
          <w:fldChar w:fldCharType="separate"/>
        </w:r>
        <w:r>
          <w:rPr>
            <w:webHidden/>
          </w:rPr>
          <w:t>6</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3" w:history="1">
        <w:r w:rsidRPr="00FB2E6A">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_Toc103006833 \h </w:instrText>
        </w:r>
        <w:r>
          <w:rPr>
            <w:webHidden/>
          </w:rPr>
          <w:fldChar w:fldCharType="separate"/>
        </w:r>
        <w:r>
          <w:rPr>
            <w:webHidden/>
          </w:rPr>
          <w:t>21</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4" w:history="1">
        <w:r w:rsidRPr="00FB2E6A">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_Toc103006834 \h </w:instrText>
        </w:r>
        <w:r>
          <w:rPr>
            <w:webHidden/>
          </w:rPr>
          <w:fldChar w:fldCharType="separate"/>
        </w:r>
        <w:r>
          <w:rPr>
            <w:webHidden/>
          </w:rPr>
          <w:t>30</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5" w:history="1">
        <w:r w:rsidRPr="00FB2E6A">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_Toc103006835 \h </w:instrText>
        </w:r>
        <w:r>
          <w:rPr>
            <w:webHidden/>
          </w:rPr>
          <w:fldChar w:fldCharType="separate"/>
        </w:r>
        <w:r>
          <w:rPr>
            <w:webHidden/>
          </w:rPr>
          <w:t>33</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6" w:history="1">
        <w:r w:rsidRPr="00FB2E6A">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_Toc103006836 \h </w:instrText>
        </w:r>
        <w:r>
          <w:rPr>
            <w:webHidden/>
          </w:rPr>
          <w:fldChar w:fldCharType="separate"/>
        </w:r>
        <w:r>
          <w:rPr>
            <w:webHidden/>
          </w:rPr>
          <w:t>34</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7" w:history="1">
        <w:r w:rsidRPr="00FB2E6A">
          <w:rPr>
            <w:rStyle w:val="Hyperlink"/>
            <w:rFonts w:asciiTheme="minorEastAsia" w:hAnsiTheme="minorEastAsia" w:hint="eastAsia"/>
          </w:rPr>
          <w:t>八、基金份额的申购、赎回</w:t>
        </w:r>
        <w:r>
          <w:rPr>
            <w:webHidden/>
          </w:rPr>
          <w:tab/>
        </w:r>
        <w:r>
          <w:rPr>
            <w:webHidden/>
          </w:rPr>
          <w:fldChar w:fldCharType="begin"/>
        </w:r>
        <w:r>
          <w:rPr>
            <w:webHidden/>
          </w:rPr>
          <w:instrText xml:space="preserve"> PAGEREF _Toc103006837 \h </w:instrText>
        </w:r>
        <w:r>
          <w:rPr>
            <w:webHidden/>
          </w:rPr>
          <w:fldChar w:fldCharType="separate"/>
        </w:r>
        <w:r>
          <w:rPr>
            <w:webHidden/>
          </w:rPr>
          <w:t>35</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8" w:history="1">
        <w:r w:rsidRPr="00FB2E6A">
          <w:rPr>
            <w:rStyle w:val="Hyperlink"/>
            <w:rFonts w:asciiTheme="minorEastAsia" w:hAnsiTheme="minorEastAsia" w:hint="eastAsia"/>
          </w:rPr>
          <w:t>九、基金转换、基金份额转让和定期定额投资计划</w:t>
        </w:r>
        <w:r>
          <w:rPr>
            <w:webHidden/>
          </w:rPr>
          <w:tab/>
        </w:r>
        <w:r>
          <w:rPr>
            <w:webHidden/>
          </w:rPr>
          <w:fldChar w:fldCharType="begin"/>
        </w:r>
        <w:r>
          <w:rPr>
            <w:webHidden/>
          </w:rPr>
          <w:instrText xml:space="preserve"> PAGEREF _Toc103006838 \h </w:instrText>
        </w:r>
        <w:r>
          <w:rPr>
            <w:webHidden/>
          </w:rPr>
          <w:fldChar w:fldCharType="separate"/>
        </w:r>
        <w:r>
          <w:rPr>
            <w:webHidden/>
          </w:rPr>
          <w:t>45</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39" w:history="1">
        <w:r w:rsidRPr="00FB2E6A">
          <w:rPr>
            <w:rStyle w:val="Hyperlink"/>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_Toc103006839 \h </w:instrText>
        </w:r>
        <w:r>
          <w:rPr>
            <w:webHidden/>
          </w:rPr>
          <w:fldChar w:fldCharType="separate"/>
        </w:r>
        <w:r>
          <w:rPr>
            <w:webHidden/>
          </w:rPr>
          <w:t>51</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0" w:history="1">
        <w:r w:rsidRPr="00FB2E6A">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_Toc103006840 \h </w:instrText>
        </w:r>
        <w:r>
          <w:rPr>
            <w:webHidden/>
          </w:rPr>
          <w:fldChar w:fldCharType="separate"/>
        </w:r>
        <w:r>
          <w:rPr>
            <w:webHidden/>
          </w:rPr>
          <w:t>52</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1" w:history="1">
        <w:r w:rsidRPr="00FB2E6A">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_Toc103006841 \h </w:instrText>
        </w:r>
        <w:r>
          <w:rPr>
            <w:webHidden/>
          </w:rPr>
          <w:fldChar w:fldCharType="separate"/>
        </w:r>
        <w:r>
          <w:rPr>
            <w:webHidden/>
          </w:rPr>
          <w:t>63</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2" w:history="1">
        <w:r w:rsidRPr="00FB2E6A">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_Toc103006842 \h </w:instrText>
        </w:r>
        <w:r>
          <w:rPr>
            <w:webHidden/>
          </w:rPr>
          <w:fldChar w:fldCharType="separate"/>
        </w:r>
        <w:r>
          <w:rPr>
            <w:webHidden/>
          </w:rPr>
          <w:t>64</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3" w:history="1">
        <w:r w:rsidRPr="00FB2E6A">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_Toc103006843 \h </w:instrText>
        </w:r>
        <w:r>
          <w:rPr>
            <w:webHidden/>
          </w:rPr>
          <w:fldChar w:fldCharType="separate"/>
        </w:r>
        <w:r>
          <w:rPr>
            <w:webHidden/>
          </w:rPr>
          <w:t>65</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4" w:history="1">
        <w:r w:rsidRPr="00FB2E6A">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_Toc103006844 \h </w:instrText>
        </w:r>
        <w:r>
          <w:rPr>
            <w:webHidden/>
          </w:rPr>
          <w:fldChar w:fldCharType="separate"/>
        </w:r>
        <w:r>
          <w:rPr>
            <w:webHidden/>
          </w:rPr>
          <w:t>69</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5" w:history="1">
        <w:r w:rsidRPr="00FB2E6A">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_Toc103006845 \h </w:instrText>
        </w:r>
        <w:r>
          <w:rPr>
            <w:webHidden/>
          </w:rPr>
          <w:fldChar w:fldCharType="separate"/>
        </w:r>
        <w:r>
          <w:rPr>
            <w:webHidden/>
          </w:rPr>
          <w:t>71</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6" w:history="1">
        <w:r w:rsidRPr="00FB2E6A">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_Toc103006846 \h </w:instrText>
        </w:r>
        <w:r>
          <w:rPr>
            <w:webHidden/>
          </w:rPr>
          <w:fldChar w:fldCharType="separate"/>
        </w:r>
        <w:r>
          <w:rPr>
            <w:webHidden/>
          </w:rPr>
          <w:t>74</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7" w:history="1">
        <w:r w:rsidRPr="00FB2E6A">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_Toc103006847 \h </w:instrText>
        </w:r>
        <w:r>
          <w:rPr>
            <w:webHidden/>
          </w:rPr>
          <w:fldChar w:fldCharType="separate"/>
        </w:r>
        <w:r>
          <w:rPr>
            <w:webHidden/>
          </w:rPr>
          <w:t>75</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8" w:history="1">
        <w:r w:rsidRPr="00FB2E6A">
          <w:rPr>
            <w:rStyle w:val="Hyperlink"/>
            <w:rFonts w:asciiTheme="minorEastAsia" w:hAnsiTheme="minorEastAsia" w:hint="eastAsia"/>
          </w:rPr>
          <w:t>十九、风险揭示</w:t>
        </w:r>
        <w:r>
          <w:rPr>
            <w:webHidden/>
          </w:rPr>
          <w:tab/>
        </w:r>
        <w:r>
          <w:rPr>
            <w:webHidden/>
          </w:rPr>
          <w:fldChar w:fldCharType="begin"/>
        </w:r>
        <w:r>
          <w:rPr>
            <w:webHidden/>
          </w:rPr>
          <w:instrText xml:space="preserve"> PAGEREF _Toc103006848 \h </w:instrText>
        </w:r>
        <w:r>
          <w:rPr>
            <w:webHidden/>
          </w:rPr>
          <w:fldChar w:fldCharType="separate"/>
        </w:r>
        <w:r>
          <w:rPr>
            <w:webHidden/>
          </w:rPr>
          <w:t>81</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49" w:history="1">
        <w:r w:rsidRPr="00FB2E6A">
          <w:rPr>
            <w:rStyle w:val="Hyperlink"/>
            <w:rFonts w:asciiTheme="minorEastAsia" w:hAnsiTheme="minorEastAsia" w:hint="eastAsia"/>
          </w:rPr>
          <w:t>二十、基金合同的变更、终止与基金财产的清算</w:t>
        </w:r>
        <w:r>
          <w:rPr>
            <w:webHidden/>
          </w:rPr>
          <w:tab/>
        </w:r>
        <w:r>
          <w:rPr>
            <w:webHidden/>
          </w:rPr>
          <w:fldChar w:fldCharType="begin"/>
        </w:r>
        <w:r>
          <w:rPr>
            <w:webHidden/>
          </w:rPr>
          <w:instrText xml:space="preserve"> PAGEREF _Toc103006849 \h </w:instrText>
        </w:r>
        <w:r>
          <w:rPr>
            <w:webHidden/>
          </w:rPr>
          <w:fldChar w:fldCharType="separate"/>
        </w:r>
        <w:r>
          <w:rPr>
            <w:webHidden/>
          </w:rPr>
          <w:t>86</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0" w:history="1">
        <w:r w:rsidRPr="00FB2E6A">
          <w:rPr>
            <w:rStyle w:val="Hyperlink"/>
            <w:rFonts w:asciiTheme="minorEastAsia" w:hAnsiTheme="minorEastAsia" w:hint="eastAsia"/>
          </w:rPr>
          <w:t>二十一、基金合同摘要</w:t>
        </w:r>
        <w:r>
          <w:rPr>
            <w:webHidden/>
          </w:rPr>
          <w:tab/>
        </w:r>
        <w:r>
          <w:rPr>
            <w:webHidden/>
          </w:rPr>
          <w:fldChar w:fldCharType="begin"/>
        </w:r>
        <w:r>
          <w:rPr>
            <w:webHidden/>
          </w:rPr>
          <w:instrText xml:space="preserve"> PAGEREF _Toc103006850 \h </w:instrText>
        </w:r>
        <w:r>
          <w:rPr>
            <w:webHidden/>
          </w:rPr>
          <w:fldChar w:fldCharType="separate"/>
        </w:r>
        <w:r>
          <w:rPr>
            <w:webHidden/>
          </w:rPr>
          <w:t>88</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1" w:history="1">
        <w:r w:rsidRPr="00FB2E6A">
          <w:rPr>
            <w:rStyle w:val="Hyperlink"/>
            <w:rFonts w:asciiTheme="minorEastAsia" w:hAnsiTheme="minorEastAsia" w:hint="eastAsia"/>
          </w:rPr>
          <w:t>二十二、基金托管协议摘要</w:t>
        </w:r>
        <w:r>
          <w:rPr>
            <w:webHidden/>
          </w:rPr>
          <w:tab/>
        </w:r>
        <w:r>
          <w:rPr>
            <w:webHidden/>
          </w:rPr>
          <w:fldChar w:fldCharType="begin"/>
        </w:r>
        <w:r>
          <w:rPr>
            <w:webHidden/>
          </w:rPr>
          <w:instrText xml:space="preserve"> PAGEREF _Toc103006851 \h </w:instrText>
        </w:r>
        <w:r>
          <w:rPr>
            <w:webHidden/>
          </w:rPr>
          <w:fldChar w:fldCharType="separate"/>
        </w:r>
        <w:r>
          <w:rPr>
            <w:webHidden/>
          </w:rPr>
          <w:t>109</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2" w:history="1">
        <w:r w:rsidRPr="00FB2E6A">
          <w:rPr>
            <w:rStyle w:val="Hyperlink"/>
            <w:rFonts w:asciiTheme="minorEastAsia" w:hAnsiTheme="minorEastAsia" w:hint="eastAsia"/>
          </w:rPr>
          <w:t>二十三、对基金份额持有人的服务</w:t>
        </w:r>
        <w:r>
          <w:rPr>
            <w:webHidden/>
          </w:rPr>
          <w:tab/>
        </w:r>
        <w:r>
          <w:rPr>
            <w:webHidden/>
          </w:rPr>
          <w:fldChar w:fldCharType="begin"/>
        </w:r>
        <w:r>
          <w:rPr>
            <w:webHidden/>
          </w:rPr>
          <w:instrText xml:space="preserve"> PAGEREF _Toc103006852 \h </w:instrText>
        </w:r>
        <w:r>
          <w:rPr>
            <w:webHidden/>
          </w:rPr>
          <w:fldChar w:fldCharType="separate"/>
        </w:r>
        <w:r>
          <w:rPr>
            <w:webHidden/>
          </w:rPr>
          <w:t>127</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3" w:history="1">
        <w:r w:rsidRPr="00FB2E6A">
          <w:rPr>
            <w:rStyle w:val="Hyperlink"/>
            <w:rFonts w:asciiTheme="minorEastAsia" w:hAnsiTheme="minorEastAsia" w:hint="eastAsia"/>
          </w:rPr>
          <w:t>二十四、其他应披露事项</w:t>
        </w:r>
        <w:r>
          <w:rPr>
            <w:webHidden/>
          </w:rPr>
          <w:tab/>
        </w:r>
        <w:r>
          <w:rPr>
            <w:webHidden/>
          </w:rPr>
          <w:fldChar w:fldCharType="begin"/>
        </w:r>
        <w:r>
          <w:rPr>
            <w:webHidden/>
          </w:rPr>
          <w:instrText xml:space="preserve"> PAGEREF _Toc103006853 \h </w:instrText>
        </w:r>
        <w:r>
          <w:rPr>
            <w:webHidden/>
          </w:rPr>
          <w:fldChar w:fldCharType="separate"/>
        </w:r>
        <w:r>
          <w:rPr>
            <w:webHidden/>
          </w:rPr>
          <w:t>128</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4" w:history="1">
        <w:r w:rsidRPr="00FB2E6A">
          <w:rPr>
            <w:rStyle w:val="Hyperlink"/>
            <w:rFonts w:asciiTheme="minorEastAsia" w:hAnsiTheme="minorEastAsia" w:hint="eastAsia"/>
          </w:rPr>
          <w:t>二十五、招募说明书的存放及查阅方式</w:t>
        </w:r>
        <w:r>
          <w:rPr>
            <w:webHidden/>
          </w:rPr>
          <w:tab/>
        </w:r>
        <w:r>
          <w:rPr>
            <w:webHidden/>
          </w:rPr>
          <w:fldChar w:fldCharType="begin"/>
        </w:r>
        <w:r>
          <w:rPr>
            <w:webHidden/>
          </w:rPr>
          <w:instrText xml:space="preserve"> PAGEREF _Toc103006854 \h </w:instrText>
        </w:r>
        <w:r>
          <w:rPr>
            <w:webHidden/>
          </w:rPr>
          <w:fldChar w:fldCharType="separate"/>
        </w:r>
        <w:r>
          <w:rPr>
            <w:webHidden/>
          </w:rPr>
          <w:t>129</w:t>
        </w:r>
        <w:r>
          <w:rPr>
            <w:webHidden/>
          </w:rPr>
          <w:fldChar w:fldCharType="end"/>
        </w:r>
      </w:hyperlink>
    </w:p>
    <w:p w:rsidR="00177B84">
      <w:pPr>
        <w:pStyle w:val="TOC1"/>
        <w:rPr>
          <w:rFonts w:asciiTheme="minorHAnsi" w:eastAsiaTheme="minorEastAsia" w:hAnsiTheme="minorHAnsi" w:cstheme="minorBidi"/>
          <w:caps w:val="0"/>
          <w:color w:val="auto"/>
          <w:sz w:val="21"/>
          <w:szCs w:val="22"/>
        </w:rPr>
      </w:pPr>
      <w:hyperlink w:anchor="_Toc103006855" w:history="1">
        <w:r w:rsidRPr="00FB2E6A">
          <w:rPr>
            <w:rStyle w:val="Hyperlink"/>
            <w:rFonts w:asciiTheme="minorEastAsia" w:hAnsiTheme="minorEastAsia" w:hint="eastAsia"/>
          </w:rPr>
          <w:t>二十六、备查文</w:t>
        </w:r>
        <w:r w:rsidRPr="00FB2E6A">
          <w:rPr>
            <w:rStyle w:val="Hyperlink"/>
            <w:rFonts w:asciiTheme="minorEastAsia" w:hAnsiTheme="minorEastAsia" w:hint="eastAsia"/>
          </w:rPr>
          <w:t>件</w:t>
        </w:r>
        <w:r>
          <w:rPr>
            <w:webHidden/>
          </w:rPr>
          <w:tab/>
        </w:r>
        <w:r>
          <w:rPr>
            <w:webHidden/>
          </w:rPr>
          <w:fldChar w:fldCharType="begin"/>
        </w:r>
        <w:r>
          <w:rPr>
            <w:webHidden/>
          </w:rPr>
          <w:instrText xml:space="preserve"> PAGEREF _Toc103006855 \h </w:instrText>
        </w:r>
        <w:r>
          <w:rPr>
            <w:webHidden/>
          </w:rPr>
          <w:fldChar w:fldCharType="separate"/>
        </w:r>
        <w:r>
          <w:rPr>
            <w:webHidden/>
          </w:rPr>
          <w:t>130</w:t>
        </w:r>
        <w:r>
          <w:rPr>
            <w:webHidden/>
          </w:rPr>
          <w:fldChar w:fldCharType="end"/>
        </w:r>
      </w:hyperlink>
    </w:p>
    <w:p w:rsidR="00BA4B87" w:rsidRPr="00177B84" w:rsidP="00CC1421">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177B84">
        <w:rPr>
          <w:rFonts w:asciiTheme="minorEastAsia" w:eastAsiaTheme="minorEastAsia" w:hAnsiTheme="minorEastAsia"/>
          <w:b/>
          <w:caps/>
          <w:noProof/>
          <w:color w:val="000000" w:themeColor="text1"/>
          <w:sz w:val="24"/>
          <w:szCs w:val="28"/>
        </w:rPr>
        <w:fldChar w:fldCharType="end"/>
      </w:r>
    </w:p>
    <w:p w:rsidR="00FB19A2" w:rsidRPr="00177B84" w:rsidP="00CC1421">
      <w:pPr>
        <w:snapToGrid w:val="0"/>
        <w:spacing w:line="360" w:lineRule="auto"/>
        <w:ind w:firstLine="560"/>
        <w:jc w:val="center"/>
        <w:rPr>
          <w:rFonts w:asciiTheme="minorEastAsia" w:eastAsiaTheme="minorEastAsia" w:hAnsiTheme="minorEastAsia"/>
          <w:b/>
          <w:caps/>
          <w:noProof/>
          <w:color w:val="000000" w:themeColor="text1"/>
          <w:sz w:val="24"/>
          <w:szCs w:val="28"/>
        </w:rPr>
      </w:pPr>
    </w:p>
    <w:p w:rsidR="00FB19A2" w:rsidRPr="00177B84" w:rsidP="00CC1421">
      <w:pPr>
        <w:snapToGrid w:val="0"/>
        <w:spacing w:line="360" w:lineRule="auto"/>
        <w:ind w:firstLine="560"/>
        <w:jc w:val="center"/>
        <w:rPr>
          <w:rFonts w:asciiTheme="minorEastAsia" w:eastAsiaTheme="minorEastAsia" w:hAnsiTheme="minorEastAsia"/>
          <w:b/>
          <w:caps/>
          <w:noProof/>
          <w:color w:val="000000" w:themeColor="text1"/>
          <w:sz w:val="24"/>
          <w:szCs w:val="28"/>
        </w:rPr>
      </w:pPr>
    </w:p>
    <w:p w:rsidR="00AE70B8" w:rsidRPr="00177B84" w:rsidP="00CC1421">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B5457F">
          <w:footerReference w:type="default" r:id="rId11"/>
          <w:pgSz w:w="11906" w:h="16838" w:code="9"/>
          <w:pgMar w:top="1440" w:right="1800" w:bottom="1440" w:left="1800" w:header="851" w:footer="992" w:gutter="0"/>
          <w:pgNumType w:fmt="upperRoman" w:start="1"/>
          <w:cols w:space="720"/>
          <w:docGrid w:type="lines" w:linePitch="317"/>
        </w:sectPr>
      </w:pPr>
    </w:p>
    <w:p w:rsidR="00BA4B87" w:rsidRPr="00177B84" w:rsidP="00CC1421">
      <w:pPr>
        <w:pStyle w:val="1"/>
        <w:snapToGrid w:val="0"/>
        <w:spacing w:beforeLines="0" w:afterLines="0" w:line="360" w:lineRule="auto"/>
        <w:ind w:firstLine="600"/>
        <w:rPr>
          <w:rFonts w:asciiTheme="minorEastAsia" w:eastAsiaTheme="minorEastAsia" w:hAnsiTheme="minorEastAsia"/>
          <w:b w:val="0"/>
          <w:color w:val="000000" w:themeColor="text1"/>
          <w:sz w:val="30"/>
        </w:rPr>
      </w:pPr>
      <w:bookmarkStart w:id="0" w:name="_Toc332373444"/>
      <w:bookmarkStart w:id="1" w:name="_Toc103006830"/>
      <w:r w:rsidRPr="00177B84">
        <w:rPr>
          <w:rFonts w:asciiTheme="minorEastAsia" w:eastAsiaTheme="minorEastAsia" w:hAnsiTheme="minorEastAsia"/>
          <w:b w:val="0"/>
          <w:color w:val="000000" w:themeColor="text1"/>
          <w:sz w:val="30"/>
        </w:rPr>
        <w:t>一、</w:t>
      </w:r>
      <w:r w:rsidRPr="00177B84">
        <w:rPr>
          <w:rFonts w:asciiTheme="minorEastAsia" w:eastAsiaTheme="minorEastAsia" w:hAnsiTheme="minorEastAsia"/>
          <w:b w:val="0"/>
          <w:color w:val="000000" w:themeColor="text1"/>
        </w:rPr>
        <w:t>绪言</w:t>
      </w:r>
      <w:bookmarkEnd w:id="0"/>
      <w:bookmarkEnd w:id="1"/>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招募说明书依据《中华人民共和国证券投资基金法》（以下简称《基金法》）、《公开募集证券投资基金运作管理办法》（以下简称《运作办法》）、《证券投资基金销售管理办法》（以下简称《销售办法》）、《</w:t>
      </w:r>
      <w:r w:rsidRPr="00177B84" w:rsidR="00D274EE">
        <w:rPr>
          <w:rFonts w:asciiTheme="minorEastAsia" w:eastAsiaTheme="minorEastAsia" w:hAnsiTheme="minorEastAsia" w:hint="eastAsia"/>
          <w:color w:val="000000" w:themeColor="text1"/>
        </w:rPr>
        <w:t>公开募集</w:t>
      </w:r>
      <w:r w:rsidRPr="00177B84">
        <w:rPr>
          <w:rFonts w:asciiTheme="minorEastAsia" w:eastAsiaTheme="minorEastAsia" w:hAnsiTheme="minorEastAsia"/>
          <w:color w:val="000000" w:themeColor="text1"/>
        </w:rPr>
        <w:t>证券投资基金信息披露管理办法》（以下简称《信息披露办法》）</w:t>
      </w:r>
      <w:r w:rsidRPr="00177B84" w:rsidR="00CD0285">
        <w:rPr>
          <w:rFonts w:asciiTheme="minorEastAsia" w:eastAsiaTheme="minorEastAsia" w:hAnsiTheme="minorEastAsia" w:hint="eastAsia"/>
          <w:color w:val="000000" w:themeColor="text1"/>
        </w:rPr>
        <w:t>、《公开募集开放式证券投资基金流动性风险管理规定》（以下简称《管理规定》）</w:t>
      </w:r>
      <w:r w:rsidRPr="00177B84">
        <w:rPr>
          <w:rFonts w:asciiTheme="minorEastAsia" w:eastAsiaTheme="minorEastAsia" w:hAnsiTheme="minorEastAsia"/>
          <w:color w:val="000000" w:themeColor="text1"/>
        </w:rPr>
        <w:t>、《证券投资基金信息披露内容与格式准则第5号&lt;招募说明书的内容与格式&gt;》、《易方达瑞弘灵活配置混合型证券投资基金基金合同》（以下简称基金合同）及其它有关规定等编写。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860D6"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招募说明书根据本基金的基金合同编写，并经中国证监会注册。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177B84">
        <w:rPr>
          <w:rFonts w:asciiTheme="minorEastAsia" w:eastAsiaTheme="minorEastAsia" w:hAnsiTheme="minorEastAsia"/>
          <w:color w:val="000000" w:themeColor="text1"/>
        </w:rPr>
        <w:br w:type="page"/>
      </w:r>
    </w:p>
    <w:p w:rsidR="00BA4B87" w:rsidRPr="00177B84" w:rsidP="00CC1421">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2" w:name="_Toc332373445"/>
      <w:bookmarkStart w:id="3" w:name="_Toc103006831"/>
      <w:r w:rsidRPr="00177B84">
        <w:rPr>
          <w:rFonts w:asciiTheme="minorEastAsia" w:eastAsiaTheme="minorEastAsia" w:hAnsiTheme="minorEastAsia"/>
          <w:color w:val="000000" w:themeColor="text1"/>
          <w:sz w:val="30"/>
        </w:rPr>
        <w:t>二、释义</w:t>
      </w:r>
      <w:bookmarkEnd w:id="2"/>
      <w:bookmarkEnd w:id="3"/>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本招募说明书中除非文意另有所指，下列词语有如下含义：</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1、基金或本基金：指易方达瑞弘灵活配置混合型证券投资基金</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2、基金管理人：指易方达基金管理有限公司</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3、基金托管人：指上海浦东发展银行股份有限公司</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4、基金合同或本基金合同：指《易方达瑞弘灵活配置混合型证券投资基金基金合同》及对基金合同的任何有效修订和补充</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5、托管协议：指基金管理人与基金托管人就本基金签订之《易方达瑞弘灵活配置混合型证券投资基金托管协议》及对该托管协议的任何有效修订和补充</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6、招募说明书：指《易方达瑞弘灵活配置混合型证券投资基金招募说明书》及其更新</w:t>
      </w:r>
    </w:p>
    <w:p w:rsidR="00D274EE"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7</w:t>
      </w:r>
      <w:r w:rsidRPr="00177B84">
        <w:rPr>
          <w:rFonts w:asciiTheme="minorEastAsia" w:eastAsiaTheme="minorEastAsia" w:hAnsiTheme="minorEastAsia"/>
          <w:bCs/>
          <w:color w:val="000000" w:themeColor="text1"/>
        </w:rPr>
        <w:t>、</w:t>
      </w:r>
      <w:r w:rsidRPr="00177B84">
        <w:rPr>
          <w:rFonts w:asciiTheme="minorEastAsia" w:eastAsiaTheme="minorEastAsia" w:hAnsiTheme="minorEastAsia" w:hint="eastAsia"/>
          <w:bCs/>
          <w:color w:val="000000" w:themeColor="text1"/>
        </w:rPr>
        <w:t>基金产品</w:t>
      </w:r>
      <w:r w:rsidRPr="00177B84">
        <w:rPr>
          <w:rFonts w:asciiTheme="minorEastAsia" w:eastAsiaTheme="minorEastAsia" w:hAnsiTheme="minorEastAsia"/>
          <w:bCs/>
          <w:color w:val="000000" w:themeColor="text1"/>
        </w:rPr>
        <w:t>资料概要：指</w:t>
      </w:r>
      <w:r w:rsidRPr="00177B84">
        <w:rPr>
          <w:rFonts w:asciiTheme="minorEastAsia" w:eastAsiaTheme="minorEastAsia" w:hAnsiTheme="minorEastAsia" w:hint="eastAsia"/>
          <w:bCs/>
          <w:color w:val="000000" w:themeColor="text1"/>
        </w:rPr>
        <w:t>《易方达瑞弘灵活配置混合型证券投资</w:t>
      </w:r>
      <w:r w:rsidRPr="00177B84" w:rsidR="00B00B16">
        <w:rPr>
          <w:rFonts w:asciiTheme="minorEastAsia" w:eastAsiaTheme="minorEastAsia" w:hAnsiTheme="minorEastAsia" w:hint="eastAsia"/>
          <w:bCs/>
          <w:color w:val="000000" w:themeColor="text1"/>
        </w:rPr>
        <w:t>基金</w:t>
      </w:r>
      <w:r w:rsidRPr="00177B84">
        <w:rPr>
          <w:rFonts w:asciiTheme="minorEastAsia" w:eastAsiaTheme="minorEastAsia" w:hAnsiTheme="minorEastAsia" w:hint="eastAsia"/>
          <w:bCs/>
          <w:color w:val="000000" w:themeColor="text1"/>
        </w:rPr>
        <w:t>基金</w:t>
      </w:r>
      <w:r w:rsidRPr="00177B84">
        <w:rPr>
          <w:rFonts w:asciiTheme="minorEastAsia" w:eastAsiaTheme="minorEastAsia" w:hAnsiTheme="minorEastAsia"/>
          <w:bCs/>
          <w:color w:val="000000" w:themeColor="text1"/>
        </w:rPr>
        <w:t>产品资料概要》</w:t>
      </w:r>
      <w:r w:rsidRPr="00177B84">
        <w:rPr>
          <w:rFonts w:asciiTheme="minorEastAsia" w:eastAsiaTheme="minorEastAsia" w:hAnsiTheme="minorEastAsia" w:hint="eastAsia"/>
          <w:bCs/>
          <w:color w:val="000000" w:themeColor="text1"/>
        </w:rPr>
        <w:t>及其</w:t>
      </w:r>
      <w:r w:rsidRPr="00177B84">
        <w:rPr>
          <w:rFonts w:asciiTheme="minorEastAsia" w:eastAsiaTheme="minorEastAsia" w:hAnsiTheme="minorEastAsia"/>
          <w:bCs/>
          <w:color w:val="000000" w:themeColor="text1"/>
        </w:rPr>
        <w:t>更新</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8、基金份额发售公告：指《易方达瑞弘灵活配置混合型证券投资基金基金份额发售公告》</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1</w:t>
      </w:r>
      <w:r w:rsidRPr="00177B84">
        <w:rPr>
          <w:rStyle w:val="da"/>
          <w:rFonts w:asciiTheme="minorEastAsia" w:eastAsiaTheme="minorEastAsia" w:hAnsiTheme="minorEastAsia" w:hint="eastAsia"/>
          <w:color w:val="000000" w:themeColor="text1"/>
        </w:rPr>
        <w:t>、《销售办法》：指中国证监会2013年3月15日颁布、同年6月1日实施的《证券投资基金销售管理办法》及颁布机关对其不时做出的修订</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2</w:t>
      </w:r>
      <w:r w:rsidRPr="00177B84">
        <w:rPr>
          <w:rStyle w:val="da"/>
          <w:rFonts w:asciiTheme="minorEastAsia" w:eastAsiaTheme="minorEastAsia" w:hAnsiTheme="minorEastAsia" w:hint="eastAsia"/>
          <w:color w:val="000000" w:themeColor="text1"/>
        </w:rPr>
        <w:t>、《信息披露办法》：</w:t>
      </w:r>
      <w:r w:rsidRPr="00177B84" w:rsidR="00607632">
        <w:rPr>
          <w:rFonts w:asciiTheme="minorEastAsia" w:eastAsiaTheme="minorEastAsia" w:hAnsiTheme="minorEastAsia" w:hint="eastAsia"/>
          <w:bCs/>
          <w:color w:val="000000" w:themeColor="text1"/>
        </w:rPr>
        <w:t>指中国证监会</w:t>
      </w:r>
      <w:r w:rsidRPr="00177B84" w:rsidR="00607632">
        <w:rPr>
          <w:rFonts w:asciiTheme="minorEastAsia" w:eastAsiaTheme="minorEastAsia" w:hAnsiTheme="minorEastAsia"/>
          <w:bCs/>
          <w:color w:val="000000" w:themeColor="text1"/>
        </w:rPr>
        <w:t>2019</w:t>
      </w:r>
      <w:r w:rsidRPr="00177B84" w:rsidR="00607632">
        <w:rPr>
          <w:rFonts w:asciiTheme="minorEastAsia" w:eastAsiaTheme="minorEastAsia" w:hAnsiTheme="minorEastAsia" w:hint="eastAsia"/>
          <w:bCs/>
          <w:color w:val="000000" w:themeColor="text1"/>
        </w:rPr>
        <w:t>年</w:t>
      </w:r>
      <w:r w:rsidRPr="00177B84" w:rsidR="00607632">
        <w:rPr>
          <w:rFonts w:asciiTheme="minorEastAsia" w:eastAsiaTheme="minorEastAsia" w:hAnsiTheme="minorEastAsia"/>
          <w:bCs/>
          <w:color w:val="000000" w:themeColor="text1"/>
        </w:rPr>
        <w:t>7</w:t>
      </w:r>
      <w:r w:rsidRPr="00177B84" w:rsidR="00607632">
        <w:rPr>
          <w:rFonts w:asciiTheme="minorEastAsia" w:eastAsiaTheme="minorEastAsia" w:hAnsiTheme="minorEastAsia" w:hint="eastAsia"/>
          <w:bCs/>
          <w:color w:val="000000" w:themeColor="text1"/>
        </w:rPr>
        <w:t>月</w:t>
      </w:r>
      <w:r w:rsidRPr="00177B84" w:rsidR="00607632">
        <w:rPr>
          <w:rFonts w:asciiTheme="minorEastAsia" w:eastAsiaTheme="minorEastAsia" w:hAnsiTheme="minorEastAsia"/>
          <w:bCs/>
          <w:color w:val="000000" w:themeColor="text1"/>
        </w:rPr>
        <w:t>26</w:t>
      </w:r>
      <w:r w:rsidRPr="00177B84" w:rsidR="00607632">
        <w:rPr>
          <w:rFonts w:asciiTheme="minorEastAsia" w:eastAsiaTheme="minorEastAsia" w:hAnsiTheme="minorEastAsia" w:hint="eastAsia"/>
          <w:bCs/>
          <w:color w:val="000000" w:themeColor="text1"/>
        </w:rPr>
        <w:t>日颁布、同年</w:t>
      </w:r>
      <w:r w:rsidRPr="00177B84" w:rsidR="00607632">
        <w:rPr>
          <w:rFonts w:asciiTheme="minorEastAsia" w:eastAsiaTheme="minorEastAsia" w:hAnsiTheme="minorEastAsia"/>
          <w:bCs/>
          <w:color w:val="000000" w:themeColor="text1"/>
        </w:rPr>
        <w:t>9</w:t>
      </w:r>
      <w:r w:rsidRPr="00177B84" w:rsidR="00607632">
        <w:rPr>
          <w:rFonts w:asciiTheme="minorEastAsia" w:eastAsiaTheme="minorEastAsia" w:hAnsiTheme="minorEastAsia" w:hint="eastAsia"/>
          <w:bCs/>
          <w:color w:val="000000" w:themeColor="text1"/>
        </w:rPr>
        <w:t>月</w:t>
      </w:r>
      <w:r w:rsidRPr="00177B84" w:rsidR="00607632">
        <w:rPr>
          <w:rFonts w:asciiTheme="minorEastAsia" w:eastAsiaTheme="minorEastAsia" w:hAnsiTheme="minorEastAsia"/>
          <w:bCs/>
          <w:color w:val="000000" w:themeColor="text1"/>
        </w:rPr>
        <w:t>1</w:t>
      </w:r>
      <w:r w:rsidRPr="00177B84" w:rsidR="00607632">
        <w:rPr>
          <w:rFonts w:asciiTheme="minorEastAsia" w:eastAsiaTheme="minorEastAsia" w:hAnsiTheme="minorEastAsia" w:hint="eastAsia"/>
          <w:bCs/>
          <w:color w:val="000000" w:themeColor="text1"/>
        </w:rPr>
        <w:t>日实施的《公开募集证券投资基金信息披露管理办法》及颁布机关对其不时做出的修订</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3</w:t>
      </w:r>
      <w:r w:rsidRPr="00177B84">
        <w:rPr>
          <w:rStyle w:val="da"/>
          <w:rFonts w:asciiTheme="minorEastAsia" w:eastAsiaTheme="minorEastAsia" w:hAnsiTheme="minorEastAsia" w:hint="eastAsia"/>
          <w:color w:val="000000" w:themeColor="text1"/>
        </w:rPr>
        <w:t>、《运作办法》：指中国证监会2014年7月7日颁布、同年8月8日实施的《公开募集证券投资基金运作管理办法》及颁布机关对其不时做出的修订</w:t>
      </w:r>
    </w:p>
    <w:p w:rsidR="00767D70" w:rsidRPr="00177B84" w:rsidP="008D20DA">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1</w:t>
      </w:r>
      <w:r w:rsidRPr="00177B84" w:rsidR="00715B08">
        <w:rPr>
          <w:rStyle w:val="da"/>
          <w:rFonts w:asciiTheme="minorEastAsia" w:eastAsiaTheme="minorEastAsia" w:hAnsiTheme="minorEastAsia" w:hint="eastAsia"/>
          <w:color w:val="000000" w:themeColor="text1"/>
        </w:rPr>
        <w:t>4</w:t>
      </w:r>
      <w:r w:rsidRPr="00177B84">
        <w:rPr>
          <w:rStyle w:val="da"/>
          <w:rFonts w:asciiTheme="minorEastAsia" w:eastAsiaTheme="minorEastAsia" w:hAnsiTheme="minorEastAsia" w:hint="eastAsia"/>
          <w:color w:val="000000" w:themeColor="text1"/>
        </w:rPr>
        <w:t>、《管理规定》：指中国证监会</w:t>
      </w:r>
      <w:r w:rsidRPr="00177B84">
        <w:rPr>
          <w:rStyle w:val="da"/>
          <w:rFonts w:asciiTheme="minorEastAsia" w:eastAsiaTheme="minorEastAsia" w:hAnsiTheme="minorEastAsia"/>
          <w:color w:val="000000" w:themeColor="text1"/>
        </w:rPr>
        <w:t>2017</w:t>
      </w:r>
      <w:r w:rsidRPr="00177B84">
        <w:rPr>
          <w:rStyle w:val="da"/>
          <w:rFonts w:asciiTheme="minorEastAsia" w:eastAsiaTheme="minorEastAsia" w:hAnsiTheme="minorEastAsia" w:hint="eastAsia"/>
          <w:color w:val="000000" w:themeColor="text1"/>
        </w:rPr>
        <w:t>年</w:t>
      </w:r>
      <w:r w:rsidRPr="00177B84">
        <w:rPr>
          <w:rStyle w:val="da"/>
          <w:rFonts w:asciiTheme="minorEastAsia" w:eastAsiaTheme="minorEastAsia" w:hAnsiTheme="minorEastAsia"/>
          <w:color w:val="000000" w:themeColor="text1"/>
        </w:rPr>
        <w:t>8</w:t>
      </w:r>
      <w:r w:rsidRPr="00177B84">
        <w:rPr>
          <w:rStyle w:val="da"/>
          <w:rFonts w:asciiTheme="minorEastAsia" w:eastAsiaTheme="minorEastAsia" w:hAnsiTheme="minorEastAsia" w:hint="eastAsia"/>
          <w:color w:val="000000" w:themeColor="text1"/>
        </w:rPr>
        <w:t>月</w:t>
      </w:r>
      <w:r w:rsidRPr="00177B84">
        <w:rPr>
          <w:rStyle w:val="da"/>
          <w:rFonts w:asciiTheme="minorEastAsia" w:eastAsiaTheme="minorEastAsia" w:hAnsiTheme="minorEastAsia"/>
          <w:color w:val="000000" w:themeColor="text1"/>
        </w:rPr>
        <w:t>31</w:t>
      </w:r>
      <w:r w:rsidRPr="00177B84">
        <w:rPr>
          <w:rStyle w:val="da"/>
          <w:rFonts w:asciiTheme="minorEastAsia" w:eastAsiaTheme="minorEastAsia" w:hAnsiTheme="minorEastAsia" w:hint="eastAsia"/>
          <w:color w:val="000000" w:themeColor="text1"/>
        </w:rPr>
        <w:t>日颁布、同年</w:t>
      </w:r>
      <w:r w:rsidRPr="00177B84">
        <w:rPr>
          <w:rStyle w:val="da"/>
          <w:rFonts w:asciiTheme="minorEastAsia" w:eastAsiaTheme="minorEastAsia" w:hAnsiTheme="minorEastAsia"/>
          <w:color w:val="000000" w:themeColor="text1"/>
        </w:rPr>
        <w:t>10</w:t>
      </w:r>
      <w:r w:rsidRPr="00177B84">
        <w:rPr>
          <w:rStyle w:val="da"/>
          <w:rFonts w:asciiTheme="minorEastAsia" w:eastAsiaTheme="minorEastAsia" w:hAnsiTheme="minorEastAsia" w:hint="eastAsia"/>
          <w:color w:val="000000" w:themeColor="text1"/>
        </w:rPr>
        <w:t>月</w:t>
      </w:r>
      <w:r w:rsidRPr="00177B84">
        <w:rPr>
          <w:rStyle w:val="da"/>
          <w:rFonts w:asciiTheme="minorEastAsia" w:eastAsiaTheme="minorEastAsia" w:hAnsiTheme="minorEastAsia"/>
          <w:color w:val="000000" w:themeColor="text1"/>
        </w:rPr>
        <w:t>1</w:t>
      </w:r>
      <w:r w:rsidRPr="00177B84">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5</w:t>
      </w:r>
      <w:r w:rsidRPr="00177B84">
        <w:rPr>
          <w:rStyle w:val="da"/>
          <w:rFonts w:asciiTheme="minorEastAsia" w:eastAsiaTheme="minorEastAsia" w:hAnsiTheme="minorEastAsia" w:hint="eastAsia"/>
          <w:color w:val="000000" w:themeColor="text1"/>
        </w:rPr>
        <w:t>、中国证监会：指中国证券监督管理委员会</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6</w:t>
      </w:r>
      <w:r w:rsidRPr="00177B84">
        <w:rPr>
          <w:rStyle w:val="da"/>
          <w:rFonts w:asciiTheme="minorEastAsia" w:eastAsiaTheme="minorEastAsia" w:hAnsiTheme="minorEastAsia" w:hint="eastAsia"/>
          <w:color w:val="000000" w:themeColor="text1"/>
        </w:rPr>
        <w:t>、银行业监督管理机构：指中国人民银行和/或</w:t>
      </w:r>
      <w:r w:rsidRPr="00177B84" w:rsidR="005A384A">
        <w:rPr>
          <w:rStyle w:val="da"/>
          <w:rFonts w:asciiTheme="minorEastAsia" w:eastAsiaTheme="minorEastAsia" w:hAnsiTheme="minorEastAsia" w:hint="eastAsia"/>
          <w:color w:val="000000" w:themeColor="text1"/>
        </w:rPr>
        <w:t>中国银行保险监督管理委员会</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7</w:t>
      </w:r>
      <w:r w:rsidRPr="00177B84">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8</w:t>
      </w:r>
      <w:r w:rsidRPr="00177B84">
        <w:rPr>
          <w:rStyle w:val="da"/>
          <w:rFonts w:asciiTheme="minorEastAsia" w:eastAsiaTheme="minorEastAsia" w:hAnsiTheme="minorEastAsia" w:hint="eastAsia"/>
          <w:color w:val="000000" w:themeColor="text1"/>
        </w:rPr>
        <w:t>、个人投资者：指依据有关法律法规规定可投资于证券投资基金的自然人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w:t>
      </w:r>
      <w:r w:rsidRPr="00177B84" w:rsidR="00715B08">
        <w:rPr>
          <w:rStyle w:val="da"/>
          <w:rFonts w:asciiTheme="minorEastAsia" w:eastAsiaTheme="minorEastAsia" w:hAnsiTheme="minorEastAsia" w:hint="eastAsia"/>
          <w:color w:val="000000" w:themeColor="text1"/>
        </w:rPr>
        <w:t>9</w:t>
      </w:r>
      <w:r w:rsidRPr="00177B84">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20、合格境外机构投资者：指符合相关法律法规规定可以投资于在中国境内依法募集的证券投资基金的中国境外的机构投资者</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2</w:t>
      </w:r>
      <w:r w:rsidRPr="00177B84" w:rsidR="00715B08">
        <w:rPr>
          <w:rStyle w:val="da"/>
          <w:rFonts w:asciiTheme="minorEastAsia" w:eastAsiaTheme="minorEastAsia" w:hAnsiTheme="minorEastAsia" w:hint="eastAsia"/>
          <w:color w:val="000000" w:themeColor="text1"/>
        </w:rPr>
        <w:t>1</w:t>
      </w:r>
      <w:r w:rsidRPr="00177B84">
        <w:rPr>
          <w:rStyle w:val="da"/>
          <w:rFonts w:asciiTheme="minorEastAsia" w:eastAsiaTheme="minorEastAsia" w:hAnsiTheme="minorEastAsia" w:hint="eastAsia"/>
          <w:color w:val="000000" w:themeColor="text1"/>
        </w:rPr>
        <w:t>、投资人、</w:t>
      </w:r>
      <w:r w:rsidRPr="00177B84">
        <w:rPr>
          <w:rStyle w:val="da"/>
          <w:rFonts w:asciiTheme="minorEastAsia" w:eastAsiaTheme="minorEastAsia" w:hAnsiTheme="minorEastAsia"/>
          <w:color w:val="000000" w:themeColor="text1"/>
        </w:rPr>
        <w:t>投资者</w:t>
      </w:r>
      <w:r w:rsidRPr="00177B84">
        <w:rPr>
          <w:rStyle w:val="da"/>
          <w:rFonts w:asciiTheme="minorEastAsia" w:eastAsiaTheme="minorEastAsia" w:hAnsiTheme="minorEastAsia" w:hint="eastAsia"/>
          <w:color w:val="000000" w:themeColor="text1"/>
        </w:rPr>
        <w:t>：指个人投资者、机构投资者和合格境外机构投资者以及法律法规或中国证监会允许购买证券投资基金的其他投资人的合称</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715B08">
        <w:rPr>
          <w:rStyle w:val="da"/>
          <w:rFonts w:asciiTheme="minorEastAsia" w:eastAsiaTheme="minorEastAsia" w:hAnsiTheme="minorEastAsia" w:hint="eastAsia"/>
          <w:color w:val="000000" w:themeColor="text1"/>
        </w:rPr>
        <w:t>2</w:t>
      </w:r>
      <w:r w:rsidRPr="00177B84">
        <w:rPr>
          <w:rStyle w:val="da"/>
          <w:rFonts w:asciiTheme="minorEastAsia" w:eastAsiaTheme="minorEastAsia" w:hAnsiTheme="minorEastAsia" w:hint="eastAsia"/>
          <w:color w:val="000000" w:themeColor="text1"/>
        </w:rPr>
        <w:t>、基金份额持有人：指依基金合同和招募说明书合法取得基金份额的投资人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715B08">
        <w:rPr>
          <w:rStyle w:val="da"/>
          <w:rFonts w:asciiTheme="minorEastAsia" w:eastAsiaTheme="minorEastAsia" w:hAnsiTheme="minorEastAsia" w:hint="eastAsia"/>
          <w:color w:val="000000" w:themeColor="text1"/>
        </w:rPr>
        <w:t>3</w:t>
      </w:r>
      <w:r w:rsidRPr="00177B84">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4</w:t>
      </w:r>
      <w:r w:rsidRPr="00177B84">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5</w:t>
      </w:r>
      <w:r w:rsidRPr="00177B84">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6</w:t>
      </w:r>
      <w:r w:rsidRPr="00177B84">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7</w:t>
      </w:r>
      <w:r w:rsidRPr="00177B84">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8</w:t>
      </w:r>
      <w:r w:rsidRPr="00177B84">
        <w:rPr>
          <w:rStyle w:val="da"/>
          <w:rFonts w:asciiTheme="minorEastAsia" w:eastAsiaTheme="minorEastAsia" w:hAnsiTheme="minorEastAsia" w:hint="eastAsia"/>
          <w:color w:val="000000" w:themeColor="text1"/>
        </w:rPr>
        <w:t>、基金交易账户：指销售机构为投资人开立的、记录投资人通过该销售机构买卖基金的基金份额变动及结余情况的账户</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w:t>
      </w:r>
      <w:r w:rsidRPr="00177B84" w:rsidR="00607632">
        <w:rPr>
          <w:rStyle w:val="da"/>
          <w:rFonts w:asciiTheme="minorEastAsia" w:eastAsiaTheme="minorEastAsia" w:hAnsiTheme="minorEastAsia" w:hint="eastAsia"/>
          <w:color w:val="000000" w:themeColor="text1"/>
        </w:rPr>
        <w:t>9</w:t>
      </w:r>
      <w:r w:rsidRPr="00177B84">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30、基金合同终止日：指基金合同规定的基金合同终止事由出现后，基金财产清算完毕，清算结果报中国证监会备案并予以公告的日期</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3</w:t>
      </w:r>
      <w:r w:rsidRPr="00177B84" w:rsidR="00607632">
        <w:rPr>
          <w:rStyle w:val="da"/>
          <w:rFonts w:asciiTheme="minorEastAsia" w:eastAsiaTheme="minorEastAsia" w:hAnsiTheme="minorEastAsia" w:hint="eastAsia"/>
          <w:color w:val="000000" w:themeColor="text1"/>
        </w:rPr>
        <w:t>1</w:t>
      </w:r>
      <w:r w:rsidRPr="00177B84">
        <w:rPr>
          <w:rStyle w:val="da"/>
          <w:rFonts w:asciiTheme="minorEastAsia" w:eastAsiaTheme="minorEastAsia" w:hAnsiTheme="minorEastAsia" w:hint="eastAsia"/>
          <w:color w:val="000000" w:themeColor="text1"/>
        </w:rPr>
        <w:t>、基金募集期：指自基金份额发售之日起至发售结束之日止的期间，最长不得超过3个月</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2</w:t>
      </w:r>
      <w:r w:rsidRPr="00177B84">
        <w:rPr>
          <w:rStyle w:val="da"/>
          <w:rFonts w:asciiTheme="minorEastAsia" w:eastAsiaTheme="minorEastAsia" w:hAnsiTheme="minorEastAsia" w:hint="eastAsia"/>
          <w:color w:val="000000" w:themeColor="text1"/>
        </w:rPr>
        <w:t>、存续期：指基金合同生效日至终止日之间的不定期期限</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3</w:t>
      </w:r>
      <w:r w:rsidRPr="00177B84">
        <w:rPr>
          <w:rStyle w:val="da"/>
          <w:rFonts w:asciiTheme="minorEastAsia" w:eastAsiaTheme="minorEastAsia" w:hAnsiTheme="minorEastAsia" w:hint="eastAsia"/>
          <w:color w:val="000000" w:themeColor="text1"/>
        </w:rPr>
        <w:t>、工作日：指上海证券交易所、深圳证券交易所的交易日</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4</w:t>
      </w:r>
      <w:r w:rsidRPr="00177B84">
        <w:rPr>
          <w:rStyle w:val="da"/>
          <w:rFonts w:asciiTheme="minorEastAsia" w:eastAsiaTheme="minorEastAsia" w:hAnsiTheme="minorEastAsia" w:hint="eastAsia"/>
          <w:color w:val="000000" w:themeColor="text1"/>
        </w:rPr>
        <w:t>、T日：指销售机构在规定时间受理投资人申购、赎回或其他业务申请的开放日</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5</w:t>
      </w:r>
      <w:r w:rsidRPr="00177B84">
        <w:rPr>
          <w:rStyle w:val="da"/>
          <w:rFonts w:asciiTheme="minorEastAsia" w:eastAsiaTheme="minorEastAsia" w:hAnsiTheme="minorEastAsia" w:hint="eastAsia"/>
          <w:color w:val="000000" w:themeColor="text1"/>
        </w:rPr>
        <w:t>、T+n日：指自T日起第n个工作日(不包含T日)，n为自然数</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6</w:t>
      </w:r>
      <w:r w:rsidRPr="00177B84">
        <w:rPr>
          <w:rStyle w:val="da"/>
          <w:rFonts w:asciiTheme="minorEastAsia" w:eastAsiaTheme="minorEastAsia" w:hAnsiTheme="minorEastAsia" w:hint="eastAsia"/>
          <w:color w:val="000000" w:themeColor="text1"/>
        </w:rPr>
        <w:t>、开放日：指为投资人办理基金份额申购、赎回或其他业务的工作日</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7</w:t>
      </w:r>
      <w:r w:rsidRPr="00177B84">
        <w:rPr>
          <w:rStyle w:val="da"/>
          <w:rFonts w:asciiTheme="minorEastAsia" w:eastAsiaTheme="minorEastAsia" w:hAnsiTheme="minorEastAsia" w:hint="eastAsia"/>
          <w:color w:val="000000" w:themeColor="text1"/>
        </w:rPr>
        <w:t>、开放时间：指开放日基金接受申购、赎回或其他交易的时间段</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8</w:t>
      </w:r>
      <w:r w:rsidRPr="00177B84">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w:t>
      </w:r>
      <w:r w:rsidRPr="00177B84" w:rsidR="00607632">
        <w:rPr>
          <w:rStyle w:val="da"/>
          <w:rFonts w:asciiTheme="minorEastAsia" w:eastAsiaTheme="minorEastAsia" w:hAnsiTheme="minorEastAsia" w:hint="eastAsia"/>
          <w:color w:val="000000" w:themeColor="text1"/>
        </w:rPr>
        <w:t>9</w:t>
      </w:r>
      <w:r w:rsidRPr="00177B84">
        <w:rPr>
          <w:rStyle w:val="da"/>
          <w:rFonts w:asciiTheme="minorEastAsia" w:eastAsiaTheme="minorEastAsia" w:hAnsiTheme="minorEastAsia" w:hint="eastAsia"/>
          <w:color w:val="000000" w:themeColor="text1"/>
        </w:rPr>
        <w:t>、认购：指在基金募集期内，投资人申请购买基金份额的行为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40、申购：指基金合同生效后，投资人根据基金合同和招募说明书的规定申请购买基金份额的行为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4</w:t>
      </w:r>
      <w:r w:rsidRPr="00177B84" w:rsidR="00607632">
        <w:rPr>
          <w:rStyle w:val="da"/>
          <w:rFonts w:asciiTheme="minorEastAsia" w:eastAsiaTheme="minorEastAsia" w:hAnsiTheme="minorEastAsia" w:hint="eastAsia"/>
          <w:color w:val="000000" w:themeColor="text1"/>
        </w:rPr>
        <w:t>1</w:t>
      </w:r>
      <w:r w:rsidRPr="00177B84">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2</w:t>
      </w:r>
      <w:r w:rsidRPr="00177B84">
        <w:rPr>
          <w:rStyle w:val="da"/>
          <w:rFonts w:asciiTheme="minorEastAsia" w:eastAsiaTheme="minorEastAsia" w:hAnsiTheme="minorEastAsia" w:hint="eastAsia"/>
          <w:color w:val="000000" w:themeColor="text1"/>
        </w:rPr>
        <w:t>、基金转换：指基金份额持有人按照本基金合同和基金管理人届时有效公告规定的条件，申请将其持有基金管理人管理的、某一基金的基金份额转换为基金管理人管理的其他基金基金份额的行为</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3</w:t>
      </w:r>
      <w:r w:rsidRPr="00177B84">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4</w:t>
      </w:r>
      <w:r w:rsidRPr="00177B84">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5</w:t>
      </w:r>
      <w:r w:rsidRPr="00177B84">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6</w:t>
      </w:r>
      <w:r w:rsidRPr="00177B84">
        <w:rPr>
          <w:rStyle w:val="da"/>
          <w:rFonts w:asciiTheme="minorEastAsia" w:eastAsiaTheme="minorEastAsia" w:hAnsiTheme="minorEastAsia" w:hint="eastAsia"/>
          <w:color w:val="000000" w:themeColor="text1"/>
        </w:rPr>
        <w:t>、元：指人民币元</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7</w:t>
      </w:r>
      <w:r w:rsidRPr="00177B84">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8</w:t>
      </w:r>
      <w:r w:rsidRPr="00177B84">
        <w:rPr>
          <w:rStyle w:val="da"/>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w:t>
      </w:r>
      <w:r w:rsidRPr="00177B84" w:rsidR="00607632">
        <w:rPr>
          <w:rStyle w:val="da"/>
          <w:rFonts w:asciiTheme="minorEastAsia" w:eastAsiaTheme="minorEastAsia" w:hAnsiTheme="minorEastAsia" w:hint="eastAsia"/>
          <w:color w:val="000000" w:themeColor="text1"/>
        </w:rPr>
        <w:t>9</w:t>
      </w:r>
      <w:r w:rsidRPr="00177B84">
        <w:rPr>
          <w:rStyle w:val="da"/>
          <w:rFonts w:asciiTheme="minorEastAsia" w:eastAsiaTheme="minorEastAsia" w:hAnsiTheme="minorEastAsia" w:hint="eastAsia"/>
          <w:color w:val="000000" w:themeColor="text1"/>
        </w:rPr>
        <w:t>、基金资产净值：指基金资产总值减去基金负债后的价值</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50、基金份额净值：指计算日基金资产净值除以计算日基金份额总数</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5</w:t>
      </w:r>
      <w:r w:rsidRPr="00177B84" w:rsidR="00607632">
        <w:rPr>
          <w:rStyle w:val="da"/>
          <w:rFonts w:asciiTheme="minorEastAsia" w:eastAsiaTheme="minorEastAsia" w:hAnsiTheme="minorEastAsia" w:hint="eastAsia"/>
          <w:color w:val="000000" w:themeColor="text1"/>
        </w:rPr>
        <w:t>1</w:t>
      </w:r>
      <w:r w:rsidRPr="00177B84">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6E0D78" w:rsidRPr="00177B84" w:rsidP="006E0D78">
      <w:pPr>
        <w:spacing w:line="360" w:lineRule="auto"/>
        <w:ind w:firstLine="420" w:firstLineChars="200"/>
        <w:rPr>
          <w:rFonts w:asciiTheme="minorEastAsia" w:eastAsiaTheme="minorEastAsia" w:hAnsiTheme="minorEastAsia"/>
          <w:bCs/>
          <w:color w:val="000000" w:themeColor="text1"/>
        </w:rPr>
      </w:pPr>
      <w:r w:rsidRPr="00177B84">
        <w:rPr>
          <w:rStyle w:val="da"/>
          <w:rFonts w:asciiTheme="minorEastAsia" w:eastAsiaTheme="minorEastAsia" w:hAnsiTheme="minorEastAsia" w:hint="eastAsia"/>
          <w:color w:val="000000" w:themeColor="text1"/>
        </w:rPr>
        <w:t>5</w:t>
      </w:r>
      <w:r w:rsidRPr="00177B84" w:rsidR="00607632">
        <w:rPr>
          <w:rStyle w:val="da"/>
          <w:rFonts w:asciiTheme="minorEastAsia" w:eastAsiaTheme="minorEastAsia" w:hAnsiTheme="minorEastAsia" w:hint="eastAsia"/>
          <w:color w:val="000000" w:themeColor="text1"/>
        </w:rPr>
        <w:t>2</w:t>
      </w:r>
      <w:r w:rsidRPr="00177B84" w:rsidR="006E605D">
        <w:rPr>
          <w:rStyle w:val="da"/>
          <w:rFonts w:asciiTheme="minorEastAsia" w:eastAsiaTheme="minorEastAsia" w:hAnsiTheme="minorEastAsia" w:hint="eastAsia"/>
          <w:color w:val="000000" w:themeColor="text1"/>
        </w:rPr>
        <w:t>、指定媒介：</w:t>
      </w:r>
      <w:r w:rsidRPr="00177B84">
        <w:rPr>
          <w:rFonts w:asciiTheme="minorEastAsia" w:eastAsiaTheme="minorEastAsia" w:hAnsiTheme="minorEastAsia" w:hint="eastAsia"/>
          <w:bCs/>
          <w:color w:val="000000" w:themeColor="text1"/>
        </w:rPr>
        <w:t>指中国证监会指定的用以进行信息披露的全国性报刊及指定互联网网站（包括基金管理人网站、基金托管人网站、中国证监会基金电子披露网站）等媒介</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w:t>
      </w:r>
      <w:r w:rsidRPr="00177B84" w:rsidR="00607632">
        <w:rPr>
          <w:rStyle w:val="da"/>
          <w:rFonts w:asciiTheme="minorEastAsia" w:eastAsiaTheme="minorEastAsia" w:hAnsiTheme="minorEastAsia" w:hint="eastAsia"/>
          <w:color w:val="000000" w:themeColor="text1"/>
        </w:rPr>
        <w:t>3</w:t>
      </w:r>
      <w:r w:rsidRPr="00177B84">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6E605D" w:rsidRPr="00177B84" w:rsidP="006E605D">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w:t>
      </w:r>
      <w:r w:rsidRPr="00177B84" w:rsidR="00607632">
        <w:rPr>
          <w:rStyle w:val="da"/>
          <w:rFonts w:asciiTheme="minorEastAsia" w:eastAsiaTheme="minorEastAsia" w:hAnsiTheme="minorEastAsia" w:hint="eastAsia"/>
          <w:color w:val="000000" w:themeColor="text1"/>
        </w:rPr>
        <w:t>4</w:t>
      </w:r>
      <w:r w:rsidRPr="00177B84">
        <w:rPr>
          <w:rStyle w:val="da"/>
          <w:rFonts w:asciiTheme="minorEastAsia" w:eastAsiaTheme="minorEastAsia" w:hAnsiTheme="minorEastAsia" w:hint="eastAsia"/>
          <w:color w:val="000000" w:themeColor="text1"/>
        </w:rPr>
        <w:t>、不可抗力：指合同当事人不能预见、不能避免且不能克服的客观事件</w:t>
      </w:r>
    </w:p>
    <w:p w:rsidR="00767D70" w:rsidRPr="00177B84" w:rsidP="008D20DA">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t>5</w:t>
      </w:r>
      <w:r w:rsidRPr="00177B84" w:rsidR="00607632">
        <w:rPr>
          <w:rStyle w:val="da"/>
          <w:rFonts w:asciiTheme="minorEastAsia" w:eastAsiaTheme="minorEastAsia" w:hAnsiTheme="minorEastAsia" w:hint="eastAsia"/>
          <w:color w:val="000000" w:themeColor="text1"/>
        </w:rPr>
        <w:t>5</w:t>
      </w:r>
      <w:r w:rsidRPr="00177B84">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177B84">
        <w:rPr>
          <w:rStyle w:val="da"/>
          <w:rFonts w:asciiTheme="minorEastAsia" w:eastAsiaTheme="minorEastAsia" w:hAnsiTheme="minorEastAsia"/>
          <w:color w:val="000000" w:themeColor="text1"/>
        </w:rPr>
        <w:t>10</w:t>
      </w:r>
      <w:r w:rsidRPr="00177B84">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616952" w:rsidRPr="00177B84" w:rsidP="00CC1421">
      <w:pPr>
        <w:snapToGrid w:val="0"/>
        <w:spacing w:line="360" w:lineRule="auto"/>
        <w:ind w:firstLine="420" w:firstLineChars="200"/>
        <w:rPr>
          <w:rStyle w:val="da"/>
          <w:rFonts w:asciiTheme="minorEastAsia" w:eastAsiaTheme="minorEastAsia" w:hAnsiTheme="minorEastAsia"/>
          <w:color w:val="000000" w:themeColor="text1"/>
        </w:rPr>
      </w:pPr>
    </w:p>
    <w:p w:rsidR="00616952" w:rsidRPr="00177B84">
      <w:pPr>
        <w:widowControl/>
        <w:jc w:val="left"/>
        <w:rPr>
          <w:rStyle w:val="da"/>
          <w:rFonts w:asciiTheme="minorEastAsia" w:eastAsiaTheme="minorEastAsia" w:hAnsiTheme="minorEastAsia"/>
          <w:color w:val="000000" w:themeColor="text1"/>
        </w:rPr>
      </w:pPr>
      <w:r w:rsidRPr="00177B84">
        <w:rPr>
          <w:rStyle w:val="da"/>
          <w:rFonts w:asciiTheme="minorEastAsia" w:eastAsiaTheme="minorEastAsia" w:hAnsiTheme="minorEastAsia"/>
          <w:color w:val="000000" w:themeColor="text1"/>
        </w:rPr>
        <w:br w:type="page"/>
      </w:r>
    </w:p>
    <w:p w:rsidR="00BA4B87" w:rsidRPr="00177B84" w:rsidP="00616952">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4" w:name="_Toc332373446"/>
      <w:bookmarkStart w:id="5" w:name="_Toc103006832"/>
      <w:r w:rsidRPr="00177B84">
        <w:rPr>
          <w:rFonts w:asciiTheme="minorEastAsia" w:eastAsiaTheme="minorEastAsia" w:hAnsiTheme="minorEastAsia"/>
          <w:color w:val="000000" w:themeColor="text1"/>
          <w:sz w:val="30"/>
        </w:rPr>
        <w:t>三、基金管理人</w:t>
      </w:r>
      <w:bookmarkEnd w:id="4"/>
      <w:bookmarkEnd w:id="5"/>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6" w:name="_Toc332373447"/>
      <w:r w:rsidRPr="00177B84">
        <w:rPr>
          <w:rFonts w:asciiTheme="minorEastAsia" w:eastAsiaTheme="minorEastAsia" w:hAnsiTheme="minorEastAsia"/>
          <w:color w:val="000000" w:themeColor="text1"/>
        </w:rPr>
        <w:t>（一）基金管理人基本情况</w:t>
      </w:r>
      <w:bookmarkEnd w:id="6"/>
    </w:p>
    <w:p w:rsidR="00DC4340" w:rsidRPr="00177B84" w:rsidP="002C5976">
      <w:pPr>
        <w:spacing w:line="360" w:lineRule="auto"/>
        <w:ind w:firstLine="420" w:firstLineChars="200"/>
        <w:rPr>
          <w:rFonts w:asciiTheme="minorEastAsia" w:eastAsiaTheme="minorEastAsia" w:hAnsiTheme="minorEastAsia"/>
          <w:color w:val="000000" w:themeColor="text1"/>
        </w:rPr>
      </w:pPr>
      <w:bookmarkStart w:id="7" w:name="_Toc332373448"/>
      <w:r w:rsidRPr="00177B84">
        <w:rPr>
          <w:rFonts w:asciiTheme="minorEastAsia" w:eastAsiaTheme="minorEastAsia" w:hAnsiTheme="minorEastAsia"/>
          <w:color w:val="000000" w:themeColor="text1"/>
        </w:rPr>
        <w:t>1、基金管理人：</w:t>
      </w:r>
      <w:r w:rsidRPr="00177B84" w:rsidR="00B94B06">
        <w:rPr>
          <w:rFonts w:asciiTheme="minorEastAsia" w:eastAsiaTheme="minorEastAsia" w:hAnsiTheme="minorEastAsia"/>
          <w:color w:val="000000" w:themeColor="text1"/>
        </w:rPr>
        <w:t>易方达基金管理有限公司</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注册地址：</w:t>
      </w:r>
      <w:r w:rsidRPr="00177B84" w:rsidR="00792400">
        <w:rPr>
          <w:rFonts w:asciiTheme="minorEastAsia" w:eastAsiaTheme="minorEastAsia" w:hAnsiTheme="minorEastAsia" w:hint="eastAsia"/>
          <w:color w:val="000000" w:themeColor="text1"/>
        </w:rPr>
        <w:t>广东省珠海市横琴新区荣粤道</w:t>
      </w:r>
      <w:r w:rsidRPr="00177B84" w:rsidR="00792400">
        <w:rPr>
          <w:rFonts w:asciiTheme="minorEastAsia" w:eastAsiaTheme="minorEastAsia" w:hAnsiTheme="minorEastAsia"/>
          <w:color w:val="000000" w:themeColor="text1"/>
        </w:rPr>
        <w:t>188号6层</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w:t>
      </w:r>
      <w:r w:rsidRPr="00177B84" w:rsidR="00B94B06">
        <w:rPr>
          <w:rFonts w:asciiTheme="minorEastAsia" w:eastAsiaTheme="minorEastAsia" w:hAnsiTheme="minorEastAsia"/>
          <w:color w:val="000000" w:themeColor="text1"/>
        </w:rPr>
        <w:t>广州市天河区珠江新城珠江东路30号广州银行大厦40-43楼</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设立日期：</w:t>
      </w:r>
      <w:r w:rsidRPr="00177B84" w:rsidR="00B94B06">
        <w:rPr>
          <w:rFonts w:asciiTheme="minorEastAsia" w:eastAsiaTheme="minorEastAsia" w:hAnsiTheme="minorEastAsia"/>
          <w:color w:val="000000" w:themeColor="text1"/>
        </w:rPr>
        <w:t>2001年4月17日</w:t>
      </w:r>
    </w:p>
    <w:p w:rsidR="00B95FC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w:t>
      </w:r>
      <w:r w:rsidRPr="00177B84" w:rsidR="00B94B06">
        <w:rPr>
          <w:rFonts w:asciiTheme="minorEastAsia" w:eastAsiaTheme="minorEastAsia" w:hAnsiTheme="minorEastAsia"/>
          <w:color w:val="000000" w:themeColor="text1"/>
        </w:rPr>
        <w:t>刘晓艳</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联系电话：</w:t>
      </w:r>
      <w:r w:rsidRPr="00177B84" w:rsidR="00B94B06">
        <w:rPr>
          <w:rFonts w:asciiTheme="minorEastAsia" w:eastAsiaTheme="minorEastAsia" w:hAnsiTheme="minorEastAsia"/>
          <w:color w:val="000000" w:themeColor="text1"/>
        </w:rPr>
        <w:t>4008818088</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w:t>
      </w:r>
      <w:r w:rsidRPr="00177B84" w:rsidR="00CB4A42">
        <w:rPr>
          <w:rFonts w:asciiTheme="minorEastAsia" w:eastAsiaTheme="minorEastAsia" w:hAnsiTheme="minorEastAsia" w:hint="eastAsia"/>
          <w:color w:val="000000" w:themeColor="text1"/>
        </w:rPr>
        <w:t>李红枫</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注册资本：13,244.2万元人民币</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批准设立机关及文号：</w:t>
      </w:r>
      <w:r w:rsidRPr="00177B84" w:rsidR="00B94B06">
        <w:rPr>
          <w:rFonts w:asciiTheme="minorEastAsia" w:eastAsiaTheme="minorEastAsia" w:hAnsiTheme="minorEastAsia"/>
          <w:color w:val="000000" w:themeColor="text1"/>
        </w:rPr>
        <w:t>中国证券监督管理委员会</w:t>
      </w:r>
      <w:r w:rsidRPr="00177B84">
        <w:rPr>
          <w:rFonts w:asciiTheme="minorEastAsia" w:eastAsiaTheme="minorEastAsia" w:hAnsiTheme="minorEastAsia"/>
          <w:color w:val="000000" w:themeColor="text1"/>
        </w:rPr>
        <w:t>，</w:t>
      </w:r>
      <w:r w:rsidRPr="00177B84" w:rsidR="00B94B06">
        <w:rPr>
          <w:rFonts w:asciiTheme="minorEastAsia" w:eastAsiaTheme="minorEastAsia" w:hAnsiTheme="minorEastAsia"/>
          <w:color w:val="000000" w:themeColor="text1"/>
        </w:rPr>
        <w:t>证监基金字[2001]4号</w:t>
      </w:r>
    </w:p>
    <w:p w:rsidR="00E1511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经营范围：</w:t>
      </w:r>
      <w:r w:rsidRPr="00177B84" w:rsidR="00120D35">
        <w:rPr>
          <w:rFonts w:asciiTheme="minorEastAsia" w:eastAsiaTheme="minorEastAsia" w:hAnsiTheme="minorEastAsia" w:hint="eastAsia"/>
          <w:color w:val="000000" w:themeColor="text1"/>
        </w:rPr>
        <w:t>公开募集证券投资基金管理、基金销售、特定客户资产管理</w:t>
      </w:r>
    </w:p>
    <w:p w:rsidR="00DC434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2、股权结构：</w:t>
      </w:r>
    </w:p>
    <w:tbl>
      <w:tblPr>
        <w:tblW w:w="4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3"/>
        <w:gridCol w:w="2828"/>
      </w:tblGrid>
      <w:tr w:rsidTr="00874A36">
        <w:tblPrEx>
          <w:tblW w:w="4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185" w:type="pct"/>
            <w:vAlign w:val="center"/>
          </w:tcPr>
          <w:p w:rsidR="00DC4340" w:rsidRPr="00177B84" w:rsidP="00CC1421">
            <w:pPr>
              <w:snapToGrid w:val="0"/>
              <w:spacing w:line="360" w:lineRule="auto"/>
              <w:ind w:firstLine="420"/>
              <w:jc w:val="center"/>
              <w:rPr>
                <w:rFonts w:asciiTheme="minorEastAsia" w:eastAsiaTheme="minorEastAsia" w:hAnsiTheme="minorEastAsia"/>
                <w:color w:val="000000" w:themeColor="text1"/>
                <w:szCs w:val="21"/>
              </w:rPr>
            </w:pPr>
            <w:r w:rsidRPr="00177B84">
              <w:rPr>
                <w:rFonts w:asciiTheme="minorEastAsia" w:eastAsiaTheme="minorEastAsia" w:hAnsiTheme="minorEastAsia"/>
                <w:color w:val="000000" w:themeColor="text1"/>
                <w:szCs w:val="21"/>
              </w:rPr>
              <w:t>股东名称</w:t>
            </w:r>
          </w:p>
        </w:tc>
        <w:tc>
          <w:tcPr>
            <w:tcW w:w="1815" w:type="pct"/>
            <w:vAlign w:val="center"/>
          </w:tcPr>
          <w:p w:rsidR="00DC4340" w:rsidRPr="00177B84" w:rsidP="00CC1421">
            <w:pPr>
              <w:snapToGrid w:val="0"/>
              <w:spacing w:line="360" w:lineRule="auto"/>
              <w:ind w:firstLine="420"/>
              <w:jc w:val="center"/>
              <w:rPr>
                <w:rFonts w:asciiTheme="minorEastAsia" w:eastAsiaTheme="minorEastAsia" w:hAnsiTheme="minorEastAsia"/>
                <w:color w:val="000000" w:themeColor="text1"/>
                <w:szCs w:val="21"/>
              </w:rPr>
            </w:pPr>
            <w:r w:rsidRPr="00177B84">
              <w:rPr>
                <w:rFonts w:asciiTheme="minorEastAsia" w:eastAsiaTheme="minorEastAsia" w:hAnsiTheme="minorEastAsia"/>
                <w:color w:val="000000" w:themeColor="text1"/>
                <w:szCs w:val="21"/>
              </w:rPr>
              <w:t>出资比例</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广东粤财信托有限公司</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22.6514％</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广发证券股份有限公司</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22.6514％</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盈峰集团有限公司</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22.6514％</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广东省广晟控股集团有限公司</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15.1010％</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广州市广永国有资产经营有限公司</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7.5505％</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珠海祺荣宝股权投资合伙企业（有限合伙）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1.5087％</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珠海祺泰宝股权投资合伙企业（有限合伙）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1.6205％</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珠海祺丰宝股权投资合伙企业（有限合伙）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1.5309％</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珠海聚莱康股权投资合伙企业（有限合伙）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1.7558％</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珠海聚宁康股权投资合伙企业（有限合伙）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1.4396％</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珠海聚弘康股权投资合伙企业（有限合伙）</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1.5388％</w:t>
            </w:r>
          </w:p>
        </w:tc>
      </w:tr>
      <w:tr>
        <w:tblPrEx>
          <w:tblW w:w="4571" w:type="pct"/>
          <w:jc w:val="center"/>
          <w:tblLook w:val="0000"/>
        </w:tblPrEx>
        <w:trPr>
          <w:jc w:val="center"/>
        </w:trPr>
        <w:tc>
          <w:tcPr>
            <w:tcW w:w="49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总   计</w:t>
            </w:r>
          </w:p>
        </w:tc>
        <w:tc>
          <w:tcPr>
            <w:tcW w:w="2826"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100%</w:t>
            </w:r>
          </w:p>
        </w:tc>
      </w:tr>
    </w:tbl>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8D4032">
        <w:rPr>
          <w:rFonts w:asciiTheme="minorEastAsia" w:eastAsiaTheme="minorEastAsia" w:hAnsiTheme="minorEastAsia"/>
          <w:color w:val="000000" w:themeColor="text1"/>
        </w:rPr>
        <w:t>二</w:t>
      </w:r>
      <w:r w:rsidRPr="00177B84">
        <w:rPr>
          <w:rFonts w:asciiTheme="minorEastAsia" w:eastAsiaTheme="minorEastAsia" w:hAnsiTheme="minorEastAsia"/>
          <w:color w:val="000000" w:themeColor="text1"/>
        </w:rPr>
        <w:t>）主要人员情况</w:t>
      </w:r>
      <w:bookmarkEnd w:id="7"/>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1、董事、监事及高级管理人员</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晓艳女士，经济学博士。现任易方达基金管理有限公司副董事长、总裁，易方达国际控股有限公司董事。曾任广发证券有限责任公司投资理财部副经理、基金经理、基金投资理财部副总经理，易方达基金管理有限公司督察员、监察部总经理、总裁助理、市场总监、副总裁、常务副总裁，易方达资产管理有限公司董事，易方达资产管理（香港）有限公司董事长。</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周泽群先生，高级管理人员工商管理硕士（</w:t>
      </w:r>
      <w:r w:rsidRPr="00177B84">
        <w:rPr>
          <w:rStyle w:val="da"/>
          <w:rFonts w:asciiTheme="minorEastAsia" w:eastAsiaTheme="minorEastAsia" w:hAnsiTheme="minorEastAsia"/>
          <w:color w:val="000000" w:themeColor="text1"/>
        </w:rPr>
        <w:t>EMBA</w:t>
      </w:r>
      <w:r w:rsidRPr="00177B84">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177B84">
        <w:rPr>
          <w:rStyle w:val="da"/>
          <w:rFonts w:asciiTheme="minorEastAsia" w:eastAsiaTheme="minorEastAsia" w:hAnsiTheme="minorEastAsia"/>
          <w:color w:val="000000" w:themeColor="text1"/>
        </w:rPr>
        <w:t xml:space="preserve">, </w:t>
      </w:r>
      <w:r w:rsidRPr="00177B84">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潘文皓先生，经济学硕士。现任易方达基金管理有限公司董事，深圳市中金岭南有色金属股份有限公司常务副总裁兼财务负责人。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行股份有限公司董事，澳大利亚泛澳公司董事，广东省广晟财务有限公司董事。</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177B84">
        <w:rPr>
          <w:rStyle w:val="da"/>
          <w:rFonts w:asciiTheme="minorEastAsia" w:eastAsiaTheme="minorEastAsia" w:hAnsiTheme="minorEastAsia"/>
          <w:color w:val="000000" w:themeColor="text1"/>
        </w:rPr>
        <w:t>东</w:t>
      </w:r>
      <w:r w:rsidRPr="00177B84">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177B84">
        <w:rPr>
          <w:rStyle w:val="da"/>
          <w:rFonts w:asciiTheme="minorEastAsia" w:eastAsiaTheme="minorEastAsia" w:hAnsiTheme="minorEastAsia"/>
          <w:color w:val="000000" w:themeColor="text1"/>
        </w:rPr>
        <w:t>清华大学</w:t>
      </w:r>
      <w:r w:rsidRPr="00177B84">
        <w:rPr>
          <w:rFonts w:asciiTheme="minorEastAsia" w:eastAsiaTheme="minorEastAsia" w:hAnsiTheme="minorEastAsia" w:hint="eastAsia"/>
          <w:color w:val="000000" w:themeColor="text1"/>
        </w:rPr>
        <w:t>经济管理</w:t>
      </w:r>
      <w:r w:rsidRPr="00177B84">
        <w:rPr>
          <w:rStyle w:val="da"/>
          <w:rFonts w:asciiTheme="minorEastAsia" w:eastAsiaTheme="minorEastAsia" w:hAnsiTheme="minorEastAsia"/>
          <w:color w:val="000000" w:themeColor="text1"/>
        </w:rPr>
        <w:t>学院讲师、副教授、</w:t>
      </w:r>
      <w:r w:rsidRPr="00177B84">
        <w:rPr>
          <w:rFonts w:asciiTheme="minorEastAsia" w:eastAsiaTheme="minorEastAsia" w:hAnsiTheme="minorEastAsia" w:hint="eastAsia"/>
          <w:color w:val="000000" w:themeColor="text1"/>
        </w:rPr>
        <w:t>技术经济与管理系主任、创新创业与战略系主任、</w:t>
      </w:r>
      <w:r w:rsidRPr="00177B84">
        <w:rPr>
          <w:rStyle w:val="da"/>
          <w:rFonts w:asciiTheme="minorEastAsia" w:eastAsiaTheme="minorEastAsia" w:hAnsiTheme="minorEastAsia"/>
          <w:color w:val="000000" w:themeColor="text1"/>
        </w:rPr>
        <w:t>院长助理、副院长、党委书记</w:t>
      </w:r>
      <w:r w:rsidRPr="00177B84">
        <w:rPr>
          <w:rFonts w:asciiTheme="minorEastAsia" w:eastAsiaTheme="minorEastAsia" w:hAnsiTheme="minorEastAsia" w:hint="eastAsia"/>
          <w:color w:val="000000" w:themeColor="text1"/>
        </w:rPr>
        <w:t>，</w:t>
      </w:r>
      <w:r w:rsidRPr="00177B84">
        <w:rPr>
          <w:rStyle w:val="da"/>
          <w:rFonts w:asciiTheme="minorEastAsia" w:eastAsiaTheme="minorEastAsia" w:hAnsiTheme="minorEastAsia"/>
          <w:color w:val="000000" w:themeColor="text1"/>
        </w:rPr>
        <w:t>山东新北洋信息技术股份有限公司独立董事，</w:t>
      </w:r>
      <w:r w:rsidRPr="00177B84">
        <w:rPr>
          <w:rFonts w:asciiTheme="minorEastAsia" w:eastAsiaTheme="minorEastAsia" w:hAnsiTheme="minorEastAsia" w:hint="eastAsia"/>
          <w:color w:val="000000" w:themeColor="text1"/>
        </w:rPr>
        <w:t>中融人寿保险股份有限公司独立董事</w:t>
      </w:r>
      <w:r w:rsidRPr="00177B84">
        <w:rPr>
          <w:rStyle w:val="da"/>
          <w:rFonts w:asciiTheme="minorEastAsia" w:eastAsiaTheme="minorEastAsia" w:hAnsiTheme="minorEastAsia"/>
          <w:color w:val="000000" w:themeColor="text1"/>
        </w:rPr>
        <w:t>。</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177B84">
        <w:rPr>
          <w:rStyle w:val="da"/>
          <w:rFonts w:asciiTheme="minorEastAsia" w:eastAsiaTheme="minorEastAsia" w:hAnsiTheme="minorEastAsia"/>
          <w:color w:val="000000" w:themeColor="text1"/>
        </w:rPr>
        <w:t>DBA项目副院长、创创社区项目发起人兼副院长，云南白药集团股份有限公司独立董事，瑞士银行（中国）有限公司独立董事，秦川机床工具集团股份公司独立董事，浙江红蜻蜓鞋业股份有限公司独立董事。</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中大控股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刘炜先生，工商管理硕士（</w:t>
      </w:r>
      <w:r w:rsidRPr="00177B84">
        <w:rPr>
          <w:rStyle w:val="da"/>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马骏先生，工商管理硕士（</w:t>
      </w:r>
      <w:r w:rsidRPr="00177B84">
        <w:rPr>
          <w:rStyle w:val="da"/>
          <w:rFonts w:asciiTheme="minorEastAsia" w:eastAsiaTheme="minorEastAsia" w:hAnsiTheme="minorEastAsia"/>
          <w:color w:val="000000" w:themeColor="text1"/>
        </w:rPr>
        <w:t>EMBA）。现任易方达基金管理有限公司常务副总裁、固定收益投资决策委员会委员，易方达资产管理（香港）有限公司董事长、人民币合格境外投资者（RQFII</w:t>
      </w:r>
      <w:r w:rsidRPr="00177B84">
        <w:rPr>
          <w:rFonts w:asciiTheme="minorEastAsia" w:eastAsiaTheme="minorEastAsia" w:hAnsiTheme="minorEastAsia" w:hint="eastAsia"/>
          <w:color w:val="000000" w:themeColor="text1"/>
        </w:rPr>
        <w:t>）业务负责人、证券交易负责人员（</w:t>
      </w:r>
      <w:r w:rsidRPr="00177B84">
        <w:rPr>
          <w:rStyle w:val="da"/>
          <w:rFonts w:asciiTheme="minorEastAsia" w:eastAsiaTheme="minorEastAsia" w:hAnsiTheme="minorEastAsia"/>
          <w:color w:val="000000" w:themeColor="text1"/>
        </w:rPr>
        <w:t>RO</w:t>
      </w:r>
      <w:r w:rsidRPr="00177B84">
        <w:rPr>
          <w:rFonts w:asciiTheme="minorEastAsia" w:eastAsiaTheme="minorEastAsia" w:hAnsiTheme="minorEastAsia" w:hint="eastAsia"/>
          <w:color w:val="000000" w:themeColor="text1"/>
        </w:rPr>
        <w:t>）、就证券提供意见负责人员（</w:t>
      </w:r>
      <w:r w:rsidRPr="00177B84">
        <w:rPr>
          <w:rStyle w:val="da"/>
          <w:rFonts w:asciiTheme="minorEastAsia" w:eastAsiaTheme="minorEastAsia" w:hAnsiTheme="minorEastAsia"/>
          <w:color w:val="000000" w:themeColor="text1"/>
        </w:rPr>
        <w:t>RO</w:t>
      </w:r>
      <w:r w:rsidRPr="00177B84">
        <w:rPr>
          <w:rFonts w:asciiTheme="minorEastAsia" w:eastAsiaTheme="minorEastAsia" w:hAnsiTheme="minorEastAsia" w:hint="eastAsia"/>
          <w:color w:val="000000" w:themeColor="text1"/>
        </w:rPr>
        <w:t>）、提供资产管理负责人员（</w:t>
      </w:r>
      <w:r w:rsidRPr="00177B84">
        <w:rPr>
          <w:rStyle w:val="da"/>
          <w:rFonts w:asciiTheme="minorEastAsia" w:eastAsiaTheme="minorEastAsia" w:hAnsiTheme="minorEastAsia"/>
          <w:color w:val="000000" w:themeColor="text1"/>
        </w:rPr>
        <w:t>RO</w:t>
      </w:r>
      <w:r w:rsidRPr="00177B84">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娄利舟女士，工商管理硕士（</w:t>
      </w:r>
      <w:r w:rsidRPr="00177B84">
        <w:rPr>
          <w:rStyle w:val="da"/>
          <w:rFonts w:asciiTheme="minorEastAsia" w:eastAsiaTheme="minorEastAsia" w:hAnsiTheme="minorEastAsia"/>
          <w:color w:val="000000" w:themeColor="text1"/>
        </w:rPr>
        <w:t>EMBA）、经济学硕士。现任易方达基金管理有限公司常务副总裁、FOF</w:t>
      </w:r>
      <w:r w:rsidRPr="00177B84">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高松凡先生，工商管理硕士（</w:t>
      </w:r>
      <w:r w:rsidRPr="00177B84">
        <w:rPr>
          <w:rStyle w:val="da"/>
          <w:rFonts w:asciiTheme="minorEastAsia" w:eastAsiaTheme="minorEastAsia" w:hAnsiTheme="minorEastAsia"/>
          <w:color w:val="000000" w:themeColor="text1"/>
        </w:rPr>
        <w:t>EMBA</w:t>
      </w:r>
      <w:r w:rsidRPr="00177B84">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177B84">
        <w:rPr>
          <w:rStyle w:val="da"/>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177B84">
        <w:rPr>
          <w:rFonts w:asciiTheme="minorEastAsia" w:eastAsiaTheme="minorEastAsia" w:hAnsiTheme="minorEastAsia" w:hint="eastAsia"/>
          <w:color w:val="000000" w:themeColor="text1"/>
        </w:rPr>
        <w:t>董事总经理、大中华地区高级副总裁、中国区行长。</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A03DD7" w:rsidRPr="00177B84" w:rsidP="00177B84">
      <w:pPr>
        <w:spacing w:line="360" w:lineRule="auto"/>
        <w:ind w:firstLine="420" w:firstLineChars="200"/>
        <w:rPr>
          <w:rStyle w:val="da"/>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与数据服务总部总经理、投资风险管理部总经理。曾任易方达基金管理有限公司金融工程研究员、绩效与风险评估研究员、投资发展部总经理助理、投资风险管理部总经理助理、投资风险管理部副总经理。</w:t>
      </w:r>
    </w:p>
    <w:p w:rsidR="00B6110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2、基金经理</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韩阅川先生，统计学硕士，本基金的基金经理。现任易方达基金管理有限公司多资产公募投资部总经理助理、易方达新利灵活配置混合型证券投资基金基金经理（自2019年6月26日起任职）、易方达新鑫灵活配置混合型证券投资基金基金经理（自2019年6月26日起任职）、易方达新享灵活配置混合型证券投资基金基金经理（自2019年6月26日起任职）、易方达瑞景灵活配置混合型证券投资基金基金经理（自2019年6月26日起任职）、易方达瑞智灵活配置混合型证券投资基金基金经理（自2019年6月26日起任职）、易方达瑞兴灵活配置混合型证券投资基金基金经理（自2019年6月26日起任职）、易方达瑞祥灵活配置混合型证券投资基金基金经理（自2019年6月26日起任职）、易方达新益灵活配置混合型证券投资基金基金经理（自2019年8月3日起任职）、易方达瑞选灵活配置混合型证券投资基金基金经理（自2019年8月3日起任职）、易方达裕鑫债券型证券投资基金基金经理（自2019年9月28日起任职）、易方达瑞祺灵活配置混合型证券投资基金基金经理（自2019年10月17日起任职）、易方达瑞信灵活配置混合型证券投资基金基金经理（自2020年3月7日起任职）、易方达瑞和灵活配置混合型证券投资基金基金经理（自2020年3月7日起任职）、易方达鑫转添利混合型证券投资基金基金经理（自2020年3月7日起任职）、易方达鑫转招利混合型证券投资基金基金经理（自2020年3月7日起任职）、易方达瑞川灵活配置混合型发起式证券投资基金基金经理（自2020年5月1日起任职）、易方达丰惠混合型证券投资基金基金经理（自2020年5月28日起任职）、易方达瑞锦灵活配置混合型发起式证券投资基金基金经理（自2020年7月9日起任职）、易方达瑞富灵活配置混合型证券投资基金基金经理（自2021年6月9日起任职）、易方达瑞弘灵活配置混合型证券投资基金基金经理（自2022年4月23日起任职）、易方达瑞通灵活配置混合型证券投资基金基金经理（自2022年4月23日起任职）。曾任嘉实基金管理有限公司固定收益部研究员、投资经理，易方达基金管理有限公司易方达新享灵活配置混合型证券投资基金基金经理助理、易方达新利灵活配置混合型证券投资基金基金经理助理、易方达瑞景灵活配置混合型证券投资基金基金经理助理、易方达瑞兴灵活配置混合型证券投资基金基金经理助理、易方达瑞祥灵活配置混合型证券投资基金基金经理助理、易方达瑞智灵活配置混合型证券投资基金基金经理助理、易方达新鑫灵活配置混合型证券投资基金基金经理助理、易方达瑞选灵活配置混合型证券投资基金基金经理助理、易方达新益灵活配置混合型证券投资基金基金经理助理、易方达裕鑫债券型证券投资基金基金经理助理、易方达瑞信灵活配置混合型证券投资基金基金经理助理、易方达瑞和灵活配置混合型证券投资基金基金经理助理、易方达新收益灵活配置混合型证券投资基金基金经理助理。</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张凯頔先生，经济学硕士，本基金的基金经理助理。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易方达稳健添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裕鑫债券型证券投资基金基金经理助理。</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周琼女士，金融硕士，本基金的基金经理助理。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裕鑫债券型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易方达招易一年持有期混合型证券投资基金基金经理助理、易方达瑞锦灵活配置混合型发起式证券投资基金基金经理助理、易方达磐恒九个月持有期混合型证券投资基金基金经理助理、易方达磐泰一年持有期混合型证券投资基金基金经理助理、易方达磐固六个月持有期混合型证券投资基金基金经理助理、易方达悦享一年持有期混合型证券投资基金基金经理助理、易方达悦兴一年持有期混合型证券投资基金基金经理助理、易方达悦通一年持有期混合型证券投资基金基金经理助理、易方达瑞安灵活配置混合型发起式证券投资基金基金经理助理、易方达悦盈一年持有期混合型证券投资基金基金经理助理、易方达瑞康灵活配置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瑞富灵活配置混合型证券投资基金基金经理助理、易方达悦夏一年持有期混合型证券投资基金基金经理助理、易方达悦丰一年持有期混合型证券投资基金基金经理助理、易方达悦浦一年持有期混合型证券投资基金基金经理助理、易方达悦融一年持有期混合型证券投资基金基金经理助理、易方达悦稳一年持有期混合型证券投资基金基金经理助理、易方达安心回馈混合型证券投资基金基金经理助理、易方达瑞通灵活配置混合型证券投资基金基金经理助理、易方达瑞弘灵活配置混合型证券投资基金基金经理助理。曾任凯仁投资咨询（上海）有限公司客户经理，易方达基金管理有限公司投资支持专员、研究员、易方达恒久添利1年定期开放债券型证券投资基金基金经理助理、易方达中债7-10年期国开行债券指数证券投资基金基金经理助理、易方达中债3-5年期国债指数证券投资基金基金经理助理、易方达富财纯债债券型证券投资基金基金经理助理。</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本基金历任基金经理情况：张清华，管理时间为2017年1月11日至2018年2月1日；林森，管理时间为2017年3月7日至2022年5月6日。</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3、固定收益投资决策委员会成员</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马骏先生，同上。</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胡剑先生，同上。</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张清华先生，同上。</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袁方女士，易方达基金管理有限公司多资产养老金投资部总经理、基金经理。</w:t>
      </w:r>
    </w:p>
    <w:p w:rsidR="00BF42B4" w:rsidRPr="00177B84" w:rsidP="00BF42B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刘朝阳女士，易方达基金管理有限公司现金管理部总经理、基金经理。</w:t>
      </w:r>
    </w:p>
    <w:p w:rsidR="00BF42B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RO）、提供资产管理负责人员（RO）、投资决策委员会委员。</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4、上述人员之间均不存在近亲属关系。</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8" w:name="_Toc332373451"/>
      <w:r w:rsidRPr="00177B84">
        <w:rPr>
          <w:rFonts w:asciiTheme="minorEastAsia" w:eastAsiaTheme="minorEastAsia" w:hAnsiTheme="minorEastAsia"/>
          <w:color w:val="000000" w:themeColor="text1"/>
        </w:rPr>
        <w:t>（三）基金管理人的职责</w:t>
      </w:r>
      <w:bookmarkEnd w:id="8"/>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1、依法募集资金，办理基金份额的发售和登记事宜；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2、办理基金备案手续；</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3、对所管理的不同基金财产分别管理、分别记账，进行证券投资；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4、按照基金合同的约定及时向基金份额持有人分配收益；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5、进行基金会计核算并编制基金财务会计报告；</w:t>
      </w:r>
    </w:p>
    <w:p w:rsidR="006E0D78" w:rsidRPr="00177B84" w:rsidP="006E0D78">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6、编制季度报告、中期报告和年度报告；</w:t>
      </w:r>
    </w:p>
    <w:p w:rsidR="006E0D78" w:rsidRPr="00177B84" w:rsidP="006E0D78">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7、计算并公告基金净值信息，确定基金份额申购、赎回价格；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8、办理与基金财产管理业务活动有关的信息披露事项；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9、按照规定召集基金份额持有人大会；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10、保存基金财产管理业务活动的记录、账册、报表和其他相关资料；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11、以基金管理人名义，代表基金份额持有人利益行使诉讼权利或者实施其他法律行为；</w:t>
      </w:r>
    </w:p>
    <w:p w:rsidR="003059D7" w:rsidRPr="00177B84" w:rsidP="002C5976">
      <w:pPr>
        <w:spacing w:line="360" w:lineRule="auto"/>
        <w:ind w:firstLine="420" w:firstLineChars="200"/>
        <w:rPr>
          <w:rFonts w:asciiTheme="minorEastAsia" w:eastAsiaTheme="minorEastAsia" w:hAnsiTheme="minorEastAsia"/>
          <w:color w:val="000000" w:themeColor="text1"/>
        </w:rPr>
      </w:pPr>
      <w:bookmarkStart w:id="9" w:name="_Toc332373455"/>
      <w:r w:rsidRPr="00177B84">
        <w:rPr>
          <w:rFonts w:asciiTheme="minorEastAsia" w:eastAsiaTheme="minorEastAsia" w:hAnsiTheme="minorEastAsia"/>
          <w:color w:val="000000" w:themeColor="text1"/>
        </w:rPr>
        <w:t>12、中国证监会规定的其他职责。</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（四）基金管理人的承诺</w:t>
      </w:r>
      <w:bookmarkEnd w:id="9"/>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2、本基金管理人承诺严格遵守《证券法》、《基金法》及有关法律法规，建立健全内部控制制度，采取有效措施，防止下列行为发生：</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（1）将其固有财产或者他人财产混同于基金财产从事证券投资；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（2）不公平地对待其管理的不同基金财产；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（3）利用基金财产为基金份额持有人以外的第三人谋取利益；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（4）向基金份额持有人违规承诺收益或者承担损失；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（5）侵占、挪用基金财产；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（6）泄漏因职务便利获取的未公开信息、利用该信息从事或者明示、暗示他人从事相关的交易活动；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（7）玩忽职守，不按照规定履行职责；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（8）法律、行政法规和中国证监会禁止的其他行为。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3、本基金管理人承诺加强人员管理，强化职业操守，督促和约束员工遵守国家有关法律、法规及行业规范，诚实信用、勤勉尽责，不从事以下活动：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（1）越权或违规经营；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（2）违反基金合同或托管协议；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（3）故意损害基金份额持有人或其他基金相关机构的合法利益；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（4）在向中国证监会报送的资料中弄虚作假；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（5）拒绝、干扰、阻挠或严重影响中国证监会依法监管；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（6）玩忽职守、滥用职权；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（7）违反现行有效的有关法律、法规、规章、基金合同和中国证监会的有关规定，泄漏在任职期间知悉的有关证券、基金的商业秘密，尚未依法公开的基金投资内容、基金投资计划等信息；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（8）违反证券交易场所业务规则，利用对敲、倒仓等手段操纵市场价格，扰乱市场秩序；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（9）贬损同行，以抬高自己；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（10）以不正当手段谋求业务发展；</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（11）有悖社会公德，损害证券投资基金人员形象；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（12）在公开信息披露和广告中故意含有虚假、误导、欺诈成分；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（13）其他法律、行政法规以及中国证监会禁止的行为。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4、基金经理承诺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（1）依照有关法律、法规和基金合同的规定，本着谨慎的原则为基金份额持有人谋取最大利益；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（2）不利用职务之便为自己及其代理人、受雇人或任何第三人谋取利益；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（4）不从事损害基金财产和基金份额持有人利益的证券交易及其他活动。</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10" w:name="_Toc332373462"/>
      <w:r w:rsidRPr="00177B84">
        <w:rPr>
          <w:rFonts w:asciiTheme="minorEastAsia" w:eastAsiaTheme="minorEastAsia" w:hAnsiTheme="minorEastAsia"/>
          <w:color w:val="000000" w:themeColor="text1"/>
        </w:rPr>
        <w:t>（五）基金管理人的内部控制制度</w:t>
      </w:r>
      <w:bookmarkEnd w:id="10"/>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1、公司内部控制的总体目标</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（1）保证公司经营管理活动的合法合规性；</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（2）保证各类基金份额持有人及委托人的合法权益不受侵犯；</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（4）督促公司全体员工恪守职业操守，正直诚信，廉洁自律，勤勉尽责；</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（5）维护公司的声誉，保持公司的良好形象。</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2、公司内部控制遵循的原则</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（2）有效性原则。通过科学的内控手段和方法，建立合理的内控程序，维护内控制度的有效执行。</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（4）相互制约原则。公司内部部门和岗位的设置应当体现权责分明、相互制衡。</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3、内部控制的制度体系</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4、关于授权、研究、投资、交易等方面的控制点</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（1）授权制度</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（2）公司研究业务</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（3）基金投资业务</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（4）交易业务</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（5）基金会计核算</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（6）信息披露</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（7）监察与合规管理</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5、基金管理人关于内部控制制度声明书</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（1）本公司承诺以上关于内部控制制度的披露真实、准确；</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（2）本公司承诺根据市场变化和公司业务发展不断完善内部控制制度。</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40"/>
        <w:rPr>
          <w:rFonts w:asciiTheme="minorEastAsia" w:eastAsiaTheme="minorEastAsia" w:hAnsiTheme="minorEastAsia"/>
          <w:color w:val="000000" w:themeColor="text1"/>
        </w:rPr>
      </w:pPr>
      <w:bookmarkStart w:id="11" w:name="_Toc332373471"/>
      <w:bookmarkStart w:id="12" w:name="_Toc103006833"/>
      <w:r w:rsidRPr="00177B84">
        <w:rPr>
          <w:rFonts w:asciiTheme="minorEastAsia" w:eastAsiaTheme="minorEastAsia" w:hAnsiTheme="minorEastAsia"/>
          <w:color w:val="000000" w:themeColor="text1"/>
        </w:rPr>
        <w:t>四、基金托管人</w:t>
      </w:r>
      <w:bookmarkEnd w:id="11"/>
      <w:bookmarkEnd w:id="12"/>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（一）基金托管人概况</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本基金托管人为上海浦东发展银行股份有限公司，基本信息如下：</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名称： 上海浦东发展银行股份有限公司</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注册地址：上海市中山东一路12号</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办公地址：上海市中山东一路12号</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法定代表人：郑杨</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成立时间： 1992年10月19日</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组织形式： 股份有限公司</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 xml:space="preserve">注册资本： </w:t>
      </w:r>
      <w:r w:rsidRPr="00177B84">
        <w:rPr>
          <w:rStyle w:val="da"/>
          <w:rFonts w:asciiTheme="minorEastAsia" w:eastAsiaTheme="minorEastAsia" w:hAnsiTheme="minorEastAsia"/>
          <w:color w:val="000000" w:themeColor="text1"/>
        </w:rPr>
        <w:t>293.52</w:t>
      </w:r>
      <w:r w:rsidRPr="00177B84">
        <w:rPr>
          <w:rStyle w:val="da"/>
          <w:rFonts w:asciiTheme="minorEastAsia" w:eastAsiaTheme="minorEastAsia" w:hAnsiTheme="minorEastAsia" w:hint="eastAsia"/>
          <w:color w:val="000000" w:themeColor="text1"/>
        </w:rPr>
        <w:t>亿元人民币</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存续期间： 持续经营</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基金托管资格批文及文号：中国证监会证监基金字[2003]105号</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联系人：胡波</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联系电话：（021）61618888</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上海浦东发展银行总行于2003年设立基金托管部，2005年更名为资产托管部，2013年更名为资产托管与养老金业务部，2016年进行组织架构优化调整，并更名为资产托管部，目前下设证券托管处、客户资产托管处、养老金业务处、内控管理处、业务保障处、总行资产托管运营中心（含合肥分中心）六个职能处室。</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（二）主要人员情况</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党委委员，资产托管部总经理。</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（三）基金托管业务经营情况</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截止2021年9月30日，上海浦东发展银行证券投资基金托管规模为12159.75亿元，比去年末增加15.25%。托管证券投资基金共三百二十一支，分别为国泰金龙行业精选基金、国泰金龙债券基金、天治财富增长基金、广发小盘成长基金、汇添富货币基金、长信金利趋势基金、嘉实优质企业基金、国联安货币基金、长信利众债券基金（LOF）、博时安丰18个月基金（LOF）、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合基金、长安鑫利优选混合基金、工银瑞信生态环境基金、天弘新价值混合基金、嘉实机构快线货币基金、鹏华REITs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业启元一年定开债券基金、工银瑞信瑞盈18个月定开债券基金、中信建投稳裕定开债券基金、招商招怡纯债债券基金、中加丰享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300指数增强型证券投资基金、汇安丰恒混合基金、景顺长城中证500指数基金、鹏华丰康债券基金、兴业安润货币基金、兴业瑞丰6个月定开债券基金、兴业裕丰债券基金、易方达瑞弘混合基金、长安鑫富领先混合基金、万家现金增利货币基金、上银慧增利货币市场基金、易方达瑞富灵活配置证券投资基金、博时富腾纯债债券型证券投资基金、安信工业4.0主题沪港深精选混合基金、万家天添宝货币基金、中欧瑾泰债券型证券投资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弘泽债券型发起式证券投资基金、前海开源弘丰债券型发起式证券投资基金、中海沪港深多策略灵活配置混合型基金、中银证券祥瑞混合型证券投资基金、前海开源盛鑫灵活配置混合型证券投资基金、鑫元行业轮动灵活配置混合型证券投资基金、兴业3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3-5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东兴品牌精选灵活配置混合型证券投资基金、广发中债1-3年国开行债券指数证券投资基金、华富恒盛纯债债券型证券投资基金、建信中证1000指数增强型发起式证券投资基金、汇安嘉鑫纯债债券型证券投资基金、国寿安保安丰纯债债券型证券投资基金、博时中债1-3年政策性金融债指数证券投资基金、银河家盈纯债债券型证券投资基金、博时富永纯债3个月定期开放债券型发起式证券投资基金、南方畅利定期开放债券型发起式证券投资基金、中加瑞利纯债债券型证券投资基金、华富中证5年恒定久期国开债指数型证券投资基金、永赢合益债券型证券投资基金、嘉实中债1-3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资基金、工银瑞信添慧债券型证券投资基金、华富安鑫债券型证券投资基金、汇添富中债1-3年农发行债券指数证券投资基金、南方旭元债券型发起式证券投资基金、大成中债3-5年国开行债券指数基金、永赢众利债券型证券投资基金、华夏中债3-5年政策性金融债指数证券投资基金、中证长三角一体化发展主题交易型开放式指数证券投资基金、新疆前海联合科技先锋混合型证券投资基金、银华尊尚稳健养老目标一年持有期混合型发起式基金中基金（FOF）、博时颐泽平衡养老目标三年持有期混合型发起式基金中基金（FOF）、农银养老目标日期2035三年持有期混合型发起式基金中基金(FOF)、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39个月定期开放债券型证券投资基金、中融睿享86个月定期开放债券型基金、南方梦元短债债券型证券投资基金、鹏扬淳开债券型证券投资基金、华宝宝惠纯债39个月定期开放债券型证券投资基金、建信MSCI中国A股指数增强型证券投资基金、农银汇理金益债券型证券投资基金、博时稳欣39个月定期开放债券型证券投资基金、同泰慧择混合型证券投资基金、招商中证红利交易型开放式指数证券投资基金、嘉实致禄3个月定期开放纯债债券型发起式证券投资基金、永赢久利债券型证券投资基金、嘉实安元39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100交易型开放式指数证券投资基金、鹏华0-5年利率债债券型发起式证券投资基金、景顺长城弘利39个月定期开放债券型证券投资基金、工银瑞信泰颐三年定期开放债券型证券投资基金、华安鑫浦87个月定期开放债券型证券投资基金、汇安嘉盛纯债债券型证券投资基金、东方红安鑫甄选一年持有期混合型证券投资基金、西藏东财中证通信技术主题指数型发起式证券投资基金、财通裕惠63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39个月定期开放债券型证券投资基金、国泰中证新能源汽车交易型开放式指数证券投资基金、广发恒隆一年持有期混合型证券投资基金、国泰中证全指家用电器交易型开放式指数证券投资基金发起式联接基金、国泰中证新能源汽车交易型开放式指数证券投资基金发起式联接基金、海富通富泽混合型证券投资基金、华富中债-0-5年中高等级信用债收益平衡指数证券投资基金、汇添富稳健增益一年持有期混合型证券投资基金、南方誉慧一年持有期混合型证券投资基金、农银汇理永乐3个月持有期混合型基金中基金（FOF）、鹏扬景恒六个月持有期混合型证券投资基金、平安合兴1年定期开放债券型发起式证券投资基金、融通中债1-3年国开行债券指数基金、太平中债1-3年政策性金融债指数证券投资基金、天弘永裕稳健养老目标一年持有期混合型基金中基金（FOF）、中欧真益稳健一年持有期混合型证券投资基金、南华中证杭州湾区交易型开放式指数证券投资基金联接基金、金信核心竞争力灵活配置混合型证券投资基金、华泰紫金中债1-5年国开行债券指数证券投资基金、博时价值臻选两年持有期灵活配置混合型证券投资基金、东方红益丰纯债债券型证券投资基金、东方红鑫泰66个月定期开放债券型证券投资基金、东方红鼎元3个月定期开放混合型发起式证券投资基金、富国上海金交易型开放式证券投资基金、富国上海金交易型开放式证券投资基金联接基金、工银瑞信深证100交易型开放式指数证券投资基金联接基金、广发汇浦三年定期开放债券型证券投资基金、国联安增泰一年定期开放纯债债券型发起式证券投资基金、海富通惠增多策略一年定期开放灵活配置混合型证券投资基金、华安中债1-5年国开行债券指数证券投资基金、华宝中债1-3年国开行债券指数证券投资基金、景顺长城安鑫回报一年持有期混合型证券投资基金、景顺长城电子信息产业股票型证券投资基金、民生加银瑞鑫一年定期开放债券型发起式证券投资基金、鹏华锦润86个月定期开放债券型证券投资基金、鹏华创新未来18个月封闭运作混合型证券投资基金、鹏扬淳安66个月定期开放债券型证券投资基金、融通通恒63个月定期开放债券型证券投资基金、上银聚远盈42个月定期开放债券型证券投资基金、新疆前海联合淳丰纯债87个月定期开放债券型证券投资基金、兴业稳泰66个月定期开放债券型证券投资基金、兴业睿进混合型证券投资基金、易方达悦享一年持有期混合型基金、易方达创新未来18个月封闭运作混合型基金、银华汇益一年持有期混合型基金、永赢瑞宁87个月定期开放债券型证券投资基金、长信浦瑞87个月定期开放债券型证券投资基金、招商添盛78个月定期开放债券型证券投资基金、中信建投稳丰63个月定期开放债券型证券投资基金、中信保诚景裕中短债债券型证券投资基金、泰达宏利中证申万绩优策略指数增强型证券投资基金、泰达宏利乐盈66个月定期开放债券型证券投资基金、创金合信泰博66个月定期开放债券型证券投资基金、淳厚安裕87个月定期开放债券型证券投资基金、西部利得尊泰86个月定期开放债券型证券投资基金、西部利得聚禾灵活配置混合型基金、德邦锐泽86个月定期开放债券型证券投资基金、德邦惠利混合型证券投资基金、光大保德信尊合87个月定期开放债券型证券投资基金、蜂巢添禧87个月定期开放债券型证券投资基金、国金惠丰39个月定期开放债券型证券投资基金、九泰科新优享灵活配置混合型证券投资基金、华泰保兴久盈63个月定期开放债券型证券投资基金、博时恒旭一年持有期混合型证券投资基金、大成卓享一年持有期混合型证券投资基金基金、东方红明鉴优选两年定期开放混合型证券投资基金、广发研究精选股票型证券投资基金、恒生前海恒颐五年定期开放债券型基金、华夏创新未来18个月封闭运作混合型证券投资基金、汇添富创新未来18个月封闭运作混合型证券投资基金、汇添富高质量成长精选2年持有期混合型证券投资基金、嘉实浦惠6个月持有期混合型证券投资基金、农银养老目标日期2045五年持有期混合型发起式基金中基金（FOF）、天弘睿新三个月定期开放混合型证券投资基金、鑫元乾利债券型证券投资基金、兴业研究精选混合型证券投资基金、中加瑞合纯债债券型证券投资基金、中欧创新未来18个月封闭运作混合型证券投资基金、中欧价值成长混合型证券投资基金、创金合信医药消费股票型证券投资基金、新华安享惠融88个月定期开放债券型证券投资基金、申万菱信安泰广利63个月定期开放债券型证券投资基金、汇丰晋信惠安63个月定期开放债券型证券投资基金、中邮纯债丰利债券型证券投资基金、兴银汇泽87个月定期开放债券型证券投资基金、东方红启航三年持有期混合型证券投资基金、东方红启瑞三年持有期混合型证券投资基金、博时创新经济混合型证券投资基金、富国融泰三个月定期开放混合型发起式证券投资基金、国泰中证动漫游戏交易型开放式指数证券投资基金、汇添富健康生活一年持有期混合型证券投资基金、嘉实浦盈一年持有期混合型证券投资基金、景顺长城新能源产业股票型证券投资基金、农银汇理安瑞一年持有期混合型FOF基金、鹏华安裕5个月持有期混合型证券投资基金基金、银华稳健增长一年持有期混合型证券投资基金、招商添逸1年定期开放债券型发起式证券投资基金、中银顺泽回报一年持有期混合型证券投资基金、创金合信竞争优势混合型证券投资基金、兴全汇吉一年持有期混合型证券投资基金、华泰柏瑞中证物联网主题交易型开放式指数证券投资基金、富国高质量混合型证券投资基金、工银瑞信稳健回报60天持有期短债债券型发起式证券投资基金、广发恒鑫一年持有期混合型证券投资基金、国泰中证动漫游戏交易型开放式指数证券投资基金发起式联接基金、交银施罗德成长动力一年持有期混合型证券投资基金、南方誉浦一年持有期混合型证券投资基金、太平丰盈一年定期开放债券型发起式证券投资基金、易方达稳健回报一年封闭运作混合型证券投资基金、招商企业优选混合型证券投资基金、嘉合中债-1-3年政策性金融债指数证券投资基金、信达澳银领先智选混合型证券投资基金、长城优选添利一年持有期混合型证券投资基金、富国浦诚回报12个月持有期混合型证券投资基金、广发恒昌一年持有期混合型证券投资基金、广发价值驱动混合型证券投资基金、汇添富聚焦经典一年持有期混合型基金中基金（FOF）、嘉实60天滚动持有短债债券型证券投资基金、南方富誉稳健养老目标一年持有期混合型基金中基金(FOF)、鹏扬景浦一年混合型证券投资基金、易方达优势价值一年持有期混合型基金中基金（FOF）、长信稳惠债券型证券投资基金、中欧景气前瞻一年持有期混合型证券投资基金、中邮中债1-5年政金债指数证券投资基金、兴银国证新能源车电池交易型开放式指数证券投资基金、华泰柏瑞中证沪港深创新药产业交易型开放式指数证券投资基金、中泰稳固周周购12周滚动持有债券型证券投资基金等</w:t>
      </w:r>
      <w:r w:rsidRPr="00177B84" w:rsidR="00E216E4">
        <w:rPr>
          <w:rStyle w:val="da"/>
          <w:rFonts w:asciiTheme="minorEastAsia" w:eastAsiaTheme="minorEastAsia" w:hAnsiTheme="minorEastAsia" w:hint="eastAsia"/>
          <w:color w:val="000000" w:themeColor="text1"/>
        </w:rPr>
        <w:t>。</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（四）基金托管人的内部控制制度</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本行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3、内部控制制度及措施: 本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（五）托管人对管理人运作基金进行监督的方法和程序</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1、监督依据</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托管人严格按照有关政策法规、以及基金合同、托管协议等进行监督。监督依据具体包括：</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（1）《中华人民共和国证券法》；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（2）《中华人民共和国证券投资基金法》；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（3）《公开募集证券投资基金运作管理办法》；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（4）《公开募集证券投资基金销售机构监督管理办法》；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（5）《基金合同》、《基金托管协议》；</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（6）法律、法规、政策的其他规定。</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2、监督内容</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我行根据基金合同及托管协议约定，对基金合同生效之后所托管基金的投资范围、投资比例、投资限制等进行严格监督，及时提示基金管理人违规风险。</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3、监督方法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（1）资产托管部设置核算监督岗位，配备相应的业务人员，在授权范围内独立行使对基金管理人投资交易行为的监督职责，规范基金运作，维护基金投资人的合法权益，不受任何外界力量的干预；</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（2）在日常运作中，凡可量化的监督指标，由核算监督岗通过托管业务的自动处理程序进行监督，实现系统的自动跟踪和预警；</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（3）对非量化指标、投资指令、管理人提供的各种报表和报告等，采取人工监督的方法。</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4、监督结果的处理方式</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（1）基金托管人对基金管理人的投资运作监督结果，采取定期和不定期报告形式向基金管理人和中国证监会报告。定期报告包括基金监控周报等。不定期报告包括提示函、临时日报、其他临时报告等；</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62416E" w:rsidRPr="00177B84" w:rsidP="0062416E">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（3）针对中国证监会、中国人民银行对基金投资运作监督情况的检查，应及时提供有关情况和资料。</w:t>
      </w:r>
    </w:p>
    <w:p w:rsidR="0062416E" w:rsidRPr="00177B84">
      <w:pPr>
        <w:rPr>
          <w:rFonts w:asciiTheme="minorEastAsia" w:eastAsiaTheme="minorEastAsia" w:hAnsiTheme="minorEastAsia"/>
          <w:color w:val="000000" w:themeColor="text1"/>
          <w:szCs w:val="21"/>
        </w:rPr>
      </w:pPr>
      <w:r w:rsidRPr="00177B84">
        <w:rPr>
          <w:rFonts w:asciiTheme="minorEastAsia" w:eastAsiaTheme="minorEastAsia" w:hAnsiTheme="minorEastAsia"/>
          <w:color w:val="000000" w:themeColor="text1"/>
        </w:rPr>
        <w:t xml:space="preserve"> </w:t>
      </w:r>
      <w:r w:rsidRPr="00177B84">
        <w:rPr>
          <w:rFonts w:asciiTheme="minorEastAsia" w:eastAsiaTheme="minorEastAsia" w:hAnsiTheme="minorEastAsia"/>
          <w:color w:val="000000" w:themeColor="text1"/>
        </w:rPr>
        <w:br w:type="page"/>
      </w:r>
    </w:p>
    <w:p w:rsidR="00BA4B87" w:rsidRPr="00177B84" w:rsidP="00CC1421">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13" w:name="_Toc332373481"/>
      <w:bookmarkStart w:id="14" w:name="_Toc103006834"/>
      <w:r w:rsidRPr="00177B84">
        <w:rPr>
          <w:rFonts w:asciiTheme="minorEastAsia" w:eastAsiaTheme="minorEastAsia" w:hAnsiTheme="minorEastAsia"/>
          <w:color w:val="000000" w:themeColor="text1"/>
          <w:szCs w:val="21"/>
        </w:rPr>
        <w:t>五、相关服务机构</w:t>
      </w:r>
      <w:bookmarkEnd w:id="13"/>
      <w:bookmarkEnd w:id="14"/>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15" w:name="_Toc332373482"/>
      <w:r w:rsidRPr="00177B84">
        <w:rPr>
          <w:rFonts w:asciiTheme="minorEastAsia" w:eastAsiaTheme="minorEastAsia" w:hAnsiTheme="minorEastAsia"/>
          <w:color w:val="000000" w:themeColor="text1"/>
        </w:rPr>
        <w:t>（一）基金份额</w:t>
      </w:r>
      <w:r w:rsidRPr="00177B84" w:rsidR="00D95F5B">
        <w:rPr>
          <w:rFonts w:asciiTheme="minorEastAsia" w:eastAsiaTheme="minorEastAsia" w:hAnsiTheme="minorEastAsia"/>
          <w:color w:val="000000" w:themeColor="text1"/>
        </w:rPr>
        <w:t>销售</w:t>
      </w:r>
      <w:r w:rsidRPr="00177B84">
        <w:rPr>
          <w:rFonts w:asciiTheme="minorEastAsia" w:eastAsiaTheme="minorEastAsia" w:hAnsiTheme="minorEastAsia"/>
          <w:color w:val="000000" w:themeColor="text1"/>
        </w:rPr>
        <w:t>机构</w:t>
      </w:r>
      <w:bookmarkEnd w:id="15"/>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r w:rsidRPr="00177B84">
        <w:rPr>
          <w:rFonts w:asciiTheme="minorEastAsia" w:eastAsiaTheme="minorEastAsia" w:hAnsiTheme="minorEastAsia" w:hint="eastAsia"/>
          <w:color w:val="000000" w:themeColor="text1"/>
        </w:rPr>
        <w:t>直销机构：</w:t>
      </w:r>
      <w:r w:rsidRPr="00177B84">
        <w:rPr>
          <w:rFonts w:asciiTheme="minorEastAsia" w:eastAsiaTheme="minorEastAsia" w:hAnsiTheme="minorEastAsia"/>
          <w:color w:val="000000" w:themeColor="text1"/>
        </w:rPr>
        <w:t>易方达基金管理有限公司</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注册地址：</w:t>
      </w:r>
      <w:r w:rsidRPr="00177B84" w:rsidR="00792400">
        <w:rPr>
          <w:rFonts w:asciiTheme="minorEastAsia" w:eastAsiaTheme="minorEastAsia" w:hAnsiTheme="minorEastAsia" w:hint="eastAsia"/>
          <w:color w:val="000000" w:themeColor="text1"/>
        </w:rPr>
        <w:t>广东省珠海市横琴新区荣粤道</w:t>
      </w:r>
      <w:r w:rsidRPr="00177B84" w:rsidR="00792400">
        <w:rPr>
          <w:rFonts w:asciiTheme="minorEastAsia" w:eastAsiaTheme="minorEastAsia" w:hAnsiTheme="minorEastAsia"/>
          <w:color w:val="000000" w:themeColor="text1"/>
        </w:rPr>
        <w:t>188号6层</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办公地址：</w:t>
      </w:r>
      <w:r w:rsidRPr="00177B84">
        <w:rPr>
          <w:rFonts w:asciiTheme="minorEastAsia" w:eastAsiaTheme="minorEastAsia" w:hAnsiTheme="minorEastAsia"/>
          <w:color w:val="000000" w:themeColor="text1"/>
        </w:rPr>
        <w:t>广州市天河区珠江新城珠江东路30号广州银行大厦40-43楼</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法定代表人：</w:t>
      </w:r>
      <w:r w:rsidRPr="00177B84">
        <w:rPr>
          <w:rFonts w:asciiTheme="minorEastAsia" w:eastAsiaTheme="minorEastAsia" w:hAnsiTheme="minorEastAsia"/>
          <w:color w:val="000000" w:themeColor="text1"/>
        </w:rPr>
        <w:t>刘晓艳</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电话：</w:t>
      </w:r>
      <w:r w:rsidRPr="00177B84">
        <w:rPr>
          <w:rFonts w:asciiTheme="minorEastAsia" w:eastAsiaTheme="minorEastAsia" w:hAnsiTheme="minorEastAsia"/>
          <w:color w:val="000000" w:themeColor="text1"/>
        </w:rPr>
        <w:t>020-85102506</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传真：</w:t>
      </w:r>
      <w:r w:rsidRPr="00177B84">
        <w:rPr>
          <w:rFonts w:asciiTheme="minorEastAsia" w:eastAsiaTheme="minorEastAsia" w:hAnsiTheme="minorEastAsia"/>
          <w:color w:val="000000" w:themeColor="text1"/>
        </w:rPr>
        <w:t>4008818099</w:t>
      </w:r>
    </w:p>
    <w:p w:rsidR="00891A7B"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联系人：梁美</w:t>
      </w:r>
    </w:p>
    <w:p w:rsidR="00172443" w:rsidRPr="00177B84" w:rsidP="00891A7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网址：</w:t>
      </w:r>
      <w:r w:rsidRPr="00177B84">
        <w:rPr>
          <w:rFonts w:asciiTheme="minorEastAsia" w:eastAsiaTheme="minorEastAsia" w:hAnsiTheme="minorEastAsia"/>
          <w:color w:val="000000" w:themeColor="text1"/>
        </w:rPr>
        <w:t>www.efunds.com.cn</w:t>
      </w:r>
    </w:p>
    <w:p w:rsidR="00E47D7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直销机构网点信息：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（1）易方达基金管理有限公司广州直销中心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办公地址：广州市天河区珠江新城珠江东路30号广州银行大厦40楼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电话：020-85102506</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传真：4008818099</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联系人：梁美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（2）易方达基金管理有限公司北京直销中心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w:t>
      </w:r>
      <w:r w:rsidRPr="00177B84" w:rsidR="00303510">
        <w:rPr>
          <w:rFonts w:asciiTheme="minorEastAsia" w:eastAsiaTheme="minorEastAsia" w:hAnsiTheme="minorEastAsia"/>
          <w:color w:val="000000" w:themeColor="text1"/>
        </w:rPr>
        <w:t>北京市西城区武定侯街2号泰康国际大厦18层</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电话：010-63213377</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传真：4008818099</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联系人：刘蕾</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（3）易方达基金管理有限公司上海直销中心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办公地址：上海市浦东新区世纪大道88号金茂大厦46楼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电话：021-50476668</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传真：4008818099</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w:t>
      </w:r>
      <w:r w:rsidRPr="00177B84" w:rsidR="00FB19A2">
        <w:rPr>
          <w:rFonts w:asciiTheme="minorEastAsia" w:eastAsiaTheme="minorEastAsia" w:hAnsiTheme="minorEastAsia" w:hint="eastAsia"/>
          <w:color w:val="000000" w:themeColor="text1"/>
        </w:rPr>
        <w:t>王程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（4）易方达基金管理有限公司网上交易系统</w:t>
      </w:r>
    </w:p>
    <w:p w:rsidR="00E47D7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网址：www.efunds.com.cn</w:t>
      </w:r>
    </w:p>
    <w:p w:rsidR="00186C6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2、非直销销售机构</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(1)平安证券</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注册地址:深圳市福田区福田街道益田路5023号平安金融中心B座第22-25层</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办公地址:深圳市福田区金田路4036号荣超大厦16-20层</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法定代表人:何之江</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联系人:周驰</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联系电话:021-38643230</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客户服务电话:95511-8</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传真:021-58991896</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网址:stock.pingan.com</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(2)基煜基金</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注册地址:上海市黄浦区广东路500号30层3001单元</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办公地址:上海市浦东新区银城中路488号太平金融大厦1503室</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法定代表人:王翔</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联系人:张巍婧</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联系电话:021-65370077</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客户服务电话:400-820-5369</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传真:021-55085991</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网址:https://www.jiyufund.com.cn/</w:t>
      </w:r>
    </w:p>
    <w:p w:rsidR="008F0B62" w:rsidRPr="00177B84">
      <w:pPr>
        <w:spacing w:line="360" w:lineRule="auto"/>
        <w:ind w:firstLine="42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基金管理人可根据情况变更或增减销售机构并在基金管理人网站公示。</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w:t>
      </w:r>
      <w:r w:rsidRPr="00177B84" w:rsidR="006F2DCE">
        <w:rPr>
          <w:rFonts w:asciiTheme="minorEastAsia" w:eastAsiaTheme="minorEastAsia" w:hAnsiTheme="minorEastAsia"/>
          <w:color w:val="000000" w:themeColor="text1"/>
        </w:rPr>
        <w:t>登记机构</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名称：</w:t>
      </w:r>
      <w:r w:rsidRPr="00177B84" w:rsidR="00D86EFA">
        <w:rPr>
          <w:rFonts w:asciiTheme="minorEastAsia" w:eastAsiaTheme="minorEastAsia" w:hAnsiTheme="minorEastAsia"/>
          <w:color w:val="000000" w:themeColor="text1"/>
        </w:rPr>
        <w:t>易方达基金管理有限公司</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注册地址：</w:t>
      </w:r>
      <w:r w:rsidRPr="00177B84" w:rsidR="00792400">
        <w:rPr>
          <w:rFonts w:asciiTheme="minorEastAsia" w:eastAsiaTheme="minorEastAsia" w:hAnsiTheme="minorEastAsia" w:hint="eastAsia"/>
          <w:color w:val="000000" w:themeColor="text1"/>
        </w:rPr>
        <w:t>广东省珠海市横琴新区荣粤道</w:t>
      </w:r>
      <w:r w:rsidRPr="00177B84" w:rsidR="00792400">
        <w:rPr>
          <w:rFonts w:asciiTheme="minorEastAsia" w:eastAsiaTheme="minorEastAsia" w:hAnsiTheme="minorEastAsia"/>
          <w:color w:val="000000" w:themeColor="text1"/>
        </w:rPr>
        <w:t>188号6层</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w:t>
      </w:r>
      <w:r w:rsidRPr="00177B84" w:rsidR="00D86EFA">
        <w:rPr>
          <w:rFonts w:asciiTheme="minorEastAsia" w:eastAsiaTheme="minorEastAsia" w:hAnsiTheme="minorEastAsia"/>
          <w:color w:val="000000" w:themeColor="text1"/>
        </w:rPr>
        <w:t>广州市天河区珠江新城珠江东路30号广州银行大厦40-43楼</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w:t>
      </w:r>
      <w:r w:rsidRPr="00177B84" w:rsidR="00D86EFA">
        <w:rPr>
          <w:rFonts w:asciiTheme="minorEastAsia" w:eastAsiaTheme="minorEastAsia" w:hAnsiTheme="minorEastAsia"/>
          <w:color w:val="000000" w:themeColor="text1"/>
        </w:rPr>
        <w:t>刘晓艳</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w:t>
      </w:r>
      <w:r w:rsidRPr="00177B84" w:rsidR="00D86EFA">
        <w:rPr>
          <w:rFonts w:asciiTheme="minorEastAsia" w:eastAsiaTheme="minorEastAsia" w:hAnsiTheme="minorEastAsia"/>
          <w:color w:val="000000" w:themeColor="text1"/>
        </w:rPr>
        <w:t>4008818088</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w:t>
      </w:r>
      <w:r w:rsidRPr="00177B84" w:rsidR="00D86EFA">
        <w:rPr>
          <w:rFonts w:asciiTheme="minorEastAsia" w:eastAsiaTheme="minorEastAsia" w:hAnsiTheme="minorEastAsia"/>
          <w:color w:val="000000" w:themeColor="text1"/>
        </w:rPr>
        <w:t>020-38799249</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w:t>
      </w:r>
      <w:r w:rsidRPr="00177B84" w:rsidR="00D86EFA">
        <w:rPr>
          <w:rFonts w:asciiTheme="minorEastAsia" w:eastAsiaTheme="minorEastAsia" w:hAnsiTheme="minorEastAsia"/>
          <w:color w:val="000000" w:themeColor="text1"/>
        </w:rPr>
        <w:t>余贤高</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16" w:name="_Toc332373484"/>
      <w:r w:rsidRPr="00177B84">
        <w:rPr>
          <w:rFonts w:asciiTheme="minorEastAsia" w:eastAsiaTheme="minorEastAsia" w:hAnsiTheme="minorEastAsia"/>
          <w:color w:val="000000" w:themeColor="text1"/>
        </w:rPr>
        <w:t>（三）律师事务所和经办律师</w:t>
      </w:r>
      <w:bookmarkEnd w:id="16"/>
    </w:p>
    <w:p w:rsidR="004504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律师事务所：</w:t>
      </w:r>
      <w:r w:rsidRPr="00177B84" w:rsidR="00C95FFE">
        <w:rPr>
          <w:rFonts w:asciiTheme="minorEastAsia" w:eastAsiaTheme="minorEastAsia" w:hAnsiTheme="minorEastAsia"/>
          <w:color w:val="000000" w:themeColor="text1"/>
        </w:rPr>
        <w:t>广东金桥百信律师事务所</w:t>
      </w:r>
    </w:p>
    <w:p w:rsidR="008B64F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地址：</w:t>
      </w:r>
      <w:r w:rsidRPr="00177B84" w:rsidR="00C95FFE">
        <w:rPr>
          <w:rFonts w:asciiTheme="minorEastAsia" w:eastAsiaTheme="minorEastAsia" w:hAnsiTheme="minorEastAsia"/>
          <w:color w:val="000000" w:themeColor="text1"/>
        </w:rPr>
        <w:t>广东省广州市天河区珠江东路16号2401室</w:t>
      </w:r>
    </w:p>
    <w:p w:rsidR="004504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负责人：</w:t>
      </w:r>
      <w:r w:rsidRPr="00177B84" w:rsidR="00C95FFE">
        <w:rPr>
          <w:rFonts w:asciiTheme="minorEastAsia" w:eastAsiaTheme="minorEastAsia" w:hAnsiTheme="minorEastAsia"/>
          <w:color w:val="000000" w:themeColor="text1"/>
        </w:rPr>
        <w:t>聂卫国</w:t>
      </w:r>
    </w:p>
    <w:p w:rsidR="004504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w:t>
      </w:r>
      <w:r w:rsidRPr="00177B84" w:rsidR="00C95FFE">
        <w:rPr>
          <w:rFonts w:asciiTheme="minorEastAsia" w:eastAsiaTheme="minorEastAsia" w:hAnsiTheme="minorEastAsia"/>
          <w:color w:val="000000" w:themeColor="text1"/>
        </w:rPr>
        <w:t>020-83338668</w:t>
      </w:r>
    </w:p>
    <w:p w:rsidR="004504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w:t>
      </w:r>
      <w:r w:rsidRPr="00177B84" w:rsidR="00C95FFE">
        <w:rPr>
          <w:rFonts w:asciiTheme="minorEastAsia" w:eastAsiaTheme="minorEastAsia" w:hAnsiTheme="minorEastAsia"/>
          <w:color w:val="000000" w:themeColor="text1"/>
        </w:rPr>
        <w:t>020-83338088</w:t>
      </w:r>
    </w:p>
    <w:p w:rsidR="00A12B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经办律师：</w:t>
      </w:r>
      <w:r w:rsidRPr="00177B84" w:rsidR="00C95FFE">
        <w:rPr>
          <w:rFonts w:asciiTheme="minorEastAsia" w:eastAsiaTheme="minorEastAsia" w:hAnsiTheme="minorEastAsia"/>
          <w:color w:val="000000" w:themeColor="text1"/>
        </w:rPr>
        <w:t>祝志群、郑怡玲</w:t>
      </w:r>
    </w:p>
    <w:p w:rsidR="004504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w:t>
      </w:r>
      <w:r w:rsidRPr="00177B84" w:rsidR="0058761D">
        <w:rPr>
          <w:rFonts w:asciiTheme="minorEastAsia" w:eastAsiaTheme="minorEastAsia" w:hAnsiTheme="minorEastAsia"/>
          <w:color w:val="000000" w:themeColor="text1"/>
        </w:rPr>
        <w:t>祝志群</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17" w:name="_Toc332373485"/>
      <w:r w:rsidRPr="00177B84">
        <w:rPr>
          <w:rFonts w:asciiTheme="minorEastAsia" w:eastAsiaTheme="minorEastAsia" w:hAnsiTheme="minorEastAsia"/>
          <w:color w:val="000000" w:themeColor="text1"/>
        </w:rPr>
        <w:t>（四）会计师事务所和经办注册会计师</w:t>
      </w:r>
      <w:bookmarkEnd w:id="17"/>
    </w:p>
    <w:p w:rsidR="000F2C37" w:rsidRPr="00177B84" w:rsidP="0067539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会计师事务所：</w:t>
      </w:r>
      <w:r w:rsidRPr="00177B84" w:rsidR="0058761D">
        <w:rPr>
          <w:rFonts w:asciiTheme="minorEastAsia" w:eastAsiaTheme="minorEastAsia" w:hAnsiTheme="minorEastAsia"/>
          <w:color w:val="000000" w:themeColor="text1"/>
        </w:rPr>
        <w:t>安永华明会计师事务所（特殊普通合伙）</w:t>
      </w:r>
    </w:p>
    <w:p w:rsidR="000F2C3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主要经营场所：</w:t>
      </w:r>
      <w:r w:rsidRPr="00177B84" w:rsidR="00D81315">
        <w:rPr>
          <w:rFonts w:asciiTheme="minorEastAsia" w:eastAsiaTheme="minorEastAsia" w:hAnsiTheme="minorEastAsia"/>
          <w:color w:val="000000" w:themeColor="text1"/>
        </w:rPr>
        <w:t>北京市东城区东长安街1号东方广场安永大楼17层01-12室</w:t>
      </w:r>
    </w:p>
    <w:p w:rsidR="000F2C3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执行事务合伙人：</w:t>
      </w:r>
      <w:r w:rsidRPr="00177B84" w:rsidR="00D81315">
        <w:rPr>
          <w:rFonts w:asciiTheme="minorEastAsia" w:eastAsiaTheme="minorEastAsia" w:hAnsiTheme="minorEastAsia"/>
          <w:color w:val="000000" w:themeColor="text1"/>
        </w:rPr>
        <w:t>TonyMao毛鞍宁</w:t>
      </w:r>
    </w:p>
    <w:p w:rsidR="000F2C3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电话：</w:t>
      </w:r>
      <w:r w:rsidRPr="00177B84" w:rsidR="0058761D">
        <w:rPr>
          <w:rFonts w:asciiTheme="minorEastAsia" w:eastAsiaTheme="minorEastAsia" w:hAnsiTheme="minorEastAsia"/>
          <w:color w:val="000000" w:themeColor="text1"/>
        </w:rPr>
        <w:t>010-58153000</w:t>
      </w:r>
    </w:p>
    <w:p w:rsidR="000F2C3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传真：</w:t>
      </w:r>
      <w:r w:rsidRPr="00177B84" w:rsidR="0058761D">
        <w:rPr>
          <w:rFonts w:asciiTheme="minorEastAsia" w:eastAsiaTheme="minorEastAsia" w:hAnsiTheme="minorEastAsia"/>
          <w:color w:val="000000" w:themeColor="text1"/>
        </w:rPr>
        <w:t>010-85188298</w:t>
      </w:r>
    </w:p>
    <w:p w:rsidR="000F2C3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经办注册会计师：</w:t>
      </w:r>
      <w:r w:rsidRPr="00177B84" w:rsidR="00052290">
        <w:rPr>
          <w:rFonts w:asciiTheme="minorEastAsia" w:eastAsiaTheme="minorEastAsia" w:hAnsiTheme="minorEastAsia"/>
          <w:color w:val="000000" w:themeColor="text1"/>
        </w:rPr>
        <w:t>昌华、马婧</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联系人：</w:t>
      </w:r>
      <w:r w:rsidRPr="00177B84" w:rsidR="00C165AB">
        <w:rPr>
          <w:rFonts w:asciiTheme="minorEastAsia" w:eastAsiaTheme="minorEastAsia" w:hAnsiTheme="minorEastAsia" w:hint="eastAsia"/>
          <w:color w:val="000000" w:themeColor="text1"/>
        </w:rPr>
        <w:t>昌华</w:t>
      </w:r>
    </w:p>
    <w:p w:rsidR="007D1DFF" w:rsidRPr="00177B84" w:rsidP="002C5976">
      <w:pPr>
        <w:spacing w:line="360" w:lineRule="auto"/>
        <w:ind w:firstLine="420" w:firstLineChars="200"/>
        <w:rPr>
          <w:rFonts w:asciiTheme="minorEastAsia" w:eastAsiaTheme="minorEastAsia" w:hAnsiTheme="minorEastAsia"/>
          <w:color w:val="000000" w:themeColor="text1"/>
        </w:rPr>
      </w:pPr>
    </w:p>
    <w:p w:rsidR="00BA4B87" w:rsidRPr="00177B84" w:rsidP="00CC1421">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18" w:name="_Toc332373486"/>
      <w:bookmarkStart w:id="19" w:name="_Toc103006835"/>
      <w:r w:rsidRPr="00177B84">
        <w:rPr>
          <w:rFonts w:asciiTheme="minorEastAsia" w:eastAsiaTheme="minorEastAsia" w:hAnsiTheme="minorEastAsia"/>
          <w:bCs/>
          <w:color w:val="000000" w:themeColor="text1"/>
        </w:rPr>
        <w:t>六、基金的募集</w:t>
      </w:r>
      <w:bookmarkEnd w:id="18"/>
      <w:bookmarkEnd w:id="19"/>
    </w:p>
    <w:p w:rsidR="005D66C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本基金由基金管理人依照《基金法》、《运作办法》、《销售办法》、基金合同的相关规定</w:t>
      </w:r>
      <w:r w:rsidRPr="00177B84" w:rsidR="002959F6">
        <w:rPr>
          <w:rFonts w:asciiTheme="minorEastAsia" w:eastAsiaTheme="minorEastAsia" w:hAnsiTheme="minorEastAsia"/>
          <w:color w:val="000000" w:themeColor="text1"/>
        </w:rPr>
        <w:t>募集</w:t>
      </w:r>
      <w:r w:rsidRPr="00177B84">
        <w:rPr>
          <w:rFonts w:asciiTheme="minorEastAsia" w:eastAsiaTheme="minorEastAsia" w:hAnsiTheme="minorEastAsia"/>
          <w:color w:val="000000" w:themeColor="text1"/>
        </w:rPr>
        <w:t>，</w:t>
      </w:r>
      <w:r w:rsidRPr="00177B84" w:rsidR="002959F6">
        <w:rPr>
          <w:rFonts w:asciiTheme="minorEastAsia" w:eastAsiaTheme="minorEastAsia" w:hAnsiTheme="minorEastAsia" w:hint="eastAsia"/>
          <w:color w:val="000000" w:themeColor="text1"/>
        </w:rPr>
        <w:t>本基金</w:t>
      </w:r>
      <w:r w:rsidRPr="00177B84" w:rsidR="002959F6">
        <w:rPr>
          <w:rFonts w:asciiTheme="minorEastAsia" w:eastAsiaTheme="minorEastAsia" w:hAnsiTheme="minorEastAsia"/>
          <w:color w:val="000000" w:themeColor="text1"/>
        </w:rPr>
        <w:t>已经</w:t>
      </w:r>
      <w:r w:rsidRPr="00177B84">
        <w:rPr>
          <w:rFonts w:asciiTheme="minorEastAsia" w:eastAsiaTheme="minorEastAsia" w:hAnsiTheme="minorEastAsia"/>
          <w:color w:val="000000" w:themeColor="text1"/>
        </w:rPr>
        <w:t>中国证券监督管理委员会</w:t>
      </w:r>
      <w:r w:rsidRPr="00177B84" w:rsidR="00935E18">
        <w:rPr>
          <w:rFonts w:asciiTheme="minorEastAsia" w:eastAsiaTheme="minorEastAsia" w:hAnsiTheme="minorEastAsia"/>
          <w:color w:val="000000" w:themeColor="text1"/>
        </w:rPr>
        <w:t>2016年11月18日</w:t>
      </w:r>
      <w:r w:rsidRPr="00177B84">
        <w:rPr>
          <w:rFonts w:asciiTheme="minorEastAsia" w:eastAsiaTheme="minorEastAsia" w:hAnsiTheme="minorEastAsia"/>
          <w:color w:val="000000" w:themeColor="text1"/>
        </w:rPr>
        <w:t>《关于准予易方达瑞弘灵活配置混合型证券投资基金注册的批复》（证监许可[2016]2727号）</w:t>
      </w:r>
      <w:r w:rsidRPr="00177B84" w:rsidR="002959F6">
        <w:rPr>
          <w:rFonts w:asciiTheme="minorEastAsia" w:eastAsiaTheme="minorEastAsia" w:hAnsiTheme="minorEastAsia" w:hint="eastAsia"/>
          <w:color w:val="000000" w:themeColor="text1"/>
        </w:rPr>
        <w:t>注册</w:t>
      </w:r>
      <w:r w:rsidRPr="00177B84">
        <w:rPr>
          <w:rFonts w:asciiTheme="minorEastAsia" w:eastAsiaTheme="minorEastAsia" w:hAnsiTheme="minorEastAsia"/>
          <w:color w:val="000000" w:themeColor="text1"/>
        </w:rPr>
        <w:t>。</w:t>
      </w:r>
    </w:p>
    <w:p w:rsidR="003D128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本基金为</w:t>
      </w:r>
      <w:r w:rsidRPr="00177B84">
        <w:rPr>
          <w:rFonts w:asciiTheme="minorEastAsia" w:eastAsiaTheme="minorEastAsia" w:hAnsiTheme="minorEastAsia"/>
          <w:color w:val="000000" w:themeColor="text1"/>
        </w:rPr>
        <w:t>契约型开放式混合型证券投资基金</w:t>
      </w:r>
      <w:r w:rsidRPr="00177B84" w:rsidR="00B31EF7">
        <w:rPr>
          <w:rFonts w:asciiTheme="minorEastAsia" w:eastAsiaTheme="minorEastAsia" w:hAnsiTheme="minorEastAsia" w:hint="eastAsia"/>
          <w:color w:val="000000" w:themeColor="text1"/>
        </w:rPr>
        <w:t>，</w:t>
      </w:r>
      <w:r w:rsidRPr="00177B84">
        <w:rPr>
          <w:rFonts w:asciiTheme="minorEastAsia" w:eastAsiaTheme="minorEastAsia" w:hAnsiTheme="minorEastAsia" w:hint="eastAsia"/>
          <w:color w:val="000000" w:themeColor="text1"/>
        </w:rPr>
        <w:t>基金的存续期为不定期。</w:t>
      </w:r>
    </w:p>
    <w:p w:rsidR="003D128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本基金募集期间每份基金份额初始面值为1.00元人民币。</w:t>
      </w:r>
    </w:p>
    <w:p w:rsidR="003D128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本基金募集期自2017年1月9日至2017年1月10日。</w:t>
      </w:r>
      <w:r w:rsidRPr="00177B84">
        <w:rPr>
          <w:rFonts w:asciiTheme="minorEastAsia" w:eastAsiaTheme="minorEastAsia" w:hAnsiTheme="minorEastAsia"/>
          <w:color w:val="000000" w:themeColor="text1"/>
        </w:rPr>
        <w:t>募集对象为符合法律法规规定的可投资于证券投资基金的个人投资者、机构投资者和合格境外机构投资者以及法律法规或中国证监会允许购买证券投资基金的其他投资人。</w:t>
      </w:r>
    </w:p>
    <w:p w:rsidR="00BA4B87" w:rsidRPr="00177B84" w:rsidP="00CC1421">
      <w:pPr>
        <w:pStyle w:val="Heading1"/>
        <w:pageBreakBefore/>
        <w:snapToGrid w:val="0"/>
        <w:spacing w:beforeLines="0" w:afterLines="0" w:line="360" w:lineRule="auto"/>
        <w:ind w:firstLine="640"/>
        <w:rPr>
          <w:rFonts w:asciiTheme="minorEastAsia" w:eastAsiaTheme="minorEastAsia" w:hAnsiTheme="minorEastAsia"/>
          <w:color w:val="000000" w:themeColor="text1"/>
        </w:rPr>
      </w:pPr>
      <w:bookmarkStart w:id="20" w:name="_Toc332373495"/>
      <w:bookmarkStart w:id="21" w:name="_Toc103006836"/>
      <w:r w:rsidRPr="00177B84">
        <w:rPr>
          <w:rFonts w:asciiTheme="minorEastAsia" w:eastAsiaTheme="minorEastAsia" w:hAnsiTheme="minorEastAsia"/>
          <w:bCs/>
          <w:color w:val="000000" w:themeColor="text1"/>
        </w:rPr>
        <w:t>七、基金合同的生效</w:t>
      </w:r>
      <w:bookmarkEnd w:id="20"/>
      <w:bookmarkEnd w:id="21"/>
    </w:p>
    <w:p w:rsidR="00E77641" w:rsidRPr="00177B84" w:rsidP="002C5976">
      <w:pPr>
        <w:spacing w:line="360" w:lineRule="auto"/>
        <w:ind w:firstLine="420" w:firstLineChars="200"/>
        <w:rPr>
          <w:rFonts w:asciiTheme="minorEastAsia" w:eastAsiaTheme="minorEastAsia" w:hAnsiTheme="minorEastAsia"/>
          <w:color w:val="000000" w:themeColor="text1"/>
        </w:rPr>
      </w:pPr>
      <w:bookmarkStart w:id="22" w:name="_Toc332373496"/>
      <w:r w:rsidRPr="00177B84">
        <w:rPr>
          <w:rFonts w:asciiTheme="minorEastAsia" w:eastAsiaTheme="minorEastAsia" w:hAnsiTheme="minorEastAsia"/>
          <w:color w:val="000000" w:themeColor="text1"/>
        </w:rPr>
        <w:t>（一）基金合同的生效</w:t>
      </w:r>
    </w:p>
    <w:p w:rsidR="00EC39D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本基金基金合同于2017年1月11日正式生效。自基金合同生效日起，本基金管理人正式开始管理本基金。</w:t>
      </w:r>
    </w:p>
    <w:p w:rsidR="00220FA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w:t>
      </w:r>
      <w:r w:rsidRPr="00177B84" w:rsidR="00326CD2">
        <w:rPr>
          <w:rFonts w:asciiTheme="minorEastAsia" w:eastAsiaTheme="minorEastAsia" w:hAnsiTheme="minorEastAsia"/>
          <w:color w:val="000000" w:themeColor="text1"/>
        </w:rPr>
        <w:t>基金存续期内的基金份额持有人数量和资产规模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法律法规或基金合同另有规定时，从其规定。</w:t>
      </w:r>
      <w:r w:rsidRPr="00177B84">
        <w:rPr>
          <w:rFonts w:asciiTheme="minorEastAsia" w:eastAsiaTheme="minorEastAsia" w:hAnsiTheme="minorEastAsia"/>
          <w:color w:val="000000" w:themeColor="text1"/>
        </w:rPr>
        <w:br w:type="page"/>
      </w:r>
    </w:p>
    <w:p w:rsidR="00BA4B87" w:rsidRPr="00177B84" w:rsidP="00616952">
      <w:pPr>
        <w:pStyle w:val="Heading1"/>
        <w:snapToGrid w:val="0"/>
        <w:spacing w:beforeLines="0" w:afterLines="0" w:line="360" w:lineRule="auto"/>
        <w:ind w:firstLine="640"/>
        <w:rPr>
          <w:rFonts w:asciiTheme="minorEastAsia" w:eastAsiaTheme="minorEastAsia" w:hAnsiTheme="minorEastAsia"/>
          <w:color w:val="000000" w:themeColor="text1"/>
        </w:rPr>
      </w:pPr>
      <w:bookmarkStart w:id="23" w:name="_Toc332373499"/>
      <w:bookmarkStart w:id="24" w:name="_Toc103006837"/>
      <w:bookmarkEnd w:id="22"/>
      <w:r w:rsidRPr="00177B84">
        <w:rPr>
          <w:rFonts w:asciiTheme="minorEastAsia" w:eastAsiaTheme="minorEastAsia" w:hAnsiTheme="minorEastAsia"/>
          <w:color w:val="000000" w:themeColor="text1"/>
        </w:rPr>
        <w:t>八、基金份额的申购、赎回</w:t>
      </w:r>
      <w:bookmarkEnd w:id="23"/>
      <w:bookmarkEnd w:id="24"/>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25" w:name="_Toc332373500"/>
      <w:r w:rsidRPr="00177B84">
        <w:rPr>
          <w:rFonts w:asciiTheme="minorEastAsia" w:eastAsiaTheme="minorEastAsia" w:hAnsiTheme="minorEastAsia"/>
          <w:color w:val="000000" w:themeColor="text1"/>
        </w:rPr>
        <w:t>（一）基金</w:t>
      </w:r>
      <w:r w:rsidRPr="00177B84" w:rsidR="008D4032">
        <w:rPr>
          <w:rFonts w:asciiTheme="minorEastAsia" w:eastAsiaTheme="minorEastAsia" w:hAnsiTheme="minorEastAsia"/>
          <w:color w:val="000000" w:themeColor="text1"/>
        </w:rPr>
        <w:t>投资人</w:t>
      </w:r>
      <w:r w:rsidRPr="00177B84">
        <w:rPr>
          <w:rFonts w:asciiTheme="minorEastAsia" w:eastAsiaTheme="minorEastAsia" w:hAnsiTheme="minorEastAsia"/>
          <w:color w:val="000000" w:themeColor="text1"/>
        </w:rPr>
        <w:t>范围</w:t>
      </w:r>
      <w:bookmarkEnd w:id="25"/>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26" w:name="_Toc332373501"/>
      <w:r w:rsidRPr="00177B84">
        <w:rPr>
          <w:rFonts w:asciiTheme="minorEastAsia" w:eastAsiaTheme="minorEastAsia" w:hAnsiTheme="minorEastAsia"/>
          <w:color w:val="000000" w:themeColor="text1"/>
        </w:rPr>
        <w:t>（二）申购与赎回的场所</w:t>
      </w:r>
      <w:bookmarkEnd w:id="26"/>
    </w:p>
    <w:p w:rsidR="001E6708" w:rsidRPr="00177B84" w:rsidP="002C5976">
      <w:pPr>
        <w:spacing w:line="360" w:lineRule="auto"/>
        <w:ind w:firstLine="420" w:firstLineChars="200"/>
        <w:rPr>
          <w:rFonts w:asciiTheme="minorEastAsia" w:eastAsiaTheme="minorEastAsia" w:hAnsiTheme="minorEastAsia"/>
          <w:color w:val="000000" w:themeColor="text1"/>
        </w:rPr>
      </w:pPr>
      <w:bookmarkStart w:id="27" w:name="_Toc332373502"/>
      <w:r w:rsidRPr="00177B84">
        <w:rPr>
          <w:rFonts w:asciiTheme="minorEastAsia" w:eastAsiaTheme="minorEastAsia" w:hAnsiTheme="minorEastAsia"/>
          <w:color w:val="000000" w:themeColor="text1"/>
        </w:rPr>
        <w:t>本基金的申购与赎回将通过销售机构进行。基金管理人可根据情况变更或增减销售机构，</w:t>
      </w:r>
      <w:r w:rsidRPr="00177B84" w:rsidR="008F518B">
        <w:rPr>
          <w:rFonts w:asciiTheme="minorEastAsia" w:eastAsiaTheme="minorEastAsia" w:hAnsiTheme="minorEastAsia" w:hint="eastAsia"/>
          <w:bCs/>
          <w:color w:val="000000" w:themeColor="text1"/>
          <w:szCs w:val="21"/>
        </w:rPr>
        <w:t>并在基金管理人网站公示</w:t>
      </w:r>
      <w:r w:rsidRPr="00177B84">
        <w:rPr>
          <w:rFonts w:asciiTheme="minorEastAsia" w:eastAsiaTheme="minorEastAsia" w:hAnsiTheme="minorEastAsia"/>
          <w:color w:val="000000" w:themeColor="text1"/>
        </w:rPr>
        <w:t>。基金投资者应当在销售机构办理基金销售业务的营业场所或按销售机构提供的其他方式办理基金份额的申购与赎回。</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（三）申购与赎回办理的开放日及时间</w:t>
      </w:r>
      <w:bookmarkEnd w:id="27"/>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1、开放日及开放时间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2、申购、赎回开始日及业务办理时间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本基金已于2017年4月10日开放办理日常申购、赎回业务。</w:t>
      </w:r>
    </w:p>
    <w:p w:rsidR="00F474C7" w:rsidRPr="00177B84" w:rsidP="002C5976">
      <w:pPr>
        <w:spacing w:line="360" w:lineRule="auto"/>
        <w:ind w:firstLine="420" w:firstLineChars="200"/>
        <w:rPr>
          <w:rFonts w:asciiTheme="minorEastAsia" w:eastAsiaTheme="minorEastAsia" w:hAnsiTheme="minorEastAsia"/>
          <w:color w:val="000000" w:themeColor="text1"/>
        </w:rPr>
      </w:pPr>
      <w:bookmarkStart w:id="28" w:name="_Toc332373503"/>
      <w:r w:rsidRPr="00177B84">
        <w:rPr>
          <w:rFonts w:asciiTheme="minorEastAsia" w:eastAsiaTheme="minorEastAsia" w:hAnsiTheme="minorEastAsia"/>
          <w:color w:val="000000" w:themeColor="text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8D4032">
        <w:rPr>
          <w:rFonts w:asciiTheme="minorEastAsia" w:eastAsiaTheme="minorEastAsia" w:hAnsiTheme="minorEastAsia"/>
          <w:color w:val="000000" w:themeColor="text1"/>
        </w:rPr>
        <w:t>四</w:t>
      </w:r>
      <w:r w:rsidRPr="00177B84">
        <w:rPr>
          <w:rFonts w:asciiTheme="minorEastAsia" w:eastAsiaTheme="minorEastAsia" w:hAnsiTheme="minorEastAsia"/>
          <w:color w:val="000000" w:themeColor="text1"/>
        </w:rPr>
        <w:t>）申购与赎回的原则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1、“未知价”原则，即申购、赎回价格以申请当日收市后计算的基金份额净值为基准进行计算；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2、“金额申购、份额赎回”原则，即申购以金额申请，赎回以份额申请；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3、当日的申购与赎回申请可以在基金管理人规定的时间以内撤销；</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4、基金份额持有人赎回时，除指定赎回外，基金管理人按先进先出的原则，对该持有人账户在该销售机构托管的基金份额进行处理，即先确认的份额先赎回，后确认的份额后赎回，以确定所适用的赎回费率。</w:t>
      </w:r>
    </w:p>
    <w:p w:rsidR="00AD22C1" w:rsidRPr="00177B84" w:rsidP="002C5976">
      <w:pPr>
        <w:spacing w:line="360" w:lineRule="auto"/>
        <w:ind w:firstLine="420" w:firstLineChars="200"/>
        <w:rPr>
          <w:rFonts w:asciiTheme="minorEastAsia" w:eastAsiaTheme="minorEastAsia" w:hAnsiTheme="minorEastAsia"/>
          <w:color w:val="000000" w:themeColor="text1"/>
        </w:rPr>
      </w:pPr>
      <w:bookmarkStart w:id="29" w:name="_Toc332373504"/>
      <w:bookmarkEnd w:id="28"/>
      <w:r w:rsidRPr="00177B84">
        <w:rPr>
          <w:rFonts w:asciiTheme="minorEastAsia" w:eastAsiaTheme="minorEastAsia" w:hAnsiTheme="minorEastAsia"/>
          <w:color w:val="000000" w:themeColor="text1"/>
        </w:rPr>
        <w:t>基金管理人可在不违反法律法规的情况下，对上述原则进行调整。基金管理人必须在新规则开始实施前依照《信息披露办法》的有关规定在指定媒介上公告。</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8D4032">
        <w:rPr>
          <w:rFonts w:asciiTheme="minorEastAsia" w:eastAsiaTheme="minorEastAsia" w:hAnsiTheme="minorEastAsia"/>
          <w:color w:val="000000" w:themeColor="text1"/>
        </w:rPr>
        <w:t>五</w:t>
      </w:r>
      <w:r w:rsidRPr="00177B84">
        <w:rPr>
          <w:rFonts w:asciiTheme="minorEastAsia" w:eastAsiaTheme="minorEastAsia" w:hAnsiTheme="minorEastAsia"/>
          <w:color w:val="000000" w:themeColor="text1"/>
        </w:rPr>
        <w:t>）申购与赎回的程序</w:t>
      </w:r>
      <w:bookmarkEnd w:id="29"/>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1、申购和赎回的申请方式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投资人必须根据销售机构规定的程序，在开放日的具体业务办理时间内提出申购或赎回的申请。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2、申购和赎回的款项支付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投资人申购基金份额时，必须全额交付申购款项，投资人交付申购款项，申购成立；基金份额登记机构确认基金份额时，申购生效。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持有人递交赎回申请，赎回成立，赎回是否生效以登记机构确认为准。基金份额持有人赎回申请成功后，基金管理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3、申购和赎回申请的确认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以交易时间结束前受理有效申购和赎回申请的当天作为申购或赎回申请日(T日)，在正常情况下，本基金登记机构在T+1日内对该交易的有效性进行确认。T日提交的有效申请，投资人应及时到销售网点柜台或以销售机构规定的其他方式查询申请的确认情况。若申购不成功，则申购款项本金退还给投资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销售机构对申购、赎回申请的受理并不代表该申请一定成功，而仅代表销售机构确实接收到申购、赎回申请。申购、赎回的确认以登记机构的确认结果为准。对于申购的确认情况，投资人应及时查询并妥善行使合法权利。</w:t>
      </w:r>
    </w:p>
    <w:p w:rsidR="0050604C" w:rsidRPr="00177B84" w:rsidP="0050604C">
      <w:pPr>
        <w:spacing w:line="360" w:lineRule="auto"/>
        <w:ind w:firstLine="420" w:firstLineChars="200"/>
        <w:rPr>
          <w:rFonts w:asciiTheme="minorEastAsia" w:eastAsiaTheme="minorEastAsia" w:hAnsiTheme="minorEastAsia"/>
          <w:color w:val="000000" w:themeColor="text1"/>
        </w:rPr>
      </w:pPr>
      <w:bookmarkStart w:id="30" w:name="_Toc332373505"/>
      <w:r w:rsidRPr="00177B84">
        <w:rPr>
          <w:rFonts w:asciiTheme="minorEastAsia" w:eastAsiaTheme="minorEastAsia" w:hAnsiTheme="minorEastAsia"/>
          <w:color w:val="000000" w:themeColor="text1"/>
        </w:rPr>
        <w:t>基金管理人在不违反法律法规的前提下，可对上述程序规则进行调整。基金管理人应在新规则开始实施前依照《信息披露办法》的有关规定在指定媒介上公告。</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214A68">
        <w:rPr>
          <w:rFonts w:asciiTheme="minorEastAsia" w:eastAsiaTheme="minorEastAsia" w:hAnsiTheme="minorEastAsia"/>
          <w:color w:val="000000" w:themeColor="text1"/>
        </w:rPr>
        <w:t>六</w:t>
      </w:r>
      <w:r w:rsidRPr="00177B84">
        <w:rPr>
          <w:rFonts w:asciiTheme="minorEastAsia" w:eastAsiaTheme="minorEastAsia" w:hAnsiTheme="minorEastAsia"/>
          <w:color w:val="000000" w:themeColor="text1"/>
        </w:rPr>
        <w:t>）申购与赎回的数额限制</w:t>
      </w:r>
      <w:bookmarkEnd w:id="30"/>
    </w:p>
    <w:p w:rsidR="00E23E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1、申购金额的限制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通过非直销销售机构或本公司网上交易系统首次申购的单笔最低限额为人民币1元，追加申购单笔最低限额为人民币1元；投资人通过本公司直销中心首次申购的单笔最低限额为人民币50,000元，追加申购单笔最低限额是人民币1,000元。在符合法律法规规定的前提下，各销售机构对申购限额及交易级差有其他规定的，需同时遵循该销售机构的相关规定。（以上金额均含申购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投资人将当期分配的基金收益转购基金份额或采用定期定额投资计划时，不受最低申购金额的限制。</w:t>
      </w:r>
    </w:p>
    <w:p w:rsidR="00E23E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投资人可多次申购，对单个投资人累计持有份额不设上限限制。</w:t>
      </w:r>
      <w:r w:rsidRPr="00177B84" w:rsidR="00FA2CD5">
        <w:rPr>
          <w:rFonts w:asciiTheme="minorEastAsia" w:eastAsiaTheme="minorEastAsia" w:hAnsiTheme="minorEastAsia" w:hint="eastAsia"/>
          <w:color w:val="000000" w:themeColor="text1"/>
          <w:szCs w:val="21"/>
        </w:rPr>
        <w:t>但对于可能导致单一投资者持有基金份额的比例达到或者超过</w:t>
      </w:r>
      <w:r w:rsidRPr="00177B84" w:rsidR="00FA2CD5">
        <w:rPr>
          <w:rFonts w:asciiTheme="minorEastAsia" w:eastAsiaTheme="minorEastAsia" w:hAnsiTheme="minorEastAsia"/>
          <w:color w:val="000000" w:themeColor="text1"/>
          <w:szCs w:val="21"/>
        </w:rPr>
        <w:t>50%，或者变相规避50%集中度的情形，基金管理人有权采取控制措施。</w:t>
      </w:r>
      <w:r w:rsidRPr="00177B84" w:rsidR="00FA2CD5">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177B84">
        <w:rPr>
          <w:rFonts w:asciiTheme="minorEastAsia" w:eastAsiaTheme="minorEastAsia" w:hAnsiTheme="minorEastAsia"/>
          <w:color w:val="000000" w:themeColor="text1"/>
        </w:rPr>
        <w:t>法律法规、中国证监会另有规定的除外。</w:t>
      </w:r>
    </w:p>
    <w:p w:rsidR="00E23E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2、赎回份额的限制</w:t>
      </w:r>
    </w:p>
    <w:p w:rsidR="00E23E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人可将其全部或部分基金份额赎回。每类基金份额单笔赎回或转换不得少于1份（如该账户在该销售机构托管的该类基金余额不足1份，则必须一次性赎回或转出该类基金全部份额）；若某笔赎回将导致投资人在该销售机构托管的该类基金余额不足1份时，基金管理人有权将投资人在该销售机构托管的该类基金剩余份额一次性全部赎回。在符合法律法规规定的前提下，各销售机构对赎回份额限制有其他规定的，需同时遵循该销售机构的相关规定。</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w:t>
      </w:r>
      <w:r w:rsidRPr="00177B84">
        <w:rPr>
          <w:rFonts w:asciiTheme="minorEastAsia" w:eastAsiaTheme="minorEastAsia" w:hAnsiTheme="minorEastAsia"/>
          <w:color w:val="000000" w:themeColor="text1"/>
        </w:rPr>
        <w:t>基金管理人可以根据市场情况，在不违反法律法规的情况下，调整上述规定申购金额和赎回份额的数量限制</w:t>
      </w:r>
      <w:r w:rsidRPr="00177B84" w:rsidR="00FA2CD5">
        <w:rPr>
          <w:rFonts w:asciiTheme="minorEastAsia" w:eastAsiaTheme="minorEastAsia" w:hAnsiTheme="minorEastAsia" w:hint="eastAsia"/>
          <w:color w:val="000000" w:themeColor="text1"/>
          <w:szCs w:val="21"/>
        </w:rPr>
        <w:t>，或者新增基金规模控制措施</w:t>
      </w:r>
      <w:r w:rsidRPr="00177B84">
        <w:rPr>
          <w:rFonts w:asciiTheme="minorEastAsia" w:eastAsiaTheme="minorEastAsia" w:hAnsiTheme="minorEastAsia"/>
          <w:color w:val="000000" w:themeColor="text1"/>
        </w:rPr>
        <w:t>。基金管理人必须在调整前依照《信息披露办法》的有关规定在指定媒介上公告。</w:t>
      </w:r>
    </w:p>
    <w:p w:rsidR="00801ACA" w:rsidRPr="00177B84" w:rsidP="002C5976">
      <w:pPr>
        <w:spacing w:line="360" w:lineRule="auto"/>
        <w:ind w:firstLine="420" w:firstLineChars="200"/>
        <w:rPr>
          <w:rFonts w:asciiTheme="minorEastAsia" w:eastAsiaTheme="minorEastAsia" w:hAnsiTheme="minorEastAsia"/>
          <w:color w:val="000000" w:themeColor="text1"/>
        </w:rPr>
      </w:pPr>
      <w:bookmarkStart w:id="31" w:name="_Toc332373506"/>
      <w:r w:rsidRPr="00177B84">
        <w:rPr>
          <w:rFonts w:asciiTheme="minorEastAsia" w:eastAsiaTheme="minorEastAsia" w:hAnsiTheme="minorEastAsia"/>
          <w:color w:val="000000" w:themeColor="text1"/>
        </w:rPr>
        <w:t>（七）基金的申购费和赎回费</w:t>
      </w:r>
      <w:bookmarkEnd w:id="31"/>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w:t>
      </w:r>
      <w:r w:rsidRPr="00177B84">
        <w:rPr>
          <w:rFonts w:asciiTheme="minorEastAsia" w:eastAsiaTheme="minorEastAsia" w:hAnsiTheme="minorEastAsia"/>
          <w:color w:val="000000" w:themeColor="text1"/>
        </w:rPr>
        <w:t>本基金的基金份额分为A类基金份额和C类基金份额两类。其中：</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A类基金份额收取认购/申购、赎回费，并不再从本类别基金资产中计提销售服务费；C类基金份额从本类别基金资产中计提销售服务费、不收取认购/申购费用，C类基金份额对持有期限少于30天的本类别基金份额的赎回收取赎回费，对于持有期限大于或等于30天的本类别基金份额不收取赎回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本基金A类基金份额的申购费用由申购基金份额的投资人承担，不列入基金财产，主要用于本基金的市场推广、销售、注册登记等各项费用。赎回费用由基金赎回人承担。</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w:t>
      </w:r>
      <w:r w:rsidRPr="00177B84">
        <w:rPr>
          <w:rFonts w:asciiTheme="minorEastAsia" w:eastAsiaTheme="minorEastAsia" w:hAnsiTheme="minorEastAsia" w:hint="eastAsia"/>
          <w:color w:val="000000" w:themeColor="text1"/>
        </w:rPr>
        <w:t>申购费率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对于A类基金份额，本基金对通过</w:t>
      </w:r>
      <w:r w:rsidRPr="00177B84" w:rsidR="00DF7515">
        <w:rPr>
          <w:rFonts w:asciiTheme="minorEastAsia" w:eastAsiaTheme="minorEastAsia" w:hAnsiTheme="minorEastAsia" w:hint="eastAsia"/>
          <w:color w:val="000000" w:themeColor="text1"/>
        </w:rPr>
        <w:t>本</w:t>
      </w:r>
      <w:r w:rsidRPr="00177B84" w:rsidR="00DF7515">
        <w:rPr>
          <w:rFonts w:asciiTheme="minorEastAsia" w:eastAsiaTheme="minorEastAsia" w:hAnsiTheme="minorEastAsia"/>
          <w:color w:val="000000" w:themeColor="text1"/>
        </w:rPr>
        <w:t>公司</w:t>
      </w:r>
      <w:r w:rsidRPr="00177B84">
        <w:rPr>
          <w:rFonts w:asciiTheme="minorEastAsia" w:eastAsiaTheme="minorEastAsia" w:hAnsiTheme="minorEastAsia"/>
          <w:color w:val="000000" w:themeColor="text1"/>
        </w:rPr>
        <w:t>直销中心申购的特定投资群体与除此之外的其他投资者实施差别的申购费率。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特定投资群体可通过本公司直销中心申购本基金A类份额。基金管理人可根据情况变更或增减特定投资群体申购本基金A类份额的销售机构，</w:t>
      </w:r>
      <w:r w:rsidRPr="00177B84" w:rsidR="008F518B">
        <w:rPr>
          <w:rFonts w:asciiTheme="minorEastAsia" w:eastAsiaTheme="minorEastAsia" w:hAnsiTheme="minorEastAsia" w:hint="eastAsia"/>
          <w:bCs/>
          <w:color w:val="000000" w:themeColor="text1"/>
          <w:szCs w:val="21"/>
        </w:rPr>
        <w:t>并在基金管理人网站公示</w:t>
      </w:r>
      <w:r w:rsidRPr="00177B84">
        <w:rPr>
          <w:rFonts w:asciiTheme="minorEastAsia" w:eastAsiaTheme="minorEastAsia" w:hAnsiTheme="minorEastAsia"/>
          <w:color w:val="000000" w:themeColor="text1"/>
        </w:rPr>
        <w:t>。</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通过基金管理人的直销中心申购本基金A类份额的特定投资群体申购费率见下表：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41073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Fonts w:asciiTheme="minorEastAsia" w:eastAsiaTheme="minorEastAsia" w:hAnsiTheme="minorEastAsia"/>
                <w:bCs/>
                <w:color w:val="000000" w:themeColor="text1"/>
                <w:kern w:val="0"/>
                <w:szCs w:val="21"/>
              </w:rPr>
              <w:t>申购金额M（元）（含申购费）</w:t>
            </w:r>
          </w:p>
        </w:tc>
        <w:tc>
          <w:tcPr>
            <w:tcW w:w="3735"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Style w:val="da"/>
                <w:rFonts w:asciiTheme="minorEastAsia" w:eastAsiaTheme="minorEastAsia" w:hAnsiTheme="minorEastAsia" w:hint="eastAsia"/>
                <w:color w:val="000000" w:themeColor="text1"/>
              </w:rPr>
              <w:t>A类份额</w:t>
            </w:r>
            <w:r w:rsidRPr="00177B84">
              <w:rPr>
                <w:rFonts w:asciiTheme="minorEastAsia" w:eastAsiaTheme="minorEastAsia" w:hAnsiTheme="minorEastAsia"/>
                <w:bCs/>
                <w:color w:val="000000" w:themeColor="text1"/>
                <w:kern w:val="0"/>
                <w:szCs w:val="21"/>
              </w:rPr>
              <w:t>申购费率</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M＜100万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0.06%</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100万≤M＜500万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0.03%</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M≥500万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1,000元/笔</w:t>
            </w:r>
          </w:p>
        </w:tc>
      </w:tr>
    </w:tbl>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其他投资者申购本基金A类份额的申购费率见下表：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41073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Fonts w:asciiTheme="minorEastAsia" w:eastAsiaTheme="minorEastAsia" w:hAnsiTheme="minorEastAsia"/>
                <w:bCs/>
                <w:color w:val="000000" w:themeColor="text1"/>
                <w:kern w:val="0"/>
                <w:szCs w:val="21"/>
              </w:rPr>
              <w:t>申购金额M（元）（含申购费）</w:t>
            </w:r>
          </w:p>
        </w:tc>
        <w:tc>
          <w:tcPr>
            <w:tcW w:w="3735"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Style w:val="da"/>
                <w:rFonts w:asciiTheme="minorEastAsia" w:eastAsiaTheme="minorEastAsia" w:hAnsiTheme="minorEastAsia" w:hint="eastAsia"/>
                <w:color w:val="000000" w:themeColor="text1"/>
              </w:rPr>
              <w:t>A类份额</w:t>
            </w:r>
            <w:r w:rsidRPr="00177B84">
              <w:rPr>
                <w:rFonts w:asciiTheme="minorEastAsia" w:eastAsiaTheme="minorEastAsia" w:hAnsiTheme="minorEastAsia"/>
                <w:bCs/>
                <w:color w:val="000000" w:themeColor="text1"/>
                <w:kern w:val="0"/>
                <w:szCs w:val="21"/>
              </w:rPr>
              <w:t>申购费率</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M＜100万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100万≤M＜500万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M≥500万</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1,000元/笔</w:t>
            </w:r>
          </w:p>
        </w:tc>
      </w:tr>
    </w:tbl>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在申购费按金额分档的情况下，如果投资者多次申购，申购费适用单笔申购金额所对应的费率。</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本基金C类基金份额不收取申购费用。</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3、赎回费率</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（1）本基金A类份额赎回费率见下表：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41073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kern w:val="0"/>
                <w:szCs w:val="21"/>
              </w:rPr>
              <w:t>持有时间（天）</w:t>
            </w:r>
          </w:p>
        </w:tc>
        <w:tc>
          <w:tcPr>
            <w:tcW w:w="3735"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Style w:val="da"/>
                <w:rFonts w:asciiTheme="minorEastAsia" w:eastAsiaTheme="minorEastAsia" w:hAnsiTheme="minorEastAsia" w:hint="eastAsia"/>
                <w:color w:val="000000" w:themeColor="text1"/>
              </w:rPr>
              <w:t>A类份额</w:t>
            </w:r>
            <w:r w:rsidRPr="00177B84">
              <w:rPr>
                <w:rFonts w:asciiTheme="minorEastAsia" w:eastAsiaTheme="minorEastAsia" w:hAnsiTheme="minorEastAsia"/>
                <w:color w:val="000000" w:themeColor="text1"/>
                <w:kern w:val="0"/>
                <w:szCs w:val="21"/>
              </w:rPr>
              <w:t>赎回费率</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7-29</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0.75%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30-89</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90-179</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180及以上</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w:t>
            </w:r>
          </w:p>
        </w:tc>
      </w:tr>
    </w:tbl>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投资者可将其持有的全部或部分A类基金份额赎回。赎回费用由赎回基金份额的基金份额持有人承担，在基金份额持有人赎回基金份额时收取。对持有期少于30天（不含）的A类基金份额持有人所收取赎回费用全额计入基金财产；对持有期在30天以上（含）且少于90天（不含）的A类基金份额持有人所收取赎回费用总额的75%计入基金财产；对持有期在90天以上（含）且少于180天（不含）的A类基金份额持有人所收取赎回费用总额的50%计入基金财产；其余用于支付市场推广、注册登记费和其他手续费。</w:t>
      </w:r>
    </w:p>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（2）本基金C类基金份额赎回费率见下表：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41073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Fonts w:asciiTheme="minorEastAsia" w:eastAsiaTheme="minorEastAsia" w:hAnsiTheme="minorEastAsia" w:cs="宋体" w:hint="eastAsia"/>
                <w:color w:val="000000" w:themeColor="text1"/>
                <w:kern w:val="0"/>
                <w:szCs w:val="21"/>
              </w:rPr>
              <w:t>持有时间(天)</w:t>
            </w:r>
          </w:p>
        </w:tc>
        <w:tc>
          <w:tcPr>
            <w:tcW w:w="3735" w:type="dxa"/>
          </w:tcPr>
          <w:p w:rsidR="00801ACA" w:rsidRPr="00177B84" w:rsidP="00410738">
            <w:pPr>
              <w:widowControl/>
              <w:snapToGrid w:val="0"/>
              <w:spacing w:line="360" w:lineRule="auto"/>
              <w:jc w:val="center"/>
              <w:rPr>
                <w:rFonts w:asciiTheme="minorEastAsia" w:eastAsiaTheme="minorEastAsia" w:hAnsiTheme="minorEastAsia"/>
                <w:color w:val="000000" w:themeColor="text1"/>
                <w:kern w:val="0"/>
                <w:szCs w:val="21"/>
              </w:rPr>
            </w:pPr>
            <w:r w:rsidRPr="00177B84">
              <w:rPr>
                <w:rFonts w:asciiTheme="minorEastAsia" w:eastAsiaTheme="minorEastAsia" w:hAnsiTheme="minorEastAsia" w:cs="宋体" w:hint="eastAsia"/>
                <w:color w:val="000000" w:themeColor="text1"/>
                <w:kern w:val="0"/>
                <w:szCs w:val="21"/>
              </w:rPr>
              <w:t>C类份额赎回费率</w:t>
            </w:r>
          </w:p>
        </w:tc>
      </w:tr>
      <w:tr>
        <w:tblPrEx>
          <w:tblW w:w="0" w:type="auto"/>
          <w:jc w:val="center"/>
          <w:tblLayout w:type="fixed"/>
          <w:tblLook w:val="01E0"/>
        </w:tblPrEx>
        <w:trPr>
          <w:jc w:val="center"/>
        </w:trPr>
        <w:tc>
          <w:tcPr>
            <w:tcW w:w="3806" w:type="dxa"/>
            <w:vAlign w:val="center"/>
          </w:tcPr>
          <w:p w:rsidR="0080119C" w:rsidRPr="00177B84" w:rsidP="0080119C">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w:t>
            </w:r>
          </w:p>
        </w:tc>
        <w:tc>
          <w:tcPr>
            <w:tcW w:w="3735" w:type="dxa"/>
            <w:vAlign w:val="center"/>
          </w:tcPr>
          <w:p w:rsidR="0080119C" w:rsidRPr="00177B84" w:rsidP="0080119C">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w:t>
            </w:r>
            <w:r w:rsidRPr="00177B84" w:rsidR="00B2727D">
              <w:rPr>
                <w:rFonts w:asciiTheme="minorEastAsia" w:eastAsiaTheme="minorEastAsia" w:hAnsiTheme="minorEastAsia"/>
                <w:color w:val="000000" w:themeColor="text1"/>
              </w:rPr>
              <w:t>-29</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0.5%</w:t>
            </w:r>
          </w:p>
        </w:tc>
      </w:tr>
      <w:tr>
        <w:tblPrEx>
          <w:tblW w:w="0" w:type="auto"/>
          <w:jc w:val="center"/>
          <w:tblLayout w:type="fixed"/>
          <w:tblLook w:val="01E0"/>
        </w:tblPrEx>
        <w:trPr>
          <w:jc w:val="center"/>
        </w:trPr>
        <w:tc>
          <w:tcPr>
            <w:tcW w:w="3806"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30及以上</w:t>
            </w:r>
          </w:p>
        </w:tc>
        <w:tc>
          <w:tcPr>
            <w:tcW w:w="3735" w:type="dxa"/>
            <w:vAlign w:val="center"/>
          </w:tcPr>
          <w:p w:rsidR="00AD3EC7"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w:t>
            </w:r>
          </w:p>
        </w:tc>
      </w:tr>
    </w:tbl>
    <w:p w:rsidR="00801AC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投资者可将其持有的全部或部分C类基金份额赎回。赎回费用由赎回基金份额的基金份额持有人承担，在基金份额持有人赎回基金份额时收取。对持有期少于30天（不含）的C类基金份额持有人所收取赎回费用全额计入基金财产。</w:t>
      </w:r>
    </w:p>
    <w:p w:rsidR="008B64F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w:t>
      </w:r>
      <w:r w:rsidRPr="00177B84">
        <w:rPr>
          <w:rFonts w:asciiTheme="minorEastAsia" w:eastAsiaTheme="minorEastAsia" w:hAnsiTheme="minorEastAsia" w:hint="eastAsia"/>
          <w:color w:val="000000" w:themeColor="text1"/>
        </w:rPr>
        <w:t>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指定媒介上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优惠活动。</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32" w:name="_Toc332373507"/>
      <w:r w:rsidRPr="00177B84">
        <w:rPr>
          <w:rFonts w:asciiTheme="minorEastAsia" w:eastAsiaTheme="minorEastAsia" w:hAnsiTheme="minorEastAsia"/>
          <w:color w:val="000000" w:themeColor="text1"/>
        </w:rPr>
        <w:t>（</w:t>
      </w:r>
      <w:r w:rsidRPr="00177B84" w:rsidR="00214A68">
        <w:rPr>
          <w:rFonts w:asciiTheme="minorEastAsia" w:eastAsiaTheme="minorEastAsia" w:hAnsiTheme="minorEastAsia"/>
          <w:color w:val="000000" w:themeColor="text1"/>
        </w:rPr>
        <w:t>八</w:t>
      </w:r>
      <w:r w:rsidRPr="00177B84">
        <w:rPr>
          <w:rFonts w:asciiTheme="minorEastAsia" w:eastAsiaTheme="minorEastAsia" w:hAnsiTheme="minorEastAsia"/>
          <w:color w:val="000000" w:themeColor="text1"/>
        </w:rPr>
        <w:t>）申购和赎回的数额和价格</w:t>
      </w:r>
      <w:bookmarkEnd w:id="32"/>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1、申购和赎回数额、余额的处理方式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申购的有效份额为按实际确认的申购金额在扣除相应的费用后，以申购当日基金份额净值为基准计算。本基金分为A类和C类两类基金份额，两类基金份额单独设置基金代码，分别计算和公告基金份额净值。申购涉及金额、份额的计算结果保留到小数点后两位，小数点后两位以后的部分四舍五入，由此产生的误差计入基金财产。</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赎回金额的处理方式：赎回金额为按实际确认的有效赎回份额乘以申请当日该类份额的基金份额净值为基准并扣除相应的费用后的余额，赎回费用、赎回金额的单位为人民币元，计算结果保留到小数点后两位，小数点后两位以后的部分四舍五入，由此产生的误差计入基金财产。</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33" w:name="_Toc332373508"/>
      <w:r w:rsidRPr="00177B84">
        <w:rPr>
          <w:rFonts w:asciiTheme="minorEastAsia" w:eastAsiaTheme="minorEastAsia" w:hAnsiTheme="minorEastAsia"/>
          <w:color w:val="000000" w:themeColor="text1"/>
        </w:rPr>
        <w:t>2、申购份额的计算</w:t>
      </w:r>
      <w:bookmarkEnd w:id="33"/>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（1）若投资人选择A类基金份额，则申购份额的计算公式如下：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净申购金额=申购金额/（1+申购费率）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（注：对于500万（含）以上适用固定金额申购费的申购，净申购金额＝申购金额－固定申购费金额）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申购费用=申购金额-净申购金额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申购份额=净申购金额/T日A类基金份额净值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例：某投资人（非特定投资群体）投资100,000元申购本基金A类份额，申购费率为0.6%，假设申购当日A类份额基金份额净值为1.0400元，则其可得到的申购份额为：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净申购金额=100,000/（1+0.6%）=99,403.58元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申购费用=100,000-99,403.58=596.42元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申购份额=99,403.58/1.0400=95,580.37份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例：某投资人（特定投资群体）通过本管理人的直销中心投资100,000元申购本基金A类份额，申购费率为0.06%，假设申购当日A类份额基金份额净值为1.0400元，则其可得到的申购份额为：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净申购金额=100,000/（1+0.06%）=99,940.04元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申购费用=100,000-99,940.04=59.96元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申购份额=99,940.04/1.0400=96,096.19份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（2）若投资人选择C类基金份额，则申购份额的计算公式如下：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申购份额=申购金额/T日C类基金份额净值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例：某投资人投资100,000元申购本基金C类基金份额，假设申购当日C类份额基金份额净值为1.0400元，则其可得到的申购份额为：</w:t>
      </w:r>
    </w:p>
    <w:p w:rsidR="00AF07F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申购份额=100,000/1.0400=96,153.85份</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3、赎回金额的计算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赎回金额的计算方法如下：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赎回费用=赎回份额×T日该类基金份额净值×该类份额赎回费率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赎回金额=赎回份额×T日该类基金份额净值-赎回费用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例：某投资人赎回10,000份A类基金份额，假设该笔份额持有期限为100天，则对应的赎回费率为0.5%，假设赎回当日A类份额基金份额净值是1.0160元，则其可得到的赎回金额为：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赎回费用=10,000×1.0160×0.5%＝50.80元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赎回金额=10,000×1.0160-50.80＝10,109.20元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即：投资人赎回本基金10,000份A类基金份额，假设赎回当日A类份额基金份额净值是1.0160元，则其可得到的赎回金额为10,109.20元。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例：某投资人赎回10,000份C类基金份额，假设该笔份额持有期限为10天，则对应的赎回费率为0.50%，假设赎回当日C类份额基金份额净值是1.0160元，则其可得到的赎回金额为：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赎回费用=10,000×1.0160×0.50%＝50.80元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赎回金额=10,000×1.0160-50.80＝10,109.20元</w:t>
      </w:r>
    </w:p>
    <w:p w:rsidR="00D108B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即：投资人赎回本基金10,000份C类基金份额，假设赎回当日C类份额基金份额净值是1.0160元，则其可得到的赎回金额为10,109.20元。</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34" w:name="_Toc332373509"/>
      <w:r w:rsidRPr="00177B84">
        <w:rPr>
          <w:rFonts w:asciiTheme="minorEastAsia" w:eastAsiaTheme="minorEastAsia" w:hAnsiTheme="minorEastAsia"/>
          <w:color w:val="000000" w:themeColor="text1"/>
        </w:rPr>
        <w:t>4、基金份额净值的计算公式</w:t>
      </w:r>
      <w:bookmarkEnd w:id="34"/>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计算日该类基金份额净值=计算日该类基金资产净值/计算日该类基金总份额。</w:t>
      </w:r>
    </w:p>
    <w:p w:rsidR="001F3F9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份额净值的计算，保留到小数点后4位，小数点后第5位四舍五入，由此产生的收益或损失由基金财产承担。T日的基金份额净值在当天收市后计算，并在T+1日内公告。遇特殊情况，基金份额净值可以适当延迟计算并公告。</w:t>
      </w:r>
    </w:p>
    <w:p w:rsidR="00D136C3" w:rsidRPr="00177B84" w:rsidP="002C5976">
      <w:pPr>
        <w:spacing w:line="360" w:lineRule="auto"/>
        <w:ind w:firstLine="420" w:firstLineChars="200"/>
        <w:rPr>
          <w:rFonts w:asciiTheme="minorEastAsia" w:eastAsiaTheme="minorEastAsia" w:hAnsiTheme="minorEastAsia"/>
          <w:color w:val="000000" w:themeColor="text1"/>
        </w:rPr>
      </w:pPr>
      <w:bookmarkStart w:id="35" w:name="_Toc332373510"/>
      <w:r w:rsidRPr="00177B84">
        <w:rPr>
          <w:rFonts w:asciiTheme="minorEastAsia" w:eastAsiaTheme="minorEastAsia" w:hAnsiTheme="minorEastAsia"/>
          <w:color w:val="000000" w:themeColor="text1"/>
        </w:rPr>
        <w:t>（</w:t>
      </w:r>
      <w:r w:rsidRPr="00177B84" w:rsidR="00214A68">
        <w:rPr>
          <w:rFonts w:asciiTheme="minorEastAsia" w:eastAsiaTheme="minorEastAsia" w:hAnsiTheme="minorEastAsia"/>
          <w:color w:val="000000" w:themeColor="text1"/>
        </w:rPr>
        <w:t>九</w:t>
      </w:r>
      <w:r w:rsidRPr="00177B84">
        <w:rPr>
          <w:rFonts w:asciiTheme="minorEastAsia" w:eastAsiaTheme="minorEastAsia" w:hAnsiTheme="minorEastAsia"/>
          <w:color w:val="000000" w:themeColor="text1"/>
        </w:rPr>
        <w:t>）申购和赎回的登记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正常情况下，投资者T日申购基金成功后，登记机构在T+1日为投资者增加权益并办理登记手续，投资人自T+2日起（含该日）有权赎回该部分基金份额。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基金份额持有人T日赎回基金成功后，正常情况下，登记机构在T+1日为其办理扣除权益的登记手续。</w:t>
      </w:r>
    </w:p>
    <w:bookmarkEnd w:id="35"/>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在不违反法律法规的前提下，登记机构可以对上述登记办理时间进行调整，基金管理人应于开始实施前依照《信息披露办法》的有关规定在指定媒介上公告。</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36" w:name="_Toc332373511"/>
      <w:r w:rsidRPr="00177B84">
        <w:rPr>
          <w:rFonts w:asciiTheme="minorEastAsia" w:eastAsiaTheme="minorEastAsia" w:hAnsiTheme="minorEastAsia"/>
          <w:color w:val="000000" w:themeColor="text1"/>
        </w:rPr>
        <w:t>（</w:t>
      </w:r>
      <w:r w:rsidRPr="00177B84" w:rsidR="00214A68">
        <w:rPr>
          <w:rFonts w:asciiTheme="minorEastAsia" w:eastAsiaTheme="minorEastAsia" w:hAnsiTheme="minorEastAsia"/>
          <w:color w:val="000000" w:themeColor="text1"/>
        </w:rPr>
        <w:t>十</w:t>
      </w:r>
      <w:r w:rsidRPr="00177B84">
        <w:rPr>
          <w:rFonts w:asciiTheme="minorEastAsia" w:eastAsiaTheme="minorEastAsia" w:hAnsiTheme="minorEastAsia"/>
          <w:color w:val="000000" w:themeColor="text1"/>
        </w:rPr>
        <w:t>）巨额赎回的认定及处理方式</w:t>
      </w:r>
      <w:bookmarkEnd w:id="36"/>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1、巨额赎回的认定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2、巨额赎回的处理方式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当基金出现巨额赎回时，基金管理人可以根据基金当时的资产组合状况决定全额赎回或部分延期赎回。</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（1）全额赎回：当基金管理人认为有能力支付投资人的全部赎回申请时，按正常赎回程序执行。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若本基金发生巨额赎回且单个基金份额持有人的赎回申请超过上一开放日基金总份额</w:t>
      </w:r>
      <w:r w:rsidRPr="00177B84">
        <w:rPr>
          <w:rFonts w:asciiTheme="minorEastAsia" w:eastAsiaTheme="minorEastAsia" w:hAnsiTheme="minorEastAsia"/>
          <w:color w:val="000000" w:themeColor="text1"/>
        </w:rPr>
        <w:t>10%</w:t>
      </w:r>
      <w:r w:rsidRPr="00177B84">
        <w:rPr>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的，基金管理人有权对该单个基金份额持有人超出该比例的赎回申请实施延期办理，对该单个基金份额持有人剩余赎回申请与其他账户赎回申请按前述条款处理。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（3）暂停赎回：连续2日以上(含本数)发生巨额赎回，如基金管理人认为有必要，可暂停接受基金的赎回申请；已经接受的赎回申请可以延缓支付赎回款项，但不得超过20个工作日，并应当在指定媒介上进行公告。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3、巨额赎回的公告</w:t>
      </w:r>
    </w:p>
    <w:p w:rsidR="00294DE8" w:rsidRPr="00177B84" w:rsidP="002C5976">
      <w:pPr>
        <w:spacing w:line="360" w:lineRule="auto"/>
        <w:ind w:firstLine="420" w:firstLineChars="200"/>
        <w:rPr>
          <w:rFonts w:asciiTheme="minorEastAsia" w:eastAsiaTheme="minorEastAsia" w:hAnsiTheme="minorEastAsia"/>
          <w:color w:val="000000" w:themeColor="text1"/>
        </w:rPr>
      </w:pPr>
      <w:bookmarkStart w:id="37" w:name="_Toc332373514"/>
      <w:r w:rsidRPr="00177B84">
        <w:rPr>
          <w:rFonts w:asciiTheme="minorEastAsia" w:eastAsiaTheme="minorEastAsia" w:hAnsiTheme="minorEastAsia"/>
          <w:color w:val="000000" w:themeColor="text1"/>
        </w:rPr>
        <w:t>当发生上述延期赎回并延期办理时，基金管理人应当通过邮寄、传真或者招募说明书规定的其他方式在3个交易日内通知基金份额持有人，说明有关处理方法，</w:t>
      </w:r>
      <w:r w:rsidRPr="00177B84" w:rsidR="008F518B">
        <w:rPr>
          <w:rFonts w:asciiTheme="minorEastAsia" w:eastAsiaTheme="minorEastAsia" w:hAnsiTheme="minorEastAsia" w:hint="eastAsia"/>
          <w:bCs/>
          <w:color w:val="000000" w:themeColor="text1"/>
          <w:szCs w:val="21"/>
        </w:rPr>
        <w:t>并在2日内</w:t>
      </w:r>
      <w:r w:rsidRPr="00177B84">
        <w:rPr>
          <w:rFonts w:asciiTheme="minorEastAsia" w:eastAsiaTheme="minorEastAsia" w:hAnsiTheme="minorEastAsia"/>
          <w:color w:val="000000" w:themeColor="text1"/>
        </w:rPr>
        <w:t>在指定媒介上刊登公告。</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（十</w:t>
      </w:r>
      <w:r w:rsidRPr="00177B84" w:rsidR="00090469">
        <w:rPr>
          <w:rFonts w:asciiTheme="minorEastAsia" w:eastAsiaTheme="minorEastAsia" w:hAnsiTheme="minorEastAsia"/>
          <w:color w:val="000000" w:themeColor="text1"/>
        </w:rPr>
        <w:t>一</w:t>
      </w:r>
      <w:r w:rsidRPr="00177B84">
        <w:rPr>
          <w:rFonts w:asciiTheme="minorEastAsia" w:eastAsiaTheme="minorEastAsia" w:hAnsiTheme="minorEastAsia"/>
          <w:color w:val="000000" w:themeColor="text1"/>
        </w:rPr>
        <w:t>）拒绝或暂停申购、暂停赎回</w:t>
      </w:r>
      <w:r w:rsidRPr="00177B84" w:rsidR="000D3DAB">
        <w:rPr>
          <w:rFonts w:asciiTheme="minorEastAsia" w:eastAsiaTheme="minorEastAsia" w:hAnsiTheme="minorEastAsia"/>
          <w:color w:val="000000" w:themeColor="text1"/>
        </w:rPr>
        <w:t>或延缓支付赎回款项</w:t>
      </w:r>
      <w:r w:rsidRPr="00177B84">
        <w:rPr>
          <w:rFonts w:asciiTheme="minorEastAsia" w:eastAsiaTheme="minorEastAsia" w:hAnsiTheme="minorEastAsia"/>
          <w:color w:val="000000" w:themeColor="text1"/>
        </w:rPr>
        <w:t>的情形及处理</w:t>
      </w:r>
      <w:bookmarkEnd w:id="37"/>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1、发生下列情况时，基金管理人可拒绝或暂停接受投资人的申购申请：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（1）因不可抗力导致基金无法正常运作。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（2）发生基金合同规定的暂停基金资产估值情况时。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（3）本基金投资的证券交易场所停止交易。</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（4）基金管理人接受某笔或某些申购申请可能会影响或损害现有基金份额持有人利益时。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（5）基金资产规模过大，使基金管理人无法找到合适的投资品种，或其他可能对基金业绩产生负面影响，或基金管理人认定的其他损害现有基金份额持有人利益的情形。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（7）基金管理人接受某笔或者某些申购申请有可能导致单一投资者持有基金份额的比例达到或者超过50%，或者变相规避50%集中度的情形时。</w:t>
      </w:r>
    </w:p>
    <w:p w:rsidR="00146355" w:rsidRPr="00177B84" w:rsidP="00146355">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color w:val="000000" w:themeColor="text1"/>
        </w:rPr>
        <w:t>8</w:t>
      </w:r>
      <w:r w:rsidRPr="00177B84">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hint="eastAsia"/>
          <w:color w:val="000000" w:themeColor="text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146355" w:rsidRPr="00177B84" w:rsidP="00146355">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color w:val="000000" w:themeColor="text1"/>
        </w:rPr>
        <w:t>9</w:t>
      </w:r>
      <w:r w:rsidRPr="00177B84">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hint="eastAsia"/>
          <w:color w:val="000000" w:themeColor="text1"/>
        </w:rPr>
        <w:t>当前一估值日基金资产净值</w:t>
      </w:r>
      <w:r w:rsidRPr="00177B84" w:rsidR="00AB6EF2">
        <w:rPr>
          <w:rFonts w:asciiTheme="minorEastAsia" w:eastAsiaTheme="minorEastAsia" w:hAnsiTheme="minorEastAsia"/>
          <w:color w:val="000000" w:themeColor="text1"/>
        </w:rPr>
        <w:t>50%</w:t>
      </w:r>
      <w:r w:rsidRPr="00177B84" w:rsidR="00AB6EF2">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以上的资产出现无可参考的活跃市场价格且采用估值技术仍导致公允价值存在重大不确定性时，经与基金托管人协商确认后，基金管理人应当采取暂停接受基金申购申请的措施。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146355">
        <w:rPr>
          <w:rFonts w:asciiTheme="minorEastAsia" w:eastAsiaTheme="minorEastAsia" w:hAnsiTheme="minorEastAsia"/>
          <w:color w:val="000000" w:themeColor="text1"/>
        </w:rPr>
        <w:t>10</w:t>
      </w:r>
      <w:r w:rsidRPr="00177B84">
        <w:rPr>
          <w:rFonts w:asciiTheme="minorEastAsia" w:eastAsiaTheme="minorEastAsia" w:hAnsiTheme="minorEastAsia"/>
          <w:color w:val="000000" w:themeColor="text1"/>
        </w:rPr>
        <w:t>）法律法规规定或中国证监会认定的其他情形。</w:t>
      </w:r>
    </w:p>
    <w:p w:rsidR="00A22008"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发生上述第（1）、（2）、（3）、（5）、（6）、（8）</w:t>
      </w:r>
      <w:r w:rsidRPr="00177B84" w:rsidR="00146355">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color w:val="000000" w:themeColor="text1"/>
        </w:rPr>
        <w:t>9</w:t>
      </w:r>
      <w:r w:rsidRPr="00177B84" w:rsidR="00AB6EF2">
        <w:rPr>
          <w:rFonts w:asciiTheme="minorEastAsia" w:eastAsiaTheme="minorEastAsia" w:hAnsiTheme="minorEastAsia" w:hint="eastAsia"/>
          <w:color w:val="000000" w:themeColor="text1"/>
        </w:rPr>
        <w:t>）、（</w:t>
      </w:r>
      <w:r w:rsidRPr="00177B84" w:rsidR="00AB6EF2">
        <w:rPr>
          <w:rFonts w:asciiTheme="minorEastAsia" w:eastAsiaTheme="minorEastAsia" w:hAnsiTheme="minorEastAsia"/>
          <w:color w:val="000000" w:themeColor="text1"/>
        </w:rPr>
        <w:t>10</w:t>
      </w:r>
      <w:r w:rsidRPr="00177B84" w:rsidR="00AB6EF2">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2、发生下列情形时，基金管理人可暂停接受投资人的赎回申请或延缓支付赎回款项：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（1）因不可抗力导致基金管理人不能支付赎回款项。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（2）发生基金合同规定的暂停基金资产估值情况时。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（3）本基金投资的证券交易场所停止交易。</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（4）连续两个或两个以上开放日发生巨额赎回。</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（5）本基金的资产组合中的重要部分发生暂停交易或其他重大事件，继续接受赎回可能会影响或损害基金份额持有人利益时。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（7）继续接受赎回申请将损害现有基金份额持有人利益的情形时，可暂停接受投资人的赎回申请。</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8）当前一估值日基金资产净值50%</w:t>
      </w:r>
      <w:r w:rsidRPr="00177B84">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以上的资产出现无可参考的活跃市场价格且采用估值技术仍导致公允价值存在重大不确定性时，经与基金托管人协商确认后，基金管理人应当采取延缓</w:t>
      </w:r>
      <w:r w:rsidRPr="00177B84">
        <w:rPr>
          <w:rFonts w:asciiTheme="minorEastAsia" w:eastAsiaTheme="minorEastAsia" w:hAnsiTheme="minorEastAsia"/>
          <w:color w:val="000000" w:themeColor="text1"/>
        </w:rPr>
        <w:t>支付</w:t>
      </w:r>
      <w:r w:rsidRPr="00177B84">
        <w:rPr>
          <w:rFonts w:asciiTheme="minorEastAsia" w:eastAsiaTheme="minorEastAsia" w:hAnsiTheme="minorEastAsia" w:hint="eastAsia"/>
          <w:color w:val="000000" w:themeColor="text1"/>
        </w:rPr>
        <w:t>赎回款项</w:t>
      </w:r>
      <w:r w:rsidRPr="00177B84">
        <w:rPr>
          <w:rFonts w:asciiTheme="minorEastAsia" w:eastAsiaTheme="minorEastAsia" w:hAnsiTheme="minorEastAsia"/>
          <w:color w:val="000000" w:themeColor="text1"/>
        </w:rPr>
        <w:t>或</w:t>
      </w:r>
      <w:r w:rsidRPr="00177B84">
        <w:rPr>
          <w:rFonts w:asciiTheme="minorEastAsia" w:eastAsiaTheme="minorEastAsia" w:hAnsiTheme="minorEastAsia" w:hint="eastAsia"/>
          <w:color w:val="000000" w:themeColor="text1"/>
        </w:rPr>
        <w:t>暂停接受基金赎回申请的措施。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0C330C">
        <w:rPr>
          <w:rFonts w:asciiTheme="minorEastAsia" w:eastAsiaTheme="minorEastAsia" w:hAnsiTheme="minorEastAsia"/>
          <w:color w:val="000000" w:themeColor="text1"/>
        </w:rPr>
        <w:t>9</w:t>
      </w:r>
      <w:r w:rsidRPr="00177B84">
        <w:rPr>
          <w:rFonts w:asciiTheme="minorEastAsia" w:eastAsiaTheme="minorEastAsia" w:hAnsiTheme="minorEastAsia"/>
          <w:color w:val="000000" w:themeColor="text1"/>
        </w:rPr>
        <w:t>）法律法规规定或中国证监会认定的其他情形。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3、暂停申购或赎回的公告和重新开放申购或赎回的公告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（1）发生上述暂停申购或赎回情况的，基金管理人应在规定期限内在指定媒介上刊登暂停公告。</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38" w:name="_Toc332373516"/>
      <w:bookmarkStart w:id="39" w:name="_Toc103006838"/>
      <w:r w:rsidRPr="00177B84">
        <w:rPr>
          <w:rFonts w:asciiTheme="minorEastAsia" w:eastAsiaTheme="minorEastAsia" w:hAnsiTheme="minorEastAsia"/>
          <w:color w:val="000000" w:themeColor="text1"/>
          <w:sz w:val="30"/>
        </w:rPr>
        <w:t>九、</w:t>
      </w:r>
      <w:bookmarkEnd w:id="38"/>
      <w:r w:rsidRPr="00177B84">
        <w:rPr>
          <w:rFonts w:asciiTheme="minorEastAsia" w:eastAsiaTheme="minorEastAsia" w:hAnsiTheme="minorEastAsia" w:hint="eastAsia"/>
          <w:color w:val="000000" w:themeColor="text1"/>
          <w:sz w:val="30"/>
        </w:rPr>
        <w:t>基金转换、基金份额转让和定期定额投资计划</w:t>
      </w:r>
      <w:bookmarkEnd w:id="39"/>
    </w:p>
    <w:p w:rsidR="003875A4" w:rsidRPr="00177B84" w:rsidP="002C5976">
      <w:pPr>
        <w:spacing w:line="360" w:lineRule="auto"/>
        <w:ind w:firstLine="420" w:firstLineChars="200"/>
        <w:rPr>
          <w:rFonts w:asciiTheme="minorEastAsia" w:eastAsiaTheme="minorEastAsia" w:hAnsiTheme="minorEastAsia"/>
          <w:color w:val="000000" w:themeColor="text1"/>
        </w:rPr>
      </w:pPr>
      <w:bookmarkStart w:id="40" w:name="_Toc332373517"/>
      <w:r w:rsidRPr="00177B84">
        <w:rPr>
          <w:rFonts w:asciiTheme="minorEastAsia" w:eastAsiaTheme="minorEastAsia" w:hAnsiTheme="minorEastAsia"/>
          <w:color w:val="000000" w:themeColor="text1"/>
        </w:rPr>
        <w:t>（一）基金转换</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1、基金转换开始日及时间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本基金已于2017年4月10日开始办理基金转换业务。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577F8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投资者需在转出基金和转入基金均有交易的当日，方可办理基金转换业务。</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2、基金转换的原则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（1）基金转换只能在同一销售机构进行。转换的两只基金必须都是该销售机构销售的同一基金管理人管理的、在同一注册登记机构注册登记的基金。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（2）基金转换以份额为单位进行申请。投资者可以发起多次基金转换业务，基金转换费用按每笔申请单独计算。转换费用以人民币元为单位，计算结果按照四舍五入方法，保留小数点后两位。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（3）基金转换采取未知价法，即基金的转换价格以转换申请受理当日各转出、转入基金的份额净值为基准进行计算。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（4）基金转换后，转入的基金份额的持有期将自转入的基金份额被确认之日起重新开始计算。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（5）投资者办理基金转换业务时，转出方的基金必须处于可赎回状态，转入方的基金必须处于可申购状态。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（6）转换业务遵循“先进先出”的业务规则，即份额注册日期在前的先转换出，份额注册日期在后的后转换出，如果转换申请当日，同时有赎回申请的情况下，则遵循先赎回后转换的处理原则。</w:t>
      </w:r>
    </w:p>
    <w:p w:rsidR="00577F8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（7）转入本基金的份额计算结果保留到小数点后两位，小数点后两位以后的部分四舍五入，由此误差产生的损失由基金财产承担，产生的收益归基金财产所有。</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3、基金转换的程序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（1）基金转换的申请方式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基金投资者必须根据基金管理人和基金销售机构规定的手续，在开放日的业务办理时间提出转换的申请。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提交基金转换申请时，账户中必须有足够可用的转出基金份额余额。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（2）基金转换申请的确认</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4、基金转换的数额限制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持有人可将其全部或部分基金份额转换成另一只基金，每类基金份额单笔转出申请不得少于1份（如该账户在该销售机构托管的该类基金份额余额不足1份，则必须一次性赎回或转出该类基金全部份额）；若某笔转换导致投资者在该销售机构托管的该类基金份额余额不足1份时，基金管理人有权将投资者在该销售机构托管的该类基金剩余份额一次性全部赎回。</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本基金管理人有权根据保护基金份额持有人利益的原则全部或部分拒绝转换转入本基金的申请。</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5、基金转换费率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基金转换费由基金份额持有人承担，由转出基金赎回费用及基金申购补差费用构成，其中赎回费用按照</w:t>
      </w:r>
      <w:r w:rsidRPr="00177B84" w:rsidR="00DF7515">
        <w:rPr>
          <w:rFonts w:asciiTheme="minorEastAsia" w:eastAsiaTheme="minorEastAsia" w:hAnsiTheme="minorEastAsia" w:hint="eastAsia"/>
          <w:color w:val="000000" w:themeColor="text1"/>
        </w:rPr>
        <w:t>各</w:t>
      </w:r>
      <w:r w:rsidRPr="00177B84" w:rsidR="00DF7515">
        <w:rPr>
          <w:rFonts w:asciiTheme="minorEastAsia" w:eastAsiaTheme="minorEastAsia" w:hAnsiTheme="minorEastAsia"/>
          <w:color w:val="000000" w:themeColor="text1"/>
        </w:rPr>
        <w:t>基金的</w:t>
      </w:r>
      <w:r w:rsidRPr="00177B84">
        <w:rPr>
          <w:rFonts w:asciiTheme="minorEastAsia" w:eastAsiaTheme="minorEastAsia" w:hAnsiTheme="minorEastAsia"/>
          <w:color w:val="000000" w:themeColor="text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77F8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可以在不违反法律法规规定及基金合同约定的情形下根据市场情况制定基金促销计划，针对基金投资人定期和不定期地开展基金促销活动。在基金促销活动期间，基金管理人可以适当调低基金销售费率，或针对特定渠道、特定投资群体开展有差别的优惠活动。</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6、基金转换份额的计算方式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计算公式：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A＝［B×C×(1-D)/（1+G）+F］/E</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H＝B×C×D</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J＝[B×C×(1-D)/(1+G)]×G</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其中，A为转入的基金份额；B为转出的基金份额；C为转换申请当日转出基金的基金份额净值；D为转出基金的对应赎回费率；E为转换申请当日转入基金的基金份额净值；</w:t>
      </w:r>
      <w:r w:rsidRPr="00177B84" w:rsidR="00B246E6">
        <w:rPr>
          <w:rFonts w:asciiTheme="minorEastAsia" w:eastAsiaTheme="minorEastAsia" w:hAnsiTheme="minorEastAsia" w:hint="eastAsia"/>
          <w:color w:val="000000" w:themeColor="text1"/>
        </w:rPr>
        <w:t>F为货币市场基金全部转出时注册登记机构已支付的未付收益</w:t>
      </w:r>
      <w:r w:rsidRPr="00177B84">
        <w:rPr>
          <w:rFonts w:asciiTheme="minorEastAsia" w:eastAsiaTheme="minorEastAsia" w:hAnsiTheme="minorEastAsia"/>
          <w:color w:val="000000" w:themeColor="text1"/>
        </w:rPr>
        <w:t>；G为对应的申购补差费率；H为转出基金赎回费；J为申购补差费。</w:t>
      </w:r>
    </w:p>
    <w:p w:rsidR="00B246E6"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说明：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（1）基金转换费用由转出基金赎回费用及基金申购补差费用两部分构成。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w:t>
      </w:r>
      <w:r w:rsidRPr="00177B84" w:rsidR="008214B7">
        <w:rPr>
          <w:rFonts w:asciiTheme="minorEastAsia" w:eastAsiaTheme="minorEastAsia" w:hAnsiTheme="minorEastAsia" w:hint="eastAsia"/>
          <w:color w:val="000000" w:themeColor="text1"/>
          <w:kern w:val="0"/>
          <w:szCs w:val="21"/>
        </w:rPr>
        <w:t>上述投资群体之外的</w:t>
      </w:r>
      <w:r w:rsidRPr="00177B84">
        <w:rPr>
          <w:rFonts w:asciiTheme="minorEastAsia" w:eastAsiaTheme="minorEastAsia" w:hAnsiTheme="minorEastAsia"/>
          <w:color w:val="000000" w:themeColor="text1"/>
        </w:rPr>
        <w:t>其他投资者申购费为比较标准）。申购补差费用按照转换金额对应的转出基金与转入基金的申购费率差额进行补差，具体收取情况视每次转换时两只基金的申购费率的差异情况而定并见相关公告。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（4）投资者可以发起多次基金转换业务，基金转换费用按每笔申请单独计算。转换费用以人民币元为单位，计算结果按照四舍五入方法，保留小数点后两位。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例：假设某持有人（</w:t>
      </w:r>
      <w:r w:rsidRPr="00177B84" w:rsidR="00792D44">
        <w:rPr>
          <w:rFonts w:asciiTheme="minorEastAsia" w:eastAsiaTheme="minorEastAsia" w:hAnsiTheme="minorEastAsia"/>
          <w:color w:val="000000" w:themeColor="text1"/>
        </w:rPr>
        <w:t>其他投资者</w:t>
      </w:r>
      <w:r w:rsidRPr="00177B84">
        <w:rPr>
          <w:rFonts w:asciiTheme="minorEastAsia" w:eastAsiaTheme="minorEastAsia" w:hAnsiTheme="minorEastAsia"/>
          <w:color w:val="000000" w:themeColor="text1"/>
        </w:rPr>
        <w:t>）持有本基金A类份额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1.4%。转换份额计算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转换金额=转出基金申请份额×转出基金份额净值=10,000×1.1000=11,000.00元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转出基金赎回费=转换金额×转出基金赎回费率=11,000.00×0.5%=55元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申购补差费=（转换金额-转出基金赎回费）×申购补差费率÷（1＋申购补差费率）=（11,000.00-55)×1.4%÷(1+1.4%)=151.11元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转换费=转出基金赎回费+申购补差费=55+151.11=206.11元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转入金额=转换金额-转换费=11,000.00-206.11=10,793.89元</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转入份额=转入金额÷转入基金份额净值=10,793.89÷1.020=10,582.25份</w:t>
      </w:r>
    </w:p>
    <w:p w:rsidR="0005229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7、基金转换的注册登记</w:t>
      </w:r>
    </w:p>
    <w:p w:rsidR="00E64DD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投资者T日申请基金转换成功后，注册登记机构将在T＋1工作日为投资者办理减少转出基金份额、增加转入基金份额的权益登记手续，一般情况下，投资者自T＋2工作日起有权赎回转入部分的基金份额。</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8、基金转换与巨额赎回</w:t>
      </w:r>
    </w:p>
    <w:p w:rsidR="00F72C4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3266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9、拒绝或暂停基金转换的情形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发生下列情况时，基金管理人可拒绝或暂停接受基金投资者的转换申请：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（1）因不可抗力导致基金无法正常运作或导致基金管理人不能支付转换转出款项。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（2）发生《基金合同》规定的暂停基金资产估值情况时。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（3）本基金投资的证券交易场所停止交易。</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（4）基金管理人接受某笔或某些转换转入申请可能会影响或损害现有基金份额持有人利益时。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（5）基金资产规模过大，使基金管理人无法找到合适的投资品种，或其他可能对基金业绩产生负面影响，或基金管理人认定的其他损害现有基金份额持有人利益的情形。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（6）基金管理人、基金托管人、登记机构、销售机构、支付结算机构等因异常情况导致基金销售系统、基金销售支付结算系统、基金登记系统、基金会计系统等无法正常运行。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（7）连续两个或两个以上开放日发生巨额赎回。</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（8）本基金的资产组合中的重要部分发生暂停交易或其他重大事件，继续接受转换转出可能会影响或损害基金份额持有人利益时。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（9）继续接受转换转出申请将损害现有基金份额持有人利益的情形时，可暂停接受投资者的转换转出申请。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（10）基金管理人接受某笔或者某些转换转入申请有可能导致单一投资者持有基金份额的比例达到或者超过50%，或者变相规避50%集中度的情形时。</w:t>
      </w:r>
    </w:p>
    <w:p w:rsidR="00E449A7" w:rsidRPr="00177B84" w:rsidP="00E449A7">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w:t>
      </w:r>
      <w:r w:rsidRPr="00177B84">
        <w:rPr>
          <w:rFonts w:asciiTheme="minorEastAsia" w:eastAsiaTheme="minorEastAsia" w:hAnsiTheme="minorEastAsia"/>
          <w:color w:val="000000" w:themeColor="text1"/>
          <w:szCs w:val="21"/>
        </w:rPr>
        <w:t>11</w:t>
      </w:r>
      <w:r w:rsidRPr="00177B84">
        <w:rPr>
          <w:rFonts w:asciiTheme="minorEastAsia" w:eastAsiaTheme="minorEastAsia" w:hAnsiTheme="minorEastAsia" w:hint="eastAsia"/>
          <w:color w:val="000000" w:themeColor="text1"/>
          <w:szCs w:val="21"/>
        </w:rPr>
        <w:t>）当一笔新的转换</w:t>
      </w:r>
      <w:r w:rsidRPr="00177B84">
        <w:rPr>
          <w:rFonts w:asciiTheme="minorEastAsia" w:eastAsiaTheme="minorEastAsia" w:hAnsiTheme="minorEastAsia"/>
          <w:color w:val="000000" w:themeColor="text1"/>
          <w:szCs w:val="21"/>
        </w:rPr>
        <w:t>转入</w:t>
      </w:r>
      <w:r w:rsidRPr="00177B84">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449A7" w:rsidRPr="00177B84" w:rsidP="00E449A7">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w:t>
      </w:r>
      <w:r w:rsidRPr="00177B84">
        <w:rPr>
          <w:rFonts w:asciiTheme="minorEastAsia" w:eastAsiaTheme="minorEastAsia" w:hAnsiTheme="minorEastAsia"/>
          <w:color w:val="000000" w:themeColor="text1"/>
          <w:szCs w:val="21"/>
        </w:rPr>
        <w:t>12）</w:t>
      </w:r>
      <w:r w:rsidRPr="00177B84">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E449A7">
        <w:rPr>
          <w:rFonts w:asciiTheme="minorEastAsia" w:eastAsiaTheme="minorEastAsia" w:hAnsiTheme="minorEastAsia"/>
          <w:color w:val="000000" w:themeColor="text1"/>
        </w:rPr>
        <w:t>13</w:t>
      </w:r>
      <w:r w:rsidRPr="00177B84">
        <w:rPr>
          <w:rFonts w:asciiTheme="minorEastAsia" w:eastAsiaTheme="minorEastAsia" w:hAnsiTheme="minorEastAsia"/>
          <w:color w:val="000000" w:themeColor="text1"/>
        </w:rPr>
        <w:t>）法律法规规定或中国证监会认定的其他情形。</w:t>
      </w:r>
    </w:p>
    <w:p w:rsidR="007D6D0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BF3215" w:rsidRPr="00177B84" w:rsidP="00BF3215">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（二）基金份额转让</w:t>
      </w:r>
    </w:p>
    <w:p w:rsidR="00BF321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在法律法规允许且条件具备的情况下，基金管理人可以根据相关业务规则受理基金份额持有人通过中国证监会认可的交易场所或交易方式进行的份额转让申请，具体由基金管理人提前发布相关公告。</w:t>
      </w:r>
    </w:p>
    <w:p w:rsidR="00BF321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三</w:t>
      </w:r>
      <w:r w:rsidRPr="00177B84">
        <w:rPr>
          <w:rFonts w:asciiTheme="minorEastAsia" w:eastAsiaTheme="minorEastAsia" w:hAnsiTheme="minorEastAsia"/>
          <w:color w:val="000000" w:themeColor="text1"/>
        </w:rPr>
        <w:t>）定期定额投资计划</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r w:rsidRPr="00177B84">
        <w:rPr>
          <w:rFonts w:asciiTheme="minorEastAsia" w:eastAsiaTheme="minorEastAsia" w:hAnsiTheme="minorEastAsia"/>
          <w:color w:val="000000" w:themeColor="text1"/>
        </w:rPr>
        <w:br w:type="page"/>
      </w:r>
    </w:p>
    <w:p w:rsidR="00BA4B87" w:rsidRPr="00177B84" w:rsidP="008502BE">
      <w:pPr>
        <w:pStyle w:val="Heading1"/>
        <w:snapToGrid w:val="0"/>
        <w:spacing w:beforeLines="0" w:afterLines="0" w:line="360" w:lineRule="auto"/>
        <w:ind w:firstLine="600"/>
        <w:rPr>
          <w:rFonts w:asciiTheme="minorEastAsia" w:eastAsiaTheme="minorEastAsia" w:hAnsiTheme="minorEastAsia"/>
          <w:bCs/>
          <w:color w:val="000000" w:themeColor="text1"/>
          <w:kern w:val="44"/>
          <w:sz w:val="28"/>
          <w:szCs w:val="44"/>
        </w:rPr>
      </w:pPr>
      <w:bookmarkStart w:id="41" w:name="_Toc332373519"/>
      <w:bookmarkStart w:id="42" w:name="_Toc103006839"/>
      <w:bookmarkEnd w:id="40"/>
      <w:r w:rsidRPr="00177B84">
        <w:rPr>
          <w:rFonts w:asciiTheme="minorEastAsia" w:eastAsiaTheme="minorEastAsia" w:hAnsiTheme="minorEastAsia"/>
          <w:color w:val="000000" w:themeColor="text1"/>
          <w:sz w:val="30"/>
        </w:rPr>
        <w:t>十、基金的转托管、</w:t>
      </w:r>
      <w:r w:rsidRPr="00177B84" w:rsidR="0059529A">
        <w:rPr>
          <w:rFonts w:asciiTheme="minorEastAsia" w:eastAsiaTheme="minorEastAsia" w:hAnsiTheme="minorEastAsia"/>
          <w:color w:val="000000" w:themeColor="text1"/>
          <w:sz w:val="30"/>
        </w:rPr>
        <w:t>质押、</w:t>
      </w:r>
      <w:r w:rsidRPr="00177B84">
        <w:rPr>
          <w:rFonts w:asciiTheme="minorEastAsia" w:eastAsiaTheme="minorEastAsia" w:hAnsiTheme="minorEastAsia"/>
          <w:color w:val="000000" w:themeColor="text1"/>
          <w:sz w:val="30"/>
        </w:rPr>
        <w:t>非交易过户、冻结与解冻</w:t>
      </w:r>
      <w:bookmarkEnd w:id="41"/>
      <w:bookmarkEnd w:id="42"/>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43" w:name="_Toc332373520"/>
      <w:bookmarkStart w:id="44" w:name="_Toc79392621"/>
      <w:r w:rsidRPr="00177B84">
        <w:rPr>
          <w:rFonts w:asciiTheme="minorEastAsia" w:eastAsiaTheme="minorEastAsia" w:hAnsiTheme="minorEastAsia"/>
          <w:color w:val="000000" w:themeColor="text1"/>
        </w:rPr>
        <w:t>（一）</w:t>
      </w:r>
      <w:r w:rsidRPr="00177B84" w:rsidR="00401F67">
        <w:rPr>
          <w:rFonts w:asciiTheme="minorEastAsia" w:eastAsiaTheme="minorEastAsia" w:hAnsiTheme="minorEastAsia"/>
          <w:color w:val="000000" w:themeColor="text1"/>
        </w:rPr>
        <w:t>基金的</w:t>
      </w:r>
      <w:r w:rsidRPr="00177B84">
        <w:rPr>
          <w:rFonts w:asciiTheme="minorEastAsia" w:eastAsiaTheme="minorEastAsia" w:hAnsiTheme="minorEastAsia"/>
          <w:color w:val="000000" w:themeColor="text1"/>
        </w:rPr>
        <w:t>转托管</w:t>
      </w:r>
      <w:bookmarkEnd w:id="43"/>
    </w:p>
    <w:p w:rsidR="00527DC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基金份额持有人可办理已持有基金份额在不同销售机构之间的转托管，基金销售机构可以按照规定的标准收取转托管费。具体办理方法参照《业务规则》的有关规定以及各销售机构的业务规则。</w:t>
      </w:r>
    </w:p>
    <w:p w:rsidR="00856C2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（二）基金份额的质押</w:t>
      </w:r>
    </w:p>
    <w:p w:rsidR="0048242D"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在条件许可的情况下，基金登记机构可依据相关法律法规及其业务规则，办理基金份额质押业务，并可收取一定的手续费。</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45" w:name="_Toc332373521"/>
      <w:r w:rsidRPr="00177B84">
        <w:rPr>
          <w:rFonts w:asciiTheme="minorEastAsia" w:eastAsiaTheme="minorEastAsia" w:hAnsiTheme="minorEastAsia"/>
          <w:color w:val="000000" w:themeColor="text1"/>
        </w:rPr>
        <w:t>（</w:t>
      </w:r>
      <w:r w:rsidRPr="00177B84" w:rsidR="00856C27">
        <w:rPr>
          <w:rFonts w:asciiTheme="minorEastAsia" w:eastAsiaTheme="minorEastAsia" w:hAnsiTheme="minorEastAsia"/>
          <w:color w:val="000000" w:themeColor="text1"/>
        </w:rPr>
        <w:t>三</w:t>
      </w:r>
      <w:r w:rsidRPr="00177B84">
        <w:rPr>
          <w:rFonts w:asciiTheme="minorEastAsia" w:eastAsiaTheme="minorEastAsia" w:hAnsiTheme="minorEastAsia"/>
          <w:color w:val="000000" w:themeColor="text1"/>
        </w:rPr>
        <w:t>）基金的非交易过户</w:t>
      </w:r>
      <w:bookmarkEnd w:id="45"/>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46" w:name="_Toc332373522"/>
      <w:r w:rsidRPr="00177B84">
        <w:rPr>
          <w:rFonts w:asciiTheme="minorEastAsia" w:eastAsiaTheme="minorEastAsia" w:hAnsiTheme="minorEastAsia"/>
          <w:color w:val="000000" w:themeColor="text1"/>
        </w:rPr>
        <w:t>（</w:t>
      </w:r>
      <w:r w:rsidRPr="00177B84" w:rsidR="00856C27">
        <w:rPr>
          <w:rFonts w:asciiTheme="minorEastAsia" w:eastAsiaTheme="minorEastAsia" w:hAnsiTheme="minorEastAsia"/>
          <w:color w:val="000000" w:themeColor="text1"/>
        </w:rPr>
        <w:t>四</w:t>
      </w:r>
      <w:r w:rsidRPr="00177B84">
        <w:rPr>
          <w:rFonts w:asciiTheme="minorEastAsia" w:eastAsiaTheme="minorEastAsia" w:hAnsiTheme="minorEastAsia"/>
          <w:color w:val="000000" w:themeColor="text1"/>
        </w:rPr>
        <w:t>）基金的冻结与解冻</w:t>
      </w:r>
      <w:bookmarkEnd w:id="46"/>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基金登记机构只受理国家有权机关依法要求的基金份额的冻结与解冻，以及登记机构认可、符合法律法规的其他情况下的冻结与解冻。</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基金份额被冻结的，被冻结部分产生的权益一并冻结，被冻结部分份额仍然参与收益分配与支付。法律法规或基金合同另有规定的除外。</w:t>
      </w:r>
      <w:r w:rsidRPr="00177B84">
        <w:rPr>
          <w:rFonts w:asciiTheme="minorEastAsia" w:eastAsiaTheme="minorEastAsia" w:hAnsiTheme="minorEastAsia"/>
          <w:color w:val="000000" w:themeColor="text1"/>
        </w:rPr>
        <w:br w:type="page"/>
      </w:r>
    </w:p>
    <w:p w:rsidR="00BA4B87" w:rsidRPr="00177B84" w:rsidP="00616952">
      <w:pPr>
        <w:pStyle w:val="Heading1"/>
        <w:snapToGrid w:val="0"/>
        <w:spacing w:beforeLines="0" w:afterLines="0" w:line="360" w:lineRule="auto"/>
        <w:ind w:firstLine="600"/>
        <w:rPr>
          <w:rFonts w:asciiTheme="minorEastAsia" w:eastAsiaTheme="minorEastAsia" w:hAnsiTheme="minorEastAsia"/>
          <w:color w:val="000000" w:themeColor="text1"/>
          <w:szCs w:val="21"/>
        </w:rPr>
      </w:pPr>
      <w:bookmarkStart w:id="47" w:name="_Toc332373523"/>
      <w:bookmarkStart w:id="48" w:name="_Toc103006840"/>
      <w:bookmarkEnd w:id="44"/>
      <w:r w:rsidRPr="00177B84">
        <w:rPr>
          <w:rFonts w:asciiTheme="minorEastAsia" w:eastAsiaTheme="minorEastAsia" w:hAnsiTheme="minorEastAsia"/>
          <w:color w:val="000000" w:themeColor="text1"/>
          <w:sz w:val="30"/>
        </w:rPr>
        <w:t>十一、基金的投资</w:t>
      </w:r>
      <w:bookmarkEnd w:id="47"/>
      <w:bookmarkEnd w:id="48"/>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49" w:name="_Toc332373524"/>
      <w:r w:rsidRPr="00177B84">
        <w:rPr>
          <w:rFonts w:asciiTheme="minorEastAsia" w:eastAsiaTheme="minorEastAsia" w:hAnsiTheme="minorEastAsia"/>
          <w:color w:val="000000" w:themeColor="text1"/>
        </w:rPr>
        <w:t>（一）投资目标</w:t>
      </w:r>
      <w:bookmarkEnd w:id="49"/>
    </w:p>
    <w:p w:rsidR="00A76643" w:rsidRPr="00177B84" w:rsidP="002C5976">
      <w:pPr>
        <w:spacing w:line="360" w:lineRule="auto"/>
        <w:ind w:firstLine="420" w:firstLineChars="200"/>
        <w:rPr>
          <w:rFonts w:asciiTheme="minorEastAsia" w:eastAsiaTheme="minorEastAsia" w:hAnsiTheme="minorEastAsia"/>
          <w:color w:val="000000" w:themeColor="text1"/>
        </w:rPr>
      </w:pPr>
      <w:bookmarkStart w:id="50" w:name="_Toc332373525"/>
      <w:r w:rsidRPr="00177B84">
        <w:rPr>
          <w:rFonts w:asciiTheme="minorEastAsia" w:eastAsiaTheme="minorEastAsia" w:hAnsiTheme="minorEastAsia"/>
          <w:color w:val="000000" w:themeColor="text1"/>
        </w:rPr>
        <w:t>本基金在控制风险的前提下，追求基金资产的稳健增值。</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9648D4">
        <w:rPr>
          <w:rFonts w:asciiTheme="minorEastAsia" w:eastAsiaTheme="minorEastAsia" w:hAnsiTheme="minorEastAsia"/>
          <w:color w:val="000000" w:themeColor="text1"/>
        </w:rPr>
        <w:t>二</w:t>
      </w:r>
      <w:r w:rsidRPr="00177B84">
        <w:rPr>
          <w:rFonts w:asciiTheme="minorEastAsia" w:eastAsiaTheme="minorEastAsia" w:hAnsiTheme="minorEastAsia"/>
          <w:color w:val="000000" w:themeColor="text1"/>
        </w:rPr>
        <w:t>）投资范围</w:t>
      </w:r>
      <w:bookmarkEnd w:id="50"/>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本基金的投资范围包括国内依法发行、上市的股票（包括创业板、中小板以及其他依法发行、上市的股票</w:t>
      </w:r>
      <w:r w:rsidRPr="00177B84" w:rsidR="006A575D">
        <w:rPr>
          <w:rFonts w:asciiTheme="minorEastAsia" w:eastAsiaTheme="minorEastAsia" w:hAnsiTheme="minorEastAsia" w:hint="eastAsia"/>
          <w:color w:val="000000" w:themeColor="text1"/>
        </w:rPr>
        <w:t>、存托凭证</w:t>
      </w:r>
      <w:r w:rsidRPr="00177B84">
        <w:rPr>
          <w:rFonts w:asciiTheme="minorEastAsia" w:eastAsiaTheme="minorEastAsia" w:hAnsiTheme="minorEastAsia"/>
          <w:color w:val="000000" w:themeColor="text1"/>
        </w:rPr>
        <w:t>）、债券（包括国债、央行票据、地方政府债、金融债、企业债、公司债、证券公司短期公司债、中小企业私募债、次级债、中期票据、短期融资券、可转换债券、可交换债券等）、资产支持证券、债券回购、银行存款、同业存单、权证、股指期货、国债期货及法律法规或中国证监会允许基金投资的其他金融工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如法律法规或监管机构以后允许基金投资其他品种，本基金可将其纳入投资范围。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基金的投资组合比例为：</w:t>
      </w:r>
    </w:p>
    <w:p w:rsidR="00A74943" w:rsidRPr="00177B84" w:rsidP="002C5976">
      <w:pPr>
        <w:spacing w:line="360" w:lineRule="auto"/>
        <w:ind w:firstLine="420" w:firstLineChars="200"/>
        <w:rPr>
          <w:rFonts w:asciiTheme="minorEastAsia" w:eastAsiaTheme="minorEastAsia" w:hAnsiTheme="minorEastAsia"/>
          <w:color w:val="000000" w:themeColor="text1"/>
        </w:rPr>
      </w:pPr>
      <w:bookmarkStart w:id="51" w:name="_Toc332373526"/>
      <w:r w:rsidRPr="00177B84">
        <w:rPr>
          <w:rFonts w:asciiTheme="minorEastAsia" w:eastAsiaTheme="minorEastAsia" w:hAnsiTheme="minorEastAsia"/>
          <w:color w:val="000000" w:themeColor="text1"/>
        </w:rPr>
        <w:t>本基金为混合型基金，股票资产占基金资产的比例为0%-95%，扣除股指期货、国债期货合约需缴纳的交易保证金后，现金或到期日在一年以内的政府债券不低于基金资产净值的5%，</w:t>
      </w:r>
      <w:r w:rsidRPr="00177B84" w:rsidR="00AB6EF2">
        <w:rPr>
          <w:rFonts w:asciiTheme="minorEastAsia" w:eastAsiaTheme="minorEastAsia" w:hAnsiTheme="minorEastAsia" w:hint="eastAsia"/>
          <w:color w:val="000000" w:themeColor="text1"/>
        </w:rPr>
        <w:t>现金不包括结算备付金、存出保证金、应收申购款等，</w:t>
      </w:r>
      <w:r w:rsidRPr="00177B84">
        <w:rPr>
          <w:rFonts w:asciiTheme="minorEastAsia" w:eastAsiaTheme="minorEastAsia" w:hAnsiTheme="minorEastAsia"/>
          <w:color w:val="000000" w:themeColor="text1"/>
        </w:rPr>
        <w:t>权证、股指期货、国债期货及其他金融工具的投资比例依照法律法规或监管机构的规定执行。</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090469">
        <w:rPr>
          <w:rFonts w:asciiTheme="minorEastAsia" w:eastAsiaTheme="minorEastAsia" w:hAnsiTheme="minorEastAsia"/>
          <w:color w:val="000000" w:themeColor="text1"/>
        </w:rPr>
        <w:t>三</w:t>
      </w:r>
      <w:r w:rsidRPr="00177B84">
        <w:rPr>
          <w:rFonts w:asciiTheme="minorEastAsia" w:eastAsiaTheme="minorEastAsia" w:hAnsiTheme="minorEastAsia"/>
          <w:color w:val="000000" w:themeColor="text1"/>
        </w:rPr>
        <w:t>）投资策略</w:t>
      </w:r>
      <w:bookmarkEnd w:id="51"/>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1．资产配置策略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本基金基于定量与定性相结合的宏观及市场因素、估值及流动性因素、政策因素等分析，并重点考虑债券市场情况，确定组合中股票、债券、货币市场工具等资产类别的配置比例。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2．股票投资策略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（1）行业配置策略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本基金将通过分析以下因素，对各行业的投资价值进行综合评估，从而确定并动态调整行业配置比例。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1）行业景气度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2）行业竞争格局</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本基金主要通过密切跟踪行业进入者的数量、行业内各公司的竞争策略及各公司产品或服务的市场份额来判断公司所处行业竞争格局的变化，重点投资于行业竞争格局良好的行业。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（2）个股投资策略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1）公司基本面分析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2）估值水平分析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3）股票组合的构建与调整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本基金在行业分析、公司基本面分析及估值水平分析的基础上，进行股票组合的构建。当行业、公司的基本面、股票的估值水平出现较大变化时，本基金将对股票组合适时进行动态调整。</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3、存托凭证投资策略</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本基金可投资存托凭证，本基金将结合对宏观经济状况、行业景气度、公司竞争优势、公司治理结构、估值水平等因素的分析判断，选择投资价值高的存托凭证进行投资。</w:t>
      </w:r>
    </w:p>
    <w:p w:rsidR="00AD3EC7"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w:t>
      </w:r>
      <w:r w:rsidRPr="00177B84" w:rsidR="00B2727D">
        <w:rPr>
          <w:rFonts w:asciiTheme="minorEastAsia" w:eastAsiaTheme="minorEastAsia" w:hAnsiTheme="minorEastAsia"/>
          <w:color w:val="000000" w:themeColor="text1"/>
        </w:rPr>
        <w:t>债券投资策略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在券种选择上，本基金以长期利率趋势分析为基础，结合经济变化趋势、货币政策及不同债券品种的收益率水平、流动性和信用风险等因素，实施积极主动的债券投资管理。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随着国内债券市场的深入发展和结构性变迁，更多债券新品种和交易形式将增加债券投资盈利模式，本基金将密切跟踪市场动态变化，选择合适的介入机会，谋求高于市场平均水平的投资回报。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（2）证券公司短期公司债券投资策略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可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（3）中小企业私募债投资策略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可在控制信用风险、流动性风险的基础上，对中小企业私募债进行投资，主要采取分散化投资策略，控制个债持有比例。同时，紧密跟踪研究发债企业的基本面情况变化，并据此调整投资组合，控制投资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（4）资产支持证券投资策略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可投资资产支持证券，若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w:t>
      </w:r>
      <w:r w:rsidRPr="00177B84" w:rsidR="00B2727D">
        <w:rPr>
          <w:rFonts w:asciiTheme="minorEastAsia" w:eastAsiaTheme="minorEastAsia" w:hAnsiTheme="minorEastAsia"/>
          <w:color w:val="000000" w:themeColor="text1"/>
        </w:rPr>
        <w:t>、衍生产品投资策略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（1）股指期货、国债期货投资策略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可投资股指期货、国债期货。若本基金投资股指期货、国债期货，将根据风险管理的原则，主要选择流动性好、交易活跃的股指期货、国债期货合约进行交易,以对冲投资组合的系统性风险、有效管理现金流量或降低建仓或调仓过程中的冲击成本等。</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（2）权证投资策略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权证为本基金辅助性投资工具。权证的投资原则为有利于基金资产增值、控制下跌风险、实现保值和锁定收益。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将关注其他金融衍生产品的推出情况，如法律法规或监管机构允许基金投资其他衍生工具，本基金将按届时有效的法律法规和监管机构的规定，制定与本基金投资目标相适应的投资策略，在充分评估衍生产品的风险和收益的基础上，谨慎地进行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w:t>
      </w:r>
      <w:r w:rsidRPr="00177B84" w:rsidR="00B2727D">
        <w:rPr>
          <w:rFonts w:asciiTheme="minorEastAsia" w:eastAsiaTheme="minorEastAsia" w:hAnsiTheme="minorEastAsia"/>
          <w:color w:val="000000" w:themeColor="text1"/>
        </w:rPr>
        <w:t>、为了更好地实现投资目标，在综合考虑预期风险、收益、流动性等因素的基础上，本基金可根据资产配置及流动性管理等需要参与融资业务。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在条件许可的情况下，基金管理人可根据相关法律法规，参与融券业务和转融通证券出借业务。</w:t>
      </w:r>
    </w:p>
    <w:p w:rsidR="003416A9" w:rsidRPr="00177B84" w:rsidP="002C5976">
      <w:pPr>
        <w:spacing w:line="360" w:lineRule="auto"/>
        <w:ind w:firstLine="420" w:firstLineChars="200"/>
        <w:rPr>
          <w:rFonts w:asciiTheme="minorEastAsia" w:eastAsiaTheme="minorEastAsia" w:hAnsiTheme="minorEastAsia"/>
          <w:color w:val="000000" w:themeColor="text1"/>
        </w:rPr>
      </w:pPr>
      <w:bookmarkStart w:id="52" w:name="_Toc332373530"/>
      <w:bookmarkStart w:id="53" w:name="question3"/>
      <w:r w:rsidRPr="00177B84">
        <w:rPr>
          <w:rFonts w:asciiTheme="minorEastAsia" w:eastAsiaTheme="minorEastAsia" w:hAnsiTheme="minorEastAsia"/>
          <w:color w:val="000000" w:themeColor="text1"/>
        </w:rPr>
        <w:t>7</w:t>
      </w:r>
      <w:r w:rsidRPr="00177B84" w:rsidR="005D57DD">
        <w:rPr>
          <w:rFonts w:asciiTheme="minorEastAsia" w:eastAsiaTheme="minorEastAsia" w:hAnsiTheme="minorEastAsia"/>
          <w:color w:val="000000" w:themeColor="text1"/>
        </w:rPr>
        <w:t>、未来，随着市场的发展和基金管理运作的需要，基金管理人可以在不改变投资目标的前提下，遵循法律法规的规定，相应调整或更新投资策略，并在招募说明书更新中公告。</w:t>
      </w:r>
    </w:p>
    <w:p w:rsidR="005044D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090469">
        <w:rPr>
          <w:rFonts w:asciiTheme="minorEastAsia" w:eastAsiaTheme="minorEastAsia" w:hAnsiTheme="minorEastAsia"/>
          <w:color w:val="000000" w:themeColor="text1"/>
        </w:rPr>
        <w:t>四</w:t>
      </w:r>
      <w:r w:rsidRPr="00177B84">
        <w:rPr>
          <w:rFonts w:asciiTheme="minorEastAsia" w:eastAsiaTheme="minorEastAsia" w:hAnsiTheme="minorEastAsia"/>
          <w:color w:val="000000" w:themeColor="text1"/>
        </w:rPr>
        <w:t>）</w:t>
      </w:r>
      <w:r w:rsidRPr="00177B84" w:rsidR="00BA4B87">
        <w:rPr>
          <w:rFonts w:asciiTheme="minorEastAsia" w:eastAsiaTheme="minorEastAsia" w:hAnsiTheme="minorEastAsia"/>
          <w:color w:val="000000" w:themeColor="text1"/>
        </w:rPr>
        <w:t>业绩比较基准</w:t>
      </w:r>
      <w:bookmarkEnd w:id="52"/>
    </w:p>
    <w:p w:rsidR="00A76643" w:rsidRPr="00177B84" w:rsidP="002C5976">
      <w:pPr>
        <w:spacing w:line="360" w:lineRule="auto"/>
        <w:ind w:firstLine="420" w:firstLineChars="200"/>
        <w:rPr>
          <w:rFonts w:asciiTheme="minorEastAsia" w:eastAsiaTheme="minorEastAsia" w:hAnsiTheme="minorEastAsia"/>
          <w:color w:val="000000" w:themeColor="text1"/>
        </w:rPr>
      </w:pPr>
      <w:bookmarkStart w:id="54" w:name="_Toc332373531"/>
      <w:bookmarkEnd w:id="53"/>
      <w:r w:rsidRPr="00177B84">
        <w:rPr>
          <w:rFonts w:asciiTheme="minorEastAsia" w:eastAsiaTheme="minorEastAsia" w:hAnsiTheme="minorEastAsia"/>
          <w:color w:val="000000" w:themeColor="text1"/>
        </w:rPr>
        <w:t>中债新综合指数（财富）收益率×80%+沪深300指数收益率×20%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中债新综合指数（财富）指数能够反映债券市场总体走势，适合作为本基金固定收益部分的业绩比较基准。沪深300指数对股票市场具有较强的代表性，适合作为本基金股票部分的业绩比较基准。此外，本基金还参考预期的大类资产平均配置比例设置了业绩比较基准的权重。</w:t>
      </w:r>
    </w:p>
    <w:p w:rsidR="00EF450A"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的指数时，本基金管理人可以根据本基金的投资范围和投资策略，调整基金的业绩比较基准，但应在取得基金托管人同意后报中国证监会备案，并及时公告，无须召开基金份额持有人大会审议。</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090469">
        <w:rPr>
          <w:rFonts w:asciiTheme="minorEastAsia" w:eastAsiaTheme="minorEastAsia" w:hAnsiTheme="minorEastAsia"/>
          <w:color w:val="000000" w:themeColor="text1"/>
        </w:rPr>
        <w:t>五</w:t>
      </w:r>
      <w:r w:rsidRPr="00177B84">
        <w:rPr>
          <w:rFonts w:asciiTheme="minorEastAsia" w:eastAsiaTheme="minorEastAsia" w:hAnsiTheme="minorEastAsia"/>
          <w:color w:val="000000" w:themeColor="text1"/>
        </w:rPr>
        <w:t>）风险收益特征</w:t>
      </w:r>
      <w:bookmarkEnd w:id="54"/>
    </w:p>
    <w:p w:rsidR="00A76643" w:rsidRPr="00177B84" w:rsidP="002C5976">
      <w:pPr>
        <w:spacing w:line="360" w:lineRule="auto"/>
        <w:ind w:firstLine="420" w:firstLineChars="200"/>
        <w:rPr>
          <w:rFonts w:asciiTheme="minorEastAsia" w:eastAsiaTheme="minorEastAsia" w:hAnsiTheme="minorEastAsia"/>
          <w:color w:val="000000" w:themeColor="text1"/>
        </w:rPr>
      </w:pPr>
      <w:bookmarkStart w:id="55" w:name="_Toc332373533"/>
      <w:r w:rsidRPr="00177B84">
        <w:rPr>
          <w:rFonts w:asciiTheme="minorEastAsia" w:eastAsiaTheme="minorEastAsia" w:hAnsiTheme="minorEastAsia"/>
          <w:color w:val="000000" w:themeColor="text1"/>
        </w:rPr>
        <w:t>本基金为混合型基金，理论上其预期风险与预期收益水平低于股票型基金，高于债券型基金和货币市场基金。</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0008BD">
        <w:rPr>
          <w:rFonts w:asciiTheme="minorEastAsia" w:eastAsiaTheme="minorEastAsia" w:hAnsiTheme="minorEastAsia"/>
          <w:color w:val="000000" w:themeColor="text1"/>
        </w:rPr>
        <w:t>六</w:t>
      </w:r>
      <w:r w:rsidRPr="00177B84" w:rsidR="002E1C38">
        <w:rPr>
          <w:rFonts w:asciiTheme="minorEastAsia" w:eastAsiaTheme="minorEastAsia" w:hAnsiTheme="minorEastAsia"/>
          <w:color w:val="000000" w:themeColor="text1"/>
        </w:rPr>
        <w:t>）</w:t>
      </w:r>
      <w:r w:rsidRPr="00177B84">
        <w:rPr>
          <w:rFonts w:asciiTheme="minorEastAsia" w:eastAsiaTheme="minorEastAsia" w:hAnsiTheme="minorEastAsia"/>
          <w:color w:val="000000" w:themeColor="text1"/>
        </w:rPr>
        <w:t>投资禁止行为与限制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1、组合限制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基金的投资组合应遵循以下限制：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（1）本基金股票资产占基金资产的比例为0%-95%；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（2）扣除股指期货、国债期货合约需缴纳的交易保证金后，保持不低于基金资产净值5％的现金或者到期日在一年以内的政府债券</w:t>
      </w:r>
      <w:r w:rsidRPr="00177B84" w:rsidR="00AB6EF2">
        <w:rPr>
          <w:rFonts w:asciiTheme="minorEastAsia" w:eastAsiaTheme="minorEastAsia" w:hAnsiTheme="minorEastAsia" w:hint="eastAsia"/>
          <w:color w:val="000000" w:themeColor="text1"/>
        </w:rPr>
        <w:t>，现金不包括结算备付金、存出保证金、应收申购款等</w:t>
      </w:r>
      <w:r w:rsidRPr="00177B84">
        <w:rPr>
          <w:rFonts w:asciiTheme="minorEastAsia" w:eastAsiaTheme="minorEastAsia" w:hAnsiTheme="minor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（3）本基金持有一家公司发行的证券，其市值不得超过基金资产净值的10%；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（4）本基金管理人管理的全部基金持有一家公司发行的证券，不超过该证券的10％；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（5）本基金持有的全部权证，其市值不得超过基金资产净值的3％；</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（6）本基金管理人管理的全部基金持有的同一权证，不得超过该权证的10％；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（7）本基金在任何交易日买入权证的总金额，不得超过上一交易日基金资产净值的0.5％；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（8）本基金投资于同一原始权益人的各类资产支持证券的比例，不得超过基金资产净值的10％；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（9）本基金持有的全部资产支持证券，其市值不得超过基金资产净值的20％；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（10）本基金持有的同一(指同一信用级别)资产支持证券的比例，不得超过该资产支持证券规模的10％；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（11）本基金管理人管理的全部基金投资于同一原始权益人的各类资产支持证券，不得超过其各类资产支持证券合计规模的10％；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（12）本基金应投资于信用级别评级为BBB以上(含BBB)的资产支持证券。基金持有资产支持证券期间，如果其信用等级下降、不再符合投资标准，应在评级报告发布之日起3个月内予以全部卖出；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（13）基金财产参与股票发行申购，本基金所申报的金额不超过本基金的总资产，本基金所申报的股票数量不超过拟发行股票公司本次发行股票的总量；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（14）本基金进入全国银行间同业市场进行债券回购的资金余额不得超过基金资产净值的40%；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（17）本基金基金总资产不得超过基金净资产的140%；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（18）基金参与融资业务后，在任何交易日日终，持有的融资买入股票与其他有价证券市值之和，不得超过基金资产净值的95%；</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19</w:t>
      </w:r>
      <w:r w:rsidRPr="00177B84">
        <w:rPr>
          <w:rFonts w:asciiTheme="minorEastAsia" w:eastAsiaTheme="minorEastAsia" w:hAnsiTheme="minorEastAsia" w:hint="eastAsia"/>
          <w:color w:val="000000" w:themeColor="text1"/>
        </w:rPr>
        <w:t>）本基金管理人管理的全部开放式基金持有一家上市公司发行的可流通股票，不得超过该上市公司可流通股票的</w:t>
      </w:r>
      <w:r w:rsidRPr="00177B84">
        <w:rPr>
          <w:rFonts w:asciiTheme="minorEastAsia" w:eastAsiaTheme="minorEastAsia" w:hAnsiTheme="minorEastAsia"/>
          <w:color w:val="000000" w:themeColor="text1"/>
        </w:rPr>
        <w:t>15%</w:t>
      </w:r>
      <w:r w:rsidRPr="00177B84">
        <w:rPr>
          <w:rFonts w:asciiTheme="minorEastAsia" w:eastAsiaTheme="minorEastAsia" w:hAnsiTheme="minorEastAsia" w:hint="eastAsia"/>
          <w:color w:val="000000" w:themeColor="text1"/>
        </w:rPr>
        <w:t>；本基金管理人管理的全部投资组合持有一家上市公司发行的可流通股票，不得超过该上市公司可流通股票的</w:t>
      </w:r>
      <w:r w:rsidRPr="00177B84">
        <w:rPr>
          <w:rFonts w:asciiTheme="minorEastAsia" w:eastAsiaTheme="minorEastAsia" w:hAnsiTheme="minorEastAsia"/>
          <w:color w:val="000000" w:themeColor="text1"/>
        </w:rPr>
        <w:t>30%</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20</w:t>
      </w:r>
      <w:r w:rsidRPr="00177B84">
        <w:rPr>
          <w:rFonts w:asciiTheme="minorEastAsia" w:eastAsiaTheme="minorEastAsia" w:hAnsiTheme="minorEastAsia" w:hint="eastAsia"/>
          <w:color w:val="000000" w:themeColor="text1"/>
        </w:rPr>
        <w:t>）本基金主动投资于流动性受限资产的市值合计不得超过该基金资产净值的</w:t>
      </w:r>
      <w:r w:rsidRPr="00177B84">
        <w:rPr>
          <w:rFonts w:asciiTheme="minorEastAsia" w:eastAsiaTheme="minorEastAsia" w:hAnsiTheme="minorEastAsia"/>
          <w:color w:val="000000" w:themeColor="text1"/>
        </w:rPr>
        <w:t>15%</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21</w:t>
      </w:r>
      <w:r w:rsidRPr="00177B84">
        <w:rPr>
          <w:rFonts w:asciiTheme="minorEastAsia" w:eastAsiaTheme="minorEastAsia" w:hAnsiTheme="minorEastAsia" w:hint="eastAsia"/>
          <w:color w:val="000000" w:themeColor="text1"/>
        </w:rPr>
        <w:t>）本基金与私募类证券资管产品及中国证监会认定的其他主体为交易对手开展逆回购交易的，可接受质押品的资质要求应当与基金合同约定的投资范围保持一致。</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22</w:t>
      </w:r>
      <w:r w:rsidRPr="00177B84">
        <w:rPr>
          <w:rFonts w:asciiTheme="minorEastAsia" w:eastAsiaTheme="minorEastAsia" w:hAnsiTheme="minorEastAsia" w:hint="eastAsia"/>
          <w:color w:val="000000" w:themeColor="text1"/>
        </w:rPr>
        <w:t>）本基金投资存托凭证的比例限制依照境内上市交易的股票执行，与境内上市交易的股票合并计算。</w:t>
      </w:r>
    </w:p>
    <w:p w:rsidR="00767D70"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（23）</w:t>
      </w:r>
      <w:r w:rsidRPr="00177B84" w:rsidR="00B2727D">
        <w:rPr>
          <w:rFonts w:asciiTheme="minorEastAsia" w:eastAsiaTheme="minorEastAsia" w:hAnsiTheme="minorEastAsia"/>
          <w:color w:val="000000" w:themeColor="text1"/>
        </w:rPr>
        <w:t>法律法规及中国证监会规定的和《基金合同》约定的其他投资限制。</w:t>
      </w:r>
    </w:p>
    <w:p w:rsidR="00AD3EC7"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除上述（</w:t>
      </w:r>
      <w:r w:rsidRPr="00177B84">
        <w:rPr>
          <w:rFonts w:asciiTheme="minorEastAsia" w:eastAsiaTheme="minorEastAsia" w:hAnsiTheme="minorEastAsia"/>
          <w:color w:val="000000" w:themeColor="text1"/>
        </w:rPr>
        <w:t>2</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12</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13</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20</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21</w:t>
      </w:r>
      <w:r w:rsidRPr="00177B84">
        <w:rPr>
          <w:rFonts w:asciiTheme="minorEastAsia" w:eastAsiaTheme="minorEastAsia" w:hAnsiTheme="minorEastAsia" w:hint="eastAsia"/>
          <w:color w:val="000000" w:themeColor="text1"/>
        </w:rPr>
        <w:t>）以外，</w:t>
      </w:r>
      <w:r w:rsidRPr="00177B84" w:rsidR="00B2727D">
        <w:rPr>
          <w:rFonts w:asciiTheme="minorEastAsia" w:eastAsiaTheme="minorEastAsia" w:hAnsiTheme="minorEastAsia"/>
          <w:color w:val="000000" w:themeColor="text1"/>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2、禁止行为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为维护基金份额持有人的合法权益，基金财产不得用于下列投资或者活动：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（1）承销证券；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（2）违反规定向他人贷款或者提供担保；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（3）从事承担无限责任的投资；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（4）向其基金管理人、基金托管人出资；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（5）从事内幕交易、操纵证券交易价格及其他不正当的证券交易活动；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（6）法律、行政法规和中国证监会规定禁止的其他活动。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BE3E92" w:rsidRPr="00177B84" w:rsidP="002C5976">
      <w:pPr>
        <w:spacing w:line="360" w:lineRule="auto"/>
        <w:ind w:firstLine="420" w:firstLineChars="200"/>
        <w:rPr>
          <w:rFonts w:asciiTheme="minorEastAsia" w:eastAsiaTheme="minorEastAsia" w:hAnsiTheme="minorEastAsia"/>
          <w:color w:val="000000" w:themeColor="text1"/>
        </w:rPr>
      </w:pPr>
      <w:bookmarkStart w:id="56" w:name="_Toc332373535"/>
      <w:bookmarkEnd w:id="55"/>
      <w:r w:rsidRPr="00177B84">
        <w:rPr>
          <w:rFonts w:asciiTheme="minorEastAsia" w:eastAsiaTheme="minorEastAsia" w:hAnsiTheme="minorEastAsia"/>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bookmarkStart w:id="57" w:name="_Toc332373536"/>
      <w:bookmarkEnd w:id="56"/>
    </w:p>
    <w:p w:rsidR="00BE3E9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bookmarkStart w:id="58" w:name="_Toc332373537"/>
      <w:bookmarkEnd w:id="57"/>
      <w:r w:rsidRPr="00177B84">
        <w:rPr>
          <w:rFonts w:asciiTheme="minorEastAsia" w:eastAsiaTheme="minorEastAsia" w:hAnsiTheme="minorEastAsia" w:hint="eastAsia"/>
          <w:color w:val="000000" w:themeColor="text1"/>
        </w:rPr>
        <w:t>七</w:t>
      </w:r>
      <w:r w:rsidRPr="00177B84">
        <w:rPr>
          <w:rFonts w:asciiTheme="minorEastAsia" w:eastAsiaTheme="minorEastAsia" w:hAnsiTheme="minorEastAsia"/>
          <w:color w:val="000000" w:themeColor="text1"/>
        </w:rPr>
        <w:t>）基金管理人代表基金行使所投资证券产生权利的处理原则及方法</w:t>
      </w:r>
    </w:p>
    <w:bookmarkEnd w:id="58"/>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1、有利于基金资产的安全与增值。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2、基金管理人按照国家有关规定代表基金独立行使债权人或股东权利，保护基金份额持有人的利益。</w:t>
      </w:r>
    </w:p>
    <w:p w:rsidR="003F1E3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3、不通过关联交易为自身、雇员、授权代理人或任何存在利害关系的第三人牟取任何不当利益。</w:t>
      </w:r>
    </w:p>
    <w:p w:rsidR="007A6AF4" w:rsidRPr="00177B84" w:rsidP="002C5976">
      <w:pPr>
        <w:spacing w:line="360" w:lineRule="auto"/>
        <w:ind w:firstLine="420" w:firstLineChars="200"/>
        <w:rPr>
          <w:rFonts w:asciiTheme="minorEastAsia" w:eastAsiaTheme="minorEastAsia" w:hAnsiTheme="minorEastAsia"/>
          <w:color w:val="000000" w:themeColor="text1"/>
        </w:rPr>
      </w:pPr>
      <w:bookmarkStart w:id="59" w:name="_Toc390433598"/>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八</w:t>
      </w:r>
      <w:r w:rsidRPr="00177B84">
        <w:rPr>
          <w:rFonts w:asciiTheme="minorEastAsia" w:eastAsiaTheme="minorEastAsia" w:hAnsiTheme="minorEastAsia"/>
          <w:color w:val="000000" w:themeColor="text1"/>
        </w:rPr>
        <w:t>）基金投资组合报告（未经审计）</w:t>
      </w:r>
      <w:bookmarkEnd w:id="59"/>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本基金管理人的董事会及董事保证本报告所载资料不存在虚假记载、误导性陈述或重大遗漏，并对其内容的真实性、准确性和完整性承担个别及连带责任。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本基金的托管人上海浦东发展银行股份有限公司根据本基金合同的规定，复核了本报告的内容，保证复核内容不存在虚假记载、误导性陈述或者重大遗漏。</w:t>
      </w:r>
    </w:p>
    <w:p w:rsidR="00F3568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本投资组合报告有关数据的期间为2021年7月1日至2021年9月30日。</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252,704,042.03</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23.37</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252,704,042.03</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23.37</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803,844,183.88</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74.33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796,799,383.88</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73.68</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7,044,800.00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0.65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w:t>
            </w:r>
          </w:p>
        </w:tc>
        <w:tc>
          <w:tcPr>
            <w:tcW w:w="3357" w:type="dxa"/>
            <w:tcBorders>
              <w:top w:val="single" w:sz="0" w:space="0" w:color="000000"/>
              <w:left w:val="single" w:sz="0" w:space="0" w:color="000000"/>
              <w:bottom w:val="single" w:sz="0" w:space="0" w:color="000000"/>
              <w:right w:val="single" w:sz="0" w:space="0" w:color="000000"/>
            </w:tcBorders>
          </w:tcPr>
          <w:p w:rsidR="0062416E" w:rsidRPr="00177B84">
            <w:pPr>
              <w:ind w:left="105" w:leftChars="5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11,175,665.64</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1.03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13,758,475.18</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1.27</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1,081,482,366.73</w:t>
            </w:r>
          </w:p>
        </w:tc>
        <w:tc>
          <w:tcPr>
            <w:tcW w:w="1843"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100.00</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 报告期末按行业分类的股票投资组合</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540" w:type="dxa"/>
            <w:tcBorders>
              <w:top w:val="single" w:sz="0" w:space="0" w:color="000000"/>
              <w:left w:val="single" w:sz="0" w:space="0" w:color="000000"/>
              <w:bottom w:val="single" w:sz="0" w:space="0" w:color="000000"/>
              <w:right w:val="single" w:sz="0" w:space="0" w:color="000000"/>
            </w:tcBorders>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代码</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行业类别</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公允价值（元）</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占基金资产净值比例（％）</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A</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农、林、牧、渔业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5,766.30</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B</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采矿业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p w:rsidR="0062416E" w:rsidRPr="00177B84">
            <w:pPr>
              <w:jc w:val="right"/>
              <w:rPr>
                <w:rFonts w:asciiTheme="minorEastAsia" w:eastAsiaTheme="minorEastAsia" w:hAnsiTheme="minorEastAsia"/>
                <w:color w:val="000000" w:themeColor="text1"/>
                <w:sz w:val="24"/>
              </w:rPr>
            </w:pP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p w:rsidR="0062416E" w:rsidRPr="00177B84">
            <w:pPr>
              <w:jc w:val="right"/>
              <w:rPr>
                <w:rFonts w:asciiTheme="minorEastAsia" w:eastAsiaTheme="minorEastAsia" w:hAnsiTheme="minorEastAsia"/>
                <w:color w:val="000000" w:themeColor="text1"/>
                <w:sz w:val="24"/>
              </w:rPr>
            </w:pP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C</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制造业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187,182,275.65</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20.37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D</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电力、热力、燃气及水生产和供应业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6,299,875.22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0.69</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E</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建筑业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11,631,952.16</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1.27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F</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批发和零售业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77,729.83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0.01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G</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交通运输、仓储和邮政业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H</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住宿和餐饮业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3,345.12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I</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信息传输、软件和信息技术服务业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17,213,899.09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1.87</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J</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金融业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K</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房地产业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19,415,645.36</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2.11</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L</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租赁和商务服务业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M</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科学研究和技术服务业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10,834,958.59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1.18</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N</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水利、环境和公共设施管理业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34,669.49</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O</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居民服务、修理和其他服务业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P</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教育</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Q</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卫生和社会工作</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R</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文化、体育和娱乐业</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3,925.22</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0.00</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S</w:t>
            </w: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综合</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CellMar>
            <w:left w:w="0" w:type="dxa"/>
            <w:right w:w="0" w:type="dxa"/>
          </w:tblCellMar>
          <w:tblLook w:val="04A0"/>
        </w:tblPrEx>
        <w:trPr>
          <w:trHeight w:val="285"/>
        </w:trPr>
        <w:tc>
          <w:tcPr>
            <w:tcW w:w="540"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jc w:val="center"/>
              <w:rPr>
                <w:rFonts w:asciiTheme="minorEastAsia" w:eastAsiaTheme="minorEastAsia" w:hAnsiTheme="minorEastAsia"/>
                <w:color w:val="000000" w:themeColor="text1"/>
                <w:sz w:val="24"/>
              </w:rPr>
            </w:pPr>
          </w:p>
        </w:tc>
        <w:tc>
          <w:tcPr>
            <w:tcW w:w="3691"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adjustRightInd w:val="0"/>
              <w:snapToGrid w:val="0"/>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合计</w:t>
            </w:r>
          </w:p>
        </w:tc>
        <w:tc>
          <w:tcPr>
            <w:tcW w:w="2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252,704,042.03</w:t>
            </w:r>
          </w:p>
        </w:tc>
        <w:tc>
          <w:tcPr>
            <w:tcW w:w="1648"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2416E" w:rsidRPr="00177B84">
            <w:pPr>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27.50</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 期末按公允价值占基金资产净值比例大小排序的股票投资明细</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 报告期末按公允价值占基金资产净值比例大小排序的前十名股票投资明细</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6"/>
        <w:gridCol w:w="1418"/>
        <w:gridCol w:w="1701"/>
        <w:gridCol w:w="1984"/>
        <w:gridCol w:w="1559"/>
      </w:tblGrid>
      <w:tr>
        <w:tblPrEx>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hint="eastAsia"/>
                <w:color w:val="000000" w:themeColor="text1"/>
                <w:kern w:val="0"/>
              </w:rPr>
              <w:t>占基金资产净值比例（％）</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603179</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新泉股份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635,921</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17,844,077.40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1.94</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600438</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通威股份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311,500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15,867,810.00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1.73</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338,946</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14,608,572.60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1.59</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600219</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南山铝业</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3,309,000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14,460,330.00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1.57</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000002</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万科A</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676,900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14,424,739.00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1.57</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002080</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中材科技</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404,200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14,308,680.00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1.56</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603444</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吉比特</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33,400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13,068,752.00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1.42</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600089</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特变电工</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535,500</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12,985,875.00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1.41</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601799</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星宇股份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65,061</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11,776,041.00</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1.28</w:t>
            </w:r>
          </w:p>
        </w:tc>
      </w:tr>
      <w:tr>
        <w:tblPrEx>
          <w:tblW w:w="8790" w:type="dxa"/>
          <w:jc w:val="center"/>
          <w:tblLayout w:type="fixed"/>
          <w:tblLook w:val="04A0"/>
        </w:tblPrEx>
        <w:trPr>
          <w:jc w:val="center"/>
        </w:trPr>
        <w:tc>
          <w:tcPr>
            <w:tcW w:w="85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601117</w:t>
            </w:r>
          </w:p>
        </w:tc>
        <w:tc>
          <w:tcPr>
            <w:tcW w:w="1418"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中国化学</w:t>
            </w:r>
          </w:p>
        </w:tc>
        <w:tc>
          <w:tcPr>
            <w:tcW w:w="17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1,176,471</w:t>
            </w:r>
          </w:p>
        </w:tc>
        <w:tc>
          <w:tcPr>
            <w:tcW w:w="1984"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11,611,768.77</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kern w:val="0"/>
              </w:rPr>
              <w:t>1.26</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 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债券品种</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公允价值(元)</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占基金资产净值比例(％)</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国家债券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21,256,000.00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2.31</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央行票据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金融债券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173,635,000.00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18.89</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其中：政策性金融债</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49,958,000.00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5.44</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企业债券</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419,859,680.00</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45.69</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企业短期融资券</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中期票据</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152,417,000.00</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16.59</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可转债</w:t>
            </w:r>
            <w:r w:rsidRPr="00177B84">
              <w:rPr>
                <w:rFonts w:asciiTheme="minorEastAsia" w:eastAsiaTheme="minorEastAsia" w:hAnsiTheme="minorEastAsia" w:hint="eastAsia"/>
                <w:color w:val="000000" w:themeColor="text1"/>
              </w:rPr>
              <w:t>（可交换债）</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29,631,703.88</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3.22</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同业存单</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其他</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08" w:type="dxa"/>
          <w:tblLayout w:type="fixed"/>
          <w:tblLook w:val="04A0"/>
        </w:tblPrEx>
        <w:tc>
          <w:tcPr>
            <w:tcW w:w="81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合计</w:t>
            </w:r>
          </w:p>
        </w:tc>
        <w:tc>
          <w:tcPr>
            <w:tcW w:w="283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796,799,383.88</w:t>
            </w:r>
          </w:p>
        </w:tc>
        <w:tc>
          <w:tcPr>
            <w:tcW w:w="1616"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86.71</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 报告期末按公允价值占基金资产净值比例大小排序的前五名债券投资明细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559"/>
        <w:gridCol w:w="1985"/>
        <w:gridCol w:w="1559"/>
        <w:gridCol w:w="2126"/>
        <w:gridCol w:w="9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序号</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债券代码</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债券名称</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数量（张）</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公允价值(元)</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1828011</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18中国银行二级02</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52,055,000.00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5.66</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210404</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21农发04</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450,000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44,955,000.00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4.89</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188343</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21国电02</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40,168,000.00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4.37</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112457</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16魏桥05</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395,850</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39,901,680.00</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4.34</w:t>
            </w:r>
          </w:p>
        </w:tc>
      </w:tr>
      <w:tr>
        <w:tblPrEx>
          <w:tblW w:w="0" w:type="auto"/>
          <w:tblInd w:w="15" w:type="dxa"/>
          <w:tblLayout w:type="fixed"/>
          <w:tblLook w:val="04A0"/>
        </w:tblPrEx>
        <w:tc>
          <w:tcPr>
            <w:tcW w:w="8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1928006</w:t>
            </w:r>
          </w:p>
        </w:tc>
        <w:tc>
          <w:tcPr>
            <w:tcW w:w="198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19工商银行二级01</w:t>
            </w:r>
          </w:p>
        </w:tc>
        <w:tc>
          <w:tcPr>
            <w:tcW w:w="1559"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300,000</w:t>
            </w:r>
          </w:p>
        </w:tc>
        <w:tc>
          <w:tcPr>
            <w:tcW w:w="2126"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30,798,000.00</w:t>
            </w:r>
          </w:p>
        </w:tc>
        <w:tc>
          <w:tcPr>
            <w:tcW w:w="990"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3.35</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　报告期末按公允价值占基金资产净值比例大小排序的前十名资产支持证券投资明细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1269"/>
        <w:gridCol w:w="1172"/>
        <w:gridCol w:w="1694"/>
        <w:gridCol w:w="1670"/>
        <w:gridCol w:w="1608"/>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87"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序号</w:t>
            </w:r>
          </w:p>
        </w:tc>
        <w:tc>
          <w:tcPr>
            <w:tcW w:w="1329"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证券代码</w:t>
            </w:r>
          </w:p>
        </w:tc>
        <w:tc>
          <w:tcPr>
            <w:tcW w:w="1263"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证券名称</w:t>
            </w:r>
          </w:p>
        </w:tc>
        <w:tc>
          <w:tcPr>
            <w:tcW w:w="1815"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数量(份)</w:t>
            </w:r>
          </w:p>
        </w:tc>
        <w:tc>
          <w:tcPr>
            <w:tcW w:w="169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占基金资产净值比例（%）</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169307</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兴辰01B</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70,000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7,044,800.00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0.77</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7、报告期末按公允价值占基金资产净值比例大小排序的前五名贵金属投资明细</w:t>
      </w:r>
    </w:p>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本基金本报告期末未持有贵金属。</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8、报告期末按公允价值占基金资产净值比例大小排序的前五名权证投资明细</w:t>
      </w:r>
    </w:p>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本基金本报告期末未持有权证。</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9、报告期末本基金投资的股指期货交易情况说明</w:t>
      </w:r>
    </w:p>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本基金本报告期末未投资股指期货。</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10、报告期末本基金投资的国债期货交易情况说明</w:t>
      </w:r>
    </w:p>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本基金本报告期末未投资国债期货。</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11、投资组合报告附注</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 本基金投资的前十名证券的发行主体中，中国银行股份有限公司在报告编制日前一年内曾受到中国银行保险监督管理委员会的处罚。工商银行股份有限公司在报告编制日前一年内曾受到中国人民银行衡水市中心支行、国家外汇管理局北京外汇管理部、中国银行保险监督管理委员会的处罚。深圳市地铁集团有限公司在报告编制日前一年内曾受到深圳市交通运输局、深圳市龙岗区城市管理和综合执法局、广东省交通行政执法局、深圳市福田区水务局的处罚。</w:t>
      </w:r>
    </w:p>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 本基金投资的前十名股票没有超出基金合同规定的备选股票库。</w:t>
      </w:r>
    </w:p>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59"/>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7"/>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金额(元)</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116,467.68</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77,825.00</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12,747,118.55</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817,063.95</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w:t>
            </w:r>
          </w:p>
        </w:tc>
      </w:tr>
      <w:tr>
        <w:tblPrEx>
          <w:tblW w:w="0" w:type="auto"/>
          <w:tblInd w:w="15" w:type="dxa"/>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9</w:t>
            </w:r>
          </w:p>
        </w:tc>
        <w:tc>
          <w:tcPr>
            <w:tcW w:w="2761"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lef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62416E" w:rsidRPr="00177B84">
            <w:pPr>
              <w:autoSpaceDE w:val="0"/>
              <w:autoSpaceDN w:val="0"/>
              <w:adjustRightInd w:val="0"/>
              <w:ind w:left="15"/>
              <w:jc w:val="right"/>
              <w:rPr>
                <w:rFonts w:asciiTheme="minorEastAsia" w:eastAsiaTheme="minorEastAsia" w:hAnsiTheme="minorEastAsia"/>
                <w:color w:val="000000" w:themeColor="text1"/>
                <w:kern w:val="0"/>
                <w:sz w:val="24"/>
              </w:rPr>
            </w:pPr>
            <w:r w:rsidRPr="00177B84">
              <w:rPr>
                <w:rFonts w:asciiTheme="minorEastAsia" w:eastAsiaTheme="minorEastAsia" w:hAnsiTheme="minorEastAsia"/>
                <w:color w:val="000000" w:themeColor="text1"/>
                <w:kern w:val="0"/>
              </w:rPr>
              <w:t>13,758,475.18</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566"/>
        <w:gridCol w:w="1663"/>
        <w:gridCol w:w="1727"/>
        <w:gridCol w:w="1608"/>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序号</w:t>
            </w:r>
          </w:p>
        </w:tc>
        <w:tc>
          <w:tcPr>
            <w:tcW w:w="2568"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债券代码</w:t>
            </w:r>
          </w:p>
        </w:tc>
        <w:tc>
          <w:tcPr>
            <w:tcW w:w="166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债券名称</w:t>
            </w:r>
          </w:p>
        </w:tc>
        <w:tc>
          <w:tcPr>
            <w:tcW w:w="172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公允价值(元)</w:t>
            </w:r>
          </w:p>
        </w:tc>
        <w:tc>
          <w:tcPr>
            <w:tcW w:w="1609"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占基金资产净值比例(%)</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127018</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本钢转债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16,430,637.18</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1.79</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110072</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广汇转债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6,301,533.50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0.69</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120003</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19华菱EB</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2,240,994.56</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113042</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上银转债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1,302,028.20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0.14</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128127</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文科转债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986,505.24</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0.11</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113044</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大秦转债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638,396.00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0.07</w:t>
            </w:r>
          </w:p>
        </w:tc>
      </w:tr>
      <w:tr>
        <w:tblPrEx>
          <w:tblW w:w="0" w:type="auto"/>
          <w:tblInd w:w="15" w:type="dxa"/>
          <w:tblLook w:val="04A0"/>
        </w:tblPrEx>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110076</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华海转债</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307,564.40</w:t>
            </w:r>
          </w:p>
        </w:tc>
        <w:tc>
          <w:tcPr>
            <w:tcW w:w="0" w:type="auto"/>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0.03</w:t>
            </w:r>
          </w:p>
        </w:tc>
      </w:tr>
    </w:tbl>
    <w:p w:rsidR="00554F44" w:rsidRPr="00177B84">
      <w:pPr>
        <w:spacing w:line="360" w:lineRule="auto"/>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占基金资产净值比例(%)</w:t>
            </w:r>
          </w:p>
        </w:tc>
        <w:tc>
          <w:tcPr>
            <w:tcW w:w="1367" w:type="dxa"/>
            <w:tcBorders>
              <w:top w:val="single" w:sz="0" w:space="0" w:color="000000"/>
              <w:left w:val="single" w:sz="0" w:space="0" w:color="000000"/>
              <w:bottom w:val="single" w:sz="0" w:space="0" w:color="000000"/>
              <w:right w:val="single" w:sz="0" w:space="0" w:color="000000"/>
            </w:tcBorders>
            <w:vAlign w:val="center"/>
          </w:tcPr>
          <w:p w:rsidR="0062416E" w:rsidRPr="00177B84">
            <w:pPr>
              <w:ind w:left="17"/>
              <w:jc w:val="center"/>
              <w:rPr>
                <w:rFonts w:asciiTheme="minorEastAsia" w:eastAsiaTheme="minorEastAsia" w:hAnsiTheme="minorEastAsia"/>
                <w:color w:val="000000" w:themeColor="text1"/>
                <w:sz w:val="24"/>
              </w:rPr>
            </w:pPr>
            <w:r w:rsidRPr="00177B84">
              <w:rPr>
                <w:rFonts w:asciiTheme="minorEastAsia" w:eastAsiaTheme="minorEastAsia" w:hAnsiTheme="minorEastAsia"/>
                <w:color w:val="000000" w:themeColor="text1"/>
              </w:rPr>
              <w:t>流通受限情况说明</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601117</w:t>
            </w:r>
          </w:p>
        </w:tc>
        <w:tc>
          <w:tcPr>
            <w:tcW w:w="13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中国化学</w:t>
            </w:r>
          </w:p>
        </w:tc>
        <w:tc>
          <w:tcPr>
            <w:tcW w:w="180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11,611,768.77</w:t>
            </w:r>
          </w:p>
        </w:tc>
        <w:tc>
          <w:tcPr>
            <w:tcW w:w="165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1.26</w:t>
            </w:r>
          </w:p>
        </w:tc>
        <w:tc>
          <w:tcPr>
            <w:tcW w:w="136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非公开发行流通受限</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w:t>
            </w:r>
          </w:p>
        </w:tc>
        <w:tc>
          <w:tcPr>
            <w:tcW w:w="1302"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603179</w:t>
            </w:r>
          </w:p>
        </w:tc>
        <w:tc>
          <w:tcPr>
            <w:tcW w:w="1301" w:type="dxa"/>
            <w:tcBorders>
              <w:top w:val="single" w:sz="0" w:space="0" w:color="000000"/>
              <w:left w:val="single" w:sz="0" w:space="0" w:color="000000"/>
              <w:bottom w:val="single" w:sz="0" w:space="0" w:color="000000"/>
              <w:right w:val="single" w:sz="0" w:space="0" w:color="000000"/>
            </w:tcBorders>
            <w:vAlign w:val="center"/>
          </w:tcPr>
          <w:p w:rsidR="0062416E"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新泉股份</w:t>
            </w:r>
          </w:p>
        </w:tc>
        <w:tc>
          <w:tcPr>
            <w:tcW w:w="180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10,908,000.00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1.19</w:t>
            </w:r>
          </w:p>
        </w:tc>
        <w:tc>
          <w:tcPr>
            <w:tcW w:w="1367" w:type="dxa"/>
            <w:tcBorders>
              <w:top w:val="single" w:sz="0" w:space="0" w:color="000000"/>
              <w:left w:val="single" w:sz="0" w:space="0" w:color="000000"/>
              <w:bottom w:val="single" w:sz="0" w:space="0" w:color="000000"/>
              <w:right w:val="single" w:sz="0" w:space="0" w:color="000000"/>
            </w:tcBorders>
            <w:vAlign w:val="center"/>
          </w:tcPr>
          <w:p w:rsidR="0062416E" w:rsidRPr="00177B84">
            <w:pPr>
              <w:jc w:val="righ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大宗交易流通受限</w:t>
            </w:r>
          </w:p>
        </w:tc>
      </w:tr>
    </w:tbl>
    <w:p w:rsidR="00554F44" w:rsidRPr="00177B84">
      <w:pPr>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根据《深圳/上海证券交易所上市公司股东及董事、监事、高级管理人员减持股份实施细则》，大股东减持或者特定股东减持，采取大宗交易方式的，在任意连续90日内，减持股份的总数不得超过公司股份总数的2%；前款交易的受让方在受让后6个月内，不得转让所受让的股份。</w:t>
      </w:r>
      <w:r w:rsidRPr="00177B84">
        <w:rPr>
          <w:rFonts w:asciiTheme="minorEastAsia" w:eastAsiaTheme="minorEastAsia" w:hAnsiTheme="minorEastAsia"/>
          <w:color w:val="000000" w:themeColor="text1"/>
        </w:rPr>
        <w:br w:type="page"/>
      </w:r>
    </w:p>
    <w:p w:rsidR="00C40B0C" w:rsidRPr="00177B84" w:rsidP="00C40B0C">
      <w:pPr>
        <w:pStyle w:val="Heading1"/>
        <w:snapToGrid w:val="0"/>
        <w:spacing w:beforeLines="0" w:afterLines="0" w:line="360" w:lineRule="auto"/>
        <w:ind w:firstLine="640"/>
        <w:rPr>
          <w:rFonts w:asciiTheme="minorEastAsia" w:eastAsiaTheme="minorEastAsia" w:hAnsiTheme="minorEastAsia"/>
          <w:color w:val="000000" w:themeColor="text1"/>
        </w:rPr>
      </w:pPr>
      <w:bookmarkStart w:id="60" w:name="_Toc103006841"/>
      <w:r w:rsidRPr="00177B84">
        <w:rPr>
          <w:rFonts w:asciiTheme="minorEastAsia" w:eastAsiaTheme="minorEastAsia" w:hAnsiTheme="minorEastAsia"/>
          <w:color w:val="000000" w:themeColor="text1"/>
        </w:rPr>
        <w:t>十二、基金的业绩</w:t>
      </w:r>
      <w:bookmarkEnd w:id="60"/>
    </w:p>
    <w:p w:rsidR="00C40B0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C40B0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本基金合同生效日为2017年1月11日，基金合同生效以来（截至2020年12月31日）的投资业绩及与同期基准的比较如下表所示：</w:t>
      </w:r>
    </w:p>
    <w:p w:rsidR="00C40B0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w:t>
      </w:r>
      <w:r w:rsidRPr="00177B84">
        <w:rPr>
          <w:rFonts w:asciiTheme="minorEastAsia" w:eastAsiaTheme="minorEastAsia" w:hAnsiTheme="minorEastAsia"/>
          <w:color w:val="000000" w:themeColor="text1"/>
        </w:rPr>
        <w:t>、易方达瑞弘混合A</w:t>
      </w:r>
      <w:r w:rsidRPr="00177B84">
        <w:rPr>
          <w:rFonts w:asciiTheme="minorEastAsia" w:eastAsiaTheme="minorEastAsia" w:hAnsiTheme="minorEastAsia" w:hint="eastAsia"/>
          <w:color w:val="000000" w:themeColor="text1"/>
        </w:rPr>
        <w:t>类基金份额净值增长率与同期业绩比较基准收益率比较</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021"/>
        <w:gridCol w:w="1291"/>
        <w:gridCol w:w="1291"/>
        <w:gridCol w:w="1291"/>
        <w:gridCol w:w="1291"/>
        <w:gridCol w:w="1291"/>
      </w:tblGrid>
      <w:tr w:rsidTr="00CA0665">
        <w:tblPrEx>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04"/>
          <w:jc w:val="center"/>
        </w:trPr>
        <w:tc>
          <w:tcPr>
            <w:tcW w:w="2269"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阶段</w:t>
            </w:r>
          </w:p>
        </w:tc>
        <w:tc>
          <w:tcPr>
            <w:tcW w:w="102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净值增长率</w:t>
            </w:r>
            <w:r w:rsidRPr="00177B84">
              <w:rPr>
                <w:rFonts w:asciiTheme="minorEastAsia" w:eastAsiaTheme="minorEastAsia" w:hAnsiTheme="minorEastAsia" w:cs="宋体" w:hint="eastAsia"/>
                <w:bCs/>
                <w:color w:val="000000" w:themeColor="text1"/>
              </w:rPr>
              <w:t>①</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净值增长率标准差</w:t>
            </w:r>
            <w:r w:rsidRPr="00177B84">
              <w:rPr>
                <w:rFonts w:asciiTheme="minorEastAsia" w:eastAsiaTheme="minorEastAsia" w:hAnsiTheme="minorEastAsia" w:cs="宋体" w:hint="eastAsia"/>
                <w:bCs/>
                <w:color w:val="000000" w:themeColor="text1"/>
              </w:rPr>
              <w:t>②</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业绩比较基准收益率</w:t>
            </w:r>
            <w:r w:rsidRPr="00177B84">
              <w:rPr>
                <w:rFonts w:asciiTheme="minorEastAsia" w:eastAsiaTheme="minorEastAsia" w:hAnsiTheme="minorEastAsia" w:cs="宋体" w:hint="eastAsia"/>
                <w:bCs/>
                <w:color w:val="000000" w:themeColor="text1"/>
              </w:rPr>
              <w:t>③</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业绩比较基准收益率标准差</w:t>
            </w:r>
            <w:r w:rsidRPr="00177B84">
              <w:rPr>
                <w:rFonts w:asciiTheme="minorEastAsia" w:eastAsiaTheme="minorEastAsia" w:hAnsiTheme="minorEastAsia" w:cs="宋体" w:hint="eastAsia"/>
                <w:bCs/>
                <w:color w:val="000000" w:themeColor="text1"/>
              </w:rPr>
              <w:t>④</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cs="宋体" w:hint="eastAsia"/>
                <w:bCs/>
                <w:color w:val="000000" w:themeColor="text1"/>
              </w:rPr>
              <w:t>①</w:t>
            </w:r>
            <w:r w:rsidRPr="00177B84">
              <w:rPr>
                <w:rFonts w:asciiTheme="minorEastAsia" w:eastAsiaTheme="minorEastAsia" w:hAnsiTheme="minorEastAsia"/>
                <w:bCs/>
                <w:color w:val="000000" w:themeColor="text1"/>
              </w:rPr>
              <w:t>－</w:t>
            </w:r>
            <w:r w:rsidRPr="00177B84">
              <w:rPr>
                <w:rFonts w:asciiTheme="minorEastAsia" w:eastAsiaTheme="minorEastAsia" w:hAnsiTheme="minorEastAsia" w:cs="宋体" w:hint="eastAsia"/>
                <w:bCs/>
                <w:color w:val="000000" w:themeColor="text1"/>
              </w:rPr>
              <w:t>③</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cs="宋体" w:hint="eastAsia"/>
                <w:bCs/>
                <w:color w:val="000000" w:themeColor="text1"/>
              </w:rPr>
              <w:t>②</w:t>
            </w:r>
            <w:r w:rsidRPr="00177B84">
              <w:rPr>
                <w:rFonts w:asciiTheme="minorEastAsia" w:eastAsiaTheme="minorEastAsia" w:hAnsiTheme="minorEastAsia"/>
                <w:bCs/>
                <w:color w:val="000000" w:themeColor="text1"/>
              </w:rPr>
              <w:t>－</w:t>
            </w:r>
            <w:r w:rsidRPr="00177B84">
              <w:rPr>
                <w:rFonts w:asciiTheme="minorEastAsia" w:eastAsiaTheme="minorEastAsia" w:hAnsiTheme="minorEastAsia" w:cs="宋体" w:hint="eastAsia"/>
                <w:bCs/>
                <w:color w:val="000000" w:themeColor="text1"/>
              </w:rPr>
              <w:t>④</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自基金合同生效日至2017年12月31日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9.16%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4.19%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4.97%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0.03%</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2018年1月1日至2018年12月31日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1.28%</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-0.23%</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0.10%</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2019年1月1日至2019年12月31日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24.29%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10.88%</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13.41%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0.15%</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2020年1月1日至2020年12月31日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26.91%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0.60%</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7.82%</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19.09%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0.33%</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自基金合同生效日至2020年12月31日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74.40%</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0.41%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24.48%</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0.23%</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49.92%</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0.18%</w:t>
            </w:r>
          </w:p>
        </w:tc>
      </w:tr>
    </w:tbl>
    <w:p w:rsidR="00C40B0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w:t>
      </w:r>
      <w:r w:rsidRPr="00177B84">
        <w:rPr>
          <w:rFonts w:asciiTheme="minorEastAsia" w:eastAsiaTheme="minorEastAsia" w:hAnsiTheme="minorEastAsia"/>
          <w:color w:val="000000" w:themeColor="text1"/>
        </w:rPr>
        <w:t>、易方达瑞弘混合C</w:t>
      </w:r>
      <w:r w:rsidRPr="00177B84">
        <w:rPr>
          <w:rFonts w:asciiTheme="minorEastAsia" w:eastAsiaTheme="minorEastAsia" w:hAnsiTheme="minorEastAsia" w:hint="eastAsia"/>
          <w:color w:val="000000" w:themeColor="text1"/>
        </w:rPr>
        <w:t>类基金份额净值增长率与同期业绩比较基准收益率比较</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021"/>
        <w:gridCol w:w="1291"/>
        <w:gridCol w:w="1291"/>
        <w:gridCol w:w="1291"/>
        <w:gridCol w:w="1291"/>
        <w:gridCol w:w="1291"/>
      </w:tblGrid>
      <w:tr w:rsidTr="00CA0665">
        <w:tblPrEx>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70"/>
          <w:jc w:val="center"/>
        </w:trPr>
        <w:tc>
          <w:tcPr>
            <w:tcW w:w="2269"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阶段</w:t>
            </w:r>
          </w:p>
        </w:tc>
        <w:tc>
          <w:tcPr>
            <w:tcW w:w="102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净值增长率</w:t>
            </w:r>
            <w:r w:rsidRPr="00177B84">
              <w:rPr>
                <w:rFonts w:asciiTheme="minorEastAsia" w:eastAsiaTheme="minorEastAsia" w:hAnsiTheme="minorEastAsia" w:cs="宋体" w:hint="eastAsia"/>
                <w:bCs/>
                <w:color w:val="000000" w:themeColor="text1"/>
              </w:rPr>
              <w:t>①</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净值增长率标准差</w:t>
            </w:r>
            <w:r w:rsidRPr="00177B84">
              <w:rPr>
                <w:rFonts w:asciiTheme="minorEastAsia" w:eastAsiaTheme="minorEastAsia" w:hAnsiTheme="minorEastAsia" w:cs="宋体" w:hint="eastAsia"/>
                <w:bCs/>
                <w:color w:val="000000" w:themeColor="text1"/>
              </w:rPr>
              <w:t>②</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业绩比较基准收益率</w:t>
            </w:r>
            <w:r w:rsidRPr="00177B84">
              <w:rPr>
                <w:rFonts w:asciiTheme="minorEastAsia" w:eastAsiaTheme="minorEastAsia" w:hAnsiTheme="minorEastAsia" w:cs="宋体" w:hint="eastAsia"/>
                <w:bCs/>
                <w:color w:val="000000" w:themeColor="text1"/>
              </w:rPr>
              <w:t>③</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业绩比较基准收益率标准差</w:t>
            </w:r>
            <w:r w:rsidRPr="00177B84">
              <w:rPr>
                <w:rFonts w:asciiTheme="minorEastAsia" w:eastAsiaTheme="minorEastAsia" w:hAnsiTheme="minorEastAsia" w:cs="宋体" w:hint="eastAsia"/>
                <w:bCs/>
                <w:color w:val="000000" w:themeColor="text1"/>
              </w:rPr>
              <w:t>④</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cs="宋体" w:hint="eastAsia"/>
                <w:bCs/>
                <w:color w:val="000000" w:themeColor="text1"/>
              </w:rPr>
              <w:t>①</w:t>
            </w:r>
            <w:r w:rsidRPr="00177B84">
              <w:rPr>
                <w:rFonts w:asciiTheme="minorEastAsia" w:eastAsiaTheme="minorEastAsia" w:hAnsiTheme="minorEastAsia"/>
                <w:bCs/>
                <w:color w:val="000000" w:themeColor="text1"/>
              </w:rPr>
              <w:t>－</w:t>
            </w:r>
            <w:r w:rsidRPr="00177B84">
              <w:rPr>
                <w:rFonts w:asciiTheme="minorEastAsia" w:eastAsiaTheme="minorEastAsia" w:hAnsiTheme="minorEastAsia" w:cs="宋体" w:hint="eastAsia"/>
                <w:bCs/>
                <w:color w:val="000000" w:themeColor="text1"/>
              </w:rPr>
              <w:t>③</w:t>
            </w:r>
          </w:p>
        </w:tc>
        <w:tc>
          <w:tcPr>
            <w:tcW w:w="1291" w:type="dxa"/>
            <w:vAlign w:val="center"/>
          </w:tcPr>
          <w:p w:rsidR="00C40B0C" w:rsidRPr="00177B84" w:rsidP="00410738">
            <w:pPr>
              <w:autoSpaceDE w:val="0"/>
              <w:autoSpaceDN w:val="0"/>
              <w:adjustRightInd w:val="0"/>
              <w:snapToGrid w:val="0"/>
              <w:spacing w:before="240" w:after="60" w:line="288" w:lineRule="auto"/>
              <w:jc w:val="center"/>
              <w:textAlignment w:val="baseline"/>
              <w:rPr>
                <w:rFonts w:asciiTheme="minorEastAsia" w:eastAsiaTheme="minorEastAsia" w:hAnsiTheme="minorEastAsia"/>
                <w:bCs/>
                <w:color w:val="000000" w:themeColor="text1"/>
              </w:rPr>
            </w:pPr>
            <w:r w:rsidRPr="00177B84">
              <w:rPr>
                <w:rFonts w:asciiTheme="minorEastAsia" w:eastAsiaTheme="minorEastAsia" w:hAnsiTheme="minorEastAsia" w:cs="宋体" w:hint="eastAsia"/>
                <w:bCs/>
                <w:color w:val="000000" w:themeColor="text1"/>
              </w:rPr>
              <w:t>②</w:t>
            </w:r>
            <w:r w:rsidRPr="00177B84">
              <w:rPr>
                <w:rFonts w:asciiTheme="minorEastAsia" w:eastAsiaTheme="minorEastAsia" w:hAnsiTheme="minorEastAsia"/>
                <w:bCs/>
                <w:color w:val="000000" w:themeColor="text1"/>
              </w:rPr>
              <w:t>－</w:t>
            </w:r>
            <w:r w:rsidRPr="00177B84">
              <w:rPr>
                <w:rFonts w:asciiTheme="minorEastAsia" w:eastAsiaTheme="minorEastAsia" w:hAnsiTheme="minorEastAsia" w:cs="宋体" w:hint="eastAsia"/>
                <w:bCs/>
                <w:color w:val="000000" w:themeColor="text1"/>
              </w:rPr>
              <w:t>④</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自基金合同生效日至2017年12月31日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9.06%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4.19%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4.87%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0.03%</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2018年1月1日至2018年12月31日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1.12%</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1.51%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0.10%</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2019年1月1日至2019年12月31日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24.23%</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0.39%</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10.88%</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13.35%</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0.15%</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2020年1月1日至2020年12月31日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26.66%</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0.60%</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7.82%</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0.27%</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18.84%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0.33%</w:t>
            </w:r>
          </w:p>
        </w:tc>
      </w:tr>
      <w:tr>
        <w:tblPrEx>
          <w:tblW w:w="9745" w:type="dxa"/>
          <w:jc w:val="center"/>
          <w:tblLayout w:type="fixed"/>
          <w:tblLook w:val="04A0"/>
        </w:tblPrEx>
        <w:trPr>
          <w:jc w:val="center"/>
        </w:trPr>
        <w:tc>
          <w:tcPr>
            <w:tcW w:w="226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自基金合同生效日至2020年12月31日</w:t>
            </w:r>
          </w:p>
        </w:tc>
        <w:tc>
          <w:tcPr>
            <w:tcW w:w="102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73.52%</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0.41%</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24.48%</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0.23%</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49.04%</w:t>
            </w:r>
          </w:p>
        </w:tc>
        <w:tc>
          <w:tcPr>
            <w:tcW w:w="1291"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0.18%</w:t>
            </w:r>
          </w:p>
        </w:tc>
      </w:tr>
    </w:tbl>
    <w:p w:rsidR="0075221D" w:rsidRPr="00177B84" w:rsidP="00B65A79">
      <w:pPr>
        <w:widowControl/>
        <w:spacing w:line="360" w:lineRule="auto"/>
        <w:ind w:firstLine="420"/>
        <w:jc w:val="left"/>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本基金历任基金经理情况：张清华，管理时间为2017年1月11日至2018年2月1日；林森，管理时间为2017年3月7日至2022年5月6日。</w:t>
      </w:r>
    </w:p>
    <w:p w:rsidR="00B65A79" w:rsidRPr="00177B84">
      <w:pPr>
        <w:widowControl/>
        <w:jc w:val="left"/>
        <w:rPr>
          <w:rFonts w:asciiTheme="minorEastAsia" w:eastAsiaTheme="minorEastAsia" w:hAnsiTheme="minorEastAsia"/>
          <w:color w:val="000000" w:themeColor="text1"/>
          <w:sz w:val="30"/>
          <w:szCs w:val="32"/>
        </w:rPr>
        <w:sectPr w:rsidSect="00B5457F">
          <w:headerReference w:type="default" r:id="rId12"/>
          <w:footerReference w:type="default" r:id="rId13"/>
          <w:pgSz w:w="11906" w:h="16838" w:code="9"/>
          <w:pgMar w:top="1440" w:right="1800" w:bottom="1440" w:left="1800" w:header="851" w:footer="992" w:gutter="0"/>
          <w:pgNumType w:start="1"/>
          <w:cols w:space="720"/>
          <w:docGrid w:type="lines" w:linePitch="317"/>
        </w:sectPr>
      </w:pPr>
    </w:p>
    <w:p w:rsidR="00BA4B87" w:rsidRPr="00177B84" w:rsidP="00616952">
      <w:pPr>
        <w:pStyle w:val="Heading1"/>
        <w:snapToGrid w:val="0"/>
        <w:spacing w:beforeLines="0" w:afterLines="0" w:line="360" w:lineRule="auto"/>
        <w:ind w:firstLine="600"/>
        <w:rPr>
          <w:rFonts w:asciiTheme="minorEastAsia" w:eastAsiaTheme="minorEastAsia" w:hAnsiTheme="minorEastAsia"/>
          <w:color w:val="000000" w:themeColor="text1"/>
          <w:szCs w:val="21"/>
        </w:rPr>
      </w:pPr>
      <w:bookmarkStart w:id="61" w:name="_Toc103006842"/>
      <w:r w:rsidRPr="00177B84">
        <w:rPr>
          <w:rFonts w:asciiTheme="minorEastAsia" w:eastAsiaTheme="minorEastAsia" w:hAnsiTheme="minorEastAsia"/>
          <w:color w:val="000000" w:themeColor="text1"/>
          <w:sz w:val="30"/>
        </w:rPr>
        <w:t>十三、基金的财产</w:t>
      </w:r>
      <w:bookmarkEnd w:id="61"/>
    </w:p>
    <w:p w:rsidR="003356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（一）基金资产总值</w:t>
      </w:r>
    </w:p>
    <w:p w:rsidR="00C349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基金资产总值是指购买的各类证券及票据价值、银行存款本息和基金应收的申购基金款以及其他投资所形成的价值总和。</w:t>
      </w:r>
    </w:p>
    <w:p w:rsidR="003356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（二）基金资产净值</w:t>
      </w:r>
    </w:p>
    <w:p w:rsidR="00C349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基金资产净值是指基金资产总值减去基金负债后的价值。</w:t>
      </w:r>
    </w:p>
    <w:p w:rsidR="003356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（三）基金财产的账户</w:t>
      </w:r>
    </w:p>
    <w:p w:rsidR="00C349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（四）基金财产的保管和处分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77B84">
        <w:rPr>
          <w:rFonts w:asciiTheme="minorEastAsia" w:eastAsiaTheme="minorEastAsia" w:hAnsiTheme="minorEastAsia"/>
          <w:color w:val="000000" w:themeColor="text1"/>
        </w:rPr>
        <w:br w:type="page"/>
      </w:r>
    </w:p>
    <w:p w:rsidR="00BA4B87" w:rsidRPr="00177B84" w:rsidP="00C3497E">
      <w:pPr>
        <w:pStyle w:val="Heading1"/>
        <w:snapToGrid w:val="0"/>
        <w:spacing w:beforeLines="0" w:afterLines="0" w:line="360" w:lineRule="auto"/>
        <w:ind w:firstLine="600"/>
        <w:rPr>
          <w:rFonts w:asciiTheme="minorEastAsia" w:eastAsiaTheme="minorEastAsia" w:hAnsiTheme="minorEastAsia"/>
          <w:bCs/>
          <w:color w:val="000000" w:themeColor="text1"/>
        </w:rPr>
      </w:pPr>
      <w:bookmarkStart w:id="62" w:name="_Toc103006843"/>
      <w:bookmarkStart w:id="63" w:name="_Toc332373543"/>
      <w:r w:rsidRPr="00177B84">
        <w:rPr>
          <w:rFonts w:asciiTheme="minorEastAsia" w:eastAsiaTheme="minorEastAsia" w:hAnsiTheme="minorEastAsia"/>
          <w:color w:val="000000" w:themeColor="text1"/>
          <w:sz w:val="30"/>
        </w:rPr>
        <w:t>十四、基金资产的估值</w:t>
      </w:r>
      <w:bookmarkEnd w:id="62"/>
    </w:p>
    <w:bookmarkEnd w:id="63"/>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（一）估值日</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本基金的估值日为本基金相关的证券交易场所的交易日以及国家法律法规规定需要对外披露基金净值的非交易日。</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（二）估值对象</w:t>
      </w:r>
    </w:p>
    <w:p w:rsidR="00C349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基金所拥有的股票、债券、衍生工具和银行存款本息、应收款项、其它投资等资产及负债。</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（三）估值方法</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1、证券交易所上市的有价证券的估值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（2）交易所上市交易或挂牌转让的不含权和含权固定收益品种，选取第三方估值机构提供的相应品种当日的估值净价；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（3）交易所上市交易的可转换债券，选取每日收盘价作为估值全价；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（4）交易所市场挂牌转让的资产支持证券和私募债券，采用估值技术确定公允价值，在估值技术难以可靠计量公允价值的情况下，按成本估值。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2、处于未上市期间的有价证券应区分如下情况处理：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（1）送股、转增股、配股和公开增发的新股，按估值日在证券交易所挂牌的同一股票的估值方法估值；该日无交易的，以最近一日的市价（收盘价）估值；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（2）首次公开发行未上市的股票、债券和权证，采用估值技术确定公允价值，在估值技术难以可靠计量公允价值的情况下，按成本估值；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（3）首次公开发行有明确锁定期的股票，同一股票在交易所上市后，按交易所上市的同一股票的估值方法估值；非公开发行有明确锁定期的股票，按监管机构或行业协会有关规定确定公允价值。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3、全国银行间债券市场交易的固定收益品种，采用估值技术确定公允价值。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4、同一债券同时在两个或两个以上市场交易的，按债券所处的市场分别估值。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5、期货合约以估值当日结算价进行估值，估值当日无结算价的，且最近交易日后经济环境未发生重大变化的，采用最近交易日结算价估值。</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w:t>
      </w:r>
      <w:r w:rsidRPr="00177B84">
        <w:rPr>
          <w:rFonts w:asciiTheme="minorEastAsia" w:eastAsiaTheme="minorEastAsia" w:hAnsiTheme="minorEastAsia" w:hint="eastAsia"/>
          <w:color w:val="000000" w:themeColor="text1"/>
        </w:rPr>
        <w:t>本基金投资存托凭证的估值核算，依照境内上市交易的股票执行。</w:t>
      </w:r>
    </w:p>
    <w:p w:rsidR="00AD3EC7"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w:t>
      </w:r>
      <w:r w:rsidRPr="00177B84" w:rsidR="00B2727D">
        <w:rPr>
          <w:rFonts w:asciiTheme="minorEastAsia" w:eastAsiaTheme="minorEastAsia" w:hAnsiTheme="minorEastAsia"/>
          <w:color w:val="000000" w:themeColor="text1"/>
        </w:rPr>
        <w:t>如有充分理由表明按上述方法进行估值不能客观反映其公允价值的，基金管理人可根据具体情况与基金托管人商定后，按最能反映公允价值的价格估值。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w:t>
      </w:r>
      <w:r w:rsidRPr="00177B84" w:rsidR="00B2727D">
        <w:rPr>
          <w:rFonts w:asciiTheme="minorEastAsia" w:eastAsiaTheme="minorEastAsia" w:hAnsiTheme="minorEastAsia"/>
          <w:color w:val="000000" w:themeColor="text1"/>
        </w:rPr>
        <w:t>、相关法律法规以及监管部门有强制规定的，从其规定。如有新增事项，按国家最新规定估值。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C3497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（四）估值程序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1、基金份额净值是按照每个工作日闭市后，基金资产净值除以当日基金份额的余额数量计算，精确到0.0001元，小数点后第5位四舍五入。国家另有规定的，从其规定。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每个工作日计算基金资产净值及基金份额净值，并按规定公告。</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（五）估值错误的处理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基金管理人和基金托管人将采取必要、适当、合理的措施确保基金资产估值的准确性、及时性。当基金份额净值小数点后4位以内(含第4位)发生差错时，视为估值错误。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本基金合同的当事人应按照以下约定处理：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1、估值错误类型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上述估值错误的主要类型包括但不限于：资料申报差错、数据传输差错、数据计算差错、系统故障差错、下达指令差错等。</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2、估值错误处理原则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（2）估值错误的责任方对有关当事人的直接损失负责，不对间接损失负责，并且仅对估值错误的有关直接当事人负责，不对第三方负责。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（4）估值错误调整采用尽量恢复至假设未发生估值错误的正确情形的方式。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（5）按法律法规规定的其他原则处理估值错误。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3、估值错误处理程序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估值错误被发现后，有关的当事人应当及时进行处理，处理的程序如下：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（1）查明估值错误发生的原因，列明所有的当事人，并根据估值错误发生的原因确定估值错误的责任方；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（2）根据估值错误处理原则或当事人协商的方法对因估值错误造成的损失进行评估；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（3）根据估值错误处理原则或当事人协商的方法由估值错误的责任方进行更正和赔偿损失；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（4）根据估值错误处理的方法，需要修改基金登记机构交易数据的，由基金登记机构进行更正，并就估值错误的更正向有关当事人进行确认。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4、基金份额净值估值错误处理的方法如下：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（1）基金份额净值计算出现错误时，基金管理人应当立即予以纠正，通报基金托管人，并采取合理的措施防止损失进一步扩大。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（2）错误偏差达到基金份额净值的0.25%时，基金管理人应当通报基金托管人；错误偏差达到基金份额净值的0.5%时，基金管理人应当公告，并报中国证监会备案。</w:t>
      </w:r>
    </w:p>
    <w:p w:rsidR="00E615AB"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（3）前述内容如法律法规或监管机关另有规定的，从其规定处理。</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（六）暂停估值的情形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1、基金投资所涉及的证券交易市场遇法定节假日或因其他原因暂停营业时；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2、因不可抗力致使基金管理人、基金托管人无法准确评估基金资产价值时；</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w:t>
      </w:r>
      <w:r w:rsidRPr="00177B84">
        <w:rPr>
          <w:rFonts w:asciiTheme="minorEastAsia" w:eastAsiaTheme="minorEastAsia" w:hAnsiTheme="minorEastAsia" w:hint="eastAsia"/>
          <w:color w:val="000000" w:themeColor="text1"/>
        </w:rPr>
        <w:t>、当前一估值日基金资产净值</w:t>
      </w:r>
      <w:r w:rsidRPr="00177B84">
        <w:rPr>
          <w:rFonts w:asciiTheme="minorEastAsia" w:eastAsiaTheme="minorEastAsia" w:hAnsiTheme="minorEastAsia"/>
          <w:color w:val="000000" w:themeColor="text1"/>
        </w:rPr>
        <w:t>50%</w:t>
      </w:r>
      <w:r w:rsidRPr="00177B84">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以上的资产出现无可参考的活跃市场价格且采用估值技术仍导致公允价值存在重大不确定性时，经与基金托管人协商一致的；</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w:t>
      </w:r>
      <w:r w:rsidRPr="00177B84" w:rsidR="00C3497E">
        <w:rPr>
          <w:rFonts w:asciiTheme="minorEastAsia" w:eastAsiaTheme="minorEastAsia" w:hAnsiTheme="minorEastAsia"/>
          <w:color w:val="000000" w:themeColor="text1"/>
        </w:rPr>
        <w:t>、中国证监会和基金合同认定的其它情形。</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（七）基金净值的确认</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（八）特殊情况的处理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1、基金管理人或基金托管人按估值方法的第</w:t>
      </w:r>
      <w:r w:rsidRPr="00177B84" w:rsidR="006A575D">
        <w:rPr>
          <w:rFonts w:asciiTheme="minorEastAsia" w:eastAsiaTheme="minorEastAsia" w:hAnsiTheme="minorEastAsia"/>
          <w:color w:val="000000" w:themeColor="text1"/>
        </w:rPr>
        <w:t>7</w:t>
      </w:r>
      <w:r w:rsidRPr="00177B84">
        <w:rPr>
          <w:rFonts w:asciiTheme="minorEastAsia" w:eastAsiaTheme="minorEastAsia" w:hAnsiTheme="minorEastAsia"/>
          <w:color w:val="000000" w:themeColor="text1"/>
        </w:rPr>
        <w:t>项进行估值时，所造成的误差不作为基金资产估值错误处理。</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00"/>
        <w:rPr>
          <w:rFonts w:asciiTheme="minorEastAsia" w:eastAsiaTheme="minorEastAsia" w:hAnsiTheme="minorEastAsia"/>
          <w:bCs/>
          <w:color w:val="000000" w:themeColor="text1"/>
        </w:rPr>
      </w:pPr>
      <w:bookmarkStart w:id="64" w:name="_Toc103006844"/>
      <w:bookmarkStart w:id="65" w:name="_Toc332373553"/>
      <w:r w:rsidRPr="00177B84">
        <w:rPr>
          <w:rFonts w:asciiTheme="minorEastAsia" w:eastAsiaTheme="minorEastAsia" w:hAnsiTheme="minorEastAsia"/>
          <w:color w:val="000000" w:themeColor="text1"/>
          <w:sz w:val="30"/>
        </w:rPr>
        <w:t>十五、基金的收益分配</w:t>
      </w:r>
      <w:bookmarkEnd w:id="64"/>
    </w:p>
    <w:bookmarkEnd w:id="65"/>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（一）基金利润的构成</w:t>
      </w:r>
    </w:p>
    <w:p w:rsidR="00002E3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基金利润指基金利息收入、投资收益、公允价值变动收益和其他收入扣除相关费用后的余额，基金已实现收益指基金利润减去公允价值变动收益后的余额。</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（二）基金可供分配利润</w:t>
      </w:r>
    </w:p>
    <w:p w:rsidR="00002E3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基金可供分配利润指截至收益分配基准日基金未分配利润与未分配利润中已实现收益的孰低数。</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（三）基金收益分配原则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1、本基金收益分配方式分两种：现金分红与红利再投资，投资者可选择现金红利或将现金红利自动转为基金份额进行再投资；若投资者不选择，本基金默认的收益分配方式是现金分红；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2、基金收益分配后基金份额净值不能低于面值；即基金收益分配基准日的基金份额净值减去每单位基金份额收益分配金额后不能低于面值；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3、本基金各基金份额类别在费用收取上不同，其对应的可分配收益可能有所不同。同一类别的每一基金份额享有同等分配权；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4、在对基金份额持有人利益无实质不利影响的前提下，基金管理人可调整基金收益的分配原则和支付方式，不需召开基金份额持有人大会审议；</w:t>
      </w:r>
    </w:p>
    <w:p w:rsidR="00002E3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5、法律法规或监管机关另有规定的，从其规定。</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（四）收益分配方案</w:t>
      </w:r>
    </w:p>
    <w:p w:rsidR="00002E3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基金收益分配方案中应载明截止收益分配基准日的可供分配利润、基金收益分配对象、分配时间、分配数额及比例、分配方式等内容。</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（五）收益分配方案的确定、公告与实施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本基金收益分配方案由基金管理人拟定，并由基金托管人复核，在2日内在指定媒介公告。</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基金红利发放日距离收益分配基准日（即可供分配利润计算截止日）的时间不得超过15个工作日。</w:t>
      </w:r>
    </w:p>
    <w:p w:rsidR="005627CF"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（六）基金收益分配中发生的费用</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r w:rsidRPr="00177B84">
        <w:rPr>
          <w:rFonts w:asciiTheme="minorEastAsia" w:eastAsiaTheme="minorEastAsia" w:hAnsiTheme="minorEastAsia"/>
          <w:color w:val="000000" w:themeColor="text1"/>
        </w:rPr>
        <w:br w:type="page"/>
      </w:r>
    </w:p>
    <w:p w:rsidR="00BA4B87" w:rsidRPr="00177B84" w:rsidP="00616952">
      <w:pPr>
        <w:pStyle w:val="Heading1"/>
        <w:snapToGrid w:val="0"/>
        <w:spacing w:beforeLines="0" w:afterLines="0" w:line="360" w:lineRule="auto"/>
        <w:ind w:firstLine="600"/>
        <w:rPr>
          <w:rFonts w:asciiTheme="minorEastAsia" w:eastAsiaTheme="minorEastAsia" w:hAnsiTheme="minorEastAsia"/>
          <w:bCs/>
          <w:color w:val="000000" w:themeColor="text1"/>
        </w:rPr>
      </w:pPr>
      <w:bookmarkStart w:id="66" w:name="_Toc103006845"/>
      <w:bookmarkStart w:id="67" w:name="_Toc332373560"/>
      <w:r w:rsidRPr="00177B84">
        <w:rPr>
          <w:rFonts w:asciiTheme="minorEastAsia" w:eastAsiaTheme="minorEastAsia" w:hAnsiTheme="minorEastAsia"/>
          <w:color w:val="000000" w:themeColor="text1"/>
          <w:sz w:val="30"/>
        </w:rPr>
        <w:t>十六、基金的费用与税收</w:t>
      </w:r>
      <w:bookmarkEnd w:id="66"/>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68" w:name="_Toc332373561"/>
      <w:bookmarkEnd w:id="67"/>
      <w:r w:rsidRPr="00177B84">
        <w:rPr>
          <w:rFonts w:asciiTheme="minorEastAsia" w:eastAsiaTheme="minorEastAsia" w:hAnsiTheme="minorEastAsia"/>
          <w:color w:val="000000" w:themeColor="text1"/>
        </w:rPr>
        <w:t>（一）基金费用的种类</w:t>
      </w:r>
    </w:p>
    <w:bookmarkEnd w:id="68"/>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1、基金管理人的管理费；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2、基金托管人的托管费；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4、《基金合同》生效后与基金相关的信息披露费用；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5、《基金合同》生效后与基金相关的会计师费、律师费、诉讼费和仲裁费；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6、基金份额持有人大会费用；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7、基金的证券交易费用；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8、基金的银行汇划费用；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9、证券账户开户费用、银行账户维护费用；</w:t>
      </w:r>
    </w:p>
    <w:p w:rsidR="00E438A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10、按照国家有关规定和《基金合同》约定，可以在基金财产中列支的其他费用。</w:t>
      </w:r>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69" w:name="_Toc332373562"/>
      <w:r w:rsidRPr="00177B84">
        <w:rPr>
          <w:rFonts w:asciiTheme="minorEastAsia" w:eastAsiaTheme="minorEastAsia" w:hAnsiTheme="minorEastAsia"/>
          <w:color w:val="000000" w:themeColor="text1"/>
        </w:rPr>
        <w:t>（二）基金费用计提方法、计提标准和支付方式</w:t>
      </w:r>
    </w:p>
    <w:bookmarkEnd w:id="69"/>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1、基金管理人的管理费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本基金的管理费按前一日基金资产净值的0.60%年费率计提。管理费的计算方法如下：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H＝E×0.60%÷当年天数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H为每日应计提的基金管理费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E为前一日的基金资产净值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2、基金托管人的托管费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本基金的托管费按前一日基金资产净值的0.10%的年费率计提。托管费的计算方法如下：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H＝E×0.10%÷当年天数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H为每日应计提的基金托管费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E为前一日的基金资产净值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付等，支付日期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本基金A类基金份额不收取销售服务费，C类基金份额的销售服务费年费率为0.20%，按前一日C类基金资产净值的0.20%年费率计提。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销售服务费的计算方法如下：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H＝E×0.20%÷当年天数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H为C类基金份额每日应计提的销售服务费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E为C类基金份额前一日基金资产净值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E438A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上述“（一）基金费用的种类中第4－10项费用”，根据有关法规及相应协议规定，按费用实际支出金额列入当期费用，由基金托管人从基金财产中支付。</w:t>
      </w:r>
    </w:p>
    <w:p w:rsidR="004E0459" w:rsidRPr="00177B84" w:rsidP="002C5976">
      <w:pPr>
        <w:spacing w:line="360" w:lineRule="auto"/>
        <w:ind w:firstLine="420" w:firstLineChars="200"/>
        <w:rPr>
          <w:rFonts w:asciiTheme="minorEastAsia" w:eastAsiaTheme="minorEastAsia" w:hAnsiTheme="minorEastAsia"/>
          <w:color w:val="000000" w:themeColor="text1"/>
        </w:rPr>
      </w:pPr>
      <w:bookmarkStart w:id="70" w:name="_Toc332373563"/>
      <w:r w:rsidRPr="00177B84">
        <w:rPr>
          <w:rFonts w:asciiTheme="minorEastAsia" w:eastAsiaTheme="minorEastAsia" w:hAnsiTheme="minorEastAsia"/>
          <w:color w:val="000000" w:themeColor="text1"/>
        </w:rPr>
        <w:t>（</w:t>
      </w:r>
      <w:r w:rsidRPr="00177B84" w:rsidR="00090469">
        <w:rPr>
          <w:rFonts w:asciiTheme="minorEastAsia" w:eastAsiaTheme="minorEastAsia" w:hAnsiTheme="minorEastAsia"/>
          <w:color w:val="000000" w:themeColor="text1"/>
        </w:rPr>
        <w:t>三</w:t>
      </w:r>
      <w:r w:rsidRPr="00177B84">
        <w:rPr>
          <w:rFonts w:asciiTheme="minorEastAsia" w:eastAsiaTheme="minorEastAsia" w:hAnsiTheme="minorEastAsia"/>
          <w:color w:val="000000" w:themeColor="text1"/>
        </w:rPr>
        <w:t>）</w:t>
      </w:r>
      <w:r w:rsidRPr="00177B84" w:rsidR="00BA4B87">
        <w:rPr>
          <w:rFonts w:asciiTheme="minorEastAsia" w:eastAsiaTheme="minorEastAsia" w:hAnsiTheme="minorEastAsia"/>
          <w:color w:val="000000" w:themeColor="text1"/>
        </w:rPr>
        <w:t>不列入基金费用的项目</w:t>
      </w:r>
      <w:bookmarkStart w:id="71" w:name="_Toc332373564"/>
      <w:bookmarkEnd w:id="70"/>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下列费用不列入基金费用：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1、基金管理人和基金托管人因未履行或未完全履行义务导致的费用支出或基金财产的损失；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2、基金管理人和基金托管人处理与基金运作无关的事项发生的费用；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3、《基金合同》生效前的相关费用；</w:t>
      </w:r>
    </w:p>
    <w:p w:rsidR="004E045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4、其他根据相关法律法规及中国证监会的有关规定不得列入基金费用的项目。</w:t>
      </w:r>
    </w:p>
    <w:p w:rsidR="004E045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四</w:t>
      </w:r>
      <w:r w:rsidRPr="00177B84">
        <w:rPr>
          <w:rFonts w:asciiTheme="minorEastAsia" w:eastAsiaTheme="minorEastAsia" w:hAnsiTheme="minorEastAsia"/>
          <w:color w:val="000000" w:themeColor="text1"/>
        </w:rPr>
        <w:t>）费用调整</w:t>
      </w:r>
    </w:p>
    <w:p w:rsidR="004E045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基金管理人和基金托管人协商一致后，可按照基金发展情况，并根据法律法规规定和基金合同约定调低销售服务费率等相关费率。</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五</w:t>
      </w:r>
      <w:r w:rsidRPr="00177B84">
        <w:rPr>
          <w:rFonts w:asciiTheme="minorEastAsia" w:eastAsiaTheme="minorEastAsia" w:hAnsiTheme="minorEastAsia"/>
          <w:color w:val="000000" w:themeColor="text1"/>
        </w:rPr>
        <w:t>）与基金销售有关的费用</w:t>
      </w:r>
    </w:p>
    <w:p w:rsidR="009C5916" w:rsidRPr="00177B84" w:rsidP="002C5976">
      <w:pPr>
        <w:spacing w:line="360" w:lineRule="auto"/>
        <w:ind w:firstLine="420" w:firstLineChars="200"/>
        <w:rPr>
          <w:rFonts w:asciiTheme="minorEastAsia" w:eastAsiaTheme="minorEastAsia" w:hAnsiTheme="minorEastAsia"/>
          <w:color w:val="000000" w:themeColor="text1"/>
        </w:rPr>
      </w:pPr>
      <w:bookmarkStart w:id="72" w:name="_Toc332373565"/>
      <w:bookmarkEnd w:id="71"/>
      <w:r w:rsidRPr="00177B84">
        <w:rPr>
          <w:rFonts w:asciiTheme="minorEastAsia" w:eastAsiaTheme="minorEastAsia" w:hAnsiTheme="minorEastAsia" w:hint="eastAsia"/>
          <w:color w:val="000000" w:themeColor="text1"/>
        </w:rPr>
        <w:t>1、本基金申购费、赎回费的费率水平、计算公式、收取方式和使用方式请详见本招募说明书“八、基金份额的申购、赎回”中的“（七）基金的申购费和赎回费”与“（八）申购和赎回的数额和价格”中的相关规定。</w:t>
      </w:r>
    </w:p>
    <w:p w:rsidR="009C591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2、基金转换费用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基金转换费由基金份额持有人承担，由转出基金赎回费用及基金申购补差费用构成，其中赎回费用按照</w:t>
      </w:r>
      <w:r w:rsidRPr="00177B84" w:rsidR="00463409">
        <w:rPr>
          <w:rFonts w:asciiTheme="minorEastAsia" w:eastAsiaTheme="minorEastAsia" w:hAnsiTheme="minorEastAsia" w:hint="eastAsia"/>
          <w:color w:val="000000" w:themeColor="text1"/>
        </w:rPr>
        <w:t>各</w:t>
      </w:r>
      <w:r w:rsidRPr="00177B84" w:rsidR="00463409">
        <w:rPr>
          <w:rFonts w:asciiTheme="minorEastAsia" w:eastAsiaTheme="minorEastAsia" w:hAnsiTheme="minorEastAsia"/>
          <w:color w:val="000000" w:themeColor="text1"/>
        </w:rPr>
        <w:t>基金的</w:t>
      </w:r>
      <w:r w:rsidRPr="00177B84">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C591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3、投资者通过本公司网上交易系统（www.efunds.com.cn）进行申购、赎回和转换的交易费率，请具体参照我公司网站上的相关说明。</w:t>
      </w:r>
    </w:p>
    <w:p w:rsidR="004D0A8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优惠活动。</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762961">
        <w:rPr>
          <w:rFonts w:asciiTheme="minorEastAsia" w:eastAsiaTheme="minorEastAsia" w:hAnsiTheme="minorEastAsia"/>
          <w:color w:val="000000" w:themeColor="text1"/>
        </w:rPr>
        <w:t>六</w:t>
      </w:r>
      <w:r w:rsidRPr="00177B84">
        <w:rPr>
          <w:rFonts w:asciiTheme="minorEastAsia" w:eastAsiaTheme="minorEastAsia" w:hAnsiTheme="minorEastAsia"/>
          <w:color w:val="000000" w:themeColor="text1"/>
        </w:rPr>
        <w:t>）</w:t>
      </w:r>
      <w:r w:rsidRPr="00177B84" w:rsidR="00224A27">
        <w:rPr>
          <w:rFonts w:asciiTheme="minorEastAsia" w:eastAsiaTheme="minorEastAsia" w:hAnsiTheme="minorEastAsia" w:hint="eastAsia"/>
          <w:color w:val="000000" w:themeColor="text1"/>
        </w:rPr>
        <w:t>基金</w:t>
      </w:r>
      <w:r w:rsidRPr="00177B84">
        <w:rPr>
          <w:rFonts w:asciiTheme="minorEastAsia" w:eastAsiaTheme="minorEastAsia" w:hAnsiTheme="minorEastAsia"/>
          <w:color w:val="000000" w:themeColor="text1"/>
        </w:rPr>
        <w:t>税收</w:t>
      </w:r>
    </w:p>
    <w:bookmarkEnd w:id="72"/>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本基金运作过程中涉及的各纳税主体，其纳税义务按国家税收法律、法规执行。</w:t>
      </w:r>
      <w:r w:rsidRPr="00177B84">
        <w:rPr>
          <w:rFonts w:asciiTheme="minorEastAsia" w:eastAsiaTheme="minorEastAsia" w:hAnsiTheme="minorEastAsia"/>
          <w:color w:val="000000" w:themeColor="text1"/>
        </w:rPr>
        <w:br w:type="page"/>
      </w:r>
    </w:p>
    <w:p w:rsidR="00BA4B87" w:rsidRPr="00177B84" w:rsidP="00616952">
      <w:pPr>
        <w:pStyle w:val="Heading1"/>
        <w:snapToGrid w:val="0"/>
        <w:spacing w:beforeLines="0" w:afterLines="0" w:line="360" w:lineRule="auto"/>
        <w:ind w:firstLine="600"/>
        <w:rPr>
          <w:rFonts w:asciiTheme="minorEastAsia" w:eastAsiaTheme="minorEastAsia" w:hAnsiTheme="minorEastAsia"/>
          <w:bCs/>
          <w:color w:val="000000" w:themeColor="text1"/>
        </w:rPr>
      </w:pPr>
      <w:bookmarkStart w:id="73" w:name="_Toc103006846"/>
      <w:bookmarkStart w:id="74" w:name="_Toc332373566"/>
      <w:r w:rsidRPr="00177B84">
        <w:rPr>
          <w:rFonts w:asciiTheme="minorEastAsia" w:eastAsiaTheme="minorEastAsia" w:hAnsiTheme="minorEastAsia"/>
          <w:color w:val="000000" w:themeColor="text1"/>
          <w:sz w:val="30"/>
        </w:rPr>
        <w:t>十七、基金的会计与审计</w:t>
      </w:r>
      <w:bookmarkEnd w:id="73"/>
    </w:p>
    <w:bookmarkEnd w:id="74"/>
    <w:p w:rsidR="000E6D1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（一）基金会计政策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1、基金管理人为本基金的基金会计责任方；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2、基金的会计年度为公历年度的1月1日至12月31日；基金首次募集的会计年度按如下原则：如果《基金合同》生效少于2个月，可以并入下一个会计年度；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3、基金核算以人民币为记账本位币，以人民币元为记账单位；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4、会计制度执行国家有关会计制度；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5、本基金独立建账、独立核算；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6、基金管理人及基金托管人各自保留完整的会计账目、凭证并进行日常的会计核算，按照有关规定编制基金会计报表；</w:t>
      </w:r>
    </w:p>
    <w:p w:rsidR="000E6D1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7、基金托管人每月与基金管理人就基金的会计核算、报表编制等进行核对确认。</w:t>
      </w:r>
    </w:p>
    <w:p w:rsidR="000E6D1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（二）基金的年度审计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1、基金管理人聘请与基金管理人、基金托管人相互独立的具有证券</w:t>
      </w:r>
      <w:r w:rsidRPr="00177B84" w:rsidR="004A7CF9">
        <w:rPr>
          <w:rFonts w:asciiTheme="minorEastAsia" w:eastAsiaTheme="minorEastAsia" w:hAnsiTheme="minorEastAsia" w:hint="eastAsia"/>
          <w:bCs/>
          <w:color w:val="000000" w:themeColor="text1"/>
          <w:szCs w:val="21"/>
        </w:rPr>
        <w:t>、期货相关业务</w:t>
      </w:r>
      <w:r w:rsidRPr="00177B84">
        <w:rPr>
          <w:rFonts w:asciiTheme="minorEastAsia" w:eastAsiaTheme="minorEastAsia" w:hAnsiTheme="minorEastAsia"/>
          <w:color w:val="000000" w:themeColor="text1"/>
        </w:rPr>
        <w:t>资格的会计师事务所及其注册会计师对本基金的年度财务报表进行审计。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2、会计师事务所更换经办注册会计师，应事先征得基金管理人同意。</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3、基金管理人认为有充足理由更换会计师事务所，须通报基金托管人。更换会计师事务所需在2日内在指定媒介公告。</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00"/>
        <w:rPr>
          <w:rFonts w:asciiTheme="minorEastAsia" w:eastAsiaTheme="minorEastAsia" w:hAnsiTheme="minorEastAsia"/>
          <w:color w:val="000000" w:themeColor="text1"/>
        </w:rPr>
      </w:pPr>
      <w:bookmarkStart w:id="75" w:name="_Toc103006847"/>
      <w:bookmarkStart w:id="76" w:name="_Toc332373569"/>
      <w:r w:rsidRPr="00177B84">
        <w:rPr>
          <w:rFonts w:asciiTheme="minorEastAsia" w:eastAsiaTheme="minorEastAsia" w:hAnsiTheme="minorEastAsia"/>
          <w:color w:val="000000" w:themeColor="text1"/>
          <w:sz w:val="30"/>
        </w:rPr>
        <w:t>十八、基金的信息披露</w:t>
      </w:r>
      <w:bookmarkEnd w:id="75"/>
    </w:p>
    <w:bookmarkEnd w:id="76"/>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w:t>
      </w:r>
      <w:r w:rsidRPr="00177B84" w:rsidR="00CA3BE4">
        <w:rPr>
          <w:rFonts w:asciiTheme="minorEastAsia" w:eastAsiaTheme="minorEastAsia" w:hAnsiTheme="minorEastAsia"/>
          <w:color w:val="000000" w:themeColor="text1"/>
        </w:rPr>
        <w:t>本基金的信息披露应符合《基金法》、《运作办法》、《信息披露办法》、《基金合同》及其他有关规定。相关法律法规关于信息披露的披露方式、登载媒介、报备方式等规定发生变化时，本基金从其最新规定。</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（二）信息披露义务人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本基金信息披露义务人包括基金管理人、基金托管人、召集基金份额持有人大会的基金份额持有人等法律</w:t>
      </w:r>
      <w:r w:rsidRPr="00177B84" w:rsidR="004A7CF9">
        <w:rPr>
          <w:rFonts w:asciiTheme="minorEastAsia" w:eastAsiaTheme="minorEastAsia" w:hAnsiTheme="minorEastAsia" w:hint="eastAsia"/>
          <w:color w:val="000000" w:themeColor="text1"/>
          <w:szCs w:val="21"/>
        </w:rPr>
        <w:t>、行政</w:t>
      </w:r>
      <w:r w:rsidRPr="00177B84">
        <w:rPr>
          <w:rFonts w:asciiTheme="minorEastAsia" w:eastAsiaTheme="minorEastAsia" w:hAnsiTheme="minorEastAsia"/>
          <w:color w:val="000000" w:themeColor="text1"/>
        </w:rPr>
        <w:t>法规和中国证监会规定的自然人、法人和</w:t>
      </w:r>
      <w:r w:rsidRPr="00177B84" w:rsidR="004A7CF9">
        <w:rPr>
          <w:rFonts w:asciiTheme="minorEastAsia" w:eastAsiaTheme="minorEastAsia" w:hAnsiTheme="minorEastAsia" w:hint="eastAsia"/>
          <w:color w:val="000000" w:themeColor="text1"/>
          <w:szCs w:val="21"/>
        </w:rPr>
        <w:t>非法人</w:t>
      </w:r>
      <w:r w:rsidRPr="00177B84">
        <w:rPr>
          <w:rFonts w:asciiTheme="minorEastAsia" w:eastAsiaTheme="minorEastAsia" w:hAnsiTheme="minorEastAsia"/>
          <w:color w:val="000000" w:themeColor="text1"/>
        </w:rPr>
        <w:t>组织。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本基金信息披露义务人</w:t>
      </w:r>
      <w:r w:rsidRPr="00177B84" w:rsidR="004A7CF9">
        <w:rPr>
          <w:rFonts w:asciiTheme="minorEastAsia" w:eastAsiaTheme="minorEastAsia" w:hAnsiTheme="minorEastAsia" w:hint="eastAsia"/>
          <w:bCs/>
          <w:color w:val="000000" w:themeColor="text1"/>
          <w:szCs w:val="21"/>
        </w:rPr>
        <w:t>以保护基金份额持有人利益为根本出发点，</w:t>
      </w:r>
      <w:r w:rsidRPr="00177B84">
        <w:rPr>
          <w:rFonts w:asciiTheme="minorEastAsia" w:eastAsiaTheme="minorEastAsia" w:hAnsiTheme="minorEastAsia"/>
          <w:color w:val="000000" w:themeColor="text1"/>
        </w:rPr>
        <w:t>按照法律法规和中国证监会的规定披露基金信息，并保证所披露信息的真实性、准确性</w:t>
      </w:r>
      <w:r w:rsidRPr="00177B84" w:rsidR="004A7CF9">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完整性</w:t>
      </w:r>
      <w:r w:rsidRPr="00177B84" w:rsidR="004A7CF9">
        <w:rPr>
          <w:rFonts w:asciiTheme="minorEastAsia" w:eastAsiaTheme="minorEastAsia" w:hAnsiTheme="minorEastAsia" w:hint="eastAsia"/>
          <w:bCs/>
          <w:color w:val="000000" w:themeColor="text1"/>
          <w:szCs w:val="21"/>
        </w:rPr>
        <w:t>、及时性、简明性和易得性</w:t>
      </w:r>
      <w:r w:rsidRPr="00177B84">
        <w:rPr>
          <w:rFonts w:asciiTheme="minorEastAsia" w:eastAsiaTheme="minorEastAsia" w:hAnsiTheme="minorEastAsia"/>
          <w:color w:val="000000" w:themeColor="text1"/>
        </w:rPr>
        <w:t>。</w:t>
      </w:r>
    </w:p>
    <w:p w:rsidR="0099722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（三）本基金信息披露义务人承诺公开披露的基金信息，不得有下列行为：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（1）虚假记载、误导性陈述或者重大遗漏；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（2）对证券投资业绩进行预测；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（3）违规承诺收益或者承担损失；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（4）诋毁其他基金管理人、基金托管人或者基金销售机构；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（5）登载任何自然人、法人</w:t>
      </w:r>
      <w:r w:rsidRPr="00177B84" w:rsidR="004A7CF9">
        <w:rPr>
          <w:rFonts w:asciiTheme="minorEastAsia" w:eastAsiaTheme="minorEastAsia" w:hAnsiTheme="minorEastAsia" w:hint="eastAsia"/>
          <w:color w:val="000000" w:themeColor="text1"/>
          <w:szCs w:val="21"/>
        </w:rPr>
        <w:t>和非法人</w:t>
      </w:r>
      <w:r w:rsidRPr="00177B84">
        <w:rPr>
          <w:rFonts w:asciiTheme="minorEastAsia" w:eastAsiaTheme="minorEastAsia" w:hAnsiTheme="minorEastAsia"/>
          <w:color w:val="000000" w:themeColor="text1"/>
        </w:rPr>
        <w:t>组织的祝贺性、恭维性或推荐性的文字；</w:t>
      </w:r>
    </w:p>
    <w:p w:rsidR="00B8516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（6）中国证监会禁止的其他行为。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四</w:t>
      </w:r>
      <w:r w:rsidRPr="00177B84">
        <w:rPr>
          <w:rFonts w:asciiTheme="minorEastAsia" w:eastAsiaTheme="minorEastAsia" w:hAnsiTheme="minorEastAsia"/>
          <w:color w:val="000000" w:themeColor="text1"/>
        </w:rPr>
        <w:t>）</w:t>
      </w:r>
      <w:r w:rsidRPr="00177B84" w:rsidR="00B2727D">
        <w:rPr>
          <w:rFonts w:asciiTheme="minorEastAsia" w:eastAsiaTheme="minorEastAsia" w:hAnsiTheme="minorEastAsia"/>
          <w:color w:val="000000" w:themeColor="text1"/>
        </w:rPr>
        <w:t>本基金公开披露的信息应采用中文文本。如同时采用外文文本的，基金信息披露义务人应保证</w:t>
      </w:r>
      <w:r w:rsidRPr="00177B84" w:rsidR="00011F4A">
        <w:rPr>
          <w:rFonts w:asciiTheme="minorEastAsia" w:eastAsiaTheme="minorEastAsia" w:hAnsiTheme="minorEastAsia" w:hint="eastAsia"/>
          <w:color w:val="000000" w:themeColor="text1"/>
        </w:rPr>
        <w:t>不同</w:t>
      </w:r>
      <w:r w:rsidRPr="00177B84" w:rsidR="00B2727D">
        <w:rPr>
          <w:rFonts w:asciiTheme="minorEastAsia" w:eastAsiaTheme="minorEastAsia" w:hAnsiTheme="minorEastAsia"/>
          <w:color w:val="000000" w:themeColor="text1"/>
        </w:rPr>
        <w:t>文本的内容一致。</w:t>
      </w:r>
      <w:r w:rsidRPr="00177B84" w:rsidR="00011F4A">
        <w:rPr>
          <w:rFonts w:asciiTheme="minorEastAsia" w:eastAsiaTheme="minorEastAsia" w:hAnsiTheme="minorEastAsia" w:hint="eastAsia"/>
          <w:color w:val="000000" w:themeColor="text1"/>
        </w:rPr>
        <w:t>不同</w:t>
      </w:r>
      <w:r w:rsidRPr="00177B84" w:rsidR="00B2727D">
        <w:rPr>
          <w:rFonts w:asciiTheme="minorEastAsia" w:eastAsiaTheme="minorEastAsia" w:hAnsiTheme="minorEastAsia"/>
          <w:color w:val="000000" w:themeColor="text1"/>
        </w:rPr>
        <w:t>文本</w:t>
      </w:r>
      <w:r w:rsidRPr="00177B84" w:rsidR="00011F4A">
        <w:rPr>
          <w:rFonts w:asciiTheme="minorEastAsia" w:eastAsiaTheme="minorEastAsia" w:hAnsiTheme="minorEastAsia" w:hint="eastAsia"/>
          <w:color w:val="000000" w:themeColor="text1"/>
        </w:rPr>
        <w:t>之间</w:t>
      </w:r>
      <w:r w:rsidRPr="00177B84" w:rsidR="00B2727D">
        <w:rPr>
          <w:rFonts w:asciiTheme="minorEastAsia" w:eastAsiaTheme="minorEastAsia" w:hAnsiTheme="minorEastAsia"/>
          <w:color w:val="000000" w:themeColor="text1"/>
        </w:rPr>
        <w:t>发生歧义的，以中文文本为准。</w:t>
      </w:r>
    </w:p>
    <w:p w:rsidR="00C0164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本基金公开披露的信息采用阿拉伯数字；除特别说明外，货币单位为人民币元。</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（五）公开披露的基金信息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公开披露的基金信息包括：</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1、基金招募说明书、《基金合同》、基金托管协议</w:t>
      </w:r>
      <w:r w:rsidRPr="00177B84" w:rsidR="00011F4A">
        <w:rPr>
          <w:rFonts w:asciiTheme="minorEastAsia" w:eastAsiaTheme="minorEastAsia" w:hAnsiTheme="minorEastAsia" w:hint="eastAsia"/>
          <w:bCs/>
          <w:color w:val="000000" w:themeColor="text1"/>
          <w:szCs w:val="21"/>
        </w:rPr>
        <w:t>、基金产品资料概要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（1）《基金合同》是界定《基金合同》当事人的各项权利、义务关系，明确基金份额持有人大会召开的规则及具体程序，说明基金产品的特性等涉及基金投资者重大利益的事项的法律文件。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（2）基金招募说明书应当最大限度地披露影响基金投资者决策的全部事项，说明基金认购、申购和赎回安排、基金投资、基金产品特性、风险揭示、信息披露及基金份额持有人服务等内容。</w:t>
      </w:r>
      <w:r w:rsidRPr="00177B84" w:rsidR="00011F4A">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（3）基金托管协议是界定基金托管人和基金管理人在基金财产保管及基金运作监督等活动中的权利、义务关系的法律文件。</w:t>
      </w:r>
    </w:p>
    <w:p w:rsidR="00011F4A" w:rsidRPr="00177B84" w:rsidP="00011F4A">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基金募集申请经中国证监会注册后，基金管理人在基金份额发售的3日前，将基金招募说明书、《基金合同》摘要登载在指定媒介上；基金管理人、基金托管人应当将《基金合同》、基金托管协议登载在网站上。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2、基金份额发售公告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基金管理人应当就基金份额发售的具体事宜编制基金份额发售公告，并在披露招募说明书的当日登载于指定媒介上。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3、《基金合同》生效公告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基金管理人应当在收到中国证监会确认文件的次日在指定媒介上登载《基金合同》生效公告。</w:t>
      </w:r>
    </w:p>
    <w:p w:rsidR="00011F4A" w:rsidRPr="00177B84" w:rsidP="00011F4A">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color w:val="000000" w:themeColor="text1"/>
        </w:rPr>
        <w:t>4、</w:t>
      </w:r>
      <w:r w:rsidRPr="00177B84">
        <w:rPr>
          <w:rFonts w:asciiTheme="minorEastAsia" w:eastAsiaTheme="minorEastAsia" w:hAnsiTheme="minorEastAsia" w:hint="eastAsia"/>
          <w:bCs/>
          <w:color w:val="000000" w:themeColor="text1"/>
        </w:rPr>
        <w:t>基金净值信息</w:t>
      </w:r>
    </w:p>
    <w:p w:rsidR="00011F4A" w:rsidRPr="00177B84" w:rsidP="00011F4A">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《基金合同》生效后，在开始办理基金份额申购或者赎回前，基金管理人应当至少每周在指定网站披露一次基金份额净值和基金份额累计净值。</w:t>
      </w:r>
    </w:p>
    <w:p w:rsidR="00011F4A" w:rsidRPr="00177B84" w:rsidP="00011F4A">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在开始办理基金份额申购或者赎回后，基金管理人应当在不晚于每个开放日的次日，通过指定网站、基金销售机构网站或者营业网点，披露开放日的基金份额净值和基金份额累计净值。</w:t>
      </w:r>
    </w:p>
    <w:p w:rsidR="00011F4A" w:rsidRPr="00177B84" w:rsidP="00011F4A">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基金管理人应当在不晚于半年度和年度最后一日的次日，在指定网站披露半年度和年度最后一日的基金份额净值和基金份额累计净值。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在任何一个工作日A类或C类某一类基金份额为零时，本基金将停止计算该类基金份额净值和累计份额净值，暂停计算期间的该类基金份额净值和累计份额净值将按照另一类基金份额净值和累计份额净值披露，作为参考净值，用作确认投资者重新申购或转入该类基金份额时的计算价格。该类基金份额不为零时，将恢复计算该类基金份额净值和累计份额净值，其中该类基金累计份额净值＝该类基金份额净值＋该类基金恢复计算前的另一类份额累计分红＋该类基金恢复计算后的份额累计分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5、基金份额申购、赎回价格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基金管理人应当在《基金合同》、招募说明书等信息披露文件上载明基金份额申购、赎回价格的计算方式及有关申购、赎回费率，并保证投资者能够在基金</w:t>
      </w:r>
      <w:r w:rsidRPr="00177B84" w:rsidR="00011F4A">
        <w:rPr>
          <w:rFonts w:asciiTheme="minorEastAsia" w:eastAsiaTheme="minorEastAsia" w:hAnsiTheme="minorEastAsia" w:hint="eastAsia"/>
          <w:bCs/>
          <w:color w:val="000000" w:themeColor="text1"/>
          <w:szCs w:val="21"/>
        </w:rPr>
        <w:t>销售机构网站或者营业网点</w:t>
      </w:r>
      <w:r w:rsidRPr="00177B84">
        <w:rPr>
          <w:rFonts w:asciiTheme="minorEastAsia" w:eastAsiaTheme="minorEastAsia" w:hAnsiTheme="minorEastAsia"/>
          <w:color w:val="000000" w:themeColor="text1"/>
        </w:rPr>
        <w:t>查阅或者复制前述信息资料。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6、基金定期报告，包括基金年度报告、基金</w:t>
      </w:r>
      <w:r w:rsidRPr="00177B84" w:rsidR="00011F4A">
        <w:rPr>
          <w:rFonts w:asciiTheme="minorEastAsia" w:eastAsiaTheme="minorEastAsia" w:hAnsiTheme="minorEastAsia" w:hint="eastAsia"/>
          <w:color w:val="000000" w:themeColor="text1"/>
        </w:rPr>
        <w:t>中期</w:t>
      </w:r>
      <w:r w:rsidRPr="00177B84">
        <w:rPr>
          <w:rFonts w:asciiTheme="minorEastAsia" w:eastAsiaTheme="minorEastAsia" w:hAnsiTheme="minorEastAsia"/>
          <w:color w:val="000000" w:themeColor="text1"/>
        </w:rPr>
        <w:t>报告和基金季度报告</w:t>
      </w:r>
    </w:p>
    <w:p w:rsidR="00011F4A" w:rsidRPr="00177B84" w:rsidP="00011F4A">
      <w:pPr>
        <w:spacing w:line="360" w:lineRule="auto"/>
        <w:ind w:firstLine="420" w:firstLineChars="200"/>
        <w:rPr>
          <w:rFonts w:asciiTheme="minorEastAsia" w:eastAsiaTheme="minorEastAsia" w:hAnsiTheme="minorEastAsia"/>
          <w:bCs/>
          <w:color w:val="000000" w:themeColor="text1"/>
          <w:szCs w:val="21"/>
        </w:rPr>
      </w:pPr>
      <w:r w:rsidRPr="00177B84">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11F4A" w:rsidRPr="00177B84" w:rsidP="00011F4A">
      <w:pPr>
        <w:spacing w:line="360" w:lineRule="auto"/>
        <w:ind w:firstLine="420" w:firstLineChars="200"/>
        <w:rPr>
          <w:rFonts w:asciiTheme="minorEastAsia" w:eastAsiaTheme="minorEastAsia" w:hAnsiTheme="minorEastAsia"/>
          <w:bCs/>
          <w:color w:val="000000" w:themeColor="text1"/>
          <w:szCs w:val="21"/>
        </w:rPr>
      </w:pPr>
      <w:r w:rsidRPr="00177B84">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011F4A" w:rsidRPr="00177B84" w:rsidP="00011F4A">
      <w:pPr>
        <w:spacing w:line="360" w:lineRule="auto"/>
        <w:ind w:firstLine="420" w:firstLineChars="200"/>
        <w:rPr>
          <w:rFonts w:asciiTheme="minorEastAsia" w:eastAsiaTheme="minorEastAsia" w:hAnsiTheme="minorEastAsia"/>
          <w:bCs/>
          <w:color w:val="000000" w:themeColor="text1"/>
          <w:szCs w:val="21"/>
        </w:rPr>
      </w:pPr>
      <w:r w:rsidRPr="00177B84">
        <w:rPr>
          <w:rFonts w:asciiTheme="minorEastAsia" w:eastAsiaTheme="minorEastAsia" w:hAnsiTheme="minorEastAsia" w:hint="eastAsia"/>
          <w:bCs/>
          <w:color w:val="000000" w:themeColor="text1"/>
          <w:szCs w:val="21"/>
        </w:rPr>
        <w:t>基金管理人应当在每个季度结束之日起15个工作日内，编制完成基金季度报告，将季度报告登载在指定网站上，并将季度报告提示性公告登载在指定报刊上。</w:t>
      </w:r>
    </w:p>
    <w:p w:rsidR="00011F4A" w:rsidRPr="00177B84" w:rsidP="00011F4A">
      <w:pPr>
        <w:spacing w:line="360" w:lineRule="auto"/>
        <w:ind w:firstLine="420" w:firstLineChars="200"/>
        <w:rPr>
          <w:rFonts w:asciiTheme="minorEastAsia" w:eastAsiaTheme="minorEastAsia" w:hAnsiTheme="minorEastAsia"/>
          <w:bCs/>
          <w:color w:val="000000" w:themeColor="text1"/>
          <w:szCs w:val="21"/>
        </w:rPr>
      </w:pPr>
      <w:r w:rsidRPr="00177B84">
        <w:rPr>
          <w:rFonts w:asciiTheme="minorEastAsia" w:eastAsiaTheme="minorEastAsia" w:hAnsiTheme="minorEastAsia" w:hint="eastAsia"/>
          <w:bCs/>
          <w:color w:val="000000" w:themeColor="text1"/>
          <w:szCs w:val="21"/>
        </w:rPr>
        <w:t>《基金合同》生效不足2个月的，基金管理人可以不编制当期季度报告、中期报告或者年度报告。</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报告期内出现单一投资者持有基金份额比例达到或超过</w:t>
      </w:r>
      <w:r w:rsidRPr="00177B84">
        <w:rPr>
          <w:rFonts w:asciiTheme="minorEastAsia" w:eastAsiaTheme="minorEastAsia" w:hAnsiTheme="minorEastAsia"/>
          <w:color w:val="000000" w:themeColor="text1"/>
        </w:rPr>
        <w:t>20%</w:t>
      </w:r>
      <w:r w:rsidRPr="00177B84">
        <w:rPr>
          <w:rFonts w:asciiTheme="minorEastAsia" w:eastAsiaTheme="minorEastAsia" w:hAnsiTheme="minorEastAsia" w:hint="eastAsia"/>
          <w:color w:val="000000" w:themeColor="text1"/>
        </w:rPr>
        <w:t>的情形，基金管理人应当在季度报告、</w:t>
      </w:r>
      <w:r w:rsidRPr="00177B84" w:rsidR="00011F4A">
        <w:rPr>
          <w:rFonts w:asciiTheme="minorEastAsia" w:eastAsiaTheme="minorEastAsia" w:hAnsiTheme="minorEastAsia" w:hint="eastAsia"/>
          <w:color w:val="000000" w:themeColor="text1"/>
        </w:rPr>
        <w:t>中期</w:t>
      </w:r>
      <w:r w:rsidRPr="00177B84">
        <w:rPr>
          <w:rFonts w:asciiTheme="minorEastAsia" w:eastAsiaTheme="minorEastAsia" w:hAnsiTheme="minorEastAsia" w:hint="eastAsia"/>
          <w:color w:val="000000" w:themeColor="text1"/>
        </w:rPr>
        <w:t>报告、年度报告等定期报告文件中披露该投资者的类别、报告期末持有份额及占比、报告期内持有份额变化情况及产品的特有风险，中国证监会认定的特殊情形除外。</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基金持续运作过程中，基金管理人应当在基金年度报告和</w:t>
      </w:r>
      <w:r w:rsidRPr="00177B84" w:rsidR="009145AD">
        <w:rPr>
          <w:rFonts w:asciiTheme="minorEastAsia" w:eastAsiaTheme="minorEastAsia" w:hAnsiTheme="minorEastAsia" w:hint="eastAsia"/>
          <w:color w:val="000000" w:themeColor="text1"/>
        </w:rPr>
        <w:t>中期</w:t>
      </w:r>
      <w:r w:rsidRPr="00177B84">
        <w:rPr>
          <w:rFonts w:asciiTheme="minorEastAsia" w:eastAsiaTheme="minorEastAsia" w:hAnsiTheme="minorEastAsia" w:hint="eastAsia"/>
          <w:color w:val="000000" w:themeColor="text1"/>
        </w:rPr>
        <w:t>报告中披露基金组合资产情况及其流动性风险分析等。</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7、临时报告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本基金发生重大事件，有关信息披露义务人应当在2日内编制临时报告书，予以公告，</w:t>
      </w:r>
      <w:r w:rsidRPr="00177B84" w:rsidR="009145AD">
        <w:rPr>
          <w:rFonts w:asciiTheme="minorEastAsia" w:eastAsiaTheme="minorEastAsia" w:hAnsiTheme="minorEastAsia" w:hint="eastAsia"/>
          <w:bCs/>
          <w:color w:val="000000" w:themeColor="text1"/>
        </w:rPr>
        <w:t>并登载在指定报刊和指定网站上</w:t>
      </w:r>
      <w:r w:rsidRPr="00177B84">
        <w:rPr>
          <w:rFonts w:asciiTheme="minorEastAsia" w:eastAsiaTheme="minorEastAsia" w:hAnsiTheme="minor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前款所称重大事件，是指可能对基金份额持有人权益或者基金份额的价格产生重大影响的下列事件：</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基金份额持有人大会的召开</w:t>
      </w:r>
      <w:r w:rsidRPr="00177B84">
        <w:rPr>
          <w:rFonts w:asciiTheme="minorEastAsia" w:eastAsiaTheme="minorEastAsia" w:hAnsiTheme="minorEastAsia" w:hint="eastAsia"/>
          <w:bCs/>
          <w:color w:val="000000" w:themeColor="text1"/>
        </w:rPr>
        <w:t>及决定的事项</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（2）基金合同终止、基金清算</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（3）</w:t>
      </w:r>
      <w:r w:rsidRPr="00177B84">
        <w:rPr>
          <w:rFonts w:asciiTheme="minorEastAsia" w:eastAsiaTheme="minorEastAsia" w:hAnsiTheme="minorEastAsia"/>
          <w:bCs/>
          <w:color w:val="000000" w:themeColor="text1"/>
        </w:rPr>
        <w:t>转换基金运作方式</w:t>
      </w:r>
      <w:r w:rsidRPr="00177B84">
        <w:rPr>
          <w:rFonts w:asciiTheme="minorEastAsia" w:eastAsiaTheme="minorEastAsia" w:hAnsiTheme="minorEastAsia" w:hint="eastAsia"/>
          <w:bCs/>
          <w:color w:val="000000" w:themeColor="text1"/>
        </w:rPr>
        <w:t>、基金合并</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（4）</w:t>
      </w:r>
      <w:r w:rsidRPr="00177B84">
        <w:rPr>
          <w:rFonts w:asciiTheme="minorEastAsia" w:eastAsiaTheme="minorEastAsia" w:hAnsiTheme="minorEastAsia"/>
          <w:bCs/>
          <w:color w:val="000000" w:themeColor="text1"/>
        </w:rPr>
        <w:t>更换基金管理人、基金托管人</w:t>
      </w:r>
      <w:r w:rsidRPr="00177B84">
        <w:rPr>
          <w:rFonts w:asciiTheme="minorEastAsia" w:eastAsiaTheme="minorEastAsia" w:hAnsiTheme="minorEastAsia" w:hint="eastAsia"/>
          <w:bCs/>
          <w:color w:val="000000" w:themeColor="text1"/>
        </w:rPr>
        <w:t>、基金份额登记机构，基金改聘会计师事务所</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（5）基金管理人委托基金服务机构代为办理基金的份额登记、核算、估值等事项，基金托管人委托基金服务机构代为办理基金的核算、估值、复核等事项；</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（6）</w:t>
      </w:r>
      <w:r w:rsidRPr="00177B84">
        <w:rPr>
          <w:rFonts w:asciiTheme="minorEastAsia" w:eastAsiaTheme="minorEastAsia" w:hAnsiTheme="minorEastAsia"/>
          <w:bCs/>
          <w:color w:val="000000" w:themeColor="text1"/>
        </w:rPr>
        <w:t>基金管理人、基金托管人的法定名称、住所发生变更；</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（7）基金管理公司变更持有百分之五以上股权的股东、基金管理人的实际控制人变更；</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（8）</w:t>
      </w:r>
      <w:r w:rsidRPr="00177B84">
        <w:rPr>
          <w:rFonts w:asciiTheme="minorEastAsia" w:eastAsiaTheme="minorEastAsia" w:hAnsiTheme="minorEastAsia"/>
          <w:bCs/>
          <w:color w:val="000000" w:themeColor="text1"/>
        </w:rPr>
        <w:t>基金募集期延长</w:t>
      </w:r>
      <w:r w:rsidRPr="00177B84">
        <w:rPr>
          <w:rFonts w:asciiTheme="minorEastAsia" w:eastAsiaTheme="minorEastAsia" w:hAnsiTheme="minorEastAsia" w:hint="eastAsia"/>
          <w:bCs/>
          <w:color w:val="000000" w:themeColor="text1"/>
        </w:rPr>
        <w:t>或提前结束募集</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（9）基金管理人的高级管理人员、基金经理和基金托管人专门基金托管部门负责人发生变动；</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0）基金管理人的董事在最近12个月内变更超过百分之五十，基金管理人、基金托管人专门基金托管部门的主要业务人员在最近12个月内变动超过百分之三十；</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1）</w:t>
      </w:r>
      <w:r w:rsidRPr="00177B84">
        <w:rPr>
          <w:rFonts w:asciiTheme="minorEastAsia" w:eastAsiaTheme="minorEastAsia" w:hAnsiTheme="minorEastAsia"/>
          <w:bCs/>
          <w:color w:val="000000" w:themeColor="text1"/>
        </w:rPr>
        <w:t>涉及基金</w:t>
      </w:r>
      <w:r w:rsidRPr="00177B84">
        <w:rPr>
          <w:rFonts w:asciiTheme="minorEastAsia" w:eastAsiaTheme="minorEastAsia" w:hAnsiTheme="minorEastAsia" w:hint="eastAsia"/>
          <w:bCs/>
          <w:color w:val="000000" w:themeColor="text1"/>
        </w:rPr>
        <w:t>财产</w:t>
      </w:r>
      <w:r w:rsidRPr="00177B84">
        <w:rPr>
          <w:rFonts w:asciiTheme="minorEastAsia" w:eastAsiaTheme="minorEastAsia" w:hAnsiTheme="minorEastAsia"/>
          <w:bCs/>
          <w:color w:val="000000" w:themeColor="text1"/>
        </w:rPr>
        <w:t>、基金</w:t>
      </w:r>
      <w:r w:rsidRPr="00177B84">
        <w:rPr>
          <w:rFonts w:asciiTheme="minorEastAsia" w:eastAsiaTheme="minorEastAsia" w:hAnsiTheme="minorEastAsia" w:hint="eastAsia"/>
          <w:bCs/>
          <w:color w:val="000000" w:themeColor="text1"/>
        </w:rPr>
        <w:t>管理业务</w:t>
      </w:r>
      <w:r w:rsidRPr="00177B84">
        <w:rPr>
          <w:rFonts w:asciiTheme="minorEastAsia" w:eastAsiaTheme="minorEastAsia" w:hAnsiTheme="minorEastAsia"/>
          <w:bCs/>
          <w:color w:val="000000" w:themeColor="text1"/>
        </w:rPr>
        <w:t>、基金托管业务的诉讼</w:t>
      </w:r>
      <w:r w:rsidRPr="00177B84">
        <w:rPr>
          <w:rFonts w:asciiTheme="minorEastAsia" w:eastAsiaTheme="minorEastAsia" w:hAnsiTheme="minorEastAsia" w:hint="eastAsia"/>
          <w:bCs/>
          <w:color w:val="000000" w:themeColor="text1"/>
        </w:rPr>
        <w:t>或者仲裁</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2）基金管理人或其高级管理人员、基金经理因基金管理业务相关行为受到重大行政处罚、刑事处罚，基金托管人或其专门基金托管部门负责人因基金托管业务相关行为受到重大行政处罚、刑事处罚；</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4）</w:t>
      </w:r>
      <w:r w:rsidRPr="00177B84">
        <w:rPr>
          <w:rFonts w:asciiTheme="minorEastAsia" w:eastAsiaTheme="minorEastAsia" w:hAnsiTheme="minorEastAsia"/>
          <w:bCs/>
          <w:color w:val="000000" w:themeColor="text1"/>
        </w:rPr>
        <w:t>基金收益分配事项；</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5）</w:t>
      </w:r>
      <w:r w:rsidRPr="00177B84">
        <w:rPr>
          <w:rFonts w:asciiTheme="minorEastAsia" w:eastAsiaTheme="minorEastAsia" w:hAnsiTheme="minorEastAsia"/>
          <w:bCs/>
          <w:color w:val="000000" w:themeColor="text1"/>
        </w:rPr>
        <w:t>管理费、托管费</w:t>
      </w:r>
      <w:r w:rsidRPr="00177B84">
        <w:rPr>
          <w:rFonts w:asciiTheme="minorEastAsia" w:eastAsiaTheme="minorEastAsia" w:hAnsiTheme="minorEastAsia" w:hint="eastAsia"/>
          <w:bCs/>
          <w:color w:val="000000" w:themeColor="text1"/>
        </w:rPr>
        <w:t>、申购费、赎回费、销售服务费</w:t>
      </w:r>
      <w:r w:rsidRPr="00177B84">
        <w:rPr>
          <w:rFonts w:asciiTheme="minorEastAsia" w:eastAsiaTheme="minorEastAsia" w:hAnsiTheme="minorEastAsia"/>
          <w:bCs/>
          <w:color w:val="000000" w:themeColor="text1"/>
        </w:rPr>
        <w:t>等费用计提标准、计提方式和费率发生变更；</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6）</w:t>
      </w:r>
      <w:r w:rsidRPr="00177B84">
        <w:rPr>
          <w:rFonts w:asciiTheme="minorEastAsia" w:eastAsiaTheme="minorEastAsia" w:hAnsiTheme="minorEastAsia"/>
          <w:bCs/>
          <w:color w:val="000000" w:themeColor="text1"/>
        </w:rPr>
        <w:t>基金份额净值</w:t>
      </w:r>
      <w:r w:rsidRPr="00177B84">
        <w:rPr>
          <w:rFonts w:asciiTheme="minorEastAsia" w:eastAsiaTheme="minorEastAsia" w:hAnsiTheme="minorEastAsia" w:hint="eastAsia"/>
          <w:bCs/>
          <w:color w:val="000000" w:themeColor="text1"/>
        </w:rPr>
        <w:t>估值</w:t>
      </w:r>
      <w:r w:rsidRPr="00177B84">
        <w:rPr>
          <w:rFonts w:asciiTheme="minorEastAsia" w:eastAsiaTheme="minorEastAsia" w:hAnsiTheme="minorEastAsia"/>
          <w:bCs/>
          <w:color w:val="000000" w:themeColor="text1"/>
        </w:rPr>
        <w:t>错误达基金份额净值百分之零点五；</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7）</w:t>
      </w:r>
      <w:r w:rsidRPr="00177B84">
        <w:rPr>
          <w:rFonts w:asciiTheme="minorEastAsia" w:eastAsiaTheme="minorEastAsia" w:hAnsiTheme="minorEastAsia"/>
          <w:bCs/>
          <w:color w:val="000000" w:themeColor="text1"/>
        </w:rPr>
        <w:t>本基金开始办理申购、赎回；</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8）</w:t>
      </w:r>
      <w:r w:rsidRPr="00177B84">
        <w:rPr>
          <w:rFonts w:asciiTheme="minorEastAsia" w:eastAsiaTheme="minorEastAsia" w:hAnsiTheme="minorEastAsia"/>
          <w:bCs/>
          <w:color w:val="000000" w:themeColor="text1"/>
        </w:rPr>
        <w:t>本基金暂停接受申购、赎回申请</w:t>
      </w:r>
      <w:r w:rsidRPr="00177B84">
        <w:rPr>
          <w:rFonts w:asciiTheme="minorEastAsia" w:eastAsiaTheme="minorEastAsia" w:hAnsiTheme="minorEastAsia" w:hint="eastAsia"/>
          <w:bCs/>
          <w:color w:val="000000" w:themeColor="text1"/>
        </w:rPr>
        <w:t>或</w:t>
      </w:r>
      <w:r w:rsidRPr="00177B84">
        <w:rPr>
          <w:rFonts w:asciiTheme="minorEastAsia" w:eastAsiaTheme="minorEastAsia" w:hAnsiTheme="minorEastAsia"/>
          <w:bCs/>
          <w:color w:val="000000" w:themeColor="text1"/>
        </w:rPr>
        <w:t>重新接受申购、赎回</w:t>
      </w:r>
      <w:r w:rsidRPr="00177B84">
        <w:rPr>
          <w:rFonts w:asciiTheme="minorEastAsia" w:eastAsiaTheme="minorEastAsia" w:hAnsiTheme="minorEastAsia" w:hint="eastAsia"/>
          <w:bCs/>
          <w:color w:val="000000" w:themeColor="text1"/>
        </w:rPr>
        <w:t>申请</w:t>
      </w:r>
      <w:r w:rsidRPr="00177B84">
        <w:rPr>
          <w:rFonts w:asciiTheme="minorEastAsia" w:eastAsiaTheme="minorEastAsia" w:hAnsiTheme="minorEastAsia"/>
          <w:bCs/>
          <w:color w:val="000000" w:themeColor="text1"/>
        </w:rPr>
        <w:t>；</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9）调整基金份额类别的设置；</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（20）基金推出新业务或服务；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（2</w:t>
      </w:r>
      <w:r w:rsidRPr="00177B84">
        <w:rPr>
          <w:rFonts w:asciiTheme="minorEastAsia" w:eastAsiaTheme="minorEastAsia" w:hAnsiTheme="minorEastAsia"/>
          <w:bCs/>
          <w:color w:val="000000" w:themeColor="text1"/>
        </w:rPr>
        <w:t>1</w:t>
      </w:r>
      <w:r w:rsidRPr="00177B84">
        <w:rPr>
          <w:rFonts w:asciiTheme="minorEastAsia" w:eastAsiaTheme="minorEastAsia" w:hAnsiTheme="minorEastAsia" w:hint="eastAsia"/>
          <w:bCs/>
          <w:color w:val="000000" w:themeColor="text1"/>
        </w:rPr>
        <w:t>）基金信息披露义务人认为可能对基金份额持有人权益或者基金份额的价格产生重大影响的其他事项或</w:t>
      </w:r>
      <w:r w:rsidRPr="00177B84">
        <w:rPr>
          <w:rFonts w:asciiTheme="minorEastAsia" w:eastAsiaTheme="minorEastAsia" w:hAnsiTheme="minorEastAsia"/>
          <w:bCs/>
          <w:color w:val="000000" w:themeColor="text1"/>
        </w:rPr>
        <w:t>中国证监会规定的其他事项。</w:t>
      </w:r>
      <w:r w:rsidRPr="00177B84" w:rsidR="00B2727D">
        <w:rPr>
          <w:rFonts w:asciiTheme="minorEastAsia" w:eastAsiaTheme="minorEastAsia" w:hAnsiTheme="minorEastAsia"/>
          <w:color w:val="000000" w:themeColor="text1"/>
        </w:rPr>
        <w:t>8、澄清公告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在基金合同期限内</w:t>
      </w:r>
      <w:r w:rsidRPr="00177B84" w:rsidR="00B2727D">
        <w:rPr>
          <w:rFonts w:asciiTheme="minorEastAsia" w:eastAsiaTheme="minorEastAsia" w:hAnsiTheme="minorEastAsia"/>
          <w:color w:val="000000" w:themeColor="text1"/>
        </w:rPr>
        <w:t>，任何公共媒</w:t>
      </w:r>
      <w:r w:rsidRPr="00177B84">
        <w:rPr>
          <w:rFonts w:asciiTheme="minorEastAsia" w:eastAsiaTheme="minorEastAsia" w:hAnsiTheme="minorEastAsia" w:hint="eastAsia"/>
          <w:color w:val="000000" w:themeColor="text1"/>
        </w:rPr>
        <w:t>体</w:t>
      </w:r>
      <w:r w:rsidRPr="00177B84" w:rsidR="00B2727D">
        <w:rPr>
          <w:rFonts w:asciiTheme="minorEastAsia" w:eastAsiaTheme="minorEastAsia" w:hAnsiTheme="minorEastAsia"/>
          <w:color w:val="000000" w:themeColor="text1"/>
        </w:rPr>
        <w:t>中出现的或者在市场上流传的消息可能对基金份额价格产生误导性影响或者引起较大波动，</w:t>
      </w:r>
      <w:r w:rsidRPr="00177B84">
        <w:rPr>
          <w:rFonts w:asciiTheme="minorEastAsia" w:eastAsiaTheme="minorEastAsia" w:hAnsiTheme="minorEastAsia" w:hint="eastAsia"/>
          <w:bCs/>
          <w:color w:val="000000" w:themeColor="text1"/>
        </w:rPr>
        <w:t>以及可能损害基金份额持有人权益的，</w:t>
      </w:r>
      <w:r w:rsidRPr="00177B84" w:rsidR="00B2727D">
        <w:rPr>
          <w:rFonts w:asciiTheme="minorEastAsia" w:eastAsiaTheme="minorEastAsia" w:hAnsiTheme="minorEastAsia"/>
          <w:color w:val="000000" w:themeColor="text1"/>
        </w:rPr>
        <w:t>相关信息披露义务人知悉后应当立即对该消息进行公开澄清，并将有关情况立即报告中国证监会。</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9、清算报告</w:t>
      </w:r>
    </w:p>
    <w:p w:rsidR="009145AD" w:rsidRPr="00177B84" w:rsidP="009145AD">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bCs/>
          <w:color w:val="000000" w:themeColor="text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w:t>
      </w:r>
      <w:r w:rsidRPr="00177B84" w:rsidR="00B2727D">
        <w:rPr>
          <w:rFonts w:asciiTheme="minorEastAsia" w:eastAsiaTheme="minorEastAsia" w:hAnsiTheme="minorEastAsia"/>
          <w:color w:val="000000" w:themeColor="text1"/>
        </w:rPr>
        <w:t>、基金份额持有人大会决议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基金份额持有人大会决定的事项，应当依法报国务院证券监督管理机构备案，并予以公告。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w:t>
      </w:r>
      <w:r w:rsidRPr="00177B84" w:rsidR="009145AD">
        <w:rPr>
          <w:rFonts w:asciiTheme="minorEastAsia" w:eastAsiaTheme="minorEastAsia" w:hAnsiTheme="minorEastAsia" w:hint="eastAsia"/>
          <w:color w:val="000000" w:themeColor="text1"/>
        </w:rPr>
        <w:t>1</w:t>
      </w:r>
      <w:r w:rsidRPr="00177B84">
        <w:rPr>
          <w:rFonts w:asciiTheme="minorEastAsia" w:eastAsiaTheme="minorEastAsia" w:hAnsiTheme="minorEastAsia"/>
          <w:color w:val="000000" w:themeColor="text1"/>
        </w:rPr>
        <w:t>、中国证监会规定的其他信息</w:t>
      </w:r>
    </w:p>
    <w:p w:rsidR="00564CC1"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若本基金投资股指期货、国债期货、证券公司短期公司债、中小企业私募债券、资产支持证券、基金管理人将按相关法律法规要求进行披露。</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（六）信息披露事务管理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基金管理人、基金托管人应当建立健全信息披露管理制度，指定</w:t>
      </w:r>
      <w:r w:rsidRPr="00177B84" w:rsidR="009145AD">
        <w:rPr>
          <w:rFonts w:asciiTheme="minorEastAsia" w:eastAsiaTheme="minorEastAsia" w:hAnsiTheme="minorEastAsia" w:hint="eastAsia"/>
          <w:bCs/>
          <w:color w:val="000000" w:themeColor="text1"/>
        </w:rPr>
        <w:t>专门部门及高级管理人员</w:t>
      </w:r>
      <w:r w:rsidRPr="00177B84">
        <w:rPr>
          <w:rFonts w:asciiTheme="minorEastAsia" w:eastAsiaTheme="minorEastAsia" w:hAnsiTheme="minorEastAsia"/>
          <w:color w:val="000000" w:themeColor="text1"/>
        </w:rPr>
        <w:t>负责管理信息披露事务。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基金信息披露义务人公开披露基金信息，应当符合中国证监会相关基金信息披露内容与格式准则</w:t>
      </w:r>
      <w:r w:rsidRPr="00177B84" w:rsidR="009145AD">
        <w:rPr>
          <w:rFonts w:asciiTheme="minorEastAsia" w:eastAsiaTheme="minorEastAsia" w:hAnsiTheme="minorEastAsia" w:hint="eastAsia"/>
          <w:bCs/>
          <w:color w:val="000000" w:themeColor="text1"/>
        </w:rPr>
        <w:t>等法规</w:t>
      </w:r>
      <w:r w:rsidRPr="00177B84">
        <w:rPr>
          <w:rFonts w:asciiTheme="minorEastAsia" w:eastAsiaTheme="minorEastAsia" w:hAnsiTheme="minorEastAsia"/>
          <w:color w:val="000000" w:themeColor="text1"/>
        </w:rPr>
        <w:t>的规定。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基金托管人应当按照相关法律法规、中国证监会的规定和《基金合同》的约定，对基金管理人编制的基金资产净值、基金份额净值、基金份额申购赎回价格、基金定期报告</w:t>
      </w:r>
      <w:r w:rsidRPr="00177B84" w:rsidR="009145AD">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更新的招募说明书</w:t>
      </w:r>
      <w:r w:rsidRPr="00177B84" w:rsidR="009145AD">
        <w:rPr>
          <w:rFonts w:asciiTheme="minorEastAsia" w:eastAsiaTheme="minorEastAsia" w:hAnsiTheme="minorEastAsia" w:hint="eastAsia"/>
          <w:bCs/>
          <w:color w:val="000000" w:themeColor="text1"/>
        </w:rPr>
        <w:t>、基金产品资料概要、基金清算报告</w:t>
      </w:r>
      <w:r w:rsidRPr="00177B84">
        <w:rPr>
          <w:rFonts w:asciiTheme="minorEastAsia" w:eastAsiaTheme="minorEastAsia" w:hAnsiTheme="minorEastAsia"/>
          <w:color w:val="000000" w:themeColor="text1"/>
        </w:rPr>
        <w:t>等公开披露的相关基金信息进行复核、审查，并向基金管理人</w:t>
      </w:r>
      <w:r w:rsidRPr="00177B84" w:rsidR="009145AD">
        <w:rPr>
          <w:rFonts w:asciiTheme="minorEastAsia" w:eastAsiaTheme="minorEastAsia" w:hAnsiTheme="minorEastAsia" w:hint="eastAsia"/>
          <w:bCs/>
          <w:color w:val="000000" w:themeColor="text1"/>
        </w:rPr>
        <w:t>进行书面或电子</w:t>
      </w:r>
      <w:r w:rsidRPr="00177B84" w:rsidR="009145AD">
        <w:rPr>
          <w:rFonts w:asciiTheme="minorEastAsia" w:eastAsiaTheme="minorEastAsia" w:hAnsiTheme="minorEastAsia"/>
          <w:bCs/>
          <w:color w:val="000000" w:themeColor="text1"/>
        </w:rPr>
        <w:t>确认</w:t>
      </w:r>
      <w:r w:rsidRPr="00177B84">
        <w:rPr>
          <w:rFonts w:asciiTheme="minorEastAsia" w:eastAsiaTheme="minorEastAsia" w:hAnsiTheme="minorEastAsia"/>
          <w:color w:val="000000" w:themeColor="text1"/>
        </w:rPr>
        <w:t>。</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基金管理人、基金托管人应当在指定报刊中选择一家报刊披露本基金信息。基金管理人、基金托管人应当向中国证监会基金电子披露网站报送拟披露的基金信息，并保证相关报送信息的真实、准确、完整、及时。</w:t>
      </w:r>
      <w:r w:rsidRPr="00177B84" w:rsidR="00997221">
        <w:rPr>
          <w:rFonts w:asciiTheme="minorEastAsia" w:eastAsiaTheme="minorEastAsia" w:hAnsiTheme="minorEastAsia"/>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145AD"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（七）信息披露文件的存放与查阅</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bCs/>
          <w:color w:val="000000" w:themeColor="text1"/>
        </w:rPr>
        <w:t>依法必须披露的信息发布后，基金管理人、基金托管人应当按照相关法律法规规定将信息置备于公司办公场所，供社会公众查阅、复制</w:t>
      </w:r>
      <w:r w:rsidRPr="00177B84" w:rsidR="00997221">
        <w:rPr>
          <w:rFonts w:asciiTheme="minorEastAsia" w:eastAsiaTheme="minorEastAsia" w:hAnsiTheme="minorEastAsia"/>
          <w:color w:val="000000" w:themeColor="text1"/>
        </w:rPr>
        <w:t>。</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00"/>
        <w:rPr>
          <w:rFonts w:asciiTheme="minorEastAsia" w:eastAsiaTheme="minorEastAsia" w:hAnsiTheme="minorEastAsia"/>
          <w:color w:val="000000" w:themeColor="text1"/>
        </w:rPr>
      </w:pPr>
      <w:bookmarkStart w:id="77" w:name="_Toc103006848"/>
      <w:bookmarkStart w:id="78" w:name="_Toc332373573"/>
      <w:r w:rsidRPr="00177B84">
        <w:rPr>
          <w:rFonts w:asciiTheme="minorEastAsia" w:eastAsiaTheme="minorEastAsia" w:hAnsiTheme="minorEastAsia"/>
          <w:color w:val="000000" w:themeColor="text1"/>
          <w:sz w:val="30"/>
        </w:rPr>
        <w:t>十九、风险揭示</w:t>
      </w:r>
      <w:bookmarkEnd w:id="77"/>
    </w:p>
    <w:p w:rsidR="00BA4B87" w:rsidRPr="00177B84" w:rsidP="002C5976">
      <w:pPr>
        <w:spacing w:line="360" w:lineRule="auto"/>
        <w:ind w:firstLine="420" w:firstLineChars="200"/>
        <w:rPr>
          <w:rFonts w:asciiTheme="minorEastAsia" w:eastAsiaTheme="minorEastAsia" w:hAnsiTheme="minorEastAsia"/>
          <w:color w:val="000000" w:themeColor="text1"/>
        </w:rPr>
      </w:pPr>
      <w:bookmarkStart w:id="79" w:name="_Toc332373574"/>
      <w:bookmarkEnd w:id="78"/>
      <w:r w:rsidRPr="00177B84">
        <w:rPr>
          <w:rFonts w:asciiTheme="minorEastAsia" w:eastAsiaTheme="minorEastAsia" w:hAnsiTheme="minorEastAsia"/>
          <w:color w:val="000000" w:themeColor="text1"/>
        </w:rPr>
        <w:t>（一）市场风险</w:t>
      </w:r>
    </w:p>
    <w:bookmarkEnd w:id="79"/>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本基金投资于证券市场，而证券市场价格因受到经济因素、政治因素、投资者心理和交易制度等各种因素的影响而产生波动，从而导致基金收益水平发生变化，产生风险。主要的风险因素包括：</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1、政策风险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因国家宏观政策（如货币政策、财政政策、产业政策、地区发展政策等）发生变化，导致市场价格波动而产生风险。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2、利率风险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利率风险主要是指因金融市场利率的波动而导致证券市场价格和收益率变动的风险。利率直接影响着债券的价格和收益率，影响着企业的融资成本和利润。本基金为混合型基金，可投资于股票和债券，其收益水平可能会受到利率变化的影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3、购买力风险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如果发生通货膨胀，基金投资于证券所获得的收益可能会被通货膨胀抵消，从而影响基金资产的实际收益率。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4、信用风险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信用风险主要指债券、票据发行主体、存款银行信用状况可能恶化而可能产生的到期不能兑付的风险。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5、公司经营风险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6、经济周期风险</w:t>
      </w:r>
    </w:p>
    <w:p w:rsidR="0055340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随着经济运行的周期性变化，证券市场的收益水平也呈周期性变化，基金投资的收益水平也会随之变化，从而产生风险。</w:t>
      </w:r>
    </w:p>
    <w:p w:rsidR="00AE536E" w:rsidRPr="00177B84" w:rsidP="002C5976">
      <w:pPr>
        <w:spacing w:line="360" w:lineRule="auto"/>
        <w:ind w:firstLine="420" w:firstLineChars="200"/>
        <w:rPr>
          <w:rFonts w:asciiTheme="minorEastAsia" w:eastAsiaTheme="minorEastAsia" w:hAnsiTheme="minorEastAsia"/>
          <w:color w:val="000000" w:themeColor="text1"/>
        </w:rPr>
      </w:pPr>
      <w:bookmarkStart w:id="80" w:name="_Toc332373575"/>
      <w:r w:rsidRPr="00177B84">
        <w:rPr>
          <w:rFonts w:asciiTheme="minorEastAsia" w:eastAsiaTheme="minorEastAsia" w:hAnsiTheme="minorEastAsia"/>
          <w:color w:val="000000" w:themeColor="text1"/>
        </w:rPr>
        <w:t>（</w:t>
      </w:r>
      <w:r w:rsidRPr="00177B84" w:rsidR="00791ED1">
        <w:rPr>
          <w:rFonts w:asciiTheme="minorEastAsia" w:eastAsiaTheme="minorEastAsia" w:hAnsiTheme="minorEastAsia" w:hint="eastAsia"/>
          <w:color w:val="000000" w:themeColor="text1"/>
        </w:rPr>
        <w:t>二</w:t>
      </w:r>
      <w:r w:rsidRPr="00177B84">
        <w:rPr>
          <w:rFonts w:asciiTheme="minorEastAsia" w:eastAsiaTheme="minorEastAsia" w:hAnsiTheme="minorEastAsia"/>
          <w:color w:val="000000" w:themeColor="text1"/>
        </w:rPr>
        <w:t>）流动性风险</w:t>
      </w:r>
    </w:p>
    <w:bookmarkEnd w:id="80"/>
    <w:p w:rsidR="00E64C87" w:rsidRPr="00177B84" w:rsidP="00E64C87">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1、流动性风险评估</w:t>
      </w:r>
    </w:p>
    <w:p w:rsidR="00E64C87" w:rsidRPr="00177B84" w:rsidP="00E64C87">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本基金为混合基金，可投资于股票、债券、货币市场工具等，一般情况下，这些资产市场流动性较好。</w:t>
      </w:r>
    </w:p>
    <w:p w:rsidR="00AE536E" w:rsidRPr="00177B84" w:rsidP="00E64C87">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但本基金投资于上述资产时，仍存在以下流动性风险</w:t>
      </w:r>
      <w:r w:rsidRPr="00177B84" w:rsidR="0059218B">
        <w:rPr>
          <w:rFonts w:asciiTheme="minorEastAsia" w:eastAsiaTheme="minorEastAsia" w:hAnsiTheme="minorEastAsia"/>
          <w:color w:val="000000" w:themeColor="text1"/>
        </w:rPr>
        <w:t>：一是基金管理人建仓时或为实现收益而进行组合调整时，可能由于</w:t>
      </w:r>
      <w:r w:rsidRPr="00177B84">
        <w:rPr>
          <w:rFonts w:asciiTheme="minorEastAsia" w:eastAsiaTheme="minorEastAsia" w:hAnsiTheme="minorEastAsia" w:hint="eastAsia"/>
          <w:color w:val="000000" w:themeColor="text1"/>
        </w:rPr>
        <w:t>特定投资标的</w:t>
      </w:r>
      <w:r w:rsidRPr="00177B84" w:rsidR="0059218B">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市场流动性相对不足而无法按预期的价格买进或卖出；二是为应付投资者的赎回，基金管理人的现金支付出现困难，被迫在不适当的价格大量抛售股票、债券或其他资产。两者均可能使基金净值受到不利影响。</w:t>
      </w:r>
    </w:p>
    <w:p w:rsidR="00AE5C74" w:rsidRPr="00177B84" w:rsidP="00AE5C74">
      <w:pPr>
        <w:spacing w:line="360" w:lineRule="auto"/>
        <w:ind w:firstLine="420" w:firstLineChars="200"/>
        <w:rPr>
          <w:rFonts w:asciiTheme="minorEastAsia" w:eastAsiaTheme="minorEastAsia" w:hAnsiTheme="minorEastAsia"/>
          <w:color w:val="000000" w:themeColor="text1"/>
        </w:rPr>
      </w:pPr>
      <w:bookmarkStart w:id="81" w:name="_Toc332373576"/>
      <w:r w:rsidRPr="00177B84">
        <w:rPr>
          <w:rFonts w:asciiTheme="minorEastAsia" w:eastAsiaTheme="minorEastAsia" w:hAnsiTheme="minorEastAsia" w:hint="eastAsia"/>
          <w:color w:val="000000" w:themeColor="text1"/>
        </w:rPr>
        <w:t>2、巨额赎回情形下的流动性风险管理措施</w:t>
      </w:r>
    </w:p>
    <w:p w:rsidR="00AE5C74" w:rsidRPr="00177B84" w:rsidP="00AE5C7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AE5C74" w:rsidRPr="00177B84" w:rsidP="00AE5C7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AE5C74" w:rsidRPr="00177B84" w:rsidP="00AE5C7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AE5C74" w:rsidRPr="00177B84" w:rsidP="00AE5C74">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AE5C74" w:rsidRPr="00177B84" w:rsidP="00AE5C7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177B84">
        <w:rPr>
          <w:rFonts w:asciiTheme="minorEastAsia" w:eastAsiaTheme="minorEastAsia" w:hAnsiTheme="minorEastAsia" w:hint="eastAsia"/>
          <w:color w:val="000000" w:themeColor="text1"/>
        </w:rPr>
        <w:t>（十一）拒绝或暂停申购、暂停赎回</w:t>
      </w:r>
      <w:r w:rsidRPr="00177B84">
        <w:rPr>
          <w:rFonts w:asciiTheme="minorEastAsia" w:eastAsiaTheme="minorEastAsia" w:hAnsiTheme="minorEastAsia" w:hint="eastAsia"/>
          <w:color w:val="000000" w:themeColor="text1"/>
          <w:szCs w:val="21"/>
        </w:rPr>
        <w:t>或延缓支付赎回款项</w:t>
      </w:r>
      <w:r w:rsidRPr="00177B84">
        <w:rPr>
          <w:rFonts w:asciiTheme="minorEastAsia" w:eastAsiaTheme="minorEastAsia" w:hAnsiTheme="minorEastAsia" w:hint="eastAsia"/>
          <w:color w:val="000000" w:themeColor="text1"/>
        </w:rPr>
        <w:t>的情形及处理”的相关规定。</w:t>
      </w:r>
      <w:r w:rsidRPr="00177B84">
        <w:rPr>
          <w:rFonts w:asciiTheme="minorEastAsia" w:eastAsiaTheme="minorEastAsia" w:hAnsiTheme="minorEastAsia" w:hint="eastAsia"/>
          <w:color w:val="000000" w:themeColor="text1"/>
          <w:szCs w:val="21"/>
        </w:rPr>
        <w:t>若本基金暂停赎回申请，投</w:t>
      </w:r>
      <w:r w:rsidRPr="00177B84">
        <w:rPr>
          <w:rFonts w:asciiTheme="minorEastAsia" w:eastAsiaTheme="minorEastAsia" w:hAnsiTheme="minorEastAsia" w:hint="eastAsia"/>
          <w:color w:val="000000" w:themeColor="text1"/>
        </w:rPr>
        <w:t>资者在暂停赎回期间将无法赎回其持有的基金份额。若</w:t>
      </w:r>
      <w:r w:rsidRPr="00177B84">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AE5C74" w:rsidRPr="00177B84" w:rsidP="00AE5C74">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AE5C74" w:rsidRPr="00177B84" w:rsidP="00AE5C74">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暂停基金估值的情形、程序见招募说明书“十四、基金资产的估值”之“（六）暂停估值的情形”的相关规定。若本基金暂停基金估值，一方面投资者将无法知晓本基金的基金份额净值，另一方面基金将</w:t>
      </w:r>
      <w:r w:rsidRPr="00177B84" w:rsidR="004047A7">
        <w:rPr>
          <w:rFonts w:asciiTheme="minorEastAsia" w:eastAsiaTheme="minorEastAsia" w:hAnsiTheme="minorEastAsia" w:hint="eastAsia"/>
          <w:color w:val="000000" w:themeColor="text1"/>
        </w:rPr>
        <w:t>延缓支付赎回款项或</w:t>
      </w:r>
      <w:r w:rsidRPr="00177B84">
        <w:rPr>
          <w:rFonts w:asciiTheme="minorEastAsia" w:eastAsiaTheme="minorEastAsia" w:hAnsiTheme="minorEastAsia" w:hint="eastAsia"/>
          <w:color w:val="000000" w:themeColor="text1"/>
          <w:szCs w:val="21"/>
        </w:rPr>
        <w:t>暂停接受申购赎回申请，</w:t>
      </w:r>
      <w:r w:rsidRPr="00177B84" w:rsidR="004047A7">
        <w:rPr>
          <w:rFonts w:asciiTheme="minorEastAsia" w:eastAsiaTheme="minorEastAsia" w:hAnsiTheme="minorEastAsia" w:hint="eastAsia"/>
          <w:color w:val="000000" w:themeColor="text1"/>
        </w:rPr>
        <w:t>延缓支付赎回款项可能影响投资者的资金安排，</w:t>
      </w:r>
      <w:r w:rsidRPr="00177B84" w:rsidR="004047A7">
        <w:rPr>
          <w:rFonts w:asciiTheme="minorEastAsia" w:eastAsiaTheme="minorEastAsia" w:hAnsiTheme="minorEastAsia" w:hint="eastAsia"/>
          <w:color w:val="000000" w:themeColor="text1"/>
          <w:szCs w:val="21"/>
        </w:rPr>
        <w:t>暂停接受申购赎回申请</w:t>
      </w:r>
      <w:r w:rsidRPr="00177B84">
        <w:rPr>
          <w:rFonts w:asciiTheme="minorEastAsia" w:eastAsiaTheme="minorEastAsia" w:hAnsiTheme="minorEastAsia" w:hint="eastAsia"/>
          <w:color w:val="000000" w:themeColor="text1"/>
          <w:szCs w:val="21"/>
        </w:rPr>
        <w:t>将导致投资者无法申购或赎回本基金。</w:t>
      </w:r>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791ED1">
        <w:rPr>
          <w:rFonts w:asciiTheme="minorEastAsia" w:eastAsiaTheme="minorEastAsia" w:hAnsiTheme="minorEastAsia" w:hint="eastAsia"/>
          <w:color w:val="000000" w:themeColor="text1"/>
        </w:rPr>
        <w:t>三</w:t>
      </w:r>
      <w:r w:rsidRPr="00177B84">
        <w:rPr>
          <w:rFonts w:asciiTheme="minorEastAsia" w:eastAsiaTheme="minorEastAsia" w:hAnsiTheme="minorEastAsia"/>
          <w:color w:val="000000" w:themeColor="text1"/>
        </w:rPr>
        <w:t>）管理风险</w:t>
      </w:r>
    </w:p>
    <w:bookmarkEnd w:id="81"/>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1、在基金管理运作过程中，基金管理人的知识、经验、判断、决策、技能等，会影响其对信息的占有以及对经济形势、证券价格走势的判断，从而影响基金收益水平。</w:t>
      </w:r>
    </w:p>
    <w:p w:rsidR="009D1FBD"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2、基金管理人的管理手段和管理技术等因素的变化也会影响基金收益水平。</w:t>
      </w:r>
    </w:p>
    <w:p w:rsidR="00536174" w:rsidRPr="00177B84" w:rsidP="002C5976">
      <w:pPr>
        <w:spacing w:line="360" w:lineRule="auto"/>
        <w:ind w:firstLine="420" w:firstLineChars="200"/>
        <w:rPr>
          <w:rFonts w:asciiTheme="minorEastAsia" w:eastAsiaTheme="minorEastAsia" w:hAnsiTheme="minorEastAsia"/>
          <w:color w:val="000000" w:themeColor="text1"/>
        </w:rPr>
      </w:pPr>
      <w:bookmarkStart w:id="82" w:name="_Toc332373578"/>
      <w:r w:rsidRPr="00177B84">
        <w:rPr>
          <w:rFonts w:asciiTheme="minorEastAsia" w:eastAsiaTheme="minorEastAsia" w:hAnsiTheme="minorEastAsia"/>
          <w:color w:val="000000" w:themeColor="text1"/>
        </w:rPr>
        <w:t>（</w:t>
      </w:r>
      <w:r w:rsidRPr="00177B84">
        <w:rPr>
          <w:rFonts w:asciiTheme="minorEastAsia" w:eastAsiaTheme="minorEastAsia" w:hAnsiTheme="minorEastAsia" w:hint="eastAsia"/>
          <w:color w:val="000000" w:themeColor="text1"/>
        </w:rPr>
        <w:t>四</w:t>
      </w:r>
      <w:r w:rsidRPr="00177B84">
        <w:rPr>
          <w:rFonts w:asciiTheme="minorEastAsia" w:eastAsiaTheme="minorEastAsia" w:hAnsiTheme="minorEastAsia"/>
          <w:color w:val="000000" w:themeColor="text1"/>
        </w:rPr>
        <w:t>）</w:t>
      </w:r>
      <w:r w:rsidRPr="00177B84" w:rsidR="001075C2">
        <w:rPr>
          <w:rFonts w:asciiTheme="minorEastAsia" w:eastAsiaTheme="minorEastAsia" w:hAnsiTheme="minorEastAsia" w:hint="eastAsia"/>
          <w:color w:val="000000" w:themeColor="text1"/>
        </w:rPr>
        <w:t>本基金投资特定品种的特有风险</w:t>
      </w:r>
    </w:p>
    <w:bookmarkEnd w:id="82"/>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本基金是灵活配置混合型基金，基金资产可投资于债券市场和股票市场，其中股票资产占基金资产的比例为0%－95%，当股票市场或债券市场上行时，本基金可能过少配置相关资产从而无法获得相应收益；当股票市场或债券市场下行时，本基金可能过多配置相关资产从而导致较大损失，相关市场变化以及本基金的资产配置情况将影响基金业绩表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本基金投资范围包括股指期货、国债期货等金融衍生品，股指期货、国债期货等金融衍生品投资可能给本基金带来额外风险。投资股指期货、国债期货的风险包括但不限于杠杆风险、保证金风险、期货价格与基金投资品种价格的相关度降低带来的风险等。由此可能增加本基金净值的波动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53617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5、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（1）科创板企业退市风险</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（2）市场风险</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科创板企业相对集中于新一代信息技术、高端装备、新材料、新能源、节能环保及生物医药等高新技术和战略新兴产业领域，大多数企业为初创型公司，上市门槛略低于A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5个交易日不设涨跌幅限制，其后涨跌幅限制为20%）、科创板股票上市首日即可作为融资融券标的，可能导致较大的股票价格波动。</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（3）流动性风险</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5A6EB6" w:rsidRPr="00177B84" w:rsidP="005A6EB6">
      <w:pPr>
        <w:spacing w:line="360" w:lineRule="auto"/>
        <w:ind w:firstLine="420" w:firstLineChars="200"/>
        <w:rPr>
          <w:rStyle w:val="da"/>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（4）监管规则变化的风险</w:t>
      </w:r>
    </w:p>
    <w:p w:rsidR="005A6EB6" w:rsidRPr="00177B84" w:rsidP="002C5976">
      <w:pPr>
        <w:spacing w:line="360" w:lineRule="auto"/>
        <w:ind w:firstLine="420" w:firstLineChars="200"/>
        <w:rPr>
          <w:rFonts w:asciiTheme="minorEastAsia" w:eastAsiaTheme="minorEastAsia" w:hAnsiTheme="minorEastAsia"/>
          <w:color w:val="000000" w:themeColor="text1"/>
        </w:rPr>
      </w:pPr>
      <w:r w:rsidRPr="00177B84">
        <w:rPr>
          <w:rStyle w:val="da"/>
          <w:rFonts w:asciiTheme="minorEastAsia" w:eastAsiaTheme="minorEastAsia" w:hAnsiTheme="minorEastAsia" w:hint="eastAsia"/>
          <w:color w:val="000000" w:themeColor="text1"/>
        </w:rPr>
        <w:t>科创板股票相关法律、行政法规、部门规章、规范性文件和交易所业务规则，可能根据市场情况进行修改完善，或者补充制定新的法律法规和业务规则，导致基金投资运作产生相应调整变化。</w:t>
      </w:r>
    </w:p>
    <w:p w:rsidR="00202B33" w:rsidRPr="00177B84" w:rsidP="00202B3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6、投资于存托凭证的风险</w:t>
      </w:r>
    </w:p>
    <w:p w:rsidR="00202B33" w:rsidRPr="00177B84" w:rsidP="00202B3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145AD" w:rsidRPr="00177B84" w:rsidP="009145A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（五）本基金法律文件中涉及基金风险特征的表述与销售机构对基金的风险评级可能不一致的风险</w:t>
      </w:r>
    </w:p>
    <w:p w:rsidR="009145AD" w:rsidRPr="00177B84" w:rsidP="009145A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53617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w:t>
      </w:r>
      <w:r w:rsidRPr="00177B84" w:rsidR="009145AD">
        <w:rPr>
          <w:rFonts w:asciiTheme="minorEastAsia" w:eastAsiaTheme="minorEastAsia" w:hAnsiTheme="minorEastAsia" w:hint="eastAsia"/>
          <w:color w:val="000000" w:themeColor="text1"/>
        </w:rPr>
        <w:t>六</w:t>
      </w:r>
      <w:r w:rsidRPr="00177B84">
        <w:rPr>
          <w:rFonts w:asciiTheme="minorEastAsia" w:eastAsiaTheme="minorEastAsia" w:hAnsiTheme="minorEastAsia"/>
          <w:color w:val="000000" w:themeColor="text1"/>
        </w:rPr>
        <w:t>）其他风险</w:t>
      </w:r>
    </w:p>
    <w:p w:rsidR="00AD3EC7" w:rsidRPr="00177B84">
      <w:pPr>
        <w:spacing w:line="360" w:lineRule="auto"/>
        <w:ind w:firstLine="420" w:firstLineChars="200"/>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rPr>
        <w:t>1、因技术因素而产生的风险，如电脑等技术系统的故障或差错产生的风险。</w:t>
      </w:r>
    </w:p>
    <w:p w:rsidR="00AD3EC7" w:rsidRPr="00177B84">
      <w:pPr>
        <w:spacing w:line="360" w:lineRule="auto"/>
        <w:ind w:firstLine="420" w:firstLineChars="200"/>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rPr>
        <w:t>2、因战争、自然灾害等不可抗力导致的基金管理人、基金托管人、基金服务机构等机构无法正常工作，从而影响基金运作的风险。</w:t>
      </w:r>
    </w:p>
    <w:p w:rsidR="00AD3EC7" w:rsidRPr="00177B84">
      <w:pPr>
        <w:spacing w:line="360" w:lineRule="auto"/>
        <w:ind w:firstLine="420" w:firstLineChars="200"/>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rPr>
        <w:t>3、因金融市场危机、代理商违约、基金托管人违约等超出基金管理人自身控制能力的因素出现，可能导致基金或者基金份额持有人利益受损的风险。</w:t>
      </w:r>
    </w:p>
    <w:p w:rsidR="00AD3EC7" w:rsidRPr="00177B84">
      <w:pPr>
        <w:spacing w:line="360" w:lineRule="auto"/>
        <w:ind w:firstLine="420" w:firstLineChars="200"/>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rPr>
        <w:t>4、因固定收益类金融工具主要在场外市场进行交易，场外市场交易现阶段自动化程度较场内市场低，本基金在投资运作过程中可能面临操作风险。</w:t>
      </w:r>
    </w:p>
    <w:p w:rsidR="00FA77BB" w:rsidRPr="00177B84" w:rsidP="00616952">
      <w:pPr>
        <w:spacing w:line="360" w:lineRule="auto"/>
        <w:ind w:firstLine="420" w:firstLineChars="200"/>
        <w:rPr>
          <w:rFonts w:asciiTheme="minorEastAsia" w:eastAsiaTheme="minorEastAsia" w:hAnsiTheme="minorEastAsia"/>
          <w:color w:val="000000" w:themeColor="text1"/>
          <w:kern w:val="0"/>
          <w:szCs w:val="21"/>
        </w:rPr>
      </w:pPr>
      <w:r w:rsidRPr="00177B84">
        <w:rPr>
          <w:rFonts w:asciiTheme="minorEastAsia" w:eastAsiaTheme="minorEastAsia" w:hAnsiTheme="minorEastAsia"/>
          <w:color w:val="000000" w:themeColor="text1"/>
        </w:rPr>
        <w:t>5、其他意外导致的风险。</w:t>
      </w:r>
      <w:r w:rsidRPr="00177B84">
        <w:rPr>
          <w:rFonts w:asciiTheme="minorEastAsia" w:eastAsiaTheme="minorEastAsia" w:hAnsiTheme="minorEastAsia"/>
          <w:color w:val="000000" w:themeColor="text1"/>
          <w:kern w:val="0"/>
          <w:szCs w:val="21"/>
        </w:rPr>
        <w:br w:type="page"/>
      </w:r>
    </w:p>
    <w:p w:rsidR="00BA4B87" w:rsidRPr="00177B84" w:rsidP="007C2342">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83" w:name="_Toc103006849"/>
      <w:bookmarkStart w:id="84" w:name="_Toc332373579"/>
      <w:r w:rsidRPr="00177B84">
        <w:rPr>
          <w:rFonts w:asciiTheme="minorEastAsia" w:eastAsiaTheme="minorEastAsia" w:hAnsiTheme="minorEastAsia"/>
          <w:color w:val="000000" w:themeColor="text1"/>
          <w:sz w:val="30"/>
        </w:rPr>
        <w:t>二十、基金合同的变更、终止与基金财产的清算</w:t>
      </w:r>
      <w:bookmarkEnd w:id="83"/>
    </w:p>
    <w:p w:rsidR="00FE1510" w:rsidRPr="00177B84" w:rsidP="002C5976">
      <w:pPr>
        <w:spacing w:line="360" w:lineRule="auto"/>
        <w:ind w:firstLine="420" w:firstLineChars="200"/>
        <w:rPr>
          <w:rFonts w:asciiTheme="minorEastAsia" w:eastAsiaTheme="minorEastAsia" w:hAnsiTheme="minorEastAsia"/>
          <w:color w:val="000000" w:themeColor="text1"/>
        </w:rPr>
      </w:pPr>
      <w:bookmarkStart w:id="85" w:name="_Toc79392639"/>
      <w:bookmarkEnd w:id="84"/>
      <w:r w:rsidRPr="00177B84">
        <w:rPr>
          <w:rFonts w:asciiTheme="minorEastAsia" w:eastAsiaTheme="minorEastAsia" w:hAnsiTheme="minorEastAsia"/>
          <w:color w:val="000000" w:themeColor="text1"/>
        </w:rPr>
        <w:t>（一）《基金合同》的变更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2、关于《基金合同》变更的基金份额持有人大会决议自表决通过之日起生效，自决议生效后两日内在指定媒介公告。</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（二）《基金合同》的终止事由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有下列情形之一的，《基金合同》应当终止：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1、基金份额持有人大会决定终止的；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2、基金管理人、基金托管人职责终止，在6个月内没有新基金管理人、新基金托管人承接的；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3、《基金合同》约定的其他情形；</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4、相关法律法规和中国证监会规定的其他情况。</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（三）基金财产的清算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1、基金财产清算小组：自出现《基金合同》终止事由之日起30个工作日内成立清算小组，基金管理人组织基金财产清算小组并在中国证监会的监督下进行基金清算。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3、基金财产清算小组职责：基金财产清算小组负责基金财产的保管、清理、估价、变现和分配。基金财产清算小组可以依法进行必要的民事活动。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4、基金财产清算程序：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（1）《基金合同》终止情形出现时，由基金财产清算小组统一接管基金；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（2）对基金财产和债权债务进行清理和确认；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（3）对基金财产进行估值和变现；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（4）制作清算报告；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（5）聘请会计师事务所对清算报告进行外部审计，聘请律师事务所对清算报告出具法律意见书；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（6）将清算报告报中国证监会备案并公告；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（7）对基金财产进行分配。</w:t>
      </w:r>
    </w:p>
    <w:p w:rsidR="00CB50D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5、基金财产清算的期限为6个月，但因本基金所持证券的流动性受到限制而不能及时变现的，清算期限相应顺延。</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（四）清算费用</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清算费用是指基金财产清算小组在进行基金清算过程中发生的所有合理费用，清算费用由基金财产清算小组优先从基金财产中支付。</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（五）基金财产清算剩余资产的分配</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依据基金财产清算的分配方案，将基金财产清算后的全部剩余资产扣除基金财产清算费用、交纳所欠税款并清偿基金债务后，按基金份额持有人持有的基金份额比例进行分配。</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（六）基金财产清算的公告</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E1510"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（七）基金财产清算账册及文件的保存</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基金财产清算账册及有关文件由基金托管人保存15年以上。</w:t>
      </w:r>
      <w:r w:rsidRPr="00177B84">
        <w:rPr>
          <w:rFonts w:asciiTheme="minorEastAsia" w:eastAsiaTheme="minorEastAsia" w:hAnsiTheme="minorEastAsia"/>
          <w:color w:val="000000" w:themeColor="text1"/>
        </w:rPr>
        <w:br w:type="page"/>
      </w:r>
    </w:p>
    <w:p w:rsidR="00BA4B87" w:rsidRPr="00177B84" w:rsidP="00CC1421">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bookmarkStart w:id="86" w:name="_Toc103006850"/>
      <w:bookmarkEnd w:id="85"/>
      <w:r w:rsidRPr="00177B84">
        <w:rPr>
          <w:rFonts w:asciiTheme="minorEastAsia" w:eastAsiaTheme="minorEastAsia" w:hAnsiTheme="minorEastAsia"/>
          <w:color w:val="000000" w:themeColor="text1"/>
          <w:sz w:val="30"/>
        </w:rPr>
        <w:t>二</w:t>
      </w:r>
      <w:bookmarkStart w:id="87" w:name="_Toc332373588"/>
      <w:r w:rsidRPr="00177B84">
        <w:rPr>
          <w:rFonts w:asciiTheme="minorEastAsia" w:eastAsiaTheme="minorEastAsia" w:hAnsiTheme="minorEastAsia"/>
          <w:color w:val="000000" w:themeColor="text1"/>
          <w:sz w:val="30"/>
        </w:rPr>
        <w:t>十</w:t>
      </w:r>
      <w:r w:rsidRPr="00177B84" w:rsidR="001C5C6E">
        <w:rPr>
          <w:rFonts w:asciiTheme="minorEastAsia" w:eastAsiaTheme="minorEastAsia" w:hAnsiTheme="minorEastAsia"/>
          <w:color w:val="000000" w:themeColor="text1"/>
          <w:sz w:val="30"/>
        </w:rPr>
        <w:t>一</w:t>
      </w:r>
      <w:r w:rsidRPr="00177B84">
        <w:rPr>
          <w:rFonts w:asciiTheme="minorEastAsia" w:eastAsiaTheme="minorEastAsia" w:hAnsiTheme="minorEastAsia"/>
          <w:color w:val="000000" w:themeColor="text1"/>
          <w:sz w:val="30"/>
        </w:rPr>
        <w:t>、基金合同摘要</w:t>
      </w:r>
      <w:bookmarkEnd w:id="86"/>
    </w:p>
    <w:bookmarkEnd w:id="87"/>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一、基金份额持有人、基金管理人和基金托管人的权利、义务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（一）基金份额持有人的权利、义务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1、根据《基金法》、《运作办法》及其他有关规定，基金份额持有人的权利包括但不限于：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（1）分享基金财产收益；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（2）参与分配清算后的剩余基金财产；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（3）依法申请赎回或转让其持有的基金份额；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（4）按照规定要求召开基金份额持有人大会或者召集基金份额持有人大会；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（5）出席或者委派代表出席基金份额持有人大会，对基金份额持有人大会审议事项行使表决权；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（6）查阅或者复制公开披露的基金信息资料；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（7）监督基金管理人的投资运作；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（8）对基金管理人、基金托管人、基金服务机构损害其合法权益的行为依法提起诉讼或仲裁；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（9）法律法规及中国证监会规定的和《基金合同》约定的其他权利。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2、根据《基金法》、《运作办法》及其他有关规定，基金份额持有人的义务包括但不限于：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（1）认真阅读并遵守《基金合同》、招募说明书等信息披露文件；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（2）了解所投资基金产品，了解自身风险承受能力，自主判断基金的投资价值，自主做出投资决策，自行承担投资风险；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（3）关注基金信息披露，及时行使权利和履行义务；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（4）缴纳基金认购、申购款项及法律法规和《基金合同》所规定的费用；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（5）在其持有的基金份额范围内，承担基金亏损或者《基金合同》终止的有限责任；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（6）不从事任何有损基金及其他《基金合同》当事人合法权益的活动；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（7）执行生效的基金份额持有人大会的决定；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（8）返还在基金交易过程中因任何原因获得的不当得利；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（9）法律法规及中国证监会规定的和《基金合同》约定的其他义务。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（二）基金管理人的权利与义务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1、根据《基金法》、《运作办法》及其他有关规定，基金管理人的权利包括但不限于：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（1）依法募集资金；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（2）自《基金合同》生效之日起，根据法律法规和《基金合同》独立运用并管理基金财产；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（3）依照《基金合同》收取基金管理费以及法律法规规定或中国证监会批准的其他费用；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（4）销售基金份额；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（6）依据《基金合同》及有关法律规定监督基金托管人，如认为基金托管人违反了《基金合同》及国家有关法律规定，应呈报中国证监会和其他监管部门，并采取必要措施保护基金投资者的利益；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（7）在基金托管人更换时，提名新的基金托管人；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（8）选择、更换基金销售机构，对基金销售机构的相关行为进行监督和处理；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（9）担任或委托其他符合条件的机构担任基金登记机构办理基金登记业务并获得《基金合同》规定的费用；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（10）依据《基金合同》及有关法律规定决定基金收益的分配方案；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（11）在《基金合同》约定的范围内，拒绝或暂停受理申购、赎回和转换申请；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（12）在不违反法律法规和监管规定且对基金份额持有人利益无实质不利影响的前提下，为支付本基金应付的赎回、交易清算等款项，基金管理人有权代表基金份额持有人以基金资产作为质押进行融资；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（13）依照法律法规为基金的利益对被投资公司行使股东权利，为基金的利益行使因基金财产投资于证券所产生的权利；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（14）在法律法规允许的前提下，为基金的利益依法进行融资、融券；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（15）以基金管理人的名义，代表基金份额持有人的利益行使诉讼权利或者实施其他法律行为；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（16）选择、更换律师事务所、会计师事务所、证券经纪商或其他为基金提供服务的外部机构；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（17）在符合有关法律、法规的前提下，制订和调整有关基金认购、申购、赎回、转换、非交易过户、转托管和收益分配等业务规则；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（18）法律法规及中国证监会规定的和《基金合同》约定的其他权利。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2、根据《基金法》、《运作办法》及其他有关规定，基金管理人的义务包括但不限于：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（1）依法募集资金，办理或者委托经中国证监会认定的其他机构办理基金份额的发售、申购、赎回和登记事宜；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（2）办理基金备案手续；</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（3）自《基金合同》生效之日起,以诚实信用、谨慎勤勉的原则管理和运用基金财产；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（4）配备足够的具有专业资格的人员进行基金投资分析、决策，以专业化的经营方式管理和运作基金财产；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（5）建立健全内部风险控制、监察与稽核、财务管理及人事管理等制度，保证所管理的基金财产和基金管理人的财产相互独立,对所管理的不同基金分别管理，分别记账，进行证券投资；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（6）除依据《基金法》、《基金合同》及其他有关规定外,不得利用基金财产为自己及任何第三人谋取利益，不得委托第三人运作基金财产；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（7）依法接受基金托管人的监督；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（8）采取适当合理的措施使计算基金份额认购、申购、赎回和注销价格的方法符合《基金合同》等法律文件的规定，按有关规定计算并公告基金净值</w:t>
      </w:r>
      <w:r w:rsidRPr="00177B84" w:rsidR="00465A37">
        <w:rPr>
          <w:rFonts w:asciiTheme="minorEastAsia" w:eastAsiaTheme="minorEastAsia" w:hAnsiTheme="minorEastAsia" w:hint="eastAsia"/>
          <w:color w:val="000000" w:themeColor="text1"/>
        </w:rPr>
        <w:t>信息</w:t>
      </w:r>
      <w:r w:rsidRPr="00177B84">
        <w:rPr>
          <w:rFonts w:asciiTheme="minorEastAsia" w:eastAsiaTheme="minorEastAsia" w:hAnsiTheme="minorEastAsia" w:hint="eastAsia"/>
          <w:color w:val="000000" w:themeColor="text1"/>
        </w:rPr>
        <w:t>，确定基金份额申购、赎回的价格；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（9）进行基金会计核算并编制基金财务会计报告；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w:t>
      </w:r>
      <w:r w:rsidRPr="00177B84" w:rsidR="00465A37">
        <w:rPr>
          <w:rFonts w:asciiTheme="minorEastAsia" w:eastAsiaTheme="minorEastAsia" w:hAnsiTheme="minorEastAsia"/>
          <w:bCs/>
          <w:color w:val="000000" w:themeColor="text1"/>
        </w:rPr>
        <w:t>编制季度</w:t>
      </w:r>
      <w:r w:rsidRPr="00177B84" w:rsidR="00465A37">
        <w:rPr>
          <w:rFonts w:asciiTheme="minorEastAsia" w:eastAsiaTheme="minorEastAsia" w:hAnsiTheme="minorEastAsia" w:hint="eastAsia"/>
          <w:bCs/>
          <w:color w:val="000000" w:themeColor="text1"/>
        </w:rPr>
        <w:t>报告</w:t>
      </w:r>
      <w:r w:rsidRPr="00177B84" w:rsidR="00465A37">
        <w:rPr>
          <w:rFonts w:asciiTheme="minorEastAsia" w:eastAsiaTheme="minorEastAsia" w:hAnsiTheme="minorEastAsia"/>
          <w:bCs/>
          <w:color w:val="000000" w:themeColor="text1"/>
        </w:rPr>
        <w:t>、</w:t>
      </w:r>
      <w:r w:rsidRPr="00177B84" w:rsidR="00465A37">
        <w:rPr>
          <w:rFonts w:asciiTheme="minorEastAsia" w:eastAsiaTheme="minorEastAsia" w:hAnsiTheme="minorEastAsia" w:hint="eastAsia"/>
          <w:bCs/>
          <w:color w:val="000000" w:themeColor="text1"/>
        </w:rPr>
        <w:t>中期报告</w:t>
      </w:r>
      <w:r w:rsidRPr="00177B84" w:rsidR="00465A37">
        <w:rPr>
          <w:rFonts w:asciiTheme="minorEastAsia" w:eastAsiaTheme="minorEastAsia" w:hAnsiTheme="minorEastAsia"/>
          <w:bCs/>
          <w:color w:val="000000" w:themeColor="text1"/>
        </w:rPr>
        <w:t>和年度报告</w:t>
      </w:r>
      <w:r w:rsidRPr="00177B84">
        <w:rPr>
          <w:rFonts w:asciiTheme="minorEastAsia" w:eastAsiaTheme="minorEastAsia" w:hAnsiTheme="minorEastAsia" w:hint="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（11）严格按照《基金法》、《基金合同》及其他有关规定，履行信息披露及报告义务；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（12）保守基金商业秘密，不泄露基金投资计划、投资意向等。除《基金法》、《基金合同》及其他有关规定另有规定外，在基金信息公开披露前应予保密，不向他人泄露；</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（13）按《基金合同》的约定确定基金收益分配方案，及时向基金份额持有人分配基金收益；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（14）按规定受理申购与赎回申请，及时、足额支付赎回款项；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（15）依据《基金法》、《基金合同》及其他有关规定召集基金份额持有人大会或配合基金托管人、基金份额持有人依法召集基金份额持有人大会；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（16）按规定保存基金财产管理业务活动的会计账册、报表、记录和其他相关资料15年以上；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（18）组织并参加基金财产清算小组,参与基金财产的保管、清理、估价、变现和分配；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（19）面临解散、依法被撤销或者被依法宣告破产时，及时报告中国证监会并通知基金托管人；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（20）因违反《基金合同》导致基金财产的损失或损害基金份额持有人合法权益时，应当承担赔偿责任，其赔偿责任不因其退任而免除；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（21）监督基金托管人按法律法规和《基金合同》规定履行自己的义务，基金托管人违反《基金合同》造成基金财产损失时，基金管理人应为基金份额持有人利益向基金托管人追偿；</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（22）当基金管理人将其义务委托第三方处理时，应当对第三方处理有关基金事务的行为承担责任；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（23）以基金管理人名义，代表基金份额持有人利益行使诉讼权利或实施其他法律行为；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（24）基金管理人在募集期间未能达到基金的备案条件，《基金合同》不能生效，基金管理人承担全部募集费用，将已募集资金并加计银行同期活期存款利息在基金募集期结束后30日内退还基金认购人；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（25）执行生效的基金份额持有人大会的决议；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（26）建立并保存基金份额持有人名册；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（27）法律法规及中国证监会规定的和《基金合同》约定的其他义务。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（三）基金托管人的权利与义务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1、根据《基金法》、《运作办法》及其他有关规定，基金托管人的权利包括但不限于：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（1）自《基金合同》生效之日起，依法律法规和《基金合同》的规定安全保管基金财产；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（2）依《基金合同》约定获得基金托管费以及法律法规规定或监管部门批准的其他费用；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（4）根据相关市场规则，为基金开设证券账户、为基金办理证券交易资金清算。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（5）提议召开或召集基金份额持有人大会；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（6）在基金管理人更换时，提名新的基金管理人；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（7）法律法规及中国证监会规定的和《基金合同》约定的其他权利。</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2、根据《基金法》、《运作办法》及其他有关规定，基金托管人的义务包括但不限于：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（1）以诚实信用、勤勉尽责的原则持有并安全保管基金财产；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（2）设立专门的基金托管部门，具有符合要求的营业场所，配备足够的、合格的熟悉基金托管业务的专职人员，负责基金财产托管事宜；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（4）除依据《基金法》、《基金合同》及其他有关规定外，不得利用基金财产为自己及任何第三人谋取利益，不得委托第三人托管基金财产；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（5）保管由基金管理人代表基金签订的与基金有关的重大合同及有关凭证；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（6）按规定开设基金财产的资金账户和证券账户,按照《基金合同》的约定，根据基金管理人的投资指令，及时办理清算、交割事宜；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（7）保守基金商业秘密，除《基金法》、《基金合同》及其他有关规定另有规定外，在基金信息公开披露前予以保密，不得向他人泄露；</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（8）复核、审查基金管理人计算的基金资产净值、</w:t>
      </w:r>
      <w:r w:rsidRPr="00177B84" w:rsidR="00465A37">
        <w:rPr>
          <w:rFonts w:asciiTheme="minorEastAsia" w:eastAsiaTheme="minorEastAsia" w:hAnsiTheme="minorEastAsia" w:hint="eastAsia"/>
          <w:bCs/>
          <w:color w:val="000000" w:themeColor="text1"/>
          <w:szCs w:val="21"/>
        </w:rPr>
        <w:t>基金份额净值、</w:t>
      </w:r>
      <w:r w:rsidRPr="00177B84">
        <w:rPr>
          <w:rFonts w:asciiTheme="minorEastAsia" w:eastAsiaTheme="minorEastAsia" w:hAnsiTheme="minorEastAsia" w:hint="eastAsia"/>
          <w:color w:val="000000" w:themeColor="text1"/>
        </w:rPr>
        <w:t>基金份额申购、赎回价格；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（9）办理与基金托管业务活动有关的信息披露事项；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（10）对基金财务会计报告、</w:t>
      </w:r>
      <w:r w:rsidRPr="00177B84" w:rsidR="00465A37">
        <w:rPr>
          <w:rFonts w:asciiTheme="minorEastAsia" w:eastAsiaTheme="minorEastAsia" w:hAnsiTheme="minorEastAsia" w:hint="eastAsia"/>
          <w:bCs/>
          <w:color w:val="000000" w:themeColor="text1"/>
          <w:szCs w:val="21"/>
        </w:rPr>
        <w:t>季度报告、中期报告和年度报告</w:t>
      </w:r>
      <w:r w:rsidRPr="00177B84">
        <w:rPr>
          <w:rFonts w:asciiTheme="minorEastAsia" w:eastAsiaTheme="minorEastAsia" w:hAnsiTheme="minorEastAsia" w:hint="eastAsia"/>
          <w:color w:val="000000" w:themeColor="text1"/>
        </w:rPr>
        <w:t>出具意见，说明基金管理人在各重要方面的运作是否严格按照《基金合同》的规定进行；如果基金管理人有未执行《基金合同》规定的行为，还应当说明基金托管人是否采取了适当的措施；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（11）保存基金托管业务活动的记录、账册、报表和其他相关资料15年以上；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（12）建立并保存基金份额持有人名册；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（13）按规定制作相关账册并与基金管理人核对；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（14）依据基金管理人的指令或有关规定向基金份额持有人支付基金收益和赎回款项；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（15）依据《基金法》、《基金合同》及其他有关规定，召集基金份额持有人大会或配合基金份额持有人依法召集基金份额持有人大会；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（16）按照法律法规和《基金合同》的规定监督基金管理人的投资运作；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（17）参加基金财产清算小组，参与基金财产的保管、清理、估价、变现和分配；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（18）面临解散、依法被撤销或者被依法宣告破产时，及时报告中国证监会和银行监管机构，并通知基金管理人；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（19）因违反《基金合同》导致基金财产损失时，应承担赔偿责任，其赔偿责任不因其退任而免除；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（20）按规定监督基金管理人按法律法规和《基金合同》规定履行自己的义务，基金管理人因违反《基金合同》造成基金财产损失时，应为基金份额持有人利益向基金管理人追偿；</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（21）执行生效的基金份额持有人大会的决定；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（22）法律法规及中国证监会规定的和《基金合同》约定的其他义务。</w:t>
      </w:r>
    </w:p>
    <w:p w:rsidR="00AD3EC7" w:rsidRPr="00177B84">
      <w:pPr>
        <w:spacing w:line="360" w:lineRule="auto"/>
        <w:ind w:firstLine="420" w:firstLineChars="200"/>
        <w:rPr>
          <w:rFonts w:asciiTheme="minorEastAsia" w:eastAsiaTheme="minorEastAsia" w:hAnsiTheme="minorEastAsia"/>
          <w:color w:val="000000" w:themeColor="text1"/>
        </w:rPr>
      </w:pP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二、基金份额持有人大会召集、议事及表决的程序和规则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基金份额持有人大会由基金份额持有人组成，基金份额持有人的合法授权代表有权代表基金份额持有人出席会议并表决。基金份额持有人持有的每一基金份额拥有平等的投票权。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本基金份额持有人大会暂不设日常机构。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（一）召开事由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1、当出现或需要决定下列事由之一的，应当召开基金份额持有人大会，但法律法规、中国证监会和基金合同另有规定的除外：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（1）终止《基金合同》；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（2）更换基金管理人；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（3）更换基金托管人；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（4）转换基金运作方式；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（5）调整基金管理人、基金托管人的报酬标准；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（6）变更基金类别；</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（7）本基金与其他基金的合并；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（8）变更基金投资目标、范围或策略；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（9）变更基金份额持有人大会程序；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（10）基金管理人或基金托管人要求召开基金份额持有人大会；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（11）单独或合计持有本基金总份额10%以上（含10%）基金份额的基金份额持有人（以基金管理人收到提议当日的基金份额计算，下同）就同一事项书面要求召开基金份额持有人大会；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（12）对基金当事人权利和义务产生重大影响的其他事项；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（13）法律法规、《基金合同》或中国证监会规定的其他应当召开基金份额持有人大会的事项。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2、以下情况可由基金管理人和基金托管人协商后修改，不需召开基金份额持有人大会：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（1）调低销售服务费和其他应由基金承担的费用；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（2）法律法规要求增加的基金费用的收取；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（3）在法律法规和《基金合同》规定的范围内调整本基金的申购费率、调低赎回费率或变更收费方式；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（4）因相应的法律法规发生变动而应当对《基金合同》进行修改；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（5）对《基金合同》的修改对基金份额持有人利益无实质性不利影响或修改不涉及《基金合同》当事人权利义务关系发生重大变化；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（6）基金管理人、基金登记机构、基金销售机构，在法律法规规定或中国证监会许可的范围内调整有关认购、申购、赎回、转换、基金交易、非交易过户、转托管、质押等业务规则；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（7）在对基金份额持有人利益无实质不利影响的情况下，在法律法规规定或中国证监会许可的范围内基金推出新业务或服务；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（8）按照本基金合同的约定，变更业绩比较基准；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（9）按照法律法规和《基金合同》规定不需召开基金份额持有人大会的其他情形。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（二）会议召集人及召集方式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1、除法律法规规定或《基金合同》另有约定外，基金份额持有人大会由基金管理人召集；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2、基金管理人未按规定召集或不能召集时，由基金托管人召集；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6、基金份额持有人会议的召集人负责选择确定开会时间、地点、方式和权益登记日。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（三）召开基金份额持有人大会的通知时间、通知内容、通知方式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1、召开基金份额持有人大会，召集人应于会议召开前30日，在指定媒介公告。基金份额持有人大会通知应至少载明以下内容：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（1）会议召开的时间、地点和会议形式；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（2）会议拟审议的事项、议事程序和表决方式；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（3）有权出席基金份额持有人大会的基金份额持有人的权益登记日；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（4）授权委托证明的内容要求（包括但不限于代理人身份，代理权限和代理有效期限等）、送达时间和地点;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（5）会务常设联系人姓名及联系电话；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（6）出席会议者必须准备的文件和必须履行的手续；</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（7）召集人需要通知的其他事项。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（四）基金份额持有人出席会议的方式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基金份额持有人大会可通过现场开会方式、通讯开会方式或法律法规、中国证监会允许的其他方式召开，会议的召开方式由会议召集人确定。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（1）亲自出席会议者持有的有关证明文件、受托出席会议者出示的委托人的代理投票授权委托证明及有关证明文件符合法律法规、《基金合同》和会议通知的规定；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（2）经核对，到会者在权益登记日代表的有效的基金份额不少于本基金在权益登记日基金总份额的50%（含50%）。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2、通讯开会。通讯开会系指基金份额持有人将其对表决事项的投票以书面形式在表决截至日以前送达至召集人指定的地址。通讯开会应以书面方式进行表决。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在同时符合以下条件时，通讯开会的方式视为有效：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（1）会议召集人按《基金合同》约定公布会议通知后，在2个工作日内连续公布相关提示性公告；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（3）本人直接出具书面意见或授权他人代表出具书面意见的，基金份额持有人所持有的基金份额不小于在权益登记日基金总份额的50%（含50%）；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3、重新召集基金份额持有人大会的条件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基金份额持有人大会应当有代表二分之一以上基金份额的持有人参加，方可召开。</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5、基金份额持有人授权他人代为出席会议并表决的，授权方式可以采用书面、网络、电话、短信或其他方式，具体方式由会议召集人确定并在会议通知中列明。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（五）议事内容与程序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1、议事内容及提案权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基金份额持有人大会的召集人发出召集会议的通知后，对原有提案的修改应当在基金份额持有人大会召开前及时公告。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基金份额持有人大会不得对未事先公告的议事内容进行表决。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2、议事程序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（1）现场开会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会议召集人应当制作出席会议人员的签名册。签名册载明参加会议人员姓名（或单位名称）、身份证明文件号码、持有或代表有表决权的基金份额、委托人姓名（或单位名称）和联系方式等事项。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（2）通讯开会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在通讯开会的情况下，首先由召集人提前30日公布提案，在所通知的表决截止日期后2个工作日内在公证机关监督下由召集人统计全部有效表决，在公证机关监督下形成决议。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（六）表决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基金份额持有人所持每份基金份额有一票表决权。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基金份额持有人大会决议分为一般决议和特别决议：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1、一般决议，一般决议须经参加大会的基金份额持有人或其代理人所持表决权的50%以上（含50%）通过方为有效；除下列第2项所规定的须以特别决议通过事项以外的其他事项均以一般决议的方式通过。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基金份额持有人大会采取记名方式进行投票表决。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基金份额持有人大会的各项提案或同一项提案内并列的各项议题应当分开审议、逐项表决。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（七）计票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1、现场开会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（2）监票人应当在基金份额持有人表决后立即进行清点并由大会主持人当场公布计票结果。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（4）计票过程应由公证机关予以公证,基金管理人或基金托管人拒不出席大会的，不影响计票的效力。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2、通讯开会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（八）生效与公告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基金份额持有人大会的决议，自表决通过之日起生效。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基金份额持有人大会的决议，召集人应当自通过之日起5日内报中国证监会备案。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基金份额持有人大会决议自生效之日起2日内在指定媒介上公告。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基金管理人、基金托管人和基金份额持有人应当执行生效的基金份额持有人大会的决议。生效的基金份额持有人大会决议对全体基金份额持有人、基金管理人、基金托管人均有约束力。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三、基金收益分配原则、执行方式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（一）基金利润的构成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基金利润指基金利息收入、投资收益、公允价值变动收益和其他收入扣除相关费用后的余额，基金已实现收益指基金利润减去公允价值变动收益后的余额。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（二）基金可供分配利润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基金可供分配利润指截至收益分配基准日基金未分配利润与未分配利润中已实现收益的孰低数。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（三）基金收益分配原则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1、本基金收益分配方式分两种：现金分红与红利再投资，投资者可选择现金红利或将现金红利自动转为基金份额进行再投资；若投资者不选择，本基金默认的收益分配方式是现金分红；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2、基金收益分配后基金份额净值不能低于面值；即基金收益分配基准日的基金份额净值减去每单位基金份额收益分配金额后不能低于面值；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3、本基金各基金份额类别在费用收取上不同，其对应的可分配收益可能有所不同。同一类别的每一基金份额享有同等分配权；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4、在对基金份额持有人利益无实质不利影响的前提下，基金管理人可调整基金收益的分配原则和支付方式，不需召开基金份额持有人大会审议；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5、法律法规或监管机关另有规定的，从其规定。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（四）收益分配方案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基金收益分配方案中应载明截止收益分配基准日的可供分配利润、基金收益分配对象、分配时间、分配数额及比例、分配方式等内容。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（五）收益分配方案的确定、公告与实施</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本基金收益分配方案由基金管理人拟定，并由基金托管人复核，在2日内在指定媒介公告。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基金红利发放日距离收益分配基准日（即可供分配利润计算截止日）的时间不得超过15个工作日。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（六）基金收益分配中发生的费用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四、与基金财产管理、运用有关费用的提取、支付方式与比例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（一）基金费用的种类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1、基金管理人的管理费；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2、基金托管人的托管费；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4、《基金合同》生效后与基金相关的信息披露费用；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5、《基金合同》生效后与基金相关的会计师费、律师费、诉讼费和仲裁费；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6、基金份额持有人大会费用；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7、基金的证券交易费用；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8、基金的银行汇划费用；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9、证券账户开户费用、银行账户维护费用；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10、按照国家有关规定和《基金合同》约定，可以在基金财产中列支的其他费用。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（二）基金费用计提方法、计提标准和支付方式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1、基金管理人的管理费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本基金的管理费按前一日基金资产净值的0.60%年费率计提。管理费的计算方法如下：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H＝E×0.60%÷当年天数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H为每日应计提的基金管理费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E为前一日的基金资产净值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公休日或不可抗力致使无法按时支付等，支付日期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2、基金托管人的托管费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本基金的托管费按前一日基金资产净值的0.10%的年费率计提。托管费的计算方法如下：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H＝E×0.10%÷当年天数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H为每日应计提的基金托管费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E为前一日的基金资产净值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费每日计提，逐日累计至每月月末，按月支付。经基金管理人与基金托管人双方核对无误后，基金托管人按照与基金管理人协商一致的方式于次月首日起5个工作日内从基金财产中一次性支付给基金托管人。若遇法定节假日、公休日或不可抗力致使无法按时支付等，支付日期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本基金A类基金份额不收取销售服务费，C类基金份额的销售服务费年费率为0.20%，按前一日C类基金资产净值的0.20%年费率计提。</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销售服务费的计算方法如下：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H＝E×0.20%÷当年天数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H为C类基金份额每日应计提的销售服务费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E为C类基金份额前一日基金资产净值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日或不可抗力致使无法按时支付等，支付日期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上述“（一）基金费用的种类中第4－10项费用”，根据有关法规及相应协议规定，按费用实际支出金额列入当期费用，由基金托管人从基金财产中支付。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（三）不列入基金费用的项目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下列费用不列入基金费用：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1、基金管理人和基金托管人因未履行或未完全履行义务导致的费用支出或基金财产的损失；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2、基金管理人和基金托管人处理与基金运作无关的事项发生的费用；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3、《基金合同》生效前的相关费用；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4、其他根据相关法律法规及中国证监会的有关规定不得列入基金费用的项目。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（四）费用调整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基金管理人和基金托管人协商一致后，可按照基金发展情况，并根据法律法规规定和基金合同约定调低销售服务费率等相关费率。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（五）基金税收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本基金运作过程中涉及的各纳税主体，其纳税义务按国家税收法律、法规执行。</w:t>
      </w:r>
    </w:p>
    <w:p w:rsidR="00AD3EC7" w:rsidRPr="00177B84">
      <w:pPr>
        <w:spacing w:line="360" w:lineRule="auto"/>
        <w:ind w:firstLine="420" w:firstLineChars="200"/>
        <w:rPr>
          <w:rFonts w:asciiTheme="minorEastAsia" w:eastAsiaTheme="minorEastAsia" w:hAnsiTheme="minorEastAsia"/>
          <w:color w:val="000000" w:themeColor="text1"/>
        </w:rPr>
      </w:pP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五、基金财产的投资方向和投资限制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（一）投资目标</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本基金在控制风险的前提下，追求基金资产的稳健增值。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（二）投资范围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本基金的投资范围包括国内依法发行、上市的股票（包括创业板、中小板以及其他依法发行、上市的股票</w:t>
      </w:r>
      <w:r w:rsidRPr="00177B84" w:rsidR="006A575D">
        <w:rPr>
          <w:rFonts w:asciiTheme="minorEastAsia" w:eastAsiaTheme="minorEastAsia" w:hAnsiTheme="minorEastAsia" w:hint="eastAsia"/>
          <w:color w:val="000000" w:themeColor="text1"/>
        </w:rPr>
        <w:t>、存托凭证</w:t>
      </w:r>
      <w:r w:rsidRPr="00177B84">
        <w:rPr>
          <w:rFonts w:asciiTheme="minorEastAsia" w:eastAsiaTheme="minorEastAsia" w:hAnsiTheme="minorEastAsia" w:hint="eastAsia"/>
          <w:color w:val="000000" w:themeColor="text1"/>
        </w:rPr>
        <w:t>）、债券（包括国债、央行票据、地方政府债、金融债、企业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如法律法规或监管机构以后允许基金投资其他品种，本基金可以将其纳入投资范围。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基金的投资组合比例为：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本基金股票资产占基金资产的比例为0%-95%，扣除股指期货、国债期货合约需缴纳的交易保证金后，现金或到期日在一年以内的政府债券不低于基金资产净值的5%，</w:t>
      </w:r>
      <w:r w:rsidRPr="00177B84" w:rsidR="00AB6EF2">
        <w:rPr>
          <w:rFonts w:asciiTheme="minorEastAsia" w:eastAsiaTheme="minorEastAsia" w:hAnsiTheme="minorEastAsia" w:hint="eastAsia"/>
          <w:color w:val="000000" w:themeColor="text1"/>
        </w:rPr>
        <w:t>现金不包括结算备付金、存出保证金、应收申购款等，</w:t>
      </w:r>
      <w:r w:rsidRPr="00177B84">
        <w:rPr>
          <w:rFonts w:asciiTheme="minorEastAsia" w:eastAsiaTheme="minorEastAsia" w:hAnsiTheme="minorEastAsia" w:hint="eastAsia"/>
          <w:color w:val="000000" w:themeColor="text1"/>
        </w:rPr>
        <w:t>权证、股指期货、国债期货及其他金融工具的投资比例依照法律法规或监管机构的规定执行。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（三）投资限制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1、组合限制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基金的投资组合应遵循以下限制：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（1）本基金股票资产占基金资产的比例为0%-95%；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（2）扣除股指期货、国债期货合约需缴纳的交易保证金后，保持不低于基金资产净值5％的现金或者到期日在一年以内的政府债券</w:t>
      </w:r>
      <w:r w:rsidRPr="00177B84" w:rsidR="00AB6EF2">
        <w:rPr>
          <w:rFonts w:asciiTheme="minorEastAsia" w:eastAsiaTheme="minorEastAsia" w:hAnsiTheme="minorEastAsia" w:hint="eastAsia"/>
          <w:color w:val="000000" w:themeColor="text1"/>
        </w:rPr>
        <w:t>，现金不包括结算备付金、存出保证金、应收申购款等</w:t>
      </w:r>
      <w:r w:rsidRPr="00177B84">
        <w:rPr>
          <w:rFonts w:asciiTheme="minorEastAsia" w:eastAsiaTheme="minorEastAsia" w:hAnsiTheme="minorEastAsia" w:hint="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（3）本基金持有一家公司发行的证券，其市值不得超过基金资产净值的10%；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（4）本基金管理人管理的全部基金持有一家公司发行的证券，不超过该证券的10％；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（5）本基金持有的全部权证，其市值不得超过基金资产净值的3％；</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（6）本基金管理人管理的全部基金持有的同一权证，不得超过该权证的10％；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（7）本基金在任何交易日买入权证的总金额，不得超过上一交易日基金资产净值的0.5％；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（8）本基金投资于同一原始权益人的各类资产支持证券的比例，不得超过基金资产净值的10％；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（9）本基金持有的全部资产支持证券，其市值不得超过基金资产净值的20％；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（10）本基金持有的同一(指同一信用级别)资产支持证券的比例，不得超过该资产支持证券规模的10％；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（11）本基金管理人管理的全部基金投资于同一原始权益人的各类资产支持证券，不得超过其各类资产支持证券合计规模的10％；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（12）本基金应投资于信用级别评级为BBB以上(含BBB)的资产支持证券。基金持有资产支持证券期间，如果其信用等级下降、不再符合投资标准，应在评级报告发布之日起3个月内予以全部卖出；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（13）基金财产参与股票发行申购，本基金所申报的金额不超过本基金的总资产，本基金所申报的股票数量不超过拟发行股票公司本次发行股票的总量；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（14）本基金进入全国银行间同业市场进行债券回购的资金余额不得超过基金资产净值的40%；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（17）本基金基金总资产不得超过基金净资产的140%；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（18）基金参与融资业务后，在任何交易日日终，持有的融资买入股票与其他有价证券市值之和，不得超过基金资产净值的95%；</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19</w:t>
      </w:r>
      <w:r w:rsidRPr="00177B84">
        <w:rPr>
          <w:rFonts w:asciiTheme="minorEastAsia" w:eastAsiaTheme="minorEastAsia" w:hAnsiTheme="minorEastAsia" w:hint="eastAsia"/>
          <w:color w:val="000000" w:themeColor="text1"/>
        </w:rPr>
        <w:t>）本基金管理人管理的全部开放式基金持有一家上市公司发行的可流通股票，不得超过该上市公司可流通股票的</w:t>
      </w:r>
      <w:r w:rsidRPr="00177B84">
        <w:rPr>
          <w:rFonts w:asciiTheme="minorEastAsia" w:eastAsiaTheme="minorEastAsia" w:hAnsiTheme="minorEastAsia"/>
          <w:color w:val="000000" w:themeColor="text1"/>
        </w:rPr>
        <w:t>15%</w:t>
      </w:r>
      <w:r w:rsidRPr="00177B84">
        <w:rPr>
          <w:rFonts w:asciiTheme="minorEastAsia" w:eastAsiaTheme="minorEastAsia" w:hAnsiTheme="minorEastAsia" w:hint="eastAsia"/>
          <w:color w:val="000000" w:themeColor="text1"/>
        </w:rPr>
        <w:t>；本基金管理人管理的全部投资组合持有一家上市公司发行的可流通股票，不得超过该上市公司可流通股票的</w:t>
      </w:r>
      <w:r w:rsidRPr="00177B84">
        <w:rPr>
          <w:rFonts w:asciiTheme="minorEastAsia" w:eastAsiaTheme="minorEastAsia" w:hAnsiTheme="minorEastAsia"/>
          <w:color w:val="000000" w:themeColor="text1"/>
        </w:rPr>
        <w:t>30%</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20</w:t>
      </w:r>
      <w:r w:rsidRPr="00177B84">
        <w:rPr>
          <w:rFonts w:asciiTheme="minorEastAsia" w:eastAsiaTheme="minorEastAsia" w:hAnsiTheme="minorEastAsia" w:hint="eastAsia"/>
          <w:color w:val="000000" w:themeColor="text1"/>
        </w:rPr>
        <w:t>）本基金主动投资于流动性受限资产的市值合计不得超过该基金资产净值的</w:t>
      </w:r>
      <w:r w:rsidRPr="00177B84">
        <w:rPr>
          <w:rFonts w:asciiTheme="minorEastAsia" w:eastAsiaTheme="minorEastAsia" w:hAnsiTheme="minorEastAsia"/>
          <w:color w:val="000000" w:themeColor="text1"/>
        </w:rPr>
        <w:t>15%</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21</w:t>
      </w:r>
      <w:r w:rsidRPr="00177B84">
        <w:rPr>
          <w:rFonts w:asciiTheme="minorEastAsia" w:eastAsiaTheme="minorEastAsia" w:hAnsiTheme="minorEastAsia" w:hint="eastAsia"/>
          <w:color w:val="000000" w:themeColor="text1"/>
        </w:rPr>
        <w:t>）本基金与私募类证券资管产品及中国证监会认定的其他主体为交易对手开展逆回购交易的，可接受质押品的资质要求应当与基金合同约定的投资范围保持一致。</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22</w:t>
      </w:r>
      <w:r w:rsidRPr="00177B84">
        <w:rPr>
          <w:rFonts w:asciiTheme="minorEastAsia" w:eastAsiaTheme="minorEastAsia" w:hAnsiTheme="minorEastAsia" w:hint="eastAsia"/>
          <w:color w:val="000000" w:themeColor="text1"/>
        </w:rPr>
        <w:t>）本基金投资存托凭证的比例限制依照境内上市交易的股票执行，与境内上市交易的股票合并计算。</w:t>
      </w:r>
    </w:p>
    <w:p w:rsidR="00767D70"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（23）</w:t>
      </w:r>
      <w:r w:rsidRPr="00177B84" w:rsidR="00B2727D">
        <w:rPr>
          <w:rFonts w:asciiTheme="minorEastAsia" w:eastAsiaTheme="minorEastAsia" w:hAnsiTheme="minorEastAsia" w:hint="eastAsia"/>
          <w:color w:val="000000" w:themeColor="text1"/>
        </w:rPr>
        <w:t>法律法规及中国证监会规定的和《基金合同》约定的其他投资限制。</w:t>
      </w:r>
    </w:p>
    <w:p w:rsidR="00AD3EC7"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除上述（</w:t>
      </w:r>
      <w:r w:rsidRPr="00177B84">
        <w:rPr>
          <w:rFonts w:asciiTheme="minorEastAsia" w:eastAsiaTheme="minorEastAsia" w:hAnsiTheme="minorEastAsia"/>
          <w:color w:val="000000" w:themeColor="text1"/>
        </w:rPr>
        <w:t>2</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12</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13</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20</w:t>
      </w:r>
      <w:r w:rsidRPr="00177B84">
        <w:rPr>
          <w:rFonts w:asciiTheme="minorEastAsia" w:eastAsiaTheme="minorEastAsia" w:hAnsiTheme="minorEastAsia" w:hint="eastAsia"/>
          <w:color w:val="000000" w:themeColor="text1"/>
        </w:rPr>
        <w:t>）、（</w:t>
      </w:r>
      <w:r w:rsidRPr="00177B84">
        <w:rPr>
          <w:rFonts w:asciiTheme="minorEastAsia" w:eastAsiaTheme="minorEastAsia" w:hAnsiTheme="minorEastAsia"/>
          <w:color w:val="000000" w:themeColor="text1"/>
        </w:rPr>
        <w:t>21</w:t>
      </w:r>
      <w:r w:rsidRPr="00177B84">
        <w:rPr>
          <w:rFonts w:asciiTheme="minorEastAsia" w:eastAsiaTheme="minorEastAsia" w:hAnsiTheme="minorEastAsia" w:hint="eastAsia"/>
          <w:color w:val="000000" w:themeColor="text1"/>
        </w:rPr>
        <w:t>）以外，</w:t>
      </w:r>
      <w:r w:rsidRPr="00177B84" w:rsidR="00B2727D">
        <w:rPr>
          <w:rFonts w:asciiTheme="minorEastAsia" w:eastAsiaTheme="minorEastAsia" w:hAnsiTheme="minorEastAsia" w:hint="eastAsia"/>
          <w:color w:val="000000" w:themeColor="text1"/>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2、禁止行为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为维护基金份额持有人的合法权益，基金财产不得用于下列投资或者活动：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（1）承销证券；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（2）违反规定向他人贷款或者提供担保；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（3）从事承担无限责任的投资；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（4）向其基金管理人、基金托管人出资；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（5）从事内幕交易、操纵证券交易价格及其他不正当的证券交易活动；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（6）法律、行政法规和中国证监会规定禁止的其他活动。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六、基金资产净值的计算方法和公告方式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（一）基金资产总值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基金资产总值是指购买的各类证券及票据价值、银行存款本息和基金应收的申购基金款以及其他投资所形成的价值总和。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（二）基金资产净值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基金资产净值是指基金资产总值减去基金负债后的价值。</w:t>
      </w:r>
    </w:p>
    <w:p w:rsidR="00642065" w:rsidRPr="00177B84" w:rsidP="00642065">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hint="eastAsia"/>
          <w:color w:val="000000" w:themeColor="text1"/>
        </w:rPr>
        <w:t>（三）</w:t>
      </w:r>
      <w:r w:rsidRPr="00177B84">
        <w:rPr>
          <w:rFonts w:asciiTheme="minorEastAsia" w:eastAsiaTheme="minorEastAsia" w:hAnsiTheme="minorEastAsia"/>
          <w:bCs/>
          <w:color w:val="000000" w:themeColor="text1"/>
        </w:rPr>
        <w:t>基金</w:t>
      </w:r>
      <w:r w:rsidRPr="00177B84">
        <w:rPr>
          <w:rFonts w:asciiTheme="minorEastAsia" w:eastAsiaTheme="minorEastAsia" w:hAnsiTheme="minorEastAsia" w:hint="eastAsia"/>
          <w:bCs/>
          <w:color w:val="000000" w:themeColor="text1"/>
        </w:rPr>
        <w:t>净值信息</w:t>
      </w:r>
    </w:p>
    <w:p w:rsidR="00642065" w:rsidRPr="00177B84" w:rsidP="00642065">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《基金合同》生效后，在开始办理基金份额申购或者赎回前，基金管理人应当至少每周</w:t>
      </w:r>
      <w:r w:rsidRPr="00177B84">
        <w:rPr>
          <w:rFonts w:asciiTheme="minorEastAsia" w:eastAsiaTheme="minorEastAsia" w:hAnsiTheme="minorEastAsia" w:hint="eastAsia"/>
          <w:bCs/>
          <w:color w:val="000000" w:themeColor="text1"/>
        </w:rPr>
        <w:t>在指定网站披露一次基金份额净值和基金份额累计净值</w:t>
      </w:r>
      <w:r w:rsidRPr="00177B84">
        <w:rPr>
          <w:rFonts w:asciiTheme="minorEastAsia" w:eastAsiaTheme="minorEastAsia" w:hAnsiTheme="minorEastAsia"/>
          <w:bCs/>
          <w:color w:val="000000" w:themeColor="text1"/>
        </w:rPr>
        <w:t>。</w:t>
      </w:r>
    </w:p>
    <w:p w:rsidR="00642065" w:rsidRPr="00177B84" w:rsidP="00642065">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在开始办理基金份额申购或者赎回后，基金管理人应当在</w:t>
      </w:r>
      <w:r w:rsidRPr="00177B84">
        <w:rPr>
          <w:rFonts w:asciiTheme="minorEastAsia" w:eastAsiaTheme="minorEastAsia" w:hAnsiTheme="minorEastAsia" w:hint="eastAsia"/>
          <w:bCs/>
          <w:color w:val="000000" w:themeColor="text1"/>
        </w:rPr>
        <w:t>不晚于</w:t>
      </w:r>
      <w:r w:rsidRPr="00177B84">
        <w:rPr>
          <w:rFonts w:asciiTheme="minorEastAsia" w:eastAsiaTheme="minorEastAsia" w:hAnsiTheme="minorEastAsia"/>
          <w:bCs/>
          <w:color w:val="000000" w:themeColor="text1"/>
        </w:rPr>
        <w:t>每个开放日的次日，通过指定网站、基金</w:t>
      </w:r>
      <w:r w:rsidRPr="00177B84">
        <w:rPr>
          <w:rFonts w:asciiTheme="minorEastAsia" w:eastAsiaTheme="minorEastAsia" w:hAnsiTheme="minorEastAsia" w:hint="eastAsia"/>
          <w:bCs/>
          <w:color w:val="000000" w:themeColor="text1"/>
        </w:rPr>
        <w:t>销售机构网站或者营业网点</w:t>
      </w:r>
      <w:r w:rsidRPr="00177B84">
        <w:rPr>
          <w:rFonts w:asciiTheme="minorEastAsia" w:eastAsiaTheme="minorEastAsia" w:hAnsiTheme="minorEastAsia"/>
          <w:bCs/>
          <w:color w:val="000000" w:themeColor="text1"/>
        </w:rPr>
        <w:t>，披露开放日的基金份额净值和基金份额累计净值。</w:t>
      </w:r>
    </w:p>
    <w:p w:rsidR="00642065" w:rsidRPr="00177B84" w:rsidP="00642065">
      <w:pPr>
        <w:spacing w:line="360" w:lineRule="auto"/>
        <w:ind w:firstLine="420" w:firstLineChars="200"/>
        <w:rPr>
          <w:rFonts w:asciiTheme="minorEastAsia" w:eastAsiaTheme="minorEastAsia" w:hAnsiTheme="minorEastAsia"/>
          <w:bCs/>
          <w:color w:val="000000" w:themeColor="text1"/>
        </w:rPr>
      </w:pPr>
      <w:r w:rsidRPr="00177B84">
        <w:rPr>
          <w:rFonts w:asciiTheme="minorEastAsia" w:eastAsiaTheme="minorEastAsia" w:hAnsiTheme="minorEastAsia"/>
          <w:bCs/>
          <w:color w:val="000000" w:themeColor="text1"/>
        </w:rPr>
        <w:t>基金管理人应当</w:t>
      </w:r>
      <w:r w:rsidRPr="00177B84">
        <w:rPr>
          <w:rFonts w:asciiTheme="minorEastAsia" w:eastAsiaTheme="minorEastAsia" w:hAnsiTheme="minorEastAsia" w:hint="eastAsia"/>
          <w:bCs/>
          <w:color w:val="000000" w:themeColor="text1"/>
        </w:rPr>
        <w:t>在不晚于半年度和年度最后一日的次日，在指定网站披露半年度和年度最后一日的基金份额净值和基金份额累计净值</w:t>
      </w:r>
      <w:r w:rsidRPr="00177B84">
        <w:rPr>
          <w:rFonts w:asciiTheme="minorEastAsia" w:eastAsiaTheme="minorEastAsia" w:hAnsiTheme="minorEastAsia"/>
          <w:bCs/>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七、基金合同解除和终止的事由、程序以及基金财产清算方式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（一）《基金合同》的变更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2、关于《基金合同》变更的基金份额持有人大会决议自表决通过之日起生效，自决议生效后两日内在指定媒介公告。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（二）《基金合同》的终止事由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有下列情形之一的，《基金合同》应当终止：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1、基金份额持有人大会决定终止的；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2、基金管理人、基金托管人职责终止，在6个月内没有新基金管理人、新基金托管人承接的；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3、《基金合同》约定的其他情形；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4、相关法律法规和中国证监会规定的其他情况。</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（三）基金财产的清算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1、基金财产清算小组：自出现《基金合同》终止事由之日起30个工作日内成立清算小组，基金管理人组织基金财产清算小组并在中国证监会的监督下进行基金清算。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3、基金财产清算小组职责：基金财产清算小组负责基金财产的保管、清理、估价、变现和分配。基金财产清算小组可以依法进行必要的民事活动。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4、基金财产清算程序：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（1）《基金合同》终止情形出现时，由基金财产清算小组统一接管基金；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（2）对基金财产和债权债务进行清理和确认；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（3）对基金财产进行估值和变现；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（4）制作清算报告；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（5）聘请会计师事务所对清算报告进行外部审计，聘请律师事务所对清算报告出具法律意见书；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（6）将清算报告报中国证监会备案并公告；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（7）对基金财产进行分配。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5、基金财产清算的期限为6个月，但因本基金所持证券的流动性受到限制而不能及时变现的，清算期限相应顺延。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（四）清算费用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清算费用是指基金财产清算小组在进行基金清算过程中发生的所有合理费用，清算费用由基金财产清算小组优先从基金财产中支付。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（五）基金财产清算剩余资产的分配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依据基金财产清算的分配方案，将基金财产清算后的全部剩余资产扣除基金财产清算费用、交纳所欠税款并清偿基金债务后，按基金份额持有人持有的基金份额比例进行分配。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（六）基金财产清算的公告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（七）基金财产清算账册及文件的保存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基金财产清算账册及有关文件由基金托管人保存15年以上。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八、争议解决方式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争议处理期间，基金合同当事人应恪守各自的职责，继续忠实、勤勉、尽责地履行基金合同规定的义务，维护基金份额持有人的合法权益。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《基金合同》受中国法律管辖。（仅为本合同之目的，在此不包括香港特别行政区、澳门特别行政区以及台湾地区法律。）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九、基金合同存放地和投资者取得基金合同的方式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《基金合同》是约定基金当事人之间、基金与基金当事人之间权利义务关系的法律文件。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1、《基金合同》经基金管理人、基金托管人双方盖章以及双方法定代表人或授权代表签字或盖章并在募集结束后经基金管理人向中国证监会办理基金备案手续，并经中国证监会书面确认后生效。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2、《基金合同》的有效期自其生效之日起至基金财产清算结果报中国证监会备案并公告之日止。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3、《基金合同》自生效之日起对包括基金管理人、基金托管人和基金份额持有人在内的《基金合同》各方当事人具有同等的法律约束力。</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4、《基金合同》正本一式六份，除上报有关监管机构一式二份外，基金管理人、基金托管人各持有二份，每份具有同等的法律效力。</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5、《基金合同》可印制成册，供投资者在基金管理人、基金托管人、销售机构的办公场所和营业场所查阅。</w:t>
      </w:r>
      <w:r w:rsidRPr="00177B84">
        <w:rPr>
          <w:rFonts w:asciiTheme="minorEastAsia" w:eastAsiaTheme="minorEastAsia" w:hAnsiTheme="minorEastAsia"/>
          <w:color w:val="000000" w:themeColor="text1"/>
        </w:rPr>
        <w:br w:type="page"/>
      </w:r>
    </w:p>
    <w:p w:rsidR="00BA4B87" w:rsidRPr="00177B84" w:rsidP="00616952">
      <w:pPr>
        <w:pStyle w:val="Heading1"/>
        <w:snapToGrid w:val="0"/>
        <w:spacing w:beforeLines="0" w:afterLines="0" w:line="360" w:lineRule="auto"/>
        <w:ind w:firstLine="600"/>
        <w:rPr>
          <w:rFonts w:asciiTheme="minorEastAsia" w:eastAsiaTheme="minorEastAsia" w:hAnsiTheme="minorEastAsia"/>
          <w:color w:val="000000" w:themeColor="text1"/>
          <w:sz w:val="30"/>
        </w:rPr>
      </w:pPr>
      <w:bookmarkStart w:id="88" w:name="_Toc103006851"/>
      <w:bookmarkStart w:id="89" w:name="_Toc332373590"/>
      <w:bookmarkStart w:id="90" w:name="_Toc332374170"/>
      <w:r w:rsidRPr="00177B84">
        <w:rPr>
          <w:rFonts w:asciiTheme="minorEastAsia" w:eastAsiaTheme="minorEastAsia" w:hAnsiTheme="minorEastAsia"/>
          <w:color w:val="000000" w:themeColor="text1"/>
          <w:sz w:val="30"/>
        </w:rPr>
        <w:t>二十二、基金托管协议摘要</w:t>
      </w:r>
      <w:bookmarkEnd w:id="88"/>
    </w:p>
    <w:bookmarkEnd w:id="89"/>
    <w:bookmarkEnd w:id="90"/>
    <w:p w:rsidR="00D51034"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一、托管协议当事人</w:t>
      </w:r>
    </w:p>
    <w:p w:rsidR="002945F3" w:rsidRPr="00177B84" w:rsidP="002945F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w:t>
      </w:r>
      <w:r w:rsidRPr="00177B84" w:rsidR="00921E99">
        <w:rPr>
          <w:rFonts w:asciiTheme="minorEastAsia" w:eastAsiaTheme="minorEastAsia" w:hAnsiTheme="minorEastAsia"/>
          <w:color w:val="000000" w:themeColor="text1"/>
        </w:rPr>
        <w:t>金管理人</w:t>
      </w:r>
      <w:r w:rsidRPr="00177B84">
        <w:rPr>
          <w:rFonts w:asciiTheme="minorEastAsia" w:eastAsiaTheme="minorEastAsia" w:hAnsiTheme="minorEastAsia"/>
          <w:color w:val="000000" w:themeColor="text1"/>
        </w:rPr>
        <w:t>：易方达基金管理有限公司</w:t>
      </w:r>
    </w:p>
    <w:p w:rsidR="002945F3" w:rsidRPr="00177B84" w:rsidP="002945F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住所：</w:t>
      </w:r>
      <w:r w:rsidRPr="00177B84" w:rsidR="00792400">
        <w:rPr>
          <w:rFonts w:asciiTheme="minorEastAsia" w:eastAsiaTheme="minorEastAsia" w:hAnsiTheme="minorEastAsia" w:hint="eastAsia"/>
          <w:color w:val="000000" w:themeColor="text1"/>
        </w:rPr>
        <w:t>广东省珠海市横琴新区荣粤道</w:t>
      </w:r>
      <w:r w:rsidRPr="00177B84" w:rsidR="00792400">
        <w:rPr>
          <w:rFonts w:asciiTheme="minorEastAsia" w:eastAsiaTheme="minorEastAsia" w:hAnsiTheme="minorEastAsia"/>
          <w:color w:val="000000" w:themeColor="text1"/>
        </w:rPr>
        <w:t>188号6层</w:t>
      </w:r>
    </w:p>
    <w:p w:rsidR="002945F3" w:rsidRPr="00177B84" w:rsidP="002945F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法定代表人：刘晓艳</w:t>
      </w:r>
    </w:p>
    <w:p w:rsidR="004304D3" w:rsidRPr="00177B84" w:rsidP="004304D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设立日期</w:t>
      </w:r>
      <w:r w:rsidRPr="00177B84" w:rsidR="002945F3">
        <w:rPr>
          <w:rFonts w:asciiTheme="minorEastAsia" w:eastAsiaTheme="minorEastAsia" w:hAnsiTheme="minorEastAsia"/>
          <w:color w:val="000000" w:themeColor="text1"/>
        </w:rPr>
        <w:t>：2001年4月17日</w:t>
      </w:r>
    </w:p>
    <w:p w:rsidR="00921E99" w:rsidRPr="00177B84" w:rsidP="00921E99">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批准设立机关及批准设立文号：中国证券监督管理委员会，证监基金字[2001]4号</w:t>
      </w:r>
    </w:p>
    <w:p w:rsidR="00921E99" w:rsidRPr="00177B84" w:rsidP="00921E99">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组织形式：有限责任公司</w:t>
      </w:r>
    </w:p>
    <w:p w:rsidR="002945F3" w:rsidRPr="00177B84" w:rsidP="00921E99">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注册资本：13,244.2万元人民币</w:t>
      </w:r>
    </w:p>
    <w:p w:rsidR="004304D3" w:rsidRPr="00177B84" w:rsidP="004304D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存续期</w:t>
      </w:r>
      <w:r w:rsidRPr="00177B84">
        <w:rPr>
          <w:rFonts w:asciiTheme="minorEastAsia" w:eastAsiaTheme="minorEastAsia" w:hAnsiTheme="minorEastAsia" w:hint="eastAsia"/>
          <w:color w:val="000000" w:themeColor="text1"/>
        </w:rPr>
        <w:t>限</w:t>
      </w:r>
      <w:r w:rsidRPr="00177B84">
        <w:rPr>
          <w:rFonts w:asciiTheme="minorEastAsia" w:eastAsiaTheme="minorEastAsia" w:hAnsiTheme="minorEastAsia"/>
          <w:color w:val="000000" w:themeColor="text1"/>
        </w:rPr>
        <w:t>：持续经营</w:t>
      </w:r>
    </w:p>
    <w:p w:rsidR="004304D3" w:rsidRPr="00177B84" w:rsidP="004304D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联系</w:t>
      </w:r>
      <w:r w:rsidRPr="00177B84">
        <w:rPr>
          <w:rFonts w:asciiTheme="minorEastAsia" w:eastAsiaTheme="minorEastAsia" w:hAnsiTheme="minorEastAsia"/>
          <w:color w:val="000000" w:themeColor="text1"/>
        </w:rPr>
        <w:t>电话：4008818088</w:t>
      </w:r>
    </w:p>
    <w:p w:rsidR="002945F3" w:rsidRPr="00177B84" w:rsidP="0041073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基金托管人：上海浦东发展银行股份有限公司</w:t>
      </w:r>
    </w:p>
    <w:p w:rsidR="00410738" w:rsidRPr="00177B84" w:rsidP="0041073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办公地址：上海市中山东一路12号</w:t>
      </w:r>
    </w:p>
    <w:p w:rsidR="002945F3" w:rsidRPr="00177B84" w:rsidP="0041073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法定代表人：</w:t>
      </w:r>
      <w:r w:rsidRPr="00177B84" w:rsidR="003B6AB9">
        <w:rPr>
          <w:rStyle w:val="da"/>
          <w:rFonts w:asciiTheme="minorEastAsia" w:eastAsiaTheme="minorEastAsia" w:hAnsiTheme="minorEastAsia" w:hint="eastAsia"/>
          <w:color w:val="000000" w:themeColor="text1"/>
        </w:rPr>
        <w:t>郑杨</w:t>
      </w:r>
    </w:p>
    <w:p w:rsidR="00410738" w:rsidRPr="00177B84" w:rsidP="0041073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成立日期：</w:t>
      </w:r>
      <w:r w:rsidRPr="00177B84" w:rsidR="00625CBC">
        <w:rPr>
          <w:rFonts w:asciiTheme="minorEastAsia" w:eastAsiaTheme="minorEastAsia" w:hAnsiTheme="minorEastAsia"/>
          <w:color w:val="000000" w:themeColor="text1"/>
        </w:rPr>
        <w:t>1992年10月19日</w:t>
      </w:r>
    </w:p>
    <w:p w:rsidR="00410738" w:rsidRPr="00177B84" w:rsidP="00410738">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基金托管业务资格批准机关：</w:t>
      </w:r>
      <w:r w:rsidRPr="00177B84" w:rsidR="00BD44D8">
        <w:rPr>
          <w:rFonts w:asciiTheme="minorEastAsia" w:eastAsiaTheme="minorEastAsia" w:hAnsiTheme="minorEastAsia" w:hint="eastAsia"/>
          <w:color w:val="000000" w:themeColor="text1"/>
        </w:rPr>
        <w:t>中国证券监督管理委员会</w:t>
      </w:r>
    </w:p>
    <w:p w:rsidR="002945F3" w:rsidRPr="00177B84" w:rsidP="00A533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基金托管业务资格文号：</w:t>
      </w:r>
      <w:r w:rsidRPr="00177B84">
        <w:rPr>
          <w:rFonts w:asciiTheme="minorEastAsia" w:eastAsiaTheme="minorEastAsia" w:hAnsiTheme="minorEastAsia"/>
          <w:color w:val="000000" w:themeColor="text1"/>
        </w:rPr>
        <w:t>证监基金字[2003]105号</w:t>
      </w:r>
    </w:p>
    <w:p w:rsidR="002945F3" w:rsidRPr="00177B84" w:rsidP="002945F3">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组织形式：股份有限公司（上市）</w:t>
      </w:r>
    </w:p>
    <w:p w:rsidR="004304D3" w:rsidRPr="00177B84" w:rsidP="0004790B">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注册资本：293.52亿元</w:t>
      </w:r>
    </w:p>
    <w:p w:rsidR="00397E25"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经营</w:t>
      </w:r>
      <w:r w:rsidRPr="00177B84" w:rsidR="0004790B">
        <w:rPr>
          <w:rFonts w:asciiTheme="minorEastAsia" w:eastAsiaTheme="minorEastAsia" w:hAnsiTheme="minorEastAsia" w:hint="eastAsia"/>
          <w:color w:val="000000" w:themeColor="text1"/>
        </w:rPr>
        <w:t>期限</w:t>
      </w:r>
      <w:r w:rsidRPr="00177B84">
        <w:rPr>
          <w:rFonts w:asciiTheme="minorEastAsia" w:eastAsiaTheme="minorEastAsia" w:hAnsiTheme="minorEastAsia"/>
          <w:color w:val="000000" w:themeColor="text1"/>
        </w:rPr>
        <w:t>：</w:t>
      </w:r>
      <w:r w:rsidRPr="00177B84" w:rsidR="0004790B">
        <w:rPr>
          <w:rFonts w:asciiTheme="minorEastAsia" w:eastAsiaTheme="minorEastAsia" w:hAnsiTheme="minorEastAsia"/>
          <w:color w:val="000000" w:themeColor="text1"/>
        </w:rPr>
        <w:t>永久存续</w:t>
      </w:r>
    </w:p>
    <w:p w:rsidR="00625CBC"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二、基金托管人对基金管理人的业务监督和核查</w:t>
      </w:r>
    </w:p>
    <w:p w:rsidR="00AD3EC7" w:rsidRPr="00177B84" w:rsidP="002920CF">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（一）基金托管人对基金管理人的投资行为行使监督权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1.基金托管人根据有关法律法规的规定和《基金合同》的约定，对下述基金投资范围、投资对象进行监督。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本基金的投资范围包括国内依法发行、上市的股票（包括创业板、中小板以及其他依法发行、上市的股票</w:t>
      </w:r>
      <w:r w:rsidRPr="00177B84" w:rsidR="006A575D">
        <w:rPr>
          <w:rFonts w:asciiTheme="minorEastAsia" w:eastAsiaTheme="minorEastAsia" w:hAnsiTheme="minorEastAsia" w:hint="eastAsia"/>
          <w:color w:val="000000" w:themeColor="text1"/>
        </w:rPr>
        <w:t>、存托凭证</w:t>
      </w:r>
      <w:r w:rsidRPr="00177B84">
        <w:rPr>
          <w:rFonts w:asciiTheme="minorEastAsia" w:eastAsiaTheme="minorEastAsia" w:hAnsiTheme="minorEastAsia" w:hint="eastAsia"/>
          <w:color w:val="000000" w:themeColor="text1"/>
        </w:rPr>
        <w:t>）、债券（包括国债、央行票据、地方政府债、金融债、企业债、公司债、证券公司短期公司债、中小企业私募债、次级债、中期票据、短期融资券、可转换债券、可交换债券等）、资产支持证券、债券回购、银行存款、同业存单、权证、国债期货、股指期货及法律法规或中国证监会允许基金投资的其他金融工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如法律法规或监管机构以后允许基金投资其他品种，本基金可以将其纳入投资范围。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本基金不得投资于相关法律、法规、部门规章及《基金合同》禁止投资的投资工具。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2.基金托管人根据有关法律法规的规定及《基金合同》的约定对下述基金投融资比例进行监督：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（1）按法律法规的规定及《基金合同》的约定，本基金的投资资产配置比例为：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本基金股票资产占基金资产的比例为0%-95%，扣除股指期货、国债期货合约需缴纳的交易保证金后，现金或到期日在一年以内的政府债券不低于基金资产净值的5%</w:t>
      </w:r>
      <w:r w:rsidRPr="00177B84" w:rsidR="00880F64">
        <w:rPr>
          <w:rFonts w:asciiTheme="minorEastAsia" w:eastAsiaTheme="minorEastAsia" w:hAnsiTheme="minorEastAsia" w:hint="eastAsia"/>
          <w:bCs/>
          <w:color w:val="000000" w:themeColor="text1"/>
          <w:szCs w:val="21"/>
        </w:rPr>
        <w:t>，现金不包括结算备付金、存出保证金、应收申购款等</w:t>
      </w:r>
      <w:r w:rsidRPr="00177B84">
        <w:rPr>
          <w:rFonts w:asciiTheme="minorEastAsia" w:eastAsiaTheme="minorEastAsia" w:hAnsiTheme="minorEastAsia" w:hint="eastAsia"/>
          <w:color w:val="000000" w:themeColor="text1"/>
        </w:rPr>
        <w:t>，权证、股指期货、国债期货及其他金融工具的投资比例依照法律法规或监管机构的规定执行。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因基金规模或市场变化等因素导致投资组合不符合上述规定的，基金管理人应在合理的期限内调整基金的投资组合，以符合上述比例限定。法律法规另有规定时，从其规定。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（2）根据法律法规的规定及《基金合同》的约定，本基金投资组合遵循以下投资限制：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1）本基金股票资产占基金资产的比例为0%-95%；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2）扣除股指期货、国债期货合约需缴纳的交易保证金后，保持不低于基金资产净值5％的现金或者到期日在一年以内的政府债券</w:t>
      </w:r>
      <w:r w:rsidRPr="00177B84" w:rsidR="00880F64">
        <w:rPr>
          <w:rFonts w:asciiTheme="minorEastAsia" w:eastAsiaTheme="minorEastAsia" w:hAnsiTheme="minorEastAsia" w:cs="宋体" w:hint="eastAsia"/>
          <w:bCs/>
          <w:color w:val="000000" w:themeColor="text1"/>
          <w:kern w:val="0"/>
          <w:szCs w:val="21"/>
        </w:rPr>
        <w:t>，现金不包括结算备付金、存出保证金、应收申购款等</w:t>
      </w:r>
      <w:r w:rsidRPr="00177B84">
        <w:rPr>
          <w:rFonts w:asciiTheme="minorEastAsia" w:eastAsiaTheme="minorEastAsia" w:hAnsiTheme="minorEastAsia" w:hint="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3）本基金持有一家公司发行的证券，其市值不得超过基金资产净值的10%；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4）本基金管理人管理的全部基金持有一家公司发行的证券，不超过该证券的10％；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5）本基金持有的全部权证，其市值不得超过基金资产净值的3％；</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6）本基金管理人管理的全部基金持有的同一权证，不得超过该权证的10％；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7）本基金在任何交易日买入权证的总金额，不得超过上一交易日基金资产净值的0.5％；</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8）本基金投资于同一原始权益人的各类资产支持证券的比例，不得超过基金资产净值的10％；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9）本基金持有的全部资产支持证券，其市值不得超过基金资产净值的20％；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10）本基金持有的同一(指同一信用级别)资产支持证券的比例，不得超过该资产支持证券规模的10％；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11）本基金管理人管理的全部基金投资于同一原始权益人的各类资产支持证券，不得超过其各类资产支持证券合计规模的10％；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12）本基金应投资于信用级别评级为BBB以上(含BBB)的资产支持证券。基金持有资产支持证券期间，如果其信用等级下降、不再符合投资标准，应在评级报告发布之日起3个月内予以全部卖出；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13）基金财产参与股票发行申购，本基金所申报的金额不超过本基金的总资产，本基金所申报的股票数量不超过拟发行股票公司本次发行股票的总量；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14）本基金进入全国银行间同业市场进行债券回购的资金余额不得超过基金资产净值的40%；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15）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不包括平仓)的股指期货合约的成交金额不得超过上一交易日基金资产净值的20%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16）本基金投资于国债期货，还应遵循如下投资组合限制：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17）本基金基金总资产不得超过基金净资产的140%；</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18）基金参与融资业务后，在任何交易日日终，持有的融资买入股票与其他有价证券市值之和，不得超过基金资产净值的95%；</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19）本基金管理人管理的全部开放式基金持有一家上市公司发行的可流通股票，不得超过该上市公司可流通股票的15%</w:t>
      </w:r>
      <w:r w:rsidRPr="00177B84">
        <w:rPr>
          <w:rFonts w:asciiTheme="minorEastAsia" w:eastAsiaTheme="minorEastAsia" w:hAnsiTheme="minorEastAsia" w:hint="eastAsia"/>
          <w:color w:val="000000" w:themeColor="text1"/>
        </w:rPr>
        <w:t>；本基金管理人管理的全部投资组合持有一家上市公司发行的可流通股票，不得超过该上市公司可流通股票的</w:t>
      </w:r>
      <w:r w:rsidRPr="00177B84">
        <w:rPr>
          <w:rFonts w:asciiTheme="minorEastAsia" w:eastAsiaTheme="minorEastAsia" w:hAnsiTheme="minorEastAsia"/>
          <w:color w:val="000000" w:themeColor="text1"/>
        </w:rPr>
        <w:t>30%</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20）本基金主动投资于流动性受限资产的市值合计不得超过该基金资产净值的15%</w:t>
      </w:r>
      <w:r w:rsidRPr="00177B84">
        <w:rPr>
          <w:rFonts w:asciiTheme="minorEastAsia" w:eastAsiaTheme="minorEastAsia" w:hAnsiTheme="minorEastAsia" w:hint="eastAsia"/>
          <w:color w:val="000000" w:themeColor="text1"/>
        </w:rPr>
        <w:t>。</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因证券市场波动、上市公司股票停牌、基金规模变动等基金管理人之外的因素致使基金不符合前款所规定比例限制的，基金管理人不得主动新增流动性受限资产的投资。</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21）本基金与私募类证券资管产品及中国证监会认定的其他主体为交易对手开展逆回购交易的，可接受质押品的资质要求应当与基金合同约定的投资范围保持一致。</w:t>
      </w:r>
    </w:p>
    <w:p w:rsidR="006A575D"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22）</w:t>
      </w:r>
      <w:r w:rsidRPr="00177B84">
        <w:rPr>
          <w:rFonts w:asciiTheme="minorEastAsia" w:eastAsiaTheme="minorEastAsia" w:hAnsiTheme="minorEastAsia" w:hint="eastAsia"/>
          <w:color w:val="000000" w:themeColor="text1"/>
        </w:rPr>
        <w:t>本基金投资存托凭证的比例限制依照境内上市交易的股票执行，与境内上市交易的股票合并计算。</w:t>
      </w:r>
    </w:p>
    <w:p w:rsidR="00AD3EC7" w:rsidRPr="00177B84" w:rsidP="006A575D">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23）</w:t>
      </w:r>
      <w:r w:rsidRPr="00177B84" w:rsidR="00B2727D">
        <w:rPr>
          <w:rFonts w:asciiTheme="minorEastAsia" w:eastAsiaTheme="minorEastAsia" w:hAnsiTheme="minorEastAsia" w:hint="eastAsia"/>
          <w:color w:val="000000" w:themeColor="text1"/>
        </w:rPr>
        <w:t>法律法规及中国证监会规定的和《基金合同》约定的其他投资限制。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s="宋体" w:hint="eastAsia"/>
          <w:bCs/>
          <w:color w:val="000000" w:themeColor="text1"/>
          <w:kern w:val="0"/>
          <w:szCs w:val="21"/>
        </w:rPr>
        <w:t>除上述</w:t>
      </w:r>
      <w:r w:rsidRPr="00177B84">
        <w:rPr>
          <w:rFonts w:asciiTheme="minorEastAsia" w:eastAsiaTheme="minorEastAsia" w:hAnsiTheme="minorEastAsia" w:cs="宋体"/>
          <w:bCs/>
          <w:color w:val="000000" w:themeColor="text1"/>
          <w:kern w:val="0"/>
          <w:szCs w:val="21"/>
        </w:rPr>
        <w:t>2</w:t>
      </w:r>
      <w:r w:rsidRPr="00177B84">
        <w:rPr>
          <w:rFonts w:asciiTheme="minorEastAsia" w:eastAsiaTheme="minorEastAsia" w:hAnsiTheme="minorEastAsia" w:cs="宋体" w:hint="eastAsia"/>
          <w:bCs/>
          <w:color w:val="000000" w:themeColor="text1"/>
          <w:kern w:val="0"/>
          <w:szCs w:val="21"/>
        </w:rPr>
        <w:t>）、</w:t>
      </w:r>
      <w:r w:rsidRPr="00177B84">
        <w:rPr>
          <w:rFonts w:asciiTheme="minorEastAsia" w:eastAsiaTheme="minorEastAsia" w:hAnsiTheme="minorEastAsia" w:cs="宋体"/>
          <w:bCs/>
          <w:color w:val="000000" w:themeColor="text1"/>
          <w:kern w:val="0"/>
          <w:szCs w:val="21"/>
        </w:rPr>
        <w:t>12</w:t>
      </w:r>
      <w:r w:rsidRPr="00177B84">
        <w:rPr>
          <w:rFonts w:asciiTheme="minorEastAsia" w:eastAsiaTheme="minorEastAsia" w:hAnsiTheme="minorEastAsia" w:cs="宋体" w:hint="eastAsia"/>
          <w:bCs/>
          <w:color w:val="000000" w:themeColor="text1"/>
          <w:kern w:val="0"/>
          <w:szCs w:val="21"/>
        </w:rPr>
        <w:t>）、</w:t>
      </w:r>
      <w:r w:rsidRPr="00177B84">
        <w:rPr>
          <w:rFonts w:asciiTheme="minorEastAsia" w:eastAsiaTheme="minorEastAsia" w:hAnsiTheme="minorEastAsia" w:cs="宋体"/>
          <w:bCs/>
          <w:color w:val="000000" w:themeColor="text1"/>
          <w:kern w:val="0"/>
          <w:szCs w:val="21"/>
        </w:rPr>
        <w:t>13</w:t>
      </w:r>
      <w:r w:rsidRPr="00177B84">
        <w:rPr>
          <w:rFonts w:asciiTheme="minorEastAsia" w:eastAsiaTheme="minorEastAsia" w:hAnsiTheme="minorEastAsia" w:cs="宋体" w:hint="eastAsia"/>
          <w:bCs/>
          <w:color w:val="000000" w:themeColor="text1"/>
          <w:kern w:val="0"/>
          <w:szCs w:val="21"/>
        </w:rPr>
        <w:t>）、20）、21</w:t>
      </w:r>
      <w:r w:rsidRPr="00177B84">
        <w:rPr>
          <w:rFonts w:asciiTheme="minorEastAsia" w:eastAsiaTheme="minorEastAsia" w:hAnsiTheme="minorEastAsia" w:cs="宋体"/>
          <w:bCs/>
          <w:color w:val="000000" w:themeColor="text1"/>
          <w:kern w:val="0"/>
          <w:szCs w:val="21"/>
        </w:rPr>
        <w:t>）</w:t>
      </w:r>
      <w:r w:rsidRPr="00177B84">
        <w:rPr>
          <w:rFonts w:asciiTheme="minorEastAsia" w:eastAsiaTheme="minorEastAsia" w:hAnsiTheme="minorEastAsia" w:cs="宋体" w:hint="eastAsia"/>
          <w:bCs/>
          <w:color w:val="000000" w:themeColor="text1"/>
          <w:kern w:val="0"/>
          <w:szCs w:val="21"/>
        </w:rPr>
        <w:t>以外，</w:t>
      </w:r>
      <w:r w:rsidRPr="00177B84" w:rsidR="00B2727D">
        <w:rPr>
          <w:rFonts w:asciiTheme="minorEastAsia" w:eastAsiaTheme="minorEastAsia" w:hAnsiTheme="minorEastAsia" w:hint="eastAsia"/>
          <w:color w:val="000000" w:themeColor="text1"/>
        </w:rPr>
        <w:t>因证券、期货市场波动、证券发行人合并、基金规模变动等基金管理人之外的因素致使基金投资比例不符合上述规定投资比例的，基金管理人应当在10个交易日内进行调整，但中国证监会规定的特殊情形除外。</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3.基金托管人根据有关法律法规的规定及《基金合同》的约定对下述基金投资禁止行为进行监督：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根据法律法规的规定及《基金合同》的约定，本基金禁止从事下列行为：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（1）承销证券；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（2）违反规定向他人贷款或者提供担保；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（3）从事承担无限责任的投资；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（4）向其基金管理人、基金托管人出资；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（5）从事内幕交易、操纵证券交易价格及其他不正当的证券交易活动；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（6）法律、行政法规和中国证监会规定禁止的其他活动。如法律法规或监管部门取消上述禁止性规定，基金管理人在履行适当程序后可不受上述规定的限制。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4.基金托管人依据有关法律法规的规定和《基金合同》的约定对于基金关联投资进行监督。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5.基金托管人依据有关法律法规的规定和《基金合同》的约定对基金管理人参与银行间债券市场进行监督。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（1）基金托管人按以下方式对基金管理人参与银行间市场交易的交易对手的资信风险控制措施进行监督。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（2）基金托管人对银行间交易市场的交易方式的控制按如下约定进行监督。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6.基金托管人对基金管理人选择存款银行进行监督。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基金管理人有权要求相关责任人进行赔偿。</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7.基金托管人对基金投资流通受限证券的监督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管理人投资非公开发行股票，应制订流动性风险处置预案并经其董事会批准。风险处置预案应包括但不限于因投资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对本基金投资受限证券的流动性风险负责，确保对相关风险采取积极有效的措施，在合理的时间内有效解决基金运作的流动性问题。如因基金巨额赎回或市场发生剧烈变动等原因而导致基金现金周转出现困难时，基金管理人应按照基金合同的约定进行处理。对本基金因投资受限证券导致的流动性风险，基金托管人不承担任何责任。如因基金管理人原因导致本基金出现损失的，基金托管人不承担任何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1）中国证监会批准发行非公开发行股票的批准文件。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2）有关非公开发行股票的发行数量、发行价格、锁定期等发行资料。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3）基金拟认购的数量、价格、总成本、账面价值。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如基金管理人和基金托管人无法就上述问题达成一致，应及时上报中国证监会请求解决。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8.基金托管人对基金投资中小企业私募债券、中期票据的监督责任仅限于依据本协议第二条第（一）款第2项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管理的基金在投资中小企业私募债、中期票据前，基金管理人须根据法律、法规、监管部门的规定，制定严格的关于投资中小企业私募债、中期票据的风险控制制度和流动性风险处置预案，管理人在此承诺将严格执行该风险控制制度和流动性风险处置预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在限期内，基金托管人有权随时对通知事项进行复查，督促基金管理人改正。基金管理人对基金托管人通知的违规事项未能在限期内纠正的，基金托管人应报告中国证监会。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对于必须于估值完成后方可获知的监控指标或依据交易程序已经成交的投资指令，基金托管人发现该投资指令违反法律法规或者违反《基金合同》约定的，应当立即通知基金管理人，并报告中国证监会。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基金托管人发现基金管理人有重大违规行为，应立即报告中国证监会，同时通知基金管理人限期纠正。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三、基金管理人对基金托管人的业务核查</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基金托管人应积极配合基金管理人的核查行为，包括但不限于：提交相关资料以供基金管理人核查托管财产的完整性和真实性，在规定时间内答复基金管理人并改正。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四、基金财产的保管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（一）基金财产保管的原则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1.基金财产应独立于基金管理人、基金托管人的固有财产。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应按本协议规定安全保管托管财产。未经基金管理人的指令，不得自行运用、处分、分配基金的任何财产（托管人主动扣收的汇划费除外）。托管人不对处于自身实际控制之外的账户及财产承担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3.基金托管人按照规定为托管的基金财产开设资金账户和证券账户。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4.基金托管人对所托管的不同基金财产分别设置账户，与基金托管人的其他业务和其他基金的托管业务实行严格的分账管理，确保基金财产的完整与独立。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（二）募集资金的验证</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募集期内销售机构按销售与服务代理协议的约定，将认购资金划入基金管理人在具有托管资格的商业银行开设的“XX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基金托管人收到有效认购资金当日以书面形式确认资金到账情况，并及时将资金到账凭证传真给基金管理人，双方进行账务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若基金募集期限届满，未能达到《基金合同》生效的条件，由基金管理人按规定办理退款事宜。</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（三）基金资产托管专户的开立和管理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资产托管专户的管理应符合《人民币银行结算账户管理办法》、《现金管理暂行条例》、《人民币利率管理规定》、《利率管理暂行规定》、《支付结算办法》以及银行业监督管理机构的其他有关规定。</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（四）基金证券账户与证券交易资金账户的开设和管理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基金托管人以基金托管人和本基金联名的方式在中国证券登记结算有限公司上海分公司/深圳分公司开立专门的证券账户。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基金证券账户的开立由基金托管人负责，管理和运用由基金管理人负责。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基金托管人保管证券账户卡原件。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（五）银行间市场债券托管和资金结算专户的开立和管理及市场准入备案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（六）其他账户的开设和管理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1、因业务发展而需要开立的其它账户，可以根据《基金合同》或有关法律法规的规定，经基金管理人和基金托管人协商一致后，由基金托管人负责为基金开立。新账户按有关规则使用并管理。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2、法律、法规等有关规定对相关账户的开立和管理另有规定的，从其规定办理。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（七）基金投资银行存款账户的开立和管理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基金投资银行定期存款，基金管理人与基金托管人应比照证监会的相关规定，就本基金投资银行存款业务签订书面协议。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基金投资银行定期存款应由基金管理人与存款银行总行或其授权分行签订总体合作协议，并将资金存放于存款银行总行或其授权分行指定的分支机构。</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存款账户必须以基金名义开立，账户名称为基金名称，存款账户开户文件上加盖预留印鉴及基金管理人公章。</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本基金投资银行存款时，基金管理人应当与存款银行签订具体存款协议，明确存款的类型、期限、利率、金额、账号、对账方式、支取方式、账户管理等细则。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为防范特殊情况下的流动性风险，定期存款协议中应当约定提前支取条款。</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基金所投资定期存款存续期间，基金管理人、基金托管人应当与存款银行建立定期对账机制，确保基金银行存款业务账目及核对的真实、准确。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（八）基金财产投资的有关实物证券、银行定期存款存单等有价凭证的保管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（九）与基金财产有关的重大合同的保管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五、基金资产净值计算和会计核算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（一）基金资产净值的计算、复核的时间和程序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资产净值是指基金资产总值减去负债后的价值。基金份额净值是指计算日基金资产净值除以该计算日基金份额总份额后的数值。基金资产净值除以当日基金份额的余额数量计算，精确到0.0001元，小数点后第5位四舍五入，由此产生的误差计入基金财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每个工作日，基金管理人应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（二）基金资产估值方法</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1.估值对象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基金所拥有的股票、债券、衍生工具和银行存款本息、应收款项、其它投资等资产及负债。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2.估值方法</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（1）证券交易所上市的有价证券的估值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2）交易所上市交易或挂牌转让的不含权和含权固定收益品种，选取第三方估值机构提供的相应品种当日的估值净价；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3）交易所上市交易的可转换债券，选取每日收盘价作为估值全价；</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4）交易所市场挂牌转让的资产支持证券和私募债券，采用估值技术确定公允价值，在估值技术难以可靠计量公允价值的情况下，按成本估值。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（2）处于未上市期间的有价证券应区分如下情况处理：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1）送股、转增股、配股和公开增发的新股，按估值日在证券交易所挂牌的同一股票的估值方法估值；该日无交易的，以最近一日的市价（收盘价）估值；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2）首次公开发行未上市的股票、债券和权证，采用估值技术确定公允价值，在估值技术难以可靠计量公允价值的情况下，按成本估值；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3）首次公开发行有明确锁定期的股票，同一股票在交易所上市后，按交易所上市的同一股票的估值方法估值；非公开发行有明确锁定期的股票，按监管机构或行业协会有关规定确定公允价值。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（3）全国银行间债券市场交易的固定收益品种，采用估值技术确定公允价值。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（4）同一债券同时在两个或两个以上市场交易的，按债券所处的市场分别估值。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（5）期货合约以估值当日结算价进行估值，估值当日无结算价的，且最近交易日后经济环境未发生重大变化的，采用最近交易日结算价估值。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（6）如有充分理由表明按上述方法进行估值不能客观反映其公允价值的，基金管理人可根据具体情况与基金托管人商定后，按最能反映公允价值的价格估值。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（7）相关法律法规以及监管部门有强制规定的，从其规定。如有新增事项，按国家最新规定估值。</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（三）估值差错处理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基金管理人和基金托管人将采取必要、适当、合理的措施确保基金资产估值的准确性、及时性。当基金份额净值小数点后4位以内(含第4位)发生差错时，视为估值错误。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本基金合同的当事人应按照以下约定处理：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1、估值错误类型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上述估值错误的主要类型包括但不限于：资料申报差错、数据传输差错、数据计算差错、系统故障差错、下达指令差错等。</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2、估值错误处理原则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（2）估值错误的责任方对有关当事人的直接损失负责，不对间接损失负责，并且仅对估值错误的有关直接当事人负责，不对第三方负责。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（4）估值错误调整采用尽量恢复至假设未发生估值错误的正确情形的方式。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（5）按法律法规规定的其他原则处理估值错误。</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3、估值错误处理程序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估值错误被发现后，有关的当事人应当及时进行处理，处理的程序如下：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（1）查明估值错误发生的原因，列明所有的当事人，并根据估值错误发生的原因确定估值错误的责任方；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（2）根据估值错误处理原则或当事人协商的方法对因估值错误造成的损失进行评估；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（3）根据估值错误处理原则或当事人协商的方法由估值错误的责任方进行更正和赔偿损失；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（4）根据估值错误处理的方法，需要修改基金登记机构交易数据的，由基金登记机构进行更正，并就估值错误的更正向有关当事人进行确认。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4、基金份额净值估值错误处理的方法如下：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（1）基金份额净值计算出现错误时，基金管理人应当立即予以纠正，通报基金托管人，并采取合理的措施防止损失进一步扩大。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（2）错误偏差达到基金份额净值的0.25%时，基金管理人应当通报基金托管人；错误偏差达到基金份额净值的0.5%时，基金管理人应当公告，并报中国证监会备案。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（3）前述内容如法律法规或监管机关另有规定的，从其规定处理。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（四）暂停估值的情形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1、基金投资所涉及的证券交易市场遇法定节假日或因其他原因暂停营业时；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2、因不可抗力致使基金管理人、基金托管人无法准确评估基金资产价值时；</w:t>
      </w:r>
    </w:p>
    <w:p w:rsidR="00767D70" w:rsidRPr="00177B84" w:rsidP="008D20DA">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w:t>
      </w:r>
      <w:r w:rsidRPr="00177B84">
        <w:rPr>
          <w:rFonts w:asciiTheme="minorEastAsia" w:eastAsiaTheme="minorEastAsia" w:hAnsiTheme="minorEastAsia" w:hint="eastAsia"/>
          <w:color w:val="000000" w:themeColor="text1"/>
        </w:rPr>
        <w:t>当前一估值日基金资产净值</w:t>
      </w:r>
      <w:r w:rsidRPr="00177B84">
        <w:rPr>
          <w:rFonts w:asciiTheme="minorEastAsia" w:eastAsiaTheme="minorEastAsia" w:hAnsiTheme="minorEastAsia"/>
          <w:color w:val="000000" w:themeColor="text1"/>
        </w:rPr>
        <w:t>50%以上的资产出现无可参考的活跃市场价格且采用估值技术仍导致公允价值存在重大不确定性时，经与基金托管人协商一致的</w:t>
      </w:r>
      <w:r w:rsidRPr="00177B84">
        <w:rPr>
          <w:rFonts w:asciiTheme="minorEastAsia" w:eastAsiaTheme="minorEastAsia" w:hAnsiTheme="minorEastAsia" w:hint="eastAsia"/>
          <w:color w:val="000000" w:themeColor="text1"/>
        </w:rPr>
        <w:t>；</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w:t>
      </w:r>
      <w:r w:rsidRPr="00177B84" w:rsidR="00B2727D">
        <w:rPr>
          <w:rFonts w:asciiTheme="minorEastAsia" w:eastAsiaTheme="minorEastAsia" w:hAnsiTheme="minorEastAsia" w:hint="eastAsia"/>
          <w:color w:val="000000" w:themeColor="text1"/>
        </w:rPr>
        <w:t>、中国证监会和基金合同认定的其它情形。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（五）基金账册的建立</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（六）基金定期报告的编制和复核</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基金财务报表由基金管理人和基金托管人每月分别独立编制。月度报表的编制，应于每月终了后5个工作日内完成。</w:t>
      </w:r>
    </w:p>
    <w:p w:rsidR="0058649C" w:rsidRPr="00177B84" w:rsidP="0058649C">
      <w:pPr>
        <w:spacing w:line="360" w:lineRule="auto"/>
        <w:ind w:firstLine="420" w:firstLineChars="200"/>
        <w:rPr>
          <w:rFonts w:asciiTheme="minorEastAsia" w:eastAsiaTheme="minorEastAsia" w:hAnsiTheme="minorEastAsia"/>
          <w:color w:val="000000" w:themeColor="text1"/>
          <w:szCs w:val="21"/>
        </w:rPr>
      </w:pPr>
      <w:r w:rsidRPr="00177B84">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177B84">
        <w:rPr>
          <w:rFonts w:asciiTheme="minorEastAsia" w:eastAsiaTheme="minorEastAsia" w:hAnsiTheme="minorEastAsia" w:hint="eastAsia"/>
          <w:color w:val="000000" w:themeColor="text1"/>
          <w:szCs w:val="21"/>
        </w:rPr>
        <w:t>基金管理人在季度结束之日起15个工作日内完成季度报告编制并公告；在上半年结束之日</w:t>
      </w:r>
      <w:r w:rsidRPr="00177B84">
        <w:rPr>
          <w:rFonts w:asciiTheme="minorEastAsia" w:eastAsiaTheme="minorEastAsia" w:hAnsiTheme="minorEastAsia"/>
          <w:color w:val="000000" w:themeColor="text1"/>
          <w:szCs w:val="21"/>
        </w:rPr>
        <w:t>起</w:t>
      </w:r>
      <w:r w:rsidRPr="00177B84">
        <w:rPr>
          <w:rFonts w:asciiTheme="minorEastAsia" w:eastAsiaTheme="minorEastAsia" w:hAnsiTheme="minorEastAsia" w:hint="eastAsia"/>
          <w:color w:val="000000" w:themeColor="text1"/>
          <w:szCs w:val="21"/>
        </w:rPr>
        <w:t>两个月内完成中期报告编制并公告；在每年结束之日起三个月内完成年度报告编制并公告。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Pr="00177B84" w:rsidR="0058649C">
        <w:rPr>
          <w:rFonts w:asciiTheme="minorEastAsia" w:eastAsiaTheme="minorEastAsia" w:hAnsiTheme="minorEastAsia" w:hint="eastAsia"/>
          <w:color w:val="000000" w:themeColor="text1"/>
        </w:rPr>
        <w:t>中期</w:t>
      </w:r>
      <w:r w:rsidRPr="00177B84">
        <w:rPr>
          <w:rFonts w:asciiTheme="minorEastAsia" w:eastAsiaTheme="minorEastAsia" w:hAnsiTheme="minorEastAsia" w:hint="eastAsia"/>
          <w:color w:val="000000" w:themeColor="text1"/>
        </w:rPr>
        <w:t>报告，在</w:t>
      </w:r>
      <w:r w:rsidRPr="00177B84" w:rsidR="0058649C">
        <w:rPr>
          <w:rFonts w:asciiTheme="minorEastAsia" w:eastAsiaTheme="minorEastAsia" w:hAnsiTheme="minorEastAsia" w:hint="eastAsia"/>
          <w:color w:val="000000" w:themeColor="text1"/>
        </w:rPr>
        <w:t>中期</w:t>
      </w:r>
      <w:r w:rsidRPr="00177B84" w:rsidR="00EA3D1D">
        <w:rPr>
          <w:rFonts w:asciiTheme="minorEastAsia" w:eastAsiaTheme="minorEastAsia" w:hAnsiTheme="minorEastAsia" w:hint="eastAsia"/>
          <w:color w:val="000000" w:themeColor="text1"/>
        </w:rPr>
        <w:t>报告</w:t>
      </w:r>
      <w:r w:rsidRPr="00177B84">
        <w:rPr>
          <w:rFonts w:asciiTheme="minorEastAsia" w:eastAsiaTheme="minorEastAsia" w:hAnsiTheme="minorEastAsia" w:hint="eastAsia"/>
          <w:color w:val="000000" w:themeColor="text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基金托管人在对财务会计报告、</w:t>
      </w:r>
      <w:r w:rsidRPr="00177B84" w:rsidR="00B12B49">
        <w:rPr>
          <w:rFonts w:asciiTheme="minorEastAsia" w:eastAsiaTheme="minorEastAsia" w:hAnsiTheme="minorEastAsia" w:hint="eastAsia"/>
          <w:color w:val="000000" w:themeColor="text1"/>
        </w:rPr>
        <w:t>中期</w:t>
      </w:r>
      <w:r w:rsidRPr="00177B84">
        <w:rPr>
          <w:rFonts w:asciiTheme="minorEastAsia" w:eastAsiaTheme="minorEastAsia" w:hAnsiTheme="minorEastAsia" w:hint="eastAsia"/>
          <w:color w:val="000000" w:themeColor="text1"/>
        </w:rPr>
        <w:t>报告或年度报告复核完毕后，需盖章确认或出具相应的复核确认书，以备有权机构对相关文件审核时提示。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六、基金份额持有人名册的登记与保管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基金份额持有人名册由基金的基金注册登记机构根据基金管理人的指令编制和保管，基金管理人应按照目前相关规则保管基金份额持有人名册。保管方式可以采用电子或文档的形式。保管期限为15年。</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在基金托管人编制中期报告和年度报告前，</w:t>
      </w:r>
      <w:r w:rsidRPr="00177B84" w:rsidR="00B2727D">
        <w:rPr>
          <w:rFonts w:asciiTheme="minorEastAsia" w:eastAsiaTheme="minorEastAsia" w:hAnsiTheme="minorEastAsia" w:hint="eastAsia"/>
          <w:color w:val="000000" w:themeColor="text1"/>
        </w:rPr>
        <w:t>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七、适用法律及争议解决方式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（一）本协议适用中华人民共和国法律（为本协议之目的，在此不包括香港、澳门特别行政区和台湾地区法律），并从其解释。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相关各方当事人同意，因本协议而产生的或与本协议有关的一切争议，除经友好协商可以解决的，应提交中国国际经济贸易仲裁委员会，按照中国国际经济贸易仲裁委员会届时有效的仲裁规则进行仲裁。仲裁地点为北京市。仲裁裁决是终局性的并对相关各方均有约束力，仲裁费用由败诉方承担。</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争议处理期间，相关各方当事人应恪守基金管理人和基金托管人职责，继续忠实、勤勉、尽责地履行《基金合同》和本托管协议规定的义务，维护基金份额持有人的合法权益。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八、托管协议的变更、终止与基金财产的清算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（一）托管协议的变更与终止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1.托管协议的变更程序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核准后生效。</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2.基金托管协议终止的情形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发生以下情况，本托管协议终止：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（1）《基金合同》终止；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（2）基金托管人解散、依法被撤销、破产或有其他基金托管人接管基金资产；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（3）基金管理人解散、依法被撤销、破产或有其他基金管理人接管基金管理权；</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（4）发生法律法规或《基金合同》规定的终止事项。</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（二）基金财产的清算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1.基金财产清算小组：自出现《基金合同》终止事由之日起30个工作日内成立清算小组，基金管理人组织基金财产清算小组并在中国证监会的监督下进行基金清算。</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2.在基金财产清算小组接管基金财产之前，基金管理人和基金托管人应按照《基金合同》和本托管协议的规定继续履行保护基金财产安全的职责。</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4.基金财产清算小组职责：基金财产清算小组负责基金财产的保管、清理、估价、变现和分配。基金财产清算小组可以依法进行必要的民事活动。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5.基金财产清算程序：</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（1）《基金合同》终止后，由基金财产清算小组统一接管基金；</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（2）对基金财产和债权债务进行清理和确认；</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（3）对基金财产进行估值和变现；</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（4）制作清算报告；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（5）聘请会计师事务所对清算报告进行外部审计，聘请律师事务所对清算报告出具法律意见书；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（6）将清算报告报告中国证监会备案并公告；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（7）对基金财产进行分配；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6.清算费用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清算费用是指基金清算小组在进行基金清算过程中发生的所有合理费用，清算费用由基金清算小组优先从基金财产中支付。</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7.基金财产按下列顺序清偿：</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(1)支付清算费用；</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(2)交纳所欠税款；</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(3)清偿基金债务；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(4)按基金份额持有人持有的基金份额比例进行分配。</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基金财产未按前款(1)－(3)项规定清偿前，不分配给基金份额持有人。</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（三）基金财产清算的公告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（四）基金财产清算账册及文件的保存</w:t>
      </w:r>
    </w:p>
    <w:p w:rsidR="00A24B6D"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基金财产清算账册及有关文件由基金托管人保存15年以上。</w:t>
      </w:r>
    </w:p>
    <w:p w:rsidR="00BA4B87" w:rsidRPr="00177B84" w:rsidP="00CC1421">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91" w:name="_Toc103006852"/>
      <w:bookmarkStart w:id="92" w:name="_Toc332373591"/>
      <w:r w:rsidRPr="00177B84">
        <w:rPr>
          <w:rFonts w:asciiTheme="minorEastAsia" w:eastAsiaTheme="minorEastAsia" w:hAnsiTheme="minorEastAsia"/>
          <w:color w:val="000000" w:themeColor="text1"/>
          <w:sz w:val="30"/>
        </w:rPr>
        <w:t>二十三、对基金份额持有人的服务</w:t>
      </w:r>
      <w:bookmarkEnd w:id="91"/>
    </w:p>
    <w:bookmarkEnd w:id="92"/>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（一）基金份额持有人投资交易确认服务</w:t>
      </w:r>
    </w:p>
    <w:p w:rsidR="003712D8"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（二）基金份额持有人交易记录查询服务</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本基金份额持有人可通过基金管理人的客户服务中心查询历史交易记录。</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（三）基金份额持有人的对账单服务</w:t>
      </w:r>
    </w:p>
    <w:p w:rsidR="001D44E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1、基金份额持有人可登录本公司网站（http://www.efunds.com.cn）查阅对账单。</w:t>
      </w:r>
    </w:p>
    <w:p w:rsidR="001D44E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w:t>
      </w:r>
      <w:r w:rsidRPr="00177B84" w:rsidR="00E216E4">
        <w:rPr>
          <w:rFonts w:asciiTheme="minorEastAsia" w:eastAsiaTheme="minorEastAsia" w:hAnsiTheme="minorEastAsia" w:hint="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具体查阅和定制账单的方法可参见本公司网站或拨打客服热线咨询。</w:t>
      </w:r>
    </w:p>
    <w:p w:rsidR="001D44E2"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具体查阅和定制账单的方法可参见本公司网站或拨打客服热线咨询。</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（四）定期定额投资计划</w:t>
      </w:r>
    </w:p>
    <w:p w:rsidR="005A1A0E"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可利用非直销销售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有关公告。</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（五）资讯服务</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1、客户服务电话</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投资者如果想了解基金产品、服务等信息，或反馈投资过程中需要投诉与建议的情况，可拨打如下电话：4008818088。投资者如果认为自己不能准确理解本基金《招募说明书》、《基金合同》的具体内容，也可拨打上述电话详询。</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2、互联网站及电子信箱</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网址：http://www.efunds.com.cn</w:t>
      </w:r>
    </w:p>
    <w:p w:rsidR="00AE2909"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电子信箱：service@efunds.com.cn</w:t>
      </w:r>
    </w:p>
    <w:p w:rsidR="008439B1" w:rsidRPr="00177B84" w:rsidP="00C44B24">
      <w:pPr>
        <w:pStyle w:val="1"/>
        <w:snapToGrid w:val="0"/>
        <w:spacing w:before="317" w:after="317" w:line="360" w:lineRule="auto"/>
        <w:ind w:firstLine="602"/>
        <w:rPr>
          <w:rFonts w:asciiTheme="minorEastAsia" w:eastAsiaTheme="minorEastAsia" w:hAnsiTheme="minorEastAsia"/>
          <w:b w:val="0"/>
          <w:color w:val="000000" w:themeColor="text1"/>
          <w:sz w:val="30"/>
        </w:rPr>
      </w:pPr>
      <w:bookmarkStart w:id="93" w:name="_Toc332373592"/>
      <w:bookmarkStart w:id="94" w:name="_Toc103006853"/>
      <w:r w:rsidRPr="00177B84">
        <w:rPr>
          <w:rFonts w:asciiTheme="minorEastAsia" w:eastAsiaTheme="minorEastAsia" w:hAnsiTheme="minorEastAsia"/>
          <w:color w:val="000000" w:themeColor="text1"/>
          <w:sz w:val="30"/>
        </w:rPr>
        <w:t>二十四</w:t>
      </w:r>
      <w:r w:rsidRPr="00177B84" w:rsidR="00BA4B87">
        <w:rPr>
          <w:rFonts w:asciiTheme="minorEastAsia" w:eastAsiaTheme="minorEastAsia" w:hAnsiTheme="minorEastAsia"/>
          <w:color w:val="000000" w:themeColor="text1"/>
          <w:sz w:val="30"/>
        </w:rPr>
        <w:t>、其他应披露事项</w:t>
      </w:r>
      <w:bookmarkEnd w:id="93"/>
      <w:bookmarkEnd w:id="94"/>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6"/>
        <w:gridCol w:w="1559"/>
      </w:tblGrid>
      <w:tr w:rsidTr="00FB19A2">
        <w:tblPrEx>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536" w:type="dxa"/>
            <w:tcBorders>
              <w:top w:val="single" w:sz="4" w:space="0" w:color="auto"/>
              <w:left w:val="single" w:sz="4" w:space="0" w:color="auto"/>
              <w:bottom w:val="single" w:sz="4" w:space="0" w:color="auto"/>
              <w:right w:val="single" w:sz="4" w:space="0" w:color="auto"/>
            </w:tcBorders>
            <w:vAlign w:val="center"/>
            <w:hideMark/>
          </w:tcPr>
          <w:p w:rsidR="008439B1" w:rsidRPr="00177B84" w:rsidP="0041137A">
            <w:pPr>
              <w:spacing w:line="360" w:lineRule="auto"/>
              <w:ind w:firstLine="420" w:firstLineChars="200"/>
              <w:jc w:val="center"/>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公告事项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39B1" w:rsidRPr="00177B84" w:rsidP="00B65A79">
            <w:pPr>
              <w:spacing w:line="360" w:lineRule="auto"/>
              <w:jc w:val="center"/>
              <w:rPr>
                <w:rFonts w:asciiTheme="minorEastAsia" w:eastAsiaTheme="minorEastAsia" w:hAnsiTheme="minorEastAsia"/>
                <w:color w:val="000000" w:themeColor="text1"/>
              </w:rPr>
            </w:pPr>
            <w:r w:rsidRPr="00177B84">
              <w:rPr>
                <w:rFonts w:asciiTheme="minorEastAsia" w:eastAsiaTheme="minorEastAsia" w:hAnsiTheme="minorEastAsia" w:hint="eastAsia"/>
                <w:color w:val="000000" w:themeColor="text1"/>
              </w:rPr>
              <w:t>披露日期</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易方达基金管理有限公司旗下基金2020年第3季度报告提示性公告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2020-10-28</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易方达基金管理有限公司关于设立深圳分公司的公告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2020-10-28</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关于警惕冒用易方达基金管理有限公司名义进行诈骗活动的特别提示公告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2020-12-10</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2020-12-12</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易方达瑞弘灵活配置混合型证券投资基金增加平安证券为销售机构的公告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2020-12-16</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易方达基金管理有限公司关于旗下部分基金获配蓝思科技（300433）非公开发行A股的公告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2021-01-09</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易方达基金管理有限公司旗下基金2020年第4季度报告提示性公告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2021-01-21</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2021-01-23</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易方达基金管理有限公司关于聘任基金经理助理的公告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2021-02-10</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易方达基金管理有限公司旗下基金2020年年度报告提示性公告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2021-03-30</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易方达基金管理有限公司关于提醒投资者及时提供或更新身份信息资料的公告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2021-04-02</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易方达基金管理有限公司旗下基金2021年第1季度报告提示性公告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2021-04-19</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2021-07-17</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易方达基金管理有限公司旗下基金2021年第2季度报告提示性公告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2021-07-20</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2021-07-24</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2021-07-24</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易方达基金管理有限公司关于南京分公司营业场所变更的公告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2021-07-28</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易方达基金管理有限公司高级管理人员变更公告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2021-07-30</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易方达基金管理有限公司旗下基金2021年中期报告提示性公告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2021-08-28</w:t>
            </w:r>
          </w:p>
        </w:tc>
      </w:tr>
      <w:tr>
        <w:tblPrEx>
          <w:tblW w:w="8095" w:type="dxa"/>
          <w:tblInd w:w="93" w:type="dxa"/>
          <w:tblLayout w:type="fixed"/>
          <w:tblLook w:val="04A0"/>
        </w:tblPrEx>
        <w:tc>
          <w:tcPr>
            <w:tcW w:w="6536" w:type="dxa"/>
          </w:tcPr>
          <w:p w:rsidR="008F0B62" w:rsidRPr="00177B84">
            <w:pPr>
              <w:jc w:val="left"/>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易方达基金管理有限公司关于旗下部分基金获配中国化学（601117）非公开发行A股的公告</w:t>
            </w:r>
          </w:p>
        </w:tc>
        <w:tc>
          <w:tcPr>
            <w:tcW w:w="1559" w:type="dxa"/>
          </w:tcPr>
          <w:p w:rsidR="008F0B62" w:rsidRPr="00177B84">
            <w:pPr>
              <w:jc w:val="center"/>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2021-09-10</w:t>
            </w:r>
          </w:p>
        </w:tc>
      </w:tr>
    </w:tbl>
    <w:p w:rsidR="00616952" w:rsidRPr="00177B84" w:rsidP="000D0BC4">
      <w:pPr>
        <w:spacing w:line="360" w:lineRule="auto"/>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注：以上公告事项披露在规定媒介及基金管理人网站上。</w:t>
      </w:r>
      <w:r w:rsidRPr="00177B84">
        <w:rPr>
          <w:rFonts w:asciiTheme="minorEastAsia" w:eastAsiaTheme="minorEastAsia" w:hAnsiTheme="minorEastAsia"/>
          <w:color w:val="000000" w:themeColor="text1"/>
        </w:rPr>
        <w:br/>
      </w:r>
    </w:p>
    <w:p w:rsidR="006820A0" w:rsidRPr="00177B84" w:rsidP="00CC1421">
      <w:pPr>
        <w:snapToGrid w:val="0"/>
        <w:spacing w:line="360" w:lineRule="auto"/>
        <w:rPr>
          <w:rFonts w:asciiTheme="minorEastAsia" w:eastAsiaTheme="minorEastAsia" w:hAnsiTheme="minorEastAsia"/>
          <w:color w:val="000000" w:themeColor="text1"/>
        </w:rPr>
        <w:sectPr w:rsidSect="00B5457F">
          <w:pgSz w:w="11906" w:h="16838" w:code="9"/>
          <w:pgMar w:top="1440" w:right="1800" w:bottom="1440" w:left="1800" w:header="851" w:footer="992" w:gutter="0"/>
          <w:cols w:space="720"/>
          <w:docGrid w:type="lines" w:linePitch="317"/>
        </w:sectPr>
      </w:pPr>
    </w:p>
    <w:p w:rsidR="00BA4B87" w:rsidRPr="00177B84" w:rsidP="00CC1421">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95" w:name="_Toc103006854"/>
      <w:bookmarkStart w:id="96" w:name="_Toc332373593"/>
      <w:r w:rsidRPr="00177B84">
        <w:rPr>
          <w:rFonts w:asciiTheme="minorEastAsia" w:eastAsiaTheme="minorEastAsia" w:hAnsiTheme="minorEastAsia"/>
          <w:color w:val="000000" w:themeColor="text1"/>
          <w:sz w:val="30"/>
        </w:rPr>
        <w:t>二十五、招募说明书的存放及查阅方式</w:t>
      </w:r>
      <w:bookmarkEnd w:id="95"/>
    </w:p>
    <w:bookmarkEnd w:id="96"/>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本招募说明书存放在基金管理人、基金托管人及其他基金销售机构处，投资者可在营业时间免费查阅，也可按工本费购买复印件。</w:t>
      </w:r>
    </w:p>
    <w:p w:rsidR="00616952" w:rsidRPr="00177B84" w:rsidP="00616952">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基金管理人和基金托管人保证文本的内容与公告的内容完全一致。</w:t>
      </w:r>
      <w:r w:rsidRPr="00177B84">
        <w:rPr>
          <w:rFonts w:asciiTheme="minorEastAsia" w:eastAsiaTheme="minorEastAsia" w:hAnsiTheme="minorEastAsia"/>
          <w:color w:val="000000" w:themeColor="text1"/>
        </w:rPr>
        <w:br w:type="page"/>
      </w:r>
    </w:p>
    <w:p w:rsidR="00792400" w:rsidRPr="00177B84" w:rsidP="00CC1421">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97" w:name="_Toc103006855"/>
      <w:bookmarkStart w:id="98" w:name="_Toc332373594"/>
      <w:r w:rsidRPr="00177B84">
        <w:rPr>
          <w:rFonts w:asciiTheme="minorEastAsia" w:eastAsiaTheme="minorEastAsia" w:hAnsiTheme="minorEastAsia"/>
          <w:color w:val="000000" w:themeColor="text1"/>
          <w:sz w:val="30"/>
        </w:rPr>
        <w:t>二十六、备查文件</w:t>
      </w:r>
      <w:bookmarkEnd w:id="97"/>
    </w:p>
    <w:bookmarkEnd w:id="98"/>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1、中国证监会准予易方达瑞弘灵活配置混合型证券投资基金注册的文件；</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2、《易方达瑞弘灵活配置混合型证券投资基金基金合同》；</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3、《易方达瑞弘灵活配置混合型证券投资基金托管协议》；</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4、《易方达基金管理有限公司开放式基金业务规则》；</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5、法律意见书；</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6、基金管理人业务资格批件、营业执照；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7、基金托管人业务资格批件、营业执照。</w:t>
      </w:r>
    </w:p>
    <w:p w:rsidR="00AD3EC7" w:rsidRPr="00177B84">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存放地点：基金管理人、基金托管人处</w:t>
      </w:r>
      <w:bookmarkStart w:id="99" w:name="_GoBack"/>
      <w:bookmarkEnd w:id="99"/>
    </w:p>
    <w:p w:rsidR="00BA4B87" w:rsidRPr="00177B84" w:rsidP="002C5976">
      <w:pPr>
        <w:spacing w:line="360" w:lineRule="auto"/>
        <w:ind w:firstLine="420" w:firstLineChars="200"/>
        <w:rPr>
          <w:rFonts w:asciiTheme="minorEastAsia" w:eastAsiaTheme="minorEastAsia" w:hAnsiTheme="minorEastAsia"/>
          <w:color w:val="000000" w:themeColor="text1"/>
        </w:rPr>
      </w:pPr>
      <w:r w:rsidRPr="00177B84">
        <w:rPr>
          <w:rFonts w:asciiTheme="minorEastAsia" w:eastAsiaTheme="minorEastAsia" w:hAnsiTheme="minorEastAsia"/>
          <w:color w:val="000000" w:themeColor="text1"/>
        </w:rPr>
        <w:t>查阅方式：投资者可在营业时间免费查阅，也可按工本费购买复印件。</w:t>
      </w:r>
    </w:p>
    <w:p w:rsidR="00610EAC" w:rsidRPr="00177B84" w:rsidP="00610EAC">
      <w:pPr>
        <w:pStyle w:val="PlainText"/>
        <w:snapToGrid w:val="0"/>
        <w:spacing w:line="360" w:lineRule="auto"/>
        <w:ind w:firstLine="480"/>
        <w:rPr>
          <w:rFonts w:asciiTheme="minorEastAsia" w:eastAsiaTheme="minorEastAsia" w:hAnsiTheme="minorEastAsia"/>
          <w:bCs/>
          <w:color w:val="000000" w:themeColor="text1"/>
        </w:rPr>
      </w:pPr>
    </w:p>
    <w:p w:rsidR="00610EAC" w:rsidRPr="00177B84" w:rsidP="00610EAC">
      <w:pPr>
        <w:pStyle w:val="PlainText"/>
        <w:snapToGrid w:val="0"/>
        <w:spacing w:line="360" w:lineRule="auto"/>
        <w:ind w:firstLine="480"/>
        <w:rPr>
          <w:rFonts w:asciiTheme="minorEastAsia" w:eastAsiaTheme="minorEastAsia" w:hAnsiTheme="minorEastAsia"/>
          <w:bCs/>
          <w:color w:val="000000" w:themeColor="text1"/>
        </w:rPr>
      </w:pPr>
    </w:p>
    <w:p w:rsidR="00F22D63" w:rsidRPr="00177B84" w:rsidP="00610EAC">
      <w:pPr>
        <w:pStyle w:val="PlainText"/>
        <w:snapToGrid w:val="0"/>
        <w:spacing w:line="360" w:lineRule="auto"/>
        <w:ind w:firstLine="420"/>
        <w:jc w:val="right"/>
        <w:rPr>
          <w:rFonts w:asciiTheme="minorEastAsia" w:eastAsiaTheme="minorEastAsia" w:hAnsiTheme="minorEastAsia"/>
          <w:color w:val="000000" w:themeColor="text1"/>
          <w:sz w:val="21"/>
        </w:rPr>
      </w:pPr>
      <w:r w:rsidRPr="00177B84">
        <w:rPr>
          <w:rFonts w:asciiTheme="minorEastAsia" w:eastAsiaTheme="minorEastAsia" w:hAnsiTheme="minorEastAsia"/>
          <w:color w:val="000000" w:themeColor="text1"/>
          <w:sz w:val="21"/>
        </w:rPr>
        <w:t>易方达基金管理有限公司</w:t>
      </w:r>
    </w:p>
    <w:p w:rsidR="00BA4B87" w:rsidRPr="00177B84" w:rsidP="000D0BC4">
      <w:pPr>
        <w:snapToGrid w:val="0"/>
        <w:spacing w:line="360" w:lineRule="auto"/>
        <w:ind w:left="6300"/>
        <w:rPr>
          <w:rFonts w:asciiTheme="minorEastAsia" w:eastAsiaTheme="minorEastAsia" w:hAnsiTheme="minorEastAsia"/>
          <w:color w:val="000000" w:themeColor="text1"/>
          <w:szCs w:val="21"/>
        </w:rPr>
      </w:pPr>
      <w:r w:rsidRPr="00177B84">
        <w:rPr>
          <w:rFonts w:asciiTheme="minorEastAsia" w:eastAsiaTheme="minorEastAsia" w:hAnsiTheme="minorEastAsia"/>
          <w:color w:val="000000" w:themeColor="text1"/>
        </w:rPr>
        <w:t>202</w:t>
      </w:r>
      <w:r w:rsidRPr="00177B84" w:rsidR="00792400">
        <w:rPr>
          <w:rFonts w:asciiTheme="minorEastAsia" w:eastAsiaTheme="minorEastAsia" w:hAnsiTheme="minorEastAsia"/>
          <w:color w:val="000000" w:themeColor="text1"/>
        </w:rPr>
        <w:t>2</w:t>
      </w:r>
      <w:r w:rsidRPr="00177B84">
        <w:rPr>
          <w:rFonts w:asciiTheme="minorEastAsia" w:eastAsiaTheme="minorEastAsia" w:hAnsiTheme="minorEastAsia"/>
          <w:color w:val="000000" w:themeColor="text1"/>
        </w:rPr>
        <w:t>年</w:t>
      </w:r>
      <w:r w:rsidRPr="00177B84" w:rsidR="00A03DD7">
        <w:rPr>
          <w:rFonts w:asciiTheme="minorEastAsia" w:eastAsiaTheme="minorEastAsia" w:hAnsiTheme="minorEastAsia"/>
          <w:color w:val="000000" w:themeColor="text1"/>
        </w:rPr>
        <w:t>5</w:t>
      </w:r>
      <w:r w:rsidRPr="00177B84">
        <w:rPr>
          <w:rFonts w:asciiTheme="minorEastAsia" w:eastAsiaTheme="minorEastAsia" w:hAnsiTheme="minorEastAsia"/>
          <w:color w:val="000000" w:themeColor="text1"/>
        </w:rPr>
        <w:t>月</w:t>
      </w:r>
      <w:r w:rsidRPr="00177B84" w:rsidR="00A03DD7">
        <w:rPr>
          <w:rFonts w:asciiTheme="minorEastAsia" w:eastAsiaTheme="minorEastAsia" w:hAnsiTheme="minorEastAsia"/>
          <w:color w:val="000000" w:themeColor="text1"/>
        </w:rPr>
        <w:t>10</w:t>
      </w:r>
      <w:r w:rsidRPr="00177B84">
        <w:rPr>
          <w:rFonts w:asciiTheme="minorEastAsia" w:eastAsiaTheme="minorEastAsia" w:hAnsiTheme="minorEastAsia"/>
          <w:color w:val="000000" w:themeColor="text1"/>
        </w:rPr>
        <w:t>日</w:t>
      </w:r>
    </w:p>
    <w:sectPr w:rsidSect="00B5457F">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rsidP="00B17F70">
    <w:pPr>
      <w:pStyle w:val="Footer"/>
      <w:ind w:firstLine="360"/>
      <w:jc w:val="center"/>
    </w:pPr>
  </w:p>
  <w:p w:rsidR="0062416E" w:rsidRPr="00391CB3" w:rsidP="00391CB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8773715"/>
      <w:docPartObj>
        <w:docPartGallery w:val="Page Numbers (Bottom of Page)"/>
        <w:docPartUnique/>
      </w:docPartObj>
    </w:sdtPr>
    <w:sdtContent>
      <w:p w:rsidR="0062416E" w:rsidP="002A7407">
        <w:pPr>
          <w:pStyle w:val="Footer"/>
          <w:ind w:firstLine="360"/>
          <w:jc w:val="center"/>
        </w:pPr>
        <w:r>
          <w:fldChar w:fldCharType="begin"/>
        </w:r>
        <w:r>
          <w:instrText>PAGE   \* MERGEFORMAT</w:instrText>
        </w:r>
        <w:r>
          <w:fldChar w:fldCharType="separate"/>
        </w:r>
        <w:r w:rsidRPr="00D375C7" w:rsidR="00D375C7">
          <w:rPr>
            <w:noProof/>
            <w:lang w:val="zh-CN"/>
          </w:rPr>
          <w:t>I</w:t>
        </w:r>
        <w:r>
          <w:fldChar w:fldCharType="end"/>
        </w:r>
      </w:p>
    </w:sdtContent>
  </w:sdt>
  <w:p w:rsidR="0062416E" w:rsidRPr="00391CB3" w:rsidP="00391CB3">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6811260"/>
      <w:docPartObj>
        <w:docPartGallery w:val="Page Numbers (Bottom of Page)"/>
        <w:docPartUnique/>
      </w:docPartObj>
    </w:sdtPr>
    <w:sdtContent>
      <w:p w:rsidR="0062416E" w:rsidP="002A7407">
        <w:pPr>
          <w:pStyle w:val="Footer"/>
          <w:ind w:firstLine="360"/>
          <w:jc w:val="center"/>
        </w:pPr>
        <w:r>
          <w:fldChar w:fldCharType="begin"/>
        </w:r>
        <w:r>
          <w:instrText>PAGE   \* MERGEFORMAT</w:instrText>
        </w:r>
        <w:r>
          <w:fldChar w:fldCharType="separate"/>
        </w:r>
        <w:r w:rsidRPr="00D375C7" w:rsidR="00D375C7">
          <w:rPr>
            <w:noProof/>
            <w:lang w:val="zh-CN"/>
          </w:rPr>
          <w:t>130</w:t>
        </w:r>
        <w:r>
          <w:fldChar w:fldCharType="end"/>
        </w:r>
      </w:p>
    </w:sdtContent>
  </w:sdt>
  <w:p w:rsidR="0062416E" w:rsidRPr="00391CB3" w:rsidP="00391CB3">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rsidRPr="00A74F0F" w:rsidP="00CA0665">
    <w:r w:rsidRPr="00A74F0F">
      <w:tab/>
    </w:r>
    <w:r w:rsidRPr="00A74F0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16E">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829"/>
    <w:rsid w:val="000008BD"/>
    <w:rsid w:val="000009F5"/>
    <w:rsid w:val="00000C38"/>
    <w:rsid w:val="00001177"/>
    <w:rsid w:val="00001694"/>
    <w:rsid w:val="00002696"/>
    <w:rsid w:val="00002865"/>
    <w:rsid w:val="00002E36"/>
    <w:rsid w:val="00003C24"/>
    <w:rsid w:val="00003E6C"/>
    <w:rsid w:val="000059BE"/>
    <w:rsid w:val="000064C6"/>
    <w:rsid w:val="00006C96"/>
    <w:rsid w:val="00010950"/>
    <w:rsid w:val="00010BE3"/>
    <w:rsid w:val="00011F4A"/>
    <w:rsid w:val="000123D9"/>
    <w:rsid w:val="0001419E"/>
    <w:rsid w:val="0001716B"/>
    <w:rsid w:val="000174AA"/>
    <w:rsid w:val="00017DA2"/>
    <w:rsid w:val="00020377"/>
    <w:rsid w:val="00020907"/>
    <w:rsid w:val="00021D40"/>
    <w:rsid w:val="00022523"/>
    <w:rsid w:val="00023038"/>
    <w:rsid w:val="00023B6D"/>
    <w:rsid w:val="00025C20"/>
    <w:rsid w:val="00026705"/>
    <w:rsid w:val="00026C19"/>
    <w:rsid w:val="00026FA8"/>
    <w:rsid w:val="00027992"/>
    <w:rsid w:val="00030AA1"/>
    <w:rsid w:val="00030EFE"/>
    <w:rsid w:val="00031D27"/>
    <w:rsid w:val="00031D6F"/>
    <w:rsid w:val="00031E7D"/>
    <w:rsid w:val="000335F6"/>
    <w:rsid w:val="00034445"/>
    <w:rsid w:val="00036C46"/>
    <w:rsid w:val="000375DA"/>
    <w:rsid w:val="000376B4"/>
    <w:rsid w:val="000432F2"/>
    <w:rsid w:val="00043C5D"/>
    <w:rsid w:val="00044EFB"/>
    <w:rsid w:val="000467C2"/>
    <w:rsid w:val="00046A2F"/>
    <w:rsid w:val="00046AE8"/>
    <w:rsid w:val="00047342"/>
    <w:rsid w:val="00047802"/>
    <w:rsid w:val="0004790B"/>
    <w:rsid w:val="000503C6"/>
    <w:rsid w:val="0005219D"/>
    <w:rsid w:val="00052290"/>
    <w:rsid w:val="00052320"/>
    <w:rsid w:val="00052C9F"/>
    <w:rsid w:val="00053030"/>
    <w:rsid w:val="00053E4C"/>
    <w:rsid w:val="0005478E"/>
    <w:rsid w:val="00055032"/>
    <w:rsid w:val="000553C5"/>
    <w:rsid w:val="00055CEF"/>
    <w:rsid w:val="00056041"/>
    <w:rsid w:val="000579E2"/>
    <w:rsid w:val="000602D3"/>
    <w:rsid w:val="000603E7"/>
    <w:rsid w:val="00060771"/>
    <w:rsid w:val="00060BC7"/>
    <w:rsid w:val="000616D1"/>
    <w:rsid w:val="00061A4B"/>
    <w:rsid w:val="00062004"/>
    <w:rsid w:val="0006260C"/>
    <w:rsid w:val="00062629"/>
    <w:rsid w:val="00063041"/>
    <w:rsid w:val="00063A03"/>
    <w:rsid w:val="00063C28"/>
    <w:rsid w:val="00063D91"/>
    <w:rsid w:val="000658E9"/>
    <w:rsid w:val="0006600C"/>
    <w:rsid w:val="00066D91"/>
    <w:rsid w:val="0006753C"/>
    <w:rsid w:val="00067E66"/>
    <w:rsid w:val="00070309"/>
    <w:rsid w:val="000719D5"/>
    <w:rsid w:val="00071C38"/>
    <w:rsid w:val="000743BB"/>
    <w:rsid w:val="0007451B"/>
    <w:rsid w:val="00074F77"/>
    <w:rsid w:val="000751D7"/>
    <w:rsid w:val="000754B6"/>
    <w:rsid w:val="00075DC4"/>
    <w:rsid w:val="00076E39"/>
    <w:rsid w:val="00077BD0"/>
    <w:rsid w:val="00080841"/>
    <w:rsid w:val="00080A4A"/>
    <w:rsid w:val="0008426E"/>
    <w:rsid w:val="00084A0F"/>
    <w:rsid w:val="00084FF4"/>
    <w:rsid w:val="00085404"/>
    <w:rsid w:val="00085634"/>
    <w:rsid w:val="0008684B"/>
    <w:rsid w:val="000878D9"/>
    <w:rsid w:val="00087C08"/>
    <w:rsid w:val="000900B4"/>
    <w:rsid w:val="00090469"/>
    <w:rsid w:val="00090B9E"/>
    <w:rsid w:val="00090BF0"/>
    <w:rsid w:val="00093518"/>
    <w:rsid w:val="0009363C"/>
    <w:rsid w:val="000949B9"/>
    <w:rsid w:val="000A0A05"/>
    <w:rsid w:val="000A1967"/>
    <w:rsid w:val="000A20AD"/>
    <w:rsid w:val="000A2307"/>
    <w:rsid w:val="000A26DC"/>
    <w:rsid w:val="000A34E2"/>
    <w:rsid w:val="000A4424"/>
    <w:rsid w:val="000A53A4"/>
    <w:rsid w:val="000A55CC"/>
    <w:rsid w:val="000A579A"/>
    <w:rsid w:val="000A63A1"/>
    <w:rsid w:val="000A7C2A"/>
    <w:rsid w:val="000A7F5A"/>
    <w:rsid w:val="000B04E9"/>
    <w:rsid w:val="000B0B17"/>
    <w:rsid w:val="000B2DD6"/>
    <w:rsid w:val="000B46DC"/>
    <w:rsid w:val="000B5344"/>
    <w:rsid w:val="000C0730"/>
    <w:rsid w:val="000C0DAA"/>
    <w:rsid w:val="000C1A80"/>
    <w:rsid w:val="000C2D98"/>
    <w:rsid w:val="000C32FA"/>
    <w:rsid w:val="000C330C"/>
    <w:rsid w:val="000C3945"/>
    <w:rsid w:val="000C5050"/>
    <w:rsid w:val="000C5135"/>
    <w:rsid w:val="000D00AE"/>
    <w:rsid w:val="000D0BC4"/>
    <w:rsid w:val="000D1888"/>
    <w:rsid w:val="000D3ADE"/>
    <w:rsid w:val="000D3DAB"/>
    <w:rsid w:val="000D4DF8"/>
    <w:rsid w:val="000D57B6"/>
    <w:rsid w:val="000D6139"/>
    <w:rsid w:val="000D63BB"/>
    <w:rsid w:val="000D6A5A"/>
    <w:rsid w:val="000D7E67"/>
    <w:rsid w:val="000E1148"/>
    <w:rsid w:val="000E1757"/>
    <w:rsid w:val="000E197D"/>
    <w:rsid w:val="000E23C6"/>
    <w:rsid w:val="000E2BA4"/>
    <w:rsid w:val="000E2F9E"/>
    <w:rsid w:val="000E39F0"/>
    <w:rsid w:val="000E464D"/>
    <w:rsid w:val="000E46D7"/>
    <w:rsid w:val="000E5076"/>
    <w:rsid w:val="000E61BA"/>
    <w:rsid w:val="000E6D1C"/>
    <w:rsid w:val="000E6F15"/>
    <w:rsid w:val="000E7413"/>
    <w:rsid w:val="000F0963"/>
    <w:rsid w:val="000F1803"/>
    <w:rsid w:val="000F217C"/>
    <w:rsid w:val="000F2807"/>
    <w:rsid w:val="000F2C37"/>
    <w:rsid w:val="000F3DCD"/>
    <w:rsid w:val="000F505F"/>
    <w:rsid w:val="000F5558"/>
    <w:rsid w:val="000F595F"/>
    <w:rsid w:val="000F6E21"/>
    <w:rsid w:val="000F74E9"/>
    <w:rsid w:val="000F79C6"/>
    <w:rsid w:val="00100610"/>
    <w:rsid w:val="00100946"/>
    <w:rsid w:val="00101ABE"/>
    <w:rsid w:val="001029BF"/>
    <w:rsid w:val="00103317"/>
    <w:rsid w:val="00103C99"/>
    <w:rsid w:val="00104072"/>
    <w:rsid w:val="00104270"/>
    <w:rsid w:val="00104621"/>
    <w:rsid w:val="00105DA3"/>
    <w:rsid w:val="0010655B"/>
    <w:rsid w:val="0010689F"/>
    <w:rsid w:val="001071D4"/>
    <w:rsid w:val="001075C2"/>
    <w:rsid w:val="00107E28"/>
    <w:rsid w:val="0011071E"/>
    <w:rsid w:val="0011115D"/>
    <w:rsid w:val="001111DA"/>
    <w:rsid w:val="0011137D"/>
    <w:rsid w:val="00111483"/>
    <w:rsid w:val="00111550"/>
    <w:rsid w:val="00112630"/>
    <w:rsid w:val="001138AD"/>
    <w:rsid w:val="00114CB9"/>
    <w:rsid w:val="00115ED5"/>
    <w:rsid w:val="00116288"/>
    <w:rsid w:val="001162DC"/>
    <w:rsid w:val="001175C0"/>
    <w:rsid w:val="001176C5"/>
    <w:rsid w:val="00117AF6"/>
    <w:rsid w:val="001200B4"/>
    <w:rsid w:val="00120226"/>
    <w:rsid w:val="00120D35"/>
    <w:rsid w:val="00121AB8"/>
    <w:rsid w:val="001260F5"/>
    <w:rsid w:val="001265F5"/>
    <w:rsid w:val="001308D7"/>
    <w:rsid w:val="00130A00"/>
    <w:rsid w:val="00130E9A"/>
    <w:rsid w:val="001318DA"/>
    <w:rsid w:val="0013241D"/>
    <w:rsid w:val="00132C86"/>
    <w:rsid w:val="00133009"/>
    <w:rsid w:val="00133920"/>
    <w:rsid w:val="0013422A"/>
    <w:rsid w:val="00135E76"/>
    <w:rsid w:val="00135EF2"/>
    <w:rsid w:val="001369FA"/>
    <w:rsid w:val="00137C27"/>
    <w:rsid w:val="00137DAD"/>
    <w:rsid w:val="00140387"/>
    <w:rsid w:val="001404C8"/>
    <w:rsid w:val="00140905"/>
    <w:rsid w:val="0014103F"/>
    <w:rsid w:val="00141518"/>
    <w:rsid w:val="00141DBD"/>
    <w:rsid w:val="00142DCB"/>
    <w:rsid w:val="00142F28"/>
    <w:rsid w:val="00143612"/>
    <w:rsid w:val="001441C7"/>
    <w:rsid w:val="001461B1"/>
    <w:rsid w:val="00146355"/>
    <w:rsid w:val="00146C0A"/>
    <w:rsid w:val="0014722D"/>
    <w:rsid w:val="001474BD"/>
    <w:rsid w:val="00147A68"/>
    <w:rsid w:val="001511B2"/>
    <w:rsid w:val="0015192A"/>
    <w:rsid w:val="00154778"/>
    <w:rsid w:val="00154FCA"/>
    <w:rsid w:val="00155475"/>
    <w:rsid w:val="00157CDF"/>
    <w:rsid w:val="00157F9D"/>
    <w:rsid w:val="001611D1"/>
    <w:rsid w:val="00161329"/>
    <w:rsid w:val="001616AD"/>
    <w:rsid w:val="00161887"/>
    <w:rsid w:val="001618F9"/>
    <w:rsid w:val="00161CFC"/>
    <w:rsid w:val="0016274E"/>
    <w:rsid w:val="00162EEB"/>
    <w:rsid w:val="00163296"/>
    <w:rsid w:val="0016332A"/>
    <w:rsid w:val="001634D6"/>
    <w:rsid w:val="00163592"/>
    <w:rsid w:val="0016381A"/>
    <w:rsid w:val="00163C31"/>
    <w:rsid w:val="00164C1E"/>
    <w:rsid w:val="00164DEB"/>
    <w:rsid w:val="00164EE8"/>
    <w:rsid w:val="00165927"/>
    <w:rsid w:val="001678FB"/>
    <w:rsid w:val="0017025E"/>
    <w:rsid w:val="001711A1"/>
    <w:rsid w:val="00172443"/>
    <w:rsid w:val="00172767"/>
    <w:rsid w:val="0017289D"/>
    <w:rsid w:val="001735E3"/>
    <w:rsid w:val="00175112"/>
    <w:rsid w:val="00175BD6"/>
    <w:rsid w:val="001769C4"/>
    <w:rsid w:val="00177B84"/>
    <w:rsid w:val="00177EF8"/>
    <w:rsid w:val="00181D5A"/>
    <w:rsid w:val="001832FF"/>
    <w:rsid w:val="00184282"/>
    <w:rsid w:val="00184DA2"/>
    <w:rsid w:val="00184EE9"/>
    <w:rsid w:val="00184F77"/>
    <w:rsid w:val="0018555E"/>
    <w:rsid w:val="001856A1"/>
    <w:rsid w:val="0018590F"/>
    <w:rsid w:val="00185994"/>
    <w:rsid w:val="001864CA"/>
    <w:rsid w:val="00186559"/>
    <w:rsid w:val="00186C6C"/>
    <w:rsid w:val="00187C2E"/>
    <w:rsid w:val="00192A21"/>
    <w:rsid w:val="00192FAC"/>
    <w:rsid w:val="00192FB9"/>
    <w:rsid w:val="001930AD"/>
    <w:rsid w:val="00193187"/>
    <w:rsid w:val="00194665"/>
    <w:rsid w:val="0019491D"/>
    <w:rsid w:val="00194A61"/>
    <w:rsid w:val="00194C12"/>
    <w:rsid w:val="00194C1B"/>
    <w:rsid w:val="0019543C"/>
    <w:rsid w:val="0019706E"/>
    <w:rsid w:val="001977D2"/>
    <w:rsid w:val="0019799A"/>
    <w:rsid w:val="00197EF8"/>
    <w:rsid w:val="001A01DE"/>
    <w:rsid w:val="001A1688"/>
    <w:rsid w:val="001A22B1"/>
    <w:rsid w:val="001A3931"/>
    <w:rsid w:val="001A483B"/>
    <w:rsid w:val="001A5992"/>
    <w:rsid w:val="001A599B"/>
    <w:rsid w:val="001A6348"/>
    <w:rsid w:val="001B1385"/>
    <w:rsid w:val="001B18F3"/>
    <w:rsid w:val="001B1C0C"/>
    <w:rsid w:val="001B2270"/>
    <w:rsid w:val="001B2D0A"/>
    <w:rsid w:val="001B2FD0"/>
    <w:rsid w:val="001B39DD"/>
    <w:rsid w:val="001B52A6"/>
    <w:rsid w:val="001B5D97"/>
    <w:rsid w:val="001B68E8"/>
    <w:rsid w:val="001B71AC"/>
    <w:rsid w:val="001B7A7F"/>
    <w:rsid w:val="001C049E"/>
    <w:rsid w:val="001C0676"/>
    <w:rsid w:val="001C1088"/>
    <w:rsid w:val="001C175C"/>
    <w:rsid w:val="001C2D6B"/>
    <w:rsid w:val="001C47F7"/>
    <w:rsid w:val="001C4D6F"/>
    <w:rsid w:val="001C54CA"/>
    <w:rsid w:val="001C5545"/>
    <w:rsid w:val="001C555F"/>
    <w:rsid w:val="001C5A87"/>
    <w:rsid w:val="001C5C6E"/>
    <w:rsid w:val="001C5F3E"/>
    <w:rsid w:val="001C626A"/>
    <w:rsid w:val="001D047F"/>
    <w:rsid w:val="001D10FC"/>
    <w:rsid w:val="001D1251"/>
    <w:rsid w:val="001D2766"/>
    <w:rsid w:val="001D2A4F"/>
    <w:rsid w:val="001D2AE6"/>
    <w:rsid w:val="001D3F31"/>
    <w:rsid w:val="001D4386"/>
    <w:rsid w:val="001D44E2"/>
    <w:rsid w:val="001D4738"/>
    <w:rsid w:val="001D4770"/>
    <w:rsid w:val="001D4B9C"/>
    <w:rsid w:val="001D6645"/>
    <w:rsid w:val="001D676B"/>
    <w:rsid w:val="001D6D8B"/>
    <w:rsid w:val="001D7542"/>
    <w:rsid w:val="001D76FC"/>
    <w:rsid w:val="001E21EE"/>
    <w:rsid w:val="001E2C67"/>
    <w:rsid w:val="001E3849"/>
    <w:rsid w:val="001E49F5"/>
    <w:rsid w:val="001E4A3C"/>
    <w:rsid w:val="001E4C2E"/>
    <w:rsid w:val="001E5840"/>
    <w:rsid w:val="001E5FFC"/>
    <w:rsid w:val="001E6198"/>
    <w:rsid w:val="001E6708"/>
    <w:rsid w:val="001E6AB4"/>
    <w:rsid w:val="001E7E40"/>
    <w:rsid w:val="001F12B2"/>
    <w:rsid w:val="001F1A48"/>
    <w:rsid w:val="001F3F96"/>
    <w:rsid w:val="001F46AD"/>
    <w:rsid w:val="001F51BD"/>
    <w:rsid w:val="001F59B1"/>
    <w:rsid w:val="001F7874"/>
    <w:rsid w:val="00200FA2"/>
    <w:rsid w:val="002010A5"/>
    <w:rsid w:val="00201531"/>
    <w:rsid w:val="00202B33"/>
    <w:rsid w:val="00202CA0"/>
    <w:rsid w:val="002030F5"/>
    <w:rsid w:val="002034E4"/>
    <w:rsid w:val="0020350B"/>
    <w:rsid w:val="002039C9"/>
    <w:rsid w:val="00203E1F"/>
    <w:rsid w:val="00204E42"/>
    <w:rsid w:val="00205733"/>
    <w:rsid w:val="00205D7C"/>
    <w:rsid w:val="00206F26"/>
    <w:rsid w:val="00207A37"/>
    <w:rsid w:val="00210543"/>
    <w:rsid w:val="00211226"/>
    <w:rsid w:val="0021171D"/>
    <w:rsid w:val="0021184E"/>
    <w:rsid w:val="0021301E"/>
    <w:rsid w:val="0021302E"/>
    <w:rsid w:val="00214437"/>
    <w:rsid w:val="0021491A"/>
    <w:rsid w:val="00214A68"/>
    <w:rsid w:val="00215990"/>
    <w:rsid w:val="002167C7"/>
    <w:rsid w:val="00216916"/>
    <w:rsid w:val="00216C41"/>
    <w:rsid w:val="00217983"/>
    <w:rsid w:val="00217993"/>
    <w:rsid w:val="00220242"/>
    <w:rsid w:val="00220D0C"/>
    <w:rsid w:val="00220FA0"/>
    <w:rsid w:val="002213EA"/>
    <w:rsid w:val="002214F8"/>
    <w:rsid w:val="002221EE"/>
    <w:rsid w:val="00222A41"/>
    <w:rsid w:val="00222C02"/>
    <w:rsid w:val="002233ED"/>
    <w:rsid w:val="00224477"/>
    <w:rsid w:val="00224A27"/>
    <w:rsid w:val="0022545D"/>
    <w:rsid w:val="00225B09"/>
    <w:rsid w:val="00225CA1"/>
    <w:rsid w:val="00225DC8"/>
    <w:rsid w:val="0022622F"/>
    <w:rsid w:val="002264DD"/>
    <w:rsid w:val="00226D90"/>
    <w:rsid w:val="00227C8C"/>
    <w:rsid w:val="0023061B"/>
    <w:rsid w:val="00230A51"/>
    <w:rsid w:val="00232498"/>
    <w:rsid w:val="00234A3B"/>
    <w:rsid w:val="0023500E"/>
    <w:rsid w:val="00236C12"/>
    <w:rsid w:val="00240A4A"/>
    <w:rsid w:val="002421C0"/>
    <w:rsid w:val="002429D0"/>
    <w:rsid w:val="0024354F"/>
    <w:rsid w:val="00244BC7"/>
    <w:rsid w:val="00244FEE"/>
    <w:rsid w:val="00245D63"/>
    <w:rsid w:val="002464DD"/>
    <w:rsid w:val="00246735"/>
    <w:rsid w:val="002522C1"/>
    <w:rsid w:val="002536D4"/>
    <w:rsid w:val="0025451A"/>
    <w:rsid w:val="0025474D"/>
    <w:rsid w:val="00254814"/>
    <w:rsid w:val="00254F5B"/>
    <w:rsid w:val="00255427"/>
    <w:rsid w:val="002567AE"/>
    <w:rsid w:val="00256D0B"/>
    <w:rsid w:val="00257225"/>
    <w:rsid w:val="00257E94"/>
    <w:rsid w:val="00260637"/>
    <w:rsid w:val="002607A0"/>
    <w:rsid w:val="0026172B"/>
    <w:rsid w:val="0026173F"/>
    <w:rsid w:val="00262C89"/>
    <w:rsid w:val="0026340B"/>
    <w:rsid w:val="00263C50"/>
    <w:rsid w:val="002641DD"/>
    <w:rsid w:val="0026526E"/>
    <w:rsid w:val="00265506"/>
    <w:rsid w:val="00265BF8"/>
    <w:rsid w:val="00266197"/>
    <w:rsid w:val="00266EA9"/>
    <w:rsid w:val="00270998"/>
    <w:rsid w:val="00271129"/>
    <w:rsid w:val="00271D34"/>
    <w:rsid w:val="0027317F"/>
    <w:rsid w:val="00273BF7"/>
    <w:rsid w:val="00273DB7"/>
    <w:rsid w:val="0027593E"/>
    <w:rsid w:val="00276939"/>
    <w:rsid w:val="0027774D"/>
    <w:rsid w:val="00277A71"/>
    <w:rsid w:val="00277E02"/>
    <w:rsid w:val="00282862"/>
    <w:rsid w:val="002839AA"/>
    <w:rsid w:val="00283D42"/>
    <w:rsid w:val="00284C03"/>
    <w:rsid w:val="0028530B"/>
    <w:rsid w:val="00285C23"/>
    <w:rsid w:val="00285D09"/>
    <w:rsid w:val="00286732"/>
    <w:rsid w:val="00287884"/>
    <w:rsid w:val="002910F6"/>
    <w:rsid w:val="0029195F"/>
    <w:rsid w:val="002920CF"/>
    <w:rsid w:val="00294408"/>
    <w:rsid w:val="002945F3"/>
    <w:rsid w:val="00294DE8"/>
    <w:rsid w:val="002959F6"/>
    <w:rsid w:val="00295BF8"/>
    <w:rsid w:val="00295BFB"/>
    <w:rsid w:val="00295EFB"/>
    <w:rsid w:val="00295F5B"/>
    <w:rsid w:val="00296231"/>
    <w:rsid w:val="00296530"/>
    <w:rsid w:val="0029658E"/>
    <w:rsid w:val="002967FD"/>
    <w:rsid w:val="00296B7B"/>
    <w:rsid w:val="00296BBB"/>
    <w:rsid w:val="00297620"/>
    <w:rsid w:val="002979E2"/>
    <w:rsid w:val="00297FCF"/>
    <w:rsid w:val="002A002C"/>
    <w:rsid w:val="002A0164"/>
    <w:rsid w:val="002A01E3"/>
    <w:rsid w:val="002A01EE"/>
    <w:rsid w:val="002A1A17"/>
    <w:rsid w:val="002A1D23"/>
    <w:rsid w:val="002A2D0D"/>
    <w:rsid w:val="002A31EB"/>
    <w:rsid w:val="002A3F28"/>
    <w:rsid w:val="002A42BE"/>
    <w:rsid w:val="002A4512"/>
    <w:rsid w:val="002A4882"/>
    <w:rsid w:val="002A4D62"/>
    <w:rsid w:val="002A6A03"/>
    <w:rsid w:val="002A6A89"/>
    <w:rsid w:val="002A6C6A"/>
    <w:rsid w:val="002A7144"/>
    <w:rsid w:val="002A7407"/>
    <w:rsid w:val="002B115A"/>
    <w:rsid w:val="002B19B1"/>
    <w:rsid w:val="002B44E3"/>
    <w:rsid w:val="002B59D7"/>
    <w:rsid w:val="002B5DDF"/>
    <w:rsid w:val="002B6825"/>
    <w:rsid w:val="002B7210"/>
    <w:rsid w:val="002B7567"/>
    <w:rsid w:val="002C13FD"/>
    <w:rsid w:val="002C1966"/>
    <w:rsid w:val="002C2A96"/>
    <w:rsid w:val="002C406A"/>
    <w:rsid w:val="002C4793"/>
    <w:rsid w:val="002C5976"/>
    <w:rsid w:val="002C6AE9"/>
    <w:rsid w:val="002C751B"/>
    <w:rsid w:val="002D0C0F"/>
    <w:rsid w:val="002D0FE6"/>
    <w:rsid w:val="002D2324"/>
    <w:rsid w:val="002D497A"/>
    <w:rsid w:val="002D4D63"/>
    <w:rsid w:val="002D4D6B"/>
    <w:rsid w:val="002D525F"/>
    <w:rsid w:val="002D760F"/>
    <w:rsid w:val="002D7B92"/>
    <w:rsid w:val="002E0541"/>
    <w:rsid w:val="002E0E3F"/>
    <w:rsid w:val="002E1C38"/>
    <w:rsid w:val="002E23EA"/>
    <w:rsid w:val="002E2804"/>
    <w:rsid w:val="002E2EEC"/>
    <w:rsid w:val="002E37B0"/>
    <w:rsid w:val="002E4490"/>
    <w:rsid w:val="002E44B0"/>
    <w:rsid w:val="002E483A"/>
    <w:rsid w:val="002E4B64"/>
    <w:rsid w:val="002E52B8"/>
    <w:rsid w:val="002E55B7"/>
    <w:rsid w:val="002E681B"/>
    <w:rsid w:val="002E7B62"/>
    <w:rsid w:val="002F042E"/>
    <w:rsid w:val="002F2C91"/>
    <w:rsid w:val="002F34A3"/>
    <w:rsid w:val="002F3E13"/>
    <w:rsid w:val="002F4153"/>
    <w:rsid w:val="002F4363"/>
    <w:rsid w:val="002F4D82"/>
    <w:rsid w:val="002F54D4"/>
    <w:rsid w:val="002F62DA"/>
    <w:rsid w:val="002F6500"/>
    <w:rsid w:val="002F6B43"/>
    <w:rsid w:val="002F7481"/>
    <w:rsid w:val="00300A25"/>
    <w:rsid w:val="003015CC"/>
    <w:rsid w:val="00301930"/>
    <w:rsid w:val="003028F5"/>
    <w:rsid w:val="00303510"/>
    <w:rsid w:val="0030404A"/>
    <w:rsid w:val="00305674"/>
    <w:rsid w:val="003059D7"/>
    <w:rsid w:val="00310E26"/>
    <w:rsid w:val="00311114"/>
    <w:rsid w:val="003112AE"/>
    <w:rsid w:val="00311E99"/>
    <w:rsid w:val="00312500"/>
    <w:rsid w:val="003134A5"/>
    <w:rsid w:val="0031498B"/>
    <w:rsid w:val="00316967"/>
    <w:rsid w:val="003173D1"/>
    <w:rsid w:val="0031746F"/>
    <w:rsid w:val="003176F2"/>
    <w:rsid w:val="00317FD7"/>
    <w:rsid w:val="00321BD0"/>
    <w:rsid w:val="00323A37"/>
    <w:rsid w:val="0032452F"/>
    <w:rsid w:val="00324612"/>
    <w:rsid w:val="0032513B"/>
    <w:rsid w:val="00325E94"/>
    <w:rsid w:val="003261CF"/>
    <w:rsid w:val="00326CD2"/>
    <w:rsid w:val="003273AD"/>
    <w:rsid w:val="00327B53"/>
    <w:rsid w:val="00330CCD"/>
    <w:rsid w:val="00330E4A"/>
    <w:rsid w:val="00331853"/>
    <w:rsid w:val="00333A86"/>
    <w:rsid w:val="00333E18"/>
    <w:rsid w:val="00335663"/>
    <w:rsid w:val="00335929"/>
    <w:rsid w:val="00336FF7"/>
    <w:rsid w:val="00337CDE"/>
    <w:rsid w:val="00340785"/>
    <w:rsid w:val="00341586"/>
    <w:rsid w:val="003416A9"/>
    <w:rsid w:val="00341F1D"/>
    <w:rsid w:val="003438A8"/>
    <w:rsid w:val="00346008"/>
    <w:rsid w:val="00346523"/>
    <w:rsid w:val="00347113"/>
    <w:rsid w:val="003478B3"/>
    <w:rsid w:val="003513E8"/>
    <w:rsid w:val="00353734"/>
    <w:rsid w:val="003541F9"/>
    <w:rsid w:val="003550BA"/>
    <w:rsid w:val="00355412"/>
    <w:rsid w:val="0035575C"/>
    <w:rsid w:val="00356766"/>
    <w:rsid w:val="00356DC1"/>
    <w:rsid w:val="00357E23"/>
    <w:rsid w:val="00360A83"/>
    <w:rsid w:val="003615CA"/>
    <w:rsid w:val="00361ABE"/>
    <w:rsid w:val="00362EB6"/>
    <w:rsid w:val="003641B1"/>
    <w:rsid w:val="003642CC"/>
    <w:rsid w:val="00364B7A"/>
    <w:rsid w:val="00364C92"/>
    <w:rsid w:val="003656D0"/>
    <w:rsid w:val="003657BA"/>
    <w:rsid w:val="0036656D"/>
    <w:rsid w:val="00366696"/>
    <w:rsid w:val="00366CF1"/>
    <w:rsid w:val="003673DB"/>
    <w:rsid w:val="00367E73"/>
    <w:rsid w:val="003712D8"/>
    <w:rsid w:val="003713F0"/>
    <w:rsid w:val="00371919"/>
    <w:rsid w:val="00372583"/>
    <w:rsid w:val="00373415"/>
    <w:rsid w:val="00373CD1"/>
    <w:rsid w:val="0037563B"/>
    <w:rsid w:val="003758D9"/>
    <w:rsid w:val="00377E71"/>
    <w:rsid w:val="0038042C"/>
    <w:rsid w:val="00381BD0"/>
    <w:rsid w:val="00381D1E"/>
    <w:rsid w:val="00381E28"/>
    <w:rsid w:val="003829BD"/>
    <w:rsid w:val="00384BF7"/>
    <w:rsid w:val="003856F5"/>
    <w:rsid w:val="00385D84"/>
    <w:rsid w:val="0038701C"/>
    <w:rsid w:val="003875A4"/>
    <w:rsid w:val="0039021C"/>
    <w:rsid w:val="00391B65"/>
    <w:rsid w:val="00391B71"/>
    <w:rsid w:val="00391CB3"/>
    <w:rsid w:val="0039284A"/>
    <w:rsid w:val="0039359A"/>
    <w:rsid w:val="0039465D"/>
    <w:rsid w:val="00395363"/>
    <w:rsid w:val="0039579C"/>
    <w:rsid w:val="003957A6"/>
    <w:rsid w:val="00397E25"/>
    <w:rsid w:val="003A0590"/>
    <w:rsid w:val="003A28A8"/>
    <w:rsid w:val="003A33BB"/>
    <w:rsid w:val="003A38EE"/>
    <w:rsid w:val="003A3D37"/>
    <w:rsid w:val="003A5BD2"/>
    <w:rsid w:val="003A5F2C"/>
    <w:rsid w:val="003A6005"/>
    <w:rsid w:val="003A6E49"/>
    <w:rsid w:val="003A729D"/>
    <w:rsid w:val="003B25BA"/>
    <w:rsid w:val="003B2791"/>
    <w:rsid w:val="003B2BFC"/>
    <w:rsid w:val="003B31D8"/>
    <w:rsid w:val="003B3BF6"/>
    <w:rsid w:val="003B3D18"/>
    <w:rsid w:val="003B44AA"/>
    <w:rsid w:val="003B477C"/>
    <w:rsid w:val="003B48EE"/>
    <w:rsid w:val="003B4F01"/>
    <w:rsid w:val="003B529B"/>
    <w:rsid w:val="003B5758"/>
    <w:rsid w:val="003B592E"/>
    <w:rsid w:val="003B63BF"/>
    <w:rsid w:val="003B6713"/>
    <w:rsid w:val="003B6AB9"/>
    <w:rsid w:val="003B6ED4"/>
    <w:rsid w:val="003B7ACA"/>
    <w:rsid w:val="003B7D5C"/>
    <w:rsid w:val="003B7DEA"/>
    <w:rsid w:val="003C05AC"/>
    <w:rsid w:val="003C0FDA"/>
    <w:rsid w:val="003C1B43"/>
    <w:rsid w:val="003C1F97"/>
    <w:rsid w:val="003C209E"/>
    <w:rsid w:val="003C2593"/>
    <w:rsid w:val="003C360C"/>
    <w:rsid w:val="003C4F08"/>
    <w:rsid w:val="003D0662"/>
    <w:rsid w:val="003D0D0C"/>
    <w:rsid w:val="003D128C"/>
    <w:rsid w:val="003D167F"/>
    <w:rsid w:val="003D2EBC"/>
    <w:rsid w:val="003D35FC"/>
    <w:rsid w:val="003D3FB5"/>
    <w:rsid w:val="003D710C"/>
    <w:rsid w:val="003E0E9A"/>
    <w:rsid w:val="003E1279"/>
    <w:rsid w:val="003E1B60"/>
    <w:rsid w:val="003E4087"/>
    <w:rsid w:val="003E4BD9"/>
    <w:rsid w:val="003E50DB"/>
    <w:rsid w:val="003E682C"/>
    <w:rsid w:val="003E6FE4"/>
    <w:rsid w:val="003E727E"/>
    <w:rsid w:val="003F0109"/>
    <w:rsid w:val="003F08A3"/>
    <w:rsid w:val="003F0C97"/>
    <w:rsid w:val="003F1E3F"/>
    <w:rsid w:val="003F2AFC"/>
    <w:rsid w:val="003F6B42"/>
    <w:rsid w:val="003F71D4"/>
    <w:rsid w:val="00400336"/>
    <w:rsid w:val="004007A5"/>
    <w:rsid w:val="00401BBA"/>
    <w:rsid w:val="00401F67"/>
    <w:rsid w:val="004047A7"/>
    <w:rsid w:val="00404808"/>
    <w:rsid w:val="004055A7"/>
    <w:rsid w:val="00405BBC"/>
    <w:rsid w:val="0040645F"/>
    <w:rsid w:val="00406BA8"/>
    <w:rsid w:val="00406C29"/>
    <w:rsid w:val="00406E33"/>
    <w:rsid w:val="00410738"/>
    <w:rsid w:val="0041093C"/>
    <w:rsid w:val="0041137A"/>
    <w:rsid w:val="00411812"/>
    <w:rsid w:val="004136DF"/>
    <w:rsid w:val="004156D6"/>
    <w:rsid w:val="004164CA"/>
    <w:rsid w:val="004168C6"/>
    <w:rsid w:val="004175EE"/>
    <w:rsid w:val="00421AA6"/>
    <w:rsid w:val="004229EF"/>
    <w:rsid w:val="00423AA1"/>
    <w:rsid w:val="004242AF"/>
    <w:rsid w:val="00424524"/>
    <w:rsid w:val="00424CA9"/>
    <w:rsid w:val="00425DE7"/>
    <w:rsid w:val="00426A18"/>
    <w:rsid w:val="00427C27"/>
    <w:rsid w:val="004304D3"/>
    <w:rsid w:val="004314F0"/>
    <w:rsid w:val="004327CF"/>
    <w:rsid w:val="00432D6D"/>
    <w:rsid w:val="0043354B"/>
    <w:rsid w:val="00434E81"/>
    <w:rsid w:val="004362AE"/>
    <w:rsid w:val="004376BF"/>
    <w:rsid w:val="00437972"/>
    <w:rsid w:val="00437B7D"/>
    <w:rsid w:val="0044087D"/>
    <w:rsid w:val="00440CFF"/>
    <w:rsid w:val="00441AD4"/>
    <w:rsid w:val="00442704"/>
    <w:rsid w:val="0044276E"/>
    <w:rsid w:val="004428C2"/>
    <w:rsid w:val="00442D62"/>
    <w:rsid w:val="004447C9"/>
    <w:rsid w:val="0044589F"/>
    <w:rsid w:val="00445FD9"/>
    <w:rsid w:val="004467B8"/>
    <w:rsid w:val="004468BE"/>
    <w:rsid w:val="00450463"/>
    <w:rsid w:val="00451C03"/>
    <w:rsid w:val="004528A0"/>
    <w:rsid w:val="00453476"/>
    <w:rsid w:val="00456845"/>
    <w:rsid w:val="00457737"/>
    <w:rsid w:val="00457F31"/>
    <w:rsid w:val="00460056"/>
    <w:rsid w:val="00460D6A"/>
    <w:rsid w:val="00460FC3"/>
    <w:rsid w:val="00461A51"/>
    <w:rsid w:val="00461ADF"/>
    <w:rsid w:val="00462BFF"/>
    <w:rsid w:val="00462FB4"/>
    <w:rsid w:val="00463409"/>
    <w:rsid w:val="004648B1"/>
    <w:rsid w:val="00465843"/>
    <w:rsid w:val="004658A8"/>
    <w:rsid w:val="00465A37"/>
    <w:rsid w:val="0047093B"/>
    <w:rsid w:val="004729DE"/>
    <w:rsid w:val="00473E1C"/>
    <w:rsid w:val="00474BBB"/>
    <w:rsid w:val="00476562"/>
    <w:rsid w:val="00476CC0"/>
    <w:rsid w:val="004810C7"/>
    <w:rsid w:val="0048242D"/>
    <w:rsid w:val="004827DC"/>
    <w:rsid w:val="00482A91"/>
    <w:rsid w:val="00483B72"/>
    <w:rsid w:val="004841A3"/>
    <w:rsid w:val="004845BE"/>
    <w:rsid w:val="004860FB"/>
    <w:rsid w:val="00486556"/>
    <w:rsid w:val="00486586"/>
    <w:rsid w:val="00486679"/>
    <w:rsid w:val="004872AA"/>
    <w:rsid w:val="0049014C"/>
    <w:rsid w:val="004918F3"/>
    <w:rsid w:val="00492D0C"/>
    <w:rsid w:val="004954BA"/>
    <w:rsid w:val="004961CE"/>
    <w:rsid w:val="0049627A"/>
    <w:rsid w:val="0049633F"/>
    <w:rsid w:val="004A0874"/>
    <w:rsid w:val="004A08B7"/>
    <w:rsid w:val="004A1234"/>
    <w:rsid w:val="004A1381"/>
    <w:rsid w:val="004A2196"/>
    <w:rsid w:val="004A2685"/>
    <w:rsid w:val="004A2B98"/>
    <w:rsid w:val="004A36EA"/>
    <w:rsid w:val="004A37C6"/>
    <w:rsid w:val="004A3E71"/>
    <w:rsid w:val="004A7CF9"/>
    <w:rsid w:val="004B2078"/>
    <w:rsid w:val="004B3051"/>
    <w:rsid w:val="004B3B54"/>
    <w:rsid w:val="004B3D9B"/>
    <w:rsid w:val="004B3F2B"/>
    <w:rsid w:val="004B4C25"/>
    <w:rsid w:val="004B4DB5"/>
    <w:rsid w:val="004B5A70"/>
    <w:rsid w:val="004B5AC2"/>
    <w:rsid w:val="004B618C"/>
    <w:rsid w:val="004B6FDB"/>
    <w:rsid w:val="004B79E5"/>
    <w:rsid w:val="004B7BEC"/>
    <w:rsid w:val="004B7FD7"/>
    <w:rsid w:val="004C0F6D"/>
    <w:rsid w:val="004C19D4"/>
    <w:rsid w:val="004C2117"/>
    <w:rsid w:val="004C2EDE"/>
    <w:rsid w:val="004C3401"/>
    <w:rsid w:val="004C392E"/>
    <w:rsid w:val="004C3BA4"/>
    <w:rsid w:val="004C3F19"/>
    <w:rsid w:val="004C5ED1"/>
    <w:rsid w:val="004C6B7E"/>
    <w:rsid w:val="004D0A82"/>
    <w:rsid w:val="004D0BD7"/>
    <w:rsid w:val="004D254B"/>
    <w:rsid w:val="004D2EBF"/>
    <w:rsid w:val="004D37E3"/>
    <w:rsid w:val="004D3DC7"/>
    <w:rsid w:val="004D4C3B"/>
    <w:rsid w:val="004D4E4B"/>
    <w:rsid w:val="004D5638"/>
    <w:rsid w:val="004D6E23"/>
    <w:rsid w:val="004D7FB2"/>
    <w:rsid w:val="004E01A1"/>
    <w:rsid w:val="004E0459"/>
    <w:rsid w:val="004E0625"/>
    <w:rsid w:val="004E131A"/>
    <w:rsid w:val="004E2AD4"/>
    <w:rsid w:val="004E3CA7"/>
    <w:rsid w:val="004E53CE"/>
    <w:rsid w:val="004E5DA9"/>
    <w:rsid w:val="004E67B3"/>
    <w:rsid w:val="004F0442"/>
    <w:rsid w:val="004F10EA"/>
    <w:rsid w:val="004F1E50"/>
    <w:rsid w:val="004F2A90"/>
    <w:rsid w:val="004F36EF"/>
    <w:rsid w:val="004F46CB"/>
    <w:rsid w:val="004F479D"/>
    <w:rsid w:val="004F4D4C"/>
    <w:rsid w:val="004F5D53"/>
    <w:rsid w:val="004F600A"/>
    <w:rsid w:val="004F637B"/>
    <w:rsid w:val="004F7262"/>
    <w:rsid w:val="004F7BB1"/>
    <w:rsid w:val="00500795"/>
    <w:rsid w:val="00501BC7"/>
    <w:rsid w:val="005029B7"/>
    <w:rsid w:val="0050397E"/>
    <w:rsid w:val="005044D0"/>
    <w:rsid w:val="0050455E"/>
    <w:rsid w:val="005047AC"/>
    <w:rsid w:val="00505139"/>
    <w:rsid w:val="0050604C"/>
    <w:rsid w:val="005060A4"/>
    <w:rsid w:val="00510390"/>
    <w:rsid w:val="00510BFE"/>
    <w:rsid w:val="005124FF"/>
    <w:rsid w:val="005125A2"/>
    <w:rsid w:val="00512F9F"/>
    <w:rsid w:val="00515405"/>
    <w:rsid w:val="005206B8"/>
    <w:rsid w:val="005218D4"/>
    <w:rsid w:val="00521972"/>
    <w:rsid w:val="0052256A"/>
    <w:rsid w:val="00524616"/>
    <w:rsid w:val="00524AA8"/>
    <w:rsid w:val="00524EB0"/>
    <w:rsid w:val="00525B2D"/>
    <w:rsid w:val="0052677C"/>
    <w:rsid w:val="00526AAE"/>
    <w:rsid w:val="00527DC7"/>
    <w:rsid w:val="00531253"/>
    <w:rsid w:val="005327F5"/>
    <w:rsid w:val="00532E43"/>
    <w:rsid w:val="00532F60"/>
    <w:rsid w:val="00533D5A"/>
    <w:rsid w:val="00534A8E"/>
    <w:rsid w:val="00534E7C"/>
    <w:rsid w:val="00536174"/>
    <w:rsid w:val="005363F6"/>
    <w:rsid w:val="0053644E"/>
    <w:rsid w:val="0053676A"/>
    <w:rsid w:val="00536E2A"/>
    <w:rsid w:val="00537805"/>
    <w:rsid w:val="00537D78"/>
    <w:rsid w:val="00537E82"/>
    <w:rsid w:val="00541082"/>
    <w:rsid w:val="005411F2"/>
    <w:rsid w:val="005415A9"/>
    <w:rsid w:val="00541D63"/>
    <w:rsid w:val="005438BE"/>
    <w:rsid w:val="0054420F"/>
    <w:rsid w:val="0054490D"/>
    <w:rsid w:val="00544BFE"/>
    <w:rsid w:val="00545911"/>
    <w:rsid w:val="00545CAE"/>
    <w:rsid w:val="0054622C"/>
    <w:rsid w:val="00546B7B"/>
    <w:rsid w:val="00547620"/>
    <w:rsid w:val="00547CB9"/>
    <w:rsid w:val="00550181"/>
    <w:rsid w:val="00550ADC"/>
    <w:rsid w:val="00551557"/>
    <w:rsid w:val="0055183F"/>
    <w:rsid w:val="0055340E"/>
    <w:rsid w:val="0055342A"/>
    <w:rsid w:val="0055344C"/>
    <w:rsid w:val="005535E2"/>
    <w:rsid w:val="00554E26"/>
    <w:rsid w:val="00554F44"/>
    <w:rsid w:val="00555603"/>
    <w:rsid w:val="00556504"/>
    <w:rsid w:val="005570CB"/>
    <w:rsid w:val="005571A6"/>
    <w:rsid w:val="005579B7"/>
    <w:rsid w:val="00560EC7"/>
    <w:rsid w:val="00561785"/>
    <w:rsid w:val="005626EC"/>
    <w:rsid w:val="005627CF"/>
    <w:rsid w:val="00562EF3"/>
    <w:rsid w:val="0056427E"/>
    <w:rsid w:val="00564CC1"/>
    <w:rsid w:val="00565195"/>
    <w:rsid w:val="005652ED"/>
    <w:rsid w:val="00565841"/>
    <w:rsid w:val="00566AB1"/>
    <w:rsid w:val="00566FA2"/>
    <w:rsid w:val="0056736B"/>
    <w:rsid w:val="00570054"/>
    <w:rsid w:val="0057051C"/>
    <w:rsid w:val="005706C9"/>
    <w:rsid w:val="00571371"/>
    <w:rsid w:val="00572E89"/>
    <w:rsid w:val="00572F50"/>
    <w:rsid w:val="00574744"/>
    <w:rsid w:val="00575EDB"/>
    <w:rsid w:val="005768FB"/>
    <w:rsid w:val="00576A72"/>
    <w:rsid w:val="00577D12"/>
    <w:rsid w:val="00577F81"/>
    <w:rsid w:val="005806A9"/>
    <w:rsid w:val="005811D7"/>
    <w:rsid w:val="00585D1E"/>
    <w:rsid w:val="0058649C"/>
    <w:rsid w:val="005867B3"/>
    <w:rsid w:val="00586E1B"/>
    <w:rsid w:val="0058761D"/>
    <w:rsid w:val="00587D7B"/>
    <w:rsid w:val="0059073B"/>
    <w:rsid w:val="00590BE8"/>
    <w:rsid w:val="0059174B"/>
    <w:rsid w:val="0059218B"/>
    <w:rsid w:val="00594731"/>
    <w:rsid w:val="0059529A"/>
    <w:rsid w:val="00595D97"/>
    <w:rsid w:val="005961C6"/>
    <w:rsid w:val="00596BEE"/>
    <w:rsid w:val="00597789"/>
    <w:rsid w:val="00597AD2"/>
    <w:rsid w:val="005A129F"/>
    <w:rsid w:val="005A1373"/>
    <w:rsid w:val="005A1A0E"/>
    <w:rsid w:val="005A2BE1"/>
    <w:rsid w:val="005A312B"/>
    <w:rsid w:val="005A384A"/>
    <w:rsid w:val="005A4E18"/>
    <w:rsid w:val="005A5111"/>
    <w:rsid w:val="005A63D3"/>
    <w:rsid w:val="005A6EB6"/>
    <w:rsid w:val="005B27D8"/>
    <w:rsid w:val="005B3DF2"/>
    <w:rsid w:val="005B42EA"/>
    <w:rsid w:val="005B5CBD"/>
    <w:rsid w:val="005B5CEB"/>
    <w:rsid w:val="005B71B7"/>
    <w:rsid w:val="005C015B"/>
    <w:rsid w:val="005C06C9"/>
    <w:rsid w:val="005C23A3"/>
    <w:rsid w:val="005C2DBE"/>
    <w:rsid w:val="005C666E"/>
    <w:rsid w:val="005C7508"/>
    <w:rsid w:val="005C7A00"/>
    <w:rsid w:val="005C7FED"/>
    <w:rsid w:val="005D0083"/>
    <w:rsid w:val="005D01C8"/>
    <w:rsid w:val="005D028A"/>
    <w:rsid w:val="005D0B32"/>
    <w:rsid w:val="005D1A6B"/>
    <w:rsid w:val="005D1D9F"/>
    <w:rsid w:val="005D286E"/>
    <w:rsid w:val="005D31CC"/>
    <w:rsid w:val="005D3B35"/>
    <w:rsid w:val="005D3E64"/>
    <w:rsid w:val="005D4205"/>
    <w:rsid w:val="005D444A"/>
    <w:rsid w:val="005D5358"/>
    <w:rsid w:val="005D57DD"/>
    <w:rsid w:val="005D5AB3"/>
    <w:rsid w:val="005D65CC"/>
    <w:rsid w:val="005D66CE"/>
    <w:rsid w:val="005D7F94"/>
    <w:rsid w:val="005E00F2"/>
    <w:rsid w:val="005E1158"/>
    <w:rsid w:val="005E1880"/>
    <w:rsid w:val="005E2DE2"/>
    <w:rsid w:val="005E3769"/>
    <w:rsid w:val="005E5320"/>
    <w:rsid w:val="005E6884"/>
    <w:rsid w:val="005E6F6B"/>
    <w:rsid w:val="005E72C9"/>
    <w:rsid w:val="005E7A25"/>
    <w:rsid w:val="005F030C"/>
    <w:rsid w:val="005F0491"/>
    <w:rsid w:val="005F08FF"/>
    <w:rsid w:val="005F1331"/>
    <w:rsid w:val="005F1645"/>
    <w:rsid w:val="005F2545"/>
    <w:rsid w:val="005F254F"/>
    <w:rsid w:val="005F2D63"/>
    <w:rsid w:val="005F4344"/>
    <w:rsid w:val="005F4D13"/>
    <w:rsid w:val="005F4D55"/>
    <w:rsid w:val="005F5DE4"/>
    <w:rsid w:val="005F77B9"/>
    <w:rsid w:val="005F7846"/>
    <w:rsid w:val="0060014E"/>
    <w:rsid w:val="00601546"/>
    <w:rsid w:val="00605D0A"/>
    <w:rsid w:val="00607632"/>
    <w:rsid w:val="00610873"/>
    <w:rsid w:val="00610EAC"/>
    <w:rsid w:val="00610EEC"/>
    <w:rsid w:val="00611FE2"/>
    <w:rsid w:val="006129FB"/>
    <w:rsid w:val="00612A6F"/>
    <w:rsid w:val="00612CF4"/>
    <w:rsid w:val="00612D5E"/>
    <w:rsid w:val="00612DDF"/>
    <w:rsid w:val="00613A29"/>
    <w:rsid w:val="00615B0D"/>
    <w:rsid w:val="00616952"/>
    <w:rsid w:val="00622BFE"/>
    <w:rsid w:val="00622F59"/>
    <w:rsid w:val="006233D0"/>
    <w:rsid w:val="00623CDD"/>
    <w:rsid w:val="00623EA5"/>
    <w:rsid w:val="0062416E"/>
    <w:rsid w:val="00625CBC"/>
    <w:rsid w:val="00626A0B"/>
    <w:rsid w:val="0062746E"/>
    <w:rsid w:val="006277B4"/>
    <w:rsid w:val="00627AC6"/>
    <w:rsid w:val="00630D82"/>
    <w:rsid w:val="00631684"/>
    <w:rsid w:val="006319B4"/>
    <w:rsid w:val="00632014"/>
    <w:rsid w:val="006321C5"/>
    <w:rsid w:val="006327BB"/>
    <w:rsid w:val="006329B6"/>
    <w:rsid w:val="006335C7"/>
    <w:rsid w:val="00635DC9"/>
    <w:rsid w:val="006368EA"/>
    <w:rsid w:val="00637C5A"/>
    <w:rsid w:val="00641652"/>
    <w:rsid w:val="00642065"/>
    <w:rsid w:val="00642955"/>
    <w:rsid w:val="00642A0B"/>
    <w:rsid w:val="00643094"/>
    <w:rsid w:val="006444A0"/>
    <w:rsid w:val="00644F84"/>
    <w:rsid w:val="0064509E"/>
    <w:rsid w:val="00645B1F"/>
    <w:rsid w:val="00645DEB"/>
    <w:rsid w:val="0064649B"/>
    <w:rsid w:val="006466D9"/>
    <w:rsid w:val="00646FDD"/>
    <w:rsid w:val="00647BC7"/>
    <w:rsid w:val="006513B0"/>
    <w:rsid w:val="00651B97"/>
    <w:rsid w:val="00653292"/>
    <w:rsid w:val="006536CB"/>
    <w:rsid w:val="00654799"/>
    <w:rsid w:val="00654822"/>
    <w:rsid w:val="00655D3A"/>
    <w:rsid w:val="006562C3"/>
    <w:rsid w:val="00657C7F"/>
    <w:rsid w:val="0066115D"/>
    <w:rsid w:val="00662882"/>
    <w:rsid w:val="00664BD6"/>
    <w:rsid w:val="00664D54"/>
    <w:rsid w:val="00665B4F"/>
    <w:rsid w:val="00666363"/>
    <w:rsid w:val="00670218"/>
    <w:rsid w:val="006708E2"/>
    <w:rsid w:val="00672032"/>
    <w:rsid w:val="00674565"/>
    <w:rsid w:val="00674A1C"/>
    <w:rsid w:val="00674C09"/>
    <w:rsid w:val="00675398"/>
    <w:rsid w:val="006753CA"/>
    <w:rsid w:val="00677EC5"/>
    <w:rsid w:val="00681B57"/>
    <w:rsid w:val="00681DCE"/>
    <w:rsid w:val="00681E1C"/>
    <w:rsid w:val="006820A0"/>
    <w:rsid w:val="00683327"/>
    <w:rsid w:val="00683802"/>
    <w:rsid w:val="00683D30"/>
    <w:rsid w:val="00684B44"/>
    <w:rsid w:val="00685D02"/>
    <w:rsid w:val="00685D2E"/>
    <w:rsid w:val="00686A4D"/>
    <w:rsid w:val="006872D3"/>
    <w:rsid w:val="0068731F"/>
    <w:rsid w:val="00687CF3"/>
    <w:rsid w:val="00691D80"/>
    <w:rsid w:val="006928E5"/>
    <w:rsid w:val="00693D9A"/>
    <w:rsid w:val="006941E2"/>
    <w:rsid w:val="0069527F"/>
    <w:rsid w:val="00695781"/>
    <w:rsid w:val="0069783F"/>
    <w:rsid w:val="006979F7"/>
    <w:rsid w:val="006A1CA5"/>
    <w:rsid w:val="006A2824"/>
    <w:rsid w:val="006A35D0"/>
    <w:rsid w:val="006A3A72"/>
    <w:rsid w:val="006A5510"/>
    <w:rsid w:val="006A575D"/>
    <w:rsid w:val="006A6286"/>
    <w:rsid w:val="006A665D"/>
    <w:rsid w:val="006A746D"/>
    <w:rsid w:val="006A74AF"/>
    <w:rsid w:val="006B03BC"/>
    <w:rsid w:val="006B0442"/>
    <w:rsid w:val="006B0B79"/>
    <w:rsid w:val="006B1972"/>
    <w:rsid w:val="006B1EFF"/>
    <w:rsid w:val="006B3241"/>
    <w:rsid w:val="006B4F0C"/>
    <w:rsid w:val="006B5663"/>
    <w:rsid w:val="006B5890"/>
    <w:rsid w:val="006B5932"/>
    <w:rsid w:val="006C21F4"/>
    <w:rsid w:val="006C325B"/>
    <w:rsid w:val="006C36CD"/>
    <w:rsid w:val="006C3A40"/>
    <w:rsid w:val="006C40E4"/>
    <w:rsid w:val="006C568A"/>
    <w:rsid w:val="006D070E"/>
    <w:rsid w:val="006D0C04"/>
    <w:rsid w:val="006D1EBC"/>
    <w:rsid w:val="006D2338"/>
    <w:rsid w:val="006D3DCF"/>
    <w:rsid w:val="006D4355"/>
    <w:rsid w:val="006D4526"/>
    <w:rsid w:val="006D478D"/>
    <w:rsid w:val="006D4922"/>
    <w:rsid w:val="006D51AF"/>
    <w:rsid w:val="006D5375"/>
    <w:rsid w:val="006D60BC"/>
    <w:rsid w:val="006D65A2"/>
    <w:rsid w:val="006D67B3"/>
    <w:rsid w:val="006D67EE"/>
    <w:rsid w:val="006D70C3"/>
    <w:rsid w:val="006E02FF"/>
    <w:rsid w:val="006E0D61"/>
    <w:rsid w:val="006E0D78"/>
    <w:rsid w:val="006E0D8B"/>
    <w:rsid w:val="006E0F39"/>
    <w:rsid w:val="006E16B3"/>
    <w:rsid w:val="006E1B0A"/>
    <w:rsid w:val="006E2188"/>
    <w:rsid w:val="006E21A4"/>
    <w:rsid w:val="006E2E46"/>
    <w:rsid w:val="006E39BC"/>
    <w:rsid w:val="006E3FDD"/>
    <w:rsid w:val="006E5749"/>
    <w:rsid w:val="006E605D"/>
    <w:rsid w:val="006E698A"/>
    <w:rsid w:val="006E6E06"/>
    <w:rsid w:val="006E7038"/>
    <w:rsid w:val="006E7B3A"/>
    <w:rsid w:val="006F02C1"/>
    <w:rsid w:val="006F2DCE"/>
    <w:rsid w:val="006F335D"/>
    <w:rsid w:val="006F3D9F"/>
    <w:rsid w:val="006F4374"/>
    <w:rsid w:val="006F4A15"/>
    <w:rsid w:val="006F5A2F"/>
    <w:rsid w:val="006F6742"/>
    <w:rsid w:val="006F7634"/>
    <w:rsid w:val="006F7979"/>
    <w:rsid w:val="006F7DE4"/>
    <w:rsid w:val="00700200"/>
    <w:rsid w:val="0070095A"/>
    <w:rsid w:val="007013FE"/>
    <w:rsid w:val="00701811"/>
    <w:rsid w:val="007036A5"/>
    <w:rsid w:val="00704EB8"/>
    <w:rsid w:val="00705012"/>
    <w:rsid w:val="007067C7"/>
    <w:rsid w:val="00707EC7"/>
    <w:rsid w:val="00710551"/>
    <w:rsid w:val="007114F6"/>
    <w:rsid w:val="007117A0"/>
    <w:rsid w:val="0071199C"/>
    <w:rsid w:val="007119E9"/>
    <w:rsid w:val="007125F7"/>
    <w:rsid w:val="007128B8"/>
    <w:rsid w:val="00712A27"/>
    <w:rsid w:val="00712F2A"/>
    <w:rsid w:val="0071332F"/>
    <w:rsid w:val="00714307"/>
    <w:rsid w:val="007153C7"/>
    <w:rsid w:val="00715B08"/>
    <w:rsid w:val="007203D0"/>
    <w:rsid w:val="00721A72"/>
    <w:rsid w:val="00721CAE"/>
    <w:rsid w:val="00722FC3"/>
    <w:rsid w:val="007233DB"/>
    <w:rsid w:val="00723F87"/>
    <w:rsid w:val="00724211"/>
    <w:rsid w:val="0072473E"/>
    <w:rsid w:val="007256EE"/>
    <w:rsid w:val="00725D61"/>
    <w:rsid w:val="00726179"/>
    <w:rsid w:val="00726D43"/>
    <w:rsid w:val="00726F1C"/>
    <w:rsid w:val="00730AB8"/>
    <w:rsid w:val="00731D4B"/>
    <w:rsid w:val="00732661"/>
    <w:rsid w:val="007327BE"/>
    <w:rsid w:val="007334AE"/>
    <w:rsid w:val="00733912"/>
    <w:rsid w:val="00734095"/>
    <w:rsid w:val="007344DF"/>
    <w:rsid w:val="00734AC2"/>
    <w:rsid w:val="00734C64"/>
    <w:rsid w:val="00734DC3"/>
    <w:rsid w:val="00736476"/>
    <w:rsid w:val="00740AA6"/>
    <w:rsid w:val="007413B0"/>
    <w:rsid w:val="007443D1"/>
    <w:rsid w:val="007445A2"/>
    <w:rsid w:val="00745A7C"/>
    <w:rsid w:val="007468C0"/>
    <w:rsid w:val="00746A7E"/>
    <w:rsid w:val="00747241"/>
    <w:rsid w:val="00747586"/>
    <w:rsid w:val="0074777E"/>
    <w:rsid w:val="00747B4C"/>
    <w:rsid w:val="00750D8C"/>
    <w:rsid w:val="00751057"/>
    <w:rsid w:val="0075134B"/>
    <w:rsid w:val="007518BA"/>
    <w:rsid w:val="00751B61"/>
    <w:rsid w:val="007520A0"/>
    <w:rsid w:val="0075221D"/>
    <w:rsid w:val="0075257C"/>
    <w:rsid w:val="0075338A"/>
    <w:rsid w:val="007549BE"/>
    <w:rsid w:val="00754CCD"/>
    <w:rsid w:val="00755A83"/>
    <w:rsid w:val="007564FA"/>
    <w:rsid w:val="007566BE"/>
    <w:rsid w:val="007601A2"/>
    <w:rsid w:val="007605A2"/>
    <w:rsid w:val="0076074D"/>
    <w:rsid w:val="0076119F"/>
    <w:rsid w:val="00762961"/>
    <w:rsid w:val="00762E69"/>
    <w:rsid w:val="00764385"/>
    <w:rsid w:val="00765978"/>
    <w:rsid w:val="00766320"/>
    <w:rsid w:val="00767D70"/>
    <w:rsid w:val="00770D1E"/>
    <w:rsid w:val="00771213"/>
    <w:rsid w:val="007731AC"/>
    <w:rsid w:val="007742B0"/>
    <w:rsid w:val="00775E7D"/>
    <w:rsid w:val="007764EC"/>
    <w:rsid w:val="007769AE"/>
    <w:rsid w:val="00777704"/>
    <w:rsid w:val="00777CD8"/>
    <w:rsid w:val="00780802"/>
    <w:rsid w:val="00780E51"/>
    <w:rsid w:val="007822C3"/>
    <w:rsid w:val="007825F1"/>
    <w:rsid w:val="00782C87"/>
    <w:rsid w:val="0078751A"/>
    <w:rsid w:val="007875FD"/>
    <w:rsid w:val="00787F21"/>
    <w:rsid w:val="007905BD"/>
    <w:rsid w:val="00791ED1"/>
    <w:rsid w:val="00792400"/>
    <w:rsid w:val="00792CBE"/>
    <w:rsid w:val="00792CF3"/>
    <w:rsid w:val="00792D44"/>
    <w:rsid w:val="007931CF"/>
    <w:rsid w:val="00794601"/>
    <w:rsid w:val="00795422"/>
    <w:rsid w:val="00795496"/>
    <w:rsid w:val="007956D3"/>
    <w:rsid w:val="00795965"/>
    <w:rsid w:val="007959A0"/>
    <w:rsid w:val="007967B3"/>
    <w:rsid w:val="0079797C"/>
    <w:rsid w:val="007A03C7"/>
    <w:rsid w:val="007A1B55"/>
    <w:rsid w:val="007A2DF5"/>
    <w:rsid w:val="007A48BA"/>
    <w:rsid w:val="007A4AA0"/>
    <w:rsid w:val="007A573E"/>
    <w:rsid w:val="007A63F1"/>
    <w:rsid w:val="007A649D"/>
    <w:rsid w:val="007A6AF4"/>
    <w:rsid w:val="007A770C"/>
    <w:rsid w:val="007A7A41"/>
    <w:rsid w:val="007B0548"/>
    <w:rsid w:val="007B1746"/>
    <w:rsid w:val="007B19B6"/>
    <w:rsid w:val="007B22CB"/>
    <w:rsid w:val="007B3539"/>
    <w:rsid w:val="007B3643"/>
    <w:rsid w:val="007B3AB2"/>
    <w:rsid w:val="007B4770"/>
    <w:rsid w:val="007B4E77"/>
    <w:rsid w:val="007B7E25"/>
    <w:rsid w:val="007C2342"/>
    <w:rsid w:val="007C2F0B"/>
    <w:rsid w:val="007C6E23"/>
    <w:rsid w:val="007C7B24"/>
    <w:rsid w:val="007D0807"/>
    <w:rsid w:val="007D0A97"/>
    <w:rsid w:val="007D0E22"/>
    <w:rsid w:val="007D1044"/>
    <w:rsid w:val="007D1DFF"/>
    <w:rsid w:val="007D2B40"/>
    <w:rsid w:val="007D3A86"/>
    <w:rsid w:val="007D486B"/>
    <w:rsid w:val="007D56D4"/>
    <w:rsid w:val="007D6164"/>
    <w:rsid w:val="007D6D0E"/>
    <w:rsid w:val="007E01D0"/>
    <w:rsid w:val="007E03AA"/>
    <w:rsid w:val="007E1ACF"/>
    <w:rsid w:val="007E219B"/>
    <w:rsid w:val="007E3BF8"/>
    <w:rsid w:val="007E60E1"/>
    <w:rsid w:val="007E64BD"/>
    <w:rsid w:val="007F06A5"/>
    <w:rsid w:val="007F0B0E"/>
    <w:rsid w:val="007F22C6"/>
    <w:rsid w:val="007F3184"/>
    <w:rsid w:val="007F449F"/>
    <w:rsid w:val="007F5262"/>
    <w:rsid w:val="007F5996"/>
    <w:rsid w:val="007F5C31"/>
    <w:rsid w:val="007F63A3"/>
    <w:rsid w:val="007F7C9E"/>
    <w:rsid w:val="007F7DF5"/>
    <w:rsid w:val="00800493"/>
    <w:rsid w:val="0080119C"/>
    <w:rsid w:val="00801ACA"/>
    <w:rsid w:val="00802CBA"/>
    <w:rsid w:val="00802FD0"/>
    <w:rsid w:val="00803CC2"/>
    <w:rsid w:val="00803E69"/>
    <w:rsid w:val="0080512D"/>
    <w:rsid w:val="00805CBA"/>
    <w:rsid w:val="008078F4"/>
    <w:rsid w:val="008105B4"/>
    <w:rsid w:val="00811C8A"/>
    <w:rsid w:val="0081410F"/>
    <w:rsid w:val="0081455A"/>
    <w:rsid w:val="00815F6A"/>
    <w:rsid w:val="00816B44"/>
    <w:rsid w:val="00817430"/>
    <w:rsid w:val="008214B7"/>
    <w:rsid w:val="008236FB"/>
    <w:rsid w:val="008238A0"/>
    <w:rsid w:val="00824054"/>
    <w:rsid w:val="00824663"/>
    <w:rsid w:val="008250BA"/>
    <w:rsid w:val="0082606B"/>
    <w:rsid w:val="0082656C"/>
    <w:rsid w:val="00827F37"/>
    <w:rsid w:val="00830247"/>
    <w:rsid w:val="00831D26"/>
    <w:rsid w:val="0083309A"/>
    <w:rsid w:val="0083447D"/>
    <w:rsid w:val="008367FE"/>
    <w:rsid w:val="00836D29"/>
    <w:rsid w:val="00836FFA"/>
    <w:rsid w:val="00837024"/>
    <w:rsid w:val="0083754E"/>
    <w:rsid w:val="008375E9"/>
    <w:rsid w:val="00840451"/>
    <w:rsid w:val="008411BF"/>
    <w:rsid w:val="008419AE"/>
    <w:rsid w:val="008432A1"/>
    <w:rsid w:val="00843601"/>
    <w:rsid w:val="00843959"/>
    <w:rsid w:val="008439B1"/>
    <w:rsid w:val="00843FC8"/>
    <w:rsid w:val="008459C2"/>
    <w:rsid w:val="00846601"/>
    <w:rsid w:val="0084683E"/>
    <w:rsid w:val="008501B1"/>
    <w:rsid w:val="008502BE"/>
    <w:rsid w:val="008537A9"/>
    <w:rsid w:val="00855255"/>
    <w:rsid w:val="00856C27"/>
    <w:rsid w:val="00857751"/>
    <w:rsid w:val="00857845"/>
    <w:rsid w:val="00857C6D"/>
    <w:rsid w:val="008600D9"/>
    <w:rsid w:val="0086063B"/>
    <w:rsid w:val="00861A45"/>
    <w:rsid w:val="00862436"/>
    <w:rsid w:val="008626D4"/>
    <w:rsid w:val="00863C44"/>
    <w:rsid w:val="00864959"/>
    <w:rsid w:val="00864F72"/>
    <w:rsid w:val="00865C27"/>
    <w:rsid w:val="00866A0C"/>
    <w:rsid w:val="008703E3"/>
    <w:rsid w:val="008727F1"/>
    <w:rsid w:val="0087393A"/>
    <w:rsid w:val="008748AC"/>
    <w:rsid w:val="00874A36"/>
    <w:rsid w:val="0087511C"/>
    <w:rsid w:val="0087683C"/>
    <w:rsid w:val="008777E7"/>
    <w:rsid w:val="0088009D"/>
    <w:rsid w:val="00880A01"/>
    <w:rsid w:val="00880F64"/>
    <w:rsid w:val="00880F98"/>
    <w:rsid w:val="00882518"/>
    <w:rsid w:val="00884171"/>
    <w:rsid w:val="00884427"/>
    <w:rsid w:val="00884B8C"/>
    <w:rsid w:val="008860D6"/>
    <w:rsid w:val="00886616"/>
    <w:rsid w:val="00886630"/>
    <w:rsid w:val="00886D9A"/>
    <w:rsid w:val="00886EE5"/>
    <w:rsid w:val="00890A8B"/>
    <w:rsid w:val="00891A7B"/>
    <w:rsid w:val="00891E93"/>
    <w:rsid w:val="008931AE"/>
    <w:rsid w:val="00894FE0"/>
    <w:rsid w:val="0089595F"/>
    <w:rsid w:val="008962C3"/>
    <w:rsid w:val="00897003"/>
    <w:rsid w:val="00897B2D"/>
    <w:rsid w:val="008A0A40"/>
    <w:rsid w:val="008A0A8E"/>
    <w:rsid w:val="008A0ED5"/>
    <w:rsid w:val="008A1372"/>
    <w:rsid w:val="008A14B4"/>
    <w:rsid w:val="008A168E"/>
    <w:rsid w:val="008A34E7"/>
    <w:rsid w:val="008A3633"/>
    <w:rsid w:val="008A3656"/>
    <w:rsid w:val="008A3C55"/>
    <w:rsid w:val="008A4020"/>
    <w:rsid w:val="008A4258"/>
    <w:rsid w:val="008A47D7"/>
    <w:rsid w:val="008A4E68"/>
    <w:rsid w:val="008A526E"/>
    <w:rsid w:val="008A56DF"/>
    <w:rsid w:val="008A5715"/>
    <w:rsid w:val="008A585A"/>
    <w:rsid w:val="008A5AF1"/>
    <w:rsid w:val="008A5C04"/>
    <w:rsid w:val="008A7AC4"/>
    <w:rsid w:val="008A7B58"/>
    <w:rsid w:val="008B01E5"/>
    <w:rsid w:val="008B07EE"/>
    <w:rsid w:val="008B2432"/>
    <w:rsid w:val="008B3FFC"/>
    <w:rsid w:val="008B4084"/>
    <w:rsid w:val="008B4EF8"/>
    <w:rsid w:val="008B5311"/>
    <w:rsid w:val="008B64F3"/>
    <w:rsid w:val="008B654C"/>
    <w:rsid w:val="008B6B53"/>
    <w:rsid w:val="008B79CA"/>
    <w:rsid w:val="008B7D43"/>
    <w:rsid w:val="008B7E71"/>
    <w:rsid w:val="008C0C4B"/>
    <w:rsid w:val="008C2297"/>
    <w:rsid w:val="008C31D3"/>
    <w:rsid w:val="008C440B"/>
    <w:rsid w:val="008C5360"/>
    <w:rsid w:val="008C567D"/>
    <w:rsid w:val="008C5C19"/>
    <w:rsid w:val="008C5D59"/>
    <w:rsid w:val="008C787B"/>
    <w:rsid w:val="008C7D56"/>
    <w:rsid w:val="008D20DA"/>
    <w:rsid w:val="008D2723"/>
    <w:rsid w:val="008D4032"/>
    <w:rsid w:val="008D4238"/>
    <w:rsid w:val="008D515A"/>
    <w:rsid w:val="008D6529"/>
    <w:rsid w:val="008E07D0"/>
    <w:rsid w:val="008E0DB9"/>
    <w:rsid w:val="008E0FD2"/>
    <w:rsid w:val="008E18E9"/>
    <w:rsid w:val="008E1C58"/>
    <w:rsid w:val="008E1D78"/>
    <w:rsid w:val="008E1DE9"/>
    <w:rsid w:val="008E3B17"/>
    <w:rsid w:val="008E4A08"/>
    <w:rsid w:val="008E5DF4"/>
    <w:rsid w:val="008E625B"/>
    <w:rsid w:val="008E76E9"/>
    <w:rsid w:val="008E7BA7"/>
    <w:rsid w:val="008F05B4"/>
    <w:rsid w:val="008F0B25"/>
    <w:rsid w:val="008F0B62"/>
    <w:rsid w:val="008F0F42"/>
    <w:rsid w:val="008F141A"/>
    <w:rsid w:val="008F1ED0"/>
    <w:rsid w:val="008F229A"/>
    <w:rsid w:val="008F267D"/>
    <w:rsid w:val="008F289D"/>
    <w:rsid w:val="008F2942"/>
    <w:rsid w:val="008F2C8A"/>
    <w:rsid w:val="008F518B"/>
    <w:rsid w:val="008F54F0"/>
    <w:rsid w:val="008F5795"/>
    <w:rsid w:val="008F5BB7"/>
    <w:rsid w:val="008F6214"/>
    <w:rsid w:val="008F717F"/>
    <w:rsid w:val="009009C3"/>
    <w:rsid w:val="00900C00"/>
    <w:rsid w:val="00900ED2"/>
    <w:rsid w:val="00900FAB"/>
    <w:rsid w:val="009012CD"/>
    <w:rsid w:val="0090139E"/>
    <w:rsid w:val="00901B1D"/>
    <w:rsid w:val="00902C3A"/>
    <w:rsid w:val="00903553"/>
    <w:rsid w:val="00903C6A"/>
    <w:rsid w:val="00904F8C"/>
    <w:rsid w:val="00905A9E"/>
    <w:rsid w:val="009072A5"/>
    <w:rsid w:val="00907F5F"/>
    <w:rsid w:val="00911D61"/>
    <w:rsid w:val="0091210F"/>
    <w:rsid w:val="00912177"/>
    <w:rsid w:val="009138C8"/>
    <w:rsid w:val="009145AD"/>
    <w:rsid w:val="009148C8"/>
    <w:rsid w:val="00914B5B"/>
    <w:rsid w:val="00917AAA"/>
    <w:rsid w:val="00920367"/>
    <w:rsid w:val="00921E99"/>
    <w:rsid w:val="009223FA"/>
    <w:rsid w:val="00922A96"/>
    <w:rsid w:val="00922C77"/>
    <w:rsid w:val="009237A1"/>
    <w:rsid w:val="009242B7"/>
    <w:rsid w:val="009245A6"/>
    <w:rsid w:val="009255BD"/>
    <w:rsid w:val="009317FF"/>
    <w:rsid w:val="0093374D"/>
    <w:rsid w:val="00933C93"/>
    <w:rsid w:val="00933CDC"/>
    <w:rsid w:val="00933F60"/>
    <w:rsid w:val="00933FF7"/>
    <w:rsid w:val="00935489"/>
    <w:rsid w:val="0093574A"/>
    <w:rsid w:val="009359AF"/>
    <w:rsid w:val="009359CF"/>
    <w:rsid w:val="00935CE5"/>
    <w:rsid w:val="00935E18"/>
    <w:rsid w:val="0093626E"/>
    <w:rsid w:val="00940887"/>
    <w:rsid w:val="00940D34"/>
    <w:rsid w:val="009417BA"/>
    <w:rsid w:val="00942377"/>
    <w:rsid w:val="00950452"/>
    <w:rsid w:val="009505C9"/>
    <w:rsid w:val="00950B43"/>
    <w:rsid w:val="00950C2E"/>
    <w:rsid w:val="00950E34"/>
    <w:rsid w:val="00952BC4"/>
    <w:rsid w:val="00957E17"/>
    <w:rsid w:val="00957E4B"/>
    <w:rsid w:val="00960BC9"/>
    <w:rsid w:val="00961271"/>
    <w:rsid w:val="009622BB"/>
    <w:rsid w:val="009634E5"/>
    <w:rsid w:val="009648D4"/>
    <w:rsid w:val="00965086"/>
    <w:rsid w:val="0096662B"/>
    <w:rsid w:val="00966D63"/>
    <w:rsid w:val="00967DA1"/>
    <w:rsid w:val="00970562"/>
    <w:rsid w:val="00970D86"/>
    <w:rsid w:val="00970FDC"/>
    <w:rsid w:val="0097106B"/>
    <w:rsid w:val="00971B97"/>
    <w:rsid w:val="00971ED8"/>
    <w:rsid w:val="00972780"/>
    <w:rsid w:val="00973EC4"/>
    <w:rsid w:val="0097450E"/>
    <w:rsid w:val="00975478"/>
    <w:rsid w:val="00975C95"/>
    <w:rsid w:val="00976340"/>
    <w:rsid w:val="00976821"/>
    <w:rsid w:val="0097719C"/>
    <w:rsid w:val="009814A8"/>
    <w:rsid w:val="0098318A"/>
    <w:rsid w:val="0098338A"/>
    <w:rsid w:val="00984250"/>
    <w:rsid w:val="009844A5"/>
    <w:rsid w:val="0098511B"/>
    <w:rsid w:val="00985A17"/>
    <w:rsid w:val="009862EE"/>
    <w:rsid w:val="00986881"/>
    <w:rsid w:val="00986F01"/>
    <w:rsid w:val="009900DB"/>
    <w:rsid w:val="00990B2F"/>
    <w:rsid w:val="00991445"/>
    <w:rsid w:val="00991555"/>
    <w:rsid w:val="0099181D"/>
    <w:rsid w:val="00991E54"/>
    <w:rsid w:val="0099292A"/>
    <w:rsid w:val="00992FE4"/>
    <w:rsid w:val="00993407"/>
    <w:rsid w:val="0099591E"/>
    <w:rsid w:val="00996839"/>
    <w:rsid w:val="00996950"/>
    <w:rsid w:val="00997221"/>
    <w:rsid w:val="009A0516"/>
    <w:rsid w:val="009A0D27"/>
    <w:rsid w:val="009A168D"/>
    <w:rsid w:val="009A34CD"/>
    <w:rsid w:val="009A418C"/>
    <w:rsid w:val="009A5A64"/>
    <w:rsid w:val="009A5D43"/>
    <w:rsid w:val="009A69C8"/>
    <w:rsid w:val="009A7404"/>
    <w:rsid w:val="009B0F9A"/>
    <w:rsid w:val="009B24F3"/>
    <w:rsid w:val="009B2B84"/>
    <w:rsid w:val="009B2E01"/>
    <w:rsid w:val="009B2EA3"/>
    <w:rsid w:val="009B46AD"/>
    <w:rsid w:val="009B50CA"/>
    <w:rsid w:val="009B6C7E"/>
    <w:rsid w:val="009B6EFA"/>
    <w:rsid w:val="009B7E57"/>
    <w:rsid w:val="009C0BDD"/>
    <w:rsid w:val="009C1D52"/>
    <w:rsid w:val="009C262F"/>
    <w:rsid w:val="009C2710"/>
    <w:rsid w:val="009C2B63"/>
    <w:rsid w:val="009C2CEC"/>
    <w:rsid w:val="009C396E"/>
    <w:rsid w:val="009C4B4C"/>
    <w:rsid w:val="009C53CB"/>
    <w:rsid w:val="009C56F4"/>
    <w:rsid w:val="009C5916"/>
    <w:rsid w:val="009C6BF0"/>
    <w:rsid w:val="009D1FBD"/>
    <w:rsid w:val="009D38E0"/>
    <w:rsid w:val="009D541C"/>
    <w:rsid w:val="009D5E4B"/>
    <w:rsid w:val="009E04F7"/>
    <w:rsid w:val="009E13FC"/>
    <w:rsid w:val="009E1D3D"/>
    <w:rsid w:val="009E2804"/>
    <w:rsid w:val="009E3C65"/>
    <w:rsid w:val="009E6141"/>
    <w:rsid w:val="009E618B"/>
    <w:rsid w:val="009E7813"/>
    <w:rsid w:val="009F14A0"/>
    <w:rsid w:val="009F1DB8"/>
    <w:rsid w:val="009F24D2"/>
    <w:rsid w:val="009F366A"/>
    <w:rsid w:val="009F626E"/>
    <w:rsid w:val="009F66A5"/>
    <w:rsid w:val="009F6A37"/>
    <w:rsid w:val="009F6D08"/>
    <w:rsid w:val="009F705C"/>
    <w:rsid w:val="009F763A"/>
    <w:rsid w:val="009F7E57"/>
    <w:rsid w:val="00A016C1"/>
    <w:rsid w:val="00A01C11"/>
    <w:rsid w:val="00A0246E"/>
    <w:rsid w:val="00A03DD7"/>
    <w:rsid w:val="00A05E07"/>
    <w:rsid w:val="00A0750D"/>
    <w:rsid w:val="00A11F04"/>
    <w:rsid w:val="00A122CB"/>
    <w:rsid w:val="00A123B2"/>
    <w:rsid w:val="00A12B7E"/>
    <w:rsid w:val="00A13477"/>
    <w:rsid w:val="00A150CF"/>
    <w:rsid w:val="00A1635B"/>
    <w:rsid w:val="00A1692C"/>
    <w:rsid w:val="00A16CE7"/>
    <w:rsid w:val="00A173D2"/>
    <w:rsid w:val="00A20909"/>
    <w:rsid w:val="00A20B82"/>
    <w:rsid w:val="00A22008"/>
    <w:rsid w:val="00A224F0"/>
    <w:rsid w:val="00A22D7A"/>
    <w:rsid w:val="00A23CF2"/>
    <w:rsid w:val="00A24B6D"/>
    <w:rsid w:val="00A24C4E"/>
    <w:rsid w:val="00A254BB"/>
    <w:rsid w:val="00A2578B"/>
    <w:rsid w:val="00A25F49"/>
    <w:rsid w:val="00A26107"/>
    <w:rsid w:val="00A277EA"/>
    <w:rsid w:val="00A27C89"/>
    <w:rsid w:val="00A3053B"/>
    <w:rsid w:val="00A30592"/>
    <w:rsid w:val="00A30AEF"/>
    <w:rsid w:val="00A30FD1"/>
    <w:rsid w:val="00A31038"/>
    <w:rsid w:val="00A33E8E"/>
    <w:rsid w:val="00A346A1"/>
    <w:rsid w:val="00A35536"/>
    <w:rsid w:val="00A35672"/>
    <w:rsid w:val="00A35EDE"/>
    <w:rsid w:val="00A37151"/>
    <w:rsid w:val="00A3721A"/>
    <w:rsid w:val="00A37619"/>
    <w:rsid w:val="00A4073E"/>
    <w:rsid w:val="00A431CF"/>
    <w:rsid w:val="00A44887"/>
    <w:rsid w:val="00A45952"/>
    <w:rsid w:val="00A45EF6"/>
    <w:rsid w:val="00A46181"/>
    <w:rsid w:val="00A509AA"/>
    <w:rsid w:val="00A53376"/>
    <w:rsid w:val="00A53AAA"/>
    <w:rsid w:val="00A53D67"/>
    <w:rsid w:val="00A53E84"/>
    <w:rsid w:val="00A54CA5"/>
    <w:rsid w:val="00A56DEE"/>
    <w:rsid w:val="00A57176"/>
    <w:rsid w:val="00A574B0"/>
    <w:rsid w:val="00A57745"/>
    <w:rsid w:val="00A61E61"/>
    <w:rsid w:val="00A63F61"/>
    <w:rsid w:val="00A64477"/>
    <w:rsid w:val="00A6481A"/>
    <w:rsid w:val="00A65C02"/>
    <w:rsid w:val="00A65CB8"/>
    <w:rsid w:val="00A66C64"/>
    <w:rsid w:val="00A67128"/>
    <w:rsid w:val="00A67953"/>
    <w:rsid w:val="00A67E93"/>
    <w:rsid w:val="00A70BE1"/>
    <w:rsid w:val="00A70EB7"/>
    <w:rsid w:val="00A70FD0"/>
    <w:rsid w:val="00A730F9"/>
    <w:rsid w:val="00A736B3"/>
    <w:rsid w:val="00A739FD"/>
    <w:rsid w:val="00A73F32"/>
    <w:rsid w:val="00A73F5D"/>
    <w:rsid w:val="00A744BD"/>
    <w:rsid w:val="00A74943"/>
    <w:rsid w:val="00A74F0F"/>
    <w:rsid w:val="00A76236"/>
    <w:rsid w:val="00A76269"/>
    <w:rsid w:val="00A763A1"/>
    <w:rsid w:val="00A76643"/>
    <w:rsid w:val="00A802DD"/>
    <w:rsid w:val="00A832B1"/>
    <w:rsid w:val="00A83904"/>
    <w:rsid w:val="00A83CCE"/>
    <w:rsid w:val="00A849FA"/>
    <w:rsid w:val="00A84CCF"/>
    <w:rsid w:val="00A84E2C"/>
    <w:rsid w:val="00A85194"/>
    <w:rsid w:val="00A86344"/>
    <w:rsid w:val="00A9291A"/>
    <w:rsid w:val="00A92A48"/>
    <w:rsid w:val="00A93A43"/>
    <w:rsid w:val="00A93FBF"/>
    <w:rsid w:val="00A951DC"/>
    <w:rsid w:val="00A957F4"/>
    <w:rsid w:val="00A95B91"/>
    <w:rsid w:val="00A95E4A"/>
    <w:rsid w:val="00A9647A"/>
    <w:rsid w:val="00A96833"/>
    <w:rsid w:val="00A970A4"/>
    <w:rsid w:val="00A97748"/>
    <w:rsid w:val="00AA0B84"/>
    <w:rsid w:val="00AA0D4F"/>
    <w:rsid w:val="00AA2EB6"/>
    <w:rsid w:val="00AA40F0"/>
    <w:rsid w:val="00AA5411"/>
    <w:rsid w:val="00AA64D6"/>
    <w:rsid w:val="00AA650C"/>
    <w:rsid w:val="00AA6F13"/>
    <w:rsid w:val="00AA7543"/>
    <w:rsid w:val="00AB012C"/>
    <w:rsid w:val="00AB09CF"/>
    <w:rsid w:val="00AB0F34"/>
    <w:rsid w:val="00AB1388"/>
    <w:rsid w:val="00AB1FB6"/>
    <w:rsid w:val="00AB21F7"/>
    <w:rsid w:val="00AB279C"/>
    <w:rsid w:val="00AB357F"/>
    <w:rsid w:val="00AB478E"/>
    <w:rsid w:val="00AB4C62"/>
    <w:rsid w:val="00AB4CDB"/>
    <w:rsid w:val="00AB5B52"/>
    <w:rsid w:val="00AB687F"/>
    <w:rsid w:val="00AB6EF2"/>
    <w:rsid w:val="00AC06D1"/>
    <w:rsid w:val="00AC0A07"/>
    <w:rsid w:val="00AC0E63"/>
    <w:rsid w:val="00AC1105"/>
    <w:rsid w:val="00AC122C"/>
    <w:rsid w:val="00AC1A64"/>
    <w:rsid w:val="00AC4485"/>
    <w:rsid w:val="00AC6736"/>
    <w:rsid w:val="00AC6B09"/>
    <w:rsid w:val="00AC7E71"/>
    <w:rsid w:val="00AD22C1"/>
    <w:rsid w:val="00AD22DC"/>
    <w:rsid w:val="00AD31AE"/>
    <w:rsid w:val="00AD32D9"/>
    <w:rsid w:val="00AD3EC7"/>
    <w:rsid w:val="00AD3FC5"/>
    <w:rsid w:val="00AD5039"/>
    <w:rsid w:val="00AD68B1"/>
    <w:rsid w:val="00AD74A9"/>
    <w:rsid w:val="00AD7BB9"/>
    <w:rsid w:val="00AE08A7"/>
    <w:rsid w:val="00AE1B68"/>
    <w:rsid w:val="00AE1B95"/>
    <w:rsid w:val="00AE25F8"/>
    <w:rsid w:val="00AE2772"/>
    <w:rsid w:val="00AE2909"/>
    <w:rsid w:val="00AE3058"/>
    <w:rsid w:val="00AE33B5"/>
    <w:rsid w:val="00AE490A"/>
    <w:rsid w:val="00AE4923"/>
    <w:rsid w:val="00AE4EC2"/>
    <w:rsid w:val="00AE536E"/>
    <w:rsid w:val="00AE53FC"/>
    <w:rsid w:val="00AE56F4"/>
    <w:rsid w:val="00AE5C74"/>
    <w:rsid w:val="00AE6407"/>
    <w:rsid w:val="00AE6872"/>
    <w:rsid w:val="00AE6F12"/>
    <w:rsid w:val="00AE70B8"/>
    <w:rsid w:val="00AF064E"/>
    <w:rsid w:val="00AF07F6"/>
    <w:rsid w:val="00AF0EE6"/>
    <w:rsid w:val="00AF1062"/>
    <w:rsid w:val="00AF129C"/>
    <w:rsid w:val="00AF12D2"/>
    <w:rsid w:val="00AF1ECF"/>
    <w:rsid w:val="00AF29B9"/>
    <w:rsid w:val="00AF3585"/>
    <w:rsid w:val="00AF3A16"/>
    <w:rsid w:val="00AF47E6"/>
    <w:rsid w:val="00AF578F"/>
    <w:rsid w:val="00AF5DE1"/>
    <w:rsid w:val="00AF710A"/>
    <w:rsid w:val="00B002D3"/>
    <w:rsid w:val="00B00B16"/>
    <w:rsid w:val="00B00D23"/>
    <w:rsid w:val="00B060DF"/>
    <w:rsid w:val="00B06E93"/>
    <w:rsid w:val="00B076E7"/>
    <w:rsid w:val="00B1039B"/>
    <w:rsid w:val="00B10E59"/>
    <w:rsid w:val="00B11F78"/>
    <w:rsid w:val="00B12243"/>
    <w:rsid w:val="00B1279E"/>
    <w:rsid w:val="00B12B49"/>
    <w:rsid w:val="00B13146"/>
    <w:rsid w:val="00B13A36"/>
    <w:rsid w:val="00B13A7A"/>
    <w:rsid w:val="00B13ADC"/>
    <w:rsid w:val="00B1519B"/>
    <w:rsid w:val="00B1570B"/>
    <w:rsid w:val="00B16DAE"/>
    <w:rsid w:val="00B17055"/>
    <w:rsid w:val="00B17503"/>
    <w:rsid w:val="00B17F70"/>
    <w:rsid w:val="00B20423"/>
    <w:rsid w:val="00B20935"/>
    <w:rsid w:val="00B21257"/>
    <w:rsid w:val="00B21AE8"/>
    <w:rsid w:val="00B221B4"/>
    <w:rsid w:val="00B2266C"/>
    <w:rsid w:val="00B226D8"/>
    <w:rsid w:val="00B22FA8"/>
    <w:rsid w:val="00B2398D"/>
    <w:rsid w:val="00B241BA"/>
    <w:rsid w:val="00B2446B"/>
    <w:rsid w:val="00B246E6"/>
    <w:rsid w:val="00B248C4"/>
    <w:rsid w:val="00B259B1"/>
    <w:rsid w:val="00B2624E"/>
    <w:rsid w:val="00B26963"/>
    <w:rsid w:val="00B2727D"/>
    <w:rsid w:val="00B27FCF"/>
    <w:rsid w:val="00B30995"/>
    <w:rsid w:val="00B31EF7"/>
    <w:rsid w:val="00B34632"/>
    <w:rsid w:val="00B3491B"/>
    <w:rsid w:val="00B35D93"/>
    <w:rsid w:val="00B36181"/>
    <w:rsid w:val="00B361B2"/>
    <w:rsid w:val="00B36FDE"/>
    <w:rsid w:val="00B370D4"/>
    <w:rsid w:val="00B37B27"/>
    <w:rsid w:val="00B37DF2"/>
    <w:rsid w:val="00B409CB"/>
    <w:rsid w:val="00B43DA4"/>
    <w:rsid w:val="00B44918"/>
    <w:rsid w:val="00B46C51"/>
    <w:rsid w:val="00B4797A"/>
    <w:rsid w:val="00B5028E"/>
    <w:rsid w:val="00B5189C"/>
    <w:rsid w:val="00B536D4"/>
    <w:rsid w:val="00B5457F"/>
    <w:rsid w:val="00B54B96"/>
    <w:rsid w:val="00B54E31"/>
    <w:rsid w:val="00B5508E"/>
    <w:rsid w:val="00B559FF"/>
    <w:rsid w:val="00B57119"/>
    <w:rsid w:val="00B57307"/>
    <w:rsid w:val="00B57968"/>
    <w:rsid w:val="00B57999"/>
    <w:rsid w:val="00B57E2F"/>
    <w:rsid w:val="00B600B6"/>
    <w:rsid w:val="00B609C9"/>
    <w:rsid w:val="00B61105"/>
    <w:rsid w:val="00B62238"/>
    <w:rsid w:val="00B62413"/>
    <w:rsid w:val="00B62D7D"/>
    <w:rsid w:val="00B63FF2"/>
    <w:rsid w:val="00B64274"/>
    <w:rsid w:val="00B64D7F"/>
    <w:rsid w:val="00B65066"/>
    <w:rsid w:val="00B655C4"/>
    <w:rsid w:val="00B65871"/>
    <w:rsid w:val="00B65A79"/>
    <w:rsid w:val="00B66163"/>
    <w:rsid w:val="00B70B95"/>
    <w:rsid w:val="00B71282"/>
    <w:rsid w:val="00B723BA"/>
    <w:rsid w:val="00B733FC"/>
    <w:rsid w:val="00B74F93"/>
    <w:rsid w:val="00B754E1"/>
    <w:rsid w:val="00B75BC9"/>
    <w:rsid w:val="00B774E0"/>
    <w:rsid w:val="00B80496"/>
    <w:rsid w:val="00B816F7"/>
    <w:rsid w:val="00B81C2E"/>
    <w:rsid w:val="00B81D74"/>
    <w:rsid w:val="00B828E6"/>
    <w:rsid w:val="00B847A7"/>
    <w:rsid w:val="00B85167"/>
    <w:rsid w:val="00B852B9"/>
    <w:rsid w:val="00B858EF"/>
    <w:rsid w:val="00B874C3"/>
    <w:rsid w:val="00B87656"/>
    <w:rsid w:val="00B902A1"/>
    <w:rsid w:val="00B918DA"/>
    <w:rsid w:val="00B91B8D"/>
    <w:rsid w:val="00B91F68"/>
    <w:rsid w:val="00B933DC"/>
    <w:rsid w:val="00B93880"/>
    <w:rsid w:val="00B9402A"/>
    <w:rsid w:val="00B94751"/>
    <w:rsid w:val="00B94B06"/>
    <w:rsid w:val="00B94DD6"/>
    <w:rsid w:val="00B95706"/>
    <w:rsid w:val="00B95FC7"/>
    <w:rsid w:val="00B96087"/>
    <w:rsid w:val="00B978A2"/>
    <w:rsid w:val="00BA03F4"/>
    <w:rsid w:val="00BA1E8F"/>
    <w:rsid w:val="00BA235D"/>
    <w:rsid w:val="00BA42C9"/>
    <w:rsid w:val="00BA430C"/>
    <w:rsid w:val="00BA4726"/>
    <w:rsid w:val="00BA4B00"/>
    <w:rsid w:val="00BA4B87"/>
    <w:rsid w:val="00BA50C2"/>
    <w:rsid w:val="00BA62D7"/>
    <w:rsid w:val="00BA7D18"/>
    <w:rsid w:val="00BB05FA"/>
    <w:rsid w:val="00BB1017"/>
    <w:rsid w:val="00BB26BA"/>
    <w:rsid w:val="00BB31DF"/>
    <w:rsid w:val="00BB3DC7"/>
    <w:rsid w:val="00BB4871"/>
    <w:rsid w:val="00BB677A"/>
    <w:rsid w:val="00BC021E"/>
    <w:rsid w:val="00BC0856"/>
    <w:rsid w:val="00BC0CD4"/>
    <w:rsid w:val="00BC1E6F"/>
    <w:rsid w:val="00BC2183"/>
    <w:rsid w:val="00BC31EF"/>
    <w:rsid w:val="00BC33F6"/>
    <w:rsid w:val="00BC48E8"/>
    <w:rsid w:val="00BC6298"/>
    <w:rsid w:val="00BC6DF5"/>
    <w:rsid w:val="00BC710C"/>
    <w:rsid w:val="00BD0BDC"/>
    <w:rsid w:val="00BD12B3"/>
    <w:rsid w:val="00BD138A"/>
    <w:rsid w:val="00BD1ABD"/>
    <w:rsid w:val="00BD3066"/>
    <w:rsid w:val="00BD44D8"/>
    <w:rsid w:val="00BD4DD3"/>
    <w:rsid w:val="00BD5ACD"/>
    <w:rsid w:val="00BD6090"/>
    <w:rsid w:val="00BD6496"/>
    <w:rsid w:val="00BD6AB5"/>
    <w:rsid w:val="00BD6C72"/>
    <w:rsid w:val="00BD737A"/>
    <w:rsid w:val="00BE0362"/>
    <w:rsid w:val="00BE048A"/>
    <w:rsid w:val="00BE0C61"/>
    <w:rsid w:val="00BE141C"/>
    <w:rsid w:val="00BE15B2"/>
    <w:rsid w:val="00BE3E92"/>
    <w:rsid w:val="00BE43F2"/>
    <w:rsid w:val="00BF0A17"/>
    <w:rsid w:val="00BF0AFC"/>
    <w:rsid w:val="00BF14FF"/>
    <w:rsid w:val="00BF1567"/>
    <w:rsid w:val="00BF1F01"/>
    <w:rsid w:val="00BF307D"/>
    <w:rsid w:val="00BF3215"/>
    <w:rsid w:val="00BF3556"/>
    <w:rsid w:val="00BF3A49"/>
    <w:rsid w:val="00BF3F90"/>
    <w:rsid w:val="00BF42B4"/>
    <w:rsid w:val="00BF4A86"/>
    <w:rsid w:val="00BF50A2"/>
    <w:rsid w:val="00BF68E1"/>
    <w:rsid w:val="00BF7122"/>
    <w:rsid w:val="00C0063A"/>
    <w:rsid w:val="00C00C4C"/>
    <w:rsid w:val="00C014AA"/>
    <w:rsid w:val="00C014F5"/>
    <w:rsid w:val="00C01642"/>
    <w:rsid w:val="00C01F3D"/>
    <w:rsid w:val="00C02B21"/>
    <w:rsid w:val="00C02E5D"/>
    <w:rsid w:val="00C03EC6"/>
    <w:rsid w:val="00C04C6B"/>
    <w:rsid w:val="00C0536B"/>
    <w:rsid w:val="00C05517"/>
    <w:rsid w:val="00C05D9D"/>
    <w:rsid w:val="00C065D3"/>
    <w:rsid w:val="00C07673"/>
    <w:rsid w:val="00C1098E"/>
    <w:rsid w:val="00C112C9"/>
    <w:rsid w:val="00C121CE"/>
    <w:rsid w:val="00C1259C"/>
    <w:rsid w:val="00C12A9A"/>
    <w:rsid w:val="00C12AEE"/>
    <w:rsid w:val="00C13548"/>
    <w:rsid w:val="00C14291"/>
    <w:rsid w:val="00C15153"/>
    <w:rsid w:val="00C165AB"/>
    <w:rsid w:val="00C17547"/>
    <w:rsid w:val="00C17FD6"/>
    <w:rsid w:val="00C2039A"/>
    <w:rsid w:val="00C21398"/>
    <w:rsid w:val="00C21E12"/>
    <w:rsid w:val="00C2218E"/>
    <w:rsid w:val="00C2366F"/>
    <w:rsid w:val="00C24661"/>
    <w:rsid w:val="00C247F8"/>
    <w:rsid w:val="00C25D92"/>
    <w:rsid w:val="00C26743"/>
    <w:rsid w:val="00C269DB"/>
    <w:rsid w:val="00C26B9D"/>
    <w:rsid w:val="00C2779D"/>
    <w:rsid w:val="00C302D2"/>
    <w:rsid w:val="00C30476"/>
    <w:rsid w:val="00C3497E"/>
    <w:rsid w:val="00C35176"/>
    <w:rsid w:val="00C355C1"/>
    <w:rsid w:val="00C3622F"/>
    <w:rsid w:val="00C378C5"/>
    <w:rsid w:val="00C37BE8"/>
    <w:rsid w:val="00C40B0C"/>
    <w:rsid w:val="00C43A63"/>
    <w:rsid w:val="00C44B24"/>
    <w:rsid w:val="00C4632A"/>
    <w:rsid w:val="00C46639"/>
    <w:rsid w:val="00C466EB"/>
    <w:rsid w:val="00C468D4"/>
    <w:rsid w:val="00C46AFD"/>
    <w:rsid w:val="00C50BE9"/>
    <w:rsid w:val="00C514D3"/>
    <w:rsid w:val="00C52033"/>
    <w:rsid w:val="00C53F83"/>
    <w:rsid w:val="00C548AE"/>
    <w:rsid w:val="00C556F1"/>
    <w:rsid w:val="00C55D92"/>
    <w:rsid w:val="00C575D4"/>
    <w:rsid w:val="00C57BD0"/>
    <w:rsid w:val="00C60771"/>
    <w:rsid w:val="00C670FD"/>
    <w:rsid w:val="00C70772"/>
    <w:rsid w:val="00C707BF"/>
    <w:rsid w:val="00C70B47"/>
    <w:rsid w:val="00C70BE0"/>
    <w:rsid w:val="00C7157E"/>
    <w:rsid w:val="00C71EA8"/>
    <w:rsid w:val="00C72A72"/>
    <w:rsid w:val="00C72C88"/>
    <w:rsid w:val="00C72D54"/>
    <w:rsid w:val="00C737D9"/>
    <w:rsid w:val="00C74F9C"/>
    <w:rsid w:val="00C75215"/>
    <w:rsid w:val="00C75523"/>
    <w:rsid w:val="00C75765"/>
    <w:rsid w:val="00C7691B"/>
    <w:rsid w:val="00C77096"/>
    <w:rsid w:val="00C775F5"/>
    <w:rsid w:val="00C80ECB"/>
    <w:rsid w:val="00C81B0A"/>
    <w:rsid w:val="00C8283D"/>
    <w:rsid w:val="00C82DF0"/>
    <w:rsid w:val="00C84F37"/>
    <w:rsid w:val="00C8515F"/>
    <w:rsid w:val="00C8680A"/>
    <w:rsid w:val="00C86B64"/>
    <w:rsid w:val="00C87E6E"/>
    <w:rsid w:val="00C91925"/>
    <w:rsid w:val="00C9234E"/>
    <w:rsid w:val="00C92919"/>
    <w:rsid w:val="00C92EEE"/>
    <w:rsid w:val="00C9385B"/>
    <w:rsid w:val="00C9420F"/>
    <w:rsid w:val="00C94765"/>
    <w:rsid w:val="00C94AA3"/>
    <w:rsid w:val="00C95B3A"/>
    <w:rsid w:val="00C95FFE"/>
    <w:rsid w:val="00C961FC"/>
    <w:rsid w:val="00C9636E"/>
    <w:rsid w:val="00C970FA"/>
    <w:rsid w:val="00CA0665"/>
    <w:rsid w:val="00CA069E"/>
    <w:rsid w:val="00CA24A1"/>
    <w:rsid w:val="00CA3B2C"/>
    <w:rsid w:val="00CA3BE4"/>
    <w:rsid w:val="00CA3E5C"/>
    <w:rsid w:val="00CA5031"/>
    <w:rsid w:val="00CA57BD"/>
    <w:rsid w:val="00CA6DC5"/>
    <w:rsid w:val="00CA722B"/>
    <w:rsid w:val="00CA798B"/>
    <w:rsid w:val="00CA79D1"/>
    <w:rsid w:val="00CB013C"/>
    <w:rsid w:val="00CB08FF"/>
    <w:rsid w:val="00CB09E3"/>
    <w:rsid w:val="00CB158E"/>
    <w:rsid w:val="00CB1C47"/>
    <w:rsid w:val="00CB260A"/>
    <w:rsid w:val="00CB2696"/>
    <w:rsid w:val="00CB4A42"/>
    <w:rsid w:val="00CB50D7"/>
    <w:rsid w:val="00CB5A82"/>
    <w:rsid w:val="00CB6439"/>
    <w:rsid w:val="00CC089F"/>
    <w:rsid w:val="00CC1021"/>
    <w:rsid w:val="00CC1421"/>
    <w:rsid w:val="00CC4FC7"/>
    <w:rsid w:val="00CC52E3"/>
    <w:rsid w:val="00CC5330"/>
    <w:rsid w:val="00CC6187"/>
    <w:rsid w:val="00CC675C"/>
    <w:rsid w:val="00CC6F54"/>
    <w:rsid w:val="00CD0285"/>
    <w:rsid w:val="00CD08F6"/>
    <w:rsid w:val="00CD16F4"/>
    <w:rsid w:val="00CD2E5F"/>
    <w:rsid w:val="00CD4FE9"/>
    <w:rsid w:val="00CD6A7D"/>
    <w:rsid w:val="00CD6F3C"/>
    <w:rsid w:val="00CD7448"/>
    <w:rsid w:val="00CD7876"/>
    <w:rsid w:val="00CD795D"/>
    <w:rsid w:val="00CE0E5C"/>
    <w:rsid w:val="00CE17F7"/>
    <w:rsid w:val="00CE1A8B"/>
    <w:rsid w:val="00CE23EB"/>
    <w:rsid w:val="00CE240E"/>
    <w:rsid w:val="00CE39B0"/>
    <w:rsid w:val="00CE51D2"/>
    <w:rsid w:val="00CE5CC9"/>
    <w:rsid w:val="00CE65BF"/>
    <w:rsid w:val="00CE6A06"/>
    <w:rsid w:val="00CF0114"/>
    <w:rsid w:val="00CF055C"/>
    <w:rsid w:val="00CF06F7"/>
    <w:rsid w:val="00CF2865"/>
    <w:rsid w:val="00CF2E74"/>
    <w:rsid w:val="00CF3E23"/>
    <w:rsid w:val="00CF41AB"/>
    <w:rsid w:val="00CF4857"/>
    <w:rsid w:val="00CF48DB"/>
    <w:rsid w:val="00CF535A"/>
    <w:rsid w:val="00CF751B"/>
    <w:rsid w:val="00CF76BF"/>
    <w:rsid w:val="00CF7E2C"/>
    <w:rsid w:val="00D00300"/>
    <w:rsid w:val="00D007A5"/>
    <w:rsid w:val="00D01132"/>
    <w:rsid w:val="00D019DA"/>
    <w:rsid w:val="00D0272B"/>
    <w:rsid w:val="00D02795"/>
    <w:rsid w:val="00D02814"/>
    <w:rsid w:val="00D02C16"/>
    <w:rsid w:val="00D03623"/>
    <w:rsid w:val="00D04E14"/>
    <w:rsid w:val="00D05706"/>
    <w:rsid w:val="00D05AB0"/>
    <w:rsid w:val="00D06106"/>
    <w:rsid w:val="00D108B5"/>
    <w:rsid w:val="00D10907"/>
    <w:rsid w:val="00D11775"/>
    <w:rsid w:val="00D11D0C"/>
    <w:rsid w:val="00D127C2"/>
    <w:rsid w:val="00D1284E"/>
    <w:rsid w:val="00D136C3"/>
    <w:rsid w:val="00D14269"/>
    <w:rsid w:val="00D15061"/>
    <w:rsid w:val="00D15841"/>
    <w:rsid w:val="00D1676E"/>
    <w:rsid w:val="00D178E0"/>
    <w:rsid w:val="00D17A9C"/>
    <w:rsid w:val="00D20068"/>
    <w:rsid w:val="00D20A0A"/>
    <w:rsid w:val="00D22384"/>
    <w:rsid w:val="00D22B51"/>
    <w:rsid w:val="00D22DBE"/>
    <w:rsid w:val="00D231C6"/>
    <w:rsid w:val="00D24052"/>
    <w:rsid w:val="00D25769"/>
    <w:rsid w:val="00D274EE"/>
    <w:rsid w:val="00D27BC3"/>
    <w:rsid w:val="00D3057C"/>
    <w:rsid w:val="00D32410"/>
    <w:rsid w:val="00D32C59"/>
    <w:rsid w:val="00D347A8"/>
    <w:rsid w:val="00D34910"/>
    <w:rsid w:val="00D35242"/>
    <w:rsid w:val="00D3560F"/>
    <w:rsid w:val="00D358B7"/>
    <w:rsid w:val="00D35B3D"/>
    <w:rsid w:val="00D36381"/>
    <w:rsid w:val="00D375C7"/>
    <w:rsid w:val="00D41F50"/>
    <w:rsid w:val="00D429F5"/>
    <w:rsid w:val="00D42FEE"/>
    <w:rsid w:val="00D43820"/>
    <w:rsid w:val="00D43FAE"/>
    <w:rsid w:val="00D46A1C"/>
    <w:rsid w:val="00D50332"/>
    <w:rsid w:val="00D51034"/>
    <w:rsid w:val="00D51FB2"/>
    <w:rsid w:val="00D52837"/>
    <w:rsid w:val="00D5310B"/>
    <w:rsid w:val="00D535B4"/>
    <w:rsid w:val="00D53F70"/>
    <w:rsid w:val="00D54105"/>
    <w:rsid w:val="00D5578C"/>
    <w:rsid w:val="00D55E50"/>
    <w:rsid w:val="00D57165"/>
    <w:rsid w:val="00D57FF1"/>
    <w:rsid w:val="00D62443"/>
    <w:rsid w:val="00D626AB"/>
    <w:rsid w:val="00D62CFB"/>
    <w:rsid w:val="00D646FD"/>
    <w:rsid w:val="00D660C9"/>
    <w:rsid w:val="00D6728F"/>
    <w:rsid w:val="00D6764A"/>
    <w:rsid w:val="00D6797F"/>
    <w:rsid w:val="00D72FBD"/>
    <w:rsid w:val="00D74258"/>
    <w:rsid w:val="00D757B2"/>
    <w:rsid w:val="00D75AC1"/>
    <w:rsid w:val="00D75FB9"/>
    <w:rsid w:val="00D768E5"/>
    <w:rsid w:val="00D76CE2"/>
    <w:rsid w:val="00D776E6"/>
    <w:rsid w:val="00D80B32"/>
    <w:rsid w:val="00D81315"/>
    <w:rsid w:val="00D81322"/>
    <w:rsid w:val="00D82DDA"/>
    <w:rsid w:val="00D839A6"/>
    <w:rsid w:val="00D844CF"/>
    <w:rsid w:val="00D866B4"/>
    <w:rsid w:val="00D869D0"/>
    <w:rsid w:val="00D86EFA"/>
    <w:rsid w:val="00D87D1A"/>
    <w:rsid w:val="00D9063B"/>
    <w:rsid w:val="00D917BF"/>
    <w:rsid w:val="00D94556"/>
    <w:rsid w:val="00D955F6"/>
    <w:rsid w:val="00D95F5B"/>
    <w:rsid w:val="00D9615F"/>
    <w:rsid w:val="00D96FF1"/>
    <w:rsid w:val="00D97103"/>
    <w:rsid w:val="00D97EB9"/>
    <w:rsid w:val="00DA0492"/>
    <w:rsid w:val="00DA0F5A"/>
    <w:rsid w:val="00DA1F41"/>
    <w:rsid w:val="00DA2FD2"/>
    <w:rsid w:val="00DA3278"/>
    <w:rsid w:val="00DA40B7"/>
    <w:rsid w:val="00DA7AD0"/>
    <w:rsid w:val="00DB34CF"/>
    <w:rsid w:val="00DB3E32"/>
    <w:rsid w:val="00DB4390"/>
    <w:rsid w:val="00DB553A"/>
    <w:rsid w:val="00DB589B"/>
    <w:rsid w:val="00DB678E"/>
    <w:rsid w:val="00DB6D30"/>
    <w:rsid w:val="00DB7515"/>
    <w:rsid w:val="00DC001E"/>
    <w:rsid w:val="00DC0AA1"/>
    <w:rsid w:val="00DC0B3B"/>
    <w:rsid w:val="00DC0C9C"/>
    <w:rsid w:val="00DC1D1F"/>
    <w:rsid w:val="00DC2CED"/>
    <w:rsid w:val="00DC4340"/>
    <w:rsid w:val="00DC4812"/>
    <w:rsid w:val="00DC6B08"/>
    <w:rsid w:val="00DC78D0"/>
    <w:rsid w:val="00DC7AB5"/>
    <w:rsid w:val="00DD0764"/>
    <w:rsid w:val="00DD1BC8"/>
    <w:rsid w:val="00DD271B"/>
    <w:rsid w:val="00DD34D1"/>
    <w:rsid w:val="00DD3CB7"/>
    <w:rsid w:val="00DD4317"/>
    <w:rsid w:val="00DD48AB"/>
    <w:rsid w:val="00DD5874"/>
    <w:rsid w:val="00DD5BD5"/>
    <w:rsid w:val="00DD6813"/>
    <w:rsid w:val="00DE064F"/>
    <w:rsid w:val="00DE1B1C"/>
    <w:rsid w:val="00DE1BAB"/>
    <w:rsid w:val="00DE1D45"/>
    <w:rsid w:val="00DE4BDE"/>
    <w:rsid w:val="00DE4F6E"/>
    <w:rsid w:val="00DE4FD3"/>
    <w:rsid w:val="00DE52BC"/>
    <w:rsid w:val="00DE6E62"/>
    <w:rsid w:val="00DE6E70"/>
    <w:rsid w:val="00DE6E81"/>
    <w:rsid w:val="00DE71AD"/>
    <w:rsid w:val="00DF23F3"/>
    <w:rsid w:val="00DF3D4F"/>
    <w:rsid w:val="00DF44B3"/>
    <w:rsid w:val="00DF4ABF"/>
    <w:rsid w:val="00DF5850"/>
    <w:rsid w:val="00DF695F"/>
    <w:rsid w:val="00DF7515"/>
    <w:rsid w:val="00E00085"/>
    <w:rsid w:val="00E00713"/>
    <w:rsid w:val="00E048F3"/>
    <w:rsid w:val="00E05B6E"/>
    <w:rsid w:val="00E075EF"/>
    <w:rsid w:val="00E07DF8"/>
    <w:rsid w:val="00E102A0"/>
    <w:rsid w:val="00E12C22"/>
    <w:rsid w:val="00E132EC"/>
    <w:rsid w:val="00E13CD0"/>
    <w:rsid w:val="00E13F7E"/>
    <w:rsid w:val="00E14319"/>
    <w:rsid w:val="00E145B0"/>
    <w:rsid w:val="00E1511F"/>
    <w:rsid w:val="00E1528F"/>
    <w:rsid w:val="00E15800"/>
    <w:rsid w:val="00E1659A"/>
    <w:rsid w:val="00E166E5"/>
    <w:rsid w:val="00E175FB"/>
    <w:rsid w:val="00E17FB3"/>
    <w:rsid w:val="00E208D9"/>
    <w:rsid w:val="00E21057"/>
    <w:rsid w:val="00E21518"/>
    <w:rsid w:val="00E216E4"/>
    <w:rsid w:val="00E21768"/>
    <w:rsid w:val="00E217E1"/>
    <w:rsid w:val="00E2196A"/>
    <w:rsid w:val="00E21DBD"/>
    <w:rsid w:val="00E22335"/>
    <w:rsid w:val="00E226B9"/>
    <w:rsid w:val="00E23ED3"/>
    <w:rsid w:val="00E25B8C"/>
    <w:rsid w:val="00E26507"/>
    <w:rsid w:val="00E26A5A"/>
    <w:rsid w:val="00E30449"/>
    <w:rsid w:val="00E30552"/>
    <w:rsid w:val="00E33B92"/>
    <w:rsid w:val="00E33F90"/>
    <w:rsid w:val="00E36453"/>
    <w:rsid w:val="00E36A9D"/>
    <w:rsid w:val="00E36F86"/>
    <w:rsid w:val="00E377F7"/>
    <w:rsid w:val="00E37822"/>
    <w:rsid w:val="00E379BB"/>
    <w:rsid w:val="00E37B73"/>
    <w:rsid w:val="00E37D54"/>
    <w:rsid w:val="00E37E60"/>
    <w:rsid w:val="00E401EB"/>
    <w:rsid w:val="00E40637"/>
    <w:rsid w:val="00E41603"/>
    <w:rsid w:val="00E41AE6"/>
    <w:rsid w:val="00E42299"/>
    <w:rsid w:val="00E426BC"/>
    <w:rsid w:val="00E427B5"/>
    <w:rsid w:val="00E43686"/>
    <w:rsid w:val="00E4382D"/>
    <w:rsid w:val="00E438A9"/>
    <w:rsid w:val="00E43C46"/>
    <w:rsid w:val="00E43F56"/>
    <w:rsid w:val="00E448A3"/>
    <w:rsid w:val="00E449A7"/>
    <w:rsid w:val="00E44E05"/>
    <w:rsid w:val="00E458E6"/>
    <w:rsid w:val="00E471BA"/>
    <w:rsid w:val="00E47D74"/>
    <w:rsid w:val="00E512B1"/>
    <w:rsid w:val="00E5170D"/>
    <w:rsid w:val="00E51843"/>
    <w:rsid w:val="00E51D51"/>
    <w:rsid w:val="00E53217"/>
    <w:rsid w:val="00E53A3B"/>
    <w:rsid w:val="00E53FE0"/>
    <w:rsid w:val="00E53FE5"/>
    <w:rsid w:val="00E547DE"/>
    <w:rsid w:val="00E56482"/>
    <w:rsid w:val="00E56A31"/>
    <w:rsid w:val="00E57B4D"/>
    <w:rsid w:val="00E61480"/>
    <w:rsid w:val="00E6148C"/>
    <w:rsid w:val="00E615AB"/>
    <w:rsid w:val="00E61F79"/>
    <w:rsid w:val="00E63669"/>
    <w:rsid w:val="00E64C87"/>
    <w:rsid w:val="00E64DDC"/>
    <w:rsid w:val="00E67247"/>
    <w:rsid w:val="00E67D55"/>
    <w:rsid w:val="00E70E0F"/>
    <w:rsid w:val="00E717CD"/>
    <w:rsid w:val="00E71E09"/>
    <w:rsid w:val="00E72DBF"/>
    <w:rsid w:val="00E73991"/>
    <w:rsid w:val="00E73E9A"/>
    <w:rsid w:val="00E75430"/>
    <w:rsid w:val="00E75F45"/>
    <w:rsid w:val="00E77221"/>
    <w:rsid w:val="00E7734E"/>
    <w:rsid w:val="00E77641"/>
    <w:rsid w:val="00E804E2"/>
    <w:rsid w:val="00E8090D"/>
    <w:rsid w:val="00E81627"/>
    <w:rsid w:val="00E8251D"/>
    <w:rsid w:val="00E82DE6"/>
    <w:rsid w:val="00E85196"/>
    <w:rsid w:val="00E85D39"/>
    <w:rsid w:val="00E86309"/>
    <w:rsid w:val="00E865B8"/>
    <w:rsid w:val="00E86A4A"/>
    <w:rsid w:val="00E874BE"/>
    <w:rsid w:val="00E87612"/>
    <w:rsid w:val="00E9013C"/>
    <w:rsid w:val="00E914B5"/>
    <w:rsid w:val="00E9191D"/>
    <w:rsid w:val="00E9194B"/>
    <w:rsid w:val="00E927C2"/>
    <w:rsid w:val="00E92E42"/>
    <w:rsid w:val="00E93231"/>
    <w:rsid w:val="00E93863"/>
    <w:rsid w:val="00E95125"/>
    <w:rsid w:val="00E95B25"/>
    <w:rsid w:val="00E96895"/>
    <w:rsid w:val="00E96BD6"/>
    <w:rsid w:val="00E96DFD"/>
    <w:rsid w:val="00E972FD"/>
    <w:rsid w:val="00EA00AA"/>
    <w:rsid w:val="00EA12A0"/>
    <w:rsid w:val="00EA23F2"/>
    <w:rsid w:val="00EA2F8A"/>
    <w:rsid w:val="00EA34F6"/>
    <w:rsid w:val="00EA3D1D"/>
    <w:rsid w:val="00EA3FD8"/>
    <w:rsid w:val="00EA59E7"/>
    <w:rsid w:val="00EA5F59"/>
    <w:rsid w:val="00EA63A4"/>
    <w:rsid w:val="00EA72DA"/>
    <w:rsid w:val="00EA7349"/>
    <w:rsid w:val="00EB11EB"/>
    <w:rsid w:val="00EB1B58"/>
    <w:rsid w:val="00EB2B9E"/>
    <w:rsid w:val="00EB2DEA"/>
    <w:rsid w:val="00EB3137"/>
    <w:rsid w:val="00EB325B"/>
    <w:rsid w:val="00EB3749"/>
    <w:rsid w:val="00EB45C3"/>
    <w:rsid w:val="00EB5DB8"/>
    <w:rsid w:val="00EB6A26"/>
    <w:rsid w:val="00EB6EFA"/>
    <w:rsid w:val="00EB77B1"/>
    <w:rsid w:val="00EB7EDB"/>
    <w:rsid w:val="00EC19B2"/>
    <w:rsid w:val="00EC2E13"/>
    <w:rsid w:val="00EC3527"/>
    <w:rsid w:val="00EC3964"/>
    <w:rsid w:val="00EC39D4"/>
    <w:rsid w:val="00EC403B"/>
    <w:rsid w:val="00EC44DC"/>
    <w:rsid w:val="00EC4A39"/>
    <w:rsid w:val="00EC4D14"/>
    <w:rsid w:val="00EC5B35"/>
    <w:rsid w:val="00EC6CC6"/>
    <w:rsid w:val="00EC7147"/>
    <w:rsid w:val="00EC7888"/>
    <w:rsid w:val="00EC78EA"/>
    <w:rsid w:val="00EC7A7E"/>
    <w:rsid w:val="00ED0377"/>
    <w:rsid w:val="00ED1858"/>
    <w:rsid w:val="00ED3374"/>
    <w:rsid w:val="00ED34C0"/>
    <w:rsid w:val="00ED5B81"/>
    <w:rsid w:val="00ED5D46"/>
    <w:rsid w:val="00EE1D26"/>
    <w:rsid w:val="00EE1FC2"/>
    <w:rsid w:val="00EE20B8"/>
    <w:rsid w:val="00EE2464"/>
    <w:rsid w:val="00EE3400"/>
    <w:rsid w:val="00EE3641"/>
    <w:rsid w:val="00EE38C1"/>
    <w:rsid w:val="00EE5DB5"/>
    <w:rsid w:val="00EE5DC6"/>
    <w:rsid w:val="00EE6A65"/>
    <w:rsid w:val="00EF0300"/>
    <w:rsid w:val="00EF1B0F"/>
    <w:rsid w:val="00EF1CD4"/>
    <w:rsid w:val="00EF335B"/>
    <w:rsid w:val="00EF3495"/>
    <w:rsid w:val="00EF3C55"/>
    <w:rsid w:val="00EF450A"/>
    <w:rsid w:val="00EF4D22"/>
    <w:rsid w:val="00EF5049"/>
    <w:rsid w:val="00EF58D9"/>
    <w:rsid w:val="00EF5BA2"/>
    <w:rsid w:val="00EF6592"/>
    <w:rsid w:val="00EF756D"/>
    <w:rsid w:val="00EF7584"/>
    <w:rsid w:val="00F0107C"/>
    <w:rsid w:val="00F013AC"/>
    <w:rsid w:val="00F018FC"/>
    <w:rsid w:val="00F01C51"/>
    <w:rsid w:val="00F01E94"/>
    <w:rsid w:val="00F0425D"/>
    <w:rsid w:val="00F04573"/>
    <w:rsid w:val="00F0480B"/>
    <w:rsid w:val="00F0509F"/>
    <w:rsid w:val="00F05F45"/>
    <w:rsid w:val="00F0635E"/>
    <w:rsid w:val="00F06AC9"/>
    <w:rsid w:val="00F1187B"/>
    <w:rsid w:val="00F12A6E"/>
    <w:rsid w:val="00F12F2B"/>
    <w:rsid w:val="00F13759"/>
    <w:rsid w:val="00F14066"/>
    <w:rsid w:val="00F1433C"/>
    <w:rsid w:val="00F144BB"/>
    <w:rsid w:val="00F17377"/>
    <w:rsid w:val="00F1752A"/>
    <w:rsid w:val="00F20DA6"/>
    <w:rsid w:val="00F20EBB"/>
    <w:rsid w:val="00F22D63"/>
    <w:rsid w:val="00F25294"/>
    <w:rsid w:val="00F257CB"/>
    <w:rsid w:val="00F25E02"/>
    <w:rsid w:val="00F26335"/>
    <w:rsid w:val="00F272F1"/>
    <w:rsid w:val="00F275B5"/>
    <w:rsid w:val="00F301E7"/>
    <w:rsid w:val="00F3081B"/>
    <w:rsid w:val="00F31AB0"/>
    <w:rsid w:val="00F31FA4"/>
    <w:rsid w:val="00F32A84"/>
    <w:rsid w:val="00F33779"/>
    <w:rsid w:val="00F34067"/>
    <w:rsid w:val="00F3517A"/>
    <w:rsid w:val="00F35680"/>
    <w:rsid w:val="00F36469"/>
    <w:rsid w:val="00F36F75"/>
    <w:rsid w:val="00F37493"/>
    <w:rsid w:val="00F37B1F"/>
    <w:rsid w:val="00F405CA"/>
    <w:rsid w:val="00F40CC8"/>
    <w:rsid w:val="00F410D6"/>
    <w:rsid w:val="00F4145F"/>
    <w:rsid w:val="00F41A90"/>
    <w:rsid w:val="00F41E85"/>
    <w:rsid w:val="00F42B7B"/>
    <w:rsid w:val="00F43707"/>
    <w:rsid w:val="00F44E11"/>
    <w:rsid w:val="00F45AB7"/>
    <w:rsid w:val="00F46AAC"/>
    <w:rsid w:val="00F474A6"/>
    <w:rsid w:val="00F474C7"/>
    <w:rsid w:val="00F47595"/>
    <w:rsid w:val="00F477A7"/>
    <w:rsid w:val="00F506BE"/>
    <w:rsid w:val="00F50C35"/>
    <w:rsid w:val="00F526BA"/>
    <w:rsid w:val="00F526EF"/>
    <w:rsid w:val="00F52AA9"/>
    <w:rsid w:val="00F53A5F"/>
    <w:rsid w:val="00F53FB3"/>
    <w:rsid w:val="00F55DE3"/>
    <w:rsid w:val="00F55EBC"/>
    <w:rsid w:val="00F56AFB"/>
    <w:rsid w:val="00F5710F"/>
    <w:rsid w:val="00F61078"/>
    <w:rsid w:val="00F62F00"/>
    <w:rsid w:val="00F63582"/>
    <w:rsid w:val="00F635CF"/>
    <w:rsid w:val="00F63CAF"/>
    <w:rsid w:val="00F63FE2"/>
    <w:rsid w:val="00F64134"/>
    <w:rsid w:val="00F67D70"/>
    <w:rsid w:val="00F70B23"/>
    <w:rsid w:val="00F71027"/>
    <w:rsid w:val="00F71A49"/>
    <w:rsid w:val="00F7227A"/>
    <w:rsid w:val="00F72C46"/>
    <w:rsid w:val="00F72CAB"/>
    <w:rsid w:val="00F74F3C"/>
    <w:rsid w:val="00F75C1C"/>
    <w:rsid w:val="00F75C53"/>
    <w:rsid w:val="00F7721B"/>
    <w:rsid w:val="00F774DA"/>
    <w:rsid w:val="00F802EE"/>
    <w:rsid w:val="00F810CF"/>
    <w:rsid w:val="00F8361D"/>
    <w:rsid w:val="00F84F20"/>
    <w:rsid w:val="00F84FB1"/>
    <w:rsid w:val="00F86680"/>
    <w:rsid w:val="00F9083C"/>
    <w:rsid w:val="00F90D04"/>
    <w:rsid w:val="00F921A7"/>
    <w:rsid w:val="00F924D4"/>
    <w:rsid w:val="00F96F59"/>
    <w:rsid w:val="00F97A89"/>
    <w:rsid w:val="00FA0770"/>
    <w:rsid w:val="00FA1A28"/>
    <w:rsid w:val="00FA2CD5"/>
    <w:rsid w:val="00FA351F"/>
    <w:rsid w:val="00FA3A28"/>
    <w:rsid w:val="00FA3BFE"/>
    <w:rsid w:val="00FA4482"/>
    <w:rsid w:val="00FA5DFE"/>
    <w:rsid w:val="00FA66A0"/>
    <w:rsid w:val="00FA68B5"/>
    <w:rsid w:val="00FA6D82"/>
    <w:rsid w:val="00FA77BB"/>
    <w:rsid w:val="00FB02B8"/>
    <w:rsid w:val="00FB09F3"/>
    <w:rsid w:val="00FB0C67"/>
    <w:rsid w:val="00FB19A2"/>
    <w:rsid w:val="00FB1E9F"/>
    <w:rsid w:val="00FB2BB4"/>
    <w:rsid w:val="00FB2E6A"/>
    <w:rsid w:val="00FB46FE"/>
    <w:rsid w:val="00FB56C8"/>
    <w:rsid w:val="00FB653E"/>
    <w:rsid w:val="00FB7B5D"/>
    <w:rsid w:val="00FC0129"/>
    <w:rsid w:val="00FC0809"/>
    <w:rsid w:val="00FC2143"/>
    <w:rsid w:val="00FC2CD6"/>
    <w:rsid w:val="00FC3BD7"/>
    <w:rsid w:val="00FC6366"/>
    <w:rsid w:val="00FC65FE"/>
    <w:rsid w:val="00FC7687"/>
    <w:rsid w:val="00FC782E"/>
    <w:rsid w:val="00FC78B2"/>
    <w:rsid w:val="00FC7972"/>
    <w:rsid w:val="00FC7D52"/>
    <w:rsid w:val="00FC7F7E"/>
    <w:rsid w:val="00FD2B4A"/>
    <w:rsid w:val="00FD32CC"/>
    <w:rsid w:val="00FD3B2B"/>
    <w:rsid w:val="00FD4B16"/>
    <w:rsid w:val="00FD4EA2"/>
    <w:rsid w:val="00FD5A2E"/>
    <w:rsid w:val="00FD609B"/>
    <w:rsid w:val="00FE10BB"/>
    <w:rsid w:val="00FE1510"/>
    <w:rsid w:val="00FE2345"/>
    <w:rsid w:val="00FE386C"/>
    <w:rsid w:val="00FE4006"/>
    <w:rsid w:val="00FE5A7A"/>
    <w:rsid w:val="00FE5C66"/>
    <w:rsid w:val="00FE67B0"/>
    <w:rsid w:val="00FE6DEB"/>
    <w:rsid w:val="00FF0091"/>
    <w:rsid w:val="00FF0903"/>
    <w:rsid w:val="00FF0A78"/>
    <w:rsid w:val="00FF20F5"/>
    <w:rsid w:val="00FF3C6E"/>
    <w:rsid w:val="00FF3FA9"/>
    <w:rsid w:val="00FF5C63"/>
    <w:rsid w:val="00FF5D19"/>
    <w:rsid w:val="00FF5DDA"/>
    <w:rsid w:val="00FF5E39"/>
    <w:rsid w:val="00FF5FA6"/>
    <w:rsid w:val="00FF5FED"/>
  </w:rsids>
  <w:docVars>
    <w:docVar w:name="KGWebUrl" w:val="http://idp.efunds.com.cn/api/v1/backend/docSyncController/downloadAnnFile.json?force=true&amp;fileName=20220510003882%E6%98%93%E6%96%B9%E8%BE%BE%E7%91%9E%E5%BC%98%E7%81%B5%E6%B4%BB%E9%85%8D%E7%BD%AE%E6%B7%B7%E5%90%88%E5%9E%8B%E8%AF%81%E5%88%B8%E6%8A%95%E8%B5%84%E5%9F%BA%E9%87%91%E6%9B%B4%E6%96%B0%E7%9A%84%E6%8B%9B%E5%8B%9F%E8%AF%B4%E6%98%8E%E4%B9%A6.docx&amp;fileId=ANN_DOC_17891&amp;t=165207758725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2534F679-73C6-445C-8E7E-067ABE16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05"/>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paragraph" w:styleId="ListParagraph">
    <w:name w:val="List Paragraph"/>
    <w:basedOn w:val="Normal"/>
    <w:uiPriority w:val="34"/>
    <w:qFormat/>
    <w:rsid w:val="00BA03F4"/>
    <w:pPr>
      <w:ind w:firstLine="420" w:firstLineChars="200"/>
    </w:pPr>
    <w:rPr>
      <w:szCs w:val="21"/>
    </w:rPr>
  </w:style>
  <w:style w:type="table" w:styleId="TableGrid">
    <w:name w:val="Table Grid"/>
    <w:basedOn w:val="TableNormal"/>
    <w:uiPriority w:val="99"/>
    <w:rsid w:val="00BA03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321BD0"/>
    <w:rPr>
      <w:color w:val="800080" w:themeColor="followedHyperlink"/>
      <w:u w:val="single"/>
    </w:rPr>
  </w:style>
  <w:style w:type="paragraph" w:styleId="HTMLPreformatted">
    <w:name w:val="HTML Preformatted"/>
    <w:basedOn w:val="Normal"/>
    <w:link w:val="HTMLChar"/>
    <w:uiPriority w:val="99"/>
    <w:unhideWhenUsed/>
    <w:rsid w:val="00026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DefaultParagraphFont"/>
    <w:link w:val="HTMLPreformatted"/>
    <w:uiPriority w:val="99"/>
    <w:rsid w:val="00026FA8"/>
    <w:rPr>
      <w:rFonts w:ascii="宋体" w:hAnsi="宋体"/>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440A-7663-4F29-9A61-BBACD05D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133</Pages>
  <Words>15986</Words>
  <Characters>91121</Characters>
  <Application>Microsoft Office Word</Application>
  <DocSecurity>0</DocSecurity>
  <Lines>759</Lines>
  <Paragraphs>213</Paragraphs>
  <ScaleCrop>false</ScaleCrop>
  <Company>E FUND</Company>
  <LinksUpToDate>false</LinksUpToDate>
  <CharactersWithSpaces>106894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陈红</cp:lastModifiedBy>
  <cp:revision>4</cp:revision>
  <cp:lastPrinted>2014-12-31T08:59:00Z</cp:lastPrinted>
  <dcterms:created xsi:type="dcterms:W3CDTF">2022-05-09T06:27:00Z</dcterms:created>
  <dcterms:modified xsi:type="dcterms:W3CDTF">2022-05-09T09:29:00Z</dcterms:modified>
</cp:coreProperties>
</file>