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E87402" w:rsidP="00E87402">
      <w:pPr>
        <w:spacing w:line="560" w:lineRule="exact"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BA486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易方达核心智造混合型证券投资基金</w:t>
      </w:r>
      <w:r w:rsidR="007717B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</w:t>
      </w:r>
      <w:r w:rsidRPr="00F43351" w:rsidR="00F4335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635B26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及</w:t>
      </w:r>
      <w:r w:rsidRPr="00F43351" w:rsidR="00F4335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大额转换转入业务的公告</w:t>
      </w:r>
    </w:p>
    <w:p w:rsidR="00E87402" w:rsidRPr="00A478AD" w:rsidP="00E87402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A478AD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Pr="00A478AD" w:rsidR="00BA486F">
        <w:rPr>
          <w:rFonts w:asciiTheme="minorEastAsia" w:eastAsiaTheme="minorEastAsia" w:hAnsiTheme="minorEastAsia"/>
          <w:b/>
          <w:color w:val="000000"/>
          <w:sz w:val="24"/>
          <w:szCs w:val="24"/>
        </w:rPr>
        <w:t>2022</w:t>
      </w:r>
      <w:r w:rsidRPr="00A478AD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Pr="00A478AD" w:rsidR="00DD6BD6">
        <w:rPr>
          <w:rFonts w:asciiTheme="minorEastAsia" w:eastAsiaTheme="minorEastAsia" w:hAnsiTheme="minorEastAsia"/>
          <w:b/>
          <w:color w:val="000000"/>
          <w:sz w:val="24"/>
          <w:szCs w:val="24"/>
        </w:rPr>
        <w:t>9</w:t>
      </w:r>
      <w:r w:rsidRPr="00A478AD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Pr="00A478AD" w:rsidR="00DD6BD6">
        <w:rPr>
          <w:rFonts w:asciiTheme="minorEastAsia" w:eastAsiaTheme="minorEastAsia" w:hAnsiTheme="minorEastAsia"/>
          <w:b/>
          <w:color w:val="000000"/>
          <w:sz w:val="24"/>
          <w:szCs w:val="24"/>
        </w:rPr>
        <w:t>10</w:t>
      </w:r>
      <w:r w:rsidRPr="00A478AD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E87402" w:rsidRPr="00A478AD" w:rsidP="00E87402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E87402" w:rsidRPr="00A478AD" w:rsidP="00E87402">
      <w:pPr>
        <w:pStyle w:val="Heading3"/>
        <w:keepNext w:val="0"/>
        <w:keepLines w:val="0"/>
        <w:numPr>
          <w:ilvl w:val="0"/>
          <w:numId w:val="1"/>
        </w:numPr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 w:rsidRPr="00A478AD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581"/>
        <w:gridCol w:w="2522"/>
      </w:tblGrid>
      <w:tr w:rsidTr="00D20342">
        <w:tblPrEx>
          <w:tblW w:w="804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2943" w:type="dxa"/>
            <w:vAlign w:val="center"/>
          </w:tcPr>
          <w:p w:rsidR="00E87402" w:rsidRPr="00A478AD" w:rsidP="00D20342">
            <w:pPr>
              <w:rPr>
                <w:rFonts w:eastAsia="宋体"/>
                <w:sz w:val="24"/>
                <w:szCs w:val="24"/>
              </w:rPr>
            </w:pPr>
            <w:r w:rsidRPr="00A478AD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5103" w:type="dxa"/>
            <w:gridSpan w:val="2"/>
            <w:vAlign w:val="center"/>
          </w:tcPr>
          <w:p w:rsidR="00E87402" w:rsidRPr="00A478AD" w:rsidP="00D20342">
            <w:pPr>
              <w:rPr>
                <w:rFonts w:eastAsia="宋体"/>
                <w:sz w:val="24"/>
                <w:szCs w:val="24"/>
              </w:rPr>
            </w:pPr>
            <w:r w:rsidRPr="00A478AD">
              <w:rPr>
                <w:rFonts w:eastAsia="宋体" w:hint="eastAsia"/>
                <w:sz w:val="24"/>
                <w:szCs w:val="24"/>
              </w:rPr>
              <w:t>易方达核心智造混合型证券投资基金</w:t>
            </w:r>
          </w:p>
        </w:tc>
      </w:tr>
      <w:tr w:rsidTr="00D20342">
        <w:tblPrEx>
          <w:tblW w:w="8046" w:type="dxa"/>
          <w:jc w:val="center"/>
          <w:tblLayout w:type="fixed"/>
          <w:tblLook w:val="0000"/>
        </w:tblPrEx>
        <w:trPr>
          <w:jc w:val="center"/>
        </w:trPr>
        <w:tc>
          <w:tcPr>
            <w:tcW w:w="2943" w:type="dxa"/>
            <w:vAlign w:val="center"/>
          </w:tcPr>
          <w:p w:rsidR="00E87402" w:rsidRPr="00A478AD" w:rsidP="00D20342">
            <w:pPr>
              <w:rPr>
                <w:rFonts w:eastAsia="宋体"/>
                <w:sz w:val="24"/>
                <w:szCs w:val="24"/>
              </w:rPr>
            </w:pPr>
            <w:r w:rsidRPr="00A478AD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5103" w:type="dxa"/>
            <w:gridSpan w:val="2"/>
            <w:vAlign w:val="center"/>
          </w:tcPr>
          <w:p w:rsidR="00E87402" w:rsidRPr="00A478AD" w:rsidP="00D20342">
            <w:pPr>
              <w:rPr>
                <w:rFonts w:eastAsia="宋体"/>
                <w:sz w:val="24"/>
                <w:szCs w:val="24"/>
              </w:rPr>
            </w:pPr>
            <w:r w:rsidRPr="00A478AD">
              <w:rPr>
                <w:rFonts w:eastAsia="宋体" w:hint="eastAsia"/>
                <w:sz w:val="24"/>
                <w:szCs w:val="24"/>
              </w:rPr>
              <w:t>易方达</w:t>
            </w:r>
            <w:r w:rsidRPr="00A478AD" w:rsidR="00BA486F">
              <w:rPr>
                <w:rFonts w:eastAsia="宋体" w:hint="eastAsia"/>
                <w:sz w:val="24"/>
                <w:szCs w:val="24"/>
              </w:rPr>
              <w:t>核心智造</w:t>
            </w:r>
            <w:r w:rsidRPr="00A478AD">
              <w:rPr>
                <w:rFonts w:eastAsia="宋体" w:hint="eastAsia"/>
                <w:sz w:val="24"/>
                <w:szCs w:val="24"/>
              </w:rPr>
              <w:t>混合</w:t>
            </w:r>
          </w:p>
        </w:tc>
      </w:tr>
      <w:tr w:rsidTr="00D20342">
        <w:tblPrEx>
          <w:tblW w:w="8046" w:type="dxa"/>
          <w:jc w:val="center"/>
          <w:tblLayout w:type="fixed"/>
          <w:tblLook w:val="0000"/>
        </w:tblPrEx>
        <w:trPr>
          <w:jc w:val="center"/>
        </w:trPr>
        <w:tc>
          <w:tcPr>
            <w:tcW w:w="2943" w:type="dxa"/>
            <w:vAlign w:val="center"/>
          </w:tcPr>
          <w:p w:rsidR="00E87402" w:rsidRPr="00A478AD" w:rsidP="00D20342">
            <w:pPr>
              <w:rPr>
                <w:rFonts w:eastAsia="宋体"/>
                <w:sz w:val="24"/>
                <w:szCs w:val="24"/>
              </w:rPr>
            </w:pPr>
            <w:r w:rsidRPr="00A478AD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5103" w:type="dxa"/>
            <w:gridSpan w:val="2"/>
            <w:vAlign w:val="center"/>
          </w:tcPr>
          <w:p w:rsidR="00E87402" w:rsidRPr="00A478AD" w:rsidP="00D20342">
            <w:pPr>
              <w:rPr>
                <w:rFonts w:eastAsia="宋体"/>
                <w:sz w:val="24"/>
                <w:szCs w:val="24"/>
              </w:rPr>
            </w:pPr>
            <w:r w:rsidRPr="00A478AD">
              <w:rPr>
                <w:rFonts w:eastAsia="宋体"/>
                <w:sz w:val="24"/>
                <w:szCs w:val="24"/>
              </w:rPr>
              <w:t>012301</w:t>
            </w:r>
          </w:p>
        </w:tc>
      </w:tr>
      <w:tr w:rsidTr="00D20342">
        <w:tblPrEx>
          <w:tblW w:w="8046" w:type="dxa"/>
          <w:jc w:val="center"/>
          <w:tblLayout w:type="fixed"/>
          <w:tblLook w:val="0000"/>
        </w:tblPrEx>
        <w:trPr>
          <w:jc w:val="center"/>
        </w:trPr>
        <w:tc>
          <w:tcPr>
            <w:tcW w:w="2943" w:type="dxa"/>
            <w:vAlign w:val="center"/>
          </w:tcPr>
          <w:p w:rsidR="00E87402" w:rsidRPr="00A478AD" w:rsidP="00D20342">
            <w:pPr>
              <w:rPr>
                <w:rFonts w:eastAsia="宋体"/>
                <w:sz w:val="24"/>
                <w:szCs w:val="24"/>
              </w:rPr>
            </w:pPr>
            <w:r w:rsidRPr="00A478AD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5103" w:type="dxa"/>
            <w:gridSpan w:val="2"/>
            <w:vAlign w:val="center"/>
          </w:tcPr>
          <w:p w:rsidR="00E87402" w:rsidRPr="00A478AD" w:rsidP="00D20342">
            <w:pPr>
              <w:rPr>
                <w:rFonts w:eastAsia="宋体"/>
                <w:sz w:val="24"/>
                <w:szCs w:val="24"/>
              </w:rPr>
            </w:pPr>
            <w:r w:rsidRPr="00A478AD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Tr="00D20342">
        <w:tblPrEx>
          <w:tblW w:w="8046" w:type="dxa"/>
          <w:jc w:val="center"/>
          <w:tblLayout w:type="fixed"/>
          <w:tblLook w:val="0000"/>
        </w:tblPrEx>
        <w:trPr>
          <w:jc w:val="center"/>
        </w:trPr>
        <w:tc>
          <w:tcPr>
            <w:tcW w:w="2943" w:type="dxa"/>
            <w:vAlign w:val="center"/>
          </w:tcPr>
          <w:p w:rsidR="00E87402" w:rsidRPr="00A478AD" w:rsidP="00D20342">
            <w:pPr>
              <w:rPr>
                <w:rFonts w:eastAsia="宋体"/>
                <w:sz w:val="24"/>
                <w:szCs w:val="24"/>
              </w:rPr>
            </w:pPr>
            <w:r w:rsidRPr="00A478AD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5103" w:type="dxa"/>
            <w:gridSpan w:val="2"/>
            <w:vAlign w:val="center"/>
          </w:tcPr>
          <w:p w:rsidR="00E87402" w:rsidRPr="00A478AD" w:rsidP="00D20342">
            <w:pPr>
              <w:rPr>
                <w:rFonts w:eastAsia="宋体"/>
                <w:sz w:val="24"/>
                <w:szCs w:val="24"/>
              </w:rPr>
            </w:pPr>
            <w:r w:rsidRPr="00A478AD">
              <w:rPr>
                <w:rFonts w:eastAsia="宋体" w:hint="eastAsia"/>
                <w:sz w:val="24"/>
                <w:szCs w:val="24"/>
              </w:rPr>
              <w:t>《</w:t>
            </w:r>
            <w:r w:rsidRPr="00A478AD" w:rsidR="00BA486F">
              <w:rPr>
                <w:rFonts w:eastAsia="宋体" w:hint="eastAsia"/>
                <w:sz w:val="24"/>
                <w:szCs w:val="24"/>
              </w:rPr>
              <w:t>易方达核心智造混合型证券投资基金</w:t>
            </w:r>
            <w:r w:rsidRPr="00A478AD">
              <w:rPr>
                <w:rFonts w:eastAsia="宋体" w:hint="eastAsia"/>
                <w:sz w:val="24"/>
                <w:szCs w:val="24"/>
              </w:rPr>
              <w:t>基金合同》《</w:t>
            </w:r>
            <w:r w:rsidRPr="00A478AD" w:rsidR="00BA486F">
              <w:rPr>
                <w:rFonts w:eastAsia="宋体" w:hint="eastAsia"/>
                <w:sz w:val="24"/>
                <w:szCs w:val="24"/>
              </w:rPr>
              <w:t>易方达核心智造混合型证券投资基金</w:t>
            </w:r>
            <w:r w:rsidRPr="00A478AD">
              <w:rPr>
                <w:rFonts w:eastAsia="宋体" w:hint="eastAsia"/>
                <w:sz w:val="24"/>
                <w:szCs w:val="24"/>
              </w:rPr>
              <w:t>更新的招募说明书》</w:t>
            </w:r>
          </w:p>
        </w:tc>
      </w:tr>
      <w:tr w:rsidTr="00D20342">
        <w:tblPrEx>
          <w:tblW w:w="8046" w:type="dxa"/>
          <w:jc w:val="center"/>
          <w:tblLayout w:type="fixed"/>
          <w:tblLook w:val="0000"/>
        </w:tblPrEx>
        <w:trPr>
          <w:jc w:val="center"/>
        </w:trPr>
        <w:tc>
          <w:tcPr>
            <w:tcW w:w="2943" w:type="dxa"/>
            <w:vMerge w:val="restart"/>
            <w:vAlign w:val="center"/>
          </w:tcPr>
          <w:p w:rsidR="00E87402" w:rsidRPr="00A478AD" w:rsidP="00D20342">
            <w:pPr>
              <w:rPr>
                <w:rFonts w:eastAsia="宋体"/>
                <w:sz w:val="24"/>
                <w:szCs w:val="24"/>
              </w:rPr>
            </w:pPr>
            <w:r w:rsidRPr="00A478AD">
              <w:rPr>
                <w:rFonts w:eastAsia="宋体" w:hint="eastAsia"/>
                <w:sz w:val="24"/>
                <w:szCs w:val="24"/>
              </w:rPr>
              <w:t>恢复相关业务的日期及原因说明</w:t>
            </w:r>
          </w:p>
        </w:tc>
        <w:tc>
          <w:tcPr>
            <w:tcW w:w="2581" w:type="dxa"/>
            <w:vAlign w:val="center"/>
          </w:tcPr>
          <w:p w:rsidR="00E87402" w:rsidRPr="00A478AD" w:rsidP="00510C3E">
            <w:pPr>
              <w:rPr>
                <w:rFonts w:eastAsia="宋体"/>
                <w:sz w:val="24"/>
                <w:szCs w:val="24"/>
              </w:rPr>
            </w:pPr>
            <w:r w:rsidRPr="00A478AD">
              <w:rPr>
                <w:rFonts w:eastAsia="宋体"/>
                <w:sz w:val="24"/>
                <w:szCs w:val="24"/>
              </w:rPr>
              <w:t>恢复</w:t>
            </w:r>
            <w:r w:rsidRPr="00A478AD">
              <w:rPr>
                <w:rFonts w:eastAsia="宋体" w:hint="eastAsia"/>
                <w:sz w:val="24"/>
                <w:szCs w:val="24"/>
              </w:rPr>
              <w:t>大额</w:t>
            </w:r>
            <w:r w:rsidRPr="00A478AD">
              <w:rPr>
                <w:rFonts w:eastAsia="宋体"/>
                <w:sz w:val="24"/>
                <w:szCs w:val="24"/>
              </w:rPr>
              <w:t>申购日</w:t>
            </w:r>
          </w:p>
        </w:tc>
        <w:tc>
          <w:tcPr>
            <w:tcW w:w="2522" w:type="dxa"/>
            <w:vAlign w:val="center"/>
          </w:tcPr>
          <w:p w:rsidR="00E87402" w:rsidRPr="00A478AD" w:rsidP="00DD6BD6">
            <w:pPr>
              <w:rPr>
                <w:sz w:val="24"/>
                <w:szCs w:val="24"/>
              </w:rPr>
            </w:pPr>
            <w:r w:rsidRPr="00A478AD">
              <w:rPr>
                <w:rFonts w:hint="eastAsia"/>
                <w:sz w:val="24"/>
                <w:szCs w:val="24"/>
              </w:rPr>
              <w:t>202</w:t>
            </w:r>
            <w:r w:rsidRPr="00A478AD">
              <w:rPr>
                <w:sz w:val="24"/>
                <w:szCs w:val="24"/>
              </w:rPr>
              <w:t>2</w:t>
            </w:r>
            <w:r w:rsidRPr="00A478AD">
              <w:rPr>
                <w:rFonts w:hint="eastAsia"/>
                <w:sz w:val="24"/>
                <w:szCs w:val="24"/>
              </w:rPr>
              <w:t>年</w:t>
            </w:r>
            <w:r w:rsidRPr="00A478AD" w:rsidR="00DD6BD6">
              <w:rPr>
                <w:sz w:val="24"/>
                <w:szCs w:val="24"/>
              </w:rPr>
              <w:t>9</w:t>
            </w:r>
            <w:r w:rsidRPr="00A478AD">
              <w:rPr>
                <w:rFonts w:hint="eastAsia"/>
                <w:sz w:val="24"/>
                <w:szCs w:val="24"/>
              </w:rPr>
              <w:t>月</w:t>
            </w:r>
            <w:r w:rsidRPr="00A478AD" w:rsidR="00DD6BD6">
              <w:rPr>
                <w:sz w:val="24"/>
                <w:szCs w:val="24"/>
              </w:rPr>
              <w:t>13</w:t>
            </w:r>
            <w:r w:rsidRPr="00A478A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Tr="00D20342">
        <w:tblPrEx>
          <w:tblW w:w="8046" w:type="dxa"/>
          <w:jc w:val="center"/>
          <w:tblLayout w:type="fixed"/>
          <w:tblLook w:val="0000"/>
        </w:tblPrEx>
        <w:trPr>
          <w:jc w:val="center"/>
        </w:trPr>
        <w:tc>
          <w:tcPr>
            <w:tcW w:w="2943" w:type="dxa"/>
            <w:vMerge/>
            <w:vAlign w:val="center"/>
          </w:tcPr>
          <w:p w:rsidR="00E87402" w:rsidRPr="00A478AD" w:rsidP="00D20342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E87402" w:rsidRPr="00A478AD" w:rsidP="00510C3E">
            <w:pPr>
              <w:rPr>
                <w:rFonts w:eastAsia="宋体"/>
                <w:sz w:val="24"/>
                <w:szCs w:val="24"/>
              </w:rPr>
            </w:pPr>
            <w:r w:rsidRPr="00A478AD">
              <w:rPr>
                <w:rFonts w:eastAsia="宋体"/>
                <w:sz w:val="24"/>
                <w:szCs w:val="24"/>
              </w:rPr>
              <w:t>恢复</w:t>
            </w:r>
            <w:r w:rsidRPr="00A478AD">
              <w:rPr>
                <w:rFonts w:eastAsia="宋体" w:hint="eastAsia"/>
                <w:sz w:val="24"/>
                <w:szCs w:val="24"/>
              </w:rPr>
              <w:t>大额</w:t>
            </w:r>
            <w:r w:rsidRPr="00A478AD">
              <w:rPr>
                <w:rFonts w:eastAsia="宋体"/>
                <w:sz w:val="24"/>
                <w:szCs w:val="24"/>
              </w:rPr>
              <w:t>转换转入日</w:t>
            </w:r>
          </w:p>
        </w:tc>
        <w:tc>
          <w:tcPr>
            <w:tcW w:w="2522" w:type="dxa"/>
            <w:vAlign w:val="center"/>
          </w:tcPr>
          <w:p w:rsidR="00E87402" w:rsidRPr="00A478AD" w:rsidP="00570327">
            <w:pPr>
              <w:rPr>
                <w:sz w:val="24"/>
                <w:szCs w:val="24"/>
              </w:rPr>
            </w:pPr>
            <w:r w:rsidRPr="00A478AD">
              <w:rPr>
                <w:rFonts w:hint="eastAsia"/>
                <w:sz w:val="24"/>
                <w:szCs w:val="24"/>
              </w:rPr>
              <w:t>202</w:t>
            </w:r>
            <w:r w:rsidRPr="00A478AD">
              <w:rPr>
                <w:sz w:val="24"/>
                <w:szCs w:val="24"/>
              </w:rPr>
              <w:t>2</w:t>
            </w:r>
            <w:r w:rsidRPr="00A478AD" w:rsidR="007717BA">
              <w:rPr>
                <w:rFonts w:hint="eastAsia"/>
                <w:sz w:val="24"/>
                <w:szCs w:val="24"/>
              </w:rPr>
              <w:t>年</w:t>
            </w:r>
            <w:r w:rsidRPr="00A478AD" w:rsidR="00DD6BD6">
              <w:rPr>
                <w:sz w:val="24"/>
                <w:szCs w:val="24"/>
              </w:rPr>
              <w:t>9</w:t>
            </w:r>
            <w:r w:rsidRPr="00A478AD" w:rsidR="007717BA">
              <w:rPr>
                <w:rFonts w:hint="eastAsia"/>
                <w:sz w:val="24"/>
                <w:szCs w:val="24"/>
              </w:rPr>
              <w:t>月</w:t>
            </w:r>
            <w:r w:rsidRPr="00A478AD" w:rsidR="00DD6BD6">
              <w:rPr>
                <w:sz w:val="24"/>
                <w:szCs w:val="24"/>
              </w:rPr>
              <w:t>13</w:t>
            </w:r>
            <w:r w:rsidRPr="00A478AD" w:rsidR="007717B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Tr="00D20342">
        <w:tblPrEx>
          <w:tblW w:w="8046" w:type="dxa"/>
          <w:jc w:val="center"/>
          <w:tblLayout w:type="fixed"/>
          <w:tblLook w:val="0000"/>
        </w:tblPrEx>
        <w:trPr>
          <w:jc w:val="center"/>
        </w:trPr>
        <w:tc>
          <w:tcPr>
            <w:tcW w:w="2943" w:type="dxa"/>
            <w:vMerge/>
            <w:vAlign w:val="center"/>
          </w:tcPr>
          <w:p w:rsidR="00E87402" w:rsidRPr="00A478AD" w:rsidP="00D20342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E87402" w:rsidRPr="00A478AD" w:rsidP="00D20342">
            <w:pPr>
              <w:rPr>
                <w:rFonts w:eastAsia="宋体"/>
                <w:sz w:val="24"/>
                <w:szCs w:val="24"/>
              </w:rPr>
            </w:pPr>
            <w:r w:rsidRPr="00A478AD">
              <w:rPr>
                <w:rFonts w:eastAsia="宋体"/>
                <w:sz w:val="24"/>
                <w:szCs w:val="24"/>
              </w:rPr>
              <w:t>恢复</w:t>
            </w:r>
            <w:r w:rsidRPr="00A478AD">
              <w:rPr>
                <w:rFonts w:eastAsia="宋体" w:hint="eastAsia"/>
                <w:sz w:val="24"/>
                <w:szCs w:val="24"/>
              </w:rPr>
              <w:t>大额</w:t>
            </w:r>
            <w:r w:rsidRPr="00A478AD">
              <w:rPr>
                <w:rFonts w:eastAsia="宋体"/>
                <w:sz w:val="24"/>
                <w:szCs w:val="24"/>
              </w:rPr>
              <w:t>申购</w:t>
            </w:r>
            <w:r w:rsidRPr="00A478AD">
              <w:rPr>
                <w:rFonts w:eastAsia="宋体" w:hint="eastAsia"/>
                <w:sz w:val="24"/>
                <w:szCs w:val="24"/>
              </w:rPr>
              <w:t>、大额</w:t>
            </w:r>
            <w:r w:rsidRPr="00A478AD">
              <w:rPr>
                <w:rFonts w:eastAsia="宋体"/>
                <w:sz w:val="24"/>
                <w:szCs w:val="24"/>
              </w:rPr>
              <w:t>转换转入的原因说明</w:t>
            </w:r>
          </w:p>
        </w:tc>
        <w:tc>
          <w:tcPr>
            <w:tcW w:w="2522" w:type="dxa"/>
            <w:vAlign w:val="center"/>
          </w:tcPr>
          <w:p w:rsidR="00E87402" w:rsidRPr="00A478AD" w:rsidP="00D20342">
            <w:pPr>
              <w:rPr>
                <w:rFonts w:eastAsia="宋体"/>
                <w:sz w:val="24"/>
                <w:szCs w:val="24"/>
              </w:rPr>
            </w:pPr>
            <w:r w:rsidRPr="00A478AD">
              <w:rPr>
                <w:color w:val="000000"/>
                <w:kern w:val="0"/>
                <w:sz w:val="24"/>
              </w:rPr>
              <w:t>为了满足投资者的需求</w:t>
            </w:r>
          </w:p>
        </w:tc>
      </w:tr>
    </w:tbl>
    <w:p w:rsidR="00E87402" w:rsidRPr="00A478AD" w:rsidP="00E87402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717BA" w:rsidRPr="00A478AD" w:rsidP="007717BA"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 w:rsidRPr="00A478AD">
        <w:rPr>
          <w:rFonts w:hint="eastAsia"/>
          <w:color w:val="000000"/>
          <w:sz w:val="24"/>
        </w:rPr>
        <w:t>注：</w:t>
      </w:r>
      <w:r w:rsidRPr="00A478AD" w:rsidR="00F43351">
        <w:rPr>
          <w:rFonts w:hint="eastAsia"/>
          <w:color w:val="000000"/>
          <w:sz w:val="24"/>
        </w:rPr>
        <w:t>根据法律法规和基金</w:t>
      </w:r>
      <w:r w:rsidRPr="00A478AD" w:rsidR="00F43351">
        <w:rPr>
          <w:rFonts w:hint="eastAsia"/>
          <w:color w:val="000000"/>
          <w:kern w:val="0"/>
          <w:sz w:val="24"/>
        </w:rPr>
        <w:t>合同</w:t>
      </w:r>
      <w:r w:rsidRPr="00A478AD" w:rsidR="00F43351">
        <w:rPr>
          <w:rFonts w:hint="eastAsia"/>
          <w:color w:val="000000"/>
          <w:sz w:val="24"/>
        </w:rPr>
        <w:t>的相关规定，</w:t>
      </w:r>
      <w:r w:rsidRPr="00A478AD" w:rsidR="00510C3E">
        <w:rPr>
          <w:rFonts w:hint="eastAsia"/>
          <w:color w:val="000000"/>
          <w:sz w:val="24"/>
        </w:rPr>
        <w:t>易方达基金管理有限公司（以下简称“本公司”）决定自</w:t>
      </w:r>
      <w:r w:rsidRPr="00A478AD" w:rsidR="00F845B1">
        <w:rPr>
          <w:rFonts w:asciiTheme="minorEastAsia" w:eastAsiaTheme="minorEastAsia" w:hAnsiTheme="minorEastAsia" w:hint="eastAsia"/>
          <w:color w:val="000000"/>
          <w:sz w:val="24"/>
          <w:szCs w:val="24"/>
        </w:rPr>
        <w:t>20</w:t>
      </w:r>
      <w:r w:rsidRPr="00A478AD" w:rsidR="00F845B1">
        <w:rPr>
          <w:rFonts w:asciiTheme="minorEastAsia" w:eastAsiaTheme="minorEastAsia" w:hAnsiTheme="minorEastAsia"/>
          <w:color w:val="000000"/>
          <w:sz w:val="24"/>
          <w:szCs w:val="24"/>
        </w:rPr>
        <w:t>22</w:t>
      </w:r>
      <w:r w:rsidRPr="00A478AD" w:rsidR="00510C3E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Pr="00A478AD" w:rsidR="00DD6BD6">
        <w:rPr>
          <w:rFonts w:asciiTheme="minorEastAsia" w:eastAsiaTheme="minorEastAsia" w:hAnsiTheme="minorEastAsia"/>
          <w:color w:val="000000"/>
          <w:sz w:val="24"/>
          <w:szCs w:val="24"/>
        </w:rPr>
        <w:t>9</w:t>
      </w:r>
      <w:r w:rsidRPr="00A478AD" w:rsidR="00510C3E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Pr="00A478AD" w:rsidR="00DD6BD6">
        <w:rPr>
          <w:rFonts w:asciiTheme="minorEastAsia" w:eastAsiaTheme="minorEastAsia" w:hAnsiTheme="minorEastAsia"/>
          <w:color w:val="000000"/>
          <w:sz w:val="24"/>
          <w:szCs w:val="24"/>
        </w:rPr>
        <w:t>13</w:t>
      </w:r>
      <w:r w:rsidRPr="00A478AD" w:rsidR="00510C3E">
        <w:rPr>
          <w:rFonts w:asciiTheme="minorEastAsia" w:eastAsiaTheme="minorEastAsia" w:hAnsiTheme="minorEastAsia" w:hint="eastAsia"/>
          <w:color w:val="000000"/>
          <w:sz w:val="24"/>
          <w:szCs w:val="24"/>
        </w:rPr>
        <w:t>日起恢复</w:t>
      </w:r>
      <w:r w:rsidRPr="00A478AD" w:rsidR="00BA486F">
        <w:rPr>
          <w:rFonts w:asciiTheme="minorEastAsia" w:eastAsiaTheme="minorEastAsia" w:hAnsiTheme="minorEastAsia" w:hint="eastAsia"/>
          <w:color w:val="000000"/>
          <w:sz w:val="24"/>
          <w:szCs w:val="24"/>
        </w:rPr>
        <w:t>易方达核心智造混合型证券投资基金</w:t>
      </w:r>
      <w:r w:rsidRPr="00A478AD" w:rsidR="00510C3E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（以下简称“本基金”）在全部销售机构的大额申购、大额转换</w:t>
      </w:r>
      <w:bookmarkStart w:id="1" w:name="_GoBack"/>
      <w:bookmarkEnd w:id="1"/>
      <w:r w:rsidRPr="00A478AD" w:rsidR="00510C3E">
        <w:rPr>
          <w:rFonts w:asciiTheme="minorEastAsia" w:eastAsiaTheme="minorEastAsia" w:hAnsiTheme="minorEastAsia" w:hint="eastAsia"/>
          <w:color w:val="000000"/>
          <w:sz w:val="24"/>
          <w:szCs w:val="24"/>
        </w:rPr>
        <w:t>转入业务，</w:t>
      </w:r>
      <w:r w:rsidRPr="00A478AD">
        <w:rPr>
          <w:rFonts w:asciiTheme="minorEastAsia" w:eastAsiaTheme="minorEastAsia" w:hAnsiTheme="minorEastAsia" w:hint="eastAsia"/>
          <w:color w:val="000000"/>
          <w:sz w:val="24"/>
          <w:szCs w:val="24"/>
        </w:rPr>
        <w:t>取消</w:t>
      </w:r>
      <w:r w:rsidRPr="00A478AD" w:rsidR="00510C3E">
        <w:rPr>
          <w:rFonts w:hint="eastAsia"/>
          <w:color w:val="000000"/>
          <w:sz w:val="24"/>
        </w:rPr>
        <w:t>单日单个基金账户</w:t>
      </w:r>
      <w:r w:rsidRPr="00A478AD" w:rsidR="00DE5D19">
        <w:rPr>
          <w:rFonts w:asciiTheme="minorEastAsia" w:eastAsiaTheme="minorEastAsia" w:hAnsiTheme="minorEastAsia" w:hint="eastAsia"/>
          <w:color w:val="000000"/>
          <w:sz w:val="24"/>
          <w:szCs w:val="24"/>
        </w:rPr>
        <w:t>在全部销售机构</w:t>
      </w:r>
      <w:r w:rsidRPr="00A478AD" w:rsidR="00F43351">
        <w:rPr>
          <w:rFonts w:hint="eastAsia"/>
          <w:color w:val="000000"/>
          <w:sz w:val="24"/>
        </w:rPr>
        <w:t>累计申购（含定期定额投资及转换转入）本基金的金额不超过</w:t>
      </w:r>
      <w:r w:rsidRPr="00A478AD" w:rsidR="00F845B1">
        <w:rPr>
          <w:color w:val="000000"/>
          <w:sz w:val="24"/>
        </w:rPr>
        <w:t>5000</w:t>
      </w:r>
      <w:r w:rsidRPr="00A478AD" w:rsidR="00F43351">
        <w:rPr>
          <w:rFonts w:hint="eastAsia"/>
          <w:color w:val="000000"/>
          <w:sz w:val="24"/>
        </w:rPr>
        <w:t>元</w:t>
      </w:r>
      <w:r w:rsidRPr="00A478AD">
        <w:rPr>
          <w:color w:val="000000"/>
          <w:sz w:val="24"/>
          <w:szCs w:val="24"/>
        </w:rPr>
        <w:t>的限制。</w:t>
      </w:r>
    </w:p>
    <w:p w:rsidR="00E87402" w:rsidRPr="00A478AD" w:rsidP="00E87402">
      <w:pPr>
        <w:spacing w:line="360" w:lineRule="auto"/>
        <w:ind w:firstLine="480" w:firstLineChars="200"/>
        <w:rPr>
          <w:color w:val="000000"/>
          <w:sz w:val="24"/>
        </w:rPr>
      </w:pPr>
      <w:bookmarkStart w:id="2" w:name="_Toc275961406"/>
    </w:p>
    <w:p w:rsidR="00E87402" w:rsidRPr="00A478AD" w:rsidP="00E87402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A478AD">
        <w:rPr>
          <w:rFonts w:ascii="宋体" w:hAnsi="宋体"/>
          <w:bCs w:val="0"/>
          <w:sz w:val="24"/>
          <w:szCs w:val="24"/>
        </w:rPr>
        <w:t>2</w:t>
      </w:r>
      <w:r w:rsidRPr="00A478AD">
        <w:rPr>
          <w:rFonts w:ascii="宋体" w:hAnsi="宋体" w:hint="eastAsia"/>
          <w:bCs w:val="0"/>
          <w:sz w:val="24"/>
          <w:szCs w:val="24"/>
        </w:rPr>
        <w:t>.</w:t>
      </w:r>
      <w:r w:rsidRPr="00A478AD">
        <w:rPr>
          <w:rFonts w:ascii="宋体" w:hAnsi="宋体"/>
          <w:bCs w:val="0"/>
          <w:sz w:val="24"/>
          <w:szCs w:val="24"/>
        </w:rPr>
        <w:t>其他需要提示的事项</w:t>
      </w:r>
      <w:bookmarkEnd w:id="2"/>
    </w:p>
    <w:p w:rsidR="00E87402" w:rsidRPr="00A478AD" w:rsidP="00E87402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478AD"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如有疑问，请拨打本公司客户服务热线400 881 8088，或登陆本公司网站www.efunds.com.cn获取相关信息。</w:t>
      </w:r>
    </w:p>
    <w:p w:rsidR="00E87402" w:rsidRPr="00A478AD" w:rsidP="00E87402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478AD"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E87402" w:rsidRPr="00A478AD" w:rsidP="00E87402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478AD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易方达基金管理有限公司</w:t>
      </w:r>
    </w:p>
    <w:p w:rsidR="00E87402" w:rsidRPr="0035062E" w:rsidP="00E87402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478AD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  </w:t>
      </w:r>
      <w:r w:rsidRPr="00A478AD" w:rsidR="00F845B1">
        <w:rPr>
          <w:rFonts w:asciiTheme="minorEastAsia" w:eastAsiaTheme="minorEastAsia" w:hAnsiTheme="minorEastAsia"/>
          <w:color w:val="000000"/>
          <w:sz w:val="24"/>
          <w:szCs w:val="24"/>
        </w:rPr>
        <w:t>2022</w:t>
      </w:r>
      <w:r w:rsidRPr="00A478AD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Pr="00A478AD" w:rsidR="00DD6BD6">
        <w:rPr>
          <w:rFonts w:asciiTheme="minorEastAsia" w:eastAsiaTheme="minorEastAsia" w:hAnsiTheme="minorEastAsia"/>
          <w:color w:val="000000"/>
          <w:sz w:val="24"/>
          <w:szCs w:val="24"/>
        </w:rPr>
        <w:t>9</w:t>
      </w:r>
      <w:r w:rsidRPr="00A478AD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Pr="00A478AD" w:rsidR="00DD6BD6">
        <w:rPr>
          <w:rFonts w:asciiTheme="minorEastAsia" w:eastAsiaTheme="minorEastAsia" w:hAnsiTheme="minorEastAsia"/>
          <w:color w:val="000000"/>
          <w:sz w:val="24"/>
          <w:szCs w:val="24"/>
        </w:rPr>
        <w:t>10</w:t>
      </w:r>
      <w:r w:rsidRPr="00A478AD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p w:rsidR="00B947F7"/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3845BA"/>
    <w:multiLevelType w:val="hybridMultilevel"/>
    <w:tmpl w:val="FD264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79"/>
    <w:rsid w:val="0006756C"/>
    <w:rsid w:val="000F3D48"/>
    <w:rsid w:val="00146FA0"/>
    <w:rsid w:val="00160E47"/>
    <w:rsid w:val="001F603F"/>
    <w:rsid w:val="00226779"/>
    <w:rsid w:val="00240D1A"/>
    <w:rsid w:val="002E0555"/>
    <w:rsid w:val="0032174E"/>
    <w:rsid w:val="0035062E"/>
    <w:rsid w:val="0035523A"/>
    <w:rsid w:val="004211FF"/>
    <w:rsid w:val="00431252"/>
    <w:rsid w:val="00510C3E"/>
    <w:rsid w:val="00570327"/>
    <w:rsid w:val="005D6EF5"/>
    <w:rsid w:val="00600031"/>
    <w:rsid w:val="00635B26"/>
    <w:rsid w:val="00636E4E"/>
    <w:rsid w:val="006E5085"/>
    <w:rsid w:val="007717BA"/>
    <w:rsid w:val="00787230"/>
    <w:rsid w:val="007B14E3"/>
    <w:rsid w:val="007B1C72"/>
    <w:rsid w:val="00922479"/>
    <w:rsid w:val="00987C20"/>
    <w:rsid w:val="009D2FA6"/>
    <w:rsid w:val="009E2A34"/>
    <w:rsid w:val="00A16A9C"/>
    <w:rsid w:val="00A478AD"/>
    <w:rsid w:val="00A857AF"/>
    <w:rsid w:val="00AD2654"/>
    <w:rsid w:val="00AD7943"/>
    <w:rsid w:val="00B63A78"/>
    <w:rsid w:val="00B647E4"/>
    <w:rsid w:val="00B947F7"/>
    <w:rsid w:val="00BA486F"/>
    <w:rsid w:val="00BA606B"/>
    <w:rsid w:val="00BE3C54"/>
    <w:rsid w:val="00C104FD"/>
    <w:rsid w:val="00C475FD"/>
    <w:rsid w:val="00D20342"/>
    <w:rsid w:val="00D614D3"/>
    <w:rsid w:val="00D8445B"/>
    <w:rsid w:val="00DB6723"/>
    <w:rsid w:val="00DC7921"/>
    <w:rsid w:val="00DD6BD6"/>
    <w:rsid w:val="00DE5D19"/>
    <w:rsid w:val="00DE7347"/>
    <w:rsid w:val="00DF000A"/>
    <w:rsid w:val="00E109F8"/>
    <w:rsid w:val="00E31112"/>
    <w:rsid w:val="00E87402"/>
    <w:rsid w:val="00F43351"/>
    <w:rsid w:val="00F57738"/>
    <w:rsid w:val="00F71A16"/>
    <w:rsid w:val="00F845B1"/>
    <w:rsid w:val="00FA146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605434A-5DDB-4F35-A619-45655657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02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3">
    <w:name w:val="heading 3"/>
    <w:basedOn w:val="Normal"/>
    <w:next w:val="Normal"/>
    <w:link w:val="3Char"/>
    <w:qFormat/>
    <w:rsid w:val="00E87402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E87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E87402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E87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E87402"/>
    <w:rPr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E87402"/>
    <w:rPr>
      <w:rFonts w:ascii="Times New Roman" w:eastAsia="宋体" w:hAnsi="Times New Roman" w:cs="Times New Roman"/>
      <w:b/>
      <w:bCs/>
      <w:sz w:val="32"/>
      <w:szCs w:val="32"/>
    </w:rPr>
  </w:style>
  <w:style w:type="paragraph" w:styleId="BalloonText">
    <w:name w:val="Balloon Text"/>
    <w:basedOn w:val="Normal"/>
    <w:link w:val="Char1"/>
    <w:uiPriority w:val="99"/>
    <w:semiHidden/>
    <w:unhideWhenUsed/>
    <w:rsid w:val="00510C3E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510C3E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E FUND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许兆枫</dc:creator>
  <cp:lastModifiedBy>许兆枫</cp:lastModifiedBy>
  <cp:revision>2</cp:revision>
  <dcterms:created xsi:type="dcterms:W3CDTF">2022-09-07T10:14:00Z</dcterms:created>
  <dcterms:modified xsi:type="dcterms:W3CDTF">2022-09-07T10:14:00Z</dcterms:modified>
</cp:coreProperties>
</file>