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E8D49" w14:textId="42B4DC31" w:rsidR="00204DB1" w:rsidRDefault="00204DB1" w:rsidP="00315B22">
      <w:pPr>
        <w:spacing w:line="360" w:lineRule="auto"/>
        <w:jc w:val="center"/>
        <w:rPr>
          <w:rFonts w:ascii="Times New Roman" w:eastAsia="宋体" w:hAnsi="Times New Roman"/>
          <w:b/>
          <w:color w:val="FF0000"/>
          <w:sz w:val="24"/>
        </w:rPr>
      </w:pPr>
      <w:r>
        <w:rPr>
          <w:rFonts w:ascii="Times New Roman" w:eastAsia="宋体" w:hAnsi="Times New Roman" w:hint="eastAsia"/>
          <w:b/>
          <w:color w:val="FF0000"/>
          <w:sz w:val="24"/>
        </w:rPr>
        <w:t>嘉实</w:t>
      </w:r>
      <w:r>
        <w:rPr>
          <w:rFonts w:ascii="Times New Roman" w:eastAsia="宋体" w:hAnsi="Times New Roman"/>
          <w:b/>
          <w:color w:val="FF0000"/>
          <w:sz w:val="24"/>
        </w:rPr>
        <w:t>基金管理有限公司</w:t>
      </w:r>
    </w:p>
    <w:p w14:paraId="384D6BE7" w14:textId="77777777" w:rsidR="00777552" w:rsidRDefault="002F261E" w:rsidP="002F261E">
      <w:pPr>
        <w:spacing w:line="360" w:lineRule="auto"/>
        <w:jc w:val="center"/>
        <w:rPr>
          <w:rFonts w:ascii="Times New Roman" w:eastAsia="宋体" w:hAnsi="Times New Roman"/>
          <w:b/>
          <w:color w:val="FF0000"/>
          <w:sz w:val="24"/>
        </w:rPr>
      </w:pPr>
      <w:r w:rsidRPr="002F261E">
        <w:rPr>
          <w:rFonts w:ascii="Times New Roman" w:eastAsia="宋体" w:hAnsi="Times New Roman" w:hint="eastAsia"/>
          <w:b/>
          <w:color w:val="FF0000"/>
          <w:sz w:val="24"/>
        </w:rPr>
        <w:t>关于旗下部分基金投资范围增加存托凭证并相应修订基金合同</w:t>
      </w:r>
    </w:p>
    <w:p w14:paraId="28C6F808" w14:textId="60A86C3E" w:rsidR="00315B22" w:rsidRDefault="002F261E" w:rsidP="002F261E">
      <w:pPr>
        <w:spacing w:line="360" w:lineRule="auto"/>
        <w:jc w:val="center"/>
        <w:rPr>
          <w:rFonts w:ascii="Times New Roman" w:eastAsia="宋体" w:hAnsi="Times New Roman"/>
          <w:sz w:val="24"/>
        </w:rPr>
      </w:pPr>
      <w:r w:rsidRPr="002F261E">
        <w:rPr>
          <w:rFonts w:ascii="Times New Roman" w:eastAsia="宋体" w:hAnsi="Times New Roman" w:hint="eastAsia"/>
          <w:b/>
          <w:color w:val="FF0000"/>
          <w:sz w:val="24"/>
        </w:rPr>
        <w:t>及托管协议的公告</w:t>
      </w:r>
    </w:p>
    <w:p w14:paraId="7426203F" w14:textId="6443D377" w:rsidR="008150C7" w:rsidRPr="008C3AE6" w:rsidRDefault="00154D20" w:rsidP="00154D20">
      <w:pPr>
        <w:spacing w:line="360" w:lineRule="auto"/>
        <w:ind w:firstLineChars="200" w:firstLine="480"/>
        <w:rPr>
          <w:rFonts w:asciiTheme="minorEastAsia" w:hAnsiTheme="minorEastAsia"/>
          <w:sz w:val="24"/>
          <w:szCs w:val="24"/>
        </w:rPr>
      </w:pPr>
      <w:r w:rsidRPr="008C3AE6">
        <w:rPr>
          <w:rFonts w:asciiTheme="minorEastAsia" w:hAnsiTheme="minorEastAsia" w:hint="eastAsia"/>
          <w:sz w:val="24"/>
          <w:szCs w:val="24"/>
        </w:rPr>
        <w:t>根据《中华人民共和国证券法》</w:t>
      </w:r>
      <w:r w:rsidR="00CB6A94" w:rsidRPr="008C3AE6">
        <w:rPr>
          <w:rFonts w:asciiTheme="minorEastAsia" w:hAnsiTheme="minorEastAsia" w:hint="eastAsia"/>
          <w:sz w:val="24"/>
          <w:szCs w:val="24"/>
        </w:rPr>
        <w:t>《中华人民共和国证券</w:t>
      </w:r>
      <w:r w:rsidR="00CB6A94">
        <w:rPr>
          <w:rFonts w:asciiTheme="minorEastAsia" w:hAnsiTheme="minorEastAsia" w:hint="eastAsia"/>
          <w:sz w:val="24"/>
          <w:szCs w:val="24"/>
        </w:rPr>
        <w:t>投资基金</w:t>
      </w:r>
      <w:r w:rsidR="00CB6A94" w:rsidRPr="008C3AE6">
        <w:rPr>
          <w:rFonts w:asciiTheme="minorEastAsia" w:hAnsiTheme="minorEastAsia" w:hint="eastAsia"/>
          <w:sz w:val="24"/>
          <w:szCs w:val="24"/>
        </w:rPr>
        <w:t>法》</w:t>
      </w:r>
      <w:r w:rsidRPr="008C3AE6">
        <w:rPr>
          <w:rFonts w:asciiTheme="minorEastAsia" w:hAnsiTheme="minorEastAsia" w:hint="eastAsia"/>
          <w:sz w:val="24"/>
          <w:szCs w:val="24"/>
        </w:rPr>
        <w:t>《公开募集证券投资基金信息披露管理办法》《存托凭证发行与交易管理办法（试行）》等法律法规及各基金基金合同、招募说明书</w:t>
      </w:r>
      <w:r w:rsidR="00F34061" w:rsidRPr="008C3AE6">
        <w:rPr>
          <w:rFonts w:asciiTheme="minorEastAsia" w:hAnsiTheme="minorEastAsia" w:hint="eastAsia"/>
          <w:sz w:val="24"/>
          <w:szCs w:val="24"/>
        </w:rPr>
        <w:t>及其更新等规定，经与各基金托管人协商一致，并向中国证监会备案，嘉实</w:t>
      </w:r>
      <w:r w:rsidRPr="008C3AE6">
        <w:rPr>
          <w:rFonts w:asciiTheme="minorEastAsia" w:hAnsiTheme="minorEastAsia" w:hint="eastAsia"/>
          <w:sz w:val="24"/>
          <w:szCs w:val="24"/>
        </w:rPr>
        <w:t>基金管理有限公司（以下简称“本基金管理人”）对旗下</w:t>
      </w:r>
      <w:r w:rsidR="00457F72">
        <w:rPr>
          <w:rFonts w:asciiTheme="minorEastAsia" w:hAnsiTheme="minorEastAsia" w:hint="eastAsia"/>
          <w:sz w:val="24"/>
          <w:szCs w:val="24"/>
        </w:rPr>
        <w:t>8</w:t>
      </w:r>
      <w:r w:rsidR="00457F72" w:rsidRPr="008C3AE6">
        <w:rPr>
          <w:rFonts w:asciiTheme="minorEastAsia" w:hAnsiTheme="minorEastAsia"/>
          <w:sz w:val="24"/>
          <w:szCs w:val="24"/>
        </w:rPr>
        <w:t>只</w:t>
      </w:r>
      <w:r w:rsidRPr="008C3AE6">
        <w:rPr>
          <w:rFonts w:asciiTheme="minorEastAsia" w:hAnsiTheme="minorEastAsia" w:hint="eastAsia"/>
          <w:sz w:val="24"/>
          <w:szCs w:val="24"/>
        </w:rPr>
        <w:t>公募基金参与存托凭证投资修订基金合同等法律文件，包括明确投资范围包含存托凭证、增加存托凭证的投资策略、投资比例限制、估值方法等，并在基金招募说明书（更新）、产品资料概要</w:t>
      </w:r>
      <w:r w:rsidR="00312FC8">
        <w:rPr>
          <w:rFonts w:asciiTheme="minorEastAsia" w:hAnsiTheme="minorEastAsia" w:hint="eastAsia"/>
          <w:sz w:val="24"/>
          <w:szCs w:val="24"/>
        </w:rPr>
        <w:t>（更新）</w:t>
      </w:r>
      <w:r w:rsidRPr="008C3AE6">
        <w:rPr>
          <w:rFonts w:asciiTheme="minorEastAsia" w:hAnsiTheme="minorEastAsia" w:hint="eastAsia"/>
          <w:sz w:val="24"/>
          <w:szCs w:val="24"/>
        </w:rPr>
        <w:t>中增加投资存托凭证的风险揭示。本次修订</w:t>
      </w:r>
      <w:r w:rsidR="00CB6A94">
        <w:rPr>
          <w:rFonts w:asciiTheme="minorEastAsia" w:hAnsiTheme="minorEastAsia" w:hint="eastAsia"/>
          <w:sz w:val="24"/>
          <w:szCs w:val="24"/>
        </w:rPr>
        <w:t>不改变基金的投资目标及风险收益特征，符合</w:t>
      </w:r>
      <w:r w:rsidR="00CB6A94" w:rsidRPr="008C3AE6">
        <w:rPr>
          <w:rFonts w:asciiTheme="minorEastAsia" w:hAnsiTheme="minorEastAsia" w:hint="eastAsia"/>
          <w:sz w:val="24"/>
          <w:szCs w:val="24"/>
        </w:rPr>
        <w:t>《存托凭证发行与交易管理办法（试行）》</w:t>
      </w:r>
      <w:r w:rsidR="00CB6A94">
        <w:rPr>
          <w:rFonts w:asciiTheme="minorEastAsia" w:hAnsiTheme="minorEastAsia" w:hint="eastAsia"/>
          <w:sz w:val="24"/>
          <w:szCs w:val="24"/>
        </w:rPr>
        <w:t>的规定</w:t>
      </w:r>
      <w:r w:rsidRPr="008C3AE6">
        <w:rPr>
          <w:rFonts w:asciiTheme="minorEastAsia" w:hAnsiTheme="minorEastAsia" w:hint="eastAsia"/>
          <w:sz w:val="24"/>
          <w:szCs w:val="24"/>
        </w:rPr>
        <w:t>，修订将自</w:t>
      </w:r>
      <w:r w:rsidR="00457F72">
        <w:rPr>
          <w:rFonts w:asciiTheme="minorEastAsia" w:hAnsiTheme="minorEastAsia"/>
          <w:sz w:val="24"/>
          <w:szCs w:val="24"/>
        </w:rPr>
        <w:t>2022年9月</w:t>
      </w:r>
      <w:r w:rsidR="003A4868">
        <w:rPr>
          <w:rFonts w:asciiTheme="minorEastAsia" w:hAnsiTheme="minorEastAsia"/>
          <w:sz w:val="24"/>
          <w:szCs w:val="24"/>
        </w:rPr>
        <w:t>1</w:t>
      </w:r>
      <w:r w:rsidR="00997A62">
        <w:rPr>
          <w:rFonts w:asciiTheme="minorEastAsia" w:hAnsiTheme="minorEastAsia" w:hint="eastAsia"/>
          <w:sz w:val="24"/>
          <w:szCs w:val="24"/>
        </w:rPr>
        <w:t>6</w:t>
      </w:r>
      <w:r w:rsidR="00457F72">
        <w:rPr>
          <w:rFonts w:asciiTheme="minorEastAsia" w:hAnsiTheme="minorEastAsia"/>
          <w:sz w:val="24"/>
          <w:szCs w:val="24"/>
        </w:rPr>
        <w:t>日</w:t>
      </w:r>
      <w:r w:rsidRPr="008C3AE6">
        <w:rPr>
          <w:rFonts w:asciiTheme="minorEastAsia" w:hAnsiTheme="minorEastAsia" w:hint="eastAsia"/>
          <w:sz w:val="24"/>
          <w:szCs w:val="24"/>
        </w:rPr>
        <w:t>起正式生效。现将基金合同、招募说明书（更新）修订</w:t>
      </w:r>
      <w:r w:rsidR="00046ACD">
        <w:rPr>
          <w:rFonts w:asciiTheme="minorEastAsia" w:hAnsiTheme="minorEastAsia" w:hint="eastAsia"/>
          <w:sz w:val="24"/>
          <w:szCs w:val="24"/>
        </w:rPr>
        <w:t>的主要内容</w:t>
      </w:r>
      <w:r w:rsidRPr="008C3AE6">
        <w:rPr>
          <w:rFonts w:asciiTheme="minorEastAsia" w:hAnsiTheme="minorEastAsia" w:hint="eastAsia"/>
          <w:sz w:val="24"/>
          <w:szCs w:val="24"/>
        </w:rPr>
        <w:t>公告如下：</w:t>
      </w:r>
    </w:p>
    <w:p w14:paraId="508CF0D3" w14:textId="5F77B707" w:rsidR="00154D20" w:rsidRPr="008C3AE6" w:rsidRDefault="001B1D86" w:rsidP="00154D20">
      <w:pPr>
        <w:spacing w:line="360" w:lineRule="auto"/>
        <w:ind w:firstLineChars="200" w:firstLine="480"/>
        <w:rPr>
          <w:rFonts w:asciiTheme="minorEastAsia" w:hAnsiTheme="minorEastAsia"/>
          <w:sz w:val="24"/>
          <w:szCs w:val="24"/>
        </w:rPr>
      </w:pPr>
      <w:r w:rsidRPr="008C3AE6">
        <w:rPr>
          <w:rFonts w:asciiTheme="minorEastAsia" w:hAnsiTheme="minorEastAsia"/>
          <w:sz w:val="24"/>
          <w:szCs w:val="24"/>
        </w:rPr>
        <w:t>一</w:t>
      </w:r>
      <w:r w:rsidRPr="008C3AE6">
        <w:rPr>
          <w:rFonts w:asciiTheme="minorEastAsia" w:hAnsiTheme="minorEastAsia" w:hint="eastAsia"/>
          <w:sz w:val="24"/>
          <w:szCs w:val="24"/>
        </w:rPr>
        <w:t>、本次修订基金范围</w:t>
      </w:r>
    </w:p>
    <w:p w14:paraId="49FFB1DB" w14:textId="4F5AEC89" w:rsidR="00154D20" w:rsidRPr="008C3AE6" w:rsidRDefault="00B06AEE" w:rsidP="00154D20">
      <w:pPr>
        <w:spacing w:line="360" w:lineRule="auto"/>
        <w:ind w:firstLineChars="200" w:firstLine="480"/>
        <w:rPr>
          <w:rFonts w:asciiTheme="minorEastAsia" w:hAnsiTheme="minorEastAsia"/>
          <w:sz w:val="24"/>
          <w:szCs w:val="24"/>
        </w:rPr>
      </w:pPr>
      <w:r w:rsidRPr="008C3AE6">
        <w:rPr>
          <w:rFonts w:asciiTheme="minorEastAsia" w:hAnsiTheme="minorEastAsia"/>
          <w:sz w:val="24"/>
          <w:szCs w:val="24"/>
        </w:rPr>
        <w:t>本次修订涉及基金管理人旗下</w:t>
      </w:r>
      <w:r w:rsidR="00457F72">
        <w:rPr>
          <w:rFonts w:asciiTheme="minorEastAsia" w:hAnsiTheme="minorEastAsia" w:hint="eastAsia"/>
          <w:sz w:val="24"/>
          <w:szCs w:val="24"/>
        </w:rPr>
        <w:t>8</w:t>
      </w:r>
      <w:r w:rsidR="00457F72" w:rsidRPr="008C3AE6">
        <w:rPr>
          <w:rFonts w:asciiTheme="minorEastAsia" w:hAnsiTheme="minorEastAsia" w:hint="eastAsia"/>
          <w:sz w:val="24"/>
          <w:szCs w:val="24"/>
        </w:rPr>
        <w:t>只</w:t>
      </w:r>
      <w:r w:rsidRPr="008C3AE6">
        <w:rPr>
          <w:rFonts w:asciiTheme="minorEastAsia" w:hAnsiTheme="minorEastAsia" w:hint="eastAsia"/>
          <w:sz w:val="24"/>
          <w:szCs w:val="24"/>
        </w:rPr>
        <w:t>公募基金，详细名单见本公告的附表。</w:t>
      </w:r>
    </w:p>
    <w:p w14:paraId="7FD34946" w14:textId="77777777" w:rsidR="00B06AEE" w:rsidRPr="008C3AE6" w:rsidRDefault="00B06AEE" w:rsidP="00B06AEE">
      <w:pPr>
        <w:spacing w:line="360" w:lineRule="auto"/>
        <w:ind w:firstLineChars="200" w:firstLine="480"/>
        <w:rPr>
          <w:rFonts w:asciiTheme="minorEastAsia" w:hAnsiTheme="minorEastAsia"/>
          <w:sz w:val="24"/>
          <w:szCs w:val="24"/>
        </w:rPr>
      </w:pPr>
      <w:r w:rsidRPr="008C3AE6">
        <w:rPr>
          <w:rFonts w:asciiTheme="minorEastAsia" w:hAnsiTheme="minorEastAsia"/>
          <w:sz w:val="24"/>
          <w:szCs w:val="24"/>
        </w:rPr>
        <w:t>二</w:t>
      </w:r>
      <w:r w:rsidRPr="008C3AE6">
        <w:rPr>
          <w:rFonts w:asciiTheme="minorEastAsia" w:hAnsiTheme="minorEastAsia" w:hint="eastAsia"/>
          <w:sz w:val="24"/>
          <w:szCs w:val="24"/>
        </w:rPr>
        <w:t>、本次修订的主要内容</w:t>
      </w:r>
    </w:p>
    <w:p w14:paraId="12E917A4" w14:textId="427C6EA2" w:rsidR="00457F72" w:rsidRPr="00457F72" w:rsidRDefault="00457F72" w:rsidP="00457F72">
      <w:pPr>
        <w:spacing w:line="360" w:lineRule="auto"/>
        <w:ind w:firstLineChars="200" w:firstLine="480"/>
        <w:rPr>
          <w:rFonts w:asciiTheme="minorEastAsia" w:hAnsiTheme="minorEastAsia"/>
          <w:sz w:val="24"/>
          <w:szCs w:val="24"/>
        </w:rPr>
      </w:pPr>
      <w:r w:rsidRPr="009C20CA">
        <w:rPr>
          <w:rFonts w:asciiTheme="minorEastAsia" w:hAnsiTheme="minorEastAsia" w:hint="eastAsia"/>
          <w:sz w:val="24"/>
          <w:szCs w:val="24"/>
        </w:rPr>
        <w:t>（一）</w:t>
      </w:r>
      <w:r w:rsidRPr="00457F72">
        <w:rPr>
          <w:rFonts w:asciiTheme="minorEastAsia" w:hAnsiTheme="minorEastAsia" w:hint="eastAsia"/>
          <w:sz w:val="24"/>
          <w:szCs w:val="24"/>
        </w:rPr>
        <w:t>在</w:t>
      </w:r>
      <w:r>
        <w:rPr>
          <w:rFonts w:asciiTheme="minorEastAsia" w:hAnsiTheme="minorEastAsia" w:hint="eastAsia"/>
          <w:sz w:val="24"/>
          <w:szCs w:val="24"/>
        </w:rPr>
        <w:t>基金合同</w:t>
      </w:r>
      <w:r w:rsidRPr="00457F72">
        <w:rPr>
          <w:rFonts w:asciiTheme="minorEastAsia" w:hAnsiTheme="minorEastAsia" w:hint="eastAsia"/>
          <w:sz w:val="24"/>
          <w:szCs w:val="24"/>
        </w:rPr>
        <w:t>“前言”部分增加投资范围包括存托凭证的描述如下：</w:t>
      </w:r>
    </w:p>
    <w:p w14:paraId="133CA1AF" w14:textId="3F242A06" w:rsidR="00457F72" w:rsidRPr="001B5B60" w:rsidRDefault="009F70ED" w:rsidP="00457F72">
      <w:pPr>
        <w:spacing w:line="360" w:lineRule="auto"/>
        <w:ind w:firstLineChars="200" w:firstLine="482"/>
        <w:rPr>
          <w:rFonts w:asciiTheme="minorEastAsia" w:hAnsiTheme="minorEastAsia"/>
          <w:b/>
          <w:sz w:val="24"/>
          <w:szCs w:val="24"/>
          <w:u w:val="single"/>
        </w:rPr>
      </w:pPr>
      <w:r>
        <w:rPr>
          <w:rFonts w:asciiTheme="minorEastAsia" w:hAnsiTheme="minorEastAsia" w:hint="eastAsia"/>
          <w:b/>
          <w:sz w:val="24"/>
          <w:szCs w:val="24"/>
          <w:u w:val="single"/>
        </w:rPr>
        <w:t>“</w:t>
      </w:r>
      <w:r w:rsidR="00457F72" w:rsidRPr="001B5B60">
        <w:rPr>
          <w:rFonts w:asciiTheme="minorEastAsia" w:hAnsiTheme="minorEastAsia" w:hint="eastAsia"/>
          <w:b/>
          <w:sz w:val="24"/>
          <w:szCs w:val="24"/>
          <w:u w:val="single"/>
        </w:rPr>
        <w:t>本基金的投资范围包括存托凭证，除与其他仅投资于境内市场股票的基金所面临的共同风险外，若本基金投资存托凭证的，本基金还将面临中国存托凭证价格大幅波动甚至出现较大亏损的风险，以及与中国存托凭证发行机制相关的风险。</w:t>
      </w:r>
      <w:r>
        <w:rPr>
          <w:rFonts w:asciiTheme="minorEastAsia" w:hAnsiTheme="minorEastAsia" w:hint="eastAsia"/>
          <w:b/>
          <w:sz w:val="24"/>
          <w:szCs w:val="24"/>
          <w:u w:val="single"/>
        </w:rPr>
        <w:t>”</w:t>
      </w:r>
    </w:p>
    <w:p w14:paraId="18136568" w14:textId="7BFA485C" w:rsidR="00457F72" w:rsidRPr="00457F72" w:rsidRDefault="000724FF" w:rsidP="00457F7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00331778">
        <w:rPr>
          <w:rFonts w:asciiTheme="minorEastAsia" w:hAnsiTheme="minorEastAsia" w:hint="eastAsia"/>
          <w:sz w:val="24"/>
          <w:szCs w:val="24"/>
        </w:rPr>
        <w:t>对</w:t>
      </w:r>
      <w:bookmarkStart w:id="0" w:name="_GoBack"/>
      <w:bookmarkEnd w:id="0"/>
      <w:r w:rsidR="00457F72" w:rsidRPr="00EC786F">
        <w:rPr>
          <w:rFonts w:asciiTheme="minorEastAsia" w:hAnsiTheme="minorEastAsia" w:hint="eastAsia"/>
          <w:sz w:val="24"/>
          <w:szCs w:val="24"/>
        </w:rPr>
        <w:t>“基金的投资”部分的修订</w:t>
      </w:r>
    </w:p>
    <w:p w14:paraId="3B260E6A" w14:textId="550F1CF0" w:rsidR="00457F72" w:rsidRPr="00457F72" w:rsidRDefault="00457F72" w:rsidP="00457F72">
      <w:pPr>
        <w:spacing w:line="360" w:lineRule="auto"/>
        <w:ind w:firstLineChars="200" w:firstLine="480"/>
        <w:rPr>
          <w:rFonts w:asciiTheme="minorEastAsia" w:hAnsiTheme="minorEastAsia"/>
          <w:sz w:val="24"/>
          <w:szCs w:val="24"/>
        </w:rPr>
      </w:pPr>
      <w:r w:rsidRPr="00457F72">
        <w:rPr>
          <w:rFonts w:asciiTheme="minorEastAsia" w:hAnsiTheme="minorEastAsia" w:hint="eastAsia"/>
          <w:sz w:val="24"/>
          <w:szCs w:val="24"/>
        </w:rPr>
        <w:t>1、明确“投资范围”中“股票”包含存托凭证。</w:t>
      </w:r>
      <w:r w:rsidR="0082380D" w:rsidRPr="008C3AE6">
        <w:rPr>
          <w:rFonts w:asciiTheme="minorEastAsia" w:hAnsiTheme="minorEastAsia" w:hint="eastAsia"/>
          <w:sz w:val="24"/>
          <w:szCs w:val="24"/>
        </w:rPr>
        <w:t>以嘉实</w:t>
      </w:r>
      <w:r w:rsidR="0082380D">
        <w:rPr>
          <w:rFonts w:asciiTheme="minorEastAsia" w:hAnsiTheme="minorEastAsia" w:hint="eastAsia"/>
          <w:sz w:val="24"/>
          <w:szCs w:val="24"/>
        </w:rPr>
        <w:t>稳宏债券</w:t>
      </w:r>
      <w:r w:rsidR="0082380D" w:rsidRPr="008C3AE6">
        <w:rPr>
          <w:rFonts w:asciiTheme="minorEastAsia" w:hAnsiTheme="minorEastAsia" w:hint="eastAsia"/>
          <w:sz w:val="24"/>
          <w:szCs w:val="24"/>
        </w:rPr>
        <w:t>型证券投资基金为例</w:t>
      </w:r>
      <w:r w:rsidR="0082380D">
        <w:rPr>
          <w:rFonts w:asciiTheme="minorEastAsia" w:hAnsiTheme="minorEastAsia" w:hint="eastAsia"/>
          <w:sz w:val="24"/>
          <w:szCs w:val="24"/>
        </w:rPr>
        <w:t>，</w:t>
      </w:r>
      <w:r w:rsidRPr="00457F72">
        <w:rPr>
          <w:rFonts w:asciiTheme="minorEastAsia" w:hAnsiTheme="minorEastAsia" w:hint="eastAsia"/>
          <w:sz w:val="24"/>
          <w:szCs w:val="24"/>
        </w:rPr>
        <w:t>将“投资范围”修订为：</w:t>
      </w:r>
    </w:p>
    <w:p w14:paraId="3E03C4DC" w14:textId="5CF93FB7" w:rsidR="00457F72" w:rsidRPr="00457F72" w:rsidRDefault="009F70ED" w:rsidP="00457F7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457F72" w:rsidRPr="00457F72">
        <w:rPr>
          <w:rFonts w:asciiTheme="minorEastAsia" w:hAnsiTheme="minorEastAsia" w:hint="eastAsia"/>
          <w:sz w:val="24"/>
          <w:szCs w:val="24"/>
        </w:rPr>
        <w:t>本基金投资于依法发行、上市的股票、债券等金融工具及法律法规或中国证监会允许基金投资的其他金融工具。具体包括：股票（包含中小板、创业板</w:t>
      </w:r>
      <w:r w:rsidR="00457F72" w:rsidRPr="001B5B60">
        <w:rPr>
          <w:rFonts w:asciiTheme="minorEastAsia" w:hAnsiTheme="minorEastAsia" w:hint="eastAsia"/>
          <w:b/>
          <w:sz w:val="24"/>
          <w:szCs w:val="24"/>
          <w:u w:val="single"/>
        </w:rPr>
        <w:t>、存托凭证</w:t>
      </w:r>
      <w:r w:rsidR="00457F72" w:rsidRPr="00457F72">
        <w:rPr>
          <w:rFonts w:asciiTheme="minorEastAsia" w:hAnsiTheme="minorEastAsia" w:hint="eastAsia"/>
          <w:sz w:val="24"/>
          <w:szCs w:val="24"/>
        </w:rPr>
        <w:t>及其他依法发行、上市的股票），国债期货、权证，债券（国债、金融债、企业（公司）债、次级债、地方政府债、可转换债券（含分离交易可转债）、可交换公司债券、央行票据、短期融资券、超短期融资券、中期票据、中小企业</w:t>
      </w:r>
      <w:r w:rsidR="00457F72" w:rsidRPr="00457F72">
        <w:rPr>
          <w:rFonts w:asciiTheme="minorEastAsia" w:hAnsiTheme="minorEastAsia" w:hint="eastAsia"/>
          <w:sz w:val="24"/>
          <w:szCs w:val="24"/>
        </w:rPr>
        <w:lastRenderedPageBreak/>
        <w:t>私募债等）、资产支持证券、债券回购、同业存单、银行存款（包括协议存款、定期存款及其他银行存款）等，以及法律法规或中国证监会允许基金投资的其他金融工具（但须符合中国证监会的相关规定）。</w:t>
      </w:r>
      <w:r>
        <w:rPr>
          <w:rFonts w:asciiTheme="minorEastAsia" w:hAnsiTheme="minorEastAsia" w:hint="eastAsia"/>
          <w:sz w:val="24"/>
          <w:szCs w:val="24"/>
        </w:rPr>
        <w:t>”</w:t>
      </w:r>
    </w:p>
    <w:p w14:paraId="7D04F56E" w14:textId="77777777" w:rsidR="00457F72" w:rsidRPr="00457F72" w:rsidRDefault="00457F72" w:rsidP="00457F72">
      <w:pPr>
        <w:spacing w:line="360" w:lineRule="auto"/>
        <w:ind w:firstLineChars="200" w:firstLine="480"/>
        <w:rPr>
          <w:rFonts w:asciiTheme="minorEastAsia" w:hAnsiTheme="minorEastAsia"/>
          <w:sz w:val="24"/>
          <w:szCs w:val="24"/>
        </w:rPr>
      </w:pPr>
      <w:r w:rsidRPr="00457F72">
        <w:rPr>
          <w:rFonts w:asciiTheme="minorEastAsia" w:hAnsiTheme="minorEastAsia" w:hint="eastAsia"/>
          <w:sz w:val="24"/>
          <w:szCs w:val="24"/>
        </w:rPr>
        <w:t>2、在股票投资策略部分增加存托凭证投资策略描述如下：</w:t>
      </w:r>
    </w:p>
    <w:p w14:paraId="42487AD7" w14:textId="1B2D790B" w:rsidR="00457F72" w:rsidRPr="001B5B60" w:rsidRDefault="009F70ED" w:rsidP="001B5B60">
      <w:pPr>
        <w:spacing w:line="360" w:lineRule="auto"/>
        <w:ind w:firstLineChars="200" w:firstLine="482"/>
        <w:rPr>
          <w:rFonts w:asciiTheme="minorEastAsia" w:hAnsiTheme="minorEastAsia"/>
          <w:b/>
          <w:sz w:val="24"/>
          <w:szCs w:val="24"/>
          <w:u w:val="single"/>
        </w:rPr>
      </w:pPr>
      <w:r>
        <w:rPr>
          <w:rFonts w:asciiTheme="minorEastAsia" w:hAnsiTheme="minorEastAsia" w:hint="eastAsia"/>
          <w:b/>
          <w:sz w:val="24"/>
          <w:szCs w:val="24"/>
          <w:u w:val="single"/>
        </w:rPr>
        <w:t>“</w:t>
      </w:r>
      <w:r w:rsidR="00457F72" w:rsidRPr="001B5B60">
        <w:rPr>
          <w:rFonts w:asciiTheme="minorEastAsia" w:hAnsiTheme="minorEastAsia" w:hint="eastAsia"/>
          <w:b/>
          <w:sz w:val="24"/>
          <w:szCs w:val="24"/>
          <w:u w:val="single"/>
        </w:rPr>
        <w:t>对于存托凭证投资，本基金将在深入研究的基础上，通过定性分析和定量分析相结合的方式，筛选具有比较优势的存托凭证作为投资标的。</w:t>
      </w:r>
      <w:r>
        <w:rPr>
          <w:rFonts w:asciiTheme="minorEastAsia" w:hAnsiTheme="minorEastAsia" w:hint="eastAsia"/>
          <w:b/>
          <w:sz w:val="24"/>
          <w:szCs w:val="24"/>
          <w:u w:val="single"/>
        </w:rPr>
        <w:t>”</w:t>
      </w:r>
    </w:p>
    <w:p w14:paraId="719D69F0" w14:textId="77777777" w:rsidR="00457F72" w:rsidRPr="00457F72" w:rsidRDefault="00457F72" w:rsidP="00457F72">
      <w:pPr>
        <w:spacing w:line="360" w:lineRule="auto"/>
        <w:ind w:firstLineChars="200" w:firstLine="480"/>
        <w:rPr>
          <w:rFonts w:asciiTheme="minorEastAsia" w:hAnsiTheme="minorEastAsia"/>
          <w:sz w:val="24"/>
          <w:szCs w:val="24"/>
        </w:rPr>
      </w:pPr>
      <w:r w:rsidRPr="00457F72">
        <w:rPr>
          <w:rFonts w:asciiTheme="minorEastAsia" w:hAnsiTheme="minorEastAsia" w:hint="eastAsia"/>
          <w:sz w:val="24"/>
          <w:szCs w:val="24"/>
        </w:rPr>
        <w:t>3、在“投资限制”中增加存托凭证投资限制描述如下：</w:t>
      </w:r>
    </w:p>
    <w:p w14:paraId="3EF6023E" w14:textId="3104CA2D" w:rsidR="00457F72" w:rsidRPr="001B5B60" w:rsidRDefault="009F70ED" w:rsidP="001B5B60">
      <w:pPr>
        <w:spacing w:line="360" w:lineRule="auto"/>
        <w:ind w:firstLineChars="200" w:firstLine="482"/>
        <w:rPr>
          <w:rFonts w:asciiTheme="minorEastAsia" w:hAnsiTheme="minorEastAsia"/>
          <w:b/>
          <w:sz w:val="24"/>
          <w:szCs w:val="24"/>
          <w:u w:val="single"/>
        </w:rPr>
      </w:pPr>
      <w:r>
        <w:rPr>
          <w:rFonts w:asciiTheme="minorEastAsia" w:hAnsiTheme="minorEastAsia" w:hint="eastAsia"/>
          <w:b/>
          <w:sz w:val="24"/>
          <w:szCs w:val="24"/>
          <w:u w:val="single"/>
        </w:rPr>
        <w:t>“</w:t>
      </w:r>
      <w:r w:rsidR="00457F72" w:rsidRPr="001B5B60">
        <w:rPr>
          <w:rFonts w:asciiTheme="minorEastAsia" w:hAnsiTheme="minorEastAsia" w:hint="eastAsia"/>
          <w:b/>
          <w:sz w:val="24"/>
          <w:szCs w:val="24"/>
          <w:u w:val="single"/>
        </w:rPr>
        <w:t>本基金投资存托凭证的比例限制依照国内依法发行上市的股票执行，与国内依法发行上市的股票合并计算</w:t>
      </w:r>
      <w:r>
        <w:rPr>
          <w:rFonts w:asciiTheme="minorEastAsia" w:hAnsiTheme="minorEastAsia" w:hint="eastAsia"/>
          <w:b/>
          <w:sz w:val="24"/>
          <w:szCs w:val="24"/>
          <w:u w:val="single"/>
        </w:rPr>
        <w:t>。</w:t>
      </w:r>
      <w:r>
        <w:rPr>
          <w:rFonts w:asciiTheme="minorEastAsia" w:hAnsiTheme="minorEastAsia" w:hint="eastAsia"/>
          <w:b/>
          <w:sz w:val="24"/>
          <w:szCs w:val="24"/>
          <w:u w:val="single"/>
        </w:rPr>
        <w:t>”</w:t>
      </w:r>
    </w:p>
    <w:p w14:paraId="7EC0C748" w14:textId="11488C73" w:rsidR="00457F72" w:rsidRPr="00D4325E" w:rsidRDefault="00457F72" w:rsidP="00457F72">
      <w:pPr>
        <w:spacing w:line="360" w:lineRule="auto"/>
        <w:ind w:firstLineChars="200" w:firstLine="480"/>
        <w:rPr>
          <w:rFonts w:asciiTheme="minorEastAsia" w:hAnsiTheme="minorEastAsia"/>
          <w:sz w:val="24"/>
          <w:szCs w:val="24"/>
        </w:rPr>
      </w:pPr>
      <w:r w:rsidRPr="00D4325E">
        <w:rPr>
          <w:rFonts w:asciiTheme="minorEastAsia" w:hAnsiTheme="minorEastAsia" w:hint="eastAsia"/>
          <w:sz w:val="24"/>
          <w:szCs w:val="24"/>
        </w:rPr>
        <w:t>（三）在“基金资产估值”部分的“估值方法”中增加存托凭证估值方法描述如下：</w:t>
      </w:r>
    </w:p>
    <w:p w14:paraId="28867CB5" w14:textId="07F7A5D7" w:rsidR="00457F72" w:rsidRPr="001B5B60" w:rsidRDefault="009F70ED" w:rsidP="00B06AEE">
      <w:pPr>
        <w:spacing w:line="360" w:lineRule="auto"/>
        <w:ind w:firstLineChars="200" w:firstLine="482"/>
        <w:rPr>
          <w:rFonts w:asciiTheme="minorEastAsia" w:hAnsiTheme="minorEastAsia"/>
          <w:b/>
          <w:sz w:val="24"/>
          <w:szCs w:val="24"/>
          <w:u w:val="single"/>
        </w:rPr>
      </w:pPr>
      <w:r>
        <w:rPr>
          <w:rFonts w:asciiTheme="minorEastAsia" w:hAnsiTheme="minorEastAsia" w:hint="eastAsia"/>
          <w:b/>
          <w:sz w:val="24"/>
          <w:szCs w:val="24"/>
          <w:u w:val="single"/>
        </w:rPr>
        <w:t>“</w:t>
      </w:r>
      <w:r w:rsidR="00457F72" w:rsidRPr="001B5B60">
        <w:rPr>
          <w:rFonts w:asciiTheme="minorEastAsia" w:hAnsiTheme="minorEastAsia" w:hint="eastAsia"/>
          <w:b/>
          <w:sz w:val="24"/>
          <w:szCs w:val="24"/>
          <w:u w:val="single"/>
        </w:rPr>
        <w:t>本基金投资存托凭证的估值核算，依照国内依法发行上市的股票执行。</w:t>
      </w:r>
      <w:r>
        <w:rPr>
          <w:rFonts w:asciiTheme="minorEastAsia" w:hAnsiTheme="minorEastAsia" w:hint="eastAsia"/>
          <w:b/>
          <w:sz w:val="24"/>
          <w:szCs w:val="24"/>
          <w:u w:val="single"/>
        </w:rPr>
        <w:t>”</w:t>
      </w:r>
    </w:p>
    <w:p w14:paraId="0EA7F7BE" w14:textId="5BA3226F" w:rsidR="00B06AEE" w:rsidRPr="008C3AE6" w:rsidRDefault="00B06AEE" w:rsidP="00B06AEE">
      <w:pPr>
        <w:spacing w:line="360" w:lineRule="auto"/>
        <w:ind w:firstLineChars="200" w:firstLine="480"/>
        <w:rPr>
          <w:rFonts w:asciiTheme="minorEastAsia" w:hAnsiTheme="minorEastAsia"/>
          <w:sz w:val="24"/>
          <w:szCs w:val="24"/>
        </w:rPr>
      </w:pPr>
      <w:r w:rsidRPr="00D4325E">
        <w:rPr>
          <w:rFonts w:asciiTheme="minorEastAsia" w:hAnsiTheme="minorEastAsia" w:hint="eastAsia"/>
          <w:sz w:val="24"/>
          <w:szCs w:val="24"/>
        </w:rPr>
        <w:t>（</w:t>
      </w:r>
      <w:r w:rsidR="00D4325E" w:rsidRPr="00D4325E">
        <w:rPr>
          <w:rFonts w:asciiTheme="minorEastAsia" w:hAnsiTheme="minorEastAsia" w:hint="eastAsia"/>
          <w:sz w:val="24"/>
          <w:szCs w:val="24"/>
        </w:rPr>
        <w:t>四</w:t>
      </w:r>
      <w:r w:rsidRPr="00D4325E">
        <w:rPr>
          <w:rFonts w:asciiTheme="minorEastAsia" w:hAnsiTheme="minorEastAsia" w:hint="eastAsia"/>
          <w:sz w:val="24"/>
          <w:szCs w:val="24"/>
        </w:rPr>
        <w:t>）在</w:t>
      </w:r>
      <w:r w:rsidRPr="008C3AE6">
        <w:rPr>
          <w:rFonts w:asciiTheme="minorEastAsia" w:hAnsiTheme="minorEastAsia" w:hint="eastAsia"/>
          <w:sz w:val="24"/>
          <w:szCs w:val="24"/>
        </w:rPr>
        <w:t>基金招募说明书（更新）的“重要提示”部分增加投资存托凭证的风险揭示如下：</w:t>
      </w:r>
    </w:p>
    <w:p w14:paraId="5CD7EE77" w14:textId="39B9BBBD" w:rsidR="00B06AEE" w:rsidRPr="008C3AE6" w:rsidRDefault="00B06AEE" w:rsidP="00B06AEE">
      <w:pPr>
        <w:spacing w:line="360" w:lineRule="auto"/>
        <w:ind w:firstLineChars="200" w:firstLine="482"/>
        <w:rPr>
          <w:rFonts w:asciiTheme="minorEastAsia" w:hAnsiTheme="minorEastAsia"/>
          <w:b/>
          <w:sz w:val="24"/>
          <w:szCs w:val="24"/>
          <w:u w:val="single"/>
        </w:rPr>
      </w:pPr>
      <w:r w:rsidRPr="008C3AE6">
        <w:rPr>
          <w:rFonts w:asciiTheme="minorEastAsia" w:hAnsiTheme="minorEastAsia" w:hint="eastAsia"/>
          <w:b/>
          <w:sz w:val="24"/>
          <w:szCs w:val="24"/>
          <w:u w:val="single"/>
        </w:rPr>
        <w:t>“</w:t>
      </w:r>
      <w:r w:rsidR="00120D26" w:rsidRPr="00120D26">
        <w:rPr>
          <w:rFonts w:asciiTheme="minorEastAsia" w:hAnsiTheme="minorEastAsia" w:hint="eastAsia"/>
          <w:b/>
          <w:sz w:val="24"/>
          <w:szCs w:val="24"/>
          <w:u w:val="single"/>
        </w:rPr>
        <w:t>本基金的投资范围包括存托凭证，除与其他仅投资于境内市场股票的基金所面临的共同风险外，若本基金投资存托凭证的，本基金还将面临中国存托凭证价格大幅波动甚至出现较大亏损的风险，以及与中国存托凭证发行机制相关的风险。</w:t>
      </w:r>
      <w:r w:rsidRPr="008C3AE6">
        <w:rPr>
          <w:rFonts w:asciiTheme="minorEastAsia" w:hAnsiTheme="minorEastAsia" w:hint="eastAsia"/>
          <w:b/>
          <w:sz w:val="24"/>
          <w:szCs w:val="24"/>
          <w:u w:val="single"/>
        </w:rPr>
        <w:t>”</w:t>
      </w:r>
    </w:p>
    <w:p w14:paraId="62E43F25" w14:textId="72B0DBA6" w:rsidR="00B06AEE" w:rsidRPr="008C3AE6" w:rsidRDefault="00B06AEE" w:rsidP="00B06AEE">
      <w:pPr>
        <w:spacing w:line="360" w:lineRule="auto"/>
        <w:ind w:firstLineChars="200" w:firstLine="480"/>
        <w:rPr>
          <w:rFonts w:asciiTheme="minorEastAsia" w:hAnsiTheme="minorEastAsia"/>
          <w:sz w:val="24"/>
          <w:szCs w:val="24"/>
        </w:rPr>
      </w:pPr>
      <w:r w:rsidRPr="008C3AE6">
        <w:rPr>
          <w:rFonts w:asciiTheme="minorEastAsia" w:hAnsiTheme="minorEastAsia" w:hint="eastAsia"/>
          <w:sz w:val="24"/>
          <w:szCs w:val="24"/>
        </w:rPr>
        <w:t>（</w:t>
      </w:r>
      <w:r w:rsidR="004D2C59">
        <w:rPr>
          <w:rFonts w:asciiTheme="minorEastAsia" w:hAnsiTheme="minorEastAsia" w:hint="eastAsia"/>
          <w:sz w:val="24"/>
          <w:szCs w:val="24"/>
        </w:rPr>
        <w:t>五</w:t>
      </w:r>
      <w:r w:rsidRPr="008C3AE6">
        <w:rPr>
          <w:rFonts w:asciiTheme="minorEastAsia" w:hAnsiTheme="minorEastAsia" w:hint="eastAsia"/>
          <w:sz w:val="24"/>
          <w:szCs w:val="24"/>
        </w:rPr>
        <w:t>）在基金招募说明书（更新）的“风险揭示”部分增加投资存托凭证的风险揭示如下：</w:t>
      </w:r>
    </w:p>
    <w:p w14:paraId="69574834" w14:textId="18662A5E" w:rsidR="00B06AEE" w:rsidRPr="008C3AE6" w:rsidRDefault="00B06AEE" w:rsidP="00B06AEE">
      <w:pPr>
        <w:spacing w:line="360" w:lineRule="auto"/>
        <w:ind w:firstLineChars="200" w:firstLine="482"/>
        <w:rPr>
          <w:rFonts w:asciiTheme="minorEastAsia" w:hAnsiTheme="minorEastAsia"/>
          <w:b/>
          <w:sz w:val="24"/>
          <w:szCs w:val="24"/>
          <w:u w:val="single"/>
        </w:rPr>
      </w:pPr>
      <w:r w:rsidRPr="008C3AE6">
        <w:rPr>
          <w:rFonts w:asciiTheme="minorEastAsia" w:hAnsiTheme="minorEastAsia" w:hint="eastAsia"/>
          <w:b/>
          <w:sz w:val="24"/>
          <w:szCs w:val="24"/>
          <w:u w:val="single"/>
        </w:rPr>
        <w:t>“</w:t>
      </w:r>
      <w:r w:rsidR="00B058D9" w:rsidRPr="00B058D9">
        <w:rPr>
          <w:rFonts w:asciiTheme="minorEastAsia" w:hAnsiTheme="minorEastAsia" w:hint="eastAsia"/>
          <w:b/>
          <w:sz w:val="24"/>
          <w:szCs w:val="24"/>
          <w:u w:val="single"/>
        </w:rPr>
        <w:t>本基金的投资范围包括存托凭证，除与其他仅投资于境内市场股票的基金所面临的共同风险外，若本基金投资存托凭证的，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w:t>
      </w:r>
      <w:r w:rsidR="00B058D9" w:rsidRPr="00B058D9">
        <w:rPr>
          <w:rFonts w:asciiTheme="minorEastAsia" w:hAnsiTheme="minorEastAsia" w:hint="eastAsia"/>
          <w:b/>
          <w:sz w:val="24"/>
          <w:szCs w:val="24"/>
          <w:u w:val="single"/>
        </w:rPr>
        <w:lastRenderedPageBreak/>
        <w:t>环境差异可能导致的其他风险。</w:t>
      </w:r>
      <w:r w:rsidRPr="008C3AE6">
        <w:rPr>
          <w:rFonts w:asciiTheme="minorEastAsia" w:hAnsiTheme="minorEastAsia" w:hint="eastAsia"/>
          <w:b/>
          <w:sz w:val="24"/>
          <w:szCs w:val="24"/>
          <w:u w:val="single"/>
        </w:rPr>
        <w:t>”</w:t>
      </w:r>
    </w:p>
    <w:p w14:paraId="661AC6A3" w14:textId="0891D283" w:rsidR="00A80177" w:rsidRPr="008C3AE6" w:rsidRDefault="00B06AEE" w:rsidP="00B06AEE">
      <w:pPr>
        <w:spacing w:line="360" w:lineRule="auto"/>
        <w:ind w:firstLineChars="200" w:firstLine="480"/>
        <w:rPr>
          <w:rFonts w:asciiTheme="minorEastAsia" w:hAnsiTheme="minorEastAsia"/>
          <w:sz w:val="24"/>
          <w:szCs w:val="24"/>
        </w:rPr>
      </w:pPr>
      <w:r w:rsidRPr="008C3AE6">
        <w:rPr>
          <w:rFonts w:asciiTheme="minorEastAsia" w:hAnsiTheme="minorEastAsia" w:cs="宋体" w:hint="eastAsia"/>
          <w:kern w:val="0"/>
          <w:sz w:val="24"/>
          <w:szCs w:val="24"/>
        </w:rPr>
        <w:t>因上述修订导致的序号变化顺序调整，托管协议涉及上述内容的条款一并调整。</w:t>
      </w:r>
      <w:r w:rsidRPr="008C3AE6">
        <w:rPr>
          <w:rFonts w:asciiTheme="minorEastAsia" w:hAnsiTheme="minorEastAsia" w:hint="eastAsia"/>
          <w:sz w:val="24"/>
          <w:szCs w:val="24"/>
        </w:rPr>
        <w:t>本次修订</w:t>
      </w:r>
      <w:r w:rsidR="008150C7" w:rsidRPr="008C3AE6">
        <w:rPr>
          <w:rFonts w:asciiTheme="minorEastAsia" w:hAnsiTheme="minorEastAsia" w:hint="eastAsia"/>
          <w:sz w:val="24"/>
          <w:szCs w:val="24"/>
        </w:rPr>
        <w:t>已履行了规定的程序，符合相关法律法规的规定及基金合同的约定。</w:t>
      </w:r>
    </w:p>
    <w:p w14:paraId="7DE8988C" w14:textId="0BB752BF" w:rsidR="008150C7" w:rsidRPr="008C3AE6" w:rsidRDefault="008150C7" w:rsidP="00315B22">
      <w:pPr>
        <w:spacing w:line="360" w:lineRule="auto"/>
        <w:ind w:firstLineChars="200" w:firstLine="480"/>
        <w:rPr>
          <w:rFonts w:asciiTheme="minorEastAsia" w:hAnsiTheme="minorEastAsia"/>
          <w:sz w:val="24"/>
          <w:szCs w:val="24"/>
        </w:rPr>
      </w:pPr>
      <w:r w:rsidRPr="008C3AE6">
        <w:rPr>
          <w:rFonts w:asciiTheme="minorEastAsia" w:hAnsiTheme="minorEastAsia" w:hint="eastAsia"/>
          <w:sz w:val="24"/>
          <w:szCs w:val="24"/>
        </w:rPr>
        <w:t>上述修改自</w:t>
      </w:r>
      <w:r w:rsidR="00457F72">
        <w:rPr>
          <w:rFonts w:asciiTheme="minorEastAsia" w:hAnsiTheme="minorEastAsia" w:hint="eastAsia"/>
          <w:sz w:val="24"/>
          <w:szCs w:val="24"/>
        </w:rPr>
        <w:t>2022年9月1</w:t>
      </w:r>
      <w:r w:rsidR="003A4868">
        <w:rPr>
          <w:rFonts w:asciiTheme="minorEastAsia" w:hAnsiTheme="minorEastAsia"/>
          <w:sz w:val="24"/>
          <w:szCs w:val="24"/>
        </w:rPr>
        <w:t>6</w:t>
      </w:r>
      <w:r w:rsidR="00457F72">
        <w:rPr>
          <w:rFonts w:asciiTheme="minorEastAsia" w:hAnsiTheme="minorEastAsia" w:hint="eastAsia"/>
          <w:sz w:val="24"/>
          <w:szCs w:val="24"/>
        </w:rPr>
        <w:t>日</w:t>
      </w:r>
      <w:r w:rsidRPr="008C3AE6">
        <w:rPr>
          <w:rFonts w:asciiTheme="minorEastAsia" w:hAnsiTheme="minorEastAsia" w:hint="eastAsia"/>
          <w:sz w:val="24"/>
          <w:szCs w:val="24"/>
        </w:rPr>
        <w:t>起生效。相关基金的基金合同</w:t>
      </w:r>
      <w:r w:rsidR="00562D80" w:rsidRPr="008C3AE6">
        <w:rPr>
          <w:rFonts w:asciiTheme="minorEastAsia" w:hAnsiTheme="minorEastAsia" w:hint="eastAsia"/>
          <w:sz w:val="24"/>
          <w:szCs w:val="24"/>
        </w:rPr>
        <w:t>、</w:t>
      </w:r>
      <w:r w:rsidR="00562D80" w:rsidRPr="008C3AE6">
        <w:rPr>
          <w:rFonts w:asciiTheme="minorEastAsia" w:hAnsiTheme="minorEastAsia"/>
          <w:sz w:val="24"/>
          <w:szCs w:val="24"/>
        </w:rPr>
        <w:t>托管协议</w:t>
      </w:r>
      <w:r w:rsidRPr="008C3AE6">
        <w:rPr>
          <w:rFonts w:asciiTheme="minorEastAsia" w:hAnsiTheme="minorEastAsia" w:hint="eastAsia"/>
          <w:sz w:val="24"/>
          <w:szCs w:val="24"/>
        </w:rPr>
        <w:t>全文</w:t>
      </w:r>
      <w:r w:rsidR="00A80177" w:rsidRPr="008C3AE6">
        <w:rPr>
          <w:rFonts w:asciiTheme="minorEastAsia" w:hAnsiTheme="minorEastAsia" w:hint="eastAsia"/>
          <w:sz w:val="24"/>
          <w:szCs w:val="24"/>
        </w:rPr>
        <w:t>将</w:t>
      </w:r>
      <w:r w:rsidRPr="008C3AE6">
        <w:rPr>
          <w:rFonts w:asciiTheme="minorEastAsia" w:hAnsiTheme="minorEastAsia" w:hint="eastAsia"/>
          <w:sz w:val="24"/>
          <w:szCs w:val="24"/>
        </w:rPr>
        <w:t>于</w:t>
      </w:r>
      <w:r w:rsidR="00457F72">
        <w:rPr>
          <w:rFonts w:asciiTheme="minorEastAsia" w:hAnsiTheme="minorEastAsia"/>
          <w:sz w:val="24"/>
          <w:szCs w:val="24"/>
        </w:rPr>
        <w:t>2022年9月1</w:t>
      </w:r>
      <w:r w:rsidR="003A4868">
        <w:rPr>
          <w:rFonts w:asciiTheme="minorEastAsia" w:hAnsiTheme="minorEastAsia"/>
          <w:sz w:val="24"/>
          <w:szCs w:val="24"/>
        </w:rPr>
        <w:t>4</w:t>
      </w:r>
      <w:r w:rsidR="00457F72">
        <w:rPr>
          <w:rFonts w:asciiTheme="minorEastAsia" w:hAnsiTheme="minorEastAsia"/>
          <w:sz w:val="24"/>
          <w:szCs w:val="24"/>
        </w:rPr>
        <w:t>日</w:t>
      </w:r>
      <w:r w:rsidRPr="008C3AE6">
        <w:rPr>
          <w:rFonts w:asciiTheme="minorEastAsia" w:hAnsiTheme="minorEastAsia" w:hint="eastAsia"/>
          <w:sz w:val="24"/>
          <w:szCs w:val="24"/>
        </w:rPr>
        <w:t>在本公司网站（www.</w:t>
      </w:r>
      <w:r w:rsidRPr="008C3AE6">
        <w:rPr>
          <w:rFonts w:asciiTheme="minorEastAsia" w:hAnsiTheme="minorEastAsia"/>
          <w:sz w:val="24"/>
          <w:szCs w:val="24"/>
        </w:rPr>
        <w:t>jsfund</w:t>
      </w:r>
      <w:r w:rsidRPr="008C3AE6">
        <w:rPr>
          <w:rFonts w:asciiTheme="minorEastAsia" w:hAnsiTheme="minorEastAsia" w:hint="eastAsia"/>
          <w:sz w:val="24"/>
          <w:szCs w:val="24"/>
        </w:rPr>
        <w:t>.</w:t>
      </w:r>
      <w:r w:rsidR="00562D80" w:rsidRPr="008C3AE6">
        <w:rPr>
          <w:rFonts w:asciiTheme="minorEastAsia" w:hAnsiTheme="minorEastAsia" w:hint="eastAsia"/>
          <w:sz w:val="24"/>
          <w:szCs w:val="24"/>
        </w:rPr>
        <w:t>c</w:t>
      </w:r>
      <w:r w:rsidR="00562D80" w:rsidRPr="008C3AE6">
        <w:rPr>
          <w:rFonts w:asciiTheme="minorEastAsia" w:hAnsiTheme="minorEastAsia"/>
          <w:sz w:val="24"/>
          <w:szCs w:val="24"/>
        </w:rPr>
        <w:t>n</w:t>
      </w:r>
      <w:r w:rsidRPr="008C3AE6">
        <w:rPr>
          <w:rFonts w:asciiTheme="minorEastAsia" w:hAnsiTheme="minorEastAsia" w:hint="eastAsia"/>
          <w:sz w:val="24"/>
          <w:szCs w:val="24"/>
        </w:rPr>
        <w:t>）和中国证监会基金电子披露网站（http://eid.csrc.gov.cn/fund）披露，供投资者查阅。</w:t>
      </w:r>
      <w:r w:rsidR="00094ED4" w:rsidRPr="008C3AE6">
        <w:rPr>
          <w:rFonts w:asciiTheme="minorEastAsia" w:hAnsiTheme="minorEastAsia" w:hint="eastAsia"/>
          <w:sz w:val="24"/>
          <w:szCs w:val="24"/>
        </w:rPr>
        <w:t>基金管理人将在届时更新基金招募说明书</w:t>
      </w:r>
      <w:r w:rsidR="00A80177" w:rsidRPr="008C3AE6">
        <w:rPr>
          <w:rFonts w:asciiTheme="minorEastAsia" w:hAnsiTheme="minorEastAsia" w:hint="eastAsia"/>
          <w:sz w:val="24"/>
          <w:szCs w:val="24"/>
        </w:rPr>
        <w:t>和基金产品资料概要</w:t>
      </w:r>
      <w:r w:rsidR="00094ED4" w:rsidRPr="008C3AE6">
        <w:rPr>
          <w:rFonts w:asciiTheme="minorEastAsia" w:hAnsiTheme="minorEastAsia" w:hint="eastAsia"/>
          <w:sz w:val="24"/>
          <w:szCs w:val="24"/>
        </w:rPr>
        <w:t>时一并更新相关内容</w:t>
      </w:r>
      <w:r w:rsidR="007F7AAC" w:rsidRPr="008C3AE6">
        <w:rPr>
          <w:rFonts w:asciiTheme="minorEastAsia" w:hAnsiTheme="minorEastAsia" w:hint="eastAsia"/>
          <w:sz w:val="24"/>
          <w:szCs w:val="24"/>
        </w:rPr>
        <w:t>，并揭示相关风险</w:t>
      </w:r>
      <w:r w:rsidR="00094ED4" w:rsidRPr="008C3AE6">
        <w:rPr>
          <w:rFonts w:asciiTheme="minorEastAsia" w:hAnsiTheme="minorEastAsia" w:hint="eastAsia"/>
          <w:sz w:val="24"/>
          <w:szCs w:val="24"/>
        </w:rPr>
        <w:t>。</w:t>
      </w:r>
      <w:r w:rsidRPr="008C3AE6">
        <w:rPr>
          <w:rFonts w:asciiTheme="minorEastAsia" w:hAnsiTheme="minorEastAsia" w:hint="eastAsia"/>
          <w:sz w:val="24"/>
          <w:szCs w:val="24"/>
        </w:rPr>
        <w:t>如有疑问可拨打本公司客服电话（</w:t>
      </w:r>
      <w:r w:rsidR="00BA147B" w:rsidRPr="008C3AE6">
        <w:rPr>
          <w:rFonts w:asciiTheme="minorEastAsia" w:hAnsiTheme="minorEastAsia" w:hint="eastAsia"/>
          <w:sz w:val="24"/>
          <w:szCs w:val="24"/>
        </w:rPr>
        <w:t>400-600-8800</w:t>
      </w:r>
      <w:r w:rsidRPr="008C3AE6">
        <w:rPr>
          <w:rFonts w:asciiTheme="minorEastAsia" w:hAnsiTheme="minorEastAsia" w:hint="eastAsia"/>
          <w:sz w:val="24"/>
          <w:szCs w:val="24"/>
        </w:rPr>
        <w:t>）咨询。</w:t>
      </w:r>
    </w:p>
    <w:p w14:paraId="4502A073" w14:textId="6AC74006" w:rsidR="008C3AE6" w:rsidRPr="008C3AE6" w:rsidRDefault="008C3AE6" w:rsidP="008C3AE6">
      <w:pPr>
        <w:spacing w:line="360" w:lineRule="auto"/>
        <w:ind w:firstLineChars="200" w:firstLine="480"/>
        <w:rPr>
          <w:rFonts w:asciiTheme="minorEastAsia" w:hAnsiTheme="minorEastAsia" w:cs="宋体"/>
          <w:kern w:val="0"/>
          <w:sz w:val="24"/>
          <w:szCs w:val="24"/>
        </w:rPr>
      </w:pPr>
      <w:r w:rsidRPr="008C3AE6">
        <w:rPr>
          <w:rFonts w:asciiTheme="minorEastAsia" w:hAnsiTheme="minorEastAsia" w:cs="宋体" w:hint="eastAsia"/>
          <w:kern w:val="0"/>
          <w:sz w:val="24"/>
          <w:szCs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产品资料概要</w:t>
      </w:r>
      <w:r>
        <w:rPr>
          <w:rFonts w:asciiTheme="minorEastAsia" w:hAnsiTheme="minorEastAsia" w:cs="宋体" w:hint="eastAsia"/>
          <w:kern w:val="0"/>
          <w:sz w:val="24"/>
          <w:szCs w:val="24"/>
        </w:rPr>
        <w:t>（更新）</w:t>
      </w:r>
      <w:r w:rsidRPr="008C3AE6">
        <w:rPr>
          <w:rFonts w:asciiTheme="minorEastAsia" w:hAnsiTheme="minorEastAsia" w:cs="宋体" w:hint="eastAsia"/>
          <w:kern w:val="0"/>
          <w:sz w:val="24"/>
          <w:szCs w:val="24"/>
        </w:rPr>
        <w:t>、招募说明书</w:t>
      </w:r>
      <w:r>
        <w:rPr>
          <w:rFonts w:asciiTheme="minorEastAsia" w:hAnsiTheme="minorEastAsia" w:cs="宋体" w:hint="eastAsia"/>
          <w:kern w:val="0"/>
          <w:sz w:val="24"/>
          <w:szCs w:val="24"/>
        </w:rPr>
        <w:t>（更新）</w:t>
      </w:r>
      <w:r w:rsidRPr="008C3AE6">
        <w:rPr>
          <w:rFonts w:asciiTheme="minorEastAsia" w:hAnsiTheme="minorEastAsia" w:cs="宋体" w:hint="eastAsia"/>
          <w:kern w:val="0"/>
          <w:sz w:val="24"/>
          <w:szCs w:val="24"/>
        </w:rPr>
        <w:t>和基金合同，全面认识基金的风险收益特征和产品特性，并充分考虑自身的风险承受能力，在了解产品情况、听取销售机构适当性匹配意见的基础上，理性判断市场，谨慎做出投资决策。</w:t>
      </w:r>
    </w:p>
    <w:p w14:paraId="7A7E6137" w14:textId="546F1843" w:rsidR="008150C7" w:rsidRDefault="008150C7" w:rsidP="008C3AE6">
      <w:pPr>
        <w:spacing w:line="360" w:lineRule="auto"/>
        <w:ind w:firstLineChars="200" w:firstLine="480"/>
        <w:rPr>
          <w:rFonts w:asciiTheme="minorEastAsia" w:hAnsiTheme="minorEastAsia" w:cs="宋体"/>
          <w:kern w:val="0"/>
          <w:sz w:val="24"/>
          <w:szCs w:val="24"/>
        </w:rPr>
      </w:pPr>
      <w:r w:rsidRPr="008C3AE6">
        <w:rPr>
          <w:rFonts w:asciiTheme="minorEastAsia" w:hAnsiTheme="minorEastAsia" w:cs="宋体" w:hint="eastAsia"/>
          <w:kern w:val="0"/>
          <w:sz w:val="24"/>
          <w:szCs w:val="24"/>
        </w:rPr>
        <w:t>特此公告。</w:t>
      </w:r>
    </w:p>
    <w:p w14:paraId="7DB7C685" w14:textId="77777777" w:rsidR="008C3AE6" w:rsidRPr="008C3AE6" w:rsidRDefault="008C3AE6" w:rsidP="008C3AE6">
      <w:pPr>
        <w:spacing w:line="360" w:lineRule="auto"/>
        <w:ind w:firstLineChars="200" w:firstLine="480"/>
        <w:rPr>
          <w:rFonts w:asciiTheme="minorEastAsia" w:hAnsiTheme="minorEastAsia" w:cs="宋体"/>
          <w:kern w:val="0"/>
          <w:sz w:val="24"/>
          <w:szCs w:val="24"/>
        </w:rPr>
      </w:pPr>
    </w:p>
    <w:p w14:paraId="5D64799C" w14:textId="77777777" w:rsidR="008150C7" w:rsidRPr="008150C7" w:rsidRDefault="008150C7" w:rsidP="00315B22">
      <w:pPr>
        <w:spacing w:line="360" w:lineRule="auto"/>
        <w:jc w:val="right"/>
        <w:rPr>
          <w:rFonts w:ascii="Times New Roman" w:eastAsia="宋体" w:hAnsi="Times New Roman"/>
          <w:sz w:val="24"/>
        </w:rPr>
      </w:pPr>
      <w:r>
        <w:rPr>
          <w:rFonts w:ascii="Times New Roman" w:eastAsia="宋体" w:hAnsi="Times New Roman" w:hint="eastAsia"/>
          <w:sz w:val="24"/>
        </w:rPr>
        <w:t>嘉实</w:t>
      </w:r>
      <w:r w:rsidRPr="008150C7">
        <w:rPr>
          <w:rFonts w:ascii="Times New Roman" w:eastAsia="宋体" w:hAnsi="Times New Roman" w:hint="eastAsia"/>
          <w:sz w:val="24"/>
        </w:rPr>
        <w:t>基金管理有限公司</w:t>
      </w:r>
    </w:p>
    <w:p w14:paraId="729A2E9C" w14:textId="43339B78" w:rsidR="002F05B3" w:rsidRDefault="00457F72" w:rsidP="00315B22">
      <w:pPr>
        <w:spacing w:line="360" w:lineRule="auto"/>
        <w:jc w:val="right"/>
        <w:rPr>
          <w:rFonts w:ascii="Times New Roman" w:eastAsia="宋体" w:hAnsi="Times New Roman"/>
          <w:sz w:val="24"/>
        </w:rPr>
      </w:pPr>
      <w:r>
        <w:rPr>
          <w:rFonts w:ascii="Times New Roman" w:eastAsia="宋体" w:hAnsi="Times New Roman" w:hint="eastAsia"/>
          <w:sz w:val="24"/>
        </w:rPr>
        <w:t>2022</w:t>
      </w:r>
      <w:r>
        <w:rPr>
          <w:rFonts w:ascii="Times New Roman" w:eastAsia="宋体" w:hAnsi="Times New Roman" w:hint="eastAsia"/>
          <w:sz w:val="24"/>
        </w:rPr>
        <w:t>年</w:t>
      </w:r>
      <w:r w:rsidR="003A4868">
        <w:rPr>
          <w:rFonts w:ascii="Times New Roman" w:eastAsia="宋体" w:hAnsi="Times New Roman"/>
          <w:sz w:val="24"/>
        </w:rPr>
        <w:t>9</w:t>
      </w:r>
      <w:r>
        <w:rPr>
          <w:rFonts w:ascii="Times New Roman" w:eastAsia="宋体" w:hAnsi="Times New Roman" w:hint="eastAsia"/>
          <w:sz w:val="24"/>
        </w:rPr>
        <w:t>月</w:t>
      </w:r>
      <w:r w:rsidR="003A4868">
        <w:rPr>
          <w:rFonts w:ascii="Times New Roman" w:eastAsia="宋体" w:hAnsi="Times New Roman"/>
          <w:sz w:val="24"/>
        </w:rPr>
        <w:t>14</w:t>
      </w:r>
      <w:r>
        <w:rPr>
          <w:rFonts w:ascii="Times New Roman" w:eastAsia="宋体" w:hAnsi="Times New Roman" w:hint="eastAsia"/>
          <w:sz w:val="24"/>
        </w:rPr>
        <w:t>日</w:t>
      </w:r>
    </w:p>
    <w:p w14:paraId="1FFB07D1" w14:textId="77777777" w:rsidR="002F05B3" w:rsidRDefault="002F05B3">
      <w:pPr>
        <w:widowControl/>
        <w:jc w:val="left"/>
        <w:rPr>
          <w:rFonts w:ascii="Times New Roman" w:eastAsia="宋体" w:hAnsi="Times New Roman"/>
          <w:sz w:val="24"/>
        </w:rPr>
      </w:pPr>
      <w:r>
        <w:rPr>
          <w:rFonts w:ascii="Times New Roman" w:eastAsia="宋体" w:hAnsi="Times New Roman"/>
          <w:sz w:val="24"/>
        </w:rPr>
        <w:br w:type="page"/>
      </w:r>
    </w:p>
    <w:p w14:paraId="7C679B30" w14:textId="6EC4B071" w:rsidR="00315B22" w:rsidRDefault="002F05B3" w:rsidP="002F05B3">
      <w:pPr>
        <w:widowControl/>
        <w:rPr>
          <w:rFonts w:ascii="Times New Roman" w:eastAsia="宋体" w:hAnsi="Times New Roman"/>
          <w:b/>
          <w:sz w:val="24"/>
        </w:rPr>
      </w:pPr>
      <w:r w:rsidRPr="00D76C59">
        <w:rPr>
          <w:rFonts w:ascii="Times New Roman" w:eastAsia="宋体" w:hAnsi="Times New Roman" w:hint="eastAsia"/>
          <w:b/>
          <w:sz w:val="24"/>
        </w:rPr>
        <w:lastRenderedPageBreak/>
        <w:t>附：</w:t>
      </w:r>
      <w:r w:rsidR="001B1D86">
        <w:rPr>
          <w:rFonts w:ascii="Times New Roman" w:eastAsia="宋体" w:hAnsi="Times New Roman" w:hint="eastAsia"/>
          <w:b/>
          <w:sz w:val="24"/>
        </w:rPr>
        <w:t>本次修改的基金</w:t>
      </w:r>
      <w:r w:rsidR="00A81118">
        <w:rPr>
          <w:rFonts w:ascii="Times New Roman" w:eastAsia="宋体" w:hAnsi="Times New Roman" w:hint="eastAsia"/>
          <w:b/>
          <w:sz w:val="24"/>
        </w:rPr>
        <w:t>名单</w:t>
      </w:r>
    </w:p>
    <w:p w14:paraId="0AB1CEC6" w14:textId="77777777" w:rsidR="00A81118" w:rsidRDefault="00A81118" w:rsidP="002F05B3">
      <w:pPr>
        <w:widowControl/>
        <w:rPr>
          <w:rFonts w:ascii="Times New Roman" w:eastAsia="宋体" w:hAnsi="Times New Roman"/>
          <w:b/>
          <w:sz w:val="24"/>
        </w:rPr>
      </w:pPr>
    </w:p>
    <w:tbl>
      <w:tblPr>
        <w:tblW w:w="9498" w:type="dxa"/>
        <w:tblInd w:w="-572" w:type="dxa"/>
        <w:tblLook w:val="04A0" w:firstRow="1" w:lastRow="0" w:firstColumn="1" w:lastColumn="0" w:noHBand="0" w:noVBand="1"/>
      </w:tblPr>
      <w:tblGrid>
        <w:gridCol w:w="640"/>
        <w:gridCol w:w="5597"/>
        <w:gridCol w:w="3261"/>
      </w:tblGrid>
      <w:tr w:rsidR="00F8719E" w:rsidRPr="001B1D86" w14:paraId="47D3A11B" w14:textId="77777777" w:rsidTr="009652C6">
        <w:trPr>
          <w:trHeight w:val="270"/>
          <w:tblHead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D1ADA" w14:textId="77777777" w:rsidR="00F8719E" w:rsidRPr="001B1D86" w:rsidRDefault="00F8719E" w:rsidP="00F8719E">
            <w:pPr>
              <w:widowControl/>
              <w:jc w:val="center"/>
              <w:rPr>
                <w:rFonts w:asciiTheme="minorEastAsia" w:hAnsiTheme="minorEastAsia" w:cs="宋体"/>
                <w:b/>
                <w:color w:val="000000"/>
                <w:kern w:val="0"/>
                <w:szCs w:val="21"/>
              </w:rPr>
            </w:pPr>
            <w:r w:rsidRPr="001B1D86">
              <w:rPr>
                <w:rFonts w:asciiTheme="minorEastAsia" w:hAnsiTheme="minorEastAsia" w:cs="宋体" w:hint="eastAsia"/>
                <w:b/>
                <w:color w:val="000000"/>
                <w:kern w:val="0"/>
                <w:szCs w:val="21"/>
              </w:rPr>
              <w:t>序号</w:t>
            </w:r>
          </w:p>
        </w:tc>
        <w:tc>
          <w:tcPr>
            <w:tcW w:w="5597" w:type="dxa"/>
            <w:tcBorders>
              <w:top w:val="single" w:sz="4" w:space="0" w:color="auto"/>
              <w:left w:val="nil"/>
              <w:bottom w:val="single" w:sz="4" w:space="0" w:color="auto"/>
              <w:right w:val="single" w:sz="4" w:space="0" w:color="auto"/>
            </w:tcBorders>
            <w:shd w:val="clear" w:color="auto" w:fill="auto"/>
            <w:vAlign w:val="center"/>
            <w:hideMark/>
          </w:tcPr>
          <w:p w14:paraId="36FBCA61" w14:textId="77777777" w:rsidR="00F8719E" w:rsidRPr="001B1D86" w:rsidRDefault="00F8719E" w:rsidP="00F8719E">
            <w:pPr>
              <w:widowControl/>
              <w:jc w:val="center"/>
              <w:rPr>
                <w:rFonts w:asciiTheme="minorEastAsia" w:hAnsiTheme="minorEastAsia" w:cs="宋体"/>
                <w:b/>
                <w:color w:val="000000"/>
                <w:kern w:val="0"/>
                <w:szCs w:val="21"/>
              </w:rPr>
            </w:pPr>
            <w:r w:rsidRPr="001B1D86">
              <w:rPr>
                <w:rFonts w:asciiTheme="minorEastAsia" w:hAnsiTheme="minorEastAsia" w:cs="宋体" w:hint="eastAsia"/>
                <w:b/>
                <w:color w:val="000000"/>
                <w:kern w:val="0"/>
                <w:szCs w:val="21"/>
              </w:rPr>
              <w:t>基金全称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48FB304" w14:textId="77777777" w:rsidR="00F8719E" w:rsidRPr="001B1D86" w:rsidRDefault="00F8719E" w:rsidP="00F8719E">
            <w:pPr>
              <w:widowControl/>
              <w:jc w:val="center"/>
              <w:rPr>
                <w:rFonts w:asciiTheme="minorEastAsia" w:hAnsiTheme="minorEastAsia" w:cs="宋体"/>
                <w:b/>
                <w:color w:val="000000"/>
                <w:kern w:val="0"/>
                <w:szCs w:val="21"/>
              </w:rPr>
            </w:pPr>
            <w:r w:rsidRPr="001B1D86">
              <w:rPr>
                <w:rFonts w:asciiTheme="minorEastAsia" w:hAnsiTheme="minorEastAsia" w:cs="宋体" w:hint="eastAsia"/>
                <w:b/>
                <w:color w:val="000000"/>
                <w:kern w:val="0"/>
                <w:szCs w:val="21"/>
              </w:rPr>
              <w:t>基金托管人</w:t>
            </w:r>
          </w:p>
        </w:tc>
      </w:tr>
      <w:tr w:rsidR="00512D70" w:rsidRPr="001B1D86" w14:paraId="3DCF6C45" w14:textId="77777777" w:rsidTr="00512D70">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D85E01" w14:textId="6B3404BB" w:rsidR="00512D70" w:rsidRPr="001B1D86" w:rsidRDefault="00512D70" w:rsidP="00512D70">
            <w:pPr>
              <w:widowControl/>
              <w:jc w:val="center"/>
              <w:rPr>
                <w:rFonts w:asciiTheme="minorEastAsia" w:hAnsiTheme="minorEastAsia" w:cs="宋体"/>
                <w:color w:val="000000"/>
                <w:kern w:val="0"/>
                <w:szCs w:val="21"/>
              </w:rPr>
            </w:pPr>
            <w:r w:rsidRPr="001B1D86">
              <w:rPr>
                <w:rFonts w:asciiTheme="minorEastAsia" w:hAnsiTheme="minorEastAsia" w:hint="eastAsia"/>
                <w:color w:val="000000"/>
                <w:szCs w:val="21"/>
              </w:rPr>
              <w:t>1</w:t>
            </w:r>
          </w:p>
        </w:tc>
        <w:tc>
          <w:tcPr>
            <w:tcW w:w="5597" w:type="dxa"/>
            <w:tcBorders>
              <w:top w:val="nil"/>
              <w:left w:val="nil"/>
              <w:bottom w:val="single" w:sz="4" w:space="0" w:color="auto"/>
              <w:right w:val="single" w:sz="4" w:space="0" w:color="auto"/>
            </w:tcBorders>
            <w:shd w:val="clear" w:color="auto" w:fill="auto"/>
            <w:vAlign w:val="bottom"/>
            <w:hideMark/>
          </w:tcPr>
          <w:p w14:paraId="339B13FF" w14:textId="63DC2667" w:rsidR="00512D70" w:rsidRPr="00512D70" w:rsidRDefault="00512D70" w:rsidP="00512D70">
            <w:pPr>
              <w:widowControl/>
              <w:jc w:val="center"/>
              <w:rPr>
                <w:rFonts w:asciiTheme="minorEastAsia" w:hAnsiTheme="minorEastAsia" w:cs="宋体"/>
                <w:color w:val="000000"/>
                <w:kern w:val="0"/>
                <w:szCs w:val="21"/>
              </w:rPr>
            </w:pPr>
            <w:r w:rsidRPr="00512D70">
              <w:rPr>
                <w:rFonts w:asciiTheme="minorEastAsia" w:hAnsiTheme="minorEastAsia" w:cs="宋体"/>
                <w:color w:val="000000"/>
                <w:kern w:val="0"/>
                <w:szCs w:val="21"/>
              </w:rPr>
              <w:t>嘉实稳宏债券型证券投资基金</w:t>
            </w:r>
          </w:p>
        </w:tc>
        <w:tc>
          <w:tcPr>
            <w:tcW w:w="3261" w:type="dxa"/>
            <w:tcBorders>
              <w:top w:val="nil"/>
              <w:left w:val="nil"/>
              <w:bottom w:val="single" w:sz="4" w:space="0" w:color="auto"/>
              <w:right w:val="single" w:sz="4" w:space="0" w:color="auto"/>
            </w:tcBorders>
            <w:shd w:val="clear" w:color="auto" w:fill="auto"/>
            <w:noWrap/>
            <w:hideMark/>
          </w:tcPr>
          <w:p w14:paraId="5F5AE9FD" w14:textId="0FBA29C4" w:rsidR="00512D70" w:rsidRPr="00512D70" w:rsidRDefault="00512D70" w:rsidP="00512D70">
            <w:pPr>
              <w:widowControl/>
              <w:jc w:val="center"/>
              <w:rPr>
                <w:rFonts w:asciiTheme="minorEastAsia" w:hAnsiTheme="minorEastAsia" w:cs="宋体"/>
                <w:color w:val="000000"/>
                <w:kern w:val="0"/>
                <w:szCs w:val="21"/>
              </w:rPr>
            </w:pPr>
            <w:r w:rsidRPr="00512D70">
              <w:rPr>
                <w:rFonts w:asciiTheme="minorEastAsia" w:hAnsiTheme="minorEastAsia" w:cs="宋体" w:hint="eastAsia"/>
                <w:color w:val="000000"/>
                <w:kern w:val="0"/>
                <w:szCs w:val="21"/>
              </w:rPr>
              <w:t>中国工商银行股份有限公司</w:t>
            </w:r>
          </w:p>
        </w:tc>
      </w:tr>
      <w:tr w:rsidR="00512D70" w:rsidRPr="001B1D86" w14:paraId="39559DCB" w14:textId="77777777" w:rsidTr="00512D70">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797958" w14:textId="211D3355" w:rsidR="00512D70" w:rsidRPr="001B1D86" w:rsidRDefault="00512D70" w:rsidP="00512D70">
            <w:pPr>
              <w:widowControl/>
              <w:jc w:val="center"/>
              <w:rPr>
                <w:rFonts w:asciiTheme="minorEastAsia" w:hAnsiTheme="minorEastAsia" w:cs="宋体"/>
                <w:color w:val="000000"/>
                <w:kern w:val="0"/>
                <w:szCs w:val="21"/>
              </w:rPr>
            </w:pPr>
            <w:r w:rsidRPr="001B1D86">
              <w:rPr>
                <w:rFonts w:asciiTheme="minorEastAsia" w:hAnsiTheme="minorEastAsia" w:hint="eastAsia"/>
                <w:color w:val="000000"/>
                <w:szCs w:val="21"/>
              </w:rPr>
              <w:t>2</w:t>
            </w:r>
          </w:p>
        </w:tc>
        <w:tc>
          <w:tcPr>
            <w:tcW w:w="5597" w:type="dxa"/>
            <w:tcBorders>
              <w:top w:val="nil"/>
              <w:left w:val="nil"/>
              <w:bottom w:val="single" w:sz="4" w:space="0" w:color="auto"/>
              <w:right w:val="single" w:sz="4" w:space="0" w:color="auto"/>
            </w:tcBorders>
            <w:shd w:val="clear" w:color="auto" w:fill="auto"/>
            <w:vAlign w:val="bottom"/>
            <w:hideMark/>
          </w:tcPr>
          <w:p w14:paraId="2430FC7D" w14:textId="73E110B4" w:rsidR="00512D70" w:rsidRPr="00512D70" w:rsidRDefault="00512D70" w:rsidP="00512D70">
            <w:pPr>
              <w:widowControl/>
              <w:jc w:val="center"/>
              <w:rPr>
                <w:rFonts w:asciiTheme="minorEastAsia" w:hAnsiTheme="minorEastAsia" w:cs="宋体"/>
                <w:color w:val="000000"/>
                <w:kern w:val="0"/>
                <w:szCs w:val="21"/>
              </w:rPr>
            </w:pPr>
            <w:r w:rsidRPr="00512D70">
              <w:rPr>
                <w:rFonts w:asciiTheme="minorEastAsia" w:hAnsiTheme="minorEastAsia" w:cs="宋体"/>
                <w:color w:val="000000"/>
                <w:kern w:val="0"/>
                <w:szCs w:val="21"/>
              </w:rPr>
              <w:t>嘉实稳固收益债券型证券投资基金</w:t>
            </w:r>
          </w:p>
        </w:tc>
        <w:tc>
          <w:tcPr>
            <w:tcW w:w="3261" w:type="dxa"/>
            <w:tcBorders>
              <w:top w:val="nil"/>
              <w:left w:val="nil"/>
              <w:bottom w:val="single" w:sz="4" w:space="0" w:color="auto"/>
              <w:right w:val="single" w:sz="4" w:space="0" w:color="auto"/>
            </w:tcBorders>
            <w:shd w:val="clear" w:color="auto" w:fill="auto"/>
            <w:noWrap/>
            <w:hideMark/>
          </w:tcPr>
          <w:p w14:paraId="065300E2" w14:textId="1C4AB4B1" w:rsidR="00512D70" w:rsidRPr="00512D70" w:rsidRDefault="00512D70" w:rsidP="00512D70">
            <w:pPr>
              <w:widowControl/>
              <w:jc w:val="center"/>
              <w:rPr>
                <w:rFonts w:asciiTheme="minorEastAsia" w:hAnsiTheme="minorEastAsia" w:cs="宋体"/>
                <w:color w:val="000000"/>
                <w:kern w:val="0"/>
                <w:szCs w:val="21"/>
              </w:rPr>
            </w:pPr>
            <w:r w:rsidRPr="00512D70">
              <w:rPr>
                <w:rFonts w:asciiTheme="minorEastAsia" w:hAnsiTheme="minorEastAsia" w:cs="宋体" w:hint="eastAsia"/>
                <w:color w:val="000000"/>
                <w:kern w:val="0"/>
                <w:szCs w:val="21"/>
              </w:rPr>
              <w:t>中国工商银行股份有限公司</w:t>
            </w:r>
          </w:p>
        </w:tc>
      </w:tr>
      <w:tr w:rsidR="00512D70" w:rsidRPr="001B1D86" w14:paraId="71ABD5AB" w14:textId="77777777" w:rsidTr="00512D70">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93375C" w14:textId="7246B1BC" w:rsidR="00512D70" w:rsidRPr="001B1D86" w:rsidRDefault="00512D70" w:rsidP="00512D70">
            <w:pPr>
              <w:widowControl/>
              <w:jc w:val="center"/>
              <w:rPr>
                <w:rFonts w:asciiTheme="minorEastAsia" w:hAnsiTheme="minorEastAsia" w:cs="宋体"/>
                <w:color w:val="000000"/>
                <w:kern w:val="0"/>
                <w:szCs w:val="21"/>
              </w:rPr>
            </w:pPr>
            <w:r w:rsidRPr="001B1D86">
              <w:rPr>
                <w:rFonts w:asciiTheme="minorEastAsia" w:hAnsiTheme="minorEastAsia" w:hint="eastAsia"/>
                <w:color w:val="000000"/>
                <w:szCs w:val="21"/>
              </w:rPr>
              <w:t>3</w:t>
            </w:r>
          </w:p>
        </w:tc>
        <w:tc>
          <w:tcPr>
            <w:tcW w:w="5597" w:type="dxa"/>
            <w:tcBorders>
              <w:top w:val="nil"/>
              <w:left w:val="nil"/>
              <w:bottom w:val="single" w:sz="4" w:space="0" w:color="auto"/>
              <w:right w:val="single" w:sz="4" w:space="0" w:color="auto"/>
            </w:tcBorders>
            <w:shd w:val="clear" w:color="auto" w:fill="auto"/>
            <w:vAlign w:val="bottom"/>
            <w:hideMark/>
          </w:tcPr>
          <w:p w14:paraId="3EBF8A41" w14:textId="7902A1F8" w:rsidR="00512D70" w:rsidRPr="00512D70" w:rsidRDefault="00512D70" w:rsidP="00512D70">
            <w:pPr>
              <w:widowControl/>
              <w:jc w:val="center"/>
              <w:rPr>
                <w:rFonts w:asciiTheme="minorEastAsia" w:hAnsiTheme="minorEastAsia" w:cs="宋体"/>
                <w:color w:val="000000"/>
                <w:kern w:val="0"/>
                <w:szCs w:val="21"/>
              </w:rPr>
            </w:pPr>
            <w:r w:rsidRPr="00512D70">
              <w:rPr>
                <w:rFonts w:asciiTheme="minorEastAsia" w:hAnsiTheme="minorEastAsia" w:cs="宋体"/>
                <w:color w:val="000000"/>
                <w:kern w:val="0"/>
                <w:szCs w:val="21"/>
              </w:rPr>
              <w:t>嘉实多元收益债券型证券投资基金</w:t>
            </w:r>
          </w:p>
        </w:tc>
        <w:tc>
          <w:tcPr>
            <w:tcW w:w="3261" w:type="dxa"/>
            <w:tcBorders>
              <w:top w:val="nil"/>
              <w:left w:val="nil"/>
              <w:bottom w:val="single" w:sz="4" w:space="0" w:color="auto"/>
              <w:right w:val="single" w:sz="4" w:space="0" w:color="auto"/>
            </w:tcBorders>
            <w:shd w:val="clear" w:color="auto" w:fill="auto"/>
            <w:noWrap/>
            <w:hideMark/>
          </w:tcPr>
          <w:p w14:paraId="5527C48A" w14:textId="750CA5B8" w:rsidR="00512D70" w:rsidRPr="00512D70" w:rsidRDefault="00512D70" w:rsidP="00512D70">
            <w:pPr>
              <w:widowControl/>
              <w:jc w:val="center"/>
              <w:rPr>
                <w:rFonts w:asciiTheme="minorEastAsia" w:hAnsiTheme="minorEastAsia" w:cs="宋体"/>
                <w:color w:val="000000"/>
                <w:kern w:val="0"/>
                <w:szCs w:val="21"/>
              </w:rPr>
            </w:pPr>
            <w:r w:rsidRPr="00512D70">
              <w:rPr>
                <w:rFonts w:asciiTheme="minorEastAsia" w:hAnsiTheme="minorEastAsia" w:cs="宋体" w:hint="eastAsia"/>
                <w:color w:val="000000"/>
                <w:kern w:val="0"/>
                <w:szCs w:val="21"/>
              </w:rPr>
              <w:t>中国工商银行股份有限公司</w:t>
            </w:r>
          </w:p>
        </w:tc>
      </w:tr>
      <w:tr w:rsidR="00512D70" w:rsidRPr="001B1D86" w14:paraId="2990ED71" w14:textId="77777777" w:rsidTr="00512D70">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3104C5" w14:textId="19CCB6E7" w:rsidR="00512D70" w:rsidRPr="001B1D86" w:rsidRDefault="00512D70" w:rsidP="00512D70">
            <w:pPr>
              <w:widowControl/>
              <w:jc w:val="center"/>
              <w:rPr>
                <w:rFonts w:asciiTheme="minorEastAsia" w:hAnsiTheme="minorEastAsia" w:cs="宋体"/>
                <w:color w:val="000000"/>
                <w:kern w:val="0"/>
                <w:szCs w:val="21"/>
              </w:rPr>
            </w:pPr>
            <w:r w:rsidRPr="001B1D86">
              <w:rPr>
                <w:rFonts w:asciiTheme="minorEastAsia" w:hAnsiTheme="minorEastAsia" w:hint="eastAsia"/>
                <w:color w:val="000000"/>
                <w:szCs w:val="21"/>
              </w:rPr>
              <w:t>4</w:t>
            </w:r>
          </w:p>
        </w:tc>
        <w:tc>
          <w:tcPr>
            <w:tcW w:w="5597" w:type="dxa"/>
            <w:tcBorders>
              <w:top w:val="nil"/>
              <w:left w:val="nil"/>
              <w:bottom w:val="single" w:sz="4" w:space="0" w:color="auto"/>
              <w:right w:val="single" w:sz="4" w:space="0" w:color="auto"/>
            </w:tcBorders>
            <w:shd w:val="clear" w:color="auto" w:fill="auto"/>
            <w:vAlign w:val="bottom"/>
          </w:tcPr>
          <w:p w14:paraId="3B90D8F3" w14:textId="013E8327" w:rsidR="00512D70" w:rsidRPr="00512D70" w:rsidRDefault="00512D70" w:rsidP="00512D70">
            <w:pPr>
              <w:widowControl/>
              <w:jc w:val="center"/>
              <w:rPr>
                <w:rFonts w:asciiTheme="minorEastAsia" w:hAnsiTheme="minorEastAsia" w:cs="宋体"/>
                <w:color w:val="000000"/>
                <w:kern w:val="0"/>
                <w:szCs w:val="21"/>
              </w:rPr>
            </w:pPr>
            <w:r w:rsidRPr="00512D70">
              <w:rPr>
                <w:rFonts w:asciiTheme="minorEastAsia" w:hAnsiTheme="minorEastAsia" w:cs="宋体"/>
                <w:color w:val="000000"/>
                <w:kern w:val="0"/>
                <w:szCs w:val="21"/>
              </w:rPr>
              <w:t>嘉实稳怡债券型证券投资基金</w:t>
            </w:r>
          </w:p>
        </w:tc>
        <w:tc>
          <w:tcPr>
            <w:tcW w:w="3261" w:type="dxa"/>
            <w:tcBorders>
              <w:top w:val="nil"/>
              <w:left w:val="nil"/>
              <w:bottom w:val="single" w:sz="4" w:space="0" w:color="auto"/>
              <w:right w:val="single" w:sz="4" w:space="0" w:color="auto"/>
            </w:tcBorders>
            <w:shd w:val="clear" w:color="auto" w:fill="auto"/>
            <w:noWrap/>
          </w:tcPr>
          <w:p w14:paraId="3EDFC4E2" w14:textId="563A13A8" w:rsidR="00512D70" w:rsidRPr="00512D70" w:rsidRDefault="00512D70" w:rsidP="00512D70">
            <w:pPr>
              <w:widowControl/>
              <w:jc w:val="center"/>
              <w:rPr>
                <w:rFonts w:asciiTheme="minorEastAsia" w:hAnsiTheme="minorEastAsia" w:cs="宋体"/>
                <w:color w:val="000000"/>
                <w:kern w:val="0"/>
                <w:szCs w:val="21"/>
              </w:rPr>
            </w:pPr>
            <w:r w:rsidRPr="00512D70">
              <w:rPr>
                <w:rFonts w:asciiTheme="minorEastAsia" w:hAnsiTheme="minorEastAsia" w:cs="宋体" w:hint="eastAsia"/>
                <w:color w:val="000000"/>
                <w:kern w:val="0"/>
                <w:szCs w:val="21"/>
              </w:rPr>
              <w:t>招商银行股份有限公司</w:t>
            </w:r>
          </w:p>
        </w:tc>
      </w:tr>
      <w:tr w:rsidR="00512D70" w:rsidRPr="00EE364F" w14:paraId="71C3B8D4" w14:textId="77777777" w:rsidTr="00512D70">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F1CBA3" w14:textId="723E2F05" w:rsidR="00512D70" w:rsidRPr="001B1D86" w:rsidRDefault="00512D70" w:rsidP="00512D70">
            <w:pPr>
              <w:widowControl/>
              <w:jc w:val="center"/>
              <w:rPr>
                <w:rFonts w:asciiTheme="minorEastAsia" w:hAnsiTheme="minorEastAsia" w:cs="宋体"/>
                <w:color w:val="000000"/>
                <w:kern w:val="0"/>
                <w:szCs w:val="21"/>
              </w:rPr>
            </w:pPr>
            <w:r w:rsidRPr="001B1D86">
              <w:rPr>
                <w:rFonts w:asciiTheme="minorEastAsia" w:hAnsiTheme="minorEastAsia" w:hint="eastAsia"/>
                <w:color w:val="000000"/>
                <w:szCs w:val="21"/>
              </w:rPr>
              <w:t>5</w:t>
            </w:r>
          </w:p>
        </w:tc>
        <w:tc>
          <w:tcPr>
            <w:tcW w:w="5597" w:type="dxa"/>
            <w:tcBorders>
              <w:top w:val="nil"/>
              <w:left w:val="nil"/>
              <w:bottom w:val="single" w:sz="4" w:space="0" w:color="auto"/>
              <w:right w:val="single" w:sz="4" w:space="0" w:color="auto"/>
            </w:tcBorders>
            <w:shd w:val="clear" w:color="auto" w:fill="auto"/>
            <w:vAlign w:val="bottom"/>
          </w:tcPr>
          <w:p w14:paraId="521DFFE9" w14:textId="0D10FF7C" w:rsidR="00512D70" w:rsidRPr="00512D70" w:rsidRDefault="00512D70" w:rsidP="00512D70">
            <w:pPr>
              <w:widowControl/>
              <w:jc w:val="center"/>
              <w:rPr>
                <w:rFonts w:asciiTheme="minorEastAsia" w:hAnsiTheme="minorEastAsia" w:cs="宋体"/>
                <w:color w:val="000000"/>
                <w:kern w:val="0"/>
                <w:szCs w:val="21"/>
              </w:rPr>
            </w:pPr>
            <w:r w:rsidRPr="00512D70">
              <w:rPr>
                <w:rFonts w:asciiTheme="minorEastAsia" w:hAnsiTheme="minorEastAsia" w:cs="宋体"/>
                <w:color w:val="000000"/>
                <w:kern w:val="0"/>
                <w:szCs w:val="21"/>
              </w:rPr>
              <w:t>嘉实睿享安久双利18个月持有期债券型证券投资基金</w:t>
            </w:r>
          </w:p>
        </w:tc>
        <w:tc>
          <w:tcPr>
            <w:tcW w:w="3261" w:type="dxa"/>
            <w:tcBorders>
              <w:top w:val="nil"/>
              <w:left w:val="nil"/>
              <w:bottom w:val="single" w:sz="4" w:space="0" w:color="auto"/>
              <w:right w:val="single" w:sz="4" w:space="0" w:color="auto"/>
            </w:tcBorders>
            <w:shd w:val="clear" w:color="auto" w:fill="auto"/>
            <w:noWrap/>
          </w:tcPr>
          <w:p w14:paraId="63EF635C" w14:textId="6025E2C1" w:rsidR="00512D70" w:rsidRPr="00512D70" w:rsidRDefault="00512D70" w:rsidP="00512D70">
            <w:pPr>
              <w:widowControl/>
              <w:jc w:val="center"/>
              <w:rPr>
                <w:rFonts w:asciiTheme="minorEastAsia" w:hAnsiTheme="minorEastAsia" w:cs="宋体"/>
                <w:color w:val="000000"/>
                <w:kern w:val="0"/>
                <w:szCs w:val="21"/>
              </w:rPr>
            </w:pPr>
            <w:r w:rsidRPr="00512D70">
              <w:rPr>
                <w:rFonts w:asciiTheme="minorEastAsia" w:hAnsiTheme="minorEastAsia" w:cs="宋体" w:hint="eastAsia"/>
                <w:color w:val="000000"/>
                <w:kern w:val="0"/>
                <w:szCs w:val="21"/>
              </w:rPr>
              <w:t>招商银行股份有限公司</w:t>
            </w:r>
          </w:p>
        </w:tc>
      </w:tr>
      <w:tr w:rsidR="00512D70" w:rsidRPr="001B1D86" w14:paraId="52DD2699" w14:textId="77777777" w:rsidTr="00512D70">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96993E" w14:textId="6C34550D" w:rsidR="00512D70" w:rsidRPr="001B1D86" w:rsidRDefault="00512D70" w:rsidP="00512D70">
            <w:pPr>
              <w:widowControl/>
              <w:jc w:val="center"/>
              <w:rPr>
                <w:rFonts w:asciiTheme="minorEastAsia" w:hAnsiTheme="minorEastAsia" w:cs="宋体"/>
                <w:color w:val="000000"/>
                <w:kern w:val="0"/>
                <w:szCs w:val="21"/>
              </w:rPr>
            </w:pPr>
            <w:r w:rsidRPr="001B1D86">
              <w:rPr>
                <w:rFonts w:asciiTheme="minorEastAsia" w:hAnsiTheme="minorEastAsia" w:hint="eastAsia"/>
                <w:color w:val="000000"/>
                <w:szCs w:val="21"/>
              </w:rPr>
              <w:t>6</w:t>
            </w:r>
          </w:p>
        </w:tc>
        <w:tc>
          <w:tcPr>
            <w:tcW w:w="5597" w:type="dxa"/>
            <w:tcBorders>
              <w:top w:val="nil"/>
              <w:left w:val="nil"/>
              <w:bottom w:val="single" w:sz="4" w:space="0" w:color="auto"/>
              <w:right w:val="single" w:sz="4" w:space="0" w:color="auto"/>
            </w:tcBorders>
            <w:shd w:val="clear" w:color="auto" w:fill="auto"/>
            <w:vAlign w:val="bottom"/>
          </w:tcPr>
          <w:p w14:paraId="3881E605" w14:textId="2878F47C" w:rsidR="00512D70" w:rsidRPr="00512D70" w:rsidRDefault="00512D70" w:rsidP="00512D70">
            <w:pPr>
              <w:widowControl/>
              <w:jc w:val="center"/>
              <w:rPr>
                <w:rFonts w:asciiTheme="minorEastAsia" w:hAnsiTheme="minorEastAsia" w:cs="宋体"/>
                <w:color w:val="000000"/>
                <w:kern w:val="0"/>
                <w:szCs w:val="21"/>
              </w:rPr>
            </w:pPr>
            <w:r w:rsidRPr="00512D70">
              <w:rPr>
                <w:rFonts w:asciiTheme="minorEastAsia" w:hAnsiTheme="minorEastAsia" w:cs="宋体"/>
                <w:color w:val="000000"/>
                <w:kern w:val="0"/>
                <w:szCs w:val="21"/>
              </w:rPr>
              <w:t>嘉实多利收益债券型证券投资基金</w:t>
            </w:r>
          </w:p>
        </w:tc>
        <w:tc>
          <w:tcPr>
            <w:tcW w:w="3261" w:type="dxa"/>
            <w:tcBorders>
              <w:top w:val="nil"/>
              <w:left w:val="nil"/>
              <w:bottom w:val="single" w:sz="4" w:space="0" w:color="auto"/>
              <w:right w:val="single" w:sz="4" w:space="0" w:color="auto"/>
            </w:tcBorders>
            <w:shd w:val="clear" w:color="auto" w:fill="auto"/>
            <w:noWrap/>
          </w:tcPr>
          <w:p w14:paraId="6A622974" w14:textId="434801E1" w:rsidR="00512D70" w:rsidRPr="00512D70" w:rsidRDefault="00512D70" w:rsidP="00512D70">
            <w:pPr>
              <w:widowControl/>
              <w:jc w:val="center"/>
              <w:rPr>
                <w:rFonts w:asciiTheme="minorEastAsia" w:hAnsiTheme="minorEastAsia" w:cs="宋体"/>
                <w:color w:val="000000"/>
                <w:kern w:val="0"/>
                <w:szCs w:val="21"/>
              </w:rPr>
            </w:pPr>
            <w:r w:rsidRPr="00512D70">
              <w:rPr>
                <w:rFonts w:asciiTheme="minorEastAsia" w:hAnsiTheme="minorEastAsia" w:cs="宋体" w:hint="eastAsia"/>
                <w:color w:val="000000"/>
                <w:kern w:val="0"/>
                <w:szCs w:val="21"/>
              </w:rPr>
              <w:t>招商银行股份有限公司</w:t>
            </w:r>
          </w:p>
        </w:tc>
      </w:tr>
      <w:tr w:rsidR="00512D70" w:rsidRPr="001B1D86" w14:paraId="5520515D" w14:textId="77777777" w:rsidTr="00512D70">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1EA529" w14:textId="261D800D" w:rsidR="00512D70" w:rsidRPr="001B1D86" w:rsidRDefault="00512D70" w:rsidP="00512D70">
            <w:pPr>
              <w:widowControl/>
              <w:jc w:val="center"/>
              <w:rPr>
                <w:rFonts w:asciiTheme="minorEastAsia" w:hAnsiTheme="minorEastAsia" w:cs="宋体"/>
                <w:color w:val="000000"/>
                <w:kern w:val="0"/>
                <w:szCs w:val="21"/>
              </w:rPr>
            </w:pPr>
            <w:r w:rsidRPr="001B1D86">
              <w:rPr>
                <w:rFonts w:asciiTheme="minorEastAsia" w:hAnsiTheme="minorEastAsia" w:hint="eastAsia"/>
                <w:color w:val="000000"/>
                <w:szCs w:val="21"/>
              </w:rPr>
              <w:t>7</w:t>
            </w:r>
          </w:p>
        </w:tc>
        <w:tc>
          <w:tcPr>
            <w:tcW w:w="5597" w:type="dxa"/>
            <w:tcBorders>
              <w:top w:val="nil"/>
              <w:left w:val="nil"/>
              <w:bottom w:val="single" w:sz="4" w:space="0" w:color="auto"/>
              <w:right w:val="single" w:sz="4" w:space="0" w:color="auto"/>
            </w:tcBorders>
            <w:shd w:val="clear" w:color="auto" w:fill="auto"/>
            <w:vAlign w:val="bottom"/>
          </w:tcPr>
          <w:p w14:paraId="77B2C6BF" w14:textId="3DC4D402" w:rsidR="00512D70" w:rsidRPr="00512D70" w:rsidRDefault="00512D70" w:rsidP="00512D70">
            <w:pPr>
              <w:widowControl/>
              <w:jc w:val="center"/>
              <w:rPr>
                <w:rFonts w:asciiTheme="minorEastAsia" w:hAnsiTheme="minorEastAsia" w:cs="宋体"/>
                <w:color w:val="000000"/>
                <w:kern w:val="0"/>
                <w:szCs w:val="21"/>
              </w:rPr>
            </w:pPr>
            <w:r w:rsidRPr="00512D70">
              <w:rPr>
                <w:rFonts w:asciiTheme="minorEastAsia" w:hAnsiTheme="minorEastAsia" w:cs="宋体"/>
                <w:color w:val="000000"/>
                <w:kern w:val="0"/>
                <w:szCs w:val="21"/>
              </w:rPr>
              <w:t>嘉实稳盛债券型证券投资基金</w:t>
            </w:r>
          </w:p>
        </w:tc>
        <w:tc>
          <w:tcPr>
            <w:tcW w:w="3261" w:type="dxa"/>
            <w:tcBorders>
              <w:top w:val="nil"/>
              <w:left w:val="nil"/>
              <w:bottom w:val="single" w:sz="4" w:space="0" w:color="auto"/>
              <w:right w:val="single" w:sz="4" w:space="0" w:color="auto"/>
            </w:tcBorders>
            <w:shd w:val="clear" w:color="auto" w:fill="auto"/>
            <w:noWrap/>
          </w:tcPr>
          <w:p w14:paraId="207F77B6" w14:textId="43061643" w:rsidR="00512D70" w:rsidRPr="00512D70" w:rsidRDefault="00512D70" w:rsidP="00512D70">
            <w:pPr>
              <w:widowControl/>
              <w:jc w:val="center"/>
              <w:rPr>
                <w:rFonts w:asciiTheme="minorEastAsia" w:hAnsiTheme="minorEastAsia" w:cs="宋体"/>
                <w:color w:val="000000"/>
                <w:kern w:val="0"/>
                <w:szCs w:val="21"/>
              </w:rPr>
            </w:pPr>
            <w:r w:rsidRPr="00512D70">
              <w:rPr>
                <w:rFonts w:asciiTheme="minorEastAsia" w:hAnsiTheme="minorEastAsia" w:cs="宋体" w:hint="eastAsia"/>
                <w:color w:val="000000"/>
                <w:kern w:val="0"/>
                <w:szCs w:val="21"/>
              </w:rPr>
              <w:t>平安银行股份有限公司</w:t>
            </w:r>
          </w:p>
        </w:tc>
      </w:tr>
      <w:tr w:rsidR="00512D70" w:rsidRPr="001B1D86" w14:paraId="250B747D" w14:textId="77777777" w:rsidTr="00512D70">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DE4B3B" w14:textId="231B398C" w:rsidR="00512D70" w:rsidRPr="001B1D86" w:rsidRDefault="00512D70" w:rsidP="00512D70">
            <w:pPr>
              <w:widowControl/>
              <w:jc w:val="center"/>
              <w:rPr>
                <w:rFonts w:asciiTheme="minorEastAsia" w:hAnsiTheme="minorEastAsia" w:cs="宋体"/>
                <w:color w:val="000000"/>
                <w:kern w:val="0"/>
                <w:szCs w:val="21"/>
              </w:rPr>
            </w:pPr>
            <w:r w:rsidRPr="001B1D86">
              <w:rPr>
                <w:rFonts w:asciiTheme="minorEastAsia" w:hAnsiTheme="minorEastAsia" w:hint="eastAsia"/>
                <w:color w:val="000000"/>
                <w:szCs w:val="21"/>
              </w:rPr>
              <w:t>8</w:t>
            </w:r>
          </w:p>
        </w:tc>
        <w:tc>
          <w:tcPr>
            <w:tcW w:w="5597" w:type="dxa"/>
            <w:tcBorders>
              <w:top w:val="nil"/>
              <w:left w:val="nil"/>
              <w:bottom w:val="single" w:sz="4" w:space="0" w:color="auto"/>
              <w:right w:val="single" w:sz="4" w:space="0" w:color="auto"/>
            </w:tcBorders>
            <w:shd w:val="clear" w:color="auto" w:fill="auto"/>
            <w:vAlign w:val="center"/>
          </w:tcPr>
          <w:p w14:paraId="11F8E63C" w14:textId="5B90D165" w:rsidR="00512D70" w:rsidRPr="00512D70" w:rsidRDefault="00512D70" w:rsidP="00512D70">
            <w:pPr>
              <w:widowControl/>
              <w:jc w:val="center"/>
              <w:rPr>
                <w:rFonts w:asciiTheme="minorEastAsia" w:hAnsiTheme="minorEastAsia" w:cs="宋体"/>
                <w:color w:val="000000"/>
                <w:kern w:val="0"/>
                <w:szCs w:val="21"/>
              </w:rPr>
            </w:pPr>
            <w:r w:rsidRPr="00512D70">
              <w:rPr>
                <w:rFonts w:asciiTheme="minorEastAsia" w:hAnsiTheme="minorEastAsia" w:cs="宋体"/>
                <w:color w:val="000000"/>
                <w:kern w:val="0"/>
                <w:szCs w:val="21"/>
              </w:rPr>
              <w:t>嘉实致安3个月定期开放债券型发起式证券投资基金</w:t>
            </w:r>
          </w:p>
        </w:tc>
        <w:tc>
          <w:tcPr>
            <w:tcW w:w="3261" w:type="dxa"/>
            <w:tcBorders>
              <w:top w:val="nil"/>
              <w:left w:val="nil"/>
              <w:bottom w:val="single" w:sz="4" w:space="0" w:color="auto"/>
              <w:right w:val="single" w:sz="4" w:space="0" w:color="auto"/>
            </w:tcBorders>
            <w:shd w:val="clear" w:color="auto" w:fill="auto"/>
            <w:noWrap/>
          </w:tcPr>
          <w:p w14:paraId="14A5506F" w14:textId="5DBDED5A" w:rsidR="00512D70" w:rsidRPr="00512D70" w:rsidRDefault="00512D70" w:rsidP="00512D70">
            <w:pPr>
              <w:widowControl/>
              <w:jc w:val="center"/>
              <w:rPr>
                <w:rFonts w:asciiTheme="minorEastAsia" w:hAnsiTheme="minorEastAsia" w:cs="宋体"/>
                <w:color w:val="000000"/>
                <w:kern w:val="0"/>
                <w:szCs w:val="21"/>
              </w:rPr>
            </w:pPr>
            <w:r w:rsidRPr="00512D70">
              <w:rPr>
                <w:rFonts w:asciiTheme="minorEastAsia" w:hAnsiTheme="minorEastAsia" w:cs="宋体" w:hint="eastAsia"/>
                <w:color w:val="000000"/>
                <w:kern w:val="0"/>
                <w:szCs w:val="21"/>
              </w:rPr>
              <w:t>平安银行股份有限公司</w:t>
            </w:r>
          </w:p>
        </w:tc>
      </w:tr>
    </w:tbl>
    <w:p w14:paraId="698F8790" w14:textId="5F3AA036" w:rsidR="008150C7" w:rsidRDefault="008150C7" w:rsidP="00554A1D">
      <w:pPr>
        <w:spacing w:line="360" w:lineRule="auto"/>
        <w:rPr>
          <w:rFonts w:ascii="Times New Roman" w:eastAsia="宋体" w:hAnsi="Times New Roman"/>
          <w:b/>
          <w:sz w:val="24"/>
        </w:rPr>
      </w:pPr>
    </w:p>
    <w:sectPr w:rsidR="008150C7" w:rsidSect="00554A1D">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B4EC6" w14:textId="77777777" w:rsidR="007E22DB" w:rsidRDefault="007E22DB" w:rsidP="005C23A6">
      <w:r>
        <w:separator/>
      </w:r>
    </w:p>
  </w:endnote>
  <w:endnote w:type="continuationSeparator" w:id="0">
    <w:p w14:paraId="0B366BD2" w14:textId="77777777" w:rsidR="007E22DB" w:rsidRDefault="007E22DB" w:rsidP="005C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33D28" w14:textId="77777777" w:rsidR="007E22DB" w:rsidRDefault="007E22DB" w:rsidP="005C23A6">
      <w:r>
        <w:separator/>
      </w:r>
    </w:p>
  </w:footnote>
  <w:footnote w:type="continuationSeparator" w:id="0">
    <w:p w14:paraId="667D09D1" w14:textId="77777777" w:rsidR="007E22DB" w:rsidRDefault="007E22DB" w:rsidP="005C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35E55B6"/>
    <w:multiLevelType w:val="hybridMultilevel"/>
    <w:tmpl w:val="FFF273B0"/>
    <w:lvl w:ilvl="0" w:tplc="8D58ED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EA5139"/>
    <w:multiLevelType w:val="hybridMultilevel"/>
    <w:tmpl w:val="51C0AB24"/>
    <w:lvl w:ilvl="0" w:tplc="0A1E5E54">
      <w:start w:val="1"/>
      <w:numFmt w:val="japaneseCounting"/>
      <w:lvlText w:val="（%1）"/>
      <w:lvlJc w:val="left"/>
      <w:pPr>
        <w:ind w:left="840" w:hanging="84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A824F8B"/>
    <w:multiLevelType w:val="hybridMultilevel"/>
    <w:tmpl w:val="716487F0"/>
    <w:lvl w:ilvl="0" w:tplc="AF4463AE">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AE6C71"/>
    <w:multiLevelType w:val="hybridMultilevel"/>
    <w:tmpl w:val="C56C4B5A"/>
    <w:lvl w:ilvl="0" w:tplc="6C70A6F6">
      <w:start w:val="1"/>
      <w:numFmt w:val="japaneseCounting"/>
      <w:lvlText w:val="%1、"/>
      <w:lvlJc w:val="left"/>
      <w:pPr>
        <w:ind w:left="444" w:hanging="4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D7433E"/>
    <w:multiLevelType w:val="hybridMultilevel"/>
    <w:tmpl w:val="FED02D60"/>
    <w:lvl w:ilvl="0" w:tplc="96FCCB62">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E0620D"/>
    <w:multiLevelType w:val="hybridMultilevel"/>
    <w:tmpl w:val="9A2C13D2"/>
    <w:lvl w:ilvl="0" w:tplc="88B27ABA">
      <w:start w:val="1"/>
      <w:numFmt w:val="japaneseCounting"/>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FF06BDF"/>
    <w:multiLevelType w:val="hybridMultilevel"/>
    <w:tmpl w:val="2AE872A0"/>
    <w:lvl w:ilvl="0" w:tplc="07F49F7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21481D"/>
    <w:multiLevelType w:val="hybridMultilevel"/>
    <w:tmpl w:val="0390F482"/>
    <w:lvl w:ilvl="0" w:tplc="4D8A1D00">
      <w:start w:val="1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1B395A"/>
    <w:multiLevelType w:val="hybridMultilevel"/>
    <w:tmpl w:val="71F2DC70"/>
    <w:lvl w:ilvl="0" w:tplc="AE40698A">
      <w:start w:val="14"/>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F40425"/>
    <w:multiLevelType w:val="hybridMultilevel"/>
    <w:tmpl w:val="1EF059CE"/>
    <w:lvl w:ilvl="0" w:tplc="1466D2AE">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EA0625"/>
    <w:multiLevelType w:val="hybridMultilevel"/>
    <w:tmpl w:val="031ED486"/>
    <w:lvl w:ilvl="0" w:tplc="13841E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8F03CE"/>
    <w:multiLevelType w:val="hybridMultilevel"/>
    <w:tmpl w:val="B5B0C2DE"/>
    <w:lvl w:ilvl="0" w:tplc="028ABF56">
      <w:start w:val="58"/>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B962F9"/>
    <w:multiLevelType w:val="hybridMultilevel"/>
    <w:tmpl w:val="D728DB68"/>
    <w:lvl w:ilvl="0" w:tplc="D46A6ED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943C6A"/>
    <w:multiLevelType w:val="hybridMultilevel"/>
    <w:tmpl w:val="583EA554"/>
    <w:lvl w:ilvl="0" w:tplc="0EBA70D6">
      <w:start w:val="1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616668"/>
    <w:multiLevelType w:val="hybridMultilevel"/>
    <w:tmpl w:val="4B88176C"/>
    <w:lvl w:ilvl="0" w:tplc="A146A820">
      <w:start w:val="3"/>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802EAA"/>
    <w:multiLevelType w:val="hybridMultilevel"/>
    <w:tmpl w:val="9A204640"/>
    <w:lvl w:ilvl="0" w:tplc="B902F56A">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17292D"/>
    <w:multiLevelType w:val="hybridMultilevel"/>
    <w:tmpl w:val="2F3C8168"/>
    <w:lvl w:ilvl="0" w:tplc="692E678E">
      <w:start w:val="1"/>
      <w:numFmt w:val="japaneseCounting"/>
      <w:lvlText w:val="%1、"/>
      <w:lvlJc w:val="left"/>
      <w:pPr>
        <w:ind w:left="439" w:hanging="43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4C17D05"/>
    <w:multiLevelType w:val="hybridMultilevel"/>
    <w:tmpl w:val="6A50DAA4"/>
    <w:lvl w:ilvl="0" w:tplc="77BE1EC2">
      <w:start w:val="1"/>
      <w:numFmt w:val="japaneseCounting"/>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39DD199F"/>
    <w:multiLevelType w:val="hybridMultilevel"/>
    <w:tmpl w:val="16AC473A"/>
    <w:lvl w:ilvl="0" w:tplc="12F6AE3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F1849E1"/>
    <w:multiLevelType w:val="hybridMultilevel"/>
    <w:tmpl w:val="0E7286B4"/>
    <w:lvl w:ilvl="0" w:tplc="E7EA8162">
      <w:start w:val="59"/>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EF2187"/>
    <w:multiLevelType w:val="hybridMultilevel"/>
    <w:tmpl w:val="358A62F0"/>
    <w:lvl w:ilvl="0" w:tplc="4FEEB0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C4F3DF1"/>
    <w:multiLevelType w:val="hybridMultilevel"/>
    <w:tmpl w:val="E3FE21D8"/>
    <w:lvl w:ilvl="0" w:tplc="78B4F4FA">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CF93568"/>
    <w:multiLevelType w:val="hybridMultilevel"/>
    <w:tmpl w:val="71740FDA"/>
    <w:lvl w:ilvl="0" w:tplc="BA106B44">
      <w:start w:val="6"/>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DDC2CAD"/>
    <w:multiLevelType w:val="hybridMultilevel"/>
    <w:tmpl w:val="86E6B148"/>
    <w:lvl w:ilvl="0" w:tplc="01A8F7A2">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0145356"/>
    <w:multiLevelType w:val="hybridMultilevel"/>
    <w:tmpl w:val="625E39E2"/>
    <w:lvl w:ilvl="0" w:tplc="CE1201C6">
      <w:start w:val="58"/>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0DA0D65"/>
    <w:multiLevelType w:val="hybridMultilevel"/>
    <w:tmpl w:val="6D6AF8D0"/>
    <w:lvl w:ilvl="0" w:tplc="CE2A9B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11B3A66"/>
    <w:multiLevelType w:val="hybridMultilevel"/>
    <w:tmpl w:val="EC646902"/>
    <w:lvl w:ilvl="0" w:tplc="1382E2B6">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812662E"/>
    <w:multiLevelType w:val="hybridMultilevel"/>
    <w:tmpl w:val="5854FC36"/>
    <w:lvl w:ilvl="0" w:tplc="AB3A567C">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8191115"/>
    <w:multiLevelType w:val="multilevel"/>
    <w:tmpl w:val="58191115"/>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15:restartNumberingAfterBreak="0">
    <w:nsid w:val="5DEB4358"/>
    <w:multiLevelType w:val="hybridMultilevel"/>
    <w:tmpl w:val="14CA0F0E"/>
    <w:lvl w:ilvl="0" w:tplc="EAFC8AA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E693F94"/>
    <w:multiLevelType w:val="hybridMultilevel"/>
    <w:tmpl w:val="E7DEEA16"/>
    <w:lvl w:ilvl="0" w:tplc="2A4AC206">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F7E3544"/>
    <w:multiLevelType w:val="hybridMultilevel"/>
    <w:tmpl w:val="6F6AB2F2"/>
    <w:lvl w:ilvl="0" w:tplc="5DF03C80">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18028F5"/>
    <w:multiLevelType w:val="hybridMultilevel"/>
    <w:tmpl w:val="EF56626E"/>
    <w:lvl w:ilvl="0" w:tplc="D2D86764">
      <w:start w:val="3"/>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1B526EE"/>
    <w:multiLevelType w:val="hybridMultilevel"/>
    <w:tmpl w:val="AEB046BE"/>
    <w:lvl w:ilvl="0" w:tplc="522E051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623A0669"/>
    <w:multiLevelType w:val="hybridMultilevel"/>
    <w:tmpl w:val="031ED486"/>
    <w:lvl w:ilvl="0" w:tplc="13841E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2D65565"/>
    <w:multiLevelType w:val="hybridMultilevel"/>
    <w:tmpl w:val="2F3C8168"/>
    <w:lvl w:ilvl="0" w:tplc="692E678E">
      <w:start w:val="1"/>
      <w:numFmt w:val="japaneseCounting"/>
      <w:lvlText w:val="%1、"/>
      <w:lvlJc w:val="left"/>
      <w:pPr>
        <w:ind w:left="439" w:hanging="43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2F7411B"/>
    <w:multiLevelType w:val="hybridMultilevel"/>
    <w:tmpl w:val="E2B617AE"/>
    <w:lvl w:ilvl="0" w:tplc="2248B00A">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65B4187"/>
    <w:multiLevelType w:val="hybridMultilevel"/>
    <w:tmpl w:val="0434A930"/>
    <w:lvl w:ilvl="0" w:tplc="42D8C408">
      <w:start w:val="3"/>
      <w:numFmt w:val="japaneseCounting"/>
      <w:lvlText w:val="%1、"/>
      <w:lvlJc w:val="left"/>
      <w:pPr>
        <w:ind w:left="480" w:hanging="48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9" w15:restartNumberingAfterBreak="0">
    <w:nsid w:val="7ACD6E0E"/>
    <w:multiLevelType w:val="hybridMultilevel"/>
    <w:tmpl w:val="89F05288"/>
    <w:lvl w:ilvl="0" w:tplc="A3DE0894">
      <w:start w:val="3"/>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B4F6767"/>
    <w:multiLevelType w:val="hybridMultilevel"/>
    <w:tmpl w:val="078CEBC8"/>
    <w:lvl w:ilvl="0" w:tplc="72022B0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0"/>
  </w:num>
  <w:num w:numId="2">
    <w:abstractNumId w:val="33"/>
  </w:num>
  <w:num w:numId="3">
    <w:abstractNumId w:val="15"/>
  </w:num>
  <w:num w:numId="4">
    <w:abstractNumId w:val="29"/>
  </w:num>
  <w:num w:numId="5">
    <w:abstractNumId w:val="36"/>
  </w:num>
  <w:num w:numId="6">
    <w:abstractNumId w:val="17"/>
  </w:num>
  <w:num w:numId="7">
    <w:abstractNumId w:val="34"/>
  </w:num>
  <w:num w:numId="8">
    <w:abstractNumId w:val="0"/>
  </w:num>
  <w:num w:numId="9">
    <w:abstractNumId w:val="1"/>
  </w:num>
  <w:num w:numId="10">
    <w:abstractNumId w:val="21"/>
  </w:num>
  <w:num w:numId="11">
    <w:abstractNumId w:val="22"/>
  </w:num>
  <w:num w:numId="12">
    <w:abstractNumId w:val="3"/>
  </w:num>
  <w:num w:numId="13">
    <w:abstractNumId w:val="16"/>
  </w:num>
  <w:num w:numId="14">
    <w:abstractNumId w:val="19"/>
  </w:num>
  <w:num w:numId="15">
    <w:abstractNumId w:val="26"/>
  </w:num>
  <w:num w:numId="16">
    <w:abstractNumId w:val="30"/>
  </w:num>
  <w:num w:numId="17">
    <w:abstractNumId w:val="4"/>
  </w:num>
  <w:num w:numId="18">
    <w:abstractNumId w:val="7"/>
  </w:num>
  <w:num w:numId="19">
    <w:abstractNumId w:val="35"/>
  </w:num>
  <w:num w:numId="20">
    <w:abstractNumId w:val="11"/>
  </w:num>
  <w:num w:numId="21">
    <w:abstractNumId w:val="23"/>
  </w:num>
  <w:num w:numId="22">
    <w:abstractNumId w:val="32"/>
  </w:num>
  <w:num w:numId="23">
    <w:abstractNumId w:val="8"/>
  </w:num>
  <w:num w:numId="24">
    <w:abstractNumId w:val="12"/>
  </w:num>
  <w:num w:numId="25">
    <w:abstractNumId w:val="25"/>
  </w:num>
  <w:num w:numId="26">
    <w:abstractNumId w:val="31"/>
  </w:num>
  <w:num w:numId="27">
    <w:abstractNumId w:val="9"/>
  </w:num>
  <w:num w:numId="28">
    <w:abstractNumId w:val="14"/>
  </w:num>
  <w:num w:numId="29">
    <w:abstractNumId w:val="37"/>
  </w:num>
  <w:num w:numId="30">
    <w:abstractNumId w:val="10"/>
  </w:num>
  <w:num w:numId="31">
    <w:abstractNumId w:val="39"/>
  </w:num>
  <w:num w:numId="32">
    <w:abstractNumId w:val="28"/>
  </w:num>
  <w:num w:numId="33">
    <w:abstractNumId w:val="13"/>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5"/>
  </w:num>
  <w:num w:numId="46">
    <w:abstractNumId w:val="2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C7"/>
    <w:rsid w:val="000004F1"/>
    <w:rsid w:val="00014FD2"/>
    <w:rsid w:val="00046ACD"/>
    <w:rsid w:val="000724FF"/>
    <w:rsid w:val="000753CF"/>
    <w:rsid w:val="00094ED4"/>
    <w:rsid w:val="000A4F0B"/>
    <w:rsid w:val="000A75A1"/>
    <w:rsid w:val="000C4C82"/>
    <w:rsid w:val="000C68DE"/>
    <w:rsid w:val="00120D26"/>
    <w:rsid w:val="001364B4"/>
    <w:rsid w:val="00152F11"/>
    <w:rsid w:val="00154D20"/>
    <w:rsid w:val="00176DC1"/>
    <w:rsid w:val="00186A28"/>
    <w:rsid w:val="0019533E"/>
    <w:rsid w:val="001B1D86"/>
    <w:rsid w:val="001B5B60"/>
    <w:rsid w:val="001B7E51"/>
    <w:rsid w:val="001E0B4D"/>
    <w:rsid w:val="00204972"/>
    <w:rsid w:val="00204DB1"/>
    <w:rsid w:val="00217928"/>
    <w:rsid w:val="002A4E5F"/>
    <w:rsid w:val="002D5C6D"/>
    <w:rsid w:val="002E17BF"/>
    <w:rsid w:val="002F05B3"/>
    <w:rsid w:val="002F261E"/>
    <w:rsid w:val="002F44BA"/>
    <w:rsid w:val="00300E7A"/>
    <w:rsid w:val="00304012"/>
    <w:rsid w:val="00310915"/>
    <w:rsid w:val="00310B02"/>
    <w:rsid w:val="00312FC8"/>
    <w:rsid w:val="00315B22"/>
    <w:rsid w:val="0032275D"/>
    <w:rsid w:val="003312FC"/>
    <w:rsid w:val="00331778"/>
    <w:rsid w:val="00340FC2"/>
    <w:rsid w:val="0038180C"/>
    <w:rsid w:val="003942B6"/>
    <w:rsid w:val="003A4868"/>
    <w:rsid w:val="003B141B"/>
    <w:rsid w:val="003E0566"/>
    <w:rsid w:val="004071E5"/>
    <w:rsid w:val="004202CC"/>
    <w:rsid w:val="00457F72"/>
    <w:rsid w:val="00465938"/>
    <w:rsid w:val="0046775F"/>
    <w:rsid w:val="004813A8"/>
    <w:rsid w:val="0049585B"/>
    <w:rsid w:val="004B28AC"/>
    <w:rsid w:val="004C52E3"/>
    <w:rsid w:val="004D2C59"/>
    <w:rsid w:val="004D4756"/>
    <w:rsid w:val="004F79E1"/>
    <w:rsid w:val="0050736B"/>
    <w:rsid w:val="00512D70"/>
    <w:rsid w:val="00520680"/>
    <w:rsid w:val="00530FB3"/>
    <w:rsid w:val="00541186"/>
    <w:rsid w:val="00554A1D"/>
    <w:rsid w:val="005567C1"/>
    <w:rsid w:val="00562D80"/>
    <w:rsid w:val="005B4EEC"/>
    <w:rsid w:val="005B7455"/>
    <w:rsid w:val="005C23A6"/>
    <w:rsid w:val="005E2123"/>
    <w:rsid w:val="00616286"/>
    <w:rsid w:val="006253C3"/>
    <w:rsid w:val="00653F91"/>
    <w:rsid w:val="00676ED0"/>
    <w:rsid w:val="006E143A"/>
    <w:rsid w:val="00777552"/>
    <w:rsid w:val="007B1561"/>
    <w:rsid w:val="007E22DB"/>
    <w:rsid w:val="007F7AAC"/>
    <w:rsid w:val="00802490"/>
    <w:rsid w:val="008150C7"/>
    <w:rsid w:val="0082380D"/>
    <w:rsid w:val="008261DE"/>
    <w:rsid w:val="00872E15"/>
    <w:rsid w:val="0087796D"/>
    <w:rsid w:val="00891C8D"/>
    <w:rsid w:val="00892D44"/>
    <w:rsid w:val="008944D8"/>
    <w:rsid w:val="008C3AE6"/>
    <w:rsid w:val="008D1808"/>
    <w:rsid w:val="00937586"/>
    <w:rsid w:val="009652C6"/>
    <w:rsid w:val="0098287E"/>
    <w:rsid w:val="00983671"/>
    <w:rsid w:val="00997A62"/>
    <w:rsid w:val="009A4564"/>
    <w:rsid w:val="009C20CA"/>
    <w:rsid w:val="009E1F97"/>
    <w:rsid w:val="009F1404"/>
    <w:rsid w:val="009F70ED"/>
    <w:rsid w:val="00A142C7"/>
    <w:rsid w:val="00A520B5"/>
    <w:rsid w:val="00A80177"/>
    <w:rsid w:val="00A81118"/>
    <w:rsid w:val="00A96600"/>
    <w:rsid w:val="00A971F9"/>
    <w:rsid w:val="00AD6E95"/>
    <w:rsid w:val="00B058D9"/>
    <w:rsid w:val="00B06AEE"/>
    <w:rsid w:val="00B17009"/>
    <w:rsid w:val="00B531BF"/>
    <w:rsid w:val="00B53478"/>
    <w:rsid w:val="00B77958"/>
    <w:rsid w:val="00B95787"/>
    <w:rsid w:val="00BA147B"/>
    <w:rsid w:val="00BB3579"/>
    <w:rsid w:val="00C17395"/>
    <w:rsid w:val="00C24D80"/>
    <w:rsid w:val="00C30FC2"/>
    <w:rsid w:val="00C452EF"/>
    <w:rsid w:val="00C6456E"/>
    <w:rsid w:val="00CA5361"/>
    <w:rsid w:val="00CB6A94"/>
    <w:rsid w:val="00CD616D"/>
    <w:rsid w:val="00CE5654"/>
    <w:rsid w:val="00CE71B7"/>
    <w:rsid w:val="00D2704D"/>
    <w:rsid w:val="00D41607"/>
    <w:rsid w:val="00D4325E"/>
    <w:rsid w:val="00D76C59"/>
    <w:rsid w:val="00D863D1"/>
    <w:rsid w:val="00D90BA4"/>
    <w:rsid w:val="00DE568E"/>
    <w:rsid w:val="00DF516C"/>
    <w:rsid w:val="00E13E05"/>
    <w:rsid w:val="00E212B4"/>
    <w:rsid w:val="00E53D25"/>
    <w:rsid w:val="00E93BAF"/>
    <w:rsid w:val="00EA4BE1"/>
    <w:rsid w:val="00EB48FA"/>
    <w:rsid w:val="00EC786F"/>
    <w:rsid w:val="00EE364F"/>
    <w:rsid w:val="00F1099B"/>
    <w:rsid w:val="00F237C4"/>
    <w:rsid w:val="00F34061"/>
    <w:rsid w:val="00F50E17"/>
    <w:rsid w:val="00F8719E"/>
    <w:rsid w:val="00F92808"/>
    <w:rsid w:val="00FC78C8"/>
    <w:rsid w:val="00FD3210"/>
    <w:rsid w:val="00FE2CAD"/>
    <w:rsid w:val="00FF0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1A46A"/>
  <w15:chartTrackingRefBased/>
  <w15:docId w15:val="{4B1F3811-0AAA-4B57-AF18-B6B07213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23A6"/>
    <w:rPr>
      <w:sz w:val="18"/>
      <w:szCs w:val="18"/>
    </w:rPr>
  </w:style>
  <w:style w:type="paragraph" w:styleId="a5">
    <w:name w:val="footer"/>
    <w:basedOn w:val="a"/>
    <w:link w:val="a6"/>
    <w:uiPriority w:val="99"/>
    <w:unhideWhenUsed/>
    <w:rsid w:val="005C23A6"/>
    <w:pPr>
      <w:tabs>
        <w:tab w:val="center" w:pos="4153"/>
        <w:tab w:val="right" w:pos="8306"/>
      </w:tabs>
      <w:snapToGrid w:val="0"/>
      <w:jc w:val="left"/>
    </w:pPr>
    <w:rPr>
      <w:sz w:val="18"/>
      <w:szCs w:val="18"/>
    </w:rPr>
  </w:style>
  <w:style w:type="character" w:customStyle="1" w:styleId="a6">
    <w:name w:val="页脚 字符"/>
    <w:basedOn w:val="a0"/>
    <w:link w:val="a5"/>
    <w:uiPriority w:val="99"/>
    <w:rsid w:val="005C23A6"/>
    <w:rPr>
      <w:sz w:val="18"/>
      <w:szCs w:val="18"/>
    </w:rPr>
  </w:style>
  <w:style w:type="paragraph" w:styleId="a7">
    <w:name w:val="Balloon Text"/>
    <w:basedOn w:val="a"/>
    <w:link w:val="a8"/>
    <w:uiPriority w:val="99"/>
    <w:semiHidden/>
    <w:unhideWhenUsed/>
    <w:rsid w:val="00891C8D"/>
    <w:rPr>
      <w:sz w:val="18"/>
      <w:szCs w:val="18"/>
    </w:rPr>
  </w:style>
  <w:style w:type="character" w:customStyle="1" w:styleId="a8">
    <w:name w:val="批注框文本 字符"/>
    <w:basedOn w:val="a0"/>
    <w:link w:val="a7"/>
    <w:uiPriority w:val="99"/>
    <w:semiHidden/>
    <w:rsid w:val="00891C8D"/>
    <w:rPr>
      <w:sz w:val="18"/>
      <w:szCs w:val="18"/>
    </w:rPr>
  </w:style>
  <w:style w:type="paragraph" w:styleId="a9">
    <w:name w:val="List Paragraph"/>
    <w:basedOn w:val="a"/>
    <w:uiPriority w:val="34"/>
    <w:qFormat/>
    <w:rsid w:val="002A4E5F"/>
    <w:pPr>
      <w:ind w:firstLineChars="200" w:firstLine="420"/>
    </w:pPr>
  </w:style>
  <w:style w:type="character" w:styleId="aa">
    <w:name w:val="annotation reference"/>
    <w:rsid w:val="009A4564"/>
    <w:rPr>
      <w:sz w:val="21"/>
    </w:rPr>
  </w:style>
  <w:style w:type="paragraph" w:styleId="ab">
    <w:name w:val="annotation text"/>
    <w:basedOn w:val="a"/>
    <w:link w:val="ac"/>
    <w:rsid w:val="009A4564"/>
    <w:pPr>
      <w:jc w:val="left"/>
    </w:pPr>
    <w:rPr>
      <w:rFonts w:ascii="Times New Roman" w:eastAsia="宋体" w:hAnsi="Times New Roman" w:cs="Times New Roman"/>
      <w:szCs w:val="20"/>
    </w:rPr>
  </w:style>
  <w:style w:type="character" w:customStyle="1" w:styleId="ac">
    <w:name w:val="批注文字 字符"/>
    <w:basedOn w:val="a0"/>
    <w:link w:val="ab"/>
    <w:rsid w:val="009A4564"/>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094ED4"/>
    <w:rPr>
      <w:rFonts w:asciiTheme="minorHAnsi" w:eastAsiaTheme="minorEastAsia" w:hAnsiTheme="minorHAnsi" w:cstheme="minorBidi"/>
      <w:b/>
      <w:bCs/>
      <w:szCs w:val="22"/>
    </w:rPr>
  </w:style>
  <w:style w:type="character" w:customStyle="1" w:styleId="ae">
    <w:name w:val="批注主题 字符"/>
    <w:basedOn w:val="ac"/>
    <w:link w:val="ad"/>
    <w:uiPriority w:val="99"/>
    <w:semiHidden/>
    <w:rsid w:val="00094ED4"/>
    <w:rPr>
      <w:rFonts w:ascii="Times New Roman" w:eastAsia="宋体" w:hAnsi="Times New Roman" w:cs="Times New Roman"/>
      <w:b/>
      <w:bCs/>
      <w:szCs w:val="20"/>
    </w:rPr>
  </w:style>
  <w:style w:type="paragraph" w:styleId="af">
    <w:name w:val="Revision"/>
    <w:hidden/>
    <w:uiPriority w:val="99"/>
    <w:semiHidden/>
    <w:rsid w:val="00094ED4"/>
  </w:style>
  <w:style w:type="paragraph" w:customStyle="1" w:styleId="CharChar">
    <w:name w:val="Char Char"/>
    <w:basedOn w:val="a"/>
    <w:rsid w:val="004B28AC"/>
    <w:rPr>
      <w:rFonts w:ascii="Times New Roman" w:eastAsia="宋体" w:hAnsi="Times New Roman" w:cs="Times New Roman"/>
      <w:szCs w:val="20"/>
    </w:rPr>
  </w:style>
  <w:style w:type="character" w:customStyle="1" w:styleId="af0">
    <w:name w:val="正文文本缩进 字符"/>
    <w:link w:val="af1"/>
    <w:rsid w:val="004B28AC"/>
    <w:rPr>
      <w:rFonts w:ascii="宋体"/>
    </w:rPr>
  </w:style>
  <w:style w:type="paragraph" w:styleId="af1">
    <w:name w:val="Body Text Indent"/>
    <w:basedOn w:val="a"/>
    <w:link w:val="af0"/>
    <w:rsid w:val="004B28AC"/>
    <w:pPr>
      <w:autoSpaceDE w:val="0"/>
      <w:autoSpaceDN w:val="0"/>
      <w:adjustRightInd w:val="0"/>
      <w:spacing w:after="120" w:line="440" w:lineRule="atLeast"/>
      <w:ind w:firstLine="539"/>
    </w:pPr>
    <w:rPr>
      <w:rFonts w:ascii="宋体"/>
    </w:rPr>
  </w:style>
  <w:style w:type="character" w:customStyle="1" w:styleId="Char1">
    <w:name w:val="正文文本缩进 Char1"/>
    <w:basedOn w:val="a0"/>
    <w:uiPriority w:val="99"/>
    <w:semiHidden/>
    <w:rsid w:val="004B28AC"/>
  </w:style>
  <w:style w:type="paragraph" w:customStyle="1" w:styleId="Default">
    <w:name w:val="Default"/>
    <w:rsid w:val="004B28AC"/>
    <w:pPr>
      <w:widowControl w:val="0"/>
      <w:autoSpaceDE w:val="0"/>
      <w:autoSpaceDN w:val="0"/>
      <w:adjustRightInd w:val="0"/>
    </w:pPr>
    <w:rPr>
      <w:rFonts w:ascii="宋体" w:eastAsia="宋体" w:hAnsi="Times New Roman" w:cs="宋体"/>
      <w:color w:val="000000"/>
      <w:kern w:val="0"/>
      <w:sz w:val="24"/>
      <w:szCs w:val="24"/>
    </w:rPr>
  </w:style>
  <w:style w:type="paragraph" w:styleId="2">
    <w:name w:val="Body Text 2"/>
    <w:basedOn w:val="a"/>
    <w:link w:val="20"/>
    <w:uiPriority w:val="99"/>
    <w:semiHidden/>
    <w:unhideWhenUsed/>
    <w:rsid w:val="00310B02"/>
    <w:pPr>
      <w:spacing w:after="120" w:line="480" w:lineRule="auto"/>
    </w:pPr>
  </w:style>
  <w:style w:type="character" w:customStyle="1" w:styleId="20">
    <w:name w:val="正文文本 2 字符"/>
    <w:basedOn w:val="a0"/>
    <w:link w:val="2"/>
    <w:uiPriority w:val="99"/>
    <w:semiHidden/>
    <w:rsid w:val="00310B02"/>
  </w:style>
  <w:style w:type="character" w:styleId="af2">
    <w:name w:val="Strong"/>
    <w:qFormat/>
    <w:rsid w:val="00310B02"/>
    <w:rPr>
      <w:b/>
      <w:bCs/>
    </w:rPr>
  </w:style>
  <w:style w:type="paragraph" w:customStyle="1" w:styleId="af3">
    <w:name w:val="正文所"/>
    <w:basedOn w:val="a"/>
    <w:rsid w:val="00310B02"/>
    <w:pPr>
      <w:spacing w:line="360" w:lineRule="auto"/>
      <w:ind w:firstLineChars="200" w:firstLine="420"/>
    </w:pPr>
    <w:rPr>
      <w:rFonts w:ascii="Times New Roman" w:eastAsia="宋体" w:hAnsi="Times New Roman" w:cs="Times New Roman"/>
      <w:szCs w:val="24"/>
    </w:rPr>
  </w:style>
  <w:style w:type="paragraph" w:styleId="af4">
    <w:name w:val="Subtitle"/>
    <w:basedOn w:val="a"/>
    <w:next w:val="a"/>
    <w:link w:val="af5"/>
    <w:uiPriority w:val="11"/>
    <w:qFormat/>
    <w:rsid w:val="00310B0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af5">
    <w:name w:val="副标题 字符"/>
    <w:basedOn w:val="a0"/>
    <w:link w:val="af4"/>
    <w:uiPriority w:val="11"/>
    <w:rsid w:val="00310B02"/>
    <w:rPr>
      <w:rFonts w:asciiTheme="majorHAnsi" w:eastAsia="宋体" w:hAnsiTheme="majorHAnsi" w:cstheme="majorBidi"/>
      <w:b/>
      <w:bCs/>
      <w:kern w:val="28"/>
      <w:sz w:val="32"/>
      <w:szCs w:val="32"/>
    </w:rPr>
  </w:style>
  <w:style w:type="character" w:customStyle="1" w:styleId="unnamed11">
    <w:name w:val="unnamed11"/>
    <w:rsid w:val="00310B02"/>
    <w:rPr>
      <w:rFonts w:ascii="宋体" w:eastAsia="宋体" w:hAnsi="宋体"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1197">
      <w:bodyDiv w:val="1"/>
      <w:marLeft w:val="0"/>
      <w:marRight w:val="0"/>
      <w:marTop w:val="0"/>
      <w:marBottom w:val="0"/>
      <w:divBdr>
        <w:top w:val="none" w:sz="0" w:space="0" w:color="auto"/>
        <w:left w:val="none" w:sz="0" w:space="0" w:color="auto"/>
        <w:bottom w:val="none" w:sz="0" w:space="0" w:color="auto"/>
        <w:right w:val="none" w:sz="0" w:space="0" w:color="auto"/>
      </w:divBdr>
    </w:div>
    <w:div w:id="193345566">
      <w:bodyDiv w:val="1"/>
      <w:marLeft w:val="0"/>
      <w:marRight w:val="0"/>
      <w:marTop w:val="0"/>
      <w:marBottom w:val="0"/>
      <w:divBdr>
        <w:top w:val="none" w:sz="0" w:space="0" w:color="auto"/>
        <w:left w:val="none" w:sz="0" w:space="0" w:color="auto"/>
        <w:bottom w:val="none" w:sz="0" w:space="0" w:color="auto"/>
        <w:right w:val="none" w:sz="0" w:space="0" w:color="auto"/>
      </w:divBdr>
    </w:div>
    <w:div w:id="620652816">
      <w:bodyDiv w:val="1"/>
      <w:marLeft w:val="0"/>
      <w:marRight w:val="0"/>
      <w:marTop w:val="0"/>
      <w:marBottom w:val="0"/>
      <w:divBdr>
        <w:top w:val="none" w:sz="0" w:space="0" w:color="auto"/>
        <w:left w:val="none" w:sz="0" w:space="0" w:color="auto"/>
        <w:bottom w:val="none" w:sz="0" w:space="0" w:color="auto"/>
        <w:right w:val="none" w:sz="0" w:space="0" w:color="auto"/>
      </w:divBdr>
    </w:div>
    <w:div w:id="835917432">
      <w:bodyDiv w:val="1"/>
      <w:marLeft w:val="0"/>
      <w:marRight w:val="0"/>
      <w:marTop w:val="0"/>
      <w:marBottom w:val="0"/>
      <w:divBdr>
        <w:top w:val="none" w:sz="0" w:space="0" w:color="auto"/>
        <w:left w:val="none" w:sz="0" w:space="0" w:color="auto"/>
        <w:bottom w:val="none" w:sz="0" w:space="0" w:color="auto"/>
        <w:right w:val="none" w:sz="0" w:space="0" w:color="auto"/>
      </w:divBdr>
    </w:div>
    <w:div w:id="855773961">
      <w:bodyDiv w:val="1"/>
      <w:marLeft w:val="0"/>
      <w:marRight w:val="0"/>
      <w:marTop w:val="0"/>
      <w:marBottom w:val="0"/>
      <w:divBdr>
        <w:top w:val="none" w:sz="0" w:space="0" w:color="auto"/>
        <w:left w:val="none" w:sz="0" w:space="0" w:color="auto"/>
        <w:bottom w:val="none" w:sz="0" w:space="0" w:color="auto"/>
        <w:right w:val="none" w:sz="0" w:space="0" w:color="auto"/>
      </w:divBdr>
    </w:div>
    <w:div w:id="20295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528C0-F9A1-4EB0-94F5-8DC7D7C9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4067</TotalTime>
  <Pages>4</Pages>
  <Words>376</Words>
  <Characters>2149</Characters>
  <Application>Microsoft Office Word</Application>
  <DocSecurity>0</DocSecurity>
  <Lines>17</Lines>
  <Paragraphs>5</Paragraphs>
  <ScaleCrop>false</ScaleCrop>
  <Company>Harvest Fund</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关于根据《公开募集证券投资基金信息披露管理办法》修改嘉实3个月理财债券证券投资基金及嘉实6个月理财债券型证券投资基金基金合同及托管协议的公告</dc:title>
  <dc:subject/>
  <dc:creator>史彦琼</dc:creator>
  <cp:keywords/>
  <dc:description/>
  <cp:lastModifiedBy>江燕妮</cp:lastModifiedBy>
  <cp:revision>102</cp:revision>
  <cp:lastPrinted>2020-01-16T07:24:00Z</cp:lastPrinted>
  <dcterms:created xsi:type="dcterms:W3CDTF">2019-12-02T08:18:00Z</dcterms:created>
  <dcterms:modified xsi:type="dcterms:W3CDTF">2022-09-13T05:20:00Z</dcterms:modified>
</cp:coreProperties>
</file>